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CA8E843" w:rsidR="006305D7" w:rsidRPr="00610E25" w:rsidRDefault="006305D7" w:rsidP="00B84D35">
      <w:pPr>
        <w:pStyle w:val="NormalWeb"/>
        <w:spacing w:before="0" w:beforeAutospacing="0" w:after="0" w:afterAutospacing="0"/>
        <w:rPr>
          <w:rFonts w:asciiTheme="minorHAnsi" w:hAnsiTheme="minorHAnsi" w:cstheme="minorHAnsi"/>
        </w:rPr>
      </w:pPr>
      <w:r w:rsidRPr="00610E25">
        <w:rPr>
          <w:rFonts w:asciiTheme="minorHAnsi" w:hAnsiTheme="minorHAnsi" w:cstheme="minorHAnsi"/>
          <w:b/>
        </w:rPr>
        <w:t>TITLE:</w:t>
      </w:r>
      <w:r w:rsidRPr="00610E25">
        <w:rPr>
          <w:rFonts w:asciiTheme="minorHAnsi" w:hAnsiTheme="minorHAnsi" w:cstheme="minorHAnsi"/>
        </w:rPr>
        <w:t xml:space="preserve"> </w:t>
      </w:r>
    </w:p>
    <w:p w14:paraId="2BA54477" w14:textId="22F328F6" w:rsidR="00AE36AF" w:rsidRPr="00BB6F06" w:rsidRDefault="00AE36AF" w:rsidP="00B84D35">
      <w:pPr>
        <w:rPr>
          <w:rFonts w:asciiTheme="minorHAnsi" w:hAnsiTheme="minorHAnsi" w:cstheme="minorHAnsi"/>
          <w:color w:val="auto"/>
        </w:rPr>
      </w:pPr>
      <w:r w:rsidRPr="00610E25">
        <w:rPr>
          <w:rFonts w:asciiTheme="minorHAnsi" w:hAnsiTheme="minorHAnsi" w:cstheme="minorHAnsi"/>
          <w:color w:val="auto"/>
        </w:rPr>
        <w:t xml:space="preserve">Validated LC-MS/MS panel for </w:t>
      </w:r>
      <w:r w:rsidR="00B84D35" w:rsidRPr="00BB6F06">
        <w:rPr>
          <w:rFonts w:asciiTheme="minorHAnsi" w:hAnsiTheme="minorHAnsi" w:cstheme="minorHAnsi"/>
          <w:color w:val="auto"/>
        </w:rPr>
        <w:t xml:space="preserve">Quantifying </w:t>
      </w:r>
      <w:r w:rsidRPr="00BB6F06">
        <w:rPr>
          <w:rFonts w:asciiTheme="minorHAnsi" w:hAnsiTheme="minorHAnsi" w:cstheme="minorHAnsi"/>
          <w:color w:val="auto"/>
        </w:rPr>
        <w:t xml:space="preserve">11 </w:t>
      </w:r>
      <w:r w:rsidR="00B84D35" w:rsidRPr="00BB6F06">
        <w:rPr>
          <w:rFonts w:asciiTheme="minorHAnsi" w:hAnsiTheme="minorHAnsi" w:cstheme="minorHAnsi"/>
          <w:color w:val="auto"/>
        </w:rPr>
        <w:t xml:space="preserve">Drug-Resistant </w:t>
      </w:r>
      <w:r w:rsidRPr="00BB6F06">
        <w:rPr>
          <w:rFonts w:asciiTheme="minorHAnsi" w:hAnsiTheme="minorHAnsi" w:cstheme="minorHAnsi"/>
          <w:color w:val="auto"/>
        </w:rPr>
        <w:t xml:space="preserve">TB </w:t>
      </w:r>
      <w:r w:rsidR="00B84D35" w:rsidRPr="00BB6F06">
        <w:rPr>
          <w:rFonts w:asciiTheme="minorHAnsi" w:hAnsiTheme="minorHAnsi" w:cstheme="minorHAnsi"/>
          <w:color w:val="auto"/>
        </w:rPr>
        <w:t>Medications</w:t>
      </w:r>
      <w:r w:rsidRPr="00BB6F06">
        <w:rPr>
          <w:rFonts w:asciiTheme="minorHAnsi" w:hAnsiTheme="minorHAnsi" w:cstheme="minorHAnsi"/>
          <w:color w:val="auto"/>
        </w:rPr>
        <w:t xml:space="preserve"> in </w:t>
      </w:r>
      <w:r w:rsidR="00B84D35" w:rsidRPr="00BB6F06">
        <w:rPr>
          <w:rFonts w:asciiTheme="minorHAnsi" w:hAnsiTheme="minorHAnsi" w:cstheme="minorHAnsi"/>
          <w:color w:val="auto"/>
        </w:rPr>
        <w:t>Small Hair Samples</w:t>
      </w:r>
    </w:p>
    <w:p w14:paraId="2E300B21" w14:textId="77777777" w:rsidR="007A4DD6" w:rsidRPr="00BB6F06" w:rsidRDefault="007A4DD6" w:rsidP="00BB6F06">
      <w:pPr>
        <w:rPr>
          <w:rFonts w:asciiTheme="minorHAnsi" w:hAnsiTheme="minorHAnsi" w:cstheme="minorHAnsi"/>
          <w:b/>
          <w:bCs/>
        </w:rPr>
      </w:pPr>
    </w:p>
    <w:p w14:paraId="3D080DA3" w14:textId="37AD9575" w:rsidR="006305D7" w:rsidRPr="00BB6F06" w:rsidRDefault="006305D7" w:rsidP="00BB6F06">
      <w:pPr>
        <w:rPr>
          <w:rFonts w:asciiTheme="minorHAnsi" w:hAnsiTheme="minorHAnsi" w:cstheme="minorHAnsi"/>
          <w:color w:val="808080" w:themeColor="background1" w:themeShade="80"/>
        </w:rPr>
      </w:pPr>
      <w:r w:rsidRPr="00BB6F06">
        <w:rPr>
          <w:rFonts w:asciiTheme="minorHAnsi" w:hAnsiTheme="minorHAnsi" w:cstheme="minorHAnsi"/>
          <w:b/>
          <w:bCs/>
        </w:rPr>
        <w:t>AUTHORS</w:t>
      </w:r>
      <w:r w:rsidR="000B662E" w:rsidRPr="00BB6F06">
        <w:rPr>
          <w:rFonts w:asciiTheme="minorHAnsi" w:hAnsiTheme="minorHAnsi" w:cstheme="minorHAnsi"/>
          <w:b/>
          <w:bCs/>
        </w:rPr>
        <w:t xml:space="preserve"> </w:t>
      </w:r>
      <w:r w:rsidR="00086FF5" w:rsidRPr="00BB6F06">
        <w:rPr>
          <w:rFonts w:asciiTheme="minorHAnsi" w:hAnsiTheme="minorHAnsi" w:cstheme="minorHAnsi"/>
          <w:b/>
          <w:bCs/>
        </w:rPr>
        <w:t xml:space="preserve">AND </w:t>
      </w:r>
      <w:r w:rsidR="000B662E" w:rsidRPr="00BB6F06">
        <w:rPr>
          <w:rFonts w:asciiTheme="minorHAnsi" w:hAnsiTheme="minorHAnsi" w:cstheme="minorHAnsi"/>
          <w:b/>
          <w:bCs/>
        </w:rPr>
        <w:t>AFFILIATIONS</w:t>
      </w:r>
      <w:r w:rsidRPr="00BB6F06">
        <w:rPr>
          <w:rFonts w:asciiTheme="minorHAnsi" w:hAnsiTheme="minorHAnsi" w:cstheme="minorHAnsi"/>
          <w:b/>
          <w:bCs/>
        </w:rPr>
        <w:t xml:space="preserve">: </w:t>
      </w:r>
    </w:p>
    <w:p w14:paraId="5F095383" w14:textId="2157C76A" w:rsidR="00802366" w:rsidRPr="00BB6F06" w:rsidRDefault="00B84D35" w:rsidP="00BB6F06">
      <w:pPr>
        <w:rPr>
          <w:rFonts w:asciiTheme="minorHAnsi" w:hAnsiTheme="minorHAnsi" w:cstheme="minorHAnsi"/>
          <w:color w:val="auto"/>
          <w:vertAlign w:val="superscript"/>
        </w:rPr>
      </w:pPr>
      <w:r w:rsidRPr="00BB6F06">
        <w:rPr>
          <w:rFonts w:asciiTheme="minorHAnsi" w:hAnsiTheme="minorHAnsi" w:cstheme="minorHAnsi"/>
          <w:color w:val="auto"/>
        </w:rPr>
        <w:t xml:space="preserve">Andrew </w:t>
      </w:r>
      <w:r w:rsidR="00802366" w:rsidRPr="00BB6F06">
        <w:rPr>
          <w:rFonts w:asciiTheme="minorHAnsi" w:hAnsiTheme="minorHAnsi" w:cstheme="minorHAnsi"/>
          <w:color w:val="auto"/>
        </w:rPr>
        <w:t>Reckers</w:t>
      </w:r>
      <w:r w:rsidR="00BB687F" w:rsidRPr="00BB6F06">
        <w:rPr>
          <w:rFonts w:asciiTheme="minorHAnsi" w:hAnsiTheme="minorHAnsi" w:cstheme="minorHAnsi"/>
          <w:color w:val="auto"/>
          <w:vertAlign w:val="superscript"/>
        </w:rPr>
        <w:t>1</w:t>
      </w:r>
      <w:r w:rsidR="00802366" w:rsidRPr="00BB6F06">
        <w:rPr>
          <w:rFonts w:asciiTheme="minorHAnsi" w:hAnsiTheme="minorHAnsi" w:cstheme="minorHAnsi"/>
          <w:color w:val="auto"/>
        </w:rPr>
        <w:t>,</w:t>
      </w:r>
      <w:r w:rsidRPr="00BB6F06">
        <w:rPr>
          <w:rFonts w:asciiTheme="minorHAnsi" w:hAnsiTheme="minorHAnsi" w:cstheme="minorHAnsi"/>
          <w:color w:val="auto"/>
        </w:rPr>
        <w:t xml:space="preserve"> Anita</w:t>
      </w:r>
      <w:r w:rsidR="00802366" w:rsidRPr="00BB6F06">
        <w:rPr>
          <w:rFonts w:asciiTheme="minorHAnsi" w:hAnsiTheme="minorHAnsi" w:cstheme="minorHAnsi"/>
          <w:color w:val="auto"/>
        </w:rPr>
        <w:t xml:space="preserve"> Wen</w:t>
      </w:r>
      <w:r w:rsidR="00BB687F" w:rsidRPr="00BB6F06">
        <w:rPr>
          <w:rFonts w:asciiTheme="minorHAnsi" w:hAnsiTheme="minorHAnsi" w:cstheme="minorHAnsi"/>
          <w:color w:val="auto"/>
          <w:vertAlign w:val="superscript"/>
        </w:rPr>
        <w:t>1</w:t>
      </w:r>
      <w:r w:rsidR="00802366" w:rsidRPr="00BB6F06">
        <w:rPr>
          <w:rFonts w:asciiTheme="minorHAnsi" w:hAnsiTheme="minorHAnsi" w:cstheme="minorHAnsi"/>
          <w:color w:val="auto"/>
        </w:rPr>
        <w:t xml:space="preserve">, </w:t>
      </w:r>
      <w:r w:rsidRPr="00BB6F06">
        <w:rPr>
          <w:rFonts w:asciiTheme="minorHAnsi" w:hAnsiTheme="minorHAnsi" w:cstheme="minorHAnsi"/>
          <w:color w:val="auto"/>
        </w:rPr>
        <w:t xml:space="preserve">David </w:t>
      </w:r>
      <w:r w:rsidR="00802366" w:rsidRPr="00BB6F06">
        <w:rPr>
          <w:rFonts w:asciiTheme="minorHAnsi" w:hAnsiTheme="minorHAnsi" w:cstheme="minorHAnsi"/>
          <w:color w:val="auto"/>
        </w:rPr>
        <w:t>Aguilar</w:t>
      </w:r>
      <w:r w:rsidR="00BB687F" w:rsidRPr="00BB6F06">
        <w:rPr>
          <w:rFonts w:asciiTheme="minorHAnsi" w:hAnsiTheme="minorHAnsi" w:cstheme="minorHAnsi"/>
          <w:color w:val="auto"/>
          <w:vertAlign w:val="superscript"/>
        </w:rPr>
        <w:t>1</w:t>
      </w:r>
      <w:r w:rsidR="00802366" w:rsidRPr="00BB6F06">
        <w:rPr>
          <w:rFonts w:asciiTheme="minorHAnsi" w:hAnsiTheme="minorHAnsi" w:cstheme="minorHAnsi"/>
          <w:color w:val="auto"/>
        </w:rPr>
        <w:t xml:space="preserve">, </w:t>
      </w:r>
      <w:r w:rsidRPr="00BB6F06">
        <w:rPr>
          <w:rFonts w:asciiTheme="minorHAnsi" w:hAnsiTheme="minorHAnsi" w:cstheme="minorHAnsi"/>
          <w:color w:val="auto"/>
        </w:rPr>
        <w:t xml:space="preserve">Peter </w:t>
      </w:r>
      <w:r w:rsidR="00F355F6" w:rsidRPr="00BB6F06">
        <w:rPr>
          <w:rFonts w:asciiTheme="minorHAnsi" w:hAnsiTheme="minorHAnsi" w:cstheme="minorHAnsi"/>
          <w:color w:val="auto"/>
        </w:rPr>
        <w:t>Bacchetti</w:t>
      </w:r>
      <w:r w:rsidR="003850E8" w:rsidRPr="00BB6F06">
        <w:rPr>
          <w:rFonts w:asciiTheme="minorHAnsi" w:hAnsiTheme="minorHAnsi" w:cstheme="minorHAnsi"/>
          <w:color w:val="auto"/>
          <w:vertAlign w:val="superscript"/>
        </w:rPr>
        <w:t>2</w:t>
      </w:r>
      <w:r w:rsidR="00F355F6" w:rsidRPr="00BB6F06">
        <w:rPr>
          <w:rFonts w:asciiTheme="minorHAnsi" w:hAnsiTheme="minorHAnsi" w:cstheme="minorHAnsi"/>
          <w:color w:val="auto"/>
        </w:rPr>
        <w:t xml:space="preserve">, </w:t>
      </w:r>
      <w:r w:rsidRPr="00BB6F06">
        <w:rPr>
          <w:rFonts w:asciiTheme="minorHAnsi" w:hAnsiTheme="minorHAnsi" w:cstheme="minorHAnsi"/>
          <w:color w:val="auto"/>
        </w:rPr>
        <w:t xml:space="preserve">Monica </w:t>
      </w:r>
      <w:r w:rsidR="00802366" w:rsidRPr="00BB6F06">
        <w:rPr>
          <w:rFonts w:asciiTheme="minorHAnsi" w:hAnsiTheme="minorHAnsi" w:cstheme="minorHAnsi"/>
          <w:color w:val="auto"/>
        </w:rPr>
        <w:t>G</w:t>
      </w:r>
      <w:r w:rsidR="00BB687F" w:rsidRPr="00BB6F06">
        <w:rPr>
          <w:rFonts w:asciiTheme="minorHAnsi" w:hAnsiTheme="minorHAnsi" w:cstheme="minorHAnsi"/>
          <w:color w:val="auto"/>
        </w:rPr>
        <w:t>andhi</w:t>
      </w:r>
      <w:r w:rsidR="003850E8" w:rsidRPr="00BB6F06">
        <w:rPr>
          <w:rFonts w:asciiTheme="minorHAnsi" w:hAnsiTheme="minorHAnsi" w:cstheme="minorHAnsi"/>
          <w:color w:val="auto"/>
          <w:vertAlign w:val="superscript"/>
        </w:rPr>
        <w:t>3</w:t>
      </w:r>
      <w:r w:rsidR="00BB687F" w:rsidRPr="00BB6F06">
        <w:rPr>
          <w:rFonts w:asciiTheme="minorHAnsi" w:hAnsiTheme="minorHAnsi" w:cstheme="minorHAnsi"/>
          <w:color w:val="auto"/>
        </w:rPr>
        <w:t xml:space="preserve">, </w:t>
      </w:r>
      <w:r w:rsidRPr="00BB6F06">
        <w:rPr>
          <w:rFonts w:asciiTheme="minorHAnsi" w:hAnsiTheme="minorHAnsi" w:cstheme="minorHAnsi"/>
          <w:color w:val="auto"/>
        </w:rPr>
        <w:t xml:space="preserve">John </w:t>
      </w:r>
      <w:r w:rsidR="00BB687F" w:rsidRPr="00BB6F06">
        <w:rPr>
          <w:rFonts w:asciiTheme="minorHAnsi" w:hAnsiTheme="minorHAnsi" w:cstheme="minorHAnsi"/>
          <w:color w:val="auto"/>
        </w:rPr>
        <w:t>Metcalfe</w:t>
      </w:r>
      <w:r w:rsidR="003850E8" w:rsidRPr="00BB6F06">
        <w:rPr>
          <w:rFonts w:asciiTheme="minorHAnsi" w:hAnsiTheme="minorHAnsi" w:cstheme="minorHAnsi"/>
          <w:color w:val="auto"/>
          <w:vertAlign w:val="superscript"/>
        </w:rPr>
        <w:t>4</w:t>
      </w:r>
      <w:r w:rsidR="00BB687F" w:rsidRPr="00BB6F06">
        <w:rPr>
          <w:rFonts w:asciiTheme="minorHAnsi" w:hAnsiTheme="minorHAnsi" w:cstheme="minorHAnsi"/>
          <w:color w:val="auto"/>
        </w:rPr>
        <w:t xml:space="preserve">, </w:t>
      </w:r>
      <w:r w:rsidRPr="00BB6F06">
        <w:rPr>
          <w:rFonts w:asciiTheme="minorHAnsi" w:hAnsiTheme="minorHAnsi" w:cstheme="minorHAnsi"/>
          <w:color w:val="auto"/>
        </w:rPr>
        <w:t xml:space="preserve">Roy </w:t>
      </w:r>
      <w:r w:rsidR="00BB687F" w:rsidRPr="00BB6F06">
        <w:rPr>
          <w:rFonts w:asciiTheme="minorHAnsi" w:hAnsiTheme="minorHAnsi" w:cstheme="minorHAnsi"/>
          <w:color w:val="auto"/>
        </w:rPr>
        <w:t>Gerona</w:t>
      </w:r>
      <w:r w:rsidR="00BB687F" w:rsidRPr="00BB6F06">
        <w:rPr>
          <w:rFonts w:asciiTheme="minorHAnsi" w:hAnsiTheme="minorHAnsi" w:cstheme="minorHAnsi"/>
          <w:color w:val="auto"/>
          <w:vertAlign w:val="superscript"/>
        </w:rPr>
        <w:t>1</w:t>
      </w:r>
    </w:p>
    <w:p w14:paraId="1684105F" w14:textId="77777777" w:rsidR="00BB687F" w:rsidRPr="00BB6F06" w:rsidRDefault="00BB687F" w:rsidP="00BB6F06">
      <w:pPr>
        <w:rPr>
          <w:rFonts w:asciiTheme="minorHAnsi" w:hAnsiTheme="minorHAnsi" w:cstheme="minorHAnsi"/>
          <w:color w:val="auto"/>
        </w:rPr>
      </w:pPr>
    </w:p>
    <w:p w14:paraId="58A8D31B" w14:textId="77777777" w:rsidR="003850E8" w:rsidRPr="00BB6F06" w:rsidRDefault="00BB687F" w:rsidP="00BB6F06">
      <w:pPr>
        <w:rPr>
          <w:rFonts w:asciiTheme="minorHAnsi" w:hAnsiTheme="minorHAnsi" w:cstheme="minorHAnsi"/>
          <w:spacing w:val="-8"/>
        </w:rPr>
      </w:pPr>
      <w:r w:rsidRPr="00BB6F06">
        <w:rPr>
          <w:rFonts w:asciiTheme="minorHAnsi" w:hAnsiTheme="minorHAnsi" w:cstheme="minorHAnsi"/>
          <w:spacing w:val="-8"/>
          <w:vertAlign w:val="superscript"/>
        </w:rPr>
        <w:t>1</w:t>
      </w:r>
      <w:r w:rsidRPr="00BB6F06">
        <w:rPr>
          <w:rFonts w:asciiTheme="minorHAnsi" w:hAnsiTheme="minorHAnsi" w:cstheme="minorHAnsi"/>
          <w:spacing w:val="-8"/>
        </w:rPr>
        <w:t>Department of Obstetrics, Gynecology and Reproductive Sciences, TB Hair Analysis Laboratory, University of California, San Francisco</w:t>
      </w:r>
    </w:p>
    <w:p w14:paraId="116763AB" w14:textId="77777777" w:rsidR="003850E8" w:rsidRPr="00BB6F06" w:rsidRDefault="003850E8" w:rsidP="00BB6F06">
      <w:pPr>
        <w:rPr>
          <w:rFonts w:asciiTheme="minorHAnsi" w:hAnsiTheme="minorHAnsi" w:cstheme="minorHAnsi"/>
          <w:spacing w:val="-8"/>
        </w:rPr>
      </w:pPr>
    </w:p>
    <w:p w14:paraId="74105290" w14:textId="0C9341E8" w:rsidR="00BB687F" w:rsidRPr="00BB6F06" w:rsidRDefault="003850E8" w:rsidP="00BB6F06">
      <w:pPr>
        <w:rPr>
          <w:rFonts w:asciiTheme="minorHAnsi" w:hAnsiTheme="minorHAnsi" w:cstheme="minorHAnsi"/>
          <w:spacing w:val="-8"/>
        </w:rPr>
      </w:pPr>
      <w:r w:rsidRPr="00BB6F06">
        <w:rPr>
          <w:rFonts w:asciiTheme="minorHAnsi" w:hAnsiTheme="minorHAnsi" w:cstheme="minorHAnsi"/>
          <w:vertAlign w:val="superscript"/>
        </w:rPr>
        <w:t>2</w:t>
      </w:r>
      <w:r w:rsidRPr="00BB6F06">
        <w:rPr>
          <w:rFonts w:asciiTheme="minorHAnsi" w:hAnsiTheme="minorHAnsi" w:cstheme="minorHAnsi"/>
        </w:rPr>
        <w:t>Department of Epidemiology and Biostatistics, University of California San Francisco</w:t>
      </w:r>
      <w:r w:rsidR="00BB687F" w:rsidRPr="00BB6F06">
        <w:rPr>
          <w:rFonts w:asciiTheme="minorHAnsi" w:hAnsiTheme="minorHAnsi" w:cstheme="minorHAnsi"/>
          <w:spacing w:val="-8"/>
        </w:rPr>
        <w:t xml:space="preserve"> </w:t>
      </w:r>
    </w:p>
    <w:p w14:paraId="6FB0A811" w14:textId="77777777" w:rsidR="00BB687F" w:rsidRPr="00BB6F06" w:rsidRDefault="00BB687F" w:rsidP="00BB6F06">
      <w:pPr>
        <w:rPr>
          <w:rFonts w:asciiTheme="minorHAnsi" w:hAnsiTheme="minorHAnsi" w:cstheme="minorHAnsi"/>
          <w:spacing w:val="-8"/>
        </w:rPr>
      </w:pPr>
    </w:p>
    <w:p w14:paraId="00145EA8" w14:textId="37A5C51E" w:rsidR="00BB687F" w:rsidRPr="00BB6F06" w:rsidRDefault="003850E8" w:rsidP="00BB6F06">
      <w:pPr>
        <w:rPr>
          <w:rFonts w:asciiTheme="minorHAnsi" w:hAnsiTheme="minorHAnsi" w:cstheme="minorHAnsi"/>
        </w:rPr>
      </w:pPr>
      <w:r w:rsidRPr="00BB6F06">
        <w:rPr>
          <w:rFonts w:asciiTheme="minorHAnsi" w:hAnsiTheme="minorHAnsi" w:cstheme="minorHAnsi"/>
          <w:vertAlign w:val="superscript"/>
        </w:rPr>
        <w:t>3</w:t>
      </w:r>
      <w:r w:rsidR="00BB687F" w:rsidRPr="00BB6F06">
        <w:rPr>
          <w:rFonts w:asciiTheme="minorHAnsi" w:hAnsiTheme="minorHAnsi" w:cstheme="minorHAnsi"/>
        </w:rPr>
        <w:t>Department of Medicine, Division of HIV, Infectious Diseases, and Global Medicine, University of California San Francisco</w:t>
      </w:r>
    </w:p>
    <w:p w14:paraId="3A4271C7" w14:textId="77777777" w:rsidR="00BB687F" w:rsidRPr="00BB6F06" w:rsidRDefault="00BB687F" w:rsidP="00BB6F06">
      <w:pPr>
        <w:rPr>
          <w:rFonts w:asciiTheme="minorHAnsi" w:hAnsiTheme="minorHAnsi" w:cstheme="minorHAnsi"/>
        </w:rPr>
      </w:pPr>
    </w:p>
    <w:p w14:paraId="64E4E5D7" w14:textId="6D87D44E" w:rsidR="00BB687F" w:rsidRPr="00BB6F06" w:rsidRDefault="003850E8" w:rsidP="00BB6F06">
      <w:pPr>
        <w:rPr>
          <w:rFonts w:asciiTheme="minorHAnsi" w:hAnsiTheme="minorHAnsi" w:cstheme="minorHAnsi"/>
        </w:rPr>
      </w:pPr>
      <w:r w:rsidRPr="00BB6F06">
        <w:rPr>
          <w:rFonts w:asciiTheme="minorHAnsi" w:hAnsiTheme="minorHAnsi" w:cstheme="minorHAnsi"/>
          <w:vertAlign w:val="superscript"/>
        </w:rPr>
        <w:t>4</w:t>
      </w:r>
      <w:r w:rsidR="00BB687F" w:rsidRPr="00BB6F06">
        <w:rPr>
          <w:rFonts w:asciiTheme="minorHAnsi" w:hAnsiTheme="minorHAnsi" w:cstheme="minorHAnsi"/>
        </w:rPr>
        <w:t>Department of Medicine, Division of Pulmonary and Critical Care Medicine, University of California San Francisco</w:t>
      </w:r>
    </w:p>
    <w:p w14:paraId="2BB8CD05" w14:textId="77777777" w:rsidR="00C62863" w:rsidRPr="00BB6F06" w:rsidRDefault="00C62863" w:rsidP="00BB6F06">
      <w:pPr>
        <w:rPr>
          <w:rFonts w:asciiTheme="minorHAnsi" w:hAnsiTheme="minorHAnsi" w:cstheme="minorHAnsi"/>
        </w:rPr>
      </w:pPr>
    </w:p>
    <w:p w14:paraId="64B0FED2" w14:textId="0F75C8E2" w:rsidR="00C62863" w:rsidRPr="00BB6F06" w:rsidRDefault="00C62863" w:rsidP="00BB6F06">
      <w:pPr>
        <w:rPr>
          <w:rFonts w:asciiTheme="minorHAnsi" w:hAnsiTheme="minorHAnsi" w:cstheme="minorHAnsi"/>
          <w:bCs/>
          <w:color w:val="auto"/>
        </w:rPr>
      </w:pPr>
      <w:r w:rsidRPr="00BB6F06">
        <w:rPr>
          <w:rFonts w:asciiTheme="minorHAnsi" w:hAnsiTheme="minorHAnsi" w:cstheme="minorHAnsi"/>
          <w:bCs/>
          <w:color w:val="auto"/>
        </w:rPr>
        <w:t>Email addresses of co-authors:</w:t>
      </w:r>
    </w:p>
    <w:p w14:paraId="752CB8CB" w14:textId="646C25C3" w:rsidR="00C62863" w:rsidRPr="00BB6F06" w:rsidRDefault="00C62863" w:rsidP="00BB6F06">
      <w:pPr>
        <w:pStyle w:val="NormalWeb"/>
        <w:spacing w:before="0" w:beforeAutospacing="0" w:after="0" w:afterAutospacing="0"/>
        <w:rPr>
          <w:rFonts w:asciiTheme="minorHAnsi" w:hAnsiTheme="minorHAnsi" w:cstheme="minorHAnsi"/>
          <w:bCs/>
          <w:color w:val="auto"/>
        </w:rPr>
      </w:pPr>
      <w:r w:rsidRPr="00BB6F06">
        <w:rPr>
          <w:rFonts w:asciiTheme="minorHAnsi" w:hAnsiTheme="minorHAnsi" w:cstheme="minorHAnsi"/>
          <w:bCs/>
          <w:color w:val="auto"/>
        </w:rPr>
        <w:t xml:space="preserve">Andrew </w:t>
      </w:r>
      <w:proofErr w:type="spellStart"/>
      <w:r w:rsidRPr="00BB6F06">
        <w:rPr>
          <w:rFonts w:asciiTheme="minorHAnsi" w:hAnsiTheme="minorHAnsi" w:cstheme="minorHAnsi"/>
          <w:bCs/>
          <w:color w:val="auto"/>
        </w:rPr>
        <w:t>Reckers</w:t>
      </w:r>
      <w:proofErr w:type="spellEnd"/>
      <w:r w:rsidRPr="00BB6F06">
        <w:rPr>
          <w:rFonts w:asciiTheme="minorHAnsi" w:hAnsiTheme="minorHAnsi" w:cstheme="minorHAnsi"/>
          <w:bCs/>
          <w:color w:val="auto"/>
        </w:rPr>
        <w:tab/>
      </w:r>
      <w:r w:rsidRPr="00BB6F06">
        <w:rPr>
          <w:rFonts w:asciiTheme="minorHAnsi" w:hAnsiTheme="minorHAnsi" w:cstheme="minorHAnsi"/>
          <w:bCs/>
          <w:color w:val="auto"/>
        </w:rPr>
        <w:tab/>
        <w:t>(</w:t>
      </w:r>
      <w:r w:rsidRPr="00BB6F06">
        <w:rPr>
          <w:rFonts w:asciiTheme="minorHAnsi" w:hAnsiTheme="minorHAnsi" w:cstheme="minorHAnsi"/>
          <w:bCs/>
        </w:rPr>
        <w:t>Andrew.Reckers@ucsf.edu</w:t>
      </w:r>
      <w:r w:rsidRPr="00BB6F06">
        <w:rPr>
          <w:rFonts w:asciiTheme="minorHAnsi" w:hAnsiTheme="minorHAnsi" w:cstheme="minorHAnsi"/>
          <w:bCs/>
          <w:color w:val="auto"/>
        </w:rPr>
        <w:t>)</w:t>
      </w:r>
    </w:p>
    <w:p w14:paraId="67403636" w14:textId="74478834" w:rsidR="00C62863" w:rsidRPr="00BB6F06" w:rsidRDefault="00C62863" w:rsidP="00BB6F06">
      <w:pPr>
        <w:pStyle w:val="NormalWeb"/>
        <w:spacing w:before="0" w:beforeAutospacing="0" w:after="0" w:afterAutospacing="0"/>
        <w:rPr>
          <w:rFonts w:asciiTheme="minorHAnsi" w:hAnsiTheme="minorHAnsi" w:cstheme="minorHAnsi"/>
          <w:bCs/>
          <w:color w:val="auto"/>
        </w:rPr>
      </w:pPr>
      <w:r w:rsidRPr="00BB6F06">
        <w:rPr>
          <w:rFonts w:asciiTheme="minorHAnsi" w:hAnsiTheme="minorHAnsi" w:cstheme="minorHAnsi"/>
          <w:bCs/>
          <w:color w:val="auto"/>
        </w:rPr>
        <w:t>Anita Wen</w:t>
      </w:r>
      <w:r w:rsidRPr="00BB6F06">
        <w:rPr>
          <w:rFonts w:asciiTheme="minorHAnsi" w:hAnsiTheme="minorHAnsi" w:cstheme="minorHAnsi"/>
          <w:bCs/>
          <w:color w:val="auto"/>
        </w:rPr>
        <w:tab/>
      </w:r>
      <w:r w:rsidRPr="00BB6F06">
        <w:rPr>
          <w:rFonts w:asciiTheme="minorHAnsi" w:hAnsiTheme="minorHAnsi" w:cstheme="minorHAnsi"/>
          <w:bCs/>
          <w:color w:val="auto"/>
        </w:rPr>
        <w:tab/>
      </w:r>
      <w:r w:rsidRPr="00BB6F06">
        <w:rPr>
          <w:rFonts w:asciiTheme="minorHAnsi" w:hAnsiTheme="minorHAnsi" w:cstheme="minorHAnsi"/>
          <w:bCs/>
          <w:color w:val="auto"/>
        </w:rPr>
        <w:tab/>
        <w:t>(</w:t>
      </w:r>
      <w:r w:rsidR="004D3FC8" w:rsidRPr="00BB6F06">
        <w:rPr>
          <w:rFonts w:asciiTheme="minorHAnsi" w:hAnsiTheme="minorHAnsi" w:cstheme="minorHAnsi"/>
          <w:bCs/>
        </w:rPr>
        <w:t>anitawensci@gmail.com</w:t>
      </w:r>
      <w:r w:rsidRPr="00BB6F06">
        <w:rPr>
          <w:rFonts w:asciiTheme="minorHAnsi" w:hAnsiTheme="minorHAnsi" w:cstheme="minorHAnsi"/>
          <w:bCs/>
          <w:color w:val="auto"/>
        </w:rPr>
        <w:t>)</w:t>
      </w:r>
    </w:p>
    <w:p w14:paraId="441F40F1" w14:textId="6761A561" w:rsidR="00C62863" w:rsidRPr="00BB6F06" w:rsidRDefault="00C62863" w:rsidP="00BB6F06">
      <w:pPr>
        <w:pStyle w:val="NormalWeb"/>
        <w:spacing w:before="0" w:beforeAutospacing="0" w:after="0" w:afterAutospacing="0"/>
        <w:rPr>
          <w:rFonts w:asciiTheme="minorHAnsi" w:hAnsiTheme="minorHAnsi" w:cstheme="minorHAnsi"/>
          <w:bCs/>
          <w:color w:val="auto"/>
        </w:rPr>
      </w:pPr>
      <w:r w:rsidRPr="00BB6F06">
        <w:rPr>
          <w:rFonts w:asciiTheme="minorHAnsi" w:hAnsiTheme="minorHAnsi" w:cstheme="minorHAnsi"/>
          <w:bCs/>
          <w:color w:val="auto"/>
        </w:rPr>
        <w:t>David Aguilar</w:t>
      </w:r>
      <w:r w:rsidRPr="00BB6F06">
        <w:rPr>
          <w:rFonts w:asciiTheme="minorHAnsi" w:hAnsiTheme="minorHAnsi" w:cstheme="minorHAnsi"/>
          <w:bCs/>
          <w:color w:val="auto"/>
        </w:rPr>
        <w:tab/>
      </w:r>
      <w:r w:rsidRPr="00BB6F06">
        <w:rPr>
          <w:rFonts w:asciiTheme="minorHAnsi" w:hAnsiTheme="minorHAnsi" w:cstheme="minorHAnsi"/>
          <w:bCs/>
          <w:color w:val="auto"/>
        </w:rPr>
        <w:tab/>
      </w:r>
      <w:r w:rsidRPr="00BB6F06">
        <w:rPr>
          <w:rFonts w:asciiTheme="minorHAnsi" w:hAnsiTheme="minorHAnsi" w:cstheme="minorHAnsi"/>
          <w:bCs/>
          <w:color w:val="auto"/>
        </w:rPr>
        <w:tab/>
        <w:t>(</w:t>
      </w:r>
      <w:r w:rsidRPr="00BB6F06">
        <w:rPr>
          <w:rFonts w:asciiTheme="minorHAnsi" w:hAnsiTheme="minorHAnsi" w:cstheme="minorHAnsi"/>
          <w:bCs/>
        </w:rPr>
        <w:t>davidaguilartx@gmail.com</w:t>
      </w:r>
      <w:r w:rsidRPr="00BB6F06">
        <w:rPr>
          <w:rFonts w:asciiTheme="minorHAnsi" w:hAnsiTheme="minorHAnsi" w:cstheme="minorHAnsi"/>
          <w:bCs/>
          <w:color w:val="auto"/>
        </w:rPr>
        <w:t>)</w:t>
      </w:r>
    </w:p>
    <w:p w14:paraId="3F03D822" w14:textId="37D044DA" w:rsidR="0066392B" w:rsidRPr="00BB6F06" w:rsidRDefault="0066392B" w:rsidP="00BB6F06">
      <w:pPr>
        <w:pStyle w:val="NormalWeb"/>
        <w:spacing w:before="0" w:beforeAutospacing="0" w:after="0" w:afterAutospacing="0"/>
        <w:rPr>
          <w:rFonts w:asciiTheme="minorHAnsi" w:hAnsiTheme="minorHAnsi" w:cstheme="minorHAnsi"/>
          <w:bCs/>
          <w:color w:val="auto"/>
        </w:rPr>
      </w:pPr>
      <w:r w:rsidRPr="00BB6F06">
        <w:rPr>
          <w:rFonts w:asciiTheme="minorHAnsi" w:hAnsiTheme="minorHAnsi" w:cstheme="minorHAnsi"/>
          <w:bCs/>
          <w:color w:val="auto"/>
        </w:rPr>
        <w:t xml:space="preserve">Peter </w:t>
      </w:r>
      <w:proofErr w:type="spellStart"/>
      <w:r w:rsidRPr="00BB6F06">
        <w:rPr>
          <w:rFonts w:asciiTheme="minorHAnsi" w:hAnsiTheme="minorHAnsi" w:cstheme="minorHAnsi"/>
          <w:bCs/>
          <w:color w:val="auto"/>
        </w:rPr>
        <w:t>Bacchetti</w:t>
      </w:r>
      <w:proofErr w:type="spellEnd"/>
      <w:r w:rsidRPr="00BB6F06">
        <w:rPr>
          <w:rFonts w:asciiTheme="minorHAnsi" w:hAnsiTheme="minorHAnsi" w:cstheme="minorHAnsi"/>
          <w:bCs/>
          <w:color w:val="auto"/>
        </w:rPr>
        <w:tab/>
      </w:r>
      <w:r w:rsidRPr="00BB6F06">
        <w:rPr>
          <w:rFonts w:asciiTheme="minorHAnsi" w:hAnsiTheme="minorHAnsi" w:cstheme="minorHAnsi"/>
          <w:bCs/>
          <w:color w:val="auto"/>
        </w:rPr>
        <w:tab/>
        <w:t>(Peter.Bacchetti@ucsf.edu)</w:t>
      </w:r>
    </w:p>
    <w:p w14:paraId="26455FBA" w14:textId="77B9EAD5" w:rsidR="00C62863" w:rsidRPr="00BB6F06" w:rsidRDefault="00C62863" w:rsidP="00BB6F06">
      <w:pPr>
        <w:pStyle w:val="NormalWeb"/>
        <w:spacing w:before="0" w:beforeAutospacing="0" w:after="0" w:afterAutospacing="0"/>
        <w:rPr>
          <w:rFonts w:asciiTheme="minorHAnsi" w:hAnsiTheme="minorHAnsi" w:cstheme="minorHAnsi"/>
          <w:bCs/>
          <w:color w:val="auto"/>
        </w:rPr>
      </w:pPr>
      <w:r w:rsidRPr="00BB6F06">
        <w:rPr>
          <w:rFonts w:asciiTheme="minorHAnsi" w:hAnsiTheme="minorHAnsi" w:cstheme="minorHAnsi"/>
          <w:bCs/>
          <w:color w:val="auto"/>
        </w:rPr>
        <w:t>Monica Gandhi</w:t>
      </w:r>
      <w:r w:rsidRPr="00BB6F06">
        <w:rPr>
          <w:rFonts w:asciiTheme="minorHAnsi" w:hAnsiTheme="minorHAnsi" w:cstheme="minorHAnsi"/>
          <w:bCs/>
          <w:color w:val="auto"/>
        </w:rPr>
        <w:tab/>
      </w:r>
      <w:r w:rsidRPr="00BB6F06">
        <w:rPr>
          <w:rFonts w:asciiTheme="minorHAnsi" w:hAnsiTheme="minorHAnsi" w:cstheme="minorHAnsi"/>
          <w:bCs/>
          <w:color w:val="auto"/>
        </w:rPr>
        <w:tab/>
        <w:t>(</w:t>
      </w:r>
      <w:r w:rsidRPr="00BB6F06">
        <w:rPr>
          <w:rFonts w:asciiTheme="minorHAnsi" w:hAnsiTheme="minorHAnsi" w:cstheme="minorHAnsi"/>
          <w:bCs/>
        </w:rPr>
        <w:t>Monica.Gandhi@ucsf.edu</w:t>
      </w:r>
      <w:r w:rsidRPr="00BB6F06">
        <w:rPr>
          <w:rFonts w:asciiTheme="minorHAnsi" w:hAnsiTheme="minorHAnsi" w:cstheme="minorHAnsi"/>
          <w:bCs/>
          <w:color w:val="auto"/>
        </w:rPr>
        <w:t>)</w:t>
      </w:r>
    </w:p>
    <w:p w14:paraId="47FA8461" w14:textId="45E5E5BF" w:rsidR="00C62863" w:rsidRPr="00BB6F06" w:rsidRDefault="00C62863" w:rsidP="00BB6F06">
      <w:pPr>
        <w:pStyle w:val="NormalWeb"/>
        <w:spacing w:before="0" w:beforeAutospacing="0" w:after="0" w:afterAutospacing="0"/>
        <w:rPr>
          <w:rFonts w:asciiTheme="minorHAnsi" w:hAnsiTheme="minorHAnsi" w:cstheme="minorHAnsi"/>
          <w:bCs/>
          <w:color w:val="auto"/>
        </w:rPr>
      </w:pPr>
      <w:r w:rsidRPr="00BB6F06">
        <w:rPr>
          <w:rFonts w:asciiTheme="minorHAnsi" w:hAnsiTheme="minorHAnsi" w:cstheme="minorHAnsi"/>
          <w:bCs/>
          <w:color w:val="auto"/>
        </w:rPr>
        <w:t>John Metcalfe</w:t>
      </w:r>
      <w:r w:rsidRPr="00BB6F06">
        <w:rPr>
          <w:rFonts w:asciiTheme="minorHAnsi" w:hAnsiTheme="minorHAnsi" w:cstheme="minorHAnsi"/>
          <w:bCs/>
          <w:color w:val="auto"/>
        </w:rPr>
        <w:tab/>
      </w:r>
      <w:r w:rsidRPr="00BB6F06">
        <w:rPr>
          <w:rFonts w:asciiTheme="minorHAnsi" w:hAnsiTheme="minorHAnsi" w:cstheme="minorHAnsi"/>
          <w:bCs/>
          <w:color w:val="auto"/>
        </w:rPr>
        <w:tab/>
      </w:r>
      <w:r w:rsidRPr="00BB6F06">
        <w:rPr>
          <w:rFonts w:asciiTheme="minorHAnsi" w:hAnsiTheme="minorHAnsi" w:cstheme="minorHAnsi"/>
          <w:bCs/>
          <w:color w:val="auto"/>
        </w:rPr>
        <w:tab/>
        <w:t>(John.Metcalfe@ucsf.edu)</w:t>
      </w:r>
    </w:p>
    <w:p w14:paraId="4FBA4346" w14:textId="77777777" w:rsidR="00C62863" w:rsidRPr="00BB6F06" w:rsidRDefault="00C62863" w:rsidP="00BB6F06">
      <w:pPr>
        <w:rPr>
          <w:rFonts w:asciiTheme="minorHAnsi" w:hAnsiTheme="minorHAnsi" w:cstheme="minorHAnsi"/>
          <w:bCs/>
          <w:color w:val="auto"/>
        </w:rPr>
      </w:pPr>
    </w:p>
    <w:p w14:paraId="37B3B444" w14:textId="77777777" w:rsidR="00C62863" w:rsidRPr="00BB6F06" w:rsidRDefault="00C62863" w:rsidP="00BB6F06">
      <w:pPr>
        <w:rPr>
          <w:rFonts w:asciiTheme="minorHAnsi" w:hAnsiTheme="minorHAnsi" w:cstheme="minorHAnsi"/>
          <w:bCs/>
          <w:color w:val="auto"/>
        </w:rPr>
      </w:pPr>
      <w:r w:rsidRPr="00BB6F06">
        <w:rPr>
          <w:rFonts w:asciiTheme="minorHAnsi" w:hAnsiTheme="minorHAnsi" w:cstheme="minorHAnsi"/>
          <w:bCs/>
          <w:color w:val="auto"/>
        </w:rPr>
        <w:t xml:space="preserve">Corresponding author: </w:t>
      </w:r>
    </w:p>
    <w:p w14:paraId="04175465" w14:textId="56A52D9E" w:rsidR="00C62863" w:rsidRPr="00BB6F06" w:rsidRDefault="00C62863" w:rsidP="00BB6F06">
      <w:pPr>
        <w:rPr>
          <w:rFonts w:asciiTheme="minorHAnsi" w:hAnsiTheme="minorHAnsi" w:cstheme="minorHAnsi"/>
          <w:bCs/>
          <w:color w:val="auto"/>
        </w:rPr>
      </w:pPr>
      <w:r w:rsidRPr="00BB6F06">
        <w:rPr>
          <w:rFonts w:asciiTheme="minorHAnsi" w:hAnsiTheme="minorHAnsi" w:cstheme="minorHAnsi"/>
          <w:bCs/>
          <w:color w:val="auto"/>
        </w:rPr>
        <w:t>Roy Gerona</w:t>
      </w:r>
      <w:r w:rsidRPr="00BB6F06">
        <w:rPr>
          <w:rFonts w:asciiTheme="minorHAnsi" w:hAnsiTheme="minorHAnsi" w:cstheme="minorHAnsi"/>
          <w:bCs/>
          <w:color w:val="auto"/>
        </w:rPr>
        <w:tab/>
      </w:r>
      <w:r w:rsidRPr="00BB6F06">
        <w:rPr>
          <w:rFonts w:asciiTheme="minorHAnsi" w:hAnsiTheme="minorHAnsi" w:cstheme="minorHAnsi"/>
          <w:bCs/>
          <w:color w:val="auto"/>
        </w:rPr>
        <w:tab/>
      </w:r>
      <w:r w:rsidRPr="00BB6F06">
        <w:rPr>
          <w:rFonts w:asciiTheme="minorHAnsi" w:hAnsiTheme="minorHAnsi" w:cstheme="minorHAnsi"/>
          <w:bCs/>
          <w:color w:val="auto"/>
        </w:rPr>
        <w:tab/>
        <w:t>(Roy.Gerona@ucsf.edu)</w:t>
      </w:r>
    </w:p>
    <w:p w14:paraId="60FCB589" w14:textId="42D11221" w:rsidR="00D04A95" w:rsidRPr="00BB6F06" w:rsidRDefault="00D04A95" w:rsidP="00BB6F06">
      <w:pPr>
        <w:rPr>
          <w:rFonts w:asciiTheme="minorHAnsi" w:hAnsiTheme="minorHAnsi" w:cstheme="minorHAnsi"/>
          <w:bCs/>
          <w:color w:val="808080" w:themeColor="background1" w:themeShade="80"/>
        </w:rPr>
      </w:pPr>
    </w:p>
    <w:p w14:paraId="71B79AC9" w14:textId="3D77F05D" w:rsidR="006305D7" w:rsidRPr="00BB6F06" w:rsidRDefault="006305D7" w:rsidP="00BB6F06">
      <w:pPr>
        <w:pStyle w:val="NormalWeb"/>
        <w:spacing w:before="0" w:beforeAutospacing="0" w:after="0" w:afterAutospacing="0"/>
        <w:rPr>
          <w:rFonts w:asciiTheme="minorHAnsi" w:hAnsiTheme="minorHAnsi" w:cstheme="minorHAnsi"/>
        </w:rPr>
      </w:pPr>
      <w:r w:rsidRPr="00BB6F06">
        <w:rPr>
          <w:rFonts w:asciiTheme="minorHAnsi" w:hAnsiTheme="minorHAnsi" w:cstheme="minorHAnsi"/>
          <w:b/>
          <w:bCs/>
        </w:rPr>
        <w:t>KEYWORDS:</w:t>
      </w:r>
      <w:r w:rsidRPr="00BB6F06">
        <w:rPr>
          <w:rFonts w:asciiTheme="minorHAnsi" w:hAnsiTheme="minorHAnsi" w:cstheme="minorHAnsi"/>
        </w:rPr>
        <w:t xml:space="preserve"> </w:t>
      </w:r>
    </w:p>
    <w:p w14:paraId="6C0B0781" w14:textId="1B6B3A4B" w:rsidR="007A4DD6" w:rsidRPr="00BB6F06" w:rsidRDefault="009912E8" w:rsidP="00BB6F06">
      <w:pPr>
        <w:rPr>
          <w:rFonts w:asciiTheme="minorHAnsi" w:hAnsiTheme="minorHAnsi" w:cstheme="minorHAnsi"/>
          <w:color w:val="auto"/>
        </w:rPr>
      </w:pPr>
      <w:r w:rsidRPr="00BB6F06">
        <w:rPr>
          <w:rFonts w:asciiTheme="minorHAnsi" w:hAnsiTheme="minorHAnsi" w:cstheme="minorHAnsi"/>
          <w:color w:val="auto"/>
        </w:rPr>
        <w:t>LC-MS/MS, MDR-TB drugs, Hair analysis, Adherence monitoring</w:t>
      </w:r>
      <w:r w:rsidR="005410BA" w:rsidRPr="00BB6F06">
        <w:rPr>
          <w:rFonts w:asciiTheme="minorHAnsi" w:hAnsiTheme="minorHAnsi" w:cstheme="minorHAnsi"/>
          <w:color w:val="auto"/>
        </w:rPr>
        <w:t>, Therapeutic drug monitoring, Drug-resistant TB</w:t>
      </w:r>
    </w:p>
    <w:p w14:paraId="1CB4E390" w14:textId="77777777" w:rsidR="006305D7" w:rsidRPr="00BB6F06" w:rsidRDefault="006305D7" w:rsidP="00BB6F06">
      <w:pPr>
        <w:pStyle w:val="NormalWeb"/>
        <w:spacing w:before="0" w:beforeAutospacing="0" w:after="0" w:afterAutospacing="0"/>
        <w:rPr>
          <w:rFonts w:asciiTheme="minorHAnsi" w:hAnsiTheme="minorHAnsi" w:cstheme="minorHAnsi"/>
        </w:rPr>
      </w:pPr>
    </w:p>
    <w:p w14:paraId="628AC4B5" w14:textId="3F5DF000" w:rsidR="006305D7" w:rsidRPr="00BB6F06" w:rsidRDefault="00086FF5" w:rsidP="00BB6F06">
      <w:pPr>
        <w:rPr>
          <w:rFonts w:asciiTheme="minorHAnsi" w:hAnsiTheme="minorHAnsi" w:cstheme="minorHAnsi"/>
        </w:rPr>
      </w:pPr>
      <w:r w:rsidRPr="00BB6F06">
        <w:rPr>
          <w:rFonts w:asciiTheme="minorHAnsi" w:hAnsiTheme="minorHAnsi" w:cstheme="minorHAnsi"/>
          <w:b/>
          <w:bCs/>
        </w:rPr>
        <w:t>SUMMARY</w:t>
      </w:r>
      <w:r w:rsidR="006305D7" w:rsidRPr="00BB6F06">
        <w:rPr>
          <w:rFonts w:asciiTheme="minorHAnsi" w:hAnsiTheme="minorHAnsi" w:cstheme="minorHAnsi"/>
          <w:b/>
          <w:bCs/>
        </w:rPr>
        <w:t>:</w:t>
      </w:r>
      <w:r w:rsidR="006305D7" w:rsidRPr="00BB6F06">
        <w:rPr>
          <w:rFonts w:asciiTheme="minorHAnsi" w:hAnsiTheme="minorHAnsi" w:cstheme="minorHAnsi"/>
        </w:rPr>
        <w:t xml:space="preserve"> </w:t>
      </w:r>
    </w:p>
    <w:p w14:paraId="599D7EF7" w14:textId="01183BDC" w:rsidR="007007E2" w:rsidRPr="00BB6F06" w:rsidRDefault="007007E2" w:rsidP="00BB6F06">
      <w:pPr>
        <w:rPr>
          <w:rFonts w:asciiTheme="minorHAnsi" w:hAnsiTheme="minorHAnsi" w:cstheme="minorHAnsi"/>
          <w:color w:val="auto"/>
        </w:rPr>
      </w:pPr>
      <w:r w:rsidRPr="00BB6F06">
        <w:rPr>
          <w:rFonts w:asciiTheme="minorHAnsi" w:hAnsiTheme="minorHAnsi" w:cstheme="minorHAnsi"/>
          <w:color w:val="auto"/>
        </w:rPr>
        <w:t xml:space="preserve">Current methods of analyzing patients’ adherence to complex </w:t>
      </w:r>
      <w:r w:rsidR="00461349" w:rsidRPr="00BB6F06">
        <w:rPr>
          <w:rFonts w:asciiTheme="minorHAnsi" w:hAnsiTheme="minorHAnsi" w:cstheme="minorHAnsi"/>
          <w:color w:val="auto"/>
        </w:rPr>
        <w:t>drug resistant-</w:t>
      </w:r>
      <w:r w:rsidR="00FE44D1" w:rsidRPr="00BB6F06">
        <w:rPr>
          <w:rFonts w:asciiTheme="minorHAnsi" w:hAnsiTheme="minorHAnsi" w:cstheme="minorHAnsi"/>
          <w:color w:val="auto"/>
        </w:rPr>
        <w:t>tuberculosis</w:t>
      </w:r>
      <w:r w:rsidR="00461349" w:rsidRPr="00BB6F06">
        <w:rPr>
          <w:rFonts w:asciiTheme="minorHAnsi" w:hAnsiTheme="minorHAnsi" w:cstheme="minorHAnsi"/>
          <w:color w:val="auto"/>
        </w:rPr>
        <w:t xml:space="preserve"> (DR-TB) </w:t>
      </w:r>
      <w:r w:rsidRPr="00BB6F06">
        <w:rPr>
          <w:rFonts w:asciiTheme="minorHAnsi" w:hAnsiTheme="minorHAnsi" w:cstheme="minorHAnsi"/>
          <w:color w:val="auto"/>
        </w:rPr>
        <w:t xml:space="preserve">regimens can be </w:t>
      </w:r>
      <w:r w:rsidR="00A24669" w:rsidRPr="00BB6F06">
        <w:rPr>
          <w:rFonts w:asciiTheme="minorHAnsi" w:hAnsiTheme="minorHAnsi" w:cstheme="minorHAnsi"/>
          <w:color w:val="auto"/>
        </w:rPr>
        <w:t xml:space="preserve">inaccurate </w:t>
      </w:r>
      <w:r w:rsidRPr="00BB6F06">
        <w:rPr>
          <w:rFonts w:asciiTheme="minorHAnsi" w:hAnsiTheme="minorHAnsi" w:cstheme="minorHAnsi"/>
          <w:color w:val="auto"/>
        </w:rPr>
        <w:t>and resource-intensive. Our method analyzes</w:t>
      </w:r>
      <w:r w:rsidR="009912E8" w:rsidRPr="00BB6F06">
        <w:rPr>
          <w:rFonts w:asciiTheme="minorHAnsi" w:hAnsiTheme="minorHAnsi" w:cstheme="minorHAnsi"/>
          <w:color w:val="auto"/>
        </w:rPr>
        <w:t xml:space="preserve"> </w:t>
      </w:r>
      <w:r w:rsidRPr="00BB6F06">
        <w:rPr>
          <w:rFonts w:asciiTheme="minorHAnsi" w:hAnsiTheme="minorHAnsi" w:cstheme="minorHAnsi"/>
          <w:color w:val="auto"/>
        </w:rPr>
        <w:t>hair, an easily collected and stored matrix, for</w:t>
      </w:r>
      <w:r w:rsidR="00A24669" w:rsidRPr="00BB6F06">
        <w:rPr>
          <w:rFonts w:asciiTheme="minorHAnsi" w:hAnsiTheme="minorHAnsi" w:cstheme="minorHAnsi"/>
          <w:color w:val="auto"/>
        </w:rPr>
        <w:t xml:space="preserve"> concentrations of</w:t>
      </w:r>
      <w:r w:rsidRPr="00BB6F06">
        <w:rPr>
          <w:rFonts w:asciiTheme="minorHAnsi" w:hAnsiTheme="minorHAnsi" w:cstheme="minorHAnsi"/>
          <w:color w:val="auto"/>
        </w:rPr>
        <w:t xml:space="preserve"> 11 </w:t>
      </w:r>
      <w:r w:rsidR="009912E8" w:rsidRPr="00BB6F06">
        <w:rPr>
          <w:rFonts w:asciiTheme="minorHAnsi" w:hAnsiTheme="minorHAnsi" w:cstheme="minorHAnsi"/>
          <w:color w:val="auto"/>
        </w:rPr>
        <w:t>DR-TB</w:t>
      </w:r>
      <w:r w:rsidRPr="00BB6F06">
        <w:rPr>
          <w:rFonts w:asciiTheme="minorHAnsi" w:hAnsiTheme="minorHAnsi" w:cstheme="minorHAnsi"/>
          <w:color w:val="auto"/>
        </w:rPr>
        <w:t xml:space="preserve"> medications. Using LC-MS/MS, we can determine sub-nanogram</w:t>
      </w:r>
      <w:r w:rsidR="009912E8" w:rsidRPr="00BB6F06">
        <w:rPr>
          <w:rFonts w:asciiTheme="minorHAnsi" w:hAnsiTheme="minorHAnsi" w:cstheme="minorHAnsi"/>
          <w:color w:val="auto"/>
        </w:rPr>
        <w:t xml:space="preserve"> </w:t>
      </w:r>
      <w:r w:rsidRPr="00BB6F06">
        <w:rPr>
          <w:rFonts w:asciiTheme="minorHAnsi" w:hAnsiTheme="minorHAnsi" w:cstheme="minorHAnsi"/>
          <w:color w:val="auto"/>
        </w:rPr>
        <w:t>drug</w:t>
      </w:r>
      <w:r w:rsidR="009912E8" w:rsidRPr="00BB6F06">
        <w:rPr>
          <w:rFonts w:asciiTheme="minorHAnsi" w:hAnsiTheme="minorHAnsi" w:cstheme="minorHAnsi"/>
          <w:color w:val="auto"/>
        </w:rPr>
        <w:t xml:space="preserve"> levels </w:t>
      </w:r>
      <w:r w:rsidR="00461349" w:rsidRPr="00BB6F06">
        <w:rPr>
          <w:rFonts w:asciiTheme="minorHAnsi" w:hAnsiTheme="minorHAnsi" w:cstheme="minorHAnsi"/>
          <w:color w:val="auto"/>
        </w:rPr>
        <w:t>that can be utilized</w:t>
      </w:r>
      <w:r w:rsidRPr="00BB6F06">
        <w:rPr>
          <w:rFonts w:asciiTheme="minorHAnsi" w:hAnsiTheme="minorHAnsi" w:cstheme="minorHAnsi"/>
          <w:color w:val="auto"/>
        </w:rPr>
        <w:t xml:space="preserve"> </w:t>
      </w:r>
      <w:r w:rsidR="004200A3" w:rsidRPr="00BB6F06">
        <w:rPr>
          <w:rFonts w:asciiTheme="minorHAnsi" w:hAnsiTheme="minorHAnsi" w:cstheme="minorHAnsi"/>
          <w:color w:val="auto"/>
        </w:rPr>
        <w:t>to</w:t>
      </w:r>
      <w:r w:rsidRPr="00BB6F06">
        <w:rPr>
          <w:rFonts w:asciiTheme="minorHAnsi" w:hAnsiTheme="minorHAnsi" w:cstheme="minorHAnsi"/>
          <w:color w:val="auto"/>
        </w:rPr>
        <w:t xml:space="preserve"> better understand drug adherence. </w:t>
      </w:r>
    </w:p>
    <w:p w14:paraId="761028D6" w14:textId="77777777" w:rsidR="006305D7" w:rsidRPr="00BB6F06" w:rsidRDefault="006305D7" w:rsidP="00BB6F06">
      <w:pPr>
        <w:rPr>
          <w:rFonts w:asciiTheme="minorHAnsi" w:hAnsiTheme="minorHAnsi" w:cstheme="minorHAnsi"/>
        </w:rPr>
      </w:pPr>
    </w:p>
    <w:p w14:paraId="64FB8590" w14:textId="215A3D0F" w:rsidR="006305D7" w:rsidRPr="00BB6F06" w:rsidRDefault="006305D7" w:rsidP="00BB6F06">
      <w:pPr>
        <w:rPr>
          <w:rFonts w:asciiTheme="minorHAnsi" w:hAnsiTheme="minorHAnsi" w:cstheme="minorHAnsi"/>
          <w:color w:val="808080"/>
        </w:rPr>
      </w:pPr>
      <w:r w:rsidRPr="00BB6F06">
        <w:rPr>
          <w:rFonts w:asciiTheme="minorHAnsi" w:hAnsiTheme="minorHAnsi" w:cstheme="minorHAnsi"/>
          <w:b/>
          <w:bCs/>
        </w:rPr>
        <w:t>ABSTRACT</w:t>
      </w:r>
    </w:p>
    <w:p w14:paraId="1ECDA896" w14:textId="19C93127" w:rsidR="007007E2" w:rsidRPr="00BB6F06" w:rsidRDefault="00091256" w:rsidP="00BB6F06">
      <w:pPr>
        <w:rPr>
          <w:rFonts w:asciiTheme="minorHAnsi" w:hAnsiTheme="minorHAnsi" w:cstheme="minorHAnsi"/>
          <w:color w:val="auto"/>
        </w:rPr>
      </w:pPr>
      <w:r w:rsidRPr="00BB6F06">
        <w:rPr>
          <w:rFonts w:asciiTheme="minorHAnsi" w:hAnsiTheme="minorHAnsi" w:cstheme="minorHAnsi"/>
          <w:color w:val="auto"/>
        </w:rPr>
        <w:t>Drug</w:t>
      </w:r>
      <w:r w:rsidR="002B4D0D" w:rsidRPr="00BB6F06">
        <w:rPr>
          <w:rFonts w:asciiTheme="minorHAnsi" w:hAnsiTheme="minorHAnsi" w:cstheme="minorHAnsi"/>
          <w:color w:val="auto"/>
        </w:rPr>
        <w:t xml:space="preserve"> </w:t>
      </w:r>
      <w:r w:rsidR="007007E2" w:rsidRPr="00BB6F06">
        <w:rPr>
          <w:rFonts w:asciiTheme="minorHAnsi" w:hAnsiTheme="minorHAnsi" w:cstheme="minorHAnsi"/>
          <w:color w:val="auto"/>
        </w:rPr>
        <w:t>resistant</w:t>
      </w:r>
      <w:r w:rsidR="00461349" w:rsidRPr="00BB6F06">
        <w:rPr>
          <w:rFonts w:asciiTheme="minorHAnsi" w:hAnsiTheme="minorHAnsi" w:cstheme="minorHAnsi"/>
          <w:color w:val="auto"/>
        </w:rPr>
        <w:t>-</w:t>
      </w:r>
      <w:r w:rsidR="002B4D0D" w:rsidRPr="00BB6F06">
        <w:rPr>
          <w:rFonts w:asciiTheme="minorHAnsi" w:hAnsiTheme="minorHAnsi" w:cstheme="minorHAnsi"/>
          <w:color w:val="auto"/>
        </w:rPr>
        <w:t>tuberculosis (</w:t>
      </w:r>
      <w:r w:rsidRPr="00BB6F06">
        <w:rPr>
          <w:rFonts w:asciiTheme="minorHAnsi" w:hAnsiTheme="minorHAnsi" w:cstheme="minorHAnsi"/>
          <w:color w:val="auto"/>
        </w:rPr>
        <w:t>D</w:t>
      </w:r>
      <w:r w:rsidR="002B4D0D" w:rsidRPr="00BB6F06">
        <w:rPr>
          <w:rFonts w:asciiTheme="minorHAnsi" w:hAnsiTheme="minorHAnsi" w:cstheme="minorHAnsi"/>
          <w:color w:val="auto"/>
        </w:rPr>
        <w:t>R-</w:t>
      </w:r>
      <w:r w:rsidR="007007E2" w:rsidRPr="00BB6F06">
        <w:rPr>
          <w:rFonts w:asciiTheme="minorHAnsi" w:hAnsiTheme="minorHAnsi" w:cstheme="minorHAnsi"/>
          <w:color w:val="auto"/>
        </w:rPr>
        <w:t>TB</w:t>
      </w:r>
      <w:r w:rsidR="002B4D0D" w:rsidRPr="00BB6F06">
        <w:rPr>
          <w:rFonts w:asciiTheme="minorHAnsi" w:hAnsiTheme="minorHAnsi" w:cstheme="minorHAnsi"/>
          <w:color w:val="auto"/>
        </w:rPr>
        <w:t>)</w:t>
      </w:r>
      <w:r w:rsidR="007007E2" w:rsidRPr="00BB6F06">
        <w:rPr>
          <w:rFonts w:asciiTheme="minorHAnsi" w:hAnsiTheme="minorHAnsi" w:cstheme="minorHAnsi"/>
          <w:color w:val="auto"/>
        </w:rPr>
        <w:t xml:space="preserve"> </w:t>
      </w:r>
      <w:r w:rsidR="002B4D0D" w:rsidRPr="00BB6F06">
        <w:rPr>
          <w:rFonts w:asciiTheme="minorHAnsi" w:hAnsiTheme="minorHAnsi" w:cstheme="minorHAnsi"/>
          <w:color w:val="auto"/>
        </w:rPr>
        <w:t xml:space="preserve">is </w:t>
      </w:r>
      <w:r w:rsidR="007007E2" w:rsidRPr="00BB6F06">
        <w:rPr>
          <w:rFonts w:asciiTheme="minorHAnsi" w:hAnsiTheme="minorHAnsi" w:cstheme="minorHAnsi"/>
          <w:color w:val="auto"/>
        </w:rPr>
        <w:t xml:space="preserve">a growing public health threat, </w:t>
      </w:r>
      <w:r w:rsidR="00A76C13" w:rsidRPr="00BB6F06">
        <w:rPr>
          <w:rFonts w:asciiTheme="minorHAnsi" w:hAnsiTheme="minorHAnsi" w:cstheme="minorHAnsi"/>
          <w:color w:val="auto"/>
        </w:rPr>
        <w:t>and</w:t>
      </w:r>
      <w:r w:rsidR="007007E2" w:rsidRPr="00BB6F06">
        <w:rPr>
          <w:rFonts w:asciiTheme="minorHAnsi" w:hAnsiTheme="minorHAnsi" w:cstheme="minorHAnsi"/>
          <w:color w:val="auto"/>
        </w:rPr>
        <w:t xml:space="preserve"> assess</w:t>
      </w:r>
      <w:r w:rsidR="00A76C13" w:rsidRPr="00BB6F06">
        <w:rPr>
          <w:rFonts w:asciiTheme="minorHAnsi" w:hAnsiTheme="minorHAnsi" w:cstheme="minorHAnsi"/>
          <w:color w:val="auto"/>
        </w:rPr>
        <w:t>ment of</w:t>
      </w:r>
      <w:r w:rsidR="007007E2" w:rsidRPr="00BB6F06">
        <w:rPr>
          <w:rFonts w:asciiTheme="minorHAnsi" w:hAnsiTheme="minorHAnsi" w:cstheme="minorHAnsi"/>
          <w:color w:val="auto"/>
        </w:rPr>
        <w:t xml:space="preserve"> therapeutic drug levels </w:t>
      </w:r>
      <w:r w:rsidR="00A76C13" w:rsidRPr="00BB6F06">
        <w:rPr>
          <w:rFonts w:asciiTheme="minorHAnsi" w:hAnsiTheme="minorHAnsi" w:cstheme="minorHAnsi"/>
          <w:color w:val="auto"/>
        </w:rPr>
        <w:t xml:space="preserve">may have </w:t>
      </w:r>
      <w:r w:rsidR="002B4D0D" w:rsidRPr="00BB6F06">
        <w:rPr>
          <w:rFonts w:asciiTheme="minorHAnsi" w:hAnsiTheme="minorHAnsi" w:cstheme="minorHAnsi"/>
          <w:color w:val="auto"/>
        </w:rPr>
        <w:t xml:space="preserve">important </w:t>
      </w:r>
      <w:r w:rsidR="00A76C13" w:rsidRPr="00BB6F06">
        <w:rPr>
          <w:rFonts w:asciiTheme="minorHAnsi" w:hAnsiTheme="minorHAnsi" w:cstheme="minorHAnsi"/>
          <w:color w:val="auto"/>
        </w:rPr>
        <w:t>clinical benefit</w:t>
      </w:r>
      <w:r w:rsidR="002B4D0D" w:rsidRPr="00BB6F06">
        <w:rPr>
          <w:rFonts w:asciiTheme="minorHAnsi" w:hAnsiTheme="minorHAnsi" w:cstheme="minorHAnsi"/>
          <w:color w:val="auto"/>
        </w:rPr>
        <w:t>s</w:t>
      </w:r>
      <w:r w:rsidR="007007E2" w:rsidRPr="00BB6F06">
        <w:rPr>
          <w:rFonts w:asciiTheme="minorHAnsi" w:hAnsiTheme="minorHAnsi" w:cstheme="minorHAnsi"/>
          <w:color w:val="auto"/>
        </w:rPr>
        <w:t xml:space="preserve">. </w:t>
      </w:r>
      <w:r w:rsidR="002B4D0D" w:rsidRPr="00BB6F06">
        <w:rPr>
          <w:rFonts w:asciiTheme="minorHAnsi" w:hAnsiTheme="minorHAnsi" w:cstheme="minorHAnsi"/>
          <w:bCs/>
          <w:color w:val="auto"/>
        </w:rPr>
        <w:t xml:space="preserve">Plasma drug levels are the current </w:t>
      </w:r>
      <w:r w:rsidR="002B4D0D" w:rsidRPr="00BB6F06">
        <w:rPr>
          <w:rFonts w:asciiTheme="minorHAnsi" w:hAnsiTheme="minorHAnsi" w:cstheme="minorHAnsi"/>
          <w:bCs/>
          <w:color w:val="auto"/>
        </w:rPr>
        <w:lastRenderedPageBreak/>
        <w:t xml:space="preserve">gold standard assessment, but require phlebotomy and a cold chain, and </w:t>
      </w:r>
      <w:r w:rsidR="00461123" w:rsidRPr="00BB6F06">
        <w:rPr>
          <w:rFonts w:asciiTheme="minorHAnsi" w:hAnsiTheme="minorHAnsi" w:cstheme="minorHAnsi"/>
          <w:color w:val="auto"/>
        </w:rPr>
        <w:t>capture</w:t>
      </w:r>
      <w:r w:rsidR="007007E2" w:rsidRPr="00BB6F06">
        <w:rPr>
          <w:rFonts w:asciiTheme="minorHAnsi" w:hAnsiTheme="minorHAnsi" w:cstheme="minorHAnsi"/>
          <w:color w:val="auto"/>
        </w:rPr>
        <w:t xml:space="preserve"> only very recent adherence. Our method uses hair,</w:t>
      </w:r>
      <w:r w:rsidR="00461123" w:rsidRPr="00BB6F06">
        <w:rPr>
          <w:rFonts w:asciiTheme="minorHAnsi" w:hAnsiTheme="minorHAnsi" w:cstheme="minorHAnsi"/>
          <w:color w:val="auto"/>
        </w:rPr>
        <w:t xml:space="preserve"> a matrix that is easi</w:t>
      </w:r>
      <w:r w:rsidRPr="00BB6F06">
        <w:rPr>
          <w:rFonts w:asciiTheme="minorHAnsi" w:hAnsiTheme="minorHAnsi" w:cstheme="minorHAnsi"/>
          <w:color w:val="auto"/>
        </w:rPr>
        <w:t>ly</w:t>
      </w:r>
      <w:r w:rsidR="007007E2" w:rsidRPr="00BB6F06">
        <w:rPr>
          <w:rFonts w:asciiTheme="minorHAnsi" w:hAnsiTheme="minorHAnsi" w:cstheme="minorHAnsi"/>
          <w:color w:val="auto"/>
        </w:rPr>
        <w:t xml:space="preserve"> collect</w:t>
      </w:r>
      <w:r w:rsidRPr="00BB6F06">
        <w:rPr>
          <w:rFonts w:asciiTheme="minorHAnsi" w:hAnsiTheme="minorHAnsi" w:cstheme="minorHAnsi"/>
          <w:color w:val="auto"/>
        </w:rPr>
        <w:t>ed</w:t>
      </w:r>
      <w:r w:rsidR="007007E2" w:rsidRPr="00BB6F06">
        <w:rPr>
          <w:rFonts w:asciiTheme="minorHAnsi" w:hAnsiTheme="minorHAnsi" w:cstheme="minorHAnsi"/>
          <w:color w:val="auto"/>
        </w:rPr>
        <w:t xml:space="preserve"> and </w:t>
      </w:r>
      <w:r w:rsidRPr="00BB6F06">
        <w:rPr>
          <w:rFonts w:asciiTheme="minorHAnsi" w:hAnsiTheme="minorHAnsi" w:cstheme="minorHAnsi"/>
          <w:color w:val="auto"/>
        </w:rPr>
        <w:t>reflective</w:t>
      </w:r>
      <w:r w:rsidR="007007E2" w:rsidRPr="00BB6F06">
        <w:rPr>
          <w:rFonts w:asciiTheme="minorHAnsi" w:hAnsiTheme="minorHAnsi" w:cstheme="minorHAnsi"/>
          <w:color w:val="auto"/>
        </w:rPr>
        <w:t xml:space="preserve"> of </w:t>
      </w:r>
      <w:r w:rsidR="00461123" w:rsidRPr="00BB6F06">
        <w:rPr>
          <w:rFonts w:asciiTheme="minorHAnsi" w:hAnsiTheme="minorHAnsi" w:cstheme="minorHAnsi"/>
          <w:color w:val="auto"/>
        </w:rPr>
        <w:t>long</w:t>
      </w:r>
      <w:r w:rsidRPr="00BB6F06">
        <w:rPr>
          <w:rFonts w:asciiTheme="minorHAnsi" w:hAnsiTheme="minorHAnsi" w:cstheme="minorHAnsi"/>
          <w:color w:val="auto"/>
        </w:rPr>
        <w:t>-t</w:t>
      </w:r>
      <w:r w:rsidR="00461123" w:rsidRPr="00BB6F06">
        <w:rPr>
          <w:rFonts w:asciiTheme="minorHAnsi" w:hAnsiTheme="minorHAnsi" w:cstheme="minorHAnsi"/>
          <w:color w:val="auto"/>
        </w:rPr>
        <w:t>erm</w:t>
      </w:r>
      <w:r w:rsidR="007007E2" w:rsidRPr="00BB6F06">
        <w:rPr>
          <w:rFonts w:asciiTheme="minorHAnsi" w:hAnsiTheme="minorHAnsi" w:cstheme="minorHAnsi"/>
          <w:color w:val="auto"/>
        </w:rPr>
        <w:t xml:space="preserve"> adherence, to test for 11 </w:t>
      </w:r>
      <w:r w:rsidRPr="00BB6F06">
        <w:rPr>
          <w:rFonts w:asciiTheme="minorHAnsi" w:hAnsiTheme="minorHAnsi" w:cstheme="minorHAnsi"/>
          <w:color w:val="auto"/>
        </w:rPr>
        <w:t>anti-</w:t>
      </w:r>
      <w:r w:rsidR="007007E2" w:rsidRPr="00BB6F06">
        <w:rPr>
          <w:rFonts w:asciiTheme="minorHAnsi" w:hAnsiTheme="minorHAnsi" w:cstheme="minorHAnsi"/>
          <w:color w:val="auto"/>
        </w:rPr>
        <w:t xml:space="preserve">TB medications. </w:t>
      </w:r>
      <w:r w:rsidR="00AA2DC8" w:rsidRPr="00BB6F06">
        <w:rPr>
          <w:rFonts w:asciiTheme="minorHAnsi" w:hAnsiTheme="minorHAnsi" w:cstheme="minorHAnsi"/>
          <w:color w:val="auto"/>
        </w:rPr>
        <w:t>Previous work by our group shows that a</w:t>
      </w:r>
      <w:r w:rsidR="008E0320" w:rsidRPr="00BB6F06">
        <w:rPr>
          <w:rFonts w:asciiTheme="minorHAnsi" w:hAnsiTheme="minorHAnsi" w:cstheme="minorHAnsi"/>
          <w:color w:val="auto"/>
        </w:rPr>
        <w:t>ntiretroviral d</w:t>
      </w:r>
      <w:r w:rsidR="007007E2" w:rsidRPr="00BB6F06">
        <w:rPr>
          <w:rFonts w:asciiTheme="minorHAnsi" w:hAnsiTheme="minorHAnsi" w:cstheme="minorHAnsi"/>
          <w:color w:val="auto"/>
        </w:rPr>
        <w:t xml:space="preserve">rug levels in hair are </w:t>
      </w:r>
      <w:r w:rsidRPr="00BB6F06">
        <w:rPr>
          <w:rFonts w:asciiTheme="minorHAnsi" w:hAnsiTheme="minorHAnsi" w:cstheme="minorHAnsi"/>
          <w:color w:val="auto"/>
        </w:rPr>
        <w:t xml:space="preserve">associated with </w:t>
      </w:r>
      <w:r w:rsidR="008E0320" w:rsidRPr="00BB6F06">
        <w:rPr>
          <w:rFonts w:asciiTheme="minorHAnsi" w:hAnsiTheme="minorHAnsi" w:cstheme="minorHAnsi"/>
          <w:color w:val="auto"/>
        </w:rPr>
        <w:t>HIV outcomes</w:t>
      </w:r>
      <w:r w:rsidR="00586262" w:rsidRPr="00BB6F06">
        <w:rPr>
          <w:rFonts w:asciiTheme="minorHAnsi" w:hAnsiTheme="minorHAnsi" w:cstheme="minorHAnsi"/>
          <w:color w:val="auto"/>
        </w:rPr>
        <w:t>.</w:t>
      </w:r>
      <w:r w:rsidR="00610E25">
        <w:rPr>
          <w:rFonts w:asciiTheme="minorHAnsi" w:hAnsiTheme="minorHAnsi" w:cstheme="minorHAnsi"/>
          <w:color w:val="auto"/>
        </w:rPr>
        <w:t xml:space="preserve"> </w:t>
      </w:r>
      <w:r w:rsidR="009F4488" w:rsidRPr="00BB6F06">
        <w:rPr>
          <w:rFonts w:asciiTheme="minorHAnsi" w:hAnsiTheme="minorHAnsi" w:cstheme="minorHAnsi"/>
          <w:color w:val="auto"/>
        </w:rPr>
        <w:t xml:space="preserve">Our </w:t>
      </w:r>
      <w:r w:rsidR="007007E2" w:rsidRPr="00BB6F06">
        <w:rPr>
          <w:rFonts w:asciiTheme="minorHAnsi" w:hAnsiTheme="minorHAnsi" w:cstheme="minorHAnsi"/>
          <w:color w:val="auto"/>
        </w:rPr>
        <w:t xml:space="preserve">method </w:t>
      </w:r>
      <w:r w:rsidR="00CB16DC" w:rsidRPr="00BB6F06">
        <w:rPr>
          <w:rFonts w:asciiTheme="minorHAnsi" w:hAnsiTheme="minorHAnsi" w:cstheme="minorHAnsi"/>
          <w:color w:val="auto"/>
        </w:rPr>
        <w:t xml:space="preserve">for DR-TB drugs </w:t>
      </w:r>
      <w:r w:rsidR="007007E2" w:rsidRPr="00BB6F06">
        <w:rPr>
          <w:rFonts w:asciiTheme="minorHAnsi" w:hAnsiTheme="minorHAnsi" w:cstheme="minorHAnsi"/>
          <w:color w:val="auto"/>
        </w:rPr>
        <w:t>uses 2 mg of hair</w:t>
      </w:r>
      <w:r w:rsidR="004200A3" w:rsidRPr="00BB6F06">
        <w:rPr>
          <w:rFonts w:asciiTheme="minorHAnsi" w:hAnsiTheme="minorHAnsi" w:cstheme="minorHAnsi"/>
          <w:color w:val="auto"/>
        </w:rPr>
        <w:t xml:space="preserve"> (3 cm proximal to the root)</w:t>
      </w:r>
      <w:r w:rsidR="007007E2" w:rsidRPr="00BB6F06">
        <w:rPr>
          <w:rFonts w:asciiTheme="minorHAnsi" w:hAnsiTheme="minorHAnsi" w:cstheme="minorHAnsi"/>
          <w:color w:val="auto"/>
        </w:rPr>
        <w:t>, which is pulverized and extracted in methanol. Samples are analyzed with a single LC-MS/MS method, quantifying 11 drugs in a 16</w:t>
      </w:r>
      <w:r w:rsidR="00610E25">
        <w:rPr>
          <w:rFonts w:asciiTheme="minorHAnsi" w:hAnsiTheme="minorHAnsi" w:cstheme="minorHAnsi"/>
          <w:color w:val="auto"/>
        </w:rPr>
        <w:t xml:space="preserve"> </w:t>
      </w:r>
      <w:r w:rsidR="007007E2" w:rsidRPr="00BB6F06">
        <w:rPr>
          <w:rFonts w:asciiTheme="minorHAnsi" w:hAnsiTheme="minorHAnsi" w:cstheme="minorHAnsi"/>
          <w:color w:val="auto"/>
        </w:rPr>
        <w:t>min run. L</w:t>
      </w:r>
      <w:r w:rsidR="00C5546B" w:rsidRPr="00BB6F06">
        <w:rPr>
          <w:rFonts w:asciiTheme="minorHAnsi" w:hAnsiTheme="minorHAnsi" w:cstheme="minorHAnsi"/>
          <w:color w:val="auto"/>
        </w:rPr>
        <w:t>ower limits of quantification (LLOQs)</w:t>
      </w:r>
      <w:r w:rsidR="007007E2" w:rsidRPr="00BB6F06">
        <w:rPr>
          <w:rFonts w:asciiTheme="minorHAnsi" w:hAnsiTheme="minorHAnsi" w:cstheme="minorHAnsi"/>
          <w:color w:val="auto"/>
        </w:rPr>
        <w:t xml:space="preserve"> for the 11 drugs range from 0.01 ng/mg to 1 ng/mg. Drug presence is confirmed by comparing ratios of two mass spectrometry transitions. Samples are quantified using the area</w:t>
      </w:r>
      <w:r w:rsidR="007973C8" w:rsidRPr="00BB6F06">
        <w:rPr>
          <w:rFonts w:asciiTheme="minorHAnsi" w:hAnsiTheme="minorHAnsi" w:cstheme="minorHAnsi"/>
          <w:color w:val="auto"/>
        </w:rPr>
        <w:t xml:space="preserve"> </w:t>
      </w:r>
      <w:r w:rsidR="007007E2" w:rsidRPr="00BB6F06">
        <w:rPr>
          <w:rFonts w:asciiTheme="minorHAnsi" w:hAnsiTheme="minorHAnsi" w:cstheme="minorHAnsi"/>
          <w:color w:val="auto"/>
        </w:rPr>
        <w:t xml:space="preserve">ratio of the drug to the deuterated, </w:t>
      </w:r>
      <w:r w:rsidR="007007E2" w:rsidRPr="00BB6F06">
        <w:rPr>
          <w:rFonts w:asciiTheme="minorHAnsi" w:hAnsiTheme="minorHAnsi" w:cstheme="minorHAnsi"/>
          <w:color w:val="auto"/>
          <w:vertAlign w:val="superscript"/>
        </w:rPr>
        <w:t>15</w:t>
      </w:r>
      <w:r w:rsidR="007007E2" w:rsidRPr="00BB6F06">
        <w:rPr>
          <w:rFonts w:asciiTheme="minorHAnsi" w:hAnsiTheme="minorHAnsi" w:cstheme="minorHAnsi"/>
          <w:color w:val="auto"/>
        </w:rPr>
        <w:t xml:space="preserve">N-, or </w:t>
      </w:r>
      <w:r w:rsidR="007007E2" w:rsidRPr="00BB6F06">
        <w:rPr>
          <w:rFonts w:asciiTheme="minorHAnsi" w:hAnsiTheme="minorHAnsi" w:cstheme="minorHAnsi"/>
          <w:color w:val="auto"/>
          <w:vertAlign w:val="superscript"/>
        </w:rPr>
        <w:t>13</w:t>
      </w:r>
      <w:r w:rsidR="007007E2" w:rsidRPr="00BB6F06">
        <w:rPr>
          <w:rFonts w:asciiTheme="minorHAnsi" w:hAnsiTheme="minorHAnsi" w:cstheme="minorHAnsi"/>
          <w:color w:val="auto"/>
        </w:rPr>
        <w:t>C-labeled drug</w:t>
      </w:r>
      <w:r w:rsidR="00C8496D" w:rsidRPr="00BB6F06">
        <w:rPr>
          <w:rFonts w:asciiTheme="minorHAnsi" w:hAnsiTheme="minorHAnsi" w:cstheme="minorHAnsi"/>
          <w:color w:val="auto"/>
        </w:rPr>
        <w:t xml:space="preserve"> </w:t>
      </w:r>
      <w:proofErr w:type="spellStart"/>
      <w:r w:rsidR="00C8496D" w:rsidRPr="00BB6F06">
        <w:rPr>
          <w:rFonts w:asciiTheme="minorHAnsi" w:hAnsiTheme="minorHAnsi" w:cstheme="minorHAnsi"/>
          <w:color w:val="auto"/>
        </w:rPr>
        <w:t>isotopologue</w:t>
      </w:r>
      <w:proofErr w:type="spellEnd"/>
      <w:r w:rsidR="007007E2" w:rsidRPr="00BB6F06">
        <w:rPr>
          <w:rFonts w:asciiTheme="minorHAnsi" w:hAnsiTheme="minorHAnsi" w:cstheme="minorHAnsi"/>
          <w:color w:val="auto"/>
        </w:rPr>
        <w:t>. We used a calibration curve ranging from 0.001-100 ng/mg.</w:t>
      </w:r>
      <w:r w:rsidR="00C8496D" w:rsidRPr="00BB6F06">
        <w:rPr>
          <w:rFonts w:asciiTheme="minorHAnsi" w:hAnsiTheme="minorHAnsi" w:cstheme="minorHAnsi"/>
          <w:color w:val="auto"/>
        </w:rPr>
        <w:t xml:space="preserve"> Application of the method to a convenience sample of hair samples collected from DR-TB patients on directly observed therapy</w:t>
      </w:r>
      <w:r w:rsidR="00582C92" w:rsidRPr="00BB6F06">
        <w:rPr>
          <w:rFonts w:asciiTheme="minorHAnsi" w:hAnsiTheme="minorHAnsi" w:cstheme="minorHAnsi"/>
          <w:color w:val="auto"/>
        </w:rPr>
        <w:t xml:space="preserve"> (DOT)</w:t>
      </w:r>
      <w:r w:rsidR="00C8496D" w:rsidRPr="00BB6F06">
        <w:rPr>
          <w:rFonts w:asciiTheme="minorHAnsi" w:hAnsiTheme="minorHAnsi" w:cstheme="minorHAnsi"/>
          <w:color w:val="auto"/>
        </w:rPr>
        <w:t xml:space="preserve"> indicated drug levels in hair within the linear dynamic range of nine of the eleven drugs</w:t>
      </w:r>
      <w:r w:rsidR="00C5546B" w:rsidRPr="00BB6F06">
        <w:rPr>
          <w:rFonts w:asciiTheme="minorHAnsi" w:hAnsiTheme="minorHAnsi" w:cstheme="minorHAnsi"/>
          <w:color w:val="auto"/>
        </w:rPr>
        <w:t xml:space="preserve"> (isoniazid, pyrazinamide, ethambutol, linezolid, levofloxacin, moxifloxacin, clofazimine, </w:t>
      </w:r>
      <w:proofErr w:type="spellStart"/>
      <w:r w:rsidR="00C5546B" w:rsidRPr="00BB6F06">
        <w:rPr>
          <w:rFonts w:asciiTheme="minorHAnsi" w:hAnsiTheme="minorHAnsi" w:cstheme="minorHAnsi"/>
          <w:color w:val="auto"/>
        </w:rPr>
        <w:t>bedaquiline</w:t>
      </w:r>
      <w:proofErr w:type="spellEnd"/>
      <w:r w:rsidR="00C5546B" w:rsidRPr="00BB6F06">
        <w:rPr>
          <w:rFonts w:asciiTheme="minorHAnsi" w:hAnsiTheme="minorHAnsi" w:cstheme="minorHAnsi"/>
          <w:color w:val="auto"/>
        </w:rPr>
        <w:t xml:space="preserve">, </w:t>
      </w:r>
      <w:proofErr w:type="spellStart"/>
      <w:r w:rsidR="00C5546B" w:rsidRPr="00BB6F06">
        <w:rPr>
          <w:rFonts w:asciiTheme="minorHAnsi" w:hAnsiTheme="minorHAnsi" w:cstheme="minorHAnsi"/>
          <w:color w:val="auto"/>
        </w:rPr>
        <w:t>pretomanid</w:t>
      </w:r>
      <w:proofErr w:type="spellEnd"/>
      <w:r w:rsidR="00C5546B" w:rsidRPr="00BB6F06">
        <w:rPr>
          <w:rFonts w:asciiTheme="minorHAnsi" w:hAnsiTheme="minorHAnsi" w:cstheme="minorHAnsi"/>
          <w:color w:val="auto"/>
        </w:rPr>
        <w:t xml:space="preserve">). No patient was on </w:t>
      </w:r>
      <w:proofErr w:type="spellStart"/>
      <w:r w:rsidR="00C5546B" w:rsidRPr="00BB6F06">
        <w:rPr>
          <w:rFonts w:asciiTheme="minorHAnsi" w:hAnsiTheme="minorHAnsi" w:cstheme="minorHAnsi"/>
          <w:color w:val="auto"/>
        </w:rPr>
        <w:t>prothionamide</w:t>
      </w:r>
      <w:proofErr w:type="spellEnd"/>
      <w:r w:rsidR="00644279" w:rsidRPr="00BB6F06">
        <w:rPr>
          <w:rFonts w:asciiTheme="minorHAnsi" w:hAnsiTheme="minorHAnsi" w:cstheme="minorHAnsi"/>
          <w:color w:val="auto"/>
        </w:rPr>
        <w:t>, and</w:t>
      </w:r>
      <w:r w:rsidR="00C5546B" w:rsidRPr="00BB6F06">
        <w:rPr>
          <w:rFonts w:asciiTheme="minorHAnsi" w:hAnsiTheme="minorHAnsi" w:cstheme="minorHAnsi"/>
          <w:color w:val="auto"/>
        </w:rPr>
        <w:t xml:space="preserve"> the measured levels for ethi</w:t>
      </w:r>
      <w:r w:rsidR="009F4488" w:rsidRPr="00BB6F06">
        <w:rPr>
          <w:rFonts w:asciiTheme="minorHAnsi" w:hAnsiTheme="minorHAnsi" w:cstheme="minorHAnsi"/>
          <w:color w:val="auto"/>
        </w:rPr>
        <w:t>o</w:t>
      </w:r>
      <w:r w:rsidR="00C5546B" w:rsidRPr="00BB6F06">
        <w:rPr>
          <w:rFonts w:asciiTheme="minorHAnsi" w:hAnsiTheme="minorHAnsi" w:cstheme="minorHAnsi"/>
          <w:color w:val="auto"/>
        </w:rPr>
        <w:t>namide were close to its LLOQ</w:t>
      </w:r>
      <w:r w:rsidR="009F4488" w:rsidRPr="00BB6F06">
        <w:rPr>
          <w:rFonts w:asciiTheme="minorHAnsi" w:hAnsiTheme="minorHAnsi" w:cstheme="minorHAnsi"/>
          <w:color w:val="auto"/>
        </w:rPr>
        <w:t xml:space="preserve"> (with further work </w:t>
      </w:r>
      <w:r w:rsidR="00644279" w:rsidRPr="00BB6F06">
        <w:rPr>
          <w:rFonts w:asciiTheme="minorHAnsi" w:hAnsiTheme="minorHAnsi" w:cstheme="minorHAnsi"/>
          <w:color w:val="auto"/>
        </w:rPr>
        <w:t xml:space="preserve">instead </w:t>
      </w:r>
      <w:r w:rsidR="009F4488" w:rsidRPr="00BB6F06">
        <w:rPr>
          <w:rFonts w:asciiTheme="minorHAnsi" w:hAnsiTheme="minorHAnsi" w:cstheme="minorHAnsi"/>
          <w:color w:val="auto"/>
        </w:rPr>
        <w:t>examining the suitability of ethionamide’s metabolite for monitoring exposure).</w:t>
      </w:r>
      <w:r w:rsidR="00885A9E" w:rsidRPr="00BB6F06">
        <w:rPr>
          <w:rFonts w:asciiTheme="minorHAnsi" w:hAnsiTheme="minorHAnsi" w:cstheme="minorHAnsi"/>
          <w:color w:val="auto"/>
        </w:rPr>
        <w:t xml:space="preserve"> </w:t>
      </w:r>
      <w:r w:rsidR="009F4488" w:rsidRPr="00BB6F06">
        <w:rPr>
          <w:rFonts w:asciiTheme="minorHAnsi" w:hAnsiTheme="minorHAnsi" w:cstheme="minorHAnsi"/>
          <w:color w:val="auto"/>
        </w:rPr>
        <w:t xml:space="preserve">In summary, we </w:t>
      </w:r>
      <w:r w:rsidR="00885A9E" w:rsidRPr="00BB6F06">
        <w:rPr>
          <w:rFonts w:asciiTheme="minorHAnsi" w:hAnsiTheme="minorHAnsi" w:cstheme="minorHAnsi"/>
          <w:color w:val="auto"/>
        </w:rPr>
        <w:t>describe the development of</w:t>
      </w:r>
      <w:r w:rsidR="009F4488" w:rsidRPr="00BB6F06">
        <w:rPr>
          <w:rFonts w:asciiTheme="minorHAnsi" w:hAnsiTheme="minorHAnsi" w:cstheme="minorHAnsi"/>
          <w:color w:val="auto"/>
        </w:rPr>
        <w:t xml:space="preserve"> a multi-analyte panel for DR-TB drugs in hair as a technique for </w:t>
      </w:r>
      <w:r w:rsidR="00885A9E" w:rsidRPr="00BB6F06">
        <w:rPr>
          <w:rFonts w:asciiTheme="minorHAnsi" w:hAnsiTheme="minorHAnsi" w:cstheme="minorHAnsi"/>
          <w:color w:val="auto"/>
        </w:rPr>
        <w:t>therapeutic drug monitoring during drug-resistant TB treatment</w:t>
      </w:r>
      <w:r w:rsidR="009F4488" w:rsidRPr="00BB6F06">
        <w:rPr>
          <w:rFonts w:asciiTheme="minorHAnsi" w:hAnsiTheme="minorHAnsi" w:cstheme="minorHAnsi"/>
          <w:color w:val="auto"/>
        </w:rPr>
        <w:t>.</w:t>
      </w:r>
    </w:p>
    <w:p w14:paraId="4C7D5FD5" w14:textId="77777777" w:rsidR="006305D7" w:rsidRPr="00BB6F06" w:rsidRDefault="006305D7" w:rsidP="00BB6F06">
      <w:pPr>
        <w:rPr>
          <w:rFonts w:asciiTheme="minorHAnsi" w:hAnsiTheme="minorHAnsi" w:cstheme="minorHAnsi"/>
        </w:rPr>
      </w:pPr>
    </w:p>
    <w:p w14:paraId="00D25F73" w14:textId="29D36806" w:rsidR="006305D7" w:rsidRPr="00BB6F06" w:rsidRDefault="006305D7" w:rsidP="00BB6F06">
      <w:pPr>
        <w:rPr>
          <w:rFonts w:asciiTheme="minorHAnsi" w:hAnsiTheme="minorHAnsi" w:cstheme="minorHAnsi"/>
          <w:color w:val="808080"/>
        </w:rPr>
      </w:pPr>
      <w:r w:rsidRPr="00BB6F06">
        <w:rPr>
          <w:rFonts w:asciiTheme="minorHAnsi" w:hAnsiTheme="minorHAnsi" w:cstheme="minorHAnsi"/>
          <w:b/>
        </w:rPr>
        <w:t>INTRODUCTION</w:t>
      </w:r>
      <w:r w:rsidRPr="00BB6F06">
        <w:rPr>
          <w:rFonts w:asciiTheme="minorHAnsi" w:hAnsiTheme="minorHAnsi" w:cstheme="minorHAnsi"/>
          <w:b/>
          <w:bCs/>
        </w:rPr>
        <w:t>:</w:t>
      </w:r>
      <w:r w:rsidRPr="00BB6F06">
        <w:rPr>
          <w:rFonts w:asciiTheme="minorHAnsi" w:hAnsiTheme="minorHAnsi" w:cstheme="minorHAnsi"/>
        </w:rPr>
        <w:t xml:space="preserve"> </w:t>
      </w:r>
    </w:p>
    <w:p w14:paraId="3C563B86" w14:textId="0D2195A5" w:rsidR="00CC4E59" w:rsidRPr="00BB6F06" w:rsidRDefault="00091256" w:rsidP="00BB6F06">
      <w:pPr>
        <w:rPr>
          <w:rFonts w:asciiTheme="minorHAnsi" w:hAnsiTheme="minorHAnsi" w:cstheme="minorHAnsi"/>
          <w:color w:val="auto"/>
        </w:rPr>
      </w:pPr>
      <w:r w:rsidRPr="00BB6F06">
        <w:rPr>
          <w:rFonts w:asciiTheme="minorHAnsi" w:hAnsiTheme="minorHAnsi" w:cstheme="minorHAnsi"/>
          <w:bCs/>
          <w:color w:val="auto"/>
        </w:rPr>
        <w:t>In the twenty-first century, drug-resistant TB (DR-TB) is an evolving catastrophe for already weak national TB control programs,</w:t>
      </w:r>
      <w:r w:rsidRPr="00BB6F06">
        <w:rPr>
          <w:rFonts w:asciiTheme="minorHAnsi" w:hAnsiTheme="minorHAnsi" w:cstheme="minorHAnsi"/>
          <w:color w:val="auto"/>
        </w:rPr>
        <w:t xml:space="preserve"> with confirmed </w:t>
      </w:r>
      <w:r w:rsidRPr="00BB6F06">
        <w:rPr>
          <w:rFonts w:asciiTheme="minorHAnsi" w:hAnsiTheme="minorHAnsi" w:cstheme="minorHAnsi"/>
          <w:bCs/>
          <w:color w:val="auto"/>
        </w:rPr>
        <w:t>cases doubling in the past 5 years alone</w:t>
      </w:r>
      <w:r w:rsidR="00DC6318" w:rsidRPr="00BB6F06">
        <w:rPr>
          <w:rFonts w:asciiTheme="minorHAnsi" w:hAnsiTheme="minorHAnsi" w:cstheme="minorHAnsi"/>
          <w:bCs/>
          <w:color w:val="auto"/>
        </w:rPr>
        <w:t>,</w:t>
      </w:r>
      <w:r w:rsidRPr="00BB6F06">
        <w:rPr>
          <w:rFonts w:asciiTheme="minorHAnsi" w:hAnsiTheme="minorHAnsi" w:cstheme="minorHAnsi"/>
          <w:color w:val="auto"/>
        </w:rPr>
        <w:t xml:space="preserve"> accounting for nearly one-third of all deaths related to antimicrobial resistance globally</w:t>
      </w:r>
      <w:r w:rsidR="005A1ECE" w:rsidRPr="00BB6F06">
        <w:rPr>
          <w:rFonts w:asciiTheme="minorHAnsi" w:hAnsiTheme="minorHAnsi" w:cstheme="minorHAnsi"/>
          <w:color w:val="auto"/>
          <w:vertAlign w:val="superscript"/>
        </w:rPr>
        <w:t>1,2</w:t>
      </w:r>
      <w:r w:rsidR="00FE44D1" w:rsidRPr="00BB6F06">
        <w:rPr>
          <w:rFonts w:asciiTheme="minorHAnsi" w:hAnsiTheme="minorHAnsi" w:cstheme="minorHAnsi"/>
          <w:color w:val="auto"/>
        </w:rPr>
        <w:t>. S</w:t>
      </w:r>
      <w:r w:rsidRPr="00BB6F06">
        <w:rPr>
          <w:rFonts w:asciiTheme="minorHAnsi" w:hAnsiTheme="minorHAnsi" w:cstheme="minorHAnsi"/>
          <w:color w:val="auto"/>
        </w:rPr>
        <w:t>uccessful t</w:t>
      </w:r>
      <w:r w:rsidR="004200A3" w:rsidRPr="00BB6F06">
        <w:rPr>
          <w:rFonts w:asciiTheme="minorHAnsi" w:hAnsiTheme="minorHAnsi" w:cstheme="minorHAnsi"/>
          <w:color w:val="auto"/>
        </w:rPr>
        <w:t>reatment of DR-TB</w:t>
      </w:r>
      <w:r w:rsidR="00A16E6B" w:rsidRPr="00BB6F06">
        <w:rPr>
          <w:rFonts w:asciiTheme="minorHAnsi" w:hAnsiTheme="minorHAnsi" w:cstheme="minorHAnsi"/>
          <w:color w:val="auto"/>
        </w:rPr>
        <w:t xml:space="preserve"> </w:t>
      </w:r>
      <w:r w:rsidRPr="00BB6F06">
        <w:rPr>
          <w:rFonts w:asciiTheme="minorHAnsi" w:hAnsiTheme="minorHAnsi" w:cstheme="minorHAnsi"/>
          <w:color w:val="auto"/>
        </w:rPr>
        <w:t>has conventionally required long</w:t>
      </w:r>
      <w:r w:rsidR="00DC6318" w:rsidRPr="00BB6F06">
        <w:rPr>
          <w:rFonts w:asciiTheme="minorHAnsi" w:hAnsiTheme="minorHAnsi" w:cstheme="minorHAnsi"/>
          <w:color w:val="auto"/>
        </w:rPr>
        <w:t xml:space="preserve">er and </w:t>
      </w:r>
      <w:r w:rsidR="00A16E6B" w:rsidRPr="00BB6F06">
        <w:rPr>
          <w:rFonts w:asciiTheme="minorHAnsi" w:hAnsiTheme="minorHAnsi" w:cstheme="minorHAnsi"/>
          <w:color w:val="auto"/>
        </w:rPr>
        <w:t xml:space="preserve">more toxic second-line </w:t>
      </w:r>
      <w:r w:rsidRPr="00BB6F06">
        <w:rPr>
          <w:rFonts w:asciiTheme="minorHAnsi" w:hAnsiTheme="minorHAnsi" w:cstheme="minorHAnsi"/>
          <w:color w:val="auto"/>
        </w:rPr>
        <w:t xml:space="preserve">regimens </w:t>
      </w:r>
      <w:r w:rsidR="00DC6318" w:rsidRPr="00BB6F06">
        <w:rPr>
          <w:rFonts w:asciiTheme="minorHAnsi" w:hAnsiTheme="minorHAnsi" w:cstheme="minorHAnsi"/>
          <w:color w:val="auto"/>
        </w:rPr>
        <w:t xml:space="preserve">than treatment for drug-sensitive TB. Moreover, </w:t>
      </w:r>
      <w:r w:rsidR="00135CCD" w:rsidRPr="00BB6F06">
        <w:rPr>
          <w:rFonts w:asciiTheme="minorHAnsi" w:hAnsiTheme="minorHAnsi" w:cstheme="minorHAnsi"/>
          <w:color w:val="auto"/>
        </w:rPr>
        <w:t xml:space="preserve">patients </w:t>
      </w:r>
      <w:r w:rsidR="00DC6318" w:rsidRPr="00BB6F06">
        <w:rPr>
          <w:rFonts w:asciiTheme="minorHAnsi" w:hAnsiTheme="minorHAnsi" w:cstheme="minorHAnsi"/>
          <w:color w:val="auto"/>
        </w:rPr>
        <w:t>with DR-TB often have significant pre-existing challenges to adherence, which contributed to the emergence of resistance initially</w:t>
      </w:r>
      <w:r w:rsidR="005A1ECE" w:rsidRPr="00BB6F06">
        <w:rPr>
          <w:rFonts w:asciiTheme="minorHAnsi" w:hAnsiTheme="minorHAnsi" w:cstheme="minorHAnsi"/>
          <w:color w:val="auto"/>
          <w:vertAlign w:val="superscript"/>
        </w:rPr>
        <w:t>3</w:t>
      </w:r>
      <w:r w:rsidR="00FE44D1" w:rsidRPr="00BB6F06">
        <w:rPr>
          <w:rFonts w:asciiTheme="minorHAnsi" w:hAnsiTheme="minorHAnsi" w:cstheme="minorHAnsi"/>
          <w:color w:val="auto"/>
        </w:rPr>
        <w:t>.</w:t>
      </w:r>
    </w:p>
    <w:p w14:paraId="20BC4501" w14:textId="77777777" w:rsidR="006F615E" w:rsidRPr="00BB6F06" w:rsidRDefault="006F615E" w:rsidP="00BB6F06">
      <w:pPr>
        <w:rPr>
          <w:rFonts w:asciiTheme="minorHAnsi" w:hAnsiTheme="minorHAnsi" w:cstheme="minorHAnsi"/>
          <w:color w:val="auto"/>
        </w:rPr>
      </w:pPr>
    </w:p>
    <w:p w14:paraId="2A6003E7" w14:textId="39F4175D" w:rsidR="009A18F5" w:rsidRPr="00BB6F06" w:rsidRDefault="008A7772" w:rsidP="00BB6F06">
      <w:pPr>
        <w:rPr>
          <w:rFonts w:asciiTheme="minorHAnsi" w:hAnsiTheme="minorHAnsi" w:cstheme="minorHAnsi"/>
          <w:color w:val="auto"/>
        </w:rPr>
      </w:pPr>
      <w:r w:rsidRPr="00BB6F06">
        <w:rPr>
          <w:rFonts w:asciiTheme="minorHAnsi" w:hAnsiTheme="minorHAnsi" w:cstheme="minorHAnsi"/>
          <w:color w:val="auto"/>
        </w:rPr>
        <w:t>Unlike HIV infectio</w:t>
      </w:r>
      <w:r w:rsidR="00EC2D07" w:rsidRPr="00BB6F06">
        <w:rPr>
          <w:rFonts w:asciiTheme="minorHAnsi" w:hAnsiTheme="minorHAnsi" w:cstheme="minorHAnsi"/>
          <w:color w:val="auto"/>
        </w:rPr>
        <w:t xml:space="preserve">n where viral loads can be used </w:t>
      </w:r>
      <w:r w:rsidR="00EB52AD" w:rsidRPr="00BB6F06">
        <w:rPr>
          <w:rFonts w:asciiTheme="minorHAnsi" w:hAnsiTheme="minorHAnsi" w:cstheme="minorHAnsi"/>
          <w:color w:val="auto"/>
        </w:rPr>
        <w:t>to monitor</w:t>
      </w:r>
      <w:r w:rsidR="00EC2D07" w:rsidRPr="00BB6F06">
        <w:rPr>
          <w:rFonts w:asciiTheme="minorHAnsi" w:hAnsiTheme="minorHAnsi" w:cstheme="minorHAnsi"/>
          <w:color w:val="auto"/>
        </w:rPr>
        <w:t xml:space="preserve"> treatment, surrogate endpoints of treatment response </w:t>
      </w:r>
      <w:r w:rsidR="00135CCD" w:rsidRPr="00BB6F06">
        <w:rPr>
          <w:rFonts w:asciiTheme="minorHAnsi" w:hAnsiTheme="minorHAnsi" w:cstheme="minorHAnsi"/>
          <w:color w:val="auto"/>
        </w:rPr>
        <w:t>in</w:t>
      </w:r>
      <w:r w:rsidR="00EC2D07" w:rsidRPr="00BB6F06">
        <w:rPr>
          <w:rFonts w:asciiTheme="minorHAnsi" w:hAnsiTheme="minorHAnsi" w:cstheme="minorHAnsi"/>
          <w:color w:val="auto"/>
        </w:rPr>
        <w:t xml:space="preserve"> TB</w:t>
      </w:r>
      <w:r w:rsidR="00135CCD" w:rsidRPr="00BB6F06">
        <w:rPr>
          <w:rFonts w:asciiTheme="minorHAnsi" w:hAnsiTheme="minorHAnsi" w:cstheme="minorHAnsi"/>
          <w:color w:val="auto"/>
        </w:rPr>
        <w:t xml:space="preserve"> are delayed and unreliable on an individual level</w:t>
      </w:r>
      <w:r w:rsidR="00401110" w:rsidRPr="00BB6F06">
        <w:rPr>
          <w:rFonts w:asciiTheme="minorHAnsi" w:hAnsiTheme="minorHAnsi" w:cstheme="minorHAnsi"/>
          <w:color w:val="auto"/>
          <w:vertAlign w:val="superscript"/>
        </w:rPr>
        <w:t>4</w:t>
      </w:r>
      <w:r w:rsidR="00FE44D1" w:rsidRPr="00BB6F06">
        <w:rPr>
          <w:rFonts w:asciiTheme="minorHAnsi" w:hAnsiTheme="minorHAnsi" w:cstheme="minorHAnsi"/>
          <w:color w:val="auto"/>
        </w:rPr>
        <w:t xml:space="preserve">. </w:t>
      </w:r>
      <w:r w:rsidR="00135CCD" w:rsidRPr="00BB6F06">
        <w:rPr>
          <w:rFonts w:asciiTheme="minorHAnsi" w:hAnsiTheme="minorHAnsi" w:cstheme="minorHAnsi"/>
          <w:color w:val="auto"/>
        </w:rPr>
        <w:t>M</w:t>
      </w:r>
      <w:r w:rsidR="00CC4E59" w:rsidRPr="00BB6F06">
        <w:rPr>
          <w:rFonts w:asciiTheme="minorHAnsi" w:hAnsiTheme="minorHAnsi" w:cstheme="minorHAnsi"/>
          <w:color w:val="auto"/>
        </w:rPr>
        <w:t xml:space="preserve">onitoring </w:t>
      </w:r>
      <w:r w:rsidR="00C12F74" w:rsidRPr="00BB6F06">
        <w:rPr>
          <w:rFonts w:asciiTheme="minorHAnsi" w:hAnsiTheme="minorHAnsi" w:cstheme="minorHAnsi"/>
          <w:color w:val="auto"/>
        </w:rPr>
        <w:t xml:space="preserve">patient </w:t>
      </w:r>
      <w:r w:rsidR="00CC4E59" w:rsidRPr="00BB6F06">
        <w:rPr>
          <w:rFonts w:asciiTheme="minorHAnsi" w:hAnsiTheme="minorHAnsi" w:cstheme="minorHAnsi"/>
          <w:color w:val="auto"/>
        </w:rPr>
        <w:t>adherence</w:t>
      </w:r>
      <w:r w:rsidR="00135CCD" w:rsidRPr="00BB6F06">
        <w:rPr>
          <w:rFonts w:asciiTheme="minorHAnsi" w:hAnsiTheme="minorHAnsi" w:cstheme="minorHAnsi"/>
          <w:color w:val="auto"/>
        </w:rPr>
        <w:t>, an important predictor of subtherapeutic</w:t>
      </w:r>
      <w:r w:rsidR="00135CCD" w:rsidRPr="00BB6F06">
        <w:rPr>
          <w:rFonts w:asciiTheme="minorHAnsi" w:hAnsiTheme="minorHAnsi" w:cstheme="minorHAnsi"/>
          <w:bCs/>
          <w:color w:val="auto"/>
        </w:rPr>
        <w:t xml:space="preserve"> anti-TB drug concentration and </w:t>
      </w:r>
      <w:r w:rsidR="00135CCD" w:rsidRPr="00BB6F06">
        <w:rPr>
          <w:rFonts w:asciiTheme="minorHAnsi" w:hAnsiTheme="minorHAnsi" w:cstheme="minorHAnsi"/>
          <w:color w:val="auto"/>
        </w:rPr>
        <w:t xml:space="preserve">treatment </w:t>
      </w:r>
      <w:r w:rsidR="00BA6B90" w:rsidRPr="00BB6F06">
        <w:rPr>
          <w:rFonts w:asciiTheme="minorHAnsi" w:hAnsiTheme="minorHAnsi" w:cstheme="minorHAnsi"/>
          <w:color w:val="auto"/>
        </w:rPr>
        <w:t>failure</w:t>
      </w:r>
      <w:r w:rsidR="00135CCD" w:rsidRPr="00BB6F06">
        <w:rPr>
          <w:rFonts w:asciiTheme="minorHAnsi" w:hAnsiTheme="minorHAnsi" w:cstheme="minorHAnsi"/>
          <w:color w:val="auto"/>
        </w:rPr>
        <w:t>,</w:t>
      </w:r>
      <w:r w:rsidR="00CC4E59" w:rsidRPr="00BB6F06">
        <w:rPr>
          <w:rFonts w:asciiTheme="minorHAnsi" w:hAnsiTheme="minorHAnsi" w:cstheme="minorHAnsi"/>
          <w:color w:val="auto"/>
        </w:rPr>
        <w:t xml:space="preserve"> </w:t>
      </w:r>
      <w:r w:rsidR="00135CCD" w:rsidRPr="00BB6F06">
        <w:rPr>
          <w:rFonts w:asciiTheme="minorHAnsi" w:hAnsiTheme="minorHAnsi" w:cstheme="minorHAnsi"/>
          <w:color w:val="auto"/>
        </w:rPr>
        <w:t>is also challenging</w:t>
      </w:r>
      <w:r w:rsidR="00CC4E59" w:rsidRPr="00BB6F06">
        <w:rPr>
          <w:rFonts w:asciiTheme="minorHAnsi" w:hAnsiTheme="minorHAnsi" w:cstheme="minorHAnsi"/>
          <w:color w:val="auto"/>
        </w:rPr>
        <w:t xml:space="preserve">. </w:t>
      </w:r>
      <w:r w:rsidR="006F1F78" w:rsidRPr="00BB6F06">
        <w:rPr>
          <w:rFonts w:asciiTheme="minorHAnsi" w:hAnsiTheme="minorHAnsi" w:cstheme="minorHAnsi"/>
          <w:color w:val="auto"/>
        </w:rPr>
        <w:t>Self-report</w:t>
      </w:r>
      <w:r w:rsidR="00A16E6B" w:rsidRPr="00BB6F06">
        <w:rPr>
          <w:rFonts w:asciiTheme="minorHAnsi" w:hAnsiTheme="minorHAnsi" w:cstheme="minorHAnsi"/>
          <w:color w:val="auto"/>
        </w:rPr>
        <w:t xml:space="preserve">ed adherence </w:t>
      </w:r>
      <w:r w:rsidR="006F1F78" w:rsidRPr="00BB6F06">
        <w:rPr>
          <w:rFonts w:asciiTheme="minorHAnsi" w:hAnsiTheme="minorHAnsi" w:cstheme="minorHAnsi"/>
          <w:color w:val="auto"/>
        </w:rPr>
        <w:t>suffers from</w:t>
      </w:r>
      <w:r w:rsidR="00A16E6B" w:rsidRPr="00BB6F06">
        <w:rPr>
          <w:rFonts w:asciiTheme="minorHAnsi" w:hAnsiTheme="minorHAnsi" w:cstheme="minorHAnsi"/>
          <w:color w:val="auto"/>
        </w:rPr>
        <w:t xml:space="preserve"> recall bias and the desire to please providers</w:t>
      </w:r>
      <w:r w:rsidR="00401110" w:rsidRPr="00BB6F06">
        <w:rPr>
          <w:rFonts w:asciiTheme="minorHAnsi" w:hAnsiTheme="minorHAnsi" w:cstheme="minorHAnsi"/>
          <w:color w:val="auto"/>
          <w:vertAlign w:val="superscript"/>
        </w:rPr>
        <w:t>5,6</w:t>
      </w:r>
      <w:r w:rsidR="00FE44D1" w:rsidRPr="00BB6F06">
        <w:rPr>
          <w:rFonts w:asciiTheme="minorHAnsi" w:hAnsiTheme="minorHAnsi" w:cstheme="minorHAnsi"/>
          <w:color w:val="auto"/>
        </w:rPr>
        <w:t xml:space="preserve">. </w:t>
      </w:r>
      <w:r w:rsidR="00A16E6B" w:rsidRPr="00BB6F06">
        <w:rPr>
          <w:rFonts w:asciiTheme="minorHAnsi" w:hAnsiTheme="minorHAnsi" w:cstheme="minorHAnsi"/>
          <w:color w:val="auto"/>
        </w:rPr>
        <w:t>Pill counts and medication event monitoring systems (MEMS) can be more objective</w:t>
      </w:r>
      <w:r w:rsidR="00401110" w:rsidRPr="00BB6F06">
        <w:rPr>
          <w:rFonts w:asciiTheme="minorHAnsi" w:hAnsiTheme="minorHAnsi" w:cstheme="minorHAnsi"/>
          <w:color w:val="auto"/>
          <w:vertAlign w:val="superscript"/>
        </w:rPr>
        <w:t>7</w:t>
      </w:r>
      <w:r w:rsidR="00A16E6B" w:rsidRPr="00BB6F06">
        <w:rPr>
          <w:rFonts w:asciiTheme="minorHAnsi" w:hAnsiTheme="minorHAnsi" w:cstheme="minorHAnsi"/>
          <w:color w:val="auto"/>
        </w:rPr>
        <w:t xml:space="preserve"> but </w:t>
      </w:r>
      <w:r w:rsidR="00B56BEC" w:rsidRPr="00BB6F06">
        <w:rPr>
          <w:rFonts w:asciiTheme="minorHAnsi" w:hAnsiTheme="minorHAnsi" w:cstheme="minorHAnsi"/>
          <w:color w:val="auto"/>
        </w:rPr>
        <w:t>do not measure actual</w:t>
      </w:r>
      <w:r w:rsidR="00245854" w:rsidRPr="00BB6F06">
        <w:rPr>
          <w:rFonts w:asciiTheme="minorHAnsi" w:hAnsiTheme="minorHAnsi" w:cstheme="minorHAnsi"/>
          <w:color w:val="auto"/>
        </w:rPr>
        <w:t xml:space="preserve"> </w:t>
      </w:r>
      <w:r w:rsidR="00A16E6B" w:rsidRPr="00BB6F06">
        <w:rPr>
          <w:rFonts w:asciiTheme="minorHAnsi" w:hAnsiTheme="minorHAnsi" w:cstheme="minorHAnsi"/>
          <w:color w:val="auto"/>
        </w:rPr>
        <w:t>drug consumption</w:t>
      </w:r>
      <w:r w:rsidR="00401110" w:rsidRPr="00BB6F06">
        <w:rPr>
          <w:rFonts w:asciiTheme="minorHAnsi" w:hAnsiTheme="minorHAnsi" w:cstheme="minorHAnsi"/>
          <w:color w:val="auto"/>
          <w:vertAlign w:val="superscript"/>
        </w:rPr>
        <w:t>8-10</w:t>
      </w:r>
      <w:r w:rsidR="00FE44D1" w:rsidRPr="00BB6F06">
        <w:rPr>
          <w:rFonts w:asciiTheme="minorHAnsi" w:hAnsiTheme="minorHAnsi" w:cstheme="minorHAnsi"/>
          <w:color w:val="auto"/>
        </w:rPr>
        <w:t xml:space="preserve">. </w:t>
      </w:r>
      <w:r w:rsidR="00B56BEC" w:rsidRPr="00BB6F06">
        <w:rPr>
          <w:rFonts w:asciiTheme="minorHAnsi" w:hAnsiTheme="minorHAnsi" w:cstheme="minorHAnsi"/>
          <w:color w:val="auto"/>
        </w:rPr>
        <w:t xml:space="preserve">Drug </w:t>
      </w:r>
      <w:r w:rsidR="00C15E86" w:rsidRPr="00BB6F06">
        <w:rPr>
          <w:rFonts w:asciiTheme="minorHAnsi" w:hAnsiTheme="minorHAnsi" w:cstheme="minorHAnsi"/>
          <w:color w:val="auto"/>
        </w:rPr>
        <w:t xml:space="preserve">levels </w:t>
      </w:r>
      <w:r w:rsidR="00B56BEC" w:rsidRPr="00BB6F06">
        <w:rPr>
          <w:rFonts w:asciiTheme="minorHAnsi" w:hAnsiTheme="minorHAnsi" w:cstheme="minorHAnsi"/>
          <w:color w:val="auto"/>
        </w:rPr>
        <w:t xml:space="preserve">in biomatrices </w:t>
      </w:r>
      <w:r w:rsidR="00C15E86" w:rsidRPr="00BB6F06">
        <w:rPr>
          <w:rFonts w:asciiTheme="minorHAnsi" w:hAnsiTheme="minorHAnsi" w:cstheme="minorHAnsi"/>
          <w:color w:val="auto"/>
        </w:rPr>
        <w:t xml:space="preserve">can provide both </w:t>
      </w:r>
      <w:r w:rsidR="001059F2" w:rsidRPr="00BB6F06">
        <w:rPr>
          <w:rFonts w:asciiTheme="minorHAnsi" w:hAnsiTheme="minorHAnsi" w:cstheme="minorHAnsi"/>
          <w:color w:val="auto"/>
        </w:rPr>
        <w:t xml:space="preserve">adherence and </w:t>
      </w:r>
      <w:r w:rsidR="00C15E86" w:rsidRPr="00BB6F06">
        <w:rPr>
          <w:rFonts w:asciiTheme="minorHAnsi" w:hAnsiTheme="minorHAnsi" w:cstheme="minorHAnsi"/>
          <w:color w:val="auto"/>
        </w:rPr>
        <w:t xml:space="preserve">pharmacokinetic </w:t>
      </w:r>
      <w:r w:rsidR="00B56BEC" w:rsidRPr="00BB6F06">
        <w:rPr>
          <w:rFonts w:asciiTheme="minorHAnsi" w:hAnsiTheme="minorHAnsi" w:cstheme="minorHAnsi"/>
          <w:color w:val="auto"/>
        </w:rPr>
        <w:t>data</w:t>
      </w:r>
      <w:r w:rsidR="001059F2" w:rsidRPr="00BB6F06">
        <w:rPr>
          <w:rFonts w:asciiTheme="minorHAnsi" w:hAnsiTheme="minorHAnsi" w:cstheme="minorHAnsi"/>
          <w:color w:val="auto"/>
        </w:rPr>
        <w:t xml:space="preserve">. </w:t>
      </w:r>
      <w:r w:rsidR="00ED4BC2" w:rsidRPr="00BB6F06">
        <w:rPr>
          <w:rFonts w:asciiTheme="minorHAnsi" w:hAnsiTheme="minorHAnsi" w:cstheme="minorHAnsi"/>
          <w:color w:val="auto"/>
        </w:rPr>
        <w:t xml:space="preserve">Therefore, </w:t>
      </w:r>
      <w:r w:rsidR="00EB52AD" w:rsidRPr="00BB6F06">
        <w:rPr>
          <w:rFonts w:asciiTheme="minorHAnsi" w:hAnsiTheme="minorHAnsi" w:cstheme="minorHAnsi"/>
          <w:color w:val="auto"/>
        </w:rPr>
        <w:t>p</w:t>
      </w:r>
      <w:r w:rsidR="009A18F5" w:rsidRPr="00BB6F06">
        <w:rPr>
          <w:rFonts w:asciiTheme="minorHAnsi" w:hAnsiTheme="minorHAnsi" w:cstheme="minorHAnsi"/>
          <w:color w:val="auto"/>
        </w:rPr>
        <w:t xml:space="preserve">lasma </w:t>
      </w:r>
      <w:r w:rsidR="001B0BDD" w:rsidRPr="00BB6F06">
        <w:rPr>
          <w:rFonts w:asciiTheme="minorHAnsi" w:hAnsiTheme="minorHAnsi" w:cstheme="minorHAnsi"/>
          <w:color w:val="auto"/>
        </w:rPr>
        <w:t xml:space="preserve">drug </w:t>
      </w:r>
      <w:r w:rsidR="009A18F5" w:rsidRPr="00BB6F06">
        <w:rPr>
          <w:rFonts w:asciiTheme="minorHAnsi" w:hAnsiTheme="minorHAnsi" w:cstheme="minorHAnsi"/>
          <w:color w:val="auto"/>
        </w:rPr>
        <w:t xml:space="preserve">levels </w:t>
      </w:r>
      <w:r w:rsidR="00EB52AD" w:rsidRPr="00BB6F06">
        <w:rPr>
          <w:rFonts w:asciiTheme="minorHAnsi" w:hAnsiTheme="minorHAnsi" w:cstheme="minorHAnsi"/>
          <w:color w:val="auto"/>
        </w:rPr>
        <w:t>are</w:t>
      </w:r>
      <w:r w:rsidR="009A18F5" w:rsidRPr="00BB6F06">
        <w:rPr>
          <w:rFonts w:asciiTheme="minorHAnsi" w:hAnsiTheme="minorHAnsi" w:cstheme="minorHAnsi"/>
          <w:color w:val="auto"/>
        </w:rPr>
        <w:t xml:space="preserve"> commonly used in therape</w:t>
      </w:r>
      <w:r w:rsidR="001B0BDD" w:rsidRPr="00BB6F06">
        <w:rPr>
          <w:rFonts w:asciiTheme="minorHAnsi" w:hAnsiTheme="minorHAnsi" w:cstheme="minorHAnsi"/>
          <w:color w:val="auto"/>
        </w:rPr>
        <w:t>utic drug monitoring</w:t>
      </w:r>
      <w:r w:rsidR="00C612FE" w:rsidRPr="00BB6F06">
        <w:rPr>
          <w:rFonts w:asciiTheme="minorHAnsi" w:hAnsiTheme="minorHAnsi" w:cstheme="minorHAnsi"/>
          <w:color w:val="auto"/>
          <w:vertAlign w:val="superscript"/>
        </w:rPr>
        <w:t>11,12</w:t>
      </w:r>
      <w:r w:rsidR="00FE44D1" w:rsidRPr="00BB6F06">
        <w:rPr>
          <w:rFonts w:asciiTheme="minorHAnsi" w:hAnsiTheme="minorHAnsi" w:cstheme="minorHAnsi"/>
          <w:color w:val="auto"/>
        </w:rPr>
        <w:t xml:space="preserve">. </w:t>
      </w:r>
      <w:r w:rsidR="001B0BDD" w:rsidRPr="00BB6F06">
        <w:rPr>
          <w:rFonts w:asciiTheme="minorHAnsi" w:hAnsiTheme="minorHAnsi" w:cstheme="minorHAnsi"/>
          <w:color w:val="auto"/>
        </w:rPr>
        <w:t>I</w:t>
      </w:r>
      <w:r w:rsidR="009A18F5" w:rsidRPr="00BB6F06">
        <w:rPr>
          <w:rFonts w:asciiTheme="minorHAnsi" w:hAnsiTheme="minorHAnsi" w:cstheme="minorHAnsi"/>
          <w:color w:val="auto"/>
        </w:rPr>
        <w:t>n the context of drug adherence</w:t>
      </w:r>
      <w:r w:rsidR="005B7EEF" w:rsidRPr="00BB6F06">
        <w:rPr>
          <w:rFonts w:asciiTheme="minorHAnsi" w:hAnsiTheme="minorHAnsi" w:cstheme="minorHAnsi"/>
          <w:color w:val="auto"/>
        </w:rPr>
        <w:t xml:space="preserve"> monitoring</w:t>
      </w:r>
      <w:r w:rsidR="009A18F5" w:rsidRPr="00BB6F06">
        <w:rPr>
          <w:rFonts w:asciiTheme="minorHAnsi" w:hAnsiTheme="minorHAnsi" w:cstheme="minorHAnsi"/>
          <w:color w:val="auto"/>
        </w:rPr>
        <w:t>,</w:t>
      </w:r>
      <w:r w:rsidR="001B0BDD" w:rsidRPr="00BB6F06">
        <w:rPr>
          <w:rFonts w:asciiTheme="minorHAnsi" w:hAnsiTheme="minorHAnsi" w:cstheme="minorHAnsi"/>
          <w:color w:val="auto"/>
        </w:rPr>
        <w:t xml:space="preserve"> however,</w:t>
      </w:r>
      <w:r w:rsidR="009A18F5" w:rsidRPr="00BB6F06">
        <w:rPr>
          <w:rFonts w:asciiTheme="minorHAnsi" w:hAnsiTheme="minorHAnsi" w:cstheme="minorHAnsi"/>
          <w:color w:val="auto"/>
        </w:rPr>
        <w:t xml:space="preserve"> plasma levels represent short-term exposure and are limited by significant </w:t>
      </w:r>
      <w:r w:rsidR="003E1369" w:rsidRPr="00BB6F06">
        <w:rPr>
          <w:rFonts w:asciiTheme="minorHAnsi" w:hAnsiTheme="minorHAnsi" w:cstheme="minorHAnsi"/>
          <w:color w:val="auto"/>
        </w:rPr>
        <w:t>intra</w:t>
      </w:r>
      <w:r w:rsidR="00245854" w:rsidRPr="00BB6F06">
        <w:rPr>
          <w:rFonts w:asciiTheme="minorHAnsi" w:hAnsiTheme="minorHAnsi" w:cstheme="minorHAnsi"/>
          <w:color w:val="auto"/>
        </w:rPr>
        <w:t>-</w:t>
      </w:r>
      <w:r w:rsidR="009A18F5" w:rsidRPr="00BB6F06">
        <w:rPr>
          <w:rFonts w:asciiTheme="minorHAnsi" w:hAnsiTheme="minorHAnsi" w:cstheme="minorHAnsi"/>
          <w:color w:val="auto"/>
        </w:rPr>
        <w:t xml:space="preserve"> and </w:t>
      </w:r>
      <w:r w:rsidR="005B7EEF" w:rsidRPr="00BB6F06">
        <w:rPr>
          <w:rFonts w:asciiTheme="minorHAnsi" w:hAnsiTheme="minorHAnsi" w:cstheme="minorHAnsi"/>
          <w:color w:val="auto"/>
        </w:rPr>
        <w:t>inter</w:t>
      </w:r>
      <w:r w:rsidR="00245854" w:rsidRPr="00BB6F06">
        <w:rPr>
          <w:rFonts w:asciiTheme="minorHAnsi" w:hAnsiTheme="minorHAnsi" w:cstheme="minorHAnsi"/>
          <w:color w:val="auto"/>
        </w:rPr>
        <w:t>-</w:t>
      </w:r>
      <w:r w:rsidR="00F66836" w:rsidRPr="00BB6F06">
        <w:rPr>
          <w:rFonts w:asciiTheme="minorHAnsi" w:hAnsiTheme="minorHAnsi" w:cstheme="minorHAnsi"/>
          <w:color w:val="auto"/>
        </w:rPr>
        <w:t>patient</w:t>
      </w:r>
      <w:r w:rsidR="009A18F5" w:rsidRPr="00BB6F06">
        <w:rPr>
          <w:rFonts w:asciiTheme="minorHAnsi" w:hAnsiTheme="minorHAnsi" w:cstheme="minorHAnsi"/>
          <w:color w:val="auto"/>
        </w:rPr>
        <w:t xml:space="preserve"> variability </w:t>
      </w:r>
      <w:r w:rsidR="00F66836" w:rsidRPr="00BB6F06">
        <w:rPr>
          <w:rFonts w:asciiTheme="minorHAnsi" w:hAnsiTheme="minorHAnsi" w:cstheme="minorHAnsi"/>
          <w:color w:val="auto"/>
        </w:rPr>
        <w:t xml:space="preserve">when </w:t>
      </w:r>
      <w:r w:rsidR="009A18F5" w:rsidRPr="00BB6F06">
        <w:rPr>
          <w:rFonts w:asciiTheme="minorHAnsi" w:hAnsiTheme="minorHAnsi" w:cstheme="minorHAnsi"/>
          <w:color w:val="auto"/>
        </w:rPr>
        <w:t>determining appropriate adherence reference range. “White coat” effects</w:t>
      </w:r>
      <w:r w:rsidR="007A5A43" w:rsidRPr="00BB6F06">
        <w:rPr>
          <w:rFonts w:asciiTheme="minorHAnsi" w:hAnsiTheme="minorHAnsi" w:cstheme="minorHAnsi"/>
          <w:color w:val="auto"/>
        </w:rPr>
        <w:t>,</w:t>
      </w:r>
      <w:r w:rsidR="009A18F5" w:rsidRPr="00BB6F06">
        <w:rPr>
          <w:rFonts w:asciiTheme="minorHAnsi" w:hAnsiTheme="minorHAnsi" w:cstheme="minorHAnsi"/>
          <w:color w:val="auto"/>
        </w:rPr>
        <w:t xml:space="preserve"> where adherence improves</w:t>
      </w:r>
      <w:r w:rsidR="001B0BDD" w:rsidRPr="00BB6F06">
        <w:rPr>
          <w:rFonts w:asciiTheme="minorHAnsi" w:hAnsiTheme="minorHAnsi" w:cstheme="minorHAnsi"/>
          <w:color w:val="auto"/>
        </w:rPr>
        <w:t xml:space="preserve"> prior to clinic</w:t>
      </w:r>
      <w:r w:rsidR="007A5A43" w:rsidRPr="00BB6F06">
        <w:rPr>
          <w:rFonts w:asciiTheme="minorHAnsi" w:hAnsiTheme="minorHAnsi" w:cstheme="minorHAnsi"/>
          <w:color w:val="auto"/>
        </w:rPr>
        <w:t xml:space="preserve"> or study</w:t>
      </w:r>
      <w:r w:rsidR="001B0BDD" w:rsidRPr="00BB6F06">
        <w:rPr>
          <w:rFonts w:asciiTheme="minorHAnsi" w:hAnsiTheme="minorHAnsi" w:cstheme="minorHAnsi"/>
          <w:color w:val="auto"/>
        </w:rPr>
        <w:t xml:space="preserve"> visit</w:t>
      </w:r>
      <w:r w:rsidR="005A06B3" w:rsidRPr="00BB6F06">
        <w:rPr>
          <w:rFonts w:asciiTheme="minorHAnsi" w:hAnsiTheme="minorHAnsi" w:cstheme="minorHAnsi"/>
          <w:color w:val="auto"/>
        </w:rPr>
        <w:t>s</w:t>
      </w:r>
      <w:r w:rsidR="007A5A43" w:rsidRPr="00BB6F06">
        <w:rPr>
          <w:rFonts w:asciiTheme="minorHAnsi" w:hAnsiTheme="minorHAnsi" w:cstheme="minorHAnsi"/>
          <w:color w:val="auto"/>
        </w:rPr>
        <w:t>,</w:t>
      </w:r>
      <w:r w:rsidR="001B0BDD" w:rsidRPr="00BB6F06">
        <w:rPr>
          <w:rFonts w:asciiTheme="minorHAnsi" w:hAnsiTheme="minorHAnsi" w:cstheme="minorHAnsi"/>
          <w:color w:val="auto"/>
        </w:rPr>
        <w:t xml:space="preserve"> further complicates the ability of plasma levels to provide accurate drug adherence patterns</w:t>
      </w:r>
      <w:r w:rsidR="00D0583A" w:rsidRPr="00BB6F06">
        <w:rPr>
          <w:rFonts w:asciiTheme="minorHAnsi" w:hAnsiTheme="minorHAnsi" w:cstheme="minorHAnsi"/>
          <w:color w:val="auto"/>
          <w:vertAlign w:val="superscript"/>
        </w:rPr>
        <w:t>1</w:t>
      </w:r>
      <w:r w:rsidR="00C612FE" w:rsidRPr="00BB6F06">
        <w:rPr>
          <w:rFonts w:asciiTheme="minorHAnsi" w:hAnsiTheme="minorHAnsi" w:cstheme="minorHAnsi"/>
          <w:color w:val="auto"/>
          <w:vertAlign w:val="superscript"/>
        </w:rPr>
        <w:t>3</w:t>
      </w:r>
      <w:r w:rsidR="00FE44D1" w:rsidRPr="00BB6F06">
        <w:rPr>
          <w:rFonts w:asciiTheme="minorHAnsi" w:hAnsiTheme="minorHAnsi" w:cstheme="minorHAnsi"/>
          <w:color w:val="auto"/>
        </w:rPr>
        <w:t>.</w:t>
      </w:r>
    </w:p>
    <w:p w14:paraId="32875C4B" w14:textId="77777777" w:rsidR="009A18F5" w:rsidRPr="00BB6F06" w:rsidRDefault="009A18F5" w:rsidP="00BB6F06">
      <w:pPr>
        <w:rPr>
          <w:rFonts w:asciiTheme="minorHAnsi" w:hAnsiTheme="minorHAnsi" w:cstheme="minorHAnsi"/>
          <w:color w:val="auto"/>
        </w:rPr>
      </w:pPr>
    </w:p>
    <w:p w14:paraId="480CF189" w14:textId="4A73F586" w:rsidR="003E1369" w:rsidRPr="00BB6F06" w:rsidRDefault="009A18F5" w:rsidP="00BB6F06">
      <w:pPr>
        <w:rPr>
          <w:rFonts w:asciiTheme="minorHAnsi" w:hAnsiTheme="minorHAnsi" w:cstheme="minorHAnsi"/>
          <w:color w:val="auto"/>
        </w:rPr>
      </w:pPr>
      <w:r w:rsidRPr="00BB6F06">
        <w:rPr>
          <w:rFonts w:asciiTheme="minorHAnsi" w:hAnsiTheme="minorHAnsi" w:cstheme="minorHAnsi"/>
          <w:color w:val="auto"/>
        </w:rPr>
        <w:t>Hair is an alternative</w:t>
      </w:r>
      <w:r w:rsidR="00C84566" w:rsidRPr="00BB6F06">
        <w:rPr>
          <w:rFonts w:asciiTheme="minorHAnsi" w:hAnsiTheme="minorHAnsi" w:cstheme="minorHAnsi"/>
          <w:color w:val="auto"/>
        </w:rPr>
        <w:t xml:space="preserve"> biomatrix that can measure</w:t>
      </w:r>
      <w:r w:rsidR="001B0BDD" w:rsidRPr="00BB6F06">
        <w:rPr>
          <w:rFonts w:asciiTheme="minorHAnsi" w:hAnsiTheme="minorHAnsi" w:cstheme="minorHAnsi"/>
          <w:color w:val="auto"/>
        </w:rPr>
        <w:t xml:space="preserve"> long-term drug exposure</w:t>
      </w:r>
      <w:r w:rsidR="00C612FE" w:rsidRPr="00BB6F06">
        <w:rPr>
          <w:rFonts w:asciiTheme="minorHAnsi" w:hAnsiTheme="minorHAnsi" w:cstheme="minorHAnsi"/>
          <w:color w:val="auto"/>
          <w:vertAlign w:val="superscript"/>
        </w:rPr>
        <w:t>14,15</w:t>
      </w:r>
      <w:r w:rsidR="00FE44D1" w:rsidRPr="00BB6F06">
        <w:rPr>
          <w:rFonts w:asciiTheme="minorHAnsi" w:hAnsiTheme="minorHAnsi" w:cstheme="minorHAnsi"/>
          <w:color w:val="auto"/>
        </w:rPr>
        <w:t xml:space="preserve">. </w:t>
      </w:r>
      <w:r w:rsidR="00C84566" w:rsidRPr="00BB6F06">
        <w:rPr>
          <w:rFonts w:asciiTheme="minorHAnsi" w:hAnsiTheme="minorHAnsi" w:cstheme="minorHAnsi"/>
          <w:color w:val="auto"/>
        </w:rPr>
        <w:t>Many drugs and endogenous metabolites incorporate in</w:t>
      </w:r>
      <w:r w:rsidR="00A526F0" w:rsidRPr="00BB6F06">
        <w:rPr>
          <w:rFonts w:asciiTheme="minorHAnsi" w:hAnsiTheme="minorHAnsi" w:cstheme="minorHAnsi"/>
          <w:color w:val="auto"/>
        </w:rPr>
        <w:t>to</w:t>
      </w:r>
      <w:r w:rsidR="00C84566" w:rsidRPr="00BB6F06">
        <w:rPr>
          <w:rFonts w:asciiTheme="minorHAnsi" w:hAnsiTheme="minorHAnsi" w:cstheme="minorHAnsi"/>
          <w:color w:val="auto"/>
        </w:rPr>
        <w:t xml:space="preserve"> the</w:t>
      </w:r>
      <w:r w:rsidR="00E86E4C" w:rsidRPr="00BB6F06">
        <w:rPr>
          <w:rFonts w:asciiTheme="minorHAnsi" w:hAnsiTheme="minorHAnsi" w:cstheme="minorHAnsi"/>
          <w:color w:val="auto"/>
        </w:rPr>
        <w:t xml:space="preserve"> hair protein matrix from</w:t>
      </w:r>
      <w:r w:rsidR="00E06B33" w:rsidRPr="00BB6F06">
        <w:rPr>
          <w:rFonts w:asciiTheme="minorHAnsi" w:hAnsiTheme="minorHAnsi" w:cstheme="minorHAnsi"/>
          <w:color w:val="auto"/>
        </w:rPr>
        <w:t xml:space="preserve"> the</w:t>
      </w:r>
      <w:r w:rsidR="00E86E4C" w:rsidRPr="00BB6F06">
        <w:rPr>
          <w:rFonts w:asciiTheme="minorHAnsi" w:hAnsiTheme="minorHAnsi" w:cstheme="minorHAnsi"/>
          <w:color w:val="auto"/>
        </w:rPr>
        <w:t xml:space="preserve"> systemic circulation as hair</w:t>
      </w:r>
      <w:r w:rsidR="00EB2DF2" w:rsidRPr="00BB6F06">
        <w:rPr>
          <w:rFonts w:asciiTheme="minorHAnsi" w:hAnsiTheme="minorHAnsi" w:cstheme="minorHAnsi"/>
          <w:color w:val="auto"/>
        </w:rPr>
        <w:t xml:space="preserve"> grows. As this</w:t>
      </w:r>
      <w:r w:rsidR="00E86E4C" w:rsidRPr="00BB6F06">
        <w:rPr>
          <w:rFonts w:asciiTheme="minorHAnsi" w:hAnsiTheme="minorHAnsi" w:cstheme="minorHAnsi"/>
          <w:color w:val="auto"/>
        </w:rPr>
        <w:t xml:space="preserve"> dynamic process</w:t>
      </w:r>
      <w:r w:rsidR="00EB2DF2" w:rsidRPr="00BB6F06">
        <w:rPr>
          <w:rFonts w:asciiTheme="minorHAnsi" w:hAnsiTheme="minorHAnsi" w:cstheme="minorHAnsi"/>
          <w:color w:val="auto"/>
        </w:rPr>
        <w:t xml:space="preserve"> continu</w:t>
      </w:r>
      <w:r w:rsidR="00C55A59" w:rsidRPr="00BB6F06">
        <w:rPr>
          <w:rFonts w:asciiTheme="minorHAnsi" w:hAnsiTheme="minorHAnsi" w:cstheme="minorHAnsi"/>
          <w:color w:val="auto"/>
        </w:rPr>
        <w:t>es</w:t>
      </w:r>
      <w:r w:rsidR="00EB2DF2" w:rsidRPr="00BB6F06">
        <w:rPr>
          <w:rFonts w:asciiTheme="minorHAnsi" w:hAnsiTheme="minorHAnsi" w:cstheme="minorHAnsi"/>
          <w:color w:val="auto"/>
        </w:rPr>
        <w:t xml:space="preserve"> during hair growth</w:t>
      </w:r>
      <w:r w:rsidR="00E86E4C" w:rsidRPr="00BB6F06">
        <w:rPr>
          <w:rFonts w:asciiTheme="minorHAnsi" w:hAnsiTheme="minorHAnsi" w:cstheme="minorHAnsi"/>
          <w:color w:val="auto"/>
        </w:rPr>
        <w:t>, the amount of</w:t>
      </w:r>
      <w:r w:rsidR="00EB2DF2" w:rsidRPr="00BB6F06">
        <w:rPr>
          <w:rFonts w:asciiTheme="minorHAnsi" w:hAnsiTheme="minorHAnsi" w:cstheme="minorHAnsi"/>
          <w:color w:val="auto"/>
        </w:rPr>
        <w:t xml:space="preserve"> drug </w:t>
      </w:r>
      <w:r w:rsidR="00EB2DF2" w:rsidRPr="00BB6F06">
        <w:rPr>
          <w:rFonts w:asciiTheme="minorHAnsi" w:hAnsiTheme="minorHAnsi" w:cstheme="minorHAnsi"/>
          <w:color w:val="auto"/>
        </w:rPr>
        <w:lastRenderedPageBreak/>
        <w:t xml:space="preserve">deposited in the </w:t>
      </w:r>
      <w:r w:rsidR="00A526F0" w:rsidRPr="00BB6F06">
        <w:rPr>
          <w:rFonts w:asciiTheme="minorHAnsi" w:hAnsiTheme="minorHAnsi" w:cstheme="minorHAnsi"/>
          <w:color w:val="auto"/>
        </w:rPr>
        <w:t xml:space="preserve">hair </w:t>
      </w:r>
      <w:r w:rsidR="00EB2DF2" w:rsidRPr="00BB6F06">
        <w:rPr>
          <w:rFonts w:asciiTheme="minorHAnsi" w:hAnsiTheme="minorHAnsi" w:cstheme="minorHAnsi"/>
          <w:color w:val="auto"/>
        </w:rPr>
        <w:t>matrix</w:t>
      </w:r>
      <w:r w:rsidR="00E86E4C" w:rsidRPr="00BB6F06">
        <w:rPr>
          <w:rFonts w:asciiTheme="minorHAnsi" w:hAnsiTheme="minorHAnsi" w:cstheme="minorHAnsi"/>
          <w:color w:val="auto"/>
        </w:rPr>
        <w:t xml:space="preserve"> depend</w:t>
      </w:r>
      <w:r w:rsidR="00EB2DF2" w:rsidRPr="00BB6F06">
        <w:rPr>
          <w:rFonts w:asciiTheme="minorHAnsi" w:hAnsiTheme="minorHAnsi" w:cstheme="minorHAnsi"/>
          <w:color w:val="auto"/>
        </w:rPr>
        <w:t>s</w:t>
      </w:r>
      <w:r w:rsidR="00E86E4C" w:rsidRPr="00BB6F06">
        <w:rPr>
          <w:rFonts w:asciiTheme="minorHAnsi" w:hAnsiTheme="minorHAnsi" w:cstheme="minorHAnsi"/>
          <w:color w:val="auto"/>
        </w:rPr>
        <w:t xml:space="preserve"> on the </w:t>
      </w:r>
      <w:r w:rsidR="00EB2DF2" w:rsidRPr="00BB6F06">
        <w:rPr>
          <w:rFonts w:asciiTheme="minorHAnsi" w:hAnsiTheme="minorHAnsi" w:cstheme="minorHAnsi"/>
          <w:color w:val="auto"/>
        </w:rPr>
        <w:t xml:space="preserve">continuous presence </w:t>
      </w:r>
      <w:r w:rsidR="00E86E4C" w:rsidRPr="00BB6F06">
        <w:rPr>
          <w:rFonts w:asciiTheme="minorHAnsi" w:hAnsiTheme="minorHAnsi" w:cstheme="minorHAnsi"/>
          <w:color w:val="auto"/>
        </w:rPr>
        <w:t xml:space="preserve">of </w:t>
      </w:r>
      <w:r w:rsidR="00EB2DF2" w:rsidRPr="00BB6F06">
        <w:rPr>
          <w:rFonts w:asciiTheme="minorHAnsi" w:hAnsiTheme="minorHAnsi" w:cstheme="minorHAnsi"/>
          <w:color w:val="auto"/>
        </w:rPr>
        <w:t xml:space="preserve">the </w:t>
      </w:r>
      <w:r w:rsidR="00A526F0" w:rsidRPr="00BB6F06">
        <w:rPr>
          <w:rFonts w:asciiTheme="minorHAnsi" w:hAnsiTheme="minorHAnsi" w:cstheme="minorHAnsi"/>
          <w:color w:val="auto"/>
        </w:rPr>
        <w:t>drug in</w:t>
      </w:r>
      <w:r w:rsidR="00E86E4C" w:rsidRPr="00BB6F06">
        <w:rPr>
          <w:rFonts w:asciiTheme="minorHAnsi" w:hAnsiTheme="minorHAnsi" w:cstheme="minorHAnsi"/>
          <w:color w:val="auto"/>
        </w:rPr>
        <w:t xml:space="preserve"> c</w:t>
      </w:r>
      <w:r w:rsidR="00EB2DF2" w:rsidRPr="00BB6F06">
        <w:rPr>
          <w:rFonts w:asciiTheme="minorHAnsi" w:hAnsiTheme="minorHAnsi" w:cstheme="minorHAnsi"/>
          <w:color w:val="auto"/>
        </w:rPr>
        <w:t>irculation</w:t>
      </w:r>
      <w:r w:rsidR="005A06B3" w:rsidRPr="00BB6F06">
        <w:rPr>
          <w:rFonts w:asciiTheme="minorHAnsi" w:hAnsiTheme="minorHAnsi" w:cstheme="minorHAnsi"/>
          <w:color w:val="auto"/>
        </w:rPr>
        <w:t>,</w:t>
      </w:r>
      <w:r w:rsidR="00A526F0" w:rsidRPr="00BB6F06">
        <w:rPr>
          <w:rFonts w:asciiTheme="minorHAnsi" w:hAnsiTheme="minorHAnsi" w:cstheme="minorHAnsi"/>
          <w:color w:val="auto"/>
        </w:rPr>
        <w:t xml:space="preserve"> making hair a</w:t>
      </w:r>
      <w:r w:rsidR="00E06B33" w:rsidRPr="00BB6F06">
        <w:rPr>
          <w:rFonts w:asciiTheme="minorHAnsi" w:hAnsiTheme="minorHAnsi" w:cstheme="minorHAnsi"/>
          <w:color w:val="auto"/>
        </w:rPr>
        <w:t>n excellent</w:t>
      </w:r>
      <w:r w:rsidR="00A526F0" w:rsidRPr="00BB6F06">
        <w:rPr>
          <w:rFonts w:asciiTheme="minorHAnsi" w:hAnsiTheme="minorHAnsi" w:cstheme="minorHAnsi"/>
          <w:color w:val="auto"/>
        </w:rPr>
        <w:t xml:space="preserve"> temporal readout of drug intake</w:t>
      </w:r>
      <w:r w:rsidR="00E86E4C" w:rsidRPr="00BB6F06">
        <w:rPr>
          <w:rFonts w:asciiTheme="minorHAnsi" w:hAnsiTheme="minorHAnsi" w:cstheme="minorHAnsi"/>
          <w:color w:val="auto"/>
        </w:rPr>
        <w:t>.</w:t>
      </w:r>
      <w:r w:rsidR="00C84566" w:rsidRPr="00BB6F06">
        <w:rPr>
          <w:rFonts w:asciiTheme="minorHAnsi" w:hAnsiTheme="minorHAnsi" w:cstheme="minorHAnsi"/>
          <w:color w:val="auto"/>
        </w:rPr>
        <w:t xml:space="preserve"> </w:t>
      </w:r>
      <w:r w:rsidR="003E1369" w:rsidRPr="00BB6F06">
        <w:rPr>
          <w:rFonts w:asciiTheme="minorHAnsi" w:hAnsiTheme="minorHAnsi" w:cstheme="minorHAnsi"/>
          <w:color w:val="auto"/>
        </w:rPr>
        <w:t>H</w:t>
      </w:r>
      <w:r w:rsidR="00A526F0" w:rsidRPr="00BB6F06">
        <w:rPr>
          <w:rFonts w:asciiTheme="minorHAnsi" w:hAnsiTheme="minorHAnsi" w:cstheme="minorHAnsi"/>
          <w:color w:val="auto"/>
        </w:rPr>
        <w:t>air</w:t>
      </w:r>
      <w:r w:rsidR="001118A7" w:rsidRPr="00BB6F06">
        <w:rPr>
          <w:rFonts w:asciiTheme="minorHAnsi" w:hAnsiTheme="minorHAnsi" w:cstheme="minorHAnsi"/>
          <w:color w:val="auto"/>
        </w:rPr>
        <w:t xml:space="preserve"> </w:t>
      </w:r>
      <w:r w:rsidR="003E1369" w:rsidRPr="00BB6F06">
        <w:rPr>
          <w:rFonts w:asciiTheme="minorHAnsi" w:hAnsiTheme="minorHAnsi" w:cstheme="minorHAnsi"/>
          <w:color w:val="auto"/>
        </w:rPr>
        <w:t xml:space="preserve">as a biomatrix has the additional advantage of being easily collected without </w:t>
      </w:r>
      <w:r w:rsidR="001118A7" w:rsidRPr="00BB6F06">
        <w:rPr>
          <w:rFonts w:asciiTheme="minorHAnsi" w:hAnsiTheme="minorHAnsi" w:cstheme="minorHAnsi"/>
          <w:color w:val="auto"/>
        </w:rPr>
        <w:t>the need for cold chain for storage and shipment</w:t>
      </w:r>
      <w:r w:rsidR="003E1369" w:rsidRPr="00BB6F06">
        <w:rPr>
          <w:rFonts w:asciiTheme="minorHAnsi" w:hAnsiTheme="minorHAnsi" w:cstheme="minorHAnsi"/>
          <w:color w:val="auto"/>
        </w:rPr>
        <w:t xml:space="preserve"> compared to blood</w:t>
      </w:r>
      <w:r w:rsidR="001118A7" w:rsidRPr="00BB6F06">
        <w:rPr>
          <w:rFonts w:asciiTheme="minorHAnsi" w:hAnsiTheme="minorHAnsi" w:cstheme="minorHAnsi"/>
          <w:color w:val="auto"/>
        </w:rPr>
        <w:t xml:space="preserve">. </w:t>
      </w:r>
      <w:r w:rsidR="00E06B33" w:rsidRPr="00BB6F06">
        <w:rPr>
          <w:rFonts w:asciiTheme="minorHAnsi" w:hAnsiTheme="minorHAnsi" w:cstheme="minorHAnsi"/>
          <w:color w:val="auto"/>
        </w:rPr>
        <w:t>Moreover, hair is non-biohazardous, which provides additional feasibility advantages in the field.</w:t>
      </w:r>
    </w:p>
    <w:p w14:paraId="7EFDA2B8" w14:textId="77777777" w:rsidR="003E1369" w:rsidRPr="00BB6F06" w:rsidRDefault="003E1369" w:rsidP="00BB6F06">
      <w:pPr>
        <w:rPr>
          <w:rFonts w:asciiTheme="minorHAnsi" w:hAnsiTheme="minorHAnsi" w:cstheme="minorHAnsi"/>
          <w:color w:val="auto"/>
        </w:rPr>
      </w:pPr>
    </w:p>
    <w:p w14:paraId="237AD7DD" w14:textId="2BC30980" w:rsidR="00D15131" w:rsidRPr="00BB6F06" w:rsidRDefault="00C55A59" w:rsidP="00BB6F06">
      <w:pPr>
        <w:rPr>
          <w:rFonts w:asciiTheme="minorHAnsi" w:hAnsiTheme="minorHAnsi" w:cstheme="minorHAnsi"/>
          <w:color w:val="auto"/>
        </w:rPr>
      </w:pPr>
      <w:r w:rsidRPr="00BB6F06">
        <w:rPr>
          <w:rFonts w:asciiTheme="minorHAnsi" w:hAnsiTheme="minorHAnsi" w:cstheme="minorHAnsi"/>
          <w:color w:val="auto"/>
        </w:rPr>
        <w:t>Hair drug levels ha</w:t>
      </w:r>
      <w:r w:rsidR="00E04FC0" w:rsidRPr="00BB6F06">
        <w:rPr>
          <w:rFonts w:asciiTheme="minorHAnsi" w:hAnsiTheme="minorHAnsi" w:cstheme="minorHAnsi"/>
          <w:color w:val="auto"/>
        </w:rPr>
        <w:t>ve</w:t>
      </w:r>
      <w:r w:rsidRPr="00BB6F06">
        <w:rPr>
          <w:rFonts w:asciiTheme="minorHAnsi" w:hAnsiTheme="minorHAnsi" w:cstheme="minorHAnsi"/>
          <w:color w:val="auto"/>
        </w:rPr>
        <w:t xml:space="preserve"> long been used in forensic applications</w:t>
      </w:r>
      <w:r w:rsidR="006D2018" w:rsidRPr="00BB6F06">
        <w:rPr>
          <w:rFonts w:asciiTheme="minorHAnsi" w:hAnsiTheme="minorHAnsi" w:cstheme="minorHAnsi"/>
          <w:color w:val="auto"/>
          <w:vertAlign w:val="superscript"/>
        </w:rPr>
        <w:t>1</w:t>
      </w:r>
      <w:r w:rsidR="00C612FE" w:rsidRPr="00BB6F06">
        <w:rPr>
          <w:rFonts w:asciiTheme="minorHAnsi" w:hAnsiTheme="minorHAnsi" w:cstheme="minorHAnsi"/>
          <w:color w:val="auto"/>
          <w:vertAlign w:val="superscript"/>
        </w:rPr>
        <w:t>6</w:t>
      </w:r>
      <w:r w:rsidR="00FE44D1" w:rsidRPr="00BB6F06">
        <w:rPr>
          <w:rFonts w:asciiTheme="minorHAnsi" w:hAnsiTheme="minorHAnsi" w:cstheme="minorHAnsi"/>
          <w:color w:val="auto"/>
        </w:rPr>
        <w:t xml:space="preserve">. </w:t>
      </w:r>
      <w:r w:rsidR="00502461" w:rsidRPr="00BB6F06">
        <w:rPr>
          <w:rFonts w:asciiTheme="minorHAnsi" w:hAnsiTheme="minorHAnsi" w:cstheme="minorHAnsi"/>
          <w:color w:val="auto"/>
        </w:rPr>
        <w:t>Over</w:t>
      </w:r>
      <w:r w:rsidRPr="00BB6F06">
        <w:rPr>
          <w:rFonts w:asciiTheme="minorHAnsi" w:hAnsiTheme="minorHAnsi" w:cstheme="minorHAnsi"/>
          <w:color w:val="auto"/>
        </w:rPr>
        <w:t xml:space="preserve"> the last decade, h</w:t>
      </w:r>
      <w:r w:rsidR="00EB52AD" w:rsidRPr="00BB6F06">
        <w:rPr>
          <w:rFonts w:asciiTheme="minorHAnsi" w:hAnsiTheme="minorHAnsi" w:cstheme="minorHAnsi"/>
          <w:color w:val="auto"/>
        </w:rPr>
        <w:t xml:space="preserve">air antiretroviral </w:t>
      </w:r>
      <w:r w:rsidR="001F5C54" w:rsidRPr="00BB6F06">
        <w:rPr>
          <w:rFonts w:asciiTheme="minorHAnsi" w:hAnsiTheme="minorHAnsi" w:cstheme="minorHAnsi"/>
          <w:color w:val="auto"/>
        </w:rPr>
        <w:t xml:space="preserve">(ARV) </w:t>
      </w:r>
      <w:r w:rsidR="00EB52AD" w:rsidRPr="00BB6F06">
        <w:rPr>
          <w:rFonts w:asciiTheme="minorHAnsi" w:hAnsiTheme="minorHAnsi" w:cstheme="minorHAnsi"/>
          <w:color w:val="auto"/>
        </w:rPr>
        <w:t xml:space="preserve">levels </w:t>
      </w:r>
      <w:r w:rsidR="00DD2467" w:rsidRPr="00BB6F06">
        <w:rPr>
          <w:rFonts w:asciiTheme="minorHAnsi" w:hAnsiTheme="minorHAnsi" w:cstheme="minorHAnsi"/>
          <w:color w:val="auto"/>
        </w:rPr>
        <w:t>have demonstrated utility in assessing drug adherence in HIV treatment and prevention</w:t>
      </w:r>
      <w:r w:rsidR="00502461" w:rsidRPr="00BB6F06">
        <w:rPr>
          <w:rFonts w:asciiTheme="minorHAnsi" w:hAnsiTheme="minorHAnsi" w:cstheme="minorHAnsi"/>
          <w:color w:val="auto"/>
        </w:rPr>
        <w:t xml:space="preserve">, </w:t>
      </w:r>
      <w:r w:rsidR="00E04FC0" w:rsidRPr="00BB6F06">
        <w:rPr>
          <w:rFonts w:asciiTheme="minorHAnsi" w:hAnsiTheme="minorHAnsi" w:cstheme="minorHAnsi"/>
          <w:color w:val="auto"/>
        </w:rPr>
        <w:t>to which our group contributed</w:t>
      </w:r>
      <w:r w:rsidR="00DD2467" w:rsidRPr="00BB6F06">
        <w:rPr>
          <w:rFonts w:asciiTheme="minorHAnsi" w:hAnsiTheme="minorHAnsi" w:cstheme="minorHAnsi"/>
          <w:color w:val="auto"/>
        </w:rPr>
        <w:t>.</w:t>
      </w:r>
      <w:r w:rsidR="001F5C54" w:rsidRPr="00BB6F06">
        <w:rPr>
          <w:rFonts w:asciiTheme="minorHAnsi" w:hAnsiTheme="minorHAnsi" w:cstheme="minorHAnsi"/>
          <w:color w:val="auto"/>
        </w:rPr>
        <w:t xml:space="preserve"> ARV levels</w:t>
      </w:r>
      <w:r w:rsidR="0054328C" w:rsidRPr="00BB6F06">
        <w:rPr>
          <w:rFonts w:asciiTheme="minorHAnsi" w:hAnsiTheme="minorHAnsi" w:cstheme="minorHAnsi"/>
          <w:color w:val="auto"/>
        </w:rPr>
        <w:t xml:space="preserve"> in hair</w:t>
      </w:r>
      <w:r w:rsidR="001F5C54" w:rsidRPr="00BB6F06">
        <w:rPr>
          <w:rFonts w:asciiTheme="minorHAnsi" w:hAnsiTheme="minorHAnsi" w:cstheme="minorHAnsi"/>
          <w:color w:val="auto"/>
        </w:rPr>
        <w:t xml:space="preserve"> </w:t>
      </w:r>
      <w:r w:rsidR="00376A79" w:rsidRPr="00BB6F06">
        <w:rPr>
          <w:rFonts w:asciiTheme="minorHAnsi" w:hAnsiTheme="minorHAnsi" w:cstheme="minorHAnsi"/>
          <w:color w:val="auto"/>
        </w:rPr>
        <w:t xml:space="preserve">have been </w:t>
      </w:r>
      <w:r w:rsidR="0054328C" w:rsidRPr="00BB6F06">
        <w:rPr>
          <w:rFonts w:asciiTheme="minorHAnsi" w:hAnsiTheme="minorHAnsi" w:cstheme="minorHAnsi"/>
          <w:color w:val="auto"/>
        </w:rPr>
        <w:t>shown to be the strongest independent predictor</w:t>
      </w:r>
      <w:r w:rsidR="00376A79" w:rsidRPr="00BB6F06">
        <w:rPr>
          <w:rFonts w:asciiTheme="minorHAnsi" w:hAnsiTheme="minorHAnsi" w:cstheme="minorHAnsi"/>
          <w:color w:val="auto"/>
        </w:rPr>
        <w:t>s</w:t>
      </w:r>
      <w:r w:rsidR="0054328C" w:rsidRPr="00BB6F06">
        <w:rPr>
          <w:rFonts w:asciiTheme="minorHAnsi" w:hAnsiTheme="minorHAnsi" w:cstheme="minorHAnsi"/>
          <w:color w:val="auto"/>
        </w:rPr>
        <w:t xml:space="preserve"> of treatment outcome</w:t>
      </w:r>
      <w:r w:rsidR="00376A79" w:rsidRPr="00BB6F06">
        <w:rPr>
          <w:rFonts w:asciiTheme="minorHAnsi" w:hAnsiTheme="minorHAnsi" w:cstheme="minorHAnsi"/>
          <w:color w:val="auto"/>
        </w:rPr>
        <w:t>s</w:t>
      </w:r>
      <w:r w:rsidR="0054328C" w:rsidRPr="00BB6F06">
        <w:rPr>
          <w:rFonts w:asciiTheme="minorHAnsi" w:hAnsiTheme="minorHAnsi" w:cstheme="minorHAnsi"/>
          <w:color w:val="auto"/>
        </w:rPr>
        <w:t xml:space="preserve"> in HIV infection</w:t>
      </w:r>
      <w:r w:rsidR="00C612FE" w:rsidRPr="00BB6F06">
        <w:rPr>
          <w:rFonts w:asciiTheme="minorHAnsi" w:hAnsiTheme="minorHAnsi" w:cstheme="minorHAnsi"/>
          <w:color w:val="auto"/>
          <w:vertAlign w:val="superscript"/>
        </w:rPr>
        <w:t>17</w:t>
      </w:r>
      <w:r w:rsidR="006D2018" w:rsidRPr="00BB6F06">
        <w:rPr>
          <w:rFonts w:asciiTheme="minorHAnsi" w:hAnsiTheme="minorHAnsi" w:cstheme="minorHAnsi"/>
          <w:color w:val="auto"/>
          <w:vertAlign w:val="superscript"/>
        </w:rPr>
        <w:t>-2</w:t>
      </w:r>
      <w:r w:rsidR="00C612FE" w:rsidRPr="00BB6F06">
        <w:rPr>
          <w:rFonts w:asciiTheme="minorHAnsi" w:hAnsiTheme="minorHAnsi" w:cstheme="minorHAnsi"/>
          <w:color w:val="auto"/>
          <w:vertAlign w:val="superscript"/>
        </w:rPr>
        <w:t>1</w:t>
      </w:r>
      <w:r w:rsidR="00FE44D1" w:rsidRPr="00BB6F06">
        <w:rPr>
          <w:rFonts w:asciiTheme="minorHAnsi" w:hAnsiTheme="minorHAnsi" w:cstheme="minorHAnsi"/>
          <w:color w:val="auto"/>
        </w:rPr>
        <w:t xml:space="preserve">. </w:t>
      </w:r>
      <w:r w:rsidR="00DD1DAD" w:rsidRPr="00BB6F06">
        <w:rPr>
          <w:rFonts w:asciiTheme="minorHAnsi" w:hAnsiTheme="minorHAnsi" w:cstheme="minorHAnsi"/>
          <w:color w:val="auto"/>
        </w:rPr>
        <w:t>To determine whether hair levels of DR-TB</w:t>
      </w:r>
      <w:r w:rsidR="00BC2A56" w:rsidRPr="00BB6F06">
        <w:rPr>
          <w:rFonts w:asciiTheme="minorHAnsi" w:hAnsiTheme="minorHAnsi" w:cstheme="minorHAnsi"/>
          <w:color w:val="auto"/>
        </w:rPr>
        <w:t xml:space="preserve"> patients</w:t>
      </w:r>
      <w:r w:rsidR="00DD1DAD" w:rsidRPr="00BB6F06">
        <w:rPr>
          <w:rFonts w:asciiTheme="minorHAnsi" w:hAnsiTheme="minorHAnsi" w:cstheme="minorHAnsi"/>
          <w:color w:val="auto"/>
        </w:rPr>
        <w:t xml:space="preserve"> will have the same utility in predicting treatment outcome, w</w:t>
      </w:r>
      <w:r w:rsidR="0054328C" w:rsidRPr="00BB6F06">
        <w:rPr>
          <w:rFonts w:asciiTheme="minorHAnsi" w:hAnsiTheme="minorHAnsi" w:cstheme="minorHAnsi"/>
          <w:color w:val="auto"/>
        </w:rPr>
        <w:t>e used LC-MS/MS to develop and validate a method for analyzing 11 DR-TB medications in small hair sampl</w:t>
      </w:r>
      <w:r w:rsidR="00DD1DAD" w:rsidRPr="00BB6F06">
        <w:rPr>
          <w:rFonts w:asciiTheme="minorHAnsi" w:hAnsiTheme="minorHAnsi" w:cstheme="minorHAnsi"/>
          <w:color w:val="auto"/>
        </w:rPr>
        <w:t>es</w:t>
      </w:r>
      <w:r w:rsidR="006D2018" w:rsidRPr="00BB6F06">
        <w:rPr>
          <w:rFonts w:asciiTheme="minorHAnsi" w:hAnsiTheme="minorHAnsi" w:cstheme="minorHAnsi"/>
          <w:color w:val="auto"/>
        </w:rPr>
        <w:t>.</w:t>
      </w:r>
      <w:r w:rsidR="00F60F7E" w:rsidRPr="00BB6F06">
        <w:rPr>
          <w:rFonts w:asciiTheme="minorHAnsi" w:hAnsiTheme="minorHAnsi" w:cstheme="minorHAnsi"/>
          <w:color w:val="auto"/>
        </w:rPr>
        <w:t xml:space="preserve"> As an initial assessment of the assay’s performance, we measured DR-TB drugs levels in a convenience sample of </w:t>
      </w:r>
      <w:r w:rsidR="00F60F7E" w:rsidRPr="00BB6F06">
        <w:rPr>
          <w:rFonts w:asciiTheme="minorHAnsi" w:hAnsiTheme="minorHAnsi" w:cstheme="minorHAnsi"/>
          <w:spacing w:val="-8"/>
        </w:rPr>
        <w:t>patients with DR</w:t>
      </w:r>
      <w:r w:rsidR="0080517D" w:rsidRPr="00BB6F06">
        <w:rPr>
          <w:rFonts w:asciiTheme="minorHAnsi" w:hAnsiTheme="minorHAnsi" w:cstheme="minorHAnsi"/>
          <w:spacing w:val="-8"/>
        </w:rPr>
        <w:t>-</w:t>
      </w:r>
      <w:r w:rsidR="00F60F7E" w:rsidRPr="00BB6F06">
        <w:rPr>
          <w:rFonts w:asciiTheme="minorHAnsi" w:hAnsiTheme="minorHAnsi" w:cstheme="minorHAnsi"/>
          <w:spacing w:val="-8"/>
        </w:rPr>
        <w:t>TB receiving directly observed therapy (DOT) in the Western Cape, South Africa</w:t>
      </w:r>
      <w:r w:rsidR="004D3FC8" w:rsidRPr="00BB6F06">
        <w:rPr>
          <w:rFonts w:asciiTheme="minorHAnsi" w:hAnsiTheme="minorHAnsi" w:cstheme="minorHAnsi"/>
          <w:spacing w:val="-8"/>
          <w:vertAlign w:val="superscript"/>
        </w:rPr>
        <w:t>2</w:t>
      </w:r>
      <w:r w:rsidR="00C612FE" w:rsidRPr="00BB6F06">
        <w:rPr>
          <w:rFonts w:asciiTheme="minorHAnsi" w:hAnsiTheme="minorHAnsi" w:cstheme="minorHAnsi"/>
          <w:spacing w:val="-8"/>
          <w:vertAlign w:val="superscript"/>
        </w:rPr>
        <w:t>2</w:t>
      </w:r>
      <w:r w:rsidR="00FE44D1" w:rsidRPr="00BB6F06">
        <w:rPr>
          <w:rFonts w:asciiTheme="minorHAnsi" w:hAnsiTheme="minorHAnsi" w:cstheme="minorHAnsi"/>
          <w:spacing w:val="-8"/>
        </w:rPr>
        <w:t>.</w:t>
      </w:r>
    </w:p>
    <w:p w14:paraId="24B11BBE" w14:textId="77777777" w:rsidR="00B51E62" w:rsidRPr="00BB6F06" w:rsidRDefault="00B51E62" w:rsidP="00BB6F06">
      <w:pPr>
        <w:rPr>
          <w:rFonts w:asciiTheme="minorHAnsi" w:hAnsiTheme="minorHAnsi" w:cstheme="minorHAnsi"/>
          <w:b/>
        </w:rPr>
      </w:pPr>
    </w:p>
    <w:p w14:paraId="03F74B8E" w14:textId="2FD51A3E" w:rsidR="007007E2" w:rsidRPr="00BB6F06" w:rsidRDefault="006305D7" w:rsidP="00BB6F06">
      <w:pPr>
        <w:rPr>
          <w:rFonts w:asciiTheme="minorHAnsi" w:hAnsiTheme="minorHAnsi" w:cstheme="minorHAnsi"/>
          <w:color w:val="808080" w:themeColor="background1" w:themeShade="80"/>
        </w:rPr>
      </w:pPr>
      <w:r w:rsidRPr="00BB6F06">
        <w:rPr>
          <w:rFonts w:asciiTheme="minorHAnsi" w:hAnsiTheme="minorHAnsi" w:cstheme="minorHAnsi"/>
          <w:b/>
        </w:rPr>
        <w:t>PROTOCOL:</w:t>
      </w:r>
      <w:r w:rsidRPr="00BB6F06">
        <w:rPr>
          <w:rFonts w:asciiTheme="minorHAnsi" w:hAnsiTheme="minorHAnsi" w:cstheme="minorHAnsi"/>
        </w:rPr>
        <w:t xml:space="preserve"> </w:t>
      </w:r>
    </w:p>
    <w:p w14:paraId="6BF324AD" w14:textId="7CD932B8" w:rsidR="00DA066D" w:rsidRPr="00BB6F06" w:rsidRDefault="00DA066D" w:rsidP="00BB6F06">
      <w:pPr>
        <w:pStyle w:val="NormalWeb"/>
        <w:spacing w:before="0" w:beforeAutospacing="0" w:after="0" w:afterAutospacing="0"/>
        <w:rPr>
          <w:rFonts w:asciiTheme="minorHAnsi" w:hAnsiTheme="minorHAnsi" w:cstheme="minorHAnsi"/>
          <w:color w:val="000000" w:themeColor="text1"/>
        </w:rPr>
      </w:pPr>
    </w:p>
    <w:p w14:paraId="337BC43E" w14:textId="2A7B4FD6" w:rsidR="00A26FE5" w:rsidRPr="00BB6F06" w:rsidRDefault="00A26FE5" w:rsidP="00BB6F06">
      <w:pPr>
        <w:pStyle w:val="NormalWeb"/>
        <w:spacing w:before="0" w:beforeAutospacing="0" w:after="0" w:afterAutospacing="0"/>
        <w:rPr>
          <w:rFonts w:asciiTheme="minorHAnsi" w:hAnsiTheme="minorHAnsi" w:cstheme="minorHAnsi"/>
          <w:color w:val="000000" w:themeColor="text1"/>
        </w:rPr>
      </w:pPr>
      <w:r w:rsidRPr="00BB6F06">
        <w:rPr>
          <w:rFonts w:asciiTheme="minorHAnsi" w:hAnsiTheme="minorHAnsi" w:cstheme="minorHAnsi"/>
          <w:color w:val="000000" w:themeColor="text1"/>
        </w:rPr>
        <w:t>All patients provided written informed consent prior to hair sample collection. We obtained Institutional Review Board approval from the University of Cape Town and the University of California, San Francisco.</w:t>
      </w:r>
    </w:p>
    <w:p w14:paraId="5D7ADFF2" w14:textId="77777777" w:rsidR="00A26FE5" w:rsidRPr="00BB6F06" w:rsidRDefault="00A26FE5" w:rsidP="00BB6F06">
      <w:pPr>
        <w:pStyle w:val="NormalWeb"/>
        <w:spacing w:before="0" w:beforeAutospacing="0" w:after="0" w:afterAutospacing="0"/>
        <w:rPr>
          <w:rFonts w:asciiTheme="minorHAnsi" w:hAnsiTheme="minorHAnsi" w:cstheme="minorHAnsi"/>
          <w:b/>
          <w:bCs/>
          <w:color w:val="808080"/>
        </w:rPr>
      </w:pPr>
    </w:p>
    <w:p w14:paraId="28A7B336" w14:textId="566F5CB0" w:rsidR="007007E2" w:rsidRPr="00BB6F06" w:rsidRDefault="007007E2" w:rsidP="00BB6F06">
      <w:pPr>
        <w:pStyle w:val="NormalWeb"/>
        <w:spacing w:before="0" w:beforeAutospacing="0" w:after="0" w:afterAutospacing="0"/>
        <w:rPr>
          <w:rFonts w:asciiTheme="minorHAnsi" w:hAnsiTheme="minorHAnsi" w:cstheme="minorHAnsi"/>
          <w:b/>
          <w:bCs/>
          <w:color w:val="auto"/>
        </w:rPr>
      </w:pPr>
      <w:r w:rsidRPr="00BB6F06">
        <w:rPr>
          <w:rFonts w:asciiTheme="minorHAnsi" w:hAnsiTheme="minorHAnsi" w:cstheme="minorHAnsi"/>
          <w:b/>
          <w:bCs/>
          <w:color w:val="auto"/>
          <w:highlight w:val="yellow"/>
        </w:rPr>
        <w:t xml:space="preserve">1. Hair </w:t>
      </w:r>
      <w:r w:rsidR="00610E25">
        <w:rPr>
          <w:rFonts w:asciiTheme="minorHAnsi" w:hAnsiTheme="minorHAnsi" w:cstheme="minorHAnsi"/>
          <w:b/>
          <w:bCs/>
          <w:color w:val="auto"/>
          <w:highlight w:val="yellow"/>
        </w:rPr>
        <w:t>s</w:t>
      </w:r>
      <w:r w:rsidR="00610E25" w:rsidRPr="00BB6F06">
        <w:rPr>
          <w:rFonts w:asciiTheme="minorHAnsi" w:hAnsiTheme="minorHAnsi" w:cstheme="minorHAnsi"/>
          <w:b/>
          <w:bCs/>
          <w:color w:val="auto"/>
          <w:highlight w:val="yellow"/>
        </w:rPr>
        <w:t>ampling</w:t>
      </w:r>
    </w:p>
    <w:p w14:paraId="2119D7B5" w14:textId="56C102F3" w:rsidR="007007E2" w:rsidRPr="00BB6F06" w:rsidRDefault="007007E2" w:rsidP="00BB6F06">
      <w:pPr>
        <w:pStyle w:val="NormalWeb"/>
        <w:spacing w:before="0" w:beforeAutospacing="0" w:after="0" w:afterAutospacing="0"/>
        <w:rPr>
          <w:rFonts w:asciiTheme="minorHAnsi" w:hAnsiTheme="minorHAnsi" w:cstheme="minorHAnsi"/>
          <w:b/>
          <w:bCs/>
          <w:color w:val="auto"/>
        </w:rPr>
      </w:pPr>
    </w:p>
    <w:p w14:paraId="459B1651" w14:textId="5B1CF95D" w:rsidR="007007E2" w:rsidRPr="00BB6F06" w:rsidRDefault="007007E2"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1.1 </w:t>
      </w:r>
      <w:r w:rsidR="00603380" w:rsidRPr="00BB6F06">
        <w:rPr>
          <w:rFonts w:asciiTheme="minorHAnsi" w:hAnsiTheme="minorHAnsi" w:cstheme="minorHAnsi"/>
          <w:color w:val="auto"/>
        </w:rPr>
        <w:t>Obtain written informed consent.</w:t>
      </w:r>
    </w:p>
    <w:p w14:paraId="47B01A9C" w14:textId="1FF5B625" w:rsidR="00603380" w:rsidRPr="00BB6F06" w:rsidRDefault="00603380" w:rsidP="00BB6F06">
      <w:pPr>
        <w:pStyle w:val="NormalWeb"/>
        <w:spacing w:before="0" w:beforeAutospacing="0" w:after="0" w:afterAutospacing="0"/>
        <w:rPr>
          <w:rFonts w:asciiTheme="minorHAnsi" w:hAnsiTheme="minorHAnsi" w:cstheme="minorHAnsi"/>
          <w:color w:val="auto"/>
        </w:rPr>
      </w:pPr>
    </w:p>
    <w:p w14:paraId="30597A24" w14:textId="5632E5EE" w:rsidR="00603380" w:rsidRPr="00BB6F06" w:rsidRDefault="00603380" w:rsidP="00BB6F06">
      <w:pPr>
        <w:pStyle w:val="NormalWeb"/>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1.2 Use clean scissors to cut</w:t>
      </w:r>
      <w:r w:rsidR="00373E54" w:rsidRPr="00BB6F06">
        <w:rPr>
          <w:rFonts w:asciiTheme="minorHAnsi" w:hAnsiTheme="minorHAnsi" w:cstheme="minorHAnsi"/>
          <w:color w:val="auto"/>
          <w:highlight w:val="yellow"/>
        </w:rPr>
        <w:t xml:space="preserve"> approximately</w:t>
      </w:r>
      <w:r w:rsidRPr="00BB6F06">
        <w:rPr>
          <w:rFonts w:asciiTheme="minorHAnsi" w:hAnsiTheme="minorHAnsi" w:cstheme="minorHAnsi"/>
          <w:color w:val="auto"/>
          <w:highlight w:val="yellow"/>
        </w:rPr>
        <w:t xml:space="preserve"> 20-30 scalp hair strands from the occipital region as close to the scalp as possible. </w:t>
      </w:r>
    </w:p>
    <w:p w14:paraId="0BF946AF" w14:textId="1941BF58" w:rsidR="00603380" w:rsidRPr="00BB6F06" w:rsidRDefault="00603380" w:rsidP="00BB6F06">
      <w:pPr>
        <w:pStyle w:val="NormalWeb"/>
        <w:spacing w:before="0" w:beforeAutospacing="0" w:after="0" w:afterAutospacing="0"/>
        <w:rPr>
          <w:rFonts w:asciiTheme="minorHAnsi" w:hAnsiTheme="minorHAnsi" w:cstheme="minorHAnsi"/>
          <w:color w:val="auto"/>
          <w:highlight w:val="yellow"/>
        </w:rPr>
      </w:pPr>
    </w:p>
    <w:p w14:paraId="0A564686" w14:textId="06A84D86" w:rsidR="00603380" w:rsidRPr="00BB6F06" w:rsidRDefault="00603380" w:rsidP="00BB6F06">
      <w:pPr>
        <w:pStyle w:val="NormalWeb"/>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 xml:space="preserve">1.3 Place tape around the distal side of the hair to indicate directionality. Fold hair sample into </w:t>
      </w:r>
      <w:r w:rsidR="00610E25">
        <w:rPr>
          <w:rFonts w:asciiTheme="minorHAnsi" w:hAnsiTheme="minorHAnsi" w:cstheme="minorHAnsi"/>
          <w:color w:val="auto"/>
          <w:highlight w:val="yellow"/>
        </w:rPr>
        <w:t xml:space="preserve">an </w:t>
      </w:r>
      <w:r w:rsidRPr="00BB6F06">
        <w:rPr>
          <w:rFonts w:asciiTheme="minorHAnsi" w:hAnsiTheme="minorHAnsi" w:cstheme="minorHAnsi"/>
          <w:color w:val="auto"/>
          <w:highlight w:val="yellow"/>
        </w:rPr>
        <w:t xml:space="preserve">aluminum foil square and store at room temperature. </w:t>
      </w:r>
      <w:r w:rsidR="00610E25">
        <w:rPr>
          <w:rFonts w:asciiTheme="minorHAnsi" w:hAnsiTheme="minorHAnsi" w:cstheme="minorHAnsi"/>
          <w:color w:val="auto"/>
          <w:highlight w:val="yellow"/>
        </w:rPr>
        <w:t xml:space="preserve">Label </w:t>
      </w:r>
      <w:r w:rsidR="004241D6" w:rsidRPr="00BB6F06">
        <w:rPr>
          <w:rFonts w:asciiTheme="minorHAnsi" w:hAnsiTheme="minorHAnsi" w:cstheme="minorHAnsi"/>
          <w:color w:val="auto"/>
          <w:highlight w:val="yellow"/>
        </w:rPr>
        <w:t xml:space="preserve">the distal end of the hair to avoid possible contamination from additional handling of the proximal end. </w:t>
      </w:r>
    </w:p>
    <w:p w14:paraId="54194A7E" w14:textId="02B0097B" w:rsidR="00603380" w:rsidRPr="00BB6F06" w:rsidRDefault="00603380" w:rsidP="00BB6F06">
      <w:pPr>
        <w:pStyle w:val="NormalWeb"/>
        <w:spacing w:before="0" w:beforeAutospacing="0" w:after="0" w:afterAutospacing="0"/>
        <w:rPr>
          <w:rFonts w:asciiTheme="minorHAnsi" w:hAnsiTheme="minorHAnsi" w:cstheme="minorHAnsi"/>
          <w:color w:val="auto"/>
          <w:highlight w:val="yellow"/>
        </w:rPr>
      </w:pPr>
    </w:p>
    <w:p w14:paraId="3668661C" w14:textId="1999A39C" w:rsidR="00603380" w:rsidRPr="00BB6F06" w:rsidRDefault="00603380" w:rsidP="00BB6F06">
      <w:pPr>
        <w:pStyle w:val="NormalWeb"/>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1.4 In addition to patient samples, collect “blank hair”</w:t>
      </w:r>
      <w:r w:rsidR="00E04FC0" w:rsidRPr="00BB6F06">
        <w:rPr>
          <w:rFonts w:asciiTheme="minorHAnsi" w:hAnsiTheme="minorHAnsi" w:cstheme="minorHAnsi"/>
          <w:color w:val="auto"/>
          <w:highlight w:val="yellow"/>
        </w:rPr>
        <w:t xml:space="preserve">: a </w:t>
      </w:r>
      <w:r w:rsidRPr="00BB6F06">
        <w:rPr>
          <w:rFonts w:asciiTheme="minorHAnsi" w:hAnsiTheme="minorHAnsi" w:cstheme="minorHAnsi"/>
          <w:color w:val="auto"/>
          <w:highlight w:val="yellow"/>
        </w:rPr>
        <w:t>scalp hair</w:t>
      </w:r>
      <w:r w:rsidR="00461123" w:rsidRPr="00BB6F06">
        <w:rPr>
          <w:rFonts w:asciiTheme="minorHAnsi" w:hAnsiTheme="minorHAnsi" w:cstheme="minorHAnsi"/>
          <w:color w:val="auto"/>
          <w:highlight w:val="yellow"/>
        </w:rPr>
        <w:t xml:space="preserve"> sample</w:t>
      </w:r>
      <w:r w:rsidRPr="00BB6F06">
        <w:rPr>
          <w:rFonts w:asciiTheme="minorHAnsi" w:hAnsiTheme="minorHAnsi" w:cstheme="minorHAnsi"/>
          <w:color w:val="auto"/>
          <w:highlight w:val="yellow"/>
        </w:rPr>
        <w:t xml:space="preserve"> from someone </w:t>
      </w:r>
      <w:r w:rsidR="00461123" w:rsidRPr="00BB6F06">
        <w:rPr>
          <w:rFonts w:asciiTheme="minorHAnsi" w:hAnsiTheme="minorHAnsi" w:cstheme="minorHAnsi"/>
          <w:color w:val="auto"/>
          <w:highlight w:val="yellow"/>
        </w:rPr>
        <w:t>who ha</w:t>
      </w:r>
      <w:r w:rsidR="00E04FC0" w:rsidRPr="00BB6F06">
        <w:rPr>
          <w:rFonts w:asciiTheme="minorHAnsi" w:hAnsiTheme="minorHAnsi" w:cstheme="minorHAnsi"/>
          <w:color w:val="auto"/>
          <w:highlight w:val="yellow"/>
        </w:rPr>
        <w:t>s</w:t>
      </w:r>
      <w:r w:rsidR="00461123" w:rsidRPr="00BB6F06">
        <w:rPr>
          <w:rFonts w:asciiTheme="minorHAnsi" w:hAnsiTheme="minorHAnsi" w:cstheme="minorHAnsi"/>
          <w:color w:val="auto"/>
          <w:highlight w:val="yellow"/>
        </w:rPr>
        <w:t xml:space="preserve"> not taken </w:t>
      </w:r>
      <w:r w:rsidRPr="00BB6F06">
        <w:rPr>
          <w:rFonts w:asciiTheme="minorHAnsi" w:hAnsiTheme="minorHAnsi" w:cstheme="minorHAnsi"/>
          <w:color w:val="auto"/>
          <w:highlight w:val="yellow"/>
        </w:rPr>
        <w:t>TB medication. Collect a large amount (&gt;30</w:t>
      </w:r>
      <w:r w:rsidR="009210FB" w:rsidRPr="00BB6F06">
        <w:rPr>
          <w:rFonts w:asciiTheme="minorHAnsi" w:hAnsiTheme="minorHAnsi" w:cstheme="minorHAnsi"/>
          <w:color w:val="auto"/>
          <w:highlight w:val="yellow"/>
        </w:rPr>
        <w:t xml:space="preserve"> </w:t>
      </w:r>
      <w:r w:rsidRPr="00BB6F06">
        <w:rPr>
          <w:rFonts w:asciiTheme="minorHAnsi" w:hAnsiTheme="minorHAnsi" w:cstheme="minorHAnsi"/>
          <w:color w:val="auto"/>
          <w:highlight w:val="yellow"/>
        </w:rPr>
        <w:t>mg blank hair for each 20 patient samples)</w:t>
      </w:r>
      <w:r w:rsidR="0080517D" w:rsidRPr="00BB6F06">
        <w:rPr>
          <w:rFonts w:asciiTheme="minorHAnsi" w:hAnsiTheme="minorHAnsi" w:cstheme="minorHAnsi"/>
          <w:color w:val="auto"/>
          <w:highlight w:val="yellow"/>
        </w:rPr>
        <w:t>.</w:t>
      </w:r>
      <w:r w:rsidRPr="00BB6F06">
        <w:rPr>
          <w:rFonts w:asciiTheme="minorHAnsi" w:hAnsiTheme="minorHAnsi" w:cstheme="minorHAnsi"/>
          <w:color w:val="auto"/>
          <w:highlight w:val="yellow"/>
        </w:rPr>
        <w:t xml:space="preserve"> </w:t>
      </w:r>
    </w:p>
    <w:p w14:paraId="4DEB48BE" w14:textId="633AB2B2" w:rsidR="00603380" w:rsidRPr="00BB6F06" w:rsidRDefault="00603380" w:rsidP="00BB6F06">
      <w:pPr>
        <w:pStyle w:val="NormalWeb"/>
        <w:spacing w:before="0" w:beforeAutospacing="0" w:after="0" w:afterAutospacing="0"/>
        <w:rPr>
          <w:rFonts w:asciiTheme="minorHAnsi" w:hAnsiTheme="minorHAnsi" w:cstheme="minorHAnsi"/>
          <w:color w:val="auto"/>
          <w:highlight w:val="yellow"/>
        </w:rPr>
      </w:pPr>
    </w:p>
    <w:p w14:paraId="2B2530BB" w14:textId="42F37E55" w:rsidR="00DA066D" w:rsidRPr="00BB6F06" w:rsidRDefault="00603380" w:rsidP="00BB6F06">
      <w:pPr>
        <w:pStyle w:val="NormalWeb"/>
        <w:spacing w:before="0" w:beforeAutospacing="0" w:after="0" w:afterAutospacing="0"/>
        <w:rPr>
          <w:rFonts w:asciiTheme="minorHAnsi" w:hAnsiTheme="minorHAnsi" w:cstheme="minorHAnsi"/>
          <w:b/>
          <w:bCs/>
          <w:color w:val="auto"/>
        </w:rPr>
      </w:pPr>
      <w:r w:rsidRPr="00BB6F06">
        <w:rPr>
          <w:rFonts w:asciiTheme="minorHAnsi" w:hAnsiTheme="minorHAnsi" w:cstheme="minorHAnsi"/>
          <w:b/>
          <w:bCs/>
          <w:color w:val="auto"/>
          <w:highlight w:val="yellow"/>
        </w:rPr>
        <w:t xml:space="preserve">2. </w:t>
      </w:r>
      <w:r w:rsidR="002E51B9" w:rsidRPr="00BB6F06">
        <w:rPr>
          <w:rFonts w:asciiTheme="minorHAnsi" w:hAnsiTheme="minorHAnsi" w:cstheme="minorHAnsi"/>
          <w:b/>
          <w:bCs/>
          <w:color w:val="auto"/>
          <w:highlight w:val="yellow"/>
        </w:rPr>
        <w:t xml:space="preserve">Drug </w:t>
      </w:r>
      <w:r w:rsidR="00610E25">
        <w:rPr>
          <w:rFonts w:asciiTheme="minorHAnsi" w:hAnsiTheme="minorHAnsi" w:cstheme="minorHAnsi"/>
          <w:b/>
          <w:bCs/>
          <w:color w:val="auto"/>
          <w:highlight w:val="yellow"/>
        </w:rPr>
        <w:t>e</w:t>
      </w:r>
      <w:r w:rsidR="00610E25" w:rsidRPr="00BB6F06">
        <w:rPr>
          <w:rFonts w:asciiTheme="minorHAnsi" w:hAnsiTheme="minorHAnsi" w:cstheme="minorHAnsi"/>
          <w:b/>
          <w:bCs/>
          <w:color w:val="auto"/>
          <w:highlight w:val="yellow"/>
        </w:rPr>
        <w:t>xtraction</w:t>
      </w:r>
    </w:p>
    <w:p w14:paraId="3D02C521" w14:textId="77777777" w:rsidR="00DA066D" w:rsidRPr="00BB6F06" w:rsidRDefault="00DA066D" w:rsidP="00BB6F06">
      <w:pPr>
        <w:pStyle w:val="NormalWeb"/>
        <w:spacing w:before="0" w:beforeAutospacing="0" w:after="0" w:afterAutospacing="0"/>
        <w:rPr>
          <w:rFonts w:asciiTheme="minorHAnsi" w:hAnsiTheme="minorHAnsi" w:cstheme="minorHAnsi"/>
          <w:color w:val="auto"/>
        </w:rPr>
      </w:pPr>
    </w:p>
    <w:p w14:paraId="104BA376" w14:textId="12424EB6" w:rsidR="00DA066D" w:rsidRPr="00BB6F06" w:rsidRDefault="00DA066D"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2.1 Label bead</w:t>
      </w:r>
      <w:r w:rsidR="00610E25">
        <w:rPr>
          <w:rFonts w:asciiTheme="minorHAnsi" w:hAnsiTheme="minorHAnsi" w:cstheme="minorHAnsi"/>
          <w:color w:val="auto"/>
        </w:rPr>
        <w:t xml:space="preserve"> </w:t>
      </w:r>
      <w:r w:rsidRPr="00BB6F06">
        <w:rPr>
          <w:rFonts w:asciiTheme="minorHAnsi" w:hAnsiTheme="minorHAnsi" w:cstheme="minorHAnsi"/>
          <w:color w:val="auto"/>
        </w:rPr>
        <w:t>tubes. Each patient sample requires one tube. Label 1</w:t>
      </w:r>
      <w:r w:rsidR="004D3FC8" w:rsidRPr="00BB6F06">
        <w:rPr>
          <w:rFonts w:asciiTheme="minorHAnsi" w:hAnsiTheme="minorHAnsi" w:cstheme="minorHAnsi"/>
          <w:color w:val="auto"/>
        </w:rPr>
        <w:t>2</w:t>
      </w:r>
      <w:r w:rsidRPr="00BB6F06">
        <w:rPr>
          <w:rFonts w:asciiTheme="minorHAnsi" w:hAnsiTheme="minorHAnsi" w:cstheme="minorHAnsi"/>
          <w:color w:val="auto"/>
        </w:rPr>
        <w:t xml:space="preserve"> tubes from “C0” to “C1</w:t>
      </w:r>
      <w:r w:rsidR="004D3FC8" w:rsidRPr="00BB6F06">
        <w:rPr>
          <w:rFonts w:asciiTheme="minorHAnsi" w:hAnsiTheme="minorHAnsi" w:cstheme="minorHAnsi"/>
          <w:color w:val="auto"/>
        </w:rPr>
        <w:t>1</w:t>
      </w:r>
      <w:r w:rsidRPr="00BB6F06">
        <w:rPr>
          <w:rFonts w:asciiTheme="minorHAnsi" w:hAnsiTheme="minorHAnsi" w:cstheme="minorHAnsi"/>
          <w:color w:val="auto"/>
        </w:rPr>
        <w:t>”, one for each of the 12 calibration points. Label a tube for Low Quality Control, a tube for Medium Quality Control, and a tube for High Quality Control. Lastly, label a tube for Matrix Blank.</w:t>
      </w:r>
    </w:p>
    <w:p w14:paraId="1A2F7B29" w14:textId="77777777" w:rsidR="00DA066D" w:rsidRPr="00BB6F06" w:rsidRDefault="00DA066D" w:rsidP="00BB6F06">
      <w:pPr>
        <w:pStyle w:val="NormalWeb"/>
        <w:spacing w:before="0" w:beforeAutospacing="0" w:after="0" w:afterAutospacing="0"/>
        <w:rPr>
          <w:rFonts w:asciiTheme="minorHAnsi" w:hAnsiTheme="minorHAnsi" w:cstheme="minorHAnsi"/>
          <w:color w:val="auto"/>
        </w:rPr>
      </w:pPr>
    </w:p>
    <w:p w14:paraId="77E82B60" w14:textId="790EAB01" w:rsidR="00603380" w:rsidRPr="00BB6F06" w:rsidRDefault="00603380"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lastRenderedPageBreak/>
        <w:t>2.</w:t>
      </w:r>
      <w:r w:rsidR="00DA066D" w:rsidRPr="00BB6F06">
        <w:rPr>
          <w:rFonts w:asciiTheme="minorHAnsi" w:hAnsiTheme="minorHAnsi" w:cstheme="minorHAnsi"/>
          <w:color w:val="auto"/>
        </w:rPr>
        <w:t>2</w:t>
      </w:r>
      <w:r w:rsidRPr="00BB6F06">
        <w:rPr>
          <w:rFonts w:asciiTheme="minorHAnsi" w:hAnsiTheme="minorHAnsi" w:cstheme="minorHAnsi"/>
          <w:color w:val="auto"/>
        </w:rPr>
        <w:t xml:space="preserve"> Open </w:t>
      </w:r>
      <w:r w:rsidR="00610E25">
        <w:rPr>
          <w:rFonts w:asciiTheme="minorHAnsi" w:hAnsiTheme="minorHAnsi" w:cstheme="minorHAnsi"/>
          <w:color w:val="auto"/>
        </w:rPr>
        <w:t xml:space="preserve">the </w:t>
      </w:r>
      <w:r w:rsidRPr="00BB6F06">
        <w:rPr>
          <w:rFonts w:asciiTheme="minorHAnsi" w:hAnsiTheme="minorHAnsi" w:cstheme="minorHAnsi"/>
          <w:color w:val="auto"/>
        </w:rPr>
        <w:t>aluminum foil square</w:t>
      </w:r>
      <w:r w:rsidR="002E51B9" w:rsidRPr="00BB6F06">
        <w:rPr>
          <w:rFonts w:asciiTheme="minorHAnsi" w:hAnsiTheme="minorHAnsi" w:cstheme="minorHAnsi"/>
          <w:color w:val="auto"/>
        </w:rPr>
        <w:t xml:space="preserve"> containing hair sample</w:t>
      </w:r>
      <w:r w:rsidRPr="00BB6F06">
        <w:rPr>
          <w:rFonts w:asciiTheme="minorHAnsi" w:hAnsiTheme="minorHAnsi" w:cstheme="minorHAnsi"/>
          <w:color w:val="auto"/>
        </w:rPr>
        <w:t xml:space="preserve">. If hair sample is longer than 3 cm, cut hair at 3 cm from the proximal end and use that proximal portion for analysis. </w:t>
      </w:r>
    </w:p>
    <w:p w14:paraId="2BD95D7B" w14:textId="00404EDB" w:rsidR="00603380" w:rsidRPr="00BB6F06" w:rsidRDefault="00603380" w:rsidP="00BB6F06">
      <w:pPr>
        <w:pStyle w:val="NormalWeb"/>
        <w:spacing w:before="0" w:beforeAutospacing="0" w:after="0" w:afterAutospacing="0"/>
        <w:rPr>
          <w:rFonts w:asciiTheme="minorHAnsi" w:hAnsiTheme="minorHAnsi" w:cstheme="minorHAnsi"/>
          <w:color w:val="auto"/>
        </w:rPr>
      </w:pPr>
    </w:p>
    <w:p w14:paraId="3E1DD4AA" w14:textId="14D25FB5" w:rsidR="00603380" w:rsidRPr="00BB6F06" w:rsidRDefault="00603380" w:rsidP="00BB6F06">
      <w:pPr>
        <w:pStyle w:val="NormalWeb"/>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2.</w:t>
      </w:r>
      <w:r w:rsidR="00DA066D" w:rsidRPr="00BB6F06">
        <w:rPr>
          <w:rFonts w:asciiTheme="minorHAnsi" w:hAnsiTheme="minorHAnsi" w:cstheme="minorHAnsi"/>
          <w:color w:val="auto"/>
          <w:highlight w:val="yellow"/>
        </w:rPr>
        <w:t>3</w:t>
      </w:r>
      <w:r w:rsidRPr="00BB6F06">
        <w:rPr>
          <w:rFonts w:asciiTheme="minorHAnsi" w:hAnsiTheme="minorHAnsi" w:cstheme="minorHAnsi"/>
          <w:color w:val="auto"/>
          <w:highlight w:val="yellow"/>
        </w:rPr>
        <w:t xml:space="preserve"> Weigh 2 mg of the hair sample into a bead tube. </w:t>
      </w:r>
    </w:p>
    <w:p w14:paraId="68E129EC" w14:textId="6E525505" w:rsidR="00603380" w:rsidRPr="00BB6F06" w:rsidRDefault="00603380" w:rsidP="00BB6F06">
      <w:pPr>
        <w:pStyle w:val="NormalWeb"/>
        <w:spacing w:before="0" w:beforeAutospacing="0" w:after="0" w:afterAutospacing="0"/>
        <w:rPr>
          <w:rFonts w:asciiTheme="minorHAnsi" w:hAnsiTheme="minorHAnsi" w:cstheme="minorHAnsi"/>
          <w:color w:val="auto"/>
          <w:highlight w:val="yellow"/>
        </w:rPr>
      </w:pPr>
    </w:p>
    <w:p w14:paraId="679488AB" w14:textId="65AE5015" w:rsidR="00603380" w:rsidRPr="00BB6F06" w:rsidRDefault="00603380" w:rsidP="00BB6F06">
      <w:pPr>
        <w:pStyle w:val="NormalWeb"/>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2.</w:t>
      </w:r>
      <w:r w:rsidR="00DA066D" w:rsidRPr="00BB6F06">
        <w:rPr>
          <w:rFonts w:asciiTheme="minorHAnsi" w:hAnsiTheme="minorHAnsi" w:cstheme="minorHAnsi"/>
          <w:color w:val="auto"/>
          <w:highlight w:val="yellow"/>
        </w:rPr>
        <w:t>4</w:t>
      </w:r>
      <w:r w:rsidRPr="00BB6F06">
        <w:rPr>
          <w:rFonts w:asciiTheme="minorHAnsi" w:hAnsiTheme="minorHAnsi" w:cstheme="minorHAnsi"/>
          <w:color w:val="auto"/>
          <w:highlight w:val="yellow"/>
        </w:rPr>
        <w:t xml:space="preserve"> Weigh 2 mg of blank hair into 16 additional bead tubes</w:t>
      </w:r>
      <w:r w:rsidR="002E51B9" w:rsidRPr="00BB6F06">
        <w:rPr>
          <w:rFonts w:asciiTheme="minorHAnsi" w:hAnsiTheme="minorHAnsi" w:cstheme="minorHAnsi"/>
          <w:color w:val="auto"/>
          <w:highlight w:val="yellow"/>
        </w:rPr>
        <w:t>.</w:t>
      </w:r>
      <w:r w:rsidRPr="00BB6F06">
        <w:rPr>
          <w:rFonts w:asciiTheme="minorHAnsi" w:hAnsiTheme="minorHAnsi" w:cstheme="minorHAnsi"/>
          <w:color w:val="auto"/>
          <w:highlight w:val="yellow"/>
        </w:rPr>
        <w:t xml:space="preserve"> </w:t>
      </w:r>
      <w:r w:rsidR="002E51B9" w:rsidRPr="00BB6F06">
        <w:rPr>
          <w:rFonts w:asciiTheme="minorHAnsi" w:hAnsiTheme="minorHAnsi" w:cstheme="minorHAnsi"/>
          <w:color w:val="auto"/>
          <w:highlight w:val="yellow"/>
        </w:rPr>
        <w:t>These</w:t>
      </w:r>
      <w:r w:rsidRPr="00BB6F06">
        <w:rPr>
          <w:rFonts w:asciiTheme="minorHAnsi" w:hAnsiTheme="minorHAnsi" w:cstheme="minorHAnsi"/>
          <w:color w:val="auto"/>
          <w:highlight w:val="yellow"/>
        </w:rPr>
        <w:t xml:space="preserve"> will be used as the calibration points, quality controls, and matrix blank. The tubes will follow the same extraction procedure as the patient samples, aside from being spiked</w:t>
      </w:r>
      <w:r w:rsidR="002E51B9" w:rsidRPr="00BB6F06">
        <w:rPr>
          <w:rFonts w:asciiTheme="minorHAnsi" w:hAnsiTheme="minorHAnsi" w:cstheme="minorHAnsi"/>
          <w:color w:val="auto"/>
          <w:highlight w:val="yellow"/>
        </w:rPr>
        <w:t xml:space="preserve"> with drug reference standards</w:t>
      </w:r>
      <w:r w:rsidRPr="00BB6F06">
        <w:rPr>
          <w:rFonts w:asciiTheme="minorHAnsi" w:hAnsiTheme="minorHAnsi" w:cstheme="minorHAnsi"/>
          <w:color w:val="auto"/>
          <w:highlight w:val="yellow"/>
        </w:rPr>
        <w:t xml:space="preserve"> at levels in</w:t>
      </w:r>
      <w:r w:rsidR="003A3082" w:rsidRPr="00BB6F06">
        <w:rPr>
          <w:rFonts w:asciiTheme="minorHAnsi" w:hAnsiTheme="minorHAnsi" w:cstheme="minorHAnsi"/>
          <w:color w:val="auto"/>
          <w:highlight w:val="yellow"/>
        </w:rPr>
        <w:t>dicated in</w:t>
      </w:r>
      <w:r w:rsidRPr="00BB6F06">
        <w:rPr>
          <w:rFonts w:asciiTheme="minorHAnsi" w:hAnsiTheme="minorHAnsi" w:cstheme="minorHAnsi"/>
          <w:color w:val="auto"/>
          <w:highlight w:val="yellow"/>
        </w:rPr>
        <w:t xml:space="preserve"> step</w:t>
      </w:r>
      <w:r w:rsidR="00A375C9" w:rsidRPr="00BB6F06">
        <w:rPr>
          <w:rFonts w:asciiTheme="minorHAnsi" w:hAnsiTheme="minorHAnsi" w:cstheme="minorHAnsi"/>
          <w:color w:val="auto"/>
          <w:highlight w:val="yellow"/>
        </w:rPr>
        <w:t>s 2.8 and 2.9.</w:t>
      </w:r>
    </w:p>
    <w:p w14:paraId="031F008D" w14:textId="1373A3F3" w:rsidR="00603380" w:rsidRPr="00BB6F06" w:rsidRDefault="00603380" w:rsidP="00BB6F06">
      <w:pPr>
        <w:pStyle w:val="NormalWeb"/>
        <w:spacing w:before="0" w:beforeAutospacing="0" w:after="0" w:afterAutospacing="0"/>
        <w:rPr>
          <w:rFonts w:asciiTheme="minorHAnsi" w:hAnsiTheme="minorHAnsi" w:cstheme="minorHAnsi"/>
          <w:color w:val="auto"/>
          <w:highlight w:val="yellow"/>
        </w:rPr>
      </w:pPr>
    </w:p>
    <w:p w14:paraId="566565FC" w14:textId="15B8557B" w:rsidR="00603380" w:rsidRPr="00BB6F06" w:rsidRDefault="00603380" w:rsidP="00BB6F06">
      <w:pPr>
        <w:pStyle w:val="NormalWeb"/>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2.</w:t>
      </w:r>
      <w:r w:rsidR="00DA066D" w:rsidRPr="00BB6F06">
        <w:rPr>
          <w:rFonts w:asciiTheme="minorHAnsi" w:hAnsiTheme="minorHAnsi" w:cstheme="minorHAnsi"/>
          <w:color w:val="auto"/>
          <w:highlight w:val="yellow"/>
        </w:rPr>
        <w:t>5</w:t>
      </w:r>
      <w:r w:rsidRPr="00BB6F06">
        <w:rPr>
          <w:rFonts w:asciiTheme="minorHAnsi" w:hAnsiTheme="minorHAnsi" w:cstheme="minorHAnsi"/>
          <w:color w:val="auto"/>
          <w:highlight w:val="yellow"/>
        </w:rPr>
        <w:t xml:space="preserve"> Place </w:t>
      </w:r>
      <w:proofErr w:type="gramStart"/>
      <w:r w:rsidRPr="00BB6F06">
        <w:rPr>
          <w:rFonts w:asciiTheme="minorHAnsi" w:hAnsiTheme="minorHAnsi" w:cstheme="minorHAnsi"/>
          <w:color w:val="auto"/>
          <w:highlight w:val="yellow"/>
        </w:rPr>
        <w:t>all of</w:t>
      </w:r>
      <w:proofErr w:type="gramEnd"/>
      <w:r w:rsidRPr="00BB6F06">
        <w:rPr>
          <w:rFonts w:asciiTheme="minorHAnsi" w:hAnsiTheme="minorHAnsi" w:cstheme="minorHAnsi"/>
          <w:color w:val="auto"/>
          <w:highlight w:val="yellow"/>
        </w:rPr>
        <w:t xml:space="preserve"> the bead tubes into the homogenizer. Run homogenizer at speed 6.95 m/s. Run for two cycles of 30 s each, with a 15 s rest period in between the two cycles. </w:t>
      </w:r>
    </w:p>
    <w:p w14:paraId="540E0C67" w14:textId="76DAB6A0" w:rsidR="00603380" w:rsidRPr="00BB6F06" w:rsidRDefault="00603380" w:rsidP="00BB6F06">
      <w:pPr>
        <w:pStyle w:val="NormalWeb"/>
        <w:spacing w:before="0" w:beforeAutospacing="0" w:after="0" w:afterAutospacing="0"/>
        <w:rPr>
          <w:rFonts w:asciiTheme="minorHAnsi" w:hAnsiTheme="minorHAnsi" w:cstheme="minorHAnsi"/>
          <w:color w:val="auto"/>
          <w:highlight w:val="yellow"/>
        </w:rPr>
      </w:pPr>
    </w:p>
    <w:p w14:paraId="3F9D1661" w14:textId="0BB51FFC" w:rsidR="00603380" w:rsidRPr="00BB6F06" w:rsidRDefault="00603380"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2.</w:t>
      </w:r>
      <w:r w:rsidR="00DA066D" w:rsidRPr="00BB6F06">
        <w:rPr>
          <w:rFonts w:asciiTheme="minorHAnsi" w:hAnsiTheme="minorHAnsi" w:cstheme="minorHAnsi"/>
          <w:color w:val="auto"/>
          <w:highlight w:val="yellow"/>
        </w:rPr>
        <w:t>6</w:t>
      </w:r>
      <w:r w:rsidRPr="00BB6F06">
        <w:rPr>
          <w:rFonts w:asciiTheme="minorHAnsi" w:hAnsiTheme="minorHAnsi" w:cstheme="minorHAnsi"/>
          <w:color w:val="auto"/>
          <w:highlight w:val="yellow"/>
        </w:rPr>
        <w:t xml:space="preserve"> Make </w:t>
      </w:r>
      <w:r w:rsidR="00DA066D" w:rsidRPr="00BB6F06">
        <w:rPr>
          <w:rFonts w:asciiTheme="minorHAnsi" w:hAnsiTheme="minorHAnsi" w:cstheme="minorHAnsi"/>
          <w:color w:val="auto"/>
          <w:highlight w:val="yellow"/>
        </w:rPr>
        <w:t>i</w:t>
      </w:r>
      <w:r w:rsidRPr="00BB6F06">
        <w:rPr>
          <w:rFonts w:asciiTheme="minorHAnsi" w:hAnsiTheme="minorHAnsi" w:cstheme="minorHAnsi"/>
          <w:color w:val="auto"/>
          <w:highlight w:val="yellow"/>
        </w:rPr>
        <w:t xml:space="preserve">nternal </w:t>
      </w:r>
      <w:r w:rsidR="00DA066D" w:rsidRPr="00BB6F06">
        <w:rPr>
          <w:rFonts w:asciiTheme="minorHAnsi" w:hAnsiTheme="minorHAnsi" w:cstheme="minorHAnsi"/>
          <w:color w:val="auto"/>
          <w:highlight w:val="yellow"/>
        </w:rPr>
        <w:t>s</w:t>
      </w:r>
      <w:r w:rsidRPr="00BB6F06">
        <w:rPr>
          <w:rFonts w:asciiTheme="minorHAnsi" w:hAnsiTheme="minorHAnsi" w:cstheme="minorHAnsi"/>
          <w:color w:val="auto"/>
          <w:highlight w:val="yellow"/>
        </w:rPr>
        <w:t>tandard mix</w:t>
      </w:r>
      <w:r w:rsidR="00DA066D" w:rsidRPr="00BB6F06">
        <w:rPr>
          <w:rFonts w:asciiTheme="minorHAnsi" w:hAnsiTheme="minorHAnsi" w:cstheme="minorHAnsi"/>
          <w:color w:val="auto"/>
          <w:highlight w:val="yellow"/>
        </w:rPr>
        <w:t xml:space="preserve"> and add it to the samples</w:t>
      </w:r>
      <w:r w:rsidR="00E04FC0" w:rsidRPr="00BB6F06">
        <w:rPr>
          <w:rFonts w:asciiTheme="minorHAnsi" w:hAnsiTheme="minorHAnsi" w:cstheme="minorHAnsi"/>
          <w:color w:val="auto"/>
          <w:highlight w:val="yellow"/>
        </w:rPr>
        <w:t>.</w:t>
      </w:r>
    </w:p>
    <w:p w14:paraId="225B9FE6" w14:textId="71ED7DD0" w:rsidR="00603380" w:rsidRPr="00BB6F06" w:rsidRDefault="00603380" w:rsidP="00BB6F06">
      <w:pPr>
        <w:pStyle w:val="NormalWeb"/>
        <w:spacing w:before="0" w:beforeAutospacing="0" w:after="0" w:afterAutospacing="0"/>
        <w:rPr>
          <w:rFonts w:asciiTheme="minorHAnsi" w:hAnsiTheme="minorHAnsi" w:cstheme="minorHAnsi"/>
          <w:color w:val="auto"/>
        </w:rPr>
      </w:pPr>
    </w:p>
    <w:p w14:paraId="4263426B" w14:textId="4C83DD5B" w:rsidR="00DA066D" w:rsidRPr="00BB6F06" w:rsidRDefault="00603380"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2.</w:t>
      </w:r>
      <w:r w:rsidR="00DA066D" w:rsidRPr="00BB6F06">
        <w:rPr>
          <w:rFonts w:asciiTheme="minorHAnsi" w:hAnsiTheme="minorHAnsi" w:cstheme="minorHAnsi"/>
          <w:color w:val="auto"/>
        </w:rPr>
        <w:t>6</w:t>
      </w:r>
      <w:r w:rsidRPr="00BB6F06">
        <w:rPr>
          <w:rFonts w:asciiTheme="minorHAnsi" w:hAnsiTheme="minorHAnsi" w:cstheme="minorHAnsi"/>
          <w:color w:val="auto"/>
        </w:rPr>
        <w:t>.1</w:t>
      </w:r>
      <w:r w:rsidR="00DA066D" w:rsidRPr="00BB6F06">
        <w:rPr>
          <w:rFonts w:asciiTheme="minorHAnsi" w:hAnsiTheme="minorHAnsi" w:cstheme="minorHAnsi"/>
          <w:color w:val="auto"/>
        </w:rPr>
        <w:t xml:space="preserve"> Add ~40 mL of methanol to a 50 mL volumetric flask.</w:t>
      </w:r>
    </w:p>
    <w:p w14:paraId="1D5EB7AE" w14:textId="77777777" w:rsidR="00DA066D" w:rsidRPr="00BB6F06" w:rsidRDefault="00DA066D" w:rsidP="00BB6F06">
      <w:pPr>
        <w:pStyle w:val="NormalWeb"/>
        <w:spacing w:before="0" w:beforeAutospacing="0" w:after="0" w:afterAutospacing="0"/>
        <w:rPr>
          <w:rFonts w:asciiTheme="minorHAnsi" w:hAnsiTheme="minorHAnsi" w:cstheme="minorHAnsi"/>
          <w:color w:val="auto"/>
        </w:rPr>
      </w:pPr>
    </w:p>
    <w:p w14:paraId="450AFA0F" w14:textId="77777777" w:rsidR="00610E25" w:rsidRDefault="00DA066D" w:rsidP="00B84D35">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2.6.2</w:t>
      </w:r>
      <w:r w:rsidR="00603380" w:rsidRPr="00BB6F06">
        <w:rPr>
          <w:rFonts w:asciiTheme="minorHAnsi" w:hAnsiTheme="minorHAnsi" w:cstheme="minorHAnsi"/>
          <w:color w:val="auto"/>
        </w:rPr>
        <w:t xml:space="preserve"> </w:t>
      </w:r>
      <w:r w:rsidRPr="00BB6F06">
        <w:rPr>
          <w:rFonts w:asciiTheme="minorHAnsi" w:hAnsiTheme="minorHAnsi" w:cstheme="minorHAnsi"/>
          <w:color w:val="auto"/>
        </w:rPr>
        <w:t>In amber glass vials, m</w:t>
      </w:r>
      <w:r w:rsidR="00603380" w:rsidRPr="00BB6F06">
        <w:rPr>
          <w:rFonts w:asciiTheme="minorHAnsi" w:hAnsiTheme="minorHAnsi" w:cstheme="minorHAnsi"/>
          <w:color w:val="auto"/>
        </w:rPr>
        <w:t>ake</w:t>
      </w:r>
      <w:r w:rsidRPr="00BB6F06">
        <w:rPr>
          <w:rFonts w:asciiTheme="minorHAnsi" w:hAnsiTheme="minorHAnsi" w:cstheme="minorHAnsi"/>
          <w:color w:val="auto"/>
        </w:rPr>
        <w:t xml:space="preserve"> </w:t>
      </w:r>
      <w:r w:rsidR="00644279" w:rsidRPr="00BB6F06">
        <w:rPr>
          <w:rFonts w:asciiTheme="minorHAnsi" w:hAnsiTheme="minorHAnsi" w:cstheme="minorHAnsi"/>
          <w:color w:val="auto"/>
        </w:rPr>
        <w:t xml:space="preserve">the </w:t>
      </w:r>
      <w:r w:rsidR="00603380" w:rsidRPr="00BB6F06">
        <w:rPr>
          <w:rFonts w:asciiTheme="minorHAnsi" w:hAnsiTheme="minorHAnsi" w:cstheme="minorHAnsi"/>
          <w:color w:val="auto"/>
        </w:rPr>
        <w:t xml:space="preserve">mixes </w:t>
      </w:r>
      <w:r w:rsidRPr="00BB6F06">
        <w:rPr>
          <w:rFonts w:asciiTheme="minorHAnsi" w:hAnsiTheme="minorHAnsi" w:cstheme="minorHAnsi"/>
          <w:color w:val="auto"/>
        </w:rPr>
        <w:t>of the internal standards</w:t>
      </w:r>
      <w:r w:rsidR="00644279" w:rsidRPr="00BB6F06">
        <w:rPr>
          <w:rFonts w:asciiTheme="minorHAnsi" w:hAnsiTheme="minorHAnsi" w:cstheme="minorHAnsi"/>
          <w:color w:val="auto"/>
        </w:rPr>
        <w:t xml:space="preserve"> shown in </w:t>
      </w:r>
      <w:r w:rsidR="00644279" w:rsidRPr="00BB6F06">
        <w:rPr>
          <w:rFonts w:asciiTheme="minorHAnsi" w:hAnsiTheme="minorHAnsi" w:cstheme="minorHAnsi"/>
          <w:b/>
          <w:bCs/>
          <w:color w:val="auto"/>
        </w:rPr>
        <w:t>Table 1</w:t>
      </w:r>
      <w:r w:rsidRPr="00BB6F06">
        <w:rPr>
          <w:rFonts w:asciiTheme="minorHAnsi" w:hAnsiTheme="minorHAnsi" w:cstheme="minorHAnsi"/>
          <w:color w:val="auto"/>
        </w:rPr>
        <w:t xml:space="preserve">, using methanol as the solvent. </w:t>
      </w:r>
    </w:p>
    <w:p w14:paraId="64630649" w14:textId="77777777" w:rsidR="00610E25" w:rsidRDefault="00610E25" w:rsidP="00B84D35">
      <w:pPr>
        <w:pStyle w:val="NormalWeb"/>
        <w:spacing w:before="0" w:beforeAutospacing="0" w:after="0" w:afterAutospacing="0"/>
        <w:rPr>
          <w:rFonts w:asciiTheme="minorHAnsi" w:hAnsiTheme="minorHAnsi" w:cstheme="minorHAnsi"/>
          <w:color w:val="auto"/>
        </w:rPr>
      </w:pPr>
    </w:p>
    <w:p w14:paraId="1009DEBD" w14:textId="1AEF2B76" w:rsidR="00DA066D" w:rsidRPr="00BB6F06" w:rsidRDefault="00DA066D"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NOTE: Methanol is very volatile. Leave all vials capped during this process to prevent loss due to evaporation. </w:t>
      </w:r>
    </w:p>
    <w:p w14:paraId="3B134FE3" w14:textId="2D76B78F" w:rsidR="00DA066D" w:rsidRPr="00BB6F06" w:rsidRDefault="00DA066D" w:rsidP="00BB6F06">
      <w:pPr>
        <w:pStyle w:val="NormalWeb"/>
        <w:spacing w:before="0" w:beforeAutospacing="0" w:after="0" w:afterAutospacing="0"/>
        <w:rPr>
          <w:rFonts w:asciiTheme="minorHAnsi" w:hAnsiTheme="minorHAnsi" w:cstheme="minorHAnsi"/>
          <w:color w:val="auto"/>
        </w:rPr>
      </w:pPr>
    </w:p>
    <w:p w14:paraId="3E6CC290" w14:textId="3D817D6C" w:rsidR="00DA066D" w:rsidRPr="00BB6F06" w:rsidRDefault="00DA066D" w:rsidP="00BB6F06">
      <w:pPr>
        <w:pStyle w:val="NormalWeb"/>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2.6.3 From those mixes, add the volume shown i</w:t>
      </w:r>
      <w:r w:rsidR="00636C91" w:rsidRPr="00BB6F06">
        <w:rPr>
          <w:rFonts w:asciiTheme="minorHAnsi" w:hAnsiTheme="minorHAnsi" w:cstheme="minorHAnsi"/>
          <w:color w:val="auto"/>
          <w:highlight w:val="yellow"/>
        </w:rPr>
        <w:t xml:space="preserve">n </w:t>
      </w:r>
      <w:r w:rsidR="00636C91" w:rsidRPr="00BB6F06">
        <w:rPr>
          <w:rFonts w:asciiTheme="minorHAnsi" w:hAnsiTheme="minorHAnsi" w:cstheme="minorHAnsi"/>
          <w:b/>
          <w:bCs/>
          <w:color w:val="auto"/>
          <w:highlight w:val="yellow"/>
        </w:rPr>
        <w:t>T</w:t>
      </w:r>
      <w:r w:rsidRPr="00BB6F06">
        <w:rPr>
          <w:rFonts w:asciiTheme="minorHAnsi" w:hAnsiTheme="minorHAnsi" w:cstheme="minorHAnsi"/>
          <w:b/>
          <w:bCs/>
          <w:color w:val="auto"/>
          <w:highlight w:val="yellow"/>
        </w:rPr>
        <w:t>able</w:t>
      </w:r>
      <w:r w:rsidR="00636C91" w:rsidRPr="00BB6F06">
        <w:rPr>
          <w:rFonts w:asciiTheme="minorHAnsi" w:hAnsiTheme="minorHAnsi" w:cstheme="minorHAnsi"/>
          <w:b/>
          <w:bCs/>
          <w:color w:val="auto"/>
          <w:highlight w:val="yellow"/>
        </w:rPr>
        <w:t xml:space="preserve"> 1</w:t>
      </w:r>
      <w:r w:rsidRPr="00BB6F06">
        <w:rPr>
          <w:rFonts w:asciiTheme="minorHAnsi" w:hAnsiTheme="minorHAnsi" w:cstheme="minorHAnsi"/>
          <w:color w:val="auto"/>
          <w:highlight w:val="yellow"/>
        </w:rPr>
        <w:t xml:space="preserve"> to the 50 mL volumetric flask. Then, fill the flask to 50 mL with methanol.</w:t>
      </w:r>
    </w:p>
    <w:p w14:paraId="66FAABAC" w14:textId="634420D9" w:rsidR="00603380" w:rsidRPr="00BB6F06" w:rsidRDefault="00603380" w:rsidP="00BB6F06">
      <w:pPr>
        <w:pStyle w:val="NormalWeb"/>
        <w:spacing w:before="0" w:beforeAutospacing="0" w:after="0" w:afterAutospacing="0"/>
        <w:rPr>
          <w:rFonts w:asciiTheme="minorHAnsi" w:hAnsiTheme="minorHAnsi" w:cstheme="minorHAnsi"/>
          <w:color w:val="auto"/>
          <w:highlight w:val="yellow"/>
        </w:rPr>
      </w:pPr>
    </w:p>
    <w:p w14:paraId="47AD17D9" w14:textId="0B1B76EE" w:rsidR="00DA066D" w:rsidRPr="00BB6F06" w:rsidRDefault="00DA066D"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2.6.4 Cap and mix the volumetric flask. Add 500</w:t>
      </w:r>
      <w:r w:rsidR="000C58B0" w:rsidRPr="00BB6F06">
        <w:rPr>
          <w:rFonts w:asciiTheme="minorHAnsi" w:hAnsiTheme="minorHAnsi" w:cstheme="minorHAnsi"/>
          <w:color w:val="auto"/>
          <w:highlight w:val="yellow"/>
        </w:rPr>
        <w:t xml:space="preserve"> </w:t>
      </w:r>
      <w:proofErr w:type="spellStart"/>
      <w:r w:rsidR="000C58B0" w:rsidRPr="00BB6F06">
        <w:rPr>
          <w:rFonts w:asciiTheme="minorHAnsi" w:hAnsiTheme="minorHAnsi" w:cstheme="minorHAnsi"/>
          <w:color w:val="auto"/>
          <w:highlight w:val="yellow"/>
        </w:rPr>
        <w:t>μL</w:t>
      </w:r>
      <w:proofErr w:type="spellEnd"/>
      <w:r w:rsidR="000C58B0" w:rsidRPr="00BB6F06">
        <w:rPr>
          <w:rFonts w:asciiTheme="minorHAnsi" w:hAnsiTheme="minorHAnsi" w:cstheme="minorHAnsi"/>
          <w:color w:val="auto"/>
          <w:highlight w:val="yellow"/>
        </w:rPr>
        <w:t xml:space="preserve"> </w:t>
      </w:r>
      <w:r w:rsidRPr="00BB6F06">
        <w:rPr>
          <w:rFonts w:asciiTheme="minorHAnsi" w:hAnsiTheme="minorHAnsi" w:cstheme="minorHAnsi"/>
          <w:color w:val="auto"/>
          <w:highlight w:val="yellow"/>
        </w:rPr>
        <w:t>of the mixture to each of the pulverized hair tubes, except for the matrix blank tube. Add 500</w:t>
      </w:r>
      <w:r w:rsidR="000C58B0" w:rsidRPr="00BB6F06">
        <w:rPr>
          <w:rFonts w:asciiTheme="minorHAnsi" w:hAnsiTheme="minorHAnsi" w:cstheme="minorHAnsi"/>
          <w:color w:val="auto"/>
          <w:highlight w:val="yellow"/>
        </w:rPr>
        <w:t xml:space="preserve"> </w:t>
      </w:r>
      <w:proofErr w:type="spellStart"/>
      <w:r w:rsidR="000C58B0" w:rsidRPr="00BB6F06">
        <w:rPr>
          <w:rFonts w:asciiTheme="minorHAnsi" w:hAnsiTheme="minorHAnsi" w:cstheme="minorHAnsi"/>
          <w:color w:val="auto"/>
          <w:highlight w:val="yellow"/>
        </w:rPr>
        <w:t>μL</w:t>
      </w:r>
      <w:proofErr w:type="spellEnd"/>
      <w:r w:rsidR="000C58B0" w:rsidRPr="00BB6F06">
        <w:rPr>
          <w:rFonts w:asciiTheme="minorHAnsi" w:hAnsiTheme="minorHAnsi" w:cstheme="minorHAnsi"/>
          <w:color w:val="auto"/>
          <w:highlight w:val="yellow"/>
        </w:rPr>
        <w:t xml:space="preserve"> </w:t>
      </w:r>
      <w:r w:rsidRPr="00BB6F06">
        <w:rPr>
          <w:rFonts w:asciiTheme="minorHAnsi" w:hAnsiTheme="minorHAnsi" w:cstheme="minorHAnsi"/>
          <w:color w:val="auto"/>
          <w:highlight w:val="yellow"/>
        </w:rPr>
        <w:t>methanol to the matrix blank tube.</w:t>
      </w:r>
      <w:r w:rsidRPr="00BB6F06">
        <w:rPr>
          <w:rFonts w:asciiTheme="minorHAnsi" w:hAnsiTheme="minorHAnsi" w:cstheme="minorHAnsi"/>
          <w:color w:val="auto"/>
        </w:rPr>
        <w:t xml:space="preserve"> </w:t>
      </w:r>
    </w:p>
    <w:p w14:paraId="3AB94823" w14:textId="14898C27" w:rsidR="00DA066D" w:rsidRPr="00BB6F06" w:rsidRDefault="00DA066D" w:rsidP="00BB6F06">
      <w:pPr>
        <w:pStyle w:val="NormalWeb"/>
        <w:spacing w:before="0" w:beforeAutospacing="0" w:after="0" w:afterAutospacing="0"/>
        <w:rPr>
          <w:rFonts w:asciiTheme="minorHAnsi" w:hAnsiTheme="minorHAnsi" w:cstheme="minorHAnsi"/>
          <w:color w:val="auto"/>
        </w:rPr>
      </w:pPr>
    </w:p>
    <w:p w14:paraId="50409B01" w14:textId="49ADF771" w:rsidR="00DA066D" w:rsidRPr="00BB6F06" w:rsidRDefault="00DA066D"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2.7 </w:t>
      </w:r>
      <w:proofErr w:type="gramStart"/>
      <w:r w:rsidRPr="00BB6F06">
        <w:rPr>
          <w:rFonts w:asciiTheme="minorHAnsi" w:hAnsiTheme="minorHAnsi" w:cstheme="minorHAnsi"/>
          <w:color w:val="auto"/>
        </w:rPr>
        <w:t>Make reference</w:t>
      </w:r>
      <w:proofErr w:type="gramEnd"/>
      <w:r w:rsidRPr="00BB6F06">
        <w:rPr>
          <w:rFonts w:asciiTheme="minorHAnsi" w:hAnsiTheme="minorHAnsi" w:cstheme="minorHAnsi"/>
          <w:color w:val="auto"/>
        </w:rPr>
        <w:t xml:space="preserve"> standard mixes.</w:t>
      </w:r>
    </w:p>
    <w:p w14:paraId="455A06E0" w14:textId="77777777" w:rsidR="00DA066D" w:rsidRPr="00BB6F06" w:rsidRDefault="00DA066D" w:rsidP="00BB6F06">
      <w:pPr>
        <w:pStyle w:val="NormalWeb"/>
        <w:spacing w:before="0" w:beforeAutospacing="0" w:after="0" w:afterAutospacing="0"/>
        <w:rPr>
          <w:rFonts w:asciiTheme="minorHAnsi" w:hAnsiTheme="minorHAnsi" w:cstheme="minorHAnsi"/>
          <w:color w:val="auto"/>
        </w:rPr>
      </w:pPr>
    </w:p>
    <w:p w14:paraId="23A329EE" w14:textId="46223EC1" w:rsidR="00DA066D" w:rsidRPr="00BB6F06" w:rsidRDefault="00DA066D"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2.7.1 Constitute neat reference standards of the </w:t>
      </w:r>
      <w:r w:rsidR="00A375C9" w:rsidRPr="00BB6F06">
        <w:rPr>
          <w:rFonts w:asciiTheme="minorHAnsi" w:hAnsiTheme="minorHAnsi" w:cstheme="minorHAnsi"/>
          <w:color w:val="auto"/>
        </w:rPr>
        <w:t xml:space="preserve">following </w:t>
      </w:r>
      <w:r w:rsidRPr="00BB6F06">
        <w:rPr>
          <w:rFonts w:asciiTheme="minorHAnsi" w:hAnsiTheme="minorHAnsi" w:cstheme="minorHAnsi"/>
          <w:color w:val="auto"/>
        </w:rPr>
        <w:t>drugs</w:t>
      </w:r>
      <w:r w:rsidR="00A375C9" w:rsidRPr="00BB6F06">
        <w:rPr>
          <w:rFonts w:asciiTheme="minorHAnsi" w:hAnsiTheme="minorHAnsi" w:cstheme="minorHAnsi"/>
          <w:color w:val="auto"/>
        </w:rPr>
        <w:t xml:space="preserve"> with</w:t>
      </w:r>
      <w:r w:rsidRPr="00BB6F06">
        <w:rPr>
          <w:rFonts w:asciiTheme="minorHAnsi" w:hAnsiTheme="minorHAnsi" w:cstheme="minorHAnsi"/>
          <w:color w:val="auto"/>
        </w:rPr>
        <w:t xml:space="preserve"> methanol to</w:t>
      </w:r>
      <w:r w:rsidR="00A375C9" w:rsidRPr="00BB6F06">
        <w:rPr>
          <w:rFonts w:asciiTheme="minorHAnsi" w:hAnsiTheme="minorHAnsi" w:cstheme="minorHAnsi"/>
          <w:color w:val="auto"/>
        </w:rPr>
        <w:t xml:space="preserve"> get</w:t>
      </w:r>
      <w:r w:rsidRPr="00BB6F06">
        <w:rPr>
          <w:rFonts w:asciiTheme="minorHAnsi" w:hAnsiTheme="minorHAnsi" w:cstheme="minorHAnsi"/>
          <w:color w:val="auto"/>
        </w:rPr>
        <w:t xml:space="preserve"> the concentration shown in the table</w:t>
      </w:r>
      <w:r w:rsidR="00A375C9" w:rsidRPr="00BB6F06">
        <w:rPr>
          <w:rFonts w:asciiTheme="minorHAnsi" w:hAnsiTheme="minorHAnsi" w:cstheme="minorHAnsi"/>
          <w:color w:val="auto"/>
        </w:rPr>
        <w:t xml:space="preserve"> in step 2.7.2</w:t>
      </w:r>
      <w:r w:rsidRPr="00BB6F06">
        <w:rPr>
          <w:rFonts w:asciiTheme="minorHAnsi" w:hAnsiTheme="minorHAnsi" w:cstheme="minorHAnsi"/>
          <w:color w:val="auto"/>
        </w:rPr>
        <w:t xml:space="preserve">. </w:t>
      </w:r>
      <w:r w:rsidR="00A375C9" w:rsidRPr="00BB6F06">
        <w:rPr>
          <w:rFonts w:asciiTheme="minorHAnsi" w:hAnsiTheme="minorHAnsi" w:cstheme="minorHAnsi"/>
          <w:color w:val="auto"/>
        </w:rPr>
        <w:t>Only 1 mL of the following concentrations is necessary.</w:t>
      </w:r>
    </w:p>
    <w:p w14:paraId="650807B5" w14:textId="77777777" w:rsidR="00A375C9" w:rsidRPr="00BB6F06" w:rsidRDefault="00A375C9" w:rsidP="00BB6F06">
      <w:pPr>
        <w:pStyle w:val="NormalWeb"/>
        <w:spacing w:before="0" w:beforeAutospacing="0" w:after="0" w:afterAutospacing="0"/>
        <w:rPr>
          <w:rFonts w:asciiTheme="minorHAnsi" w:hAnsiTheme="minorHAnsi" w:cstheme="minorHAnsi"/>
          <w:color w:val="auto"/>
        </w:rPr>
      </w:pPr>
    </w:p>
    <w:p w14:paraId="7BD27BB9" w14:textId="5BB41930" w:rsidR="00DA066D" w:rsidRPr="00BB6F06" w:rsidRDefault="00DA066D"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2.7.2 Add </w:t>
      </w:r>
      <w:r w:rsidR="00907FE7" w:rsidRPr="00BB6F06">
        <w:rPr>
          <w:rFonts w:asciiTheme="minorHAnsi" w:hAnsiTheme="minorHAnsi" w:cstheme="minorHAnsi"/>
          <w:color w:val="auto"/>
        </w:rPr>
        <w:t>1768</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 xml:space="preserve">of methanol to a vial, and then add the </w:t>
      </w:r>
      <w:r w:rsidR="00636C91" w:rsidRPr="00BB6F06">
        <w:rPr>
          <w:rFonts w:asciiTheme="minorHAnsi" w:hAnsiTheme="minorHAnsi" w:cstheme="minorHAnsi"/>
          <w:color w:val="auto"/>
        </w:rPr>
        <w:t>amounts</w:t>
      </w:r>
      <w:r w:rsidRPr="00BB6F06">
        <w:rPr>
          <w:rFonts w:asciiTheme="minorHAnsi" w:hAnsiTheme="minorHAnsi" w:cstheme="minorHAnsi"/>
          <w:color w:val="auto"/>
        </w:rPr>
        <w:t xml:space="preserve"> of reference standard </w:t>
      </w:r>
      <w:r w:rsidR="00636C91" w:rsidRPr="00BB6F06">
        <w:rPr>
          <w:rFonts w:asciiTheme="minorHAnsi" w:hAnsiTheme="minorHAnsi" w:cstheme="minorHAnsi"/>
          <w:color w:val="auto"/>
        </w:rPr>
        <w:t xml:space="preserve">listed in Table 2 </w:t>
      </w:r>
      <w:r w:rsidRPr="00BB6F06">
        <w:rPr>
          <w:rFonts w:asciiTheme="minorHAnsi" w:hAnsiTheme="minorHAnsi" w:cstheme="minorHAnsi"/>
          <w:color w:val="auto"/>
        </w:rPr>
        <w:t xml:space="preserve">to the same vial to get </w:t>
      </w:r>
      <w:r w:rsidR="00907FE7" w:rsidRPr="00BB6F06">
        <w:rPr>
          <w:rFonts w:asciiTheme="minorHAnsi" w:hAnsiTheme="minorHAnsi" w:cstheme="minorHAnsi"/>
          <w:color w:val="auto"/>
        </w:rPr>
        <w:t xml:space="preserve">2 </w:t>
      </w:r>
      <w:r w:rsidRPr="00BB6F06">
        <w:rPr>
          <w:rFonts w:asciiTheme="minorHAnsi" w:hAnsiTheme="minorHAnsi" w:cstheme="minorHAnsi"/>
          <w:color w:val="auto"/>
        </w:rPr>
        <w:t xml:space="preserve">mL </w:t>
      </w:r>
      <w:r w:rsidR="000C56DB" w:rsidRPr="00BB6F06">
        <w:rPr>
          <w:rFonts w:asciiTheme="minorHAnsi" w:hAnsiTheme="minorHAnsi" w:cstheme="minorHAnsi"/>
          <w:color w:val="auto"/>
        </w:rPr>
        <w:t>final volume</w:t>
      </w:r>
      <w:r w:rsidRPr="00BB6F06">
        <w:rPr>
          <w:rFonts w:asciiTheme="minorHAnsi" w:hAnsiTheme="minorHAnsi" w:cstheme="minorHAnsi"/>
          <w:color w:val="auto"/>
        </w:rPr>
        <w:t>.</w:t>
      </w:r>
      <w:r w:rsidR="00610E25">
        <w:rPr>
          <w:rFonts w:asciiTheme="minorHAnsi" w:hAnsiTheme="minorHAnsi" w:cstheme="minorHAnsi"/>
          <w:color w:val="auto"/>
        </w:rPr>
        <w:t xml:space="preserve"> </w:t>
      </w:r>
      <w:r w:rsidRPr="00BB6F06">
        <w:rPr>
          <w:rFonts w:asciiTheme="minorHAnsi" w:hAnsiTheme="minorHAnsi" w:cstheme="minorHAnsi"/>
          <w:color w:val="auto"/>
        </w:rPr>
        <w:t>Label this vial “Ref Std Mix 1x”. Vortex.</w:t>
      </w:r>
    </w:p>
    <w:p w14:paraId="5BB5341F" w14:textId="77777777" w:rsidR="00DA066D" w:rsidRPr="00BB6F06" w:rsidRDefault="00DA066D" w:rsidP="00BB6F06">
      <w:pPr>
        <w:pStyle w:val="NormalWeb"/>
        <w:spacing w:before="0" w:beforeAutospacing="0" w:after="0" w:afterAutospacing="0"/>
        <w:rPr>
          <w:rFonts w:asciiTheme="minorHAnsi" w:hAnsiTheme="minorHAnsi" w:cstheme="minorHAnsi"/>
          <w:color w:val="auto"/>
        </w:rPr>
      </w:pPr>
    </w:p>
    <w:p w14:paraId="1EEA5AE3" w14:textId="2B15D20F" w:rsidR="007007E2" w:rsidRPr="00BB6F06" w:rsidRDefault="00DA066D"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2.7.3 </w:t>
      </w:r>
      <w:r w:rsidR="007C53DB" w:rsidRPr="00BB6F06">
        <w:rPr>
          <w:rFonts w:asciiTheme="minorHAnsi" w:hAnsiTheme="minorHAnsi" w:cstheme="minorHAnsi"/>
          <w:color w:val="auto"/>
        </w:rPr>
        <w:t>Spike</w:t>
      </w:r>
      <w:r w:rsidRPr="00BB6F06">
        <w:rPr>
          <w:rFonts w:asciiTheme="minorHAnsi" w:hAnsiTheme="minorHAnsi" w:cstheme="minorHAnsi"/>
          <w:color w:val="auto"/>
        </w:rPr>
        <w:t xml:space="preserve"> 100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from “Ref Std Mix 1x” into 900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methanol in a new vial. Label this vial “Ref Std Mix 10x”. Vortex.</w:t>
      </w:r>
    </w:p>
    <w:p w14:paraId="067D76B1" w14:textId="675081B8" w:rsidR="00DA066D" w:rsidRPr="00BB6F06" w:rsidRDefault="00DA066D" w:rsidP="00BB6F06">
      <w:pPr>
        <w:pStyle w:val="NormalWeb"/>
        <w:spacing w:before="0" w:beforeAutospacing="0" w:after="0" w:afterAutospacing="0"/>
        <w:rPr>
          <w:rFonts w:asciiTheme="minorHAnsi" w:hAnsiTheme="minorHAnsi" w:cstheme="minorHAnsi"/>
          <w:color w:val="auto"/>
        </w:rPr>
      </w:pPr>
    </w:p>
    <w:p w14:paraId="168D5BE5" w14:textId="4908FB7D" w:rsidR="00DA066D" w:rsidRPr="00BB6F06" w:rsidRDefault="00DA066D"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2.7.4 </w:t>
      </w:r>
      <w:r w:rsidR="007C53DB" w:rsidRPr="00BB6F06">
        <w:rPr>
          <w:rFonts w:asciiTheme="minorHAnsi" w:hAnsiTheme="minorHAnsi" w:cstheme="minorHAnsi"/>
          <w:color w:val="auto"/>
        </w:rPr>
        <w:t>Spike</w:t>
      </w:r>
      <w:r w:rsidRPr="00BB6F06">
        <w:rPr>
          <w:rFonts w:asciiTheme="minorHAnsi" w:hAnsiTheme="minorHAnsi" w:cstheme="minorHAnsi"/>
          <w:color w:val="auto"/>
        </w:rPr>
        <w:t xml:space="preserve"> 100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from “Ref Std Mix 10x” into 900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methanol in a new vial. Label this vial “Ref Std Mix 100x”. Vortex.</w:t>
      </w:r>
    </w:p>
    <w:p w14:paraId="14448ADE" w14:textId="398EC189" w:rsidR="007007E2" w:rsidRPr="00BB6F06" w:rsidRDefault="007007E2" w:rsidP="00BB6F06">
      <w:pPr>
        <w:pStyle w:val="NormalWeb"/>
        <w:spacing w:before="0" w:beforeAutospacing="0" w:after="0" w:afterAutospacing="0"/>
        <w:rPr>
          <w:rFonts w:asciiTheme="minorHAnsi" w:hAnsiTheme="minorHAnsi" w:cstheme="minorHAnsi"/>
          <w:b/>
          <w:color w:val="auto"/>
        </w:rPr>
      </w:pPr>
    </w:p>
    <w:p w14:paraId="1559498F" w14:textId="65290FFD" w:rsidR="00DA066D" w:rsidRPr="00BB6F06" w:rsidRDefault="00DA066D"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lastRenderedPageBreak/>
        <w:t xml:space="preserve">2.7.5 </w:t>
      </w:r>
      <w:r w:rsidR="007C53DB" w:rsidRPr="00BB6F06">
        <w:rPr>
          <w:rFonts w:asciiTheme="minorHAnsi" w:hAnsiTheme="minorHAnsi" w:cstheme="minorHAnsi"/>
          <w:color w:val="auto"/>
        </w:rPr>
        <w:t>Spike</w:t>
      </w:r>
      <w:r w:rsidRPr="00BB6F06">
        <w:rPr>
          <w:rFonts w:asciiTheme="minorHAnsi" w:hAnsiTheme="minorHAnsi" w:cstheme="minorHAnsi"/>
          <w:color w:val="auto"/>
        </w:rPr>
        <w:t xml:space="preserve"> 100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from “Ref Std Mix 100x” into 900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methanol in a new vial. Label this vial “Ref Std Mix 1000x”. Vortex.</w:t>
      </w:r>
    </w:p>
    <w:p w14:paraId="0A6B4305" w14:textId="75C78D83" w:rsidR="00DA066D" w:rsidRPr="00BB6F06" w:rsidRDefault="00DA066D" w:rsidP="00BB6F06">
      <w:pPr>
        <w:pStyle w:val="NormalWeb"/>
        <w:spacing w:before="0" w:beforeAutospacing="0" w:after="0" w:afterAutospacing="0"/>
        <w:rPr>
          <w:rFonts w:asciiTheme="minorHAnsi" w:hAnsiTheme="minorHAnsi" w:cstheme="minorHAnsi"/>
          <w:color w:val="auto"/>
        </w:rPr>
      </w:pPr>
    </w:p>
    <w:p w14:paraId="1CADE9EC" w14:textId="2B88FDA1" w:rsidR="00DA066D" w:rsidRPr="00BB6F06" w:rsidRDefault="00DA066D"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 xml:space="preserve">2.8 Spike the calibration curve tubes by adding the amount of Ref Std Mix described in </w:t>
      </w:r>
      <w:r w:rsidR="00F17263" w:rsidRPr="00BB6F06">
        <w:rPr>
          <w:rFonts w:asciiTheme="minorHAnsi" w:hAnsiTheme="minorHAnsi" w:cstheme="minorHAnsi"/>
          <w:b/>
          <w:bCs/>
          <w:color w:val="auto"/>
          <w:highlight w:val="yellow"/>
        </w:rPr>
        <w:t>Table 3</w:t>
      </w:r>
      <w:r w:rsidR="00A375C9" w:rsidRPr="00BB6F06">
        <w:rPr>
          <w:rFonts w:asciiTheme="minorHAnsi" w:hAnsiTheme="minorHAnsi" w:cstheme="minorHAnsi"/>
          <w:color w:val="auto"/>
          <w:highlight w:val="yellow"/>
        </w:rPr>
        <w:t>.</w:t>
      </w:r>
    </w:p>
    <w:p w14:paraId="2D24BDDF" w14:textId="615B2FCE" w:rsidR="00DA066D" w:rsidRPr="00BB6F06" w:rsidRDefault="00DA066D" w:rsidP="00BB6F06">
      <w:pPr>
        <w:pStyle w:val="NormalWeb"/>
        <w:spacing w:before="0" w:beforeAutospacing="0" w:after="0" w:afterAutospacing="0"/>
        <w:rPr>
          <w:rFonts w:asciiTheme="minorHAnsi" w:hAnsiTheme="minorHAnsi" w:cstheme="minorHAnsi"/>
          <w:color w:val="auto"/>
        </w:rPr>
      </w:pPr>
    </w:p>
    <w:p w14:paraId="0245E921" w14:textId="7EEF0670" w:rsidR="00DA066D"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2.9 </w:t>
      </w:r>
      <w:r w:rsidR="007C53DB" w:rsidRPr="00BB6F06">
        <w:rPr>
          <w:rFonts w:asciiTheme="minorHAnsi" w:hAnsiTheme="minorHAnsi" w:cstheme="minorHAnsi"/>
          <w:color w:val="auto"/>
        </w:rPr>
        <w:t>Create QC mixes and s</w:t>
      </w:r>
      <w:r w:rsidRPr="00BB6F06">
        <w:rPr>
          <w:rFonts w:asciiTheme="minorHAnsi" w:hAnsiTheme="minorHAnsi" w:cstheme="minorHAnsi"/>
          <w:color w:val="auto"/>
        </w:rPr>
        <w:t>pike quality control tubes.</w:t>
      </w:r>
    </w:p>
    <w:p w14:paraId="375B87DC" w14:textId="219CC7B1" w:rsidR="00251AAB" w:rsidRPr="00BB6F06" w:rsidRDefault="00251AAB" w:rsidP="00BB6F06">
      <w:pPr>
        <w:pStyle w:val="NormalWeb"/>
        <w:spacing w:before="0" w:beforeAutospacing="0" w:after="0" w:afterAutospacing="0"/>
        <w:rPr>
          <w:rFonts w:asciiTheme="minorHAnsi" w:hAnsiTheme="minorHAnsi" w:cstheme="minorHAnsi"/>
          <w:color w:val="auto"/>
        </w:rPr>
      </w:pPr>
    </w:p>
    <w:p w14:paraId="2AD64446" w14:textId="77777777" w:rsidR="00251AAB"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2.9.1 Label 5 vials “QC-A” through “QC-E”. </w:t>
      </w:r>
    </w:p>
    <w:p w14:paraId="3A56891D" w14:textId="77777777" w:rsidR="00251AAB" w:rsidRPr="00BB6F06" w:rsidRDefault="00251AAB" w:rsidP="00BB6F06">
      <w:pPr>
        <w:pStyle w:val="NormalWeb"/>
        <w:spacing w:before="0" w:beforeAutospacing="0" w:after="0" w:afterAutospacing="0"/>
        <w:rPr>
          <w:rFonts w:asciiTheme="minorHAnsi" w:hAnsiTheme="minorHAnsi" w:cstheme="minorHAnsi"/>
          <w:color w:val="auto"/>
        </w:rPr>
      </w:pPr>
    </w:p>
    <w:p w14:paraId="786CE8E6" w14:textId="3B137FF1" w:rsidR="00251AAB"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2.9.2 Add the following amounts of methanol to the five labeled vials:</w:t>
      </w:r>
    </w:p>
    <w:p w14:paraId="43955A34" w14:textId="73574056" w:rsidR="00251AAB" w:rsidRPr="00BB6F06" w:rsidRDefault="00251AAB" w:rsidP="00BB6F06">
      <w:pPr>
        <w:widowControl/>
        <w:autoSpaceDE/>
        <w:autoSpaceDN/>
        <w:adjustRightInd/>
        <w:jc w:val="left"/>
        <w:rPr>
          <w:rFonts w:ascii="Times New Roman" w:hAnsi="Times New Roman" w:cs="Times New Roman"/>
          <w:color w:val="auto"/>
        </w:rPr>
      </w:pPr>
      <w:r w:rsidRPr="00BB6F06">
        <w:rPr>
          <w:rFonts w:asciiTheme="minorHAnsi" w:hAnsiTheme="minorHAnsi" w:cstheme="minorHAnsi"/>
          <w:color w:val="auto"/>
        </w:rPr>
        <w:t xml:space="preserve">QC-A: 990 </w:t>
      </w:r>
      <w:proofErr w:type="spellStart"/>
      <w:r w:rsidR="000C58B0" w:rsidRPr="00BB6F06">
        <w:rPr>
          <w:rFonts w:ascii="Times New Roman" w:hAnsi="Times New Roman" w:cs="Times New Roman"/>
          <w:color w:val="auto"/>
        </w:rPr>
        <w:t>μ</w:t>
      </w:r>
      <w:r w:rsidRPr="00BB6F06">
        <w:rPr>
          <w:rFonts w:asciiTheme="minorHAnsi" w:hAnsiTheme="minorHAnsi" w:cstheme="minorHAnsi"/>
          <w:color w:val="auto"/>
        </w:rPr>
        <w:t>L</w:t>
      </w:r>
      <w:proofErr w:type="spellEnd"/>
    </w:p>
    <w:p w14:paraId="36BCDBC4" w14:textId="754C24DD" w:rsidR="00251AAB"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QC-B: 940 </w:t>
      </w:r>
      <w:proofErr w:type="spellStart"/>
      <w:r w:rsidR="000C58B0" w:rsidRPr="00BB6F06">
        <w:rPr>
          <w:rFonts w:asciiTheme="minorHAnsi" w:hAnsiTheme="minorHAnsi" w:cstheme="minorHAnsi"/>
          <w:color w:val="auto"/>
        </w:rPr>
        <w:t>μL</w:t>
      </w:r>
      <w:proofErr w:type="spellEnd"/>
    </w:p>
    <w:p w14:paraId="2B421DC2" w14:textId="052F3BC8" w:rsidR="00251AAB"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QC-C: 950 </w:t>
      </w:r>
      <w:proofErr w:type="spellStart"/>
      <w:r w:rsidR="000C58B0" w:rsidRPr="00BB6F06">
        <w:rPr>
          <w:rFonts w:asciiTheme="minorHAnsi" w:hAnsiTheme="minorHAnsi" w:cstheme="minorHAnsi"/>
          <w:color w:val="auto"/>
        </w:rPr>
        <w:t>μL</w:t>
      </w:r>
      <w:proofErr w:type="spellEnd"/>
    </w:p>
    <w:p w14:paraId="4ED30AEB" w14:textId="00152720" w:rsidR="00251AAB"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QC-D: 980 </w:t>
      </w:r>
      <w:proofErr w:type="spellStart"/>
      <w:r w:rsidR="000C58B0" w:rsidRPr="00BB6F06">
        <w:rPr>
          <w:rFonts w:asciiTheme="minorHAnsi" w:hAnsiTheme="minorHAnsi" w:cstheme="minorHAnsi"/>
          <w:color w:val="auto"/>
        </w:rPr>
        <w:t>μL</w:t>
      </w:r>
      <w:proofErr w:type="spellEnd"/>
    </w:p>
    <w:p w14:paraId="04EAFF78" w14:textId="468AA455" w:rsidR="00251AAB"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QC-E: 9</w:t>
      </w:r>
      <w:r w:rsidR="000C56DB" w:rsidRPr="00BB6F06">
        <w:rPr>
          <w:rFonts w:asciiTheme="minorHAnsi" w:hAnsiTheme="minorHAnsi" w:cstheme="minorHAnsi"/>
          <w:color w:val="auto"/>
        </w:rPr>
        <w:t>5</w:t>
      </w:r>
      <w:r w:rsidRPr="00BB6F06">
        <w:rPr>
          <w:rFonts w:asciiTheme="minorHAnsi" w:hAnsiTheme="minorHAnsi" w:cstheme="minorHAnsi"/>
          <w:color w:val="auto"/>
        </w:rPr>
        <w:t>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p>
    <w:p w14:paraId="6B3D828A" w14:textId="70014C7E" w:rsidR="00251AAB" w:rsidRPr="00BB6F06" w:rsidRDefault="00251AAB" w:rsidP="00BB6F06">
      <w:pPr>
        <w:pStyle w:val="NormalWeb"/>
        <w:spacing w:before="0" w:beforeAutospacing="0" w:after="0" w:afterAutospacing="0"/>
        <w:rPr>
          <w:rFonts w:asciiTheme="minorHAnsi" w:hAnsiTheme="minorHAnsi" w:cstheme="minorHAnsi"/>
          <w:color w:val="auto"/>
        </w:rPr>
      </w:pPr>
    </w:p>
    <w:p w14:paraId="16A5951D" w14:textId="2737278C" w:rsidR="00251AAB"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2.9.3 Using the 1 mg/mL </w:t>
      </w:r>
      <w:r w:rsidR="000C56DB" w:rsidRPr="00BB6F06">
        <w:rPr>
          <w:rFonts w:asciiTheme="minorHAnsi" w:hAnsiTheme="minorHAnsi" w:cstheme="minorHAnsi"/>
          <w:color w:val="auto"/>
        </w:rPr>
        <w:t>drug</w:t>
      </w:r>
      <w:r w:rsidRPr="00BB6F06">
        <w:rPr>
          <w:rFonts w:asciiTheme="minorHAnsi" w:hAnsiTheme="minorHAnsi" w:cstheme="minorHAnsi"/>
          <w:color w:val="auto"/>
        </w:rPr>
        <w:t xml:space="preserve"> stocks created in step 2.7.1, add 10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 xml:space="preserve">to the </w:t>
      </w:r>
      <w:r w:rsidR="00866CEA" w:rsidRPr="00BB6F06">
        <w:rPr>
          <w:rFonts w:asciiTheme="minorHAnsi" w:hAnsiTheme="minorHAnsi" w:cstheme="minorHAnsi"/>
          <w:color w:val="auto"/>
        </w:rPr>
        <w:t xml:space="preserve">specific </w:t>
      </w:r>
      <w:r w:rsidRPr="00BB6F06">
        <w:rPr>
          <w:rFonts w:asciiTheme="minorHAnsi" w:hAnsiTheme="minorHAnsi" w:cstheme="minorHAnsi"/>
          <w:color w:val="auto"/>
        </w:rPr>
        <w:t>vials listed below. For the BDQ and CLF stocks, which are at 0.5 mg/mL, add 20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 xml:space="preserve">to the vials listed below. </w:t>
      </w:r>
    </w:p>
    <w:p w14:paraId="54FC4FA5" w14:textId="12828108" w:rsidR="00251AAB"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QC-A: PTH</w:t>
      </w:r>
    </w:p>
    <w:p w14:paraId="6E8846A1" w14:textId="6503C9F1" w:rsidR="00251AAB"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QC-B: EMB, CLF, BDQ, PTM</w:t>
      </w:r>
    </w:p>
    <w:p w14:paraId="7D0A7895" w14:textId="5EC08481" w:rsidR="00251AAB"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QC-C: INH, LFX, LZD, MFX, PZA</w:t>
      </w:r>
    </w:p>
    <w:p w14:paraId="15C0F420" w14:textId="01B5A90D" w:rsidR="00251AAB"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QC-D: PTH, EMB</w:t>
      </w:r>
    </w:p>
    <w:p w14:paraId="26623D2D" w14:textId="4A718CDF" w:rsidR="00251AAB" w:rsidRDefault="00251AAB" w:rsidP="00B84D35">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QC-E: CLF, BDQ, PTM</w:t>
      </w:r>
    </w:p>
    <w:p w14:paraId="01363323" w14:textId="77777777" w:rsidR="002E6016" w:rsidRPr="00BB6F06" w:rsidRDefault="002E6016" w:rsidP="00BB6F06">
      <w:pPr>
        <w:pStyle w:val="NormalWeb"/>
        <w:spacing w:before="0" w:beforeAutospacing="0" w:after="0" w:afterAutospacing="0"/>
        <w:rPr>
          <w:rFonts w:asciiTheme="minorHAnsi" w:hAnsiTheme="minorHAnsi" w:cstheme="minorHAnsi"/>
          <w:color w:val="auto"/>
        </w:rPr>
      </w:pPr>
    </w:p>
    <w:p w14:paraId="57658D90" w14:textId="5400DA44" w:rsidR="00251AAB" w:rsidRDefault="002E6016" w:rsidP="00B84D35">
      <w:pPr>
        <w:pStyle w:val="NormalWeb"/>
        <w:spacing w:before="0" w:beforeAutospacing="0" w:after="0" w:afterAutospacing="0"/>
        <w:rPr>
          <w:rFonts w:asciiTheme="minorHAnsi" w:hAnsiTheme="minorHAnsi" w:cstheme="minorHAnsi"/>
          <w:color w:val="auto"/>
        </w:rPr>
      </w:pPr>
      <w:r w:rsidRPr="00A77F67">
        <w:rPr>
          <w:rFonts w:asciiTheme="minorHAnsi" w:hAnsiTheme="minorHAnsi" w:cstheme="minorHAnsi"/>
          <w:color w:val="auto"/>
        </w:rPr>
        <w:t xml:space="preserve">NOTE: </w:t>
      </w:r>
      <w:r>
        <w:rPr>
          <w:rFonts w:asciiTheme="minorHAnsi" w:hAnsiTheme="minorHAnsi" w:cstheme="minorHAnsi"/>
          <w:color w:val="auto"/>
        </w:rPr>
        <w:t>S</w:t>
      </w:r>
      <w:r w:rsidRPr="00A77F67">
        <w:rPr>
          <w:rFonts w:asciiTheme="minorHAnsi" w:hAnsiTheme="minorHAnsi" w:cstheme="minorHAnsi"/>
          <w:color w:val="auto"/>
        </w:rPr>
        <w:t>ome drugs are present in multiple mixes.</w:t>
      </w:r>
    </w:p>
    <w:p w14:paraId="3FC2502C" w14:textId="77777777" w:rsidR="002E6016" w:rsidRPr="00BB6F06" w:rsidRDefault="002E6016" w:rsidP="00BB6F06">
      <w:pPr>
        <w:pStyle w:val="NormalWeb"/>
        <w:spacing w:before="0" w:beforeAutospacing="0" w:after="0" w:afterAutospacing="0"/>
        <w:rPr>
          <w:rFonts w:asciiTheme="minorHAnsi" w:hAnsiTheme="minorHAnsi" w:cstheme="minorHAnsi"/>
          <w:color w:val="auto"/>
        </w:rPr>
      </w:pPr>
    </w:p>
    <w:p w14:paraId="51214F4F" w14:textId="49D16C2F" w:rsidR="00251AAB"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2.9.4 Label a vial as “QC-A </w:t>
      </w:r>
      <w:r w:rsidR="0080517D" w:rsidRPr="00BB6F06">
        <w:rPr>
          <w:rFonts w:asciiTheme="minorHAnsi" w:hAnsiTheme="minorHAnsi" w:cstheme="minorHAnsi"/>
          <w:color w:val="auto"/>
        </w:rPr>
        <w:t>df</w:t>
      </w:r>
      <w:r w:rsidRPr="00BB6F06">
        <w:rPr>
          <w:rFonts w:asciiTheme="minorHAnsi" w:hAnsiTheme="minorHAnsi" w:cstheme="minorHAnsi"/>
          <w:color w:val="auto"/>
        </w:rPr>
        <w:t>100”. Dilute 10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of QC-A into 990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methanol.</w:t>
      </w:r>
    </w:p>
    <w:p w14:paraId="20205A18" w14:textId="77777777" w:rsidR="00251AAB" w:rsidRPr="00BB6F06" w:rsidRDefault="00251AAB" w:rsidP="00BB6F06">
      <w:pPr>
        <w:pStyle w:val="NormalWeb"/>
        <w:spacing w:before="0" w:beforeAutospacing="0" w:after="0" w:afterAutospacing="0"/>
        <w:rPr>
          <w:rFonts w:asciiTheme="minorHAnsi" w:hAnsiTheme="minorHAnsi" w:cstheme="minorHAnsi"/>
          <w:color w:val="auto"/>
        </w:rPr>
      </w:pPr>
    </w:p>
    <w:p w14:paraId="69DFBF30" w14:textId="09CAB56F" w:rsidR="00251AAB" w:rsidRPr="00BB6F06" w:rsidRDefault="00251AAB"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2.9.5 Label a vial as “Low QC</w:t>
      </w:r>
      <w:r w:rsidR="007E76DE" w:rsidRPr="00BB6F06">
        <w:rPr>
          <w:rFonts w:asciiTheme="minorHAnsi" w:hAnsiTheme="minorHAnsi" w:cstheme="minorHAnsi"/>
          <w:color w:val="auto"/>
        </w:rPr>
        <w:t xml:space="preserve"> stock</w:t>
      </w:r>
      <w:r w:rsidRPr="00BB6F06">
        <w:rPr>
          <w:rFonts w:asciiTheme="minorHAnsi" w:hAnsiTheme="minorHAnsi" w:cstheme="minorHAnsi"/>
          <w:color w:val="auto"/>
        </w:rPr>
        <w:t xml:space="preserve">”. Add </w:t>
      </w:r>
      <w:r w:rsidR="009D7F85" w:rsidRPr="00BB6F06">
        <w:rPr>
          <w:rFonts w:asciiTheme="minorHAnsi" w:hAnsiTheme="minorHAnsi" w:cstheme="minorHAnsi"/>
          <w:color w:val="auto"/>
        </w:rPr>
        <w:t>1832</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 xml:space="preserve">methanol to this vial. Add the amounts of QC mixes detailed </w:t>
      </w:r>
      <w:r w:rsidR="009D7F85" w:rsidRPr="00BB6F06">
        <w:rPr>
          <w:rFonts w:asciiTheme="minorHAnsi" w:hAnsiTheme="minorHAnsi" w:cstheme="minorHAnsi"/>
          <w:color w:val="auto"/>
        </w:rPr>
        <w:t>below:</w:t>
      </w:r>
      <w:r w:rsidRPr="00BB6F06">
        <w:rPr>
          <w:rFonts w:asciiTheme="minorHAnsi" w:hAnsiTheme="minorHAnsi" w:cstheme="minorHAnsi"/>
          <w:color w:val="auto"/>
        </w:rPr>
        <w:t xml:space="preserve"> </w:t>
      </w:r>
    </w:p>
    <w:p w14:paraId="664480B5" w14:textId="13986F04" w:rsidR="009D7F85" w:rsidRPr="00BB6F06" w:rsidRDefault="009D7F85"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QC-A </w:t>
      </w:r>
      <w:r w:rsidR="0080517D" w:rsidRPr="00BB6F06">
        <w:rPr>
          <w:rFonts w:asciiTheme="minorHAnsi" w:hAnsiTheme="minorHAnsi" w:cstheme="minorHAnsi"/>
          <w:color w:val="auto"/>
        </w:rPr>
        <w:t>df</w:t>
      </w:r>
      <w:r w:rsidRPr="00BB6F06">
        <w:rPr>
          <w:rFonts w:asciiTheme="minorHAnsi" w:hAnsiTheme="minorHAnsi" w:cstheme="minorHAnsi"/>
          <w:color w:val="auto"/>
        </w:rPr>
        <w:t xml:space="preserve">100: 80 </w:t>
      </w:r>
      <w:proofErr w:type="spellStart"/>
      <w:r w:rsidR="00EC043F" w:rsidRPr="00BB6F06">
        <w:rPr>
          <w:rFonts w:asciiTheme="minorHAnsi" w:hAnsiTheme="minorHAnsi" w:cstheme="minorHAnsi"/>
        </w:rPr>
        <w:t>μL</w:t>
      </w:r>
      <w:proofErr w:type="spellEnd"/>
    </w:p>
    <w:p w14:paraId="31DA084E" w14:textId="29A3D475" w:rsidR="009D7F85" w:rsidRPr="00BB6F06" w:rsidRDefault="009D7F85"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QC-B: 8 </w:t>
      </w:r>
      <w:proofErr w:type="spellStart"/>
      <w:r w:rsidR="00EC043F" w:rsidRPr="00BB6F06">
        <w:rPr>
          <w:rFonts w:asciiTheme="minorHAnsi" w:hAnsiTheme="minorHAnsi" w:cstheme="minorHAnsi"/>
        </w:rPr>
        <w:t>μL</w:t>
      </w:r>
      <w:proofErr w:type="spellEnd"/>
    </w:p>
    <w:p w14:paraId="6ACBF94F" w14:textId="462EAE29" w:rsidR="009D7F85" w:rsidRPr="00BB6F06" w:rsidRDefault="009D7F85"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QC-C: 80 </w:t>
      </w:r>
      <w:proofErr w:type="spellStart"/>
      <w:r w:rsidR="00EC043F" w:rsidRPr="00BB6F06">
        <w:rPr>
          <w:rFonts w:asciiTheme="minorHAnsi" w:hAnsiTheme="minorHAnsi" w:cstheme="minorHAnsi"/>
        </w:rPr>
        <w:t>μL</w:t>
      </w:r>
      <w:proofErr w:type="spellEnd"/>
    </w:p>
    <w:p w14:paraId="30C29C33" w14:textId="55048AAB" w:rsidR="00251AAB" w:rsidRPr="00BB6F06" w:rsidRDefault="00251AAB" w:rsidP="00BB6F06">
      <w:pPr>
        <w:pStyle w:val="NormalWeb"/>
        <w:spacing w:before="0" w:beforeAutospacing="0" w:after="0" w:afterAutospacing="0"/>
        <w:rPr>
          <w:rFonts w:asciiTheme="minorHAnsi" w:hAnsiTheme="minorHAnsi" w:cstheme="minorHAnsi"/>
          <w:b/>
          <w:color w:val="auto"/>
        </w:rPr>
      </w:pPr>
    </w:p>
    <w:p w14:paraId="4E81AA08" w14:textId="357959C4" w:rsidR="009D7F85" w:rsidRPr="00BB6F06" w:rsidRDefault="009D7F85"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2.9.6 Label a vial as “Mid QC</w:t>
      </w:r>
      <w:r w:rsidR="007E76DE" w:rsidRPr="00BB6F06">
        <w:rPr>
          <w:rFonts w:asciiTheme="minorHAnsi" w:hAnsiTheme="minorHAnsi" w:cstheme="minorHAnsi"/>
          <w:color w:val="auto"/>
        </w:rPr>
        <w:t xml:space="preserve"> stock</w:t>
      </w:r>
      <w:r w:rsidRPr="00BB6F06">
        <w:rPr>
          <w:rFonts w:asciiTheme="minorHAnsi" w:hAnsiTheme="minorHAnsi" w:cstheme="minorHAnsi"/>
          <w:color w:val="auto"/>
        </w:rPr>
        <w:t>”. Add 760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 xml:space="preserve">methanol to this vial. Add the amounts of QC mixes detailed below: </w:t>
      </w:r>
    </w:p>
    <w:p w14:paraId="5F64D676" w14:textId="27D40B78" w:rsidR="009D7F85" w:rsidRPr="00BB6F06" w:rsidRDefault="009D7F85"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QC-A </w:t>
      </w:r>
      <w:r w:rsidR="0080517D" w:rsidRPr="00BB6F06">
        <w:rPr>
          <w:rFonts w:asciiTheme="minorHAnsi" w:hAnsiTheme="minorHAnsi" w:cstheme="minorHAnsi"/>
          <w:color w:val="auto"/>
        </w:rPr>
        <w:t>df</w:t>
      </w:r>
      <w:r w:rsidRPr="00BB6F06">
        <w:rPr>
          <w:rFonts w:asciiTheme="minorHAnsi" w:hAnsiTheme="minorHAnsi" w:cstheme="minorHAnsi"/>
          <w:color w:val="auto"/>
        </w:rPr>
        <w:t xml:space="preserve">100: 800 </w:t>
      </w:r>
      <w:proofErr w:type="spellStart"/>
      <w:r w:rsidR="00EC043F" w:rsidRPr="00BB6F06">
        <w:rPr>
          <w:rFonts w:asciiTheme="minorHAnsi" w:hAnsiTheme="minorHAnsi" w:cstheme="minorHAnsi"/>
        </w:rPr>
        <w:t>μL</w:t>
      </w:r>
      <w:proofErr w:type="spellEnd"/>
    </w:p>
    <w:p w14:paraId="3A8459BD" w14:textId="0B7FA68F" w:rsidR="009D7F85" w:rsidRPr="00BB6F06" w:rsidRDefault="009D7F85"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QC-B: 40 </w:t>
      </w:r>
      <w:proofErr w:type="spellStart"/>
      <w:r w:rsidR="00EC043F" w:rsidRPr="00BB6F06">
        <w:rPr>
          <w:rFonts w:asciiTheme="minorHAnsi" w:hAnsiTheme="minorHAnsi" w:cstheme="minorHAnsi"/>
        </w:rPr>
        <w:t>μL</w:t>
      </w:r>
      <w:proofErr w:type="spellEnd"/>
    </w:p>
    <w:p w14:paraId="02737E95" w14:textId="243C50C6" w:rsidR="009D7F85" w:rsidRPr="00BB6F06" w:rsidRDefault="009D7F85"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QC-C: 400 </w:t>
      </w:r>
      <w:proofErr w:type="spellStart"/>
      <w:r w:rsidR="00EC043F" w:rsidRPr="00BB6F06">
        <w:rPr>
          <w:rFonts w:asciiTheme="minorHAnsi" w:hAnsiTheme="minorHAnsi" w:cstheme="minorHAnsi"/>
        </w:rPr>
        <w:t>μL</w:t>
      </w:r>
      <w:proofErr w:type="spellEnd"/>
    </w:p>
    <w:p w14:paraId="3F5057CE" w14:textId="636A9190" w:rsidR="009D7F85" w:rsidRPr="00BB6F06" w:rsidRDefault="009D7F85" w:rsidP="00BB6F06">
      <w:pPr>
        <w:pStyle w:val="NormalWeb"/>
        <w:spacing w:before="0" w:beforeAutospacing="0" w:after="0" w:afterAutospacing="0"/>
        <w:rPr>
          <w:rFonts w:asciiTheme="minorHAnsi" w:hAnsiTheme="minorHAnsi" w:cstheme="minorHAnsi"/>
          <w:color w:val="auto"/>
        </w:rPr>
      </w:pPr>
    </w:p>
    <w:p w14:paraId="06998547" w14:textId="33DD7B73" w:rsidR="009D7F85" w:rsidRPr="00BB6F06" w:rsidRDefault="009D7F85"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2.9.7 Label a vial as “High QC</w:t>
      </w:r>
      <w:r w:rsidR="007E76DE" w:rsidRPr="00BB6F06">
        <w:rPr>
          <w:rFonts w:asciiTheme="minorHAnsi" w:hAnsiTheme="minorHAnsi" w:cstheme="minorHAnsi"/>
          <w:color w:val="auto"/>
        </w:rPr>
        <w:t xml:space="preserve"> stock</w:t>
      </w:r>
      <w:r w:rsidRPr="00BB6F06">
        <w:rPr>
          <w:rFonts w:asciiTheme="minorHAnsi" w:hAnsiTheme="minorHAnsi" w:cstheme="minorHAnsi"/>
          <w:color w:val="auto"/>
        </w:rPr>
        <w:t>”. Add 1376</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Pr="00BB6F06">
        <w:rPr>
          <w:rFonts w:asciiTheme="minorHAnsi" w:hAnsiTheme="minorHAnsi" w:cstheme="minorHAnsi"/>
          <w:color w:val="auto"/>
        </w:rPr>
        <w:t xml:space="preserve">methanol to this vial. Add the amounts of QC mixes detailed below: </w:t>
      </w:r>
    </w:p>
    <w:p w14:paraId="4A9AA306" w14:textId="71EE0D72" w:rsidR="009D7F85" w:rsidRPr="00BB6F06" w:rsidRDefault="009D7F85"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QC-D: 160 </w:t>
      </w:r>
      <w:proofErr w:type="spellStart"/>
      <w:r w:rsidR="00EC043F" w:rsidRPr="00BB6F06">
        <w:rPr>
          <w:rFonts w:asciiTheme="minorHAnsi" w:hAnsiTheme="minorHAnsi" w:cstheme="minorHAnsi"/>
        </w:rPr>
        <w:t>μL</w:t>
      </w:r>
      <w:proofErr w:type="spellEnd"/>
    </w:p>
    <w:p w14:paraId="296CF9CB" w14:textId="506CAF45" w:rsidR="009D7F85" w:rsidRPr="00BB6F06" w:rsidRDefault="009D7F85"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QC-E: 320 </w:t>
      </w:r>
      <w:proofErr w:type="spellStart"/>
      <w:r w:rsidR="00EC043F" w:rsidRPr="00BB6F06">
        <w:rPr>
          <w:rFonts w:asciiTheme="minorHAnsi" w:hAnsiTheme="minorHAnsi" w:cstheme="minorHAnsi"/>
        </w:rPr>
        <w:t>μL</w:t>
      </w:r>
      <w:proofErr w:type="spellEnd"/>
    </w:p>
    <w:p w14:paraId="00DCB05B" w14:textId="5683D59E" w:rsidR="009D7F85" w:rsidRPr="00BB6F06" w:rsidRDefault="009D7F85"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lastRenderedPageBreak/>
        <w:t>MFX, 1mg/mL stock: 16</w:t>
      </w:r>
      <w:r w:rsidR="00EC043F" w:rsidRPr="00BB6F06">
        <w:rPr>
          <w:rFonts w:asciiTheme="minorHAnsi" w:hAnsiTheme="minorHAnsi" w:cstheme="minorHAnsi"/>
          <w:color w:val="auto"/>
        </w:rPr>
        <w:t xml:space="preserve"> </w:t>
      </w:r>
      <w:proofErr w:type="spellStart"/>
      <w:r w:rsidR="00EC043F" w:rsidRPr="00BB6F06">
        <w:rPr>
          <w:rFonts w:asciiTheme="minorHAnsi" w:hAnsiTheme="minorHAnsi" w:cstheme="minorHAnsi"/>
        </w:rPr>
        <w:t>μL</w:t>
      </w:r>
      <w:proofErr w:type="spellEnd"/>
    </w:p>
    <w:p w14:paraId="1B8BA44E" w14:textId="43C48042" w:rsidR="009D7F85" w:rsidRPr="00BB6F06" w:rsidRDefault="009D7F85" w:rsidP="00BB6F06">
      <w:pPr>
        <w:pStyle w:val="NormalWeb"/>
        <w:tabs>
          <w:tab w:val="left" w:pos="599"/>
          <w:tab w:val="left" w:pos="870"/>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INH, 1mg/mL stock: </w:t>
      </w:r>
      <w:r w:rsidR="00EC043F" w:rsidRPr="00BB6F06">
        <w:rPr>
          <w:rFonts w:asciiTheme="minorHAnsi" w:hAnsiTheme="minorHAnsi" w:cstheme="minorHAnsi"/>
          <w:color w:val="auto"/>
        </w:rPr>
        <w:t xml:space="preserve">32 </w:t>
      </w:r>
      <w:proofErr w:type="spellStart"/>
      <w:r w:rsidR="00EC043F" w:rsidRPr="00BB6F06">
        <w:rPr>
          <w:rFonts w:asciiTheme="minorHAnsi" w:hAnsiTheme="minorHAnsi" w:cstheme="minorHAnsi"/>
        </w:rPr>
        <w:t>μL</w:t>
      </w:r>
      <w:proofErr w:type="spellEnd"/>
    </w:p>
    <w:p w14:paraId="5077707B" w14:textId="2D774E9B" w:rsidR="009D7F85" w:rsidRPr="00BB6F06" w:rsidRDefault="009D7F85" w:rsidP="00BB6F06">
      <w:pPr>
        <w:pStyle w:val="NormalWeb"/>
        <w:tabs>
          <w:tab w:val="left" w:pos="813"/>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LFX, 1mg/mL stock: </w:t>
      </w:r>
      <w:r w:rsidR="00EC043F" w:rsidRPr="00BB6F06">
        <w:rPr>
          <w:rFonts w:asciiTheme="minorHAnsi" w:hAnsiTheme="minorHAnsi" w:cstheme="minorHAnsi"/>
          <w:color w:val="auto"/>
        </w:rPr>
        <w:t xml:space="preserve">32 </w:t>
      </w:r>
      <w:proofErr w:type="spellStart"/>
      <w:r w:rsidR="00EC043F" w:rsidRPr="00BB6F06">
        <w:rPr>
          <w:rFonts w:asciiTheme="minorHAnsi" w:hAnsiTheme="minorHAnsi" w:cstheme="minorHAnsi"/>
        </w:rPr>
        <w:t>μL</w:t>
      </w:r>
      <w:proofErr w:type="spellEnd"/>
    </w:p>
    <w:p w14:paraId="7CEA7A16" w14:textId="77968E3E" w:rsidR="009D7F85" w:rsidRPr="00BB6F06" w:rsidRDefault="009D7F85"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LZD, 1mg/mL stock: </w:t>
      </w:r>
      <w:r w:rsidR="00EC043F" w:rsidRPr="00BB6F06">
        <w:rPr>
          <w:rFonts w:asciiTheme="minorHAnsi" w:hAnsiTheme="minorHAnsi" w:cstheme="minorHAnsi"/>
          <w:color w:val="auto"/>
        </w:rPr>
        <w:t xml:space="preserve">32 </w:t>
      </w:r>
      <w:proofErr w:type="spellStart"/>
      <w:r w:rsidR="00EC043F" w:rsidRPr="00BB6F06">
        <w:rPr>
          <w:rFonts w:asciiTheme="minorHAnsi" w:hAnsiTheme="minorHAnsi" w:cstheme="minorHAnsi"/>
        </w:rPr>
        <w:t>μL</w:t>
      </w:r>
      <w:proofErr w:type="spellEnd"/>
    </w:p>
    <w:p w14:paraId="27A7BFB6" w14:textId="022D4964" w:rsidR="009D7F85" w:rsidRPr="00BB6F06" w:rsidRDefault="00610E25" w:rsidP="00BB6F06">
      <w:pPr>
        <w:pStyle w:val="NormalWeb"/>
        <w:tabs>
          <w:tab w:val="left" w:pos="1369"/>
        </w:tabs>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 </w:t>
      </w:r>
      <w:r w:rsidR="009D7F85" w:rsidRPr="00BB6F06">
        <w:rPr>
          <w:rFonts w:asciiTheme="minorHAnsi" w:hAnsiTheme="minorHAnsi" w:cstheme="minorHAnsi"/>
          <w:color w:val="auto"/>
        </w:rPr>
        <w:t>PZA, 1mg/mL stock: 32</w:t>
      </w:r>
      <w:r w:rsidR="00EC043F" w:rsidRPr="00BB6F06">
        <w:rPr>
          <w:rFonts w:asciiTheme="minorHAnsi" w:hAnsiTheme="minorHAnsi" w:cstheme="minorHAnsi"/>
          <w:color w:val="auto"/>
        </w:rPr>
        <w:t xml:space="preserve"> </w:t>
      </w:r>
      <w:proofErr w:type="spellStart"/>
      <w:r w:rsidR="00EC043F" w:rsidRPr="00BB6F06">
        <w:rPr>
          <w:rFonts w:asciiTheme="minorHAnsi" w:hAnsiTheme="minorHAnsi" w:cstheme="minorHAnsi"/>
        </w:rPr>
        <w:t>μL</w:t>
      </w:r>
      <w:proofErr w:type="spellEnd"/>
    </w:p>
    <w:p w14:paraId="62F1D137" w14:textId="77777777" w:rsidR="009D7F85" w:rsidRPr="00BB6F06" w:rsidRDefault="009D7F85" w:rsidP="00BB6F06">
      <w:pPr>
        <w:pStyle w:val="NormalWeb"/>
        <w:tabs>
          <w:tab w:val="left" w:pos="1369"/>
        </w:tabs>
        <w:spacing w:before="0" w:beforeAutospacing="0" w:after="0" w:afterAutospacing="0"/>
        <w:rPr>
          <w:rFonts w:asciiTheme="minorHAnsi" w:hAnsiTheme="minorHAnsi" w:cstheme="minorHAnsi"/>
          <w:color w:val="auto"/>
        </w:rPr>
      </w:pPr>
    </w:p>
    <w:p w14:paraId="3BEB294C" w14:textId="1E652153" w:rsidR="009D7F85" w:rsidRPr="00BB6F06" w:rsidRDefault="009D7F85"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2.9.8 </w:t>
      </w:r>
      <w:r w:rsidR="000C56DB" w:rsidRPr="00BB6F06">
        <w:rPr>
          <w:rFonts w:asciiTheme="minorHAnsi" w:hAnsiTheme="minorHAnsi" w:cstheme="minorHAnsi"/>
          <w:color w:val="auto"/>
        </w:rPr>
        <w:t>Spike 10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000C56DB" w:rsidRPr="00BB6F06">
        <w:rPr>
          <w:rFonts w:asciiTheme="minorHAnsi" w:hAnsiTheme="minorHAnsi" w:cstheme="minorHAnsi"/>
          <w:color w:val="auto"/>
        </w:rPr>
        <w:t>Low QC stock into the Low QC bead tube</w:t>
      </w:r>
      <w:r w:rsidR="0080517D" w:rsidRPr="00BB6F06">
        <w:rPr>
          <w:rFonts w:asciiTheme="minorHAnsi" w:hAnsiTheme="minorHAnsi" w:cstheme="minorHAnsi"/>
          <w:color w:val="auto"/>
        </w:rPr>
        <w:t>.</w:t>
      </w:r>
    </w:p>
    <w:p w14:paraId="54B7A7B4" w14:textId="25263444" w:rsidR="009D7F85" w:rsidRPr="00BB6F06" w:rsidRDefault="009D7F85" w:rsidP="00BB6F06">
      <w:pPr>
        <w:pStyle w:val="NormalWeb"/>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ab/>
      </w:r>
    </w:p>
    <w:p w14:paraId="3E376828" w14:textId="5775A40C"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2.9.9 </w:t>
      </w:r>
      <w:r w:rsidR="000C56DB" w:rsidRPr="00BB6F06">
        <w:rPr>
          <w:rFonts w:asciiTheme="minorHAnsi" w:hAnsiTheme="minorHAnsi" w:cstheme="minorHAnsi"/>
          <w:color w:val="auto"/>
        </w:rPr>
        <w:t>Spike 10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000C56DB" w:rsidRPr="00BB6F06">
        <w:rPr>
          <w:rFonts w:asciiTheme="minorHAnsi" w:hAnsiTheme="minorHAnsi" w:cstheme="minorHAnsi"/>
          <w:color w:val="auto"/>
        </w:rPr>
        <w:t xml:space="preserve">Mid QC stock into the Mid QC </w:t>
      </w:r>
      <w:r w:rsidR="002E6016">
        <w:rPr>
          <w:rFonts w:asciiTheme="minorHAnsi" w:hAnsiTheme="minorHAnsi" w:cstheme="minorHAnsi"/>
          <w:color w:val="auto"/>
        </w:rPr>
        <w:t>bead tube</w:t>
      </w:r>
      <w:r w:rsidR="0080517D" w:rsidRPr="00BB6F06">
        <w:rPr>
          <w:rFonts w:asciiTheme="minorHAnsi" w:hAnsiTheme="minorHAnsi" w:cstheme="minorHAnsi"/>
          <w:color w:val="auto"/>
        </w:rPr>
        <w:t>.</w:t>
      </w:r>
    </w:p>
    <w:p w14:paraId="0A5F20B3" w14:textId="440C173A" w:rsidR="009D7F85" w:rsidRPr="00BB6F06" w:rsidRDefault="009D7F85" w:rsidP="00BB6F06">
      <w:pPr>
        <w:pStyle w:val="NormalWeb"/>
        <w:spacing w:before="0" w:beforeAutospacing="0" w:after="0" w:afterAutospacing="0"/>
        <w:rPr>
          <w:rFonts w:asciiTheme="minorHAnsi" w:hAnsiTheme="minorHAnsi" w:cstheme="minorHAnsi"/>
          <w:color w:val="auto"/>
        </w:rPr>
      </w:pPr>
    </w:p>
    <w:p w14:paraId="57C0D393" w14:textId="57233733"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2.9.10 </w:t>
      </w:r>
      <w:r w:rsidR="000C56DB" w:rsidRPr="00BB6F06">
        <w:rPr>
          <w:rFonts w:asciiTheme="minorHAnsi" w:hAnsiTheme="minorHAnsi" w:cstheme="minorHAnsi"/>
          <w:color w:val="auto"/>
        </w:rPr>
        <w:t>Spike 10</w:t>
      </w:r>
      <w:r w:rsidR="000C58B0" w:rsidRPr="00BB6F06">
        <w:rPr>
          <w:rFonts w:asciiTheme="minorHAnsi" w:hAnsiTheme="minorHAnsi" w:cstheme="minorHAnsi"/>
          <w:color w:val="auto"/>
        </w:rPr>
        <w:t xml:space="preserve"> </w:t>
      </w:r>
      <w:proofErr w:type="spellStart"/>
      <w:r w:rsidR="000C58B0" w:rsidRPr="00BB6F06">
        <w:rPr>
          <w:rFonts w:asciiTheme="minorHAnsi" w:hAnsiTheme="minorHAnsi" w:cstheme="minorHAnsi"/>
          <w:color w:val="auto"/>
        </w:rPr>
        <w:t>μL</w:t>
      </w:r>
      <w:proofErr w:type="spellEnd"/>
      <w:r w:rsidR="000C58B0" w:rsidRPr="00BB6F06">
        <w:rPr>
          <w:rFonts w:asciiTheme="minorHAnsi" w:hAnsiTheme="minorHAnsi" w:cstheme="minorHAnsi"/>
          <w:color w:val="auto"/>
        </w:rPr>
        <w:t xml:space="preserve"> </w:t>
      </w:r>
      <w:r w:rsidR="000C56DB" w:rsidRPr="00BB6F06">
        <w:rPr>
          <w:rFonts w:asciiTheme="minorHAnsi" w:hAnsiTheme="minorHAnsi" w:cstheme="minorHAnsi"/>
          <w:color w:val="auto"/>
        </w:rPr>
        <w:t xml:space="preserve">High QC stock into the High QC </w:t>
      </w:r>
      <w:r w:rsidR="002E6016">
        <w:rPr>
          <w:rFonts w:asciiTheme="minorHAnsi" w:hAnsiTheme="minorHAnsi" w:cstheme="minorHAnsi"/>
          <w:color w:val="auto"/>
        </w:rPr>
        <w:t>bead tube</w:t>
      </w:r>
      <w:r w:rsidR="0080517D" w:rsidRPr="00BB6F06">
        <w:rPr>
          <w:rFonts w:asciiTheme="minorHAnsi" w:hAnsiTheme="minorHAnsi" w:cstheme="minorHAnsi"/>
          <w:color w:val="auto"/>
        </w:rPr>
        <w:t>.</w:t>
      </w:r>
    </w:p>
    <w:p w14:paraId="1FDF35B2" w14:textId="5648D528"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p>
    <w:p w14:paraId="43263DB7" w14:textId="72815A4A"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 xml:space="preserve">2.10 Place all tubes in </w:t>
      </w:r>
      <w:r w:rsidR="00966995" w:rsidRPr="00BB6F06">
        <w:rPr>
          <w:rFonts w:asciiTheme="minorHAnsi" w:hAnsiTheme="minorHAnsi" w:cstheme="minorHAnsi"/>
          <w:color w:val="auto"/>
          <w:highlight w:val="yellow"/>
        </w:rPr>
        <w:t>hot</w:t>
      </w:r>
      <w:r w:rsidRPr="00BB6F06">
        <w:rPr>
          <w:rFonts w:asciiTheme="minorHAnsi" w:hAnsiTheme="minorHAnsi" w:cstheme="minorHAnsi"/>
          <w:color w:val="auto"/>
          <w:highlight w:val="yellow"/>
        </w:rPr>
        <w:t xml:space="preserve"> shaker for 2 h at 37</w:t>
      </w:r>
      <w:r w:rsidR="0021263A">
        <w:rPr>
          <w:rFonts w:asciiTheme="minorHAnsi" w:hAnsiTheme="minorHAnsi" w:cstheme="minorHAnsi"/>
          <w:color w:val="auto"/>
          <w:highlight w:val="yellow"/>
        </w:rPr>
        <w:t xml:space="preserve"> °</w:t>
      </w:r>
      <w:r w:rsidRPr="00BB6F06">
        <w:rPr>
          <w:rFonts w:asciiTheme="minorHAnsi" w:hAnsiTheme="minorHAnsi" w:cstheme="minorHAnsi"/>
          <w:color w:val="auto"/>
          <w:highlight w:val="yellow"/>
        </w:rPr>
        <w:t xml:space="preserve">C. Shaking should be slow enough that the water </w:t>
      </w:r>
      <w:r w:rsidR="0021263A" w:rsidRPr="00BB6F06">
        <w:rPr>
          <w:rFonts w:asciiTheme="minorHAnsi" w:hAnsiTheme="minorHAnsi" w:cstheme="minorHAnsi"/>
          <w:color w:val="auto"/>
          <w:highlight w:val="yellow"/>
        </w:rPr>
        <w:t>does</w:t>
      </w:r>
      <w:r w:rsidR="0021263A">
        <w:rPr>
          <w:rFonts w:asciiTheme="minorHAnsi" w:hAnsiTheme="minorHAnsi" w:cstheme="minorHAnsi"/>
          <w:color w:val="auto"/>
          <w:highlight w:val="yellow"/>
        </w:rPr>
        <w:t xml:space="preserve"> no</w:t>
      </w:r>
      <w:r w:rsidR="0021263A" w:rsidRPr="00BB6F06">
        <w:rPr>
          <w:rFonts w:asciiTheme="minorHAnsi" w:hAnsiTheme="minorHAnsi" w:cstheme="minorHAnsi"/>
          <w:color w:val="auto"/>
          <w:highlight w:val="yellow"/>
        </w:rPr>
        <w:t xml:space="preserve">t </w:t>
      </w:r>
      <w:r w:rsidRPr="00BB6F06">
        <w:rPr>
          <w:rFonts w:asciiTheme="minorHAnsi" w:hAnsiTheme="minorHAnsi" w:cstheme="minorHAnsi"/>
          <w:color w:val="auto"/>
          <w:highlight w:val="yellow"/>
        </w:rPr>
        <w:t>splash up on to the tubes.</w:t>
      </w:r>
    </w:p>
    <w:p w14:paraId="70CB65E3" w14:textId="4BB4478D"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p>
    <w:p w14:paraId="5E29D100" w14:textId="07AF1FBA"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 xml:space="preserve">2.11 Remove tubes from shaker. Transfer liquid from </w:t>
      </w:r>
      <w:r w:rsidR="002E6016">
        <w:rPr>
          <w:rFonts w:asciiTheme="minorHAnsi" w:hAnsiTheme="minorHAnsi" w:cstheme="minorHAnsi"/>
          <w:color w:val="auto"/>
          <w:highlight w:val="yellow"/>
        </w:rPr>
        <w:t>bead tube</w:t>
      </w:r>
      <w:r w:rsidRPr="00BB6F06">
        <w:rPr>
          <w:rFonts w:asciiTheme="minorHAnsi" w:hAnsiTheme="minorHAnsi" w:cstheme="minorHAnsi"/>
          <w:color w:val="auto"/>
          <w:highlight w:val="yellow"/>
        </w:rPr>
        <w:t xml:space="preserve">s into new microcentrifuge tubes. </w:t>
      </w:r>
      <w:r w:rsidR="0021263A">
        <w:rPr>
          <w:rFonts w:asciiTheme="minorHAnsi" w:hAnsiTheme="minorHAnsi" w:cstheme="minorHAnsi"/>
          <w:color w:val="auto"/>
          <w:highlight w:val="yellow"/>
        </w:rPr>
        <w:t>Label these</w:t>
      </w:r>
      <w:r w:rsidR="0021263A" w:rsidRPr="00BB6F06">
        <w:rPr>
          <w:rFonts w:asciiTheme="minorHAnsi" w:hAnsiTheme="minorHAnsi" w:cstheme="minorHAnsi"/>
          <w:color w:val="auto"/>
          <w:highlight w:val="yellow"/>
        </w:rPr>
        <w:t xml:space="preserve"> </w:t>
      </w:r>
      <w:r w:rsidRPr="00BB6F06">
        <w:rPr>
          <w:rFonts w:asciiTheme="minorHAnsi" w:hAnsiTheme="minorHAnsi" w:cstheme="minorHAnsi"/>
          <w:color w:val="auto"/>
          <w:highlight w:val="yellow"/>
        </w:rPr>
        <w:t xml:space="preserve">microcentrifuge tubes in the same way. </w:t>
      </w:r>
    </w:p>
    <w:p w14:paraId="6AC5FBDA" w14:textId="44BD975A"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highlight w:val="yellow"/>
        </w:rPr>
      </w:pPr>
    </w:p>
    <w:p w14:paraId="38643AD4" w14:textId="06920463"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2.12 Add 500</w:t>
      </w:r>
      <w:r w:rsidR="000C58B0" w:rsidRPr="00BB6F06">
        <w:rPr>
          <w:rFonts w:asciiTheme="minorHAnsi" w:hAnsiTheme="minorHAnsi" w:cstheme="minorHAnsi"/>
          <w:color w:val="auto"/>
          <w:highlight w:val="yellow"/>
        </w:rPr>
        <w:t xml:space="preserve"> </w:t>
      </w:r>
      <w:proofErr w:type="spellStart"/>
      <w:r w:rsidR="000C58B0" w:rsidRPr="00BB6F06">
        <w:rPr>
          <w:rFonts w:asciiTheme="minorHAnsi" w:hAnsiTheme="minorHAnsi" w:cstheme="minorHAnsi"/>
          <w:color w:val="auto"/>
          <w:highlight w:val="yellow"/>
        </w:rPr>
        <w:t>μL</w:t>
      </w:r>
      <w:proofErr w:type="spellEnd"/>
      <w:r w:rsidR="000C58B0" w:rsidRPr="00BB6F06">
        <w:rPr>
          <w:rFonts w:asciiTheme="minorHAnsi" w:hAnsiTheme="minorHAnsi" w:cstheme="minorHAnsi"/>
          <w:color w:val="auto"/>
          <w:highlight w:val="yellow"/>
        </w:rPr>
        <w:t xml:space="preserve"> </w:t>
      </w:r>
      <w:r w:rsidRPr="00BB6F06">
        <w:rPr>
          <w:rFonts w:asciiTheme="minorHAnsi" w:hAnsiTheme="minorHAnsi" w:cstheme="minorHAnsi"/>
          <w:color w:val="auto"/>
          <w:highlight w:val="yellow"/>
        </w:rPr>
        <w:t>methanol to the old tubes. Cap and vortex.</w:t>
      </w:r>
    </w:p>
    <w:p w14:paraId="0E743484" w14:textId="71C7EB2A"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p>
    <w:p w14:paraId="1D959C73" w14:textId="4F7417B2"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 xml:space="preserve">2.13 For a second time, transfer liquid from the </w:t>
      </w:r>
      <w:r w:rsidR="002E6016">
        <w:rPr>
          <w:rFonts w:asciiTheme="minorHAnsi" w:hAnsiTheme="minorHAnsi" w:cstheme="minorHAnsi"/>
          <w:color w:val="auto"/>
          <w:highlight w:val="yellow"/>
        </w:rPr>
        <w:t>bead tube</w:t>
      </w:r>
      <w:r w:rsidRPr="00BB6F06">
        <w:rPr>
          <w:rFonts w:asciiTheme="minorHAnsi" w:hAnsiTheme="minorHAnsi" w:cstheme="minorHAnsi"/>
          <w:color w:val="auto"/>
          <w:highlight w:val="yellow"/>
        </w:rPr>
        <w:t>s into the corresponding microcentrifuge tube.</w:t>
      </w:r>
      <w:r w:rsidRPr="00BB6F06">
        <w:rPr>
          <w:rFonts w:asciiTheme="minorHAnsi" w:hAnsiTheme="minorHAnsi" w:cstheme="minorHAnsi"/>
          <w:color w:val="auto"/>
        </w:rPr>
        <w:t xml:space="preserve"> </w:t>
      </w:r>
      <w:r w:rsidR="0021263A">
        <w:rPr>
          <w:rFonts w:asciiTheme="minorHAnsi" w:hAnsiTheme="minorHAnsi" w:cstheme="minorHAnsi"/>
          <w:color w:val="auto"/>
        </w:rPr>
        <w:t>It is</w:t>
      </w:r>
      <w:r w:rsidRPr="00BB6F06">
        <w:rPr>
          <w:rFonts w:asciiTheme="minorHAnsi" w:hAnsiTheme="minorHAnsi" w:cstheme="minorHAnsi"/>
          <w:color w:val="auto"/>
        </w:rPr>
        <w:t xml:space="preserve"> okay </w:t>
      </w:r>
      <w:r w:rsidR="0021263A">
        <w:rPr>
          <w:rFonts w:asciiTheme="minorHAnsi" w:hAnsiTheme="minorHAnsi" w:cstheme="minorHAnsi"/>
          <w:color w:val="auto"/>
        </w:rPr>
        <w:t>to transfer</w:t>
      </w:r>
      <w:r w:rsidR="0021263A" w:rsidRPr="00BB6F06">
        <w:rPr>
          <w:rFonts w:asciiTheme="minorHAnsi" w:hAnsiTheme="minorHAnsi" w:cstheme="minorHAnsi"/>
          <w:color w:val="auto"/>
        </w:rPr>
        <w:t xml:space="preserve"> </w:t>
      </w:r>
      <w:r w:rsidRPr="00BB6F06">
        <w:rPr>
          <w:rFonts w:asciiTheme="minorHAnsi" w:hAnsiTheme="minorHAnsi" w:cstheme="minorHAnsi"/>
          <w:color w:val="auto"/>
        </w:rPr>
        <w:t>pulverized hair. This will eventually be centrifuged out.</w:t>
      </w:r>
    </w:p>
    <w:p w14:paraId="1316957A" w14:textId="38C59D31"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p>
    <w:p w14:paraId="102C27C3" w14:textId="33BDF775"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 xml:space="preserve">2.14 Centrifuge the microcentrifuge tubes for 10 min at </w:t>
      </w:r>
      <w:r w:rsidR="00500952" w:rsidRPr="00BB6F06">
        <w:rPr>
          <w:rFonts w:asciiTheme="minorHAnsi" w:hAnsiTheme="minorHAnsi" w:cstheme="minorHAnsi"/>
          <w:color w:val="auto"/>
          <w:highlight w:val="yellow"/>
        </w:rPr>
        <w:t>2</w:t>
      </w:r>
      <w:r w:rsidR="0021263A">
        <w:rPr>
          <w:rFonts w:asciiTheme="minorHAnsi" w:hAnsiTheme="minorHAnsi" w:cstheme="minorHAnsi"/>
          <w:color w:val="auto"/>
          <w:highlight w:val="yellow"/>
        </w:rPr>
        <w:t>,</w:t>
      </w:r>
      <w:r w:rsidR="00500952" w:rsidRPr="00BB6F06">
        <w:rPr>
          <w:rFonts w:asciiTheme="minorHAnsi" w:hAnsiTheme="minorHAnsi" w:cstheme="minorHAnsi"/>
          <w:color w:val="auto"/>
          <w:highlight w:val="yellow"/>
        </w:rPr>
        <w:t>800</w:t>
      </w:r>
      <w:r w:rsidR="0021263A">
        <w:rPr>
          <w:rFonts w:asciiTheme="minorHAnsi" w:hAnsiTheme="minorHAnsi" w:cstheme="minorHAnsi"/>
          <w:color w:val="auto"/>
          <w:highlight w:val="yellow"/>
        </w:rPr>
        <w:t xml:space="preserve"> x </w:t>
      </w:r>
      <w:r w:rsidRPr="00BB6F06">
        <w:rPr>
          <w:rFonts w:asciiTheme="minorHAnsi" w:hAnsiTheme="minorHAnsi" w:cstheme="minorHAnsi"/>
          <w:i/>
          <w:iCs/>
          <w:color w:val="auto"/>
          <w:highlight w:val="yellow"/>
        </w:rPr>
        <w:t>g</w:t>
      </w:r>
      <w:r w:rsidR="00866CEA" w:rsidRPr="00BB6F06">
        <w:rPr>
          <w:rFonts w:asciiTheme="minorHAnsi" w:hAnsiTheme="minorHAnsi" w:cstheme="minorHAnsi"/>
          <w:color w:val="auto"/>
          <w:highlight w:val="yellow"/>
        </w:rPr>
        <w:t>.</w:t>
      </w:r>
    </w:p>
    <w:p w14:paraId="6A1C1231" w14:textId="2D605222"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p>
    <w:p w14:paraId="633B9D78" w14:textId="3D111804"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2.15 Carefully remove the liquid and transfer it into new centrifuge tubes with corresponding labels. Be careful not to disturb or transfer the hair pellet.</w:t>
      </w:r>
    </w:p>
    <w:p w14:paraId="53D3358E" w14:textId="765AE447"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p>
    <w:p w14:paraId="17F4797F" w14:textId="213B1A25" w:rsidR="007E76DE" w:rsidRPr="00BB6F06" w:rsidRDefault="007E76DE" w:rsidP="00BB6F06">
      <w:pPr>
        <w:widowControl/>
        <w:autoSpaceDE/>
        <w:autoSpaceDN/>
        <w:adjustRightInd/>
        <w:jc w:val="left"/>
        <w:rPr>
          <w:rFonts w:ascii="Times New Roman" w:hAnsi="Times New Roman" w:cs="Times New Roman"/>
          <w:color w:val="auto"/>
        </w:rPr>
      </w:pPr>
      <w:r w:rsidRPr="00BB6F06">
        <w:rPr>
          <w:rFonts w:asciiTheme="minorHAnsi" w:hAnsiTheme="minorHAnsi" w:cstheme="minorHAnsi"/>
          <w:color w:val="auto"/>
          <w:highlight w:val="yellow"/>
        </w:rPr>
        <w:t>2.16 Evaporate the liquid in the centrifuge tubes to dryness at 32</w:t>
      </w:r>
      <w:r w:rsidR="0021263A">
        <w:rPr>
          <w:rFonts w:asciiTheme="minorHAnsi" w:hAnsiTheme="minorHAnsi" w:cstheme="minorHAnsi"/>
          <w:color w:val="auto"/>
          <w:highlight w:val="yellow"/>
        </w:rPr>
        <w:t xml:space="preserve"> </w:t>
      </w:r>
      <w:r w:rsidR="00966995" w:rsidRPr="00BB6F06">
        <w:rPr>
          <w:rStyle w:val="st"/>
          <w:highlight w:val="yellow"/>
        </w:rPr>
        <w:t>°</w:t>
      </w:r>
      <w:r w:rsidRPr="00BB6F06">
        <w:rPr>
          <w:rFonts w:asciiTheme="minorHAnsi" w:hAnsiTheme="minorHAnsi" w:cstheme="minorHAnsi"/>
          <w:color w:val="auto"/>
          <w:highlight w:val="yellow"/>
        </w:rPr>
        <w:t>C.</w:t>
      </w:r>
    </w:p>
    <w:p w14:paraId="0616C507" w14:textId="7F2C028A"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p>
    <w:p w14:paraId="566A59A6" w14:textId="2ABF0097"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2.17 Reconstitute the samples by adding 200</w:t>
      </w:r>
      <w:r w:rsidR="000C58B0" w:rsidRPr="00BB6F06">
        <w:rPr>
          <w:rFonts w:asciiTheme="minorHAnsi" w:hAnsiTheme="minorHAnsi" w:cstheme="minorHAnsi"/>
          <w:color w:val="auto"/>
          <w:highlight w:val="yellow"/>
        </w:rPr>
        <w:t xml:space="preserve"> </w:t>
      </w:r>
      <w:proofErr w:type="spellStart"/>
      <w:r w:rsidR="000C58B0" w:rsidRPr="00BB6F06">
        <w:rPr>
          <w:rFonts w:asciiTheme="minorHAnsi" w:hAnsiTheme="minorHAnsi" w:cstheme="minorHAnsi"/>
          <w:color w:val="auto"/>
          <w:highlight w:val="yellow"/>
        </w:rPr>
        <w:t>μL</w:t>
      </w:r>
      <w:proofErr w:type="spellEnd"/>
      <w:r w:rsidR="000C58B0" w:rsidRPr="00BB6F06">
        <w:rPr>
          <w:rFonts w:asciiTheme="minorHAnsi" w:hAnsiTheme="minorHAnsi" w:cstheme="minorHAnsi"/>
          <w:color w:val="auto"/>
          <w:highlight w:val="yellow"/>
        </w:rPr>
        <w:t xml:space="preserve"> </w:t>
      </w:r>
      <w:r w:rsidRPr="00BB6F06">
        <w:rPr>
          <w:rFonts w:asciiTheme="minorHAnsi" w:hAnsiTheme="minorHAnsi" w:cstheme="minorHAnsi"/>
          <w:color w:val="auto"/>
          <w:highlight w:val="yellow"/>
        </w:rPr>
        <w:t xml:space="preserve">of </w:t>
      </w:r>
      <w:r w:rsidR="00E54920" w:rsidRPr="00BB6F06">
        <w:rPr>
          <w:rFonts w:asciiTheme="minorHAnsi" w:hAnsiTheme="minorHAnsi" w:cstheme="minorHAnsi"/>
          <w:color w:val="auto"/>
          <w:highlight w:val="yellow"/>
        </w:rPr>
        <w:t>m</w:t>
      </w:r>
      <w:r w:rsidRPr="00BB6F06">
        <w:rPr>
          <w:rFonts w:asciiTheme="minorHAnsi" w:hAnsiTheme="minorHAnsi" w:cstheme="minorHAnsi"/>
          <w:color w:val="auto"/>
          <w:highlight w:val="yellow"/>
        </w:rPr>
        <w:t xml:space="preserve">obile </w:t>
      </w:r>
      <w:r w:rsidR="00E54920" w:rsidRPr="00BB6F06">
        <w:rPr>
          <w:rFonts w:asciiTheme="minorHAnsi" w:hAnsiTheme="minorHAnsi" w:cstheme="minorHAnsi"/>
          <w:color w:val="auto"/>
          <w:highlight w:val="yellow"/>
        </w:rPr>
        <w:t>p</w:t>
      </w:r>
      <w:r w:rsidRPr="00BB6F06">
        <w:rPr>
          <w:rFonts w:asciiTheme="minorHAnsi" w:hAnsiTheme="minorHAnsi" w:cstheme="minorHAnsi"/>
          <w:color w:val="auto"/>
          <w:highlight w:val="yellow"/>
        </w:rPr>
        <w:t xml:space="preserve">hase A </w:t>
      </w:r>
      <w:r w:rsidR="00E54920" w:rsidRPr="00BB6F06">
        <w:rPr>
          <w:rFonts w:asciiTheme="minorHAnsi" w:hAnsiTheme="minorHAnsi" w:cstheme="minorHAnsi"/>
          <w:color w:val="auto"/>
          <w:highlight w:val="yellow"/>
        </w:rPr>
        <w:t xml:space="preserve">(HPLC-grade water with 1% formic acid) </w:t>
      </w:r>
      <w:r w:rsidRPr="00BB6F06">
        <w:rPr>
          <w:rFonts w:asciiTheme="minorHAnsi" w:hAnsiTheme="minorHAnsi" w:cstheme="minorHAnsi"/>
          <w:color w:val="auto"/>
          <w:highlight w:val="yellow"/>
        </w:rPr>
        <w:t>to the dry tubes. Vortex.</w:t>
      </w:r>
    </w:p>
    <w:p w14:paraId="3EA07B2A" w14:textId="48F342DB"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highlight w:val="yellow"/>
        </w:rPr>
      </w:pPr>
    </w:p>
    <w:p w14:paraId="3758B6B5" w14:textId="7C86644A"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2.18 Transfer the liquid to amber vials with 250</w:t>
      </w:r>
      <w:r w:rsidR="000C58B0" w:rsidRPr="00BB6F06">
        <w:rPr>
          <w:rFonts w:asciiTheme="minorHAnsi" w:hAnsiTheme="minorHAnsi" w:cstheme="minorHAnsi"/>
          <w:color w:val="auto"/>
          <w:highlight w:val="yellow"/>
        </w:rPr>
        <w:t xml:space="preserve"> </w:t>
      </w:r>
      <w:proofErr w:type="spellStart"/>
      <w:r w:rsidR="000C58B0" w:rsidRPr="00BB6F06">
        <w:rPr>
          <w:rFonts w:asciiTheme="minorHAnsi" w:hAnsiTheme="minorHAnsi" w:cstheme="minorHAnsi"/>
          <w:color w:val="auto"/>
          <w:highlight w:val="yellow"/>
        </w:rPr>
        <w:t>μL</w:t>
      </w:r>
      <w:proofErr w:type="spellEnd"/>
      <w:r w:rsidR="000C58B0" w:rsidRPr="00BB6F06">
        <w:rPr>
          <w:rFonts w:asciiTheme="minorHAnsi" w:hAnsiTheme="minorHAnsi" w:cstheme="minorHAnsi"/>
          <w:color w:val="auto"/>
          <w:highlight w:val="yellow"/>
        </w:rPr>
        <w:t xml:space="preserve"> </w:t>
      </w:r>
      <w:r w:rsidRPr="00BB6F06">
        <w:rPr>
          <w:rFonts w:asciiTheme="minorHAnsi" w:hAnsiTheme="minorHAnsi" w:cstheme="minorHAnsi"/>
          <w:color w:val="auto"/>
          <w:highlight w:val="yellow"/>
        </w:rPr>
        <w:t>inserts.</w:t>
      </w:r>
      <w:r w:rsidRPr="00BB6F06">
        <w:rPr>
          <w:rFonts w:asciiTheme="minorHAnsi" w:hAnsiTheme="minorHAnsi" w:cstheme="minorHAnsi"/>
          <w:color w:val="auto"/>
        </w:rPr>
        <w:t xml:space="preserve"> </w:t>
      </w:r>
    </w:p>
    <w:p w14:paraId="05548E20" w14:textId="128B046D" w:rsidR="007E76DE" w:rsidRPr="00BB6F06" w:rsidRDefault="007E76DE" w:rsidP="00BB6F06">
      <w:pPr>
        <w:pStyle w:val="NormalWeb"/>
        <w:tabs>
          <w:tab w:val="left" w:pos="1369"/>
        </w:tabs>
        <w:spacing w:before="0" w:beforeAutospacing="0" w:after="0" w:afterAutospacing="0"/>
        <w:rPr>
          <w:rFonts w:asciiTheme="minorHAnsi" w:hAnsiTheme="minorHAnsi" w:cstheme="minorHAnsi"/>
          <w:color w:val="auto"/>
        </w:rPr>
      </w:pPr>
    </w:p>
    <w:p w14:paraId="7A3587C9" w14:textId="196D5FA0" w:rsidR="007E76DE" w:rsidRPr="00BB6F06" w:rsidRDefault="007E76DE" w:rsidP="00BB6F06">
      <w:pPr>
        <w:pStyle w:val="NormalWeb"/>
        <w:tabs>
          <w:tab w:val="left" w:pos="1369"/>
        </w:tabs>
        <w:spacing w:before="0" w:beforeAutospacing="0" w:after="0" w:afterAutospacing="0"/>
        <w:rPr>
          <w:rFonts w:asciiTheme="minorHAnsi" w:hAnsiTheme="minorHAnsi" w:cstheme="minorHAnsi"/>
          <w:b/>
          <w:bCs/>
          <w:color w:val="auto"/>
        </w:rPr>
      </w:pPr>
      <w:r w:rsidRPr="00BB6F06">
        <w:rPr>
          <w:rFonts w:asciiTheme="minorHAnsi" w:hAnsiTheme="minorHAnsi" w:cstheme="minorHAnsi"/>
          <w:b/>
          <w:bCs/>
          <w:color w:val="auto"/>
          <w:highlight w:val="yellow"/>
        </w:rPr>
        <w:t>3</w:t>
      </w:r>
      <w:r w:rsidR="00D03C32" w:rsidRPr="00BB6F06">
        <w:rPr>
          <w:rFonts w:asciiTheme="minorHAnsi" w:hAnsiTheme="minorHAnsi" w:cstheme="minorHAnsi"/>
          <w:b/>
          <w:bCs/>
          <w:color w:val="auto"/>
          <w:highlight w:val="yellow"/>
        </w:rPr>
        <w:t>.</w:t>
      </w:r>
      <w:r w:rsidRPr="00BB6F06">
        <w:rPr>
          <w:rFonts w:asciiTheme="minorHAnsi" w:hAnsiTheme="minorHAnsi" w:cstheme="minorHAnsi"/>
          <w:b/>
          <w:bCs/>
          <w:color w:val="auto"/>
          <w:highlight w:val="yellow"/>
        </w:rPr>
        <w:t xml:space="preserve"> LC-MS/MS </w:t>
      </w:r>
      <w:r w:rsidR="00E54920" w:rsidRPr="00BB6F06">
        <w:rPr>
          <w:rFonts w:asciiTheme="minorHAnsi" w:hAnsiTheme="minorHAnsi" w:cstheme="minorHAnsi"/>
          <w:b/>
          <w:bCs/>
          <w:color w:val="auto"/>
          <w:highlight w:val="yellow"/>
        </w:rPr>
        <w:t>preparation</w:t>
      </w:r>
    </w:p>
    <w:p w14:paraId="392ECEEE" w14:textId="1539C961" w:rsidR="00E54920" w:rsidRPr="00BB6F06" w:rsidRDefault="00E54920" w:rsidP="00BB6F06">
      <w:pPr>
        <w:pStyle w:val="NormalWeb"/>
        <w:tabs>
          <w:tab w:val="left" w:pos="1369"/>
        </w:tabs>
        <w:spacing w:before="0" w:beforeAutospacing="0" w:after="0" w:afterAutospacing="0"/>
        <w:rPr>
          <w:rFonts w:asciiTheme="minorHAnsi" w:hAnsiTheme="minorHAnsi" w:cstheme="minorHAnsi"/>
          <w:color w:val="auto"/>
        </w:rPr>
      </w:pPr>
    </w:p>
    <w:p w14:paraId="64EF4A41" w14:textId="081ACC52" w:rsidR="00E54920" w:rsidRPr="00BB6F06" w:rsidRDefault="00E54920"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3.1 Make one liter of mobile phase A (HPLC-grade water with 1% formic acid)</w:t>
      </w:r>
      <w:r w:rsidRPr="00BB6F06">
        <w:rPr>
          <w:rFonts w:asciiTheme="minorHAnsi" w:hAnsiTheme="minorHAnsi" w:cstheme="minorHAnsi"/>
          <w:color w:val="auto"/>
        </w:rPr>
        <w:t xml:space="preserve"> by adding some HPLC-grade water to a one-liter volumetric flask. Then add 10 mL of &gt;95% formic acid to that flask, and then fill to the line with HPLC-grade water. </w:t>
      </w:r>
    </w:p>
    <w:p w14:paraId="475CBC1D" w14:textId="17A71D5C" w:rsidR="00E54920" w:rsidRPr="00BB6F06" w:rsidRDefault="00E54920" w:rsidP="00BB6F06">
      <w:pPr>
        <w:pStyle w:val="NormalWeb"/>
        <w:tabs>
          <w:tab w:val="left" w:pos="1369"/>
        </w:tabs>
        <w:spacing w:before="0" w:beforeAutospacing="0" w:after="0" w:afterAutospacing="0"/>
        <w:rPr>
          <w:rFonts w:asciiTheme="minorHAnsi" w:hAnsiTheme="minorHAnsi" w:cstheme="minorHAnsi"/>
          <w:color w:val="auto"/>
        </w:rPr>
      </w:pPr>
    </w:p>
    <w:p w14:paraId="6414D2AA" w14:textId="0D7746BE" w:rsidR="00E54920" w:rsidRPr="00BB6F06" w:rsidRDefault="00E54920"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 xml:space="preserve">3.1.2 Make one liter of mobile phase B (acetonitrile with </w:t>
      </w:r>
      <w:r w:rsidR="009113E1" w:rsidRPr="00BB6F06">
        <w:rPr>
          <w:rFonts w:asciiTheme="minorHAnsi" w:hAnsiTheme="minorHAnsi" w:cstheme="minorHAnsi"/>
          <w:color w:val="auto"/>
          <w:highlight w:val="yellow"/>
        </w:rPr>
        <w:t>0.</w:t>
      </w:r>
      <w:r w:rsidRPr="00BB6F06">
        <w:rPr>
          <w:rFonts w:asciiTheme="minorHAnsi" w:hAnsiTheme="minorHAnsi" w:cstheme="minorHAnsi"/>
          <w:color w:val="auto"/>
          <w:highlight w:val="yellow"/>
        </w:rPr>
        <w:t>1% formic acid)</w:t>
      </w:r>
      <w:r w:rsidRPr="00BB6F06">
        <w:rPr>
          <w:rFonts w:asciiTheme="minorHAnsi" w:hAnsiTheme="minorHAnsi" w:cstheme="minorHAnsi"/>
          <w:color w:val="auto"/>
        </w:rPr>
        <w:t xml:space="preserve"> by adding some acetonitrile to a one-liter volumetric flask. Then add 1 mL of &gt;95% formic acid to that flask, and </w:t>
      </w:r>
      <w:r w:rsidRPr="00BB6F06">
        <w:rPr>
          <w:rFonts w:asciiTheme="minorHAnsi" w:hAnsiTheme="minorHAnsi" w:cstheme="minorHAnsi"/>
          <w:color w:val="auto"/>
        </w:rPr>
        <w:lastRenderedPageBreak/>
        <w:t xml:space="preserve">then fill to the line with acetonitrile. </w:t>
      </w:r>
    </w:p>
    <w:p w14:paraId="64D8D683" w14:textId="16242D7E" w:rsidR="00E54920" w:rsidRPr="00BB6F06" w:rsidRDefault="00E54920" w:rsidP="00BB6F06">
      <w:pPr>
        <w:pStyle w:val="NormalWeb"/>
        <w:tabs>
          <w:tab w:val="left" w:pos="1369"/>
        </w:tabs>
        <w:spacing w:before="0" w:beforeAutospacing="0" w:after="0" w:afterAutospacing="0"/>
        <w:rPr>
          <w:rFonts w:asciiTheme="minorHAnsi" w:hAnsiTheme="minorHAnsi" w:cstheme="minorHAnsi"/>
          <w:color w:val="auto"/>
        </w:rPr>
      </w:pPr>
    </w:p>
    <w:p w14:paraId="1E44C9FD" w14:textId="733FE451" w:rsidR="00493232" w:rsidRPr="00BB6F06" w:rsidRDefault="00F02072" w:rsidP="00BB6F06">
      <w:pPr>
        <w:widowControl/>
        <w:autoSpaceDE/>
        <w:autoSpaceDN/>
        <w:adjustRightInd/>
        <w:jc w:val="left"/>
        <w:rPr>
          <w:rFonts w:asciiTheme="minorHAnsi" w:hAnsiTheme="minorHAnsi" w:cstheme="minorHAnsi"/>
          <w:color w:val="auto"/>
        </w:rPr>
      </w:pPr>
      <w:r w:rsidRPr="00BB6F06">
        <w:rPr>
          <w:rFonts w:asciiTheme="minorHAnsi" w:hAnsiTheme="minorHAnsi" w:cstheme="minorHAnsi"/>
          <w:color w:val="auto"/>
          <w:highlight w:val="yellow"/>
        </w:rPr>
        <w:t>3.</w:t>
      </w:r>
      <w:r w:rsidR="00D03C32" w:rsidRPr="00BB6F06">
        <w:rPr>
          <w:rFonts w:asciiTheme="minorHAnsi" w:hAnsiTheme="minorHAnsi" w:cstheme="minorHAnsi"/>
          <w:color w:val="auto"/>
          <w:highlight w:val="yellow"/>
        </w:rPr>
        <w:t>2</w:t>
      </w:r>
      <w:r w:rsidRPr="00BB6F06">
        <w:rPr>
          <w:rFonts w:asciiTheme="minorHAnsi" w:hAnsiTheme="minorHAnsi" w:cstheme="minorHAnsi"/>
          <w:color w:val="auto"/>
          <w:highlight w:val="yellow"/>
        </w:rPr>
        <w:t xml:space="preserve"> </w:t>
      </w:r>
      <w:r w:rsidR="009113E1" w:rsidRPr="00BB6F06">
        <w:rPr>
          <w:rFonts w:asciiTheme="minorHAnsi" w:hAnsiTheme="minorHAnsi" w:cstheme="minorHAnsi"/>
          <w:highlight w:val="yellow"/>
        </w:rPr>
        <w:t>Install a 2</w:t>
      </w:r>
      <w:r w:rsidR="00E73703" w:rsidRPr="00BB6F06">
        <w:rPr>
          <w:rFonts w:asciiTheme="minorHAnsi" w:hAnsiTheme="minorHAnsi" w:cstheme="minorHAnsi"/>
          <w:highlight w:val="yellow"/>
        </w:rPr>
        <w:t xml:space="preserve"> </w:t>
      </w:r>
      <w:r w:rsidR="009113E1" w:rsidRPr="00BB6F06">
        <w:rPr>
          <w:rFonts w:asciiTheme="minorHAnsi" w:hAnsiTheme="minorHAnsi" w:cstheme="minorHAnsi"/>
          <w:highlight w:val="yellow"/>
        </w:rPr>
        <w:t>x</w:t>
      </w:r>
      <w:r w:rsidR="00E73703" w:rsidRPr="00BB6F06">
        <w:rPr>
          <w:rFonts w:asciiTheme="minorHAnsi" w:hAnsiTheme="minorHAnsi" w:cstheme="minorHAnsi"/>
          <w:highlight w:val="yellow"/>
        </w:rPr>
        <w:t xml:space="preserve"> </w:t>
      </w:r>
      <w:r w:rsidR="009113E1" w:rsidRPr="00BB6F06">
        <w:rPr>
          <w:rFonts w:asciiTheme="minorHAnsi" w:hAnsiTheme="minorHAnsi" w:cstheme="minorHAnsi"/>
          <w:highlight w:val="yellow"/>
        </w:rPr>
        <w:t>100</w:t>
      </w:r>
      <w:r w:rsidR="00E73703" w:rsidRPr="00BB6F06">
        <w:rPr>
          <w:rFonts w:asciiTheme="minorHAnsi" w:hAnsiTheme="minorHAnsi" w:cstheme="minorHAnsi"/>
          <w:highlight w:val="yellow"/>
        </w:rPr>
        <w:t xml:space="preserve"> </w:t>
      </w:r>
      <w:r w:rsidR="009113E1" w:rsidRPr="00BB6F06">
        <w:rPr>
          <w:rFonts w:asciiTheme="minorHAnsi" w:hAnsiTheme="minorHAnsi" w:cstheme="minorHAnsi"/>
          <w:highlight w:val="yellow"/>
        </w:rPr>
        <w:t>mm column with 2.5</w:t>
      </w:r>
      <w:r w:rsidR="00E73703" w:rsidRPr="00BB6F06">
        <w:rPr>
          <w:rFonts w:asciiTheme="minorHAnsi" w:hAnsiTheme="minorHAnsi" w:cstheme="minorHAnsi"/>
          <w:highlight w:val="yellow"/>
        </w:rPr>
        <w:t xml:space="preserve"> </w:t>
      </w:r>
      <w:proofErr w:type="spellStart"/>
      <w:r w:rsidR="000C58B0" w:rsidRPr="00BB6F06">
        <w:rPr>
          <w:rFonts w:asciiTheme="minorHAnsi" w:hAnsiTheme="minorHAnsi" w:cstheme="minorHAnsi"/>
          <w:color w:val="auto"/>
          <w:highlight w:val="yellow"/>
        </w:rPr>
        <w:t>μ</w:t>
      </w:r>
      <w:r w:rsidR="009113E1" w:rsidRPr="00BB6F06">
        <w:rPr>
          <w:rFonts w:asciiTheme="minorHAnsi" w:hAnsiTheme="minorHAnsi" w:cstheme="minorHAnsi"/>
          <w:highlight w:val="yellow"/>
        </w:rPr>
        <w:t>m</w:t>
      </w:r>
      <w:proofErr w:type="spellEnd"/>
      <w:r w:rsidR="009113E1" w:rsidRPr="00BB6F06">
        <w:rPr>
          <w:rFonts w:asciiTheme="minorHAnsi" w:hAnsiTheme="minorHAnsi" w:cstheme="minorHAnsi"/>
          <w:highlight w:val="yellow"/>
        </w:rPr>
        <w:t xml:space="preserve"> particle size and 100</w:t>
      </w:r>
      <w:r w:rsidR="00E73703" w:rsidRPr="00BB6F06">
        <w:rPr>
          <w:rFonts w:asciiTheme="minorHAnsi" w:hAnsiTheme="minorHAnsi" w:cstheme="minorHAnsi"/>
          <w:highlight w:val="yellow"/>
        </w:rPr>
        <w:t xml:space="preserve"> </w:t>
      </w:r>
      <w:r w:rsidR="0080517D" w:rsidRPr="00BB6F06">
        <w:rPr>
          <w:rFonts w:ascii="Times New Roman" w:hAnsi="Times New Roman" w:cs="Times New Roman"/>
          <w:color w:val="auto"/>
          <w:highlight w:val="yellow"/>
        </w:rPr>
        <w:t>Å</w:t>
      </w:r>
      <w:r w:rsidR="009113E1" w:rsidRPr="00BB6F06">
        <w:rPr>
          <w:rFonts w:asciiTheme="minorHAnsi" w:hAnsiTheme="minorHAnsi" w:cstheme="minorHAnsi"/>
          <w:highlight w:val="yellow"/>
        </w:rPr>
        <w:t xml:space="preserve"> pore size with polar </w:t>
      </w:r>
      <w:proofErr w:type="spellStart"/>
      <w:r w:rsidR="009113E1" w:rsidRPr="00BB6F06">
        <w:rPr>
          <w:rFonts w:asciiTheme="minorHAnsi" w:hAnsiTheme="minorHAnsi" w:cstheme="minorHAnsi"/>
          <w:highlight w:val="yellow"/>
        </w:rPr>
        <w:t>endcapped</w:t>
      </w:r>
      <w:proofErr w:type="spellEnd"/>
      <w:r w:rsidR="009113E1" w:rsidRPr="00BB6F06">
        <w:rPr>
          <w:rFonts w:asciiTheme="minorHAnsi" w:hAnsiTheme="minorHAnsi" w:cstheme="minorHAnsi"/>
          <w:highlight w:val="yellow"/>
        </w:rPr>
        <w:t>, ether-linked phenyl beads fully made of porous silica in the column compartment</w:t>
      </w:r>
      <w:r w:rsidR="0080517D" w:rsidRPr="00BB6F06">
        <w:rPr>
          <w:rFonts w:asciiTheme="minorHAnsi" w:hAnsiTheme="minorHAnsi" w:cstheme="minorHAnsi"/>
          <w:highlight w:val="yellow"/>
        </w:rPr>
        <w:t>.</w:t>
      </w:r>
      <w:r w:rsidR="00966995" w:rsidRPr="00BB6F06">
        <w:rPr>
          <w:rFonts w:asciiTheme="minorHAnsi" w:hAnsiTheme="minorHAnsi" w:cstheme="minorHAnsi"/>
          <w:highlight w:val="yellow"/>
        </w:rPr>
        <w:t xml:space="preserve"> </w:t>
      </w:r>
      <w:r w:rsidR="0080517D" w:rsidRPr="00BB6F06">
        <w:rPr>
          <w:rFonts w:asciiTheme="minorHAnsi" w:hAnsiTheme="minorHAnsi" w:cstheme="minorHAnsi"/>
          <w:highlight w:val="yellow"/>
        </w:rPr>
        <w:t>En</w:t>
      </w:r>
      <w:r w:rsidR="00966995" w:rsidRPr="00BB6F06">
        <w:rPr>
          <w:rFonts w:asciiTheme="minorHAnsi" w:hAnsiTheme="minorHAnsi" w:cstheme="minorHAnsi"/>
          <w:highlight w:val="yellow"/>
        </w:rPr>
        <w:t>sure that column also has manufacturer recommended guard cartridge installed</w:t>
      </w:r>
      <w:r w:rsidR="009113E1" w:rsidRPr="00BB6F06">
        <w:rPr>
          <w:rFonts w:asciiTheme="minorHAnsi" w:hAnsiTheme="minorHAnsi" w:cstheme="minorHAnsi"/>
          <w:highlight w:val="yellow"/>
        </w:rPr>
        <w:t>.</w:t>
      </w:r>
    </w:p>
    <w:p w14:paraId="5C946004" w14:textId="3421F629" w:rsidR="00493232" w:rsidRPr="00BB6F06" w:rsidRDefault="00493232" w:rsidP="00BB6F06">
      <w:pPr>
        <w:pStyle w:val="NormalWeb"/>
        <w:tabs>
          <w:tab w:val="left" w:pos="1369"/>
        </w:tabs>
        <w:spacing w:before="0" w:beforeAutospacing="0" w:after="0" w:afterAutospacing="0"/>
        <w:rPr>
          <w:rFonts w:asciiTheme="minorHAnsi" w:hAnsiTheme="minorHAnsi" w:cstheme="minorHAnsi"/>
          <w:color w:val="auto"/>
        </w:rPr>
      </w:pPr>
    </w:p>
    <w:p w14:paraId="6EDC4229" w14:textId="62CACF21" w:rsidR="004E6BF6" w:rsidRPr="00BB6F06" w:rsidRDefault="00493232"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3.</w:t>
      </w:r>
      <w:r w:rsidR="00D03C32" w:rsidRPr="00BB6F06">
        <w:rPr>
          <w:rFonts w:asciiTheme="minorHAnsi" w:hAnsiTheme="minorHAnsi" w:cstheme="minorHAnsi"/>
          <w:color w:val="auto"/>
        </w:rPr>
        <w:t>3</w:t>
      </w:r>
      <w:r w:rsidRPr="00BB6F06">
        <w:rPr>
          <w:rFonts w:asciiTheme="minorHAnsi" w:hAnsiTheme="minorHAnsi" w:cstheme="minorHAnsi"/>
          <w:color w:val="auto"/>
        </w:rPr>
        <w:t xml:space="preserve"> </w:t>
      </w:r>
      <w:r w:rsidR="00912EC8" w:rsidRPr="00BB6F06">
        <w:rPr>
          <w:rFonts w:asciiTheme="minorHAnsi" w:hAnsiTheme="minorHAnsi" w:cstheme="minorHAnsi"/>
          <w:color w:val="auto"/>
        </w:rPr>
        <w:t xml:space="preserve">Open </w:t>
      </w:r>
      <w:r w:rsidR="00E73703" w:rsidRPr="00BB6F06">
        <w:rPr>
          <w:rFonts w:asciiTheme="minorHAnsi" w:hAnsiTheme="minorHAnsi" w:cstheme="minorHAnsi"/>
          <w:color w:val="auto"/>
        </w:rPr>
        <w:t>the</w:t>
      </w:r>
      <w:r w:rsidR="009113E1" w:rsidRPr="00BB6F06">
        <w:rPr>
          <w:rFonts w:asciiTheme="minorHAnsi" w:hAnsiTheme="minorHAnsi" w:cstheme="minorHAnsi"/>
          <w:color w:val="auto"/>
        </w:rPr>
        <w:t xml:space="preserve"> </w:t>
      </w:r>
      <w:r w:rsidR="00912EC8" w:rsidRPr="00BB6F06">
        <w:rPr>
          <w:rFonts w:asciiTheme="minorHAnsi" w:hAnsiTheme="minorHAnsi" w:cstheme="minorHAnsi"/>
          <w:color w:val="auto"/>
        </w:rPr>
        <w:t xml:space="preserve">data acquisition software </w:t>
      </w:r>
      <w:r w:rsidR="004E6BF6" w:rsidRPr="00BB6F06">
        <w:rPr>
          <w:rFonts w:asciiTheme="minorHAnsi" w:hAnsiTheme="minorHAnsi" w:cstheme="minorHAnsi"/>
          <w:color w:val="auto"/>
        </w:rPr>
        <w:t xml:space="preserve">and double-click Hardware Configuration. Highlight </w:t>
      </w:r>
      <w:r w:rsidR="004E6BF6" w:rsidRPr="00BB6F06">
        <w:rPr>
          <w:rFonts w:asciiTheme="minorHAnsi" w:hAnsiTheme="minorHAnsi" w:cstheme="minorHAnsi"/>
          <w:b/>
          <w:bCs/>
          <w:color w:val="auto"/>
        </w:rPr>
        <w:t>LCMS</w:t>
      </w:r>
      <w:r w:rsidR="004E6BF6" w:rsidRPr="00BB6F06">
        <w:rPr>
          <w:rFonts w:asciiTheme="minorHAnsi" w:hAnsiTheme="minorHAnsi" w:cstheme="minorHAnsi"/>
          <w:color w:val="auto"/>
        </w:rPr>
        <w:t xml:space="preserve"> and click </w:t>
      </w:r>
      <w:r w:rsidR="004E6BF6" w:rsidRPr="00BB6F06">
        <w:rPr>
          <w:rFonts w:asciiTheme="minorHAnsi" w:hAnsiTheme="minorHAnsi" w:cstheme="minorHAnsi"/>
          <w:b/>
          <w:bCs/>
          <w:color w:val="auto"/>
        </w:rPr>
        <w:t>Activate Profile</w:t>
      </w:r>
      <w:r w:rsidR="004E6BF6" w:rsidRPr="00BB6F06">
        <w:rPr>
          <w:rFonts w:asciiTheme="minorHAnsi" w:hAnsiTheme="minorHAnsi" w:cstheme="minorHAnsi"/>
          <w:color w:val="auto"/>
        </w:rPr>
        <w:t xml:space="preserve">. </w:t>
      </w:r>
    </w:p>
    <w:p w14:paraId="07364F9F" w14:textId="77777777" w:rsidR="004E6BF6" w:rsidRPr="00BB6F06" w:rsidRDefault="004E6BF6" w:rsidP="00BB6F06">
      <w:pPr>
        <w:pStyle w:val="NormalWeb"/>
        <w:tabs>
          <w:tab w:val="left" w:pos="1369"/>
        </w:tabs>
        <w:spacing w:before="0" w:beforeAutospacing="0" w:after="0" w:afterAutospacing="0"/>
        <w:rPr>
          <w:rFonts w:asciiTheme="minorHAnsi" w:hAnsiTheme="minorHAnsi" w:cstheme="minorHAnsi"/>
          <w:color w:val="auto"/>
        </w:rPr>
      </w:pPr>
    </w:p>
    <w:p w14:paraId="15ED4223" w14:textId="15E67152" w:rsidR="00493232" w:rsidRPr="00BB6F06" w:rsidRDefault="004E6BF6"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3.</w:t>
      </w:r>
      <w:r w:rsidR="00D03C32" w:rsidRPr="00BB6F06">
        <w:rPr>
          <w:rFonts w:asciiTheme="minorHAnsi" w:hAnsiTheme="minorHAnsi" w:cstheme="minorHAnsi"/>
          <w:color w:val="auto"/>
        </w:rPr>
        <w:t>3.1</w:t>
      </w:r>
      <w:r w:rsidRPr="00BB6F06">
        <w:rPr>
          <w:rFonts w:asciiTheme="minorHAnsi" w:hAnsiTheme="minorHAnsi" w:cstheme="minorHAnsi"/>
          <w:color w:val="auto"/>
        </w:rPr>
        <w:t xml:space="preserve"> Click </w:t>
      </w:r>
      <w:r w:rsidRPr="00BB6F06">
        <w:rPr>
          <w:rFonts w:asciiTheme="minorHAnsi" w:hAnsiTheme="minorHAnsi" w:cstheme="minorHAnsi"/>
          <w:b/>
          <w:bCs/>
          <w:color w:val="auto"/>
        </w:rPr>
        <w:t>New Sub-Project</w:t>
      </w:r>
      <w:r w:rsidRPr="00BB6F06">
        <w:rPr>
          <w:rFonts w:asciiTheme="minorHAnsi" w:hAnsiTheme="minorHAnsi" w:cstheme="minorHAnsi"/>
          <w:color w:val="auto"/>
        </w:rPr>
        <w:t xml:space="preserve">, or, if other sub-projects already exist, click </w:t>
      </w:r>
      <w:r w:rsidRPr="00BB6F06">
        <w:rPr>
          <w:rFonts w:asciiTheme="minorHAnsi" w:hAnsiTheme="minorHAnsi" w:cstheme="minorHAnsi"/>
          <w:b/>
          <w:bCs/>
          <w:color w:val="auto"/>
        </w:rPr>
        <w:t>Copy Sub-Project</w:t>
      </w:r>
      <w:r w:rsidRPr="00BB6F06">
        <w:rPr>
          <w:rFonts w:asciiTheme="minorHAnsi" w:hAnsiTheme="minorHAnsi" w:cstheme="minorHAnsi"/>
          <w:color w:val="auto"/>
        </w:rPr>
        <w:t>. Name the sub-project.</w:t>
      </w:r>
    </w:p>
    <w:p w14:paraId="5CCB65B4" w14:textId="682227DF" w:rsidR="004E6BF6" w:rsidRPr="00BB6F06" w:rsidRDefault="004E6BF6" w:rsidP="00BB6F06">
      <w:pPr>
        <w:pStyle w:val="NormalWeb"/>
        <w:tabs>
          <w:tab w:val="left" w:pos="1369"/>
        </w:tabs>
        <w:spacing w:before="0" w:beforeAutospacing="0" w:after="0" w:afterAutospacing="0"/>
        <w:rPr>
          <w:rFonts w:asciiTheme="minorHAnsi" w:hAnsiTheme="minorHAnsi" w:cstheme="minorHAnsi"/>
          <w:color w:val="auto"/>
        </w:rPr>
      </w:pPr>
    </w:p>
    <w:p w14:paraId="016084D6" w14:textId="486142D9" w:rsidR="004E6BF6" w:rsidRPr="00BB6F06" w:rsidRDefault="004E6BF6"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3.</w:t>
      </w:r>
      <w:r w:rsidR="00D03C32" w:rsidRPr="00BB6F06">
        <w:rPr>
          <w:rFonts w:asciiTheme="minorHAnsi" w:hAnsiTheme="minorHAnsi" w:cstheme="minorHAnsi"/>
          <w:color w:val="auto"/>
        </w:rPr>
        <w:t>3.2</w:t>
      </w:r>
      <w:r w:rsidRPr="00BB6F06">
        <w:rPr>
          <w:rFonts w:asciiTheme="minorHAnsi" w:hAnsiTheme="minorHAnsi" w:cstheme="minorHAnsi"/>
          <w:color w:val="auto"/>
        </w:rPr>
        <w:t xml:space="preserve"> Click </w:t>
      </w:r>
      <w:r w:rsidRPr="00BB6F06">
        <w:rPr>
          <w:rFonts w:asciiTheme="minorHAnsi" w:hAnsiTheme="minorHAnsi" w:cstheme="minorHAnsi"/>
          <w:b/>
          <w:bCs/>
          <w:color w:val="auto"/>
        </w:rPr>
        <w:t>New Document</w:t>
      </w:r>
      <w:r w:rsidRPr="00BB6F06">
        <w:rPr>
          <w:rFonts w:asciiTheme="minorHAnsi" w:hAnsiTheme="minorHAnsi" w:cstheme="minorHAnsi"/>
          <w:color w:val="auto"/>
        </w:rPr>
        <w:t xml:space="preserve">. Double-click </w:t>
      </w:r>
      <w:r w:rsidRPr="00BB6F06">
        <w:rPr>
          <w:rFonts w:asciiTheme="minorHAnsi" w:hAnsiTheme="minorHAnsi" w:cstheme="minorHAnsi"/>
          <w:b/>
          <w:bCs/>
          <w:color w:val="auto"/>
        </w:rPr>
        <w:t>Acquisition Method</w:t>
      </w:r>
      <w:r w:rsidRPr="00BB6F06">
        <w:rPr>
          <w:rFonts w:asciiTheme="minorHAnsi" w:hAnsiTheme="minorHAnsi" w:cstheme="minorHAnsi"/>
          <w:color w:val="auto"/>
        </w:rPr>
        <w:t xml:space="preserve">. </w:t>
      </w:r>
      <w:r w:rsidR="009801AB" w:rsidRPr="00BB6F06">
        <w:rPr>
          <w:rFonts w:asciiTheme="minorHAnsi" w:hAnsiTheme="minorHAnsi" w:cstheme="minorHAnsi"/>
          <w:color w:val="auto"/>
        </w:rPr>
        <w:t xml:space="preserve">Click </w:t>
      </w:r>
      <w:r w:rsidR="009801AB" w:rsidRPr="00BB6F06">
        <w:rPr>
          <w:rFonts w:asciiTheme="minorHAnsi" w:hAnsiTheme="minorHAnsi" w:cstheme="minorHAnsi"/>
          <w:b/>
          <w:bCs/>
          <w:color w:val="auto"/>
        </w:rPr>
        <w:t>Mass Spec</w:t>
      </w:r>
      <w:r w:rsidR="009801AB" w:rsidRPr="00BB6F06">
        <w:rPr>
          <w:rFonts w:asciiTheme="minorHAnsi" w:hAnsiTheme="minorHAnsi" w:cstheme="minorHAnsi"/>
          <w:color w:val="auto"/>
        </w:rPr>
        <w:t xml:space="preserve"> within the Acquisition method window. </w:t>
      </w:r>
    </w:p>
    <w:p w14:paraId="448943DB" w14:textId="59BE5056" w:rsidR="009801AB" w:rsidRPr="00BB6F06" w:rsidRDefault="009801AB" w:rsidP="00BB6F06">
      <w:pPr>
        <w:pStyle w:val="NormalWeb"/>
        <w:tabs>
          <w:tab w:val="left" w:pos="1369"/>
        </w:tabs>
        <w:spacing w:before="0" w:beforeAutospacing="0" w:after="0" w:afterAutospacing="0"/>
        <w:rPr>
          <w:rFonts w:asciiTheme="minorHAnsi" w:hAnsiTheme="minorHAnsi" w:cstheme="minorHAnsi"/>
          <w:color w:val="auto"/>
        </w:rPr>
      </w:pPr>
    </w:p>
    <w:p w14:paraId="559FEC93" w14:textId="2EA66C03" w:rsidR="00432C9C" w:rsidRPr="00BB6F06" w:rsidRDefault="009801AB"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3.</w:t>
      </w:r>
      <w:r w:rsidR="00D03C32" w:rsidRPr="00BB6F06">
        <w:rPr>
          <w:rFonts w:asciiTheme="minorHAnsi" w:hAnsiTheme="minorHAnsi" w:cstheme="minorHAnsi"/>
          <w:color w:val="auto"/>
        </w:rPr>
        <w:t>3.3</w:t>
      </w:r>
      <w:r w:rsidRPr="00BB6F06">
        <w:rPr>
          <w:rFonts w:asciiTheme="minorHAnsi" w:hAnsiTheme="minorHAnsi" w:cstheme="minorHAnsi"/>
          <w:color w:val="auto"/>
        </w:rPr>
        <w:t xml:space="preserve"> Change the </w:t>
      </w:r>
      <w:r w:rsidRPr="00BB6F06">
        <w:rPr>
          <w:rFonts w:asciiTheme="minorHAnsi" w:hAnsiTheme="minorHAnsi" w:cstheme="minorHAnsi"/>
          <w:b/>
          <w:bCs/>
          <w:color w:val="auto"/>
        </w:rPr>
        <w:t>Scan Type</w:t>
      </w:r>
      <w:r w:rsidRPr="00BB6F06">
        <w:rPr>
          <w:rFonts w:asciiTheme="minorHAnsi" w:hAnsiTheme="minorHAnsi" w:cstheme="minorHAnsi"/>
          <w:color w:val="auto"/>
        </w:rPr>
        <w:t xml:space="preserve"> dropdown to </w:t>
      </w:r>
      <w:r w:rsidRPr="00BB6F06">
        <w:rPr>
          <w:rFonts w:asciiTheme="minorHAnsi" w:hAnsiTheme="minorHAnsi" w:cstheme="minorHAnsi"/>
          <w:b/>
          <w:bCs/>
          <w:color w:val="auto"/>
        </w:rPr>
        <w:t>MRM (MRM)</w:t>
      </w:r>
      <w:r w:rsidRPr="00BB6F06">
        <w:rPr>
          <w:rFonts w:asciiTheme="minorHAnsi" w:hAnsiTheme="minorHAnsi" w:cstheme="minorHAnsi"/>
          <w:color w:val="auto"/>
        </w:rPr>
        <w:t>.</w:t>
      </w:r>
      <w:r w:rsidR="00432C9C" w:rsidRPr="00BB6F06">
        <w:rPr>
          <w:rFonts w:asciiTheme="minorHAnsi" w:hAnsiTheme="minorHAnsi" w:cstheme="minorHAnsi"/>
          <w:color w:val="auto"/>
        </w:rPr>
        <w:t xml:space="preserve"> Make sure </w:t>
      </w:r>
      <w:r w:rsidR="00432C9C" w:rsidRPr="00BB6F06">
        <w:rPr>
          <w:rFonts w:asciiTheme="minorHAnsi" w:hAnsiTheme="minorHAnsi" w:cstheme="minorHAnsi"/>
          <w:b/>
          <w:bCs/>
          <w:color w:val="auto"/>
        </w:rPr>
        <w:t>Polarity</w:t>
      </w:r>
      <w:r w:rsidR="00432C9C" w:rsidRPr="00BB6F06">
        <w:rPr>
          <w:rFonts w:asciiTheme="minorHAnsi" w:hAnsiTheme="minorHAnsi" w:cstheme="minorHAnsi"/>
          <w:color w:val="auto"/>
        </w:rPr>
        <w:t xml:space="preserve"> is set to </w:t>
      </w:r>
      <w:r w:rsidR="00432C9C" w:rsidRPr="00BB6F06">
        <w:rPr>
          <w:rFonts w:asciiTheme="minorHAnsi" w:hAnsiTheme="minorHAnsi" w:cstheme="minorHAnsi"/>
          <w:b/>
          <w:bCs/>
          <w:color w:val="auto"/>
        </w:rPr>
        <w:t>Positive</w:t>
      </w:r>
      <w:r w:rsidR="00432C9C" w:rsidRPr="00BB6F06">
        <w:rPr>
          <w:rFonts w:asciiTheme="minorHAnsi" w:hAnsiTheme="minorHAnsi" w:cstheme="minorHAnsi"/>
          <w:color w:val="auto"/>
        </w:rPr>
        <w:t>.</w:t>
      </w:r>
    </w:p>
    <w:p w14:paraId="18766D57" w14:textId="77777777" w:rsidR="00432C9C" w:rsidRPr="00BB6F06" w:rsidRDefault="00432C9C" w:rsidP="00BB6F06">
      <w:pPr>
        <w:pStyle w:val="NormalWeb"/>
        <w:tabs>
          <w:tab w:val="left" w:pos="1369"/>
        </w:tabs>
        <w:spacing w:before="0" w:beforeAutospacing="0" w:after="0" w:afterAutospacing="0"/>
        <w:rPr>
          <w:rFonts w:asciiTheme="minorHAnsi" w:hAnsiTheme="minorHAnsi" w:cstheme="minorHAnsi"/>
          <w:color w:val="auto"/>
        </w:rPr>
      </w:pPr>
    </w:p>
    <w:p w14:paraId="6C8C90F1" w14:textId="286C0DBF" w:rsidR="009801AB" w:rsidRPr="00BB6F06" w:rsidRDefault="00432C9C"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3.</w:t>
      </w:r>
      <w:r w:rsidR="00D03C32" w:rsidRPr="00BB6F06">
        <w:rPr>
          <w:rFonts w:asciiTheme="minorHAnsi" w:hAnsiTheme="minorHAnsi" w:cstheme="minorHAnsi"/>
          <w:color w:val="auto"/>
          <w:highlight w:val="yellow"/>
        </w:rPr>
        <w:t>3.4</w:t>
      </w:r>
      <w:r w:rsidRPr="00BB6F06">
        <w:rPr>
          <w:rFonts w:asciiTheme="minorHAnsi" w:hAnsiTheme="minorHAnsi" w:cstheme="minorHAnsi"/>
          <w:color w:val="auto"/>
          <w:highlight w:val="yellow"/>
        </w:rPr>
        <w:t xml:space="preserve"> </w:t>
      </w:r>
      <w:r w:rsidR="009801AB" w:rsidRPr="00BB6F06">
        <w:rPr>
          <w:rFonts w:asciiTheme="minorHAnsi" w:hAnsiTheme="minorHAnsi" w:cstheme="minorHAnsi"/>
          <w:color w:val="auto"/>
          <w:highlight w:val="yellow"/>
        </w:rPr>
        <w:t xml:space="preserve">Click </w:t>
      </w:r>
      <w:r w:rsidR="009801AB" w:rsidRPr="00BB6F06">
        <w:rPr>
          <w:rFonts w:asciiTheme="minorHAnsi" w:hAnsiTheme="minorHAnsi" w:cstheme="minorHAnsi"/>
          <w:b/>
          <w:bCs/>
          <w:color w:val="auto"/>
          <w:highlight w:val="yellow"/>
        </w:rPr>
        <w:t>Import List</w:t>
      </w:r>
      <w:r w:rsidR="009801AB" w:rsidRPr="00BB6F06">
        <w:rPr>
          <w:rFonts w:asciiTheme="minorHAnsi" w:hAnsiTheme="minorHAnsi" w:cstheme="minorHAnsi"/>
          <w:color w:val="auto"/>
          <w:highlight w:val="yellow"/>
        </w:rPr>
        <w:t xml:space="preserve"> and select the .csv file </w:t>
      </w:r>
      <w:r w:rsidR="009801AB" w:rsidRPr="00BB6F06">
        <w:rPr>
          <w:rFonts w:asciiTheme="minorHAnsi" w:hAnsiTheme="minorHAnsi" w:cstheme="minorHAnsi"/>
          <w:b/>
          <w:bCs/>
          <w:color w:val="auto"/>
          <w:highlight w:val="yellow"/>
        </w:rPr>
        <w:t>MDR-TB LCMS method transitions.csv</w:t>
      </w:r>
      <w:r w:rsidR="009801AB" w:rsidRPr="00BB6F06">
        <w:rPr>
          <w:rFonts w:asciiTheme="minorHAnsi" w:hAnsiTheme="minorHAnsi" w:cstheme="minorHAnsi"/>
          <w:color w:val="auto"/>
          <w:highlight w:val="yellow"/>
        </w:rPr>
        <w:t xml:space="preserve"> that is included in Supplemental Materials.</w:t>
      </w:r>
    </w:p>
    <w:p w14:paraId="5D0ECF15" w14:textId="1361C2E0" w:rsidR="009801AB" w:rsidRPr="00BB6F06" w:rsidRDefault="009801AB" w:rsidP="00BB6F06">
      <w:pPr>
        <w:pStyle w:val="NormalWeb"/>
        <w:tabs>
          <w:tab w:val="left" w:pos="1369"/>
        </w:tabs>
        <w:spacing w:before="0" w:beforeAutospacing="0" w:after="0" w:afterAutospacing="0"/>
        <w:rPr>
          <w:rFonts w:asciiTheme="minorHAnsi" w:hAnsiTheme="minorHAnsi" w:cstheme="minorHAnsi"/>
          <w:color w:val="auto"/>
        </w:rPr>
      </w:pPr>
    </w:p>
    <w:p w14:paraId="287DD781" w14:textId="54580F75" w:rsidR="009801AB" w:rsidRPr="00BB6F06" w:rsidRDefault="009801AB"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3.</w:t>
      </w:r>
      <w:r w:rsidR="00D03C32" w:rsidRPr="00BB6F06">
        <w:rPr>
          <w:rFonts w:asciiTheme="minorHAnsi" w:hAnsiTheme="minorHAnsi" w:cstheme="minorHAnsi"/>
          <w:color w:val="auto"/>
        </w:rPr>
        <w:t>3.5</w:t>
      </w:r>
      <w:r w:rsidRPr="00BB6F06">
        <w:rPr>
          <w:rFonts w:asciiTheme="minorHAnsi" w:hAnsiTheme="minorHAnsi" w:cstheme="minorHAnsi"/>
          <w:color w:val="auto"/>
        </w:rPr>
        <w:t xml:space="preserve"> Scroll down and set the </w:t>
      </w:r>
      <w:r w:rsidRPr="00BB6F06">
        <w:rPr>
          <w:rFonts w:asciiTheme="minorHAnsi" w:hAnsiTheme="minorHAnsi" w:cstheme="minorHAnsi"/>
          <w:b/>
          <w:bCs/>
          <w:color w:val="auto"/>
        </w:rPr>
        <w:t>Duration</w:t>
      </w:r>
      <w:r w:rsidRPr="00BB6F06">
        <w:rPr>
          <w:rFonts w:asciiTheme="minorHAnsi" w:hAnsiTheme="minorHAnsi" w:cstheme="minorHAnsi"/>
          <w:color w:val="auto"/>
        </w:rPr>
        <w:t xml:space="preserve"> to 16.751 min. The appropriate cycle time and number of cycles will auto-populate. </w:t>
      </w:r>
    </w:p>
    <w:p w14:paraId="5029FDBB" w14:textId="7BA361FB" w:rsidR="004E6BF6" w:rsidRPr="00BB6F06" w:rsidRDefault="004E6BF6" w:rsidP="00BB6F06">
      <w:pPr>
        <w:pStyle w:val="NormalWeb"/>
        <w:tabs>
          <w:tab w:val="left" w:pos="1369"/>
        </w:tabs>
        <w:spacing w:before="0" w:beforeAutospacing="0" w:after="0" w:afterAutospacing="0"/>
        <w:rPr>
          <w:rFonts w:asciiTheme="minorHAnsi" w:hAnsiTheme="minorHAnsi" w:cstheme="minorHAnsi"/>
          <w:color w:val="auto"/>
        </w:rPr>
      </w:pPr>
    </w:p>
    <w:p w14:paraId="6E6EDACE" w14:textId="67CEE125" w:rsidR="00432C9C" w:rsidRPr="00BB6F06" w:rsidRDefault="003929F0"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3.</w:t>
      </w:r>
      <w:r w:rsidR="00D03C32" w:rsidRPr="00BB6F06">
        <w:rPr>
          <w:rFonts w:asciiTheme="minorHAnsi" w:hAnsiTheme="minorHAnsi" w:cstheme="minorHAnsi"/>
          <w:color w:val="auto"/>
        </w:rPr>
        <w:t>3.6</w:t>
      </w:r>
      <w:r w:rsidR="00432C9C" w:rsidRPr="00BB6F06">
        <w:rPr>
          <w:rFonts w:asciiTheme="minorHAnsi" w:hAnsiTheme="minorHAnsi" w:cstheme="minorHAnsi"/>
          <w:color w:val="auto"/>
        </w:rPr>
        <w:t xml:space="preserve"> In left sidebar, click </w:t>
      </w:r>
      <w:r w:rsidR="00432C9C" w:rsidRPr="00BB6F06">
        <w:rPr>
          <w:rFonts w:asciiTheme="minorHAnsi" w:hAnsiTheme="minorHAnsi" w:cstheme="minorHAnsi"/>
          <w:b/>
          <w:bCs/>
          <w:color w:val="auto"/>
        </w:rPr>
        <w:t xml:space="preserve">Integrated </w:t>
      </w:r>
      <w:proofErr w:type="spellStart"/>
      <w:r w:rsidR="00432C9C" w:rsidRPr="00BB6F06">
        <w:rPr>
          <w:rFonts w:asciiTheme="minorHAnsi" w:hAnsiTheme="minorHAnsi" w:cstheme="minorHAnsi"/>
          <w:b/>
          <w:bCs/>
          <w:color w:val="auto"/>
        </w:rPr>
        <w:t>Valco</w:t>
      </w:r>
      <w:proofErr w:type="spellEnd"/>
      <w:r w:rsidR="00432C9C" w:rsidRPr="00BB6F06">
        <w:rPr>
          <w:rFonts w:asciiTheme="minorHAnsi" w:hAnsiTheme="minorHAnsi" w:cstheme="minorHAnsi"/>
          <w:b/>
          <w:bCs/>
          <w:color w:val="auto"/>
        </w:rPr>
        <w:t xml:space="preserve"> Valve</w:t>
      </w:r>
      <w:r w:rsidR="00432C9C" w:rsidRPr="00BB6F06">
        <w:rPr>
          <w:rFonts w:asciiTheme="minorHAnsi" w:hAnsiTheme="minorHAnsi" w:cstheme="minorHAnsi"/>
          <w:color w:val="auto"/>
        </w:rPr>
        <w:t xml:space="preserve">. Make sure that position name for step 0 is A. In </w:t>
      </w:r>
      <w:r w:rsidR="00B758F8" w:rsidRPr="00BB6F06">
        <w:rPr>
          <w:rFonts w:asciiTheme="minorHAnsi" w:hAnsiTheme="minorHAnsi" w:cstheme="minorHAnsi"/>
          <w:b/>
          <w:bCs/>
          <w:color w:val="auto"/>
        </w:rPr>
        <w:t>Total Time (min)</w:t>
      </w:r>
      <w:r w:rsidR="00B758F8" w:rsidRPr="00BB6F06">
        <w:rPr>
          <w:rFonts w:asciiTheme="minorHAnsi" w:hAnsiTheme="minorHAnsi" w:cstheme="minorHAnsi"/>
          <w:color w:val="auto"/>
        </w:rPr>
        <w:t xml:space="preserve"> column, type in 0.4 in the first row and 13 in the second row. </w:t>
      </w:r>
    </w:p>
    <w:p w14:paraId="4ED36886" w14:textId="3C12C558" w:rsidR="00B758F8" w:rsidRPr="00BB6F06" w:rsidRDefault="00B758F8" w:rsidP="00BB6F06">
      <w:pPr>
        <w:pStyle w:val="NormalWeb"/>
        <w:tabs>
          <w:tab w:val="left" w:pos="1369"/>
        </w:tabs>
        <w:spacing w:before="0" w:beforeAutospacing="0" w:after="0" w:afterAutospacing="0"/>
        <w:rPr>
          <w:rFonts w:asciiTheme="minorHAnsi" w:hAnsiTheme="minorHAnsi" w:cstheme="minorHAnsi"/>
          <w:color w:val="auto"/>
        </w:rPr>
      </w:pPr>
    </w:p>
    <w:p w14:paraId="3729A60C" w14:textId="3C8EA5B0" w:rsidR="00B758F8" w:rsidRPr="00BB6F06" w:rsidRDefault="00B758F8"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3.</w:t>
      </w:r>
      <w:r w:rsidR="00D03C32" w:rsidRPr="00BB6F06">
        <w:rPr>
          <w:rFonts w:asciiTheme="minorHAnsi" w:hAnsiTheme="minorHAnsi" w:cstheme="minorHAnsi"/>
          <w:color w:val="auto"/>
        </w:rPr>
        <w:t>3.7</w:t>
      </w:r>
      <w:r w:rsidRPr="00BB6F06">
        <w:rPr>
          <w:rFonts w:asciiTheme="minorHAnsi" w:hAnsiTheme="minorHAnsi" w:cstheme="minorHAnsi"/>
          <w:color w:val="auto"/>
        </w:rPr>
        <w:t xml:space="preserve"> In the </w:t>
      </w:r>
      <w:r w:rsidRPr="00BB6F06">
        <w:rPr>
          <w:rFonts w:asciiTheme="minorHAnsi" w:hAnsiTheme="minorHAnsi" w:cstheme="minorHAnsi"/>
          <w:b/>
          <w:bCs/>
          <w:color w:val="auto"/>
        </w:rPr>
        <w:t>Position</w:t>
      </w:r>
      <w:r w:rsidRPr="00BB6F06">
        <w:rPr>
          <w:rFonts w:asciiTheme="minorHAnsi" w:hAnsiTheme="minorHAnsi" w:cstheme="minorHAnsi"/>
          <w:color w:val="auto"/>
        </w:rPr>
        <w:t xml:space="preserve"> column, set row one to B and row two to A.</w:t>
      </w:r>
    </w:p>
    <w:p w14:paraId="5FE73326" w14:textId="0AD3F4E3" w:rsidR="00B758F8" w:rsidRPr="00BB6F06" w:rsidRDefault="00B758F8" w:rsidP="00BB6F06">
      <w:pPr>
        <w:pStyle w:val="NormalWeb"/>
        <w:tabs>
          <w:tab w:val="left" w:pos="1369"/>
        </w:tabs>
        <w:spacing w:before="0" w:beforeAutospacing="0" w:after="0" w:afterAutospacing="0"/>
        <w:rPr>
          <w:rFonts w:asciiTheme="minorHAnsi" w:hAnsiTheme="minorHAnsi" w:cstheme="minorHAnsi"/>
          <w:color w:val="auto"/>
        </w:rPr>
      </w:pPr>
    </w:p>
    <w:p w14:paraId="0066520E" w14:textId="49444AD6" w:rsidR="00B758F8" w:rsidRPr="00BB6F06" w:rsidRDefault="00B758F8"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3.</w:t>
      </w:r>
      <w:r w:rsidR="00D03C32" w:rsidRPr="00BB6F06">
        <w:rPr>
          <w:rFonts w:asciiTheme="minorHAnsi" w:hAnsiTheme="minorHAnsi" w:cstheme="minorHAnsi"/>
          <w:color w:val="auto"/>
        </w:rPr>
        <w:t>3.8</w:t>
      </w:r>
      <w:r w:rsidRPr="00BB6F06">
        <w:rPr>
          <w:rFonts w:asciiTheme="minorHAnsi" w:hAnsiTheme="minorHAnsi" w:cstheme="minorHAnsi"/>
          <w:color w:val="auto"/>
        </w:rPr>
        <w:t xml:space="preserve"> In left sidebar, click </w:t>
      </w:r>
      <w:r w:rsidRPr="00BB6F06">
        <w:rPr>
          <w:rFonts w:asciiTheme="minorHAnsi" w:hAnsiTheme="minorHAnsi" w:cstheme="minorHAnsi"/>
          <w:b/>
          <w:bCs/>
          <w:color w:val="auto"/>
        </w:rPr>
        <w:t>Binary Pump</w:t>
      </w:r>
      <w:r w:rsidRPr="00BB6F06">
        <w:rPr>
          <w:rFonts w:asciiTheme="minorHAnsi" w:hAnsiTheme="minorHAnsi" w:cstheme="minorHAnsi"/>
          <w:color w:val="auto"/>
        </w:rPr>
        <w:t xml:space="preserve">. Set the gradient and flow rate table according to </w:t>
      </w:r>
      <w:r w:rsidR="00F17263" w:rsidRPr="00BB6F06">
        <w:rPr>
          <w:rFonts w:asciiTheme="minorHAnsi" w:hAnsiTheme="minorHAnsi" w:cstheme="minorHAnsi"/>
          <w:b/>
          <w:bCs/>
          <w:color w:val="auto"/>
        </w:rPr>
        <w:t>Table 4</w:t>
      </w:r>
      <w:r w:rsidR="00EB560D" w:rsidRPr="00BB6F06">
        <w:rPr>
          <w:rFonts w:asciiTheme="minorHAnsi" w:hAnsiTheme="minorHAnsi" w:cstheme="minorHAnsi"/>
          <w:color w:val="auto"/>
        </w:rPr>
        <w:t>.</w:t>
      </w:r>
    </w:p>
    <w:p w14:paraId="1D9F2620" w14:textId="77777777" w:rsidR="00EB560D" w:rsidRPr="00BB6F06" w:rsidRDefault="00EB560D" w:rsidP="00BB6F06">
      <w:pPr>
        <w:pStyle w:val="NormalWeb"/>
        <w:tabs>
          <w:tab w:val="left" w:pos="1369"/>
        </w:tabs>
        <w:spacing w:before="0" w:beforeAutospacing="0" w:after="0" w:afterAutospacing="0"/>
        <w:rPr>
          <w:rFonts w:asciiTheme="minorHAnsi" w:hAnsiTheme="minorHAnsi" w:cstheme="minorHAnsi"/>
          <w:color w:val="auto"/>
        </w:rPr>
      </w:pPr>
    </w:p>
    <w:p w14:paraId="53307526" w14:textId="5742C5D8" w:rsidR="00B758F8" w:rsidRPr="00BB6F06" w:rsidRDefault="00B758F8"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3.</w:t>
      </w:r>
      <w:r w:rsidR="00D03C32" w:rsidRPr="00BB6F06">
        <w:rPr>
          <w:rFonts w:asciiTheme="minorHAnsi" w:hAnsiTheme="minorHAnsi" w:cstheme="minorHAnsi"/>
          <w:color w:val="auto"/>
        </w:rPr>
        <w:t>3.9</w:t>
      </w:r>
      <w:r w:rsidRPr="00BB6F06">
        <w:rPr>
          <w:rFonts w:asciiTheme="minorHAnsi" w:hAnsiTheme="minorHAnsi" w:cstheme="minorHAnsi"/>
          <w:color w:val="auto"/>
        </w:rPr>
        <w:t xml:space="preserve"> In left sidebar, click </w:t>
      </w:r>
      <w:r w:rsidRPr="00BB6F06">
        <w:rPr>
          <w:rFonts w:asciiTheme="minorHAnsi" w:hAnsiTheme="minorHAnsi" w:cstheme="minorHAnsi"/>
          <w:b/>
          <w:bCs/>
          <w:color w:val="auto"/>
        </w:rPr>
        <w:t>Autosampler</w:t>
      </w:r>
      <w:r w:rsidR="003E5AA5" w:rsidRPr="00BB6F06">
        <w:rPr>
          <w:rFonts w:asciiTheme="minorHAnsi" w:hAnsiTheme="minorHAnsi" w:cstheme="minorHAnsi"/>
          <w:color w:val="auto"/>
        </w:rPr>
        <w:t>. Change inject</w:t>
      </w:r>
      <w:r w:rsidR="006C1F73" w:rsidRPr="00BB6F06">
        <w:rPr>
          <w:rFonts w:asciiTheme="minorHAnsi" w:hAnsiTheme="minorHAnsi" w:cstheme="minorHAnsi"/>
          <w:color w:val="auto"/>
        </w:rPr>
        <w:t>ion</w:t>
      </w:r>
      <w:r w:rsidR="003E5AA5" w:rsidRPr="00BB6F06">
        <w:rPr>
          <w:rFonts w:asciiTheme="minorHAnsi" w:hAnsiTheme="minorHAnsi" w:cstheme="minorHAnsi"/>
          <w:color w:val="auto"/>
        </w:rPr>
        <w:t xml:space="preserve"> volume to 10</w:t>
      </w:r>
      <w:r w:rsidR="00966995" w:rsidRPr="00BB6F06">
        <w:rPr>
          <w:rFonts w:asciiTheme="minorHAnsi" w:hAnsiTheme="minorHAnsi" w:cstheme="minorHAnsi"/>
          <w:color w:val="auto"/>
        </w:rPr>
        <w:t xml:space="preserve"> </w:t>
      </w:r>
      <w:proofErr w:type="spellStart"/>
      <w:r w:rsidR="00EC043F" w:rsidRPr="00BB6F06">
        <w:rPr>
          <w:rFonts w:asciiTheme="minorHAnsi" w:hAnsiTheme="minorHAnsi" w:cstheme="minorHAnsi"/>
        </w:rPr>
        <w:t>μL</w:t>
      </w:r>
      <w:proofErr w:type="spellEnd"/>
      <w:r w:rsidR="003E5AA5" w:rsidRPr="00BB6F06">
        <w:rPr>
          <w:rFonts w:asciiTheme="minorHAnsi" w:hAnsiTheme="minorHAnsi" w:cstheme="minorHAnsi"/>
          <w:color w:val="auto"/>
        </w:rPr>
        <w:t xml:space="preserve">. </w:t>
      </w:r>
      <w:r w:rsidR="00D03C32" w:rsidRPr="00BB6F06">
        <w:rPr>
          <w:rFonts w:asciiTheme="minorHAnsi" w:hAnsiTheme="minorHAnsi" w:cstheme="minorHAnsi"/>
          <w:color w:val="auto"/>
        </w:rPr>
        <w:t xml:space="preserve">Click </w:t>
      </w:r>
      <w:r w:rsidR="006C1F73" w:rsidRPr="00BB6F06">
        <w:rPr>
          <w:rFonts w:asciiTheme="minorHAnsi" w:hAnsiTheme="minorHAnsi" w:cstheme="minorHAnsi"/>
          <w:color w:val="auto"/>
        </w:rPr>
        <w:t>T</w:t>
      </w:r>
      <w:r w:rsidR="00D03C32" w:rsidRPr="00BB6F06">
        <w:rPr>
          <w:rFonts w:asciiTheme="minorHAnsi" w:hAnsiTheme="minorHAnsi" w:cstheme="minorHAnsi"/>
          <w:color w:val="auto"/>
        </w:rPr>
        <w:t>emperature control enabled and set to 4</w:t>
      </w:r>
      <w:r w:rsidR="0021263A">
        <w:rPr>
          <w:rFonts w:asciiTheme="minorHAnsi" w:hAnsiTheme="minorHAnsi" w:cstheme="minorHAnsi"/>
          <w:color w:val="auto"/>
        </w:rPr>
        <w:t xml:space="preserve"> </w:t>
      </w:r>
      <w:r w:rsidR="0080517D" w:rsidRPr="00BB6F06">
        <w:rPr>
          <w:rStyle w:val="st"/>
        </w:rPr>
        <w:t>°</w:t>
      </w:r>
      <w:r w:rsidR="00D03C32" w:rsidRPr="00BB6F06">
        <w:rPr>
          <w:rFonts w:asciiTheme="minorHAnsi" w:hAnsiTheme="minorHAnsi" w:cstheme="minorHAnsi"/>
          <w:color w:val="auto"/>
        </w:rPr>
        <w:t>C.</w:t>
      </w:r>
    </w:p>
    <w:p w14:paraId="7D6F9F8B" w14:textId="49A62E5B" w:rsidR="00D03C32" w:rsidRPr="00BB6F06" w:rsidRDefault="00D03C32" w:rsidP="00BB6F06">
      <w:pPr>
        <w:pStyle w:val="NormalWeb"/>
        <w:tabs>
          <w:tab w:val="left" w:pos="1369"/>
        </w:tabs>
        <w:spacing w:before="0" w:beforeAutospacing="0" w:after="0" w:afterAutospacing="0"/>
        <w:rPr>
          <w:rFonts w:asciiTheme="minorHAnsi" w:hAnsiTheme="minorHAnsi" w:cstheme="minorHAnsi"/>
          <w:color w:val="auto"/>
        </w:rPr>
      </w:pPr>
    </w:p>
    <w:p w14:paraId="51D80FFE" w14:textId="7A9CAE67" w:rsidR="00D03C32" w:rsidRPr="00BB6F06" w:rsidRDefault="00D03C32" w:rsidP="00BB6F06">
      <w:pPr>
        <w:widowControl/>
        <w:autoSpaceDE/>
        <w:autoSpaceDN/>
        <w:adjustRightInd/>
        <w:jc w:val="left"/>
        <w:rPr>
          <w:rFonts w:asciiTheme="minorHAnsi" w:hAnsiTheme="minorHAnsi" w:cstheme="minorHAnsi"/>
          <w:color w:val="auto"/>
        </w:rPr>
      </w:pPr>
      <w:r w:rsidRPr="00BB6F06">
        <w:rPr>
          <w:rFonts w:asciiTheme="minorHAnsi" w:hAnsiTheme="minorHAnsi" w:cstheme="minorHAnsi"/>
          <w:color w:val="auto"/>
        </w:rPr>
        <w:t xml:space="preserve">3.3.10 In left sidebar, click </w:t>
      </w:r>
      <w:r w:rsidRPr="00BB6F06">
        <w:rPr>
          <w:rFonts w:asciiTheme="minorHAnsi" w:hAnsiTheme="minorHAnsi" w:cstheme="minorHAnsi"/>
          <w:b/>
          <w:bCs/>
          <w:color w:val="auto"/>
        </w:rPr>
        <w:t>Column Compartment</w:t>
      </w:r>
      <w:r w:rsidRPr="00BB6F06">
        <w:rPr>
          <w:rFonts w:asciiTheme="minorHAnsi" w:hAnsiTheme="minorHAnsi" w:cstheme="minorHAnsi"/>
          <w:color w:val="auto"/>
        </w:rPr>
        <w:t>. Set both right and left temperatures to</w:t>
      </w:r>
      <w:r w:rsidR="00966995" w:rsidRPr="00BB6F06">
        <w:rPr>
          <w:rFonts w:asciiTheme="minorHAnsi" w:hAnsiTheme="minorHAnsi" w:cstheme="minorHAnsi"/>
          <w:color w:val="auto"/>
        </w:rPr>
        <w:t xml:space="preserve"> </w:t>
      </w:r>
      <w:r w:rsidRPr="00BB6F06">
        <w:rPr>
          <w:rFonts w:asciiTheme="minorHAnsi" w:hAnsiTheme="minorHAnsi" w:cstheme="minorHAnsi"/>
          <w:color w:val="auto"/>
        </w:rPr>
        <w:t>50</w:t>
      </w:r>
      <w:r w:rsidR="0021263A">
        <w:rPr>
          <w:rFonts w:asciiTheme="minorHAnsi" w:hAnsiTheme="minorHAnsi" w:cstheme="minorHAnsi"/>
          <w:color w:val="auto"/>
        </w:rPr>
        <w:t xml:space="preserve"> </w:t>
      </w:r>
      <w:r w:rsidR="00966995" w:rsidRPr="00BB6F06">
        <w:rPr>
          <w:rStyle w:val="st"/>
        </w:rPr>
        <w:t>°</w:t>
      </w:r>
      <w:r w:rsidRPr="00BB6F06">
        <w:rPr>
          <w:rFonts w:asciiTheme="minorHAnsi" w:hAnsiTheme="minorHAnsi" w:cstheme="minorHAnsi"/>
          <w:color w:val="auto"/>
        </w:rPr>
        <w:t xml:space="preserve">C. </w:t>
      </w:r>
    </w:p>
    <w:p w14:paraId="19D319EC" w14:textId="7E68CE80" w:rsidR="00D03C32" w:rsidRPr="00BB6F06" w:rsidRDefault="00D03C32" w:rsidP="00BB6F06">
      <w:pPr>
        <w:pStyle w:val="NormalWeb"/>
        <w:tabs>
          <w:tab w:val="left" w:pos="1369"/>
        </w:tabs>
        <w:spacing w:before="0" w:beforeAutospacing="0" w:after="0" w:afterAutospacing="0"/>
        <w:rPr>
          <w:rFonts w:asciiTheme="minorHAnsi" w:hAnsiTheme="minorHAnsi" w:cstheme="minorHAnsi"/>
          <w:color w:val="auto"/>
        </w:rPr>
      </w:pPr>
    </w:p>
    <w:p w14:paraId="15C71185" w14:textId="7BDD3CFC" w:rsidR="00D03C32" w:rsidRPr="00BB6F06" w:rsidRDefault="00D03C32"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3.3.11 Close and save method.</w:t>
      </w:r>
    </w:p>
    <w:p w14:paraId="71798BC6" w14:textId="2B18980D" w:rsidR="00E73498" w:rsidRPr="00BB6F06" w:rsidRDefault="00E73498" w:rsidP="00BB6F06">
      <w:pPr>
        <w:pStyle w:val="NormalWeb"/>
        <w:tabs>
          <w:tab w:val="left" w:pos="1369"/>
        </w:tabs>
        <w:spacing w:before="0" w:beforeAutospacing="0" w:after="0" w:afterAutospacing="0"/>
        <w:rPr>
          <w:rFonts w:asciiTheme="minorHAnsi" w:hAnsiTheme="minorHAnsi" w:cstheme="minorHAnsi"/>
          <w:color w:val="auto"/>
        </w:rPr>
      </w:pPr>
    </w:p>
    <w:p w14:paraId="698DEFF4" w14:textId="59EEA9C7" w:rsidR="00E73498" w:rsidRPr="00BB6F06" w:rsidRDefault="00E73498"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3.4 Create batch by clicking </w:t>
      </w:r>
      <w:r w:rsidRPr="00BB6F06">
        <w:rPr>
          <w:rFonts w:asciiTheme="minorHAnsi" w:hAnsiTheme="minorHAnsi" w:cstheme="minorHAnsi"/>
          <w:b/>
          <w:bCs/>
          <w:color w:val="auto"/>
        </w:rPr>
        <w:t>New Document</w:t>
      </w:r>
      <w:r w:rsidRPr="00BB6F06">
        <w:rPr>
          <w:rFonts w:asciiTheme="minorHAnsi" w:hAnsiTheme="minorHAnsi" w:cstheme="minorHAnsi"/>
          <w:color w:val="auto"/>
        </w:rPr>
        <w:t xml:space="preserve"> and selecting </w:t>
      </w:r>
      <w:r w:rsidRPr="00BB6F06">
        <w:rPr>
          <w:rFonts w:asciiTheme="minorHAnsi" w:hAnsiTheme="minorHAnsi" w:cstheme="minorHAnsi"/>
          <w:b/>
          <w:bCs/>
          <w:color w:val="auto"/>
        </w:rPr>
        <w:t>Acquisition Batch</w:t>
      </w:r>
      <w:r w:rsidRPr="00BB6F06">
        <w:rPr>
          <w:rFonts w:asciiTheme="minorHAnsi" w:hAnsiTheme="minorHAnsi" w:cstheme="minorHAnsi"/>
          <w:color w:val="auto"/>
        </w:rPr>
        <w:t>.</w:t>
      </w:r>
      <w:r w:rsidR="00D27D70" w:rsidRPr="00BB6F06">
        <w:rPr>
          <w:rFonts w:asciiTheme="minorHAnsi" w:hAnsiTheme="minorHAnsi" w:cstheme="minorHAnsi"/>
          <w:color w:val="auto"/>
        </w:rPr>
        <w:t xml:space="preserve"> Type in a set name and select the newly created method from the dropdown bar. </w:t>
      </w:r>
    </w:p>
    <w:p w14:paraId="0C81412A" w14:textId="2842627F" w:rsidR="00E73498" w:rsidRPr="00BB6F06" w:rsidRDefault="00E73498" w:rsidP="00BB6F06">
      <w:pPr>
        <w:pStyle w:val="NormalWeb"/>
        <w:tabs>
          <w:tab w:val="left" w:pos="1369"/>
        </w:tabs>
        <w:spacing w:before="0" w:beforeAutospacing="0" w:after="0" w:afterAutospacing="0"/>
        <w:rPr>
          <w:rFonts w:asciiTheme="minorHAnsi" w:hAnsiTheme="minorHAnsi" w:cstheme="minorHAnsi"/>
          <w:color w:val="auto"/>
        </w:rPr>
      </w:pPr>
    </w:p>
    <w:p w14:paraId="468FEFF4" w14:textId="77777777" w:rsidR="0021263A" w:rsidRDefault="00E73498" w:rsidP="00B84D35">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 xml:space="preserve">3.4.1 </w:t>
      </w:r>
      <w:r w:rsidR="00D27D70" w:rsidRPr="00BB6F06">
        <w:rPr>
          <w:rFonts w:asciiTheme="minorHAnsi" w:hAnsiTheme="minorHAnsi" w:cstheme="minorHAnsi"/>
          <w:color w:val="auto"/>
          <w:highlight w:val="yellow"/>
        </w:rPr>
        <w:t xml:space="preserve">In a spreadsheet, create a batch that follows this order: calibration curve, quality controls, patient samples, calibration curve, quality controls, patient samples, calibration curve, quality controls. Add solvent blank injections at the start and end of the run, as well as before and after </w:t>
      </w:r>
      <w:r w:rsidR="00D27D70" w:rsidRPr="00BB6F06">
        <w:rPr>
          <w:rFonts w:asciiTheme="minorHAnsi" w:hAnsiTheme="minorHAnsi" w:cstheme="minorHAnsi"/>
          <w:color w:val="auto"/>
          <w:highlight w:val="yellow"/>
        </w:rPr>
        <w:lastRenderedPageBreak/>
        <w:t>the calibration curve</w:t>
      </w:r>
      <w:r w:rsidR="00C55A59" w:rsidRPr="00BB6F06">
        <w:rPr>
          <w:rFonts w:asciiTheme="minorHAnsi" w:hAnsiTheme="minorHAnsi" w:cstheme="minorHAnsi"/>
          <w:color w:val="auto"/>
          <w:highlight w:val="yellow"/>
        </w:rPr>
        <w:t>,</w:t>
      </w:r>
      <w:r w:rsidR="00D27D70" w:rsidRPr="00BB6F06">
        <w:rPr>
          <w:rFonts w:asciiTheme="minorHAnsi" w:hAnsiTheme="minorHAnsi" w:cstheme="minorHAnsi"/>
          <w:color w:val="auto"/>
          <w:highlight w:val="yellow"/>
        </w:rPr>
        <w:t xml:space="preserve"> quality controls</w:t>
      </w:r>
      <w:r w:rsidR="00C55A59" w:rsidRPr="00BB6F06">
        <w:rPr>
          <w:rFonts w:asciiTheme="minorHAnsi" w:hAnsiTheme="minorHAnsi" w:cstheme="minorHAnsi"/>
          <w:color w:val="auto"/>
          <w:highlight w:val="yellow"/>
        </w:rPr>
        <w:t xml:space="preserve"> and patient samples</w:t>
      </w:r>
      <w:r w:rsidR="00D27D70" w:rsidRPr="00BB6F06">
        <w:rPr>
          <w:rFonts w:asciiTheme="minorHAnsi" w:hAnsiTheme="minorHAnsi" w:cstheme="minorHAnsi"/>
          <w:color w:val="auto"/>
          <w:highlight w:val="yellow"/>
        </w:rPr>
        <w:t xml:space="preserve">. </w:t>
      </w:r>
      <w:r w:rsidR="00866CEA" w:rsidRPr="00BB6F06">
        <w:rPr>
          <w:rFonts w:asciiTheme="minorHAnsi" w:hAnsiTheme="minorHAnsi" w:cstheme="minorHAnsi"/>
          <w:color w:val="auto"/>
          <w:highlight w:val="yellow"/>
        </w:rPr>
        <w:t xml:space="preserve">Put at least </w:t>
      </w:r>
      <w:r w:rsidR="00E17D84" w:rsidRPr="00BB6F06">
        <w:rPr>
          <w:rFonts w:asciiTheme="minorHAnsi" w:hAnsiTheme="minorHAnsi" w:cstheme="minorHAnsi"/>
          <w:color w:val="auto"/>
          <w:highlight w:val="yellow"/>
        </w:rPr>
        <w:t xml:space="preserve">eight solvent blank injections after injections of the calibration curve and </w:t>
      </w:r>
      <w:proofErr w:type="gramStart"/>
      <w:r w:rsidR="00E17D84" w:rsidRPr="00BB6F06">
        <w:rPr>
          <w:rFonts w:asciiTheme="minorHAnsi" w:hAnsiTheme="minorHAnsi" w:cstheme="minorHAnsi"/>
          <w:color w:val="auto"/>
          <w:highlight w:val="yellow"/>
        </w:rPr>
        <w:t>high quality</w:t>
      </w:r>
      <w:proofErr w:type="gramEnd"/>
      <w:r w:rsidR="00E17D84" w:rsidRPr="00BB6F06">
        <w:rPr>
          <w:rFonts w:asciiTheme="minorHAnsi" w:hAnsiTheme="minorHAnsi" w:cstheme="minorHAnsi"/>
          <w:color w:val="auto"/>
          <w:highlight w:val="yellow"/>
        </w:rPr>
        <w:t xml:space="preserve"> control vial in order to reduce analyte carryover.</w:t>
      </w:r>
      <w:r w:rsidR="00E17D84" w:rsidRPr="00BB6F06">
        <w:rPr>
          <w:rFonts w:asciiTheme="minorHAnsi" w:hAnsiTheme="minorHAnsi" w:cstheme="minorHAnsi"/>
          <w:color w:val="auto"/>
        </w:rPr>
        <w:t xml:space="preserve"> </w:t>
      </w:r>
    </w:p>
    <w:p w14:paraId="18487146" w14:textId="77777777" w:rsidR="0021263A" w:rsidRDefault="0021263A" w:rsidP="00B84D35">
      <w:pPr>
        <w:pStyle w:val="NormalWeb"/>
        <w:tabs>
          <w:tab w:val="left" w:pos="1369"/>
        </w:tabs>
        <w:spacing w:before="0" w:beforeAutospacing="0" w:after="0" w:afterAutospacing="0"/>
        <w:rPr>
          <w:rFonts w:asciiTheme="minorHAnsi" w:hAnsiTheme="minorHAnsi" w:cstheme="minorHAnsi"/>
          <w:color w:val="auto"/>
        </w:rPr>
      </w:pPr>
    </w:p>
    <w:p w14:paraId="0E3EAF90" w14:textId="298CC403" w:rsidR="00D27D70" w:rsidRPr="00BB6F06" w:rsidRDefault="00E17D84"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NOTE: More solvent blank injections may need to be added depending on column age.</w:t>
      </w:r>
    </w:p>
    <w:p w14:paraId="6C4D1F05" w14:textId="48FB0150" w:rsidR="00D27D70" w:rsidRPr="00BB6F06" w:rsidRDefault="00D27D70" w:rsidP="00BB6F06">
      <w:pPr>
        <w:pStyle w:val="NormalWeb"/>
        <w:tabs>
          <w:tab w:val="left" w:pos="1369"/>
        </w:tabs>
        <w:spacing w:before="0" w:beforeAutospacing="0" w:after="0" w:afterAutospacing="0"/>
        <w:rPr>
          <w:rFonts w:asciiTheme="minorHAnsi" w:hAnsiTheme="minorHAnsi" w:cstheme="minorHAnsi"/>
          <w:color w:val="auto"/>
        </w:rPr>
      </w:pPr>
    </w:p>
    <w:p w14:paraId="606E2836" w14:textId="78CAF2F9" w:rsidR="00D27D70" w:rsidRPr="00BB6F06" w:rsidRDefault="00D27D70"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3.4.3 In the column adjacent to the sample names, type in the appropriate autosampler position for the corresponding vial.</w:t>
      </w:r>
    </w:p>
    <w:p w14:paraId="0CBAA4A0" w14:textId="06577307" w:rsidR="00D27D70" w:rsidRPr="00BB6F06" w:rsidRDefault="00461123" w:rsidP="00BB6F06">
      <w:pPr>
        <w:pStyle w:val="NormalWeb"/>
        <w:tabs>
          <w:tab w:val="left" w:pos="411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ab/>
      </w:r>
    </w:p>
    <w:p w14:paraId="15C96BCB" w14:textId="39DF81DF" w:rsidR="00E73498" w:rsidRPr="00BB6F06" w:rsidRDefault="00D27D70"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3.4.2 </w:t>
      </w:r>
      <w:r w:rsidR="00E73703" w:rsidRPr="00BB6F06">
        <w:rPr>
          <w:rFonts w:asciiTheme="minorHAnsi" w:hAnsiTheme="minorHAnsi" w:cstheme="minorHAnsi"/>
          <w:color w:val="auto"/>
        </w:rPr>
        <w:t>Click</w:t>
      </w:r>
      <w:r w:rsidRPr="00BB6F06">
        <w:rPr>
          <w:rFonts w:asciiTheme="minorHAnsi" w:hAnsiTheme="minorHAnsi" w:cstheme="minorHAnsi"/>
          <w:color w:val="auto"/>
        </w:rPr>
        <w:t xml:space="preserve"> </w:t>
      </w:r>
      <w:r w:rsidRPr="00BB6F06">
        <w:rPr>
          <w:rFonts w:asciiTheme="minorHAnsi" w:hAnsiTheme="minorHAnsi" w:cstheme="minorHAnsi"/>
          <w:b/>
          <w:bCs/>
          <w:color w:val="auto"/>
        </w:rPr>
        <w:t>Add Set</w:t>
      </w:r>
      <w:r w:rsidRPr="00BB6F06">
        <w:rPr>
          <w:rFonts w:asciiTheme="minorHAnsi" w:hAnsiTheme="minorHAnsi" w:cstheme="minorHAnsi"/>
          <w:color w:val="auto"/>
        </w:rPr>
        <w:t>. In the pop-up window, type in the number of samples in the batch.</w:t>
      </w:r>
    </w:p>
    <w:p w14:paraId="47544E64" w14:textId="73205E34" w:rsidR="00D27D70" w:rsidRPr="00BB6F06" w:rsidRDefault="00D27D70" w:rsidP="00BB6F06">
      <w:pPr>
        <w:pStyle w:val="NormalWeb"/>
        <w:tabs>
          <w:tab w:val="left" w:pos="1369"/>
        </w:tabs>
        <w:spacing w:before="0" w:beforeAutospacing="0" w:after="0" w:afterAutospacing="0"/>
        <w:rPr>
          <w:rFonts w:asciiTheme="minorHAnsi" w:hAnsiTheme="minorHAnsi" w:cstheme="minorHAnsi"/>
          <w:color w:val="auto"/>
        </w:rPr>
      </w:pPr>
    </w:p>
    <w:p w14:paraId="3BCAD452" w14:textId="359337CF" w:rsidR="00D27D70" w:rsidRPr="00BB6F06" w:rsidRDefault="00D27D70"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3.4.3 Copy and paste sample names and vial locations from the spreadsheet to the newly created batch. </w:t>
      </w:r>
    </w:p>
    <w:p w14:paraId="6BD0E161" w14:textId="17F42F62" w:rsidR="00D27D70" w:rsidRPr="00BB6F06" w:rsidRDefault="00D27D70" w:rsidP="00BB6F06">
      <w:pPr>
        <w:pStyle w:val="NormalWeb"/>
        <w:tabs>
          <w:tab w:val="left" w:pos="1369"/>
        </w:tabs>
        <w:spacing w:before="0" w:beforeAutospacing="0" w:after="0" w:afterAutospacing="0"/>
        <w:rPr>
          <w:rFonts w:asciiTheme="minorHAnsi" w:hAnsiTheme="minorHAnsi" w:cstheme="minorHAnsi"/>
          <w:color w:val="auto"/>
        </w:rPr>
      </w:pPr>
    </w:p>
    <w:p w14:paraId="0DCA751B" w14:textId="362E3407" w:rsidR="00D27D70" w:rsidRPr="00BB6F06" w:rsidRDefault="00D27D70"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3.4.4 Go to the </w:t>
      </w:r>
      <w:r w:rsidRPr="00BB6F06">
        <w:rPr>
          <w:rFonts w:asciiTheme="minorHAnsi" w:hAnsiTheme="minorHAnsi" w:cstheme="minorHAnsi"/>
          <w:b/>
          <w:bCs/>
          <w:color w:val="auto"/>
        </w:rPr>
        <w:t>Submit</w:t>
      </w:r>
      <w:r w:rsidRPr="00BB6F06">
        <w:rPr>
          <w:rFonts w:asciiTheme="minorHAnsi" w:hAnsiTheme="minorHAnsi" w:cstheme="minorHAnsi"/>
          <w:color w:val="auto"/>
        </w:rPr>
        <w:t xml:space="preserve"> tab. Click </w:t>
      </w:r>
      <w:r w:rsidRPr="00BB6F06">
        <w:rPr>
          <w:rFonts w:asciiTheme="minorHAnsi" w:hAnsiTheme="minorHAnsi" w:cstheme="minorHAnsi"/>
          <w:b/>
          <w:bCs/>
          <w:color w:val="auto"/>
        </w:rPr>
        <w:t>Submit</w:t>
      </w:r>
      <w:r w:rsidRPr="00BB6F06">
        <w:rPr>
          <w:rFonts w:asciiTheme="minorHAnsi" w:hAnsiTheme="minorHAnsi" w:cstheme="minorHAnsi"/>
          <w:color w:val="auto"/>
        </w:rPr>
        <w:t xml:space="preserve"> button. </w:t>
      </w:r>
    </w:p>
    <w:p w14:paraId="1A8CB795" w14:textId="37DEF5BB" w:rsidR="00D27D70" w:rsidRPr="00BB6F06" w:rsidRDefault="00D27D70" w:rsidP="00BB6F06">
      <w:pPr>
        <w:pStyle w:val="NormalWeb"/>
        <w:tabs>
          <w:tab w:val="left" w:pos="1369"/>
        </w:tabs>
        <w:spacing w:before="0" w:beforeAutospacing="0" w:after="0" w:afterAutospacing="0"/>
        <w:rPr>
          <w:rFonts w:asciiTheme="minorHAnsi" w:hAnsiTheme="minorHAnsi" w:cstheme="minorHAnsi"/>
          <w:color w:val="auto"/>
        </w:rPr>
      </w:pPr>
    </w:p>
    <w:p w14:paraId="7F85C951" w14:textId="3873266D" w:rsidR="00D27D70"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3.5 Equilibrate system by inserting </w:t>
      </w:r>
      <w:r w:rsidR="00475DC8" w:rsidRPr="00BB6F06">
        <w:rPr>
          <w:rFonts w:asciiTheme="minorHAnsi" w:hAnsiTheme="minorHAnsi" w:cstheme="minorHAnsi"/>
          <w:color w:val="auto"/>
        </w:rPr>
        <w:t>solvent line</w:t>
      </w:r>
      <w:r w:rsidRPr="00BB6F06">
        <w:rPr>
          <w:rFonts w:asciiTheme="minorHAnsi" w:hAnsiTheme="minorHAnsi" w:cstheme="minorHAnsi"/>
          <w:color w:val="auto"/>
        </w:rPr>
        <w:t xml:space="preserve"> A into mobile phase A and </w:t>
      </w:r>
      <w:r w:rsidR="00966995" w:rsidRPr="00BB6F06">
        <w:rPr>
          <w:rFonts w:asciiTheme="minorHAnsi" w:hAnsiTheme="minorHAnsi" w:cstheme="minorHAnsi"/>
          <w:color w:val="auto"/>
        </w:rPr>
        <w:t>solvent line</w:t>
      </w:r>
      <w:r w:rsidRPr="00BB6F06">
        <w:rPr>
          <w:rFonts w:asciiTheme="minorHAnsi" w:hAnsiTheme="minorHAnsi" w:cstheme="minorHAnsi"/>
          <w:color w:val="auto"/>
        </w:rPr>
        <w:t xml:space="preserve"> B into mobile phase B. Open the purge valve on the binary pump.</w:t>
      </w:r>
    </w:p>
    <w:p w14:paraId="0E2C0561" w14:textId="2CB0943C" w:rsidR="007973C8"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p>
    <w:p w14:paraId="0D33872F" w14:textId="52C4C5C9" w:rsidR="007973C8"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3.5.1 </w:t>
      </w:r>
      <w:r w:rsidR="00475DC8" w:rsidRPr="00BB6F06">
        <w:rPr>
          <w:rFonts w:asciiTheme="minorHAnsi" w:hAnsiTheme="minorHAnsi" w:cstheme="minorHAnsi"/>
          <w:color w:val="auto"/>
        </w:rPr>
        <w:t xml:space="preserve">Set solvent composition to 50% B at 4 mL/min flow rate. </w:t>
      </w:r>
      <w:r w:rsidRPr="00BB6F06">
        <w:rPr>
          <w:rFonts w:asciiTheme="minorHAnsi" w:hAnsiTheme="minorHAnsi" w:cstheme="minorHAnsi"/>
          <w:color w:val="auto"/>
        </w:rPr>
        <w:t>Turn binary pump on.</w:t>
      </w:r>
    </w:p>
    <w:p w14:paraId="7CA63D3D" w14:textId="67321724" w:rsidR="007973C8"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p>
    <w:p w14:paraId="0EE26BD0" w14:textId="258ED40D" w:rsidR="007973C8"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3.5.2 After 5 min, decrease flow to 0.3 mL/min. Close the purge valve. Check for any leaks. </w:t>
      </w:r>
    </w:p>
    <w:p w14:paraId="6E95A19A" w14:textId="77777777" w:rsidR="007973C8"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p>
    <w:p w14:paraId="73C11D0B" w14:textId="304E29D2" w:rsidR="007973C8"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3.5.3 In the software, press </w:t>
      </w:r>
      <w:r w:rsidRPr="00BB6F06">
        <w:rPr>
          <w:rFonts w:asciiTheme="minorHAnsi" w:hAnsiTheme="minorHAnsi" w:cstheme="minorHAnsi"/>
          <w:b/>
          <w:bCs/>
          <w:color w:val="auto"/>
        </w:rPr>
        <w:t>Equilibrate</w:t>
      </w:r>
      <w:r w:rsidRPr="00BB6F06">
        <w:rPr>
          <w:rFonts w:asciiTheme="minorHAnsi" w:hAnsiTheme="minorHAnsi" w:cstheme="minorHAnsi"/>
          <w:color w:val="auto"/>
        </w:rPr>
        <w:t xml:space="preserve"> on the top toolbar. Set time to &gt;5 min, press </w:t>
      </w:r>
      <w:r w:rsidRPr="00BB6F06">
        <w:rPr>
          <w:rFonts w:asciiTheme="minorHAnsi" w:hAnsiTheme="minorHAnsi" w:cstheme="minorHAnsi"/>
          <w:b/>
          <w:bCs/>
          <w:color w:val="auto"/>
        </w:rPr>
        <w:t>OK</w:t>
      </w:r>
      <w:r w:rsidRPr="00BB6F06">
        <w:rPr>
          <w:rFonts w:asciiTheme="minorHAnsi" w:hAnsiTheme="minorHAnsi" w:cstheme="minorHAnsi"/>
          <w:color w:val="auto"/>
        </w:rPr>
        <w:t xml:space="preserve">. </w:t>
      </w:r>
    </w:p>
    <w:p w14:paraId="2D51A32F" w14:textId="77777777" w:rsidR="007973C8"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p>
    <w:p w14:paraId="7BA79F88" w14:textId="47DDD471" w:rsidR="007973C8"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3.5.4 After the instrument has equilibrated, the modules in the bottom right of the window will appear green. Check that pressure has stabilized, and then start the batch by clicking </w:t>
      </w:r>
      <w:r w:rsidRPr="00BB6F06">
        <w:rPr>
          <w:rFonts w:asciiTheme="minorHAnsi" w:hAnsiTheme="minorHAnsi" w:cstheme="minorHAnsi"/>
          <w:b/>
          <w:bCs/>
          <w:color w:val="auto"/>
        </w:rPr>
        <w:t>Start</w:t>
      </w:r>
      <w:r w:rsidRPr="00BB6F06">
        <w:rPr>
          <w:rFonts w:asciiTheme="minorHAnsi" w:hAnsiTheme="minorHAnsi" w:cstheme="minorHAnsi"/>
          <w:color w:val="auto"/>
        </w:rPr>
        <w:t xml:space="preserve"> </w:t>
      </w:r>
      <w:r w:rsidRPr="00BB6F06">
        <w:rPr>
          <w:rFonts w:asciiTheme="minorHAnsi" w:hAnsiTheme="minorHAnsi" w:cstheme="minorHAnsi"/>
          <w:b/>
          <w:bCs/>
          <w:color w:val="auto"/>
        </w:rPr>
        <w:t>Sample</w:t>
      </w:r>
      <w:r w:rsidRPr="00BB6F06">
        <w:rPr>
          <w:rFonts w:asciiTheme="minorHAnsi" w:hAnsiTheme="minorHAnsi" w:cstheme="minorHAnsi"/>
          <w:color w:val="auto"/>
        </w:rPr>
        <w:t>.</w:t>
      </w:r>
    </w:p>
    <w:p w14:paraId="3081C9C4" w14:textId="77777777" w:rsidR="007973C8"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p>
    <w:p w14:paraId="07AEA90E" w14:textId="242BE026" w:rsidR="007973C8" w:rsidRPr="00BB6F06" w:rsidRDefault="007973C8" w:rsidP="00BB6F06">
      <w:pPr>
        <w:pStyle w:val="NormalWeb"/>
        <w:tabs>
          <w:tab w:val="left" w:pos="1369"/>
        </w:tabs>
        <w:spacing w:before="0" w:beforeAutospacing="0" w:after="0" w:afterAutospacing="0"/>
        <w:rPr>
          <w:rFonts w:asciiTheme="minorHAnsi" w:hAnsiTheme="minorHAnsi" w:cstheme="minorHAnsi"/>
          <w:b/>
          <w:bCs/>
          <w:color w:val="auto"/>
        </w:rPr>
      </w:pPr>
      <w:r w:rsidRPr="00BB6F06">
        <w:rPr>
          <w:rFonts w:asciiTheme="minorHAnsi" w:hAnsiTheme="minorHAnsi" w:cstheme="minorHAnsi"/>
          <w:b/>
          <w:bCs/>
          <w:color w:val="auto"/>
        </w:rPr>
        <w:t xml:space="preserve"> 4. Data </w:t>
      </w:r>
      <w:r w:rsidR="0021263A">
        <w:rPr>
          <w:rFonts w:asciiTheme="minorHAnsi" w:hAnsiTheme="minorHAnsi" w:cstheme="minorHAnsi"/>
          <w:b/>
          <w:bCs/>
          <w:color w:val="auto"/>
        </w:rPr>
        <w:t>a</w:t>
      </w:r>
      <w:r w:rsidR="0021263A" w:rsidRPr="00BB6F06">
        <w:rPr>
          <w:rFonts w:asciiTheme="minorHAnsi" w:hAnsiTheme="minorHAnsi" w:cstheme="minorHAnsi"/>
          <w:b/>
          <w:bCs/>
          <w:color w:val="auto"/>
        </w:rPr>
        <w:t>nalysis</w:t>
      </w:r>
    </w:p>
    <w:p w14:paraId="542AC311" w14:textId="243B0C70" w:rsidR="007973C8"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 </w:t>
      </w:r>
    </w:p>
    <w:p w14:paraId="5E4F73A4" w14:textId="4242D743" w:rsidR="007973C8"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4.1 After the batch is completed, open the quantitation software.</w:t>
      </w:r>
      <w:r w:rsidRPr="00BB6F06">
        <w:rPr>
          <w:rFonts w:asciiTheme="minorHAnsi" w:hAnsiTheme="minorHAnsi" w:cstheme="minorHAnsi"/>
          <w:color w:val="auto"/>
        </w:rPr>
        <w:t xml:space="preserve"> Click the wand icon to create a new </w:t>
      </w:r>
      <w:r w:rsidRPr="00BB6F06">
        <w:rPr>
          <w:rFonts w:asciiTheme="minorHAnsi" w:hAnsiTheme="minorHAnsi" w:cstheme="minorHAnsi"/>
          <w:b/>
          <w:bCs/>
          <w:color w:val="auto"/>
        </w:rPr>
        <w:t>Results</w:t>
      </w:r>
      <w:r w:rsidRPr="00BB6F06">
        <w:rPr>
          <w:rFonts w:asciiTheme="minorHAnsi" w:hAnsiTheme="minorHAnsi" w:cstheme="minorHAnsi"/>
          <w:color w:val="auto"/>
        </w:rPr>
        <w:t xml:space="preserve"> </w:t>
      </w:r>
      <w:r w:rsidR="0021263A">
        <w:rPr>
          <w:rFonts w:asciiTheme="minorHAnsi" w:hAnsiTheme="minorHAnsi" w:cstheme="minorHAnsi"/>
          <w:color w:val="auto"/>
        </w:rPr>
        <w:t>t</w:t>
      </w:r>
      <w:r w:rsidR="0021263A" w:rsidRPr="00BB6F06">
        <w:rPr>
          <w:rFonts w:asciiTheme="minorHAnsi" w:hAnsiTheme="minorHAnsi" w:cstheme="minorHAnsi"/>
          <w:color w:val="auto"/>
        </w:rPr>
        <w:t>able</w:t>
      </w:r>
      <w:r w:rsidRPr="00BB6F06">
        <w:rPr>
          <w:rFonts w:asciiTheme="minorHAnsi" w:hAnsiTheme="minorHAnsi" w:cstheme="minorHAnsi"/>
          <w:color w:val="auto"/>
        </w:rPr>
        <w:t>.</w:t>
      </w:r>
    </w:p>
    <w:p w14:paraId="0EA8BD58" w14:textId="25DD9008" w:rsidR="007973C8"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p>
    <w:p w14:paraId="3FEB3D0D" w14:textId="267EF159" w:rsidR="007973C8" w:rsidRPr="00BB6F06" w:rsidRDefault="007973C8"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4.1.1 Click </w:t>
      </w:r>
      <w:r w:rsidRPr="00BB6F06">
        <w:rPr>
          <w:rFonts w:asciiTheme="minorHAnsi" w:hAnsiTheme="minorHAnsi" w:cstheme="minorHAnsi"/>
          <w:b/>
          <w:bCs/>
          <w:color w:val="auto"/>
        </w:rPr>
        <w:t>Browse</w:t>
      </w:r>
      <w:r w:rsidRPr="00BB6F06">
        <w:rPr>
          <w:rFonts w:asciiTheme="minorHAnsi" w:hAnsiTheme="minorHAnsi" w:cstheme="minorHAnsi"/>
          <w:color w:val="auto"/>
        </w:rPr>
        <w:t xml:space="preserve"> to navigate to the appropriate folder, and then </w:t>
      </w:r>
      <w:r w:rsidR="007127C9" w:rsidRPr="00BB6F06">
        <w:rPr>
          <w:rFonts w:asciiTheme="minorHAnsi" w:hAnsiTheme="minorHAnsi" w:cstheme="minorHAnsi"/>
          <w:color w:val="auto"/>
        </w:rPr>
        <w:t xml:space="preserve">highlight the data file and click the right-pointing arrow to move the data into the </w:t>
      </w:r>
      <w:r w:rsidR="00003A55" w:rsidRPr="00BB6F06">
        <w:rPr>
          <w:rFonts w:asciiTheme="minorHAnsi" w:hAnsiTheme="minorHAnsi" w:cstheme="minorHAnsi"/>
          <w:b/>
          <w:bCs/>
          <w:color w:val="auto"/>
        </w:rPr>
        <w:t>Selected</w:t>
      </w:r>
      <w:r w:rsidR="00003A55" w:rsidRPr="00BB6F06">
        <w:rPr>
          <w:rFonts w:asciiTheme="minorHAnsi" w:hAnsiTheme="minorHAnsi" w:cstheme="minorHAnsi"/>
          <w:color w:val="auto"/>
        </w:rPr>
        <w:t xml:space="preserve"> area. Click </w:t>
      </w:r>
      <w:r w:rsidR="00003A55" w:rsidRPr="00BB6F06">
        <w:rPr>
          <w:rFonts w:asciiTheme="minorHAnsi" w:hAnsiTheme="minorHAnsi" w:cstheme="minorHAnsi"/>
          <w:b/>
          <w:bCs/>
          <w:color w:val="auto"/>
        </w:rPr>
        <w:t>Next</w:t>
      </w:r>
      <w:r w:rsidR="00E17D84" w:rsidRPr="00BB6F06">
        <w:rPr>
          <w:rFonts w:asciiTheme="minorHAnsi" w:hAnsiTheme="minorHAnsi" w:cstheme="minorHAnsi"/>
          <w:color w:val="auto"/>
        </w:rPr>
        <w:t>.</w:t>
      </w:r>
    </w:p>
    <w:p w14:paraId="0BA6583E" w14:textId="74848FD7" w:rsidR="00003A55" w:rsidRPr="00BB6F06" w:rsidRDefault="00003A55" w:rsidP="00BB6F06">
      <w:pPr>
        <w:pStyle w:val="NormalWeb"/>
        <w:tabs>
          <w:tab w:val="left" w:pos="1369"/>
        </w:tabs>
        <w:spacing w:before="0" w:beforeAutospacing="0" w:after="0" w:afterAutospacing="0"/>
        <w:rPr>
          <w:rFonts w:asciiTheme="minorHAnsi" w:hAnsiTheme="minorHAnsi" w:cstheme="minorHAnsi"/>
          <w:color w:val="auto"/>
        </w:rPr>
      </w:pPr>
    </w:p>
    <w:p w14:paraId="1C8F114F" w14:textId="68F1F38C" w:rsidR="00003A55" w:rsidRPr="00BB6F06" w:rsidRDefault="00003A55"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4.1.2 Select </w:t>
      </w:r>
      <w:r w:rsidRPr="00BB6F06">
        <w:rPr>
          <w:rFonts w:asciiTheme="minorHAnsi" w:hAnsiTheme="minorHAnsi" w:cstheme="minorHAnsi"/>
          <w:b/>
          <w:bCs/>
          <w:color w:val="auto"/>
        </w:rPr>
        <w:t>Create New Method</w:t>
      </w:r>
      <w:r w:rsidRPr="00BB6F06">
        <w:rPr>
          <w:rFonts w:asciiTheme="minorHAnsi" w:hAnsiTheme="minorHAnsi" w:cstheme="minorHAnsi"/>
          <w:color w:val="auto"/>
        </w:rPr>
        <w:t xml:space="preserve"> and click </w:t>
      </w:r>
      <w:r w:rsidRPr="00BB6F06">
        <w:rPr>
          <w:rFonts w:asciiTheme="minorHAnsi" w:hAnsiTheme="minorHAnsi" w:cstheme="minorHAnsi"/>
          <w:b/>
          <w:bCs/>
          <w:color w:val="auto"/>
        </w:rPr>
        <w:t>New</w:t>
      </w:r>
      <w:r w:rsidRPr="00BB6F06">
        <w:rPr>
          <w:rFonts w:asciiTheme="minorHAnsi" w:hAnsiTheme="minorHAnsi" w:cstheme="minorHAnsi"/>
          <w:color w:val="auto"/>
        </w:rPr>
        <w:t xml:space="preserve">. Input new quantitation method name and press </w:t>
      </w:r>
      <w:r w:rsidRPr="00BB6F06">
        <w:rPr>
          <w:rFonts w:asciiTheme="minorHAnsi" w:hAnsiTheme="minorHAnsi" w:cstheme="minorHAnsi"/>
          <w:b/>
          <w:bCs/>
          <w:color w:val="auto"/>
        </w:rPr>
        <w:t>Save</w:t>
      </w:r>
      <w:r w:rsidRPr="00BB6F06">
        <w:rPr>
          <w:rFonts w:asciiTheme="minorHAnsi" w:hAnsiTheme="minorHAnsi" w:cstheme="minorHAnsi"/>
          <w:color w:val="auto"/>
        </w:rPr>
        <w:t xml:space="preserve"> and then </w:t>
      </w:r>
      <w:r w:rsidRPr="00BB6F06">
        <w:rPr>
          <w:rFonts w:asciiTheme="minorHAnsi" w:hAnsiTheme="minorHAnsi" w:cstheme="minorHAnsi"/>
          <w:b/>
          <w:bCs/>
          <w:color w:val="auto"/>
        </w:rPr>
        <w:t>Next</w:t>
      </w:r>
      <w:r w:rsidRPr="00BB6F06">
        <w:rPr>
          <w:rFonts w:asciiTheme="minorHAnsi" w:hAnsiTheme="minorHAnsi" w:cstheme="minorHAnsi"/>
          <w:color w:val="auto"/>
        </w:rPr>
        <w:t>.</w:t>
      </w:r>
    </w:p>
    <w:p w14:paraId="276CE216" w14:textId="6D5BFBA6" w:rsidR="00003A55" w:rsidRPr="00BB6F06" w:rsidRDefault="00003A55" w:rsidP="00BB6F06">
      <w:pPr>
        <w:pStyle w:val="NormalWeb"/>
        <w:tabs>
          <w:tab w:val="left" w:pos="1369"/>
        </w:tabs>
        <w:spacing w:before="0" w:beforeAutospacing="0" w:after="0" w:afterAutospacing="0"/>
        <w:rPr>
          <w:rFonts w:asciiTheme="minorHAnsi" w:hAnsiTheme="minorHAnsi" w:cstheme="minorHAnsi"/>
          <w:color w:val="auto"/>
        </w:rPr>
      </w:pPr>
    </w:p>
    <w:p w14:paraId="5FC624E2" w14:textId="537003D9" w:rsidR="00003A55" w:rsidRPr="00BB6F06" w:rsidRDefault="00003A55"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4.1.3 Select the first injection of the </w:t>
      </w:r>
      <w:r w:rsidR="00475DC8" w:rsidRPr="00BB6F06">
        <w:rPr>
          <w:rFonts w:asciiTheme="minorHAnsi" w:hAnsiTheme="minorHAnsi" w:cstheme="minorHAnsi"/>
          <w:color w:val="auto"/>
        </w:rPr>
        <w:t>middle</w:t>
      </w:r>
      <w:r w:rsidRPr="00BB6F06">
        <w:rPr>
          <w:rFonts w:asciiTheme="minorHAnsi" w:hAnsiTheme="minorHAnsi" w:cstheme="minorHAnsi"/>
          <w:color w:val="auto"/>
        </w:rPr>
        <w:t xml:space="preserve"> calibration point. Press </w:t>
      </w:r>
      <w:r w:rsidRPr="00BB6F06">
        <w:rPr>
          <w:rFonts w:asciiTheme="minorHAnsi" w:hAnsiTheme="minorHAnsi" w:cstheme="minorHAnsi"/>
          <w:b/>
          <w:bCs/>
          <w:color w:val="auto"/>
        </w:rPr>
        <w:t>Next</w:t>
      </w:r>
      <w:r w:rsidRPr="00BB6F06">
        <w:rPr>
          <w:rFonts w:asciiTheme="minorHAnsi" w:hAnsiTheme="minorHAnsi" w:cstheme="minorHAnsi"/>
          <w:color w:val="auto"/>
        </w:rPr>
        <w:t>.</w:t>
      </w:r>
    </w:p>
    <w:p w14:paraId="130FD2D7" w14:textId="7E9113EC" w:rsidR="00003A55" w:rsidRPr="00BB6F06" w:rsidRDefault="00003A55" w:rsidP="00BB6F06">
      <w:pPr>
        <w:pStyle w:val="NormalWeb"/>
        <w:tabs>
          <w:tab w:val="left" w:pos="1369"/>
        </w:tabs>
        <w:spacing w:before="0" w:beforeAutospacing="0" w:after="0" w:afterAutospacing="0"/>
        <w:rPr>
          <w:rFonts w:asciiTheme="minorHAnsi" w:hAnsiTheme="minorHAnsi" w:cstheme="minorHAnsi"/>
          <w:color w:val="auto"/>
        </w:rPr>
      </w:pPr>
    </w:p>
    <w:p w14:paraId="39AE2BEF" w14:textId="2A23891F" w:rsidR="00003A55" w:rsidRPr="00BB6F06" w:rsidRDefault="00003A55"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4.1.4 Tick mark all the transitions of the internal standards in the </w:t>
      </w:r>
      <w:r w:rsidRPr="00BB6F06">
        <w:rPr>
          <w:rFonts w:asciiTheme="minorHAnsi" w:hAnsiTheme="minorHAnsi" w:cstheme="minorHAnsi"/>
          <w:b/>
          <w:bCs/>
          <w:color w:val="auto"/>
        </w:rPr>
        <w:t>IS</w:t>
      </w:r>
      <w:r w:rsidRPr="00BB6F06">
        <w:rPr>
          <w:rFonts w:asciiTheme="minorHAnsi" w:hAnsiTheme="minorHAnsi" w:cstheme="minorHAnsi"/>
          <w:color w:val="auto"/>
        </w:rPr>
        <w:t xml:space="preserve"> column.</w:t>
      </w:r>
    </w:p>
    <w:p w14:paraId="3447E684" w14:textId="168F50EB" w:rsidR="00003A55" w:rsidRPr="00BB6F06" w:rsidRDefault="00003A55" w:rsidP="00BB6F06">
      <w:pPr>
        <w:pStyle w:val="NormalWeb"/>
        <w:tabs>
          <w:tab w:val="left" w:pos="1369"/>
        </w:tabs>
        <w:spacing w:before="0" w:beforeAutospacing="0" w:after="0" w:afterAutospacing="0"/>
        <w:rPr>
          <w:rFonts w:asciiTheme="minorHAnsi" w:hAnsiTheme="minorHAnsi" w:cstheme="minorHAnsi"/>
          <w:color w:val="auto"/>
        </w:rPr>
      </w:pPr>
    </w:p>
    <w:p w14:paraId="13201274" w14:textId="25B39DA4" w:rsidR="00003A55" w:rsidRPr="00BB6F06" w:rsidRDefault="00003A55"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lastRenderedPageBreak/>
        <w:t xml:space="preserve">4.1.5 For the quantifier transitions for the reference standards, select the corresponding IS in the </w:t>
      </w:r>
      <w:r w:rsidRPr="00BB6F06">
        <w:rPr>
          <w:rFonts w:asciiTheme="minorHAnsi" w:hAnsiTheme="minorHAnsi" w:cstheme="minorHAnsi"/>
          <w:b/>
          <w:bCs/>
          <w:color w:val="auto"/>
        </w:rPr>
        <w:t>IS Name</w:t>
      </w:r>
      <w:r w:rsidRPr="00BB6F06">
        <w:rPr>
          <w:rFonts w:asciiTheme="minorHAnsi" w:hAnsiTheme="minorHAnsi" w:cstheme="minorHAnsi"/>
          <w:color w:val="auto"/>
        </w:rPr>
        <w:t xml:space="preserve"> column. Click </w:t>
      </w:r>
      <w:r w:rsidRPr="00BB6F06">
        <w:rPr>
          <w:rFonts w:asciiTheme="minorHAnsi" w:hAnsiTheme="minorHAnsi" w:cstheme="minorHAnsi"/>
          <w:b/>
          <w:bCs/>
          <w:color w:val="auto"/>
        </w:rPr>
        <w:t>Next</w:t>
      </w:r>
      <w:r w:rsidRPr="00BB6F06">
        <w:rPr>
          <w:rFonts w:asciiTheme="minorHAnsi" w:hAnsiTheme="minorHAnsi" w:cstheme="minorHAnsi"/>
          <w:color w:val="auto"/>
        </w:rPr>
        <w:t>.</w:t>
      </w:r>
    </w:p>
    <w:p w14:paraId="10A3B253" w14:textId="77777777" w:rsidR="00432C9C" w:rsidRPr="00BB6F06" w:rsidRDefault="00432C9C" w:rsidP="00BB6F06">
      <w:pPr>
        <w:pStyle w:val="NormalWeb"/>
        <w:tabs>
          <w:tab w:val="left" w:pos="1369"/>
        </w:tabs>
        <w:spacing w:before="0" w:beforeAutospacing="0" w:after="0" w:afterAutospacing="0"/>
        <w:rPr>
          <w:rFonts w:asciiTheme="minorHAnsi" w:hAnsiTheme="minorHAnsi" w:cstheme="minorHAnsi"/>
          <w:color w:val="auto"/>
        </w:rPr>
      </w:pPr>
    </w:p>
    <w:p w14:paraId="3A09E8B9" w14:textId="77777777" w:rsidR="007C5C2E" w:rsidRDefault="003929F0" w:rsidP="00B84D35">
      <w:pPr>
        <w:pStyle w:val="NormalWeb"/>
        <w:tabs>
          <w:tab w:val="left" w:pos="1369"/>
        </w:tabs>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rPr>
        <w:t xml:space="preserve"> </w:t>
      </w:r>
      <w:r w:rsidR="00003A55" w:rsidRPr="00BB6F06">
        <w:rPr>
          <w:rFonts w:asciiTheme="minorHAnsi" w:hAnsiTheme="minorHAnsi" w:cstheme="minorHAnsi"/>
          <w:color w:val="auto"/>
          <w:highlight w:val="yellow"/>
        </w:rPr>
        <w:t xml:space="preserve">4.1.6 </w:t>
      </w:r>
      <w:r w:rsidR="008240D3" w:rsidRPr="00BB6F06">
        <w:rPr>
          <w:rFonts w:asciiTheme="minorHAnsi" w:hAnsiTheme="minorHAnsi" w:cstheme="minorHAnsi"/>
          <w:color w:val="auto"/>
          <w:highlight w:val="yellow"/>
        </w:rPr>
        <w:t xml:space="preserve">Scroll through the transitions to assure that the automatically selected retention time is accurate. </w:t>
      </w:r>
      <w:r w:rsidR="003D68C3" w:rsidRPr="00BB6F06">
        <w:rPr>
          <w:rFonts w:asciiTheme="minorHAnsi" w:hAnsiTheme="minorHAnsi" w:cstheme="minorHAnsi"/>
          <w:color w:val="auto"/>
          <w:highlight w:val="yellow"/>
        </w:rPr>
        <w:t xml:space="preserve">Make sure that </w:t>
      </w:r>
      <w:r w:rsidR="003D68C3" w:rsidRPr="00BB6F06">
        <w:rPr>
          <w:rFonts w:asciiTheme="minorHAnsi" w:hAnsiTheme="minorHAnsi" w:cstheme="minorHAnsi"/>
          <w:b/>
          <w:bCs/>
          <w:color w:val="auto"/>
          <w:highlight w:val="yellow"/>
        </w:rPr>
        <w:t>Gaussian Smoothing</w:t>
      </w:r>
      <w:r w:rsidR="003D68C3" w:rsidRPr="00BB6F06">
        <w:rPr>
          <w:rFonts w:asciiTheme="minorHAnsi" w:hAnsiTheme="minorHAnsi" w:cstheme="minorHAnsi"/>
          <w:color w:val="auto"/>
          <w:highlight w:val="yellow"/>
        </w:rPr>
        <w:t xml:space="preserve"> is set to 1.5. </w:t>
      </w:r>
      <w:r w:rsidR="008240D3" w:rsidRPr="00BB6F06">
        <w:rPr>
          <w:rFonts w:asciiTheme="minorHAnsi" w:hAnsiTheme="minorHAnsi" w:cstheme="minorHAnsi"/>
          <w:color w:val="auto"/>
          <w:highlight w:val="yellow"/>
        </w:rPr>
        <w:t>All other default settings can remain as is</w:t>
      </w:r>
      <w:r w:rsidR="00E73703" w:rsidRPr="00BB6F06">
        <w:rPr>
          <w:rFonts w:asciiTheme="minorHAnsi" w:hAnsiTheme="minorHAnsi" w:cstheme="minorHAnsi"/>
          <w:color w:val="auto"/>
          <w:highlight w:val="yellow"/>
        </w:rPr>
        <w:t xml:space="preserve"> (i.e.</w:t>
      </w:r>
      <w:r w:rsidR="007C5C2E">
        <w:rPr>
          <w:rFonts w:asciiTheme="minorHAnsi" w:hAnsiTheme="minorHAnsi" w:cstheme="minorHAnsi"/>
          <w:color w:val="auto"/>
          <w:highlight w:val="yellow"/>
        </w:rPr>
        <w:t>,</w:t>
      </w:r>
      <w:r w:rsidR="00E73703" w:rsidRPr="00BB6F06">
        <w:rPr>
          <w:rFonts w:asciiTheme="minorHAnsi" w:hAnsiTheme="minorHAnsi" w:cstheme="minorHAnsi"/>
          <w:color w:val="auto"/>
          <w:highlight w:val="yellow"/>
        </w:rPr>
        <w:t xml:space="preserve"> Noise Percentage 100%, Baseline Sub. Window 2.00 min, Peak Splitting 2 points).</w:t>
      </w:r>
      <w:r w:rsidR="008240D3" w:rsidRPr="00BB6F06">
        <w:rPr>
          <w:rFonts w:asciiTheme="minorHAnsi" w:hAnsiTheme="minorHAnsi" w:cstheme="minorHAnsi"/>
          <w:color w:val="auto"/>
          <w:highlight w:val="yellow"/>
        </w:rPr>
        <w:t xml:space="preserve"> </w:t>
      </w:r>
    </w:p>
    <w:p w14:paraId="53D01545" w14:textId="77777777" w:rsidR="007C5C2E" w:rsidRDefault="007C5C2E" w:rsidP="00B84D35">
      <w:pPr>
        <w:pStyle w:val="NormalWeb"/>
        <w:tabs>
          <w:tab w:val="left" w:pos="1369"/>
        </w:tabs>
        <w:spacing w:before="0" w:beforeAutospacing="0" w:after="0" w:afterAutospacing="0"/>
        <w:rPr>
          <w:rFonts w:asciiTheme="minorHAnsi" w:hAnsiTheme="minorHAnsi" w:cstheme="minorHAnsi"/>
          <w:color w:val="auto"/>
          <w:highlight w:val="yellow"/>
        </w:rPr>
      </w:pPr>
    </w:p>
    <w:p w14:paraId="45F2C209" w14:textId="78B93486" w:rsidR="003929F0" w:rsidRPr="00BB6F06" w:rsidRDefault="00E17D84"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 xml:space="preserve">NOTE: </w:t>
      </w:r>
      <w:r w:rsidR="007C5C2E">
        <w:rPr>
          <w:rFonts w:asciiTheme="minorHAnsi" w:hAnsiTheme="minorHAnsi" w:cstheme="minorHAnsi"/>
          <w:color w:val="auto"/>
          <w:highlight w:val="yellow"/>
        </w:rPr>
        <w:t>If wanted, m</w:t>
      </w:r>
      <w:r w:rsidR="0080517D" w:rsidRPr="00BB6F06">
        <w:rPr>
          <w:rFonts w:asciiTheme="minorHAnsi" w:hAnsiTheme="minorHAnsi" w:cstheme="minorHAnsi"/>
          <w:color w:val="auto"/>
          <w:highlight w:val="yellow"/>
        </w:rPr>
        <w:t>odify</w:t>
      </w:r>
      <w:r w:rsidRPr="00BB6F06">
        <w:rPr>
          <w:rFonts w:asciiTheme="minorHAnsi" w:hAnsiTheme="minorHAnsi" w:cstheme="minorHAnsi"/>
          <w:color w:val="auto"/>
          <w:highlight w:val="yellow"/>
        </w:rPr>
        <w:t xml:space="preserve"> automatic integration parameters at this point. Since these parameters change based on instrument setup, we have not included ours here.</w:t>
      </w:r>
    </w:p>
    <w:p w14:paraId="597578E0" w14:textId="77777777" w:rsidR="004E6BF6" w:rsidRPr="00BB6F06" w:rsidRDefault="004E6BF6" w:rsidP="00BB6F06">
      <w:pPr>
        <w:pStyle w:val="NormalWeb"/>
        <w:tabs>
          <w:tab w:val="left" w:pos="1369"/>
        </w:tabs>
        <w:spacing w:before="0" w:beforeAutospacing="0" w:after="0" w:afterAutospacing="0"/>
        <w:rPr>
          <w:rFonts w:asciiTheme="minorHAnsi" w:hAnsiTheme="minorHAnsi" w:cstheme="minorHAnsi"/>
          <w:color w:val="auto"/>
        </w:rPr>
      </w:pPr>
    </w:p>
    <w:p w14:paraId="5C470065" w14:textId="2F54EF4C" w:rsidR="00912EC8" w:rsidRPr="00BB6F06" w:rsidRDefault="008240D3"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4.1.7 Click </w:t>
      </w:r>
      <w:r w:rsidRPr="00BB6F06">
        <w:rPr>
          <w:rFonts w:asciiTheme="minorHAnsi" w:hAnsiTheme="minorHAnsi" w:cstheme="minorHAnsi"/>
          <w:b/>
          <w:bCs/>
          <w:color w:val="auto"/>
        </w:rPr>
        <w:t>Finish</w:t>
      </w:r>
      <w:r w:rsidRPr="00BB6F06">
        <w:rPr>
          <w:rFonts w:asciiTheme="minorHAnsi" w:hAnsiTheme="minorHAnsi" w:cstheme="minorHAnsi"/>
          <w:color w:val="auto"/>
        </w:rPr>
        <w:t xml:space="preserve"> to apply the quantitation method to the batch.</w:t>
      </w:r>
    </w:p>
    <w:p w14:paraId="41E14F0E" w14:textId="50409493" w:rsidR="008240D3" w:rsidRPr="00BB6F06" w:rsidRDefault="008240D3" w:rsidP="00BB6F06">
      <w:pPr>
        <w:pStyle w:val="NormalWeb"/>
        <w:tabs>
          <w:tab w:val="left" w:pos="1369"/>
        </w:tabs>
        <w:spacing w:before="0" w:beforeAutospacing="0" w:after="0" w:afterAutospacing="0"/>
        <w:rPr>
          <w:rFonts w:asciiTheme="minorHAnsi" w:hAnsiTheme="minorHAnsi" w:cstheme="minorHAnsi"/>
          <w:color w:val="auto"/>
        </w:rPr>
      </w:pPr>
    </w:p>
    <w:p w14:paraId="1F6AE11B" w14:textId="381A801C" w:rsidR="008240D3" w:rsidRPr="00BB6F06" w:rsidRDefault="008240D3"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4.2 </w:t>
      </w:r>
      <w:r w:rsidR="00A4423F" w:rsidRPr="00BB6F06">
        <w:rPr>
          <w:rFonts w:asciiTheme="minorHAnsi" w:hAnsiTheme="minorHAnsi" w:cstheme="minorHAnsi"/>
          <w:color w:val="auto"/>
        </w:rPr>
        <w:t xml:space="preserve">Click the top left </w:t>
      </w:r>
      <w:r w:rsidR="00A4423F" w:rsidRPr="00BB6F06">
        <w:rPr>
          <w:rFonts w:asciiTheme="minorHAnsi" w:hAnsiTheme="minorHAnsi" w:cstheme="minorHAnsi"/>
          <w:b/>
          <w:bCs/>
          <w:color w:val="auto"/>
        </w:rPr>
        <w:t>Displays the peak review</w:t>
      </w:r>
      <w:r w:rsidR="00A4423F" w:rsidRPr="00BB6F06">
        <w:rPr>
          <w:rFonts w:asciiTheme="minorHAnsi" w:hAnsiTheme="minorHAnsi" w:cstheme="minorHAnsi"/>
          <w:color w:val="auto"/>
        </w:rPr>
        <w:t xml:space="preserve"> button to view chromatograms. </w:t>
      </w:r>
      <w:r w:rsidRPr="00BB6F06">
        <w:rPr>
          <w:rFonts w:asciiTheme="minorHAnsi" w:hAnsiTheme="minorHAnsi" w:cstheme="minorHAnsi"/>
          <w:color w:val="auto"/>
        </w:rPr>
        <w:t xml:space="preserve">Navigate through the transitions using the left sidebar. </w:t>
      </w:r>
      <w:r w:rsidR="008B14BE" w:rsidRPr="00BB6F06">
        <w:rPr>
          <w:rFonts w:asciiTheme="minorHAnsi" w:hAnsiTheme="minorHAnsi" w:cstheme="minorHAnsi"/>
          <w:color w:val="auto"/>
        </w:rPr>
        <w:t>S</w:t>
      </w:r>
      <w:r w:rsidRPr="00BB6F06">
        <w:rPr>
          <w:rFonts w:asciiTheme="minorHAnsi" w:hAnsiTheme="minorHAnsi" w:cstheme="minorHAnsi"/>
          <w:color w:val="auto"/>
        </w:rPr>
        <w:t>croll through each injection</w:t>
      </w:r>
      <w:r w:rsidR="008B14BE" w:rsidRPr="00BB6F06">
        <w:rPr>
          <w:rFonts w:asciiTheme="minorHAnsi" w:hAnsiTheme="minorHAnsi" w:cstheme="minorHAnsi"/>
          <w:color w:val="auto"/>
        </w:rPr>
        <w:t xml:space="preserve"> of every quantifier transition</w:t>
      </w:r>
      <w:r w:rsidRPr="00BB6F06">
        <w:rPr>
          <w:rFonts w:asciiTheme="minorHAnsi" w:hAnsiTheme="minorHAnsi" w:cstheme="minorHAnsi"/>
          <w:color w:val="auto"/>
        </w:rPr>
        <w:t xml:space="preserve"> and manually integrate the correct peak if necessary.</w:t>
      </w:r>
    </w:p>
    <w:p w14:paraId="566DAE4F" w14:textId="77777777" w:rsidR="008240D3" w:rsidRPr="00BB6F06" w:rsidRDefault="008240D3" w:rsidP="00BB6F06">
      <w:pPr>
        <w:pStyle w:val="NormalWeb"/>
        <w:tabs>
          <w:tab w:val="left" w:pos="1369"/>
        </w:tabs>
        <w:spacing w:before="0" w:beforeAutospacing="0" w:after="0" w:afterAutospacing="0"/>
        <w:rPr>
          <w:rFonts w:asciiTheme="minorHAnsi" w:hAnsiTheme="minorHAnsi" w:cstheme="minorHAnsi"/>
          <w:color w:val="auto"/>
        </w:rPr>
      </w:pPr>
    </w:p>
    <w:p w14:paraId="41DFEFFB" w14:textId="140D6F82" w:rsidR="007C5C2E" w:rsidRDefault="008240D3" w:rsidP="00B84D35">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 4.2.1 To manually integrate a peak, click on the </w:t>
      </w:r>
      <w:r w:rsidR="00E90CCE" w:rsidRPr="00BB6F06">
        <w:rPr>
          <w:rFonts w:asciiTheme="minorHAnsi" w:hAnsiTheme="minorHAnsi" w:cstheme="minorHAnsi"/>
          <w:b/>
          <w:bCs/>
          <w:color w:val="auto"/>
        </w:rPr>
        <w:t>Enable m</w:t>
      </w:r>
      <w:r w:rsidRPr="00BB6F06">
        <w:rPr>
          <w:rFonts w:asciiTheme="minorHAnsi" w:hAnsiTheme="minorHAnsi" w:cstheme="minorHAnsi"/>
          <w:b/>
          <w:bCs/>
          <w:color w:val="auto"/>
        </w:rPr>
        <w:t xml:space="preserve">anual </w:t>
      </w:r>
      <w:r w:rsidR="00E90CCE" w:rsidRPr="00BB6F06">
        <w:rPr>
          <w:rFonts w:asciiTheme="minorHAnsi" w:hAnsiTheme="minorHAnsi" w:cstheme="minorHAnsi"/>
          <w:b/>
          <w:bCs/>
          <w:color w:val="auto"/>
        </w:rPr>
        <w:t>i</w:t>
      </w:r>
      <w:r w:rsidRPr="00BB6F06">
        <w:rPr>
          <w:rFonts w:asciiTheme="minorHAnsi" w:hAnsiTheme="minorHAnsi" w:cstheme="minorHAnsi"/>
          <w:b/>
          <w:bCs/>
          <w:color w:val="auto"/>
        </w:rPr>
        <w:t>ntegration</w:t>
      </w:r>
      <w:r w:rsidR="00E90CCE" w:rsidRPr="00BB6F06">
        <w:rPr>
          <w:rFonts w:asciiTheme="minorHAnsi" w:hAnsiTheme="minorHAnsi" w:cstheme="minorHAnsi"/>
          <w:b/>
          <w:bCs/>
          <w:color w:val="auto"/>
        </w:rPr>
        <w:t xml:space="preserve"> mode</w:t>
      </w:r>
      <w:r w:rsidRPr="00BB6F06">
        <w:rPr>
          <w:rFonts w:asciiTheme="minorHAnsi" w:hAnsiTheme="minorHAnsi" w:cstheme="minorHAnsi"/>
          <w:color w:val="auto"/>
        </w:rPr>
        <w:t xml:space="preserve"> button, zoom into the chromatogram by clicking and dragging along the x- or y-axis, and then draw a line from one baseline to the other baseline, defining the peak. </w:t>
      </w:r>
      <w:r w:rsidR="00BE3113" w:rsidRPr="00BB6F06">
        <w:rPr>
          <w:rFonts w:asciiTheme="minorHAnsi" w:hAnsiTheme="minorHAnsi" w:cstheme="minorHAnsi"/>
          <w:b/>
          <w:bCs/>
          <w:color w:val="auto"/>
        </w:rPr>
        <w:t>Figure 3</w:t>
      </w:r>
      <w:r w:rsidR="00BE3113" w:rsidRPr="00BB6F06">
        <w:rPr>
          <w:rFonts w:asciiTheme="minorHAnsi" w:hAnsiTheme="minorHAnsi" w:cstheme="minorHAnsi"/>
          <w:color w:val="auto"/>
        </w:rPr>
        <w:t xml:space="preserve"> shows two chromatograms: one that has INH, and therefore has been manually integrated, and another that does not have INH. </w:t>
      </w:r>
    </w:p>
    <w:p w14:paraId="78DFB802" w14:textId="77777777" w:rsidR="007C5C2E" w:rsidRDefault="007C5C2E" w:rsidP="00B84D35">
      <w:pPr>
        <w:pStyle w:val="NormalWeb"/>
        <w:tabs>
          <w:tab w:val="left" w:pos="1369"/>
        </w:tabs>
        <w:spacing w:before="0" w:beforeAutospacing="0" w:after="0" w:afterAutospacing="0"/>
        <w:rPr>
          <w:rFonts w:asciiTheme="minorHAnsi" w:hAnsiTheme="minorHAnsi" w:cstheme="minorHAnsi"/>
          <w:color w:val="auto"/>
        </w:rPr>
      </w:pPr>
    </w:p>
    <w:p w14:paraId="5890B700" w14:textId="3884988B" w:rsidR="008240D3" w:rsidRPr="00BB6F06" w:rsidRDefault="008240D3"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NOTE: All injections must be integrated using the same parameters. Peak width can provide a guideline for adhering to these parameters, but sometimes peak width will differ.</w:t>
      </w:r>
      <w:r w:rsidR="00BE3113" w:rsidRPr="00BB6F06">
        <w:rPr>
          <w:rFonts w:asciiTheme="minorHAnsi" w:hAnsiTheme="minorHAnsi" w:cstheme="minorHAnsi"/>
          <w:color w:val="auto"/>
          <w:highlight w:val="yellow"/>
        </w:rPr>
        <w:t xml:space="preserve"> To quantify a peak, the retention time must be within ±0.15 min of the expected retention time for that analyte (as defined by the reference standard peaks),</w:t>
      </w:r>
      <w:r w:rsidR="00610E25">
        <w:rPr>
          <w:rFonts w:asciiTheme="minorHAnsi" w:hAnsiTheme="minorHAnsi" w:cstheme="minorHAnsi"/>
          <w:color w:val="auto"/>
          <w:highlight w:val="yellow"/>
        </w:rPr>
        <w:t xml:space="preserve"> </w:t>
      </w:r>
      <w:r w:rsidR="00BE3113" w:rsidRPr="00BB6F06">
        <w:rPr>
          <w:rFonts w:asciiTheme="minorHAnsi" w:hAnsiTheme="minorHAnsi" w:cstheme="minorHAnsi"/>
          <w:color w:val="auto"/>
          <w:highlight w:val="yellow"/>
        </w:rPr>
        <w:t xml:space="preserve">qualitatively confirmed as having the expected quantifier to qualifier ratio (as shown in </w:t>
      </w:r>
      <w:r w:rsidR="00BE3113" w:rsidRPr="00BB6F06">
        <w:rPr>
          <w:rFonts w:asciiTheme="minorHAnsi" w:hAnsiTheme="minorHAnsi" w:cstheme="minorHAnsi"/>
          <w:b/>
          <w:bCs/>
          <w:color w:val="auto"/>
          <w:highlight w:val="yellow"/>
        </w:rPr>
        <w:t>Figure 2</w:t>
      </w:r>
      <w:r w:rsidR="00BE3113" w:rsidRPr="00BB6F06">
        <w:rPr>
          <w:rFonts w:asciiTheme="minorHAnsi" w:hAnsiTheme="minorHAnsi" w:cstheme="minorHAnsi"/>
          <w:color w:val="auto"/>
          <w:highlight w:val="yellow"/>
        </w:rPr>
        <w:t>), and have a signal-to-noise ratio of greater than 10.</w:t>
      </w:r>
    </w:p>
    <w:p w14:paraId="793CA772" w14:textId="6D5F0C6B" w:rsidR="008240D3" w:rsidRPr="00BB6F06" w:rsidRDefault="008240D3" w:rsidP="00BB6F06">
      <w:pPr>
        <w:pStyle w:val="NormalWeb"/>
        <w:tabs>
          <w:tab w:val="left" w:pos="1369"/>
        </w:tabs>
        <w:spacing w:before="0" w:beforeAutospacing="0" w:after="0" w:afterAutospacing="0"/>
        <w:rPr>
          <w:rFonts w:asciiTheme="minorHAnsi" w:hAnsiTheme="minorHAnsi" w:cstheme="minorHAnsi"/>
          <w:color w:val="auto"/>
        </w:rPr>
      </w:pPr>
    </w:p>
    <w:p w14:paraId="2C831F72" w14:textId="5633629D" w:rsidR="007C5C2E" w:rsidRDefault="008240D3" w:rsidP="00B84D35">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4.3</w:t>
      </w:r>
      <w:r w:rsidR="008B14BE" w:rsidRPr="00BB6F06">
        <w:rPr>
          <w:rFonts w:asciiTheme="minorHAnsi" w:hAnsiTheme="minorHAnsi" w:cstheme="minorHAnsi"/>
          <w:color w:val="auto"/>
        </w:rPr>
        <w:t xml:space="preserve"> In the </w:t>
      </w:r>
      <w:r w:rsidR="008B14BE" w:rsidRPr="00BB6F06">
        <w:rPr>
          <w:rFonts w:asciiTheme="minorHAnsi" w:hAnsiTheme="minorHAnsi" w:cstheme="minorHAnsi"/>
          <w:b/>
          <w:bCs/>
          <w:color w:val="auto"/>
        </w:rPr>
        <w:t>Sample Type</w:t>
      </w:r>
      <w:r w:rsidR="008B14BE" w:rsidRPr="00BB6F06">
        <w:rPr>
          <w:rFonts w:asciiTheme="minorHAnsi" w:hAnsiTheme="minorHAnsi" w:cstheme="minorHAnsi"/>
          <w:color w:val="auto"/>
        </w:rPr>
        <w:t xml:space="preserve"> column, set the calibration curve injections (</w:t>
      </w:r>
      <w:proofErr w:type="gramStart"/>
      <w:r w:rsidR="008B14BE" w:rsidRPr="00BB6F06">
        <w:rPr>
          <w:rFonts w:asciiTheme="minorHAnsi" w:hAnsiTheme="minorHAnsi" w:cstheme="minorHAnsi"/>
          <w:color w:val="auto"/>
        </w:rPr>
        <w:t>with the exception of</w:t>
      </w:r>
      <w:proofErr w:type="gramEnd"/>
      <w:r w:rsidR="008B14BE" w:rsidRPr="00BB6F06">
        <w:rPr>
          <w:rFonts w:asciiTheme="minorHAnsi" w:hAnsiTheme="minorHAnsi" w:cstheme="minorHAnsi"/>
          <w:color w:val="auto"/>
        </w:rPr>
        <w:t xml:space="preserve"> the blank calibration curve injections) to </w:t>
      </w:r>
      <w:r w:rsidR="008B14BE" w:rsidRPr="00BB6F06">
        <w:rPr>
          <w:rFonts w:asciiTheme="minorHAnsi" w:hAnsiTheme="minorHAnsi" w:cstheme="minorHAnsi"/>
          <w:b/>
          <w:bCs/>
          <w:color w:val="auto"/>
        </w:rPr>
        <w:t>Standard</w:t>
      </w:r>
      <w:r w:rsidR="008B14BE" w:rsidRPr="00BB6F06">
        <w:rPr>
          <w:rFonts w:asciiTheme="minorHAnsi" w:hAnsiTheme="minorHAnsi" w:cstheme="minorHAnsi"/>
          <w:color w:val="auto"/>
        </w:rPr>
        <w:t xml:space="preserve">. Set the quality control injections to Quality Control. Leave the remaining injections as </w:t>
      </w:r>
      <w:r w:rsidR="008B14BE" w:rsidRPr="00BB6F06">
        <w:rPr>
          <w:rFonts w:asciiTheme="minorHAnsi" w:hAnsiTheme="minorHAnsi" w:cstheme="minorHAnsi"/>
          <w:b/>
          <w:bCs/>
          <w:color w:val="auto"/>
        </w:rPr>
        <w:t>Unknown</w:t>
      </w:r>
      <w:r w:rsidR="008B14BE" w:rsidRPr="00BB6F06">
        <w:rPr>
          <w:rFonts w:asciiTheme="minorHAnsi" w:hAnsiTheme="minorHAnsi" w:cstheme="minorHAnsi"/>
          <w:color w:val="auto"/>
        </w:rPr>
        <w:t xml:space="preserve">. </w:t>
      </w:r>
    </w:p>
    <w:p w14:paraId="2298ADF9" w14:textId="77777777" w:rsidR="007C5C2E" w:rsidRDefault="007C5C2E" w:rsidP="00B84D35">
      <w:pPr>
        <w:pStyle w:val="NormalWeb"/>
        <w:tabs>
          <w:tab w:val="left" w:pos="1369"/>
        </w:tabs>
        <w:spacing w:before="0" w:beforeAutospacing="0" w:after="0" w:afterAutospacing="0"/>
        <w:rPr>
          <w:rFonts w:asciiTheme="minorHAnsi" w:hAnsiTheme="minorHAnsi" w:cstheme="minorHAnsi"/>
          <w:color w:val="auto"/>
        </w:rPr>
      </w:pPr>
    </w:p>
    <w:p w14:paraId="726C50FD" w14:textId="1CDDCC71" w:rsidR="008240D3" w:rsidRPr="00BB6F06" w:rsidRDefault="008B14BE"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 xml:space="preserve">NOTE: </w:t>
      </w:r>
      <w:r w:rsidR="007C5C2E">
        <w:rPr>
          <w:rFonts w:asciiTheme="minorHAnsi" w:hAnsiTheme="minorHAnsi" w:cstheme="minorHAnsi"/>
          <w:color w:val="auto"/>
        </w:rPr>
        <w:t>T</w:t>
      </w:r>
      <w:r w:rsidR="007C5C2E" w:rsidRPr="00BB6F06">
        <w:rPr>
          <w:rFonts w:asciiTheme="minorHAnsi" w:hAnsiTheme="minorHAnsi" w:cstheme="minorHAnsi"/>
          <w:color w:val="auto"/>
        </w:rPr>
        <w:t xml:space="preserve">his </w:t>
      </w:r>
      <w:r w:rsidRPr="00BB6F06">
        <w:rPr>
          <w:rFonts w:asciiTheme="minorHAnsi" w:hAnsiTheme="minorHAnsi" w:cstheme="minorHAnsi"/>
          <w:color w:val="auto"/>
        </w:rPr>
        <w:t xml:space="preserve">will be set across all transitions. </w:t>
      </w:r>
    </w:p>
    <w:p w14:paraId="440D67B3" w14:textId="24A991B4" w:rsidR="008B14BE" w:rsidRPr="00BB6F06" w:rsidRDefault="008B14BE" w:rsidP="00BB6F06">
      <w:pPr>
        <w:pStyle w:val="NormalWeb"/>
        <w:tabs>
          <w:tab w:val="left" w:pos="1369"/>
        </w:tabs>
        <w:spacing w:before="0" w:beforeAutospacing="0" w:after="0" w:afterAutospacing="0"/>
        <w:rPr>
          <w:rFonts w:asciiTheme="minorHAnsi" w:hAnsiTheme="minorHAnsi" w:cstheme="minorHAnsi"/>
          <w:color w:val="auto"/>
        </w:rPr>
      </w:pPr>
    </w:p>
    <w:p w14:paraId="18476A34" w14:textId="7A2D81A4" w:rsidR="008B14BE" w:rsidRPr="00BB6F06" w:rsidRDefault="008B14BE"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rPr>
        <w:t>4.</w:t>
      </w:r>
      <w:r w:rsidR="00A4423F" w:rsidRPr="00BB6F06">
        <w:rPr>
          <w:rFonts w:asciiTheme="minorHAnsi" w:hAnsiTheme="minorHAnsi" w:cstheme="minorHAnsi"/>
          <w:color w:val="auto"/>
        </w:rPr>
        <w:t>4</w:t>
      </w:r>
      <w:r w:rsidRPr="00BB6F06">
        <w:rPr>
          <w:rFonts w:asciiTheme="minorHAnsi" w:hAnsiTheme="minorHAnsi" w:cstheme="minorHAnsi"/>
          <w:color w:val="auto"/>
        </w:rPr>
        <w:t xml:space="preserve"> In the </w:t>
      </w:r>
      <w:r w:rsidRPr="00BB6F06">
        <w:rPr>
          <w:rFonts w:asciiTheme="minorHAnsi" w:hAnsiTheme="minorHAnsi" w:cstheme="minorHAnsi"/>
          <w:b/>
          <w:bCs/>
          <w:color w:val="auto"/>
        </w:rPr>
        <w:t>Actual Concentration</w:t>
      </w:r>
      <w:r w:rsidRPr="00BB6F06">
        <w:rPr>
          <w:rFonts w:asciiTheme="minorHAnsi" w:hAnsiTheme="minorHAnsi" w:cstheme="minorHAnsi"/>
          <w:color w:val="auto"/>
        </w:rPr>
        <w:t xml:space="preserve"> column, type in the concentrations found in</w:t>
      </w:r>
      <w:r w:rsidR="00F17263" w:rsidRPr="00BB6F06">
        <w:rPr>
          <w:rFonts w:asciiTheme="minorHAnsi" w:hAnsiTheme="minorHAnsi" w:cstheme="minorHAnsi"/>
          <w:color w:val="auto"/>
        </w:rPr>
        <w:t xml:space="preserve"> </w:t>
      </w:r>
      <w:r w:rsidR="00F17263" w:rsidRPr="00BB6F06">
        <w:rPr>
          <w:rFonts w:asciiTheme="minorHAnsi" w:hAnsiTheme="minorHAnsi" w:cstheme="minorHAnsi"/>
          <w:b/>
          <w:bCs/>
          <w:color w:val="auto"/>
        </w:rPr>
        <w:t>Table 5</w:t>
      </w:r>
      <w:r w:rsidR="00EB560D" w:rsidRPr="00BB6F06">
        <w:rPr>
          <w:rFonts w:asciiTheme="minorHAnsi" w:hAnsiTheme="minorHAnsi" w:cstheme="minorHAnsi"/>
          <w:color w:val="auto"/>
        </w:rPr>
        <w:t xml:space="preserve"> for all calibration curve and quality control injections</w:t>
      </w:r>
      <w:r w:rsidRPr="00BB6F06">
        <w:rPr>
          <w:rFonts w:asciiTheme="minorHAnsi" w:hAnsiTheme="minorHAnsi" w:cstheme="minorHAnsi"/>
          <w:color w:val="auto"/>
        </w:rPr>
        <w:t xml:space="preserve">. </w:t>
      </w:r>
    </w:p>
    <w:p w14:paraId="5B67A208" w14:textId="058A073E" w:rsidR="00A4423F" w:rsidRPr="00BB6F06" w:rsidRDefault="00A4423F" w:rsidP="00BB6F06">
      <w:pPr>
        <w:pStyle w:val="NormalWeb"/>
        <w:tabs>
          <w:tab w:val="left" w:pos="1369"/>
        </w:tabs>
        <w:spacing w:before="0" w:beforeAutospacing="0" w:after="0" w:afterAutospacing="0"/>
        <w:rPr>
          <w:rFonts w:asciiTheme="minorHAnsi" w:hAnsiTheme="minorHAnsi" w:cstheme="minorHAnsi"/>
          <w:color w:val="auto"/>
        </w:rPr>
      </w:pPr>
    </w:p>
    <w:p w14:paraId="1B4492AB" w14:textId="40526587" w:rsidR="00A4423F" w:rsidRPr="00BB6F06" w:rsidRDefault="00A4423F"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 xml:space="preserve">4.5 Click the second from top left </w:t>
      </w:r>
      <w:r w:rsidRPr="00BB6F06">
        <w:rPr>
          <w:rFonts w:asciiTheme="minorHAnsi" w:hAnsiTheme="minorHAnsi" w:cstheme="minorHAnsi"/>
          <w:b/>
          <w:bCs/>
          <w:color w:val="auto"/>
          <w:highlight w:val="yellow"/>
        </w:rPr>
        <w:t>Displays the calibration curve</w:t>
      </w:r>
      <w:r w:rsidRPr="00BB6F06">
        <w:rPr>
          <w:rFonts w:asciiTheme="minorHAnsi" w:hAnsiTheme="minorHAnsi" w:cstheme="minorHAnsi"/>
          <w:color w:val="auto"/>
          <w:highlight w:val="yellow"/>
        </w:rPr>
        <w:t xml:space="preserve"> button. Click the </w:t>
      </w:r>
      <w:r w:rsidRPr="00BB6F06">
        <w:rPr>
          <w:rFonts w:asciiTheme="minorHAnsi" w:hAnsiTheme="minorHAnsi" w:cstheme="minorHAnsi"/>
          <w:b/>
          <w:bCs/>
          <w:color w:val="auto"/>
          <w:highlight w:val="yellow"/>
        </w:rPr>
        <w:t>Regression</w:t>
      </w:r>
      <w:r w:rsidRPr="00BB6F06">
        <w:rPr>
          <w:rFonts w:asciiTheme="minorHAnsi" w:hAnsiTheme="minorHAnsi" w:cstheme="minorHAnsi"/>
          <w:color w:val="auto"/>
          <w:highlight w:val="yellow"/>
        </w:rPr>
        <w:t xml:space="preserve"> button.</w:t>
      </w:r>
      <w:r w:rsidRPr="00BB6F06">
        <w:rPr>
          <w:rFonts w:asciiTheme="minorHAnsi" w:hAnsiTheme="minorHAnsi" w:cstheme="minorHAnsi"/>
          <w:color w:val="auto"/>
        </w:rPr>
        <w:t xml:space="preserve"> </w:t>
      </w:r>
    </w:p>
    <w:p w14:paraId="0C356521" w14:textId="364CF471" w:rsidR="00A4423F" w:rsidRPr="00BB6F06" w:rsidRDefault="00A4423F" w:rsidP="00BB6F06">
      <w:pPr>
        <w:pStyle w:val="NormalWeb"/>
        <w:tabs>
          <w:tab w:val="left" w:pos="1369"/>
        </w:tabs>
        <w:spacing w:before="0" w:beforeAutospacing="0" w:after="0" w:afterAutospacing="0"/>
        <w:rPr>
          <w:rFonts w:asciiTheme="minorHAnsi" w:hAnsiTheme="minorHAnsi" w:cstheme="minorHAnsi"/>
          <w:color w:val="auto"/>
        </w:rPr>
      </w:pPr>
    </w:p>
    <w:p w14:paraId="414A621A" w14:textId="2F06E51C" w:rsidR="00A4423F" w:rsidRPr="00BB6F06" w:rsidRDefault="00A4423F" w:rsidP="00BB6F06">
      <w:pPr>
        <w:pStyle w:val="NormalWeb"/>
        <w:tabs>
          <w:tab w:val="left" w:pos="1369"/>
        </w:tabs>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 xml:space="preserve">4.6 Set </w:t>
      </w:r>
      <w:r w:rsidRPr="00BB6F06">
        <w:rPr>
          <w:rFonts w:asciiTheme="minorHAnsi" w:hAnsiTheme="minorHAnsi" w:cstheme="minorHAnsi"/>
          <w:b/>
          <w:bCs/>
          <w:color w:val="auto"/>
          <w:highlight w:val="yellow"/>
        </w:rPr>
        <w:t>Weighting</w:t>
      </w:r>
      <w:r w:rsidRPr="00BB6F06">
        <w:rPr>
          <w:rFonts w:asciiTheme="minorHAnsi" w:hAnsiTheme="minorHAnsi" w:cstheme="minorHAnsi"/>
          <w:color w:val="auto"/>
          <w:highlight w:val="yellow"/>
        </w:rPr>
        <w:t xml:space="preserve"> </w:t>
      </w:r>
      <w:r w:rsidRPr="00BB6F06">
        <w:rPr>
          <w:rFonts w:asciiTheme="minorHAnsi" w:hAnsiTheme="minorHAnsi" w:cstheme="minorHAnsi"/>
          <w:b/>
          <w:bCs/>
          <w:color w:val="auto"/>
          <w:highlight w:val="yellow"/>
        </w:rPr>
        <w:t>Type</w:t>
      </w:r>
      <w:r w:rsidRPr="00BB6F06">
        <w:rPr>
          <w:rFonts w:asciiTheme="minorHAnsi" w:hAnsiTheme="minorHAnsi" w:cstheme="minorHAnsi"/>
          <w:color w:val="auto"/>
          <w:highlight w:val="yellow"/>
        </w:rPr>
        <w:t xml:space="preserve"> to </w:t>
      </w:r>
      <w:r w:rsidRPr="00BB6F06">
        <w:rPr>
          <w:rFonts w:asciiTheme="minorHAnsi" w:hAnsiTheme="minorHAnsi" w:cstheme="minorHAnsi"/>
          <w:b/>
          <w:bCs/>
          <w:color w:val="auto"/>
          <w:highlight w:val="yellow"/>
        </w:rPr>
        <w:t>1/x</w:t>
      </w:r>
      <w:r w:rsidRPr="00BB6F06">
        <w:rPr>
          <w:rFonts w:asciiTheme="minorHAnsi" w:hAnsiTheme="minorHAnsi" w:cstheme="minorHAnsi"/>
          <w:color w:val="auto"/>
          <w:highlight w:val="yellow"/>
        </w:rPr>
        <w:t xml:space="preserve"> and press </w:t>
      </w:r>
      <w:r w:rsidRPr="00BB6F06">
        <w:rPr>
          <w:rFonts w:asciiTheme="minorHAnsi" w:hAnsiTheme="minorHAnsi" w:cstheme="minorHAnsi"/>
          <w:b/>
          <w:bCs/>
          <w:color w:val="auto"/>
          <w:highlight w:val="yellow"/>
        </w:rPr>
        <w:t>OK</w:t>
      </w:r>
      <w:r w:rsidRPr="00BB6F06">
        <w:rPr>
          <w:rFonts w:asciiTheme="minorHAnsi" w:hAnsiTheme="minorHAnsi" w:cstheme="minorHAnsi"/>
          <w:color w:val="auto"/>
          <w:highlight w:val="yellow"/>
        </w:rPr>
        <w:t>.</w:t>
      </w:r>
    </w:p>
    <w:p w14:paraId="36903778" w14:textId="152EC999" w:rsidR="00A4423F" w:rsidRPr="00BB6F06" w:rsidRDefault="00A4423F" w:rsidP="00BB6F06">
      <w:pPr>
        <w:pStyle w:val="NormalWeb"/>
        <w:tabs>
          <w:tab w:val="left" w:pos="1369"/>
        </w:tabs>
        <w:spacing w:before="0" w:beforeAutospacing="0" w:after="0" w:afterAutospacing="0"/>
        <w:rPr>
          <w:rFonts w:asciiTheme="minorHAnsi" w:hAnsiTheme="minorHAnsi" w:cstheme="minorHAnsi"/>
          <w:color w:val="auto"/>
          <w:highlight w:val="yellow"/>
        </w:rPr>
      </w:pPr>
    </w:p>
    <w:p w14:paraId="3EF8B56B" w14:textId="12D21A97" w:rsidR="00A4423F" w:rsidRPr="00BB6F06" w:rsidRDefault="00A4423F" w:rsidP="00BB6F06">
      <w:pPr>
        <w:pStyle w:val="NormalWeb"/>
        <w:tabs>
          <w:tab w:val="left" w:pos="1369"/>
        </w:tabs>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 xml:space="preserve">4.7 Validate the calibration curve and quality control samples to assure that </w:t>
      </w:r>
      <w:r w:rsidR="0080517D" w:rsidRPr="00BB6F06">
        <w:rPr>
          <w:rFonts w:asciiTheme="minorHAnsi" w:hAnsiTheme="minorHAnsi" w:cstheme="minorHAnsi"/>
          <w:color w:val="auto"/>
          <w:highlight w:val="yellow"/>
        </w:rPr>
        <w:t xml:space="preserve">the </w:t>
      </w:r>
      <w:r w:rsidRPr="00BB6F06">
        <w:rPr>
          <w:rFonts w:asciiTheme="minorHAnsi" w:hAnsiTheme="minorHAnsi" w:cstheme="minorHAnsi"/>
          <w:color w:val="auto"/>
          <w:highlight w:val="yellow"/>
        </w:rPr>
        <w:t xml:space="preserve">batch ran </w:t>
      </w:r>
      <w:r w:rsidRPr="00BB6F06">
        <w:rPr>
          <w:rFonts w:asciiTheme="minorHAnsi" w:hAnsiTheme="minorHAnsi" w:cstheme="minorHAnsi"/>
          <w:color w:val="auto"/>
          <w:highlight w:val="yellow"/>
        </w:rPr>
        <w:lastRenderedPageBreak/>
        <w:t xml:space="preserve">successfully. </w:t>
      </w:r>
    </w:p>
    <w:p w14:paraId="5856EA5B" w14:textId="1260F88F" w:rsidR="00A4423F" w:rsidRPr="00BB6F06" w:rsidRDefault="00A4423F" w:rsidP="00BB6F06">
      <w:pPr>
        <w:pStyle w:val="NormalWeb"/>
        <w:tabs>
          <w:tab w:val="left" w:pos="1369"/>
        </w:tabs>
        <w:spacing w:before="0" w:beforeAutospacing="0" w:after="0" w:afterAutospacing="0"/>
        <w:rPr>
          <w:rFonts w:asciiTheme="minorHAnsi" w:hAnsiTheme="minorHAnsi" w:cstheme="minorHAnsi"/>
          <w:color w:val="auto"/>
          <w:highlight w:val="yellow"/>
        </w:rPr>
      </w:pPr>
    </w:p>
    <w:p w14:paraId="5F3620B3" w14:textId="0D5978B4" w:rsidR="00A4423F" w:rsidRPr="00BB6F06" w:rsidRDefault="00A4423F" w:rsidP="00BB6F06">
      <w:pPr>
        <w:pStyle w:val="NormalWeb"/>
        <w:tabs>
          <w:tab w:val="left" w:pos="1369"/>
        </w:tabs>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 xml:space="preserve">4.7.1 For each quantifier reference transition (not internal standard transitions), look at each calibration curve injection accuracy (in the </w:t>
      </w:r>
      <w:r w:rsidRPr="00BB6F06">
        <w:rPr>
          <w:rFonts w:asciiTheme="minorHAnsi" w:hAnsiTheme="minorHAnsi" w:cstheme="minorHAnsi"/>
          <w:b/>
          <w:bCs/>
          <w:color w:val="auto"/>
          <w:highlight w:val="yellow"/>
        </w:rPr>
        <w:t>Accuracy</w:t>
      </w:r>
      <w:r w:rsidRPr="00BB6F06">
        <w:rPr>
          <w:rFonts w:asciiTheme="minorHAnsi" w:hAnsiTheme="minorHAnsi" w:cstheme="minorHAnsi"/>
          <w:color w:val="auto"/>
          <w:highlight w:val="yellow"/>
        </w:rPr>
        <w:t xml:space="preserve"> column). At least two-thirds of the calibration points must have an accuracy within 80-120%. </w:t>
      </w:r>
    </w:p>
    <w:p w14:paraId="11656084" w14:textId="1AF33658" w:rsidR="00A4423F" w:rsidRPr="00BB6F06" w:rsidRDefault="00A4423F" w:rsidP="00BB6F06">
      <w:pPr>
        <w:pStyle w:val="NormalWeb"/>
        <w:tabs>
          <w:tab w:val="left" w:pos="1369"/>
        </w:tabs>
        <w:spacing w:before="0" w:beforeAutospacing="0" w:after="0" w:afterAutospacing="0"/>
        <w:rPr>
          <w:rFonts w:asciiTheme="minorHAnsi" w:hAnsiTheme="minorHAnsi" w:cstheme="minorHAnsi"/>
          <w:color w:val="auto"/>
          <w:highlight w:val="yellow"/>
        </w:rPr>
      </w:pPr>
    </w:p>
    <w:p w14:paraId="303FE58C" w14:textId="5EB3775D" w:rsidR="00A4423F" w:rsidRPr="00BB6F06" w:rsidRDefault="00A4423F"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 xml:space="preserve">4.7.2 For calibration points far outside of the expected accuracy, the injection may be an outlier. </w:t>
      </w:r>
      <w:r w:rsidR="007C5C2E">
        <w:rPr>
          <w:rFonts w:asciiTheme="minorHAnsi" w:hAnsiTheme="minorHAnsi" w:cstheme="minorHAnsi"/>
          <w:color w:val="auto"/>
          <w:highlight w:val="yellow"/>
        </w:rPr>
        <w:t>Exclude o</w:t>
      </w:r>
      <w:r w:rsidRPr="00BB6F06">
        <w:rPr>
          <w:rFonts w:asciiTheme="minorHAnsi" w:hAnsiTheme="minorHAnsi" w:cstheme="minorHAnsi"/>
          <w:color w:val="auto"/>
          <w:highlight w:val="yellow"/>
        </w:rPr>
        <w:t xml:space="preserve">utliers if their </w:t>
      </w:r>
      <w:r w:rsidR="00E17D84" w:rsidRPr="00BB6F06">
        <w:rPr>
          <w:rFonts w:asciiTheme="minorHAnsi" w:hAnsiTheme="minorHAnsi" w:cstheme="minorHAnsi"/>
          <w:color w:val="auto"/>
          <w:highlight w:val="yellow"/>
        </w:rPr>
        <w:t>calculated concentration</w:t>
      </w:r>
      <w:r w:rsidRPr="00BB6F06">
        <w:rPr>
          <w:rFonts w:asciiTheme="minorHAnsi" w:hAnsiTheme="minorHAnsi" w:cstheme="minorHAnsi"/>
          <w:color w:val="auto"/>
          <w:highlight w:val="yellow"/>
        </w:rPr>
        <w:t xml:space="preserve"> is more than two standard deviations away from the other two injections of that vial.</w:t>
      </w:r>
      <w:r w:rsidR="00610E25">
        <w:rPr>
          <w:rFonts w:asciiTheme="minorHAnsi" w:hAnsiTheme="minorHAnsi" w:cstheme="minorHAnsi"/>
          <w:color w:val="auto"/>
          <w:highlight w:val="yellow"/>
        </w:rPr>
        <w:t xml:space="preserve"> </w:t>
      </w:r>
      <w:r w:rsidR="007C5C2E">
        <w:rPr>
          <w:rFonts w:asciiTheme="minorHAnsi" w:hAnsiTheme="minorHAnsi" w:cstheme="minorHAnsi"/>
          <w:color w:val="auto"/>
          <w:highlight w:val="yellow"/>
        </w:rPr>
        <w:t>C</w:t>
      </w:r>
      <w:r w:rsidR="005B5A7D" w:rsidRPr="00BB6F06">
        <w:rPr>
          <w:rFonts w:asciiTheme="minorHAnsi" w:hAnsiTheme="minorHAnsi" w:cstheme="minorHAnsi"/>
          <w:color w:val="auto"/>
          <w:highlight w:val="yellow"/>
        </w:rPr>
        <w:t>licking the “</w:t>
      </w:r>
      <w:r w:rsidR="00E90CCE" w:rsidRPr="00BB6F06">
        <w:rPr>
          <w:rFonts w:asciiTheme="minorHAnsi" w:hAnsiTheme="minorHAnsi" w:cstheme="minorHAnsi"/>
          <w:b/>
          <w:bCs/>
          <w:color w:val="auto"/>
          <w:highlight w:val="yellow"/>
        </w:rPr>
        <w:t>et peak to ‘not found</w:t>
      </w:r>
      <w:r w:rsidR="005B5A7D" w:rsidRPr="00BB6F06">
        <w:rPr>
          <w:rFonts w:asciiTheme="minorHAnsi" w:hAnsiTheme="minorHAnsi" w:cstheme="minorHAnsi"/>
          <w:color w:val="auto"/>
          <w:highlight w:val="yellow"/>
        </w:rPr>
        <w:t xml:space="preserve"> button above each chromatogram.</w:t>
      </w:r>
    </w:p>
    <w:p w14:paraId="5281E6C7" w14:textId="378A6FCE" w:rsidR="00912EC8" w:rsidRPr="00BB6F06" w:rsidRDefault="00912EC8" w:rsidP="00BB6F06">
      <w:pPr>
        <w:pStyle w:val="NormalWeb"/>
        <w:tabs>
          <w:tab w:val="left" w:pos="1369"/>
        </w:tabs>
        <w:spacing w:before="0" w:beforeAutospacing="0" w:after="0" w:afterAutospacing="0"/>
        <w:rPr>
          <w:rFonts w:asciiTheme="minorHAnsi" w:hAnsiTheme="minorHAnsi" w:cstheme="minorHAnsi"/>
          <w:color w:val="auto"/>
        </w:rPr>
      </w:pPr>
    </w:p>
    <w:p w14:paraId="54EFF4C0" w14:textId="2B678C56" w:rsidR="00A4423F" w:rsidRPr="00BB6F06" w:rsidRDefault="00A4423F" w:rsidP="00BB6F06">
      <w:pPr>
        <w:pStyle w:val="NormalWeb"/>
        <w:tabs>
          <w:tab w:val="left" w:pos="1369"/>
        </w:tabs>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4.7.3 Check that the R</w:t>
      </w:r>
      <w:r w:rsidR="005B5A7D" w:rsidRPr="00BB6F06">
        <w:rPr>
          <w:rFonts w:asciiTheme="minorHAnsi" w:hAnsiTheme="minorHAnsi" w:cstheme="minorHAnsi"/>
          <w:color w:val="auto"/>
          <w:highlight w:val="yellow"/>
        </w:rPr>
        <w:t>-</w:t>
      </w:r>
      <w:r w:rsidRPr="00BB6F06">
        <w:rPr>
          <w:rFonts w:asciiTheme="minorHAnsi" w:hAnsiTheme="minorHAnsi" w:cstheme="minorHAnsi"/>
          <w:color w:val="auto"/>
          <w:highlight w:val="yellow"/>
        </w:rPr>
        <w:t>value displayed above the calibration curve is &gt;0.975</w:t>
      </w:r>
      <w:r w:rsidR="0080517D" w:rsidRPr="00BB6F06">
        <w:rPr>
          <w:rFonts w:asciiTheme="minorHAnsi" w:hAnsiTheme="minorHAnsi" w:cstheme="minorHAnsi"/>
          <w:color w:val="auto"/>
          <w:highlight w:val="yellow"/>
        </w:rPr>
        <w:t>.</w:t>
      </w:r>
    </w:p>
    <w:p w14:paraId="0C673537" w14:textId="70C755FC" w:rsidR="00A4423F" w:rsidRPr="00BB6F06" w:rsidRDefault="00A4423F" w:rsidP="00BB6F06">
      <w:pPr>
        <w:pStyle w:val="NormalWeb"/>
        <w:tabs>
          <w:tab w:val="left" w:pos="1369"/>
        </w:tabs>
        <w:spacing w:before="0" w:beforeAutospacing="0" w:after="0" w:afterAutospacing="0"/>
        <w:rPr>
          <w:rFonts w:asciiTheme="minorHAnsi" w:hAnsiTheme="minorHAnsi" w:cstheme="minorHAnsi"/>
          <w:color w:val="auto"/>
          <w:highlight w:val="yellow"/>
        </w:rPr>
      </w:pPr>
    </w:p>
    <w:p w14:paraId="2A3AA307" w14:textId="1DF72475" w:rsidR="00A4423F" w:rsidRPr="00BB6F06" w:rsidRDefault="00A4423F" w:rsidP="00BB6F06">
      <w:pPr>
        <w:pStyle w:val="NormalWeb"/>
        <w:tabs>
          <w:tab w:val="left" w:pos="1369"/>
        </w:tabs>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 xml:space="preserve">4.7.4 </w:t>
      </w:r>
      <w:r w:rsidR="005B5A7D" w:rsidRPr="00BB6F06">
        <w:rPr>
          <w:rFonts w:asciiTheme="minorHAnsi" w:hAnsiTheme="minorHAnsi" w:cstheme="minorHAnsi"/>
          <w:color w:val="auto"/>
          <w:highlight w:val="yellow"/>
        </w:rPr>
        <w:t>Check that all quality control injections have an accuracy within 80-120%</w:t>
      </w:r>
      <w:r w:rsidR="0080517D" w:rsidRPr="00BB6F06">
        <w:rPr>
          <w:rFonts w:asciiTheme="minorHAnsi" w:hAnsiTheme="minorHAnsi" w:cstheme="minorHAnsi"/>
          <w:color w:val="auto"/>
          <w:highlight w:val="yellow"/>
        </w:rPr>
        <w:t>.</w:t>
      </w:r>
    </w:p>
    <w:p w14:paraId="51C790AC" w14:textId="335DBCEB" w:rsidR="005B5A7D" w:rsidRPr="00BB6F06" w:rsidRDefault="005B5A7D" w:rsidP="00BB6F06">
      <w:pPr>
        <w:pStyle w:val="NormalWeb"/>
        <w:tabs>
          <w:tab w:val="left" w:pos="1369"/>
        </w:tabs>
        <w:spacing w:before="0" w:beforeAutospacing="0" w:after="0" w:afterAutospacing="0"/>
        <w:rPr>
          <w:rFonts w:asciiTheme="minorHAnsi" w:hAnsiTheme="minorHAnsi" w:cstheme="minorHAnsi"/>
          <w:color w:val="auto"/>
          <w:highlight w:val="yellow"/>
        </w:rPr>
      </w:pPr>
    </w:p>
    <w:p w14:paraId="2E2545D5" w14:textId="2007EE4E" w:rsidR="005B5A7D" w:rsidRPr="00BB6F06" w:rsidRDefault="005B5A7D" w:rsidP="00BB6F06">
      <w:pPr>
        <w:pStyle w:val="NormalWeb"/>
        <w:tabs>
          <w:tab w:val="left" w:pos="1369"/>
        </w:tabs>
        <w:spacing w:before="0" w:beforeAutospacing="0" w:after="0" w:afterAutospacing="0"/>
        <w:rPr>
          <w:rFonts w:asciiTheme="minorHAnsi" w:hAnsiTheme="minorHAnsi" w:cstheme="minorHAnsi"/>
          <w:color w:val="auto"/>
          <w:highlight w:val="yellow"/>
        </w:rPr>
      </w:pPr>
      <w:r w:rsidRPr="00BB6F06">
        <w:rPr>
          <w:rFonts w:asciiTheme="minorHAnsi" w:hAnsiTheme="minorHAnsi" w:cstheme="minorHAnsi"/>
          <w:color w:val="auto"/>
          <w:highlight w:val="yellow"/>
        </w:rPr>
        <w:t xml:space="preserve">4.8 If all above conditions are satisfied, the batch has passed, and samples can be quantified. Click </w:t>
      </w:r>
      <w:r w:rsidRPr="00BB6F06">
        <w:rPr>
          <w:rFonts w:asciiTheme="minorHAnsi" w:hAnsiTheme="minorHAnsi" w:cstheme="minorHAnsi"/>
          <w:b/>
          <w:bCs/>
          <w:color w:val="auto"/>
          <w:highlight w:val="yellow"/>
        </w:rPr>
        <w:t>Edit</w:t>
      </w:r>
      <w:r w:rsidRPr="00BB6F06">
        <w:rPr>
          <w:rFonts w:asciiTheme="minorHAnsi" w:hAnsiTheme="minorHAnsi" w:cstheme="minorHAnsi"/>
          <w:color w:val="auto"/>
          <w:highlight w:val="yellow"/>
        </w:rPr>
        <w:t xml:space="preserve"> in the toolbar, then click </w:t>
      </w:r>
      <w:r w:rsidRPr="00BB6F06">
        <w:rPr>
          <w:rFonts w:asciiTheme="minorHAnsi" w:hAnsiTheme="minorHAnsi" w:cstheme="minorHAnsi"/>
          <w:b/>
          <w:bCs/>
          <w:color w:val="auto"/>
          <w:highlight w:val="yellow"/>
        </w:rPr>
        <w:t>Copy entire table</w:t>
      </w:r>
      <w:r w:rsidRPr="00BB6F06">
        <w:rPr>
          <w:rFonts w:asciiTheme="minorHAnsi" w:hAnsiTheme="minorHAnsi" w:cstheme="minorHAnsi"/>
          <w:color w:val="auto"/>
          <w:highlight w:val="yellow"/>
        </w:rPr>
        <w:t xml:space="preserve">. Paste the table in a spreadsheet. </w:t>
      </w:r>
    </w:p>
    <w:p w14:paraId="60754F71" w14:textId="38B74D77" w:rsidR="005B5A7D" w:rsidRPr="00BB6F06" w:rsidRDefault="005B5A7D" w:rsidP="00BB6F06">
      <w:pPr>
        <w:pStyle w:val="NormalWeb"/>
        <w:tabs>
          <w:tab w:val="left" w:pos="1369"/>
        </w:tabs>
        <w:spacing w:before="0" w:beforeAutospacing="0" w:after="0" w:afterAutospacing="0"/>
        <w:rPr>
          <w:rFonts w:asciiTheme="minorHAnsi" w:hAnsiTheme="minorHAnsi" w:cstheme="minorHAnsi"/>
          <w:color w:val="auto"/>
          <w:highlight w:val="yellow"/>
        </w:rPr>
      </w:pPr>
    </w:p>
    <w:p w14:paraId="6B239EB3" w14:textId="2FB14D83" w:rsidR="005B5A7D" w:rsidRPr="00BB6F06" w:rsidRDefault="005B5A7D" w:rsidP="00BB6F06">
      <w:pPr>
        <w:pStyle w:val="NormalWeb"/>
        <w:tabs>
          <w:tab w:val="left" w:pos="1369"/>
        </w:tabs>
        <w:spacing w:before="0" w:beforeAutospacing="0" w:after="0" w:afterAutospacing="0"/>
        <w:rPr>
          <w:rFonts w:asciiTheme="minorHAnsi" w:hAnsiTheme="minorHAnsi" w:cstheme="minorHAnsi"/>
          <w:color w:val="auto"/>
        </w:rPr>
      </w:pPr>
      <w:r w:rsidRPr="00BB6F06">
        <w:rPr>
          <w:rFonts w:asciiTheme="minorHAnsi" w:hAnsiTheme="minorHAnsi" w:cstheme="minorHAnsi"/>
          <w:color w:val="auto"/>
          <w:highlight w:val="yellow"/>
        </w:rPr>
        <w:t>4.9 Take the average of the</w:t>
      </w:r>
      <w:r w:rsidR="00BE3113" w:rsidRPr="00BB6F06">
        <w:rPr>
          <w:rFonts w:asciiTheme="minorHAnsi" w:hAnsiTheme="minorHAnsi" w:cstheme="minorHAnsi"/>
          <w:color w:val="auto"/>
          <w:highlight w:val="yellow"/>
        </w:rPr>
        <w:t xml:space="preserve"> calculated concentration of the</w:t>
      </w:r>
      <w:r w:rsidRPr="00BB6F06">
        <w:rPr>
          <w:rFonts w:asciiTheme="minorHAnsi" w:hAnsiTheme="minorHAnsi" w:cstheme="minorHAnsi"/>
          <w:color w:val="auto"/>
          <w:highlight w:val="yellow"/>
        </w:rPr>
        <w:t xml:space="preserve"> two sample injections to determine the reported concentration of each sample.</w:t>
      </w:r>
      <w:r w:rsidRPr="00BB6F06">
        <w:rPr>
          <w:rFonts w:asciiTheme="minorHAnsi" w:hAnsiTheme="minorHAnsi" w:cstheme="minorHAnsi"/>
          <w:color w:val="auto"/>
        </w:rPr>
        <w:t xml:space="preserve"> </w:t>
      </w:r>
    </w:p>
    <w:p w14:paraId="76CADE6A" w14:textId="77777777" w:rsidR="00DA066D" w:rsidRPr="00BB6F06" w:rsidRDefault="00DA066D" w:rsidP="00BB6F06">
      <w:pPr>
        <w:pStyle w:val="NormalWeb"/>
        <w:spacing w:before="0" w:beforeAutospacing="0" w:after="0" w:afterAutospacing="0"/>
        <w:rPr>
          <w:rFonts w:asciiTheme="minorHAnsi" w:hAnsiTheme="minorHAnsi" w:cstheme="minorHAnsi"/>
          <w:b/>
        </w:rPr>
      </w:pPr>
    </w:p>
    <w:p w14:paraId="0C3C1EF2" w14:textId="6B4DDF81" w:rsidR="00C55A59" w:rsidRPr="00BB6F06" w:rsidRDefault="006305D7" w:rsidP="00BB6F06">
      <w:pPr>
        <w:pStyle w:val="NormalWeb"/>
        <w:spacing w:before="0" w:beforeAutospacing="0" w:after="0" w:afterAutospacing="0"/>
        <w:rPr>
          <w:rFonts w:asciiTheme="minorHAnsi" w:hAnsiTheme="minorHAnsi" w:cstheme="minorHAnsi"/>
        </w:rPr>
      </w:pPr>
      <w:r w:rsidRPr="00BB6F06">
        <w:rPr>
          <w:rFonts w:asciiTheme="minorHAnsi" w:hAnsiTheme="minorHAnsi" w:cstheme="minorHAnsi"/>
          <w:b/>
        </w:rPr>
        <w:t>REPRESENTATIVE RESULTS</w:t>
      </w:r>
      <w:r w:rsidR="00EF1462" w:rsidRPr="00BB6F06">
        <w:rPr>
          <w:rFonts w:asciiTheme="minorHAnsi" w:hAnsiTheme="minorHAnsi" w:cstheme="minorHAnsi"/>
          <w:b/>
        </w:rPr>
        <w:t xml:space="preserve">: </w:t>
      </w:r>
    </w:p>
    <w:p w14:paraId="63B9B417" w14:textId="7486ECC2" w:rsidR="005A06B3" w:rsidRPr="00BB6F06" w:rsidRDefault="002E39E7" w:rsidP="00BB6F06">
      <w:pPr>
        <w:rPr>
          <w:rFonts w:asciiTheme="minorHAnsi" w:hAnsiTheme="minorHAnsi" w:cstheme="minorHAnsi"/>
          <w:color w:val="auto"/>
        </w:rPr>
      </w:pPr>
      <w:r w:rsidRPr="00BB6F06">
        <w:rPr>
          <w:rFonts w:asciiTheme="minorHAnsi" w:hAnsiTheme="minorHAnsi" w:cstheme="minorHAnsi"/>
          <w:color w:val="auto"/>
        </w:rPr>
        <w:t xml:space="preserve">An </w:t>
      </w:r>
      <w:r w:rsidR="006909E9" w:rsidRPr="00BB6F06">
        <w:rPr>
          <w:rFonts w:asciiTheme="minorHAnsi" w:hAnsiTheme="minorHAnsi" w:cstheme="minorHAnsi"/>
          <w:color w:val="auto"/>
        </w:rPr>
        <w:t xml:space="preserve">illustration of a </w:t>
      </w:r>
      <w:r w:rsidRPr="00BB6F06">
        <w:rPr>
          <w:rFonts w:asciiTheme="minorHAnsi" w:hAnsiTheme="minorHAnsi" w:cstheme="minorHAnsi"/>
          <w:color w:val="auto"/>
        </w:rPr>
        <w:t xml:space="preserve">chromatogram with confirmed levels of all 11 </w:t>
      </w:r>
      <w:r w:rsidR="007E572F" w:rsidRPr="00BB6F06">
        <w:rPr>
          <w:rFonts w:asciiTheme="minorHAnsi" w:hAnsiTheme="minorHAnsi" w:cstheme="minorHAnsi"/>
          <w:color w:val="auto"/>
        </w:rPr>
        <w:t xml:space="preserve">DR-TB </w:t>
      </w:r>
      <w:r w:rsidRPr="00BB6F06">
        <w:rPr>
          <w:rFonts w:asciiTheme="minorHAnsi" w:hAnsiTheme="minorHAnsi" w:cstheme="minorHAnsi"/>
          <w:color w:val="auto"/>
        </w:rPr>
        <w:t xml:space="preserve">drugs is shown in </w:t>
      </w:r>
      <w:r w:rsidRPr="00BB6F06">
        <w:rPr>
          <w:rFonts w:asciiTheme="minorHAnsi" w:hAnsiTheme="minorHAnsi" w:cstheme="minorHAnsi"/>
          <w:b/>
          <w:bCs/>
          <w:color w:val="auto"/>
        </w:rPr>
        <w:t>Figure 1</w:t>
      </w:r>
      <w:r w:rsidRPr="00BB6F06">
        <w:rPr>
          <w:rFonts w:asciiTheme="minorHAnsi" w:hAnsiTheme="minorHAnsi" w:cstheme="minorHAnsi"/>
          <w:color w:val="auto"/>
        </w:rPr>
        <w:t xml:space="preserve">. </w:t>
      </w:r>
      <w:r w:rsidR="00C55A59" w:rsidRPr="00BB6F06">
        <w:rPr>
          <w:rFonts w:asciiTheme="minorHAnsi" w:hAnsiTheme="minorHAnsi" w:cstheme="minorHAnsi"/>
          <w:color w:val="auto"/>
        </w:rPr>
        <w:t>The r</w:t>
      </w:r>
      <w:r w:rsidRPr="00BB6F06">
        <w:rPr>
          <w:rFonts w:asciiTheme="minorHAnsi" w:hAnsiTheme="minorHAnsi" w:cstheme="minorHAnsi"/>
          <w:color w:val="auto"/>
        </w:rPr>
        <w:t xml:space="preserve">etention time for each analyte can change when using different instruments and columns, so </w:t>
      </w:r>
      <w:r w:rsidR="00C55A59" w:rsidRPr="00BB6F06">
        <w:rPr>
          <w:rFonts w:asciiTheme="minorHAnsi" w:hAnsiTheme="minorHAnsi" w:cstheme="minorHAnsi"/>
          <w:color w:val="auto"/>
        </w:rPr>
        <w:t xml:space="preserve">the </w:t>
      </w:r>
      <w:r w:rsidRPr="00BB6F06">
        <w:rPr>
          <w:rFonts w:asciiTheme="minorHAnsi" w:hAnsiTheme="minorHAnsi" w:cstheme="minorHAnsi"/>
          <w:color w:val="auto"/>
        </w:rPr>
        <w:t xml:space="preserve">exact retention time should be determined individually. </w:t>
      </w:r>
    </w:p>
    <w:p w14:paraId="28B7A792" w14:textId="77777777" w:rsidR="003850E8" w:rsidRPr="00BB6F06" w:rsidRDefault="003850E8" w:rsidP="00BB6F06">
      <w:pPr>
        <w:rPr>
          <w:rFonts w:asciiTheme="minorHAnsi" w:hAnsiTheme="minorHAnsi" w:cstheme="minorHAnsi"/>
          <w:color w:val="auto"/>
        </w:rPr>
      </w:pPr>
    </w:p>
    <w:p w14:paraId="09C000DB" w14:textId="677F388E" w:rsidR="003850E8" w:rsidRPr="00BB6F06" w:rsidRDefault="003850E8" w:rsidP="00BB6F06">
      <w:pPr>
        <w:rPr>
          <w:rFonts w:asciiTheme="minorHAnsi" w:hAnsiTheme="minorHAnsi" w:cstheme="minorHAnsi"/>
          <w:color w:val="auto"/>
        </w:rPr>
      </w:pPr>
      <w:r w:rsidRPr="00BB6F06">
        <w:rPr>
          <w:rFonts w:asciiTheme="minorHAnsi" w:hAnsiTheme="minorHAnsi" w:cstheme="minorHAnsi"/>
          <w:color w:val="auto"/>
        </w:rPr>
        <w:t xml:space="preserve">The Extracted Ion Chromatograms (EICs) for one </w:t>
      </w:r>
      <w:proofErr w:type="gramStart"/>
      <w:r w:rsidRPr="00BB6F06">
        <w:rPr>
          <w:rFonts w:asciiTheme="minorHAnsi" w:hAnsiTheme="minorHAnsi" w:cstheme="minorHAnsi"/>
          <w:color w:val="auto"/>
        </w:rPr>
        <w:t>particular drug</w:t>
      </w:r>
      <w:proofErr w:type="gramEnd"/>
      <w:r w:rsidRPr="00BB6F06">
        <w:rPr>
          <w:rFonts w:asciiTheme="minorHAnsi" w:hAnsiTheme="minorHAnsi" w:cstheme="minorHAnsi"/>
          <w:color w:val="auto"/>
        </w:rPr>
        <w:t xml:space="preserve"> (isoniazid, INH) in one of the calibrators (blank hair sample spiked with DR-TB drug reference standards) are shown in </w:t>
      </w:r>
      <w:r w:rsidRPr="00BB6F06">
        <w:rPr>
          <w:rFonts w:asciiTheme="minorHAnsi" w:hAnsiTheme="minorHAnsi" w:cstheme="minorHAnsi"/>
          <w:b/>
          <w:bCs/>
          <w:color w:val="auto"/>
        </w:rPr>
        <w:t>Figure 2</w:t>
      </w:r>
      <w:r w:rsidRPr="00BB6F06">
        <w:rPr>
          <w:rFonts w:asciiTheme="minorHAnsi" w:hAnsiTheme="minorHAnsi" w:cstheme="minorHAnsi"/>
          <w:color w:val="auto"/>
        </w:rPr>
        <w:t>. The quantifier and qualifier transitions are used to qualitatively confirm the presence of the drug, as the ratio between area of quantifier and area of qualifier remains constant across samples. The internal standard is also monitored to ensure that each sample injection is normalized.</w:t>
      </w:r>
    </w:p>
    <w:p w14:paraId="7A4B076E" w14:textId="7069A82A" w:rsidR="00A55C57" w:rsidRPr="00BB6F06" w:rsidRDefault="00A55C57" w:rsidP="00BB6F06">
      <w:pPr>
        <w:rPr>
          <w:rFonts w:asciiTheme="minorHAnsi" w:hAnsiTheme="minorHAnsi" w:cstheme="minorHAnsi"/>
          <w:color w:val="auto"/>
        </w:rPr>
      </w:pPr>
    </w:p>
    <w:p w14:paraId="206558C8" w14:textId="392F9F1F" w:rsidR="00A55C57" w:rsidRPr="00BB6F06" w:rsidRDefault="00F65EE1" w:rsidP="00BB6F06">
      <w:pPr>
        <w:rPr>
          <w:rFonts w:asciiTheme="minorHAnsi" w:hAnsiTheme="minorHAnsi" w:cstheme="minorHAnsi"/>
          <w:color w:val="auto"/>
        </w:rPr>
      </w:pPr>
      <w:r w:rsidRPr="00BB6F06">
        <w:rPr>
          <w:rFonts w:asciiTheme="minorHAnsi" w:hAnsiTheme="minorHAnsi" w:cstheme="minorHAnsi"/>
        </w:rPr>
        <w:t>For purposes of demonstration, w</w:t>
      </w:r>
      <w:r w:rsidR="00A55C57" w:rsidRPr="00BB6F06">
        <w:rPr>
          <w:rFonts w:asciiTheme="minorHAnsi" w:hAnsiTheme="minorHAnsi" w:cstheme="minorHAnsi"/>
        </w:rPr>
        <w:t>e</w:t>
      </w:r>
      <w:r w:rsidR="00193544" w:rsidRPr="00BB6F06">
        <w:rPr>
          <w:rFonts w:asciiTheme="minorHAnsi" w:hAnsiTheme="minorHAnsi" w:cstheme="minorHAnsi"/>
        </w:rPr>
        <w:t xml:space="preserve"> analyzed </w:t>
      </w:r>
      <w:r w:rsidRPr="00BB6F06">
        <w:rPr>
          <w:rFonts w:asciiTheme="minorHAnsi" w:hAnsiTheme="minorHAnsi" w:cstheme="minorHAnsi"/>
        </w:rPr>
        <w:t xml:space="preserve">a convenience sample of </w:t>
      </w:r>
      <w:r w:rsidR="00193544" w:rsidRPr="00BB6F06">
        <w:rPr>
          <w:rFonts w:asciiTheme="minorHAnsi" w:hAnsiTheme="minorHAnsi" w:cstheme="minorHAnsi"/>
        </w:rPr>
        <w:t xml:space="preserve">15 hair samples </w:t>
      </w:r>
      <w:r w:rsidRPr="00BB6F06">
        <w:rPr>
          <w:rFonts w:asciiTheme="minorHAnsi" w:hAnsiTheme="minorHAnsi" w:cstheme="minorHAnsi"/>
        </w:rPr>
        <w:t>among a total study population of</w:t>
      </w:r>
      <w:r w:rsidR="0080517D" w:rsidRPr="00BB6F06">
        <w:rPr>
          <w:rFonts w:asciiTheme="minorHAnsi" w:hAnsiTheme="minorHAnsi" w:cstheme="minorHAnsi"/>
        </w:rPr>
        <w:t xml:space="preserve"> </w:t>
      </w:r>
      <w:r w:rsidR="00193544" w:rsidRPr="00BB6F06">
        <w:rPr>
          <w:rFonts w:asciiTheme="minorHAnsi" w:hAnsiTheme="minorHAnsi" w:cstheme="minorHAnsi"/>
        </w:rPr>
        <w:t xml:space="preserve">96 </w:t>
      </w:r>
      <w:r w:rsidR="00A55C57" w:rsidRPr="00BB6F06">
        <w:rPr>
          <w:rFonts w:asciiTheme="minorHAnsi" w:hAnsiTheme="minorHAnsi" w:cstheme="minorHAnsi"/>
        </w:rPr>
        <w:t xml:space="preserve">patients taking DR-TB drugs under </w:t>
      </w:r>
      <w:r w:rsidR="000769EB" w:rsidRPr="00BB6F06">
        <w:rPr>
          <w:rFonts w:asciiTheme="minorHAnsi" w:hAnsiTheme="minorHAnsi" w:cstheme="minorHAnsi"/>
        </w:rPr>
        <w:t>DOT</w:t>
      </w:r>
      <w:r w:rsidR="00A55C57" w:rsidRPr="00BB6F06">
        <w:rPr>
          <w:rFonts w:asciiTheme="minorHAnsi" w:hAnsiTheme="minorHAnsi" w:cstheme="minorHAnsi"/>
        </w:rPr>
        <w:t xml:space="preserve"> conditions from Western Cape, South Africa. </w:t>
      </w:r>
      <w:r w:rsidR="00A55C57" w:rsidRPr="00BB6F06">
        <w:rPr>
          <w:rFonts w:asciiTheme="minorHAnsi" w:hAnsiTheme="minorHAnsi" w:cstheme="minorHAnsi"/>
          <w:b/>
          <w:bCs/>
        </w:rPr>
        <w:t>Table 6</w:t>
      </w:r>
      <w:r w:rsidR="00A55C57" w:rsidRPr="00BB6F06">
        <w:rPr>
          <w:rFonts w:asciiTheme="minorHAnsi" w:hAnsiTheme="minorHAnsi" w:cstheme="minorHAnsi"/>
        </w:rPr>
        <w:t xml:space="preserve"> presents representative levels of DR-TB drugs </w:t>
      </w:r>
      <w:r w:rsidR="003914B7" w:rsidRPr="00BB6F06">
        <w:rPr>
          <w:rFonts w:asciiTheme="minorHAnsi" w:hAnsiTheme="minorHAnsi" w:cstheme="minorHAnsi"/>
        </w:rPr>
        <w:t>across</w:t>
      </w:r>
      <w:r w:rsidR="00A55C57" w:rsidRPr="00BB6F06">
        <w:rPr>
          <w:rFonts w:asciiTheme="minorHAnsi" w:hAnsiTheme="minorHAnsi" w:cstheme="minorHAnsi"/>
        </w:rPr>
        <w:t xml:space="preserve"> the lowest and highest levels measured for each analyte. Although data for 15 patient samples are presented, each analyte did not have 15 levels reported because each patient is on a different combination of DR-TB medications. None of the patients were on </w:t>
      </w:r>
      <w:proofErr w:type="spellStart"/>
      <w:r w:rsidR="00A55C57" w:rsidRPr="00BB6F06">
        <w:rPr>
          <w:rFonts w:asciiTheme="minorHAnsi" w:hAnsiTheme="minorHAnsi" w:cstheme="minorHAnsi"/>
        </w:rPr>
        <w:t>prothionamide</w:t>
      </w:r>
      <w:proofErr w:type="spellEnd"/>
      <w:r w:rsidR="00E16E0A" w:rsidRPr="00BB6F06">
        <w:rPr>
          <w:rFonts w:asciiTheme="minorHAnsi" w:hAnsiTheme="minorHAnsi" w:cstheme="minorHAnsi"/>
        </w:rPr>
        <w:t>,</w:t>
      </w:r>
      <w:r w:rsidR="00A55C57" w:rsidRPr="00BB6F06">
        <w:rPr>
          <w:rFonts w:asciiTheme="minorHAnsi" w:hAnsiTheme="minorHAnsi" w:cstheme="minorHAnsi"/>
        </w:rPr>
        <w:t xml:space="preserve"> and only </w:t>
      </w:r>
      <w:r w:rsidR="00E16E0A" w:rsidRPr="00BB6F06">
        <w:rPr>
          <w:rFonts w:asciiTheme="minorHAnsi" w:hAnsiTheme="minorHAnsi" w:cstheme="minorHAnsi"/>
        </w:rPr>
        <w:t>a single</w:t>
      </w:r>
      <w:r w:rsidR="00A55C57" w:rsidRPr="00BB6F06">
        <w:rPr>
          <w:rFonts w:asciiTheme="minorHAnsi" w:hAnsiTheme="minorHAnsi" w:cstheme="minorHAnsi"/>
        </w:rPr>
        <w:t xml:space="preserve"> patient was </w:t>
      </w:r>
      <w:r w:rsidR="00E16E0A" w:rsidRPr="00BB6F06">
        <w:rPr>
          <w:rFonts w:asciiTheme="minorHAnsi" w:hAnsiTheme="minorHAnsi" w:cstheme="minorHAnsi"/>
        </w:rPr>
        <w:t>taking</w:t>
      </w:r>
      <w:r w:rsidR="00A55C57" w:rsidRPr="00BB6F06">
        <w:rPr>
          <w:rFonts w:asciiTheme="minorHAnsi" w:hAnsiTheme="minorHAnsi" w:cstheme="minorHAnsi"/>
        </w:rPr>
        <w:t xml:space="preserve"> </w:t>
      </w:r>
      <w:proofErr w:type="spellStart"/>
      <w:r w:rsidR="00A55C57" w:rsidRPr="00BB6F06">
        <w:rPr>
          <w:rFonts w:asciiTheme="minorHAnsi" w:hAnsiTheme="minorHAnsi" w:cstheme="minorHAnsi"/>
        </w:rPr>
        <w:t>pretomanid</w:t>
      </w:r>
      <w:proofErr w:type="spellEnd"/>
      <w:r w:rsidR="00A55C57" w:rsidRPr="00BB6F06">
        <w:rPr>
          <w:rFonts w:asciiTheme="minorHAnsi" w:hAnsiTheme="minorHAnsi" w:cstheme="minorHAnsi"/>
        </w:rPr>
        <w:t>.</w:t>
      </w:r>
    </w:p>
    <w:p w14:paraId="7F5815FC" w14:textId="3133E33C" w:rsidR="004A71E4" w:rsidRPr="00BB6F06" w:rsidRDefault="004A71E4" w:rsidP="00BB6F06">
      <w:pPr>
        <w:rPr>
          <w:rFonts w:asciiTheme="minorHAnsi" w:hAnsiTheme="minorHAnsi" w:cstheme="minorHAnsi"/>
          <w:color w:val="808080" w:themeColor="background1" w:themeShade="80"/>
        </w:rPr>
      </w:pPr>
    </w:p>
    <w:p w14:paraId="069257D4" w14:textId="4309DCDD" w:rsidR="007A4DD6" w:rsidRPr="00BB6F06" w:rsidRDefault="00B32616" w:rsidP="00BB6F06">
      <w:pPr>
        <w:rPr>
          <w:rFonts w:asciiTheme="minorHAnsi" w:hAnsiTheme="minorHAnsi" w:cstheme="minorHAnsi"/>
          <w:color w:val="808080"/>
        </w:rPr>
      </w:pPr>
      <w:r w:rsidRPr="00BB6F06">
        <w:rPr>
          <w:rFonts w:asciiTheme="minorHAnsi" w:hAnsiTheme="minorHAnsi" w:cstheme="minorHAnsi"/>
          <w:b/>
        </w:rPr>
        <w:t xml:space="preserve">FIGURE </w:t>
      </w:r>
      <w:r w:rsidR="0013621E" w:rsidRPr="00BB6F06">
        <w:rPr>
          <w:rFonts w:asciiTheme="minorHAnsi" w:hAnsiTheme="minorHAnsi" w:cstheme="minorHAnsi"/>
          <w:b/>
        </w:rPr>
        <w:t xml:space="preserve">AND TABLE </w:t>
      </w:r>
      <w:r w:rsidRPr="00BB6F06">
        <w:rPr>
          <w:rFonts w:asciiTheme="minorHAnsi" w:hAnsiTheme="minorHAnsi" w:cstheme="minorHAnsi"/>
          <w:b/>
        </w:rPr>
        <w:t>LEGENDS:</w:t>
      </w:r>
      <w:r w:rsidRPr="00BB6F06">
        <w:rPr>
          <w:rFonts w:asciiTheme="minorHAnsi" w:hAnsiTheme="minorHAnsi" w:cstheme="minorHAnsi"/>
          <w:color w:val="808080"/>
        </w:rPr>
        <w:t xml:space="preserve"> </w:t>
      </w:r>
    </w:p>
    <w:p w14:paraId="6C6AD330" w14:textId="04F2DD86" w:rsidR="00A26FE5" w:rsidRPr="00BB6F06" w:rsidRDefault="00A26FE5" w:rsidP="00BB6F06">
      <w:pPr>
        <w:rPr>
          <w:rFonts w:asciiTheme="minorHAnsi" w:hAnsiTheme="minorHAnsi" w:cstheme="minorHAnsi"/>
          <w:color w:val="808080"/>
        </w:rPr>
      </w:pPr>
    </w:p>
    <w:p w14:paraId="570ED1AC" w14:textId="3788A294" w:rsidR="00A26FE5" w:rsidRPr="00BB6F06" w:rsidRDefault="00A26FE5" w:rsidP="00BB6F06">
      <w:pPr>
        <w:widowControl/>
        <w:autoSpaceDE/>
        <w:autoSpaceDN/>
        <w:adjustRightInd/>
        <w:jc w:val="left"/>
        <w:rPr>
          <w:rFonts w:asciiTheme="minorHAnsi" w:hAnsiTheme="minorHAnsi" w:cstheme="minorHAnsi"/>
          <w:color w:val="auto"/>
        </w:rPr>
      </w:pPr>
      <w:r w:rsidRPr="00BB6F06">
        <w:rPr>
          <w:rFonts w:asciiTheme="minorHAnsi" w:hAnsiTheme="minorHAnsi" w:cstheme="minorHAnsi"/>
          <w:b/>
          <w:bCs/>
          <w:color w:val="auto"/>
        </w:rPr>
        <w:lastRenderedPageBreak/>
        <w:t>Figure 1.</w:t>
      </w:r>
      <w:r w:rsidR="004D643F" w:rsidRPr="00BB6F06">
        <w:rPr>
          <w:rFonts w:asciiTheme="minorHAnsi" w:hAnsiTheme="minorHAnsi" w:cstheme="minorHAnsi"/>
          <w:b/>
          <w:bCs/>
          <w:color w:val="auto"/>
        </w:rPr>
        <w:t xml:space="preserve"> An illustration of a r</w:t>
      </w:r>
      <w:r w:rsidRPr="00BB6F06">
        <w:rPr>
          <w:rFonts w:asciiTheme="minorHAnsi" w:hAnsiTheme="minorHAnsi" w:cstheme="minorHAnsi"/>
          <w:b/>
          <w:bCs/>
          <w:color w:val="auto"/>
        </w:rPr>
        <w:t>epresentative chromatogram showing peaks of the 11 analytes in the DR-TB method</w:t>
      </w:r>
      <w:r w:rsidRPr="00BB6F06">
        <w:rPr>
          <w:rFonts w:asciiTheme="minorHAnsi" w:hAnsiTheme="minorHAnsi" w:cstheme="minorHAnsi"/>
          <w:color w:val="auto"/>
        </w:rPr>
        <w:t xml:space="preserve"> (EMB= ethambutol; INH= isoniazid; PZA= pyrazinamide; ETH= ethionamide; PTH= </w:t>
      </w:r>
      <w:proofErr w:type="spellStart"/>
      <w:r w:rsidRPr="00BB6F06">
        <w:rPr>
          <w:rFonts w:asciiTheme="minorHAnsi" w:hAnsiTheme="minorHAnsi" w:cstheme="minorHAnsi"/>
          <w:color w:val="auto"/>
        </w:rPr>
        <w:t>prothi</w:t>
      </w:r>
      <w:r w:rsidR="0080517D" w:rsidRPr="00BB6F06">
        <w:rPr>
          <w:rFonts w:asciiTheme="minorHAnsi" w:hAnsiTheme="minorHAnsi" w:cstheme="minorHAnsi"/>
          <w:color w:val="auto"/>
        </w:rPr>
        <w:t>o</w:t>
      </w:r>
      <w:r w:rsidRPr="00BB6F06">
        <w:rPr>
          <w:rFonts w:asciiTheme="minorHAnsi" w:hAnsiTheme="minorHAnsi" w:cstheme="minorHAnsi"/>
          <w:color w:val="auto"/>
        </w:rPr>
        <w:t>namide</w:t>
      </w:r>
      <w:proofErr w:type="spellEnd"/>
      <w:r w:rsidRPr="00BB6F06">
        <w:rPr>
          <w:rFonts w:asciiTheme="minorHAnsi" w:hAnsiTheme="minorHAnsi" w:cstheme="minorHAnsi"/>
          <w:color w:val="auto"/>
        </w:rPr>
        <w:t xml:space="preserve">; LFX= levofloxacin; MFX= moxifloxacin; LZD= linezolid; PTM= </w:t>
      </w:r>
      <w:proofErr w:type="spellStart"/>
      <w:r w:rsidRPr="00BB6F06">
        <w:rPr>
          <w:rFonts w:asciiTheme="minorHAnsi" w:hAnsiTheme="minorHAnsi" w:cstheme="minorHAnsi"/>
          <w:color w:val="auto"/>
        </w:rPr>
        <w:t>pretomanid</w:t>
      </w:r>
      <w:proofErr w:type="spellEnd"/>
      <w:r w:rsidRPr="00BB6F06">
        <w:rPr>
          <w:rFonts w:asciiTheme="minorHAnsi" w:hAnsiTheme="minorHAnsi" w:cstheme="minorHAnsi"/>
          <w:color w:val="auto"/>
        </w:rPr>
        <w:t xml:space="preserve">; BDQ= </w:t>
      </w:r>
      <w:proofErr w:type="spellStart"/>
      <w:r w:rsidRPr="00BB6F06">
        <w:rPr>
          <w:rFonts w:asciiTheme="minorHAnsi" w:hAnsiTheme="minorHAnsi" w:cstheme="minorHAnsi"/>
          <w:color w:val="auto"/>
        </w:rPr>
        <w:t>bedaquiline</w:t>
      </w:r>
      <w:proofErr w:type="spellEnd"/>
      <w:r w:rsidRPr="00BB6F06">
        <w:rPr>
          <w:rFonts w:asciiTheme="minorHAnsi" w:hAnsiTheme="minorHAnsi" w:cstheme="minorHAnsi"/>
          <w:color w:val="auto"/>
        </w:rPr>
        <w:t>; CLF= clofazimine). Because the sensitivity of the method for each analyte is different, INH, LZD, LFX, MFX and LZD were spiked at 20 ng/mg hair while BDQ, CLF, EMB, ETH, PTH and PTM were spiked at 2 ng/mg hair.</w:t>
      </w:r>
    </w:p>
    <w:p w14:paraId="7E2E1B92" w14:textId="4999C004" w:rsidR="00A26FE5" w:rsidRPr="00BB6F06" w:rsidRDefault="00A26FE5" w:rsidP="00BB6F06">
      <w:pPr>
        <w:widowControl/>
        <w:autoSpaceDE/>
        <w:autoSpaceDN/>
        <w:adjustRightInd/>
        <w:jc w:val="left"/>
        <w:rPr>
          <w:rFonts w:asciiTheme="minorHAnsi" w:hAnsiTheme="minorHAnsi" w:cstheme="minorHAnsi"/>
          <w:color w:val="auto"/>
        </w:rPr>
      </w:pPr>
    </w:p>
    <w:p w14:paraId="63C19C6A" w14:textId="0FD1CE20" w:rsidR="00A26FE5" w:rsidRPr="00BB6F06" w:rsidRDefault="00A26FE5" w:rsidP="00BB6F06">
      <w:pPr>
        <w:widowControl/>
        <w:autoSpaceDE/>
        <w:autoSpaceDN/>
        <w:adjustRightInd/>
        <w:jc w:val="left"/>
        <w:rPr>
          <w:rFonts w:asciiTheme="minorHAnsi" w:hAnsiTheme="minorHAnsi" w:cstheme="minorHAnsi"/>
          <w:color w:val="auto"/>
        </w:rPr>
      </w:pPr>
      <w:r w:rsidRPr="00BB6F06">
        <w:rPr>
          <w:rFonts w:asciiTheme="minorHAnsi" w:hAnsiTheme="minorHAnsi" w:cstheme="minorHAnsi"/>
          <w:b/>
          <w:bCs/>
          <w:color w:val="auto"/>
        </w:rPr>
        <w:t>Figure 2. Two Extracted Ion Chromatograms (EICs) from an injection of calibration point 9 (C9), isoniazid (INH) at 20</w:t>
      </w:r>
      <w:r w:rsidR="0080517D" w:rsidRPr="00BB6F06">
        <w:rPr>
          <w:rFonts w:asciiTheme="minorHAnsi" w:hAnsiTheme="minorHAnsi" w:cstheme="minorHAnsi"/>
          <w:b/>
          <w:bCs/>
          <w:color w:val="auto"/>
        </w:rPr>
        <w:t xml:space="preserve"> </w:t>
      </w:r>
      <w:r w:rsidRPr="00BB6F06">
        <w:rPr>
          <w:rFonts w:asciiTheme="minorHAnsi" w:hAnsiTheme="minorHAnsi" w:cstheme="minorHAnsi"/>
          <w:b/>
          <w:bCs/>
          <w:color w:val="auto"/>
        </w:rPr>
        <w:t>ng/mg.</w:t>
      </w:r>
      <w:r w:rsidRPr="00BB6F06">
        <w:rPr>
          <w:rFonts w:asciiTheme="minorHAnsi" w:hAnsiTheme="minorHAnsi" w:cstheme="minorHAnsi"/>
          <w:color w:val="auto"/>
        </w:rPr>
        <w:t xml:space="preserve"> The top EIC shows both the INH quantifier transition (blue, labeled INH-2) and the INH qualifier transition (red, labeled INH-3). The bottom EIC shows response of INH-d4, the internal standard (IS) used to quantify INH.</w:t>
      </w:r>
    </w:p>
    <w:p w14:paraId="06B89734" w14:textId="4F586953" w:rsidR="00A26FE5" w:rsidRPr="00BB6F06" w:rsidRDefault="00A26FE5" w:rsidP="00BB6F06">
      <w:pPr>
        <w:widowControl/>
        <w:autoSpaceDE/>
        <w:autoSpaceDN/>
        <w:adjustRightInd/>
        <w:jc w:val="left"/>
        <w:rPr>
          <w:rFonts w:asciiTheme="minorHAnsi" w:hAnsiTheme="minorHAnsi" w:cstheme="minorHAnsi"/>
          <w:color w:val="auto"/>
        </w:rPr>
      </w:pPr>
    </w:p>
    <w:p w14:paraId="3484E501" w14:textId="0F4F9301" w:rsidR="00A26FE5" w:rsidRPr="00BB6F06" w:rsidRDefault="00A26FE5" w:rsidP="00BB6F06">
      <w:pPr>
        <w:widowControl/>
        <w:autoSpaceDE/>
        <w:autoSpaceDN/>
        <w:adjustRightInd/>
        <w:jc w:val="left"/>
        <w:rPr>
          <w:rFonts w:asciiTheme="minorHAnsi" w:hAnsiTheme="minorHAnsi" w:cstheme="minorHAnsi"/>
          <w:color w:val="auto"/>
        </w:rPr>
      </w:pPr>
      <w:r w:rsidRPr="00BB6F06">
        <w:rPr>
          <w:rFonts w:asciiTheme="minorHAnsi" w:hAnsiTheme="minorHAnsi" w:cstheme="minorHAnsi"/>
          <w:b/>
          <w:bCs/>
          <w:color w:val="auto"/>
        </w:rPr>
        <w:t>Figure 3.</w:t>
      </w:r>
      <w:r w:rsidR="00C93C81" w:rsidRPr="00BB6F06">
        <w:rPr>
          <w:rFonts w:asciiTheme="minorHAnsi" w:hAnsiTheme="minorHAnsi" w:cstheme="minorHAnsi"/>
          <w:b/>
          <w:bCs/>
          <w:color w:val="auto"/>
        </w:rPr>
        <w:t xml:space="preserve"> Screenshots of the process of quantitation.</w:t>
      </w:r>
      <w:r w:rsidRPr="00BB6F06">
        <w:rPr>
          <w:rFonts w:asciiTheme="minorHAnsi" w:hAnsiTheme="minorHAnsi" w:cstheme="minorHAnsi"/>
          <w:b/>
          <w:bCs/>
          <w:color w:val="auto"/>
        </w:rPr>
        <w:t xml:space="preserve"> </w:t>
      </w:r>
      <w:r w:rsidRPr="00BB6F06">
        <w:rPr>
          <w:rFonts w:asciiTheme="minorHAnsi" w:hAnsiTheme="minorHAnsi" w:cstheme="minorHAnsi"/>
          <w:color w:val="auto"/>
        </w:rPr>
        <w:t>T</w:t>
      </w:r>
      <w:r w:rsidR="00C93C81" w:rsidRPr="00BB6F06">
        <w:rPr>
          <w:rFonts w:asciiTheme="minorHAnsi" w:hAnsiTheme="minorHAnsi" w:cstheme="minorHAnsi"/>
          <w:color w:val="auto"/>
        </w:rPr>
        <w:t>he t</w:t>
      </w:r>
      <w:r w:rsidRPr="00BB6F06">
        <w:rPr>
          <w:rFonts w:asciiTheme="minorHAnsi" w:hAnsiTheme="minorHAnsi" w:cstheme="minorHAnsi"/>
          <w:color w:val="auto"/>
        </w:rPr>
        <w:t>op portion is a partial sample list showing injection data for one analyte (INH, isoniazid) across 12 calibration points (labeled C0-C11), three QC levels, and six samples. Bottom left portion is the calibration curve, ranging from 0.5</w:t>
      </w:r>
      <w:r w:rsidR="0080517D" w:rsidRPr="00BB6F06">
        <w:rPr>
          <w:rFonts w:asciiTheme="minorHAnsi" w:hAnsiTheme="minorHAnsi" w:cstheme="minorHAnsi"/>
          <w:color w:val="auto"/>
        </w:rPr>
        <w:t xml:space="preserve"> </w:t>
      </w:r>
      <w:r w:rsidRPr="00BB6F06">
        <w:rPr>
          <w:rFonts w:asciiTheme="minorHAnsi" w:hAnsiTheme="minorHAnsi" w:cstheme="minorHAnsi"/>
          <w:color w:val="auto"/>
        </w:rPr>
        <w:t xml:space="preserve">ng/mg –100 ng/mg. Opaque blue dots are calibration points. Transparent blue squares are quality control points. The R-value is shown in the top left (0.99722) with weighting 1/x. The two chromatograms in the bottom right illustrate a sample with INH (top chromatogram) and a sample without INH (bottom chromatogram). </w:t>
      </w:r>
    </w:p>
    <w:p w14:paraId="0DCD664E" w14:textId="0336BC81" w:rsidR="00A26FE5" w:rsidRPr="00BB6F06" w:rsidRDefault="00A26FE5" w:rsidP="00BB6F06">
      <w:pPr>
        <w:widowControl/>
        <w:autoSpaceDE/>
        <w:autoSpaceDN/>
        <w:adjustRightInd/>
        <w:jc w:val="left"/>
        <w:rPr>
          <w:rFonts w:asciiTheme="minorHAnsi" w:hAnsiTheme="minorHAnsi" w:cstheme="minorHAnsi"/>
          <w:color w:val="auto"/>
        </w:rPr>
      </w:pPr>
    </w:p>
    <w:p w14:paraId="6051EBC0" w14:textId="6CF7C7EC" w:rsidR="003827EA" w:rsidRPr="00BB6F06" w:rsidRDefault="003827EA" w:rsidP="00BB6F06">
      <w:pPr>
        <w:widowControl/>
        <w:autoSpaceDE/>
        <w:autoSpaceDN/>
        <w:adjustRightInd/>
        <w:jc w:val="left"/>
        <w:rPr>
          <w:rFonts w:asciiTheme="minorHAnsi" w:hAnsiTheme="minorHAnsi" w:cstheme="minorHAnsi"/>
          <w:b/>
          <w:bCs/>
          <w:color w:val="auto"/>
        </w:rPr>
      </w:pPr>
      <w:r w:rsidRPr="00BB6F06">
        <w:rPr>
          <w:rFonts w:asciiTheme="minorHAnsi" w:hAnsiTheme="minorHAnsi" w:cstheme="minorHAnsi"/>
          <w:b/>
          <w:bCs/>
          <w:color w:val="auto"/>
        </w:rPr>
        <w:t xml:space="preserve">Table 1. Concentration and </w:t>
      </w:r>
      <w:r w:rsidR="00D70E4B" w:rsidRPr="00BB6F06">
        <w:rPr>
          <w:rFonts w:asciiTheme="minorHAnsi" w:hAnsiTheme="minorHAnsi" w:cstheme="minorHAnsi"/>
          <w:b/>
          <w:bCs/>
          <w:color w:val="auto"/>
        </w:rPr>
        <w:t>a</w:t>
      </w:r>
      <w:r w:rsidRPr="00BB6F06">
        <w:rPr>
          <w:rFonts w:asciiTheme="minorHAnsi" w:hAnsiTheme="minorHAnsi" w:cstheme="minorHAnsi"/>
          <w:b/>
          <w:bCs/>
          <w:color w:val="auto"/>
        </w:rPr>
        <w:t>mount of each internal standard</w:t>
      </w:r>
      <w:r w:rsidR="00D70E4B" w:rsidRPr="00BB6F06">
        <w:rPr>
          <w:rFonts w:asciiTheme="minorHAnsi" w:hAnsiTheme="minorHAnsi" w:cstheme="minorHAnsi"/>
          <w:b/>
          <w:bCs/>
          <w:color w:val="auto"/>
        </w:rPr>
        <w:t xml:space="preserve"> to add to a 50 mL volumetric flask. </w:t>
      </w:r>
    </w:p>
    <w:p w14:paraId="1077F754" w14:textId="77777777" w:rsidR="003827EA" w:rsidRPr="00BB6F06" w:rsidRDefault="003827EA" w:rsidP="00BB6F06">
      <w:pPr>
        <w:widowControl/>
        <w:autoSpaceDE/>
        <w:autoSpaceDN/>
        <w:adjustRightInd/>
        <w:jc w:val="left"/>
        <w:rPr>
          <w:rFonts w:asciiTheme="minorHAnsi" w:hAnsiTheme="minorHAnsi" w:cstheme="minorHAnsi"/>
          <w:b/>
          <w:bCs/>
          <w:color w:val="auto"/>
        </w:rPr>
      </w:pPr>
    </w:p>
    <w:p w14:paraId="65EA4C65" w14:textId="2B6517E1" w:rsidR="003827EA" w:rsidRPr="00BB6F06" w:rsidRDefault="003827EA" w:rsidP="00BB6F06">
      <w:pPr>
        <w:widowControl/>
        <w:autoSpaceDE/>
        <w:autoSpaceDN/>
        <w:adjustRightInd/>
        <w:jc w:val="left"/>
        <w:rPr>
          <w:rFonts w:asciiTheme="minorHAnsi" w:hAnsiTheme="minorHAnsi" w:cstheme="minorHAnsi"/>
          <w:b/>
          <w:bCs/>
          <w:color w:val="auto"/>
        </w:rPr>
      </w:pPr>
      <w:r w:rsidRPr="00BB6F06">
        <w:rPr>
          <w:rFonts w:asciiTheme="minorHAnsi" w:hAnsiTheme="minorHAnsi" w:cstheme="minorHAnsi"/>
          <w:b/>
          <w:bCs/>
          <w:color w:val="auto"/>
        </w:rPr>
        <w:t>Table 2. Amount of each drug reference standard to add to “Ref Std Mix 1” vial.</w:t>
      </w:r>
    </w:p>
    <w:p w14:paraId="044CB1BE" w14:textId="77777777" w:rsidR="003827EA" w:rsidRPr="00BB6F06" w:rsidRDefault="003827EA" w:rsidP="00BB6F06">
      <w:pPr>
        <w:widowControl/>
        <w:autoSpaceDE/>
        <w:autoSpaceDN/>
        <w:adjustRightInd/>
        <w:jc w:val="left"/>
        <w:rPr>
          <w:rFonts w:asciiTheme="minorHAnsi" w:hAnsiTheme="minorHAnsi" w:cstheme="minorHAnsi"/>
          <w:b/>
          <w:bCs/>
          <w:color w:val="auto"/>
        </w:rPr>
      </w:pPr>
    </w:p>
    <w:p w14:paraId="70AE43D5" w14:textId="2C743242" w:rsidR="003827EA" w:rsidRPr="00BB6F06" w:rsidRDefault="003827EA" w:rsidP="00BB6F06">
      <w:pPr>
        <w:widowControl/>
        <w:autoSpaceDE/>
        <w:autoSpaceDN/>
        <w:adjustRightInd/>
        <w:jc w:val="left"/>
        <w:rPr>
          <w:rFonts w:asciiTheme="minorHAnsi" w:hAnsiTheme="minorHAnsi" w:cstheme="minorHAnsi"/>
          <w:b/>
          <w:bCs/>
          <w:color w:val="auto"/>
        </w:rPr>
      </w:pPr>
      <w:r w:rsidRPr="00BB6F06">
        <w:rPr>
          <w:rFonts w:asciiTheme="minorHAnsi" w:hAnsiTheme="minorHAnsi" w:cstheme="minorHAnsi"/>
          <w:b/>
          <w:bCs/>
          <w:color w:val="auto"/>
        </w:rPr>
        <w:t>Table 3. Amount of each Ref Std Mix intermediate to add to the 12 calibration points.</w:t>
      </w:r>
    </w:p>
    <w:p w14:paraId="1EC345CC" w14:textId="77777777" w:rsidR="003827EA" w:rsidRPr="00BB6F06" w:rsidRDefault="003827EA" w:rsidP="00BB6F06">
      <w:pPr>
        <w:widowControl/>
        <w:autoSpaceDE/>
        <w:autoSpaceDN/>
        <w:adjustRightInd/>
        <w:jc w:val="left"/>
        <w:rPr>
          <w:rFonts w:asciiTheme="minorHAnsi" w:hAnsiTheme="minorHAnsi" w:cstheme="minorHAnsi"/>
          <w:b/>
          <w:bCs/>
          <w:color w:val="auto"/>
        </w:rPr>
      </w:pPr>
    </w:p>
    <w:p w14:paraId="27B9BF80" w14:textId="5150BD87" w:rsidR="003827EA" w:rsidRPr="00BB6F06" w:rsidRDefault="003827EA" w:rsidP="00BB6F06">
      <w:pPr>
        <w:widowControl/>
        <w:autoSpaceDE/>
        <w:autoSpaceDN/>
        <w:adjustRightInd/>
        <w:jc w:val="left"/>
        <w:rPr>
          <w:rFonts w:asciiTheme="minorHAnsi" w:hAnsiTheme="minorHAnsi" w:cstheme="minorHAnsi"/>
          <w:b/>
          <w:bCs/>
          <w:color w:val="auto"/>
        </w:rPr>
      </w:pPr>
      <w:r w:rsidRPr="00BB6F06">
        <w:rPr>
          <w:rFonts w:asciiTheme="minorHAnsi" w:hAnsiTheme="minorHAnsi" w:cstheme="minorHAnsi"/>
          <w:b/>
          <w:bCs/>
          <w:color w:val="auto"/>
        </w:rPr>
        <w:t>Table 4. The flow rate and mobile phase gradient used</w:t>
      </w:r>
      <w:r w:rsidR="00D70E4B" w:rsidRPr="00BB6F06">
        <w:rPr>
          <w:rFonts w:asciiTheme="minorHAnsi" w:hAnsiTheme="minorHAnsi" w:cstheme="minorHAnsi"/>
          <w:b/>
          <w:bCs/>
          <w:color w:val="auto"/>
        </w:rPr>
        <w:t xml:space="preserve"> </w:t>
      </w:r>
      <w:r w:rsidRPr="00BB6F06">
        <w:rPr>
          <w:rFonts w:asciiTheme="minorHAnsi" w:hAnsiTheme="minorHAnsi" w:cstheme="minorHAnsi"/>
          <w:b/>
          <w:bCs/>
          <w:color w:val="auto"/>
        </w:rPr>
        <w:t>for each injection.</w:t>
      </w:r>
    </w:p>
    <w:p w14:paraId="4BA9147E" w14:textId="77777777" w:rsidR="003827EA" w:rsidRPr="00BB6F06" w:rsidRDefault="003827EA" w:rsidP="00BB6F06">
      <w:pPr>
        <w:widowControl/>
        <w:autoSpaceDE/>
        <w:autoSpaceDN/>
        <w:adjustRightInd/>
        <w:jc w:val="left"/>
        <w:rPr>
          <w:rFonts w:asciiTheme="minorHAnsi" w:hAnsiTheme="minorHAnsi" w:cstheme="minorHAnsi"/>
          <w:b/>
          <w:bCs/>
          <w:color w:val="auto"/>
        </w:rPr>
      </w:pPr>
    </w:p>
    <w:p w14:paraId="30C00C61" w14:textId="1A1AF7E9" w:rsidR="003827EA" w:rsidRPr="00BB6F06" w:rsidRDefault="003827EA" w:rsidP="00BB6F06">
      <w:pPr>
        <w:widowControl/>
        <w:autoSpaceDE/>
        <w:autoSpaceDN/>
        <w:adjustRightInd/>
        <w:jc w:val="left"/>
        <w:rPr>
          <w:rFonts w:asciiTheme="minorHAnsi" w:hAnsiTheme="minorHAnsi" w:cstheme="minorHAnsi"/>
          <w:b/>
          <w:bCs/>
          <w:color w:val="auto"/>
        </w:rPr>
      </w:pPr>
      <w:r w:rsidRPr="00BB6F06">
        <w:rPr>
          <w:rFonts w:asciiTheme="minorHAnsi" w:hAnsiTheme="minorHAnsi" w:cstheme="minorHAnsi"/>
          <w:b/>
          <w:bCs/>
          <w:color w:val="auto"/>
        </w:rPr>
        <w:t>Table 5. Final concentration of analytes</w:t>
      </w:r>
      <w:r w:rsidR="00D70E4B" w:rsidRPr="00BB6F06">
        <w:rPr>
          <w:rFonts w:asciiTheme="minorHAnsi" w:hAnsiTheme="minorHAnsi" w:cstheme="minorHAnsi"/>
          <w:b/>
          <w:bCs/>
          <w:color w:val="auto"/>
        </w:rPr>
        <w:t xml:space="preserve"> </w:t>
      </w:r>
      <w:r w:rsidRPr="00BB6F06">
        <w:rPr>
          <w:rFonts w:asciiTheme="minorHAnsi" w:hAnsiTheme="minorHAnsi" w:cstheme="minorHAnsi"/>
          <w:b/>
          <w:bCs/>
          <w:color w:val="auto"/>
        </w:rPr>
        <w:t xml:space="preserve">in each calibration point. </w:t>
      </w:r>
    </w:p>
    <w:p w14:paraId="5E90B572" w14:textId="77777777" w:rsidR="003827EA" w:rsidRPr="00BB6F06" w:rsidRDefault="003827EA" w:rsidP="00BB6F06">
      <w:pPr>
        <w:widowControl/>
        <w:autoSpaceDE/>
        <w:autoSpaceDN/>
        <w:adjustRightInd/>
        <w:jc w:val="left"/>
        <w:rPr>
          <w:rFonts w:asciiTheme="minorHAnsi" w:hAnsiTheme="minorHAnsi" w:cstheme="minorHAnsi"/>
          <w:b/>
          <w:bCs/>
          <w:color w:val="auto"/>
        </w:rPr>
      </w:pPr>
    </w:p>
    <w:p w14:paraId="7429126D" w14:textId="28DCDF57" w:rsidR="00A26FE5" w:rsidRPr="00BB6F06" w:rsidRDefault="006909E9" w:rsidP="00BB6F06">
      <w:pPr>
        <w:rPr>
          <w:rFonts w:asciiTheme="minorHAnsi" w:hAnsiTheme="minorHAnsi" w:cstheme="minorHAnsi"/>
          <w:color w:val="808080" w:themeColor="background1" w:themeShade="80"/>
        </w:rPr>
      </w:pPr>
      <w:r w:rsidRPr="00BB6F06">
        <w:rPr>
          <w:rFonts w:asciiTheme="minorHAnsi" w:hAnsiTheme="minorHAnsi" w:cstheme="minorHAnsi"/>
          <w:b/>
          <w:bCs/>
        </w:rPr>
        <w:t xml:space="preserve">Table 6. Representative levels of drugs measured in 15 patients taking DR-TB medications under </w:t>
      </w:r>
      <w:r w:rsidR="000769EB" w:rsidRPr="00BB6F06">
        <w:rPr>
          <w:rFonts w:asciiTheme="minorHAnsi" w:hAnsiTheme="minorHAnsi" w:cstheme="minorHAnsi"/>
          <w:b/>
          <w:bCs/>
        </w:rPr>
        <w:t>DOT</w:t>
      </w:r>
      <w:r w:rsidRPr="00BB6F06">
        <w:rPr>
          <w:rFonts w:asciiTheme="minorHAnsi" w:hAnsiTheme="minorHAnsi" w:cstheme="minorHAnsi"/>
          <w:b/>
          <w:bCs/>
        </w:rPr>
        <w:t>.</w:t>
      </w:r>
      <w:r w:rsidRPr="00BB6F06">
        <w:rPr>
          <w:rFonts w:asciiTheme="minorHAnsi" w:hAnsiTheme="minorHAnsi" w:cstheme="minorHAnsi"/>
        </w:rPr>
        <w:t xml:space="preserve"> The limit of detection (LOD), lower limit of quantification (LLOQ) and upper limit of quantification (ULOQ) of the method for each drug are given for comparison.</w:t>
      </w:r>
    </w:p>
    <w:p w14:paraId="75182EC3" w14:textId="77777777" w:rsidR="00B32616" w:rsidRPr="00BB6F06" w:rsidRDefault="00B32616" w:rsidP="00BB6F06">
      <w:pPr>
        <w:rPr>
          <w:rFonts w:asciiTheme="minorHAnsi" w:hAnsiTheme="minorHAnsi" w:cstheme="minorHAnsi"/>
          <w:color w:val="808080" w:themeColor="background1" w:themeShade="80"/>
        </w:rPr>
      </w:pPr>
    </w:p>
    <w:p w14:paraId="64B8CF78" w14:textId="6AB853FB" w:rsidR="006305D7" w:rsidRPr="00BB6F06" w:rsidRDefault="006305D7" w:rsidP="00BB6F06">
      <w:pPr>
        <w:rPr>
          <w:rFonts w:asciiTheme="minorHAnsi" w:hAnsiTheme="minorHAnsi" w:cstheme="minorHAnsi"/>
          <w:b/>
        </w:rPr>
      </w:pPr>
      <w:r w:rsidRPr="00BB6F06">
        <w:rPr>
          <w:rFonts w:asciiTheme="minorHAnsi" w:hAnsiTheme="minorHAnsi" w:cstheme="minorHAnsi"/>
          <w:b/>
        </w:rPr>
        <w:t>DISCUSSION</w:t>
      </w:r>
      <w:r w:rsidRPr="00BB6F06">
        <w:rPr>
          <w:rFonts w:asciiTheme="minorHAnsi" w:hAnsiTheme="minorHAnsi" w:cstheme="minorHAnsi"/>
          <w:b/>
          <w:bCs/>
        </w:rPr>
        <w:t xml:space="preserve">: </w:t>
      </w:r>
    </w:p>
    <w:p w14:paraId="56401091" w14:textId="6E462ABC" w:rsidR="00A41FC3" w:rsidRPr="00BB6F06" w:rsidRDefault="00245854" w:rsidP="00BB6F06">
      <w:pPr>
        <w:rPr>
          <w:rFonts w:asciiTheme="minorHAnsi" w:hAnsiTheme="minorHAnsi" w:cstheme="minorHAnsi"/>
        </w:rPr>
      </w:pPr>
      <w:r w:rsidRPr="00BB6F06">
        <w:rPr>
          <w:rFonts w:asciiTheme="minorHAnsi" w:hAnsiTheme="minorHAnsi" w:cstheme="minorHAnsi"/>
          <w:color w:val="auto"/>
        </w:rPr>
        <w:t>W</w:t>
      </w:r>
      <w:r w:rsidR="00CD2738" w:rsidRPr="00BB6F06">
        <w:rPr>
          <w:rFonts w:asciiTheme="minorHAnsi" w:hAnsiTheme="minorHAnsi" w:cstheme="minorHAnsi"/>
          <w:color w:val="auto"/>
        </w:rPr>
        <w:t xml:space="preserve">e report </w:t>
      </w:r>
      <w:r w:rsidRPr="00BB6F06">
        <w:rPr>
          <w:rFonts w:asciiTheme="minorHAnsi" w:hAnsiTheme="minorHAnsi" w:cstheme="minorHAnsi"/>
          <w:color w:val="auto"/>
        </w:rPr>
        <w:t xml:space="preserve">here </w:t>
      </w:r>
      <w:r w:rsidR="00CD2738" w:rsidRPr="00BB6F06">
        <w:rPr>
          <w:rFonts w:asciiTheme="minorHAnsi" w:hAnsiTheme="minorHAnsi" w:cstheme="minorHAnsi"/>
          <w:color w:val="auto"/>
        </w:rPr>
        <w:t xml:space="preserve">the protocol for </w:t>
      </w:r>
      <w:r w:rsidR="00CD1FC0" w:rsidRPr="00BB6F06">
        <w:rPr>
          <w:rFonts w:asciiTheme="minorHAnsi" w:hAnsiTheme="minorHAnsi" w:cstheme="minorHAnsi"/>
          <w:color w:val="auto"/>
        </w:rPr>
        <w:t xml:space="preserve">the </w:t>
      </w:r>
      <w:r w:rsidR="00265BF8" w:rsidRPr="00BB6F06">
        <w:rPr>
          <w:rFonts w:asciiTheme="minorHAnsi" w:hAnsiTheme="minorHAnsi" w:cstheme="minorHAnsi"/>
          <w:color w:val="auto"/>
        </w:rPr>
        <w:t xml:space="preserve">method we developed and validated for </w:t>
      </w:r>
      <w:r w:rsidR="00CD2738" w:rsidRPr="00BB6F06">
        <w:rPr>
          <w:rFonts w:asciiTheme="minorHAnsi" w:hAnsiTheme="minorHAnsi" w:cstheme="minorHAnsi"/>
          <w:color w:val="auto"/>
        </w:rPr>
        <w:t xml:space="preserve">quantifying 11 </w:t>
      </w:r>
      <w:r w:rsidRPr="00BB6F06">
        <w:rPr>
          <w:rFonts w:asciiTheme="minorHAnsi" w:hAnsiTheme="minorHAnsi" w:cstheme="minorHAnsi"/>
          <w:color w:val="auto"/>
        </w:rPr>
        <w:t>anti-TB medications</w:t>
      </w:r>
      <w:r w:rsidRPr="00BB6F06" w:rsidDel="00245854">
        <w:rPr>
          <w:rFonts w:asciiTheme="minorHAnsi" w:hAnsiTheme="minorHAnsi" w:cstheme="minorHAnsi"/>
          <w:color w:val="auto"/>
        </w:rPr>
        <w:t xml:space="preserve"> </w:t>
      </w:r>
      <w:r w:rsidRPr="00BB6F06">
        <w:rPr>
          <w:rFonts w:asciiTheme="minorHAnsi" w:hAnsiTheme="minorHAnsi" w:cstheme="minorHAnsi"/>
          <w:color w:val="auto"/>
        </w:rPr>
        <w:t xml:space="preserve">utilized in the treatment of DR-TB </w:t>
      </w:r>
      <w:r w:rsidR="00CD2738" w:rsidRPr="00BB6F06">
        <w:rPr>
          <w:rFonts w:asciiTheme="minorHAnsi" w:hAnsiTheme="minorHAnsi" w:cstheme="minorHAnsi"/>
          <w:color w:val="auto"/>
        </w:rPr>
        <w:t>in small hair samples using LC-MS/MS. No other method for quantifying the</w:t>
      </w:r>
      <w:r w:rsidRPr="00BB6F06">
        <w:rPr>
          <w:rFonts w:asciiTheme="minorHAnsi" w:hAnsiTheme="minorHAnsi" w:cstheme="minorHAnsi"/>
          <w:color w:val="auto"/>
        </w:rPr>
        <w:t xml:space="preserve">se 11 </w:t>
      </w:r>
      <w:r w:rsidR="00CD2738" w:rsidRPr="00BB6F06">
        <w:rPr>
          <w:rFonts w:asciiTheme="minorHAnsi" w:hAnsiTheme="minorHAnsi" w:cstheme="minorHAnsi"/>
          <w:color w:val="auto"/>
        </w:rPr>
        <w:t>dru</w:t>
      </w:r>
      <w:r w:rsidR="0061447D" w:rsidRPr="00BB6F06">
        <w:rPr>
          <w:rFonts w:asciiTheme="minorHAnsi" w:hAnsiTheme="minorHAnsi" w:cstheme="minorHAnsi"/>
          <w:color w:val="auto"/>
        </w:rPr>
        <w:t>gs in hair has</w:t>
      </w:r>
      <w:r w:rsidR="00CD2738" w:rsidRPr="00BB6F06">
        <w:rPr>
          <w:rFonts w:asciiTheme="minorHAnsi" w:hAnsiTheme="minorHAnsi" w:cstheme="minorHAnsi"/>
          <w:color w:val="auto"/>
        </w:rPr>
        <w:t xml:space="preserve"> been previously</w:t>
      </w:r>
      <w:r w:rsidR="000D232D" w:rsidRPr="00BB6F06">
        <w:rPr>
          <w:rFonts w:asciiTheme="minorHAnsi" w:hAnsiTheme="minorHAnsi" w:cstheme="minorHAnsi"/>
          <w:color w:val="auto"/>
        </w:rPr>
        <w:t xml:space="preserve"> </w:t>
      </w:r>
      <w:r w:rsidR="00EB4709" w:rsidRPr="00BB6F06">
        <w:rPr>
          <w:rFonts w:asciiTheme="minorHAnsi" w:hAnsiTheme="minorHAnsi" w:cstheme="minorHAnsi"/>
          <w:color w:val="auto"/>
        </w:rPr>
        <w:t xml:space="preserve">developed, </w:t>
      </w:r>
      <w:r w:rsidR="000D232D" w:rsidRPr="00BB6F06">
        <w:rPr>
          <w:rFonts w:asciiTheme="minorHAnsi" w:hAnsiTheme="minorHAnsi" w:cstheme="minorHAnsi"/>
          <w:color w:val="auto"/>
        </w:rPr>
        <w:t>validated and</w:t>
      </w:r>
      <w:r w:rsidR="00CD2738" w:rsidRPr="00BB6F06">
        <w:rPr>
          <w:rFonts w:asciiTheme="minorHAnsi" w:hAnsiTheme="minorHAnsi" w:cstheme="minorHAnsi"/>
          <w:color w:val="auto"/>
        </w:rPr>
        <w:t xml:space="preserve"> published.</w:t>
      </w:r>
      <w:r w:rsidR="009E7D48" w:rsidRPr="00BB6F06">
        <w:rPr>
          <w:rFonts w:asciiTheme="minorHAnsi" w:hAnsiTheme="minorHAnsi" w:cstheme="minorHAnsi"/>
          <w:color w:val="auto"/>
        </w:rPr>
        <w:t xml:space="preserve"> </w:t>
      </w:r>
      <w:r w:rsidR="00A41FC3" w:rsidRPr="00BB6F06">
        <w:rPr>
          <w:rFonts w:asciiTheme="minorHAnsi" w:hAnsiTheme="minorHAnsi" w:cstheme="minorHAnsi"/>
        </w:rPr>
        <w:t>Our method can quantify sub-nanogram levels of drugs in only 20-30 hair strands</w:t>
      </w:r>
      <w:r w:rsidR="00EB4709" w:rsidRPr="00BB6F06">
        <w:rPr>
          <w:rFonts w:asciiTheme="minorHAnsi" w:hAnsiTheme="minorHAnsi" w:cstheme="minorHAnsi"/>
        </w:rPr>
        <w:t xml:space="preserve"> of approximately 3 centimeters (cm) in length</w:t>
      </w:r>
      <w:r w:rsidR="00FF599E" w:rsidRPr="00BB6F06">
        <w:rPr>
          <w:rFonts w:asciiTheme="minorHAnsi" w:hAnsiTheme="minorHAnsi" w:cstheme="minorHAnsi"/>
        </w:rPr>
        <w:t xml:space="preserve"> (~2 mg)</w:t>
      </w:r>
      <w:r w:rsidR="00670498" w:rsidRPr="00BB6F06">
        <w:rPr>
          <w:rFonts w:asciiTheme="minorHAnsi" w:hAnsiTheme="minorHAnsi" w:cstheme="minorHAnsi"/>
        </w:rPr>
        <w:t xml:space="preserve"> and has already been validated</w:t>
      </w:r>
      <w:r w:rsidR="00670498" w:rsidRPr="00BB6F06">
        <w:rPr>
          <w:rFonts w:asciiTheme="minorHAnsi" w:hAnsiTheme="minorHAnsi" w:cstheme="minorHAnsi"/>
          <w:vertAlign w:val="superscript"/>
        </w:rPr>
        <w:t>22</w:t>
      </w:r>
      <w:r w:rsidR="00A41FC3" w:rsidRPr="00BB6F06">
        <w:rPr>
          <w:rFonts w:asciiTheme="minorHAnsi" w:hAnsiTheme="minorHAnsi" w:cstheme="minorHAnsi"/>
        </w:rPr>
        <w:t xml:space="preserve">. </w:t>
      </w:r>
      <w:r w:rsidR="004241D6" w:rsidRPr="00BB6F06">
        <w:rPr>
          <w:rFonts w:asciiTheme="minorHAnsi" w:hAnsiTheme="minorHAnsi" w:cstheme="minorHAnsi"/>
        </w:rPr>
        <w:t xml:space="preserve">The low weight of hair analyzed means that patients involved in the study can </w:t>
      </w:r>
      <w:r w:rsidR="009E7D48" w:rsidRPr="00BB6F06">
        <w:rPr>
          <w:rFonts w:asciiTheme="minorHAnsi" w:hAnsiTheme="minorHAnsi" w:cstheme="minorHAnsi"/>
        </w:rPr>
        <w:t xml:space="preserve">participate </w:t>
      </w:r>
      <w:r w:rsidR="004241D6" w:rsidRPr="00BB6F06">
        <w:rPr>
          <w:rFonts w:asciiTheme="minorHAnsi" w:hAnsiTheme="minorHAnsi" w:cstheme="minorHAnsi"/>
        </w:rPr>
        <w:t>discree</w:t>
      </w:r>
      <w:r w:rsidR="009E7D48" w:rsidRPr="00BB6F06">
        <w:rPr>
          <w:rFonts w:asciiTheme="minorHAnsi" w:hAnsiTheme="minorHAnsi" w:cstheme="minorHAnsi"/>
        </w:rPr>
        <w:t>t</w:t>
      </w:r>
      <w:r w:rsidR="004241D6" w:rsidRPr="00BB6F06">
        <w:rPr>
          <w:rFonts w:asciiTheme="minorHAnsi" w:hAnsiTheme="minorHAnsi" w:cstheme="minorHAnsi"/>
        </w:rPr>
        <w:t xml:space="preserve">ly and potentially return for repeat testing without fear of </w:t>
      </w:r>
      <w:r w:rsidR="00761411" w:rsidRPr="00BB6F06">
        <w:rPr>
          <w:rFonts w:asciiTheme="minorHAnsi" w:hAnsiTheme="minorHAnsi" w:cstheme="minorHAnsi"/>
        </w:rPr>
        <w:t>exposing bald scalp.</w:t>
      </w:r>
      <w:r w:rsidR="004241D6" w:rsidRPr="00BB6F06">
        <w:rPr>
          <w:rFonts w:asciiTheme="minorHAnsi" w:hAnsiTheme="minorHAnsi" w:cstheme="minorHAnsi"/>
        </w:rPr>
        <w:t xml:space="preserve"> </w:t>
      </w:r>
      <w:r w:rsidR="00E15F22" w:rsidRPr="00BB6F06">
        <w:rPr>
          <w:rFonts w:asciiTheme="minorHAnsi" w:hAnsiTheme="minorHAnsi" w:cstheme="minorHAnsi"/>
        </w:rPr>
        <w:t xml:space="preserve">We have previously published data on the association between DR-TB drug levels in hair </w:t>
      </w:r>
      <w:r w:rsidR="00E15F22" w:rsidRPr="00BB6F06">
        <w:rPr>
          <w:rFonts w:asciiTheme="minorHAnsi" w:hAnsiTheme="minorHAnsi" w:cstheme="minorHAnsi"/>
        </w:rPr>
        <w:lastRenderedPageBreak/>
        <w:t>and DR-treatment outcomes</w:t>
      </w:r>
      <w:r w:rsidR="00062CC5" w:rsidRPr="00BB6F06">
        <w:rPr>
          <w:rFonts w:asciiTheme="minorHAnsi" w:hAnsiTheme="minorHAnsi" w:cstheme="minorHAnsi"/>
          <w:vertAlign w:val="superscript"/>
        </w:rPr>
        <w:t>2</w:t>
      </w:r>
      <w:r w:rsidR="00C612FE" w:rsidRPr="00BB6F06">
        <w:rPr>
          <w:rFonts w:asciiTheme="minorHAnsi" w:hAnsiTheme="minorHAnsi" w:cstheme="minorHAnsi"/>
          <w:vertAlign w:val="superscript"/>
        </w:rPr>
        <w:t>3</w:t>
      </w:r>
      <w:r w:rsidR="00FE44D1" w:rsidRPr="00BB6F06">
        <w:rPr>
          <w:rFonts w:asciiTheme="minorHAnsi" w:hAnsiTheme="minorHAnsi" w:cstheme="minorHAnsi"/>
        </w:rPr>
        <w:t xml:space="preserve">. </w:t>
      </w:r>
      <w:r w:rsidR="00E15F22" w:rsidRPr="00BB6F06">
        <w:rPr>
          <w:rFonts w:asciiTheme="minorHAnsi" w:hAnsiTheme="minorHAnsi" w:cstheme="minorHAnsi"/>
        </w:rPr>
        <w:t xml:space="preserve">Therefore, </w:t>
      </w:r>
      <w:r w:rsidR="009817FC" w:rsidRPr="00BB6F06">
        <w:rPr>
          <w:rFonts w:asciiTheme="minorHAnsi" w:hAnsiTheme="minorHAnsi" w:cstheme="minorHAnsi"/>
        </w:rPr>
        <w:t xml:space="preserve">the development and validation of this multi-analyte panel method represents a significant advance </w:t>
      </w:r>
      <w:r w:rsidR="00FF599E" w:rsidRPr="00BB6F06">
        <w:rPr>
          <w:rFonts w:asciiTheme="minorHAnsi" w:hAnsiTheme="minorHAnsi" w:cstheme="minorHAnsi"/>
        </w:rPr>
        <w:t xml:space="preserve">in </w:t>
      </w:r>
      <w:r w:rsidR="009817FC" w:rsidRPr="00BB6F06">
        <w:rPr>
          <w:rFonts w:asciiTheme="minorHAnsi" w:hAnsiTheme="minorHAnsi" w:cstheme="minorHAnsi"/>
        </w:rPr>
        <w:t xml:space="preserve">the field of DR-TB therapeutic drug monitoring. </w:t>
      </w:r>
    </w:p>
    <w:p w14:paraId="72C86DA8" w14:textId="77777777" w:rsidR="00A41FC3" w:rsidRPr="00BB6F06" w:rsidRDefault="00A41FC3" w:rsidP="00BB6F06">
      <w:pPr>
        <w:rPr>
          <w:rFonts w:asciiTheme="minorHAnsi" w:hAnsiTheme="minorHAnsi" w:cstheme="minorHAnsi"/>
        </w:rPr>
      </w:pPr>
    </w:p>
    <w:p w14:paraId="69E7592E" w14:textId="5EDA9106" w:rsidR="00A41FC3" w:rsidRPr="00BB6F06" w:rsidRDefault="001F1F55" w:rsidP="00BB6F06">
      <w:pPr>
        <w:rPr>
          <w:rFonts w:asciiTheme="minorHAnsi" w:hAnsiTheme="minorHAnsi" w:cstheme="minorHAnsi"/>
        </w:rPr>
      </w:pPr>
      <w:r w:rsidRPr="00BB6F06">
        <w:rPr>
          <w:rFonts w:asciiTheme="minorHAnsi" w:hAnsiTheme="minorHAnsi" w:cstheme="minorHAnsi"/>
        </w:rPr>
        <w:t xml:space="preserve">Hair requires different homogenization techniques </w:t>
      </w:r>
      <w:r w:rsidR="00496268" w:rsidRPr="00BB6F06">
        <w:rPr>
          <w:rFonts w:asciiTheme="minorHAnsi" w:hAnsiTheme="minorHAnsi" w:cstheme="minorHAnsi"/>
        </w:rPr>
        <w:t xml:space="preserve">than those required with </w:t>
      </w:r>
      <w:r w:rsidRPr="00BB6F06">
        <w:rPr>
          <w:rFonts w:asciiTheme="minorHAnsi" w:hAnsiTheme="minorHAnsi" w:cstheme="minorHAnsi"/>
        </w:rPr>
        <w:t xml:space="preserve">liquid biomatrices. Pulverization of hair strands allowed efficient access of extraction solvent to analytes in the hair matrix. </w:t>
      </w:r>
      <w:r w:rsidR="000D232D" w:rsidRPr="00BB6F06">
        <w:rPr>
          <w:rFonts w:asciiTheme="minorHAnsi" w:hAnsiTheme="minorHAnsi" w:cstheme="minorHAnsi"/>
        </w:rPr>
        <w:t xml:space="preserve">Thus, </w:t>
      </w:r>
      <w:r w:rsidR="00284319" w:rsidRPr="00BB6F06">
        <w:rPr>
          <w:rFonts w:asciiTheme="minorHAnsi" w:hAnsiTheme="minorHAnsi" w:cstheme="minorHAnsi"/>
        </w:rPr>
        <w:t>one important</w:t>
      </w:r>
      <w:r w:rsidR="00A41FC3" w:rsidRPr="00BB6F06">
        <w:rPr>
          <w:rFonts w:asciiTheme="minorHAnsi" w:hAnsiTheme="minorHAnsi" w:cstheme="minorHAnsi"/>
        </w:rPr>
        <w:t xml:space="preserve"> feature of </w:t>
      </w:r>
      <w:r w:rsidR="000D232D" w:rsidRPr="00BB6F06">
        <w:rPr>
          <w:rFonts w:asciiTheme="minorHAnsi" w:hAnsiTheme="minorHAnsi" w:cstheme="minorHAnsi"/>
        </w:rPr>
        <w:t>our</w:t>
      </w:r>
      <w:r w:rsidR="00A41FC3" w:rsidRPr="00BB6F06">
        <w:rPr>
          <w:rFonts w:asciiTheme="minorHAnsi" w:hAnsiTheme="minorHAnsi" w:cstheme="minorHAnsi"/>
        </w:rPr>
        <w:t xml:space="preserve"> method is the quick and easy extraction process of drugs from hair</w:t>
      </w:r>
      <w:r w:rsidR="00284319" w:rsidRPr="00BB6F06">
        <w:rPr>
          <w:rFonts w:asciiTheme="minorHAnsi" w:hAnsiTheme="minorHAnsi" w:cstheme="minorHAnsi"/>
        </w:rPr>
        <w:t xml:space="preserve"> using the pulverized samples</w:t>
      </w:r>
      <w:r w:rsidR="00A41FC3" w:rsidRPr="00BB6F06">
        <w:rPr>
          <w:rFonts w:asciiTheme="minorHAnsi" w:hAnsiTheme="minorHAnsi" w:cstheme="minorHAnsi"/>
        </w:rPr>
        <w:t xml:space="preserve">. Incubation time </w:t>
      </w:r>
      <w:r w:rsidR="00284319" w:rsidRPr="00BB6F06">
        <w:rPr>
          <w:rFonts w:asciiTheme="minorHAnsi" w:hAnsiTheme="minorHAnsi" w:cstheme="minorHAnsi"/>
        </w:rPr>
        <w:t xml:space="preserve">during the extraction process </w:t>
      </w:r>
      <w:r w:rsidR="00A41FC3" w:rsidRPr="00BB6F06">
        <w:rPr>
          <w:rFonts w:asciiTheme="minorHAnsi" w:hAnsiTheme="minorHAnsi" w:cstheme="minorHAnsi"/>
        </w:rPr>
        <w:t xml:space="preserve">is only two h, due to the </w:t>
      </w:r>
      <w:r w:rsidR="00265BF8" w:rsidRPr="00BB6F06">
        <w:rPr>
          <w:rFonts w:asciiTheme="minorHAnsi" w:hAnsiTheme="minorHAnsi" w:cstheme="minorHAnsi"/>
        </w:rPr>
        <w:t>large</w:t>
      </w:r>
      <w:r w:rsidR="00A41FC3" w:rsidRPr="00BB6F06">
        <w:rPr>
          <w:rFonts w:asciiTheme="minorHAnsi" w:hAnsiTheme="minorHAnsi" w:cstheme="minorHAnsi"/>
        </w:rPr>
        <w:t xml:space="preserve"> </w:t>
      </w:r>
      <w:r w:rsidR="00265BF8" w:rsidRPr="00BB6F06">
        <w:rPr>
          <w:rFonts w:asciiTheme="minorHAnsi" w:hAnsiTheme="minorHAnsi" w:cstheme="minorHAnsi"/>
        </w:rPr>
        <w:t xml:space="preserve">accessible </w:t>
      </w:r>
      <w:r w:rsidR="00A41FC3" w:rsidRPr="00BB6F06">
        <w:rPr>
          <w:rFonts w:asciiTheme="minorHAnsi" w:hAnsiTheme="minorHAnsi" w:cstheme="minorHAnsi"/>
        </w:rPr>
        <w:t>surface area of pulverized hair, and there is no clean up step, due to the small sample size (2</w:t>
      </w:r>
      <w:r w:rsidR="00245854" w:rsidRPr="00BB6F06">
        <w:rPr>
          <w:rFonts w:asciiTheme="minorHAnsi" w:hAnsiTheme="minorHAnsi" w:cstheme="minorHAnsi"/>
        </w:rPr>
        <w:t xml:space="preserve"> </w:t>
      </w:r>
      <w:r w:rsidR="00A41FC3" w:rsidRPr="00BB6F06">
        <w:rPr>
          <w:rFonts w:asciiTheme="minorHAnsi" w:hAnsiTheme="minorHAnsi" w:cstheme="minorHAnsi"/>
        </w:rPr>
        <w:t>mg). Care must be taken, though, to limit drug degradation during</w:t>
      </w:r>
      <w:r w:rsidR="00284319" w:rsidRPr="00BB6F06">
        <w:rPr>
          <w:rFonts w:asciiTheme="minorHAnsi" w:hAnsiTheme="minorHAnsi" w:cstheme="minorHAnsi"/>
        </w:rPr>
        <w:t xml:space="preserve"> the</w:t>
      </w:r>
      <w:r w:rsidR="00A41FC3" w:rsidRPr="00BB6F06">
        <w:rPr>
          <w:rFonts w:asciiTheme="minorHAnsi" w:hAnsiTheme="minorHAnsi" w:cstheme="minorHAnsi"/>
        </w:rPr>
        <w:t xml:space="preserve"> extraction</w:t>
      </w:r>
      <w:r w:rsidR="00284319" w:rsidRPr="00BB6F06">
        <w:rPr>
          <w:rFonts w:asciiTheme="minorHAnsi" w:hAnsiTheme="minorHAnsi" w:cstheme="minorHAnsi"/>
        </w:rPr>
        <w:t xml:space="preserve"> process</w:t>
      </w:r>
      <w:r w:rsidR="00A41FC3" w:rsidRPr="00BB6F06">
        <w:rPr>
          <w:rFonts w:asciiTheme="minorHAnsi" w:hAnsiTheme="minorHAnsi" w:cstheme="minorHAnsi"/>
        </w:rPr>
        <w:t xml:space="preserve">. The protocol </w:t>
      </w:r>
      <w:r w:rsidR="00265BF8" w:rsidRPr="00BB6F06">
        <w:rPr>
          <w:rFonts w:asciiTheme="minorHAnsi" w:hAnsiTheme="minorHAnsi" w:cstheme="minorHAnsi"/>
        </w:rPr>
        <w:t>uses</w:t>
      </w:r>
      <w:r w:rsidR="00A41FC3" w:rsidRPr="00BB6F06">
        <w:rPr>
          <w:rFonts w:asciiTheme="minorHAnsi" w:hAnsiTheme="minorHAnsi" w:cstheme="minorHAnsi"/>
        </w:rPr>
        <w:t xml:space="preserve"> a two-cycle pulverization, with a 45 s cooling period in between the cycles. This </w:t>
      </w:r>
      <w:r w:rsidR="00284319" w:rsidRPr="00BB6F06">
        <w:rPr>
          <w:rFonts w:asciiTheme="minorHAnsi" w:hAnsiTheme="minorHAnsi" w:cstheme="minorHAnsi"/>
        </w:rPr>
        <w:t xml:space="preserve">process </w:t>
      </w:r>
      <w:r w:rsidR="00A41FC3" w:rsidRPr="00BB6F06">
        <w:rPr>
          <w:rFonts w:asciiTheme="minorHAnsi" w:hAnsiTheme="minorHAnsi" w:cstheme="minorHAnsi"/>
        </w:rPr>
        <w:t xml:space="preserve">avoids overheating and potentially degrading the drugs in the hair. </w:t>
      </w:r>
    </w:p>
    <w:p w14:paraId="56080499" w14:textId="18D33849" w:rsidR="00A41FC3" w:rsidRPr="00BB6F06" w:rsidRDefault="00A41FC3" w:rsidP="00BB6F06">
      <w:pPr>
        <w:rPr>
          <w:rFonts w:asciiTheme="minorHAnsi" w:hAnsiTheme="minorHAnsi" w:cstheme="minorHAnsi"/>
        </w:rPr>
      </w:pPr>
    </w:p>
    <w:p w14:paraId="7A230941" w14:textId="3D01698E" w:rsidR="00577294" w:rsidRPr="00BB6F06" w:rsidRDefault="00577294" w:rsidP="00BB6F06">
      <w:pPr>
        <w:rPr>
          <w:rFonts w:asciiTheme="minorHAnsi" w:hAnsiTheme="minorHAnsi" w:cstheme="minorHAnsi"/>
        </w:rPr>
      </w:pPr>
      <w:r w:rsidRPr="00BB6F06">
        <w:rPr>
          <w:rFonts w:asciiTheme="minorHAnsi" w:hAnsiTheme="minorHAnsi" w:cstheme="minorHAnsi"/>
        </w:rPr>
        <w:t>Unlike many hair analyses for drugs of abuse, this method does not use a washing step. DR-TB drugs come in capsule or tablet form, limiting possible sources of external contamination and the subsequent need to wash hair prior to analysis. Future studies could analyze wash solvent from DR-TB patient hair to assess external contamination.</w:t>
      </w:r>
    </w:p>
    <w:p w14:paraId="593CBACC" w14:textId="77777777" w:rsidR="00577294" w:rsidRPr="00BB6F06" w:rsidRDefault="00577294" w:rsidP="00BB6F06">
      <w:pPr>
        <w:rPr>
          <w:rFonts w:asciiTheme="minorHAnsi" w:hAnsiTheme="minorHAnsi" w:cstheme="minorHAnsi"/>
        </w:rPr>
      </w:pPr>
    </w:p>
    <w:p w14:paraId="0E23A951" w14:textId="67E11F07" w:rsidR="00A41FC3" w:rsidRPr="00BB6F06" w:rsidRDefault="001F1F55" w:rsidP="00BB6F06">
      <w:pPr>
        <w:rPr>
          <w:rFonts w:asciiTheme="minorHAnsi" w:hAnsiTheme="minorHAnsi" w:cstheme="minorHAnsi"/>
        </w:rPr>
      </w:pPr>
      <w:r w:rsidRPr="00BB6F06">
        <w:rPr>
          <w:rFonts w:asciiTheme="minorHAnsi" w:hAnsiTheme="minorHAnsi" w:cstheme="minorHAnsi"/>
        </w:rPr>
        <w:t>Although hair pulverization promotes efficient drug extraction, it has its own limitation</w:t>
      </w:r>
      <w:r w:rsidR="0049191C" w:rsidRPr="00BB6F06">
        <w:rPr>
          <w:rFonts w:asciiTheme="minorHAnsi" w:hAnsiTheme="minorHAnsi" w:cstheme="minorHAnsi"/>
        </w:rPr>
        <w:t>s</w:t>
      </w:r>
      <w:r w:rsidRPr="00BB6F06">
        <w:rPr>
          <w:rFonts w:asciiTheme="minorHAnsi" w:hAnsiTheme="minorHAnsi" w:cstheme="minorHAnsi"/>
        </w:rPr>
        <w:t xml:space="preserve">. </w:t>
      </w:r>
      <w:r w:rsidR="00A41FC3" w:rsidRPr="00BB6F06">
        <w:rPr>
          <w:rFonts w:asciiTheme="minorHAnsi" w:hAnsiTheme="minorHAnsi" w:cstheme="minorHAnsi"/>
        </w:rPr>
        <w:t xml:space="preserve">Our laboratory has found that if hair is pulverized in the bead </w:t>
      </w:r>
      <w:proofErr w:type="spellStart"/>
      <w:r w:rsidR="00A41FC3" w:rsidRPr="00BB6F06">
        <w:rPr>
          <w:rFonts w:asciiTheme="minorHAnsi" w:hAnsiTheme="minorHAnsi" w:cstheme="minorHAnsi"/>
        </w:rPr>
        <w:t>ruptor</w:t>
      </w:r>
      <w:proofErr w:type="spellEnd"/>
      <w:r w:rsidR="00A41FC3" w:rsidRPr="00BB6F06">
        <w:rPr>
          <w:rFonts w:asciiTheme="minorHAnsi" w:hAnsiTheme="minorHAnsi" w:cstheme="minorHAnsi"/>
        </w:rPr>
        <w:t xml:space="preserve"> and left at room temperature, th</w:t>
      </w:r>
      <w:r w:rsidRPr="00BB6F06">
        <w:rPr>
          <w:rFonts w:asciiTheme="minorHAnsi" w:hAnsiTheme="minorHAnsi" w:cstheme="minorHAnsi"/>
        </w:rPr>
        <w:t>e concentration of some of the</w:t>
      </w:r>
      <w:r w:rsidR="00A41FC3" w:rsidRPr="00BB6F06">
        <w:rPr>
          <w:rFonts w:asciiTheme="minorHAnsi" w:hAnsiTheme="minorHAnsi" w:cstheme="minorHAnsi"/>
        </w:rPr>
        <w:t xml:space="preserve"> 11 drugs decreases over weeks and months. </w:t>
      </w:r>
      <w:r w:rsidRPr="00BB6F06">
        <w:rPr>
          <w:rFonts w:asciiTheme="minorHAnsi" w:hAnsiTheme="minorHAnsi" w:cstheme="minorHAnsi"/>
        </w:rPr>
        <w:t>This may be</w:t>
      </w:r>
      <w:r w:rsidR="00A41FC3" w:rsidRPr="00BB6F06">
        <w:rPr>
          <w:rFonts w:asciiTheme="minorHAnsi" w:hAnsiTheme="minorHAnsi" w:cstheme="minorHAnsi"/>
        </w:rPr>
        <w:t xml:space="preserve"> due to the </w:t>
      </w:r>
      <w:r w:rsidR="00265BF8" w:rsidRPr="00BB6F06">
        <w:rPr>
          <w:rFonts w:asciiTheme="minorHAnsi" w:hAnsiTheme="minorHAnsi" w:cstheme="minorHAnsi"/>
        </w:rPr>
        <w:t>large</w:t>
      </w:r>
      <w:r w:rsidR="00A41FC3" w:rsidRPr="00BB6F06">
        <w:rPr>
          <w:rFonts w:asciiTheme="minorHAnsi" w:hAnsiTheme="minorHAnsi" w:cstheme="minorHAnsi"/>
        </w:rPr>
        <w:t xml:space="preserve"> surface area of the pulverized hair</w:t>
      </w:r>
      <w:r w:rsidRPr="00BB6F06">
        <w:rPr>
          <w:rFonts w:asciiTheme="minorHAnsi" w:hAnsiTheme="minorHAnsi" w:cstheme="minorHAnsi"/>
        </w:rPr>
        <w:t xml:space="preserve"> exposed to the atmosphere that can promote oxidation and other degradation reactions. </w:t>
      </w:r>
      <w:r w:rsidR="00265BF8" w:rsidRPr="00BB6F06">
        <w:rPr>
          <w:rFonts w:asciiTheme="minorHAnsi" w:hAnsiTheme="minorHAnsi" w:cstheme="minorHAnsi"/>
        </w:rPr>
        <w:t>I</w:t>
      </w:r>
      <w:r w:rsidRPr="00BB6F06">
        <w:rPr>
          <w:rFonts w:asciiTheme="minorHAnsi" w:hAnsiTheme="minorHAnsi" w:cstheme="minorHAnsi"/>
        </w:rPr>
        <w:t xml:space="preserve">f </w:t>
      </w:r>
      <w:r w:rsidR="00265BF8" w:rsidRPr="00BB6F06">
        <w:rPr>
          <w:rFonts w:asciiTheme="minorHAnsi" w:hAnsiTheme="minorHAnsi" w:cstheme="minorHAnsi"/>
        </w:rPr>
        <w:t xml:space="preserve">a </w:t>
      </w:r>
      <w:r w:rsidRPr="00BB6F06">
        <w:rPr>
          <w:rFonts w:asciiTheme="minorHAnsi" w:hAnsiTheme="minorHAnsi" w:cstheme="minorHAnsi"/>
        </w:rPr>
        <w:t>stability study of the drugs in hair is desired</w:t>
      </w:r>
      <w:r w:rsidR="00A41FC3" w:rsidRPr="00BB6F06">
        <w:rPr>
          <w:rFonts w:asciiTheme="minorHAnsi" w:hAnsiTheme="minorHAnsi" w:cstheme="minorHAnsi"/>
        </w:rPr>
        <w:t>, hair can be cut with scissors into small segments of &lt;1 cm, homogenized by hand, and then left at room tempe</w:t>
      </w:r>
      <w:r w:rsidRPr="00BB6F06">
        <w:rPr>
          <w:rFonts w:asciiTheme="minorHAnsi" w:hAnsiTheme="minorHAnsi" w:cstheme="minorHAnsi"/>
        </w:rPr>
        <w:t>rature for weeks or months</w:t>
      </w:r>
      <w:r w:rsidR="00265BF8" w:rsidRPr="00BB6F06">
        <w:rPr>
          <w:rFonts w:asciiTheme="minorHAnsi" w:hAnsiTheme="minorHAnsi" w:cstheme="minorHAnsi"/>
        </w:rPr>
        <w:t xml:space="preserve"> during the stability study</w:t>
      </w:r>
      <w:r w:rsidRPr="00BB6F06">
        <w:rPr>
          <w:rFonts w:asciiTheme="minorHAnsi" w:hAnsiTheme="minorHAnsi" w:cstheme="minorHAnsi"/>
        </w:rPr>
        <w:t>.</w:t>
      </w:r>
      <w:r w:rsidR="00610E25">
        <w:rPr>
          <w:rFonts w:asciiTheme="minorHAnsi" w:hAnsiTheme="minorHAnsi" w:cstheme="minorHAnsi"/>
        </w:rPr>
        <w:t xml:space="preserve"> </w:t>
      </w:r>
      <w:r w:rsidRPr="00BB6F06">
        <w:rPr>
          <w:rFonts w:asciiTheme="minorHAnsi" w:hAnsiTheme="minorHAnsi" w:cstheme="minorHAnsi"/>
        </w:rPr>
        <w:t xml:space="preserve">When </w:t>
      </w:r>
      <w:r w:rsidR="00A41FC3" w:rsidRPr="00BB6F06">
        <w:rPr>
          <w:rFonts w:asciiTheme="minorHAnsi" w:hAnsiTheme="minorHAnsi" w:cstheme="minorHAnsi"/>
        </w:rPr>
        <w:t xml:space="preserve">this cut hair is pulverized on the day of analysis, we have not observed any </w:t>
      </w:r>
      <w:r w:rsidR="0049191C" w:rsidRPr="00BB6F06">
        <w:rPr>
          <w:rFonts w:asciiTheme="minorHAnsi" w:hAnsiTheme="minorHAnsi" w:cstheme="minorHAnsi"/>
        </w:rPr>
        <w:t xml:space="preserve">significant </w:t>
      </w:r>
      <w:r w:rsidR="00A41FC3" w:rsidRPr="00BB6F06">
        <w:rPr>
          <w:rFonts w:asciiTheme="minorHAnsi" w:hAnsiTheme="minorHAnsi" w:cstheme="minorHAnsi"/>
        </w:rPr>
        <w:t>drug degradation</w:t>
      </w:r>
      <w:r w:rsidR="0049191C" w:rsidRPr="00BB6F06">
        <w:rPr>
          <w:rFonts w:asciiTheme="minorHAnsi" w:hAnsiTheme="minorHAnsi" w:cstheme="minorHAnsi"/>
        </w:rPr>
        <w:t xml:space="preserve"> over time</w:t>
      </w:r>
      <w:r w:rsidR="00A41FC3" w:rsidRPr="00BB6F06">
        <w:rPr>
          <w:rFonts w:asciiTheme="minorHAnsi" w:hAnsiTheme="minorHAnsi" w:cstheme="minorHAnsi"/>
        </w:rPr>
        <w:t xml:space="preserve">. </w:t>
      </w:r>
      <w:r w:rsidRPr="00BB6F06">
        <w:rPr>
          <w:rFonts w:asciiTheme="minorHAnsi" w:hAnsiTheme="minorHAnsi" w:cstheme="minorHAnsi"/>
        </w:rPr>
        <w:t xml:space="preserve">Hence, in performing </w:t>
      </w:r>
      <w:r w:rsidR="00DA74CB">
        <w:rPr>
          <w:rFonts w:asciiTheme="minorHAnsi" w:hAnsiTheme="minorHAnsi" w:cstheme="minorHAnsi"/>
        </w:rPr>
        <w:t>the</w:t>
      </w:r>
      <w:r w:rsidR="00DA74CB" w:rsidRPr="00BB6F06">
        <w:rPr>
          <w:rFonts w:asciiTheme="minorHAnsi" w:hAnsiTheme="minorHAnsi" w:cstheme="minorHAnsi"/>
        </w:rPr>
        <w:t xml:space="preserve"> </w:t>
      </w:r>
      <w:r w:rsidRPr="00BB6F06">
        <w:rPr>
          <w:rFonts w:asciiTheme="minorHAnsi" w:hAnsiTheme="minorHAnsi" w:cstheme="minorHAnsi"/>
        </w:rPr>
        <w:t xml:space="preserve">described protocol, we recommend that hair be pulverized on the day it is extracted. Likewise, all drug mixes below 10 </w:t>
      </w:r>
      <w:r w:rsidR="00DA74CB">
        <w:rPr>
          <w:rFonts w:asciiTheme="minorHAnsi" w:hAnsiTheme="minorHAnsi" w:cstheme="minorHAnsi"/>
        </w:rPr>
        <w:t>µ</w:t>
      </w:r>
      <w:r w:rsidRPr="00BB6F06">
        <w:rPr>
          <w:rFonts w:asciiTheme="minorHAnsi" w:hAnsiTheme="minorHAnsi" w:cstheme="minorHAnsi"/>
        </w:rPr>
        <w:t>g/mL concentration</w:t>
      </w:r>
      <w:r w:rsidR="0049191C" w:rsidRPr="00BB6F06">
        <w:rPr>
          <w:rFonts w:asciiTheme="minorHAnsi" w:hAnsiTheme="minorHAnsi" w:cstheme="minorHAnsi"/>
        </w:rPr>
        <w:t>s</w:t>
      </w:r>
      <w:r w:rsidRPr="00BB6F06">
        <w:rPr>
          <w:rFonts w:asciiTheme="minorHAnsi" w:hAnsiTheme="minorHAnsi" w:cstheme="minorHAnsi"/>
        </w:rPr>
        <w:t xml:space="preserve"> should be prepared on the day of extraction.</w:t>
      </w:r>
    </w:p>
    <w:p w14:paraId="38687665" w14:textId="77777777" w:rsidR="00A41FC3" w:rsidRPr="00BB6F06" w:rsidRDefault="00A41FC3" w:rsidP="00BB6F06">
      <w:pPr>
        <w:rPr>
          <w:rFonts w:asciiTheme="minorHAnsi" w:hAnsiTheme="minorHAnsi" w:cstheme="minorHAnsi"/>
        </w:rPr>
      </w:pPr>
    </w:p>
    <w:p w14:paraId="6B773116" w14:textId="657D146D" w:rsidR="00582C92" w:rsidRPr="00BB6F06" w:rsidRDefault="00BC2A56" w:rsidP="00BB6F06">
      <w:pPr>
        <w:rPr>
          <w:rFonts w:asciiTheme="minorHAnsi" w:hAnsiTheme="minorHAnsi" w:cstheme="minorHAnsi"/>
        </w:rPr>
      </w:pPr>
      <w:r w:rsidRPr="00BB6F06">
        <w:rPr>
          <w:rFonts w:asciiTheme="minorHAnsi" w:hAnsiTheme="minorHAnsi" w:cstheme="minorHAnsi"/>
        </w:rPr>
        <w:t xml:space="preserve">No previously published methods are available to assess the suitability of the linear dynamic ranges </w:t>
      </w:r>
      <w:r w:rsidR="00B8458A" w:rsidRPr="00BB6F06">
        <w:rPr>
          <w:rFonts w:asciiTheme="minorHAnsi" w:hAnsiTheme="minorHAnsi" w:cstheme="minorHAnsi"/>
        </w:rPr>
        <w:t xml:space="preserve">(LLOQ-ULOQ) </w:t>
      </w:r>
      <w:r w:rsidRPr="00BB6F06">
        <w:rPr>
          <w:rFonts w:asciiTheme="minorHAnsi" w:hAnsiTheme="minorHAnsi" w:cstheme="minorHAnsi"/>
        </w:rPr>
        <w:t xml:space="preserve">we established for each TB drug in </w:t>
      </w:r>
      <w:r w:rsidR="00DA74CB">
        <w:rPr>
          <w:rFonts w:asciiTheme="minorHAnsi" w:hAnsiTheme="minorHAnsi" w:cstheme="minorHAnsi"/>
        </w:rPr>
        <w:t>the</w:t>
      </w:r>
      <w:r w:rsidR="00DA74CB" w:rsidRPr="00BB6F06">
        <w:rPr>
          <w:rFonts w:asciiTheme="minorHAnsi" w:hAnsiTheme="minorHAnsi" w:cstheme="minorHAnsi"/>
        </w:rPr>
        <w:t xml:space="preserve"> </w:t>
      </w:r>
      <w:r w:rsidRPr="00BB6F06">
        <w:rPr>
          <w:rFonts w:asciiTheme="minorHAnsi" w:hAnsiTheme="minorHAnsi" w:cstheme="minorHAnsi"/>
        </w:rPr>
        <w:t xml:space="preserve">multi-analyte method. </w:t>
      </w:r>
      <w:r w:rsidR="00B8458A" w:rsidRPr="00BB6F06">
        <w:rPr>
          <w:rFonts w:asciiTheme="minorHAnsi" w:hAnsiTheme="minorHAnsi" w:cstheme="minorHAnsi"/>
        </w:rPr>
        <w:t>However, t</w:t>
      </w:r>
      <w:r w:rsidR="00A372CA" w:rsidRPr="00BB6F06">
        <w:rPr>
          <w:rFonts w:asciiTheme="minorHAnsi" w:hAnsiTheme="minorHAnsi" w:cstheme="minorHAnsi"/>
        </w:rPr>
        <w:t xml:space="preserve">he convenience sample of hair samples from Western Cape, South Africa, indicates </w:t>
      </w:r>
      <w:r w:rsidR="00B8458A" w:rsidRPr="00BB6F06">
        <w:rPr>
          <w:rFonts w:asciiTheme="minorHAnsi" w:hAnsiTheme="minorHAnsi" w:cstheme="minorHAnsi"/>
        </w:rPr>
        <w:t xml:space="preserve">the suitability of the linear dynamic range of this method. </w:t>
      </w:r>
      <w:proofErr w:type="gramStart"/>
      <w:r w:rsidR="00B8458A" w:rsidRPr="00BB6F06">
        <w:rPr>
          <w:rFonts w:asciiTheme="minorHAnsi" w:hAnsiTheme="minorHAnsi" w:cstheme="minorHAnsi"/>
        </w:rPr>
        <w:t>With the e</w:t>
      </w:r>
      <w:r w:rsidR="00A372CA" w:rsidRPr="00BB6F06">
        <w:rPr>
          <w:rFonts w:asciiTheme="minorHAnsi" w:hAnsiTheme="minorHAnsi" w:cstheme="minorHAnsi"/>
        </w:rPr>
        <w:t>xcept</w:t>
      </w:r>
      <w:r w:rsidR="00B8458A" w:rsidRPr="00BB6F06">
        <w:rPr>
          <w:rFonts w:asciiTheme="minorHAnsi" w:hAnsiTheme="minorHAnsi" w:cstheme="minorHAnsi"/>
        </w:rPr>
        <w:t>ion</w:t>
      </w:r>
      <w:r w:rsidR="00A372CA" w:rsidRPr="00BB6F06">
        <w:rPr>
          <w:rFonts w:asciiTheme="minorHAnsi" w:hAnsiTheme="minorHAnsi" w:cstheme="minorHAnsi"/>
        </w:rPr>
        <w:t xml:space="preserve"> </w:t>
      </w:r>
      <w:r w:rsidR="00B8458A" w:rsidRPr="00BB6F06">
        <w:rPr>
          <w:rFonts w:asciiTheme="minorHAnsi" w:hAnsiTheme="minorHAnsi" w:cstheme="minorHAnsi"/>
        </w:rPr>
        <w:t>of</w:t>
      </w:r>
      <w:proofErr w:type="gramEnd"/>
      <w:r w:rsidR="00A372CA" w:rsidRPr="00BB6F06">
        <w:rPr>
          <w:rFonts w:asciiTheme="minorHAnsi" w:hAnsiTheme="minorHAnsi" w:cstheme="minorHAnsi"/>
        </w:rPr>
        <w:t xml:space="preserve"> ethionamide</w:t>
      </w:r>
      <w:r w:rsidR="00C36071" w:rsidRPr="00BB6F06">
        <w:rPr>
          <w:rFonts w:asciiTheme="minorHAnsi" w:hAnsiTheme="minorHAnsi" w:cstheme="minorHAnsi"/>
        </w:rPr>
        <w:t xml:space="preserve">, </w:t>
      </w:r>
      <w:proofErr w:type="spellStart"/>
      <w:r w:rsidR="00C36071" w:rsidRPr="00BB6F06">
        <w:rPr>
          <w:rFonts w:asciiTheme="minorHAnsi" w:hAnsiTheme="minorHAnsi" w:cstheme="minorHAnsi"/>
        </w:rPr>
        <w:t>pretomanid</w:t>
      </w:r>
      <w:proofErr w:type="spellEnd"/>
      <w:r w:rsidR="00C36071" w:rsidRPr="00BB6F06">
        <w:rPr>
          <w:rFonts w:asciiTheme="minorHAnsi" w:hAnsiTheme="minorHAnsi" w:cstheme="minorHAnsi"/>
        </w:rPr>
        <w:t>,</w:t>
      </w:r>
      <w:r w:rsidR="00A372CA" w:rsidRPr="00BB6F06">
        <w:rPr>
          <w:rFonts w:asciiTheme="minorHAnsi" w:hAnsiTheme="minorHAnsi" w:cstheme="minorHAnsi"/>
        </w:rPr>
        <w:t xml:space="preserve"> and </w:t>
      </w:r>
      <w:proofErr w:type="spellStart"/>
      <w:r w:rsidR="00A372CA" w:rsidRPr="00BB6F06">
        <w:rPr>
          <w:rFonts w:asciiTheme="minorHAnsi" w:hAnsiTheme="minorHAnsi" w:cstheme="minorHAnsi"/>
        </w:rPr>
        <w:t>prothionamide</w:t>
      </w:r>
      <w:proofErr w:type="spellEnd"/>
      <w:r w:rsidR="00A372CA" w:rsidRPr="00BB6F06">
        <w:rPr>
          <w:rFonts w:asciiTheme="minorHAnsi" w:hAnsiTheme="minorHAnsi" w:cstheme="minorHAnsi"/>
        </w:rPr>
        <w:t>, more than 95% of the drug levels we measured in these patients are within the linear dynamic rang</w:t>
      </w:r>
      <w:r w:rsidR="00B8458A" w:rsidRPr="00BB6F06">
        <w:rPr>
          <w:rFonts w:asciiTheme="minorHAnsi" w:hAnsiTheme="minorHAnsi" w:cstheme="minorHAnsi"/>
        </w:rPr>
        <w:t xml:space="preserve">e of each analyte. </w:t>
      </w:r>
      <w:r w:rsidR="00C36071" w:rsidRPr="00BB6F06">
        <w:rPr>
          <w:rFonts w:asciiTheme="minorHAnsi" w:hAnsiTheme="minorHAnsi" w:cstheme="minorHAnsi"/>
        </w:rPr>
        <w:t xml:space="preserve">Only one patient was taking </w:t>
      </w:r>
      <w:proofErr w:type="spellStart"/>
      <w:r w:rsidR="00C36071" w:rsidRPr="00BB6F06">
        <w:rPr>
          <w:rFonts w:asciiTheme="minorHAnsi" w:hAnsiTheme="minorHAnsi" w:cstheme="minorHAnsi"/>
        </w:rPr>
        <w:t>pretomanid</w:t>
      </w:r>
      <w:proofErr w:type="spellEnd"/>
      <w:r w:rsidR="00E1608E" w:rsidRPr="00BB6F06">
        <w:rPr>
          <w:rFonts w:asciiTheme="minorHAnsi" w:hAnsiTheme="minorHAnsi" w:cstheme="minorHAnsi"/>
        </w:rPr>
        <w:t xml:space="preserve"> (which was detected)</w:t>
      </w:r>
      <w:r w:rsidR="00C36071" w:rsidRPr="00BB6F06">
        <w:rPr>
          <w:rFonts w:asciiTheme="minorHAnsi" w:hAnsiTheme="minorHAnsi" w:cstheme="minorHAnsi"/>
        </w:rPr>
        <w:t xml:space="preserve">, and </w:t>
      </w:r>
      <w:r w:rsidR="009E7D48" w:rsidRPr="00BB6F06">
        <w:rPr>
          <w:rFonts w:asciiTheme="minorHAnsi" w:hAnsiTheme="minorHAnsi" w:cstheme="minorHAnsi"/>
        </w:rPr>
        <w:t>no</w:t>
      </w:r>
      <w:r w:rsidR="00C36071" w:rsidRPr="00BB6F06">
        <w:rPr>
          <w:rFonts w:asciiTheme="minorHAnsi" w:hAnsiTheme="minorHAnsi" w:cstheme="minorHAnsi"/>
        </w:rPr>
        <w:t xml:space="preserve"> patient</w:t>
      </w:r>
      <w:r w:rsidR="0080517D" w:rsidRPr="00BB6F06">
        <w:rPr>
          <w:rFonts w:asciiTheme="minorHAnsi" w:hAnsiTheme="minorHAnsi" w:cstheme="minorHAnsi"/>
        </w:rPr>
        <w:t>s</w:t>
      </w:r>
      <w:r w:rsidR="00C36071" w:rsidRPr="00BB6F06">
        <w:rPr>
          <w:rFonts w:asciiTheme="minorHAnsi" w:hAnsiTheme="minorHAnsi" w:cstheme="minorHAnsi"/>
        </w:rPr>
        <w:t xml:space="preserve"> w</w:t>
      </w:r>
      <w:r w:rsidR="0080517D" w:rsidRPr="00BB6F06">
        <w:rPr>
          <w:rFonts w:asciiTheme="minorHAnsi" w:hAnsiTheme="minorHAnsi" w:cstheme="minorHAnsi"/>
        </w:rPr>
        <w:t>ere</w:t>
      </w:r>
      <w:r w:rsidR="00C36071" w:rsidRPr="00BB6F06">
        <w:rPr>
          <w:rFonts w:asciiTheme="minorHAnsi" w:hAnsiTheme="minorHAnsi" w:cstheme="minorHAnsi"/>
        </w:rPr>
        <w:t xml:space="preserve"> taking </w:t>
      </w:r>
      <w:proofErr w:type="spellStart"/>
      <w:r w:rsidR="00C36071" w:rsidRPr="00BB6F06">
        <w:rPr>
          <w:rFonts w:asciiTheme="minorHAnsi" w:hAnsiTheme="minorHAnsi" w:cstheme="minorHAnsi"/>
        </w:rPr>
        <w:t>prothionamide</w:t>
      </w:r>
      <w:proofErr w:type="spellEnd"/>
      <w:r w:rsidR="00C36071" w:rsidRPr="00BB6F06">
        <w:rPr>
          <w:rFonts w:asciiTheme="minorHAnsi" w:hAnsiTheme="minorHAnsi" w:cstheme="minorHAnsi"/>
        </w:rPr>
        <w:t xml:space="preserve">. </w:t>
      </w:r>
      <w:r w:rsidRPr="00BB6F06">
        <w:rPr>
          <w:rFonts w:asciiTheme="minorHAnsi" w:hAnsiTheme="minorHAnsi" w:cstheme="minorHAnsi"/>
        </w:rPr>
        <w:t>For ethionamide, we hypothesize that the drug may not deposit to the hair matrix well, as our LOD is 0.01 ng/mg hair (or 10</w:t>
      </w:r>
      <w:r w:rsidR="0080517D" w:rsidRPr="00BB6F06">
        <w:rPr>
          <w:rFonts w:asciiTheme="minorHAnsi" w:hAnsiTheme="minorHAnsi" w:cstheme="minorHAnsi"/>
        </w:rPr>
        <w:t xml:space="preserve"> </w:t>
      </w:r>
      <w:proofErr w:type="spellStart"/>
      <w:r w:rsidRPr="00BB6F06">
        <w:rPr>
          <w:rFonts w:asciiTheme="minorHAnsi" w:hAnsiTheme="minorHAnsi" w:cstheme="minorHAnsi"/>
        </w:rPr>
        <w:t>pg</w:t>
      </w:r>
      <w:proofErr w:type="spellEnd"/>
      <w:r w:rsidRPr="00BB6F06">
        <w:rPr>
          <w:rFonts w:asciiTheme="minorHAnsi" w:hAnsiTheme="minorHAnsi" w:cstheme="minorHAnsi"/>
        </w:rPr>
        <w:t xml:space="preserve">/mg hair) and yet only one of the eight patients taking </w:t>
      </w:r>
      <w:r w:rsidR="00A06386" w:rsidRPr="00BB6F06">
        <w:rPr>
          <w:rFonts w:asciiTheme="minorHAnsi" w:hAnsiTheme="minorHAnsi" w:cstheme="minorHAnsi"/>
        </w:rPr>
        <w:t xml:space="preserve">ethionamide has levels greater than </w:t>
      </w:r>
      <w:r w:rsidRPr="00BB6F06">
        <w:rPr>
          <w:rFonts w:asciiTheme="minorHAnsi" w:hAnsiTheme="minorHAnsi" w:cstheme="minorHAnsi"/>
        </w:rPr>
        <w:t>0.02 ng/mg hair.</w:t>
      </w:r>
      <w:r w:rsidR="00C36071" w:rsidRPr="00BB6F06">
        <w:rPr>
          <w:rFonts w:asciiTheme="minorHAnsi" w:hAnsiTheme="minorHAnsi" w:cstheme="minorHAnsi"/>
        </w:rPr>
        <w:t xml:space="preserve"> </w:t>
      </w:r>
      <w:r w:rsidRPr="00BB6F06">
        <w:rPr>
          <w:rFonts w:asciiTheme="minorHAnsi" w:hAnsiTheme="minorHAnsi" w:cstheme="minorHAnsi"/>
        </w:rPr>
        <w:t xml:space="preserve">Further examination is warranted to determine the pharmacokinetics of different TB drugs in hair. For example, a potential alternative for monitoring drugs like ethionamide is to develop a method targeting their metabolite(s) instead. We have made a similar observation for </w:t>
      </w:r>
      <w:proofErr w:type="spellStart"/>
      <w:r w:rsidRPr="00BB6F06">
        <w:rPr>
          <w:rFonts w:asciiTheme="minorHAnsi" w:hAnsiTheme="minorHAnsi" w:cstheme="minorHAnsi"/>
        </w:rPr>
        <w:t>delamanid</w:t>
      </w:r>
      <w:proofErr w:type="spellEnd"/>
      <w:r w:rsidRPr="00BB6F06">
        <w:rPr>
          <w:rFonts w:asciiTheme="minorHAnsi" w:hAnsiTheme="minorHAnsi" w:cstheme="minorHAnsi"/>
        </w:rPr>
        <w:t xml:space="preserve">, a novel DR-TB medication, which was </w:t>
      </w:r>
      <w:r w:rsidRPr="00BB6F06">
        <w:rPr>
          <w:rFonts w:asciiTheme="minorHAnsi" w:hAnsiTheme="minorHAnsi" w:cstheme="minorHAnsi"/>
        </w:rPr>
        <w:lastRenderedPageBreak/>
        <w:t xml:space="preserve">initially part of this panel. A method targeting </w:t>
      </w:r>
      <w:proofErr w:type="spellStart"/>
      <w:r w:rsidRPr="00BB6F06">
        <w:rPr>
          <w:rFonts w:asciiTheme="minorHAnsi" w:hAnsiTheme="minorHAnsi" w:cstheme="minorHAnsi"/>
        </w:rPr>
        <w:t>delamanid’s</w:t>
      </w:r>
      <w:proofErr w:type="spellEnd"/>
      <w:r w:rsidRPr="00BB6F06">
        <w:rPr>
          <w:rFonts w:asciiTheme="minorHAnsi" w:hAnsiTheme="minorHAnsi" w:cstheme="minorHAnsi"/>
        </w:rPr>
        <w:t xml:space="preserve"> metabolite is currently in the process of being validated in our laboratory, </w:t>
      </w:r>
      <w:r w:rsidR="00AD5B51" w:rsidRPr="00BB6F06">
        <w:rPr>
          <w:rFonts w:asciiTheme="minorHAnsi" w:hAnsiTheme="minorHAnsi" w:cstheme="minorHAnsi"/>
        </w:rPr>
        <w:t xml:space="preserve">because </w:t>
      </w:r>
      <w:r w:rsidRPr="00BB6F06">
        <w:rPr>
          <w:rFonts w:asciiTheme="minorHAnsi" w:hAnsiTheme="minorHAnsi" w:cstheme="minorHAnsi"/>
        </w:rPr>
        <w:t xml:space="preserve">the metabolite is found in higher concentrations than the parent drug. The same procedure can be performed for ethionamide. </w:t>
      </w:r>
      <w:r w:rsidR="00A06386" w:rsidRPr="00BB6F06">
        <w:rPr>
          <w:rFonts w:asciiTheme="minorHAnsi" w:hAnsiTheme="minorHAnsi" w:cstheme="minorHAnsi"/>
        </w:rPr>
        <w:t xml:space="preserve">The drug concentrations in </w:t>
      </w:r>
      <w:r w:rsidR="00A06386" w:rsidRPr="00BB6F06">
        <w:rPr>
          <w:rFonts w:asciiTheme="minorHAnsi" w:hAnsiTheme="minorHAnsi" w:cstheme="minorHAnsi"/>
          <w:b/>
          <w:bCs/>
        </w:rPr>
        <w:t>Table 6</w:t>
      </w:r>
      <w:r w:rsidR="00A06386" w:rsidRPr="00BB6F06">
        <w:rPr>
          <w:rFonts w:asciiTheme="minorHAnsi" w:hAnsiTheme="minorHAnsi" w:cstheme="minorHAnsi"/>
        </w:rPr>
        <w:t xml:space="preserve"> are presented as a group because the individual results and clinical outcomes are not the focus of this method paper. Individual assessment of this group of patients has been published elsewhere</w:t>
      </w:r>
      <w:r w:rsidR="00A06386" w:rsidRPr="00BB6F06">
        <w:rPr>
          <w:rFonts w:asciiTheme="minorHAnsi" w:hAnsiTheme="minorHAnsi" w:cstheme="minorHAnsi"/>
          <w:vertAlign w:val="superscript"/>
        </w:rPr>
        <w:t>23</w:t>
      </w:r>
      <w:r w:rsidR="00A06386" w:rsidRPr="00BB6F06">
        <w:rPr>
          <w:rFonts w:asciiTheme="minorHAnsi" w:hAnsiTheme="minorHAnsi" w:cstheme="minorHAnsi"/>
        </w:rPr>
        <w:t xml:space="preserve">. </w:t>
      </w:r>
    </w:p>
    <w:p w14:paraId="6A8BDB7E" w14:textId="77777777" w:rsidR="00582C92" w:rsidRPr="00BB6F06" w:rsidRDefault="00582C92" w:rsidP="00BB6F06">
      <w:pPr>
        <w:rPr>
          <w:rFonts w:asciiTheme="minorHAnsi" w:hAnsiTheme="minorHAnsi" w:cstheme="minorHAnsi"/>
        </w:rPr>
      </w:pPr>
    </w:p>
    <w:p w14:paraId="5927E1D1" w14:textId="0A8579BC" w:rsidR="00577294" w:rsidRPr="00BB6F06" w:rsidRDefault="00193544" w:rsidP="00BB6F06">
      <w:pPr>
        <w:rPr>
          <w:rFonts w:asciiTheme="minorHAnsi" w:hAnsiTheme="minorHAnsi" w:cstheme="minorHAnsi"/>
        </w:rPr>
      </w:pPr>
      <w:r w:rsidRPr="00BB6F06">
        <w:rPr>
          <w:rFonts w:asciiTheme="minorHAnsi" w:hAnsiTheme="minorHAnsi" w:cstheme="minorHAnsi"/>
        </w:rPr>
        <w:t>The</w:t>
      </w:r>
      <w:r w:rsidR="000769EB" w:rsidRPr="00BB6F06">
        <w:rPr>
          <w:rFonts w:asciiTheme="minorHAnsi" w:hAnsiTheme="minorHAnsi" w:cstheme="minorHAnsi"/>
        </w:rPr>
        <w:t xml:space="preserve"> </w:t>
      </w:r>
      <w:r w:rsidRPr="00BB6F06">
        <w:rPr>
          <w:rFonts w:asciiTheme="minorHAnsi" w:hAnsiTheme="minorHAnsi" w:cstheme="minorHAnsi"/>
        </w:rPr>
        <w:t>p</w:t>
      </w:r>
      <w:r w:rsidR="000769EB" w:rsidRPr="00BB6F06">
        <w:rPr>
          <w:rFonts w:asciiTheme="minorHAnsi" w:hAnsiTheme="minorHAnsi" w:cstheme="minorHAnsi"/>
        </w:rPr>
        <w:t>atients</w:t>
      </w:r>
      <w:r w:rsidR="003C486F" w:rsidRPr="00BB6F06">
        <w:rPr>
          <w:rFonts w:asciiTheme="minorHAnsi" w:hAnsiTheme="minorHAnsi" w:cstheme="minorHAnsi"/>
        </w:rPr>
        <w:t xml:space="preserve"> contributing small hair samples for </w:t>
      </w:r>
      <w:r w:rsidR="00DA74CB">
        <w:rPr>
          <w:rFonts w:asciiTheme="minorHAnsi" w:hAnsiTheme="minorHAnsi" w:cstheme="minorHAnsi"/>
        </w:rPr>
        <w:t>the</w:t>
      </w:r>
      <w:r w:rsidR="00DA74CB" w:rsidRPr="00BB6F06">
        <w:rPr>
          <w:rFonts w:asciiTheme="minorHAnsi" w:hAnsiTheme="minorHAnsi" w:cstheme="minorHAnsi"/>
        </w:rPr>
        <w:t xml:space="preserve"> </w:t>
      </w:r>
      <w:r w:rsidR="003C486F" w:rsidRPr="00BB6F06">
        <w:rPr>
          <w:rFonts w:asciiTheme="minorHAnsi" w:hAnsiTheme="minorHAnsi" w:cstheme="minorHAnsi"/>
        </w:rPr>
        <w:t>demonstration study</w:t>
      </w:r>
      <w:r w:rsidRPr="00BB6F06">
        <w:rPr>
          <w:rFonts w:asciiTheme="minorHAnsi" w:hAnsiTheme="minorHAnsi" w:cstheme="minorHAnsi"/>
        </w:rPr>
        <w:t xml:space="preserve"> </w:t>
      </w:r>
      <w:r w:rsidR="003C486F" w:rsidRPr="00BB6F06">
        <w:rPr>
          <w:rFonts w:asciiTheme="minorHAnsi" w:hAnsiTheme="minorHAnsi" w:cstheme="minorHAnsi"/>
        </w:rPr>
        <w:t>were administered a</w:t>
      </w:r>
      <w:r w:rsidR="000769EB" w:rsidRPr="00BB6F06">
        <w:rPr>
          <w:rFonts w:asciiTheme="minorHAnsi" w:hAnsiTheme="minorHAnsi" w:cstheme="minorHAnsi"/>
        </w:rPr>
        <w:t xml:space="preserve"> variety of drug regimens</w:t>
      </w:r>
      <w:r w:rsidR="003C486F" w:rsidRPr="00BB6F06">
        <w:rPr>
          <w:rFonts w:asciiTheme="minorHAnsi" w:hAnsiTheme="minorHAnsi" w:cstheme="minorHAnsi"/>
        </w:rPr>
        <w:t xml:space="preserve"> via DOT in an inpatient setting</w:t>
      </w:r>
      <w:r w:rsidR="000769EB" w:rsidRPr="00BB6F06">
        <w:rPr>
          <w:rFonts w:asciiTheme="minorHAnsi" w:hAnsiTheme="minorHAnsi" w:cstheme="minorHAnsi"/>
        </w:rPr>
        <w:t xml:space="preserve">, </w:t>
      </w:r>
      <w:r w:rsidR="003C486F" w:rsidRPr="00BB6F06">
        <w:rPr>
          <w:rFonts w:asciiTheme="minorHAnsi" w:hAnsiTheme="minorHAnsi" w:cstheme="minorHAnsi"/>
        </w:rPr>
        <w:t>and all regimens</w:t>
      </w:r>
      <w:r w:rsidR="000769EB" w:rsidRPr="00BB6F06">
        <w:rPr>
          <w:rFonts w:asciiTheme="minorHAnsi" w:hAnsiTheme="minorHAnsi" w:cstheme="minorHAnsi"/>
        </w:rPr>
        <w:t xml:space="preserve"> were documented </w:t>
      </w:r>
      <w:r w:rsidR="003C486F" w:rsidRPr="00BB6F06">
        <w:rPr>
          <w:rFonts w:asciiTheme="minorHAnsi" w:hAnsiTheme="minorHAnsi" w:cstheme="minorHAnsi"/>
        </w:rPr>
        <w:t xml:space="preserve">according to nursing records </w:t>
      </w:r>
      <w:r w:rsidR="000769EB" w:rsidRPr="00BB6F06">
        <w:rPr>
          <w:rFonts w:asciiTheme="minorHAnsi" w:hAnsiTheme="minorHAnsi" w:cstheme="minorHAnsi"/>
        </w:rPr>
        <w:t xml:space="preserve">during the </w:t>
      </w:r>
      <w:r w:rsidR="003C486F" w:rsidRPr="00BB6F06">
        <w:rPr>
          <w:rFonts w:asciiTheme="minorHAnsi" w:hAnsiTheme="minorHAnsi" w:cstheme="minorHAnsi"/>
        </w:rPr>
        <w:t xml:space="preserve">inpatient </w:t>
      </w:r>
      <w:r w:rsidR="000769EB" w:rsidRPr="00BB6F06">
        <w:rPr>
          <w:rFonts w:asciiTheme="minorHAnsi" w:hAnsiTheme="minorHAnsi" w:cstheme="minorHAnsi"/>
        </w:rPr>
        <w:t xml:space="preserve">period. </w:t>
      </w:r>
      <w:r w:rsidR="003C486F" w:rsidRPr="00BB6F06">
        <w:rPr>
          <w:rFonts w:asciiTheme="minorHAnsi" w:hAnsiTheme="minorHAnsi" w:cstheme="minorHAnsi"/>
        </w:rPr>
        <w:t>However</w:t>
      </w:r>
      <w:r w:rsidR="000769EB" w:rsidRPr="00BB6F06">
        <w:rPr>
          <w:rFonts w:asciiTheme="minorHAnsi" w:hAnsiTheme="minorHAnsi" w:cstheme="minorHAnsi"/>
        </w:rPr>
        <w:t xml:space="preserve">, as </w:t>
      </w:r>
      <w:r w:rsidR="00577294" w:rsidRPr="00BB6F06">
        <w:rPr>
          <w:rFonts w:asciiTheme="minorHAnsi" w:hAnsiTheme="minorHAnsi" w:cstheme="minorHAnsi"/>
        </w:rPr>
        <w:t xml:space="preserve">is </w:t>
      </w:r>
      <w:r w:rsidR="003C486F" w:rsidRPr="00BB6F06">
        <w:rPr>
          <w:rFonts w:asciiTheme="minorHAnsi" w:hAnsiTheme="minorHAnsi" w:cstheme="minorHAnsi"/>
        </w:rPr>
        <w:t>common among</w:t>
      </w:r>
      <w:r w:rsidR="000769EB" w:rsidRPr="00BB6F06">
        <w:rPr>
          <w:rFonts w:asciiTheme="minorHAnsi" w:hAnsiTheme="minorHAnsi" w:cstheme="minorHAnsi"/>
        </w:rPr>
        <w:t xml:space="preserve"> </w:t>
      </w:r>
      <w:r w:rsidR="003C486F" w:rsidRPr="00BB6F06">
        <w:rPr>
          <w:rFonts w:asciiTheme="minorHAnsi" w:hAnsiTheme="minorHAnsi" w:cstheme="minorHAnsi"/>
        </w:rPr>
        <w:t xml:space="preserve">DR-TB </w:t>
      </w:r>
      <w:r w:rsidR="000769EB" w:rsidRPr="00BB6F06">
        <w:rPr>
          <w:rFonts w:asciiTheme="minorHAnsi" w:hAnsiTheme="minorHAnsi" w:cstheme="minorHAnsi"/>
        </w:rPr>
        <w:t xml:space="preserve">patients, previous, </w:t>
      </w:r>
      <w:r w:rsidR="003C486F" w:rsidRPr="00BB6F06">
        <w:rPr>
          <w:rFonts w:asciiTheme="minorHAnsi" w:hAnsiTheme="minorHAnsi" w:cstheme="minorHAnsi"/>
        </w:rPr>
        <w:t xml:space="preserve">poorly </w:t>
      </w:r>
      <w:r w:rsidR="000769EB" w:rsidRPr="00BB6F06">
        <w:rPr>
          <w:rFonts w:asciiTheme="minorHAnsi" w:hAnsiTheme="minorHAnsi" w:cstheme="minorHAnsi"/>
        </w:rPr>
        <w:t>documented drug regimens</w:t>
      </w:r>
      <w:r w:rsidR="003C486F" w:rsidRPr="00BB6F06">
        <w:rPr>
          <w:rFonts w:asciiTheme="minorHAnsi" w:hAnsiTheme="minorHAnsi" w:cstheme="minorHAnsi"/>
        </w:rPr>
        <w:t xml:space="preserve"> had also been administered prior to their inpatient stay</w:t>
      </w:r>
      <w:r w:rsidR="000769EB" w:rsidRPr="00BB6F06">
        <w:rPr>
          <w:rFonts w:asciiTheme="minorHAnsi" w:hAnsiTheme="minorHAnsi" w:cstheme="minorHAnsi"/>
        </w:rPr>
        <w:t xml:space="preserve">. This led to detection of drugs in patient hair that were not </w:t>
      </w:r>
      <w:r w:rsidR="00AD6B40" w:rsidRPr="00BB6F06">
        <w:rPr>
          <w:rFonts w:asciiTheme="minorHAnsi" w:hAnsiTheme="minorHAnsi" w:cstheme="minorHAnsi"/>
        </w:rPr>
        <w:t>noted</w:t>
      </w:r>
      <w:r w:rsidR="004D7E03" w:rsidRPr="00BB6F06">
        <w:rPr>
          <w:rFonts w:asciiTheme="minorHAnsi" w:hAnsiTheme="minorHAnsi" w:cstheme="minorHAnsi"/>
        </w:rPr>
        <w:t xml:space="preserve"> on their inpatient records</w:t>
      </w:r>
      <w:r w:rsidR="000769EB" w:rsidRPr="00BB6F06">
        <w:rPr>
          <w:rFonts w:asciiTheme="minorHAnsi" w:hAnsiTheme="minorHAnsi" w:cstheme="minorHAnsi"/>
        </w:rPr>
        <w:t xml:space="preserve">. </w:t>
      </w:r>
      <w:r w:rsidR="00577294" w:rsidRPr="00BB6F06">
        <w:rPr>
          <w:rFonts w:asciiTheme="minorHAnsi" w:hAnsiTheme="minorHAnsi" w:cstheme="minorHAnsi"/>
        </w:rPr>
        <w:t>Therefore, we could not use these samples to determine specificity of the method, as we could not determine if these samples were truly false positives. Instead, we tested hair from patients who were not taking DR-TB drugs. No DR-TB drugs were detected in these samples, indicating that the method is specific.</w:t>
      </w:r>
    </w:p>
    <w:p w14:paraId="3D5E763D" w14:textId="77777777" w:rsidR="00F17263" w:rsidRPr="00BB6F06" w:rsidRDefault="00F17263" w:rsidP="00BB6F06">
      <w:pPr>
        <w:rPr>
          <w:rFonts w:asciiTheme="minorHAnsi" w:hAnsiTheme="minorHAnsi" w:cstheme="minorHAnsi"/>
        </w:rPr>
      </w:pPr>
    </w:p>
    <w:p w14:paraId="53E8DE2D" w14:textId="6F9B8C33" w:rsidR="007A4DD6" w:rsidRPr="00BB6F06" w:rsidRDefault="00253147" w:rsidP="00BB6F06">
      <w:pPr>
        <w:rPr>
          <w:rFonts w:asciiTheme="minorHAnsi" w:hAnsiTheme="minorHAnsi" w:cstheme="minorHAnsi"/>
        </w:rPr>
      </w:pPr>
      <w:r w:rsidRPr="00BB6F06">
        <w:rPr>
          <w:rFonts w:asciiTheme="minorHAnsi" w:hAnsiTheme="minorHAnsi" w:cstheme="minorHAnsi"/>
        </w:rPr>
        <w:t>Although our method demonstra</w:t>
      </w:r>
      <w:r w:rsidR="00802366" w:rsidRPr="00BB6F06">
        <w:rPr>
          <w:rFonts w:asciiTheme="minorHAnsi" w:hAnsiTheme="minorHAnsi" w:cstheme="minorHAnsi"/>
        </w:rPr>
        <w:t>tes the utility of using hair</w:t>
      </w:r>
      <w:r w:rsidRPr="00BB6F06">
        <w:rPr>
          <w:rFonts w:asciiTheme="minorHAnsi" w:hAnsiTheme="minorHAnsi" w:cstheme="minorHAnsi"/>
        </w:rPr>
        <w:t xml:space="preserve"> in measuring DR-TB drugs, hair analysis has its own set of limitations. Because hair is a solid matrix, </w:t>
      </w:r>
      <w:r w:rsidR="00802366" w:rsidRPr="00BB6F06">
        <w:rPr>
          <w:rFonts w:asciiTheme="minorHAnsi" w:hAnsiTheme="minorHAnsi" w:cstheme="minorHAnsi"/>
        </w:rPr>
        <w:t>spiking of drug reference standards during method</w:t>
      </w:r>
      <w:r w:rsidR="00560BB1" w:rsidRPr="00BB6F06">
        <w:rPr>
          <w:rFonts w:asciiTheme="minorHAnsi" w:hAnsiTheme="minorHAnsi" w:cstheme="minorHAnsi"/>
        </w:rPr>
        <w:t xml:space="preserve"> validation does not allow </w:t>
      </w:r>
      <w:r w:rsidR="007A07EF" w:rsidRPr="00BB6F06">
        <w:rPr>
          <w:rFonts w:asciiTheme="minorHAnsi" w:hAnsiTheme="minorHAnsi" w:cstheme="minorHAnsi"/>
        </w:rPr>
        <w:t>for the standards’</w:t>
      </w:r>
      <w:r w:rsidR="00802366" w:rsidRPr="00BB6F06">
        <w:rPr>
          <w:rFonts w:asciiTheme="minorHAnsi" w:hAnsiTheme="minorHAnsi" w:cstheme="minorHAnsi"/>
        </w:rPr>
        <w:t xml:space="preserve"> full integration into the matrix as with urine and blood. Thus</w:t>
      </w:r>
      <w:r w:rsidR="00560BB1" w:rsidRPr="00BB6F06">
        <w:rPr>
          <w:rFonts w:asciiTheme="minorHAnsi" w:hAnsiTheme="minorHAnsi" w:cstheme="minorHAnsi"/>
        </w:rPr>
        <w:t>,</w:t>
      </w:r>
      <w:r w:rsidR="00802366" w:rsidRPr="00BB6F06">
        <w:rPr>
          <w:rFonts w:asciiTheme="minorHAnsi" w:hAnsiTheme="minorHAnsi" w:cstheme="minorHAnsi"/>
        </w:rPr>
        <w:t xml:space="preserve"> recovery assessment is limited to detection of drug after spiking </w:t>
      </w:r>
      <w:r w:rsidR="00B16294" w:rsidRPr="00BB6F06">
        <w:rPr>
          <w:rFonts w:asciiTheme="minorHAnsi" w:hAnsiTheme="minorHAnsi" w:cstheme="minorHAnsi"/>
        </w:rPr>
        <w:t>o</w:t>
      </w:r>
      <w:r w:rsidR="00802366" w:rsidRPr="00BB6F06">
        <w:rPr>
          <w:rFonts w:asciiTheme="minorHAnsi" w:hAnsiTheme="minorHAnsi" w:cstheme="minorHAnsi"/>
        </w:rPr>
        <w:t>nto the solid matrix</w:t>
      </w:r>
      <w:r w:rsidR="00B16294" w:rsidRPr="00BB6F06">
        <w:rPr>
          <w:rFonts w:asciiTheme="minorHAnsi" w:hAnsiTheme="minorHAnsi" w:cstheme="minorHAnsi"/>
        </w:rPr>
        <w:t>,</w:t>
      </w:r>
      <w:r w:rsidR="00802366" w:rsidRPr="00BB6F06">
        <w:rPr>
          <w:rFonts w:asciiTheme="minorHAnsi" w:hAnsiTheme="minorHAnsi" w:cstheme="minorHAnsi"/>
        </w:rPr>
        <w:t xml:space="preserve"> and not actual retrieval from the matrix. Likewise, because hair is an alternative matrix that is still being explored for testing, no readily available reference ranges for medications are available to assess method suitability. More pharmacokinetic studies on the incorporation of drugs into</w:t>
      </w:r>
      <w:r w:rsidR="00BB687F" w:rsidRPr="00BB6F06">
        <w:rPr>
          <w:rFonts w:asciiTheme="minorHAnsi" w:hAnsiTheme="minorHAnsi" w:cstheme="minorHAnsi"/>
        </w:rPr>
        <w:t xml:space="preserve"> hair will</w:t>
      </w:r>
      <w:r w:rsidR="00802366" w:rsidRPr="00BB6F06">
        <w:rPr>
          <w:rFonts w:asciiTheme="minorHAnsi" w:hAnsiTheme="minorHAnsi" w:cstheme="minorHAnsi"/>
        </w:rPr>
        <w:t xml:space="preserve"> be useful</w:t>
      </w:r>
      <w:r w:rsidR="00BB687F" w:rsidRPr="00BB6F06">
        <w:rPr>
          <w:rFonts w:asciiTheme="minorHAnsi" w:hAnsiTheme="minorHAnsi" w:cstheme="minorHAnsi"/>
        </w:rPr>
        <w:t xml:space="preserve"> to further understand the utility of hair drug levels in adherence monitoring.</w:t>
      </w:r>
      <w:r w:rsidR="00EB4709" w:rsidRPr="00BB6F06">
        <w:rPr>
          <w:rFonts w:asciiTheme="minorHAnsi" w:hAnsiTheme="minorHAnsi" w:cstheme="minorHAnsi"/>
        </w:rPr>
        <w:t xml:space="preserve"> </w:t>
      </w:r>
      <w:r w:rsidR="00457006" w:rsidRPr="00BB6F06">
        <w:rPr>
          <w:rFonts w:asciiTheme="minorHAnsi" w:hAnsiTheme="minorHAnsi" w:cstheme="minorHAnsi"/>
        </w:rPr>
        <w:t>Finally, the proper collection of</w:t>
      </w:r>
      <w:r w:rsidR="00EB4709" w:rsidRPr="00BB6F06">
        <w:rPr>
          <w:rFonts w:asciiTheme="minorHAnsi" w:hAnsiTheme="minorHAnsi" w:cstheme="minorHAnsi"/>
        </w:rPr>
        <w:t xml:space="preserve"> hair samples </w:t>
      </w:r>
      <w:r w:rsidR="00457006" w:rsidRPr="00BB6F06">
        <w:rPr>
          <w:rFonts w:asciiTheme="minorHAnsi" w:hAnsiTheme="minorHAnsi" w:cstheme="minorHAnsi"/>
        </w:rPr>
        <w:t xml:space="preserve">at field sites </w:t>
      </w:r>
      <w:r w:rsidR="00EB4709" w:rsidRPr="00BB6F06">
        <w:rPr>
          <w:rFonts w:asciiTheme="minorHAnsi" w:hAnsiTheme="minorHAnsi" w:cstheme="minorHAnsi"/>
        </w:rPr>
        <w:t xml:space="preserve">has its own unique challenges. While collection and storage of hair samples requires fewer resources than other biomatrices, care must be taken to </w:t>
      </w:r>
      <w:r w:rsidR="00457006" w:rsidRPr="00BB6F06">
        <w:rPr>
          <w:rFonts w:asciiTheme="minorHAnsi" w:hAnsiTheme="minorHAnsi" w:cstheme="minorHAnsi"/>
        </w:rPr>
        <w:t xml:space="preserve">identify </w:t>
      </w:r>
      <w:r w:rsidR="00EB4709" w:rsidRPr="00BB6F06">
        <w:rPr>
          <w:rFonts w:asciiTheme="minorHAnsi" w:hAnsiTheme="minorHAnsi" w:cstheme="minorHAnsi"/>
        </w:rPr>
        <w:t>the distal and proximal ends of any hair strands longer than 2 cm. Longer hair strands may have different drug concentrations along the strand</w:t>
      </w:r>
      <w:r w:rsidR="00457006" w:rsidRPr="00BB6F06">
        <w:rPr>
          <w:rFonts w:asciiTheme="minorHAnsi" w:hAnsiTheme="minorHAnsi" w:cstheme="minorHAnsi"/>
        </w:rPr>
        <w:t>, depending on medication use over time</w:t>
      </w:r>
      <w:r w:rsidR="00EB4709" w:rsidRPr="00BB6F06">
        <w:rPr>
          <w:rFonts w:asciiTheme="minorHAnsi" w:hAnsiTheme="minorHAnsi" w:cstheme="minorHAnsi"/>
        </w:rPr>
        <w:t>. Proper labeling allows for analysis of specific segments of the strands; in the case of our method, the three centimeters of hair closest to the scalp was used to determine the most recent data on medication adherence.</w:t>
      </w:r>
      <w:r w:rsidR="00457006" w:rsidRPr="00BB6F06">
        <w:rPr>
          <w:rFonts w:asciiTheme="minorHAnsi" w:hAnsiTheme="minorHAnsi" w:cstheme="minorHAnsi"/>
        </w:rPr>
        <w:t xml:space="preserve"> Proper labeling requires training and quality assurance procedures at the sites.</w:t>
      </w:r>
    </w:p>
    <w:p w14:paraId="26BDBED9" w14:textId="0C3503A3" w:rsidR="00457006" w:rsidRPr="00BB6F06" w:rsidRDefault="00457006" w:rsidP="00BB6F06">
      <w:pPr>
        <w:rPr>
          <w:rFonts w:asciiTheme="minorHAnsi" w:hAnsiTheme="minorHAnsi" w:cstheme="minorHAnsi"/>
        </w:rPr>
      </w:pPr>
    </w:p>
    <w:p w14:paraId="68D93943" w14:textId="71B28130" w:rsidR="00457006" w:rsidRPr="00BB6F06" w:rsidRDefault="00457006" w:rsidP="00BB6F06">
      <w:pPr>
        <w:rPr>
          <w:rFonts w:asciiTheme="minorHAnsi" w:hAnsiTheme="minorHAnsi" w:cstheme="minorHAnsi"/>
          <w:color w:val="808080" w:themeColor="background1" w:themeShade="80"/>
        </w:rPr>
      </w:pPr>
      <w:r w:rsidRPr="00BB6F06">
        <w:rPr>
          <w:rFonts w:asciiTheme="minorHAnsi" w:hAnsiTheme="minorHAnsi" w:cstheme="minorHAnsi"/>
        </w:rPr>
        <w:t>In summary, we have developed the first multi-analyte panel for analyzing TB medications used for DR-TB via LC-MS/MS in small hair samples.</w:t>
      </w:r>
      <w:r w:rsidR="00610E25">
        <w:rPr>
          <w:rFonts w:asciiTheme="minorHAnsi" w:hAnsiTheme="minorHAnsi" w:cstheme="minorHAnsi"/>
        </w:rPr>
        <w:t xml:space="preserve"> </w:t>
      </w:r>
      <w:r w:rsidRPr="00BB6F06">
        <w:rPr>
          <w:rFonts w:asciiTheme="minorHAnsi" w:hAnsiTheme="minorHAnsi" w:cstheme="minorHAnsi"/>
        </w:rPr>
        <w:t xml:space="preserve">Given the feasibility of collecting and storing hair in resource-limited settings, our method represents a </w:t>
      </w:r>
      <w:r w:rsidR="006267E0" w:rsidRPr="00BB6F06">
        <w:rPr>
          <w:rFonts w:asciiTheme="minorHAnsi" w:hAnsiTheme="minorHAnsi" w:cstheme="minorHAnsi"/>
        </w:rPr>
        <w:t xml:space="preserve">potentially </w:t>
      </w:r>
      <w:r w:rsidRPr="00BB6F06">
        <w:rPr>
          <w:rFonts w:asciiTheme="minorHAnsi" w:hAnsiTheme="minorHAnsi" w:cstheme="minorHAnsi"/>
        </w:rPr>
        <w:t xml:space="preserve">significant advance in the field of </w:t>
      </w:r>
      <w:r w:rsidR="006267E0" w:rsidRPr="00BB6F06">
        <w:rPr>
          <w:rFonts w:asciiTheme="minorHAnsi" w:hAnsiTheme="minorHAnsi" w:cstheme="minorHAnsi"/>
        </w:rPr>
        <w:t xml:space="preserve">TB </w:t>
      </w:r>
      <w:r w:rsidRPr="00BB6F06">
        <w:rPr>
          <w:rFonts w:asciiTheme="minorHAnsi" w:hAnsiTheme="minorHAnsi" w:cstheme="minorHAnsi"/>
        </w:rPr>
        <w:t>therapeutic drug monitoring</w:t>
      </w:r>
      <w:r w:rsidR="00577294" w:rsidRPr="00BB6F06">
        <w:rPr>
          <w:rFonts w:asciiTheme="minorHAnsi" w:hAnsiTheme="minorHAnsi" w:cstheme="minorHAnsi"/>
        </w:rPr>
        <w:t xml:space="preserve">. </w:t>
      </w:r>
      <w:r w:rsidR="006267E0" w:rsidRPr="00BB6F06">
        <w:rPr>
          <w:rFonts w:asciiTheme="minorHAnsi" w:hAnsiTheme="minorHAnsi" w:cstheme="minorHAnsi"/>
        </w:rPr>
        <w:t xml:space="preserve">Objective measures of drug exposure that </w:t>
      </w:r>
      <w:proofErr w:type="gramStart"/>
      <w:r w:rsidR="006267E0" w:rsidRPr="00BB6F06">
        <w:rPr>
          <w:rFonts w:asciiTheme="minorHAnsi" w:hAnsiTheme="minorHAnsi" w:cstheme="minorHAnsi"/>
        </w:rPr>
        <w:t>take into account</w:t>
      </w:r>
      <w:proofErr w:type="gramEnd"/>
      <w:r w:rsidR="006267E0" w:rsidRPr="00BB6F06">
        <w:rPr>
          <w:rFonts w:asciiTheme="minorHAnsi" w:hAnsiTheme="minorHAnsi" w:cstheme="minorHAnsi"/>
        </w:rPr>
        <w:t xml:space="preserve"> both adherence and individual </w:t>
      </w:r>
      <w:r w:rsidR="007D6824" w:rsidRPr="00BB6F06">
        <w:rPr>
          <w:rFonts w:asciiTheme="minorHAnsi" w:hAnsiTheme="minorHAnsi" w:cstheme="minorHAnsi"/>
        </w:rPr>
        <w:t>pharmacokinetic</w:t>
      </w:r>
      <w:r w:rsidR="006267E0" w:rsidRPr="00BB6F06">
        <w:rPr>
          <w:rFonts w:asciiTheme="minorHAnsi" w:hAnsiTheme="minorHAnsi" w:cstheme="minorHAnsi"/>
        </w:rPr>
        <w:t xml:space="preserve"> variability may provide early indication of </w:t>
      </w:r>
      <w:r w:rsidR="00577294" w:rsidRPr="00BB6F06">
        <w:rPr>
          <w:rFonts w:asciiTheme="minorHAnsi" w:hAnsiTheme="minorHAnsi" w:cstheme="minorHAnsi"/>
        </w:rPr>
        <w:t xml:space="preserve">ineffective </w:t>
      </w:r>
      <w:r w:rsidR="006267E0" w:rsidRPr="00BB6F06">
        <w:rPr>
          <w:rFonts w:asciiTheme="minorHAnsi" w:hAnsiTheme="minorHAnsi" w:cstheme="minorHAnsi"/>
        </w:rPr>
        <w:t>treatment</w:t>
      </w:r>
      <w:r w:rsidR="00577294" w:rsidRPr="00BB6F06">
        <w:rPr>
          <w:rFonts w:asciiTheme="minorHAnsi" w:hAnsiTheme="minorHAnsi" w:cstheme="minorHAnsi"/>
        </w:rPr>
        <w:t xml:space="preserve"> regimens</w:t>
      </w:r>
      <w:r w:rsidR="006267E0" w:rsidRPr="00BB6F06">
        <w:rPr>
          <w:rFonts w:asciiTheme="minorHAnsi" w:hAnsiTheme="minorHAnsi" w:cstheme="minorHAnsi"/>
        </w:rPr>
        <w:t>, thereby aiding both individual treatment as well as limiting community</w:t>
      </w:r>
      <w:r w:rsidR="00577294" w:rsidRPr="00BB6F06">
        <w:rPr>
          <w:rFonts w:asciiTheme="minorHAnsi" w:hAnsiTheme="minorHAnsi" w:cstheme="minorHAnsi"/>
        </w:rPr>
        <w:t xml:space="preserve"> </w:t>
      </w:r>
      <w:r w:rsidR="006267E0" w:rsidRPr="00BB6F06">
        <w:rPr>
          <w:rFonts w:asciiTheme="minorHAnsi" w:hAnsiTheme="minorHAnsi" w:cstheme="minorHAnsi"/>
        </w:rPr>
        <w:t>transmission</w:t>
      </w:r>
      <w:r w:rsidR="00577294" w:rsidRPr="00BB6F06">
        <w:rPr>
          <w:rFonts w:asciiTheme="minorHAnsi" w:hAnsiTheme="minorHAnsi" w:cstheme="minorHAnsi"/>
        </w:rPr>
        <w:t xml:space="preserve"> of DR-TB</w:t>
      </w:r>
      <w:r w:rsidR="007D6824" w:rsidRPr="00BB6F06">
        <w:rPr>
          <w:rFonts w:asciiTheme="minorHAnsi" w:hAnsiTheme="minorHAnsi" w:cstheme="minorHAnsi"/>
          <w:vertAlign w:val="superscript"/>
        </w:rPr>
        <w:t>24</w:t>
      </w:r>
      <w:r w:rsidR="00577294" w:rsidRPr="00BB6F06">
        <w:rPr>
          <w:rFonts w:asciiTheme="minorHAnsi" w:hAnsiTheme="minorHAnsi" w:cstheme="minorHAnsi"/>
        </w:rPr>
        <w:t>.</w:t>
      </w:r>
    </w:p>
    <w:p w14:paraId="78728D18" w14:textId="706614AE" w:rsidR="00014314" w:rsidRPr="00BB6F06" w:rsidRDefault="00014314" w:rsidP="00BB6F06">
      <w:pPr>
        <w:rPr>
          <w:rFonts w:asciiTheme="minorHAnsi" w:hAnsiTheme="minorHAnsi" w:cstheme="minorHAnsi"/>
          <w:color w:val="auto"/>
        </w:rPr>
      </w:pPr>
    </w:p>
    <w:p w14:paraId="1734505F" w14:textId="1D259478" w:rsidR="00AA03DF" w:rsidRPr="00BB6F06" w:rsidRDefault="00AA03DF" w:rsidP="00BB6F06">
      <w:pPr>
        <w:pStyle w:val="NormalWeb"/>
        <w:spacing w:before="0" w:beforeAutospacing="0" w:after="0" w:afterAutospacing="0"/>
        <w:rPr>
          <w:rFonts w:asciiTheme="minorHAnsi" w:hAnsiTheme="minorHAnsi" w:cstheme="minorHAnsi"/>
          <w:color w:val="808080"/>
        </w:rPr>
      </w:pPr>
      <w:r w:rsidRPr="00BB6F06">
        <w:rPr>
          <w:rFonts w:asciiTheme="minorHAnsi" w:hAnsiTheme="minorHAnsi" w:cstheme="minorHAnsi"/>
          <w:b/>
          <w:bCs/>
        </w:rPr>
        <w:t xml:space="preserve">ACKNOWLEDGMENTS: </w:t>
      </w:r>
    </w:p>
    <w:p w14:paraId="4E31B25C" w14:textId="44F01DEC" w:rsidR="00B16294" w:rsidRPr="00BB6F06" w:rsidRDefault="00BB687F" w:rsidP="00BB6F06">
      <w:pPr>
        <w:rPr>
          <w:rFonts w:asciiTheme="minorHAnsi" w:hAnsiTheme="minorHAnsi" w:cstheme="minorHAnsi"/>
        </w:rPr>
      </w:pPr>
      <w:r w:rsidRPr="00BB6F06">
        <w:rPr>
          <w:rFonts w:asciiTheme="minorHAnsi" w:hAnsiTheme="minorHAnsi" w:cstheme="minorHAnsi"/>
        </w:rPr>
        <w:t xml:space="preserve">The authors would like to thank Professor </w:t>
      </w:r>
      <w:proofErr w:type="spellStart"/>
      <w:r w:rsidRPr="00BB6F06">
        <w:rPr>
          <w:rFonts w:asciiTheme="minorHAnsi" w:hAnsiTheme="minorHAnsi" w:cstheme="minorHAnsi"/>
        </w:rPr>
        <w:t>Keertan</w:t>
      </w:r>
      <w:proofErr w:type="spellEnd"/>
      <w:r w:rsidRPr="00BB6F06">
        <w:rPr>
          <w:rFonts w:asciiTheme="minorHAnsi" w:hAnsiTheme="minorHAnsi" w:cstheme="minorHAnsi"/>
        </w:rPr>
        <w:t xml:space="preserve"> </w:t>
      </w:r>
      <w:proofErr w:type="spellStart"/>
      <w:r w:rsidRPr="00BB6F06">
        <w:rPr>
          <w:rFonts w:asciiTheme="minorHAnsi" w:hAnsiTheme="minorHAnsi" w:cstheme="minorHAnsi"/>
        </w:rPr>
        <w:t>Dheda</w:t>
      </w:r>
      <w:proofErr w:type="spellEnd"/>
      <w:r w:rsidR="00B16294" w:rsidRPr="00BB6F06">
        <w:rPr>
          <w:rFonts w:asciiTheme="minorHAnsi" w:hAnsiTheme="minorHAnsi" w:cstheme="minorHAnsi"/>
        </w:rPr>
        <w:t xml:space="preserve">, </w:t>
      </w:r>
      <w:r w:rsidRPr="00BB6F06">
        <w:rPr>
          <w:rFonts w:asciiTheme="minorHAnsi" w:hAnsiTheme="minorHAnsi" w:cstheme="minorHAnsi"/>
        </w:rPr>
        <w:t xml:space="preserve">Dr. Ali </w:t>
      </w:r>
      <w:proofErr w:type="spellStart"/>
      <w:r w:rsidRPr="00BB6F06">
        <w:rPr>
          <w:rFonts w:asciiTheme="minorHAnsi" w:hAnsiTheme="minorHAnsi" w:cstheme="minorHAnsi"/>
        </w:rPr>
        <w:t>Esmail</w:t>
      </w:r>
      <w:proofErr w:type="spellEnd"/>
      <w:r w:rsidR="00B16294" w:rsidRPr="00BB6F06">
        <w:rPr>
          <w:rFonts w:asciiTheme="minorHAnsi" w:hAnsiTheme="minorHAnsi" w:cstheme="minorHAnsi"/>
        </w:rPr>
        <w:t xml:space="preserve">, and </w:t>
      </w:r>
      <w:proofErr w:type="spellStart"/>
      <w:r w:rsidR="00B16294" w:rsidRPr="00BB6F06">
        <w:rPr>
          <w:rFonts w:asciiTheme="minorHAnsi" w:hAnsiTheme="minorHAnsi" w:cstheme="minorHAnsi"/>
        </w:rPr>
        <w:t>Marietjie</w:t>
      </w:r>
      <w:proofErr w:type="spellEnd"/>
      <w:r w:rsidR="00B16294" w:rsidRPr="00BB6F06">
        <w:rPr>
          <w:rFonts w:asciiTheme="minorHAnsi" w:hAnsiTheme="minorHAnsi" w:cstheme="minorHAnsi"/>
        </w:rPr>
        <w:t xml:space="preserve"> Pretorius</w:t>
      </w:r>
    </w:p>
    <w:p w14:paraId="192F1D8D" w14:textId="0AF51FAB" w:rsidR="00BB687F" w:rsidRPr="00BB6F06" w:rsidRDefault="00BB687F" w:rsidP="00BB6F06">
      <w:pPr>
        <w:rPr>
          <w:rFonts w:asciiTheme="minorHAnsi" w:hAnsiTheme="minorHAnsi" w:cstheme="minorHAnsi"/>
          <w:b/>
        </w:rPr>
      </w:pPr>
      <w:r w:rsidRPr="00BB6F06">
        <w:rPr>
          <w:rFonts w:asciiTheme="minorHAnsi" w:hAnsiTheme="minorHAnsi" w:cstheme="minorHAnsi"/>
        </w:rPr>
        <w:lastRenderedPageBreak/>
        <w:t>at the University of Cape Town Lung Institute who facilitated the collection of hair samples for the study. The authors further gratefully acknowledge the contributions of the participants of this study.</w:t>
      </w:r>
      <w:r w:rsidRPr="00BB6F06">
        <w:rPr>
          <w:rFonts w:asciiTheme="minorHAnsi" w:hAnsiTheme="minorHAnsi" w:cstheme="minorHAnsi"/>
          <w:b/>
        </w:rPr>
        <w:t xml:space="preserve"> </w:t>
      </w:r>
    </w:p>
    <w:p w14:paraId="2D96E92E" w14:textId="72F287DC" w:rsidR="00AA03DF" w:rsidRPr="00BB6F06" w:rsidRDefault="00AA03DF" w:rsidP="00BB6F06">
      <w:pPr>
        <w:rPr>
          <w:rFonts w:asciiTheme="minorHAnsi" w:hAnsiTheme="minorHAnsi" w:cstheme="minorHAnsi"/>
          <w:b/>
          <w:bCs/>
        </w:rPr>
      </w:pPr>
    </w:p>
    <w:p w14:paraId="5D52ED8B" w14:textId="6A94F372" w:rsidR="00AA03DF" w:rsidRPr="00BB6F06" w:rsidRDefault="00AA03DF" w:rsidP="00BB6F06">
      <w:pPr>
        <w:pStyle w:val="NormalWeb"/>
        <w:spacing w:before="0" w:beforeAutospacing="0" w:after="0" w:afterAutospacing="0"/>
        <w:rPr>
          <w:rFonts w:asciiTheme="minorHAnsi" w:hAnsiTheme="minorHAnsi" w:cstheme="minorHAnsi"/>
          <w:color w:val="808080"/>
        </w:rPr>
      </w:pPr>
      <w:r w:rsidRPr="00BB6F06">
        <w:rPr>
          <w:rFonts w:asciiTheme="minorHAnsi" w:hAnsiTheme="minorHAnsi" w:cstheme="minorHAnsi"/>
          <w:b/>
        </w:rPr>
        <w:t>DISCLOSURES</w:t>
      </w:r>
      <w:r w:rsidRPr="00BB6F06">
        <w:rPr>
          <w:rFonts w:asciiTheme="minorHAnsi" w:hAnsiTheme="minorHAnsi" w:cstheme="minorHAnsi"/>
          <w:b/>
          <w:bCs/>
        </w:rPr>
        <w:t xml:space="preserve"> </w:t>
      </w:r>
    </w:p>
    <w:p w14:paraId="04AEAEFB" w14:textId="7E2FB955" w:rsidR="00BB687F" w:rsidRPr="00BB6F06" w:rsidRDefault="00BB687F" w:rsidP="00BB6F06">
      <w:pPr>
        <w:rPr>
          <w:rFonts w:asciiTheme="minorHAnsi" w:hAnsiTheme="minorHAnsi" w:cstheme="minorHAnsi"/>
        </w:rPr>
      </w:pPr>
      <w:r w:rsidRPr="00BB6F06">
        <w:rPr>
          <w:rFonts w:asciiTheme="minorHAnsi" w:hAnsiTheme="minorHAnsi" w:cstheme="minorHAnsi"/>
        </w:rPr>
        <w:t>This work was supported by the National Institute of Allergy and Infectious Diseases RO1 AI123024 (Co-PIs: John Metcalfe and Monica Gandhi).</w:t>
      </w:r>
    </w:p>
    <w:p w14:paraId="66030076" w14:textId="77777777" w:rsidR="00AA03DF" w:rsidRPr="00BB6F06" w:rsidRDefault="00AA03DF" w:rsidP="00BB6F06">
      <w:pPr>
        <w:rPr>
          <w:rFonts w:asciiTheme="minorHAnsi" w:hAnsiTheme="minorHAnsi" w:cstheme="minorHAnsi"/>
          <w:color w:val="auto"/>
        </w:rPr>
      </w:pPr>
    </w:p>
    <w:p w14:paraId="1B3E93F2" w14:textId="3F2C1F5D" w:rsidR="00E1545B" w:rsidRPr="00BB6F06" w:rsidRDefault="009726EE" w:rsidP="00BB6F06">
      <w:pPr>
        <w:rPr>
          <w:rFonts w:asciiTheme="minorHAnsi" w:hAnsiTheme="minorHAnsi" w:cstheme="minorHAnsi"/>
          <w:b/>
          <w:color w:val="000000" w:themeColor="text1"/>
        </w:rPr>
      </w:pPr>
      <w:r w:rsidRPr="00BB6F06">
        <w:rPr>
          <w:rFonts w:asciiTheme="minorHAnsi" w:hAnsiTheme="minorHAnsi" w:cstheme="minorHAnsi"/>
          <w:b/>
          <w:bCs/>
        </w:rPr>
        <w:t>REFERENCES</w:t>
      </w:r>
      <w:r w:rsidR="00D04760" w:rsidRPr="00BB6F06">
        <w:rPr>
          <w:rFonts w:asciiTheme="minorHAnsi" w:hAnsiTheme="minorHAnsi" w:cstheme="minorHAnsi"/>
          <w:b/>
          <w:bCs/>
        </w:rPr>
        <w:t>:</w:t>
      </w:r>
      <w:r w:rsidRPr="00BB6F06">
        <w:rPr>
          <w:rFonts w:asciiTheme="minorHAnsi" w:hAnsiTheme="minorHAnsi" w:cstheme="minorHAnsi"/>
        </w:rPr>
        <w:t xml:space="preserve"> </w:t>
      </w:r>
    </w:p>
    <w:p w14:paraId="4ABE76F7" w14:textId="3DF11DDD" w:rsidR="00E1545B" w:rsidRPr="00BB6F06" w:rsidRDefault="00E1545B" w:rsidP="00BB6F06">
      <w:pPr>
        <w:pStyle w:val="ListParagraph"/>
        <w:numPr>
          <w:ilvl w:val="0"/>
          <w:numId w:val="30"/>
        </w:numPr>
        <w:ind w:left="0" w:firstLine="0"/>
        <w:rPr>
          <w:rFonts w:asciiTheme="minorHAnsi" w:hAnsiTheme="minorHAnsi" w:cstheme="minorHAnsi"/>
        </w:rPr>
      </w:pPr>
      <w:r w:rsidRPr="00BB6F06">
        <w:rPr>
          <w:rFonts w:asciiTheme="minorHAnsi" w:hAnsiTheme="minorHAnsi" w:cstheme="minorHAnsi"/>
        </w:rPr>
        <w:t xml:space="preserve">Global Tuberculosis Control 2017, WHO, Geneva, 2017. Available at </w:t>
      </w:r>
      <w:hyperlink r:id="rId8" w:history="1">
        <w:r w:rsidRPr="00BB6F06">
          <w:rPr>
            <w:rFonts w:asciiTheme="minorHAnsi" w:hAnsiTheme="minorHAnsi" w:cstheme="minorHAnsi"/>
          </w:rPr>
          <w:t>www.who.int/tb/publications/global_report/en/</w:t>
        </w:r>
      </w:hyperlink>
      <w:r w:rsidR="00DA74CB">
        <w:rPr>
          <w:rFonts w:asciiTheme="minorHAnsi" w:hAnsiTheme="minorHAnsi" w:cstheme="minorHAnsi"/>
          <w:color w:val="202020"/>
          <w:shd w:val="clear" w:color="auto" w:fill="FFFFFF"/>
        </w:rPr>
        <w:t>(2017).</w:t>
      </w:r>
    </w:p>
    <w:p w14:paraId="07E6C996" w14:textId="34B31984" w:rsidR="00E1545B" w:rsidRPr="00BB6F06" w:rsidRDefault="00C612FE" w:rsidP="00BB6F06">
      <w:pPr>
        <w:pStyle w:val="ListParagraph"/>
        <w:numPr>
          <w:ilvl w:val="0"/>
          <w:numId w:val="30"/>
        </w:numPr>
        <w:ind w:left="0" w:firstLine="0"/>
        <w:rPr>
          <w:rFonts w:asciiTheme="minorHAnsi" w:hAnsiTheme="minorHAnsi" w:cstheme="minorHAnsi"/>
        </w:rPr>
      </w:pPr>
      <w:r w:rsidRPr="00BB6F06">
        <w:rPr>
          <w:rFonts w:cs="Helvetica Neue"/>
          <w:color w:val="262626"/>
        </w:rPr>
        <w:t xml:space="preserve">“Tuberculosis”, WHO, Geneva. 2017. Available at </w:t>
      </w:r>
      <w:hyperlink r:id="rId9" w:history="1">
        <w:r w:rsidRPr="00BB6F06">
          <w:rPr>
            <w:rFonts w:cs="Helvetica Neue"/>
          </w:rPr>
          <w:t>www.who.int/mediacentre/factsheets/fs104/en/</w:t>
        </w:r>
      </w:hyperlink>
      <w:r w:rsidR="00DA74CB">
        <w:rPr>
          <w:rFonts w:asciiTheme="minorHAnsi" w:hAnsiTheme="minorHAnsi" w:cstheme="minorHAnsi"/>
          <w:color w:val="202020"/>
          <w:shd w:val="clear" w:color="auto" w:fill="FFFFFF"/>
        </w:rPr>
        <w:t xml:space="preserve"> (201</w:t>
      </w:r>
      <w:r w:rsidR="00DA74CB">
        <w:rPr>
          <w:rFonts w:asciiTheme="minorHAnsi" w:hAnsiTheme="minorHAnsi" w:cstheme="minorHAnsi"/>
          <w:color w:val="202020"/>
          <w:shd w:val="clear" w:color="auto" w:fill="FFFFFF"/>
        </w:rPr>
        <w:t>7</w:t>
      </w:r>
      <w:r w:rsidR="00DA74CB">
        <w:rPr>
          <w:rFonts w:asciiTheme="minorHAnsi" w:hAnsiTheme="minorHAnsi" w:cstheme="minorHAnsi"/>
          <w:color w:val="202020"/>
          <w:shd w:val="clear" w:color="auto" w:fill="FFFFFF"/>
        </w:rPr>
        <w:t>).</w:t>
      </w:r>
    </w:p>
    <w:p w14:paraId="3BD02987" w14:textId="3A19664E" w:rsidR="00E1545B" w:rsidRPr="00BB6F06" w:rsidRDefault="00E1545B" w:rsidP="00BB6F06">
      <w:pPr>
        <w:pStyle w:val="ListParagraph"/>
        <w:numPr>
          <w:ilvl w:val="0"/>
          <w:numId w:val="30"/>
        </w:numPr>
        <w:ind w:left="0" w:firstLine="0"/>
        <w:rPr>
          <w:rFonts w:asciiTheme="minorHAnsi" w:hAnsiTheme="minorHAnsi" w:cstheme="minorHAnsi"/>
        </w:rPr>
      </w:pPr>
      <w:proofErr w:type="spellStart"/>
      <w:r w:rsidRPr="00BB6F06">
        <w:rPr>
          <w:rFonts w:asciiTheme="minorHAnsi" w:hAnsiTheme="minorHAnsi" w:cstheme="minorHAnsi"/>
        </w:rPr>
        <w:t>Kurbatova</w:t>
      </w:r>
      <w:proofErr w:type="spellEnd"/>
      <w:r w:rsidR="00DA74CB">
        <w:rPr>
          <w:rFonts w:asciiTheme="minorHAnsi" w:hAnsiTheme="minorHAnsi" w:cstheme="minorHAnsi"/>
        </w:rPr>
        <w:t xml:space="preserve">, E.V. et al. </w:t>
      </w:r>
      <w:r w:rsidRPr="00BB6F06">
        <w:rPr>
          <w:rFonts w:asciiTheme="minorHAnsi" w:hAnsiTheme="minorHAnsi" w:cstheme="minorHAnsi"/>
        </w:rPr>
        <w:t xml:space="preserve">Predictors of poor outcomes among patients treated for multidrug-resistant tuberculosis at DOTS-plus projects. </w:t>
      </w:r>
      <w:r w:rsidRPr="00A720C4">
        <w:rPr>
          <w:rFonts w:asciiTheme="minorHAnsi" w:hAnsiTheme="minorHAnsi" w:cstheme="minorHAnsi"/>
          <w:i/>
          <w:iCs/>
        </w:rPr>
        <w:t>Tuberculosis (</w:t>
      </w:r>
      <w:proofErr w:type="spellStart"/>
      <w:r w:rsidRPr="00A720C4">
        <w:rPr>
          <w:rFonts w:asciiTheme="minorHAnsi" w:hAnsiTheme="minorHAnsi" w:cstheme="minorHAnsi"/>
          <w:i/>
          <w:iCs/>
        </w:rPr>
        <w:t>Edinb</w:t>
      </w:r>
      <w:proofErr w:type="spellEnd"/>
      <w:r w:rsidRPr="00A720C4">
        <w:rPr>
          <w:rFonts w:asciiTheme="minorHAnsi" w:hAnsiTheme="minorHAnsi" w:cstheme="minorHAnsi"/>
          <w:i/>
          <w:iCs/>
        </w:rPr>
        <w:t>)</w:t>
      </w:r>
      <w:r w:rsidR="00A720C4" w:rsidRPr="00A720C4">
        <w:rPr>
          <w:rFonts w:asciiTheme="minorHAnsi" w:hAnsiTheme="minorHAnsi" w:cstheme="minorHAnsi"/>
          <w:i/>
          <w:iCs/>
        </w:rPr>
        <w:t>.</w:t>
      </w:r>
      <w:r w:rsidRPr="00BB6F06">
        <w:rPr>
          <w:rFonts w:asciiTheme="minorHAnsi" w:hAnsiTheme="minorHAnsi" w:cstheme="minorHAnsi"/>
        </w:rPr>
        <w:t xml:space="preserve"> </w:t>
      </w:r>
      <w:r w:rsidRPr="00A720C4">
        <w:rPr>
          <w:rFonts w:asciiTheme="minorHAnsi" w:hAnsiTheme="minorHAnsi" w:cstheme="minorHAnsi"/>
          <w:b/>
          <w:bCs/>
          <w:color w:val="202020"/>
          <w:shd w:val="clear" w:color="auto" w:fill="FFFFFF"/>
        </w:rPr>
        <w:t>92</w:t>
      </w:r>
      <w:r w:rsidR="00A720C4">
        <w:rPr>
          <w:rFonts w:asciiTheme="minorHAnsi" w:hAnsiTheme="minorHAnsi" w:cstheme="minorHAnsi"/>
        </w:rPr>
        <w:t>,</w:t>
      </w:r>
      <w:r w:rsidRPr="00BB6F06">
        <w:rPr>
          <w:rFonts w:asciiTheme="minorHAnsi" w:hAnsiTheme="minorHAnsi" w:cstheme="minorHAnsi"/>
        </w:rPr>
        <w:t xml:space="preserve"> 397–403</w:t>
      </w:r>
      <w:r w:rsidR="00DA74CB">
        <w:rPr>
          <w:rFonts w:asciiTheme="minorHAnsi" w:hAnsiTheme="minorHAnsi" w:cstheme="minorHAnsi"/>
          <w:color w:val="202020"/>
          <w:shd w:val="clear" w:color="auto" w:fill="FFFFFF"/>
        </w:rPr>
        <w:t xml:space="preserve"> (</w:t>
      </w:r>
      <w:r w:rsidR="00DA74CB">
        <w:rPr>
          <w:rFonts w:asciiTheme="minorHAnsi" w:hAnsiTheme="minorHAnsi" w:cstheme="minorHAnsi"/>
          <w:color w:val="202020"/>
          <w:shd w:val="clear" w:color="auto" w:fill="FFFFFF"/>
        </w:rPr>
        <w:t>2012</w:t>
      </w:r>
      <w:r w:rsidR="00DA74CB">
        <w:rPr>
          <w:rFonts w:asciiTheme="minorHAnsi" w:hAnsiTheme="minorHAnsi" w:cstheme="minorHAnsi"/>
          <w:color w:val="202020"/>
          <w:shd w:val="clear" w:color="auto" w:fill="FFFFFF"/>
        </w:rPr>
        <w:t>).</w:t>
      </w:r>
    </w:p>
    <w:p w14:paraId="55C484EE" w14:textId="47F98CC9" w:rsidR="00401110" w:rsidRPr="00BB6F06" w:rsidRDefault="00401110" w:rsidP="00BB6F06">
      <w:pPr>
        <w:pStyle w:val="ListParagraph"/>
        <w:numPr>
          <w:ilvl w:val="0"/>
          <w:numId w:val="30"/>
        </w:numPr>
        <w:ind w:left="0" w:firstLine="0"/>
        <w:rPr>
          <w:rFonts w:asciiTheme="minorHAnsi" w:hAnsiTheme="minorHAnsi" w:cstheme="minorHAnsi"/>
        </w:rPr>
      </w:pPr>
      <w:proofErr w:type="spellStart"/>
      <w:r w:rsidRPr="00BB6F06">
        <w:rPr>
          <w:rFonts w:cs="Arial"/>
          <w:bCs/>
        </w:rPr>
        <w:t>Dheda</w:t>
      </w:r>
      <w:proofErr w:type="spellEnd"/>
      <w:r w:rsidR="00DA74CB">
        <w:rPr>
          <w:rFonts w:cs="Arial"/>
          <w:bCs/>
        </w:rPr>
        <w:t>,</w:t>
      </w:r>
      <w:r w:rsidRPr="00BB6F06">
        <w:rPr>
          <w:rFonts w:cs="Arial"/>
        </w:rPr>
        <w:t xml:space="preserve"> K</w:t>
      </w:r>
      <w:r w:rsidR="00DA74CB">
        <w:rPr>
          <w:rFonts w:asciiTheme="minorHAnsi" w:hAnsiTheme="minorHAnsi" w:cstheme="minorHAnsi"/>
        </w:rPr>
        <w:t>. et al.</w:t>
      </w:r>
      <w:r w:rsidR="00DA74CB">
        <w:rPr>
          <w:rFonts w:asciiTheme="minorHAnsi" w:hAnsiTheme="minorHAnsi" w:cstheme="minorHAnsi"/>
        </w:rPr>
        <w:t xml:space="preserve"> </w:t>
      </w:r>
      <w:r w:rsidRPr="00BB6F06">
        <w:rPr>
          <w:rFonts w:cs="Arial"/>
        </w:rPr>
        <w:t xml:space="preserve">The epidemiology, pathogenesis, transmission, diagnosis, and management of multidrug-resistant, extensively drug-resistant, and incurable tuberculosis. </w:t>
      </w:r>
      <w:r w:rsidRPr="00BB6F06">
        <w:rPr>
          <w:rFonts w:cs="Arial"/>
          <w:bCs/>
          <w:i/>
        </w:rPr>
        <w:t>Lancet Respir</w:t>
      </w:r>
      <w:r w:rsidR="00132F91" w:rsidRPr="00BB6F06">
        <w:rPr>
          <w:rFonts w:cs="Arial"/>
          <w:bCs/>
          <w:i/>
        </w:rPr>
        <w:t>atory</w:t>
      </w:r>
      <w:r w:rsidRPr="00BB6F06">
        <w:rPr>
          <w:rFonts w:cs="Arial"/>
          <w:bCs/>
          <w:i/>
        </w:rPr>
        <w:t xml:space="preserve"> Med</w:t>
      </w:r>
      <w:r w:rsidR="00132F91" w:rsidRPr="00BB6F06">
        <w:rPr>
          <w:rFonts w:cs="Arial"/>
          <w:bCs/>
          <w:i/>
        </w:rPr>
        <w:t>icine</w:t>
      </w:r>
      <w:r w:rsidRPr="00BB6F06">
        <w:rPr>
          <w:rFonts w:cs="Arial"/>
          <w:i/>
        </w:rPr>
        <w:t>.</w:t>
      </w:r>
      <w:r w:rsidRPr="00BB6F06">
        <w:rPr>
          <w:rFonts w:cs="Arial"/>
        </w:rPr>
        <w:t xml:space="preserve"> </w:t>
      </w:r>
      <w:r w:rsidR="00DA74CB">
        <w:rPr>
          <w:rFonts w:asciiTheme="minorHAnsi" w:hAnsiTheme="minorHAnsi" w:cstheme="minorHAnsi"/>
          <w:color w:val="202020"/>
          <w:shd w:val="clear" w:color="auto" w:fill="FFFFFF"/>
        </w:rPr>
        <w:t>(</w:t>
      </w:r>
      <w:r w:rsidR="00DA74CB">
        <w:rPr>
          <w:rFonts w:asciiTheme="minorHAnsi" w:hAnsiTheme="minorHAnsi" w:cstheme="minorHAnsi"/>
          <w:color w:val="202020"/>
          <w:shd w:val="clear" w:color="auto" w:fill="FFFFFF"/>
        </w:rPr>
        <w:t>2017</w:t>
      </w:r>
      <w:r w:rsidR="00DA74CB">
        <w:rPr>
          <w:rFonts w:asciiTheme="minorHAnsi" w:hAnsiTheme="minorHAnsi" w:cstheme="minorHAnsi"/>
          <w:color w:val="202020"/>
          <w:shd w:val="clear" w:color="auto" w:fill="FFFFFF"/>
        </w:rPr>
        <w:t>).</w:t>
      </w:r>
    </w:p>
    <w:p w14:paraId="3BD5F610" w14:textId="23004F1C" w:rsidR="00E1545B" w:rsidRPr="00BB6F06" w:rsidRDefault="00E1545B" w:rsidP="00BB6F06">
      <w:pPr>
        <w:pStyle w:val="ListParagraph"/>
        <w:numPr>
          <w:ilvl w:val="0"/>
          <w:numId w:val="30"/>
        </w:numPr>
        <w:ind w:left="0" w:firstLine="0"/>
        <w:rPr>
          <w:rFonts w:asciiTheme="minorHAnsi" w:hAnsiTheme="minorHAnsi" w:cstheme="minorHAnsi"/>
        </w:rPr>
      </w:pPr>
      <w:r w:rsidRPr="00BB6F06">
        <w:rPr>
          <w:rFonts w:asciiTheme="minorHAnsi" w:hAnsiTheme="minorHAnsi" w:cstheme="minorHAnsi"/>
          <w:noProof/>
        </w:rPr>
        <w:t>Berg</w:t>
      </w:r>
      <w:r w:rsidR="00A720C4">
        <w:rPr>
          <w:rFonts w:asciiTheme="minorHAnsi" w:hAnsiTheme="minorHAnsi" w:cstheme="minorHAnsi"/>
          <w:noProof/>
        </w:rPr>
        <w:t>,</w:t>
      </w:r>
      <w:r w:rsidRPr="00BB6F06">
        <w:rPr>
          <w:rFonts w:asciiTheme="minorHAnsi" w:hAnsiTheme="minorHAnsi" w:cstheme="minorHAnsi"/>
          <w:noProof/>
        </w:rPr>
        <w:t xml:space="preserve"> K</w:t>
      </w:r>
      <w:r w:rsidR="00A720C4">
        <w:rPr>
          <w:rFonts w:asciiTheme="minorHAnsi" w:hAnsiTheme="minorHAnsi" w:cstheme="minorHAnsi"/>
          <w:noProof/>
        </w:rPr>
        <w:t>.</w:t>
      </w:r>
      <w:r w:rsidRPr="00BB6F06">
        <w:rPr>
          <w:rFonts w:asciiTheme="minorHAnsi" w:hAnsiTheme="minorHAnsi" w:cstheme="minorHAnsi"/>
          <w:noProof/>
        </w:rPr>
        <w:t>M</w:t>
      </w:r>
      <w:r w:rsidR="00A720C4">
        <w:rPr>
          <w:rFonts w:asciiTheme="minorHAnsi" w:hAnsiTheme="minorHAnsi" w:cstheme="minorHAnsi"/>
          <w:noProof/>
        </w:rPr>
        <w:t>.</w:t>
      </w:r>
      <w:r w:rsidRPr="00BB6F06">
        <w:rPr>
          <w:rFonts w:asciiTheme="minorHAnsi" w:hAnsiTheme="minorHAnsi" w:cstheme="minorHAnsi"/>
          <w:noProof/>
        </w:rPr>
        <w:t>, Arnsten</w:t>
      </w:r>
      <w:r w:rsidR="00A720C4">
        <w:rPr>
          <w:rFonts w:asciiTheme="minorHAnsi" w:hAnsiTheme="minorHAnsi" w:cstheme="minorHAnsi"/>
          <w:noProof/>
        </w:rPr>
        <w:t>,</w:t>
      </w:r>
      <w:r w:rsidRPr="00BB6F06">
        <w:rPr>
          <w:rFonts w:asciiTheme="minorHAnsi" w:hAnsiTheme="minorHAnsi" w:cstheme="minorHAnsi"/>
          <w:noProof/>
        </w:rPr>
        <w:t xml:space="preserve"> J</w:t>
      </w:r>
      <w:r w:rsidR="00A720C4">
        <w:rPr>
          <w:rFonts w:asciiTheme="minorHAnsi" w:hAnsiTheme="minorHAnsi" w:cstheme="minorHAnsi"/>
          <w:noProof/>
        </w:rPr>
        <w:t>.</w:t>
      </w:r>
      <w:r w:rsidRPr="00BB6F06">
        <w:rPr>
          <w:rFonts w:asciiTheme="minorHAnsi" w:hAnsiTheme="minorHAnsi" w:cstheme="minorHAnsi"/>
          <w:noProof/>
        </w:rPr>
        <w:t xml:space="preserve">H. Practical and conceptual challenges in measuring antiretroviral adherence. </w:t>
      </w:r>
      <w:r w:rsidRPr="00BB6F06">
        <w:rPr>
          <w:rFonts w:asciiTheme="minorHAnsi" w:hAnsiTheme="minorHAnsi" w:cstheme="minorHAnsi"/>
          <w:i/>
          <w:noProof/>
        </w:rPr>
        <w:t xml:space="preserve">Journal of Acquired Immunodeficiency Syndromes (JAIDS). </w:t>
      </w:r>
      <w:r w:rsidRPr="00A720C4">
        <w:rPr>
          <w:rFonts w:asciiTheme="minorHAnsi" w:hAnsiTheme="minorHAnsi" w:cstheme="minorHAnsi"/>
          <w:b/>
          <w:bCs/>
          <w:color w:val="202020"/>
          <w:shd w:val="clear" w:color="auto" w:fill="FFFFFF"/>
        </w:rPr>
        <w:t>43</w:t>
      </w:r>
      <w:r w:rsidRPr="00BB6F06">
        <w:rPr>
          <w:rFonts w:asciiTheme="minorHAnsi" w:hAnsiTheme="minorHAnsi" w:cstheme="minorHAnsi"/>
          <w:noProof/>
        </w:rPr>
        <w:t xml:space="preserve"> </w:t>
      </w:r>
      <w:r w:rsidRPr="00A720C4">
        <w:rPr>
          <w:rFonts w:asciiTheme="minorHAnsi" w:hAnsiTheme="minorHAnsi" w:cstheme="minorHAnsi"/>
          <w:b/>
          <w:bCs/>
          <w:color w:val="202020"/>
          <w:shd w:val="clear" w:color="auto" w:fill="FFFFFF"/>
        </w:rPr>
        <w:t>Suppl</w:t>
      </w:r>
      <w:r w:rsidRPr="00BB6F06">
        <w:rPr>
          <w:rFonts w:asciiTheme="minorHAnsi" w:hAnsiTheme="minorHAnsi" w:cstheme="minorHAnsi"/>
          <w:noProof/>
        </w:rPr>
        <w:t xml:space="preserve"> </w:t>
      </w:r>
      <w:r w:rsidRPr="00A720C4">
        <w:rPr>
          <w:rFonts w:asciiTheme="minorHAnsi" w:hAnsiTheme="minorHAnsi" w:cstheme="minorHAnsi"/>
          <w:b/>
          <w:bCs/>
          <w:color w:val="202020"/>
          <w:shd w:val="clear" w:color="auto" w:fill="FFFFFF"/>
        </w:rPr>
        <w:t>1</w:t>
      </w:r>
      <w:r w:rsidR="00A720C4">
        <w:rPr>
          <w:rFonts w:asciiTheme="minorHAnsi" w:hAnsiTheme="minorHAnsi" w:cstheme="minorHAnsi"/>
          <w:noProof/>
        </w:rPr>
        <w:t xml:space="preserve">, </w:t>
      </w:r>
      <w:r w:rsidRPr="00BB6F06">
        <w:rPr>
          <w:rFonts w:asciiTheme="minorHAnsi" w:hAnsiTheme="minorHAnsi" w:cstheme="minorHAnsi"/>
          <w:noProof/>
        </w:rPr>
        <w:t>S79-87</w:t>
      </w:r>
      <w:r w:rsidR="00DA74CB">
        <w:rPr>
          <w:rFonts w:asciiTheme="minorHAnsi" w:hAnsiTheme="minorHAnsi" w:cstheme="minorHAnsi"/>
          <w:color w:val="202020"/>
          <w:shd w:val="clear" w:color="auto" w:fill="FFFFFF"/>
        </w:rPr>
        <w:t xml:space="preserve"> (</w:t>
      </w:r>
      <w:r w:rsidR="00DA74CB">
        <w:rPr>
          <w:rFonts w:asciiTheme="minorHAnsi" w:hAnsiTheme="minorHAnsi" w:cstheme="minorHAnsi"/>
          <w:color w:val="202020"/>
          <w:shd w:val="clear" w:color="auto" w:fill="FFFFFF"/>
        </w:rPr>
        <w:t>2006</w:t>
      </w:r>
      <w:r w:rsidR="00DA74CB">
        <w:rPr>
          <w:rFonts w:asciiTheme="minorHAnsi" w:hAnsiTheme="minorHAnsi" w:cstheme="minorHAnsi"/>
          <w:color w:val="202020"/>
          <w:shd w:val="clear" w:color="auto" w:fill="FFFFFF"/>
        </w:rPr>
        <w:t>).</w:t>
      </w:r>
    </w:p>
    <w:p w14:paraId="1A4D8B5F" w14:textId="69FBF158" w:rsidR="00E1545B" w:rsidRPr="00BB6F06" w:rsidRDefault="00E1545B" w:rsidP="00BB6F06">
      <w:pPr>
        <w:pStyle w:val="ListParagraph"/>
        <w:numPr>
          <w:ilvl w:val="0"/>
          <w:numId w:val="30"/>
        </w:numPr>
        <w:ind w:left="0" w:firstLine="0"/>
        <w:rPr>
          <w:rFonts w:asciiTheme="minorHAnsi" w:hAnsiTheme="minorHAnsi" w:cstheme="minorHAnsi"/>
        </w:rPr>
      </w:pPr>
      <w:r w:rsidRPr="00BB6F06">
        <w:rPr>
          <w:rFonts w:asciiTheme="minorHAnsi" w:hAnsiTheme="minorHAnsi" w:cstheme="minorHAnsi"/>
          <w:noProof/>
        </w:rPr>
        <w:t>Kagee</w:t>
      </w:r>
      <w:r w:rsidR="00A720C4">
        <w:rPr>
          <w:rFonts w:asciiTheme="minorHAnsi" w:hAnsiTheme="minorHAnsi" w:cstheme="minorHAnsi"/>
          <w:noProof/>
        </w:rPr>
        <w:t>,</w:t>
      </w:r>
      <w:r w:rsidRPr="00BB6F06">
        <w:rPr>
          <w:rFonts w:asciiTheme="minorHAnsi" w:hAnsiTheme="minorHAnsi" w:cstheme="minorHAnsi"/>
          <w:noProof/>
        </w:rPr>
        <w:t xml:space="preserve"> A</w:t>
      </w:r>
      <w:r w:rsidR="00A720C4">
        <w:rPr>
          <w:rFonts w:asciiTheme="minorHAnsi" w:hAnsiTheme="minorHAnsi" w:cstheme="minorHAnsi"/>
          <w:noProof/>
        </w:rPr>
        <w:t>.</w:t>
      </w:r>
      <w:r w:rsidRPr="00BB6F06">
        <w:rPr>
          <w:rFonts w:asciiTheme="minorHAnsi" w:hAnsiTheme="minorHAnsi" w:cstheme="minorHAnsi"/>
          <w:noProof/>
        </w:rPr>
        <w:t>, Nel</w:t>
      </w:r>
      <w:r w:rsidR="00A720C4">
        <w:rPr>
          <w:rFonts w:asciiTheme="minorHAnsi" w:hAnsiTheme="minorHAnsi" w:cstheme="minorHAnsi"/>
          <w:noProof/>
        </w:rPr>
        <w:t>,</w:t>
      </w:r>
      <w:r w:rsidRPr="00BB6F06">
        <w:rPr>
          <w:rFonts w:asciiTheme="minorHAnsi" w:hAnsiTheme="minorHAnsi" w:cstheme="minorHAnsi"/>
          <w:noProof/>
        </w:rPr>
        <w:t xml:space="preserve"> A. Assessing the association between self-report items for HIV pill adherence and biological measures. </w:t>
      </w:r>
      <w:r w:rsidRPr="00BB6F06">
        <w:rPr>
          <w:rFonts w:asciiTheme="minorHAnsi" w:hAnsiTheme="minorHAnsi" w:cstheme="minorHAnsi"/>
          <w:i/>
          <w:noProof/>
        </w:rPr>
        <w:t xml:space="preserve">AIDS Care. </w:t>
      </w:r>
      <w:r w:rsidRPr="00A720C4">
        <w:rPr>
          <w:rFonts w:asciiTheme="minorHAnsi" w:hAnsiTheme="minorHAnsi" w:cstheme="minorHAnsi"/>
          <w:b/>
          <w:bCs/>
          <w:color w:val="202020"/>
          <w:shd w:val="clear" w:color="auto" w:fill="FFFFFF"/>
        </w:rPr>
        <w:t>24</w:t>
      </w:r>
      <w:r w:rsidR="00A720C4">
        <w:rPr>
          <w:rFonts w:asciiTheme="minorHAnsi" w:hAnsiTheme="minorHAnsi" w:cstheme="minorHAnsi"/>
          <w:noProof/>
        </w:rPr>
        <w:t xml:space="preserve"> </w:t>
      </w:r>
      <w:r w:rsidRPr="00BB6F06">
        <w:rPr>
          <w:rFonts w:asciiTheme="minorHAnsi" w:hAnsiTheme="minorHAnsi" w:cstheme="minorHAnsi"/>
          <w:noProof/>
        </w:rPr>
        <w:t>(11</w:t>
      </w:r>
      <w:r w:rsidR="00A720C4">
        <w:rPr>
          <w:rFonts w:asciiTheme="minorHAnsi" w:hAnsiTheme="minorHAnsi" w:cstheme="minorHAnsi"/>
          <w:noProof/>
        </w:rPr>
        <w:t xml:space="preserve">), </w:t>
      </w:r>
      <w:r w:rsidRPr="00BB6F06">
        <w:rPr>
          <w:rFonts w:asciiTheme="minorHAnsi" w:hAnsiTheme="minorHAnsi" w:cstheme="minorHAnsi"/>
          <w:noProof/>
        </w:rPr>
        <w:t>1448-1452</w:t>
      </w:r>
      <w:r w:rsidR="00DA74CB">
        <w:rPr>
          <w:rFonts w:asciiTheme="minorHAnsi" w:hAnsiTheme="minorHAnsi" w:cstheme="minorHAnsi"/>
          <w:color w:val="202020"/>
          <w:shd w:val="clear" w:color="auto" w:fill="FFFFFF"/>
        </w:rPr>
        <w:t xml:space="preserve"> (</w:t>
      </w:r>
      <w:r w:rsidR="00DA74CB">
        <w:rPr>
          <w:rFonts w:asciiTheme="minorHAnsi" w:hAnsiTheme="minorHAnsi" w:cstheme="minorHAnsi"/>
          <w:color w:val="202020"/>
          <w:shd w:val="clear" w:color="auto" w:fill="FFFFFF"/>
        </w:rPr>
        <w:t>2012</w:t>
      </w:r>
      <w:r w:rsidR="00DA74CB">
        <w:rPr>
          <w:rFonts w:asciiTheme="minorHAnsi" w:hAnsiTheme="minorHAnsi" w:cstheme="minorHAnsi"/>
          <w:color w:val="202020"/>
          <w:shd w:val="clear" w:color="auto" w:fill="FFFFFF"/>
        </w:rPr>
        <w:t>).</w:t>
      </w:r>
    </w:p>
    <w:p w14:paraId="2BE880E6" w14:textId="12A2A02E" w:rsidR="00E1545B" w:rsidRPr="00BB6F06" w:rsidRDefault="00E1545B" w:rsidP="00BB6F06">
      <w:pPr>
        <w:pStyle w:val="ListParagraph"/>
        <w:numPr>
          <w:ilvl w:val="0"/>
          <w:numId w:val="30"/>
        </w:numPr>
        <w:ind w:left="0" w:firstLine="0"/>
        <w:rPr>
          <w:rFonts w:asciiTheme="minorHAnsi" w:hAnsiTheme="minorHAnsi" w:cstheme="minorHAnsi"/>
        </w:rPr>
      </w:pPr>
      <w:r w:rsidRPr="00BB6F06">
        <w:rPr>
          <w:rFonts w:asciiTheme="minorHAnsi" w:hAnsiTheme="minorHAnsi" w:cstheme="minorHAnsi"/>
          <w:noProof/>
        </w:rPr>
        <w:t>Haberer</w:t>
      </w:r>
      <w:r w:rsidR="00A720C4">
        <w:rPr>
          <w:rFonts w:asciiTheme="minorHAnsi" w:hAnsiTheme="minorHAnsi" w:cstheme="minorHAnsi"/>
          <w:noProof/>
        </w:rPr>
        <w:t>,</w:t>
      </w:r>
      <w:r w:rsidRPr="00BB6F06">
        <w:rPr>
          <w:rFonts w:asciiTheme="minorHAnsi" w:hAnsiTheme="minorHAnsi" w:cstheme="minorHAnsi"/>
          <w:noProof/>
        </w:rPr>
        <w:t xml:space="preserve"> J</w:t>
      </w:r>
      <w:r w:rsidR="00A720C4">
        <w:rPr>
          <w:rFonts w:asciiTheme="minorHAnsi" w:hAnsiTheme="minorHAnsi" w:cstheme="minorHAnsi"/>
          <w:noProof/>
        </w:rPr>
        <w:t>.</w:t>
      </w:r>
      <w:r w:rsidRPr="00BB6F06">
        <w:rPr>
          <w:rFonts w:asciiTheme="minorHAnsi" w:hAnsiTheme="minorHAnsi" w:cstheme="minorHAnsi"/>
          <w:noProof/>
        </w:rPr>
        <w:t>E</w:t>
      </w:r>
      <w:r w:rsidR="00A720C4">
        <w:rPr>
          <w:rFonts w:asciiTheme="minorHAnsi" w:hAnsiTheme="minorHAnsi" w:cstheme="minorHAnsi"/>
        </w:rPr>
        <w:t xml:space="preserve">. et al. </w:t>
      </w:r>
      <w:r w:rsidRPr="00BB6F06">
        <w:rPr>
          <w:rFonts w:asciiTheme="minorHAnsi" w:hAnsiTheme="minorHAnsi" w:cstheme="minorHAnsi"/>
          <w:noProof/>
        </w:rPr>
        <w:t xml:space="preserve">Adherence to antiretroviral prophylaxis for HIV prevention: a substudy cohort within a clinical trial of serodiscordant couples in East Africa. </w:t>
      </w:r>
      <w:r w:rsidRPr="00BB6F06">
        <w:rPr>
          <w:rFonts w:asciiTheme="minorHAnsi" w:hAnsiTheme="minorHAnsi" w:cstheme="minorHAnsi"/>
          <w:i/>
          <w:noProof/>
        </w:rPr>
        <w:t>PLoS Med</w:t>
      </w:r>
      <w:r w:rsidR="00A720C4">
        <w:rPr>
          <w:rFonts w:asciiTheme="minorHAnsi" w:hAnsiTheme="minorHAnsi" w:cstheme="minorHAnsi"/>
          <w:i/>
          <w:noProof/>
        </w:rPr>
        <w:t>icine</w:t>
      </w:r>
      <w:r w:rsidRPr="00BB6F06">
        <w:rPr>
          <w:rFonts w:asciiTheme="minorHAnsi" w:hAnsiTheme="minorHAnsi" w:cstheme="minorHAnsi"/>
          <w:i/>
          <w:noProof/>
        </w:rPr>
        <w:t xml:space="preserve">. </w:t>
      </w:r>
      <w:r w:rsidRPr="00A720C4">
        <w:rPr>
          <w:rFonts w:asciiTheme="minorHAnsi" w:hAnsiTheme="minorHAnsi" w:cstheme="minorHAnsi"/>
          <w:b/>
          <w:bCs/>
          <w:color w:val="202020"/>
          <w:shd w:val="clear" w:color="auto" w:fill="FFFFFF"/>
        </w:rPr>
        <w:t>10</w:t>
      </w:r>
      <w:r w:rsidRPr="00BB6F06">
        <w:rPr>
          <w:rFonts w:asciiTheme="minorHAnsi" w:hAnsiTheme="minorHAnsi" w:cstheme="minorHAnsi"/>
          <w:noProof/>
        </w:rPr>
        <w:t>(9</w:t>
      </w:r>
      <w:r w:rsidR="00A720C4">
        <w:rPr>
          <w:rFonts w:asciiTheme="minorHAnsi" w:hAnsiTheme="minorHAnsi" w:cstheme="minorHAnsi"/>
          <w:noProof/>
        </w:rPr>
        <w:t xml:space="preserve">), </w:t>
      </w:r>
      <w:r w:rsidRPr="00BB6F06">
        <w:rPr>
          <w:rFonts w:asciiTheme="minorHAnsi" w:hAnsiTheme="minorHAnsi" w:cstheme="minorHAnsi"/>
          <w:noProof/>
        </w:rPr>
        <w:t>e1001511</w:t>
      </w:r>
      <w:r w:rsidR="00DA74CB">
        <w:rPr>
          <w:rFonts w:asciiTheme="minorHAnsi" w:hAnsiTheme="minorHAnsi" w:cstheme="minorHAnsi"/>
          <w:color w:val="202020"/>
          <w:shd w:val="clear" w:color="auto" w:fill="FFFFFF"/>
        </w:rPr>
        <w:t xml:space="preserve"> (</w:t>
      </w:r>
      <w:r w:rsidR="00DA74CB">
        <w:rPr>
          <w:rFonts w:asciiTheme="minorHAnsi" w:hAnsiTheme="minorHAnsi" w:cstheme="minorHAnsi"/>
          <w:color w:val="202020"/>
          <w:shd w:val="clear" w:color="auto" w:fill="FFFFFF"/>
        </w:rPr>
        <w:t>2013</w:t>
      </w:r>
      <w:r w:rsidR="00DA74CB">
        <w:rPr>
          <w:rFonts w:asciiTheme="minorHAnsi" w:hAnsiTheme="minorHAnsi" w:cstheme="minorHAnsi"/>
          <w:color w:val="202020"/>
          <w:shd w:val="clear" w:color="auto" w:fill="FFFFFF"/>
        </w:rPr>
        <w:t>).</w:t>
      </w:r>
    </w:p>
    <w:p w14:paraId="11A5B2AD" w14:textId="4DAEABE0" w:rsidR="00E1545B" w:rsidRPr="00BB6F06" w:rsidRDefault="00E1545B" w:rsidP="00BB6F06">
      <w:pPr>
        <w:pStyle w:val="ListParagraph"/>
        <w:numPr>
          <w:ilvl w:val="0"/>
          <w:numId w:val="30"/>
        </w:numPr>
        <w:ind w:left="0" w:firstLine="0"/>
        <w:rPr>
          <w:rFonts w:asciiTheme="minorHAnsi" w:hAnsiTheme="minorHAnsi" w:cstheme="minorHAnsi"/>
        </w:rPr>
      </w:pPr>
      <w:r w:rsidRPr="00BB6F06">
        <w:rPr>
          <w:rFonts w:asciiTheme="minorHAnsi" w:hAnsiTheme="minorHAnsi" w:cstheme="minorHAnsi"/>
          <w:noProof/>
        </w:rPr>
        <w:t>Pullar</w:t>
      </w:r>
      <w:r w:rsidR="00A720C4">
        <w:rPr>
          <w:rFonts w:asciiTheme="minorHAnsi" w:hAnsiTheme="minorHAnsi" w:cstheme="minorHAnsi"/>
          <w:noProof/>
        </w:rPr>
        <w:t>,</w:t>
      </w:r>
      <w:r w:rsidRPr="00BB6F06">
        <w:rPr>
          <w:rFonts w:asciiTheme="minorHAnsi" w:hAnsiTheme="minorHAnsi" w:cstheme="minorHAnsi"/>
          <w:noProof/>
        </w:rPr>
        <w:t xml:space="preserve"> T</w:t>
      </w:r>
      <w:r w:rsidR="00A720C4">
        <w:rPr>
          <w:rFonts w:asciiTheme="minorHAnsi" w:hAnsiTheme="minorHAnsi" w:cstheme="minorHAnsi"/>
          <w:noProof/>
        </w:rPr>
        <w:t>.</w:t>
      </w:r>
      <w:r w:rsidRPr="00BB6F06">
        <w:rPr>
          <w:rFonts w:asciiTheme="minorHAnsi" w:hAnsiTheme="minorHAnsi" w:cstheme="minorHAnsi"/>
          <w:noProof/>
        </w:rPr>
        <w:t>, Kumar</w:t>
      </w:r>
      <w:r w:rsidR="00A720C4">
        <w:rPr>
          <w:rFonts w:asciiTheme="minorHAnsi" w:hAnsiTheme="minorHAnsi" w:cstheme="minorHAnsi"/>
          <w:noProof/>
        </w:rPr>
        <w:t>,</w:t>
      </w:r>
      <w:r w:rsidRPr="00BB6F06">
        <w:rPr>
          <w:rFonts w:asciiTheme="minorHAnsi" w:hAnsiTheme="minorHAnsi" w:cstheme="minorHAnsi"/>
          <w:noProof/>
        </w:rPr>
        <w:t xml:space="preserve"> S</w:t>
      </w:r>
      <w:r w:rsidR="00A720C4">
        <w:rPr>
          <w:rFonts w:asciiTheme="minorHAnsi" w:hAnsiTheme="minorHAnsi" w:cstheme="minorHAnsi"/>
          <w:noProof/>
        </w:rPr>
        <w:t>.</w:t>
      </w:r>
      <w:r w:rsidRPr="00BB6F06">
        <w:rPr>
          <w:rFonts w:asciiTheme="minorHAnsi" w:hAnsiTheme="minorHAnsi" w:cstheme="minorHAnsi"/>
          <w:noProof/>
        </w:rPr>
        <w:t>, Tindall</w:t>
      </w:r>
      <w:r w:rsidR="00A720C4">
        <w:rPr>
          <w:rFonts w:asciiTheme="minorHAnsi" w:hAnsiTheme="minorHAnsi" w:cstheme="minorHAnsi"/>
          <w:noProof/>
        </w:rPr>
        <w:t>,</w:t>
      </w:r>
      <w:r w:rsidRPr="00BB6F06">
        <w:rPr>
          <w:rFonts w:asciiTheme="minorHAnsi" w:hAnsiTheme="minorHAnsi" w:cstheme="minorHAnsi"/>
          <w:noProof/>
        </w:rPr>
        <w:t xml:space="preserve"> H</w:t>
      </w:r>
      <w:r w:rsidR="00A720C4">
        <w:rPr>
          <w:rFonts w:asciiTheme="minorHAnsi" w:hAnsiTheme="minorHAnsi" w:cstheme="minorHAnsi"/>
          <w:noProof/>
        </w:rPr>
        <w:t>.</w:t>
      </w:r>
      <w:r w:rsidRPr="00BB6F06">
        <w:rPr>
          <w:rFonts w:asciiTheme="minorHAnsi" w:hAnsiTheme="minorHAnsi" w:cstheme="minorHAnsi"/>
          <w:noProof/>
        </w:rPr>
        <w:t>, Feely</w:t>
      </w:r>
      <w:r w:rsidR="00A720C4">
        <w:rPr>
          <w:rFonts w:asciiTheme="minorHAnsi" w:hAnsiTheme="minorHAnsi" w:cstheme="minorHAnsi"/>
          <w:noProof/>
        </w:rPr>
        <w:t>,</w:t>
      </w:r>
      <w:r w:rsidRPr="00BB6F06">
        <w:rPr>
          <w:rFonts w:asciiTheme="minorHAnsi" w:hAnsiTheme="minorHAnsi" w:cstheme="minorHAnsi"/>
          <w:noProof/>
        </w:rPr>
        <w:t xml:space="preserve"> M. Time to stop counting the tablets? </w:t>
      </w:r>
      <w:r w:rsidRPr="00BB6F06">
        <w:rPr>
          <w:rFonts w:asciiTheme="minorHAnsi" w:hAnsiTheme="minorHAnsi" w:cstheme="minorHAnsi"/>
          <w:i/>
          <w:noProof/>
        </w:rPr>
        <w:t>Clin</w:t>
      </w:r>
      <w:r w:rsidR="00132F91" w:rsidRPr="00BB6F06">
        <w:rPr>
          <w:rFonts w:asciiTheme="minorHAnsi" w:hAnsiTheme="minorHAnsi" w:cstheme="minorHAnsi"/>
          <w:i/>
          <w:noProof/>
        </w:rPr>
        <w:t>ical</w:t>
      </w:r>
      <w:r w:rsidRPr="00BB6F06">
        <w:rPr>
          <w:rFonts w:asciiTheme="minorHAnsi" w:hAnsiTheme="minorHAnsi" w:cstheme="minorHAnsi"/>
          <w:i/>
          <w:noProof/>
        </w:rPr>
        <w:t xml:space="preserve"> Pharmacol</w:t>
      </w:r>
      <w:r w:rsidR="00132F91" w:rsidRPr="00BB6F06">
        <w:rPr>
          <w:rFonts w:asciiTheme="minorHAnsi" w:hAnsiTheme="minorHAnsi" w:cstheme="minorHAnsi"/>
          <w:i/>
          <w:noProof/>
        </w:rPr>
        <w:t>ogy &amp;</w:t>
      </w:r>
      <w:r w:rsidRPr="00BB6F06">
        <w:rPr>
          <w:rFonts w:asciiTheme="minorHAnsi" w:hAnsiTheme="minorHAnsi" w:cstheme="minorHAnsi"/>
          <w:i/>
          <w:noProof/>
        </w:rPr>
        <w:t xml:space="preserve"> Ther</w:t>
      </w:r>
      <w:r w:rsidR="00132F91" w:rsidRPr="00BB6F06">
        <w:rPr>
          <w:rFonts w:asciiTheme="minorHAnsi" w:hAnsiTheme="minorHAnsi" w:cstheme="minorHAnsi"/>
          <w:i/>
          <w:noProof/>
        </w:rPr>
        <w:t>apeutics</w:t>
      </w:r>
      <w:r w:rsidRPr="00BB6F06">
        <w:rPr>
          <w:rFonts w:asciiTheme="minorHAnsi" w:hAnsiTheme="minorHAnsi" w:cstheme="minorHAnsi"/>
          <w:i/>
          <w:noProof/>
        </w:rPr>
        <w:t xml:space="preserve">. </w:t>
      </w:r>
      <w:r w:rsidRPr="00A720C4">
        <w:rPr>
          <w:rFonts w:asciiTheme="minorHAnsi" w:hAnsiTheme="minorHAnsi" w:cstheme="minorHAnsi"/>
          <w:b/>
          <w:bCs/>
          <w:color w:val="202020"/>
          <w:shd w:val="clear" w:color="auto" w:fill="FFFFFF"/>
        </w:rPr>
        <w:t>46</w:t>
      </w:r>
      <w:r w:rsidR="00A720C4">
        <w:rPr>
          <w:rFonts w:asciiTheme="minorHAnsi" w:hAnsiTheme="minorHAnsi" w:cstheme="minorHAnsi"/>
          <w:noProof/>
        </w:rPr>
        <w:t xml:space="preserve"> </w:t>
      </w:r>
      <w:r w:rsidRPr="00BB6F06">
        <w:rPr>
          <w:rFonts w:asciiTheme="minorHAnsi" w:hAnsiTheme="minorHAnsi" w:cstheme="minorHAnsi"/>
          <w:noProof/>
        </w:rPr>
        <w:t>(2</w:t>
      </w:r>
      <w:r w:rsidR="00A720C4">
        <w:rPr>
          <w:rFonts w:asciiTheme="minorHAnsi" w:hAnsiTheme="minorHAnsi" w:cstheme="minorHAnsi"/>
          <w:noProof/>
        </w:rPr>
        <w:t xml:space="preserve">), </w:t>
      </w:r>
      <w:r w:rsidRPr="00BB6F06">
        <w:rPr>
          <w:rFonts w:asciiTheme="minorHAnsi" w:hAnsiTheme="minorHAnsi" w:cstheme="minorHAnsi"/>
          <w:noProof/>
        </w:rPr>
        <w:t>163-168</w:t>
      </w:r>
      <w:r w:rsidR="00DA74CB">
        <w:rPr>
          <w:rFonts w:asciiTheme="minorHAnsi" w:hAnsiTheme="minorHAnsi" w:cstheme="minorHAnsi"/>
          <w:color w:val="202020"/>
          <w:shd w:val="clear" w:color="auto" w:fill="FFFFFF"/>
        </w:rPr>
        <w:t xml:space="preserve"> (</w:t>
      </w:r>
      <w:r w:rsidR="00DA74CB">
        <w:rPr>
          <w:rFonts w:asciiTheme="minorHAnsi" w:hAnsiTheme="minorHAnsi" w:cstheme="minorHAnsi"/>
          <w:color w:val="202020"/>
          <w:shd w:val="clear" w:color="auto" w:fill="FFFFFF"/>
        </w:rPr>
        <w:t>1989</w:t>
      </w:r>
      <w:r w:rsidR="00DA74CB">
        <w:rPr>
          <w:rFonts w:asciiTheme="minorHAnsi" w:hAnsiTheme="minorHAnsi" w:cstheme="minorHAnsi"/>
          <w:color w:val="202020"/>
          <w:shd w:val="clear" w:color="auto" w:fill="FFFFFF"/>
        </w:rPr>
        <w:t>).</w:t>
      </w:r>
    </w:p>
    <w:p w14:paraId="1CC45664" w14:textId="22E3C051" w:rsidR="00E1545B" w:rsidRPr="00BB6F06" w:rsidRDefault="00E1545B" w:rsidP="00BB6F06">
      <w:pPr>
        <w:pStyle w:val="ListParagraph"/>
        <w:numPr>
          <w:ilvl w:val="0"/>
          <w:numId w:val="30"/>
        </w:numPr>
        <w:ind w:left="0" w:firstLine="0"/>
        <w:rPr>
          <w:rFonts w:asciiTheme="minorHAnsi" w:hAnsiTheme="minorHAnsi" w:cstheme="minorHAnsi"/>
        </w:rPr>
      </w:pPr>
      <w:r w:rsidRPr="00BB6F06">
        <w:rPr>
          <w:rFonts w:asciiTheme="minorHAnsi" w:hAnsiTheme="minorHAnsi" w:cstheme="minorHAnsi"/>
          <w:noProof/>
        </w:rPr>
        <w:t>Liu</w:t>
      </w:r>
      <w:r w:rsidR="00A720C4">
        <w:rPr>
          <w:rFonts w:asciiTheme="minorHAnsi" w:hAnsiTheme="minorHAnsi" w:cstheme="minorHAnsi"/>
          <w:noProof/>
        </w:rPr>
        <w:t>,</w:t>
      </w:r>
      <w:r w:rsidRPr="00BB6F06">
        <w:rPr>
          <w:rFonts w:asciiTheme="minorHAnsi" w:hAnsiTheme="minorHAnsi" w:cstheme="minorHAnsi"/>
          <w:noProof/>
        </w:rPr>
        <w:t xml:space="preserve"> H</w:t>
      </w:r>
      <w:r w:rsidR="00A720C4">
        <w:rPr>
          <w:rFonts w:asciiTheme="minorHAnsi" w:hAnsiTheme="minorHAnsi" w:cstheme="minorHAnsi"/>
        </w:rPr>
        <w:t xml:space="preserve">. et al. </w:t>
      </w:r>
      <w:r w:rsidRPr="00BB6F06">
        <w:rPr>
          <w:rFonts w:asciiTheme="minorHAnsi" w:hAnsiTheme="minorHAnsi" w:cstheme="minorHAnsi"/>
          <w:noProof/>
        </w:rPr>
        <w:t xml:space="preserve">A comparison study of multiple measures of adherence to HIV protease inhibitors. </w:t>
      </w:r>
      <w:r w:rsidRPr="00BB6F06">
        <w:rPr>
          <w:rFonts w:asciiTheme="minorHAnsi" w:hAnsiTheme="minorHAnsi" w:cstheme="minorHAnsi"/>
          <w:i/>
          <w:noProof/>
        </w:rPr>
        <w:t>Ann</w:t>
      </w:r>
      <w:r w:rsidR="00132F91" w:rsidRPr="00BB6F06">
        <w:rPr>
          <w:rFonts w:asciiTheme="minorHAnsi" w:hAnsiTheme="minorHAnsi" w:cstheme="minorHAnsi"/>
          <w:i/>
          <w:noProof/>
        </w:rPr>
        <w:t>als of</w:t>
      </w:r>
      <w:r w:rsidRPr="00BB6F06">
        <w:rPr>
          <w:rFonts w:asciiTheme="minorHAnsi" w:hAnsiTheme="minorHAnsi" w:cstheme="minorHAnsi"/>
          <w:i/>
          <w:noProof/>
        </w:rPr>
        <w:t xml:space="preserve"> Intern</w:t>
      </w:r>
      <w:r w:rsidR="00132F91" w:rsidRPr="00BB6F06">
        <w:rPr>
          <w:rFonts w:asciiTheme="minorHAnsi" w:hAnsiTheme="minorHAnsi" w:cstheme="minorHAnsi"/>
          <w:i/>
          <w:noProof/>
        </w:rPr>
        <w:t>al</w:t>
      </w:r>
      <w:r w:rsidRPr="00BB6F06">
        <w:rPr>
          <w:rFonts w:asciiTheme="minorHAnsi" w:hAnsiTheme="minorHAnsi" w:cstheme="minorHAnsi"/>
          <w:i/>
          <w:noProof/>
        </w:rPr>
        <w:t xml:space="preserve"> Med</w:t>
      </w:r>
      <w:r w:rsidR="00132F91" w:rsidRPr="00BB6F06">
        <w:rPr>
          <w:rFonts w:asciiTheme="minorHAnsi" w:hAnsiTheme="minorHAnsi" w:cstheme="minorHAnsi"/>
          <w:i/>
          <w:noProof/>
        </w:rPr>
        <w:t>icine</w:t>
      </w:r>
      <w:r w:rsidRPr="00BB6F06">
        <w:rPr>
          <w:rFonts w:asciiTheme="minorHAnsi" w:hAnsiTheme="minorHAnsi" w:cstheme="minorHAnsi"/>
          <w:i/>
          <w:noProof/>
        </w:rPr>
        <w:t xml:space="preserve">. </w:t>
      </w:r>
      <w:r w:rsidRPr="00A720C4">
        <w:rPr>
          <w:rFonts w:asciiTheme="minorHAnsi" w:hAnsiTheme="minorHAnsi" w:cstheme="minorHAnsi"/>
          <w:b/>
          <w:bCs/>
          <w:color w:val="202020"/>
          <w:shd w:val="clear" w:color="auto" w:fill="FFFFFF"/>
        </w:rPr>
        <w:t>134</w:t>
      </w:r>
      <w:r w:rsidR="00A720C4">
        <w:rPr>
          <w:rFonts w:asciiTheme="minorHAnsi" w:hAnsiTheme="minorHAnsi" w:cstheme="minorHAnsi"/>
          <w:noProof/>
        </w:rPr>
        <w:t xml:space="preserve"> </w:t>
      </w:r>
      <w:r w:rsidRPr="00BB6F06">
        <w:rPr>
          <w:rFonts w:asciiTheme="minorHAnsi" w:hAnsiTheme="minorHAnsi" w:cstheme="minorHAnsi"/>
          <w:noProof/>
        </w:rPr>
        <w:t>(10</w:t>
      </w:r>
      <w:r w:rsidR="00A720C4">
        <w:rPr>
          <w:rFonts w:asciiTheme="minorHAnsi" w:hAnsiTheme="minorHAnsi" w:cstheme="minorHAnsi"/>
          <w:noProof/>
        </w:rPr>
        <w:t xml:space="preserve">), </w:t>
      </w:r>
      <w:r w:rsidRPr="00BB6F06">
        <w:rPr>
          <w:rFonts w:asciiTheme="minorHAnsi" w:hAnsiTheme="minorHAnsi" w:cstheme="minorHAnsi"/>
          <w:noProof/>
        </w:rPr>
        <w:t>968-977</w:t>
      </w:r>
      <w:r w:rsidR="00DA74CB">
        <w:rPr>
          <w:rFonts w:asciiTheme="minorHAnsi" w:hAnsiTheme="minorHAnsi" w:cstheme="minorHAnsi"/>
          <w:color w:val="202020"/>
          <w:shd w:val="clear" w:color="auto" w:fill="FFFFFF"/>
        </w:rPr>
        <w:t xml:space="preserve"> (</w:t>
      </w:r>
      <w:r w:rsidR="00DA74CB">
        <w:rPr>
          <w:rFonts w:asciiTheme="minorHAnsi" w:hAnsiTheme="minorHAnsi" w:cstheme="minorHAnsi"/>
          <w:color w:val="202020"/>
          <w:shd w:val="clear" w:color="auto" w:fill="FFFFFF"/>
        </w:rPr>
        <w:t>2001</w:t>
      </w:r>
      <w:r w:rsidR="00DA74CB">
        <w:rPr>
          <w:rFonts w:asciiTheme="minorHAnsi" w:hAnsiTheme="minorHAnsi" w:cstheme="minorHAnsi"/>
          <w:color w:val="202020"/>
          <w:shd w:val="clear" w:color="auto" w:fill="FFFFFF"/>
        </w:rPr>
        <w:t>).</w:t>
      </w:r>
    </w:p>
    <w:p w14:paraId="3332EF01" w14:textId="5960B812" w:rsidR="00E1545B" w:rsidRPr="00BB6F06" w:rsidRDefault="00E1545B" w:rsidP="00BB6F06">
      <w:pPr>
        <w:pStyle w:val="ListParagraph"/>
        <w:numPr>
          <w:ilvl w:val="0"/>
          <w:numId w:val="30"/>
        </w:numPr>
        <w:ind w:left="0" w:firstLine="0"/>
        <w:rPr>
          <w:rFonts w:asciiTheme="minorHAnsi" w:hAnsiTheme="minorHAnsi" w:cstheme="minorHAnsi"/>
        </w:rPr>
      </w:pPr>
      <w:r w:rsidRPr="00BB6F06">
        <w:rPr>
          <w:rFonts w:asciiTheme="minorHAnsi" w:hAnsiTheme="minorHAnsi" w:cstheme="minorHAnsi"/>
          <w:noProof/>
        </w:rPr>
        <w:t>Wendel</w:t>
      </w:r>
      <w:r w:rsidR="00A720C4">
        <w:rPr>
          <w:rFonts w:asciiTheme="minorHAnsi" w:hAnsiTheme="minorHAnsi" w:cstheme="minorHAnsi"/>
          <w:noProof/>
        </w:rPr>
        <w:t>,</w:t>
      </w:r>
      <w:r w:rsidRPr="00BB6F06">
        <w:rPr>
          <w:rFonts w:asciiTheme="minorHAnsi" w:hAnsiTheme="minorHAnsi" w:cstheme="minorHAnsi"/>
          <w:noProof/>
        </w:rPr>
        <w:t xml:space="preserve"> C</w:t>
      </w:r>
      <w:r w:rsidR="00A720C4">
        <w:rPr>
          <w:rFonts w:asciiTheme="minorHAnsi" w:hAnsiTheme="minorHAnsi" w:cstheme="minorHAnsi"/>
        </w:rPr>
        <w:t xml:space="preserve">. et al. </w:t>
      </w:r>
      <w:r w:rsidRPr="00BB6F06">
        <w:rPr>
          <w:rFonts w:asciiTheme="minorHAnsi" w:hAnsiTheme="minorHAnsi" w:cstheme="minorHAnsi"/>
          <w:noProof/>
        </w:rPr>
        <w:t xml:space="preserve">Barriers to use of electronic adherence monitoring in an HIV clinic. </w:t>
      </w:r>
      <w:r w:rsidRPr="00BB6F06">
        <w:rPr>
          <w:rFonts w:asciiTheme="minorHAnsi" w:hAnsiTheme="minorHAnsi" w:cstheme="minorHAnsi"/>
          <w:i/>
          <w:noProof/>
        </w:rPr>
        <w:t>Ann</w:t>
      </w:r>
      <w:r w:rsidR="00132F91" w:rsidRPr="00BB6F06">
        <w:rPr>
          <w:rFonts w:asciiTheme="minorHAnsi" w:hAnsiTheme="minorHAnsi" w:cstheme="minorHAnsi"/>
          <w:i/>
          <w:noProof/>
        </w:rPr>
        <w:t>als of</w:t>
      </w:r>
      <w:r w:rsidRPr="00BB6F06">
        <w:rPr>
          <w:rFonts w:asciiTheme="minorHAnsi" w:hAnsiTheme="minorHAnsi" w:cstheme="minorHAnsi"/>
          <w:i/>
          <w:noProof/>
        </w:rPr>
        <w:t xml:space="preserve"> Pharmacother</w:t>
      </w:r>
      <w:r w:rsidR="00132F91" w:rsidRPr="00BB6F06">
        <w:rPr>
          <w:rFonts w:asciiTheme="minorHAnsi" w:hAnsiTheme="minorHAnsi" w:cstheme="minorHAnsi"/>
          <w:i/>
          <w:noProof/>
        </w:rPr>
        <w:t>apy</w:t>
      </w:r>
      <w:r w:rsidRPr="00BB6F06">
        <w:rPr>
          <w:rFonts w:asciiTheme="minorHAnsi" w:hAnsiTheme="minorHAnsi" w:cstheme="minorHAnsi"/>
          <w:i/>
          <w:noProof/>
        </w:rPr>
        <w:t>.</w:t>
      </w:r>
      <w:r w:rsidR="00A720C4">
        <w:rPr>
          <w:rFonts w:asciiTheme="minorHAnsi" w:hAnsiTheme="minorHAnsi" w:cstheme="minorHAnsi"/>
          <w:noProof/>
        </w:rPr>
        <w:t xml:space="preserve"> </w:t>
      </w:r>
      <w:r w:rsidRPr="00A720C4">
        <w:rPr>
          <w:rFonts w:asciiTheme="minorHAnsi" w:hAnsiTheme="minorHAnsi" w:cstheme="minorHAnsi"/>
          <w:b/>
          <w:bCs/>
          <w:color w:val="202020"/>
          <w:shd w:val="clear" w:color="auto" w:fill="FFFFFF"/>
        </w:rPr>
        <w:t>35</w:t>
      </w:r>
      <w:r w:rsidR="00A720C4">
        <w:rPr>
          <w:rFonts w:asciiTheme="minorHAnsi" w:hAnsiTheme="minorHAnsi" w:cstheme="minorHAnsi"/>
          <w:noProof/>
        </w:rPr>
        <w:t xml:space="preserve">, </w:t>
      </w:r>
      <w:r w:rsidRPr="00BB6F06">
        <w:rPr>
          <w:rFonts w:asciiTheme="minorHAnsi" w:hAnsiTheme="minorHAnsi" w:cstheme="minorHAnsi"/>
          <w:noProof/>
        </w:rPr>
        <w:t>1010-101</w:t>
      </w:r>
      <w:r w:rsidR="00DA74CB">
        <w:rPr>
          <w:rFonts w:asciiTheme="minorHAnsi" w:hAnsiTheme="minorHAnsi" w:cstheme="minorHAnsi"/>
          <w:color w:val="202020"/>
          <w:shd w:val="clear" w:color="auto" w:fill="FFFFFF"/>
        </w:rPr>
        <w:t xml:space="preserve"> (20</w:t>
      </w:r>
      <w:r w:rsidR="00DA74CB">
        <w:rPr>
          <w:rFonts w:asciiTheme="minorHAnsi" w:hAnsiTheme="minorHAnsi" w:cstheme="minorHAnsi"/>
          <w:color w:val="202020"/>
          <w:shd w:val="clear" w:color="auto" w:fill="FFFFFF"/>
        </w:rPr>
        <w:t>01</w:t>
      </w:r>
      <w:r w:rsidR="00DA74CB">
        <w:rPr>
          <w:rFonts w:asciiTheme="minorHAnsi" w:hAnsiTheme="minorHAnsi" w:cstheme="minorHAnsi"/>
          <w:color w:val="202020"/>
          <w:shd w:val="clear" w:color="auto" w:fill="FFFFFF"/>
        </w:rPr>
        <w:t>).</w:t>
      </w:r>
    </w:p>
    <w:p w14:paraId="4407C770" w14:textId="0DD766CA" w:rsidR="00E1545B" w:rsidRPr="00BB6F06" w:rsidRDefault="00E1545B" w:rsidP="00BB6F06">
      <w:pPr>
        <w:pStyle w:val="ListParagraph"/>
        <w:numPr>
          <w:ilvl w:val="0"/>
          <w:numId w:val="30"/>
        </w:numPr>
        <w:ind w:left="0" w:firstLine="0"/>
        <w:rPr>
          <w:rFonts w:asciiTheme="minorHAnsi" w:hAnsiTheme="minorHAnsi" w:cstheme="minorHAnsi"/>
        </w:rPr>
      </w:pPr>
      <w:r w:rsidRPr="00BB6F06">
        <w:rPr>
          <w:rFonts w:asciiTheme="minorHAnsi" w:hAnsiTheme="minorHAnsi" w:cstheme="minorHAnsi"/>
        </w:rPr>
        <w:t>Ruiz</w:t>
      </w:r>
      <w:r w:rsidR="00A720C4">
        <w:rPr>
          <w:rFonts w:asciiTheme="minorHAnsi" w:hAnsiTheme="minorHAnsi" w:cstheme="minorHAnsi"/>
        </w:rPr>
        <w:t>,</w:t>
      </w:r>
      <w:r w:rsidRPr="00BB6F06">
        <w:rPr>
          <w:rFonts w:asciiTheme="minorHAnsi" w:hAnsiTheme="minorHAnsi" w:cstheme="minorHAnsi"/>
        </w:rPr>
        <w:t xml:space="preserve"> J</w:t>
      </w:r>
      <w:r w:rsidR="00A720C4">
        <w:rPr>
          <w:rFonts w:asciiTheme="minorHAnsi" w:hAnsiTheme="minorHAnsi" w:cstheme="minorHAnsi"/>
        </w:rPr>
        <w:t xml:space="preserve">. et al. </w:t>
      </w:r>
      <w:r w:rsidRPr="00BB6F06">
        <w:rPr>
          <w:rFonts w:asciiTheme="minorHAnsi" w:hAnsiTheme="minorHAnsi" w:cstheme="minorHAnsi"/>
        </w:rPr>
        <w:t xml:space="preserve">Impact of voriconazole plasma concentrations on treatment response in critically ill patients. </w:t>
      </w:r>
      <w:r w:rsidRPr="00BB6F06">
        <w:rPr>
          <w:rFonts w:asciiTheme="minorHAnsi" w:hAnsiTheme="minorHAnsi" w:cstheme="minorHAnsi"/>
          <w:i/>
        </w:rPr>
        <w:t>Clin</w:t>
      </w:r>
      <w:r w:rsidR="00132F91" w:rsidRPr="00BB6F06">
        <w:rPr>
          <w:rFonts w:asciiTheme="minorHAnsi" w:hAnsiTheme="minorHAnsi" w:cstheme="minorHAnsi"/>
          <w:i/>
        </w:rPr>
        <w:t>ical</w:t>
      </w:r>
      <w:r w:rsidRPr="00BB6F06">
        <w:rPr>
          <w:rFonts w:asciiTheme="minorHAnsi" w:hAnsiTheme="minorHAnsi" w:cstheme="minorHAnsi"/>
          <w:i/>
        </w:rPr>
        <w:t xml:space="preserve"> Pharm</w:t>
      </w:r>
      <w:r w:rsidR="00132F91" w:rsidRPr="00BB6F06">
        <w:rPr>
          <w:rFonts w:asciiTheme="minorHAnsi" w:hAnsiTheme="minorHAnsi" w:cstheme="minorHAnsi"/>
          <w:i/>
        </w:rPr>
        <w:t>acology &amp;</w:t>
      </w:r>
      <w:r w:rsidRPr="00BB6F06">
        <w:rPr>
          <w:rFonts w:asciiTheme="minorHAnsi" w:hAnsiTheme="minorHAnsi" w:cstheme="minorHAnsi"/>
          <w:i/>
        </w:rPr>
        <w:t xml:space="preserve"> Ther</w:t>
      </w:r>
      <w:r w:rsidR="00132F91" w:rsidRPr="00BB6F06">
        <w:rPr>
          <w:rFonts w:asciiTheme="minorHAnsi" w:hAnsiTheme="minorHAnsi" w:cstheme="minorHAnsi"/>
          <w:i/>
        </w:rPr>
        <w:t>apeutic</w:t>
      </w:r>
      <w:r w:rsidR="00DA74CB">
        <w:rPr>
          <w:rFonts w:asciiTheme="minorHAnsi" w:hAnsiTheme="minorHAnsi" w:cstheme="minorHAnsi"/>
          <w:color w:val="202020"/>
          <w:shd w:val="clear" w:color="auto" w:fill="FFFFFF"/>
        </w:rPr>
        <w:t xml:space="preserve"> (2019).</w:t>
      </w:r>
    </w:p>
    <w:p w14:paraId="797AF7DD" w14:textId="483EA062" w:rsidR="00E1545B" w:rsidRPr="00BB6F06" w:rsidRDefault="00E1545B" w:rsidP="00BB6F06">
      <w:pPr>
        <w:pStyle w:val="ListParagraph"/>
        <w:numPr>
          <w:ilvl w:val="0"/>
          <w:numId w:val="30"/>
        </w:numPr>
        <w:ind w:left="0" w:firstLine="0"/>
        <w:rPr>
          <w:rFonts w:asciiTheme="minorHAnsi" w:hAnsiTheme="minorHAnsi" w:cstheme="minorHAnsi"/>
        </w:rPr>
      </w:pPr>
      <w:proofErr w:type="spellStart"/>
      <w:r w:rsidRPr="00BB6F06">
        <w:rPr>
          <w:rFonts w:asciiTheme="minorHAnsi" w:hAnsiTheme="minorHAnsi" w:cstheme="minorHAnsi"/>
        </w:rPr>
        <w:t>Saktiawati</w:t>
      </w:r>
      <w:proofErr w:type="spellEnd"/>
      <w:r w:rsidR="00A720C4">
        <w:rPr>
          <w:rFonts w:asciiTheme="minorHAnsi" w:hAnsiTheme="minorHAnsi" w:cstheme="minorHAnsi"/>
        </w:rPr>
        <w:t>,</w:t>
      </w:r>
      <w:r w:rsidRPr="00BB6F06">
        <w:rPr>
          <w:rFonts w:asciiTheme="minorHAnsi" w:hAnsiTheme="minorHAnsi" w:cstheme="minorHAnsi"/>
        </w:rPr>
        <w:t xml:space="preserve"> A</w:t>
      </w:r>
      <w:r w:rsidR="00A720C4">
        <w:rPr>
          <w:rFonts w:asciiTheme="minorHAnsi" w:hAnsiTheme="minorHAnsi" w:cstheme="minorHAnsi"/>
        </w:rPr>
        <w:t>.</w:t>
      </w:r>
      <w:r w:rsidRPr="00BB6F06">
        <w:rPr>
          <w:rFonts w:asciiTheme="minorHAnsi" w:hAnsiTheme="minorHAnsi" w:cstheme="minorHAnsi"/>
        </w:rPr>
        <w:t>M</w:t>
      </w:r>
      <w:r w:rsidR="00A720C4">
        <w:rPr>
          <w:rFonts w:asciiTheme="minorHAnsi" w:hAnsiTheme="minorHAnsi" w:cstheme="minorHAnsi"/>
        </w:rPr>
        <w:t xml:space="preserve">. et al. </w:t>
      </w:r>
      <w:r w:rsidRPr="00BB6F06">
        <w:rPr>
          <w:rFonts w:asciiTheme="minorHAnsi" w:hAnsiTheme="minorHAnsi" w:cstheme="minorHAnsi"/>
        </w:rPr>
        <w:t xml:space="preserve">Optimal sampling strategies for therapeutic drug monitoring of first-line tuberculosis drugs in patients with tuberculosis. </w:t>
      </w:r>
      <w:r w:rsidRPr="00BB6F06">
        <w:rPr>
          <w:rFonts w:asciiTheme="minorHAnsi" w:hAnsiTheme="minorHAnsi" w:cstheme="minorHAnsi"/>
          <w:i/>
        </w:rPr>
        <w:t>Clin</w:t>
      </w:r>
      <w:r w:rsidR="00132F91" w:rsidRPr="00BB6F06">
        <w:rPr>
          <w:rFonts w:asciiTheme="minorHAnsi" w:hAnsiTheme="minorHAnsi" w:cstheme="minorHAnsi"/>
          <w:i/>
        </w:rPr>
        <w:t>ical</w:t>
      </w:r>
      <w:r w:rsidRPr="00BB6F06">
        <w:rPr>
          <w:rFonts w:asciiTheme="minorHAnsi" w:hAnsiTheme="minorHAnsi" w:cstheme="minorHAnsi"/>
          <w:i/>
        </w:rPr>
        <w:t xml:space="preserve"> </w:t>
      </w:r>
      <w:proofErr w:type="spellStart"/>
      <w:r w:rsidRPr="00BB6F06">
        <w:rPr>
          <w:rFonts w:asciiTheme="minorHAnsi" w:hAnsiTheme="minorHAnsi" w:cstheme="minorHAnsi"/>
          <w:i/>
        </w:rPr>
        <w:t>Phamacokinet</w:t>
      </w:r>
      <w:r w:rsidR="00132F91" w:rsidRPr="00BB6F06">
        <w:rPr>
          <w:rFonts w:asciiTheme="minorHAnsi" w:hAnsiTheme="minorHAnsi" w:cstheme="minorHAnsi"/>
          <w:i/>
        </w:rPr>
        <w:t>ics</w:t>
      </w:r>
      <w:proofErr w:type="spellEnd"/>
      <w:r w:rsidRPr="00BB6F06">
        <w:rPr>
          <w:rFonts w:asciiTheme="minorHAnsi" w:hAnsiTheme="minorHAnsi" w:cstheme="minorHAnsi"/>
          <w:i/>
        </w:rPr>
        <w:t>.</w:t>
      </w:r>
      <w:r w:rsidRPr="00BB6F06">
        <w:rPr>
          <w:rFonts w:asciiTheme="minorHAnsi" w:hAnsiTheme="minorHAnsi" w:cstheme="minorHAnsi"/>
        </w:rPr>
        <w:t xml:space="preserve"> </w:t>
      </w:r>
      <w:r w:rsidR="00DA74CB">
        <w:rPr>
          <w:rFonts w:asciiTheme="minorHAnsi" w:hAnsiTheme="minorHAnsi" w:cstheme="minorHAnsi"/>
          <w:color w:val="202020"/>
          <w:shd w:val="clear" w:color="auto" w:fill="FFFFFF"/>
        </w:rPr>
        <w:t>(2019).</w:t>
      </w:r>
    </w:p>
    <w:p w14:paraId="7D83D3DD" w14:textId="4FEF02F2" w:rsidR="00E1545B" w:rsidRPr="00BB6F06" w:rsidRDefault="00E1545B" w:rsidP="00BB6F06">
      <w:pPr>
        <w:pStyle w:val="ListParagraph"/>
        <w:numPr>
          <w:ilvl w:val="0"/>
          <w:numId w:val="30"/>
        </w:numPr>
        <w:ind w:left="0" w:firstLine="0"/>
        <w:rPr>
          <w:rFonts w:asciiTheme="minorHAnsi" w:hAnsiTheme="minorHAnsi" w:cstheme="minorHAnsi"/>
        </w:rPr>
      </w:pPr>
      <w:proofErr w:type="spellStart"/>
      <w:r w:rsidRPr="00BB6F06">
        <w:rPr>
          <w:rFonts w:asciiTheme="minorHAnsi" w:hAnsiTheme="minorHAnsi" w:cstheme="minorHAnsi"/>
        </w:rPr>
        <w:t>Podsadecki</w:t>
      </w:r>
      <w:proofErr w:type="spellEnd"/>
      <w:r w:rsidR="00A720C4">
        <w:rPr>
          <w:rFonts w:asciiTheme="minorHAnsi" w:hAnsiTheme="minorHAnsi" w:cstheme="minorHAnsi"/>
        </w:rPr>
        <w:t>,</w:t>
      </w:r>
      <w:r w:rsidRPr="00BB6F06">
        <w:rPr>
          <w:rFonts w:asciiTheme="minorHAnsi" w:hAnsiTheme="minorHAnsi" w:cstheme="minorHAnsi"/>
        </w:rPr>
        <w:t xml:space="preserve"> T</w:t>
      </w:r>
      <w:r w:rsidR="00A720C4">
        <w:rPr>
          <w:rFonts w:asciiTheme="minorHAnsi" w:hAnsiTheme="minorHAnsi" w:cstheme="minorHAnsi"/>
        </w:rPr>
        <w:t>.</w:t>
      </w:r>
      <w:r w:rsidRPr="00BB6F06">
        <w:rPr>
          <w:rFonts w:asciiTheme="minorHAnsi" w:hAnsiTheme="minorHAnsi" w:cstheme="minorHAnsi"/>
        </w:rPr>
        <w:t>J</w:t>
      </w:r>
      <w:r w:rsidR="00A720C4">
        <w:rPr>
          <w:rFonts w:asciiTheme="minorHAnsi" w:hAnsiTheme="minorHAnsi" w:cstheme="minorHAnsi"/>
        </w:rPr>
        <w:t>.</w:t>
      </w:r>
      <w:r w:rsidRPr="00BB6F06">
        <w:rPr>
          <w:rFonts w:asciiTheme="minorHAnsi" w:hAnsiTheme="minorHAnsi" w:cstheme="minorHAnsi"/>
        </w:rPr>
        <w:t xml:space="preserve">, </w:t>
      </w:r>
      <w:proofErr w:type="spellStart"/>
      <w:r w:rsidRPr="00BB6F06">
        <w:rPr>
          <w:rFonts w:asciiTheme="minorHAnsi" w:hAnsiTheme="minorHAnsi" w:cstheme="minorHAnsi"/>
        </w:rPr>
        <w:t>Vrijens</w:t>
      </w:r>
      <w:proofErr w:type="spellEnd"/>
      <w:r w:rsidR="00A720C4">
        <w:rPr>
          <w:rFonts w:asciiTheme="minorHAnsi" w:hAnsiTheme="minorHAnsi" w:cstheme="minorHAnsi"/>
        </w:rPr>
        <w:t>,</w:t>
      </w:r>
      <w:r w:rsidRPr="00BB6F06">
        <w:rPr>
          <w:rFonts w:asciiTheme="minorHAnsi" w:hAnsiTheme="minorHAnsi" w:cstheme="minorHAnsi"/>
        </w:rPr>
        <w:t xml:space="preserve"> B</w:t>
      </w:r>
      <w:r w:rsidR="00A720C4">
        <w:rPr>
          <w:rFonts w:asciiTheme="minorHAnsi" w:hAnsiTheme="minorHAnsi" w:cstheme="minorHAnsi"/>
        </w:rPr>
        <w:t>.</w:t>
      </w:r>
      <w:r w:rsidRPr="00BB6F06">
        <w:rPr>
          <w:rFonts w:asciiTheme="minorHAnsi" w:hAnsiTheme="minorHAnsi" w:cstheme="minorHAnsi"/>
        </w:rPr>
        <w:t>C</w:t>
      </w:r>
      <w:r w:rsidR="00A720C4">
        <w:rPr>
          <w:rFonts w:asciiTheme="minorHAnsi" w:hAnsiTheme="minorHAnsi" w:cstheme="minorHAnsi"/>
        </w:rPr>
        <w:t>.</w:t>
      </w:r>
      <w:r w:rsidRPr="00BB6F06">
        <w:rPr>
          <w:rFonts w:asciiTheme="minorHAnsi" w:hAnsiTheme="minorHAnsi" w:cstheme="minorHAnsi"/>
        </w:rPr>
        <w:t xml:space="preserve">, </w:t>
      </w:r>
      <w:proofErr w:type="spellStart"/>
      <w:r w:rsidRPr="00BB6F06">
        <w:rPr>
          <w:rFonts w:asciiTheme="minorHAnsi" w:hAnsiTheme="minorHAnsi" w:cstheme="minorHAnsi"/>
        </w:rPr>
        <w:t>Tousset</w:t>
      </w:r>
      <w:proofErr w:type="spellEnd"/>
      <w:r w:rsidR="00A720C4">
        <w:rPr>
          <w:rFonts w:asciiTheme="minorHAnsi" w:hAnsiTheme="minorHAnsi" w:cstheme="minorHAnsi"/>
        </w:rPr>
        <w:t>,</w:t>
      </w:r>
      <w:r w:rsidRPr="00BB6F06">
        <w:rPr>
          <w:rFonts w:asciiTheme="minorHAnsi" w:hAnsiTheme="minorHAnsi" w:cstheme="minorHAnsi"/>
        </w:rPr>
        <w:t xml:space="preserve"> E</w:t>
      </w:r>
      <w:r w:rsidR="00A720C4">
        <w:rPr>
          <w:rFonts w:asciiTheme="minorHAnsi" w:hAnsiTheme="minorHAnsi" w:cstheme="minorHAnsi"/>
        </w:rPr>
        <w:t>.</w:t>
      </w:r>
      <w:r w:rsidRPr="00BB6F06">
        <w:rPr>
          <w:rFonts w:asciiTheme="minorHAnsi" w:hAnsiTheme="minorHAnsi" w:cstheme="minorHAnsi"/>
        </w:rPr>
        <w:t>P</w:t>
      </w:r>
      <w:r w:rsidR="00A720C4">
        <w:rPr>
          <w:rFonts w:asciiTheme="minorHAnsi" w:hAnsiTheme="minorHAnsi" w:cstheme="minorHAnsi"/>
        </w:rPr>
        <w:t>.</w:t>
      </w:r>
      <w:r w:rsidRPr="00BB6F06">
        <w:rPr>
          <w:rFonts w:asciiTheme="minorHAnsi" w:hAnsiTheme="minorHAnsi" w:cstheme="minorHAnsi"/>
        </w:rPr>
        <w:t>, Rode</w:t>
      </w:r>
      <w:r w:rsidR="00A720C4">
        <w:rPr>
          <w:rFonts w:asciiTheme="minorHAnsi" w:hAnsiTheme="minorHAnsi" w:cstheme="minorHAnsi"/>
        </w:rPr>
        <w:t>,</w:t>
      </w:r>
      <w:r w:rsidRPr="00BB6F06">
        <w:rPr>
          <w:rFonts w:asciiTheme="minorHAnsi" w:hAnsiTheme="minorHAnsi" w:cstheme="minorHAnsi"/>
        </w:rPr>
        <w:t xml:space="preserve"> R</w:t>
      </w:r>
      <w:r w:rsidR="00A720C4">
        <w:rPr>
          <w:rFonts w:asciiTheme="minorHAnsi" w:hAnsiTheme="minorHAnsi" w:cstheme="minorHAnsi"/>
        </w:rPr>
        <w:t>.</w:t>
      </w:r>
      <w:r w:rsidRPr="00BB6F06">
        <w:rPr>
          <w:rFonts w:asciiTheme="minorHAnsi" w:hAnsiTheme="minorHAnsi" w:cstheme="minorHAnsi"/>
        </w:rPr>
        <w:t>A</w:t>
      </w:r>
      <w:r w:rsidR="00A720C4">
        <w:rPr>
          <w:rFonts w:asciiTheme="minorHAnsi" w:hAnsiTheme="minorHAnsi" w:cstheme="minorHAnsi"/>
        </w:rPr>
        <w:t>.</w:t>
      </w:r>
      <w:r w:rsidRPr="00BB6F06">
        <w:rPr>
          <w:rFonts w:asciiTheme="minorHAnsi" w:hAnsiTheme="minorHAnsi" w:cstheme="minorHAnsi"/>
        </w:rPr>
        <w:t>, Hanna</w:t>
      </w:r>
      <w:r w:rsidR="00A720C4">
        <w:rPr>
          <w:rFonts w:asciiTheme="minorHAnsi" w:hAnsiTheme="minorHAnsi" w:cstheme="minorHAnsi"/>
        </w:rPr>
        <w:t>,</w:t>
      </w:r>
      <w:r w:rsidRPr="00BB6F06">
        <w:rPr>
          <w:rFonts w:asciiTheme="minorHAnsi" w:hAnsiTheme="minorHAnsi" w:cstheme="minorHAnsi"/>
        </w:rPr>
        <w:t xml:space="preserve"> G</w:t>
      </w:r>
      <w:r w:rsidR="00A720C4">
        <w:rPr>
          <w:rFonts w:asciiTheme="minorHAnsi" w:hAnsiTheme="minorHAnsi" w:cstheme="minorHAnsi"/>
        </w:rPr>
        <w:t>.</w:t>
      </w:r>
      <w:r w:rsidRPr="00BB6F06">
        <w:rPr>
          <w:rFonts w:asciiTheme="minorHAnsi" w:hAnsiTheme="minorHAnsi" w:cstheme="minorHAnsi"/>
        </w:rPr>
        <w:t xml:space="preserve">J. "White coat compliance" limits the reliability of therapeutic drug monitoring in HIV-1-infected patients. </w:t>
      </w:r>
      <w:r w:rsidRPr="00BB6F06">
        <w:rPr>
          <w:rFonts w:asciiTheme="minorHAnsi" w:hAnsiTheme="minorHAnsi" w:cstheme="minorHAnsi"/>
          <w:i/>
        </w:rPr>
        <w:t xml:space="preserve">HIV </w:t>
      </w:r>
      <w:r w:rsidR="00A720C4" w:rsidRPr="00BB6F06">
        <w:rPr>
          <w:rFonts w:asciiTheme="minorHAnsi" w:hAnsiTheme="minorHAnsi" w:cstheme="minorHAnsi"/>
          <w:i/>
        </w:rPr>
        <w:t>Clinical Trials</w:t>
      </w:r>
      <w:r w:rsidR="00A720C4">
        <w:rPr>
          <w:rFonts w:asciiTheme="minorHAnsi" w:hAnsiTheme="minorHAnsi" w:cstheme="minorHAnsi"/>
        </w:rPr>
        <w:t xml:space="preserve">. </w:t>
      </w:r>
      <w:r w:rsidRPr="00BB6F06">
        <w:rPr>
          <w:rFonts w:asciiTheme="minorHAnsi" w:hAnsiTheme="minorHAnsi" w:cstheme="minorHAnsi"/>
          <w:b/>
        </w:rPr>
        <w:t>9</w:t>
      </w:r>
      <w:r w:rsidR="00A720C4">
        <w:rPr>
          <w:rFonts w:asciiTheme="minorHAnsi" w:hAnsiTheme="minorHAnsi" w:cstheme="minorHAnsi"/>
          <w:b/>
        </w:rPr>
        <w:t xml:space="preserve"> </w:t>
      </w:r>
      <w:r w:rsidRPr="00BB6F06">
        <w:rPr>
          <w:rFonts w:asciiTheme="minorHAnsi" w:hAnsiTheme="minorHAnsi" w:cstheme="minorHAnsi"/>
        </w:rPr>
        <w:t>(4</w:t>
      </w:r>
      <w:r w:rsidR="00A720C4">
        <w:rPr>
          <w:rFonts w:asciiTheme="minorHAnsi" w:hAnsiTheme="minorHAnsi" w:cstheme="minorHAnsi"/>
        </w:rPr>
        <w:t xml:space="preserve">), </w:t>
      </w:r>
      <w:r w:rsidRPr="00BB6F06">
        <w:rPr>
          <w:rFonts w:asciiTheme="minorHAnsi" w:hAnsiTheme="minorHAnsi" w:cstheme="minorHAnsi"/>
        </w:rPr>
        <w:t>238-46</w:t>
      </w:r>
      <w:r w:rsidR="00DA74CB">
        <w:rPr>
          <w:rFonts w:asciiTheme="minorHAnsi" w:hAnsiTheme="minorHAnsi" w:cstheme="minorHAnsi"/>
          <w:color w:val="202020"/>
          <w:shd w:val="clear" w:color="auto" w:fill="FFFFFF"/>
        </w:rPr>
        <w:t xml:space="preserve"> (20</w:t>
      </w:r>
      <w:r w:rsidR="00DA74CB">
        <w:rPr>
          <w:rFonts w:asciiTheme="minorHAnsi" w:hAnsiTheme="minorHAnsi" w:cstheme="minorHAnsi"/>
          <w:color w:val="202020"/>
          <w:shd w:val="clear" w:color="auto" w:fill="FFFFFF"/>
        </w:rPr>
        <w:t>08</w:t>
      </w:r>
      <w:r w:rsidR="00DA74CB">
        <w:rPr>
          <w:rFonts w:asciiTheme="minorHAnsi" w:hAnsiTheme="minorHAnsi" w:cstheme="minorHAnsi"/>
          <w:color w:val="202020"/>
          <w:shd w:val="clear" w:color="auto" w:fill="FFFFFF"/>
        </w:rPr>
        <w:t>).</w:t>
      </w:r>
    </w:p>
    <w:p w14:paraId="4563CBC8" w14:textId="0F8F6CD7" w:rsidR="00E1545B" w:rsidRPr="00BB6F06" w:rsidRDefault="00E1545B" w:rsidP="00BB6F06">
      <w:pPr>
        <w:pStyle w:val="ListParagraph"/>
        <w:numPr>
          <w:ilvl w:val="0"/>
          <w:numId w:val="30"/>
        </w:numPr>
        <w:ind w:left="0" w:firstLine="0"/>
        <w:rPr>
          <w:rFonts w:asciiTheme="minorHAnsi" w:hAnsiTheme="minorHAnsi" w:cstheme="minorHAnsi"/>
        </w:rPr>
      </w:pPr>
      <w:proofErr w:type="spellStart"/>
      <w:r w:rsidRPr="00BB6F06">
        <w:rPr>
          <w:rFonts w:asciiTheme="minorHAnsi" w:hAnsiTheme="minorHAnsi" w:cstheme="minorHAnsi"/>
        </w:rPr>
        <w:t>Cuypers</w:t>
      </w:r>
      <w:proofErr w:type="spellEnd"/>
      <w:r w:rsidR="00A720C4">
        <w:rPr>
          <w:rFonts w:asciiTheme="minorHAnsi" w:hAnsiTheme="minorHAnsi" w:cstheme="minorHAnsi"/>
        </w:rPr>
        <w:t>,</w:t>
      </w:r>
      <w:r w:rsidRPr="00BB6F06">
        <w:rPr>
          <w:rFonts w:asciiTheme="minorHAnsi" w:hAnsiTheme="minorHAnsi" w:cstheme="minorHAnsi"/>
        </w:rPr>
        <w:t xml:space="preserve"> E</w:t>
      </w:r>
      <w:r w:rsidR="00A720C4">
        <w:rPr>
          <w:rFonts w:asciiTheme="minorHAnsi" w:hAnsiTheme="minorHAnsi" w:cstheme="minorHAnsi"/>
        </w:rPr>
        <w:t>.</w:t>
      </w:r>
      <w:r w:rsidRPr="00BB6F06">
        <w:rPr>
          <w:rFonts w:asciiTheme="minorHAnsi" w:hAnsiTheme="minorHAnsi" w:cstheme="minorHAnsi"/>
        </w:rPr>
        <w:t>, Flanagan</w:t>
      </w:r>
      <w:r w:rsidR="00A720C4">
        <w:rPr>
          <w:rFonts w:asciiTheme="minorHAnsi" w:hAnsiTheme="minorHAnsi" w:cstheme="minorHAnsi"/>
        </w:rPr>
        <w:t>,</w:t>
      </w:r>
      <w:r w:rsidRPr="00BB6F06">
        <w:rPr>
          <w:rFonts w:asciiTheme="minorHAnsi" w:hAnsiTheme="minorHAnsi" w:cstheme="minorHAnsi"/>
        </w:rPr>
        <w:t xml:space="preserve"> R</w:t>
      </w:r>
      <w:r w:rsidR="00A720C4">
        <w:rPr>
          <w:rFonts w:asciiTheme="minorHAnsi" w:hAnsiTheme="minorHAnsi" w:cstheme="minorHAnsi"/>
        </w:rPr>
        <w:t>.</w:t>
      </w:r>
      <w:r w:rsidRPr="00BB6F06">
        <w:rPr>
          <w:rFonts w:asciiTheme="minorHAnsi" w:hAnsiTheme="minorHAnsi" w:cstheme="minorHAnsi"/>
        </w:rPr>
        <w:t xml:space="preserve">J. The interpretation of hair analysis for drugs and drug metabolites. </w:t>
      </w:r>
      <w:r w:rsidRPr="00BB6F06">
        <w:rPr>
          <w:rFonts w:asciiTheme="minorHAnsi" w:hAnsiTheme="minorHAnsi" w:cstheme="minorHAnsi"/>
          <w:i/>
        </w:rPr>
        <w:t>Clin</w:t>
      </w:r>
      <w:r w:rsidR="00132F91" w:rsidRPr="00BB6F06">
        <w:rPr>
          <w:rFonts w:asciiTheme="minorHAnsi" w:hAnsiTheme="minorHAnsi" w:cstheme="minorHAnsi"/>
          <w:i/>
        </w:rPr>
        <w:t>ical</w:t>
      </w:r>
      <w:r w:rsidRPr="00BB6F06">
        <w:rPr>
          <w:rFonts w:asciiTheme="minorHAnsi" w:hAnsiTheme="minorHAnsi" w:cstheme="minorHAnsi"/>
          <w:i/>
        </w:rPr>
        <w:t xml:space="preserve"> Toxicol</w:t>
      </w:r>
      <w:r w:rsidR="00132F91" w:rsidRPr="00BB6F06">
        <w:rPr>
          <w:rFonts w:asciiTheme="minorHAnsi" w:hAnsiTheme="minorHAnsi" w:cstheme="minorHAnsi"/>
          <w:i/>
        </w:rPr>
        <w:t>ogy</w:t>
      </w:r>
      <w:r w:rsidRPr="00BB6F06">
        <w:rPr>
          <w:rFonts w:asciiTheme="minorHAnsi" w:hAnsiTheme="minorHAnsi" w:cstheme="minorHAnsi"/>
          <w:i/>
        </w:rPr>
        <w:t>.</w:t>
      </w:r>
      <w:r w:rsidRPr="00BB6F06">
        <w:rPr>
          <w:rFonts w:asciiTheme="minorHAnsi" w:hAnsiTheme="minorHAnsi" w:cstheme="minorHAnsi"/>
        </w:rPr>
        <w:t xml:space="preserve"> </w:t>
      </w:r>
      <w:r w:rsidRPr="00A720C4">
        <w:rPr>
          <w:rFonts w:asciiTheme="minorHAnsi" w:hAnsiTheme="minorHAnsi" w:cstheme="minorHAnsi"/>
          <w:b/>
          <w:bCs/>
          <w:color w:val="202020"/>
          <w:shd w:val="clear" w:color="auto" w:fill="FFFFFF"/>
        </w:rPr>
        <w:t>56</w:t>
      </w:r>
      <w:r w:rsidR="00A720C4">
        <w:rPr>
          <w:rFonts w:asciiTheme="minorHAnsi" w:hAnsiTheme="minorHAnsi" w:cstheme="minorHAnsi"/>
          <w:b/>
          <w:bCs/>
          <w:color w:val="202020"/>
          <w:shd w:val="clear" w:color="auto" w:fill="FFFFFF"/>
        </w:rPr>
        <w:t xml:space="preserve"> </w:t>
      </w:r>
      <w:r w:rsidRPr="00BB6F06">
        <w:rPr>
          <w:rFonts w:asciiTheme="minorHAnsi" w:hAnsiTheme="minorHAnsi" w:cstheme="minorHAnsi"/>
        </w:rPr>
        <w:t>(2</w:t>
      </w:r>
      <w:r w:rsidR="00A720C4">
        <w:rPr>
          <w:rFonts w:asciiTheme="minorHAnsi" w:hAnsiTheme="minorHAnsi" w:cstheme="minorHAnsi"/>
        </w:rPr>
        <w:t xml:space="preserve">), </w:t>
      </w:r>
      <w:r w:rsidRPr="00BB6F06">
        <w:rPr>
          <w:rFonts w:asciiTheme="minorHAnsi" w:hAnsiTheme="minorHAnsi" w:cstheme="minorHAnsi"/>
        </w:rPr>
        <w:t>90-100</w:t>
      </w:r>
      <w:r w:rsidR="00DA74CB">
        <w:rPr>
          <w:rFonts w:asciiTheme="minorHAnsi" w:hAnsiTheme="minorHAnsi" w:cstheme="minorHAnsi"/>
          <w:color w:val="202020"/>
          <w:shd w:val="clear" w:color="auto" w:fill="FFFFFF"/>
        </w:rPr>
        <w:t xml:space="preserve"> (20</w:t>
      </w:r>
      <w:r w:rsidR="00DA74CB">
        <w:rPr>
          <w:rFonts w:asciiTheme="minorHAnsi" w:hAnsiTheme="minorHAnsi" w:cstheme="minorHAnsi"/>
          <w:color w:val="202020"/>
          <w:shd w:val="clear" w:color="auto" w:fill="FFFFFF"/>
        </w:rPr>
        <w:t>18</w:t>
      </w:r>
      <w:r w:rsidR="00DA74CB">
        <w:rPr>
          <w:rFonts w:asciiTheme="minorHAnsi" w:hAnsiTheme="minorHAnsi" w:cstheme="minorHAnsi"/>
          <w:color w:val="202020"/>
          <w:shd w:val="clear" w:color="auto" w:fill="FFFFFF"/>
        </w:rPr>
        <w:t>).</w:t>
      </w:r>
    </w:p>
    <w:p w14:paraId="208D934C" w14:textId="2DE76CFB" w:rsidR="00E1545B" w:rsidRPr="00BB6F06" w:rsidRDefault="00E1545B" w:rsidP="00BB6F06">
      <w:pPr>
        <w:pStyle w:val="ListParagraph"/>
        <w:numPr>
          <w:ilvl w:val="0"/>
          <w:numId w:val="30"/>
        </w:numPr>
        <w:ind w:left="0" w:firstLine="0"/>
        <w:rPr>
          <w:rFonts w:asciiTheme="minorHAnsi" w:hAnsiTheme="minorHAnsi" w:cstheme="minorHAnsi"/>
        </w:rPr>
      </w:pPr>
      <w:proofErr w:type="spellStart"/>
      <w:r w:rsidRPr="00BB6F06">
        <w:rPr>
          <w:rFonts w:asciiTheme="minorHAnsi" w:hAnsiTheme="minorHAnsi" w:cstheme="minorHAnsi"/>
        </w:rPr>
        <w:t>Knitz</w:t>
      </w:r>
      <w:proofErr w:type="spellEnd"/>
      <w:r w:rsidR="00A720C4">
        <w:rPr>
          <w:rFonts w:asciiTheme="minorHAnsi" w:hAnsiTheme="minorHAnsi" w:cstheme="minorHAnsi"/>
        </w:rPr>
        <w:t>,</w:t>
      </w:r>
      <w:r w:rsidRPr="00BB6F06">
        <w:rPr>
          <w:rFonts w:asciiTheme="minorHAnsi" w:hAnsiTheme="minorHAnsi" w:cstheme="minorHAnsi"/>
        </w:rPr>
        <w:t xml:space="preserve"> P</w:t>
      </w:r>
      <w:r w:rsidR="00A720C4">
        <w:rPr>
          <w:rFonts w:asciiTheme="minorHAnsi" w:hAnsiTheme="minorHAnsi" w:cstheme="minorHAnsi"/>
        </w:rPr>
        <w:t xml:space="preserve">., </w:t>
      </w:r>
      <w:r w:rsidRPr="00BB6F06">
        <w:rPr>
          <w:rFonts w:asciiTheme="minorHAnsi" w:hAnsiTheme="minorHAnsi" w:cstheme="minorHAnsi"/>
        </w:rPr>
        <w:t>Villain</w:t>
      </w:r>
      <w:r w:rsidR="00A720C4">
        <w:rPr>
          <w:rFonts w:asciiTheme="minorHAnsi" w:hAnsiTheme="minorHAnsi" w:cstheme="minorHAnsi"/>
        </w:rPr>
        <w:t>,</w:t>
      </w:r>
      <w:r w:rsidRPr="00BB6F06">
        <w:rPr>
          <w:rFonts w:asciiTheme="minorHAnsi" w:hAnsiTheme="minorHAnsi" w:cstheme="minorHAnsi"/>
        </w:rPr>
        <w:t xml:space="preserve"> M</w:t>
      </w:r>
      <w:r w:rsidR="00A720C4">
        <w:rPr>
          <w:rFonts w:asciiTheme="minorHAnsi" w:hAnsiTheme="minorHAnsi" w:cstheme="minorHAnsi"/>
        </w:rPr>
        <w:t>.</w:t>
      </w:r>
      <w:r w:rsidRPr="00BB6F06">
        <w:rPr>
          <w:rFonts w:asciiTheme="minorHAnsi" w:hAnsiTheme="minorHAnsi" w:cstheme="minorHAnsi"/>
        </w:rPr>
        <w:t xml:space="preserve">, </w:t>
      </w:r>
      <w:proofErr w:type="spellStart"/>
      <w:r w:rsidRPr="00BB6F06">
        <w:rPr>
          <w:rFonts w:asciiTheme="minorHAnsi" w:hAnsiTheme="minorHAnsi" w:cstheme="minorHAnsi"/>
        </w:rPr>
        <w:t>Crimele</w:t>
      </w:r>
      <w:proofErr w:type="spellEnd"/>
      <w:r w:rsidR="00A720C4">
        <w:rPr>
          <w:rFonts w:asciiTheme="minorHAnsi" w:hAnsiTheme="minorHAnsi" w:cstheme="minorHAnsi"/>
        </w:rPr>
        <w:t>,</w:t>
      </w:r>
      <w:r w:rsidRPr="00BB6F06">
        <w:rPr>
          <w:rFonts w:asciiTheme="minorHAnsi" w:hAnsiTheme="minorHAnsi" w:cstheme="minorHAnsi"/>
        </w:rPr>
        <w:t xml:space="preserve"> V. Hair analysis for drug detection. </w:t>
      </w:r>
      <w:r w:rsidRPr="00BB6F06">
        <w:rPr>
          <w:rFonts w:asciiTheme="minorHAnsi" w:hAnsiTheme="minorHAnsi" w:cstheme="minorHAnsi"/>
          <w:i/>
        </w:rPr>
        <w:t>Ther</w:t>
      </w:r>
      <w:r w:rsidR="00132F91" w:rsidRPr="00BB6F06">
        <w:rPr>
          <w:rFonts w:asciiTheme="minorHAnsi" w:hAnsiTheme="minorHAnsi" w:cstheme="minorHAnsi"/>
          <w:i/>
        </w:rPr>
        <w:t>apeutic</w:t>
      </w:r>
      <w:r w:rsidRPr="00BB6F06">
        <w:rPr>
          <w:rFonts w:asciiTheme="minorHAnsi" w:hAnsiTheme="minorHAnsi" w:cstheme="minorHAnsi"/>
          <w:i/>
        </w:rPr>
        <w:t xml:space="preserve"> Drug Monit</w:t>
      </w:r>
      <w:r w:rsidR="00132F91" w:rsidRPr="00BB6F06">
        <w:rPr>
          <w:rFonts w:asciiTheme="minorHAnsi" w:hAnsiTheme="minorHAnsi" w:cstheme="minorHAnsi"/>
          <w:i/>
        </w:rPr>
        <w:t>oring.</w:t>
      </w:r>
      <w:r w:rsidRPr="00BB6F06">
        <w:rPr>
          <w:rFonts w:asciiTheme="minorHAnsi" w:hAnsiTheme="minorHAnsi" w:cstheme="minorHAnsi"/>
          <w:i/>
        </w:rPr>
        <w:t xml:space="preserve"> </w:t>
      </w:r>
      <w:r w:rsidRPr="00A720C4">
        <w:rPr>
          <w:rFonts w:asciiTheme="minorHAnsi" w:hAnsiTheme="minorHAnsi" w:cstheme="minorHAnsi"/>
          <w:b/>
          <w:bCs/>
          <w:color w:val="202020"/>
          <w:shd w:val="clear" w:color="auto" w:fill="FFFFFF"/>
        </w:rPr>
        <w:t>28</w:t>
      </w:r>
      <w:r w:rsidR="00A720C4">
        <w:rPr>
          <w:rFonts w:asciiTheme="minorHAnsi" w:hAnsiTheme="minorHAnsi" w:cstheme="minorHAnsi"/>
        </w:rPr>
        <w:t xml:space="preserve"> </w:t>
      </w:r>
      <w:r w:rsidRPr="00BB6F06">
        <w:rPr>
          <w:rFonts w:asciiTheme="minorHAnsi" w:hAnsiTheme="minorHAnsi" w:cstheme="minorHAnsi"/>
        </w:rPr>
        <w:t>(3</w:t>
      </w:r>
      <w:r w:rsidR="00A720C4">
        <w:rPr>
          <w:rFonts w:asciiTheme="minorHAnsi" w:hAnsiTheme="minorHAnsi" w:cstheme="minorHAnsi"/>
        </w:rPr>
        <w:t xml:space="preserve">), </w:t>
      </w:r>
      <w:r w:rsidRPr="00BB6F06">
        <w:rPr>
          <w:rFonts w:asciiTheme="minorHAnsi" w:hAnsiTheme="minorHAnsi" w:cstheme="minorHAnsi"/>
        </w:rPr>
        <w:t>442-6</w:t>
      </w:r>
      <w:r w:rsidR="00DA74CB">
        <w:rPr>
          <w:rFonts w:asciiTheme="minorHAnsi" w:hAnsiTheme="minorHAnsi" w:cstheme="minorHAnsi"/>
          <w:color w:val="202020"/>
          <w:shd w:val="clear" w:color="auto" w:fill="FFFFFF"/>
        </w:rPr>
        <w:t xml:space="preserve"> (20</w:t>
      </w:r>
      <w:r w:rsidR="00DA74CB">
        <w:rPr>
          <w:rFonts w:asciiTheme="minorHAnsi" w:hAnsiTheme="minorHAnsi" w:cstheme="minorHAnsi"/>
          <w:color w:val="202020"/>
          <w:shd w:val="clear" w:color="auto" w:fill="FFFFFF"/>
        </w:rPr>
        <w:t>06</w:t>
      </w:r>
      <w:r w:rsidR="00DA74CB">
        <w:rPr>
          <w:rFonts w:asciiTheme="minorHAnsi" w:hAnsiTheme="minorHAnsi" w:cstheme="minorHAnsi"/>
          <w:color w:val="202020"/>
          <w:shd w:val="clear" w:color="auto" w:fill="FFFFFF"/>
        </w:rPr>
        <w:t>).</w:t>
      </w:r>
    </w:p>
    <w:p w14:paraId="725883B4" w14:textId="79DE6739" w:rsidR="00E1545B" w:rsidRPr="00BB6F06" w:rsidRDefault="00E1545B" w:rsidP="00BB6F06">
      <w:pPr>
        <w:pStyle w:val="ListParagraph"/>
        <w:numPr>
          <w:ilvl w:val="0"/>
          <w:numId w:val="30"/>
        </w:numPr>
        <w:ind w:left="0" w:firstLine="0"/>
        <w:rPr>
          <w:rFonts w:asciiTheme="minorHAnsi" w:hAnsiTheme="minorHAnsi" w:cstheme="minorHAnsi"/>
        </w:rPr>
      </w:pPr>
      <w:r w:rsidRPr="00BB6F06">
        <w:rPr>
          <w:rFonts w:asciiTheme="minorHAnsi" w:hAnsiTheme="minorHAnsi" w:cstheme="minorHAnsi"/>
        </w:rPr>
        <w:lastRenderedPageBreak/>
        <w:t>Barroso</w:t>
      </w:r>
      <w:r w:rsidR="00A720C4">
        <w:rPr>
          <w:rFonts w:asciiTheme="minorHAnsi" w:hAnsiTheme="minorHAnsi" w:cstheme="minorHAnsi"/>
        </w:rPr>
        <w:t>,</w:t>
      </w:r>
      <w:r w:rsidRPr="00BB6F06">
        <w:rPr>
          <w:rFonts w:asciiTheme="minorHAnsi" w:hAnsiTheme="minorHAnsi" w:cstheme="minorHAnsi"/>
        </w:rPr>
        <w:t xml:space="preserve"> M</w:t>
      </w:r>
      <w:r w:rsidR="00A720C4">
        <w:rPr>
          <w:rFonts w:asciiTheme="minorHAnsi" w:hAnsiTheme="minorHAnsi" w:cstheme="minorHAnsi"/>
        </w:rPr>
        <w:t>.</w:t>
      </w:r>
      <w:r w:rsidRPr="00BB6F06">
        <w:rPr>
          <w:rFonts w:asciiTheme="minorHAnsi" w:hAnsiTheme="minorHAnsi" w:cstheme="minorHAnsi"/>
        </w:rPr>
        <w:t>, Gallardo</w:t>
      </w:r>
      <w:r w:rsidR="00A720C4">
        <w:rPr>
          <w:rFonts w:asciiTheme="minorHAnsi" w:hAnsiTheme="minorHAnsi" w:cstheme="minorHAnsi"/>
        </w:rPr>
        <w:t>,</w:t>
      </w:r>
      <w:r w:rsidRPr="00BB6F06">
        <w:rPr>
          <w:rFonts w:asciiTheme="minorHAnsi" w:hAnsiTheme="minorHAnsi" w:cstheme="minorHAnsi"/>
        </w:rPr>
        <w:t xml:space="preserve"> E</w:t>
      </w:r>
      <w:r w:rsidR="00A720C4">
        <w:rPr>
          <w:rFonts w:asciiTheme="minorHAnsi" w:hAnsiTheme="minorHAnsi" w:cstheme="minorHAnsi"/>
        </w:rPr>
        <w:t>.</w:t>
      </w:r>
      <w:r w:rsidRPr="00BB6F06">
        <w:rPr>
          <w:rFonts w:asciiTheme="minorHAnsi" w:hAnsiTheme="minorHAnsi" w:cstheme="minorHAnsi"/>
        </w:rPr>
        <w:t xml:space="preserve">, </w:t>
      </w:r>
      <w:proofErr w:type="spellStart"/>
      <w:r w:rsidRPr="00BB6F06">
        <w:rPr>
          <w:rFonts w:asciiTheme="minorHAnsi" w:hAnsiTheme="minorHAnsi" w:cstheme="minorHAnsi"/>
        </w:rPr>
        <w:t>Vleira</w:t>
      </w:r>
      <w:proofErr w:type="spellEnd"/>
      <w:r w:rsidR="00A720C4">
        <w:rPr>
          <w:rFonts w:asciiTheme="minorHAnsi" w:hAnsiTheme="minorHAnsi" w:cstheme="minorHAnsi"/>
        </w:rPr>
        <w:t>,</w:t>
      </w:r>
      <w:r w:rsidRPr="00BB6F06">
        <w:rPr>
          <w:rFonts w:asciiTheme="minorHAnsi" w:hAnsiTheme="minorHAnsi" w:cstheme="minorHAnsi"/>
        </w:rPr>
        <w:t xml:space="preserve"> D</w:t>
      </w:r>
      <w:r w:rsidR="00A720C4">
        <w:rPr>
          <w:rFonts w:asciiTheme="minorHAnsi" w:hAnsiTheme="minorHAnsi" w:cstheme="minorHAnsi"/>
        </w:rPr>
        <w:t>.</w:t>
      </w:r>
      <w:r w:rsidRPr="00BB6F06">
        <w:rPr>
          <w:rFonts w:asciiTheme="minorHAnsi" w:hAnsiTheme="minorHAnsi" w:cstheme="minorHAnsi"/>
        </w:rPr>
        <w:t>N</w:t>
      </w:r>
      <w:r w:rsidR="00A720C4">
        <w:rPr>
          <w:rFonts w:asciiTheme="minorHAnsi" w:hAnsiTheme="minorHAnsi" w:cstheme="minorHAnsi"/>
        </w:rPr>
        <w:t>.</w:t>
      </w:r>
      <w:r w:rsidRPr="00BB6F06">
        <w:rPr>
          <w:rFonts w:asciiTheme="minorHAnsi" w:hAnsiTheme="minorHAnsi" w:cstheme="minorHAnsi"/>
        </w:rPr>
        <w:t>, Lopez-</w:t>
      </w:r>
      <w:proofErr w:type="spellStart"/>
      <w:r w:rsidRPr="00BB6F06">
        <w:rPr>
          <w:rFonts w:asciiTheme="minorHAnsi" w:hAnsiTheme="minorHAnsi" w:cstheme="minorHAnsi"/>
        </w:rPr>
        <w:t>Rivadulla</w:t>
      </w:r>
      <w:proofErr w:type="spellEnd"/>
      <w:r w:rsidR="00A720C4">
        <w:rPr>
          <w:rFonts w:asciiTheme="minorHAnsi" w:hAnsiTheme="minorHAnsi" w:cstheme="minorHAnsi"/>
        </w:rPr>
        <w:t>,</w:t>
      </w:r>
      <w:r w:rsidRPr="00BB6F06">
        <w:rPr>
          <w:rFonts w:asciiTheme="minorHAnsi" w:hAnsiTheme="minorHAnsi" w:cstheme="minorHAnsi"/>
        </w:rPr>
        <w:t xml:space="preserve"> M</w:t>
      </w:r>
      <w:r w:rsidR="00A720C4">
        <w:rPr>
          <w:rFonts w:asciiTheme="minorHAnsi" w:hAnsiTheme="minorHAnsi" w:cstheme="minorHAnsi"/>
        </w:rPr>
        <w:t>.</w:t>
      </w:r>
      <w:r w:rsidRPr="00BB6F06">
        <w:rPr>
          <w:rFonts w:asciiTheme="minorHAnsi" w:hAnsiTheme="minorHAnsi" w:cstheme="minorHAnsi"/>
        </w:rPr>
        <w:t>, Queiroz</w:t>
      </w:r>
      <w:r w:rsidR="00A720C4">
        <w:rPr>
          <w:rFonts w:asciiTheme="minorHAnsi" w:hAnsiTheme="minorHAnsi" w:cstheme="minorHAnsi"/>
        </w:rPr>
        <w:t>,</w:t>
      </w:r>
      <w:r w:rsidRPr="00BB6F06">
        <w:rPr>
          <w:rFonts w:asciiTheme="minorHAnsi" w:hAnsiTheme="minorHAnsi" w:cstheme="minorHAnsi"/>
        </w:rPr>
        <w:t xml:space="preserve"> J</w:t>
      </w:r>
      <w:r w:rsidR="00A720C4">
        <w:rPr>
          <w:rFonts w:asciiTheme="minorHAnsi" w:hAnsiTheme="minorHAnsi" w:cstheme="minorHAnsi"/>
        </w:rPr>
        <w:t>.</w:t>
      </w:r>
      <w:r w:rsidRPr="00BB6F06">
        <w:rPr>
          <w:rFonts w:asciiTheme="minorHAnsi" w:hAnsiTheme="minorHAnsi" w:cstheme="minorHAnsi"/>
        </w:rPr>
        <w:t xml:space="preserve">A. 2011. Hair: a complementary source of bioanalytical information in forensic toxicology. </w:t>
      </w:r>
      <w:r w:rsidRPr="00BB6F06">
        <w:rPr>
          <w:rFonts w:asciiTheme="minorHAnsi" w:hAnsiTheme="minorHAnsi" w:cstheme="minorHAnsi"/>
          <w:i/>
        </w:rPr>
        <w:t>Bioanalysis</w:t>
      </w:r>
      <w:r w:rsidR="00132F91" w:rsidRPr="00BB6F06">
        <w:rPr>
          <w:rFonts w:asciiTheme="minorHAnsi" w:hAnsiTheme="minorHAnsi" w:cstheme="minorHAnsi"/>
          <w:i/>
        </w:rPr>
        <w:t>.</w:t>
      </w:r>
      <w:r w:rsidRPr="00BB6F06">
        <w:rPr>
          <w:rFonts w:asciiTheme="minorHAnsi" w:hAnsiTheme="minorHAnsi" w:cstheme="minorHAnsi"/>
          <w:i/>
        </w:rPr>
        <w:t xml:space="preserve"> </w:t>
      </w:r>
      <w:r w:rsidRPr="00A720C4">
        <w:rPr>
          <w:rFonts w:asciiTheme="minorHAnsi" w:hAnsiTheme="minorHAnsi" w:cstheme="minorHAnsi"/>
          <w:b/>
          <w:bCs/>
          <w:color w:val="202020"/>
          <w:shd w:val="clear" w:color="auto" w:fill="FFFFFF"/>
        </w:rPr>
        <w:t>3</w:t>
      </w:r>
      <w:r w:rsidR="00A720C4">
        <w:rPr>
          <w:rFonts w:asciiTheme="minorHAnsi" w:hAnsiTheme="minorHAnsi" w:cstheme="minorHAnsi"/>
        </w:rPr>
        <w:t xml:space="preserve"> </w:t>
      </w:r>
      <w:r w:rsidRPr="00BB6F06">
        <w:rPr>
          <w:rFonts w:asciiTheme="minorHAnsi" w:hAnsiTheme="minorHAnsi" w:cstheme="minorHAnsi"/>
        </w:rPr>
        <w:t>(1</w:t>
      </w:r>
      <w:r w:rsidR="00A720C4">
        <w:rPr>
          <w:rFonts w:asciiTheme="minorHAnsi" w:hAnsiTheme="minorHAnsi" w:cstheme="minorHAnsi"/>
        </w:rPr>
        <w:t xml:space="preserve">), </w:t>
      </w:r>
      <w:r w:rsidRPr="00BB6F06">
        <w:rPr>
          <w:rFonts w:asciiTheme="minorHAnsi" w:hAnsiTheme="minorHAnsi" w:cstheme="minorHAnsi"/>
        </w:rPr>
        <w:t>67-79</w:t>
      </w:r>
      <w:r w:rsidR="00DA74CB">
        <w:rPr>
          <w:rFonts w:asciiTheme="minorHAnsi" w:hAnsiTheme="minorHAnsi" w:cstheme="minorHAnsi"/>
          <w:color w:val="202020"/>
          <w:shd w:val="clear" w:color="auto" w:fill="FFFFFF"/>
        </w:rPr>
        <w:t xml:space="preserve"> (201</w:t>
      </w:r>
      <w:r w:rsidR="00DA74CB">
        <w:rPr>
          <w:rFonts w:asciiTheme="minorHAnsi" w:hAnsiTheme="minorHAnsi" w:cstheme="minorHAnsi"/>
          <w:color w:val="202020"/>
          <w:shd w:val="clear" w:color="auto" w:fill="FFFFFF"/>
        </w:rPr>
        <w:t>1</w:t>
      </w:r>
      <w:r w:rsidR="00DA74CB">
        <w:rPr>
          <w:rFonts w:asciiTheme="minorHAnsi" w:hAnsiTheme="minorHAnsi" w:cstheme="minorHAnsi"/>
          <w:color w:val="202020"/>
          <w:shd w:val="clear" w:color="auto" w:fill="FFFFFF"/>
        </w:rPr>
        <w:t>).</w:t>
      </w:r>
    </w:p>
    <w:p w14:paraId="48C179F7" w14:textId="1C37A29E" w:rsidR="00E1545B" w:rsidRPr="00BB6F06" w:rsidRDefault="00E1545B" w:rsidP="00BB6F06">
      <w:pPr>
        <w:pStyle w:val="ListParagraph"/>
        <w:numPr>
          <w:ilvl w:val="0"/>
          <w:numId w:val="30"/>
        </w:numPr>
        <w:ind w:left="0" w:firstLine="0"/>
        <w:rPr>
          <w:rFonts w:asciiTheme="minorHAnsi" w:hAnsiTheme="minorHAnsi" w:cstheme="minorHAnsi"/>
        </w:rPr>
      </w:pPr>
      <w:r w:rsidRPr="00BB6F06">
        <w:rPr>
          <w:rFonts w:asciiTheme="minorHAnsi" w:hAnsiTheme="minorHAnsi" w:cstheme="minorHAnsi"/>
        </w:rPr>
        <w:t>Gandhi</w:t>
      </w:r>
      <w:r w:rsidR="00A720C4">
        <w:rPr>
          <w:rFonts w:asciiTheme="minorHAnsi" w:hAnsiTheme="minorHAnsi" w:cstheme="minorHAnsi"/>
        </w:rPr>
        <w:t>,</w:t>
      </w:r>
      <w:r w:rsidRPr="00BB6F06">
        <w:rPr>
          <w:rFonts w:asciiTheme="minorHAnsi" w:hAnsiTheme="minorHAnsi" w:cstheme="minorHAnsi"/>
        </w:rPr>
        <w:t xml:space="preserve"> M</w:t>
      </w:r>
      <w:r w:rsidR="00A720C4">
        <w:rPr>
          <w:rFonts w:asciiTheme="minorHAnsi" w:hAnsiTheme="minorHAnsi" w:cstheme="minorHAnsi"/>
        </w:rPr>
        <w:t>.</w:t>
      </w:r>
      <w:r w:rsidR="00A720C4">
        <w:rPr>
          <w:rFonts w:asciiTheme="minorHAnsi" w:hAnsiTheme="minorHAnsi" w:cstheme="minorHAnsi"/>
        </w:rPr>
        <w:t xml:space="preserve"> et al. </w:t>
      </w:r>
      <w:r w:rsidRPr="00BB6F06">
        <w:rPr>
          <w:rFonts w:asciiTheme="minorHAnsi" w:hAnsiTheme="minorHAnsi" w:cstheme="minorHAnsi"/>
        </w:rPr>
        <w:t xml:space="preserve">Atazanavir concentration in hair is the strongest predictor of outcomes on antiretroviral therapy. </w:t>
      </w:r>
      <w:r w:rsidRPr="00BB6F06">
        <w:rPr>
          <w:rFonts w:asciiTheme="minorHAnsi" w:hAnsiTheme="minorHAnsi" w:cstheme="minorHAnsi"/>
          <w:i/>
        </w:rPr>
        <w:t>Clin</w:t>
      </w:r>
      <w:r w:rsidR="00132F91" w:rsidRPr="00BB6F06">
        <w:rPr>
          <w:rFonts w:asciiTheme="minorHAnsi" w:hAnsiTheme="minorHAnsi" w:cstheme="minorHAnsi"/>
          <w:i/>
        </w:rPr>
        <w:t>ical</w:t>
      </w:r>
      <w:r w:rsidRPr="00BB6F06">
        <w:rPr>
          <w:rFonts w:asciiTheme="minorHAnsi" w:hAnsiTheme="minorHAnsi" w:cstheme="minorHAnsi"/>
          <w:i/>
        </w:rPr>
        <w:t xml:space="preserve"> Infect</w:t>
      </w:r>
      <w:r w:rsidR="00132F91" w:rsidRPr="00BB6F06">
        <w:rPr>
          <w:rFonts w:asciiTheme="minorHAnsi" w:hAnsiTheme="minorHAnsi" w:cstheme="minorHAnsi"/>
          <w:i/>
        </w:rPr>
        <w:t>ious</w:t>
      </w:r>
      <w:r w:rsidRPr="00BB6F06">
        <w:rPr>
          <w:rFonts w:asciiTheme="minorHAnsi" w:hAnsiTheme="minorHAnsi" w:cstheme="minorHAnsi"/>
          <w:i/>
        </w:rPr>
        <w:t xml:space="preserve"> Dis</w:t>
      </w:r>
      <w:r w:rsidR="00132F91" w:rsidRPr="00BB6F06">
        <w:rPr>
          <w:rFonts w:asciiTheme="minorHAnsi" w:hAnsiTheme="minorHAnsi" w:cstheme="minorHAnsi"/>
          <w:i/>
        </w:rPr>
        <w:t>eases.</w:t>
      </w:r>
      <w:r w:rsidRPr="00BB6F06">
        <w:rPr>
          <w:rFonts w:asciiTheme="minorHAnsi" w:hAnsiTheme="minorHAnsi" w:cstheme="minorHAnsi"/>
          <w:i/>
        </w:rPr>
        <w:t xml:space="preserve"> </w:t>
      </w:r>
      <w:r w:rsidRPr="00A720C4">
        <w:rPr>
          <w:rFonts w:asciiTheme="minorHAnsi" w:hAnsiTheme="minorHAnsi" w:cstheme="minorHAnsi"/>
          <w:b/>
          <w:bCs/>
          <w:color w:val="202020"/>
          <w:shd w:val="clear" w:color="auto" w:fill="FFFFFF"/>
        </w:rPr>
        <w:t>52</w:t>
      </w:r>
      <w:r w:rsidR="00A720C4">
        <w:rPr>
          <w:rFonts w:asciiTheme="minorHAnsi" w:hAnsiTheme="minorHAnsi" w:cstheme="minorHAnsi"/>
        </w:rPr>
        <w:t xml:space="preserve"> </w:t>
      </w:r>
      <w:r w:rsidRPr="00BB6F06">
        <w:rPr>
          <w:rFonts w:asciiTheme="minorHAnsi" w:hAnsiTheme="minorHAnsi" w:cstheme="minorHAnsi"/>
        </w:rPr>
        <w:t>(10</w:t>
      </w:r>
      <w:r w:rsidR="00A720C4">
        <w:rPr>
          <w:rFonts w:asciiTheme="minorHAnsi" w:hAnsiTheme="minorHAnsi" w:cstheme="minorHAnsi"/>
        </w:rPr>
        <w:t xml:space="preserve">), </w:t>
      </w:r>
      <w:r w:rsidRPr="00BB6F06">
        <w:rPr>
          <w:rFonts w:asciiTheme="minorHAnsi" w:hAnsiTheme="minorHAnsi" w:cstheme="minorHAnsi"/>
        </w:rPr>
        <w:t>1267-1275</w:t>
      </w:r>
      <w:r w:rsidR="00DA74CB">
        <w:rPr>
          <w:rFonts w:asciiTheme="minorHAnsi" w:hAnsiTheme="minorHAnsi" w:cstheme="minorHAnsi"/>
          <w:color w:val="202020"/>
          <w:shd w:val="clear" w:color="auto" w:fill="FFFFFF"/>
        </w:rPr>
        <w:t xml:space="preserve"> (201</w:t>
      </w:r>
      <w:r w:rsidR="00DA74CB">
        <w:rPr>
          <w:rFonts w:asciiTheme="minorHAnsi" w:hAnsiTheme="minorHAnsi" w:cstheme="minorHAnsi"/>
          <w:color w:val="202020"/>
          <w:shd w:val="clear" w:color="auto" w:fill="FFFFFF"/>
        </w:rPr>
        <w:t>1</w:t>
      </w:r>
      <w:r w:rsidR="00DA74CB">
        <w:rPr>
          <w:rFonts w:asciiTheme="minorHAnsi" w:hAnsiTheme="minorHAnsi" w:cstheme="minorHAnsi"/>
          <w:color w:val="202020"/>
          <w:shd w:val="clear" w:color="auto" w:fill="FFFFFF"/>
        </w:rPr>
        <w:t>).</w:t>
      </w:r>
    </w:p>
    <w:p w14:paraId="4170D006" w14:textId="1BB2771A" w:rsidR="00E1545B" w:rsidRPr="00BB6F06" w:rsidRDefault="00E1545B" w:rsidP="00BB6F06">
      <w:pPr>
        <w:pStyle w:val="ListParagraph"/>
        <w:numPr>
          <w:ilvl w:val="0"/>
          <w:numId w:val="30"/>
        </w:numPr>
        <w:ind w:left="0" w:firstLine="0"/>
        <w:rPr>
          <w:rFonts w:asciiTheme="minorHAnsi" w:hAnsiTheme="minorHAnsi" w:cstheme="minorHAnsi"/>
        </w:rPr>
      </w:pPr>
      <w:r w:rsidRPr="00BB6F06">
        <w:rPr>
          <w:rFonts w:asciiTheme="minorHAnsi" w:hAnsiTheme="minorHAnsi" w:cstheme="minorHAnsi"/>
        </w:rPr>
        <w:t>Koss</w:t>
      </w:r>
      <w:r w:rsidR="00A720C4">
        <w:rPr>
          <w:rFonts w:asciiTheme="minorHAnsi" w:hAnsiTheme="minorHAnsi" w:cstheme="minorHAnsi"/>
        </w:rPr>
        <w:t>,</w:t>
      </w:r>
      <w:r w:rsidRPr="00BB6F06">
        <w:rPr>
          <w:rFonts w:asciiTheme="minorHAnsi" w:hAnsiTheme="minorHAnsi" w:cstheme="minorHAnsi"/>
        </w:rPr>
        <w:t xml:space="preserve"> C</w:t>
      </w:r>
      <w:r w:rsidR="00A720C4">
        <w:rPr>
          <w:rFonts w:asciiTheme="minorHAnsi" w:hAnsiTheme="minorHAnsi" w:cstheme="minorHAnsi"/>
        </w:rPr>
        <w:t>.</w:t>
      </w:r>
      <w:r w:rsidRPr="00BB6F06">
        <w:rPr>
          <w:rFonts w:asciiTheme="minorHAnsi" w:hAnsiTheme="minorHAnsi" w:cstheme="minorHAnsi"/>
        </w:rPr>
        <w:t>A</w:t>
      </w:r>
      <w:r w:rsidR="00A720C4">
        <w:rPr>
          <w:rFonts w:asciiTheme="minorHAnsi" w:hAnsiTheme="minorHAnsi" w:cstheme="minorHAnsi"/>
        </w:rPr>
        <w:t xml:space="preserve">. </w:t>
      </w:r>
      <w:r w:rsidRPr="00BB6F06">
        <w:rPr>
          <w:rFonts w:asciiTheme="minorHAnsi" w:hAnsiTheme="minorHAnsi" w:cstheme="minorHAnsi"/>
        </w:rPr>
        <w:t xml:space="preserve">et al. Hair concentrations of antiretrovirals predict viral suppression in HIV-infected pregnant and breastfeeding Ugandan women. </w:t>
      </w:r>
      <w:r w:rsidRPr="00BB6F06">
        <w:rPr>
          <w:rFonts w:asciiTheme="minorHAnsi" w:hAnsiTheme="minorHAnsi" w:cstheme="minorHAnsi"/>
          <w:i/>
        </w:rPr>
        <w:t xml:space="preserve">AIDS. </w:t>
      </w:r>
      <w:r w:rsidRPr="00A720C4">
        <w:rPr>
          <w:rFonts w:asciiTheme="minorHAnsi" w:hAnsiTheme="minorHAnsi" w:cstheme="minorHAnsi"/>
          <w:b/>
          <w:bCs/>
          <w:color w:val="202020"/>
          <w:shd w:val="clear" w:color="auto" w:fill="FFFFFF"/>
        </w:rPr>
        <w:t>29</w:t>
      </w:r>
      <w:r w:rsidR="00A720C4">
        <w:rPr>
          <w:rFonts w:asciiTheme="minorHAnsi" w:hAnsiTheme="minorHAnsi" w:cstheme="minorHAnsi"/>
        </w:rPr>
        <w:t xml:space="preserve"> </w:t>
      </w:r>
      <w:r w:rsidRPr="00BB6F06">
        <w:rPr>
          <w:rFonts w:asciiTheme="minorHAnsi" w:hAnsiTheme="minorHAnsi" w:cstheme="minorHAnsi"/>
        </w:rPr>
        <w:t>(7</w:t>
      </w:r>
      <w:r w:rsidR="00A720C4">
        <w:rPr>
          <w:rFonts w:asciiTheme="minorHAnsi" w:hAnsiTheme="minorHAnsi" w:cstheme="minorHAnsi"/>
        </w:rPr>
        <w:t xml:space="preserve">), </w:t>
      </w:r>
      <w:r w:rsidRPr="00BB6F06">
        <w:rPr>
          <w:rFonts w:asciiTheme="minorHAnsi" w:hAnsiTheme="minorHAnsi" w:cstheme="minorHAnsi"/>
        </w:rPr>
        <w:t>825-830</w:t>
      </w:r>
      <w:r w:rsidR="00DA74CB">
        <w:rPr>
          <w:rFonts w:asciiTheme="minorHAnsi" w:hAnsiTheme="minorHAnsi" w:cstheme="minorHAnsi"/>
          <w:color w:val="202020"/>
          <w:shd w:val="clear" w:color="auto" w:fill="FFFFFF"/>
        </w:rPr>
        <w:t xml:space="preserve"> (201</w:t>
      </w:r>
      <w:r w:rsidR="00DA74CB">
        <w:rPr>
          <w:rFonts w:asciiTheme="minorHAnsi" w:hAnsiTheme="minorHAnsi" w:cstheme="minorHAnsi"/>
          <w:color w:val="202020"/>
          <w:shd w:val="clear" w:color="auto" w:fill="FFFFFF"/>
        </w:rPr>
        <w:t>5</w:t>
      </w:r>
      <w:r w:rsidR="00DA74CB">
        <w:rPr>
          <w:rFonts w:asciiTheme="minorHAnsi" w:hAnsiTheme="minorHAnsi" w:cstheme="minorHAnsi"/>
          <w:color w:val="202020"/>
          <w:shd w:val="clear" w:color="auto" w:fill="FFFFFF"/>
        </w:rPr>
        <w:t>).</w:t>
      </w:r>
    </w:p>
    <w:p w14:paraId="1FE9411C" w14:textId="541CCF81" w:rsidR="00E1545B" w:rsidRPr="00BB6F06" w:rsidRDefault="00E1545B" w:rsidP="00BB6F06">
      <w:pPr>
        <w:pStyle w:val="ListParagraph"/>
        <w:numPr>
          <w:ilvl w:val="0"/>
          <w:numId w:val="30"/>
        </w:numPr>
        <w:ind w:left="0" w:firstLine="0"/>
        <w:rPr>
          <w:rFonts w:asciiTheme="minorHAnsi" w:hAnsiTheme="minorHAnsi" w:cstheme="minorHAnsi"/>
        </w:rPr>
      </w:pPr>
      <w:proofErr w:type="spellStart"/>
      <w:r w:rsidRPr="00BB6F06">
        <w:rPr>
          <w:rFonts w:asciiTheme="minorHAnsi" w:hAnsiTheme="minorHAnsi" w:cstheme="minorHAnsi"/>
        </w:rPr>
        <w:t>Pintye</w:t>
      </w:r>
      <w:proofErr w:type="spellEnd"/>
      <w:r w:rsidR="00A720C4">
        <w:rPr>
          <w:rFonts w:asciiTheme="minorHAnsi" w:hAnsiTheme="minorHAnsi" w:cstheme="minorHAnsi"/>
        </w:rPr>
        <w:t>,</w:t>
      </w:r>
      <w:r w:rsidRPr="00BB6F06">
        <w:rPr>
          <w:rFonts w:asciiTheme="minorHAnsi" w:hAnsiTheme="minorHAnsi" w:cstheme="minorHAnsi"/>
        </w:rPr>
        <w:t xml:space="preserve"> J</w:t>
      </w:r>
      <w:r w:rsidR="00A720C4">
        <w:rPr>
          <w:rFonts w:asciiTheme="minorHAnsi" w:hAnsiTheme="minorHAnsi" w:cstheme="minorHAnsi"/>
        </w:rPr>
        <w:t xml:space="preserve">. </w:t>
      </w:r>
      <w:r w:rsidRPr="00BB6F06">
        <w:rPr>
          <w:rFonts w:asciiTheme="minorHAnsi" w:hAnsiTheme="minorHAnsi" w:cstheme="minorHAnsi"/>
        </w:rPr>
        <w:t xml:space="preserve">et al. Brief Report: Lopinavir Hair Concentrations Are the Strongest Predictor of Viremia in HIV-Infected Asian Children and Adolescents on Second-Line Antiretroviral Therapy. </w:t>
      </w:r>
      <w:r w:rsidRPr="00BB6F06">
        <w:rPr>
          <w:rFonts w:asciiTheme="minorHAnsi" w:hAnsiTheme="minorHAnsi" w:cstheme="minorHAnsi"/>
          <w:i/>
        </w:rPr>
        <w:t>J</w:t>
      </w:r>
      <w:r w:rsidR="00132F91" w:rsidRPr="00BB6F06">
        <w:rPr>
          <w:rFonts w:asciiTheme="minorHAnsi" w:hAnsiTheme="minorHAnsi" w:cstheme="minorHAnsi"/>
          <w:i/>
        </w:rPr>
        <w:t>ournal of</w:t>
      </w:r>
      <w:r w:rsidRPr="00BB6F06">
        <w:rPr>
          <w:rFonts w:asciiTheme="minorHAnsi" w:hAnsiTheme="minorHAnsi" w:cstheme="minorHAnsi"/>
          <w:i/>
        </w:rPr>
        <w:t xml:space="preserve"> Acquir</w:t>
      </w:r>
      <w:r w:rsidR="00132F91" w:rsidRPr="00BB6F06">
        <w:rPr>
          <w:rFonts w:asciiTheme="minorHAnsi" w:hAnsiTheme="minorHAnsi" w:cstheme="minorHAnsi"/>
          <w:i/>
        </w:rPr>
        <w:t>ed</w:t>
      </w:r>
      <w:r w:rsidRPr="00BB6F06">
        <w:rPr>
          <w:rFonts w:asciiTheme="minorHAnsi" w:hAnsiTheme="minorHAnsi" w:cstheme="minorHAnsi"/>
          <w:i/>
        </w:rPr>
        <w:t xml:space="preserve"> Immune Defic</w:t>
      </w:r>
      <w:r w:rsidR="00132F91" w:rsidRPr="00BB6F06">
        <w:rPr>
          <w:rFonts w:asciiTheme="minorHAnsi" w:hAnsiTheme="minorHAnsi" w:cstheme="minorHAnsi"/>
          <w:i/>
        </w:rPr>
        <w:t>iency</w:t>
      </w:r>
      <w:r w:rsidRPr="00BB6F06">
        <w:rPr>
          <w:rFonts w:asciiTheme="minorHAnsi" w:hAnsiTheme="minorHAnsi" w:cstheme="minorHAnsi"/>
          <w:i/>
        </w:rPr>
        <w:t xml:space="preserve"> Syndr</w:t>
      </w:r>
      <w:r w:rsidR="00132F91" w:rsidRPr="00BB6F06">
        <w:rPr>
          <w:rFonts w:asciiTheme="minorHAnsi" w:hAnsiTheme="minorHAnsi" w:cstheme="minorHAnsi"/>
          <w:i/>
        </w:rPr>
        <w:t>omes (JAIDS).</w:t>
      </w:r>
      <w:r w:rsidRPr="00BB6F06">
        <w:rPr>
          <w:rFonts w:asciiTheme="minorHAnsi" w:hAnsiTheme="minorHAnsi" w:cstheme="minorHAnsi"/>
          <w:i/>
        </w:rPr>
        <w:t xml:space="preserve"> </w:t>
      </w:r>
      <w:r w:rsidRPr="00A720C4">
        <w:rPr>
          <w:rFonts w:asciiTheme="minorHAnsi" w:hAnsiTheme="minorHAnsi" w:cstheme="minorHAnsi"/>
          <w:b/>
          <w:bCs/>
          <w:color w:val="202020"/>
          <w:shd w:val="clear" w:color="auto" w:fill="FFFFFF"/>
        </w:rPr>
        <w:t>76</w:t>
      </w:r>
      <w:r w:rsidR="00A720C4">
        <w:rPr>
          <w:rFonts w:asciiTheme="minorHAnsi" w:hAnsiTheme="minorHAnsi" w:cstheme="minorHAnsi"/>
        </w:rPr>
        <w:t xml:space="preserve"> </w:t>
      </w:r>
      <w:r w:rsidRPr="00BB6F06">
        <w:rPr>
          <w:rFonts w:asciiTheme="minorHAnsi" w:hAnsiTheme="minorHAnsi" w:cstheme="minorHAnsi"/>
        </w:rPr>
        <w:t>(4</w:t>
      </w:r>
      <w:r w:rsidR="00A720C4">
        <w:rPr>
          <w:rFonts w:asciiTheme="minorHAnsi" w:hAnsiTheme="minorHAnsi" w:cstheme="minorHAnsi"/>
        </w:rPr>
        <w:t xml:space="preserve">), </w:t>
      </w:r>
      <w:r w:rsidRPr="00BB6F06">
        <w:rPr>
          <w:rFonts w:asciiTheme="minorHAnsi" w:hAnsiTheme="minorHAnsi" w:cstheme="minorHAnsi"/>
        </w:rPr>
        <w:t>367-371</w:t>
      </w:r>
      <w:r w:rsidR="00DA74CB">
        <w:rPr>
          <w:rFonts w:asciiTheme="minorHAnsi" w:hAnsiTheme="minorHAnsi" w:cstheme="minorHAnsi"/>
          <w:color w:val="202020"/>
          <w:shd w:val="clear" w:color="auto" w:fill="FFFFFF"/>
        </w:rPr>
        <w:t xml:space="preserve"> (201</w:t>
      </w:r>
      <w:r w:rsidR="00DA74CB">
        <w:rPr>
          <w:rFonts w:asciiTheme="minorHAnsi" w:hAnsiTheme="minorHAnsi" w:cstheme="minorHAnsi"/>
          <w:color w:val="202020"/>
          <w:shd w:val="clear" w:color="auto" w:fill="FFFFFF"/>
        </w:rPr>
        <w:t>7</w:t>
      </w:r>
      <w:r w:rsidR="00DA74CB">
        <w:rPr>
          <w:rFonts w:asciiTheme="minorHAnsi" w:hAnsiTheme="minorHAnsi" w:cstheme="minorHAnsi"/>
          <w:color w:val="202020"/>
          <w:shd w:val="clear" w:color="auto" w:fill="FFFFFF"/>
        </w:rPr>
        <w:t>).</w:t>
      </w:r>
    </w:p>
    <w:p w14:paraId="52739B39" w14:textId="6E67A121" w:rsidR="00E1545B" w:rsidRPr="00BB6F06" w:rsidRDefault="00E1545B" w:rsidP="00BB6F06">
      <w:pPr>
        <w:pStyle w:val="ListParagraph"/>
        <w:numPr>
          <w:ilvl w:val="0"/>
          <w:numId w:val="30"/>
        </w:numPr>
        <w:ind w:left="0" w:firstLine="0"/>
        <w:rPr>
          <w:rFonts w:asciiTheme="minorHAnsi" w:hAnsiTheme="minorHAnsi" w:cstheme="minorHAnsi"/>
        </w:rPr>
      </w:pPr>
      <w:proofErr w:type="spellStart"/>
      <w:r w:rsidRPr="00BB6F06">
        <w:rPr>
          <w:rFonts w:asciiTheme="minorHAnsi" w:hAnsiTheme="minorHAnsi" w:cstheme="minorHAnsi"/>
        </w:rPr>
        <w:t>Baxi</w:t>
      </w:r>
      <w:proofErr w:type="spellEnd"/>
      <w:r w:rsidR="00A720C4">
        <w:rPr>
          <w:rFonts w:asciiTheme="minorHAnsi" w:hAnsiTheme="minorHAnsi" w:cstheme="minorHAnsi"/>
        </w:rPr>
        <w:t>,</w:t>
      </w:r>
      <w:r w:rsidRPr="00BB6F06">
        <w:rPr>
          <w:rFonts w:asciiTheme="minorHAnsi" w:hAnsiTheme="minorHAnsi" w:cstheme="minorHAnsi"/>
        </w:rPr>
        <w:t xml:space="preserve"> S</w:t>
      </w:r>
      <w:r w:rsidR="00A720C4">
        <w:rPr>
          <w:rFonts w:asciiTheme="minorHAnsi" w:hAnsiTheme="minorHAnsi" w:cstheme="minorHAnsi"/>
        </w:rPr>
        <w:t>.</w:t>
      </w:r>
      <w:r w:rsidRPr="00BB6F06">
        <w:rPr>
          <w:rFonts w:asciiTheme="minorHAnsi" w:hAnsiTheme="minorHAnsi" w:cstheme="minorHAnsi"/>
        </w:rPr>
        <w:t>M</w:t>
      </w:r>
      <w:r w:rsidR="00A720C4">
        <w:rPr>
          <w:rFonts w:asciiTheme="minorHAnsi" w:hAnsiTheme="minorHAnsi" w:cstheme="minorHAnsi"/>
        </w:rPr>
        <w:t>.</w:t>
      </w:r>
      <w:r w:rsidRPr="00BB6F06">
        <w:rPr>
          <w:rFonts w:asciiTheme="minorHAnsi" w:hAnsiTheme="minorHAnsi" w:cstheme="minorHAnsi"/>
        </w:rPr>
        <w:t xml:space="preserve"> et al. Nevirapine Concentration in Hair Samples Is a Strong Predictor of Virologic Suppression in a Prospective Cohort of HIV-Infected Patients. </w:t>
      </w:r>
      <w:proofErr w:type="spellStart"/>
      <w:r w:rsidRPr="00BB6F06">
        <w:rPr>
          <w:rFonts w:asciiTheme="minorHAnsi" w:hAnsiTheme="minorHAnsi" w:cstheme="minorHAnsi"/>
          <w:i/>
        </w:rPr>
        <w:t>PLoS</w:t>
      </w:r>
      <w:proofErr w:type="spellEnd"/>
      <w:r w:rsidRPr="00BB6F06">
        <w:rPr>
          <w:rFonts w:asciiTheme="minorHAnsi" w:hAnsiTheme="minorHAnsi" w:cstheme="minorHAnsi"/>
          <w:i/>
        </w:rPr>
        <w:t xml:space="preserve"> One. </w:t>
      </w:r>
      <w:r w:rsidRPr="00A720C4">
        <w:rPr>
          <w:rFonts w:asciiTheme="minorHAnsi" w:hAnsiTheme="minorHAnsi" w:cstheme="minorHAnsi"/>
          <w:b/>
          <w:bCs/>
          <w:color w:val="202020"/>
          <w:shd w:val="clear" w:color="auto" w:fill="FFFFFF"/>
        </w:rPr>
        <w:t>10</w:t>
      </w:r>
      <w:r w:rsidR="00A720C4">
        <w:rPr>
          <w:rFonts w:asciiTheme="minorHAnsi" w:hAnsiTheme="minorHAnsi" w:cstheme="minorHAnsi"/>
        </w:rPr>
        <w:t xml:space="preserve"> </w:t>
      </w:r>
      <w:r w:rsidRPr="00BB6F06">
        <w:rPr>
          <w:rFonts w:asciiTheme="minorHAnsi" w:hAnsiTheme="minorHAnsi" w:cstheme="minorHAnsi"/>
        </w:rPr>
        <w:t>(6</w:t>
      </w:r>
      <w:r w:rsidR="00A720C4">
        <w:rPr>
          <w:rFonts w:asciiTheme="minorHAnsi" w:hAnsiTheme="minorHAnsi" w:cstheme="minorHAnsi"/>
        </w:rPr>
        <w:t xml:space="preserve">), </w:t>
      </w:r>
      <w:r w:rsidRPr="00BB6F06">
        <w:rPr>
          <w:rFonts w:asciiTheme="minorHAnsi" w:hAnsiTheme="minorHAnsi" w:cstheme="minorHAnsi"/>
        </w:rPr>
        <w:t>e0129100</w:t>
      </w:r>
      <w:r w:rsidR="00DA74CB">
        <w:rPr>
          <w:rFonts w:asciiTheme="minorHAnsi" w:hAnsiTheme="minorHAnsi" w:cstheme="minorHAnsi"/>
          <w:color w:val="202020"/>
          <w:shd w:val="clear" w:color="auto" w:fill="FFFFFF"/>
        </w:rPr>
        <w:t xml:space="preserve"> (201</w:t>
      </w:r>
      <w:r w:rsidR="00DA74CB">
        <w:rPr>
          <w:rFonts w:asciiTheme="minorHAnsi" w:hAnsiTheme="minorHAnsi" w:cstheme="minorHAnsi"/>
          <w:color w:val="202020"/>
          <w:shd w:val="clear" w:color="auto" w:fill="FFFFFF"/>
        </w:rPr>
        <w:t>5</w:t>
      </w:r>
      <w:r w:rsidR="00DA74CB">
        <w:rPr>
          <w:rFonts w:asciiTheme="minorHAnsi" w:hAnsiTheme="minorHAnsi" w:cstheme="minorHAnsi"/>
          <w:color w:val="202020"/>
          <w:shd w:val="clear" w:color="auto" w:fill="FFFFFF"/>
        </w:rPr>
        <w:t>).</w:t>
      </w:r>
    </w:p>
    <w:p w14:paraId="32E96B27" w14:textId="5BA41C2E" w:rsidR="00062CC5" w:rsidRPr="00BB6F06" w:rsidRDefault="00E1545B" w:rsidP="00BB6F06">
      <w:pPr>
        <w:pStyle w:val="ListParagraph"/>
        <w:numPr>
          <w:ilvl w:val="0"/>
          <w:numId w:val="30"/>
        </w:numPr>
        <w:ind w:left="0" w:firstLine="0"/>
        <w:rPr>
          <w:rFonts w:asciiTheme="minorHAnsi" w:hAnsiTheme="minorHAnsi" w:cstheme="minorHAnsi"/>
        </w:rPr>
      </w:pPr>
      <w:r w:rsidRPr="00BB6F06">
        <w:rPr>
          <w:rFonts w:asciiTheme="minorHAnsi" w:hAnsiTheme="minorHAnsi" w:cstheme="minorHAnsi"/>
        </w:rPr>
        <w:t>Gandhi</w:t>
      </w:r>
      <w:r w:rsidR="00A720C4">
        <w:rPr>
          <w:rFonts w:asciiTheme="minorHAnsi" w:hAnsiTheme="minorHAnsi" w:cstheme="minorHAnsi"/>
        </w:rPr>
        <w:t>,</w:t>
      </w:r>
      <w:r w:rsidRPr="00BB6F06">
        <w:rPr>
          <w:rFonts w:asciiTheme="minorHAnsi" w:hAnsiTheme="minorHAnsi" w:cstheme="minorHAnsi"/>
        </w:rPr>
        <w:t xml:space="preserve"> M</w:t>
      </w:r>
      <w:r w:rsidR="00A720C4">
        <w:rPr>
          <w:rFonts w:asciiTheme="minorHAnsi" w:hAnsiTheme="minorHAnsi" w:cstheme="minorHAnsi"/>
        </w:rPr>
        <w:t>.</w:t>
      </w:r>
      <w:r w:rsidRPr="00BB6F06">
        <w:rPr>
          <w:rFonts w:asciiTheme="minorHAnsi" w:hAnsiTheme="minorHAnsi" w:cstheme="minorHAnsi"/>
        </w:rPr>
        <w:t xml:space="preserve"> et al. Antiretroviral concentrations in hair strongly predict virologic response in a large HIV treatment-naive clinical trial. </w:t>
      </w:r>
      <w:r w:rsidRPr="00BB6F06">
        <w:rPr>
          <w:rFonts w:asciiTheme="minorHAnsi" w:hAnsiTheme="minorHAnsi" w:cstheme="minorHAnsi"/>
          <w:i/>
        </w:rPr>
        <w:t>Clin</w:t>
      </w:r>
      <w:r w:rsidR="00132F91" w:rsidRPr="00BB6F06">
        <w:rPr>
          <w:rFonts w:asciiTheme="minorHAnsi" w:hAnsiTheme="minorHAnsi" w:cstheme="minorHAnsi"/>
          <w:i/>
        </w:rPr>
        <w:t>ical</w:t>
      </w:r>
      <w:r w:rsidRPr="00BB6F06">
        <w:rPr>
          <w:rFonts w:asciiTheme="minorHAnsi" w:hAnsiTheme="minorHAnsi" w:cstheme="minorHAnsi"/>
          <w:i/>
        </w:rPr>
        <w:t xml:space="preserve"> Infect</w:t>
      </w:r>
      <w:r w:rsidR="00132F91" w:rsidRPr="00BB6F06">
        <w:rPr>
          <w:rFonts w:asciiTheme="minorHAnsi" w:hAnsiTheme="minorHAnsi" w:cstheme="minorHAnsi"/>
          <w:i/>
        </w:rPr>
        <w:t>ious</w:t>
      </w:r>
      <w:r w:rsidRPr="00BB6F06">
        <w:rPr>
          <w:rFonts w:asciiTheme="minorHAnsi" w:hAnsiTheme="minorHAnsi" w:cstheme="minorHAnsi"/>
          <w:i/>
        </w:rPr>
        <w:t xml:space="preserve"> Dis</w:t>
      </w:r>
      <w:r w:rsidR="00132F91" w:rsidRPr="00BB6F06">
        <w:rPr>
          <w:rFonts w:asciiTheme="minorHAnsi" w:hAnsiTheme="minorHAnsi" w:cstheme="minorHAnsi"/>
          <w:i/>
        </w:rPr>
        <w:t>eases</w:t>
      </w:r>
      <w:r w:rsidRPr="00BB6F06">
        <w:rPr>
          <w:rFonts w:asciiTheme="minorHAnsi" w:hAnsiTheme="minorHAnsi" w:cstheme="minorHAnsi"/>
          <w:i/>
        </w:rPr>
        <w:t xml:space="preserve">. </w:t>
      </w:r>
      <w:r w:rsidRPr="00A720C4">
        <w:rPr>
          <w:rFonts w:asciiTheme="minorHAnsi" w:hAnsiTheme="minorHAnsi" w:cstheme="minorHAnsi"/>
          <w:b/>
          <w:bCs/>
          <w:color w:val="202020"/>
          <w:shd w:val="clear" w:color="auto" w:fill="FFFFFF"/>
        </w:rPr>
        <w:t>5</w:t>
      </w:r>
      <w:r w:rsidR="00A720C4">
        <w:rPr>
          <w:rFonts w:asciiTheme="minorHAnsi" w:hAnsiTheme="minorHAnsi" w:cstheme="minorHAnsi"/>
        </w:rPr>
        <w:t xml:space="preserve">, </w:t>
      </w:r>
      <w:r w:rsidRPr="00BB6F06">
        <w:rPr>
          <w:rFonts w:asciiTheme="minorHAnsi" w:hAnsiTheme="minorHAnsi" w:cstheme="minorHAnsi"/>
        </w:rPr>
        <w:t>1044-1047</w:t>
      </w:r>
      <w:r w:rsidR="00DA74CB">
        <w:rPr>
          <w:rFonts w:asciiTheme="minorHAnsi" w:hAnsiTheme="minorHAnsi" w:cstheme="minorHAnsi"/>
          <w:color w:val="202020"/>
          <w:shd w:val="clear" w:color="auto" w:fill="FFFFFF"/>
        </w:rPr>
        <w:t xml:space="preserve"> (2019).</w:t>
      </w:r>
    </w:p>
    <w:p w14:paraId="0CF84052" w14:textId="5A96FEC7" w:rsidR="00A73BC6" w:rsidRPr="00BB6F06" w:rsidRDefault="00401110" w:rsidP="00BB6F06">
      <w:pPr>
        <w:pStyle w:val="ListParagraph"/>
        <w:numPr>
          <w:ilvl w:val="0"/>
          <w:numId w:val="30"/>
        </w:numPr>
        <w:ind w:left="0" w:firstLine="0"/>
        <w:rPr>
          <w:rFonts w:asciiTheme="minorHAnsi" w:hAnsiTheme="minorHAnsi" w:cstheme="minorHAnsi"/>
        </w:rPr>
      </w:pPr>
      <w:r w:rsidRPr="00BB6F06">
        <w:rPr>
          <w:rFonts w:asciiTheme="minorHAnsi" w:hAnsiTheme="minorHAnsi" w:cs="Times New Roman"/>
        </w:rPr>
        <w:t>Gerona</w:t>
      </w:r>
      <w:r w:rsidR="00A720C4">
        <w:rPr>
          <w:rFonts w:asciiTheme="minorHAnsi" w:hAnsiTheme="minorHAnsi" w:cs="Times New Roman"/>
        </w:rPr>
        <w:t xml:space="preserve">, R. et al. </w:t>
      </w:r>
      <w:r w:rsidRPr="00BB6F06">
        <w:rPr>
          <w:rFonts w:asciiTheme="minorHAnsi" w:hAnsiTheme="minorHAnsi" w:cs="Times New Roman"/>
        </w:rPr>
        <w:t xml:space="preserve">Simultaneous analysis of 11 medications for drug resistant TB in small hair samples to quantify adherence and exposure using a validate LC-MS/MS panel. </w:t>
      </w:r>
      <w:r w:rsidRPr="00A720C4">
        <w:rPr>
          <w:rFonts w:asciiTheme="minorHAnsi" w:hAnsiTheme="minorHAnsi" w:cs="Times New Roman"/>
          <w:i/>
          <w:iCs/>
        </w:rPr>
        <w:t>J</w:t>
      </w:r>
      <w:r w:rsidR="00132F91" w:rsidRPr="00A720C4">
        <w:rPr>
          <w:rFonts w:asciiTheme="minorHAnsi" w:hAnsiTheme="minorHAnsi" w:cs="Times New Roman"/>
          <w:i/>
          <w:iCs/>
        </w:rPr>
        <w:t>ournal of</w:t>
      </w:r>
      <w:r w:rsidRPr="00A720C4">
        <w:rPr>
          <w:rFonts w:asciiTheme="minorHAnsi" w:hAnsiTheme="minorHAnsi" w:cs="Times New Roman"/>
          <w:i/>
          <w:iCs/>
        </w:rPr>
        <w:t xml:space="preserve"> Chrom</w:t>
      </w:r>
      <w:r w:rsidR="00132F91" w:rsidRPr="00A720C4">
        <w:rPr>
          <w:rFonts w:asciiTheme="minorHAnsi" w:hAnsiTheme="minorHAnsi" w:cs="Times New Roman"/>
          <w:i/>
          <w:iCs/>
        </w:rPr>
        <w:t>atography</w:t>
      </w:r>
      <w:r w:rsidRPr="00A720C4">
        <w:rPr>
          <w:rFonts w:asciiTheme="minorHAnsi" w:hAnsiTheme="minorHAnsi" w:cs="Times New Roman"/>
          <w:i/>
          <w:iCs/>
        </w:rPr>
        <w:t xml:space="preserve"> </w:t>
      </w:r>
      <w:r w:rsidR="00132F91" w:rsidRPr="00A720C4">
        <w:rPr>
          <w:rFonts w:asciiTheme="minorHAnsi" w:hAnsiTheme="minorHAnsi" w:cs="Times New Roman"/>
          <w:i/>
          <w:iCs/>
        </w:rPr>
        <w:t>B</w:t>
      </w:r>
      <w:r w:rsidR="00132F91" w:rsidRPr="00BB6F06">
        <w:rPr>
          <w:rFonts w:asciiTheme="minorHAnsi" w:hAnsiTheme="minorHAnsi" w:cs="Times New Roman"/>
        </w:rPr>
        <w:t xml:space="preserve">. </w:t>
      </w:r>
      <w:r w:rsidR="00132F91" w:rsidRPr="00A720C4">
        <w:rPr>
          <w:rFonts w:asciiTheme="minorHAnsi" w:hAnsiTheme="minorHAnsi" w:cstheme="minorHAnsi"/>
          <w:b/>
          <w:bCs/>
          <w:color w:val="202020"/>
          <w:shd w:val="clear" w:color="auto" w:fill="FFFFFF"/>
        </w:rPr>
        <w:t>1125</w:t>
      </w:r>
      <w:r w:rsidR="00A720C4">
        <w:rPr>
          <w:rFonts w:asciiTheme="minorHAnsi" w:hAnsiTheme="minorHAnsi" w:cs="Times New Roman"/>
        </w:rPr>
        <w:t xml:space="preserve">, </w:t>
      </w:r>
      <w:r w:rsidR="00132F91" w:rsidRPr="00BB6F06">
        <w:rPr>
          <w:rFonts w:asciiTheme="minorHAnsi" w:hAnsiTheme="minorHAnsi" w:cs="Times New Roman"/>
        </w:rPr>
        <w:t>121729</w:t>
      </w:r>
      <w:r w:rsidR="00DA74CB">
        <w:rPr>
          <w:rFonts w:asciiTheme="minorHAnsi" w:hAnsiTheme="minorHAnsi" w:cstheme="minorHAnsi"/>
          <w:color w:val="202020"/>
          <w:shd w:val="clear" w:color="auto" w:fill="FFFFFF"/>
        </w:rPr>
        <w:t xml:space="preserve"> (2019).</w:t>
      </w:r>
    </w:p>
    <w:p w14:paraId="66148777" w14:textId="202A7B73" w:rsidR="00062CC5" w:rsidRPr="00BB6F06" w:rsidRDefault="00062CC5" w:rsidP="00BB6F06">
      <w:pPr>
        <w:pStyle w:val="ListParagraph"/>
        <w:numPr>
          <w:ilvl w:val="0"/>
          <w:numId w:val="30"/>
        </w:numPr>
        <w:ind w:left="0" w:firstLine="0"/>
        <w:rPr>
          <w:rFonts w:asciiTheme="minorHAnsi" w:hAnsiTheme="minorHAnsi" w:cstheme="minorHAnsi"/>
          <w:color w:val="auto"/>
        </w:rPr>
      </w:pPr>
      <w:r w:rsidRPr="00BB6F06">
        <w:rPr>
          <w:rFonts w:asciiTheme="minorHAnsi" w:hAnsiTheme="minorHAnsi" w:cstheme="minorHAnsi"/>
        </w:rPr>
        <w:t>Metcalfe</w:t>
      </w:r>
      <w:r w:rsidR="00A720C4">
        <w:rPr>
          <w:rFonts w:asciiTheme="minorHAnsi" w:hAnsiTheme="minorHAnsi" w:cstheme="minorHAnsi"/>
        </w:rPr>
        <w:t>,</w:t>
      </w:r>
      <w:r w:rsidRPr="00BB6F06">
        <w:rPr>
          <w:rFonts w:asciiTheme="minorHAnsi" w:hAnsiTheme="minorHAnsi" w:cstheme="minorHAnsi"/>
        </w:rPr>
        <w:t xml:space="preserve"> J</w:t>
      </w:r>
      <w:r w:rsidR="00A720C4">
        <w:rPr>
          <w:rFonts w:asciiTheme="minorHAnsi" w:hAnsiTheme="minorHAnsi" w:cstheme="minorHAnsi"/>
        </w:rPr>
        <w:t xml:space="preserve">. et al. </w:t>
      </w:r>
      <w:r w:rsidRPr="00BB6F06">
        <w:rPr>
          <w:rFonts w:asciiTheme="minorHAnsi" w:hAnsiTheme="minorHAnsi" w:cstheme="minorHAnsi"/>
        </w:rPr>
        <w:t>Association of anti-tube</w:t>
      </w:r>
      <w:bookmarkStart w:id="0" w:name="_GoBack"/>
      <w:bookmarkEnd w:id="0"/>
      <w:r w:rsidRPr="00BB6F06">
        <w:rPr>
          <w:rFonts w:asciiTheme="minorHAnsi" w:hAnsiTheme="minorHAnsi" w:cstheme="minorHAnsi"/>
        </w:rPr>
        <w:t xml:space="preserve">rculosis drug concentration in hair and treatment outcomes in MDR- and XDR-TB. </w:t>
      </w:r>
      <w:r w:rsidRPr="00BB6F06">
        <w:rPr>
          <w:rFonts w:asciiTheme="minorHAnsi" w:hAnsiTheme="minorHAnsi" w:cstheme="minorHAnsi"/>
          <w:i/>
        </w:rPr>
        <w:t>E</w:t>
      </w:r>
      <w:r w:rsidR="00132F91" w:rsidRPr="00BB6F06">
        <w:rPr>
          <w:rFonts w:asciiTheme="minorHAnsi" w:hAnsiTheme="minorHAnsi" w:cstheme="minorHAnsi"/>
          <w:i/>
        </w:rPr>
        <w:t xml:space="preserve">uropean </w:t>
      </w:r>
      <w:proofErr w:type="spellStart"/>
      <w:r w:rsidR="00132F91" w:rsidRPr="00BB6F06">
        <w:rPr>
          <w:rFonts w:asciiTheme="minorHAnsi" w:hAnsiTheme="minorHAnsi" w:cstheme="minorHAnsi"/>
          <w:i/>
        </w:rPr>
        <w:t>Respriatory</w:t>
      </w:r>
      <w:proofErr w:type="spellEnd"/>
      <w:r w:rsidR="00132F91" w:rsidRPr="00BB6F06">
        <w:rPr>
          <w:rFonts w:asciiTheme="minorHAnsi" w:hAnsiTheme="minorHAnsi" w:cstheme="minorHAnsi"/>
          <w:i/>
        </w:rPr>
        <w:t xml:space="preserve"> Journal</w:t>
      </w:r>
      <w:r w:rsidRPr="00BB6F06">
        <w:rPr>
          <w:rFonts w:asciiTheme="minorHAnsi" w:hAnsiTheme="minorHAnsi" w:cstheme="minorHAnsi"/>
          <w:i/>
        </w:rPr>
        <w:t xml:space="preserve"> Open Res</w:t>
      </w:r>
      <w:r w:rsidR="00132F91" w:rsidRPr="00BB6F06">
        <w:rPr>
          <w:rFonts w:asciiTheme="minorHAnsi" w:hAnsiTheme="minorHAnsi" w:cstheme="minorHAnsi"/>
          <w:i/>
        </w:rPr>
        <w:t>earch.</w:t>
      </w:r>
      <w:r w:rsidRPr="00BB6F06">
        <w:rPr>
          <w:rFonts w:asciiTheme="minorHAnsi" w:hAnsiTheme="minorHAnsi" w:cstheme="minorHAnsi"/>
        </w:rPr>
        <w:t xml:space="preserve"> </w:t>
      </w:r>
      <w:r w:rsidRPr="00A720C4">
        <w:rPr>
          <w:rFonts w:asciiTheme="minorHAnsi" w:hAnsiTheme="minorHAnsi" w:cstheme="minorHAnsi"/>
          <w:b/>
          <w:bCs/>
          <w:color w:val="202020"/>
          <w:shd w:val="clear" w:color="auto" w:fill="FFFFFF"/>
        </w:rPr>
        <w:t>5</w:t>
      </w:r>
      <w:r w:rsidR="00A720C4">
        <w:rPr>
          <w:rFonts w:asciiTheme="minorHAnsi" w:hAnsiTheme="minorHAnsi" w:cstheme="minorHAnsi"/>
          <w:shd w:val="clear" w:color="auto" w:fill="FFFFFF"/>
        </w:rPr>
        <w:t xml:space="preserve"> </w:t>
      </w:r>
      <w:r w:rsidRPr="00BB6F06">
        <w:rPr>
          <w:rFonts w:asciiTheme="minorHAnsi" w:hAnsiTheme="minorHAnsi" w:cstheme="minorHAnsi"/>
          <w:shd w:val="clear" w:color="auto" w:fill="FFFFFF"/>
        </w:rPr>
        <w:t>(2</w:t>
      </w:r>
      <w:r w:rsidR="00A720C4">
        <w:rPr>
          <w:rFonts w:asciiTheme="minorHAnsi" w:hAnsiTheme="minorHAnsi" w:cstheme="minorHAnsi"/>
          <w:shd w:val="clear" w:color="auto" w:fill="FFFFFF"/>
        </w:rPr>
        <w:t>)</w:t>
      </w:r>
      <w:r w:rsidR="00DA74CB">
        <w:rPr>
          <w:rFonts w:asciiTheme="minorHAnsi" w:hAnsiTheme="minorHAnsi" w:cstheme="minorHAnsi"/>
          <w:color w:val="202020"/>
          <w:shd w:val="clear" w:color="auto" w:fill="FFFFFF"/>
        </w:rPr>
        <w:t xml:space="preserve"> (</w:t>
      </w:r>
      <w:r w:rsidR="00DA74CB">
        <w:rPr>
          <w:rFonts w:asciiTheme="minorHAnsi" w:hAnsiTheme="minorHAnsi" w:cstheme="minorHAnsi"/>
          <w:color w:val="202020"/>
          <w:shd w:val="clear" w:color="auto" w:fill="FFFFFF"/>
        </w:rPr>
        <w:t>2019</w:t>
      </w:r>
      <w:r w:rsidR="00DA74CB">
        <w:rPr>
          <w:rFonts w:asciiTheme="minorHAnsi" w:hAnsiTheme="minorHAnsi" w:cstheme="minorHAnsi"/>
          <w:color w:val="202020"/>
          <w:shd w:val="clear" w:color="auto" w:fill="FFFFFF"/>
        </w:rPr>
        <w:t>).</w:t>
      </w:r>
    </w:p>
    <w:p w14:paraId="181E1894" w14:textId="65BEC9BD" w:rsidR="00577294" w:rsidRPr="00BB6F06" w:rsidRDefault="007D6824" w:rsidP="00BB6F06">
      <w:pPr>
        <w:pStyle w:val="ListParagraph"/>
        <w:numPr>
          <w:ilvl w:val="0"/>
          <w:numId w:val="30"/>
        </w:numPr>
        <w:ind w:left="0" w:firstLine="0"/>
      </w:pPr>
      <w:r w:rsidRPr="00BB6F06">
        <w:rPr>
          <w:rFonts w:asciiTheme="minorHAnsi" w:hAnsiTheme="minorHAnsi" w:cstheme="minorHAnsi"/>
          <w:color w:val="202020"/>
          <w:shd w:val="clear" w:color="auto" w:fill="FFFFFF"/>
        </w:rPr>
        <w:t>Metcalfe</w:t>
      </w:r>
      <w:r w:rsidR="00A720C4">
        <w:rPr>
          <w:rFonts w:asciiTheme="minorHAnsi" w:hAnsiTheme="minorHAnsi" w:cstheme="minorHAnsi"/>
          <w:color w:val="202020"/>
          <w:shd w:val="clear" w:color="auto" w:fill="FFFFFF"/>
        </w:rPr>
        <w:t>,</w:t>
      </w:r>
      <w:r w:rsidRPr="00BB6F06">
        <w:rPr>
          <w:rFonts w:asciiTheme="minorHAnsi" w:hAnsiTheme="minorHAnsi" w:cstheme="minorHAnsi"/>
          <w:color w:val="202020"/>
          <w:shd w:val="clear" w:color="auto" w:fill="FFFFFF"/>
        </w:rPr>
        <w:t xml:space="preserve"> J</w:t>
      </w:r>
      <w:r w:rsidR="00A720C4">
        <w:rPr>
          <w:rFonts w:asciiTheme="minorHAnsi" w:hAnsiTheme="minorHAnsi" w:cstheme="minorHAnsi"/>
          <w:color w:val="202020"/>
          <w:shd w:val="clear" w:color="auto" w:fill="FFFFFF"/>
        </w:rPr>
        <w:t>.</w:t>
      </w:r>
      <w:r w:rsidRPr="00BB6F06">
        <w:rPr>
          <w:rFonts w:asciiTheme="minorHAnsi" w:hAnsiTheme="minorHAnsi" w:cstheme="minorHAnsi"/>
          <w:color w:val="202020"/>
          <w:shd w:val="clear" w:color="auto" w:fill="FFFFFF"/>
        </w:rPr>
        <w:t>Z</w:t>
      </w:r>
      <w:r w:rsidR="00A720C4">
        <w:rPr>
          <w:rFonts w:asciiTheme="minorHAnsi" w:hAnsiTheme="minorHAnsi" w:cstheme="minorHAnsi"/>
          <w:color w:val="202020"/>
          <w:shd w:val="clear" w:color="auto" w:fill="FFFFFF"/>
        </w:rPr>
        <w:t>.</w:t>
      </w:r>
      <w:r w:rsidRPr="00BB6F06">
        <w:rPr>
          <w:rFonts w:asciiTheme="minorHAnsi" w:hAnsiTheme="minorHAnsi" w:cstheme="minorHAnsi"/>
          <w:color w:val="202020"/>
          <w:shd w:val="clear" w:color="auto" w:fill="FFFFFF"/>
        </w:rPr>
        <w:t>, O’Donnell</w:t>
      </w:r>
      <w:r w:rsidR="00A720C4">
        <w:rPr>
          <w:rFonts w:asciiTheme="minorHAnsi" w:hAnsiTheme="minorHAnsi" w:cstheme="minorHAnsi"/>
          <w:color w:val="202020"/>
          <w:shd w:val="clear" w:color="auto" w:fill="FFFFFF"/>
        </w:rPr>
        <w:t>,</w:t>
      </w:r>
      <w:r w:rsidRPr="00BB6F06">
        <w:rPr>
          <w:rFonts w:asciiTheme="minorHAnsi" w:hAnsiTheme="minorHAnsi" w:cstheme="minorHAnsi"/>
          <w:color w:val="202020"/>
          <w:shd w:val="clear" w:color="auto" w:fill="FFFFFF"/>
        </w:rPr>
        <w:t xml:space="preserve"> M</w:t>
      </w:r>
      <w:r w:rsidR="00A720C4">
        <w:rPr>
          <w:rFonts w:asciiTheme="minorHAnsi" w:hAnsiTheme="minorHAnsi" w:cstheme="minorHAnsi"/>
          <w:color w:val="202020"/>
          <w:shd w:val="clear" w:color="auto" w:fill="FFFFFF"/>
        </w:rPr>
        <w:t>.</w:t>
      </w:r>
      <w:r w:rsidRPr="00BB6F06">
        <w:rPr>
          <w:rFonts w:asciiTheme="minorHAnsi" w:hAnsiTheme="minorHAnsi" w:cstheme="minorHAnsi"/>
          <w:color w:val="202020"/>
          <w:shd w:val="clear" w:color="auto" w:fill="FFFFFF"/>
        </w:rPr>
        <w:t>R</w:t>
      </w:r>
      <w:r w:rsidR="00A720C4">
        <w:rPr>
          <w:rFonts w:asciiTheme="minorHAnsi" w:hAnsiTheme="minorHAnsi" w:cstheme="minorHAnsi"/>
          <w:color w:val="202020"/>
          <w:shd w:val="clear" w:color="auto" w:fill="FFFFFF"/>
        </w:rPr>
        <w:t>.</w:t>
      </w:r>
      <w:r w:rsidRPr="00BB6F06">
        <w:rPr>
          <w:rFonts w:asciiTheme="minorHAnsi" w:hAnsiTheme="minorHAnsi" w:cstheme="minorHAnsi"/>
          <w:color w:val="202020"/>
          <w:shd w:val="clear" w:color="auto" w:fill="FFFFFF"/>
        </w:rPr>
        <w:t xml:space="preserve">, </w:t>
      </w:r>
      <w:proofErr w:type="spellStart"/>
      <w:r w:rsidRPr="00BB6F06">
        <w:rPr>
          <w:rFonts w:asciiTheme="minorHAnsi" w:hAnsiTheme="minorHAnsi" w:cstheme="minorHAnsi"/>
          <w:color w:val="202020"/>
          <w:shd w:val="clear" w:color="auto" w:fill="FFFFFF"/>
        </w:rPr>
        <w:t>Bangsberg</w:t>
      </w:r>
      <w:proofErr w:type="spellEnd"/>
      <w:r w:rsidR="00A720C4">
        <w:rPr>
          <w:rFonts w:asciiTheme="minorHAnsi" w:hAnsiTheme="minorHAnsi" w:cstheme="minorHAnsi"/>
          <w:color w:val="202020"/>
          <w:shd w:val="clear" w:color="auto" w:fill="FFFFFF"/>
        </w:rPr>
        <w:t>,</w:t>
      </w:r>
      <w:r w:rsidRPr="00BB6F06">
        <w:rPr>
          <w:rFonts w:asciiTheme="minorHAnsi" w:hAnsiTheme="minorHAnsi" w:cstheme="minorHAnsi"/>
          <w:color w:val="202020"/>
          <w:shd w:val="clear" w:color="auto" w:fill="FFFFFF"/>
        </w:rPr>
        <w:t xml:space="preserve"> D</w:t>
      </w:r>
      <w:r w:rsidR="00A720C4">
        <w:rPr>
          <w:rFonts w:asciiTheme="minorHAnsi" w:hAnsiTheme="minorHAnsi" w:cstheme="minorHAnsi"/>
          <w:color w:val="202020"/>
          <w:shd w:val="clear" w:color="auto" w:fill="FFFFFF"/>
        </w:rPr>
        <w:t>.</w:t>
      </w:r>
      <w:r w:rsidRPr="00BB6F06">
        <w:rPr>
          <w:rFonts w:asciiTheme="minorHAnsi" w:hAnsiTheme="minorHAnsi" w:cstheme="minorHAnsi"/>
          <w:color w:val="202020"/>
          <w:shd w:val="clear" w:color="auto" w:fill="FFFFFF"/>
        </w:rPr>
        <w:t>R</w:t>
      </w:r>
      <w:r w:rsidR="00A720C4">
        <w:rPr>
          <w:rFonts w:asciiTheme="minorHAnsi" w:hAnsiTheme="minorHAnsi" w:cstheme="minorHAnsi"/>
          <w:color w:val="202020"/>
          <w:shd w:val="clear" w:color="auto" w:fill="FFFFFF"/>
        </w:rPr>
        <w:t>.</w:t>
      </w:r>
      <w:r w:rsidRPr="00BB6F06">
        <w:rPr>
          <w:rFonts w:asciiTheme="minorHAnsi" w:hAnsiTheme="minorHAnsi" w:cstheme="minorHAnsi"/>
          <w:color w:val="202020"/>
          <w:shd w:val="clear" w:color="auto" w:fill="FFFFFF"/>
        </w:rPr>
        <w:t xml:space="preserve"> Moving Beyond Directly Observed Therapy for Tuberculosis. </w:t>
      </w:r>
      <w:proofErr w:type="spellStart"/>
      <w:r w:rsidRPr="00A720C4">
        <w:rPr>
          <w:rFonts w:asciiTheme="minorHAnsi" w:hAnsiTheme="minorHAnsi" w:cstheme="minorHAnsi"/>
          <w:i/>
          <w:iCs/>
          <w:color w:val="202020"/>
          <w:shd w:val="clear" w:color="auto" w:fill="FFFFFF"/>
        </w:rPr>
        <w:t>PLoS</w:t>
      </w:r>
      <w:proofErr w:type="spellEnd"/>
      <w:r w:rsidRPr="00A720C4">
        <w:rPr>
          <w:rFonts w:asciiTheme="minorHAnsi" w:hAnsiTheme="minorHAnsi" w:cstheme="minorHAnsi"/>
          <w:i/>
          <w:iCs/>
          <w:color w:val="202020"/>
          <w:shd w:val="clear" w:color="auto" w:fill="FFFFFF"/>
        </w:rPr>
        <w:t xml:space="preserve"> Med</w:t>
      </w:r>
      <w:r w:rsidR="00A720C4" w:rsidRPr="00A720C4">
        <w:rPr>
          <w:rFonts w:asciiTheme="minorHAnsi" w:hAnsiTheme="minorHAnsi" w:cstheme="minorHAnsi"/>
          <w:i/>
          <w:iCs/>
          <w:color w:val="202020"/>
          <w:shd w:val="clear" w:color="auto" w:fill="FFFFFF"/>
        </w:rPr>
        <w:t>icine</w:t>
      </w:r>
      <w:r w:rsidR="00A720C4">
        <w:rPr>
          <w:rFonts w:asciiTheme="minorHAnsi" w:hAnsiTheme="minorHAnsi" w:cstheme="minorHAnsi"/>
          <w:color w:val="202020"/>
          <w:shd w:val="clear" w:color="auto" w:fill="FFFFFF"/>
        </w:rPr>
        <w:t>.</w:t>
      </w:r>
      <w:r w:rsidRPr="00BB6F06">
        <w:rPr>
          <w:rFonts w:asciiTheme="minorHAnsi" w:hAnsiTheme="minorHAnsi" w:cstheme="minorHAnsi"/>
          <w:color w:val="202020"/>
          <w:shd w:val="clear" w:color="auto" w:fill="FFFFFF"/>
        </w:rPr>
        <w:t xml:space="preserve"> </w:t>
      </w:r>
      <w:r w:rsidRPr="00A720C4">
        <w:rPr>
          <w:rFonts w:asciiTheme="minorHAnsi" w:hAnsiTheme="minorHAnsi" w:cstheme="minorHAnsi"/>
          <w:b/>
          <w:bCs/>
          <w:color w:val="202020"/>
          <w:shd w:val="clear" w:color="auto" w:fill="FFFFFF"/>
        </w:rPr>
        <w:t>12</w:t>
      </w:r>
      <w:r w:rsidR="00A720C4">
        <w:rPr>
          <w:rFonts w:asciiTheme="minorHAnsi" w:hAnsiTheme="minorHAnsi" w:cstheme="minorHAnsi"/>
          <w:color w:val="202020"/>
          <w:shd w:val="clear" w:color="auto" w:fill="FFFFFF"/>
        </w:rPr>
        <w:t xml:space="preserve"> </w:t>
      </w:r>
      <w:r w:rsidRPr="00BB6F06">
        <w:rPr>
          <w:rFonts w:asciiTheme="minorHAnsi" w:hAnsiTheme="minorHAnsi" w:cstheme="minorHAnsi"/>
          <w:color w:val="202020"/>
          <w:shd w:val="clear" w:color="auto" w:fill="FFFFFF"/>
        </w:rPr>
        <w:t>(9</w:t>
      </w:r>
      <w:r w:rsidR="00A720C4">
        <w:rPr>
          <w:rFonts w:asciiTheme="minorHAnsi" w:hAnsiTheme="minorHAnsi" w:cstheme="minorHAnsi"/>
          <w:color w:val="202020"/>
          <w:shd w:val="clear" w:color="auto" w:fill="FFFFFF"/>
        </w:rPr>
        <w:t xml:space="preserve">), </w:t>
      </w:r>
      <w:r w:rsidRPr="00BB6F06">
        <w:rPr>
          <w:rFonts w:asciiTheme="minorHAnsi" w:hAnsiTheme="minorHAnsi" w:cstheme="minorHAnsi"/>
          <w:color w:val="202020"/>
          <w:shd w:val="clear" w:color="auto" w:fill="FFFFFF"/>
        </w:rPr>
        <w:t>e1001877</w:t>
      </w:r>
      <w:r w:rsidR="00DA74CB">
        <w:rPr>
          <w:rFonts w:asciiTheme="minorHAnsi" w:hAnsiTheme="minorHAnsi" w:cstheme="minorHAnsi"/>
          <w:color w:val="202020"/>
          <w:shd w:val="clear" w:color="auto" w:fill="FFFFFF"/>
        </w:rPr>
        <w:t xml:space="preserve"> (2015).</w:t>
      </w:r>
    </w:p>
    <w:sectPr w:rsidR="00577294" w:rsidRPr="00BB6F06"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C52A1" w14:textId="77777777" w:rsidR="00CA26EC" w:rsidRDefault="00CA26EC" w:rsidP="00621C4E">
      <w:r>
        <w:separator/>
      </w:r>
    </w:p>
  </w:endnote>
  <w:endnote w:type="continuationSeparator" w:id="0">
    <w:p w14:paraId="5EF491BA" w14:textId="77777777" w:rsidR="00CA26EC" w:rsidRDefault="00CA26E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21263A" w:rsidRPr="00494F77" w:rsidRDefault="0021263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1263A" w:rsidRDefault="0021263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C9114" w14:textId="77777777" w:rsidR="00CA26EC" w:rsidRDefault="00CA26EC" w:rsidP="00621C4E">
      <w:r>
        <w:separator/>
      </w:r>
    </w:p>
  </w:footnote>
  <w:footnote w:type="continuationSeparator" w:id="0">
    <w:p w14:paraId="58E8B823" w14:textId="77777777" w:rsidR="00CA26EC" w:rsidRDefault="00CA26E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1263A" w:rsidRPr="006F06E4" w:rsidRDefault="0021263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30B0400" w:rsidR="0021263A" w:rsidRPr="006F06E4" w:rsidRDefault="0021263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A68CF"/>
    <w:multiLevelType w:val="multilevel"/>
    <w:tmpl w:val="55E80FDE"/>
    <w:lvl w:ilvl="0">
      <w:start w:val="1"/>
      <w:numFmt w:val="decimal"/>
      <w:lvlText w:val="%1."/>
      <w:lvlJc w:val="left"/>
      <w:pPr>
        <w:ind w:left="880" w:hanging="520"/>
      </w:pPr>
      <w:rPr>
        <w:rFonts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240F8C"/>
    <w:multiLevelType w:val="hybridMultilevel"/>
    <w:tmpl w:val="55E80FDE"/>
    <w:lvl w:ilvl="0" w:tplc="594053EE">
      <w:start w:val="1"/>
      <w:numFmt w:val="decimal"/>
      <w:lvlText w:val="%1."/>
      <w:lvlJc w:val="left"/>
      <w:pPr>
        <w:ind w:left="880" w:hanging="52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21320"/>
    <w:multiLevelType w:val="multilevel"/>
    <w:tmpl w:val="EFFEA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20"/>
  </w:num>
  <w:num w:numId="14">
    <w:abstractNumId w:val="28"/>
  </w:num>
  <w:num w:numId="15">
    <w:abstractNumId w:val="12"/>
  </w:num>
  <w:num w:numId="16">
    <w:abstractNumId w:val="8"/>
  </w:num>
  <w:num w:numId="17">
    <w:abstractNumId w:val="21"/>
  </w:num>
  <w:num w:numId="18">
    <w:abstractNumId w:val="13"/>
  </w:num>
  <w:num w:numId="19">
    <w:abstractNumId w:val="26"/>
  </w:num>
  <w:num w:numId="20">
    <w:abstractNumId w:val="3"/>
  </w:num>
  <w:num w:numId="21">
    <w:abstractNumId w:val="27"/>
  </w:num>
  <w:num w:numId="22">
    <w:abstractNumId w:val="24"/>
  </w:num>
  <w:num w:numId="23">
    <w:abstractNumId w:val="14"/>
  </w:num>
  <w:num w:numId="24">
    <w:abstractNumId w:val="29"/>
  </w:num>
  <w:num w:numId="25">
    <w:abstractNumId w:val="7"/>
  </w:num>
  <w:num w:numId="26">
    <w:abstractNumId w:val="1"/>
  </w:num>
  <w:num w:numId="27">
    <w:abstractNumId w:val="6"/>
  </w:num>
  <w:num w:numId="28">
    <w:abstractNumId w:val="30"/>
  </w:num>
  <w:num w:numId="29">
    <w:abstractNumId w:val="25"/>
  </w:num>
  <w:num w:numId="30">
    <w:abstractNumId w:val="23"/>
  </w:num>
  <w:num w:numId="3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3A55"/>
    <w:rsid w:val="00005815"/>
    <w:rsid w:val="00006E68"/>
    <w:rsid w:val="00007DBC"/>
    <w:rsid w:val="00007EA1"/>
    <w:rsid w:val="000100F0"/>
    <w:rsid w:val="000129B2"/>
    <w:rsid w:val="00012FF9"/>
    <w:rsid w:val="0001389C"/>
    <w:rsid w:val="00014314"/>
    <w:rsid w:val="000212AE"/>
    <w:rsid w:val="00021434"/>
    <w:rsid w:val="00021774"/>
    <w:rsid w:val="00021DF3"/>
    <w:rsid w:val="00022ABE"/>
    <w:rsid w:val="00023385"/>
    <w:rsid w:val="00023869"/>
    <w:rsid w:val="00024598"/>
    <w:rsid w:val="000279B0"/>
    <w:rsid w:val="00032769"/>
    <w:rsid w:val="0003311E"/>
    <w:rsid w:val="00037B58"/>
    <w:rsid w:val="00051B73"/>
    <w:rsid w:val="000575CF"/>
    <w:rsid w:val="00060ABE"/>
    <w:rsid w:val="00061A50"/>
    <w:rsid w:val="00062CC5"/>
    <w:rsid w:val="0006361B"/>
    <w:rsid w:val="00064104"/>
    <w:rsid w:val="00064F32"/>
    <w:rsid w:val="000652E3"/>
    <w:rsid w:val="00066025"/>
    <w:rsid w:val="00067A8F"/>
    <w:rsid w:val="000701D1"/>
    <w:rsid w:val="000769EB"/>
    <w:rsid w:val="00080A20"/>
    <w:rsid w:val="00082796"/>
    <w:rsid w:val="00082DF4"/>
    <w:rsid w:val="00086FF5"/>
    <w:rsid w:val="00087C0A"/>
    <w:rsid w:val="00091256"/>
    <w:rsid w:val="00091788"/>
    <w:rsid w:val="00093BC4"/>
    <w:rsid w:val="000943E6"/>
    <w:rsid w:val="00095317"/>
    <w:rsid w:val="00097929"/>
    <w:rsid w:val="000A1E80"/>
    <w:rsid w:val="000A3B70"/>
    <w:rsid w:val="000A494E"/>
    <w:rsid w:val="000A5153"/>
    <w:rsid w:val="000B10AE"/>
    <w:rsid w:val="000B30BF"/>
    <w:rsid w:val="000B566B"/>
    <w:rsid w:val="000B595C"/>
    <w:rsid w:val="000B662E"/>
    <w:rsid w:val="000B7294"/>
    <w:rsid w:val="000B75D0"/>
    <w:rsid w:val="000C1CF8"/>
    <w:rsid w:val="000C49CF"/>
    <w:rsid w:val="000C52E9"/>
    <w:rsid w:val="000C56DB"/>
    <w:rsid w:val="000C58B0"/>
    <w:rsid w:val="000C5B8B"/>
    <w:rsid w:val="000C5CDC"/>
    <w:rsid w:val="000C65DC"/>
    <w:rsid w:val="000C66F3"/>
    <w:rsid w:val="000C6900"/>
    <w:rsid w:val="000D232D"/>
    <w:rsid w:val="000D28BF"/>
    <w:rsid w:val="000D31E8"/>
    <w:rsid w:val="000D76E4"/>
    <w:rsid w:val="000E05AC"/>
    <w:rsid w:val="000E3816"/>
    <w:rsid w:val="000E4229"/>
    <w:rsid w:val="000E4F77"/>
    <w:rsid w:val="000E7CCE"/>
    <w:rsid w:val="000F265C"/>
    <w:rsid w:val="000F3AFA"/>
    <w:rsid w:val="000F5712"/>
    <w:rsid w:val="000F6611"/>
    <w:rsid w:val="000F7E22"/>
    <w:rsid w:val="001059F2"/>
    <w:rsid w:val="00107554"/>
    <w:rsid w:val="001075E9"/>
    <w:rsid w:val="001104F3"/>
    <w:rsid w:val="001118A7"/>
    <w:rsid w:val="00112EEB"/>
    <w:rsid w:val="001173FF"/>
    <w:rsid w:val="0012563A"/>
    <w:rsid w:val="001264DE"/>
    <w:rsid w:val="001266DD"/>
    <w:rsid w:val="001313A7"/>
    <w:rsid w:val="0013276F"/>
    <w:rsid w:val="00132F91"/>
    <w:rsid w:val="001342B5"/>
    <w:rsid w:val="00135CCD"/>
    <w:rsid w:val="0013621E"/>
    <w:rsid w:val="0013642E"/>
    <w:rsid w:val="00140AAF"/>
    <w:rsid w:val="00142EFE"/>
    <w:rsid w:val="00152A23"/>
    <w:rsid w:val="001548DF"/>
    <w:rsid w:val="00156B11"/>
    <w:rsid w:val="00162CB7"/>
    <w:rsid w:val="001665C9"/>
    <w:rsid w:val="00166F32"/>
    <w:rsid w:val="0017171A"/>
    <w:rsid w:val="001718C0"/>
    <w:rsid w:val="00171E5B"/>
    <w:rsid w:val="00171F94"/>
    <w:rsid w:val="00175D4E"/>
    <w:rsid w:val="0017668A"/>
    <w:rsid w:val="001766FE"/>
    <w:rsid w:val="001771E7"/>
    <w:rsid w:val="001911FF"/>
    <w:rsid w:val="00192006"/>
    <w:rsid w:val="00193180"/>
    <w:rsid w:val="00193544"/>
    <w:rsid w:val="0019530C"/>
    <w:rsid w:val="00196792"/>
    <w:rsid w:val="001B0BDD"/>
    <w:rsid w:val="001B1519"/>
    <w:rsid w:val="001B2E2D"/>
    <w:rsid w:val="001B5CD2"/>
    <w:rsid w:val="001B61D6"/>
    <w:rsid w:val="001C0BEE"/>
    <w:rsid w:val="001C1E49"/>
    <w:rsid w:val="001C27C1"/>
    <w:rsid w:val="001C2A98"/>
    <w:rsid w:val="001C311C"/>
    <w:rsid w:val="001C3B86"/>
    <w:rsid w:val="001C4245"/>
    <w:rsid w:val="001C4D95"/>
    <w:rsid w:val="001D3D7D"/>
    <w:rsid w:val="001D3FFF"/>
    <w:rsid w:val="001D4997"/>
    <w:rsid w:val="001D625F"/>
    <w:rsid w:val="001D68A4"/>
    <w:rsid w:val="001D7576"/>
    <w:rsid w:val="001E0E3F"/>
    <w:rsid w:val="001E14A0"/>
    <w:rsid w:val="001E7376"/>
    <w:rsid w:val="001F1F55"/>
    <w:rsid w:val="001F225C"/>
    <w:rsid w:val="001F44B7"/>
    <w:rsid w:val="001F5C54"/>
    <w:rsid w:val="001F6D31"/>
    <w:rsid w:val="00200792"/>
    <w:rsid w:val="00201CFA"/>
    <w:rsid w:val="0020220D"/>
    <w:rsid w:val="00202448"/>
    <w:rsid w:val="00202D15"/>
    <w:rsid w:val="002039E7"/>
    <w:rsid w:val="002054DF"/>
    <w:rsid w:val="00205B3F"/>
    <w:rsid w:val="0021263A"/>
    <w:rsid w:val="00212EAE"/>
    <w:rsid w:val="00214BEE"/>
    <w:rsid w:val="002205B8"/>
    <w:rsid w:val="00225720"/>
    <w:rsid w:val="002259E5"/>
    <w:rsid w:val="00226140"/>
    <w:rsid w:val="002274F3"/>
    <w:rsid w:val="0023094C"/>
    <w:rsid w:val="0023189F"/>
    <w:rsid w:val="00233484"/>
    <w:rsid w:val="00234303"/>
    <w:rsid w:val="00234BE3"/>
    <w:rsid w:val="00235A90"/>
    <w:rsid w:val="0023624F"/>
    <w:rsid w:val="00241E48"/>
    <w:rsid w:val="0024214E"/>
    <w:rsid w:val="00242623"/>
    <w:rsid w:val="00245854"/>
    <w:rsid w:val="00250558"/>
    <w:rsid w:val="00251AAB"/>
    <w:rsid w:val="00253147"/>
    <w:rsid w:val="0025357C"/>
    <w:rsid w:val="002605D1"/>
    <w:rsid w:val="00260652"/>
    <w:rsid w:val="00261F25"/>
    <w:rsid w:val="002648A9"/>
    <w:rsid w:val="0026536F"/>
    <w:rsid w:val="0026553C"/>
    <w:rsid w:val="00265BF8"/>
    <w:rsid w:val="002661A0"/>
    <w:rsid w:val="0026790A"/>
    <w:rsid w:val="00267DD5"/>
    <w:rsid w:val="002738A4"/>
    <w:rsid w:val="00274A0A"/>
    <w:rsid w:val="00275EE0"/>
    <w:rsid w:val="00277593"/>
    <w:rsid w:val="00280828"/>
    <w:rsid w:val="00280909"/>
    <w:rsid w:val="00280918"/>
    <w:rsid w:val="00282AF6"/>
    <w:rsid w:val="00284319"/>
    <w:rsid w:val="0028596A"/>
    <w:rsid w:val="00287085"/>
    <w:rsid w:val="00287DC0"/>
    <w:rsid w:val="00290AF9"/>
    <w:rsid w:val="00291131"/>
    <w:rsid w:val="00294D7F"/>
    <w:rsid w:val="002967CF"/>
    <w:rsid w:val="00297788"/>
    <w:rsid w:val="002A3285"/>
    <w:rsid w:val="002A34F9"/>
    <w:rsid w:val="002A484B"/>
    <w:rsid w:val="002A64A6"/>
    <w:rsid w:val="002B1FCB"/>
    <w:rsid w:val="002B1FE3"/>
    <w:rsid w:val="002B3301"/>
    <w:rsid w:val="002B4D0D"/>
    <w:rsid w:val="002C1445"/>
    <w:rsid w:val="002C47D4"/>
    <w:rsid w:val="002D0708"/>
    <w:rsid w:val="002D0F38"/>
    <w:rsid w:val="002D3EAA"/>
    <w:rsid w:val="002D77E3"/>
    <w:rsid w:val="002E39E7"/>
    <w:rsid w:val="002E4D33"/>
    <w:rsid w:val="002E51B9"/>
    <w:rsid w:val="002E6016"/>
    <w:rsid w:val="002F2859"/>
    <w:rsid w:val="002F618C"/>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4307"/>
    <w:rsid w:val="00336715"/>
    <w:rsid w:val="003401EC"/>
    <w:rsid w:val="00340DFD"/>
    <w:rsid w:val="00344954"/>
    <w:rsid w:val="00350CD7"/>
    <w:rsid w:val="00360C17"/>
    <w:rsid w:val="003621C6"/>
    <w:rsid w:val="003622B8"/>
    <w:rsid w:val="00366913"/>
    <w:rsid w:val="00366B76"/>
    <w:rsid w:val="00373051"/>
    <w:rsid w:val="00373B8F"/>
    <w:rsid w:val="00373E54"/>
    <w:rsid w:val="00376A79"/>
    <w:rsid w:val="00376D95"/>
    <w:rsid w:val="00377FBB"/>
    <w:rsid w:val="00381114"/>
    <w:rsid w:val="003827EA"/>
    <w:rsid w:val="003850E8"/>
    <w:rsid w:val="00385140"/>
    <w:rsid w:val="003914B7"/>
    <w:rsid w:val="003929F0"/>
    <w:rsid w:val="00393CC7"/>
    <w:rsid w:val="00396302"/>
    <w:rsid w:val="003971F7"/>
    <w:rsid w:val="003A16FC"/>
    <w:rsid w:val="003A2C8A"/>
    <w:rsid w:val="003A3082"/>
    <w:rsid w:val="003A4FCD"/>
    <w:rsid w:val="003A66DC"/>
    <w:rsid w:val="003B0944"/>
    <w:rsid w:val="003B1593"/>
    <w:rsid w:val="003B4381"/>
    <w:rsid w:val="003C1043"/>
    <w:rsid w:val="003C1A30"/>
    <w:rsid w:val="003C486F"/>
    <w:rsid w:val="003C6779"/>
    <w:rsid w:val="003C71BE"/>
    <w:rsid w:val="003D033C"/>
    <w:rsid w:val="003D2627"/>
    <w:rsid w:val="003D2998"/>
    <w:rsid w:val="003D2F0A"/>
    <w:rsid w:val="003D3891"/>
    <w:rsid w:val="003D3FE9"/>
    <w:rsid w:val="003D5D84"/>
    <w:rsid w:val="003D68C3"/>
    <w:rsid w:val="003E0F4F"/>
    <w:rsid w:val="003E1369"/>
    <w:rsid w:val="003E18AC"/>
    <w:rsid w:val="003E210B"/>
    <w:rsid w:val="003E2A12"/>
    <w:rsid w:val="003E3384"/>
    <w:rsid w:val="003E3CA4"/>
    <w:rsid w:val="003E548E"/>
    <w:rsid w:val="003E5AA5"/>
    <w:rsid w:val="003E773F"/>
    <w:rsid w:val="00401110"/>
    <w:rsid w:val="00407EA2"/>
    <w:rsid w:val="00407EC8"/>
    <w:rsid w:val="0041110A"/>
    <w:rsid w:val="00411624"/>
    <w:rsid w:val="004148E1"/>
    <w:rsid w:val="00414CFA"/>
    <w:rsid w:val="00415EC0"/>
    <w:rsid w:val="004200A3"/>
    <w:rsid w:val="00420BE9"/>
    <w:rsid w:val="00423AD8"/>
    <w:rsid w:val="00423FDD"/>
    <w:rsid w:val="004241D6"/>
    <w:rsid w:val="00424C85"/>
    <w:rsid w:val="00424E8D"/>
    <w:rsid w:val="004260BD"/>
    <w:rsid w:val="0043012F"/>
    <w:rsid w:val="00430F1F"/>
    <w:rsid w:val="004326EA"/>
    <w:rsid w:val="00432C9C"/>
    <w:rsid w:val="004426DD"/>
    <w:rsid w:val="0044434C"/>
    <w:rsid w:val="0044456B"/>
    <w:rsid w:val="00447BD1"/>
    <w:rsid w:val="004507F3"/>
    <w:rsid w:val="00450AF4"/>
    <w:rsid w:val="00451431"/>
    <w:rsid w:val="00456A57"/>
    <w:rsid w:val="00457006"/>
    <w:rsid w:val="00460377"/>
    <w:rsid w:val="004607DE"/>
    <w:rsid w:val="00461123"/>
    <w:rsid w:val="00461349"/>
    <w:rsid w:val="0046524C"/>
    <w:rsid w:val="00465351"/>
    <w:rsid w:val="0046608A"/>
    <w:rsid w:val="004671C7"/>
    <w:rsid w:val="00472F4D"/>
    <w:rsid w:val="004730BF"/>
    <w:rsid w:val="00474DCB"/>
    <w:rsid w:val="0047535C"/>
    <w:rsid w:val="00475DC8"/>
    <w:rsid w:val="004762F6"/>
    <w:rsid w:val="00485870"/>
    <w:rsid w:val="00485FE8"/>
    <w:rsid w:val="004918AC"/>
    <w:rsid w:val="0049191C"/>
    <w:rsid w:val="00492473"/>
    <w:rsid w:val="00492EB5"/>
    <w:rsid w:val="00493232"/>
    <w:rsid w:val="00494F77"/>
    <w:rsid w:val="00496268"/>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3FC8"/>
    <w:rsid w:val="004D59D8"/>
    <w:rsid w:val="004D5DA1"/>
    <w:rsid w:val="004D643F"/>
    <w:rsid w:val="004D7910"/>
    <w:rsid w:val="004D7E03"/>
    <w:rsid w:val="004E150F"/>
    <w:rsid w:val="004E1DCA"/>
    <w:rsid w:val="004E23A1"/>
    <w:rsid w:val="004E2DDD"/>
    <w:rsid w:val="004E3489"/>
    <w:rsid w:val="004E358A"/>
    <w:rsid w:val="004E3AFA"/>
    <w:rsid w:val="004E6588"/>
    <w:rsid w:val="004E6BF6"/>
    <w:rsid w:val="004F2742"/>
    <w:rsid w:val="004F29DD"/>
    <w:rsid w:val="00500952"/>
    <w:rsid w:val="00502461"/>
    <w:rsid w:val="00502A0A"/>
    <w:rsid w:val="00507C50"/>
    <w:rsid w:val="00514D40"/>
    <w:rsid w:val="00517C3A"/>
    <w:rsid w:val="00527BF4"/>
    <w:rsid w:val="005324BE"/>
    <w:rsid w:val="00534F6C"/>
    <w:rsid w:val="00535994"/>
    <w:rsid w:val="0053646D"/>
    <w:rsid w:val="00536D67"/>
    <w:rsid w:val="00540AAD"/>
    <w:rsid w:val="005410BA"/>
    <w:rsid w:val="0054328C"/>
    <w:rsid w:val="00543EC1"/>
    <w:rsid w:val="00546458"/>
    <w:rsid w:val="0055087C"/>
    <w:rsid w:val="00552786"/>
    <w:rsid w:val="00553413"/>
    <w:rsid w:val="00554D6C"/>
    <w:rsid w:val="00555983"/>
    <w:rsid w:val="00560BB1"/>
    <w:rsid w:val="00560E31"/>
    <w:rsid w:val="00561BDA"/>
    <w:rsid w:val="00567C56"/>
    <w:rsid w:val="00567DBF"/>
    <w:rsid w:val="00577294"/>
    <w:rsid w:val="00581B23"/>
    <w:rsid w:val="0058219C"/>
    <w:rsid w:val="00582C92"/>
    <w:rsid w:val="00586262"/>
    <w:rsid w:val="0058707F"/>
    <w:rsid w:val="0058732F"/>
    <w:rsid w:val="00591DBD"/>
    <w:rsid w:val="005931FE"/>
    <w:rsid w:val="005958E4"/>
    <w:rsid w:val="005A0028"/>
    <w:rsid w:val="005A06B3"/>
    <w:rsid w:val="005A0ACC"/>
    <w:rsid w:val="005A1ECE"/>
    <w:rsid w:val="005A2F7A"/>
    <w:rsid w:val="005A7C61"/>
    <w:rsid w:val="005B0072"/>
    <w:rsid w:val="005B0732"/>
    <w:rsid w:val="005B38A0"/>
    <w:rsid w:val="005B491C"/>
    <w:rsid w:val="005B4DBF"/>
    <w:rsid w:val="005B5A7D"/>
    <w:rsid w:val="005B5DE2"/>
    <w:rsid w:val="005B674C"/>
    <w:rsid w:val="005B7EEF"/>
    <w:rsid w:val="005C24F2"/>
    <w:rsid w:val="005C7561"/>
    <w:rsid w:val="005D1E57"/>
    <w:rsid w:val="005D2F57"/>
    <w:rsid w:val="005D34F6"/>
    <w:rsid w:val="005D4F1A"/>
    <w:rsid w:val="005E1884"/>
    <w:rsid w:val="005F373A"/>
    <w:rsid w:val="005F4F87"/>
    <w:rsid w:val="005F6B0E"/>
    <w:rsid w:val="005F760E"/>
    <w:rsid w:val="005F7B1D"/>
    <w:rsid w:val="006010C2"/>
    <w:rsid w:val="0060222A"/>
    <w:rsid w:val="00603380"/>
    <w:rsid w:val="006070C4"/>
    <w:rsid w:val="00610C21"/>
    <w:rsid w:val="00610E25"/>
    <w:rsid w:val="00611907"/>
    <w:rsid w:val="00613116"/>
    <w:rsid w:val="0061447D"/>
    <w:rsid w:val="006202A6"/>
    <w:rsid w:val="0062054B"/>
    <w:rsid w:val="00620926"/>
    <w:rsid w:val="00621C4E"/>
    <w:rsid w:val="00624082"/>
    <w:rsid w:val="00624EAE"/>
    <w:rsid w:val="006267E0"/>
    <w:rsid w:val="006305D7"/>
    <w:rsid w:val="00632F63"/>
    <w:rsid w:val="00633A01"/>
    <w:rsid w:val="00633B97"/>
    <w:rsid w:val="006341F7"/>
    <w:rsid w:val="00634585"/>
    <w:rsid w:val="00635014"/>
    <w:rsid w:val="00635B26"/>
    <w:rsid w:val="006369CE"/>
    <w:rsid w:val="00636C91"/>
    <w:rsid w:val="006411CA"/>
    <w:rsid w:val="00644279"/>
    <w:rsid w:val="006450C9"/>
    <w:rsid w:val="0064605E"/>
    <w:rsid w:val="00657BC4"/>
    <w:rsid w:val="006619C8"/>
    <w:rsid w:val="0066392B"/>
    <w:rsid w:val="00670498"/>
    <w:rsid w:val="00671710"/>
    <w:rsid w:val="00673414"/>
    <w:rsid w:val="00675570"/>
    <w:rsid w:val="00676079"/>
    <w:rsid w:val="00676ECD"/>
    <w:rsid w:val="00677D0A"/>
    <w:rsid w:val="0068185F"/>
    <w:rsid w:val="006909E9"/>
    <w:rsid w:val="0069675E"/>
    <w:rsid w:val="006A01CF"/>
    <w:rsid w:val="006A60DD"/>
    <w:rsid w:val="006B0679"/>
    <w:rsid w:val="006B074C"/>
    <w:rsid w:val="006B3B84"/>
    <w:rsid w:val="006B4E7C"/>
    <w:rsid w:val="006B557A"/>
    <w:rsid w:val="006B5D8C"/>
    <w:rsid w:val="006B72D4"/>
    <w:rsid w:val="006C11CC"/>
    <w:rsid w:val="006C1768"/>
    <w:rsid w:val="006C1AEB"/>
    <w:rsid w:val="006C1F73"/>
    <w:rsid w:val="006C57FE"/>
    <w:rsid w:val="006C668E"/>
    <w:rsid w:val="006C69E4"/>
    <w:rsid w:val="006D2018"/>
    <w:rsid w:val="006E4B63"/>
    <w:rsid w:val="006F06E4"/>
    <w:rsid w:val="006F1F78"/>
    <w:rsid w:val="006F615E"/>
    <w:rsid w:val="006F7B41"/>
    <w:rsid w:val="007007E2"/>
    <w:rsid w:val="00701BD8"/>
    <w:rsid w:val="00702B5D"/>
    <w:rsid w:val="00703ED2"/>
    <w:rsid w:val="00707B8D"/>
    <w:rsid w:val="007127C9"/>
    <w:rsid w:val="00713636"/>
    <w:rsid w:val="00714B8C"/>
    <w:rsid w:val="007161F5"/>
    <w:rsid w:val="0071675D"/>
    <w:rsid w:val="00717328"/>
    <w:rsid w:val="00717736"/>
    <w:rsid w:val="0073128F"/>
    <w:rsid w:val="00732B47"/>
    <w:rsid w:val="007356FF"/>
    <w:rsid w:val="00735CF5"/>
    <w:rsid w:val="0074063A"/>
    <w:rsid w:val="007421E6"/>
    <w:rsid w:val="00742AA4"/>
    <w:rsid w:val="00743BA1"/>
    <w:rsid w:val="00745F1E"/>
    <w:rsid w:val="007515FE"/>
    <w:rsid w:val="007572B7"/>
    <w:rsid w:val="007601D0"/>
    <w:rsid w:val="007603BB"/>
    <w:rsid w:val="0076109D"/>
    <w:rsid w:val="00761411"/>
    <w:rsid w:val="00767107"/>
    <w:rsid w:val="00773617"/>
    <w:rsid w:val="00773BFD"/>
    <w:rsid w:val="007743B3"/>
    <w:rsid w:val="00774490"/>
    <w:rsid w:val="0077581E"/>
    <w:rsid w:val="007819FF"/>
    <w:rsid w:val="0078360C"/>
    <w:rsid w:val="00784A4C"/>
    <w:rsid w:val="00784BC6"/>
    <w:rsid w:val="0078523D"/>
    <w:rsid w:val="00787F20"/>
    <w:rsid w:val="007931DF"/>
    <w:rsid w:val="007973C8"/>
    <w:rsid w:val="007A0172"/>
    <w:rsid w:val="007A07EF"/>
    <w:rsid w:val="007A1804"/>
    <w:rsid w:val="007A215A"/>
    <w:rsid w:val="007A2511"/>
    <w:rsid w:val="007A260E"/>
    <w:rsid w:val="007A4D4C"/>
    <w:rsid w:val="007A4DD6"/>
    <w:rsid w:val="007A5A43"/>
    <w:rsid w:val="007A5CB9"/>
    <w:rsid w:val="007B20AE"/>
    <w:rsid w:val="007B6B07"/>
    <w:rsid w:val="007B6D43"/>
    <w:rsid w:val="007B749A"/>
    <w:rsid w:val="007B7C6E"/>
    <w:rsid w:val="007C2F07"/>
    <w:rsid w:val="007C53DB"/>
    <w:rsid w:val="007C5C2E"/>
    <w:rsid w:val="007D20B4"/>
    <w:rsid w:val="007D44D7"/>
    <w:rsid w:val="007D621A"/>
    <w:rsid w:val="007D6824"/>
    <w:rsid w:val="007E058A"/>
    <w:rsid w:val="007E2887"/>
    <w:rsid w:val="007E5278"/>
    <w:rsid w:val="007E572F"/>
    <w:rsid w:val="007E749C"/>
    <w:rsid w:val="007E76DE"/>
    <w:rsid w:val="007F1B5C"/>
    <w:rsid w:val="007F2DD8"/>
    <w:rsid w:val="00801257"/>
    <w:rsid w:val="00802366"/>
    <w:rsid w:val="00803B0A"/>
    <w:rsid w:val="00804DED"/>
    <w:rsid w:val="0080517D"/>
    <w:rsid w:val="00805991"/>
    <w:rsid w:val="00805B96"/>
    <w:rsid w:val="00810265"/>
    <w:rsid w:val="008105BE"/>
    <w:rsid w:val="008115A5"/>
    <w:rsid w:val="00811D46"/>
    <w:rsid w:val="0081415D"/>
    <w:rsid w:val="00820229"/>
    <w:rsid w:val="00822448"/>
    <w:rsid w:val="00822ABE"/>
    <w:rsid w:val="008240D3"/>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6CEA"/>
    <w:rsid w:val="008706C5"/>
    <w:rsid w:val="00873707"/>
    <w:rsid w:val="00874B20"/>
    <w:rsid w:val="008757C6"/>
    <w:rsid w:val="008763E1"/>
    <w:rsid w:val="0087775C"/>
    <w:rsid w:val="00877EC8"/>
    <w:rsid w:val="00880F36"/>
    <w:rsid w:val="00885530"/>
    <w:rsid w:val="00885A9E"/>
    <w:rsid w:val="008906A2"/>
    <w:rsid w:val="008910D1"/>
    <w:rsid w:val="0089296C"/>
    <w:rsid w:val="00896ABD"/>
    <w:rsid w:val="00897AB6"/>
    <w:rsid w:val="00897DA8"/>
    <w:rsid w:val="008A3380"/>
    <w:rsid w:val="008A363A"/>
    <w:rsid w:val="008A7772"/>
    <w:rsid w:val="008A7A9C"/>
    <w:rsid w:val="008B14BE"/>
    <w:rsid w:val="008B5218"/>
    <w:rsid w:val="008B7102"/>
    <w:rsid w:val="008C3B7D"/>
    <w:rsid w:val="008C7C25"/>
    <w:rsid w:val="008D0F90"/>
    <w:rsid w:val="008D3715"/>
    <w:rsid w:val="008D5465"/>
    <w:rsid w:val="008D5E61"/>
    <w:rsid w:val="008D7EB7"/>
    <w:rsid w:val="008D7EC5"/>
    <w:rsid w:val="008E0320"/>
    <w:rsid w:val="008E0CA8"/>
    <w:rsid w:val="008E3684"/>
    <w:rsid w:val="008E57F5"/>
    <w:rsid w:val="008E7606"/>
    <w:rsid w:val="008F1DAA"/>
    <w:rsid w:val="008F3EBD"/>
    <w:rsid w:val="008F60B2"/>
    <w:rsid w:val="008F7351"/>
    <w:rsid w:val="008F7C41"/>
    <w:rsid w:val="009031E2"/>
    <w:rsid w:val="00907FE7"/>
    <w:rsid w:val="009113E1"/>
    <w:rsid w:val="0091276C"/>
    <w:rsid w:val="00912EC8"/>
    <w:rsid w:val="009145BE"/>
    <w:rsid w:val="00915165"/>
    <w:rsid w:val="009165AC"/>
    <w:rsid w:val="00916FFC"/>
    <w:rsid w:val="0092053F"/>
    <w:rsid w:val="00920563"/>
    <w:rsid w:val="009210FB"/>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6995"/>
    <w:rsid w:val="00967764"/>
    <w:rsid w:val="00970B0E"/>
    <w:rsid w:val="00970BB9"/>
    <w:rsid w:val="009726EE"/>
    <w:rsid w:val="00972CDE"/>
    <w:rsid w:val="009733DD"/>
    <w:rsid w:val="00975573"/>
    <w:rsid w:val="00976D03"/>
    <w:rsid w:val="00977B30"/>
    <w:rsid w:val="009801AB"/>
    <w:rsid w:val="009817FC"/>
    <w:rsid w:val="00982F41"/>
    <w:rsid w:val="00985090"/>
    <w:rsid w:val="00987710"/>
    <w:rsid w:val="00987BCB"/>
    <w:rsid w:val="009904AB"/>
    <w:rsid w:val="009912E8"/>
    <w:rsid w:val="00995688"/>
    <w:rsid w:val="009958A6"/>
    <w:rsid w:val="00996456"/>
    <w:rsid w:val="009A04F5"/>
    <w:rsid w:val="009A15EF"/>
    <w:rsid w:val="009A18F5"/>
    <w:rsid w:val="009A212D"/>
    <w:rsid w:val="009A230A"/>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D7F85"/>
    <w:rsid w:val="009E09D9"/>
    <w:rsid w:val="009E0ACD"/>
    <w:rsid w:val="009E7D48"/>
    <w:rsid w:val="009F01B1"/>
    <w:rsid w:val="009F0DBB"/>
    <w:rsid w:val="009F3887"/>
    <w:rsid w:val="009F40DC"/>
    <w:rsid w:val="009F4488"/>
    <w:rsid w:val="009F52F0"/>
    <w:rsid w:val="009F659A"/>
    <w:rsid w:val="009F732B"/>
    <w:rsid w:val="00A0166F"/>
    <w:rsid w:val="00A01FE0"/>
    <w:rsid w:val="00A06386"/>
    <w:rsid w:val="00A06945"/>
    <w:rsid w:val="00A10656"/>
    <w:rsid w:val="00A113C0"/>
    <w:rsid w:val="00A12FA6"/>
    <w:rsid w:val="00A1339B"/>
    <w:rsid w:val="00A14ABA"/>
    <w:rsid w:val="00A14F0C"/>
    <w:rsid w:val="00A16E6B"/>
    <w:rsid w:val="00A24669"/>
    <w:rsid w:val="00A24CB6"/>
    <w:rsid w:val="00A25865"/>
    <w:rsid w:val="00A26CD2"/>
    <w:rsid w:val="00A26FE5"/>
    <w:rsid w:val="00A27667"/>
    <w:rsid w:val="00A32979"/>
    <w:rsid w:val="00A34A67"/>
    <w:rsid w:val="00A372CA"/>
    <w:rsid w:val="00A37462"/>
    <w:rsid w:val="00A375C9"/>
    <w:rsid w:val="00A41FC3"/>
    <w:rsid w:val="00A4423F"/>
    <w:rsid w:val="00A459E1"/>
    <w:rsid w:val="00A46AC4"/>
    <w:rsid w:val="00A470E5"/>
    <w:rsid w:val="00A478A5"/>
    <w:rsid w:val="00A52296"/>
    <w:rsid w:val="00A526F0"/>
    <w:rsid w:val="00A54598"/>
    <w:rsid w:val="00A55661"/>
    <w:rsid w:val="00A55C57"/>
    <w:rsid w:val="00A56C72"/>
    <w:rsid w:val="00A61B70"/>
    <w:rsid w:val="00A61FA8"/>
    <w:rsid w:val="00A637F4"/>
    <w:rsid w:val="00A64654"/>
    <w:rsid w:val="00A64DF2"/>
    <w:rsid w:val="00A650B5"/>
    <w:rsid w:val="00A65485"/>
    <w:rsid w:val="00A66E05"/>
    <w:rsid w:val="00A67655"/>
    <w:rsid w:val="00A70753"/>
    <w:rsid w:val="00A712D2"/>
    <w:rsid w:val="00A720C4"/>
    <w:rsid w:val="00A73BC6"/>
    <w:rsid w:val="00A76C13"/>
    <w:rsid w:val="00A82C8A"/>
    <w:rsid w:val="00A8346B"/>
    <w:rsid w:val="00A852FF"/>
    <w:rsid w:val="00A87337"/>
    <w:rsid w:val="00A90C97"/>
    <w:rsid w:val="00A92DDC"/>
    <w:rsid w:val="00A960C8"/>
    <w:rsid w:val="00A96604"/>
    <w:rsid w:val="00AA03DF"/>
    <w:rsid w:val="00AA1B4F"/>
    <w:rsid w:val="00AA21D8"/>
    <w:rsid w:val="00AA271A"/>
    <w:rsid w:val="00AA2DC8"/>
    <w:rsid w:val="00AA3270"/>
    <w:rsid w:val="00AA375A"/>
    <w:rsid w:val="00AA54F3"/>
    <w:rsid w:val="00AA6B43"/>
    <w:rsid w:val="00AA720D"/>
    <w:rsid w:val="00AA7B1F"/>
    <w:rsid w:val="00AB3145"/>
    <w:rsid w:val="00AB367A"/>
    <w:rsid w:val="00AB7BF8"/>
    <w:rsid w:val="00AC01D1"/>
    <w:rsid w:val="00AC0AB2"/>
    <w:rsid w:val="00AC0E9F"/>
    <w:rsid w:val="00AC436F"/>
    <w:rsid w:val="00AC52A5"/>
    <w:rsid w:val="00AC6EFD"/>
    <w:rsid w:val="00AC7151"/>
    <w:rsid w:val="00AD3310"/>
    <w:rsid w:val="00AD3A91"/>
    <w:rsid w:val="00AD460A"/>
    <w:rsid w:val="00AD5B51"/>
    <w:rsid w:val="00AD67D4"/>
    <w:rsid w:val="00AD6A05"/>
    <w:rsid w:val="00AD6B40"/>
    <w:rsid w:val="00AE118B"/>
    <w:rsid w:val="00AE272B"/>
    <w:rsid w:val="00AE36AF"/>
    <w:rsid w:val="00AE3E3A"/>
    <w:rsid w:val="00AE77B4"/>
    <w:rsid w:val="00AE7C1A"/>
    <w:rsid w:val="00AE7DF8"/>
    <w:rsid w:val="00AF0D9C"/>
    <w:rsid w:val="00AF13AB"/>
    <w:rsid w:val="00AF1D36"/>
    <w:rsid w:val="00AF280B"/>
    <w:rsid w:val="00AF5474"/>
    <w:rsid w:val="00AF5F75"/>
    <w:rsid w:val="00AF6001"/>
    <w:rsid w:val="00B01A16"/>
    <w:rsid w:val="00B07F45"/>
    <w:rsid w:val="00B1021A"/>
    <w:rsid w:val="00B10271"/>
    <w:rsid w:val="00B13A20"/>
    <w:rsid w:val="00B140D9"/>
    <w:rsid w:val="00B1481A"/>
    <w:rsid w:val="00B15A1F"/>
    <w:rsid w:val="00B15B93"/>
    <w:rsid w:val="00B15FE9"/>
    <w:rsid w:val="00B16294"/>
    <w:rsid w:val="00B2148A"/>
    <w:rsid w:val="00B220C2"/>
    <w:rsid w:val="00B2276E"/>
    <w:rsid w:val="00B25B32"/>
    <w:rsid w:val="00B32616"/>
    <w:rsid w:val="00B36AF0"/>
    <w:rsid w:val="00B36C42"/>
    <w:rsid w:val="00B42EA7"/>
    <w:rsid w:val="00B51845"/>
    <w:rsid w:val="00B51923"/>
    <w:rsid w:val="00B51E62"/>
    <w:rsid w:val="00B5337C"/>
    <w:rsid w:val="00B53FDE"/>
    <w:rsid w:val="00B56397"/>
    <w:rsid w:val="00B56BEC"/>
    <w:rsid w:val="00B571DA"/>
    <w:rsid w:val="00B6027B"/>
    <w:rsid w:val="00B636C8"/>
    <w:rsid w:val="00B65EDB"/>
    <w:rsid w:val="00B67AFF"/>
    <w:rsid w:val="00B67C41"/>
    <w:rsid w:val="00B70B59"/>
    <w:rsid w:val="00B73657"/>
    <w:rsid w:val="00B739B3"/>
    <w:rsid w:val="00B758F8"/>
    <w:rsid w:val="00B81B15"/>
    <w:rsid w:val="00B8458A"/>
    <w:rsid w:val="00B84D35"/>
    <w:rsid w:val="00B915AE"/>
    <w:rsid w:val="00BA1735"/>
    <w:rsid w:val="00BA19FA"/>
    <w:rsid w:val="00BA4288"/>
    <w:rsid w:val="00BA6B90"/>
    <w:rsid w:val="00BB0902"/>
    <w:rsid w:val="00BB1F9C"/>
    <w:rsid w:val="00BB25DF"/>
    <w:rsid w:val="00BB48E5"/>
    <w:rsid w:val="00BB4E5A"/>
    <w:rsid w:val="00BB5607"/>
    <w:rsid w:val="00BB5ACA"/>
    <w:rsid w:val="00BB627F"/>
    <w:rsid w:val="00BB687F"/>
    <w:rsid w:val="00BB6F06"/>
    <w:rsid w:val="00BC0C17"/>
    <w:rsid w:val="00BC1151"/>
    <w:rsid w:val="00BC1939"/>
    <w:rsid w:val="00BC2A56"/>
    <w:rsid w:val="00BC3823"/>
    <w:rsid w:val="00BC3ED3"/>
    <w:rsid w:val="00BC5841"/>
    <w:rsid w:val="00BC5E38"/>
    <w:rsid w:val="00BC5E94"/>
    <w:rsid w:val="00BD201A"/>
    <w:rsid w:val="00BD2DC4"/>
    <w:rsid w:val="00BD2EF0"/>
    <w:rsid w:val="00BD60B4"/>
    <w:rsid w:val="00BD796B"/>
    <w:rsid w:val="00BE0416"/>
    <w:rsid w:val="00BE3113"/>
    <w:rsid w:val="00BE40C0"/>
    <w:rsid w:val="00BE445C"/>
    <w:rsid w:val="00BE5F4A"/>
    <w:rsid w:val="00BE61B9"/>
    <w:rsid w:val="00BE7AEF"/>
    <w:rsid w:val="00BF09B0"/>
    <w:rsid w:val="00BF1544"/>
    <w:rsid w:val="00BF1B53"/>
    <w:rsid w:val="00BF246D"/>
    <w:rsid w:val="00BF2682"/>
    <w:rsid w:val="00C06F06"/>
    <w:rsid w:val="00C12028"/>
    <w:rsid w:val="00C12F74"/>
    <w:rsid w:val="00C15E86"/>
    <w:rsid w:val="00C17BFF"/>
    <w:rsid w:val="00C20FAD"/>
    <w:rsid w:val="00C2375F"/>
    <w:rsid w:val="00C247CB"/>
    <w:rsid w:val="00C32E66"/>
    <w:rsid w:val="00C3355F"/>
    <w:rsid w:val="00C33A04"/>
    <w:rsid w:val="00C3569A"/>
    <w:rsid w:val="00C36071"/>
    <w:rsid w:val="00C43F48"/>
    <w:rsid w:val="00C448FF"/>
    <w:rsid w:val="00C45E57"/>
    <w:rsid w:val="00C52F29"/>
    <w:rsid w:val="00C5546B"/>
    <w:rsid w:val="00C55A59"/>
    <w:rsid w:val="00C56CE6"/>
    <w:rsid w:val="00C5745F"/>
    <w:rsid w:val="00C60005"/>
    <w:rsid w:val="00C60BFF"/>
    <w:rsid w:val="00C612FE"/>
    <w:rsid w:val="00C61A98"/>
    <w:rsid w:val="00C61F45"/>
    <w:rsid w:val="00C62863"/>
    <w:rsid w:val="00C63201"/>
    <w:rsid w:val="00C64E62"/>
    <w:rsid w:val="00C651D5"/>
    <w:rsid w:val="00C65CCC"/>
    <w:rsid w:val="00C65DA9"/>
    <w:rsid w:val="00C66138"/>
    <w:rsid w:val="00C7618F"/>
    <w:rsid w:val="00C765A9"/>
    <w:rsid w:val="00C81157"/>
    <w:rsid w:val="00C8162D"/>
    <w:rsid w:val="00C830BB"/>
    <w:rsid w:val="00C83A0B"/>
    <w:rsid w:val="00C842D0"/>
    <w:rsid w:val="00C84566"/>
    <w:rsid w:val="00C8496D"/>
    <w:rsid w:val="00C84ED1"/>
    <w:rsid w:val="00C863CC"/>
    <w:rsid w:val="00C86BCC"/>
    <w:rsid w:val="00C9038F"/>
    <w:rsid w:val="00C92AAB"/>
    <w:rsid w:val="00C93C81"/>
    <w:rsid w:val="00C95D4C"/>
    <w:rsid w:val="00C9637F"/>
    <w:rsid w:val="00C9708A"/>
    <w:rsid w:val="00CA2435"/>
    <w:rsid w:val="00CA26EC"/>
    <w:rsid w:val="00CA4068"/>
    <w:rsid w:val="00CA499F"/>
    <w:rsid w:val="00CA67F4"/>
    <w:rsid w:val="00CB16DC"/>
    <w:rsid w:val="00CB37F8"/>
    <w:rsid w:val="00CB7DC3"/>
    <w:rsid w:val="00CC4E59"/>
    <w:rsid w:val="00CC5BE1"/>
    <w:rsid w:val="00CC75A2"/>
    <w:rsid w:val="00CC7A18"/>
    <w:rsid w:val="00CD0E2F"/>
    <w:rsid w:val="00CD1D49"/>
    <w:rsid w:val="00CD1FC0"/>
    <w:rsid w:val="00CD2738"/>
    <w:rsid w:val="00CD2F20"/>
    <w:rsid w:val="00CD4D36"/>
    <w:rsid w:val="00CD6B20"/>
    <w:rsid w:val="00CE1339"/>
    <w:rsid w:val="00CE61CC"/>
    <w:rsid w:val="00CE6E42"/>
    <w:rsid w:val="00CF20B7"/>
    <w:rsid w:val="00CF283B"/>
    <w:rsid w:val="00CF4785"/>
    <w:rsid w:val="00CF6692"/>
    <w:rsid w:val="00CF7441"/>
    <w:rsid w:val="00D00D16"/>
    <w:rsid w:val="00D03C32"/>
    <w:rsid w:val="00D03C6C"/>
    <w:rsid w:val="00D04760"/>
    <w:rsid w:val="00D04A95"/>
    <w:rsid w:val="00D0583A"/>
    <w:rsid w:val="00D06288"/>
    <w:rsid w:val="00D068C7"/>
    <w:rsid w:val="00D128A4"/>
    <w:rsid w:val="00D147C8"/>
    <w:rsid w:val="00D15131"/>
    <w:rsid w:val="00D16FA2"/>
    <w:rsid w:val="00D20954"/>
    <w:rsid w:val="00D21C39"/>
    <w:rsid w:val="00D21FC6"/>
    <w:rsid w:val="00D2243A"/>
    <w:rsid w:val="00D27D70"/>
    <w:rsid w:val="00D33393"/>
    <w:rsid w:val="00D33D36"/>
    <w:rsid w:val="00D34D94"/>
    <w:rsid w:val="00D409E2"/>
    <w:rsid w:val="00D427D7"/>
    <w:rsid w:val="00D44E62"/>
    <w:rsid w:val="00D51570"/>
    <w:rsid w:val="00D556AD"/>
    <w:rsid w:val="00D60381"/>
    <w:rsid w:val="00D616DE"/>
    <w:rsid w:val="00D62201"/>
    <w:rsid w:val="00D651D1"/>
    <w:rsid w:val="00D70E4B"/>
    <w:rsid w:val="00D717BB"/>
    <w:rsid w:val="00D7226B"/>
    <w:rsid w:val="00D72707"/>
    <w:rsid w:val="00D75A9C"/>
    <w:rsid w:val="00D829C8"/>
    <w:rsid w:val="00D87917"/>
    <w:rsid w:val="00D90871"/>
    <w:rsid w:val="00D9155F"/>
    <w:rsid w:val="00D9403F"/>
    <w:rsid w:val="00D959B4"/>
    <w:rsid w:val="00D97DDF"/>
    <w:rsid w:val="00DA066D"/>
    <w:rsid w:val="00DA44DE"/>
    <w:rsid w:val="00DA74CB"/>
    <w:rsid w:val="00DA750B"/>
    <w:rsid w:val="00DB620A"/>
    <w:rsid w:val="00DC1324"/>
    <w:rsid w:val="00DC3832"/>
    <w:rsid w:val="00DC3F75"/>
    <w:rsid w:val="00DC6318"/>
    <w:rsid w:val="00DC7A51"/>
    <w:rsid w:val="00DD1DAD"/>
    <w:rsid w:val="00DD2467"/>
    <w:rsid w:val="00DD3B1E"/>
    <w:rsid w:val="00DE06B2"/>
    <w:rsid w:val="00DE5B5F"/>
    <w:rsid w:val="00DF614E"/>
    <w:rsid w:val="00E00696"/>
    <w:rsid w:val="00E03651"/>
    <w:rsid w:val="00E03808"/>
    <w:rsid w:val="00E04FC0"/>
    <w:rsid w:val="00E060C2"/>
    <w:rsid w:val="00E06324"/>
    <w:rsid w:val="00E06B33"/>
    <w:rsid w:val="00E07B81"/>
    <w:rsid w:val="00E10AFD"/>
    <w:rsid w:val="00E12B11"/>
    <w:rsid w:val="00E12FB0"/>
    <w:rsid w:val="00E14814"/>
    <w:rsid w:val="00E1545B"/>
    <w:rsid w:val="00E1591B"/>
    <w:rsid w:val="00E15F22"/>
    <w:rsid w:val="00E1608E"/>
    <w:rsid w:val="00E16A50"/>
    <w:rsid w:val="00E16E0A"/>
    <w:rsid w:val="00E17D84"/>
    <w:rsid w:val="00E249A6"/>
    <w:rsid w:val="00E249D5"/>
    <w:rsid w:val="00E25017"/>
    <w:rsid w:val="00E26F73"/>
    <w:rsid w:val="00E27A03"/>
    <w:rsid w:val="00E30A34"/>
    <w:rsid w:val="00E33C68"/>
    <w:rsid w:val="00E34EEB"/>
    <w:rsid w:val="00E3687C"/>
    <w:rsid w:val="00E44EB9"/>
    <w:rsid w:val="00E45BDC"/>
    <w:rsid w:val="00E460B7"/>
    <w:rsid w:val="00E46358"/>
    <w:rsid w:val="00E471DC"/>
    <w:rsid w:val="00E50EB4"/>
    <w:rsid w:val="00E5239B"/>
    <w:rsid w:val="00E532FC"/>
    <w:rsid w:val="00E54920"/>
    <w:rsid w:val="00E559B4"/>
    <w:rsid w:val="00E55BB0"/>
    <w:rsid w:val="00E609E5"/>
    <w:rsid w:val="00E60F27"/>
    <w:rsid w:val="00E64D93"/>
    <w:rsid w:val="00E65EDB"/>
    <w:rsid w:val="00E66927"/>
    <w:rsid w:val="00E677B8"/>
    <w:rsid w:val="00E67E9E"/>
    <w:rsid w:val="00E67FA1"/>
    <w:rsid w:val="00E7115E"/>
    <w:rsid w:val="00E72A0E"/>
    <w:rsid w:val="00E731F7"/>
    <w:rsid w:val="00E73498"/>
    <w:rsid w:val="00E73703"/>
    <w:rsid w:val="00E7387D"/>
    <w:rsid w:val="00E73D53"/>
    <w:rsid w:val="00E75111"/>
    <w:rsid w:val="00E77296"/>
    <w:rsid w:val="00E81016"/>
    <w:rsid w:val="00E83F2A"/>
    <w:rsid w:val="00E8463F"/>
    <w:rsid w:val="00E86E4C"/>
    <w:rsid w:val="00E87527"/>
    <w:rsid w:val="00E87EF7"/>
    <w:rsid w:val="00E90CCE"/>
    <w:rsid w:val="00E93763"/>
    <w:rsid w:val="00E93D9C"/>
    <w:rsid w:val="00E96C4C"/>
    <w:rsid w:val="00EA2AAE"/>
    <w:rsid w:val="00EA2EC0"/>
    <w:rsid w:val="00EA427A"/>
    <w:rsid w:val="00EA723B"/>
    <w:rsid w:val="00EB2DF2"/>
    <w:rsid w:val="00EB4709"/>
    <w:rsid w:val="00EB52AD"/>
    <w:rsid w:val="00EB560D"/>
    <w:rsid w:val="00EB6350"/>
    <w:rsid w:val="00EB687A"/>
    <w:rsid w:val="00EB6A11"/>
    <w:rsid w:val="00EC043F"/>
    <w:rsid w:val="00EC2D07"/>
    <w:rsid w:val="00EC2F62"/>
    <w:rsid w:val="00EC62EB"/>
    <w:rsid w:val="00EC6E9F"/>
    <w:rsid w:val="00ED44F0"/>
    <w:rsid w:val="00ED4B33"/>
    <w:rsid w:val="00ED4BC2"/>
    <w:rsid w:val="00ED5993"/>
    <w:rsid w:val="00ED7DD6"/>
    <w:rsid w:val="00EE060B"/>
    <w:rsid w:val="00EE15A1"/>
    <w:rsid w:val="00EE2A7C"/>
    <w:rsid w:val="00EE2C42"/>
    <w:rsid w:val="00EE341B"/>
    <w:rsid w:val="00EE4453"/>
    <w:rsid w:val="00EE5FCE"/>
    <w:rsid w:val="00EE6BBD"/>
    <w:rsid w:val="00EE6E1E"/>
    <w:rsid w:val="00EE705F"/>
    <w:rsid w:val="00EF09D4"/>
    <w:rsid w:val="00EF1462"/>
    <w:rsid w:val="00EF33D0"/>
    <w:rsid w:val="00EF54FD"/>
    <w:rsid w:val="00F02072"/>
    <w:rsid w:val="00F07F0D"/>
    <w:rsid w:val="00F119AE"/>
    <w:rsid w:val="00F13112"/>
    <w:rsid w:val="00F16FE6"/>
    <w:rsid w:val="00F17263"/>
    <w:rsid w:val="00F238BD"/>
    <w:rsid w:val="00F24992"/>
    <w:rsid w:val="00F32F2F"/>
    <w:rsid w:val="00F33F3F"/>
    <w:rsid w:val="00F355F6"/>
    <w:rsid w:val="00F35BDD"/>
    <w:rsid w:val="00F35EF0"/>
    <w:rsid w:val="00F3781F"/>
    <w:rsid w:val="00F403FD"/>
    <w:rsid w:val="00F41E72"/>
    <w:rsid w:val="00F45BDF"/>
    <w:rsid w:val="00F50300"/>
    <w:rsid w:val="00F5414B"/>
    <w:rsid w:val="00F54494"/>
    <w:rsid w:val="00F56E39"/>
    <w:rsid w:val="00F60F7E"/>
    <w:rsid w:val="00F623E9"/>
    <w:rsid w:val="00F63951"/>
    <w:rsid w:val="00F63C86"/>
    <w:rsid w:val="00F65EE1"/>
    <w:rsid w:val="00F66836"/>
    <w:rsid w:val="00F72556"/>
    <w:rsid w:val="00F766BE"/>
    <w:rsid w:val="00F77663"/>
    <w:rsid w:val="00F77EB9"/>
    <w:rsid w:val="00F80635"/>
    <w:rsid w:val="00F8115F"/>
    <w:rsid w:val="00F815D1"/>
    <w:rsid w:val="00F81E7E"/>
    <w:rsid w:val="00F81F0F"/>
    <w:rsid w:val="00F825F4"/>
    <w:rsid w:val="00F838DF"/>
    <w:rsid w:val="00F92AA1"/>
    <w:rsid w:val="00F932DE"/>
    <w:rsid w:val="00F94489"/>
    <w:rsid w:val="00F963DD"/>
    <w:rsid w:val="00F9641A"/>
    <w:rsid w:val="00F97004"/>
    <w:rsid w:val="00FA067D"/>
    <w:rsid w:val="00FA2045"/>
    <w:rsid w:val="00FA5B1F"/>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D7B7A"/>
    <w:rsid w:val="00FE0281"/>
    <w:rsid w:val="00FE44D1"/>
    <w:rsid w:val="00FE62E6"/>
    <w:rsid w:val="00FE7083"/>
    <w:rsid w:val="00FF019F"/>
    <w:rsid w:val="00FF1B2A"/>
    <w:rsid w:val="00FF2160"/>
    <w:rsid w:val="00FF2835"/>
    <w:rsid w:val="00FF2E31"/>
    <w:rsid w:val="00FF30DE"/>
    <w:rsid w:val="00FF599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60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023385"/>
    <w:pPr>
      <w:widowControl/>
      <w:autoSpaceDE/>
      <w:autoSpaceDN/>
      <w:adjustRightInd/>
      <w:spacing w:after="200"/>
    </w:pPr>
    <w:rPr>
      <w:rFonts w:ascii="Arial" w:eastAsia="Calibri" w:hAnsi="Arial" w:cs="Arial"/>
      <w:noProof/>
      <w:color w:val="auto"/>
      <w:sz w:val="22"/>
      <w:szCs w:val="22"/>
    </w:rPr>
  </w:style>
  <w:style w:type="character" w:customStyle="1" w:styleId="EndNoteBibliographyChar">
    <w:name w:val="EndNote Bibliography Char"/>
    <w:basedOn w:val="DefaultParagraphFont"/>
    <w:link w:val="EndNoteBibliography"/>
    <w:rsid w:val="00023385"/>
    <w:rPr>
      <w:rFonts w:ascii="Arial" w:eastAsia="Calibri" w:hAnsi="Arial" w:cs="Arial"/>
      <w:noProof/>
      <w:sz w:val="22"/>
      <w:szCs w:val="22"/>
    </w:rPr>
  </w:style>
  <w:style w:type="character" w:customStyle="1" w:styleId="st">
    <w:name w:val="st"/>
    <w:basedOn w:val="DefaultParagraphFont"/>
    <w:rsid w:val="00966995"/>
  </w:style>
  <w:style w:type="character" w:customStyle="1" w:styleId="hotkey-layer">
    <w:name w:val="hotkey-layer"/>
    <w:basedOn w:val="DefaultParagraphFont"/>
    <w:rsid w:val="00A26FE5"/>
  </w:style>
  <w:style w:type="paragraph" w:styleId="FootnoteText">
    <w:name w:val="footnote text"/>
    <w:basedOn w:val="Normal"/>
    <w:link w:val="FootnoteTextChar"/>
    <w:uiPriority w:val="99"/>
    <w:semiHidden/>
    <w:unhideWhenUsed/>
    <w:rsid w:val="00A06386"/>
    <w:rPr>
      <w:sz w:val="20"/>
      <w:szCs w:val="20"/>
    </w:rPr>
  </w:style>
  <w:style w:type="character" w:customStyle="1" w:styleId="FootnoteTextChar">
    <w:name w:val="Footnote Text Char"/>
    <w:basedOn w:val="DefaultParagraphFont"/>
    <w:link w:val="FootnoteText"/>
    <w:uiPriority w:val="99"/>
    <w:semiHidden/>
    <w:rsid w:val="00A06386"/>
    <w:rPr>
      <w:rFonts w:ascii="Calibri" w:hAnsi="Calibri" w:cs="Calibri"/>
      <w:color w:val="000000"/>
    </w:rPr>
  </w:style>
  <w:style w:type="character" w:styleId="FootnoteReference">
    <w:name w:val="footnote reference"/>
    <w:basedOn w:val="DefaultParagraphFont"/>
    <w:uiPriority w:val="99"/>
    <w:semiHidden/>
    <w:unhideWhenUsed/>
    <w:rsid w:val="00A06386"/>
    <w:rPr>
      <w:vertAlign w:val="superscript"/>
    </w:rPr>
  </w:style>
  <w:style w:type="paragraph" w:styleId="EndnoteText">
    <w:name w:val="endnote text"/>
    <w:basedOn w:val="Normal"/>
    <w:link w:val="EndnoteTextChar"/>
    <w:uiPriority w:val="99"/>
    <w:semiHidden/>
    <w:unhideWhenUsed/>
    <w:rsid w:val="00A06386"/>
    <w:rPr>
      <w:sz w:val="20"/>
      <w:szCs w:val="20"/>
    </w:rPr>
  </w:style>
  <w:style w:type="character" w:customStyle="1" w:styleId="EndnoteTextChar">
    <w:name w:val="Endnote Text Char"/>
    <w:basedOn w:val="DefaultParagraphFont"/>
    <w:link w:val="EndnoteText"/>
    <w:uiPriority w:val="99"/>
    <w:semiHidden/>
    <w:rsid w:val="00A06386"/>
    <w:rPr>
      <w:rFonts w:ascii="Calibri" w:hAnsi="Calibri" w:cs="Calibri"/>
      <w:color w:val="000000"/>
    </w:rPr>
  </w:style>
  <w:style w:type="character" w:styleId="EndnoteReference">
    <w:name w:val="endnote reference"/>
    <w:basedOn w:val="DefaultParagraphFont"/>
    <w:uiPriority w:val="99"/>
    <w:semiHidden/>
    <w:unhideWhenUsed/>
    <w:rsid w:val="00A06386"/>
    <w:rPr>
      <w:vertAlign w:val="superscript"/>
    </w:rPr>
  </w:style>
  <w:style w:type="character" w:customStyle="1" w:styleId="e24kjd">
    <w:name w:val="e24kjd"/>
    <w:basedOn w:val="DefaultParagraphFont"/>
    <w:rsid w:val="0080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31123">
      <w:bodyDiv w:val="1"/>
      <w:marLeft w:val="0"/>
      <w:marRight w:val="0"/>
      <w:marTop w:val="0"/>
      <w:marBottom w:val="0"/>
      <w:divBdr>
        <w:top w:val="none" w:sz="0" w:space="0" w:color="auto"/>
        <w:left w:val="none" w:sz="0" w:space="0" w:color="auto"/>
        <w:bottom w:val="none" w:sz="0" w:space="0" w:color="auto"/>
        <w:right w:val="none" w:sz="0" w:space="0" w:color="auto"/>
      </w:divBdr>
    </w:div>
    <w:div w:id="70857835">
      <w:bodyDiv w:val="1"/>
      <w:marLeft w:val="0"/>
      <w:marRight w:val="0"/>
      <w:marTop w:val="0"/>
      <w:marBottom w:val="0"/>
      <w:divBdr>
        <w:top w:val="none" w:sz="0" w:space="0" w:color="auto"/>
        <w:left w:val="none" w:sz="0" w:space="0" w:color="auto"/>
        <w:bottom w:val="none" w:sz="0" w:space="0" w:color="auto"/>
        <w:right w:val="none" w:sz="0" w:space="0" w:color="auto"/>
      </w:divBdr>
    </w:div>
    <w:div w:id="87428465">
      <w:bodyDiv w:val="1"/>
      <w:marLeft w:val="0"/>
      <w:marRight w:val="0"/>
      <w:marTop w:val="0"/>
      <w:marBottom w:val="0"/>
      <w:divBdr>
        <w:top w:val="none" w:sz="0" w:space="0" w:color="auto"/>
        <w:left w:val="none" w:sz="0" w:space="0" w:color="auto"/>
        <w:bottom w:val="none" w:sz="0" w:space="0" w:color="auto"/>
        <w:right w:val="none" w:sz="0" w:space="0" w:color="auto"/>
      </w:divBdr>
    </w:div>
    <w:div w:id="143401623">
      <w:bodyDiv w:val="1"/>
      <w:marLeft w:val="0"/>
      <w:marRight w:val="0"/>
      <w:marTop w:val="0"/>
      <w:marBottom w:val="0"/>
      <w:divBdr>
        <w:top w:val="none" w:sz="0" w:space="0" w:color="auto"/>
        <w:left w:val="none" w:sz="0" w:space="0" w:color="auto"/>
        <w:bottom w:val="none" w:sz="0" w:space="0" w:color="auto"/>
        <w:right w:val="none" w:sz="0" w:space="0" w:color="auto"/>
      </w:divBdr>
    </w:div>
    <w:div w:id="26974847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2655741">
      <w:bodyDiv w:val="1"/>
      <w:marLeft w:val="0"/>
      <w:marRight w:val="0"/>
      <w:marTop w:val="0"/>
      <w:marBottom w:val="0"/>
      <w:divBdr>
        <w:top w:val="none" w:sz="0" w:space="0" w:color="auto"/>
        <w:left w:val="none" w:sz="0" w:space="0" w:color="auto"/>
        <w:bottom w:val="none" w:sz="0" w:space="0" w:color="auto"/>
        <w:right w:val="none" w:sz="0" w:space="0" w:color="auto"/>
      </w:divBdr>
    </w:div>
    <w:div w:id="427652013">
      <w:bodyDiv w:val="1"/>
      <w:marLeft w:val="0"/>
      <w:marRight w:val="0"/>
      <w:marTop w:val="0"/>
      <w:marBottom w:val="0"/>
      <w:divBdr>
        <w:top w:val="none" w:sz="0" w:space="0" w:color="auto"/>
        <w:left w:val="none" w:sz="0" w:space="0" w:color="auto"/>
        <w:bottom w:val="none" w:sz="0" w:space="0" w:color="auto"/>
        <w:right w:val="none" w:sz="0" w:space="0" w:color="auto"/>
      </w:divBdr>
    </w:div>
    <w:div w:id="431634475">
      <w:bodyDiv w:val="1"/>
      <w:marLeft w:val="0"/>
      <w:marRight w:val="0"/>
      <w:marTop w:val="0"/>
      <w:marBottom w:val="0"/>
      <w:divBdr>
        <w:top w:val="none" w:sz="0" w:space="0" w:color="auto"/>
        <w:left w:val="none" w:sz="0" w:space="0" w:color="auto"/>
        <w:bottom w:val="none" w:sz="0" w:space="0" w:color="auto"/>
        <w:right w:val="none" w:sz="0" w:space="0" w:color="auto"/>
      </w:divBdr>
    </w:div>
    <w:div w:id="507597895">
      <w:bodyDiv w:val="1"/>
      <w:marLeft w:val="0"/>
      <w:marRight w:val="0"/>
      <w:marTop w:val="0"/>
      <w:marBottom w:val="0"/>
      <w:divBdr>
        <w:top w:val="none" w:sz="0" w:space="0" w:color="auto"/>
        <w:left w:val="none" w:sz="0" w:space="0" w:color="auto"/>
        <w:bottom w:val="none" w:sz="0" w:space="0" w:color="auto"/>
        <w:right w:val="none" w:sz="0" w:space="0" w:color="auto"/>
      </w:divBdr>
    </w:div>
    <w:div w:id="554897425">
      <w:bodyDiv w:val="1"/>
      <w:marLeft w:val="0"/>
      <w:marRight w:val="0"/>
      <w:marTop w:val="0"/>
      <w:marBottom w:val="0"/>
      <w:divBdr>
        <w:top w:val="none" w:sz="0" w:space="0" w:color="auto"/>
        <w:left w:val="none" w:sz="0" w:space="0" w:color="auto"/>
        <w:bottom w:val="none" w:sz="0" w:space="0" w:color="auto"/>
        <w:right w:val="none" w:sz="0" w:space="0" w:color="auto"/>
      </w:divBdr>
    </w:div>
    <w:div w:id="595552554">
      <w:bodyDiv w:val="1"/>
      <w:marLeft w:val="0"/>
      <w:marRight w:val="0"/>
      <w:marTop w:val="0"/>
      <w:marBottom w:val="0"/>
      <w:divBdr>
        <w:top w:val="none" w:sz="0" w:space="0" w:color="auto"/>
        <w:left w:val="none" w:sz="0" w:space="0" w:color="auto"/>
        <w:bottom w:val="none" w:sz="0" w:space="0" w:color="auto"/>
        <w:right w:val="none" w:sz="0" w:space="0" w:color="auto"/>
      </w:divBdr>
    </w:div>
    <w:div w:id="673610625">
      <w:bodyDiv w:val="1"/>
      <w:marLeft w:val="0"/>
      <w:marRight w:val="0"/>
      <w:marTop w:val="0"/>
      <w:marBottom w:val="0"/>
      <w:divBdr>
        <w:top w:val="none" w:sz="0" w:space="0" w:color="auto"/>
        <w:left w:val="none" w:sz="0" w:space="0" w:color="auto"/>
        <w:bottom w:val="none" w:sz="0" w:space="0" w:color="auto"/>
        <w:right w:val="none" w:sz="0" w:space="0" w:color="auto"/>
      </w:divBdr>
    </w:div>
    <w:div w:id="7320482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043">
      <w:bodyDiv w:val="1"/>
      <w:marLeft w:val="0"/>
      <w:marRight w:val="0"/>
      <w:marTop w:val="0"/>
      <w:marBottom w:val="0"/>
      <w:divBdr>
        <w:top w:val="none" w:sz="0" w:space="0" w:color="auto"/>
        <w:left w:val="none" w:sz="0" w:space="0" w:color="auto"/>
        <w:bottom w:val="none" w:sz="0" w:space="0" w:color="auto"/>
        <w:right w:val="none" w:sz="0" w:space="0" w:color="auto"/>
      </w:divBdr>
    </w:div>
    <w:div w:id="1051996278">
      <w:bodyDiv w:val="1"/>
      <w:marLeft w:val="0"/>
      <w:marRight w:val="0"/>
      <w:marTop w:val="0"/>
      <w:marBottom w:val="0"/>
      <w:divBdr>
        <w:top w:val="none" w:sz="0" w:space="0" w:color="auto"/>
        <w:left w:val="none" w:sz="0" w:space="0" w:color="auto"/>
        <w:bottom w:val="none" w:sz="0" w:space="0" w:color="auto"/>
        <w:right w:val="none" w:sz="0" w:space="0" w:color="auto"/>
      </w:divBdr>
    </w:div>
    <w:div w:id="105508298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0877331">
      <w:bodyDiv w:val="1"/>
      <w:marLeft w:val="0"/>
      <w:marRight w:val="0"/>
      <w:marTop w:val="0"/>
      <w:marBottom w:val="0"/>
      <w:divBdr>
        <w:top w:val="none" w:sz="0" w:space="0" w:color="auto"/>
        <w:left w:val="none" w:sz="0" w:space="0" w:color="auto"/>
        <w:bottom w:val="none" w:sz="0" w:space="0" w:color="auto"/>
        <w:right w:val="none" w:sz="0" w:space="0" w:color="auto"/>
      </w:divBdr>
    </w:div>
    <w:div w:id="1251113284">
      <w:bodyDiv w:val="1"/>
      <w:marLeft w:val="0"/>
      <w:marRight w:val="0"/>
      <w:marTop w:val="0"/>
      <w:marBottom w:val="0"/>
      <w:divBdr>
        <w:top w:val="none" w:sz="0" w:space="0" w:color="auto"/>
        <w:left w:val="none" w:sz="0" w:space="0" w:color="auto"/>
        <w:bottom w:val="none" w:sz="0" w:space="0" w:color="auto"/>
        <w:right w:val="none" w:sz="0" w:space="0" w:color="auto"/>
      </w:divBdr>
    </w:div>
    <w:div w:id="1290473302">
      <w:bodyDiv w:val="1"/>
      <w:marLeft w:val="0"/>
      <w:marRight w:val="0"/>
      <w:marTop w:val="0"/>
      <w:marBottom w:val="0"/>
      <w:divBdr>
        <w:top w:val="none" w:sz="0" w:space="0" w:color="auto"/>
        <w:left w:val="none" w:sz="0" w:space="0" w:color="auto"/>
        <w:bottom w:val="none" w:sz="0" w:space="0" w:color="auto"/>
        <w:right w:val="none" w:sz="0" w:space="0" w:color="auto"/>
      </w:divBdr>
    </w:div>
    <w:div w:id="1380786689">
      <w:bodyDiv w:val="1"/>
      <w:marLeft w:val="0"/>
      <w:marRight w:val="0"/>
      <w:marTop w:val="0"/>
      <w:marBottom w:val="0"/>
      <w:divBdr>
        <w:top w:val="none" w:sz="0" w:space="0" w:color="auto"/>
        <w:left w:val="none" w:sz="0" w:space="0" w:color="auto"/>
        <w:bottom w:val="none" w:sz="0" w:space="0" w:color="auto"/>
        <w:right w:val="none" w:sz="0" w:space="0" w:color="auto"/>
      </w:divBdr>
    </w:div>
    <w:div w:id="1431320118">
      <w:bodyDiv w:val="1"/>
      <w:marLeft w:val="0"/>
      <w:marRight w:val="0"/>
      <w:marTop w:val="0"/>
      <w:marBottom w:val="0"/>
      <w:divBdr>
        <w:top w:val="none" w:sz="0" w:space="0" w:color="auto"/>
        <w:left w:val="none" w:sz="0" w:space="0" w:color="auto"/>
        <w:bottom w:val="none" w:sz="0" w:space="0" w:color="auto"/>
        <w:right w:val="none" w:sz="0" w:space="0" w:color="auto"/>
      </w:divBdr>
    </w:div>
    <w:div w:id="1550454787">
      <w:bodyDiv w:val="1"/>
      <w:marLeft w:val="0"/>
      <w:marRight w:val="0"/>
      <w:marTop w:val="0"/>
      <w:marBottom w:val="0"/>
      <w:divBdr>
        <w:top w:val="none" w:sz="0" w:space="0" w:color="auto"/>
        <w:left w:val="none" w:sz="0" w:space="0" w:color="auto"/>
        <w:bottom w:val="none" w:sz="0" w:space="0" w:color="auto"/>
        <w:right w:val="none" w:sz="0" w:space="0" w:color="auto"/>
      </w:divBdr>
    </w:div>
    <w:div w:id="1658655804">
      <w:bodyDiv w:val="1"/>
      <w:marLeft w:val="0"/>
      <w:marRight w:val="0"/>
      <w:marTop w:val="0"/>
      <w:marBottom w:val="0"/>
      <w:divBdr>
        <w:top w:val="none" w:sz="0" w:space="0" w:color="auto"/>
        <w:left w:val="none" w:sz="0" w:space="0" w:color="auto"/>
        <w:bottom w:val="none" w:sz="0" w:space="0" w:color="auto"/>
        <w:right w:val="none" w:sz="0" w:space="0" w:color="auto"/>
      </w:divBdr>
    </w:div>
    <w:div w:id="1740011842">
      <w:bodyDiv w:val="1"/>
      <w:marLeft w:val="0"/>
      <w:marRight w:val="0"/>
      <w:marTop w:val="0"/>
      <w:marBottom w:val="0"/>
      <w:divBdr>
        <w:top w:val="none" w:sz="0" w:space="0" w:color="auto"/>
        <w:left w:val="none" w:sz="0" w:space="0" w:color="auto"/>
        <w:bottom w:val="none" w:sz="0" w:space="0" w:color="auto"/>
        <w:right w:val="none" w:sz="0" w:space="0" w:color="auto"/>
      </w:divBdr>
    </w:div>
    <w:div w:id="184864037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tb/publications/global_report/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ho.int/mediacentre/factsheets/fs104/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DB1859F7-CA38-4D51-AC24-5A67DAEE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5407</Words>
  <Characters>30822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2019-12-21T18:17:00Z</dcterms:created>
  <dcterms:modified xsi:type="dcterms:W3CDTF">2020-01-06T17:11:00Z</dcterms:modified>
</cp:coreProperties>
</file>