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59C7B" w14:textId="6D3482C9" w:rsidR="0085748F" w:rsidRPr="0085748F" w:rsidRDefault="0085748F" w:rsidP="00366808">
      <w:pPr>
        <w:jc w:val="both"/>
        <w:rPr>
          <w:rStyle w:val="Strong"/>
        </w:rPr>
      </w:pPr>
      <w:r w:rsidRPr="0085748F">
        <w:rPr>
          <w:rStyle w:val="Strong"/>
        </w:rPr>
        <w:t>Responses to editorial and reviewer comments</w:t>
      </w:r>
    </w:p>
    <w:p w14:paraId="5B2B464F" w14:textId="591675F5" w:rsidR="00801244" w:rsidRPr="00801244" w:rsidRDefault="00801244" w:rsidP="00366808">
      <w:pPr>
        <w:jc w:val="both"/>
        <w:rPr>
          <w:rStyle w:val="Strong"/>
          <w:b w:val="0"/>
          <w:bCs w:val="0"/>
        </w:rPr>
      </w:pPr>
      <w:r>
        <w:rPr>
          <w:rStyle w:val="Strong"/>
          <w:b w:val="0"/>
          <w:bCs w:val="0"/>
        </w:rPr>
        <w:t xml:space="preserve">The authors would like to thank the editors and reviewers for carefully considering this work and providing constructive feedback and suggestions. We have incorporated all of the suggested changes in the revised version of the manuscript and feel that the </w:t>
      </w:r>
      <w:r w:rsidR="003518F3">
        <w:rPr>
          <w:rStyle w:val="Strong"/>
          <w:b w:val="0"/>
          <w:bCs w:val="0"/>
        </w:rPr>
        <w:t xml:space="preserve">overall </w:t>
      </w:r>
      <w:r>
        <w:rPr>
          <w:rStyle w:val="Strong"/>
          <w:b w:val="0"/>
          <w:bCs w:val="0"/>
        </w:rPr>
        <w:t xml:space="preserve">quality of </w:t>
      </w:r>
      <w:r w:rsidR="003C601E">
        <w:rPr>
          <w:rStyle w:val="Strong"/>
          <w:b w:val="0"/>
          <w:bCs w:val="0"/>
        </w:rPr>
        <w:t xml:space="preserve">the </w:t>
      </w:r>
      <w:r>
        <w:rPr>
          <w:rStyle w:val="Strong"/>
          <w:b w:val="0"/>
          <w:bCs w:val="0"/>
        </w:rPr>
        <w:t>manuscript has been lifted.</w:t>
      </w:r>
    </w:p>
    <w:p w14:paraId="2C4077E0" w14:textId="77777777" w:rsidR="00F30E3F" w:rsidRDefault="009D11C1" w:rsidP="00366808">
      <w:pPr>
        <w:jc w:val="both"/>
        <w:rPr>
          <w:rStyle w:val="Strong"/>
        </w:rPr>
      </w:pPr>
      <w:r>
        <w:rPr>
          <w:rStyle w:val="Strong"/>
        </w:rPr>
        <w:t>Editorial comments:</w:t>
      </w:r>
    </w:p>
    <w:p w14:paraId="76822C98" w14:textId="77777777" w:rsidR="00F30E3F" w:rsidRDefault="009D11C1" w:rsidP="00366808">
      <w:pPr>
        <w:jc w:val="both"/>
      </w:pPr>
      <w:r>
        <w:t>Changes to be made by the Author(s):</w:t>
      </w:r>
    </w:p>
    <w:p w14:paraId="1D05B794" w14:textId="7AF5BABA" w:rsidR="003518F3" w:rsidRDefault="009D11C1" w:rsidP="00366808">
      <w:pPr>
        <w:jc w:val="both"/>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 Please use American English throughout.</w:t>
      </w:r>
    </w:p>
    <w:p w14:paraId="102D92F3" w14:textId="4E1EFD4F" w:rsidR="003518F3" w:rsidRDefault="003518F3" w:rsidP="00366808">
      <w:pPr>
        <w:jc w:val="both"/>
        <w:rPr>
          <w:i/>
          <w:iCs/>
        </w:rPr>
      </w:pPr>
      <w:r w:rsidRPr="003518F3">
        <w:rPr>
          <w:i/>
          <w:iCs/>
        </w:rPr>
        <w:t xml:space="preserve">The document has been </w:t>
      </w:r>
      <w:r w:rsidR="0085748F">
        <w:rPr>
          <w:i/>
          <w:iCs/>
        </w:rPr>
        <w:t xml:space="preserve">proofread and </w:t>
      </w:r>
      <w:r w:rsidRPr="003518F3">
        <w:rPr>
          <w:i/>
          <w:iCs/>
        </w:rPr>
        <w:t xml:space="preserve">spell checked and the following corrections have been made: </w:t>
      </w:r>
      <w:proofErr w:type="spellStart"/>
      <w:r w:rsidRPr="003518F3">
        <w:rPr>
          <w:i/>
          <w:iCs/>
        </w:rPr>
        <w:t>analyse</w:t>
      </w:r>
      <w:proofErr w:type="spellEnd"/>
      <w:r w:rsidRPr="003518F3">
        <w:rPr>
          <w:i/>
          <w:iCs/>
        </w:rPr>
        <w:t xml:space="preserve"> has been changes to analyze (section 6.8), </w:t>
      </w:r>
      <w:proofErr w:type="spellStart"/>
      <w:r w:rsidRPr="003518F3">
        <w:rPr>
          <w:i/>
          <w:iCs/>
        </w:rPr>
        <w:t>lyser</w:t>
      </w:r>
      <w:proofErr w:type="spellEnd"/>
      <w:r w:rsidRPr="003518F3">
        <w:rPr>
          <w:i/>
          <w:iCs/>
        </w:rPr>
        <w:t xml:space="preserve"> has been changed to </w:t>
      </w:r>
      <w:proofErr w:type="spellStart"/>
      <w:r w:rsidRPr="003518F3">
        <w:rPr>
          <w:i/>
          <w:iCs/>
        </w:rPr>
        <w:t>lyzer</w:t>
      </w:r>
      <w:proofErr w:type="spellEnd"/>
      <w:r w:rsidRPr="003518F3">
        <w:rPr>
          <w:i/>
          <w:iCs/>
        </w:rPr>
        <w:t xml:space="preserve"> (section 3.2). </w:t>
      </w:r>
    </w:p>
    <w:p w14:paraId="43C09D4D" w14:textId="296A7DB4" w:rsidR="00F30E3F" w:rsidRDefault="009D11C1" w:rsidP="00366808">
      <w:pPr>
        <w:jc w:val="both"/>
      </w:pPr>
      <w:r>
        <w:t>2. Please ensure that the Introduction include</w:t>
      </w:r>
      <w:r w:rsidR="008E643A">
        <w:t>s</w:t>
      </w:r>
      <w:r>
        <w:t xml:space="preserve"> all of the following with citations:</w:t>
      </w:r>
    </w:p>
    <w:p w14:paraId="2FA42F91" w14:textId="4F5F5EF3" w:rsidR="00F5243A" w:rsidRDefault="009D11C1" w:rsidP="00366808">
      <w:pPr>
        <w:jc w:val="both"/>
      </w:pPr>
      <w:r>
        <w:t>a) A clear statement of the overall goal of this method</w:t>
      </w:r>
    </w:p>
    <w:p w14:paraId="10907FDE" w14:textId="04ACE04B" w:rsidR="008E643A" w:rsidRPr="00D51062" w:rsidRDefault="008E643A" w:rsidP="00366808">
      <w:pPr>
        <w:jc w:val="both"/>
        <w:rPr>
          <w:i/>
          <w:iCs/>
          <w:lang w:val="en-AU"/>
        </w:rPr>
      </w:pPr>
      <w:r w:rsidRPr="008E643A">
        <w:rPr>
          <w:i/>
          <w:iCs/>
        </w:rPr>
        <w:t xml:space="preserve">The overall goal of this method was described in the final sentence of the first paragraph </w:t>
      </w:r>
      <w:r w:rsidR="0085748F">
        <w:rPr>
          <w:i/>
          <w:iCs/>
        </w:rPr>
        <w:t>of</w:t>
      </w:r>
      <w:r w:rsidRPr="008E643A">
        <w:rPr>
          <w:i/>
          <w:iCs/>
        </w:rPr>
        <w:t xml:space="preserve"> the introduction: </w:t>
      </w:r>
      <w:r w:rsidR="00061B34">
        <w:rPr>
          <w:i/>
          <w:iCs/>
        </w:rPr>
        <w:t>“</w:t>
      </w:r>
      <w:r w:rsidRPr="008E643A">
        <w:rPr>
          <w:i/>
          <w:iCs/>
        </w:rPr>
        <w:t>the outcome of having this knowledge is a more precise management strategy and ultimately improved yield size and quality</w:t>
      </w:r>
      <w:r w:rsidR="00061B34">
        <w:rPr>
          <w:i/>
          <w:iCs/>
        </w:rPr>
        <w:t>”</w:t>
      </w:r>
      <w:r w:rsidRPr="008E643A">
        <w:rPr>
          <w:i/>
          <w:iCs/>
        </w:rPr>
        <w:t xml:space="preserve">. However, we acknowledge that this may not be clear and have edited this to: </w:t>
      </w:r>
      <w:r w:rsidR="00061B34">
        <w:rPr>
          <w:i/>
          <w:iCs/>
        </w:rPr>
        <w:t>“</w:t>
      </w:r>
      <w:r w:rsidRPr="008E643A">
        <w:rPr>
          <w:i/>
          <w:iCs/>
        </w:rPr>
        <w:t xml:space="preserve">the outcome of having this knowledge is a more precise management strategy </w:t>
      </w:r>
      <w:r>
        <w:rPr>
          <w:i/>
          <w:iCs/>
        </w:rPr>
        <w:t xml:space="preserve">to </w:t>
      </w:r>
      <w:r w:rsidRPr="008E643A">
        <w:rPr>
          <w:i/>
          <w:iCs/>
        </w:rPr>
        <w:t>achieve the goal of improved yield size and quality</w:t>
      </w:r>
      <w:r w:rsidR="00061B34">
        <w:rPr>
          <w:i/>
          <w:iCs/>
        </w:rPr>
        <w:t>”</w:t>
      </w:r>
      <w:r w:rsidRPr="008E643A">
        <w:rPr>
          <w:i/>
          <w:iCs/>
        </w:rPr>
        <w:t>.</w:t>
      </w:r>
    </w:p>
    <w:p w14:paraId="46A6573F" w14:textId="45D0F772" w:rsidR="00F5243A" w:rsidRDefault="009D11C1" w:rsidP="00366808">
      <w:pPr>
        <w:jc w:val="both"/>
      </w:pPr>
      <w:r>
        <w:t>b) The rationale behind the development and/or use of this technique</w:t>
      </w:r>
    </w:p>
    <w:p w14:paraId="295A23C2" w14:textId="44F08CAF" w:rsidR="00D51062" w:rsidRPr="00D51062" w:rsidRDefault="00D51062" w:rsidP="00366808">
      <w:pPr>
        <w:jc w:val="both"/>
        <w:rPr>
          <w:i/>
          <w:iCs/>
        </w:rPr>
      </w:pPr>
      <w:r>
        <w:rPr>
          <w:i/>
          <w:iCs/>
        </w:rPr>
        <w:t>The rationale behind the development and use of the technique is described in paragraph 2 of the introduction: “</w:t>
      </w:r>
      <w:r w:rsidRPr="00D51062">
        <w:rPr>
          <w:i/>
          <w:iCs/>
        </w:rPr>
        <w:t>Currently no metabolomics platforms (predominantly mass spectrometry and nuclear magnetic resonance spectroscopy) can capture the entire metabolome in a single analysis. Developing such techniques (sample preparation, metabolite extraction and analysis) which provide as great a coverage of the metabolome as possible within a single analytical run is a key aim for metabolomics researchers. Increasing the metabolome coverage will increase the richness of biological interpretation and can offer savings in both time and cost</w:t>
      </w:r>
      <w:r>
        <w:rPr>
          <w:i/>
          <w:iCs/>
        </w:rPr>
        <w:t xml:space="preserve">”. </w:t>
      </w:r>
    </w:p>
    <w:p w14:paraId="73B383FA" w14:textId="75975879" w:rsidR="00F5243A" w:rsidRDefault="009D11C1" w:rsidP="00366808">
      <w:pPr>
        <w:jc w:val="both"/>
      </w:pPr>
      <w:r>
        <w:t>c) The advantages over alternative techniques with applicable references to previous studies</w:t>
      </w:r>
    </w:p>
    <w:p w14:paraId="4A29FE36" w14:textId="1D560BB8" w:rsidR="00A314CE" w:rsidRPr="00A314CE" w:rsidRDefault="00A314CE" w:rsidP="00366808">
      <w:pPr>
        <w:jc w:val="both"/>
        <w:rPr>
          <w:i/>
          <w:iCs/>
        </w:rPr>
      </w:pPr>
      <w:r w:rsidRPr="00A314CE">
        <w:rPr>
          <w:i/>
          <w:iCs/>
        </w:rPr>
        <w:t xml:space="preserve">We have included the following paragraph </w:t>
      </w:r>
      <w:r w:rsidR="00A671D0">
        <w:rPr>
          <w:i/>
          <w:iCs/>
        </w:rPr>
        <w:t xml:space="preserve">with appropriate citations </w:t>
      </w:r>
      <w:r w:rsidRPr="00A314CE">
        <w:rPr>
          <w:i/>
          <w:iCs/>
        </w:rPr>
        <w:t>in the introduction to outline advantages over previous works which have utilized multiple platforms for greater metabolome coverage</w:t>
      </w:r>
      <w:r w:rsidR="00A671D0">
        <w:rPr>
          <w:i/>
          <w:iCs/>
        </w:rPr>
        <w:t>:</w:t>
      </w:r>
      <w:r w:rsidRPr="00A314CE">
        <w:rPr>
          <w:i/>
          <w:iCs/>
        </w:rPr>
        <w:t xml:space="preserve">  </w:t>
      </w:r>
    </w:p>
    <w:p w14:paraId="6E8A64BC" w14:textId="3FF444A2" w:rsidR="00A314CE" w:rsidRPr="00A314CE" w:rsidRDefault="00A314CE" w:rsidP="00366808">
      <w:pPr>
        <w:jc w:val="both"/>
        <w:rPr>
          <w:i/>
          <w:iCs/>
        </w:rPr>
      </w:pPr>
      <w:r w:rsidRPr="00A314CE">
        <w:rPr>
          <w:i/>
          <w:iCs/>
        </w:rPr>
        <w:t xml:space="preserve">“Previous untargeted metabolomics analyses of wheat grain have combined data from multiple modes for greater metabolome coverage however this has required samples to be prepared separately for different modes. For example, </w:t>
      </w:r>
      <w:proofErr w:type="spellStart"/>
      <w:r w:rsidRPr="00A314CE">
        <w:rPr>
          <w:i/>
          <w:iCs/>
        </w:rPr>
        <w:t>Beleggia</w:t>
      </w:r>
      <w:proofErr w:type="spellEnd"/>
      <w:r w:rsidRPr="00A314CE">
        <w:rPr>
          <w:i/>
          <w:iCs/>
        </w:rPr>
        <w:t xml:space="preserve"> et al. prepared a derivatized sample for the GC-MS analysis of polar analytes in addition to the GC-MS analysis of the non-polar analytes. Das et al. used both GC- and LC-MS methods to improve coverage for their analysis however this approach would generally require separate sample preparations as described above as well as two independent platforms. Previous analyses of wheat grain using GC-MS and LC-M</w:t>
      </w:r>
      <w:r w:rsidR="00A671D0">
        <w:rPr>
          <w:i/>
          <w:iCs/>
        </w:rPr>
        <w:t>S</w:t>
      </w:r>
      <w:r w:rsidRPr="00A314CE">
        <w:rPr>
          <w:i/>
          <w:iCs/>
        </w:rPr>
        <w:t xml:space="preserve"> platforms have yielded 50 to 412 (55 identified) features for GC-MS, 409 for combined GCMS and LC-MS and several thousand for an LC-MS </w:t>
      </w:r>
      <w:proofErr w:type="spellStart"/>
      <w:r w:rsidRPr="00A314CE">
        <w:rPr>
          <w:i/>
          <w:iCs/>
        </w:rPr>
        <w:t>lipidomics</w:t>
      </w:r>
      <w:proofErr w:type="spellEnd"/>
      <w:r w:rsidRPr="00A314CE">
        <w:rPr>
          <w:i/>
          <w:iCs/>
        </w:rPr>
        <w:t xml:space="preserve"> analysis. By combining at least two modes into a single analysis, extended metabolome coverage can be maintained while minimizing analysis time and resources used.”</w:t>
      </w:r>
    </w:p>
    <w:p w14:paraId="15DB57C2" w14:textId="04707EE2" w:rsidR="00F5243A" w:rsidRDefault="009D11C1" w:rsidP="00366808">
      <w:pPr>
        <w:jc w:val="both"/>
      </w:pPr>
      <w:r>
        <w:lastRenderedPageBreak/>
        <w:t>d) A description of the context of the technique in the wider body of literature</w:t>
      </w:r>
    </w:p>
    <w:p w14:paraId="6AC055C7" w14:textId="5AECC11A" w:rsidR="00D766E8" w:rsidRPr="00D766E8" w:rsidRDefault="00D766E8" w:rsidP="00366808">
      <w:pPr>
        <w:jc w:val="both"/>
        <w:rPr>
          <w:i/>
          <w:iCs/>
        </w:rPr>
      </w:pPr>
      <w:r w:rsidRPr="00D766E8">
        <w:rPr>
          <w:i/>
          <w:iCs/>
        </w:rPr>
        <w:t xml:space="preserve">We have provided a more detailed description of the technique </w:t>
      </w:r>
      <w:r w:rsidR="00366808">
        <w:rPr>
          <w:i/>
          <w:iCs/>
        </w:rPr>
        <w:t>with appropriate citations:</w:t>
      </w:r>
    </w:p>
    <w:p w14:paraId="3588BB9B" w14:textId="7497F69B" w:rsidR="00366808" w:rsidRPr="00366808" w:rsidRDefault="00366808" w:rsidP="00366808">
      <w:pPr>
        <w:jc w:val="both"/>
        <w:rPr>
          <w:i/>
          <w:iCs/>
        </w:rPr>
      </w:pPr>
      <w:r w:rsidRPr="00366808">
        <w:rPr>
          <w:i/>
          <w:iCs/>
        </w:rPr>
        <w:t xml:space="preserve">The plant metabolome is predicted to contain thousands of small molecules with varied physicochemical properties. </w:t>
      </w:r>
      <w:bookmarkStart w:id="0" w:name="_Hlk23946119"/>
      <w:r w:rsidRPr="00366808">
        <w:rPr>
          <w:i/>
          <w:iCs/>
        </w:rPr>
        <w:t xml:space="preserve">Currently no metabolomics platforms (predominantly mass spectrometry and nuclear magnetic resonance spectroscopy) can capture the entire metabolome in a single analysis. Developing such techniques (sample preparation, metabolite extraction and analysis) which provide as great a coverage of the metabolome as possible within a single analytical run is a key aim for metabolomics researchers. </w:t>
      </w:r>
      <w:bookmarkStart w:id="1" w:name="_Hlk24545545"/>
      <w:bookmarkEnd w:id="0"/>
      <w:r w:rsidRPr="00366808">
        <w:rPr>
          <w:i/>
          <w:iCs/>
        </w:rPr>
        <w:t xml:space="preserve">Previous untargeted metabolomics analyses of wheat grain have combined data from multiple chromatographic separations and acquisition polarities and/or instrumentation for greater metabolome coverage. However, this has required samples to be prepared and acquired separately for each modality. For example, </w:t>
      </w:r>
      <w:proofErr w:type="spellStart"/>
      <w:r w:rsidRPr="00366808">
        <w:rPr>
          <w:i/>
          <w:iCs/>
        </w:rPr>
        <w:t>Beleggia</w:t>
      </w:r>
      <w:proofErr w:type="spellEnd"/>
      <w:r w:rsidRPr="00366808">
        <w:rPr>
          <w:i/>
          <w:iCs/>
        </w:rPr>
        <w:t xml:space="preserve"> et al. prepared a derivatized sample for the GC-MS analysis of polar analytes in addition to the GC-MS analysis of the non-polar analytes. Das et al. used both GC- and LC-MS methods to improve coverage in their analyses however this approach would generally require separate sample preparations as described above as well as two independent analytical platforms. Previous analyses of wheat grain using GC-MS and LC-MS platforms have yielded 50 to 412 (55 identified) features for GC-MS, 409 for combined GC-MS and LC-MS and several thousand for an LC-MS </w:t>
      </w:r>
      <w:proofErr w:type="spellStart"/>
      <w:r w:rsidRPr="00366808">
        <w:rPr>
          <w:i/>
          <w:iCs/>
        </w:rPr>
        <w:t>lipidomics</w:t>
      </w:r>
      <w:proofErr w:type="spellEnd"/>
      <w:r w:rsidRPr="00366808">
        <w:rPr>
          <w:i/>
          <w:iCs/>
        </w:rPr>
        <w:t xml:space="preserve"> analysis. By combining at least two modes into a single analysis, extended metabolome coverage can be maintained, </w:t>
      </w:r>
      <w:r w:rsidRPr="00366808">
        <w:rPr>
          <w:i/>
          <w:iCs/>
        </w:rPr>
        <w:t>increasing the richness of biological interpretation while also offering savings in both time and cost.</w:t>
      </w:r>
      <w:bookmarkEnd w:id="1"/>
      <w:r w:rsidRPr="00366808">
        <w:rPr>
          <w:i/>
          <w:iCs/>
        </w:rPr>
        <w:t xml:space="preserve">  </w:t>
      </w:r>
    </w:p>
    <w:p w14:paraId="5283EF7C" w14:textId="37050B5A" w:rsidR="00366808" w:rsidRDefault="00366808" w:rsidP="00366808">
      <w:pPr>
        <w:jc w:val="both"/>
        <w:rPr>
          <w:i/>
          <w:iCs/>
        </w:rPr>
      </w:pPr>
      <w:r w:rsidRPr="00366808">
        <w:rPr>
          <w:i/>
          <w:iCs/>
        </w:rPr>
        <w:t xml:space="preserve">To permit the efficient separation of a wide range of lipid species by reversed-phase chromatography, modern </w:t>
      </w:r>
      <w:proofErr w:type="spellStart"/>
      <w:r w:rsidRPr="00366808">
        <w:rPr>
          <w:i/>
          <w:iCs/>
        </w:rPr>
        <w:t>lipidomics</w:t>
      </w:r>
      <w:proofErr w:type="spellEnd"/>
      <w:r w:rsidRPr="00366808">
        <w:rPr>
          <w:i/>
          <w:iCs/>
        </w:rPr>
        <w:t xml:space="preserve"> methodologies commonly use a high proportion of isopropanol in the elution solvent</w:t>
      </w:r>
      <w:r w:rsidRPr="00366808">
        <w:rPr>
          <w:i/>
          <w:iCs/>
        </w:rPr>
        <w:fldChar w:fldCharType="begin">
          <w:fldData xml:space="preserve">PEVuZE5vdGU+PENpdGU+PEF1dGhvcj5CbGF6ZW5vdmljPC9BdXRob3I+PFllYXI+MjAxOTwvWWVh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</w:fldData>
        </w:fldChar>
      </w:r>
      <w:r w:rsidRPr="00366808">
        <w:rPr>
          <w:i/>
          <w:iCs/>
        </w:rPr>
        <w:instrText xml:space="preserve"> ADDIN EN.CITE </w:instrText>
      </w:r>
      <w:r w:rsidRPr="00366808">
        <w:rPr>
          <w:i/>
          <w:iCs/>
        </w:rPr>
        <w:fldChar w:fldCharType="begin">
          <w:fldData xml:space="preserve">PEVuZE5vdGU+PENpdGU+PEF1dGhvcj5CbGF6ZW5vdmljPC9BdXRob3I+PFllYXI+MjAxOTwvWWVh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</w:fldData>
        </w:fldChar>
      </w:r>
      <w:r w:rsidRPr="00366808">
        <w:rPr>
          <w:i/>
          <w:iCs/>
        </w:rPr>
        <w:instrText xml:space="preserve"> ADDIN EN.CITE.DATA </w:instrText>
      </w:r>
      <w:r w:rsidRPr="00366808">
        <w:rPr>
          <w:i/>
          <w:iCs/>
        </w:rPr>
      </w:r>
      <w:r w:rsidRPr="00366808">
        <w:rPr>
          <w:i/>
          <w:iCs/>
        </w:rPr>
        <w:fldChar w:fldCharType="end"/>
      </w:r>
      <w:r w:rsidRPr="00366808">
        <w:rPr>
          <w:i/>
          <w:iCs/>
        </w:rPr>
      </w:r>
      <w:r w:rsidRPr="00366808">
        <w:rPr>
          <w:i/>
          <w:iCs/>
        </w:rPr>
        <w:fldChar w:fldCharType="separate"/>
      </w:r>
      <w:r w:rsidRPr="00366808">
        <w:rPr>
          <w:i/>
          <w:iCs/>
          <w:noProof/>
          <w:vertAlign w:val="superscript"/>
        </w:rPr>
        <w:t>6</w:t>
      </w:r>
      <w:r w:rsidRPr="00366808">
        <w:rPr>
          <w:i/>
          <w:iCs/>
        </w:rPr>
        <w:fldChar w:fldCharType="end"/>
      </w:r>
      <w:r w:rsidRPr="00366808">
        <w:rPr>
          <w:i/>
          <w:iCs/>
        </w:rPr>
        <w:t>, providing amenability to lipid classes which might otherwise be unresolved by the chromatography. For an efficient lipid separation, the starting mobile phase is also much higher in organic composition than the typical reversed phase chromatographic methods which consider other classes of molecules. The high organic composition at the start of the gradient makes these methods less suitable to many other classes of molecules. Most notably, reversed phase liquid chromatography employs a binary solvent gradient, starting with a mostly aqueous composition, and increasing in organic content as the elution strength of the chromatography is increased. To this end, we sought to combine the two approaches to achieve separation of both lipid and non-lipid classes of metabolites within a single analysis.</w:t>
      </w:r>
    </w:p>
    <w:p w14:paraId="2FF9CC33" w14:textId="1A759F64" w:rsidR="00F5243A" w:rsidRDefault="009D11C1" w:rsidP="00366808">
      <w:pPr>
        <w:jc w:val="both"/>
      </w:pPr>
      <w:r>
        <w:t>e) Information to help readers to determine whether the method is appropriate for their application</w:t>
      </w:r>
    </w:p>
    <w:p w14:paraId="22481794" w14:textId="2F51E381" w:rsidR="003166A8" w:rsidRDefault="003166A8" w:rsidP="00366808">
      <w:pPr>
        <w:jc w:val="both"/>
        <w:rPr>
          <w:i/>
          <w:iCs/>
        </w:rPr>
      </w:pPr>
      <w:r>
        <w:rPr>
          <w:i/>
          <w:iCs/>
        </w:rPr>
        <w:t xml:space="preserve">The following information will help readers determine whether the method is appropriate for their application: </w:t>
      </w:r>
    </w:p>
    <w:p w14:paraId="2D708BD5" w14:textId="677C2FF1" w:rsidR="008C3E90" w:rsidRPr="008C3E90" w:rsidRDefault="008C3E90" w:rsidP="00366808">
      <w:pPr>
        <w:jc w:val="both"/>
        <w:rPr>
          <w:i/>
          <w:iCs/>
        </w:rPr>
      </w:pPr>
      <w:r w:rsidRPr="008C3E90">
        <w:rPr>
          <w:i/>
          <w:iCs/>
        </w:rPr>
        <w:t>Plant metabolites are influenced by factors such as the genome, environment (climate, rainfall etc.), and in an agriculture setting, the way crops are managed (i.e. application of fertilizer, fungicide etc.). Unlike the genome, the metabolome is influenced by all of these factors and hence metabolomics data provides a biochemical fingerprint of these interactions at a particular time. There are usually one of two goals for a metabolomics-based study. Firstly, to achieve a deeper understanding of the organism’s biochemistry and help explain the mechanism of response to perturbation (abiotic or biotic stress) in relation to the physiology. Secondly, to associate biomarkers with the perturbation under study.</w:t>
      </w:r>
    </w:p>
    <w:p w14:paraId="5D7E7F55" w14:textId="0FA32485" w:rsidR="0079489D" w:rsidRDefault="009D11C1" w:rsidP="00366808">
      <w:pPr>
        <w:jc w:val="both"/>
      </w:pPr>
      <w:r>
        <w:t>3. Please include more citations to cover a wider body of literature in the introduction.</w:t>
      </w:r>
    </w:p>
    <w:p w14:paraId="1B16140D" w14:textId="315D50A7" w:rsidR="00B26B98" w:rsidRPr="00B26B98" w:rsidRDefault="00F355D6" w:rsidP="00366808">
      <w:pPr>
        <w:jc w:val="both"/>
        <w:rPr>
          <w:i/>
          <w:iCs/>
        </w:rPr>
      </w:pPr>
      <w:r w:rsidRPr="008A7D63">
        <w:rPr>
          <w:i/>
          <w:iCs/>
        </w:rPr>
        <w:t xml:space="preserve">We have included the following </w:t>
      </w:r>
      <w:r w:rsidR="0011353C">
        <w:rPr>
          <w:i/>
          <w:iCs/>
        </w:rPr>
        <w:t xml:space="preserve">5 </w:t>
      </w:r>
      <w:r w:rsidRPr="008A7D63">
        <w:rPr>
          <w:i/>
          <w:iCs/>
        </w:rPr>
        <w:t>additional references</w:t>
      </w:r>
      <w:r w:rsidR="00DB105B">
        <w:rPr>
          <w:i/>
          <w:iCs/>
        </w:rPr>
        <w:t xml:space="preserve"> to include a wider body of literature</w:t>
      </w:r>
      <w:r w:rsidRPr="008A7D63">
        <w:rPr>
          <w:i/>
          <w:iCs/>
        </w:rPr>
        <w:t>:</w:t>
      </w:r>
    </w:p>
    <w:p w14:paraId="2AB34097" w14:textId="0E2FEAB0" w:rsidR="00F355D6" w:rsidRPr="0011353C" w:rsidRDefault="00F355D6" w:rsidP="00366808">
      <w:pPr>
        <w:jc w:val="both"/>
        <w:rPr>
          <w:i/>
          <w:iCs/>
        </w:rPr>
      </w:pPr>
      <w:proofErr w:type="spellStart"/>
      <w:r w:rsidRPr="008A7D63">
        <w:rPr>
          <w:i/>
          <w:iCs/>
        </w:rPr>
        <w:lastRenderedPageBreak/>
        <w:t>Beleggia</w:t>
      </w:r>
      <w:proofErr w:type="spellEnd"/>
      <w:r w:rsidR="008A7D63">
        <w:rPr>
          <w:i/>
          <w:iCs/>
        </w:rPr>
        <w:t>, R.</w:t>
      </w:r>
      <w:r w:rsidRPr="008A7D63">
        <w:rPr>
          <w:i/>
          <w:iCs/>
        </w:rPr>
        <w:t xml:space="preserve"> et al. </w:t>
      </w:r>
      <w:r w:rsidR="008A7D63" w:rsidRPr="008A7D63">
        <w:rPr>
          <w:i/>
          <w:iCs/>
        </w:rPr>
        <w:t xml:space="preserve">Effect of Genotype, environment and genotype-by-environment interaction on </w:t>
      </w:r>
      <w:r w:rsidR="008A7D63" w:rsidRPr="0011353C">
        <w:rPr>
          <w:i/>
          <w:iCs/>
        </w:rPr>
        <w:t xml:space="preserve">metabolite profiling in durum wheat (Triticum durum </w:t>
      </w:r>
      <w:proofErr w:type="spellStart"/>
      <w:r w:rsidR="008A7D63" w:rsidRPr="0011353C">
        <w:rPr>
          <w:i/>
          <w:iCs/>
        </w:rPr>
        <w:t>Desf</w:t>
      </w:r>
      <w:proofErr w:type="spellEnd"/>
      <w:r w:rsidR="008A7D63" w:rsidRPr="0011353C">
        <w:rPr>
          <w:i/>
          <w:iCs/>
        </w:rPr>
        <w:t>.) grain. J</w:t>
      </w:r>
      <w:r w:rsidR="00B26B98" w:rsidRPr="0011353C">
        <w:rPr>
          <w:i/>
          <w:iCs/>
        </w:rPr>
        <w:t>ournal of</w:t>
      </w:r>
      <w:r w:rsidR="008A7D63" w:rsidRPr="0011353C">
        <w:rPr>
          <w:i/>
          <w:iCs/>
        </w:rPr>
        <w:t xml:space="preserve"> Cereal Sci</w:t>
      </w:r>
      <w:r w:rsidR="00B26B98" w:rsidRPr="0011353C">
        <w:rPr>
          <w:i/>
          <w:iCs/>
        </w:rPr>
        <w:t>ence.</w:t>
      </w:r>
      <w:r w:rsidR="008A7D63" w:rsidRPr="0011353C">
        <w:rPr>
          <w:i/>
          <w:iCs/>
        </w:rPr>
        <w:t xml:space="preserve"> 57</w:t>
      </w:r>
      <w:r w:rsidR="00DB105B" w:rsidRPr="0011353C">
        <w:rPr>
          <w:i/>
          <w:iCs/>
        </w:rPr>
        <w:t xml:space="preserve"> </w:t>
      </w:r>
      <w:r w:rsidR="00B26B98" w:rsidRPr="0011353C">
        <w:rPr>
          <w:i/>
          <w:iCs/>
        </w:rPr>
        <w:t>(2)</w:t>
      </w:r>
      <w:r w:rsidR="008A7D63" w:rsidRPr="0011353C">
        <w:rPr>
          <w:i/>
          <w:iCs/>
        </w:rPr>
        <w:t>, 183-192, (2013).</w:t>
      </w:r>
    </w:p>
    <w:p w14:paraId="72652A43" w14:textId="21A85E68" w:rsidR="0011353C" w:rsidRPr="0011353C" w:rsidRDefault="0011353C" w:rsidP="00366808">
      <w:pPr>
        <w:jc w:val="both"/>
        <w:rPr>
          <w:i/>
          <w:iCs/>
        </w:rPr>
      </w:pPr>
      <w:r w:rsidRPr="0011353C">
        <w:rPr>
          <w:i/>
          <w:iCs/>
          <w:noProof/>
        </w:rPr>
        <w:t>Blazenovic, I. et al. Structure Annotation of All Mass Spectra in Untargeted Metabolomics. Anal Chem. 91 (3), 2155-2162, (2019).</w:t>
      </w:r>
    </w:p>
    <w:p w14:paraId="75351AA4" w14:textId="373CB18F" w:rsidR="0011353C" w:rsidRPr="0011353C" w:rsidRDefault="0011353C" w:rsidP="00366808">
      <w:pPr>
        <w:jc w:val="both"/>
        <w:rPr>
          <w:i/>
          <w:iCs/>
          <w:noProof/>
        </w:rPr>
      </w:pPr>
      <w:r w:rsidRPr="0011353C">
        <w:rPr>
          <w:i/>
          <w:iCs/>
          <w:noProof/>
        </w:rPr>
        <w:t xml:space="preserve">Castro-Perez, J. M. et al. Comprehensive LC−MSE Lipidomic Analysis using a Shotgun Approach and Its Application to Biomarker Detection and Identification in Osteoarthritis Patients. Journal of Proteome Research. </w:t>
      </w:r>
      <w:r>
        <w:rPr>
          <w:i/>
          <w:iCs/>
          <w:noProof/>
        </w:rPr>
        <w:t xml:space="preserve">9 </w:t>
      </w:r>
      <w:r w:rsidRPr="0011353C">
        <w:rPr>
          <w:i/>
          <w:iCs/>
          <w:noProof/>
        </w:rPr>
        <w:t>(5), 2377-2389, (2010).</w:t>
      </w:r>
    </w:p>
    <w:p w14:paraId="40367858" w14:textId="06FB63EC" w:rsidR="0011353C" w:rsidRPr="008A7D63" w:rsidRDefault="0011353C" w:rsidP="00366808">
      <w:pPr>
        <w:jc w:val="both"/>
        <w:rPr>
          <w:i/>
          <w:iCs/>
        </w:rPr>
      </w:pPr>
      <w:r w:rsidRPr="0011353C">
        <w:rPr>
          <w:i/>
          <w:iCs/>
        </w:rPr>
        <w:t>Das, A. et al. Unraveling key metabolomic alterations in wheat embryos derived from freshly harvested</w:t>
      </w:r>
      <w:r>
        <w:rPr>
          <w:i/>
          <w:iCs/>
        </w:rPr>
        <w:t xml:space="preserve"> and water imbibed seeds of two wheat cultivars with contrasting dormancy status. Frontiers in Plant Science. 8 (1203), (2017). </w:t>
      </w:r>
    </w:p>
    <w:p w14:paraId="51B11226" w14:textId="65B1D5D5" w:rsidR="008A7D63" w:rsidRDefault="008A7D63" w:rsidP="00366808">
      <w:pPr>
        <w:jc w:val="both"/>
        <w:rPr>
          <w:i/>
          <w:iCs/>
        </w:rPr>
      </w:pPr>
      <w:r>
        <w:rPr>
          <w:i/>
          <w:iCs/>
        </w:rPr>
        <w:t>Francki, M.G. et al. Metabolomic profiling and genomic analysis of wheat aneuploid lines to identify genes controlling biochemical pathways in mature grain. Plant Biotech</w:t>
      </w:r>
      <w:r w:rsidR="00B26B98">
        <w:rPr>
          <w:i/>
          <w:iCs/>
        </w:rPr>
        <w:t>nology</w:t>
      </w:r>
      <w:r>
        <w:rPr>
          <w:i/>
          <w:iCs/>
        </w:rPr>
        <w:t xml:space="preserve"> J</w:t>
      </w:r>
      <w:r w:rsidR="00B26B98">
        <w:rPr>
          <w:i/>
          <w:iCs/>
        </w:rPr>
        <w:t>ournal</w:t>
      </w:r>
      <w:r>
        <w:rPr>
          <w:i/>
          <w:iCs/>
        </w:rPr>
        <w:t>. 14</w:t>
      </w:r>
      <w:r w:rsidR="00B26B98">
        <w:rPr>
          <w:i/>
          <w:iCs/>
        </w:rPr>
        <w:t xml:space="preserve"> (2)</w:t>
      </w:r>
      <w:r>
        <w:rPr>
          <w:i/>
          <w:iCs/>
        </w:rPr>
        <w:t xml:space="preserve">, 649-660, (2016). </w:t>
      </w:r>
    </w:p>
    <w:p w14:paraId="4FFA14EA" w14:textId="612CF22F" w:rsidR="0079489D" w:rsidRDefault="009D11C1" w:rsidP="00366808">
      <w:pPr>
        <w:jc w:val="both"/>
      </w:pPr>
      <w: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80A8217" w14:textId="3213DF5D" w:rsidR="00CE770E" w:rsidRPr="00CE770E" w:rsidRDefault="00CE770E" w:rsidP="00366808">
      <w:pPr>
        <w:jc w:val="both"/>
        <w:rPr>
          <w:i/>
          <w:iCs/>
        </w:rPr>
      </w:pPr>
      <w:r w:rsidRPr="00CE770E">
        <w:rPr>
          <w:i/>
          <w:iCs/>
        </w:rPr>
        <w:t>We have ensured that all text in the protocol is written in the imperative tense</w:t>
      </w:r>
      <w:r>
        <w:rPr>
          <w:i/>
          <w:iCs/>
        </w:rPr>
        <w:t xml:space="preserve"> in complete sentences</w:t>
      </w:r>
      <w:r w:rsidRPr="00CE770E">
        <w:rPr>
          <w:i/>
          <w:iCs/>
        </w:rPr>
        <w:t>.</w:t>
      </w:r>
      <w:r>
        <w:rPr>
          <w:i/>
          <w:iCs/>
        </w:rPr>
        <w:t xml:space="preserve"> Text which cannot be written in the imperative tense has been included as an asterisked note directly after each protocol step where appropriate.  </w:t>
      </w:r>
      <w:r w:rsidRPr="00CE770E">
        <w:rPr>
          <w:i/>
          <w:iCs/>
        </w:rPr>
        <w:t xml:space="preserve"> </w:t>
      </w:r>
    </w:p>
    <w:p w14:paraId="60161806" w14:textId="01861BED" w:rsidR="00F30E3F" w:rsidRDefault="009D11C1" w:rsidP="00366808">
      <w:pPr>
        <w:jc w:val="both"/>
      </w:pPr>
      <w:r>
        <w:t xml:space="preserve">5. </w:t>
      </w:r>
      <w:r w:rsidR="007039D5">
        <w:t>P</w:t>
      </w:r>
      <w:r>
        <w:t>lease ensure that individual steps of the protocol should only contain 2-3 actions per step.</w:t>
      </w:r>
    </w:p>
    <w:p w14:paraId="19DE271D" w14:textId="702A2BF5" w:rsidR="009108FA" w:rsidRPr="009108FA" w:rsidRDefault="009108FA" w:rsidP="00366808">
      <w:pPr>
        <w:jc w:val="both"/>
        <w:rPr>
          <w:i/>
          <w:iCs/>
        </w:rPr>
      </w:pPr>
      <w:r w:rsidRPr="009108FA">
        <w:rPr>
          <w:i/>
          <w:iCs/>
        </w:rPr>
        <w:t xml:space="preserve">We have carefully reviewed the protocol to ensure that each step only contains 2-3 actions. </w:t>
      </w:r>
    </w:p>
    <w:p w14:paraId="2964066A" w14:textId="1FF82289" w:rsidR="00F30E3F" w:rsidRDefault="009D11C1" w:rsidP="00366808">
      <w:pPr>
        <w:jc w:val="both"/>
      </w:pPr>
      <w:r>
        <w:t>6. Please add more details to your protocol steps. Please ensure you answer the “how” question, i.e., how is the step performed?</w:t>
      </w:r>
    </w:p>
    <w:p w14:paraId="0D5194F3" w14:textId="502463BE" w:rsidR="00587AB3" w:rsidRPr="00587AB3" w:rsidRDefault="00587AB3" w:rsidP="00366808">
      <w:pPr>
        <w:jc w:val="both"/>
        <w:rPr>
          <w:i/>
          <w:iCs/>
        </w:rPr>
      </w:pPr>
      <w:r w:rsidRPr="00587AB3">
        <w:rPr>
          <w:i/>
          <w:iCs/>
        </w:rPr>
        <w:t xml:space="preserve">We have added more detail to protocol steps in section 7 to include software navigation and recommended settings.  </w:t>
      </w:r>
    </w:p>
    <w:p w14:paraId="4CA4430B" w14:textId="0B546C34" w:rsidR="00F30E3F" w:rsidRDefault="009D11C1" w:rsidP="00366808">
      <w:pPr>
        <w:jc w:val="both"/>
      </w:pPr>
      <w:r>
        <w:t xml:space="preserve">7.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w:t>
      </w:r>
    </w:p>
    <w:p w14:paraId="40C7AD08" w14:textId="120F6B5E" w:rsidR="009108FA" w:rsidRPr="009108FA" w:rsidRDefault="009108FA" w:rsidP="00366808">
      <w:pPr>
        <w:jc w:val="both"/>
        <w:rPr>
          <w:i/>
          <w:iCs/>
        </w:rPr>
      </w:pPr>
      <w:r w:rsidRPr="009108FA">
        <w:rPr>
          <w:i/>
          <w:iCs/>
        </w:rPr>
        <w:t>The manuscript has been formatted: paragraph indentation: 0 for both left and right and special: none, line spacings: single. A single line space between each step, sub step and note in the protocol section has been included.</w:t>
      </w:r>
    </w:p>
    <w:p w14:paraId="79377A06" w14:textId="17F84684" w:rsidR="00F30E3F" w:rsidRDefault="009D11C1" w:rsidP="00366808">
      <w:pPr>
        <w:jc w:val="both"/>
      </w:pPr>
      <w:r>
        <w:t>8. 1.2: Please include the significance of freeze drying at this stage.</w:t>
      </w:r>
    </w:p>
    <w:p w14:paraId="2AB5FE56" w14:textId="4FA136A5" w:rsidR="00F67F92" w:rsidRPr="00655348" w:rsidRDefault="00F67F92" w:rsidP="00366808">
      <w:pPr>
        <w:jc w:val="both"/>
        <w:rPr>
          <w:i/>
          <w:iCs/>
        </w:rPr>
      </w:pPr>
      <w:r w:rsidRPr="00655348">
        <w:rPr>
          <w:i/>
          <w:iCs/>
        </w:rPr>
        <w:t xml:space="preserve">In response to </w:t>
      </w:r>
      <w:r w:rsidR="00D766E8">
        <w:rPr>
          <w:i/>
          <w:iCs/>
        </w:rPr>
        <w:t>this request and that of R</w:t>
      </w:r>
      <w:r w:rsidRPr="00655348">
        <w:rPr>
          <w:i/>
          <w:iCs/>
        </w:rPr>
        <w:t xml:space="preserve">eviewer 1, we have included freeze drying as an optional step as a note rather than a critical step of the protocol: </w:t>
      </w:r>
    </w:p>
    <w:p w14:paraId="5CC67FC2" w14:textId="77777777" w:rsidR="00655348" w:rsidRPr="00655348" w:rsidRDefault="00655348" w:rsidP="00366808">
      <w:pPr>
        <w:jc w:val="both"/>
        <w:rPr>
          <w:rFonts w:cstheme="minorHAnsi"/>
          <w:i/>
          <w:iCs/>
        </w:rPr>
      </w:pPr>
      <w:r w:rsidRPr="00655348">
        <w:rPr>
          <w:rFonts w:cstheme="minorHAnsi"/>
          <w:i/>
          <w:iCs/>
        </w:rPr>
        <w:t xml:space="preserve">“*NOTE: We recommend freeze-drying seeds shortly after harvest if samples are being collected from multiple seasons. This minimizes any changes in metabolite concentration that may occur after varying </w:t>
      </w:r>
      <w:r w:rsidRPr="00655348">
        <w:rPr>
          <w:rFonts w:cstheme="minorHAnsi"/>
          <w:i/>
          <w:iCs/>
        </w:rPr>
        <w:lastRenderedPageBreak/>
        <w:t>periods of storage.  To do this: transfer seeds to a 15 mL plastic centrifuge tube (approximately 300 seeds will fill the tube) and cover with aluminum foil. Pierce the foil two-three times using a pin and freeze dry the whole grains overnight (approximately 24 h). Samples can either be returned to the -80 °C freezer at this stage or the next step can be carried out.”</w:t>
      </w:r>
    </w:p>
    <w:p w14:paraId="00EB8C67" w14:textId="42FEAF9A" w:rsidR="00F30E3F" w:rsidRDefault="009D11C1" w:rsidP="00366808">
      <w:pPr>
        <w:jc w:val="both"/>
      </w:pPr>
      <w:r>
        <w:t>9. 1.3: Please include why 150 seed are required per sample? What is the difference between coarse and fine material here? Do you store it in some solution?</w:t>
      </w:r>
    </w:p>
    <w:p w14:paraId="7C1648AD" w14:textId="55428EF4" w:rsidR="00372DDE" w:rsidRDefault="00372DDE" w:rsidP="00366808">
      <w:pPr>
        <w:jc w:val="both"/>
        <w:rPr>
          <w:i/>
          <w:iCs/>
        </w:rPr>
      </w:pPr>
      <w:r w:rsidRPr="00372DDE">
        <w:rPr>
          <w:i/>
          <w:iCs/>
        </w:rPr>
        <w:t xml:space="preserve">150 seeds </w:t>
      </w:r>
      <w:proofErr w:type="gramStart"/>
      <w:r w:rsidRPr="00372DDE">
        <w:rPr>
          <w:i/>
          <w:iCs/>
        </w:rPr>
        <w:t>is</w:t>
      </w:r>
      <w:proofErr w:type="gramEnd"/>
      <w:r w:rsidRPr="00372DDE">
        <w:rPr>
          <w:i/>
          <w:iCs/>
        </w:rPr>
        <w:t xml:space="preserve"> the minimum </w:t>
      </w:r>
      <w:r>
        <w:rPr>
          <w:i/>
          <w:iCs/>
        </w:rPr>
        <w:t xml:space="preserve">amount </w:t>
      </w:r>
      <w:r w:rsidRPr="00372DDE">
        <w:rPr>
          <w:i/>
          <w:iCs/>
        </w:rPr>
        <w:t xml:space="preserve">required to fill the blender to blade height. We have updated the protocol to: “Once dry, grind the seeds using a laboratory blender for two runs on Hi for 20 s. *NOTE: The blender used for this protocol requires a minimum of approximately 150 seeds to fill the blender to blade height and give a </w:t>
      </w:r>
      <w:r>
        <w:rPr>
          <w:i/>
          <w:iCs/>
        </w:rPr>
        <w:t xml:space="preserve">relatively </w:t>
      </w:r>
      <w:r w:rsidRPr="00372DDE">
        <w:rPr>
          <w:i/>
          <w:iCs/>
        </w:rPr>
        <w:t>homogenously ground grain sample</w:t>
      </w:r>
      <w:r w:rsidR="00CE3ACC">
        <w:rPr>
          <w:i/>
          <w:iCs/>
        </w:rPr>
        <w:t>”</w:t>
      </w:r>
      <w:r w:rsidRPr="00372DDE">
        <w:rPr>
          <w:i/>
          <w:iCs/>
        </w:rPr>
        <w:t xml:space="preserve">.  </w:t>
      </w:r>
    </w:p>
    <w:p w14:paraId="21013608" w14:textId="1F27623D" w:rsidR="00372DDE" w:rsidRPr="009F74EF" w:rsidRDefault="009F74EF" w:rsidP="00366808">
      <w:pPr>
        <w:jc w:val="both"/>
        <w:rPr>
          <w:i/>
          <w:iCs/>
        </w:rPr>
      </w:pPr>
      <w:r w:rsidRPr="009F74EF">
        <w:rPr>
          <w:i/>
          <w:iCs/>
        </w:rPr>
        <w:t xml:space="preserve">After blending, some coarsely ground grain material is likely to be present as well as the desired powder-like ground sample. We have updated the protocol to: “Remove the blender from the base and tap the side of the blender to bring any coarsely ground grain to the surface of the sample. Coarse material can be discarded or stored.” And “Transfer powder-like finely ground material from the blender to a 2 mL plastic microcentrifuge tube”. No solution is used to store either coarse or fine material. </w:t>
      </w:r>
    </w:p>
    <w:p w14:paraId="0FC290FB" w14:textId="1BE933BC" w:rsidR="00F30E3F" w:rsidRDefault="009D11C1" w:rsidP="00366808">
      <w:pPr>
        <w:jc w:val="both"/>
      </w:pPr>
      <w:r>
        <w:t>10. 2: What solution is used to prepare the stock solution? Fill to which line? Where and how do you store this, temperature of storage?</w:t>
      </w:r>
    </w:p>
    <w:p w14:paraId="1CD89A35" w14:textId="77777777" w:rsidR="00445A01" w:rsidRPr="00445A01" w:rsidRDefault="00445A01" w:rsidP="00366808">
      <w:pPr>
        <w:jc w:val="both"/>
        <w:rPr>
          <w:i/>
          <w:iCs/>
        </w:rPr>
      </w:pPr>
      <w:r w:rsidRPr="00445A01">
        <w:rPr>
          <w:i/>
          <w:iCs/>
        </w:rPr>
        <w:t xml:space="preserve">We have reworded the text in this section of the protocol to: </w:t>
      </w:r>
    </w:p>
    <w:p w14:paraId="7C947E1F" w14:textId="77777777" w:rsidR="00445A01" w:rsidRPr="00445A01" w:rsidRDefault="00445A01" w:rsidP="00366808">
      <w:pPr>
        <w:jc w:val="both"/>
        <w:rPr>
          <w:i/>
          <w:iCs/>
        </w:rPr>
      </w:pPr>
      <w:r w:rsidRPr="00445A01">
        <w:rPr>
          <w:i/>
          <w:iCs/>
        </w:rPr>
        <w:t xml:space="preserve">“Preparation of extraction solvent (100 mL acetonitrile containing 20 µg/mL of each of the internal standards: 2-aminoanthracene, miconazole, </w:t>
      </w:r>
      <w:r w:rsidRPr="00445A01">
        <w:rPr>
          <w:i/>
          <w:iCs/>
          <w:vertAlign w:val="superscript"/>
        </w:rPr>
        <w:t>13</w:t>
      </w:r>
      <w:r w:rsidRPr="00445A01">
        <w:rPr>
          <w:i/>
          <w:iCs/>
        </w:rPr>
        <w:t>C</w:t>
      </w:r>
      <w:r w:rsidRPr="00445A01">
        <w:rPr>
          <w:i/>
          <w:iCs/>
          <w:vertAlign w:val="subscript"/>
        </w:rPr>
        <w:t>6</w:t>
      </w:r>
      <w:r w:rsidRPr="00445A01">
        <w:rPr>
          <w:i/>
          <w:iCs/>
        </w:rPr>
        <w:t>-sorbitol, d</w:t>
      </w:r>
      <w:r w:rsidRPr="00445A01">
        <w:rPr>
          <w:i/>
          <w:iCs/>
          <w:vertAlign w:val="subscript"/>
        </w:rPr>
        <w:t>6</w:t>
      </w:r>
      <w:r w:rsidRPr="00445A01">
        <w:rPr>
          <w:i/>
          <w:iCs/>
        </w:rPr>
        <w:t xml:space="preserve">-transcinnamic acid). </w:t>
      </w:r>
    </w:p>
    <w:p w14:paraId="14834369" w14:textId="77777777" w:rsidR="00445A01" w:rsidRPr="00445A01" w:rsidRDefault="00445A01" w:rsidP="00366808">
      <w:pPr>
        <w:jc w:val="both"/>
        <w:rPr>
          <w:i/>
          <w:iCs/>
        </w:rPr>
      </w:pPr>
      <w:r w:rsidRPr="00445A01">
        <w:rPr>
          <w:i/>
          <w:iCs/>
        </w:rPr>
        <w:t>*NOTE: Prepare extraction solvent on the same day as performing the extractions. Prepare at least 2 mL of 1 mg/mL of each standard. Use ACN to prepare 2-aminoanthracene, miconazole and d</w:t>
      </w:r>
      <w:r w:rsidRPr="00445A01">
        <w:rPr>
          <w:i/>
          <w:iCs/>
          <w:vertAlign w:val="subscript"/>
        </w:rPr>
        <w:t>6</w:t>
      </w:r>
      <w:r w:rsidRPr="00445A01">
        <w:rPr>
          <w:i/>
          <w:iCs/>
        </w:rPr>
        <w:t xml:space="preserve">-transcinnamic acid and water to prepare </w:t>
      </w:r>
      <w:r w:rsidRPr="00445A01">
        <w:rPr>
          <w:i/>
          <w:iCs/>
          <w:vertAlign w:val="superscript"/>
        </w:rPr>
        <w:t>13</w:t>
      </w:r>
      <w:r w:rsidRPr="00445A01">
        <w:rPr>
          <w:i/>
          <w:iCs/>
        </w:rPr>
        <w:t>C</w:t>
      </w:r>
      <w:r w:rsidRPr="00445A01">
        <w:rPr>
          <w:i/>
          <w:iCs/>
          <w:vertAlign w:val="subscript"/>
        </w:rPr>
        <w:t>6</w:t>
      </w:r>
      <w:r w:rsidRPr="00445A01">
        <w:rPr>
          <w:i/>
          <w:iCs/>
        </w:rPr>
        <w:t xml:space="preserve">-sorbitol. </w:t>
      </w:r>
    </w:p>
    <w:p w14:paraId="2D7F6A2E" w14:textId="77777777" w:rsidR="00445A01" w:rsidRPr="00445A01" w:rsidRDefault="00445A01" w:rsidP="00366808">
      <w:pPr>
        <w:jc w:val="both"/>
        <w:rPr>
          <w:i/>
          <w:iCs/>
        </w:rPr>
      </w:pPr>
      <w:r w:rsidRPr="00445A01">
        <w:rPr>
          <w:i/>
          <w:iCs/>
        </w:rPr>
        <w:t xml:space="preserve">Take 2 mL of each 1 mg/mL standard and add to a 100 mL volumetric flask. </w:t>
      </w:r>
    </w:p>
    <w:p w14:paraId="5C7270BD" w14:textId="0ABDC6C7" w:rsidR="00445A01" w:rsidRPr="00445A01" w:rsidRDefault="00445A01" w:rsidP="00366808">
      <w:pPr>
        <w:jc w:val="both"/>
        <w:rPr>
          <w:i/>
          <w:iCs/>
        </w:rPr>
      </w:pPr>
      <w:r w:rsidRPr="00445A01">
        <w:rPr>
          <w:i/>
          <w:iCs/>
        </w:rPr>
        <w:t xml:space="preserve">Fill volumetric flask to the line with acetonitrile”. </w:t>
      </w:r>
    </w:p>
    <w:p w14:paraId="36178474" w14:textId="0C192ECC" w:rsidR="00F30E3F" w:rsidRDefault="009D11C1" w:rsidP="00366808">
      <w:pPr>
        <w:jc w:val="both"/>
      </w:pPr>
      <w:r>
        <w:t>11. 3: So, the solvent contains internal standard as well?</w:t>
      </w:r>
    </w:p>
    <w:p w14:paraId="76F774F5" w14:textId="1235EFA8" w:rsidR="004B68FB" w:rsidRPr="00445A01" w:rsidRDefault="00445A01" w:rsidP="00366808">
      <w:pPr>
        <w:jc w:val="both"/>
        <w:rPr>
          <w:i/>
          <w:iCs/>
        </w:rPr>
      </w:pPr>
      <w:r>
        <w:rPr>
          <w:i/>
          <w:iCs/>
        </w:rPr>
        <w:t>Yes, t</w:t>
      </w:r>
      <w:r w:rsidRPr="00445A01">
        <w:rPr>
          <w:i/>
          <w:iCs/>
        </w:rPr>
        <w:t>he extraction solvent contains internal standar</w:t>
      </w:r>
      <w:r w:rsidR="004B68FB">
        <w:rPr>
          <w:i/>
          <w:iCs/>
        </w:rPr>
        <w:t xml:space="preserve">d. As above, </w:t>
      </w:r>
      <w:r w:rsidR="00B0758C">
        <w:rPr>
          <w:i/>
          <w:iCs/>
        </w:rPr>
        <w:t xml:space="preserve">for clarity, </w:t>
      </w:r>
      <w:r w:rsidR="004B68FB">
        <w:rPr>
          <w:i/>
          <w:iCs/>
        </w:rPr>
        <w:t>w</w:t>
      </w:r>
      <w:r w:rsidR="004B68FB" w:rsidRPr="00445A01">
        <w:rPr>
          <w:i/>
          <w:iCs/>
        </w:rPr>
        <w:t xml:space="preserve">e have reworded the text in this section of the protocol to: </w:t>
      </w:r>
    </w:p>
    <w:p w14:paraId="0E4ECDB9" w14:textId="77777777" w:rsidR="004B68FB" w:rsidRPr="00445A01" w:rsidRDefault="004B68FB" w:rsidP="00366808">
      <w:pPr>
        <w:jc w:val="both"/>
        <w:rPr>
          <w:i/>
          <w:iCs/>
        </w:rPr>
      </w:pPr>
      <w:r w:rsidRPr="00445A01">
        <w:rPr>
          <w:i/>
          <w:iCs/>
        </w:rPr>
        <w:t xml:space="preserve">“Preparation of extraction solvent (100 mL acetonitrile containing 20 µg/mL of each of the internal standards: 2-aminoanthracene, miconazole, </w:t>
      </w:r>
      <w:r w:rsidRPr="00445A01">
        <w:rPr>
          <w:i/>
          <w:iCs/>
          <w:vertAlign w:val="superscript"/>
        </w:rPr>
        <w:t>13</w:t>
      </w:r>
      <w:r w:rsidRPr="00445A01">
        <w:rPr>
          <w:i/>
          <w:iCs/>
        </w:rPr>
        <w:t>C</w:t>
      </w:r>
      <w:r w:rsidRPr="00445A01">
        <w:rPr>
          <w:i/>
          <w:iCs/>
          <w:vertAlign w:val="subscript"/>
        </w:rPr>
        <w:t>6</w:t>
      </w:r>
      <w:r w:rsidRPr="00445A01">
        <w:rPr>
          <w:i/>
          <w:iCs/>
        </w:rPr>
        <w:t>-sorbitol, d</w:t>
      </w:r>
      <w:r w:rsidRPr="00445A01">
        <w:rPr>
          <w:i/>
          <w:iCs/>
          <w:vertAlign w:val="subscript"/>
        </w:rPr>
        <w:t>6</w:t>
      </w:r>
      <w:r w:rsidRPr="00445A01">
        <w:rPr>
          <w:i/>
          <w:iCs/>
        </w:rPr>
        <w:t xml:space="preserve">-transcinnamic acid). </w:t>
      </w:r>
    </w:p>
    <w:p w14:paraId="53F2C229" w14:textId="11266B09" w:rsidR="00F30E3F" w:rsidRDefault="00445A01" w:rsidP="00366808">
      <w:pPr>
        <w:jc w:val="both"/>
      </w:pPr>
      <w:r>
        <w:rPr>
          <w:i/>
          <w:iCs/>
        </w:rPr>
        <w:t xml:space="preserve"> </w:t>
      </w:r>
      <w:r w:rsidR="009D11C1">
        <w:t>12. 5.1: Please explain what Water’s SOP is or provide citation.</w:t>
      </w:r>
    </w:p>
    <w:p w14:paraId="774B8670" w14:textId="03E9106A" w:rsidR="00061B34" w:rsidRPr="00061B34" w:rsidRDefault="00061B34" w:rsidP="00366808">
      <w:pPr>
        <w:jc w:val="both"/>
      </w:pPr>
      <w:r w:rsidRPr="00061B34">
        <w:rPr>
          <w:i/>
          <w:iCs/>
        </w:rPr>
        <w:t>We have included the following explanation in the protocol for the Water’s SOP: “As per the manufacturers (Water’s) standard operating procedure for the preparation of 400 ng/µL leucine enkephalin, pipette 7.5 mL of water into the 12 mL leucine-enkephalin vial containing 3 mg leucine-enkephalin. Freeze (-80°C) in 50 µL aliquots.”</w:t>
      </w:r>
      <w:r w:rsidRPr="00061B34">
        <w:t xml:space="preserve"> </w:t>
      </w:r>
    </w:p>
    <w:p w14:paraId="5F9DBA89" w14:textId="00970B65" w:rsidR="00F30E3F" w:rsidRDefault="009D11C1" w:rsidP="00366808">
      <w:pPr>
        <w:jc w:val="both"/>
      </w:pPr>
      <w:r>
        <w:t>13. For the LC</w:t>
      </w:r>
      <w:r w:rsidR="003166A8">
        <w:t>-</w:t>
      </w:r>
      <w:r>
        <w:t>MS procedure, please include all the button clicks in the software and equipment, knob turns etc. to show how the procedure is performed.</w:t>
      </w:r>
      <w:r w:rsidR="00E310AE">
        <w:t xml:space="preserve"> </w:t>
      </w:r>
    </w:p>
    <w:p w14:paraId="3D9CD1F2" w14:textId="403E703C" w:rsidR="006F1FC3" w:rsidRPr="006F1FC3" w:rsidRDefault="006F1FC3" w:rsidP="00366808">
      <w:pPr>
        <w:jc w:val="both"/>
        <w:rPr>
          <w:i/>
          <w:iCs/>
        </w:rPr>
      </w:pPr>
      <w:r w:rsidRPr="006F1FC3">
        <w:rPr>
          <w:i/>
          <w:iCs/>
        </w:rPr>
        <w:t xml:space="preserve">We </w:t>
      </w:r>
      <w:r>
        <w:rPr>
          <w:i/>
          <w:iCs/>
        </w:rPr>
        <w:t xml:space="preserve">have </w:t>
      </w:r>
      <w:r w:rsidRPr="006F1FC3">
        <w:rPr>
          <w:i/>
          <w:iCs/>
        </w:rPr>
        <w:t xml:space="preserve">directed the reader to the </w:t>
      </w:r>
      <w:r>
        <w:rPr>
          <w:i/>
          <w:iCs/>
        </w:rPr>
        <w:t xml:space="preserve">instrument </w:t>
      </w:r>
      <w:r w:rsidRPr="006F1FC3">
        <w:rPr>
          <w:i/>
          <w:iCs/>
        </w:rPr>
        <w:t>user guide for specific set-up details:</w:t>
      </w:r>
    </w:p>
    <w:p w14:paraId="099063BF" w14:textId="7693C467" w:rsidR="006F1FC3" w:rsidRPr="006F1FC3" w:rsidRDefault="006F1FC3" w:rsidP="006F1FC3">
      <w:pPr>
        <w:rPr>
          <w:i/>
          <w:iCs/>
        </w:rPr>
      </w:pPr>
      <w:r w:rsidRPr="006F1FC3">
        <w:rPr>
          <w:i/>
          <w:iCs/>
        </w:rPr>
        <w:lastRenderedPageBreak/>
        <w:t xml:space="preserve">*NOTE: A detailed description of instrument and acquisition method set-up is described in the </w:t>
      </w:r>
      <w:r w:rsidRPr="006F1FC3">
        <w:rPr>
          <w:i/>
          <w:iCs/>
        </w:rPr>
        <w:t>5600-system</w:t>
      </w:r>
      <w:r w:rsidRPr="006F1FC3">
        <w:rPr>
          <w:i/>
          <w:iCs/>
        </w:rPr>
        <w:t xml:space="preserve"> user guide. A general guide and the details specific to this protocol are outlined below. </w:t>
      </w:r>
    </w:p>
    <w:p w14:paraId="025A99B0" w14:textId="76BA4662" w:rsidR="00E54B55" w:rsidRDefault="009D11C1" w:rsidP="00366808">
      <w:pPr>
        <w:jc w:val="both"/>
      </w:pPr>
      <w:r>
        <w:t>14. For the data processing, please include all the button clicks, etc. performed in the software to show how the process is performed. e.g., Right click on the peak to find the intensity, then click “Analyze”.</w:t>
      </w:r>
    </w:p>
    <w:p w14:paraId="632B2166" w14:textId="42B2E10C" w:rsidR="00D766E8" w:rsidRPr="00AE4576" w:rsidRDefault="00D766E8" w:rsidP="00366808">
      <w:pPr>
        <w:jc w:val="both"/>
        <w:rPr>
          <w:i/>
          <w:iCs/>
        </w:rPr>
      </w:pPr>
      <w:r w:rsidRPr="00AE4576">
        <w:rPr>
          <w:i/>
          <w:iCs/>
        </w:rPr>
        <w:t xml:space="preserve">We have now included </w:t>
      </w:r>
      <w:r w:rsidR="00AE4576" w:rsidRPr="00AE4576">
        <w:rPr>
          <w:i/>
          <w:iCs/>
        </w:rPr>
        <w:t>considerable</w:t>
      </w:r>
      <w:r w:rsidRPr="00AE4576">
        <w:rPr>
          <w:i/>
          <w:iCs/>
        </w:rPr>
        <w:t xml:space="preserve"> detail in the data processing </w:t>
      </w:r>
      <w:r w:rsidR="00AE4576" w:rsidRPr="00AE4576">
        <w:rPr>
          <w:i/>
          <w:iCs/>
        </w:rPr>
        <w:t>section of the protocol (section 7) to describe each software used</w:t>
      </w:r>
      <w:r w:rsidR="00E310AE">
        <w:rPr>
          <w:i/>
          <w:iCs/>
        </w:rPr>
        <w:t xml:space="preserve"> and how each process is performed. </w:t>
      </w:r>
      <w:r w:rsidR="00AE4576" w:rsidRPr="00AE4576">
        <w:rPr>
          <w:i/>
          <w:iCs/>
        </w:rPr>
        <w:t xml:space="preserve"> </w:t>
      </w:r>
    </w:p>
    <w:p w14:paraId="6A9C078F" w14:textId="048307A0" w:rsidR="00F30E3F" w:rsidRDefault="009D11C1" w:rsidP="00366808">
      <w:pPr>
        <w:jc w:val="both"/>
      </w:pPr>
      <w: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1C83215" w14:textId="4042B30E" w:rsidR="002324AC" w:rsidRPr="002324AC" w:rsidRDefault="002324AC" w:rsidP="00366808">
      <w:pPr>
        <w:jc w:val="both"/>
        <w:rPr>
          <w:i/>
          <w:iCs/>
        </w:rPr>
      </w:pPr>
      <w:r w:rsidRPr="002324AC">
        <w:rPr>
          <w:i/>
          <w:iCs/>
        </w:rPr>
        <w:t xml:space="preserve">We have now highlighted text that identifies essential steps of the protocol. </w:t>
      </w:r>
    </w:p>
    <w:p w14:paraId="1124E609" w14:textId="0AAC4B31" w:rsidR="00F30E3F" w:rsidRDefault="00F30E3F" w:rsidP="00366808">
      <w:pPr>
        <w:jc w:val="both"/>
      </w:pPr>
      <w:r>
        <w:t xml:space="preserve">16. </w:t>
      </w:r>
      <w:r w:rsidR="009D11C1">
        <w:t>Please describe the result with respect to your experiment, you performed an experiment, how did it help you to conclude what you wanted to and how is it in line with the title. , e.g., how do these results show the technique, suggestions about how to analyze the outcome, etc. The paragraph text should refer to all of the figures. Data from both successful and sub-optimal experiments can be included.</w:t>
      </w:r>
    </w:p>
    <w:p w14:paraId="0ECD414A" w14:textId="43789D62" w:rsidR="00A203E5" w:rsidRPr="00A203E5" w:rsidRDefault="00A203E5" w:rsidP="00366808">
      <w:pPr>
        <w:jc w:val="both"/>
        <w:rPr>
          <w:i/>
          <w:iCs/>
        </w:rPr>
      </w:pPr>
      <w:r w:rsidRPr="00A203E5">
        <w:rPr>
          <w:i/>
          <w:iCs/>
        </w:rPr>
        <w:t xml:space="preserve">We have included the following sentences at the beginning of the results section to describe the result with respect to the experiment performed: </w:t>
      </w:r>
    </w:p>
    <w:p w14:paraId="1756C92B" w14:textId="466140F2" w:rsidR="00A203E5" w:rsidRPr="00A203E5" w:rsidRDefault="00A203E5" w:rsidP="00366808">
      <w:pPr>
        <w:jc w:val="both"/>
        <w:rPr>
          <w:i/>
          <w:iCs/>
        </w:rPr>
      </w:pPr>
      <w:r w:rsidRPr="00A203E5">
        <w:rPr>
          <w:i/>
          <w:iCs/>
        </w:rPr>
        <w:t>“</w:t>
      </w:r>
      <w:r w:rsidRPr="00A203E5">
        <w:rPr>
          <w:i/>
          <w:iCs/>
        </w:rPr>
        <w:t>The plant metabolome is influenced by a combination of its genome and environment, and additionally in an agricultural setting; the crop management regime. We demonstrate that genetic differences between wheat varieties can be observed at the metabolite level, here, with over 500 measured compounds showing significantly different concentrations between varieties in the grain alone.</w:t>
      </w:r>
      <w:r w:rsidRPr="00A203E5">
        <w:rPr>
          <w:i/>
          <w:iCs/>
        </w:rPr>
        <w:t>”</w:t>
      </w:r>
    </w:p>
    <w:p w14:paraId="26C084FD" w14:textId="4FB0EB73" w:rsidR="00CD7369" w:rsidRPr="00CD7369" w:rsidRDefault="00CD7369" w:rsidP="00366808">
      <w:pPr>
        <w:jc w:val="both"/>
        <w:rPr>
          <w:i/>
          <w:iCs/>
        </w:rPr>
      </w:pPr>
      <w:r w:rsidRPr="00CD7369">
        <w:rPr>
          <w:i/>
          <w:iCs/>
        </w:rPr>
        <w:t xml:space="preserve">The paragraph text </w:t>
      </w:r>
      <w:r w:rsidR="00A203E5">
        <w:rPr>
          <w:i/>
          <w:iCs/>
        </w:rPr>
        <w:t xml:space="preserve">in the results section </w:t>
      </w:r>
      <w:r w:rsidRPr="00CD7369">
        <w:rPr>
          <w:i/>
          <w:iCs/>
        </w:rPr>
        <w:t xml:space="preserve">refers to all figures and tables with the exception of tables </w:t>
      </w:r>
      <w:r w:rsidR="00A203E5">
        <w:rPr>
          <w:i/>
          <w:iCs/>
        </w:rPr>
        <w:t>which</w:t>
      </w:r>
      <w:r w:rsidRPr="00CD7369">
        <w:rPr>
          <w:i/>
          <w:iCs/>
        </w:rPr>
        <w:t xml:space="preserve"> are referred to in the </w:t>
      </w:r>
      <w:r>
        <w:rPr>
          <w:i/>
          <w:iCs/>
        </w:rPr>
        <w:t>protocol (i.e. Tables 1 and 2)</w:t>
      </w:r>
      <w:r w:rsidRPr="00CD7369">
        <w:rPr>
          <w:i/>
          <w:iCs/>
        </w:rPr>
        <w:t xml:space="preserve">. </w:t>
      </w:r>
    </w:p>
    <w:p w14:paraId="25A0CE29" w14:textId="278CF2CA" w:rsidR="00F24A8A" w:rsidRDefault="009D11C1" w:rsidP="00366808">
      <w:pPr>
        <w:jc w:val="both"/>
      </w:pPr>
      <w:r>
        <w:t>1</w:t>
      </w:r>
      <w:r w:rsidR="00F30E3F">
        <w:t>7</w:t>
      </w:r>
      <w:r>
        <w:t>. What are the negative and positive control samples in your experiment? How do you check for negative and positive acquisitions? Where are the peaks for internal standard present in the figures?</w:t>
      </w:r>
    </w:p>
    <w:p w14:paraId="423486ED" w14:textId="3E1D085E" w:rsidR="0074685C" w:rsidRPr="0074685C" w:rsidRDefault="00A203E5" w:rsidP="0074685C">
      <w:pPr>
        <w:jc w:val="both"/>
        <w:rPr>
          <w:i/>
          <w:iCs/>
        </w:rPr>
      </w:pPr>
      <w:r>
        <w:rPr>
          <w:i/>
          <w:iCs/>
        </w:rPr>
        <w:t>We aimed to demonstrate metabolite</w:t>
      </w:r>
      <w:r w:rsidR="0074685C" w:rsidRPr="0074685C">
        <w:rPr>
          <w:i/>
          <w:iCs/>
        </w:rPr>
        <w:t xml:space="preserve"> changes </w:t>
      </w:r>
      <w:r>
        <w:rPr>
          <w:i/>
          <w:iCs/>
        </w:rPr>
        <w:t xml:space="preserve">in grain </w:t>
      </w:r>
      <w:r w:rsidR="0074685C" w:rsidRPr="0074685C">
        <w:rPr>
          <w:i/>
          <w:iCs/>
        </w:rPr>
        <w:t xml:space="preserve">between </w:t>
      </w:r>
      <w:r>
        <w:rPr>
          <w:i/>
          <w:iCs/>
        </w:rPr>
        <w:t xml:space="preserve">different wheat </w:t>
      </w:r>
      <w:r w:rsidR="0074685C" w:rsidRPr="0074685C">
        <w:rPr>
          <w:i/>
          <w:iCs/>
        </w:rPr>
        <w:t>varieties</w:t>
      </w:r>
      <w:r>
        <w:rPr>
          <w:i/>
          <w:iCs/>
        </w:rPr>
        <w:t xml:space="preserve"> rather than changes from a wild type or reference variety. However, the following technical controls were used: </w:t>
      </w:r>
    </w:p>
    <w:p w14:paraId="5BE8EA4B" w14:textId="73A52A5B" w:rsidR="000D177B" w:rsidRPr="003518F3" w:rsidRDefault="000D177B" w:rsidP="00366808">
      <w:pPr>
        <w:jc w:val="both"/>
        <w:rPr>
          <w:i/>
          <w:iCs/>
        </w:rPr>
      </w:pPr>
      <w:r w:rsidRPr="003518F3">
        <w:rPr>
          <w:i/>
          <w:iCs/>
        </w:rPr>
        <w:t xml:space="preserve">Negative controls </w:t>
      </w:r>
      <w:r w:rsidR="00A203E5">
        <w:rPr>
          <w:i/>
          <w:iCs/>
        </w:rPr>
        <w:t>we</w:t>
      </w:r>
      <w:r w:rsidRPr="003518F3">
        <w:rPr>
          <w:i/>
          <w:iCs/>
        </w:rPr>
        <w:t xml:space="preserve">re </w:t>
      </w:r>
      <w:r w:rsidR="00C7499F">
        <w:rPr>
          <w:i/>
          <w:iCs/>
        </w:rPr>
        <w:t>preparative (</w:t>
      </w:r>
      <w:r w:rsidRPr="003518F3">
        <w:rPr>
          <w:i/>
          <w:iCs/>
        </w:rPr>
        <w:t>extraction</w:t>
      </w:r>
      <w:r w:rsidR="00C7499F">
        <w:rPr>
          <w:i/>
          <w:iCs/>
        </w:rPr>
        <w:t>)</w:t>
      </w:r>
      <w:r w:rsidRPr="003518F3">
        <w:rPr>
          <w:i/>
          <w:iCs/>
        </w:rPr>
        <w:t xml:space="preserve"> blanks</w:t>
      </w:r>
      <w:r w:rsidR="00C7499F">
        <w:rPr>
          <w:i/>
          <w:iCs/>
        </w:rPr>
        <w:t xml:space="preserve"> and </w:t>
      </w:r>
      <w:r w:rsidRPr="003518F3">
        <w:rPr>
          <w:i/>
          <w:iCs/>
        </w:rPr>
        <w:t xml:space="preserve">solvent blanks. </w:t>
      </w:r>
      <w:r w:rsidR="002324AC">
        <w:rPr>
          <w:i/>
          <w:iCs/>
        </w:rPr>
        <w:t>Including these samples allow</w:t>
      </w:r>
      <w:r w:rsidR="00E449CB">
        <w:rPr>
          <w:i/>
          <w:iCs/>
        </w:rPr>
        <w:t>ed</w:t>
      </w:r>
      <w:r w:rsidR="002324AC">
        <w:rPr>
          <w:i/>
          <w:iCs/>
        </w:rPr>
        <w:t xml:space="preserve"> </w:t>
      </w:r>
      <w:r w:rsidR="00E449CB">
        <w:rPr>
          <w:i/>
          <w:iCs/>
        </w:rPr>
        <w:t>the removal of</w:t>
      </w:r>
      <w:r w:rsidR="002324AC">
        <w:rPr>
          <w:i/>
          <w:iCs/>
        </w:rPr>
        <w:t xml:space="preserve"> peaks which </w:t>
      </w:r>
      <w:r w:rsidR="00E449CB">
        <w:rPr>
          <w:i/>
          <w:iCs/>
        </w:rPr>
        <w:t>were</w:t>
      </w:r>
      <w:r w:rsidR="002324AC">
        <w:rPr>
          <w:i/>
          <w:iCs/>
        </w:rPr>
        <w:t xml:space="preserve"> </w:t>
      </w:r>
      <w:r w:rsidR="009633B0">
        <w:rPr>
          <w:i/>
          <w:iCs/>
        </w:rPr>
        <w:t xml:space="preserve">introduced during the sample preparation steps </w:t>
      </w:r>
      <w:r w:rsidR="009633B0">
        <w:rPr>
          <w:i/>
          <w:iCs/>
        </w:rPr>
        <w:t xml:space="preserve">from the final </w:t>
      </w:r>
      <w:r w:rsidR="009633B0">
        <w:rPr>
          <w:i/>
          <w:iCs/>
        </w:rPr>
        <w:t xml:space="preserve">sample </w:t>
      </w:r>
      <w:r w:rsidR="009633B0">
        <w:rPr>
          <w:i/>
          <w:iCs/>
        </w:rPr>
        <w:t>data</w:t>
      </w:r>
      <w:r w:rsidR="009633B0">
        <w:rPr>
          <w:i/>
          <w:iCs/>
        </w:rPr>
        <w:t xml:space="preserve">.  </w:t>
      </w:r>
    </w:p>
    <w:p w14:paraId="2EE2B530" w14:textId="5BAA4240" w:rsidR="000D177B" w:rsidRPr="003518F3" w:rsidRDefault="000D177B" w:rsidP="00366808">
      <w:pPr>
        <w:jc w:val="both"/>
        <w:rPr>
          <w:i/>
          <w:iCs/>
        </w:rPr>
      </w:pPr>
      <w:r w:rsidRPr="003518F3">
        <w:rPr>
          <w:i/>
          <w:iCs/>
        </w:rPr>
        <w:t xml:space="preserve">Positive controls </w:t>
      </w:r>
      <w:r w:rsidR="00E449CB">
        <w:rPr>
          <w:i/>
          <w:iCs/>
        </w:rPr>
        <w:t>we</w:t>
      </w:r>
      <w:r w:rsidRPr="003518F3">
        <w:rPr>
          <w:i/>
          <w:iCs/>
        </w:rPr>
        <w:t xml:space="preserve">re extraction blanks </w:t>
      </w:r>
      <w:r w:rsidR="003166A8">
        <w:rPr>
          <w:i/>
          <w:iCs/>
        </w:rPr>
        <w:t>and samples containing</w:t>
      </w:r>
      <w:r w:rsidRPr="003518F3">
        <w:rPr>
          <w:i/>
          <w:iCs/>
        </w:rPr>
        <w:t xml:space="preserve"> metabolite internal standards</w:t>
      </w:r>
      <w:r w:rsidR="00804536">
        <w:rPr>
          <w:i/>
          <w:iCs/>
        </w:rPr>
        <w:t>.</w:t>
      </w:r>
      <w:r w:rsidR="009633B0">
        <w:rPr>
          <w:i/>
          <w:iCs/>
        </w:rPr>
        <w:t xml:space="preserve"> </w:t>
      </w:r>
      <w:r w:rsidR="00E449CB">
        <w:rPr>
          <w:i/>
          <w:iCs/>
        </w:rPr>
        <w:t xml:space="preserve">The detection of </w:t>
      </w:r>
      <w:r w:rsidR="009633B0">
        <w:rPr>
          <w:i/>
          <w:iCs/>
        </w:rPr>
        <w:t>metabolite internal standards ensure</w:t>
      </w:r>
      <w:r w:rsidR="00E449CB">
        <w:rPr>
          <w:i/>
          <w:iCs/>
        </w:rPr>
        <w:t>d</w:t>
      </w:r>
      <w:r w:rsidR="009633B0">
        <w:rPr>
          <w:i/>
          <w:iCs/>
        </w:rPr>
        <w:t xml:space="preserve"> that the method </w:t>
      </w:r>
      <w:r w:rsidR="00E449CB">
        <w:rPr>
          <w:i/>
          <w:iCs/>
        </w:rPr>
        <w:t>was</w:t>
      </w:r>
      <w:r w:rsidR="009633B0">
        <w:rPr>
          <w:i/>
          <w:iCs/>
        </w:rPr>
        <w:t xml:space="preserve"> suitable for the reproducible detection of metabolite compounds. </w:t>
      </w:r>
    </w:p>
    <w:p w14:paraId="2204FBFE" w14:textId="5F52A4BA" w:rsidR="000D177B" w:rsidRPr="000D177B" w:rsidRDefault="000D177B" w:rsidP="00366808">
      <w:pPr>
        <w:jc w:val="both"/>
        <w:rPr>
          <w:i/>
          <w:iCs/>
        </w:rPr>
      </w:pPr>
      <w:r w:rsidRPr="000D177B">
        <w:rPr>
          <w:i/>
          <w:iCs/>
        </w:rPr>
        <w:t>With the exception of miconazole, the internal standards are not clearly visible in the total ion chromatogram. We have indic</w:t>
      </w:r>
      <w:r w:rsidR="00804536">
        <w:rPr>
          <w:i/>
          <w:iCs/>
        </w:rPr>
        <w:t>a</w:t>
      </w:r>
      <w:r w:rsidRPr="000D177B">
        <w:rPr>
          <w:i/>
          <w:iCs/>
        </w:rPr>
        <w:t xml:space="preserve">ted the peaks for miconazole </w:t>
      </w:r>
      <w:r w:rsidR="00A401C5">
        <w:rPr>
          <w:i/>
          <w:iCs/>
        </w:rPr>
        <w:t xml:space="preserve">in figures 3 and 4 </w:t>
      </w:r>
      <w:r w:rsidRPr="000D177B">
        <w:rPr>
          <w:i/>
          <w:iCs/>
        </w:rPr>
        <w:t xml:space="preserve">and included </w:t>
      </w:r>
      <w:r w:rsidR="00A401C5">
        <w:rPr>
          <w:i/>
          <w:iCs/>
        </w:rPr>
        <w:t xml:space="preserve">an additional figure (Figure 2) showing </w:t>
      </w:r>
      <w:r w:rsidRPr="000D177B">
        <w:rPr>
          <w:i/>
          <w:iCs/>
        </w:rPr>
        <w:t>extracted ion chromatograms</w:t>
      </w:r>
      <w:r w:rsidR="00A401C5">
        <w:rPr>
          <w:i/>
          <w:iCs/>
        </w:rPr>
        <w:t xml:space="preserve"> of each internal standard in positive and negative mode. I</w:t>
      </w:r>
      <w:r w:rsidRPr="000D177B">
        <w:rPr>
          <w:i/>
          <w:iCs/>
        </w:rPr>
        <w:t xml:space="preserve">nternal standard </w:t>
      </w:r>
      <w:r w:rsidR="00A401C5">
        <w:rPr>
          <w:i/>
          <w:iCs/>
        </w:rPr>
        <w:t xml:space="preserve">mass and retention time information are presented in Table 2 and mass accuracy and peak area reproducibility </w:t>
      </w:r>
      <w:r w:rsidRPr="000D177B">
        <w:rPr>
          <w:i/>
          <w:iCs/>
        </w:rPr>
        <w:t xml:space="preserve">data </w:t>
      </w:r>
      <w:r w:rsidR="00A401C5">
        <w:rPr>
          <w:i/>
          <w:iCs/>
        </w:rPr>
        <w:t>are presented in Table 3</w:t>
      </w:r>
      <w:r w:rsidRPr="000D177B">
        <w:rPr>
          <w:i/>
          <w:iCs/>
        </w:rPr>
        <w:t xml:space="preserve">. </w:t>
      </w:r>
    </w:p>
    <w:p w14:paraId="56FBDC90" w14:textId="05FC1771" w:rsidR="00BD5031" w:rsidRDefault="009D11C1" w:rsidP="00366808">
      <w:pPr>
        <w:jc w:val="both"/>
      </w:pPr>
      <w:r>
        <w:lastRenderedPageBreak/>
        <w:t>1</w:t>
      </w:r>
      <w:r w:rsidR="00F30E3F">
        <w:t>8</w:t>
      </w:r>
      <w:r>
        <w:t>.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E44CA0B" w14:textId="77777777" w:rsidR="00BD5031" w:rsidRPr="00BD5031" w:rsidRDefault="00BD5031" w:rsidP="00366808">
      <w:pPr>
        <w:jc w:val="both"/>
        <w:rPr>
          <w:i/>
          <w:iCs/>
        </w:rPr>
      </w:pPr>
      <w:r w:rsidRPr="00BD5031">
        <w:rPr>
          <w:i/>
          <w:iCs/>
        </w:rPr>
        <w:t xml:space="preserve">This work does not contain figures which have been reused or reproduced from previous publications. </w:t>
      </w:r>
    </w:p>
    <w:p w14:paraId="4CAF462E" w14:textId="5338FCF5" w:rsidR="00BD5031" w:rsidRDefault="009D11C1" w:rsidP="00366808">
      <w:pPr>
        <w:jc w:val="both"/>
      </w:pPr>
      <w:r>
        <w:t>1</w:t>
      </w:r>
      <w:r w:rsidR="00F30E3F">
        <w:t>9</w:t>
      </w:r>
      <w:r>
        <w:t>. Each Figure Legend should include a title and a short description of the data presented in the Figure and relevant symbols. All figures and/or tables showing data must include measurement definitions, scale bars, and error bars (if applicable).</w:t>
      </w:r>
    </w:p>
    <w:p w14:paraId="05362685" w14:textId="01592271" w:rsidR="00F24A8A" w:rsidRPr="00F24A8A" w:rsidRDefault="00F24A8A" w:rsidP="00366808">
      <w:pPr>
        <w:jc w:val="both"/>
        <w:rPr>
          <w:i/>
          <w:iCs/>
        </w:rPr>
      </w:pPr>
      <w:r w:rsidRPr="00F24A8A">
        <w:rPr>
          <w:i/>
          <w:iCs/>
        </w:rPr>
        <w:t xml:space="preserve">Each figure legend has been modified to include a brief summary of the data presented: </w:t>
      </w:r>
    </w:p>
    <w:p w14:paraId="4EEBFDB5" w14:textId="5C2B1566" w:rsidR="00F24A8A" w:rsidRDefault="00F24A8A" w:rsidP="00366808">
      <w:pPr>
        <w:jc w:val="both"/>
        <w:rPr>
          <w:i/>
          <w:iCs/>
        </w:rPr>
      </w:pPr>
      <w:r w:rsidRPr="00F24A8A">
        <w:rPr>
          <w:i/>
          <w:iCs/>
        </w:rPr>
        <w:t xml:space="preserve">Figure 1. The workflow used in this analysis for data checking, processing and filtering. Step 1 is conducted using the data acquisition/viewing software on the instrument so that ‘on-the-fly’ assessments can be conducted. This includes calculating the mass error (ppm) of internal standards and overlaying internal standard peaks for visual assessment of data reproducibility. Steps 2-7 describe the data processing procedure outlined in </w:t>
      </w:r>
      <w:r w:rsidR="00F456FF">
        <w:rPr>
          <w:i/>
          <w:iCs/>
        </w:rPr>
        <w:t xml:space="preserve">the protocol, </w:t>
      </w:r>
      <w:r w:rsidRPr="00F24A8A">
        <w:rPr>
          <w:i/>
          <w:iCs/>
        </w:rPr>
        <w:t xml:space="preserve">section 7.  </w:t>
      </w:r>
    </w:p>
    <w:p w14:paraId="4F1DBFD7" w14:textId="45383D48" w:rsidR="000D32AC" w:rsidRPr="00F456FF" w:rsidRDefault="000D32AC" w:rsidP="00366808">
      <w:pPr>
        <w:jc w:val="both"/>
        <w:rPr>
          <w:i/>
          <w:iCs/>
        </w:rPr>
      </w:pPr>
      <w:r w:rsidRPr="00F456FF">
        <w:rPr>
          <w:i/>
          <w:iCs/>
        </w:rPr>
        <w:t xml:space="preserve">Figure 2. </w:t>
      </w:r>
      <w:r w:rsidR="00F456FF" w:rsidRPr="00F456FF">
        <w:rPr>
          <w:i/>
          <w:iCs/>
        </w:rPr>
        <w:t xml:space="preserve">Extracted ion chromatograms of </w:t>
      </w:r>
      <w:r w:rsidR="00F456FF" w:rsidRPr="00F456FF">
        <w:rPr>
          <w:i/>
          <w:iCs/>
          <w:vertAlign w:val="superscript"/>
        </w:rPr>
        <w:t>13</w:t>
      </w:r>
      <w:r w:rsidR="00F456FF" w:rsidRPr="00F456FF">
        <w:rPr>
          <w:i/>
          <w:iCs/>
        </w:rPr>
        <w:t>C</w:t>
      </w:r>
      <w:r w:rsidR="00F456FF" w:rsidRPr="00F456FF">
        <w:rPr>
          <w:i/>
          <w:iCs/>
          <w:vertAlign w:val="subscript"/>
        </w:rPr>
        <w:t>6</w:t>
      </w:r>
      <w:r w:rsidR="00EC0A38">
        <w:rPr>
          <w:i/>
          <w:iCs/>
        </w:rPr>
        <w:t>-</w:t>
      </w:r>
      <w:r w:rsidR="00F456FF" w:rsidRPr="00F456FF">
        <w:rPr>
          <w:i/>
          <w:iCs/>
        </w:rPr>
        <w:t>sorbitol (dark blue), leucine-enkephalin (pink), d6-trans-cinnamic acid (orange), 2-aminoanthracene (green) and miconazole (light blue) internal standards in positive (top) and negative (bottom) electrospray ionization modes. The internal standard retention times and intensities are shown.</w:t>
      </w:r>
    </w:p>
    <w:p w14:paraId="2D3A0E69" w14:textId="31F0BBAE" w:rsidR="00F24A8A" w:rsidRPr="00F456FF" w:rsidRDefault="00F24A8A" w:rsidP="00366808">
      <w:pPr>
        <w:jc w:val="both"/>
        <w:rPr>
          <w:i/>
          <w:iCs/>
        </w:rPr>
      </w:pPr>
      <w:r w:rsidRPr="00F456FF">
        <w:rPr>
          <w:i/>
          <w:iCs/>
        </w:rPr>
        <w:t xml:space="preserve">Figure </w:t>
      </w:r>
      <w:r w:rsidR="000D32AC" w:rsidRPr="00F456FF">
        <w:rPr>
          <w:i/>
          <w:iCs/>
        </w:rPr>
        <w:t>3</w:t>
      </w:r>
      <w:r w:rsidRPr="00F456FF">
        <w:rPr>
          <w:i/>
          <w:iCs/>
        </w:rPr>
        <w:t xml:space="preserve">. </w:t>
      </w:r>
      <w:r w:rsidR="00F456FF" w:rsidRPr="00F456FF">
        <w:rPr>
          <w:i/>
          <w:iCs/>
        </w:rPr>
        <w:t>Figure 3. Total ion chromatogram (TIC) overlay of preparative blanks showing negative mode (pink) and positive mode (blue) acquisitions. One internal standard, miconazole, is shown.</w:t>
      </w:r>
    </w:p>
    <w:p w14:paraId="15F7B07A" w14:textId="6E47483C" w:rsidR="003518F3" w:rsidRDefault="00F24A8A" w:rsidP="00366808">
      <w:pPr>
        <w:jc w:val="both"/>
        <w:rPr>
          <w:i/>
          <w:iCs/>
        </w:rPr>
      </w:pPr>
      <w:r w:rsidRPr="00F24A8A">
        <w:rPr>
          <w:i/>
          <w:iCs/>
        </w:rPr>
        <w:t xml:space="preserve">Figure </w:t>
      </w:r>
      <w:r w:rsidR="000D32AC">
        <w:rPr>
          <w:i/>
          <w:iCs/>
        </w:rPr>
        <w:t>4</w:t>
      </w:r>
      <w:r w:rsidRPr="00F24A8A">
        <w:rPr>
          <w:i/>
          <w:iCs/>
        </w:rPr>
        <w:t xml:space="preserve">. Total ion chromatogram (TIC) overlay, showing negative mode (pink) and positive mode (blue) acquisitions and number of features significantly different between wheat variety across the chromatographic gradient. In negative mode, the greatest number of significant features was found when mobile phase B composition was high. In positive mode, the greatest number of significant features was found when mobile phase C composition was high. </w:t>
      </w:r>
    </w:p>
    <w:p w14:paraId="4810D290" w14:textId="7ED82C39" w:rsidR="00BD5031" w:rsidRDefault="00F30E3F" w:rsidP="00366808">
      <w:pPr>
        <w:jc w:val="both"/>
      </w:pPr>
      <w:r>
        <w:t>20</w:t>
      </w:r>
      <w:r w:rsidR="009D11C1">
        <w:t>. Please remove the embedded Table from the manuscript. All tables should be uploaded separately to your Editorial Manager account in the form of an .</w:t>
      </w:r>
      <w:proofErr w:type="spellStart"/>
      <w:r w:rsidR="009D11C1">
        <w:t>xls</w:t>
      </w:r>
      <w:proofErr w:type="spellEnd"/>
      <w:r w:rsidR="009D11C1">
        <w:t xml:space="preserve"> or .xlsx file. Each table must be accompanied by a title and a description after the Representative Results of the manuscript text.</w:t>
      </w:r>
    </w:p>
    <w:p w14:paraId="60072633" w14:textId="77777777" w:rsidR="00BD5031" w:rsidRPr="00BD5031" w:rsidRDefault="00BD5031" w:rsidP="00366808">
      <w:pPr>
        <w:jc w:val="both"/>
        <w:rPr>
          <w:i/>
          <w:iCs/>
        </w:rPr>
      </w:pPr>
      <w:r w:rsidRPr="00BD5031">
        <w:rPr>
          <w:i/>
          <w:iCs/>
        </w:rPr>
        <w:t xml:space="preserve">Embedded tables have been removed and replaced with separate .xlsx files. Table titles and descriptions are given after the representative results section. </w:t>
      </w:r>
    </w:p>
    <w:p w14:paraId="1E06370B" w14:textId="258ACEDD" w:rsidR="00D411B4" w:rsidRDefault="009D11C1" w:rsidP="00366808">
      <w:pPr>
        <w:jc w:val="both"/>
      </w:pPr>
      <w:r>
        <w:t>2</w:t>
      </w:r>
      <w:r w:rsidR="00F30E3F">
        <w:t>1</w:t>
      </w:r>
      <w:r>
        <w:t>. Please sort the materials table in alphabetical order.</w:t>
      </w:r>
    </w:p>
    <w:p w14:paraId="3197C3F5" w14:textId="77777777" w:rsidR="00BD5031" w:rsidRPr="00BD5031" w:rsidRDefault="00BD5031" w:rsidP="00366808">
      <w:pPr>
        <w:jc w:val="both"/>
        <w:rPr>
          <w:i/>
          <w:iCs/>
        </w:rPr>
      </w:pPr>
      <w:r w:rsidRPr="00BD5031">
        <w:rPr>
          <w:i/>
          <w:iCs/>
        </w:rPr>
        <w:t>The materials table has been sorted in alphabetical order</w:t>
      </w:r>
    </w:p>
    <w:p w14:paraId="02DC6EB6" w14:textId="77777777" w:rsidR="00AA7E8A" w:rsidRDefault="00AA7E8A">
      <w:pPr>
        <w:rPr>
          <w:rStyle w:val="Strong"/>
        </w:rPr>
      </w:pPr>
      <w:r>
        <w:rPr>
          <w:rStyle w:val="Strong"/>
        </w:rPr>
        <w:br w:type="page"/>
      </w:r>
    </w:p>
    <w:p w14:paraId="708FF6DC" w14:textId="4D4C4ABF" w:rsidR="00F30E3F" w:rsidRDefault="009D11C1" w:rsidP="00366808">
      <w:pPr>
        <w:jc w:val="both"/>
        <w:rPr>
          <w:rStyle w:val="Strong"/>
        </w:rPr>
      </w:pPr>
      <w:r>
        <w:rPr>
          <w:rStyle w:val="Strong"/>
        </w:rPr>
        <w:lastRenderedPageBreak/>
        <w:t>Reviewers' comments:</w:t>
      </w:r>
    </w:p>
    <w:p w14:paraId="3F593769" w14:textId="5DFE4411" w:rsidR="00BD5031" w:rsidRPr="00AA7E8A" w:rsidRDefault="009D11C1" w:rsidP="00366808">
      <w:pPr>
        <w:jc w:val="both"/>
        <w:rPr>
          <w:b/>
          <w:bCs/>
        </w:rPr>
      </w:pPr>
      <w:r w:rsidRPr="00AA7E8A">
        <w:rPr>
          <w:b/>
          <w:bCs/>
        </w:rPr>
        <w:t>Reviewer #1:</w:t>
      </w:r>
    </w:p>
    <w:p w14:paraId="79B7DC16" w14:textId="77777777" w:rsidR="00F30E3F" w:rsidRDefault="009D11C1" w:rsidP="00366808">
      <w:pPr>
        <w:jc w:val="both"/>
      </w:pPr>
      <w:r>
        <w:t>Manuscript Summary:</w:t>
      </w:r>
    </w:p>
    <w:p w14:paraId="03BC6FA9" w14:textId="1D833D4B" w:rsidR="00BD5031" w:rsidRDefault="009D11C1" w:rsidP="00366808">
      <w:pPr>
        <w:jc w:val="both"/>
      </w:pPr>
      <w:r>
        <w:t>The paper describes a method for analysis of wheat seed by LCMS. The authors need to compare their method with other methods and explain its benefits more in the discussion. Although the authors have included considerable detail a few points need clarification.</w:t>
      </w:r>
    </w:p>
    <w:p w14:paraId="39BDDA99" w14:textId="77777777" w:rsidR="00BD5031" w:rsidRDefault="009D11C1" w:rsidP="00366808">
      <w:pPr>
        <w:jc w:val="both"/>
      </w:pPr>
      <w:r>
        <w:t>Minor Concerns:</w:t>
      </w:r>
    </w:p>
    <w:p w14:paraId="24D113DC" w14:textId="4377E9FC" w:rsidR="002E06A8" w:rsidRDefault="009D11C1" w:rsidP="00366808">
      <w:pPr>
        <w:jc w:val="both"/>
      </w:pPr>
      <w:r>
        <w:t>* Why are so many seed required (about 150 ground)? Have the authors verified that this number is needed to represent the diversity in a single wheat variety?</w:t>
      </w:r>
    </w:p>
    <w:p w14:paraId="6F85224B" w14:textId="32E53630" w:rsidR="002E06A8" w:rsidRPr="002E06A8" w:rsidRDefault="002E06A8" w:rsidP="00366808">
      <w:pPr>
        <w:jc w:val="both"/>
        <w:rPr>
          <w:i/>
          <w:iCs/>
        </w:rPr>
      </w:pPr>
      <w:r w:rsidRPr="002E06A8">
        <w:rPr>
          <w:i/>
          <w:iCs/>
        </w:rPr>
        <w:t>This number of seeds is required to fill the laboratory blender so that grain can be</w:t>
      </w:r>
      <w:r w:rsidR="00E54B55">
        <w:rPr>
          <w:i/>
          <w:iCs/>
        </w:rPr>
        <w:t xml:space="preserve"> ground relatively homogenously. </w:t>
      </w:r>
      <w:r w:rsidR="00F456FF">
        <w:rPr>
          <w:i/>
          <w:iCs/>
        </w:rPr>
        <w:t xml:space="preserve">We have edited the protocol to make this clear: </w:t>
      </w:r>
      <w:r w:rsidR="00CE3ACC" w:rsidRPr="00372DDE">
        <w:rPr>
          <w:i/>
          <w:iCs/>
        </w:rPr>
        <w:t xml:space="preserve">“Once dry, grind the seeds using a laboratory blender for two runs on Hi for 20 s. *NOTE: The blender used for this protocol requires a minimum of approximately 150 seeds to fill the blender to blade height and give a </w:t>
      </w:r>
      <w:r w:rsidR="00CE3ACC">
        <w:rPr>
          <w:i/>
          <w:iCs/>
        </w:rPr>
        <w:t xml:space="preserve">relatively </w:t>
      </w:r>
      <w:r w:rsidR="00CE3ACC" w:rsidRPr="00372DDE">
        <w:rPr>
          <w:i/>
          <w:iCs/>
        </w:rPr>
        <w:t>homogenously ground grain sample</w:t>
      </w:r>
      <w:r w:rsidR="00CE3ACC">
        <w:rPr>
          <w:i/>
          <w:iCs/>
        </w:rPr>
        <w:t xml:space="preserve">”. </w:t>
      </w:r>
      <w:bookmarkStart w:id="2" w:name="_GoBack"/>
      <w:bookmarkEnd w:id="2"/>
    </w:p>
    <w:p w14:paraId="3FC15BC2" w14:textId="1B20A05B" w:rsidR="007039D5" w:rsidRDefault="009D11C1" w:rsidP="00366808">
      <w:pPr>
        <w:jc w:val="both"/>
      </w:pPr>
      <w:r>
        <w:t>* Why are the seeds freeze dried? If stored correctly the seed should have little moisture - how much do they lose on freeze drying. i.e. is this step necessary?</w:t>
      </w:r>
    </w:p>
    <w:p w14:paraId="24AE8939" w14:textId="2CB47E21" w:rsidR="00A00A4B" w:rsidRPr="00655348" w:rsidRDefault="00CC1FA8" w:rsidP="00366808">
      <w:pPr>
        <w:jc w:val="both"/>
        <w:rPr>
          <w:rFonts w:cstheme="minorHAnsi"/>
          <w:i/>
          <w:iCs/>
        </w:rPr>
      </w:pPr>
      <w:r w:rsidRPr="00A00A4B">
        <w:rPr>
          <w:i/>
          <w:iCs/>
        </w:rPr>
        <w:t xml:space="preserve">We have included freeze-drying to ensure that metabolite changes during storage are minimized since </w:t>
      </w:r>
      <w:r w:rsidRPr="00655348">
        <w:rPr>
          <w:rFonts w:cstheme="minorHAnsi"/>
          <w:i/>
          <w:iCs/>
        </w:rPr>
        <w:t>we intend to analyze samples from multiple seasons</w:t>
      </w:r>
      <w:r w:rsidR="00A00A4B" w:rsidRPr="00655348">
        <w:rPr>
          <w:rFonts w:cstheme="minorHAnsi"/>
          <w:i/>
          <w:iCs/>
        </w:rPr>
        <w:t>.</w:t>
      </w:r>
      <w:r w:rsidRPr="00655348">
        <w:rPr>
          <w:rFonts w:cstheme="minorHAnsi"/>
          <w:i/>
          <w:iCs/>
        </w:rPr>
        <w:t xml:space="preserve"> </w:t>
      </w:r>
      <w:r w:rsidR="00A00A4B" w:rsidRPr="00655348">
        <w:rPr>
          <w:rFonts w:cstheme="minorHAnsi"/>
          <w:i/>
          <w:iCs/>
        </w:rPr>
        <w:t>Rather than include freeze-drying as a step in the protocol we have amended this section to include freeze-drying as an optional step by adding a note:</w:t>
      </w:r>
    </w:p>
    <w:p w14:paraId="51AF5585" w14:textId="5FA94ABB" w:rsidR="00655348" w:rsidRPr="00655348" w:rsidRDefault="00655348" w:rsidP="00366808">
      <w:pPr>
        <w:jc w:val="both"/>
        <w:rPr>
          <w:rFonts w:cstheme="minorHAnsi"/>
          <w:i/>
          <w:iCs/>
        </w:rPr>
      </w:pPr>
      <w:bookmarkStart w:id="3" w:name="_Hlk24549945"/>
      <w:r w:rsidRPr="00655348">
        <w:rPr>
          <w:rFonts w:cstheme="minorHAnsi"/>
          <w:i/>
          <w:iCs/>
        </w:rPr>
        <w:t>“*NOTE: We recommend freeze-drying seeds shortly after harvest if samples are being collected from multiple seasons. This minimizes any changes in metabolite concentration that may occur after varying periods of storage.  To do this: transfer seeds to a 15 mL plastic centrifuge tube (approximately 300 seeds will fill the tube) and cover with aluminum foil. Pierce the foil two-three times using a pin and freeze dry the whole grains overnight (approximately 24 h)</w:t>
      </w:r>
      <w:bookmarkEnd w:id="3"/>
      <w:r w:rsidRPr="00655348">
        <w:rPr>
          <w:rFonts w:cstheme="minorHAnsi"/>
          <w:i/>
          <w:iCs/>
        </w:rPr>
        <w:t>. Samples can either be returned to the -80 °C freezer at this stage or the next step can be carried out.”</w:t>
      </w:r>
    </w:p>
    <w:p w14:paraId="4B1ECCC5" w14:textId="77E9E6B5" w:rsidR="007039D5" w:rsidRPr="00655348" w:rsidRDefault="009D11C1" w:rsidP="00366808">
      <w:pPr>
        <w:jc w:val="both"/>
        <w:rPr>
          <w:rFonts w:cstheme="minorHAnsi"/>
        </w:rPr>
      </w:pPr>
      <w:r w:rsidRPr="00655348">
        <w:rPr>
          <w:rFonts w:cstheme="minorHAnsi"/>
        </w:rPr>
        <w:t>* Line 101 d6-transcinnamic acid should be d6-transcinnamic acid</w:t>
      </w:r>
    </w:p>
    <w:p w14:paraId="2CB941B5" w14:textId="17B9D0E8" w:rsidR="007039D5" w:rsidRPr="00655348" w:rsidRDefault="007039D5" w:rsidP="00366808">
      <w:pPr>
        <w:jc w:val="both"/>
        <w:rPr>
          <w:rFonts w:cstheme="minorHAnsi"/>
          <w:i/>
          <w:iCs/>
        </w:rPr>
      </w:pPr>
      <w:r w:rsidRPr="00655348">
        <w:rPr>
          <w:rFonts w:cstheme="minorHAnsi"/>
          <w:i/>
          <w:iCs/>
        </w:rPr>
        <w:t>This has been corrected to d</w:t>
      </w:r>
      <w:r w:rsidRPr="00655348">
        <w:rPr>
          <w:rFonts w:cstheme="minorHAnsi"/>
          <w:i/>
          <w:iCs/>
          <w:vertAlign w:val="subscript"/>
        </w:rPr>
        <w:t>6</w:t>
      </w:r>
      <w:r w:rsidRPr="00655348">
        <w:rPr>
          <w:rFonts w:cstheme="minorHAnsi"/>
          <w:i/>
          <w:iCs/>
        </w:rPr>
        <w:t>.</w:t>
      </w:r>
    </w:p>
    <w:p w14:paraId="3571C4A8" w14:textId="412858C0" w:rsidR="007039D5" w:rsidRDefault="009D11C1" w:rsidP="00366808">
      <w:pPr>
        <w:jc w:val="both"/>
      </w:pPr>
      <w:r>
        <w:t>* The LC method described in Table 1 either has redundant segments or the need for segments has not been described. E.g</w:t>
      </w:r>
      <w:r w:rsidR="0052324C">
        <w:t>.</w:t>
      </w:r>
      <w:r>
        <w:t xml:space="preserve"> segment 5 could be removed. The slow flowrate change from 10 to 18 min is unusual. Again</w:t>
      </w:r>
      <w:r w:rsidR="0052324C">
        <w:t>,</w:t>
      </w:r>
      <w:r>
        <w:t xml:space="preserve"> is this the most efficient method?</w:t>
      </w:r>
    </w:p>
    <w:p w14:paraId="43E192DE" w14:textId="275C010F" w:rsidR="00801244" w:rsidRPr="00801244" w:rsidRDefault="00801244" w:rsidP="00366808">
      <w:pPr>
        <w:jc w:val="both"/>
        <w:rPr>
          <w:i/>
          <w:iCs/>
        </w:rPr>
      </w:pPr>
      <w:r w:rsidRPr="00801244">
        <w:rPr>
          <w:i/>
          <w:iCs/>
        </w:rPr>
        <w:t>Thank you for noticing this redundancy. Segment 5 was from an earlier version of the method and was mistakenly included in the current version. It has now been removed</w:t>
      </w:r>
      <w:r>
        <w:rPr>
          <w:i/>
          <w:iCs/>
        </w:rPr>
        <w:t xml:space="preserve"> from Table 1</w:t>
      </w:r>
      <w:r w:rsidRPr="00801244">
        <w:rPr>
          <w:i/>
          <w:iCs/>
        </w:rPr>
        <w:t xml:space="preserve">. </w:t>
      </w:r>
    </w:p>
    <w:p w14:paraId="73C53E54" w14:textId="612CB764" w:rsidR="007039D5" w:rsidRPr="00B4529B" w:rsidRDefault="007039D5" w:rsidP="00366808">
      <w:pPr>
        <w:jc w:val="both"/>
        <w:rPr>
          <w:i/>
          <w:iCs/>
        </w:rPr>
      </w:pPr>
      <w:r w:rsidRPr="007039D5">
        <w:rPr>
          <w:i/>
          <w:iCs/>
        </w:rPr>
        <w:t>When the IPA is initially introduced</w:t>
      </w:r>
      <w:r>
        <w:rPr>
          <w:i/>
          <w:iCs/>
        </w:rPr>
        <w:t xml:space="preserve"> at 10 min</w:t>
      </w:r>
      <w:r w:rsidRPr="007039D5">
        <w:rPr>
          <w:i/>
          <w:iCs/>
        </w:rPr>
        <w:t xml:space="preserve">, the flow rate needs to be lower to allow for the introduction of such a viscous solvent. The low flow rate prevents over-pressuring the LC system. After </w:t>
      </w:r>
      <w:r w:rsidR="00B4529B">
        <w:rPr>
          <w:i/>
          <w:iCs/>
        </w:rPr>
        <w:t xml:space="preserve">and 8-minute </w:t>
      </w:r>
      <w:r w:rsidRPr="007039D5">
        <w:rPr>
          <w:i/>
          <w:iCs/>
        </w:rPr>
        <w:t xml:space="preserve">equilibration, this is then increased to a higher flow for improved peak capacity. </w:t>
      </w:r>
      <w:r>
        <w:rPr>
          <w:i/>
          <w:iCs/>
        </w:rPr>
        <w:t xml:space="preserve">We have included the following </w:t>
      </w:r>
      <w:r w:rsidR="00CE3ACC">
        <w:rPr>
          <w:i/>
          <w:iCs/>
        </w:rPr>
        <w:t>note</w:t>
      </w:r>
      <w:r>
        <w:rPr>
          <w:i/>
          <w:iCs/>
        </w:rPr>
        <w:t xml:space="preserve"> </w:t>
      </w:r>
      <w:r w:rsidRPr="00B4529B">
        <w:rPr>
          <w:i/>
          <w:iCs/>
        </w:rPr>
        <w:t xml:space="preserve">in section 6.1: </w:t>
      </w:r>
      <w:bookmarkStart w:id="4" w:name="_Hlk22722017"/>
      <w:r w:rsidRPr="00B4529B">
        <w:rPr>
          <w:i/>
          <w:iCs/>
        </w:rPr>
        <w:t xml:space="preserve">“IPA is a viscous solvent. It should be introduced at a low flow rate </w:t>
      </w:r>
      <w:r w:rsidR="00B4529B">
        <w:rPr>
          <w:i/>
          <w:iCs/>
        </w:rPr>
        <w:t xml:space="preserve">and a sufficient equilibration time should be used before increasing the composition </w:t>
      </w:r>
      <w:r w:rsidRPr="00B4529B">
        <w:rPr>
          <w:i/>
          <w:iCs/>
        </w:rPr>
        <w:t>to</w:t>
      </w:r>
      <w:r w:rsidR="00B4529B">
        <w:rPr>
          <w:i/>
          <w:iCs/>
        </w:rPr>
        <w:t xml:space="preserve"> 98.0%. These steps will </w:t>
      </w:r>
      <w:r w:rsidRPr="00B4529B">
        <w:rPr>
          <w:i/>
          <w:iCs/>
        </w:rPr>
        <w:t>prevent the LC system from over-pressuring</w:t>
      </w:r>
      <w:r w:rsidR="00CE3ACC">
        <w:rPr>
          <w:i/>
          <w:iCs/>
        </w:rPr>
        <w:t xml:space="preserve"> and stopping</w:t>
      </w:r>
      <w:r w:rsidRPr="00B4529B">
        <w:rPr>
          <w:i/>
          <w:iCs/>
        </w:rPr>
        <w:t>”.</w:t>
      </w:r>
      <w:bookmarkEnd w:id="4"/>
      <w:r w:rsidRPr="00B4529B">
        <w:rPr>
          <w:i/>
          <w:iCs/>
        </w:rPr>
        <w:t xml:space="preserve"> </w:t>
      </w:r>
    </w:p>
    <w:p w14:paraId="7FFE5BBA" w14:textId="346F1E8B" w:rsidR="002E06A8" w:rsidRDefault="009D11C1" w:rsidP="00366808">
      <w:pPr>
        <w:jc w:val="both"/>
      </w:pPr>
      <w:r>
        <w:lastRenderedPageBreak/>
        <w:t>* It is not clear in the LCMS set-up if the (p5</w:t>
      </w:r>
      <w:r w:rsidR="005F28A3">
        <w:t xml:space="preserve"> </w:t>
      </w:r>
      <w:r>
        <w:t>167-187) if the data is acquired in +/- switching mode or in two independent runs. Please clarify.</w:t>
      </w:r>
      <w:r w:rsidR="005F28A3">
        <w:t xml:space="preserve"> </w:t>
      </w:r>
    </w:p>
    <w:p w14:paraId="72874331" w14:textId="701BF9EB" w:rsidR="00801244" w:rsidRPr="00801244" w:rsidRDefault="00801244" w:rsidP="00366808">
      <w:pPr>
        <w:jc w:val="both"/>
        <w:rPr>
          <w:i/>
          <w:iCs/>
        </w:rPr>
      </w:pPr>
      <w:r w:rsidRPr="00801244">
        <w:rPr>
          <w:i/>
          <w:iCs/>
        </w:rPr>
        <w:t>Each mode was run independently. We have included a note in section 6.2 to clarify this: “The instrument used in the work presented here requires positive and negative methods to be calibrated and run individually i.e. polarity switching within a method is not possible”.</w:t>
      </w:r>
    </w:p>
    <w:p w14:paraId="78EB382B" w14:textId="2357956D" w:rsidR="007039D5" w:rsidRDefault="009D11C1" w:rsidP="00366808">
      <w:pPr>
        <w:jc w:val="both"/>
      </w:pPr>
      <w:r>
        <w:t xml:space="preserve">* P5 L199 </w:t>
      </w:r>
      <w:r w:rsidR="0085748F">
        <w:t>the</w:t>
      </w:r>
      <w:r>
        <w:t xml:space="preserve"> authors state: "Correct the feature signals to signals in pooled QC samples" this needs more explanation. What correction is applied and how does this affect the results?</w:t>
      </w:r>
    </w:p>
    <w:p w14:paraId="720C3D7A" w14:textId="6DB26681" w:rsidR="00A00A4B" w:rsidRPr="00587AB3" w:rsidRDefault="00587AB3" w:rsidP="00366808">
      <w:pPr>
        <w:jc w:val="both"/>
        <w:rPr>
          <w:i/>
          <w:iCs/>
        </w:rPr>
      </w:pPr>
      <w:r w:rsidRPr="00587AB3">
        <w:rPr>
          <w:i/>
          <w:iCs/>
        </w:rPr>
        <w:t xml:space="preserve">We have included additional protocol steps in section 7.5 to further explain the software used, software navigation, recommended settings and the type of correction applied. </w:t>
      </w:r>
    </w:p>
    <w:p w14:paraId="28B415DC" w14:textId="060B20F5" w:rsidR="00BD5031" w:rsidRDefault="009D11C1" w:rsidP="00366808">
      <w:pPr>
        <w:jc w:val="both"/>
      </w:pPr>
      <w:r>
        <w:t>* P7 authors note the importance of internal standards - Why are there no internal standards for the lipid portion of the run?</w:t>
      </w:r>
    </w:p>
    <w:p w14:paraId="73FC10B2" w14:textId="528E5A1C" w:rsidR="005552C7" w:rsidRPr="005552C7" w:rsidRDefault="005552C7" w:rsidP="00366808">
      <w:pPr>
        <w:jc w:val="both"/>
        <w:rPr>
          <w:i/>
          <w:iCs/>
        </w:rPr>
      </w:pPr>
      <w:r w:rsidRPr="005552C7">
        <w:rPr>
          <w:i/>
          <w:iCs/>
        </w:rPr>
        <w:t xml:space="preserve">We </w:t>
      </w:r>
      <w:r>
        <w:rPr>
          <w:i/>
          <w:iCs/>
        </w:rPr>
        <w:t xml:space="preserve">agree that the protocol would be improved with the addition of a lipid internal standard and have discussed this further in the discussion section and provided a recommendation for a suitable lipid class and supporting literature:   </w:t>
      </w:r>
    </w:p>
    <w:p w14:paraId="1F67F169" w14:textId="4C770682" w:rsidR="005552C7" w:rsidRPr="005552C7" w:rsidRDefault="00273713" w:rsidP="00366808">
      <w:pPr>
        <w:jc w:val="both"/>
        <w:rPr>
          <w:i/>
          <w:iCs/>
        </w:rPr>
      </w:pPr>
      <w:r>
        <w:rPr>
          <w:i/>
          <w:iCs/>
        </w:rPr>
        <w:t>“</w:t>
      </w:r>
      <w:r w:rsidR="005552C7" w:rsidRPr="005552C7">
        <w:rPr>
          <w:i/>
          <w:iCs/>
        </w:rPr>
        <w:t xml:space="preserve">We included four standards in the extraction solution used to prepare grain and a standard in the final sample added prior to injection. Care was taken to ensure that standards were amenable to each ionization mode and covered a range of retention times however we acknowledge that this array of standards could be improved with the inclusion of a labeled lipid standard. It has been shown that wheat grain contains hundreds of triacylglycerols </w:t>
      </w:r>
      <w:r>
        <w:rPr>
          <w:i/>
          <w:iCs/>
        </w:rPr>
        <w:t>(</w:t>
      </w:r>
      <w:r w:rsidR="005552C7" w:rsidRPr="005552C7">
        <w:rPr>
          <w:i/>
          <w:iCs/>
        </w:rPr>
        <w:t>TAGs</w:t>
      </w:r>
      <w:r>
        <w:rPr>
          <w:i/>
          <w:iCs/>
        </w:rPr>
        <w:t>)</w:t>
      </w:r>
      <w:r w:rsidR="005552C7" w:rsidRPr="005552C7">
        <w:rPr>
          <w:i/>
          <w:iCs/>
        </w:rPr>
        <w:t>, any of which would be a suitable addition to this protocol.</w:t>
      </w:r>
    </w:p>
    <w:p w14:paraId="0422D11C" w14:textId="77777777" w:rsidR="00BD5031" w:rsidRPr="00AA7E8A" w:rsidRDefault="009D11C1" w:rsidP="00366808">
      <w:pPr>
        <w:jc w:val="both"/>
        <w:rPr>
          <w:b/>
          <w:bCs/>
        </w:rPr>
      </w:pPr>
      <w:r w:rsidRPr="00AA7E8A">
        <w:rPr>
          <w:b/>
          <w:bCs/>
        </w:rPr>
        <w:t>Reviewer #2:</w:t>
      </w:r>
    </w:p>
    <w:p w14:paraId="628B349A" w14:textId="2EFC3E3D" w:rsidR="00BD5031" w:rsidRDefault="009D11C1" w:rsidP="00366808">
      <w:pPr>
        <w:jc w:val="both"/>
      </w:pPr>
      <w:r>
        <w:t xml:space="preserve">The authors described a nice workflow for the metabolomic analysis of grain samples containing an analytical approach to </w:t>
      </w:r>
      <w:r w:rsidR="00F30E3F">
        <w:t>analyze</w:t>
      </w:r>
      <w:r>
        <w:t xml:space="preserve"> both hydrophilic and hydrophobic compounds in one run using a quaternary pump.</w:t>
      </w:r>
    </w:p>
    <w:p w14:paraId="1F661A1B" w14:textId="1DEC7B29" w:rsidR="00724AAB" w:rsidRDefault="009D11C1" w:rsidP="00366808">
      <w:pPr>
        <w:jc w:val="both"/>
      </w:pPr>
      <w:r>
        <w:t>To further complete the paper</w:t>
      </w:r>
      <w:r w:rsidR="00F30E3F">
        <w:t>,</w:t>
      </w:r>
      <w:r>
        <w:t xml:space="preserve"> it is recommended to elaborate further on both the need of replicate analysis, why only biological replicates were chosen and no technical replicates were used, why a number of three biological replicates was chosen. Is this number of 3 sufficient to highlight all significant changes between the different samples.</w:t>
      </w:r>
    </w:p>
    <w:p w14:paraId="13D6E95C" w14:textId="74E2CD76" w:rsidR="002E06A8" w:rsidRPr="002E06A8" w:rsidRDefault="002E06A8" w:rsidP="00366808">
      <w:pPr>
        <w:jc w:val="both"/>
        <w:rPr>
          <w:i/>
          <w:iCs/>
        </w:rPr>
      </w:pPr>
      <w:r w:rsidRPr="002E06A8">
        <w:rPr>
          <w:i/>
          <w:iCs/>
        </w:rPr>
        <w:t xml:space="preserve">The number of biological replicates is not likely to be adequate </w:t>
      </w:r>
      <w:r w:rsidR="004A4F98">
        <w:rPr>
          <w:i/>
          <w:iCs/>
        </w:rPr>
        <w:t>to observe significant changes in intensity for all</w:t>
      </w:r>
      <w:r w:rsidRPr="002E06A8">
        <w:rPr>
          <w:i/>
          <w:iCs/>
        </w:rPr>
        <w:t xml:space="preserve"> metabolite</w:t>
      </w:r>
      <w:r w:rsidR="004A4F98">
        <w:rPr>
          <w:i/>
          <w:iCs/>
        </w:rPr>
        <w:t>s</w:t>
      </w:r>
      <w:r w:rsidRPr="002E06A8">
        <w:rPr>
          <w:i/>
          <w:iCs/>
        </w:rPr>
        <w:t xml:space="preserve"> however it is a</w:t>
      </w:r>
      <w:r w:rsidR="004A4F98">
        <w:rPr>
          <w:i/>
          <w:iCs/>
        </w:rPr>
        <w:t xml:space="preserve">dequate for </w:t>
      </w:r>
      <w:r w:rsidRPr="002E06A8">
        <w:rPr>
          <w:i/>
          <w:iCs/>
        </w:rPr>
        <w:t>&gt;</w:t>
      </w:r>
      <w:r w:rsidR="004A4F98">
        <w:rPr>
          <w:i/>
          <w:iCs/>
        </w:rPr>
        <w:t>5</w:t>
      </w:r>
      <w:r w:rsidRPr="002E06A8">
        <w:rPr>
          <w:i/>
          <w:iCs/>
        </w:rPr>
        <w:t>00 metabolites w</w:t>
      </w:r>
      <w:r w:rsidR="008127F1">
        <w:rPr>
          <w:i/>
          <w:iCs/>
        </w:rPr>
        <w:t>h</w:t>
      </w:r>
      <w:r w:rsidRPr="002E06A8">
        <w:rPr>
          <w:i/>
          <w:iCs/>
        </w:rPr>
        <w:t xml:space="preserve">ere significant changes were observed. This is preliminary work </w:t>
      </w:r>
      <w:r w:rsidR="004A4F98">
        <w:rPr>
          <w:i/>
          <w:iCs/>
        </w:rPr>
        <w:t xml:space="preserve">from which power analysis can be performed to allow </w:t>
      </w:r>
      <w:r w:rsidR="00750DCD">
        <w:rPr>
          <w:i/>
          <w:iCs/>
        </w:rPr>
        <w:t xml:space="preserve">a </w:t>
      </w:r>
      <w:r w:rsidR="004A4F98">
        <w:rPr>
          <w:i/>
          <w:iCs/>
        </w:rPr>
        <w:t xml:space="preserve">more </w:t>
      </w:r>
      <w:r w:rsidR="00750DCD">
        <w:rPr>
          <w:i/>
          <w:iCs/>
        </w:rPr>
        <w:t xml:space="preserve">accurate estimation of </w:t>
      </w:r>
      <w:r w:rsidR="00871CF3">
        <w:rPr>
          <w:i/>
          <w:iCs/>
        </w:rPr>
        <w:t xml:space="preserve">the number of </w:t>
      </w:r>
      <w:r w:rsidR="00750DCD">
        <w:rPr>
          <w:i/>
          <w:iCs/>
        </w:rPr>
        <w:t>biological replicates needed.</w:t>
      </w:r>
      <w:r w:rsidR="004A4F98">
        <w:rPr>
          <w:i/>
          <w:iCs/>
        </w:rPr>
        <w:t xml:space="preserve"> </w:t>
      </w:r>
    </w:p>
    <w:p w14:paraId="70A19BCB" w14:textId="7F9AFF80" w:rsidR="002E06A8" w:rsidRDefault="002E06A8" w:rsidP="00366808">
      <w:pPr>
        <w:jc w:val="both"/>
        <w:rPr>
          <w:i/>
          <w:iCs/>
        </w:rPr>
      </w:pPr>
      <w:r w:rsidRPr="002E06A8">
        <w:rPr>
          <w:i/>
          <w:iCs/>
        </w:rPr>
        <w:t xml:space="preserve">Pooled samples were used as technical replicates and run </w:t>
      </w:r>
      <w:r w:rsidR="0052324C">
        <w:rPr>
          <w:i/>
          <w:iCs/>
        </w:rPr>
        <w:t>for the first 8 injections and then every 5</w:t>
      </w:r>
      <w:r w:rsidR="0052324C" w:rsidRPr="0052324C">
        <w:rPr>
          <w:i/>
          <w:iCs/>
          <w:vertAlign w:val="superscript"/>
        </w:rPr>
        <w:t>th</w:t>
      </w:r>
      <w:r w:rsidR="0052324C">
        <w:rPr>
          <w:i/>
          <w:iCs/>
        </w:rPr>
        <w:t xml:space="preserve"> </w:t>
      </w:r>
      <w:r w:rsidRPr="002E06A8">
        <w:rPr>
          <w:i/>
          <w:iCs/>
        </w:rPr>
        <w:t>injection</w:t>
      </w:r>
      <w:r w:rsidR="0052324C">
        <w:rPr>
          <w:i/>
          <w:iCs/>
        </w:rPr>
        <w:t xml:space="preserve"> thereafter. There were 17 QC samples in total.  </w:t>
      </w:r>
    </w:p>
    <w:p w14:paraId="58D3A71B" w14:textId="77777777" w:rsidR="00750DCD" w:rsidRDefault="00801244" w:rsidP="00366808">
      <w:pPr>
        <w:jc w:val="both"/>
        <w:rPr>
          <w:i/>
          <w:iCs/>
        </w:rPr>
      </w:pPr>
      <w:r w:rsidRPr="00801244">
        <w:rPr>
          <w:i/>
          <w:iCs/>
        </w:rPr>
        <w:t xml:space="preserve">We have amended section 6.8 to: </w:t>
      </w:r>
    </w:p>
    <w:p w14:paraId="1C4EE13D" w14:textId="37A16C39" w:rsidR="00871CF3" w:rsidRDefault="00801244" w:rsidP="00366808">
      <w:pPr>
        <w:jc w:val="both"/>
        <w:rPr>
          <w:i/>
          <w:iCs/>
        </w:rPr>
      </w:pPr>
      <w:r w:rsidRPr="00801244">
        <w:rPr>
          <w:i/>
          <w:iCs/>
        </w:rPr>
        <w:t xml:space="preserve">Set up the instrument sequence table so that solvent and preparative (extraction) blanks are </w:t>
      </w:r>
      <w:r w:rsidR="00F30E3F" w:rsidRPr="00801244">
        <w:rPr>
          <w:i/>
          <w:iCs/>
        </w:rPr>
        <w:t>analyzed</w:t>
      </w:r>
      <w:r w:rsidRPr="00801244">
        <w:rPr>
          <w:i/>
          <w:iCs/>
        </w:rPr>
        <w:t xml:space="preserve"> first; followed by pooled QC samples (6-10) for system conditioning; then the randomized sample list with QC samples run at regular intervals, e.g. every fifth injection, as technical replicates. Run two QC samples at the end of the sequence.</w:t>
      </w:r>
    </w:p>
    <w:sectPr w:rsidR="00871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914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DF"/>
    <w:rsid w:val="00035EDF"/>
    <w:rsid w:val="00061B34"/>
    <w:rsid w:val="00091C1D"/>
    <w:rsid w:val="000D177B"/>
    <w:rsid w:val="000D32AC"/>
    <w:rsid w:val="0011353C"/>
    <w:rsid w:val="00115D41"/>
    <w:rsid w:val="002324AC"/>
    <w:rsid w:val="00263E9F"/>
    <w:rsid w:val="00273713"/>
    <w:rsid w:val="002E06A8"/>
    <w:rsid w:val="003166A8"/>
    <w:rsid w:val="0031674D"/>
    <w:rsid w:val="003518F3"/>
    <w:rsid w:val="00351F8D"/>
    <w:rsid w:val="00365C1E"/>
    <w:rsid w:val="00366808"/>
    <w:rsid w:val="00372DDE"/>
    <w:rsid w:val="003C601E"/>
    <w:rsid w:val="00445A01"/>
    <w:rsid w:val="00493464"/>
    <w:rsid w:val="004A4F98"/>
    <w:rsid w:val="004B68FB"/>
    <w:rsid w:val="0052324C"/>
    <w:rsid w:val="005552C7"/>
    <w:rsid w:val="00587AB3"/>
    <w:rsid w:val="005F28A3"/>
    <w:rsid w:val="00655348"/>
    <w:rsid w:val="006F1FC3"/>
    <w:rsid w:val="007039D5"/>
    <w:rsid w:val="007166CE"/>
    <w:rsid w:val="00724AAB"/>
    <w:rsid w:val="0074685C"/>
    <w:rsid w:val="00750DCD"/>
    <w:rsid w:val="0075562F"/>
    <w:rsid w:val="00782AE9"/>
    <w:rsid w:val="0079489D"/>
    <w:rsid w:val="007C497E"/>
    <w:rsid w:val="00801244"/>
    <w:rsid w:val="00804536"/>
    <w:rsid w:val="008127F1"/>
    <w:rsid w:val="0085748F"/>
    <w:rsid w:val="00871CF3"/>
    <w:rsid w:val="008A7D63"/>
    <w:rsid w:val="008C3E90"/>
    <w:rsid w:val="008E643A"/>
    <w:rsid w:val="009038ED"/>
    <w:rsid w:val="009108FA"/>
    <w:rsid w:val="009125FF"/>
    <w:rsid w:val="009633B0"/>
    <w:rsid w:val="009D11C1"/>
    <w:rsid w:val="009F74EF"/>
    <w:rsid w:val="00A00A4B"/>
    <w:rsid w:val="00A057E9"/>
    <w:rsid w:val="00A203E5"/>
    <w:rsid w:val="00A314CE"/>
    <w:rsid w:val="00A401C5"/>
    <w:rsid w:val="00A671D0"/>
    <w:rsid w:val="00AA7E8A"/>
    <w:rsid w:val="00AE4576"/>
    <w:rsid w:val="00B0758C"/>
    <w:rsid w:val="00B26B98"/>
    <w:rsid w:val="00B413B0"/>
    <w:rsid w:val="00B4529B"/>
    <w:rsid w:val="00BD5031"/>
    <w:rsid w:val="00C7499F"/>
    <w:rsid w:val="00CC1FA8"/>
    <w:rsid w:val="00CD7369"/>
    <w:rsid w:val="00CE3ACC"/>
    <w:rsid w:val="00CE770E"/>
    <w:rsid w:val="00CF2BA7"/>
    <w:rsid w:val="00D119EB"/>
    <w:rsid w:val="00D2780A"/>
    <w:rsid w:val="00D411B4"/>
    <w:rsid w:val="00D51062"/>
    <w:rsid w:val="00D766E8"/>
    <w:rsid w:val="00DB105B"/>
    <w:rsid w:val="00DF68F6"/>
    <w:rsid w:val="00E310AE"/>
    <w:rsid w:val="00E4089C"/>
    <w:rsid w:val="00E449CB"/>
    <w:rsid w:val="00E54B55"/>
    <w:rsid w:val="00EC0A38"/>
    <w:rsid w:val="00F24A8A"/>
    <w:rsid w:val="00F30E3F"/>
    <w:rsid w:val="00F355D6"/>
    <w:rsid w:val="00F456FF"/>
    <w:rsid w:val="00F5243A"/>
    <w:rsid w:val="00F67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D0ED"/>
  <w15:chartTrackingRefBased/>
  <w15:docId w15:val="{AB270AE1-C059-4304-A7EA-C08E9FEC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11C1"/>
    <w:rPr>
      <w:b/>
      <w:bCs/>
    </w:rPr>
  </w:style>
  <w:style w:type="paragraph" w:styleId="BalloonText">
    <w:name w:val="Balloon Text"/>
    <w:basedOn w:val="Normal"/>
    <w:link w:val="BalloonTextChar"/>
    <w:uiPriority w:val="99"/>
    <w:semiHidden/>
    <w:unhideWhenUsed/>
    <w:rsid w:val="00703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9D5"/>
    <w:rPr>
      <w:rFonts w:ascii="Segoe UI" w:hAnsi="Segoe UI" w:cs="Segoe UI"/>
      <w:sz w:val="18"/>
      <w:szCs w:val="18"/>
      <w:lang w:val="en-US"/>
    </w:rPr>
  </w:style>
  <w:style w:type="paragraph" w:styleId="ListParagraph">
    <w:name w:val="List Paragraph"/>
    <w:basedOn w:val="Normal"/>
    <w:uiPriority w:val="34"/>
    <w:qFormat/>
    <w:rsid w:val="00372DDE"/>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customStyle="1" w:styleId="EndNoteBibliography">
    <w:name w:val="EndNote Bibliography"/>
    <w:basedOn w:val="Normal"/>
    <w:link w:val="EndNoteBibliographyChar"/>
    <w:rsid w:val="00B26B98"/>
    <w:pPr>
      <w:widowControl w:val="0"/>
      <w:autoSpaceDE w:val="0"/>
      <w:autoSpaceDN w:val="0"/>
      <w:adjustRightInd w:val="0"/>
      <w:spacing w:after="0" w:line="240" w:lineRule="auto"/>
      <w:jc w:val="both"/>
    </w:pPr>
    <w:rPr>
      <w:rFonts w:ascii="Calibri" w:eastAsia="Times New Roman" w:hAnsi="Calibri" w:cs="Calibri"/>
      <w:noProof/>
      <w:color w:val="000000"/>
      <w:sz w:val="24"/>
      <w:szCs w:val="24"/>
    </w:rPr>
  </w:style>
  <w:style w:type="character" w:customStyle="1" w:styleId="EndNoteBibliographyChar">
    <w:name w:val="EndNote Bibliography Char"/>
    <w:basedOn w:val="DefaultParagraphFont"/>
    <w:link w:val="EndNoteBibliography"/>
    <w:rsid w:val="00B26B98"/>
    <w:rPr>
      <w:rFonts w:ascii="Calibri" w:eastAsia="Times New Roman"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9808</TotalTime>
  <Pages>8</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Abbiss</dc:creator>
  <cp:keywords/>
  <dc:description/>
  <cp:lastModifiedBy>Hayley Abbiss</cp:lastModifiedBy>
  <cp:revision>30</cp:revision>
  <dcterms:created xsi:type="dcterms:W3CDTF">2019-10-17T02:08:00Z</dcterms:created>
  <dcterms:modified xsi:type="dcterms:W3CDTF">2019-11-25T09:25:00Z</dcterms:modified>
</cp:coreProperties>
</file>