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Exon Skipping in Directly Reprogrammed Myotubes Obtained from Human Urine-Derived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Hotake Takizawa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Mitsuto Sato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Yoshitsugu Aoki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Therapy, National Institute of Neuroscience, National Center of Neurology and Psychiatry, Tokyo,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Yoshitsugu Aoki</w:t>
        <w:tab/>
        <w:t xml:space="preserve">(tsugu56@ncnp.go.jp)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Hotake Takizawa</w:t>
        <w:tab/>
        <w:t xml:space="preserve">(takizawah@ncnp.go.jp)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Mitsuto Sato</w:t>
        <w:tab/>
        <w:tab/>
        <w:t xml:space="preserve">(msato@ncnp.go.jp)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Duchenne muscular dystrophy (DMD), urine-derived cells, exon skipping, precision medicine, skeletal muscle, clinical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a detailed protocol for efficient modelling of Duchenne muscular dystrophy muscle using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-converted urine-derived cells to evaluate the restoration of dystrophin mRNA and protein levels after exon skipping.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Duchenne muscular dystrophy (DMD), a progressive and fatal muscle disease, is caused by mutations in the </w:t>
      </w:r>
      <w:r>
        <w:rPr>
          <w:rFonts w:ascii="Calibri" w:hAnsi="Calibri" w:cs="Calibri" w:eastAsia="Calibri"/>
          <w:i/>
          <w:color w:val="auto"/>
          <w:spacing w:val="0"/>
          <w:position w:val="0"/>
          <w:sz w:val="24"/>
          <w:shd w:fill="auto" w:val="clear"/>
        </w:rPr>
        <w:t xml:space="preserve">DMD</w:t>
      </w:r>
      <w:r>
        <w:rPr>
          <w:rFonts w:ascii="Calibri" w:hAnsi="Calibri" w:cs="Calibri" w:eastAsia="Calibri"/>
          <w:color w:val="auto"/>
          <w:spacing w:val="0"/>
          <w:position w:val="0"/>
          <w:sz w:val="24"/>
          <w:shd w:fill="auto" w:val="clear"/>
        </w:rPr>
        <w:t xml:space="preserve"> gene that result in the absence of dystrophin protein. To date, we have completed an investigator-initiated first-in-human study at the National Center of Neurology and Psychiatry based on the systemic injection of the morpholino oligonucleotides which are prone to exon-53 skipping. For the effective treatment of DMD, in vitro testing with myoblasts derived from DMD patients to screen drugs and assess patient eligibility before undertaking clinical trials is thought to be essential. Very recently, we reported a new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converted urine-derived cell (UDC) treated with the histone methyltransferase inhibitor (3-deazaneplanocin A hydrochloride), as a cellular model of DMD. The new autologous UDC might show phenocopy of the disease-specific phenotypes of DMD, leading to the application of precision medicine in a variety of muscle-related diseases. In this article, we describe a detailed protocol for efficient modelling of DMD muscle cells using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-converted UDCs along with reverse transcriptase polymerase chain reaction (RT-PCR), Western blotting, and immunocytochemistry to evaluate the restoration of dystrophin mRNA and protein levels after exon skipping.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Duchenne muscular dystrophy (DMD), a progressive, fatal muscle disease, is caused by frame-shift mutations in the </w:t>
      </w:r>
      <w:r>
        <w:rPr>
          <w:rFonts w:ascii="Calibri" w:hAnsi="Calibri" w:cs="Calibri" w:eastAsia="Calibri"/>
          <w:i/>
          <w:color w:val="auto"/>
          <w:spacing w:val="0"/>
          <w:position w:val="0"/>
          <w:sz w:val="24"/>
          <w:shd w:fill="auto" w:val="clear"/>
        </w:rPr>
        <w:t xml:space="preserve">DMD</w:t>
      </w:r>
      <w:r>
        <w:rPr>
          <w:rFonts w:ascii="Calibri" w:hAnsi="Calibri" w:cs="Calibri" w:eastAsia="Calibri"/>
          <w:color w:val="auto"/>
          <w:spacing w:val="0"/>
          <w:position w:val="0"/>
          <w:sz w:val="24"/>
          <w:shd w:fill="auto" w:val="clear"/>
        </w:rPr>
        <w:t xml:space="preserve"> gene that result in the absence of dystrophin protein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Antisense oligonucleotide-based exon skipping therapy is thought to be promising for DMD. This therapy is based on the conversion of the severer DMD phenotype to the milder Becker muscular dystrophy-like phenotype by altering pre-mRNA splicing to restore the </w:t>
      </w:r>
      <w:r>
        <w:rPr>
          <w:rFonts w:ascii="Calibri" w:hAnsi="Calibri" w:cs="Calibri" w:eastAsia="Calibri"/>
          <w:i/>
          <w:color w:val="auto"/>
          <w:spacing w:val="0"/>
          <w:position w:val="0"/>
          <w:sz w:val="24"/>
          <w:shd w:fill="auto" w:val="clear"/>
        </w:rPr>
        <w:t xml:space="preserve">DMD</w:t>
      </w:r>
      <w:r>
        <w:rPr>
          <w:rFonts w:ascii="Calibri" w:hAnsi="Calibri" w:cs="Calibri" w:eastAsia="Calibri"/>
          <w:color w:val="auto"/>
          <w:spacing w:val="0"/>
          <w:position w:val="0"/>
          <w:sz w:val="24"/>
          <w:shd w:fill="auto" w:val="clear"/>
        </w:rPr>
        <w:t xml:space="preserve"> reading frame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 have recently completed a first-in-human study based on repeated intravenous administration of the phosphorodiamidate morpholino oligomer (PMO) viltolarsen, which can induce exon 53 skipping in DMD, and demonstrated an excellent safety profile, promising efficacy, and acceptable pharmacokinetic parameters (registered as UMIN: 000010964 and ClinicalTrials.gov: NCT02081625)</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to develop cost-effective and efficient treatments for the disease, in vitro tests using primary muscle cells obtained from DMD patients are essential for drug screening and patient eligibility verification before undertaking clinical trials, as well as biomarkers that reflect the efficacy of exon skipping therapies during human trials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Very recently, we reported a novel technology to develop patient-specific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-converted urine-derived cells (UDCs)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as a primary myoblast model of DMD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Thus, to generate the myoblasts, only the collection of urine from patients is required and no invasive procedure is needed. In this article, we describe a detailed protocol for efficient modelling of DMD muscle using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-converted UDCs treated with 3-deazaneplanocin A hydrochloride to evaluate the restored dystrophin mRNA and protein after exon skipping.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Ethics Committee of the National Center of Neurology and Psychiatry approved this study (approval ID: A2017-018, A2018-029). All individuals gave informed consent before providing urine. All experiments were performed under the relevant guidelines and regulations.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Isolation and primary culture of UDCs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UDCs were isolated according to a previously published protocol</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with some modifications.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Collect urine samples during spontaneous micturition in sterilized plastic bottles.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Sterilization of the external urethral orifice is not needed. Midstream urine is desirable to reduce the risk of viral contamination. If the stock time before the next procedure is &amp;gt;1 h, urine samples should be transferred to 4 &amp;#176;C to preserve the cell viability. However, a temperature of &amp;lt;4 &amp;#176;C should be avoided because insoluble precipitates may appear.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Centrifuge the entire urine sample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Aspirate the supernatant, leaving 1 mL in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Resuspend the pellets individually in the remaining 1 mL of urine and then collect those in a single 50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Add 10 mL of washing buffer consisting of 99 mL of PBS without calcium and magnesium, 1% penicillin/streptomycin (P/S), 0.5 &amp;#181;g/mL amphotericin B, and centrifuge the samples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Aspirate the supernatant, leaving 0.2 mL in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Resuspend the cell pellets in 4.5 mL of primary medium composed of a 1:1 mixture of high glucose Dulbecco’s modified Eagle medium (DMEM)</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without sodium pyruvate and Ham’s F-12 nutrient mix supplemented with recombinant human epidermal growth factor (EGF), insulin, hydrocortisone, epinephrine, T3, transferrin, 10% tetracycline-free fetal bovine serum (FBS), 1% P/S, and 0.5 &amp;#181;g/mL amphotericin 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Seed the cells in three wells of gelatine-coated six well plates (total volume of each well, 1.5 mL). Culture humidified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Add 1.5 mL of the primary medium daily for the next 3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On day 4, replace the medium with 1.5 mL of growth medium supplemented with recombinant human EGF, insulin, hydrocortisone, epinephrine, T3, transferrin, 15% tetracycline-free FBS, 0.5% L-alanine-L-glutamine, 0.5% nonessential amino acids, and 2.5 ng/mL fibroblast growth factor-basic (bFGF), recombinant human platelet-derived growth factor (PDGF), EGF, and 1% 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Change the growth medium every other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UDC colonies appear within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When the UDC culture becomes 80</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90% confluent, remove the medium and wash cells with PBS, split all the cells using 0.25% trypsin-EDTA and seed at 3,000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onto a new gelatine-coated 60 mm dish (passage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UDCs can be stored in liquid nitrogen. UDCs are usually divided at 60</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70% confluency in 60 mm culture dish into three stock tubes.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Retroviral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Amplify the coding region of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 (NM_002478.4) plasmid by polymerase chain reaction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for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 amplification and conditions for the thermal cycler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Detect a single band of about 1,000 bp size by 0.7% agarose gel electrophoresis using 1 &amp;#181;L of the amplified PCR product to confirm that the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 sequence is amplified successfully.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Clean the PCR product using the clean-up kit and determine its concentration with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Incubate the mixture as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at 37 &amp;#176;C overnight to digest retroviral vector with a Tet-on system and puromycin resistant gene at restriction enzyme-targeted regions in the multiple cloning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Detect a single band by 0.7% agarose gel electrophoresis using 1 &amp;#181;L of the digested product to confirm that the retroviral vector was digested successfully.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Clean the digested product using clean-up kit and determine its concentration by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To clone the amplified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 fragment (produced by steps 2.1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into the digested retroviral vector (produced by steps 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perform an in-fusion cloning reaction. Set up the reaction as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incubate the reaction for 15 min at 50 &amp;#176;C, and then place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Perform transformation using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competent cells according to the manufacturer's instructions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Select the transformed competent cells by culturing on an LB culture plate consisting of 10 g/L bacto tryptone, 5 g/L bacto yeast extract, 5 g/L NaCl, 15 g/L bacto agar, and 50 mg/L ampicillin.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Pick up the selected colony and culture in LB culture medium without bacto agar at 200 rpm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Purify the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-inserted retroviral vectors using a plasmid purification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quantify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Confirm that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 is correctly inserted into the retroviral vector by direct sequencing of the PCR product amplified by the forward and reverse primers targeted respectively on both sides across the inserted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 sequence.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 sequence can be detected sandwiched between retroviral vector sequences when in-fusion cloning is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For retroviral production, seed the packaging cells at 50,000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10 cm collagen-coated plates and culture in DMEM with 10% FBS humidified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When the packaging cells proliferate to 80% confluency, mix 30 &amp;#181;g of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-inserted retroviral vectors, 30 &amp;#181;g of packaging vectors, and transfection reagent containing cell-penetrating peptide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vortexing, and incubate them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Add the incubated mixture to the medium of packaging cells and culture humidified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Collagen coating is necessary. Transfection may be better at 24 h or more after seeding because packaging cells easily detach from the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After 4 h or overnight, change the medium to fresh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Collect the viral supernatant and replace with fresh medium at 24 and 48 h after cotransfection and combine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To concentrate the viral supernatant, mix it with the concentrator reagent and incubate at 37 &amp;#176;C overnight, then centrifuge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Filter the retrovirus supernatant through a PVDF filter with 0.45 &amp;#181;m pores.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 Check the titer of the retroviral vector using a quantitative PCR kit and thermal cycler system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Divide the viral supernatant into small aliquots and stock them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Infection with </w:t>
      </w:r>
      <w:r>
        <w:rPr>
          <w:rFonts w:ascii="Calibri" w:hAnsi="Calibri" w:cs="Calibri" w:eastAsia="Calibri"/>
          <w:b/>
          <w:i/>
          <w:color w:val="auto"/>
          <w:spacing w:val="0"/>
          <w:position w:val="0"/>
          <w:sz w:val="24"/>
          <w:shd w:fill="FFFF00" w:val="clear"/>
        </w:rPr>
        <w:t xml:space="preserve">MYOD1</w:t>
      </w:r>
      <w:r>
        <w:rPr>
          <w:rFonts w:ascii="Calibri" w:hAnsi="Calibri" w:cs="Calibri" w:eastAsia="Calibri"/>
          <w:b/>
          <w:color w:val="auto"/>
          <w:spacing w:val="0"/>
          <w:position w:val="0"/>
          <w:sz w:val="24"/>
          <w:shd w:fill="FFFF00" w:val="clear"/>
        </w:rPr>
        <w:t xml:space="preserve">-retroviral vector in UDCs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Seed the UDCs at 3,000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on a gelatine-coated 60 mm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After 24 h of seeding, infect the thawed retrovirus (step 2.21) at a multiplicity of infection of 200 by adding hexadimethrine bromide at a concentration of 8 &amp;#181;g/mL.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After a 24 h incubation humidified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replace the culture medium with fresh growth medium containing 1 &amp;#181;g/mL puromycin to select the </w:t>
      </w:r>
      <w:r>
        <w:rPr>
          <w:rFonts w:ascii="Calibri" w:hAnsi="Calibri" w:cs="Calibri" w:eastAsia="Calibri"/>
          <w:i/>
          <w:color w:val="auto"/>
          <w:spacing w:val="0"/>
          <w:position w:val="0"/>
          <w:sz w:val="24"/>
          <w:shd w:fill="FFFF00" w:val="clear"/>
        </w:rPr>
        <w:t xml:space="preserve">MYOD1</w:t>
      </w:r>
      <w:r>
        <w:rPr>
          <w:rFonts w:ascii="Calibri" w:hAnsi="Calibri" w:cs="Calibri" w:eastAsia="Calibri"/>
          <w:color w:val="auto"/>
          <w:spacing w:val="0"/>
          <w:position w:val="0"/>
          <w:sz w:val="24"/>
          <w:shd w:fill="FFFF00" w:val="clear"/>
        </w:rPr>
        <w:t xml:space="preserve">-transduced cells. Change the medium every other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selecting for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-positive cells, 1 &amp;#181;g/mL puromycin is usually used for selection. The appropriate dose should be determined. Use a plate containing untransfected cells and choose the dose that kills all the cells in 3</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5 days.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-positive cells should be selected within 7</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10 days after adding puromycin. The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-transduced UDCs can be stored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Myogenic differentiation of </w:t>
      </w:r>
      <w:r>
        <w:rPr>
          <w:rFonts w:ascii="Calibri" w:hAnsi="Calibri" w:cs="Calibri" w:eastAsia="Calibri"/>
          <w:b/>
          <w:i/>
          <w:color w:val="auto"/>
          <w:spacing w:val="0"/>
          <w:position w:val="0"/>
          <w:sz w:val="24"/>
          <w:shd w:fill="FFFF00" w:val="clear"/>
        </w:rPr>
        <w:t xml:space="preserve">MYOD1</w:t>
      </w:r>
      <w:r>
        <w:rPr>
          <w:rFonts w:ascii="Calibri" w:hAnsi="Calibri" w:cs="Calibri" w:eastAsia="Calibri"/>
          <w:b/>
          <w:color w:val="auto"/>
          <w:spacing w:val="0"/>
          <w:position w:val="0"/>
          <w:sz w:val="24"/>
          <w:shd w:fill="FFFF00" w:val="clear"/>
        </w:rPr>
        <w:t xml:space="preserve">-transduced UDCs treated with 3-deazaneplanocin</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A hydrochloride (DZNep)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Recently, it has been reported that DZNep, a histone methyltransferase inhibitor, could significantly promote the expression of </w:t>
      </w:r>
      <w:r>
        <w:rPr>
          <w:rFonts w:ascii="Calibri" w:hAnsi="Calibri" w:cs="Calibri" w:eastAsia="Calibri"/>
          <w:i/>
          <w:color w:val="auto"/>
          <w:spacing w:val="0"/>
          <w:position w:val="0"/>
          <w:sz w:val="24"/>
          <w:shd w:fill="auto" w:val="clear"/>
        </w:rPr>
        <w:t xml:space="preserve">MYOGENIN</w:t>
      </w:r>
      <w:r>
        <w:rPr>
          <w:rFonts w:ascii="Calibri" w:hAnsi="Calibri" w:cs="Calibri" w:eastAsia="Calibri"/>
          <w:color w:val="auto"/>
          <w:spacing w:val="0"/>
          <w:position w:val="0"/>
          <w:sz w:val="24"/>
          <w:shd w:fill="auto" w:val="clear"/>
        </w:rPr>
        <w:t xml:space="preserve">, one of the late muscle regulatory factors, and also lead to myotube differentiation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Plate </w:t>
      </w:r>
      <w:r>
        <w:rPr>
          <w:rFonts w:ascii="Calibri" w:hAnsi="Calibri" w:cs="Calibri" w:eastAsia="Calibri"/>
          <w:i/>
          <w:color w:val="auto"/>
          <w:spacing w:val="0"/>
          <w:position w:val="0"/>
          <w:sz w:val="24"/>
          <w:shd w:fill="FFFF00" w:val="clear"/>
        </w:rPr>
        <w:t xml:space="preserve">MYOD1</w:t>
      </w:r>
      <w:r>
        <w:rPr>
          <w:rFonts w:ascii="Calibri" w:hAnsi="Calibri" w:cs="Calibri" w:eastAsia="Calibri"/>
          <w:color w:val="auto"/>
          <w:spacing w:val="0"/>
          <w:position w:val="0"/>
          <w:sz w:val="24"/>
          <w:shd w:fill="FFFF00" w:val="clear"/>
        </w:rPr>
        <w:t xml:space="preserve">-transduced UDCs in the collagen-coated wells at a density of 3.5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Culture humidified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After 24 h, change the growth medium to differentiation medium composed of high glucose DMEM with L-alanine-L-glutamine, 5% horse serum, ITS supplement, 1 &amp;#181;g/mL doxycycline, and 5 &amp;#181;M DZNep.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10 mM DZNep solution can be stored at -80 &amp;#176;C for 3 months. Use a defrost freezer and avoid repeated freeze-thaw cycles. Both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 activated by doxycycline and DZNep suppress proliferation and promote the myogenic differentiation of UDCs. Therefore, it is recommended that doxycycline and DZNep are added after the induction of myogenic differentiation. DZNep promotes myogenic differentiation of the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in a dose-dependent manner. On the other hand, it shows cytotoxicity at a high concentration. Therefore, determine the appropriate concentration of DZNep, ranging from 1</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10 &amp;#181;M depending on its effects on myogenic differentiation and cellular bioavailability.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After 3 days, change the differentiation medium to fresh differentiation medium without DZNep. Then, change the medium every 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UDCs fuse to each other and form myotubes within 1</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 weeks after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Exon skipping in </w:t>
      </w:r>
      <w:r>
        <w:rPr>
          <w:rFonts w:ascii="Calibri" w:hAnsi="Calibri" w:cs="Calibri" w:eastAsia="Calibri"/>
          <w:b/>
          <w:i/>
          <w:color w:val="auto"/>
          <w:spacing w:val="0"/>
          <w:position w:val="0"/>
          <w:sz w:val="24"/>
          <w:shd w:fill="FFFF00" w:val="clear"/>
        </w:rPr>
        <w:t xml:space="preserve">MYOD1</w:t>
      </w:r>
      <w:r>
        <w:rPr>
          <w:rFonts w:ascii="Calibri" w:hAnsi="Calibri" w:cs="Calibri" w:eastAsia="Calibri"/>
          <w:b/>
          <w:color w:val="auto"/>
          <w:spacing w:val="0"/>
          <w:position w:val="0"/>
          <w:sz w:val="24"/>
          <w:shd w:fill="FFFF00" w:val="clear"/>
        </w:rPr>
        <w:t xml:space="preserve">-converted UDCs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three protocols are described to evaluate exon skipping in patient-derived cells: 1) reverse transcriptase polymerase chain reaction (RT-PCR) of dystrophin mRNA; 2) semiquantification of restored dystrophin protein signal by Western blot; and 3) semiquantification of restored dystrophin fluorescence signal by immunocytochemistry. All the methods can detect exon skipping in a dose-dependent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Evaluation of exon skipping efficiency by RT-PCR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To transfect antisense oligonucleotide (ASO) into </w:t>
      </w:r>
      <w:r>
        <w:rPr>
          <w:rFonts w:ascii="Calibri" w:hAnsi="Calibri" w:cs="Calibri" w:eastAsia="Calibri"/>
          <w:i/>
          <w:color w:val="auto"/>
          <w:spacing w:val="0"/>
          <w:position w:val="0"/>
          <w:sz w:val="24"/>
          <w:shd w:fill="FFFF00" w:val="clear"/>
        </w:rPr>
        <w:t xml:space="preserve">MYOD1</w:t>
      </w:r>
      <w:r>
        <w:rPr>
          <w:rFonts w:ascii="Calibri" w:hAnsi="Calibri" w:cs="Calibri" w:eastAsia="Calibri"/>
          <w:color w:val="auto"/>
          <w:spacing w:val="0"/>
          <w:position w:val="0"/>
          <w:sz w:val="24"/>
          <w:shd w:fill="FFFF00" w:val="clear"/>
        </w:rPr>
        <w:t xml:space="preserve">-converted UDCs obtained from DMD patients on the day 7 after differentiation, mix ASO, transfection reagent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differentiation medium to a final concentration of 1</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10 &amp;#181;M. Culture humidified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After 72 h of incubation with ASO, change the medium to fresh differentiation medium without ASO.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From 3</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7 days after ASO transfection, remove differentiation medium and wash 1x with PBS. Add cell lysis buffer, lyse the UDCs and harvest the total RNA using an RNA extraction kit.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Measure the RNA concentration with a spectrophotometer.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Combine the required reagents for one-step RT-PCR reaction in PCR tubes according to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 Place the PCR tubes with the mixture in a thermocycler. Run the thermocycler, according to </w:t>
      </w:r>
      <w:r>
        <w:rPr>
          <w:rFonts w:ascii="Calibri" w:hAnsi="Calibri" w:cs="Calibri" w:eastAsia="Calibri"/>
          <w:b/>
          <w:color w:val="auto"/>
          <w:spacing w:val="0"/>
          <w:position w:val="0"/>
          <w:sz w:val="24"/>
          <w:shd w:fill="FFFF00" w:val="clear"/>
        </w:rPr>
        <w:t xml:space="preserve">Table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 Perform microchip electrophoresis and calculate the exon skipping efficiency using the molar concentration as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Exon skipping efficiency (%) = skipped band / (skipped band + non-skipped band) x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PCR product in a refrigerator at 4 &amp;#176;C for short-term storage or -20 &amp;#176;C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Detection of dystrophin after exon skipping by Western 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Transfect ASO and culture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according to steps 5.1.1 and 5.1.2.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Change the medium every 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After 2 weeks of differentiation, extract the total protein from the cultured cells using radioimmunoprecipitation assay (RIPA) buffer containing protease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Sonicate the lysates on ice and centrifuge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Collect the supernatant and determine protein concentrations using a BCA protein assay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Add 15 &amp;#181;g of total protein in a 0.5 mL tube and dilute by adding the RIPA buffer containing protease inhibitors to a total volume of 10 &amp;#181;L. Run 15 &amp;#181;g of total protein per 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Add sample buffer, reducing agent, and deionized water as shown in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Denature the cell lysates at 70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 Prepare the tris-acetate running buffer containing 8.95 g/L tricine, 6.06 g/L tris base, 1.0 g/L sodium dodecyl sulfate (SDS).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 Load the sample (20 &amp;#181;L) onto tris-acetate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gel and perform electrophoresis at 150 V for 75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 Prepare the blotting buffer without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 Soak the PVDF membrane for 20 s in methanol and then in the blotting buffer until use (at least 10 min). Cut the PVDF membrane to a size of 6 x 8 cm using mini gels and 8 x 12 cm using midi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 Cut the blotting papers to the same size as that of the PVDF membrane and soak those in the blotting buffer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 After electrophoresis, cut the gel to the same size as that of the PVDF membrane and soak the gel in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5.2.14. Place the blotting papers, PVDF membrane, and gel on the semidry transfer apparatus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Transfer at 4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5.2.15. Rinse the membrane 2x with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5.2.16. Prepare anti-dystrophin (1:500) and anti-&amp;#945;-tubulin (1:1,200) antibody as the primary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5.2.17. Prepare HRP-conjugated anti-mouse antibody (1:100) as a secondary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5.2.18. Incubate the membranes with the primary antibodies, wash with wash buffer, then incubate with the secondary antibody using an automated Western-processing device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Anti-&amp;#945;-tubulin antibody is usually used as a loading control. The mixed primary antibody solutions, including 1:500 anti-dystrophin and 1:1,200 anti-&amp;#945;-tubulin antibodies work well when the antibody reaction is performed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5.2.19. Rinse the membrane in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5.2.20. Detect the proteins using chemiluminescent detection reagent and a charge-coupled device (CCD) camera-based imager.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 Analyse the data using appropriate software.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Detection of dystrophin after exon skipping by immunocytochemistry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Directly reprogram the UDCs into the myotubes in collagen-coated 96 well plate according to steps 4.1</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Transfect the ASO and culture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according to steps 5.1.2 and 5.1.3.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After 2 weeks of differentiation, wash the cells with PBS and fix them in 4% paraformaldehyde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Permeabilize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in 0.1% nonionic detergent for 10 min at room temperature and block those with 10% goat serum for 15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Incubate the cells with a primary antibody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 Wash the cells with PBS and incubate those with the secondary antibody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mouse anti-dystrophin (1:30) is used as the primary antibody, anti-mouse IgG is used as the secondary antibody, and Hoechst (1:10,000) is used for nuclei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 Image the plates using a fluorescent microscope and use an analyzer to semiquantify the fluorescence signal automatically in every well under the same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could collect the UDCs easily and non-invasively. UDCs formed colonies within a week after starting primary cell culture we observed a marked proliferative ability. The culture of UDCs was straightforward, and bacterial or fungal contamination was rare when the procedure was performed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representative phase-contrast images of the UDC colony a week after primary culture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a week after differentiation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successful detection of exon skipping in UDCs obtained from DMD patients by RT-PCR.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3A</w:t>
      </w:r>
      <w:r>
        <w:rPr>
          <w:rFonts w:ascii="Calibri" w:hAnsi="Calibri" w:cs="Calibri" w:eastAsia="Calibri"/>
          <w:color w:val="auto"/>
          <w:spacing w:val="0"/>
          <w:position w:val="0"/>
          <w:sz w:val="24"/>
          <w:shd w:fill="auto" w:val="clear"/>
        </w:rPr>
        <w:t xml:space="preserve"> shows RT-PCR analysis of dystrophin after antisense oligonucleotide treatment in DZNep-treated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derived from a 6-year-old male with an exon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deletion in the </w:t>
      </w:r>
      <w:r>
        <w:rPr>
          <w:rFonts w:ascii="Calibri" w:hAnsi="Calibri" w:cs="Calibri" w:eastAsia="Calibri"/>
          <w:i/>
          <w:color w:val="auto"/>
          <w:spacing w:val="0"/>
          <w:position w:val="0"/>
          <w:sz w:val="24"/>
          <w:shd w:fill="auto" w:val="clear"/>
        </w:rPr>
        <w:t xml:space="preserve">DMD</w:t>
      </w:r>
      <w:r>
        <w:rPr>
          <w:rFonts w:ascii="Calibri" w:hAnsi="Calibri" w:cs="Calibri" w:eastAsia="Calibri"/>
          <w:color w:val="auto"/>
          <w:spacing w:val="0"/>
          <w:position w:val="0"/>
          <w:sz w:val="24"/>
          <w:shd w:fill="auto" w:val="clear"/>
        </w:rPr>
        <w:t xml:space="preserve"> gene. The open reading frame was restored by exon 44 skipping. On day 14 following differentiation, we confirmed the induction of exon skipping in a dose-dependent manner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The upper bands denote native products, and the lower bands denote exon 44-skipped products that restored the open reading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successful detection of dystrophin after exon skipping in the UDCs obtained from DMD patients by Western blotting in a dose-dependent manner. We also detected the restored dystrophin expression using immunocytochemistry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measured the intensities of dystrophin with a fluorescent microscope 1 week after the antisense oligonucleotide (ASO) transfection on a 96 well plate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Markedly higher fluorescent signals were observed in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treated with ASO than in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treated with control ASO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suggest that our new assay can evaluate exon skipping efficiently in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obtained from DMD patients at the mRNA and protein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transfer stack for semidry Western blot.</w:t>
      </w:r>
      <w:r>
        <w:rPr>
          <w:rFonts w:ascii="Calibri" w:hAnsi="Calibri" w:cs="Calibri" w:eastAsia="Calibri"/>
          <w:color w:val="auto"/>
          <w:spacing w:val="0"/>
          <w:position w:val="0"/>
          <w:sz w:val="24"/>
          <w:shd w:fill="auto" w:val="clear"/>
        </w:rPr>
        <w:t xml:space="preserve"> Two papers soaked in the blotting buffer were laid down at the negative terminal, and two papers soaked in the buffer were stacked on top of this. The gel, which has been soaked in the buffer, was laid gently over the PVDF membrane.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the UDCs.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Phase-contrast image of UDCs a week after primary culture. Scale bar = 200 &amp;#181;m. Inset: A magnified image of the area in the white rectangle.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Phase-contrast image of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a week after differentiation. Scale bar = 50 &amp;#181;m. This figure has been modified from Takizawa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Successful evaluation of exon skipping in urine-derived cells (UDCs) obtained from DMD patients by RT-PCR.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RT-PCR analysis of dystrophin after antisense oligonucleotide treatment in 3-deazaneplanocin A hydrochloride (DZNep)-treated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derived from Duchenne muscular dystrophy (DMD) patient with an exon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deletion. DZNep-treated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were also treated with the control antisense at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concentration as controls. The upper bands were unskipped products (Ex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deletion) that remained out of the reading frame. The lower bands were the exon 44-skipped products (Ex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deletion and Ex 44 skipped) that restored the open reading frame.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Skipping efficiency was calculated as (exon 44-skipped transcript molarity)/(native + exon 44-skipped transcript molarity [marked with arrows]) x 100% using a microchip electrophoresis system. One-way ANOVA followed by Bonferroni’s post hoc test was used to compare the skipping efficiencies (n = 3 for each group, ****P &amp;lt; 0.0001). The data are expressed as the mean &amp;plusmn; SEM. This figure has been modified from Takizawa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Successful evaluation of exon skipping in urine-derived cells (UDCs) from DMD patients by Western blot.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Western blot for dystrophin in DZNep-treated</w:t>
      </w:r>
      <w:r>
        <w:rPr>
          <w:rFonts w:ascii="Calibri" w:hAnsi="Calibri" w:cs="Calibri" w:eastAsia="Calibri"/>
          <w:i/>
          <w:color w:val="auto"/>
          <w:spacing w:val="0"/>
          <w:position w:val="0"/>
          <w:sz w:val="24"/>
          <w:shd w:fill="auto" w:val="clear"/>
        </w:rPr>
        <w:t xml:space="preserve"> MYOD1</w:t>
      </w:r>
      <w:r>
        <w:rPr>
          <w:rFonts w:ascii="Calibri" w:hAnsi="Calibri" w:cs="Calibri" w:eastAsia="Calibri"/>
          <w:color w:val="auto"/>
          <w:spacing w:val="0"/>
          <w:position w:val="0"/>
          <w:sz w:val="24"/>
          <w:shd w:fill="auto" w:val="clear"/>
        </w:rPr>
        <w:t xml:space="preserve">-UDCs from DMD patient with an exon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deletion after exon 44 skipping. For dystrophin detection, anti-dystrophin (against C-terminal) was used.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relative intensities of the bands normalized to &amp;#945;-tubulin expression were compared in patient-derived cells with and without antisense oligonucleotide treatment by performing one-way ANOVA followed by Bonferroni’s post hoc test (n = 3 for each group, **P &amp;lt; 0.01, ***P &amp;lt; 0.001, HI = healthy individual). This figure has been modified from Takizawa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Heatmaps of immunocytochemistry for dystrophin after antisense oligonucleotide treatment in DZNep-treated </w:t>
      </w:r>
      <w:r>
        <w:rPr>
          <w:rFonts w:ascii="Calibri" w:hAnsi="Calibri" w:cs="Calibri" w:eastAsia="Calibri"/>
          <w:b/>
          <w:i/>
          <w:color w:val="auto"/>
          <w:spacing w:val="0"/>
          <w:position w:val="0"/>
          <w:sz w:val="24"/>
          <w:shd w:fill="auto" w:val="clear"/>
        </w:rPr>
        <w:t xml:space="preserve">MYOD1</w:t>
      </w:r>
      <w:r>
        <w:rPr>
          <w:rFonts w:ascii="Calibri" w:hAnsi="Calibri" w:cs="Calibri" w:eastAsia="Calibri"/>
          <w:b/>
          <w:color w:val="auto"/>
          <w:spacing w:val="0"/>
          <w:position w:val="0"/>
          <w:sz w:val="24"/>
          <w:shd w:fill="auto" w:val="clear"/>
        </w:rPr>
        <w:t xml:space="preserve">-UDCs obtained from DMD patient with exon 45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54 deletion.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Deletion of exon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restored the open reading frame based on the exon skipping of exon 44.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signal intensity was quantified using a fluorescent microscope after 1 week of antisense oligonucleotide transfection on a 96 well plate. One-way ANOVA followed by Bonferroni’s post hoc test was used for the comparison (n =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for each group, ****P &amp;lt; 0.0001). This figure has been modified from Takizawa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Mixture for </w:t>
      </w:r>
      <w:r>
        <w:rPr>
          <w:rFonts w:ascii="Calibri" w:hAnsi="Calibri" w:cs="Calibri" w:eastAsia="Calibri"/>
          <w:b/>
          <w:i/>
          <w:color w:val="auto"/>
          <w:spacing w:val="0"/>
          <w:position w:val="0"/>
          <w:sz w:val="24"/>
          <w:shd w:fill="auto" w:val="clear"/>
        </w:rPr>
        <w:t xml:space="preserve">MYOD1</w:t>
      </w:r>
      <w:r>
        <w:rPr>
          <w:rFonts w:ascii="Calibri" w:hAnsi="Calibri" w:cs="Calibri" w:eastAsia="Calibri"/>
          <w:b/>
          <w:color w:val="auto"/>
          <w:spacing w:val="0"/>
          <w:position w:val="0"/>
          <w:sz w:val="24"/>
          <w:shd w:fill="auto" w:val="clear"/>
        </w:rPr>
        <w:t xml:space="preserve"> amplification by RT-PCR.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Conditions for the thermal cycler for </w:t>
      </w:r>
      <w:r>
        <w:rPr>
          <w:rFonts w:ascii="Calibri" w:hAnsi="Calibri" w:cs="Calibri" w:eastAsia="Calibri"/>
          <w:b/>
          <w:i/>
          <w:color w:val="auto"/>
          <w:spacing w:val="0"/>
          <w:position w:val="0"/>
          <w:sz w:val="24"/>
          <w:shd w:fill="auto" w:val="clear"/>
        </w:rPr>
        <w:t xml:space="preserve">MYOD1</w:t>
      </w:r>
      <w:r>
        <w:rPr>
          <w:rFonts w:ascii="Calibri" w:hAnsi="Calibri" w:cs="Calibri" w:eastAsia="Calibri"/>
          <w:b/>
          <w:color w:val="auto"/>
          <w:spacing w:val="0"/>
          <w:position w:val="0"/>
          <w:sz w:val="24"/>
          <w:shd w:fill="auto" w:val="clear"/>
        </w:rPr>
        <w:t xml:space="preserve">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Mixture for a tube to digest retroviral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Mixture for the in-fusion cloning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Necessary compounds for one reaction of the one-step RT-PCR.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Thermal cycler condition for one-step RT-PCR.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Preparation of samples for sodium dodecyl sulfate polyacrylamide gel electrophoresis (SDS-PAGE).</w:t>
      </w:r>
    </w:p>
    <w:p>
      <w:pPr>
        <w:tabs>
          <w:tab w:val="left" w:pos="262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of exon skipping in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-converted UDCs obtained from DMD patients. Using the assay system, we screened optimal antisense sequences efficiently. We assume that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-converted UDCs can be useful for the investigation of the pathophysiology of the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exon skipping using patient-derived cells at the mRNA level is indispensable for screening new drugs and assessing patient eligibility before undertaking clinical trials. Calculation of exon skipping efficiency can be evaluated only at an mRNA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exon skipping at the protein level is also important because dystrophin restoration is important as a surrogate biomarker to predict the benefits of exon skipping. To date, screening of antisense oligonucleotide sequences is often performed using primary muscle cell lines or immortalized myoblast cell lines including human rhabdomyosarcoma (RD) cells, but we cannot measure the recovery of dystrophin levels using muscle cell lines or RD cell lines because they express this protein endogenously. We can clearly detect the restoration of dystrophin in DMD patient-derived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-UDCs in a dose-dependent manner. In our new assay, we consider that the evaluation of restored protein by Western blotting is superior in quantifiability. On the other hand, evaluation by immunocytochemistry using 96 well plates is ideal for screening many candidate compounds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a detailed protocol for an efficient modelling DMD muscle using </w:t>
      </w:r>
      <w:r>
        <w:rPr>
          <w:rFonts w:ascii="Calibri" w:hAnsi="Calibri" w:cs="Calibri" w:eastAsia="Calibri"/>
          <w:i/>
          <w:color w:val="auto"/>
          <w:spacing w:val="0"/>
          <w:position w:val="0"/>
          <w:sz w:val="24"/>
          <w:shd w:fill="auto" w:val="clear"/>
        </w:rPr>
        <w:t xml:space="preserve">MYOD1</w:t>
      </w:r>
      <w:r>
        <w:rPr>
          <w:rFonts w:ascii="Calibri" w:hAnsi="Calibri" w:cs="Calibri" w:eastAsia="Calibri"/>
          <w:color w:val="auto"/>
          <w:spacing w:val="0"/>
          <w:position w:val="0"/>
          <w:sz w:val="24"/>
          <w:shd w:fill="auto" w:val="clear"/>
        </w:rPr>
        <w:t xml:space="preserve">-converted UDCs along with RT-PCR, Western blotting, and immunocytochemistry to evaluate the restored dystrophin at the mRNA and protein levels after exon skipping. UDCs can be collected noninvasively and easily. Therefore, we assume that the brand-new in vitro assay can be applied to a wide range of basic and translational studies regardless of the type of muscular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National Center of Neurology and Psychiatry is now developing NS-065/NCNP-01, an exon 53 skipping drug for DMD, with Nippon Shinyaku Co., Ltd.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Japan Society for the Promotion of Science Grant-in-Aid for Scientific Research (C) [grant no. 18K07544 to Y.A.], Grants-in-Aid for Research on Nervous and Mental Disorders [grant no. 28-6 to Y.A.], and the Japan Agency for Medical Research and Development [grant nos. 18ek0109239h0002, 18lm0203066h0001, and 18lm0203069h0001 to Y.A.].&lt;/p&gt;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Hoffman, E. P., Brown, R. H., Jr., Kunkel, L. M. Dystrophin: the protein product of the Duchenne muscular dystrophy locus.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Cirak, S. et al. Exon skipping and dystrophin restoration in patients with Duchenne muscular dystrophy after systemic phosphorodiamidate morpholino oligomer treatment: an open-label, phase 2, dose-escalation study.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Komaki, H. et al. Systemic administration of the antisense oligonucleotide NS-065/NCNP-01 for skipping of exon 53 in patients with Duchenne muscular dystrophy.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(437), eaan0713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Antoury, L. et al. Analysis of extracellular mRNA in human urine reveals splice variant biomarkers of muscular dystrophies.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3906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Rahmoune, H. et al. Glucose transporters in human renal proximal tubular cells isolated from the urine of patients with non-insulin-dependent diabetes.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Zhang, Y. et al. Urine derived cells are a potential source for urological tissue reconstruction. </w:t>
      </w:r>
      <w:r>
        <w:rPr>
          <w:rFonts w:ascii="Calibri" w:hAnsi="Calibri" w:cs="Calibri" w:eastAsia="Calibri"/>
          <w:i/>
          <w:color w:val="auto"/>
          <w:spacing w:val="0"/>
          <w:position w:val="0"/>
          <w:sz w:val="24"/>
          <w:shd w:fill="auto" w:val="clear"/>
        </w:rPr>
        <w:t xml:space="preserve">The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2226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Takizawa, H. et al. Modelling Duchenne muscular dystrophy in MYOD1-converted urine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cells treated with 3-deazaneplanocin A hydrochloride.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3807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Zhou, T. et al. Generation of human induced pluripotent stem cells from urine samples.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Chen, W. et al. Skeletal myogenic differentiation of human urine-derived cells as a potential source for skeletal muscle regeneration.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(2017).</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 Kim, E. Y., Page, P., Dellefave-Castillo, L. M., McNally, E. M., Wyatt, E. J. Direct reprogramming of urine-derived cells with inducible MyoD for modeling human muscle disease. </w:t>
      </w:r>
      <w:r>
        <w:rPr>
          <w:rFonts w:ascii="Calibri" w:hAnsi="Calibri" w:cs="Calibri" w:eastAsia="Calibri"/>
          <w:i/>
          <w:color w:val="auto"/>
          <w:spacing w:val="0"/>
          <w:position w:val="0"/>
          <w:sz w:val="24"/>
          <w:shd w:fill="auto" w:val="clear"/>
        </w:rPr>
        <w:t xml:space="preserve">Skeletal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 (2016).</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