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rPr>
          <w:rFonts w:ascii="Times New Roman"/>
          <w:sz w:val="12"/>
        </w:rPr>
      </w:pPr>
    </w:p>
    <w:p>
      <w:pPr>
        <w:spacing w:line="249" w:lineRule="auto" w:before="105"/>
        <w:ind w:left="3180" w:right="3532" w:firstLine="362"/>
        <w:jc w:val="left"/>
        <w:rPr>
          <w:rFonts w:ascii="Verdana"/>
          <w:b/>
          <w:sz w:val="19"/>
        </w:rPr>
      </w:pPr>
      <w:r>
        <w:rPr>
          <w:rFonts w:ascii="Verdana"/>
          <w:b/>
          <w:color w:val="333399"/>
          <w:w w:val="105"/>
          <w:sz w:val="19"/>
        </w:rPr>
        <w:t>ELSEVIER LICENSE TERMS AND CONDITIONS</w:t>
      </w:r>
    </w:p>
    <w:p>
      <w:pPr>
        <w:spacing w:before="55"/>
        <w:ind w:left="0" w:right="542" w:firstLine="0"/>
        <w:jc w:val="right"/>
        <w:rPr>
          <w:rFonts w:ascii="Verdana"/>
          <w:sz w:val="18"/>
        </w:rPr>
      </w:pPr>
      <w:r>
        <w:rPr>
          <w:rFonts w:ascii="Verdana"/>
          <w:sz w:val="18"/>
        </w:rPr>
        <w:t>Sep 26, 2019</w:t>
      </w:r>
    </w:p>
    <w:p>
      <w:pPr>
        <w:pStyle w:val="BodyText"/>
        <w:spacing w:before="2"/>
        <w:ind w:left="0"/>
        <w:rPr>
          <w:rFonts w:ascii="Verdana"/>
          <w:sz w:val="12"/>
        </w:rPr>
      </w:pPr>
      <w:r>
        <w:rPr/>
        <w:pict>
          <v:group style="position:absolute;margin-left:36.503483pt;margin-top:9.39386pt;width:447.25pt;height:1.55pt;mso-position-horizontal-relative:page;mso-position-vertical-relative:paragraph;z-index:-251658240;mso-wrap-distance-left:0;mso-wrap-distance-right:0" coordorigin="730,188" coordsize="8945,31">
            <v:line style="position:absolute" from="730,195" to="9674,195" stroked="true" strokeweight=".750349pt" strokecolor="#999999">
              <v:stroke dashstyle="solid"/>
            </v:line>
            <v:line style="position:absolute" from="730,210" to="9674,210" stroked="true" strokeweight=".750349pt" strokecolor="#ededed">
              <v:stroke dashstyle="solid"/>
            </v:line>
            <v:shape style="position:absolute;left:9659;top:187;width:15;height:31" coordorigin="9659,188" coordsize="15,31" path="m9674,218l9659,218,9659,203,9674,188,9674,218xe" filled="true" fillcolor="#ededed" stroked="false">
              <v:path arrowok="t"/>
              <v:fill type="solid"/>
            </v:shape>
            <v:shape style="position:absolute;left:730;top:187;width:15;height:31" coordorigin="730,188" coordsize="15,31" path="m730,218l730,188,745,188,745,203,730,218xe" filled="true" fillcolor="#999999" stroked="false">
              <v:path arrowok="t"/>
              <v:fill type="solid"/>
            </v:shape>
            <w10:wrap type="topAndBottom"/>
          </v:group>
        </w:pict>
      </w:r>
    </w:p>
    <w:p>
      <w:pPr>
        <w:pStyle w:val="BodyText"/>
        <w:spacing w:before="4"/>
        <w:ind w:left="0"/>
        <w:rPr>
          <w:rFonts w:ascii="Verdana"/>
          <w:sz w:val="7"/>
        </w:rPr>
      </w:pPr>
    </w:p>
    <w:p>
      <w:pPr>
        <w:pStyle w:val="BodyText"/>
        <w:spacing w:line="31" w:lineRule="exact"/>
        <w:ind w:left="102"/>
        <w:rPr>
          <w:rFonts w:ascii="Verdana"/>
          <w:sz w:val="3"/>
        </w:rPr>
      </w:pPr>
      <w:r>
        <w:rPr>
          <w:rFonts w:ascii="Verdana"/>
          <w:position w:val="0"/>
          <w:sz w:val="3"/>
        </w:rPr>
        <w:pict>
          <v:group style="width:447.25pt;height:1.55pt;mso-position-horizontal-relative:char;mso-position-vertical-relative:line" coordorigin="0,0" coordsize="8945,31">
            <v:line style="position:absolute" from="0,8" to="8944,8" stroked="true" strokeweight=".750349pt" strokecolor="#999999">
              <v:stroke dashstyle="solid"/>
            </v:line>
            <v:line style="position:absolute" from="0,23" to="8944,23" stroked="true" strokeweight=".750349pt" strokecolor="#ededed">
              <v:stroke dashstyle="solid"/>
            </v:line>
            <v:shape style="position:absolute;left:8929;top:0;width:15;height:31" coordorigin="8929,0" coordsize="15,31" path="m8944,30l8929,30,8929,15,8944,0,8944,30xe" filled="true" fillcolor="#ededed" stroked="false">
              <v:path arrowok="t"/>
              <v:fill type="solid"/>
            </v:shape>
            <v:shape style="position:absolute;left:0;top:0;width:15;height:31" coordorigin="0,0" coordsize="15,31" path="m0,30l0,0,15,0,15,15,0,30xe" filled="true" fillcolor="#999999" stroked="false">
              <v:path arrowok="t"/>
              <v:fill type="solid"/>
            </v:shape>
          </v:group>
        </w:pict>
      </w:r>
      <w:r>
        <w:rPr>
          <w:rFonts w:ascii="Verdana"/>
          <w:position w:val="0"/>
          <w:sz w:val="3"/>
        </w:rPr>
      </w:r>
    </w:p>
    <w:p>
      <w:pPr>
        <w:pStyle w:val="BodyText"/>
        <w:ind w:left="0"/>
        <w:rPr>
          <w:rFonts w:ascii="Verdana"/>
          <w:sz w:val="20"/>
        </w:rPr>
      </w:pPr>
    </w:p>
    <w:p>
      <w:pPr>
        <w:pStyle w:val="BodyText"/>
        <w:spacing w:line="151" w:lineRule="auto" w:before="266"/>
        <w:ind w:right="556"/>
      </w:pPr>
      <w:r>
        <w:rPr/>
        <w:t>This Agreement between University of Toyama -- Hirofumi Nishizono ("You") and Elsevier ("Elsevier") consists of your license details and the terms and conditions provided by Elsevier and Copyright Clearance Center.</w:t>
      </w:r>
    </w:p>
    <w:p>
      <w:pPr>
        <w:tabs>
          <w:tab w:pos="4299" w:val="right" w:leader="none"/>
        </w:tabs>
        <w:spacing w:before="227"/>
        <w:ind w:left="110" w:right="0" w:firstLine="0"/>
        <w:jc w:val="left"/>
        <w:rPr>
          <w:rFonts w:ascii="Verdana"/>
          <w:sz w:val="18"/>
        </w:rPr>
      </w:pPr>
      <w:r>
        <w:rPr>
          <w:rFonts w:ascii="Verdana"/>
          <w:color w:val="333399"/>
          <w:sz w:val="18"/>
        </w:rPr>
        <w:t>License Number</w:t>
        <w:tab/>
      </w:r>
      <w:r>
        <w:rPr>
          <w:rFonts w:ascii="Verdana"/>
          <w:sz w:val="18"/>
        </w:rPr>
        <w:t>4676550238826</w:t>
      </w:r>
    </w:p>
    <w:p>
      <w:pPr>
        <w:tabs>
          <w:tab w:pos="2811" w:val="left" w:leader="none"/>
        </w:tabs>
        <w:spacing w:line="396" w:lineRule="auto" w:before="141"/>
        <w:ind w:left="110" w:right="5564" w:firstLine="0"/>
        <w:jc w:val="left"/>
        <w:rPr>
          <w:rFonts w:ascii="Verdana"/>
          <w:sz w:val="18"/>
        </w:rPr>
      </w:pPr>
      <w:r>
        <w:rPr>
          <w:rFonts w:ascii="Verdana"/>
          <w:color w:val="333399"/>
          <w:sz w:val="18"/>
        </w:rPr>
        <w:t>License date</w:t>
        <w:tab/>
      </w:r>
      <w:r>
        <w:rPr>
          <w:rFonts w:ascii="Verdana"/>
          <w:sz w:val="18"/>
        </w:rPr>
        <w:t>Sep 26, </w:t>
      </w:r>
      <w:r>
        <w:rPr>
          <w:rFonts w:ascii="Verdana"/>
          <w:spacing w:val="-5"/>
          <w:sz w:val="18"/>
        </w:rPr>
        <w:t>2019 </w:t>
      </w:r>
      <w:r>
        <w:rPr>
          <w:rFonts w:ascii="Verdana"/>
          <w:color w:val="333399"/>
          <w:sz w:val="18"/>
        </w:rPr>
        <w:t>Licensed Content Publisher</w:t>
        <w:tab/>
      </w:r>
      <w:r>
        <w:rPr>
          <w:rFonts w:ascii="Verdana"/>
          <w:sz w:val="18"/>
        </w:rPr>
        <w:t>Elsevier</w:t>
      </w:r>
    </w:p>
    <w:p>
      <w:pPr>
        <w:spacing w:line="217" w:lineRule="exact" w:before="0"/>
        <w:ind w:left="110" w:right="0" w:firstLine="0"/>
        <w:jc w:val="left"/>
        <w:rPr>
          <w:rFonts w:ascii="Verdana"/>
          <w:sz w:val="18"/>
        </w:rPr>
      </w:pPr>
      <w:r>
        <w:rPr>
          <w:rFonts w:ascii="Verdana"/>
          <w:color w:val="333399"/>
          <w:sz w:val="18"/>
        </w:rPr>
        <w:t>Licensed Content Publication </w:t>
      </w:r>
      <w:r>
        <w:rPr>
          <w:rFonts w:ascii="Verdana"/>
          <w:sz w:val="18"/>
        </w:rPr>
        <w:t>Journal of Neuroscience Methods</w:t>
      </w:r>
    </w:p>
    <w:p>
      <w:pPr>
        <w:tabs>
          <w:tab w:pos="2811" w:val="left" w:leader="none"/>
        </w:tabs>
        <w:spacing w:before="141"/>
        <w:ind w:left="110" w:right="0" w:firstLine="0"/>
        <w:jc w:val="left"/>
        <w:rPr>
          <w:rFonts w:ascii="Verdana"/>
          <w:sz w:val="18"/>
        </w:rPr>
      </w:pPr>
      <w:r>
        <w:rPr>
          <w:rFonts w:ascii="Verdana"/>
          <w:color w:val="333399"/>
          <w:sz w:val="18"/>
        </w:rPr>
        <w:t>Licensed Content Title</w:t>
        <w:tab/>
      </w:r>
      <w:r>
        <w:rPr>
          <w:rFonts w:ascii="Verdana"/>
          <w:sz w:val="18"/>
        </w:rPr>
        <w:t>Rapid and high-efficient generation of mutant mice using</w:t>
      </w:r>
      <w:r>
        <w:rPr>
          <w:rFonts w:ascii="Verdana"/>
          <w:spacing w:val="-4"/>
          <w:sz w:val="18"/>
        </w:rPr>
        <w:t> </w:t>
      </w:r>
      <w:r>
        <w:rPr>
          <w:rFonts w:ascii="Verdana"/>
          <w:sz w:val="18"/>
        </w:rPr>
        <w:t>freeze-</w:t>
      </w:r>
    </w:p>
    <w:p>
      <w:pPr>
        <w:spacing w:before="7"/>
        <w:ind w:left="2790" w:right="3178" w:firstLine="0"/>
        <w:jc w:val="center"/>
        <w:rPr>
          <w:rFonts w:ascii="Verdana"/>
          <w:sz w:val="18"/>
        </w:rPr>
      </w:pPr>
      <w:r>
        <w:rPr>
          <w:rFonts w:ascii="Verdana"/>
          <w:sz w:val="18"/>
        </w:rPr>
        <w:t>thawed embryos of the C57BL/6J strain</w:t>
      </w:r>
    </w:p>
    <w:p>
      <w:pPr>
        <w:tabs>
          <w:tab w:pos="2811" w:val="left" w:leader="none"/>
        </w:tabs>
        <w:spacing w:before="141"/>
        <w:ind w:left="110" w:right="0" w:firstLine="0"/>
        <w:jc w:val="left"/>
        <w:rPr>
          <w:rFonts w:ascii="Verdana"/>
          <w:sz w:val="18"/>
        </w:rPr>
      </w:pPr>
      <w:r>
        <w:rPr>
          <w:rFonts w:ascii="Verdana"/>
          <w:color w:val="333399"/>
          <w:sz w:val="18"/>
        </w:rPr>
        <w:t>Licensed</w:t>
      </w:r>
      <w:r>
        <w:rPr>
          <w:rFonts w:ascii="Verdana"/>
          <w:color w:val="333399"/>
          <w:spacing w:val="-1"/>
          <w:sz w:val="18"/>
        </w:rPr>
        <w:t> </w:t>
      </w:r>
      <w:r>
        <w:rPr>
          <w:rFonts w:ascii="Verdana"/>
          <w:color w:val="333399"/>
          <w:sz w:val="18"/>
        </w:rPr>
        <w:t>Content Author</w:t>
        <w:tab/>
      </w:r>
      <w:r>
        <w:rPr>
          <w:rFonts w:ascii="Verdana"/>
          <w:sz w:val="18"/>
        </w:rPr>
        <w:t>Mohamed Darwish,Hirofumi Nishizono,Hideki</w:t>
      </w:r>
      <w:r>
        <w:rPr>
          <w:rFonts w:ascii="Verdana"/>
          <w:spacing w:val="-1"/>
          <w:sz w:val="18"/>
        </w:rPr>
        <w:t> </w:t>
      </w:r>
      <w:r>
        <w:rPr>
          <w:rFonts w:ascii="Verdana"/>
          <w:sz w:val="18"/>
        </w:rPr>
        <w:t>Uosaki,Hitomi</w:t>
      </w:r>
    </w:p>
    <w:p>
      <w:pPr>
        <w:tabs>
          <w:tab w:pos="2811" w:val="left" w:leader="none"/>
        </w:tabs>
        <w:spacing w:line="396" w:lineRule="auto" w:before="6"/>
        <w:ind w:left="110" w:right="2099" w:firstLine="2701"/>
        <w:jc w:val="left"/>
        <w:rPr>
          <w:rFonts w:ascii="Verdana"/>
          <w:sz w:val="18"/>
        </w:rPr>
      </w:pPr>
      <w:r>
        <w:rPr>
          <w:rFonts w:ascii="Verdana"/>
          <w:sz w:val="18"/>
        </w:rPr>
        <w:t>Sawada,Taketaro Sadahiro,Masaki Ieda,Keizo</w:t>
      </w:r>
      <w:r>
        <w:rPr>
          <w:rFonts w:ascii="Verdana"/>
          <w:spacing w:val="-29"/>
          <w:sz w:val="18"/>
        </w:rPr>
        <w:t> </w:t>
      </w:r>
      <w:r>
        <w:rPr>
          <w:rFonts w:ascii="Verdana"/>
          <w:spacing w:val="-8"/>
          <w:sz w:val="18"/>
        </w:rPr>
        <w:t>Takao </w:t>
      </w:r>
      <w:r>
        <w:rPr>
          <w:rFonts w:ascii="Verdana"/>
          <w:color w:val="333399"/>
          <w:sz w:val="18"/>
        </w:rPr>
        <w:t>Licensed Content Date</w:t>
        <w:tab/>
      </w:r>
      <w:r>
        <w:rPr>
          <w:rFonts w:ascii="Verdana"/>
          <w:sz w:val="18"/>
        </w:rPr>
        <w:t>Apr 1, 2019</w:t>
      </w:r>
    </w:p>
    <w:p>
      <w:pPr>
        <w:tabs>
          <w:tab w:pos="3154" w:val="right" w:leader="none"/>
        </w:tabs>
        <w:spacing w:line="217" w:lineRule="exact" w:before="0"/>
        <w:ind w:left="110" w:right="0" w:firstLine="0"/>
        <w:jc w:val="left"/>
        <w:rPr>
          <w:rFonts w:ascii="Verdana"/>
          <w:sz w:val="18"/>
        </w:rPr>
      </w:pPr>
      <w:r>
        <w:rPr>
          <w:rFonts w:ascii="Verdana"/>
          <w:color w:val="333399"/>
          <w:sz w:val="18"/>
        </w:rPr>
        <w:t>Licensed</w:t>
      </w:r>
      <w:r>
        <w:rPr>
          <w:rFonts w:ascii="Verdana"/>
          <w:color w:val="333399"/>
          <w:spacing w:val="-2"/>
          <w:sz w:val="18"/>
        </w:rPr>
        <w:t> </w:t>
      </w:r>
      <w:r>
        <w:rPr>
          <w:rFonts w:ascii="Verdana"/>
          <w:color w:val="333399"/>
          <w:sz w:val="18"/>
        </w:rPr>
        <w:t>Content</w:t>
      </w:r>
      <w:r>
        <w:rPr>
          <w:rFonts w:ascii="Verdana"/>
          <w:color w:val="333399"/>
          <w:spacing w:val="-1"/>
          <w:sz w:val="18"/>
        </w:rPr>
        <w:t> </w:t>
      </w:r>
      <w:r>
        <w:rPr>
          <w:rFonts w:ascii="Verdana"/>
          <w:color w:val="333399"/>
          <w:sz w:val="18"/>
        </w:rPr>
        <w:t>Volume</w:t>
        <w:tab/>
      </w:r>
      <w:r>
        <w:rPr>
          <w:rFonts w:ascii="Verdana"/>
          <w:sz w:val="18"/>
        </w:rPr>
        <w:t>317</w:t>
      </w:r>
    </w:p>
    <w:p>
      <w:pPr>
        <w:tabs>
          <w:tab w:pos="2811" w:val="left" w:leader="none"/>
          <w:tab w:pos="2925" w:val="right" w:leader="none"/>
        </w:tabs>
        <w:spacing w:line="396" w:lineRule="auto" w:before="142"/>
        <w:ind w:left="110" w:right="6481" w:firstLine="0"/>
        <w:jc w:val="left"/>
        <w:rPr>
          <w:rFonts w:ascii="Verdana"/>
          <w:sz w:val="18"/>
        </w:rPr>
      </w:pPr>
      <w:r>
        <w:rPr>
          <w:rFonts w:ascii="Verdana"/>
          <w:color w:val="333399"/>
          <w:sz w:val="18"/>
        </w:rPr>
        <w:t>Licensed Content Issue</w:t>
        <w:tab/>
      </w:r>
      <w:r>
        <w:rPr>
          <w:rFonts w:ascii="Verdana"/>
          <w:spacing w:val="-6"/>
          <w:sz w:val="18"/>
        </w:rPr>
        <w:t>n/a </w:t>
      </w:r>
      <w:r>
        <w:rPr>
          <w:rFonts w:ascii="Verdana"/>
          <w:color w:val="333399"/>
          <w:sz w:val="18"/>
        </w:rPr>
        <w:t>Licensed</w:t>
      </w:r>
      <w:r>
        <w:rPr>
          <w:rFonts w:ascii="Verdana"/>
          <w:color w:val="333399"/>
          <w:spacing w:val="-2"/>
          <w:sz w:val="18"/>
        </w:rPr>
        <w:t> </w:t>
      </w:r>
      <w:r>
        <w:rPr>
          <w:rFonts w:ascii="Verdana"/>
          <w:color w:val="333399"/>
          <w:sz w:val="18"/>
        </w:rPr>
        <w:t>Content</w:t>
      </w:r>
      <w:r>
        <w:rPr>
          <w:rFonts w:ascii="Verdana"/>
          <w:color w:val="333399"/>
          <w:spacing w:val="-1"/>
          <w:sz w:val="18"/>
        </w:rPr>
        <w:t> </w:t>
      </w:r>
      <w:r>
        <w:rPr>
          <w:rFonts w:ascii="Verdana"/>
          <w:color w:val="333399"/>
          <w:sz w:val="18"/>
        </w:rPr>
        <w:t>Pages</w:t>
        <w:tab/>
        <w:tab/>
      </w:r>
      <w:r>
        <w:rPr>
          <w:rFonts w:ascii="Verdana"/>
          <w:sz w:val="18"/>
        </w:rPr>
        <w:t>8</w:t>
      </w:r>
    </w:p>
    <w:p>
      <w:pPr>
        <w:tabs>
          <w:tab w:pos="3154" w:val="right" w:leader="none"/>
        </w:tabs>
        <w:spacing w:line="217" w:lineRule="exact" w:before="0"/>
        <w:ind w:left="110" w:right="0" w:firstLine="0"/>
        <w:jc w:val="left"/>
        <w:rPr>
          <w:rFonts w:ascii="Verdana"/>
          <w:sz w:val="18"/>
        </w:rPr>
      </w:pPr>
      <w:r>
        <w:rPr>
          <w:rFonts w:ascii="Verdana"/>
          <w:color w:val="333399"/>
          <w:sz w:val="18"/>
        </w:rPr>
        <w:t>Start</w:t>
      </w:r>
      <w:r>
        <w:rPr>
          <w:rFonts w:ascii="Verdana"/>
          <w:color w:val="333399"/>
          <w:spacing w:val="-1"/>
          <w:sz w:val="18"/>
        </w:rPr>
        <w:t> </w:t>
      </w:r>
      <w:r>
        <w:rPr>
          <w:rFonts w:ascii="Verdana"/>
          <w:color w:val="333399"/>
          <w:sz w:val="18"/>
        </w:rPr>
        <w:t>Page</w:t>
        <w:tab/>
      </w:r>
      <w:r>
        <w:rPr>
          <w:rFonts w:ascii="Verdana"/>
          <w:sz w:val="18"/>
        </w:rPr>
        <w:t>149</w:t>
      </w:r>
    </w:p>
    <w:p>
      <w:pPr>
        <w:tabs>
          <w:tab w:pos="3154" w:val="right" w:leader="none"/>
        </w:tabs>
        <w:spacing w:before="141"/>
        <w:ind w:left="110" w:right="0" w:firstLine="0"/>
        <w:jc w:val="left"/>
        <w:rPr>
          <w:rFonts w:ascii="Verdana"/>
          <w:sz w:val="18"/>
        </w:rPr>
      </w:pPr>
      <w:r>
        <w:rPr>
          <w:rFonts w:ascii="Verdana"/>
          <w:color w:val="333399"/>
          <w:sz w:val="18"/>
        </w:rPr>
        <w:t>End</w:t>
      </w:r>
      <w:r>
        <w:rPr>
          <w:rFonts w:ascii="Verdana"/>
          <w:color w:val="333399"/>
          <w:spacing w:val="-1"/>
          <w:sz w:val="18"/>
        </w:rPr>
        <w:t> </w:t>
      </w:r>
      <w:r>
        <w:rPr>
          <w:rFonts w:ascii="Verdana"/>
          <w:color w:val="333399"/>
          <w:sz w:val="18"/>
        </w:rPr>
        <w:t>Page</w:t>
        <w:tab/>
      </w:r>
      <w:r>
        <w:rPr>
          <w:rFonts w:ascii="Verdana"/>
          <w:sz w:val="18"/>
        </w:rPr>
        <w:t>156</w:t>
      </w:r>
    </w:p>
    <w:p>
      <w:pPr>
        <w:tabs>
          <w:tab w:pos="2811" w:val="left" w:leader="none"/>
        </w:tabs>
        <w:spacing w:before="142"/>
        <w:ind w:left="110" w:right="0" w:firstLine="0"/>
        <w:jc w:val="left"/>
        <w:rPr>
          <w:rFonts w:ascii="Verdana"/>
          <w:sz w:val="18"/>
        </w:rPr>
      </w:pPr>
      <w:r>
        <w:rPr>
          <w:rFonts w:ascii="Verdana"/>
          <w:color w:val="333399"/>
          <w:spacing w:val="-5"/>
          <w:sz w:val="18"/>
        </w:rPr>
        <w:t>Type</w:t>
      </w:r>
      <w:r>
        <w:rPr>
          <w:rFonts w:ascii="Verdana"/>
          <w:color w:val="333399"/>
          <w:sz w:val="18"/>
        </w:rPr>
        <w:t> of</w:t>
      </w:r>
      <w:r>
        <w:rPr>
          <w:rFonts w:ascii="Verdana"/>
          <w:color w:val="333399"/>
          <w:spacing w:val="1"/>
          <w:sz w:val="18"/>
        </w:rPr>
        <w:t> </w:t>
      </w:r>
      <w:r>
        <w:rPr>
          <w:rFonts w:ascii="Verdana"/>
          <w:color w:val="333399"/>
          <w:sz w:val="18"/>
        </w:rPr>
        <w:t>Use</w:t>
        <w:tab/>
      </w:r>
      <w:r>
        <w:rPr>
          <w:rFonts w:ascii="Verdana"/>
          <w:sz w:val="18"/>
        </w:rPr>
        <w:t>reuse in a journal/magazine</w:t>
      </w:r>
    </w:p>
    <w:p>
      <w:pPr>
        <w:tabs>
          <w:tab w:pos="2811" w:val="left" w:leader="none"/>
        </w:tabs>
        <w:spacing w:before="141"/>
        <w:ind w:left="110" w:right="0" w:firstLine="0"/>
        <w:jc w:val="left"/>
        <w:rPr>
          <w:rFonts w:ascii="Verdana"/>
          <w:sz w:val="18"/>
        </w:rPr>
      </w:pPr>
      <w:r>
        <w:rPr>
          <w:rFonts w:ascii="Verdana"/>
          <w:color w:val="333399"/>
          <w:sz w:val="18"/>
        </w:rPr>
        <w:t>Requestor</w:t>
      </w:r>
      <w:r>
        <w:rPr>
          <w:rFonts w:ascii="Verdana"/>
          <w:color w:val="333399"/>
          <w:spacing w:val="-3"/>
          <w:sz w:val="18"/>
        </w:rPr>
        <w:t> </w:t>
      </w:r>
      <w:r>
        <w:rPr>
          <w:rFonts w:ascii="Verdana"/>
          <w:color w:val="333399"/>
          <w:sz w:val="18"/>
        </w:rPr>
        <w:t>type</w:t>
        <w:tab/>
      </w:r>
      <w:r>
        <w:rPr>
          <w:rFonts w:ascii="Verdana"/>
          <w:sz w:val="18"/>
        </w:rPr>
        <w:t>academic/educational institute</w:t>
      </w:r>
    </w:p>
    <w:p>
      <w:pPr>
        <w:spacing w:after="0"/>
        <w:jc w:val="left"/>
        <w:rPr>
          <w:rFonts w:ascii="Verdana"/>
          <w:sz w:val="18"/>
        </w:rPr>
        <w:sectPr>
          <w:headerReference w:type="default" r:id="rId5"/>
          <w:footerReference w:type="default" r:id="rId6"/>
          <w:type w:val="continuous"/>
          <w:pgSz w:w="11900" w:h="16840"/>
          <w:pgMar w:header="274" w:footer="283" w:top="480" w:bottom="480" w:left="620" w:right="1680"/>
          <w:pgNumType w:start="1"/>
        </w:sectPr>
      </w:pPr>
    </w:p>
    <w:p>
      <w:pPr>
        <w:spacing w:line="247" w:lineRule="auto" w:before="142"/>
        <w:ind w:left="110" w:right="21" w:firstLine="0"/>
        <w:jc w:val="left"/>
        <w:rPr>
          <w:rFonts w:ascii="Verdana"/>
          <w:sz w:val="18"/>
        </w:rPr>
      </w:pPr>
      <w:r>
        <w:rPr>
          <w:rFonts w:ascii="Verdana"/>
          <w:color w:val="333399"/>
          <w:sz w:val="18"/>
        </w:rPr>
        <w:t>Intended publisher of new work</w:t>
      </w:r>
    </w:p>
    <w:p>
      <w:pPr>
        <w:spacing w:before="142"/>
        <w:ind w:left="110" w:right="0" w:firstLine="0"/>
        <w:jc w:val="left"/>
        <w:rPr>
          <w:rFonts w:ascii="Verdana"/>
          <w:sz w:val="18"/>
        </w:rPr>
      </w:pPr>
      <w:r>
        <w:rPr/>
        <w:br w:type="column"/>
      </w:r>
      <w:r>
        <w:rPr>
          <w:rFonts w:ascii="Verdana"/>
          <w:sz w:val="18"/>
        </w:rPr>
        <w:t>Other</w:t>
      </w:r>
    </w:p>
    <w:p>
      <w:pPr>
        <w:spacing w:after="0"/>
        <w:jc w:val="left"/>
        <w:rPr>
          <w:rFonts w:ascii="Verdana"/>
          <w:sz w:val="18"/>
        </w:rPr>
        <w:sectPr>
          <w:type w:val="continuous"/>
          <w:pgSz w:w="11900" w:h="16840"/>
          <w:pgMar w:top="480" w:bottom="480" w:left="620" w:right="1680"/>
          <w:cols w:num="2" w:equalWidth="0">
            <w:col w:w="2524" w:space="177"/>
            <w:col w:w="6899"/>
          </w:cols>
        </w:sectPr>
      </w:pPr>
    </w:p>
    <w:p>
      <w:pPr>
        <w:tabs>
          <w:tab w:pos="2811" w:val="left" w:leader="none"/>
        </w:tabs>
        <w:spacing w:before="134"/>
        <w:ind w:left="110" w:right="0" w:firstLine="0"/>
        <w:jc w:val="left"/>
        <w:rPr>
          <w:rFonts w:ascii="Verdana"/>
          <w:sz w:val="18"/>
        </w:rPr>
      </w:pPr>
      <w:r>
        <w:rPr>
          <w:rFonts w:ascii="Verdana"/>
          <w:color w:val="333399"/>
          <w:sz w:val="18"/>
        </w:rPr>
        <w:t>Portion</w:t>
        <w:tab/>
      </w:r>
      <w:r>
        <w:rPr>
          <w:rFonts w:ascii="Verdana"/>
          <w:sz w:val="18"/>
        </w:rPr>
        <w:t>figures/tables/illustrations</w:t>
      </w:r>
    </w:p>
    <w:p>
      <w:pPr>
        <w:tabs>
          <w:tab w:pos="2925" w:val="right" w:leader="none"/>
        </w:tabs>
        <w:spacing w:before="142"/>
        <w:ind w:left="110" w:right="0" w:firstLine="0"/>
        <w:jc w:val="left"/>
        <w:rPr>
          <w:rFonts w:ascii="Verdana"/>
          <w:sz w:val="18"/>
        </w:rPr>
      </w:pPr>
      <w:r>
        <w:rPr>
          <w:rFonts w:ascii="Verdana"/>
          <w:color w:val="333399"/>
          <w:sz w:val="18"/>
        </w:rPr>
        <w:t>Number of</w:t>
        <w:tab/>
      </w:r>
      <w:r>
        <w:rPr>
          <w:rFonts w:ascii="Verdana"/>
          <w:sz w:val="18"/>
        </w:rPr>
        <w:t>3</w:t>
      </w:r>
    </w:p>
    <w:p>
      <w:pPr>
        <w:spacing w:before="6"/>
        <w:ind w:left="110" w:right="0" w:firstLine="0"/>
        <w:jc w:val="left"/>
        <w:rPr>
          <w:rFonts w:ascii="Verdana"/>
          <w:sz w:val="18"/>
        </w:rPr>
      </w:pPr>
      <w:r>
        <w:rPr>
          <w:rFonts w:ascii="Verdana"/>
          <w:color w:val="333399"/>
          <w:sz w:val="18"/>
        </w:rPr>
        <w:t>figures/tables/illustrations</w:t>
      </w:r>
    </w:p>
    <w:p>
      <w:pPr>
        <w:tabs>
          <w:tab w:pos="2811" w:val="left" w:leader="none"/>
        </w:tabs>
        <w:spacing w:before="141"/>
        <w:ind w:left="110" w:right="0" w:firstLine="0"/>
        <w:jc w:val="left"/>
        <w:rPr>
          <w:rFonts w:ascii="Verdana"/>
          <w:sz w:val="18"/>
        </w:rPr>
      </w:pPr>
      <w:r>
        <w:rPr>
          <w:rFonts w:ascii="Verdana"/>
          <w:color w:val="333399"/>
          <w:sz w:val="18"/>
        </w:rPr>
        <w:t>Format</w:t>
        <w:tab/>
      </w:r>
      <w:r>
        <w:rPr>
          <w:rFonts w:ascii="Verdana"/>
          <w:sz w:val="18"/>
        </w:rPr>
        <w:t>electronic</w:t>
      </w:r>
    </w:p>
    <w:p>
      <w:pPr>
        <w:spacing w:after="0"/>
        <w:jc w:val="left"/>
        <w:rPr>
          <w:rFonts w:ascii="Verdana"/>
          <w:sz w:val="18"/>
        </w:rPr>
        <w:sectPr>
          <w:type w:val="continuous"/>
          <w:pgSz w:w="11900" w:h="16840"/>
          <w:pgMar w:top="480" w:bottom="480" w:left="620" w:right="1680"/>
        </w:sectPr>
      </w:pPr>
    </w:p>
    <w:p>
      <w:pPr>
        <w:spacing w:line="247" w:lineRule="auto" w:before="142"/>
        <w:ind w:left="110" w:right="20" w:firstLine="0"/>
        <w:jc w:val="left"/>
        <w:rPr>
          <w:rFonts w:ascii="Verdana"/>
          <w:sz w:val="18"/>
        </w:rPr>
      </w:pPr>
      <w:r>
        <w:rPr>
          <w:rFonts w:ascii="Verdana"/>
          <w:color w:val="333399"/>
          <w:sz w:val="18"/>
        </w:rPr>
        <w:t>Are you the author of this Elsevier article?</w:t>
      </w:r>
    </w:p>
    <w:p>
      <w:pPr>
        <w:spacing w:before="142"/>
        <w:ind w:left="110" w:right="0" w:firstLine="0"/>
        <w:jc w:val="left"/>
        <w:rPr>
          <w:rFonts w:ascii="Verdana"/>
          <w:sz w:val="18"/>
        </w:rPr>
      </w:pPr>
      <w:r>
        <w:rPr/>
        <w:br w:type="column"/>
      </w:r>
      <w:r>
        <w:rPr>
          <w:rFonts w:ascii="Verdana"/>
          <w:sz w:val="18"/>
        </w:rPr>
        <w:t>Yes</w:t>
      </w:r>
    </w:p>
    <w:p>
      <w:pPr>
        <w:spacing w:after="0"/>
        <w:jc w:val="left"/>
        <w:rPr>
          <w:rFonts w:ascii="Verdana"/>
          <w:sz w:val="18"/>
        </w:rPr>
        <w:sectPr>
          <w:type w:val="continuous"/>
          <w:pgSz w:w="11900" w:h="16840"/>
          <w:pgMar w:top="480" w:bottom="480" w:left="620" w:right="1680"/>
          <w:cols w:num="2" w:equalWidth="0">
            <w:col w:w="2489" w:space="212"/>
            <w:col w:w="6899"/>
          </w:cols>
        </w:sectPr>
      </w:pPr>
    </w:p>
    <w:p>
      <w:pPr>
        <w:tabs>
          <w:tab w:pos="2811" w:val="left" w:leader="none"/>
        </w:tabs>
        <w:spacing w:before="134"/>
        <w:ind w:left="110" w:right="0" w:firstLine="0"/>
        <w:jc w:val="left"/>
        <w:rPr>
          <w:rFonts w:ascii="Verdana"/>
          <w:sz w:val="18"/>
        </w:rPr>
      </w:pPr>
      <w:r>
        <w:rPr>
          <w:rFonts w:ascii="Verdana"/>
          <w:color w:val="333399"/>
          <w:sz w:val="18"/>
        </w:rPr>
        <w:t>Will you</w:t>
      </w:r>
      <w:r>
        <w:rPr>
          <w:rFonts w:ascii="Verdana"/>
          <w:color w:val="333399"/>
          <w:spacing w:val="-3"/>
          <w:sz w:val="18"/>
        </w:rPr>
        <w:t> </w:t>
      </w:r>
      <w:r>
        <w:rPr>
          <w:rFonts w:ascii="Verdana"/>
          <w:color w:val="333399"/>
          <w:sz w:val="18"/>
        </w:rPr>
        <w:t>be</w:t>
      </w:r>
      <w:r>
        <w:rPr>
          <w:rFonts w:ascii="Verdana"/>
          <w:color w:val="333399"/>
          <w:spacing w:val="-1"/>
          <w:sz w:val="18"/>
        </w:rPr>
        <w:t> </w:t>
      </w:r>
      <w:r>
        <w:rPr>
          <w:rFonts w:ascii="Verdana"/>
          <w:color w:val="333399"/>
          <w:sz w:val="18"/>
        </w:rPr>
        <w:t>translating?</w:t>
        <w:tab/>
      </w:r>
      <w:r>
        <w:rPr>
          <w:rFonts w:ascii="Verdana"/>
          <w:sz w:val="18"/>
        </w:rPr>
        <w:t>No</w:t>
      </w:r>
    </w:p>
    <w:p>
      <w:pPr>
        <w:tabs>
          <w:tab w:pos="2811" w:val="left" w:leader="none"/>
        </w:tabs>
        <w:spacing w:before="142"/>
        <w:ind w:left="110" w:right="0" w:firstLine="0"/>
        <w:jc w:val="left"/>
        <w:rPr>
          <w:rFonts w:ascii="Verdana"/>
          <w:sz w:val="18"/>
        </w:rPr>
      </w:pPr>
      <w:r>
        <w:rPr>
          <w:rFonts w:ascii="Verdana"/>
          <w:color w:val="333399"/>
          <w:sz w:val="18"/>
        </w:rPr>
        <w:t>Original figure numbers</w:t>
        <w:tab/>
      </w:r>
      <w:r>
        <w:rPr>
          <w:rFonts w:ascii="Verdana"/>
          <w:sz w:val="18"/>
        </w:rPr>
        <w:t>Figure 1, Figure 4, </w:t>
      </w:r>
      <w:r>
        <w:rPr>
          <w:rFonts w:ascii="Verdana"/>
          <w:spacing w:val="-5"/>
          <w:sz w:val="18"/>
        </w:rPr>
        <w:t>Table</w:t>
      </w:r>
      <w:r>
        <w:rPr>
          <w:rFonts w:ascii="Verdana"/>
          <w:sz w:val="18"/>
        </w:rPr>
        <w:t> 1</w:t>
      </w:r>
    </w:p>
    <w:p>
      <w:pPr>
        <w:tabs>
          <w:tab w:pos="2811" w:val="left" w:leader="none"/>
        </w:tabs>
        <w:spacing w:before="141"/>
        <w:ind w:left="110" w:right="0" w:firstLine="0"/>
        <w:jc w:val="left"/>
        <w:rPr>
          <w:rFonts w:ascii="Verdana"/>
          <w:sz w:val="18"/>
        </w:rPr>
      </w:pPr>
      <w:r>
        <w:rPr>
          <w:rFonts w:ascii="Verdana"/>
          <w:color w:val="333399"/>
          <w:sz w:val="18"/>
        </w:rPr>
        <w:t>Title of the article</w:t>
        <w:tab/>
      </w:r>
      <w:r>
        <w:rPr>
          <w:rFonts w:ascii="Verdana"/>
          <w:sz w:val="18"/>
        </w:rPr>
        <w:t>The Use of Freeze-thawed Embryos for the High-efficient</w:t>
      </w:r>
      <w:r>
        <w:rPr>
          <w:rFonts w:ascii="Verdana"/>
          <w:spacing w:val="-3"/>
          <w:sz w:val="18"/>
        </w:rPr>
        <w:t> </w:t>
      </w:r>
      <w:r>
        <w:rPr>
          <w:rFonts w:ascii="Verdana"/>
          <w:sz w:val="18"/>
        </w:rPr>
        <w:t>Production</w:t>
      </w:r>
    </w:p>
    <w:p>
      <w:pPr>
        <w:tabs>
          <w:tab w:pos="2811" w:val="left" w:leader="none"/>
        </w:tabs>
        <w:spacing w:line="396" w:lineRule="auto" w:before="7"/>
        <w:ind w:left="110" w:right="4270" w:firstLine="2701"/>
        <w:jc w:val="left"/>
        <w:rPr>
          <w:rFonts w:ascii="Verdana"/>
          <w:sz w:val="18"/>
        </w:rPr>
      </w:pPr>
      <w:r>
        <w:rPr>
          <w:rFonts w:ascii="Verdana"/>
          <w:sz w:val="18"/>
        </w:rPr>
        <w:t>of Genetically Modified </w:t>
      </w:r>
      <w:r>
        <w:rPr>
          <w:rFonts w:ascii="Verdana"/>
          <w:spacing w:val="-5"/>
          <w:sz w:val="18"/>
        </w:rPr>
        <w:t>Mice </w:t>
      </w:r>
      <w:r>
        <w:rPr>
          <w:rFonts w:ascii="Verdana"/>
          <w:color w:val="333399"/>
          <w:sz w:val="18"/>
        </w:rPr>
        <w:t>Publication new article is in</w:t>
        <w:tab/>
      </w:r>
      <w:r>
        <w:rPr>
          <w:rFonts w:ascii="Verdana"/>
          <w:sz w:val="18"/>
        </w:rPr>
        <w:t>JoVE</w:t>
      </w:r>
    </w:p>
    <w:p>
      <w:pPr>
        <w:tabs>
          <w:tab w:pos="2811" w:val="left" w:leader="none"/>
        </w:tabs>
        <w:spacing w:line="217" w:lineRule="exact" w:before="0"/>
        <w:ind w:left="110" w:right="0" w:firstLine="0"/>
        <w:jc w:val="left"/>
        <w:rPr>
          <w:rFonts w:ascii="Verdana"/>
          <w:sz w:val="18"/>
        </w:rPr>
      </w:pPr>
      <w:r>
        <w:rPr>
          <w:rFonts w:ascii="Verdana"/>
          <w:color w:val="333399"/>
          <w:sz w:val="18"/>
        </w:rPr>
        <w:t>Publisher of the new article</w:t>
        <w:tab/>
      </w:r>
      <w:r>
        <w:rPr>
          <w:rFonts w:ascii="Verdana"/>
          <w:sz w:val="18"/>
        </w:rPr>
        <w:t>Other</w:t>
      </w:r>
    </w:p>
    <w:p>
      <w:pPr>
        <w:tabs>
          <w:tab w:pos="2811" w:val="left" w:leader="none"/>
        </w:tabs>
        <w:spacing w:before="141"/>
        <w:ind w:left="110" w:right="0" w:firstLine="0"/>
        <w:jc w:val="left"/>
        <w:rPr>
          <w:rFonts w:ascii="Verdana"/>
          <w:sz w:val="18"/>
        </w:rPr>
      </w:pPr>
      <w:r>
        <w:rPr>
          <w:rFonts w:ascii="Verdana"/>
          <w:color w:val="333399"/>
          <w:sz w:val="18"/>
        </w:rPr>
        <w:t>Author of</w:t>
      </w:r>
      <w:r>
        <w:rPr>
          <w:rFonts w:ascii="Verdana"/>
          <w:color w:val="333399"/>
          <w:spacing w:val="-1"/>
          <w:sz w:val="18"/>
        </w:rPr>
        <w:t> </w:t>
      </w:r>
      <w:r>
        <w:rPr>
          <w:rFonts w:ascii="Verdana"/>
          <w:color w:val="333399"/>
          <w:sz w:val="18"/>
        </w:rPr>
        <w:t>new article</w:t>
        <w:tab/>
      </w:r>
      <w:r>
        <w:rPr>
          <w:rFonts w:ascii="Verdana"/>
          <w:sz w:val="18"/>
        </w:rPr>
        <w:t>Hirofumi Nishizono, Mohamed Darwish, Hideki Uosaki,</w:t>
      </w:r>
      <w:r>
        <w:rPr>
          <w:rFonts w:ascii="Verdana"/>
          <w:spacing w:val="-1"/>
          <w:sz w:val="18"/>
        </w:rPr>
        <w:t> </w:t>
      </w:r>
      <w:r>
        <w:rPr>
          <w:rFonts w:ascii="Verdana"/>
          <w:sz w:val="18"/>
        </w:rPr>
        <w:t>Nanami</w:t>
      </w:r>
    </w:p>
    <w:p>
      <w:pPr>
        <w:spacing w:line="247" w:lineRule="auto" w:before="6"/>
        <w:ind w:left="2811" w:right="556" w:firstLine="0"/>
        <w:jc w:val="left"/>
        <w:rPr>
          <w:rFonts w:ascii="Verdana"/>
          <w:sz w:val="18"/>
        </w:rPr>
      </w:pPr>
      <w:r>
        <w:rPr>
          <w:rFonts w:ascii="Verdana"/>
          <w:sz w:val="18"/>
        </w:rPr>
        <w:t>Masuyama, Motoaki Seki, Hiroyuki Abe, Nozomu Yachie and Ryohei Yasuda</w:t>
      </w:r>
    </w:p>
    <w:p>
      <w:pPr>
        <w:tabs>
          <w:tab w:pos="2811" w:val="left" w:leader="none"/>
        </w:tabs>
        <w:spacing w:before="135"/>
        <w:ind w:left="110" w:right="0" w:firstLine="0"/>
        <w:jc w:val="left"/>
        <w:rPr>
          <w:rFonts w:ascii="Verdana"/>
          <w:sz w:val="18"/>
        </w:rPr>
      </w:pPr>
      <w:r>
        <w:rPr>
          <w:rFonts w:ascii="Verdana"/>
          <w:color w:val="333399"/>
          <w:sz w:val="18"/>
        </w:rPr>
        <w:t>Expected publication date</w:t>
        <w:tab/>
      </w:r>
      <w:r>
        <w:rPr>
          <w:rFonts w:ascii="Verdana"/>
          <w:sz w:val="18"/>
        </w:rPr>
        <w:t>Jan 2020</w:t>
      </w:r>
    </w:p>
    <w:p>
      <w:pPr>
        <w:spacing w:line="247" w:lineRule="auto" w:before="141"/>
        <w:ind w:left="110" w:right="6481" w:firstLine="0"/>
        <w:jc w:val="left"/>
        <w:rPr>
          <w:rFonts w:ascii="Verdana"/>
          <w:sz w:val="18"/>
        </w:rPr>
      </w:pPr>
      <w:r>
        <w:rPr>
          <w:rFonts w:ascii="Verdana"/>
          <w:color w:val="333399"/>
          <w:sz w:val="18"/>
        </w:rPr>
        <w:t>Estimated size of new article </w:t>
      </w:r>
      <w:r>
        <w:rPr>
          <w:rFonts w:ascii="Verdana"/>
          <w:sz w:val="18"/>
        </w:rPr>
        <w:t>4 </w:t>
      </w:r>
      <w:r>
        <w:rPr>
          <w:rFonts w:ascii="Verdana"/>
          <w:color w:val="333399"/>
          <w:sz w:val="18"/>
        </w:rPr>
        <w:t>(number of pages)</w:t>
      </w:r>
    </w:p>
    <w:p>
      <w:pPr>
        <w:tabs>
          <w:tab w:pos="2811" w:val="left" w:leader="none"/>
        </w:tabs>
        <w:spacing w:line="247" w:lineRule="auto" w:before="135"/>
        <w:ind w:left="2811" w:right="4888" w:hanging="2702"/>
        <w:jc w:val="left"/>
        <w:rPr>
          <w:rFonts w:ascii="Verdana"/>
          <w:sz w:val="18"/>
        </w:rPr>
      </w:pPr>
      <w:r>
        <w:rPr>
          <w:rFonts w:ascii="Verdana"/>
          <w:color w:val="333399"/>
          <w:sz w:val="18"/>
        </w:rPr>
        <w:t>Requestor</w:t>
      </w:r>
      <w:r>
        <w:rPr>
          <w:rFonts w:ascii="Verdana"/>
          <w:color w:val="333399"/>
          <w:spacing w:val="-2"/>
          <w:sz w:val="18"/>
        </w:rPr>
        <w:t> </w:t>
      </w:r>
      <w:r>
        <w:rPr>
          <w:rFonts w:ascii="Verdana"/>
          <w:color w:val="333399"/>
          <w:sz w:val="18"/>
        </w:rPr>
        <w:t>Location</w:t>
        <w:tab/>
      </w:r>
      <w:r>
        <w:rPr>
          <w:rFonts w:ascii="Verdana"/>
          <w:sz w:val="18"/>
        </w:rPr>
        <w:t>University of </w:t>
      </w:r>
      <w:r>
        <w:rPr>
          <w:rFonts w:ascii="Verdana"/>
          <w:spacing w:val="-8"/>
          <w:sz w:val="18"/>
        </w:rPr>
        <w:t>Toyama </w:t>
      </w:r>
      <w:r>
        <w:rPr>
          <w:rFonts w:ascii="Verdana"/>
          <w:sz w:val="18"/>
        </w:rPr>
        <w:t>2630 Sugitani</w:t>
      </w:r>
    </w:p>
    <w:p>
      <w:pPr>
        <w:spacing w:after="0" w:line="247" w:lineRule="auto"/>
        <w:jc w:val="left"/>
        <w:rPr>
          <w:rFonts w:ascii="Verdana"/>
          <w:sz w:val="18"/>
        </w:rPr>
        <w:sectPr>
          <w:type w:val="continuous"/>
          <w:pgSz w:w="11900" w:h="16840"/>
          <w:pgMar w:top="480" w:bottom="480" w:left="620" w:right="1680"/>
        </w:sectPr>
      </w:pPr>
    </w:p>
    <w:p>
      <w:pPr>
        <w:pStyle w:val="BodyText"/>
        <w:spacing w:before="6"/>
        <w:ind w:left="0"/>
        <w:rPr>
          <w:rFonts w:ascii="Verdana"/>
          <w:sz w:val="17"/>
        </w:rPr>
      </w:pPr>
    </w:p>
    <w:p>
      <w:pPr>
        <w:spacing w:line="247" w:lineRule="auto" w:before="101"/>
        <w:ind w:left="2811" w:right="4258" w:firstLine="0"/>
        <w:jc w:val="left"/>
        <w:rPr>
          <w:rFonts w:ascii="Verdana"/>
          <w:sz w:val="18"/>
        </w:rPr>
      </w:pPr>
      <w:r>
        <w:rPr>
          <w:rFonts w:ascii="Verdana"/>
          <w:sz w:val="18"/>
        </w:rPr>
        <w:t>Toyama, Toyama 930-0194 Japan</w:t>
      </w:r>
    </w:p>
    <w:p>
      <w:pPr>
        <w:spacing w:line="218" w:lineRule="exact" w:before="0"/>
        <w:ind w:left="2811" w:right="0" w:firstLine="0"/>
        <w:jc w:val="left"/>
        <w:rPr>
          <w:rFonts w:ascii="Verdana"/>
          <w:sz w:val="18"/>
        </w:rPr>
      </w:pPr>
      <w:r>
        <w:rPr>
          <w:rFonts w:ascii="Verdana"/>
          <w:sz w:val="18"/>
        </w:rPr>
        <w:t>Attn: University of Toyama</w:t>
      </w:r>
    </w:p>
    <w:p>
      <w:pPr>
        <w:tabs>
          <w:tab w:pos="2811" w:val="left" w:leader="none"/>
        </w:tabs>
        <w:spacing w:before="141"/>
        <w:ind w:left="110" w:right="0" w:firstLine="0"/>
        <w:jc w:val="left"/>
        <w:rPr>
          <w:rFonts w:ascii="Verdana"/>
          <w:sz w:val="18"/>
        </w:rPr>
      </w:pPr>
      <w:r>
        <w:rPr>
          <w:rFonts w:ascii="Verdana"/>
          <w:color w:val="333399"/>
          <w:sz w:val="18"/>
        </w:rPr>
        <w:t>Publisher </w:t>
      </w:r>
      <w:r>
        <w:rPr>
          <w:rFonts w:ascii="Verdana"/>
          <w:color w:val="333399"/>
          <w:spacing w:val="-8"/>
          <w:sz w:val="18"/>
        </w:rPr>
        <w:t>Tax</w:t>
      </w:r>
      <w:r>
        <w:rPr>
          <w:rFonts w:ascii="Verdana"/>
          <w:color w:val="333399"/>
          <w:spacing w:val="1"/>
          <w:sz w:val="18"/>
        </w:rPr>
        <w:t> </w:t>
      </w:r>
      <w:r>
        <w:rPr>
          <w:rFonts w:ascii="Verdana"/>
          <w:color w:val="333399"/>
          <w:sz w:val="18"/>
        </w:rPr>
        <w:t>ID</w:t>
        <w:tab/>
      </w:r>
      <w:r>
        <w:rPr>
          <w:rFonts w:ascii="Verdana"/>
          <w:sz w:val="18"/>
        </w:rPr>
        <w:t>JP00022</w:t>
      </w:r>
    </w:p>
    <w:p>
      <w:pPr>
        <w:tabs>
          <w:tab w:pos="2811" w:val="left" w:leader="none"/>
        </w:tabs>
        <w:spacing w:before="142"/>
        <w:ind w:left="110" w:right="0" w:firstLine="0"/>
        <w:jc w:val="left"/>
        <w:rPr>
          <w:rFonts w:ascii="Verdana"/>
          <w:sz w:val="18"/>
        </w:rPr>
      </w:pPr>
      <w:r>
        <w:rPr>
          <w:rFonts w:ascii="Verdana"/>
          <w:color w:val="333399"/>
          <w:spacing w:val="-4"/>
          <w:sz w:val="18"/>
        </w:rPr>
        <w:t>Total</w:t>
        <w:tab/>
      </w:r>
      <w:r>
        <w:rPr>
          <w:rFonts w:ascii="Verdana"/>
          <w:sz w:val="18"/>
        </w:rPr>
        <w:t>0.00 USD</w:t>
      </w:r>
    </w:p>
    <w:p>
      <w:pPr>
        <w:spacing w:before="141"/>
        <w:ind w:left="110" w:right="0" w:firstLine="0"/>
        <w:jc w:val="left"/>
        <w:rPr>
          <w:rFonts w:ascii="Verdana"/>
          <w:sz w:val="18"/>
        </w:rPr>
      </w:pPr>
      <w:r>
        <w:rPr>
          <w:rFonts w:ascii="Verdana"/>
          <w:color w:val="333399"/>
          <w:sz w:val="18"/>
        </w:rPr>
        <w:t>Terms and Conditions</w:t>
      </w:r>
    </w:p>
    <w:p>
      <w:pPr>
        <w:pStyle w:val="Heading1"/>
        <w:spacing w:line="466" w:lineRule="exact" w:before="37"/>
        <w:ind w:left="2745" w:right="3178"/>
        <w:jc w:val="center"/>
      </w:pPr>
      <w:r>
        <w:rPr/>
        <w:t>INTRODUCTION</w:t>
      </w:r>
    </w:p>
    <w:p>
      <w:pPr>
        <w:pStyle w:val="ListParagraph"/>
        <w:numPr>
          <w:ilvl w:val="0"/>
          <w:numId w:val="1"/>
        </w:numPr>
        <w:tabs>
          <w:tab w:pos="425" w:val="left" w:leader="none"/>
        </w:tabs>
        <w:spacing w:line="151" w:lineRule="auto" w:before="28" w:after="0"/>
        <w:ind w:left="110" w:right="581" w:firstLine="0"/>
        <w:jc w:val="left"/>
        <w:rPr>
          <w:sz w:val="24"/>
        </w:rPr>
      </w:pPr>
      <w:r>
        <w:rPr>
          <w:sz w:val="24"/>
        </w:rPr>
        <w:t>The publisher for this copyrighted material is </w:t>
      </w:r>
      <w:r>
        <w:rPr>
          <w:spacing w:val="-4"/>
          <w:sz w:val="24"/>
        </w:rPr>
        <w:t>Elsevier. </w:t>
      </w:r>
      <w:r>
        <w:rPr>
          <w:sz w:val="24"/>
        </w:rPr>
        <w:t>By clicking "accept" in connection with completing this licensing transaction, you agree that the following terms and conditions apply to this transaction (along </w:t>
      </w:r>
      <w:r>
        <w:rPr>
          <w:spacing w:val="-4"/>
          <w:sz w:val="24"/>
        </w:rPr>
        <w:t>with </w:t>
      </w:r>
      <w:r>
        <w:rPr>
          <w:sz w:val="24"/>
        </w:rPr>
        <w:t>the Billing and Payment terms and conditions established by Copyright Clearance </w:t>
      </w:r>
      <w:r>
        <w:rPr>
          <w:spacing w:val="-5"/>
          <w:sz w:val="24"/>
        </w:rPr>
        <w:t>Center, </w:t>
      </w:r>
      <w:r>
        <w:rPr>
          <w:sz w:val="24"/>
        </w:rPr>
        <w:t>Inc. ("CCC"), at the time that you opened your Rightslink account and that are available at any time at</w:t>
      </w:r>
      <w:r>
        <w:rPr>
          <w:color w:val="0000ED"/>
          <w:sz w:val="24"/>
          <w:u w:val="single" w:color="0000ED"/>
        </w:rPr>
        <w:t> </w:t>
      </w:r>
      <w:hyperlink r:id="rId7">
        <w:r>
          <w:rPr>
            <w:color w:val="0000ED"/>
            <w:sz w:val="24"/>
            <w:u w:val="single" w:color="0000ED"/>
          </w:rPr>
          <w:t>htt</w:t>
        </w:r>
        <w:r>
          <w:rPr>
            <w:color w:val="0000ED"/>
            <w:sz w:val="24"/>
          </w:rPr>
          <w:t>p</w:t>
        </w:r>
        <w:r>
          <w:rPr>
            <w:color w:val="0000ED"/>
            <w:sz w:val="24"/>
            <w:u w:val="single" w:color="0000ED"/>
          </w:rPr>
          <w:t>://myaccount.copyright.com</w:t>
        </w:r>
      </w:hyperlink>
      <w:r>
        <w:rPr>
          <w:sz w:val="24"/>
        </w:rPr>
        <w:t>).</w:t>
      </w:r>
    </w:p>
    <w:p>
      <w:pPr>
        <w:pStyle w:val="Heading1"/>
        <w:spacing w:line="335" w:lineRule="exact"/>
        <w:ind w:left="2745" w:right="3178"/>
        <w:jc w:val="center"/>
      </w:pPr>
      <w:r>
        <w:rPr/>
        <w:t>GENERAL TERMS</w:t>
      </w:r>
    </w:p>
    <w:p>
      <w:pPr>
        <w:pStyle w:val="ListParagraph"/>
        <w:numPr>
          <w:ilvl w:val="0"/>
          <w:numId w:val="1"/>
        </w:numPr>
        <w:tabs>
          <w:tab w:pos="425" w:val="left" w:leader="none"/>
        </w:tabs>
        <w:spacing w:line="151" w:lineRule="auto" w:before="28" w:after="0"/>
        <w:ind w:left="110" w:right="743" w:firstLine="0"/>
        <w:jc w:val="left"/>
        <w:rPr>
          <w:sz w:val="24"/>
        </w:rPr>
      </w:pPr>
      <w:r>
        <w:rPr>
          <w:sz w:val="24"/>
        </w:rPr>
        <w:t>Elsevier hereby grants you permission to reproduce the</w:t>
      </w:r>
      <w:r>
        <w:rPr>
          <w:spacing w:val="-19"/>
          <w:sz w:val="24"/>
        </w:rPr>
        <w:t> </w:t>
      </w:r>
      <w:r>
        <w:rPr>
          <w:sz w:val="24"/>
        </w:rPr>
        <w:t>aforementioned material subject to the terms and conditions indicated.</w:t>
      </w:r>
    </w:p>
    <w:p>
      <w:pPr>
        <w:pStyle w:val="ListParagraph"/>
        <w:numPr>
          <w:ilvl w:val="0"/>
          <w:numId w:val="1"/>
        </w:numPr>
        <w:tabs>
          <w:tab w:pos="425" w:val="left" w:leader="none"/>
        </w:tabs>
        <w:spacing w:line="151" w:lineRule="auto" w:before="0" w:after="0"/>
        <w:ind w:left="110" w:right="578" w:firstLine="0"/>
        <w:jc w:val="left"/>
        <w:rPr>
          <w:sz w:val="24"/>
        </w:rPr>
      </w:pPr>
      <w:r>
        <w:rPr>
          <w:sz w:val="24"/>
        </w:rPr>
        <w:t>Acknowledgement: If any part of the material to be used (for example, ﬁgures) has appeared in our publication with credit or acknowledgement to another source, permission must also be sought from that source. If such permission is not obtained then that material may not be included in your publication/copies. Suitable acknowledgement to the source must be </w:t>
      </w:r>
      <w:r>
        <w:rPr>
          <w:spacing w:val="-3"/>
          <w:sz w:val="24"/>
        </w:rPr>
        <w:t>made, </w:t>
      </w:r>
      <w:r>
        <w:rPr>
          <w:sz w:val="24"/>
        </w:rPr>
        <w:t>either as a footnote or in a reference list at the end of your publication, as follows:</w:t>
      </w:r>
    </w:p>
    <w:p>
      <w:pPr>
        <w:pStyle w:val="BodyText"/>
        <w:spacing w:line="151" w:lineRule="auto" w:before="3"/>
        <w:ind w:right="674"/>
      </w:pPr>
      <w:r>
        <w:rPr/>
        <w:t>"Reprinted from Publication title, Vol /edition number, Author(s), Title of article / title of chapter, Pages No., Copyright (Year), with permission from Elsevier [OR APPLICABLE SOCIETY COPYRIGHT OWNER]." Also Lancet</w:t>
      </w:r>
    </w:p>
    <w:p>
      <w:pPr>
        <w:pStyle w:val="BodyText"/>
        <w:spacing w:line="151" w:lineRule="auto" w:before="1"/>
        <w:ind w:right="556"/>
      </w:pPr>
      <w:r>
        <w:rPr/>
        <w:t>special credit - "Reprinted from The Lancet, Vol. number, Author(s), Title of article, Pages No., Copyright (Year), with permission from Elsevier."</w:t>
      </w:r>
    </w:p>
    <w:p>
      <w:pPr>
        <w:pStyle w:val="ListParagraph"/>
        <w:numPr>
          <w:ilvl w:val="0"/>
          <w:numId w:val="1"/>
        </w:numPr>
        <w:tabs>
          <w:tab w:pos="425" w:val="left" w:leader="none"/>
        </w:tabs>
        <w:spacing w:line="151" w:lineRule="auto" w:before="0" w:after="0"/>
        <w:ind w:left="110" w:right="572" w:firstLine="0"/>
        <w:jc w:val="left"/>
        <w:rPr>
          <w:sz w:val="24"/>
        </w:rPr>
      </w:pPr>
      <w:r>
        <w:rPr>
          <w:sz w:val="24"/>
        </w:rPr>
        <w:t>Reproduction of this material is conﬁned to the purpose </w:t>
      </w:r>
      <w:r>
        <w:rPr>
          <w:spacing w:val="2"/>
          <w:sz w:val="24"/>
        </w:rPr>
        <w:t>and/or </w:t>
      </w:r>
      <w:r>
        <w:rPr>
          <w:sz w:val="24"/>
        </w:rPr>
        <w:t>media </w:t>
      </w:r>
      <w:r>
        <w:rPr>
          <w:spacing w:val="-5"/>
          <w:sz w:val="24"/>
        </w:rPr>
        <w:t>for </w:t>
      </w:r>
      <w:r>
        <w:rPr>
          <w:sz w:val="24"/>
        </w:rPr>
        <w:t>which permission is hereby</w:t>
      </w:r>
      <w:r>
        <w:rPr>
          <w:spacing w:val="-1"/>
          <w:sz w:val="24"/>
        </w:rPr>
        <w:t> </w:t>
      </w:r>
      <w:r>
        <w:rPr>
          <w:sz w:val="24"/>
        </w:rPr>
        <w:t>given.</w:t>
      </w:r>
    </w:p>
    <w:p>
      <w:pPr>
        <w:pStyle w:val="ListParagraph"/>
        <w:numPr>
          <w:ilvl w:val="0"/>
          <w:numId w:val="1"/>
        </w:numPr>
        <w:tabs>
          <w:tab w:pos="425" w:val="left" w:leader="none"/>
        </w:tabs>
        <w:spacing w:line="151" w:lineRule="auto" w:before="1" w:after="0"/>
        <w:ind w:left="110" w:right="782" w:firstLine="0"/>
        <w:jc w:val="left"/>
        <w:rPr>
          <w:sz w:val="24"/>
        </w:rPr>
      </w:pPr>
      <w:r>
        <w:rPr>
          <w:sz w:val="24"/>
        </w:rPr>
        <w:t>Altering/Modifying Material: Not Permitted. However ﬁgures and illustrations may be altered/adapted minimally to serve your work. Any other abbreviations, additions, deletions </w:t>
      </w:r>
      <w:r>
        <w:rPr>
          <w:spacing w:val="2"/>
          <w:sz w:val="24"/>
        </w:rPr>
        <w:t>and/or </w:t>
      </w:r>
      <w:r>
        <w:rPr>
          <w:sz w:val="24"/>
        </w:rPr>
        <w:t>any other alterations </w:t>
      </w:r>
      <w:r>
        <w:rPr>
          <w:spacing w:val="-3"/>
          <w:sz w:val="24"/>
        </w:rPr>
        <w:t>shall </w:t>
      </w:r>
      <w:r>
        <w:rPr>
          <w:sz w:val="24"/>
        </w:rPr>
        <w:t>be made only with prior written authorization of Elsevier Ltd. (Please contact Elsevier at </w:t>
      </w:r>
      <w:hyperlink r:id="rId8">
        <w:r>
          <w:rPr>
            <w:color w:val="0000ED"/>
            <w:sz w:val="24"/>
          </w:rPr>
          <w:t>p</w:t>
        </w:r>
        <w:r>
          <w:rPr>
            <w:color w:val="0000ED"/>
            <w:sz w:val="24"/>
            <w:u w:val="single" w:color="0000ED"/>
          </w:rPr>
          <w:t>ermissions@elsevier.com</w:t>
        </w:r>
      </w:hyperlink>
      <w:r>
        <w:rPr>
          <w:sz w:val="24"/>
        </w:rPr>
        <w:t>). No modiﬁcations can be made to any Lancet ﬁgures/tables and they must be reproduced in</w:t>
      </w:r>
      <w:r>
        <w:rPr>
          <w:spacing w:val="10"/>
          <w:sz w:val="24"/>
        </w:rPr>
        <w:t> </w:t>
      </w:r>
      <w:r>
        <w:rPr>
          <w:sz w:val="24"/>
        </w:rPr>
        <w:t>full.</w:t>
      </w:r>
    </w:p>
    <w:p>
      <w:pPr>
        <w:pStyle w:val="ListParagraph"/>
        <w:numPr>
          <w:ilvl w:val="0"/>
          <w:numId w:val="1"/>
        </w:numPr>
        <w:tabs>
          <w:tab w:pos="425" w:val="left" w:leader="none"/>
        </w:tabs>
        <w:spacing w:line="151" w:lineRule="auto" w:before="2" w:after="0"/>
        <w:ind w:left="110" w:right="879" w:firstLine="0"/>
        <w:jc w:val="left"/>
        <w:rPr>
          <w:sz w:val="24"/>
        </w:rPr>
      </w:pPr>
      <w:r>
        <w:rPr>
          <w:sz w:val="24"/>
        </w:rPr>
        <w:t>If the permission fee for the requested use of our material is waived </w:t>
      </w:r>
      <w:r>
        <w:rPr>
          <w:spacing w:val="-7"/>
          <w:sz w:val="24"/>
        </w:rPr>
        <w:t>in </w:t>
      </w:r>
      <w:r>
        <w:rPr>
          <w:sz w:val="24"/>
        </w:rPr>
        <w:t>this instance, please be advised that your future requests for Elsevier materials may attract a</w:t>
      </w:r>
      <w:r>
        <w:rPr>
          <w:spacing w:val="-1"/>
          <w:sz w:val="24"/>
        </w:rPr>
        <w:t> </w:t>
      </w:r>
      <w:r>
        <w:rPr>
          <w:sz w:val="24"/>
        </w:rPr>
        <w:t>fee.</w:t>
      </w:r>
    </w:p>
    <w:p>
      <w:pPr>
        <w:pStyle w:val="ListParagraph"/>
        <w:numPr>
          <w:ilvl w:val="0"/>
          <w:numId w:val="1"/>
        </w:numPr>
        <w:tabs>
          <w:tab w:pos="425" w:val="left" w:leader="none"/>
        </w:tabs>
        <w:spacing w:line="151" w:lineRule="auto" w:before="1" w:after="0"/>
        <w:ind w:left="110" w:right="1010" w:firstLine="0"/>
        <w:jc w:val="left"/>
        <w:rPr>
          <w:sz w:val="24"/>
        </w:rPr>
      </w:pPr>
      <w:r>
        <w:rPr>
          <w:sz w:val="24"/>
        </w:rPr>
        <w:t>Reservation of Rights: Publisher reserves all rights not speciﬁcally granted in the combination of (i) the license details provided by you</w:t>
      </w:r>
      <w:r>
        <w:rPr>
          <w:spacing w:val="-9"/>
          <w:sz w:val="24"/>
        </w:rPr>
        <w:t> </w:t>
      </w:r>
      <w:r>
        <w:rPr>
          <w:spacing w:val="-4"/>
          <w:sz w:val="24"/>
        </w:rPr>
        <w:t>and</w:t>
      </w:r>
    </w:p>
    <w:p>
      <w:pPr>
        <w:spacing w:after="0" w:line="151" w:lineRule="auto"/>
        <w:jc w:val="left"/>
        <w:rPr>
          <w:sz w:val="24"/>
        </w:rPr>
        <w:sectPr>
          <w:pgSz w:w="11900" w:h="16840"/>
          <w:pgMar w:header="274" w:footer="283" w:top="480" w:bottom="480" w:left="620" w:right="1680"/>
        </w:sectPr>
      </w:pPr>
    </w:p>
    <w:p>
      <w:pPr>
        <w:pStyle w:val="BodyText"/>
        <w:spacing w:line="151" w:lineRule="auto" w:before="117"/>
        <w:ind w:right="1060"/>
      </w:pPr>
      <w:r>
        <w:rPr/>
        <w:t>accepted in the course of this licensing transaction, (ii) these terms and conditions and (iii) CCC's Billing and Payment terms and conditions.</w:t>
      </w:r>
    </w:p>
    <w:p>
      <w:pPr>
        <w:pStyle w:val="ListParagraph"/>
        <w:numPr>
          <w:ilvl w:val="0"/>
          <w:numId w:val="1"/>
        </w:numPr>
        <w:tabs>
          <w:tab w:pos="425" w:val="left" w:leader="none"/>
        </w:tabs>
        <w:spacing w:line="151" w:lineRule="auto" w:before="1" w:after="0"/>
        <w:ind w:left="110" w:right="643" w:firstLine="0"/>
        <w:jc w:val="left"/>
        <w:rPr>
          <w:sz w:val="24"/>
        </w:rPr>
      </w:pPr>
      <w:r>
        <w:rPr>
          <w:sz w:val="24"/>
        </w:rPr>
        <w:t>License Contingent Upon Payment: While you may exercise the rights licensed immediately upon issuance of the license at the end of the licensing process for the transaction, provided that you have disclosed complete and accurate details of your proposed use, no license is ﬁnally eﬀective unless and until full payment is received from you (either by publisher or by CCC) as provided in CCC's Billing and Payment terms and conditions. If full payment is not received on a timely basis, then any license preliminarily granted shall be deemed automatically revoked and shall be void as if never granted. </w:t>
      </w:r>
      <w:r>
        <w:rPr>
          <w:spacing w:val="-4"/>
          <w:sz w:val="24"/>
        </w:rPr>
        <w:t>Further, </w:t>
      </w:r>
      <w:r>
        <w:rPr>
          <w:sz w:val="24"/>
        </w:rPr>
        <w:t>in the event that you breach any of these terms and conditions or any of CCC's Billing and Payment terms and conditions, the license is automatically revoked and shall be void as if never granted. Use of materials as described in a revoked license, as well as any use of the materials beyond the scope of an unrevoked license, </w:t>
      </w:r>
      <w:r>
        <w:rPr>
          <w:spacing w:val="-5"/>
          <w:sz w:val="24"/>
        </w:rPr>
        <w:t>may </w:t>
      </w:r>
      <w:r>
        <w:rPr>
          <w:sz w:val="24"/>
        </w:rPr>
        <w:t>constitute copyright infringement and publisher reserves the right to take any and all action to protect its copyright in the</w:t>
      </w:r>
      <w:r>
        <w:rPr>
          <w:spacing w:val="-2"/>
          <w:sz w:val="24"/>
        </w:rPr>
        <w:t> </w:t>
      </w:r>
      <w:r>
        <w:rPr>
          <w:sz w:val="24"/>
        </w:rPr>
        <w:t>materials.</w:t>
      </w:r>
    </w:p>
    <w:p>
      <w:pPr>
        <w:pStyle w:val="ListParagraph"/>
        <w:numPr>
          <w:ilvl w:val="0"/>
          <w:numId w:val="1"/>
        </w:numPr>
        <w:tabs>
          <w:tab w:pos="425" w:val="left" w:leader="none"/>
        </w:tabs>
        <w:spacing w:line="151" w:lineRule="auto" w:before="5" w:after="0"/>
        <w:ind w:left="110" w:right="1329" w:firstLine="0"/>
        <w:jc w:val="left"/>
        <w:rPr>
          <w:sz w:val="24"/>
        </w:rPr>
      </w:pPr>
      <w:r>
        <w:rPr>
          <w:sz w:val="24"/>
        </w:rPr>
        <w:t>Warranties: Publisher makes no representations or warranties</w:t>
      </w:r>
      <w:r>
        <w:rPr>
          <w:spacing w:val="-26"/>
          <w:sz w:val="24"/>
        </w:rPr>
        <w:t> </w:t>
      </w:r>
      <w:r>
        <w:rPr>
          <w:sz w:val="24"/>
        </w:rPr>
        <w:t>with respect to the licensed material.</w:t>
      </w:r>
    </w:p>
    <w:p>
      <w:pPr>
        <w:pStyle w:val="ListParagraph"/>
        <w:numPr>
          <w:ilvl w:val="0"/>
          <w:numId w:val="1"/>
        </w:numPr>
        <w:tabs>
          <w:tab w:pos="574" w:val="left" w:leader="none"/>
        </w:tabs>
        <w:spacing w:line="151" w:lineRule="auto" w:before="1" w:after="0"/>
        <w:ind w:left="110" w:right="656" w:firstLine="0"/>
        <w:jc w:val="left"/>
        <w:rPr>
          <w:sz w:val="24"/>
        </w:rPr>
      </w:pPr>
      <w:r>
        <w:rPr>
          <w:sz w:val="24"/>
        </w:rPr>
        <w:t>Indemnity: </w:t>
      </w:r>
      <w:r>
        <w:rPr>
          <w:spacing w:val="-6"/>
          <w:sz w:val="24"/>
        </w:rPr>
        <w:t>You </w:t>
      </w:r>
      <w:r>
        <w:rPr>
          <w:sz w:val="24"/>
        </w:rPr>
        <w:t>hereby indemnify and agree to hold harmless publisher and CCC, and their respective oﬃcers, directors, employees and agents, from and against any and all claims arising out of your use of the licensed material other than as speciﬁcally authorized pursuant to this</w:t>
      </w:r>
      <w:r>
        <w:rPr>
          <w:spacing w:val="-2"/>
          <w:sz w:val="24"/>
        </w:rPr>
        <w:t> </w:t>
      </w:r>
      <w:r>
        <w:rPr>
          <w:sz w:val="24"/>
        </w:rPr>
        <w:t>license.</w:t>
      </w:r>
    </w:p>
    <w:p>
      <w:pPr>
        <w:pStyle w:val="ListParagraph"/>
        <w:numPr>
          <w:ilvl w:val="0"/>
          <w:numId w:val="1"/>
        </w:numPr>
        <w:tabs>
          <w:tab w:pos="574" w:val="left" w:leader="none"/>
        </w:tabs>
        <w:spacing w:line="151" w:lineRule="auto" w:before="1" w:after="0"/>
        <w:ind w:left="110" w:right="795" w:firstLine="0"/>
        <w:jc w:val="left"/>
        <w:rPr>
          <w:sz w:val="24"/>
        </w:rPr>
      </w:pPr>
      <w:r>
        <w:rPr>
          <w:sz w:val="24"/>
        </w:rPr>
        <w:t>No </w:t>
      </w:r>
      <w:r>
        <w:rPr>
          <w:spacing w:val="-4"/>
          <w:sz w:val="24"/>
        </w:rPr>
        <w:t>Transfer </w:t>
      </w:r>
      <w:r>
        <w:rPr>
          <w:sz w:val="24"/>
        </w:rPr>
        <w:t>of License: This license is personal to you and may not </w:t>
      </w:r>
      <w:r>
        <w:rPr>
          <w:spacing w:val="-7"/>
          <w:sz w:val="24"/>
        </w:rPr>
        <w:t>be </w:t>
      </w:r>
      <w:r>
        <w:rPr>
          <w:sz w:val="24"/>
        </w:rPr>
        <w:t>sublicensed, assigned, or transferred by you to any other person without publisher's written permission.</w:t>
      </w:r>
    </w:p>
    <w:p>
      <w:pPr>
        <w:pStyle w:val="ListParagraph"/>
        <w:numPr>
          <w:ilvl w:val="0"/>
          <w:numId w:val="1"/>
        </w:numPr>
        <w:tabs>
          <w:tab w:pos="574" w:val="left" w:leader="none"/>
        </w:tabs>
        <w:spacing w:line="151" w:lineRule="auto" w:before="1" w:after="0"/>
        <w:ind w:left="110" w:right="928" w:firstLine="0"/>
        <w:jc w:val="both"/>
        <w:rPr>
          <w:sz w:val="24"/>
        </w:rPr>
      </w:pPr>
      <w:r>
        <w:rPr>
          <w:sz w:val="24"/>
        </w:rPr>
        <w:t>No Amendment Except in Writing: This license may not be amended except in a writing signed by both parties </w:t>
      </w:r>
      <w:r>
        <w:rPr>
          <w:spacing w:val="-9"/>
          <w:sz w:val="24"/>
        </w:rPr>
        <w:t>(or, </w:t>
      </w:r>
      <w:r>
        <w:rPr>
          <w:sz w:val="24"/>
        </w:rPr>
        <w:t>in the case of </w:t>
      </w:r>
      <w:r>
        <w:rPr>
          <w:spacing w:val="-4"/>
          <w:sz w:val="24"/>
        </w:rPr>
        <w:t>publisher, </w:t>
      </w:r>
      <w:r>
        <w:rPr>
          <w:spacing w:val="-7"/>
          <w:sz w:val="24"/>
        </w:rPr>
        <w:t>by </w:t>
      </w:r>
      <w:r>
        <w:rPr>
          <w:sz w:val="24"/>
        </w:rPr>
        <w:t>CCC on publisher's behalf).</w:t>
      </w:r>
    </w:p>
    <w:p>
      <w:pPr>
        <w:pStyle w:val="ListParagraph"/>
        <w:numPr>
          <w:ilvl w:val="0"/>
          <w:numId w:val="1"/>
        </w:numPr>
        <w:tabs>
          <w:tab w:pos="574" w:val="left" w:leader="none"/>
        </w:tabs>
        <w:spacing w:line="151" w:lineRule="auto" w:before="1" w:after="0"/>
        <w:ind w:left="110" w:right="601" w:firstLine="0"/>
        <w:jc w:val="left"/>
        <w:rPr>
          <w:sz w:val="24"/>
        </w:rPr>
      </w:pPr>
      <w:r>
        <w:rPr>
          <w:sz w:val="24"/>
        </w:rPr>
        <w:t>Objection to Contrary </w:t>
      </w:r>
      <w:r>
        <w:rPr>
          <w:spacing w:val="-5"/>
          <w:sz w:val="24"/>
        </w:rPr>
        <w:t>Terms: </w:t>
      </w:r>
      <w:r>
        <w:rPr>
          <w:sz w:val="24"/>
        </w:rPr>
        <w:t>Publisher hereby objects to any terms contained in any purchase </w:t>
      </w:r>
      <w:r>
        <w:rPr>
          <w:spacing w:val="-6"/>
          <w:sz w:val="24"/>
        </w:rPr>
        <w:t>order, </w:t>
      </w:r>
      <w:r>
        <w:rPr>
          <w:sz w:val="24"/>
        </w:rPr>
        <w:t>acknowledgment, check endorsement or other writing prepared by you, which terms are inconsistent with these terms and conditions or CCC's Billing and Payment terms and conditions. These terms and conditions, together with CCC's Billing and Payment </w:t>
      </w:r>
      <w:r>
        <w:rPr>
          <w:spacing w:val="-3"/>
          <w:sz w:val="24"/>
        </w:rPr>
        <w:t>terms </w:t>
      </w:r>
      <w:r>
        <w:rPr>
          <w:sz w:val="24"/>
        </w:rPr>
        <w:t>and conditions (which are incorporated herein), comprise the entire agreement between you and publisher (and CCC) concerning this licensing transaction. In the event of any conﬂict between your obligations established by these terms and conditions and those established by CCC's Billing and Payment terms and conditions, these terms and conditions shall control.</w:t>
      </w:r>
    </w:p>
    <w:p>
      <w:pPr>
        <w:pStyle w:val="ListParagraph"/>
        <w:numPr>
          <w:ilvl w:val="0"/>
          <w:numId w:val="1"/>
        </w:numPr>
        <w:tabs>
          <w:tab w:pos="574" w:val="left" w:leader="none"/>
        </w:tabs>
        <w:spacing w:line="151" w:lineRule="auto" w:before="4" w:after="0"/>
        <w:ind w:left="110" w:right="621" w:firstLine="0"/>
        <w:jc w:val="left"/>
        <w:rPr>
          <w:sz w:val="24"/>
        </w:rPr>
      </w:pPr>
      <w:r>
        <w:rPr>
          <w:sz w:val="24"/>
        </w:rPr>
        <w:t>Revocation: Elsevier or Copyright Clearance Center may deny the permissions described in this License at their sole discretion, for any </w:t>
      </w:r>
      <w:r>
        <w:rPr>
          <w:spacing w:val="-3"/>
          <w:sz w:val="24"/>
        </w:rPr>
        <w:t>reason </w:t>
      </w:r>
      <w:r>
        <w:rPr>
          <w:sz w:val="24"/>
        </w:rPr>
        <w:t>or no reason, with a full refund payable to you. Notice of such denial</w:t>
      </w:r>
      <w:r>
        <w:rPr>
          <w:spacing w:val="-8"/>
          <w:sz w:val="24"/>
        </w:rPr>
        <w:t> </w:t>
      </w:r>
      <w:r>
        <w:rPr>
          <w:sz w:val="24"/>
        </w:rPr>
        <w:t>will</w:t>
      </w:r>
    </w:p>
    <w:p>
      <w:pPr>
        <w:spacing w:after="0" w:line="151" w:lineRule="auto"/>
        <w:jc w:val="left"/>
        <w:rPr>
          <w:sz w:val="24"/>
        </w:rPr>
        <w:sectPr>
          <w:pgSz w:w="11900" w:h="16840"/>
          <w:pgMar w:header="274" w:footer="283" w:top="480" w:bottom="480" w:left="620" w:right="1680"/>
        </w:sectPr>
      </w:pPr>
    </w:p>
    <w:p>
      <w:pPr>
        <w:pStyle w:val="BodyText"/>
        <w:spacing w:line="151" w:lineRule="auto" w:before="117"/>
        <w:ind w:right="683"/>
      </w:pPr>
      <w:r>
        <w:rPr/>
        <w:t>be made using the contact information provided by you. Failure to receive such notice will not alter or invalidate the denial. In no event will Elsevier or Copyright Clearance Center be responsible or liable for any costs, expenses or damage incurred by you as a result of a denial of your permission request, other than a refund of the amount(s) paid by you to Elsevier and/or Copyright Clearance Center for denied permissions.</w:t>
      </w:r>
    </w:p>
    <w:p>
      <w:pPr>
        <w:pStyle w:val="Heading1"/>
        <w:spacing w:line="334" w:lineRule="exact"/>
        <w:ind w:left="2746" w:right="3178"/>
        <w:jc w:val="center"/>
      </w:pPr>
      <w:r>
        <w:rPr/>
        <w:t>LIMITED LICENSE</w:t>
      </w:r>
    </w:p>
    <w:p>
      <w:pPr>
        <w:pStyle w:val="BodyText"/>
        <w:spacing w:line="360" w:lineRule="exact"/>
      </w:pPr>
      <w:r>
        <w:rPr/>
        <w:t>The following terms and conditions apply only to speciﬁc license types:</w:t>
      </w:r>
    </w:p>
    <w:p>
      <w:pPr>
        <w:pStyle w:val="ListParagraph"/>
        <w:numPr>
          <w:ilvl w:val="0"/>
          <w:numId w:val="1"/>
        </w:numPr>
        <w:tabs>
          <w:tab w:pos="572" w:val="left" w:leader="none"/>
        </w:tabs>
        <w:spacing w:line="151" w:lineRule="auto" w:before="28" w:after="0"/>
        <w:ind w:left="110" w:right="619" w:firstLine="0"/>
        <w:jc w:val="left"/>
        <w:rPr>
          <w:sz w:val="24"/>
        </w:rPr>
      </w:pPr>
      <w:r>
        <w:rPr>
          <w:b/>
          <w:spacing w:val="-3"/>
          <w:sz w:val="24"/>
        </w:rPr>
        <w:t>Translation</w:t>
      </w:r>
      <w:r>
        <w:rPr>
          <w:spacing w:val="-3"/>
          <w:sz w:val="24"/>
        </w:rPr>
        <w:t>: </w:t>
      </w:r>
      <w:r>
        <w:rPr>
          <w:sz w:val="24"/>
        </w:rPr>
        <w:t>This permission is granted for non-exclusive world</w:t>
      </w:r>
      <w:r>
        <w:rPr>
          <w:sz w:val="24"/>
          <w:u w:val="single"/>
        </w:rPr>
        <w:t> </w:t>
      </w:r>
      <w:r>
        <w:rPr>
          <w:b/>
          <w:sz w:val="24"/>
          <w:u w:val="single"/>
        </w:rPr>
        <w:t>En</w:t>
      </w:r>
      <w:r>
        <w:rPr>
          <w:b/>
          <w:sz w:val="24"/>
        </w:rPr>
        <w:t>g</w:t>
      </w:r>
      <w:r>
        <w:rPr>
          <w:b/>
          <w:sz w:val="24"/>
          <w:u w:val="single"/>
        </w:rPr>
        <w:t>lish</w:t>
      </w:r>
      <w:r>
        <w:rPr>
          <w:b/>
          <w:sz w:val="24"/>
        </w:rPr>
        <w:t> </w:t>
      </w:r>
      <w:r>
        <w:rPr>
          <w:sz w:val="24"/>
        </w:rPr>
        <w:t>rights only unless your license was granted for translation rights. </w:t>
      </w:r>
      <w:r>
        <w:rPr>
          <w:spacing w:val="-6"/>
          <w:sz w:val="24"/>
        </w:rPr>
        <w:t>If </w:t>
      </w:r>
      <w:r>
        <w:rPr>
          <w:sz w:val="24"/>
        </w:rPr>
        <w:t>you licensed translation rights you may only translate this content into the languages you requested. A professional translator must perform all translations and reproduce the content word for word preserving the integrity of the article.</w:t>
      </w:r>
    </w:p>
    <w:p>
      <w:pPr>
        <w:pStyle w:val="ListParagraph"/>
        <w:numPr>
          <w:ilvl w:val="0"/>
          <w:numId w:val="1"/>
        </w:numPr>
        <w:tabs>
          <w:tab w:pos="572" w:val="left" w:leader="none"/>
        </w:tabs>
        <w:spacing w:line="151" w:lineRule="auto" w:before="2" w:after="0"/>
        <w:ind w:left="110" w:right="587" w:firstLine="0"/>
        <w:jc w:val="left"/>
        <w:rPr>
          <w:sz w:val="24"/>
        </w:rPr>
      </w:pPr>
      <w:r>
        <w:rPr>
          <w:b/>
          <w:sz w:val="24"/>
        </w:rPr>
        <w:t>Posting licensed content on any Website</w:t>
      </w:r>
      <w:r>
        <w:rPr>
          <w:sz w:val="24"/>
        </w:rPr>
        <w:t>: The following terms and conditions apply as follows: Licensing material from an Elsevier journal: All content posted to the web site must maintain the copyright information </w:t>
      </w:r>
      <w:r>
        <w:rPr>
          <w:spacing w:val="-4"/>
          <w:sz w:val="24"/>
        </w:rPr>
        <w:t>line </w:t>
      </w:r>
      <w:r>
        <w:rPr>
          <w:sz w:val="24"/>
        </w:rPr>
        <w:t>on the bottom of each image; A hyper-text must be included to the Homepage of the journal from which you are licensing at</w:t>
      </w:r>
      <w:r>
        <w:rPr>
          <w:color w:val="0000ED"/>
          <w:sz w:val="24"/>
          <w:u w:val="single" w:color="0000ED"/>
        </w:rPr>
        <w:t> </w:t>
      </w:r>
      <w:hyperlink r:id="rId9">
        <w:r>
          <w:rPr>
            <w:color w:val="0000ED"/>
            <w:sz w:val="24"/>
            <w:u w:val="single" w:color="0000ED"/>
          </w:rPr>
          <w:t>htt</w:t>
        </w:r>
        <w:r>
          <w:rPr>
            <w:color w:val="0000ED"/>
            <w:sz w:val="24"/>
          </w:rPr>
          <w:t>p</w:t>
        </w:r>
        <w:r>
          <w:rPr>
            <w:color w:val="0000ED"/>
            <w:sz w:val="24"/>
            <w:u w:val="single" w:color="0000ED"/>
          </w:rPr>
          <w:t>://www.sciencedirect.com/science/journal/xxxxx</w:t>
        </w:r>
        <w:r>
          <w:rPr>
            <w:color w:val="0000ED"/>
            <w:sz w:val="24"/>
          </w:rPr>
          <w:t> </w:t>
        </w:r>
      </w:hyperlink>
      <w:r>
        <w:rPr>
          <w:sz w:val="24"/>
        </w:rPr>
        <w:t>or the Elsevier homepage for books at</w:t>
      </w:r>
      <w:hyperlink r:id="rId10">
        <w:r>
          <w:rPr>
            <w:color w:val="0000ED"/>
            <w:sz w:val="24"/>
          </w:rPr>
          <w:t> </w:t>
        </w:r>
        <w:r>
          <w:rPr>
            <w:color w:val="0000ED"/>
            <w:sz w:val="24"/>
            <w:u w:val="single" w:color="0000ED"/>
          </w:rPr>
          <w:t>htt</w:t>
        </w:r>
        <w:r>
          <w:rPr>
            <w:color w:val="0000ED"/>
            <w:sz w:val="24"/>
          </w:rPr>
          <w:t>p</w:t>
        </w:r>
        <w:r>
          <w:rPr>
            <w:color w:val="0000ED"/>
            <w:sz w:val="24"/>
            <w:u w:val="single" w:color="0000ED"/>
          </w:rPr>
          <w:t>://www.elsevier.com</w:t>
        </w:r>
      </w:hyperlink>
      <w:r>
        <w:rPr>
          <w:sz w:val="24"/>
        </w:rPr>
        <w:t>; Central Storage: This license does not include permission for a scanned version of the material to be stored in a central repository such as that provided by Heron/XanEdu. Licensing material from an Elsevier book: A hyper-text link must be included to the Elsevier homepage at</w:t>
      </w:r>
      <w:hyperlink r:id="rId10">
        <w:r>
          <w:rPr>
            <w:color w:val="0000ED"/>
            <w:sz w:val="24"/>
          </w:rPr>
          <w:t> </w:t>
        </w:r>
        <w:r>
          <w:rPr>
            <w:color w:val="0000ED"/>
            <w:sz w:val="24"/>
            <w:u w:val="single" w:color="0000ED"/>
          </w:rPr>
          <w:t>htt</w:t>
        </w:r>
        <w:r>
          <w:rPr>
            <w:color w:val="0000ED"/>
            <w:sz w:val="24"/>
          </w:rPr>
          <w:t>p</w:t>
        </w:r>
        <w:r>
          <w:rPr>
            <w:color w:val="0000ED"/>
            <w:sz w:val="24"/>
            <w:u w:val="single" w:color="0000ED"/>
          </w:rPr>
          <w:t>://www.elsevier.com</w:t>
        </w:r>
        <w:r>
          <w:rPr>
            <w:color w:val="0000ED"/>
            <w:sz w:val="24"/>
          </w:rPr>
          <w:t> </w:t>
        </w:r>
      </w:hyperlink>
      <w:r>
        <w:rPr>
          <w:sz w:val="24"/>
        </w:rPr>
        <w:t>. All content posted to the web site must maintain the copyright information line on the bottom of each image.</w:t>
      </w:r>
    </w:p>
    <w:p>
      <w:pPr>
        <w:pStyle w:val="BodyText"/>
        <w:spacing w:before="7"/>
        <w:ind w:left="0"/>
        <w:rPr>
          <w:sz w:val="15"/>
        </w:rPr>
      </w:pPr>
    </w:p>
    <w:p>
      <w:pPr>
        <w:pStyle w:val="BodyText"/>
        <w:spacing w:line="151" w:lineRule="auto" w:before="1"/>
        <w:ind w:right="556"/>
      </w:pPr>
      <w:r>
        <w:rPr>
          <w:b/>
        </w:rPr>
        <w:t>Posting licensed content on Electronic reserve</w:t>
      </w:r>
      <w:r>
        <w:rPr/>
        <w:t>: In addition to the above the following clauses are applicable: The web site must be password- protected and made available only to bona ﬁde students registered on a relevant course. This permission is granted for 1 year only. You may obtain a new license for future website posting.</w:t>
      </w:r>
    </w:p>
    <w:p>
      <w:pPr>
        <w:pStyle w:val="ListParagraph"/>
        <w:numPr>
          <w:ilvl w:val="0"/>
          <w:numId w:val="1"/>
        </w:numPr>
        <w:tabs>
          <w:tab w:pos="574" w:val="left" w:leader="none"/>
        </w:tabs>
        <w:spacing w:line="151" w:lineRule="auto" w:before="1" w:after="0"/>
        <w:ind w:left="110" w:right="629" w:firstLine="0"/>
        <w:jc w:val="left"/>
        <w:rPr>
          <w:sz w:val="24"/>
        </w:rPr>
      </w:pPr>
      <w:r>
        <w:rPr>
          <w:b/>
          <w:sz w:val="24"/>
        </w:rPr>
        <w:t>For journal authors: </w:t>
      </w:r>
      <w:r>
        <w:rPr>
          <w:sz w:val="24"/>
        </w:rPr>
        <w:t>the following clauses are applicable in addition </w:t>
      </w:r>
      <w:r>
        <w:rPr>
          <w:spacing w:val="-6"/>
          <w:sz w:val="24"/>
        </w:rPr>
        <w:t>to </w:t>
      </w:r>
      <w:r>
        <w:rPr>
          <w:sz w:val="24"/>
        </w:rPr>
        <w:t>the</w:t>
      </w:r>
      <w:r>
        <w:rPr>
          <w:spacing w:val="-1"/>
          <w:sz w:val="24"/>
        </w:rPr>
        <w:t> </w:t>
      </w:r>
      <w:r>
        <w:rPr>
          <w:sz w:val="24"/>
        </w:rPr>
        <w:t>above:</w:t>
      </w:r>
    </w:p>
    <w:p>
      <w:pPr>
        <w:pStyle w:val="Heading1"/>
        <w:spacing w:line="333" w:lineRule="exact"/>
      </w:pPr>
      <w:r>
        <w:rPr/>
        <w:t>Preprints:</w:t>
      </w:r>
    </w:p>
    <w:p>
      <w:pPr>
        <w:pStyle w:val="BodyText"/>
        <w:spacing w:line="151" w:lineRule="auto" w:before="28"/>
        <w:ind w:right="537"/>
      </w:pPr>
      <w:r>
        <w:rPr/>
        <w:t>A preprint is an author's own write-up of research results and analysis, it has not been peer-reviewed, nor has it had any other value added to it by a publisher (such as formatting, copyright, technical enhancement etc.).</w:t>
      </w:r>
    </w:p>
    <w:p>
      <w:pPr>
        <w:pStyle w:val="BodyText"/>
        <w:spacing w:line="151" w:lineRule="auto" w:before="1"/>
        <w:ind w:right="556"/>
      </w:pPr>
      <w:r>
        <w:rPr/>
        <w:t>Authors can share their preprints anywhere at any time. Preprints should not be added to or enhanced in any way in order to appear more like, or to substitute for, the ﬁnal versions of articles however authors can update</w:t>
      </w:r>
    </w:p>
    <w:p>
      <w:pPr>
        <w:spacing w:after="0" w:line="151" w:lineRule="auto"/>
        <w:sectPr>
          <w:pgSz w:w="11900" w:h="16840"/>
          <w:pgMar w:header="274" w:footer="283" w:top="480" w:bottom="480" w:left="620" w:right="1680"/>
        </w:sectPr>
      </w:pPr>
    </w:p>
    <w:p>
      <w:pPr>
        <w:pStyle w:val="BodyText"/>
        <w:spacing w:line="151" w:lineRule="auto" w:before="117"/>
        <w:ind w:right="1055"/>
      </w:pPr>
      <w:r>
        <w:rPr/>
        <w:t>their preprints on arXiv or RePEc with their Accepted Author Manuscript (see below).</w:t>
      </w:r>
    </w:p>
    <w:p>
      <w:pPr>
        <w:pStyle w:val="BodyText"/>
        <w:spacing w:line="151" w:lineRule="auto" w:before="1"/>
        <w:ind w:right="555"/>
      </w:pPr>
      <w:r>
        <w:rPr/>
        <w:t>If accepted for publication, we encourage authors to link from the preprint to their formal publication via its DOI. Millions of researchers have access to the formal publications on ScienceDirect, and so links will help users to ﬁnd, access, cite and use the best available version. Please note that Cell Press, The Lancet and some society-owned have diﬀerent preprint policies.</w:t>
      </w:r>
    </w:p>
    <w:p>
      <w:pPr>
        <w:pStyle w:val="BodyText"/>
        <w:spacing w:line="151" w:lineRule="auto" w:before="2"/>
        <w:ind w:right="855"/>
      </w:pPr>
      <w:r>
        <w:rPr/>
        <w:t>Information on these policies is available on the journal homepage. </w:t>
      </w:r>
      <w:r>
        <w:rPr>
          <w:b/>
        </w:rPr>
        <w:t>Accepted Author Manuscripts: </w:t>
      </w:r>
      <w:r>
        <w:rPr/>
        <w:t>An accepted author manuscript is the manuscript of an article that has been accepted for publication and which typically includes author-incorporated changes suggested during submission, peer review and editor-author communications.</w:t>
      </w:r>
    </w:p>
    <w:p>
      <w:pPr>
        <w:pStyle w:val="BodyText"/>
        <w:spacing w:line="440" w:lineRule="exact"/>
      </w:pPr>
      <w:r>
        <w:rPr/>
        <w:t>Authors can share their accepted author manuscript:</w:t>
      </w:r>
    </w:p>
    <w:p>
      <w:pPr>
        <w:pStyle w:val="BodyText"/>
        <w:spacing w:line="466" w:lineRule="exact" w:before="29"/>
        <w:ind w:left="710"/>
      </w:pPr>
      <w:r>
        <w:rPr/>
        <w:pict>
          <v:shape style="position:absolute;margin-left:53.01115pt;margin-top:13.447285pt;width:4.55pt;height:4.55pt;mso-position-horizontal-relative:page;mso-position-vertical-relative:paragraph;z-index:251660288" coordorigin="1060,269" coordsize="91,91" path="m1111,359l1099,359,1094,358,1060,320,1060,308,1099,269,1111,269,1150,308,1150,320,1111,359xe" filled="true" fillcolor="#000000" stroked="false">
            <v:path arrowok="t"/>
            <v:fill type="solid"/>
            <w10:wrap type="none"/>
          </v:shape>
        </w:pict>
      </w:r>
      <w:r>
        <w:rPr/>
        <w:t>immediately</w:t>
      </w:r>
    </w:p>
    <w:p>
      <w:pPr>
        <w:pStyle w:val="BodyText"/>
        <w:spacing w:line="360" w:lineRule="exact"/>
        <w:ind w:left="1310"/>
      </w:pPr>
      <w:r>
        <w:rPr/>
        <w:drawing>
          <wp:anchor distT="0" distB="0" distL="0" distR="0" allowOverlap="1" layoutInCell="1" locked="0" behindDoc="0" simplePos="0" relativeHeight="251661312">
            <wp:simplePos x="0" y="0"/>
            <wp:positionH relativeFrom="page">
              <wp:posOffset>1049653</wp:posOffset>
            </wp:positionH>
            <wp:positionV relativeFrom="paragraph">
              <wp:posOffset>80606</wp:posOffset>
            </wp:positionV>
            <wp:extent cx="66706" cy="66705"/>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1" cstate="print"/>
                    <a:stretch>
                      <a:fillRect/>
                    </a:stretch>
                  </pic:blipFill>
                  <pic:spPr>
                    <a:xfrm>
                      <a:off x="0" y="0"/>
                      <a:ext cx="66706" cy="66705"/>
                    </a:xfrm>
                    <a:prstGeom prst="rect">
                      <a:avLst/>
                    </a:prstGeom>
                  </pic:spPr>
                </pic:pic>
              </a:graphicData>
            </a:graphic>
          </wp:anchor>
        </w:drawing>
      </w:r>
      <w:r>
        <w:rPr/>
        <w:t>via their non-commercial person homepage or blog</w:t>
      </w:r>
    </w:p>
    <w:p>
      <w:pPr>
        <w:pStyle w:val="BodyText"/>
        <w:spacing w:line="151" w:lineRule="auto" w:before="28"/>
        <w:ind w:left="1310" w:right="1396"/>
      </w:pPr>
      <w:r>
        <w:rPr/>
        <w:drawing>
          <wp:anchor distT="0" distB="0" distL="0" distR="0" allowOverlap="1" layoutInCell="1" locked="0" behindDoc="0" simplePos="0" relativeHeight="251662336">
            <wp:simplePos x="0" y="0"/>
            <wp:positionH relativeFrom="page">
              <wp:posOffset>1049653</wp:posOffset>
            </wp:positionH>
            <wp:positionV relativeFrom="paragraph">
              <wp:posOffset>80798</wp:posOffset>
            </wp:positionV>
            <wp:extent cx="66706" cy="66705"/>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12" cstate="print"/>
                    <a:stretch>
                      <a:fillRect/>
                    </a:stretch>
                  </pic:blipFill>
                  <pic:spPr>
                    <a:xfrm>
                      <a:off x="0" y="0"/>
                      <a:ext cx="66706" cy="66705"/>
                    </a:xfrm>
                    <a:prstGeom prst="rect">
                      <a:avLst/>
                    </a:prstGeom>
                  </pic:spPr>
                </pic:pic>
              </a:graphicData>
            </a:graphic>
          </wp:anchor>
        </w:drawing>
      </w:r>
      <w:r>
        <w:rPr/>
        <w:t>by updating a preprint in arXiv or RePEc with the accepted manuscript</w:t>
      </w:r>
    </w:p>
    <w:p>
      <w:pPr>
        <w:pStyle w:val="BodyText"/>
        <w:spacing w:line="151" w:lineRule="auto"/>
        <w:ind w:left="1310" w:right="802"/>
      </w:pPr>
      <w:r>
        <w:rPr/>
        <w:drawing>
          <wp:anchor distT="0" distB="0" distL="0" distR="0" allowOverlap="1" layoutInCell="1" locked="0" behindDoc="0" simplePos="0" relativeHeight="251663360">
            <wp:simplePos x="0" y="0"/>
            <wp:positionH relativeFrom="page">
              <wp:posOffset>1049653</wp:posOffset>
            </wp:positionH>
            <wp:positionV relativeFrom="paragraph">
              <wp:posOffset>63018</wp:posOffset>
            </wp:positionV>
            <wp:extent cx="66706" cy="66705"/>
            <wp:effectExtent l="0" t="0" r="0" b="0"/>
            <wp:wrapNone/>
            <wp:docPr id="5" name="image3.png"/>
            <wp:cNvGraphicFramePr>
              <a:graphicFrameLocks noChangeAspect="1"/>
            </wp:cNvGraphicFramePr>
            <a:graphic>
              <a:graphicData uri="http://schemas.openxmlformats.org/drawingml/2006/picture">
                <pic:pic>
                  <pic:nvPicPr>
                    <pic:cNvPr id="6" name="image3.png"/>
                    <pic:cNvPicPr/>
                  </pic:nvPicPr>
                  <pic:blipFill>
                    <a:blip r:embed="rId13" cstate="print"/>
                    <a:stretch>
                      <a:fillRect/>
                    </a:stretch>
                  </pic:blipFill>
                  <pic:spPr>
                    <a:xfrm>
                      <a:off x="0" y="0"/>
                      <a:ext cx="66706" cy="66705"/>
                    </a:xfrm>
                    <a:prstGeom prst="rect">
                      <a:avLst/>
                    </a:prstGeom>
                  </pic:spPr>
                </pic:pic>
              </a:graphicData>
            </a:graphic>
          </wp:anchor>
        </w:drawing>
      </w:r>
      <w:r>
        <w:rPr/>
        <w:t>via their research institute or institutional repository for internal institutional uses or as part of an invitation-only research collaboration work-group</w:t>
      </w:r>
    </w:p>
    <w:p>
      <w:pPr>
        <w:pStyle w:val="BodyText"/>
        <w:spacing w:line="151" w:lineRule="auto" w:before="1"/>
        <w:ind w:left="1310" w:right="1332"/>
      </w:pPr>
      <w:r>
        <w:rPr/>
        <w:drawing>
          <wp:anchor distT="0" distB="0" distL="0" distR="0" allowOverlap="1" layoutInCell="1" locked="0" behindDoc="0" simplePos="0" relativeHeight="251664384">
            <wp:simplePos x="0" y="0"/>
            <wp:positionH relativeFrom="page">
              <wp:posOffset>1049653</wp:posOffset>
            </wp:positionH>
            <wp:positionV relativeFrom="paragraph">
              <wp:posOffset>63653</wp:posOffset>
            </wp:positionV>
            <wp:extent cx="66706" cy="66705"/>
            <wp:effectExtent l="0" t="0" r="0" b="0"/>
            <wp:wrapNone/>
            <wp:docPr id="7" name="image4.png"/>
            <wp:cNvGraphicFramePr>
              <a:graphicFrameLocks noChangeAspect="1"/>
            </wp:cNvGraphicFramePr>
            <a:graphic>
              <a:graphicData uri="http://schemas.openxmlformats.org/drawingml/2006/picture">
                <pic:pic>
                  <pic:nvPicPr>
                    <pic:cNvPr id="8" name="image4.png"/>
                    <pic:cNvPicPr/>
                  </pic:nvPicPr>
                  <pic:blipFill>
                    <a:blip r:embed="rId14" cstate="print"/>
                    <a:stretch>
                      <a:fillRect/>
                    </a:stretch>
                  </pic:blipFill>
                  <pic:spPr>
                    <a:xfrm>
                      <a:off x="0" y="0"/>
                      <a:ext cx="66706" cy="66705"/>
                    </a:xfrm>
                    <a:prstGeom prst="rect">
                      <a:avLst/>
                    </a:prstGeom>
                  </pic:spPr>
                </pic:pic>
              </a:graphicData>
            </a:graphic>
          </wp:anchor>
        </w:drawing>
      </w:r>
      <w:r>
        <w:rPr/>
        <w:t>directly by providing copies to their students or to research collaborators for their personal use</w:t>
      </w:r>
    </w:p>
    <w:p>
      <w:pPr>
        <w:pStyle w:val="BodyText"/>
        <w:spacing w:line="151" w:lineRule="auto" w:before="1"/>
        <w:ind w:left="1310" w:right="644"/>
      </w:pPr>
      <w:r>
        <w:rPr/>
        <w:drawing>
          <wp:anchor distT="0" distB="0" distL="0" distR="0" allowOverlap="1" layoutInCell="1" locked="0" behindDoc="0" simplePos="0" relativeHeight="251665408">
            <wp:simplePos x="0" y="0"/>
            <wp:positionH relativeFrom="page">
              <wp:posOffset>1049653</wp:posOffset>
            </wp:positionH>
            <wp:positionV relativeFrom="paragraph">
              <wp:posOffset>63653</wp:posOffset>
            </wp:positionV>
            <wp:extent cx="66706" cy="66705"/>
            <wp:effectExtent l="0" t="0" r="0" b="0"/>
            <wp:wrapNone/>
            <wp:docPr id="9" name="image5.png"/>
            <wp:cNvGraphicFramePr>
              <a:graphicFrameLocks noChangeAspect="1"/>
            </wp:cNvGraphicFramePr>
            <a:graphic>
              <a:graphicData uri="http://schemas.openxmlformats.org/drawingml/2006/picture">
                <pic:pic>
                  <pic:nvPicPr>
                    <pic:cNvPr id="10" name="image5.png"/>
                    <pic:cNvPicPr/>
                  </pic:nvPicPr>
                  <pic:blipFill>
                    <a:blip r:embed="rId15" cstate="print"/>
                    <a:stretch>
                      <a:fillRect/>
                    </a:stretch>
                  </pic:blipFill>
                  <pic:spPr>
                    <a:xfrm>
                      <a:off x="0" y="0"/>
                      <a:ext cx="66706" cy="66705"/>
                    </a:xfrm>
                    <a:prstGeom prst="rect">
                      <a:avLst/>
                    </a:prstGeom>
                  </pic:spPr>
                </pic:pic>
              </a:graphicData>
            </a:graphic>
          </wp:anchor>
        </w:drawing>
      </w:r>
      <w:r>
        <w:rPr/>
        <w:t>for private scholarly sharing as part of an invitation-only work group on commercial sites with which Elsevier has an agreement</w:t>
      </w:r>
    </w:p>
    <w:p>
      <w:pPr>
        <w:pStyle w:val="BodyText"/>
        <w:spacing w:line="333" w:lineRule="exact"/>
        <w:ind w:left="710"/>
      </w:pPr>
      <w:r>
        <w:rPr/>
        <w:pict>
          <v:shape style="position:absolute;margin-left:53.01115pt;margin-top:5.370177pt;width:4.55pt;height:4.55pt;mso-position-horizontal-relative:page;mso-position-vertical-relative:paragraph;z-index:251666432" coordorigin="1060,107" coordsize="91,91" path="m1111,197l1099,197,1094,196,1060,158,1060,146,1099,107,1111,107,1150,146,1150,158,1111,197xe" filled="true" fillcolor="#000000" stroked="false">
            <v:path arrowok="t"/>
            <v:fill type="solid"/>
            <w10:wrap type="none"/>
          </v:shape>
        </w:pict>
      </w:r>
      <w:r>
        <w:rPr/>
        <w:t>After the embargo period</w:t>
      </w:r>
    </w:p>
    <w:p>
      <w:pPr>
        <w:pStyle w:val="BodyText"/>
        <w:spacing w:line="151" w:lineRule="auto" w:before="28"/>
        <w:ind w:left="1310" w:right="810"/>
      </w:pPr>
      <w:r>
        <w:rPr/>
        <w:drawing>
          <wp:anchor distT="0" distB="0" distL="0" distR="0" allowOverlap="1" layoutInCell="1" locked="0" behindDoc="0" simplePos="0" relativeHeight="251667456">
            <wp:simplePos x="0" y="0"/>
            <wp:positionH relativeFrom="page">
              <wp:posOffset>1049653</wp:posOffset>
            </wp:positionH>
            <wp:positionV relativeFrom="paragraph">
              <wp:posOffset>80798</wp:posOffset>
            </wp:positionV>
            <wp:extent cx="66706" cy="66705"/>
            <wp:effectExtent l="0" t="0" r="0" b="0"/>
            <wp:wrapNone/>
            <wp:docPr id="11" name="image6.png"/>
            <wp:cNvGraphicFramePr>
              <a:graphicFrameLocks noChangeAspect="1"/>
            </wp:cNvGraphicFramePr>
            <a:graphic>
              <a:graphicData uri="http://schemas.openxmlformats.org/drawingml/2006/picture">
                <pic:pic>
                  <pic:nvPicPr>
                    <pic:cNvPr id="12" name="image6.png"/>
                    <pic:cNvPicPr/>
                  </pic:nvPicPr>
                  <pic:blipFill>
                    <a:blip r:embed="rId16" cstate="print"/>
                    <a:stretch>
                      <a:fillRect/>
                    </a:stretch>
                  </pic:blipFill>
                  <pic:spPr>
                    <a:xfrm>
                      <a:off x="0" y="0"/>
                      <a:ext cx="66706" cy="66705"/>
                    </a:xfrm>
                    <a:prstGeom prst="rect">
                      <a:avLst/>
                    </a:prstGeom>
                  </pic:spPr>
                </pic:pic>
              </a:graphicData>
            </a:graphic>
          </wp:anchor>
        </w:drawing>
      </w:r>
      <w:r>
        <w:rPr/>
        <w:t>via non-commercial hosting platforms such as their institutional repository</w:t>
      </w:r>
    </w:p>
    <w:p>
      <w:pPr>
        <w:pStyle w:val="BodyText"/>
        <w:spacing w:line="439" w:lineRule="exact"/>
        <w:ind w:left="1310"/>
      </w:pPr>
      <w:r>
        <w:rPr/>
        <w:drawing>
          <wp:anchor distT="0" distB="0" distL="0" distR="0" allowOverlap="1" layoutInCell="1" locked="0" behindDoc="0" simplePos="0" relativeHeight="251668480">
            <wp:simplePos x="0" y="0"/>
            <wp:positionH relativeFrom="page">
              <wp:posOffset>1049653</wp:posOffset>
            </wp:positionH>
            <wp:positionV relativeFrom="paragraph">
              <wp:posOffset>63436</wp:posOffset>
            </wp:positionV>
            <wp:extent cx="66706" cy="66705"/>
            <wp:effectExtent l="0" t="0" r="0" b="0"/>
            <wp:wrapNone/>
            <wp:docPr id="13" name="image7.png"/>
            <wp:cNvGraphicFramePr>
              <a:graphicFrameLocks noChangeAspect="1"/>
            </wp:cNvGraphicFramePr>
            <a:graphic>
              <a:graphicData uri="http://schemas.openxmlformats.org/drawingml/2006/picture">
                <pic:pic>
                  <pic:nvPicPr>
                    <pic:cNvPr id="14" name="image7.png"/>
                    <pic:cNvPicPr/>
                  </pic:nvPicPr>
                  <pic:blipFill>
                    <a:blip r:embed="rId17" cstate="print"/>
                    <a:stretch>
                      <a:fillRect/>
                    </a:stretch>
                  </pic:blipFill>
                  <pic:spPr>
                    <a:xfrm>
                      <a:off x="0" y="0"/>
                      <a:ext cx="66706" cy="66705"/>
                    </a:xfrm>
                    <a:prstGeom prst="rect">
                      <a:avLst/>
                    </a:prstGeom>
                  </pic:spPr>
                </pic:pic>
              </a:graphicData>
            </a:graphic>
          </wp:anchor>
        </w:drawing>
      </w:r>
      <w:r>
        <w:rPr/>
        <w:t>via commercial sites with which Elsevier has an agreement</w:t>
      </w:r>
    </w:p>
    <w:p>
      <w:pPr>
        <w:pStyle w:val="BodyText"/>
        <w:spacing w:line="600" w:lineRule="atLeast"/>
        <w:ind w:left="710" w:right="4200" w:hanging="601"/>
      </w:pPr>
      <w:r>
        <w:rPr/>
        <w:pict>
          <v:shape style="position:absolute;margin-left:53.01115pt;margin-top:43.452618pt;width:4.55pt;height:4.55pt;mso-position-horizontal-relative:page;mso-position-vertical-relative:paragraph;z-index:-251901952" coordorigin="1060,869" coordsize="91,91" path="m1111,959l1099,959,1094,958,1060,920,1060,908,1099,869,1111,869,1150,908,1150,920,1111,959xe" filled="true" fillcolor="#000000" stroked="false">
            <v:path arrowok="t"/>
            <v:fill type="solid"/>
            <w10:wrap type="none"/>
          </v:shape>
        </w:pict>
      </w:r>
      <w:r>
        <w:rPr/>
        <w:t>In all cases accepted manuscripts should: link to the formal publication via its DOI</w:t>
      </w:r>
    </w:p>
    <w:p>
      <w:pPr>
        <w:pStyle w:val="BodyText"/>
        <w:spacing w:line="255" w:lineRule="exact"/>
        <w:ind w:left="710"/>
      </w:pPr>
      <w:r>
        <w:rPr/>
        <w:pict>
          <v:shape style="position:absolute;margin-left:53.01115pt;margin-top:1.460984pt;width:4.55pt;height:4.55pt;mso-position-horizontal-relative:page;mso-position-vertical-relative:paragraph;z-index:251670528" coordorigin="1060,29" coordsize="91,91" path="m1111,119l1099,119,1094,118,1060,80,1060,68,1099,29,1111,29,1150,68,1150,80,1111,119xe" filled="true" fillcolor="#000000" stroked="false">
            <v:path arrowok="t"/>
            <v:fill type="solid"/>
            <w10:wrap type="none"/>
          </v:shape>
        </w:pict>
      </w:r>
      <w:r>
        <w:rPr/>
        <w:t>bear a CC-BY-NC-ND license - this is easy to do</w:t>
      </w:r>
    </w:p>
    <w:p>
      <w:pPr>
        <w:pStyle w:val="BodyText"/>
        <w:spacing w:line="151" w:lineRule="auto" w:before="28"/>
        <w:ind w:left="710" w:right="548"/>
      </w:pPr>
      <w:r>
        <w:rPr/>
        <w:pict>
          <v:shape style="position:absolute;margin-left:53.01115pt;margin-top:6.737275pt;width:4.55pt;height:4.55pt;mso-position-horizontal-relative:page;mso-position-vertical-relative:paragraph;z-index:251671552" coordorigin="1060,135" coordsize="91,91" path="m1111,225l1099,225,1094,224,1060,186,1060,174,1099,135,1111,135,1150,174,1150,186,1111,225xe" filled="true" fillcolor="#000000" stroked="false">
            <v:path arrowok="t"/>
            <v:fill type="solid"/>
            <w10:wrap type="none"/>
          </v:shape>
        </w:pict>
      </w:r>
      <w:r>
        <w:rPr/>
        <w:t>if aggregated with other manuscripts, for example in a repository or other site, be shared in alignment with our hosting policy not be </w:t>
      </w:r>
      <w:r>
        <w:rPr>
          <w:spacing w:val="-3"/>
        </w:rPr>
        <w:t>added </w:t>
      </w:r>
      <w:r>
        <w:rPr/>
        <w:t>to or enhanced in any way to appear more like, or to substitute </w:t>
      </w:r>
      <w:r>
        <w:rPr>
          <w:spacing w:val="-9"/>
        </w:rPr>
        <w:t>for, </w:t>
      </w:r>
      <w:r>
        <w:rPr/>
        <w:t>the published journal article.</w:t>
      </w:r>
    </w:p>
    <w:p>
      <w:pPr>
        <w:pStyle w:val="BodyText"/>
        <w:spacing w:line="151" w:lineRule="auto" w:before="241"/>
        <w:ind w:right="562"/>
      </w:pPr>
      <w:r>
        <w:rPr>
          <w:b/>
        </w:rPr>
        <w:t>Published journal article (JPA): </w:t>
      </w:r>
      <w:r>
        <w:rPr/>
        <w:t>A published journal article (PJA) is the deﬁnitive ﬁnal record of published research that appears or will appear in the journal and embodies all value-adding publishing activities including peer review co-ordination, copy-editing, formatting, (if relevant) pagination and online enrichment.</w:t>
      </w:r>
    </w:p>
    <w:p>
      <w:pPr>
        <w:spacing w:after="0" w:line="151" w:lineRule="auto"/>
        <w:sectPr>
          <w:pgSz w:w="11900" w:h="16840"/>
          <w:pgMar w:header="274" w:footer="283" w:top="480" w:bottom="480" w:left="620" w:right="1680"/>
        </w:sectPr>
      </w:pPr>
    </w:p>
    <w:p>
      <w:pPr>
        <w:pStyle w:val="BodyText"/>
        <w:spacing w:line="151" w:lineRule="auto" w:before="117"/>
        <w:ind w:right="529"/>
      </w:pPr>
      <w:r>
        <w:rPr/>
        <w:t>Policies for sharing publishing journal articles diﬀer for subscription and gold open access articles:</w:t>
      </w:r>
    </w:p>
    <w:p>
      <w:pPr>
        <w:pStyle w:val="BodyText"/>
        <w:spacing w:line="151" w:lineRule="auto" w:before="1"/>
        <w:ind w:right="876"/>
      </w:pPr>
      <w:r>
        <w:rPr>
          <w:b/>
          <w:u w:val="single"/>
        </w:rPr>
        <w:t>Subscri</w:t>
      </w:r>
      <w:r>
        <w:rPr>
          <w:b/>
        </w:rPr>
        <w:t>p</w:t>
      </w:r>
      <w:r>
        <w:rPr>
          <w:b/>
          <w:u w:val="single"/>
        </w:rPr>
        <w:t>tion Articles:</w:t>
      </w:r>
      <w:r>
        <w:rPr>
          <w:b/>
        </w:rPr>
        <w:t> </w:t>
      </w:r>
      <w:r>
        <w:rPr/>
        <w:t>If you are an author, please share a link to your article rather than the full-text. Millions of researchers have access to the formal publications on ScienceDirect, and so links will help your users to ﬁnd, access, cite, and use the best available version.</w:t>
      </w:r>
    </w:p>
    <w:p>
      <w:pPr>
        <w:pStyle w:val="BodyText"/>
        <w:spacing w:line="151" w:lineRule="auto" w:before="1"/>
        <w:ind w:right="846"/>
      </w:pPr>
      <w:r>
        <w:rPr/>
        <w:t>Theses and dissertations which contain embedded PJAs as part of the formal submission can be posted publicly by the awarding institution with DOI links back to the formal publications on ScienceDirect.</w:t>
      </w:r>
    </w:p>
    <w:p>
      <w:pPr>
        <w:pStyle w:val="BodyText"/>
        <w:spacing w:line="151" w:lineRule="auto" w:before="1"/>
        <w:ind w:right="534"/>
      </w:pPr>
      <w:r>
        <w:rPr/>
        <w:t>If you are aﬃliated with a library that subscribes to ScienceDirect you have additional private sharing rights for others' research accessed under that agreement. This includes use for classroom teaching and internal training at the institution (including use in course packs and courseware programs), and inclusion of the article for grant funding purposes.</w:t>
      </w:r>
    </w:p>
    <w:p>
      <w:pPr>
        <w:pStyle w:val="BodyText"/>
        <w:spacing w:line="151" w:lineRule="auto" w:before="2"/>
        <w:ind w:right="1078"/>
      </w:pPr>
      <w:r>
        <w:rPr>
          <w:b/>
          <w:u w:val="single"/>
        </w:rPr>
        <w:t>Gold O</w:t>
      </w:r>
      <w:r>
        <w:rPr>
          <w:b/>
        </w:rPr>
        <w:t>p</w:t>
      </w:r>
      <w:r>
        <w:rPr>
          <w:b/>
          <w:u w:val="single"/>
        </w:rPr>
        <w:t>en Access Articles:</w:t>
      </w:r>
      <w:r>
        <w:rPr>
          <w:b/>
        </w:rPr>
        <w:t> </w:t>
      </w:r>
      <w:r>
        <w:rPr/>
        <w:t>May be shared according to the author- selected end-user license and should contain a </w:t>
      </w:r>
      <w:hyperlink r:id="rId18">
        <w:r>
          <w:rPr>
            <w:color w:val="0000ED"/>
            <w:u w:val="single" w:color="0000ED"/>
          </w:rPr>
          <w:t>CrossMark lo</w:t>
        </w:r>
        <w:r>
          <w:rPr>
            <w:color w:val="0000ED"/>
          </w:rPr>
          <w:t>g</w:t>
        </w:r>
        <w:r>
          <w:rPr>
            <w:color w:val="0000ED"/>
            <w:u w:val="single" w:color="0000ED"/>
          </w:rPr>
          <w:t>o</w:t>
        </w:r>
      </w:hyperlink>
      <w:r>
        <w:rPr/>
        <w:t>, the end user license, and a DOI link to the formal publication on ScienceDirect. Please refer to Elsevier's </w:t>
      </w:r>
      <w:hyperlink r:id="rId19">
        <w:r>
          <w:rPr>
            <w:color w:val="0000ED"/>
          </w:rPr>
          <w:t>p</w:t>
        </w:r>
        <w:r>
          <w:rPr>
            <w:color w:val="0000ED"/>
            <w:u w:val="single" w:color="0000ED"/>
          </w:rPr>
          <w:t>osting policy</w:t>
        </w:r>
        <w:r>
          <w:rPr>
            <w:color w:val="0000ED"/>
          </w:rPr>
          <w:t> </w:t>
        </w:r>
      </w:hyperlink>
      <w:r>
        <w:rPr/>
        <w:t>for further information.</w:t>
      </w:r>
    </w:p>
    <w:p>
      <w:pPr>
        <w:pStyle w:val="ListParagraph"/>
        <w:numPr>
          <w:ilvl w:val="0"/>
          <w:numId w:val="1"/>
        </w:numPr>
        <w:tabs>
          <w:tab w:pos="572" w:val="left" w:leader="none"/>
          <w:tab w:pos="1154" w:val="left" w:leader="none"/>
        </w:tabs>
        <w:spacing w:line="151" w:lineRule="auto" w:before="1" w:after="0"/>
        <w:ind w:left="110" w:right="556" w:firstLine="0"/>
        <w:jc w:val="left"/>
        <w:rPr>
          <w:sz w:val="24"/>
        </w:rPr>
      </w:pPr>
      <w:r>
        <w:rPr>
          <w:b/>
          <w:sz w:val="24"/>
        </w:rPr>
        <w:t>For book authors </w:t>
      </w:r>
      <w:r>
        <w:rPr>
          <w:sz w:val="24"/>
        </w:rPr>
        <w:t>the following clauses are applicable in addition to </w:t>
      </w:r>
      <w:r>
        <w:rPr>
          <w:spacing w:val="-5"/>
          <w:sz w:val="24"/>
        </w:rPr>
        <w:t>the </w:t>
      </w:r>
      <w:r>
        <w:rPr>
          <w:sz w:val="24"/>
        </w:rPr>
        <w:t>above:</w:t>
        <w:tab/>
        <w:t>Authors are permitted to place a brief summary of their work online only. </w:t>
      </w:r>
      <w:r>
        <w:rPr>
          <w:spacing w:val="-6"/>
          <w:sz w:val="24"/>
        </w:rPr>
        <w:t>You </w:t>
      </w:r>
      <w:r>
        <w:rPr>
          <w:sz w:val="24"/>
        </w:rPr>
        <w:t>are not allowed to download and post the published electronic version of your </w:t>
      </w:r>
      <w:r>
        <w:rPr>
          <w:spacing w:val="-5"/>
          <w:sz w:val="24"/>
        </w:rPr>
        <w:t>chapter, </w:t>
      </w:r>
      <w:r>
        <w:rPr>
          <w:sz w:val="24"/>
        </w:rPr>
        <w:t>nor may you scan the printed edition to create an electronic version. </w:t>
      </w:r>
      <w:r>
        <w:rPr>
          <w:b/>
          <w:sz w:val="24"/>
        </w:rPr>
        <w:t>Posting to a repository: </w:t>
      </w:r>
      <w:r>
        <w:rPr>
          <w:sz w:val="24"/>
        </w:rPr>
        <w:t>Authors are permitted to post a summary of their chapter only in their institution's repository.</w:t>
      </w:r>
    </w:p>
    <w:p>
      <w:pPr>
        <w:pStyle w:val="ListParagraph"/>
        <w:numPr>
          <w:ilvl w:val="0"/>
          <w:numId w:val="1"/>
        </w:numPr>
        <w:tabs>
          <w:tab w:pos="572" w:val="left" w:leader="none"/>
        </w:tabs>
        <w:spacing w:line="151" w:lineRule="auto" w:before="3" w:after="0"/>
        <w:ind w:left="110" w:right="558" w:firstLine="0"/>
        <w:jc w:val="left"/>
        <w:rPr>
          <w:sz w:val="24"/>
        </w:rPr>
      </w:pPr>
      <w:r>
        <w:rPr>
          <w:b/>
          <w:sz w:val="24"/>
        </w:rPr>
        <w:t>Thesis/Dissertation</w:t>
      </w:r>
      <w:r>
        <w:rPr>
          <w:sz w:val="24"/>
        </w:rPr>
        <w:t>: If your license is for use in a thesis/dissertation your thesis may be submitted to your institution in either print or electronic form. Should your thesis be published commercially, please reapply for permission. These requirements include permission for the Library and Archives of Canada to supply single copies, on demand, of the complete thesis and include permission for Proquest/UMI to supply single copies, on demand, of the complete thesis. Should your thesis be published commercially, please reapply for permission. Theses and dissertations which contain embedded PJAs as part of the formal submission can be posted publicly by the awarding institution with DOI links back to the </w:t>
      </w:r>
      <w:r>
        <w:rPr>
          <w:spacing w:val="-3"/>
          <w:sz w:val="24"/>
        </w:rPr>
        <w:t>formal </w:t>
      </w:r>
      <w:r>
        <w:rPr>
          <w:sz w:val="24"/>
        </w:rPr>
        <w:t>publications on ScienceDirect.</w:t>
      </w:r>
    </w:p>
    <w:p>
      <w:pPr>
        <w:spacing w:line="466" w:lineRule="exact" w:before="230"/>
        <w:ind w:left="110" w:right="0" w:firstLine="0"/>
        <w:jc w:val="left"/>
        <w:rPr>
          <w:b/>
          <w:sz w:val="24"/>
        </w:rPr>
      </w:pPr>
      <w:r>
        <w:rPr>
          <w:b/>
          <w:sz w:val="24"/>
          <w:u w:val="single"/>
        </w:rPr>
        <w:t>Elsevier O</w:t>
      </w:r>
      <w:r>
        <w:rPr>
          <w:b/>
          <w:sz w:val="24"/>
        </w:rPr>
        <w:t>p</w:t>
      </w:r>
      <w:r>
        <w:rPr>
          <w:b/>
          <w:sz w:val="24"/>
          <w:u w:val="single"/>
        </w:rPr>
        <w:t>en Access Terms and Conditions</w:t>
      </w:r>
    </w:p>
    <w:p>
      <w:pPr>
        <w:pStyle w:val="BodyText"/>
        <w:spacing w:line="151" w:lineRule="auto" w:before="28"/>
        <w:ind w:right="618"/>
      </w:pPr>
      <w:r>
        <w:rPr/>
        <w:t>You can publish open access with Elsevier in hundreds of open access journals or in nearly 2000 established subscription journals that support open access publishing. Permitted third party re-use of these open access articles is deﬁned by the author's choice of Creative Commons user license. See our </w:t>
      </w:r>
      <w:hyperlink r:id="rId20">
        <w:r>
          <w:rPr>
            <w:color w:val="0000ED"/>
            <w:u w:val="single" w:color="0000ED"/>
          </w:rPr>
          <w:t>o</w:t>
        </w:r>
        <w:r>
          <w:rPr>
            <w:color w:val="0000ED"/>
          </w:rPr>
          <w:t>p</w:t>
        </w:r>
        <w:r>
          <w:rPr>
            <w:color w:val="0000ED"/>
            <w:u w:val="single" w:color="0000ED"/>
          </w:rPr>
          <w:t>en access license policy</w:t>
        </w:r>
        <w:r>
          <w:rPr>
            <w:color w:val="0000ED"/>
          </w:rPr>
          <w:t> </w:t>
        </w:r>
      </w:hyperlink>
      <w:r>
        <w:rPr/>
        <w:t>for more information.</w:t>
      </w:r>
    </w:p>
    <w:p>
      <w:pPr>
        <w:spacing w:after="0" w:line="151" w:lineRule="auto"/>
        <w:sectPr>
          <w:pgSz w:w="11900" w:h="16840"/>
          <w:pgMar w:header="274" w:footer="283" w:top="480" w:bottom="480" w:left="620" w:right="1680"/>
        </w:sectPr>
      </w:pPr>
    </w:p>
    <w:p>
      <w:pPr>
        <w:pStyle w:val="Heading1"/>
        <w:spacing w:line="151" w:lineRule="auto" w:before="117"/>
        <w:ind w:right="556"/>
      </w:pPr>
      <w:r>
        <w:rPr/>
        <w:t>Terms &amp; Conditions applicable to all Open Access articles published with Elsevier:</w:t>
      </w:r>
    </w:p>
    <w:p>
      <w:pPr>
        <w:pStyle w:val="BodyText"/>
        <w:spacing w:line="151" w:lineRule="auto" w:before="1"/>
        <w:ind w:right="617"/>
      </w:pPr>
      <w:r>
        <w:rPr/>
        <w:t>Any reuse of the article must not represent the author as endorsing the adaptation of the article nor should the article be modiﬁed in such a way as to damage the author's honour or reputation. If any changes have been made, such changes must be clearly indicated.</w:t>
      </w:r>
    </w:p>
    <w:p>
      <w:pPr>
        <w:pStyle w:val="BodyText"/>
        <w:spacing w:line="151" w:lineRule="auto" w:before="1"/>
        <w:ind w:right="790"/>
      </w:pPr>
      <w:r>
        <w:rPr/>
        <w:t>The author(s) must be appropriately credited and we ask that you include the end user license and a DOI link to the formal publication on ScienceDirect.</w:t>
      </w:r>
    </w:p>
    <w:p>
      <w:pPr>
        <w:pStyle w:val="BodyText"/>
        <w:spacing w:line="151" w:lineRule="auto" w:before="1"/>
        <w:ind w:right="706"/>
        <w:jc w:val="both"/>
      </w:pPr>
      <w:r>
        <w:rPr/>
        <w:t>If any part of the material to be used (for example, ﬁgures) has appeared in our publication with credit or acknowledgement to another source it is the responsibility of the user to ensure their reuse complies with the terms and conditions determined by the rights holder.</w:t>
      </w:r>
    </w:p>
    <w:p>
      <w:pPr>
        <w:pStyle w:val="Heading1"/>
        <w:spacing w:line="151" w:lineRule="auto" w:before="2"/>
        <w:ind w:right="799"/>
        <w:jc w:val="both"/>
      </w:pPr>
      <w:r>
        <w:rPr/>
        <w:t>Additional </w:t>
      </w:r>
      <w:r>
        <w:rPr>
          <w:spacing w:val="-6"/>
        </w:rPr>
        <w:t>Terms </w:t>
      </w:r>
      <w:r>
        <w:rPr/>
        <w:t>&amp; Conditions applicable to each Creative Commons user license:</w:t>
      </w:r>
    </w:p>
    <w:p>
      <w:pPr>
        <w:pStyle w:val="BodyText"/>
        <w:spacing w:line="151" w:lineRule="auto"/>
        <w:ind w:right="572"/>
      </w:pPr>
      <w:r>
        <w:rPr>
          <w:b/>
        </w:rPr>
        <w:t>CC </w:t>
      </w:r>
      <w:r>
        <w:rPr>
          <w:b/>
          <w:spacing w:val="-9"/>
        </w:rPr>
        <w:t>BY: </w:t>
      </w:r>
      <w:r>
        <w:rPr/>
        <w:t>The CC-BY license allows users to </w:t>
      </w:r>
      <w:r>
        <w:rPr>
          <w:spacing w:val="-6"/>
        </w:rPr>
        <w:t>copy, </w:t>
      </w:r>
      <w:r>
        <w:rPr/>
        <w:t>to create extracts, abstracts and new works from the Article, to alter and revise the Article and to make commercial use of the Article (including reuse </w:t>
      </w:r>
      <w:r>
        <w:rPr>
          <w:spacing w:val="2"/>
        </w:rPr>
        <w:t>and/or </w:t>
      </w:r>
      <w:r>
        <w:rPr/>
        <w:t>resale of the Article by commercial entities), provided the user gives appropriate credit (with a link to the formal publication through the relevant DOI), provides a link to the license, indicates if changes were made and the licensor is not represented as endorsing the use made of the work. The full details of the license are available at</w:t>
      </w:r>
      <w:r>
        <w:rPr>
          <w:spacing w:val="5"/>
        </w:rPr>
        <w:t> </w:t>
      </w:r>
      <w:hyperlink r:id="rId21">
        <w:r>
          <w:rPr>
            <w:color w:val="0000ED"/>
            <w:u w:val="single" w:color="0000ED"/>
          </w:rPr>
          <w:t>htt</w:t>
        </w:r>
        <w:r>
          <w:rPr>
            <w:color w:val="0000ED"/>
          </w:rPr>
          <w:t>p</w:t>
        </w:r>
        <w:r>
          <w:rPr>
            <w:color w:val="0000ED"/>
            <w:u w:val="single" w:color="0000ED"/>
          </w:rPr>
          <w:t>://creativecommons.org/licenses/by/4.0</w:t>
        </w:r>
      </w:hyperlink>
      <w:r>
        <w:rPr/>
        <w:t>.</w:t>
      </w:r>
    </w:p>
    <w:p>
      <w:pPr>
        <w:pStyle w:val="BodyText"/>
        <w:spacing w:line="151" w:lineRule="auto" w:before="3"/>
        <w:ind w:right="653"/>
      </w:pPr>
      <w:r>
        <w:rPr>
          <w:b/>
        </w:rPr>
        <w:t>CC BY NC SA: </w:t>
      </w:r>
      <w:r>
        <w:rPr/>
        <w:t>The CC BY-NC-SA license allows users to copy, to create extracts, abstracts and new works from the Article, to alter and revise the Article, provided this is not done for commercial purposes, and that the user gives appropriate credit (with a link to the formal publication through the relevant DOI), provides a link to the license, indicates if changes were made and the licensor is not represented as endorsing the use made of the work. Further, any new works must be made available on the same conditions. The full details of the license are available at </w:t>
      </w:r>
      <w:hyperlink r:id="rId22">
        <w:r>
          <w:rPr>
            <w:color w:val="0000ED"/>
            <w:u w:val="single" w:color="0000ED"/>
          </w:rPr>
          <w:t>htt</w:t>
        </w:r>
        <w:r>
          <w:rPr>
            <w:color w:val="0000ED"/>
          </w:rPr>
          <w:t>p</w:t>
        </w:r>
        <w:r>
          <w:rPr>
            <w:color w:val="0000ED"/>
            <w:u w:val="single" w:color="0000ED"/>
          </w:rPr>
          <w:t>://creativecommons.org/licenses/by-nc-sa/4.0</w:t>
        </w:r>
      </w:hyperlink>
      <w:r>
        <w:rPr/>
        <w:t>.</w:t>
      </w:r>
    </w:p>
    <w:p>
      <w:pPr>
        <w:pStyle w:val="BodyText"/>
        <w:spacing w:line="151" w:lineRule="auto" w:before="3"/>
        <w:ind w:right="551"/>
      </w:pPr>
      <w:r>
        <w:rPr>
          <w:b/>
        </w:rPr>
        <w:t>CC BY NC ND: </w:t>
      </w:r>
      <w:r>
        <w:rPr/>
        <w:t>The CC </w:t>
      </w:r>
      <w:r>
        <w:rPr>
          <w:spacing w:val="-3"/>
        </w:rPr>
        <w:t>BY-NC-ND </w:t>
      </w:r>
      <w:r>
        <w:rPr/>
        <w:t>license allows users to copy and distribute the Article, provided this is not done for commercial purposes </w:t>
      </w:r>
      <w:r>
        <w:rPr>
          <w:spacing w:val="-4"/>
        </w:rPr>
        <w:t>and </w:t>
      </w:r>
      <w:r>
        <w:rPr/>
        <w:t>further does not permit distribution of the Article if it is changed or edited </w:t>
      </w:r>
      <w:r>
        <w:rPr>
          <w:spacing w:val="-7"/>
        </w:rPr>
        <w:t>in </w:t>
      </w:r>
      <w:r>
        <w:rPr/>
        <w:t>any </w:t>
      </w:r>
      <w:r>
        <w:rPr>
          <w:spacing w:val="-8"/>
        </w:rPr>
        <w:t>way, </w:t>
      </w:r>
      <w:r>
        <w:rPr/>
        <w:t>and provided the user gives appropriate credit (with a link to the formal publication through the relevant DOI), provides a link to the license, and that the licensor is not represented as endorsing the use made of the work. The full details of the license are available at </w:t>
      </w:r>
      <w:hyperlink r:id="rId23">
        <w:r>
          <w:rPr>
            <w:color w:val="0000ED"/>
            <w:u w:val="single" w:color="0000ED"/>
          </w:rPr>
          <w:t>htt</w:t>
        </w:r>
        <w:r>
          <w:rPr>
            <w:color w:val="0000ED"/>
          </w:rPr>
          <w:t>p</w:t>
        </w:r>
        <w:r>
          <w:rPr>
            <w:color w:val="0000ED"/>
            <w:u w:val="single" w:color="0000ED"/>
          </w:rPr>
          <w:t>://creativecommons.org/licenses/by-nc-nd/4.0</w:t>
        </w:r>
      </w:hyperlink>
      <w:r>
        <w:rPr/>
        <w:t>. Any commercial reuse of Open Access articles published with a CC BY NC SA or CC BY NC ND license requires permission from Elsevier and will be subject to a fee.</w:t>
      </w:r>
    </w:p>
    <w:p>
      <w:pPr>
        <w:pStyle w:val="BodyText"/>
        <w:spacing w:line="441" w:lineRule="exact"/>
      </w:pPr>
      <w:r>
        <w:rPr/>
        <w:t>Commercial reuse includes:</w:t>
      </w:r>
    </w:p>
    <w:p>
      <w:pPr>
        <w:spacing w:after="0" w:line="441" w:lineRule="exact"/>
        <w:sectPr>
          <w:pgSz w:w="11900" w:h="16840"/>
          <w:pgMar w:header="274" w:footer="283" w:top="480" w:bottom="480" w:left="620" w:right="1680"/>
        </w:sectPr>
      </w:pPr>
    </w:p>
    <w:p>
      <w:pPr>
        <w:pStyle w:val="BodyText"/>
        <w:spacing w:line="151" w:lineRule="auto" w:before="117"/>
        <w:ind w:left="710" w:right="2602"/>
      </w:pPr>
      <w:r>
        <w:rPr/>
        <w:pict>
          <v:shape style="position:absolute;margin-left:53.01115pt;margin-top:11.187332pt;width:4.55pt;height:4.55pt;mso-position-horizontal-relative:page;mso-position-vertical-relative:paragraph;z-index:251674624" coordorigin="1060,224" coordsize="91,91" path="m1111,314l1099,314,1094,313,1060,275,1060,263,1099,224,1111,224,1150,263,1150,275,1111,314xe" filled="true" fillcolor="#000000" stroked="false">
            <v:path arrowok="t"/>
            <v:fill type="solid"/>
            <w10:wrap type="none"/>
          </v:shape>
        </w:pict>
      </w:r>
      <w:r>
        <w:rPr/>
        <w:pict>
          <v:shape style="position:absolute;margin-left:53.01115pt;margin-top:29.1957pt;width:4.55pt;height:4.55pt;mso-position-horizontal-relative:page;mso-position-vertical-relative:paragraph;z-index:251675648" coordorigin="1060,584" coordsize="91,91" path="m1111,674l1099,674,1094,673,1060,635,1060,623,1099,584,1111,584,1150,623,1150,635,1111,674xe" filled="true" fillcolor="#000000" stroked="false">
            <v:path arrowok="t"/>
            <v:fill type="solid"/>
            <w10:wrap type="none"/>
          </v:shape>
        </w:pict>
      </w:r>
      <w:r>
        <w:rPr/>
        <w:t>Associating advertising with the full text of the Article Charging fees for document delivery or access</w:t>
      </w:r>
    </w:p>
    <w:p>
      <w:pPr>
        <w:pStyle w:val="BodyText"/>
        <w:spacing w:line="333" w:lineRule="exact"/>
        <w:ind w:left="710"/>
      </w:pPr>
      <w:r>
        <w:rPr/>
        <w:pict>
          <v:shape style="position:absolute;margin-left:53.01115pt;margin-top:5.370238pt;width:4.55pt;height:4.55pt;mso-position-horizontal-relative:page;mso-position-vertical-relative:paragraph;z-index:251676672" coordorigin="1060,107" coordsize="91,91" path="m1111,197l1099,197,1094,196,1060,158,1060,146,1099,107,1111,107,1150,146,1150,158,1111,197xe" filled="true" fillcolor="#000000" stroked="false">
            <v:path arrowok="t"/>
            <v:fill type="solid"/>
            <w10:wrap type="none"/>
          </v:shape>
        </w:pict>
      </w:r>
      <w:r>
        <w:rPr/>
        <w:t>Article aggregation</w:t>
      </w:r>
    </w:p>
    <w:p>
      <w:pPr>
        <w:pStyle w:val="BodyText"/>
        <w:spacing w:line="466" w:lineRule="exact"/>
        <w:ind w:left="710"/>
      </w:pPr>
      <w:r>
        <w:rPr/>
        <w:pict>
          <v:shape style="position:absolute;margin-left:53.01115pt;margin-top:6.722171pt;width:4.55pt;height:4.55pt;mso-position-horizontal-relative:page;mso-position-vertical-relative:paragraph;z-index:251677696" coordorigin="1060,134" coordsize="91,91" path="m1111,224l1099,224,1094,223,1060,185,1060,173,1099,134,1111,134,1150,173,1150,185,1111,224xe" filled="true" fillcolor="#000000" stroked="false">
            <v:path arrowok="t"/>
            <v:fill type="solid"/>
            <w10:wrap type="none"/>
          </v:shape>
        </w:pict>
      </w:r>
      <w:r>
        <w:rPr/>
        <w:t>Systematic distribution via e-mail lists or share buttons</w:t>
      </w:r>
    </w:p>
    <w:p>
      <w:pPr>
        <w:pStyle w:val="BodyText"/>
        <w:spacing w:line="151" w:lineRule="auto" w:before="163"/>
        <w:ind w:right="765"/>
      </w:pPr>
      <w:r>
        <w:rPr/>
        <w:t>Posting or linking by commercial companies for use by customers of those companies.</w:t>
      </w:r>
    </w:p>
    <w:p>
      <w:pPr>
        <w:pStyle w:val="Heading1"/>
        <w:numPr>
          <w:ilvl w:val="0"/>
          <w:numId w:val="1"/>
        </w:numPr>
        <w:tabs>
          <w:tab w:pos="572" w:val="left" w:leader="none"/>
        </w:tabs>
        <w:spacing w:line="240" w:lineRule="auto" w:before="227" w:after="0"/>
        <w:ind w:left="571" w:right="0" w:hanging="462"/>
        <w:jc w:val="left"/>
        <w:rPr>
          <w:b w:val="0"/>
        </w:rPr>
      </w:pPr>
      <w:r>
        <w:rPr/>
        <w:t>Other Conditions</w:t>
      </w:r>
      <w:r>
        <w:rPr>
          <w:b w:val="0"/>
        </w:rPr>
        <w:t>:</w:t>
      </w:r>
    </w:p>
    <w:p>
      <w:pPr>
        <w:pStyle w:val="BodyText"/>
        <w:spacing w:before="150"/>
      </w:pPr>
      <w:r>
        <w:rPr/>
        <w:t>v1.9</w:t>
      </w:r>
    </w:p>
    <w:p>
      <w:pPr>
        <w:spacing w:before="28"/>
        <w:ind w:left="110" w:right="0" w:firstLine="0"/>
        <w:jc w:val="left"/>
        <w:rPr>
          <w:rFonts w:ascii="Verdana"/>
          <w:b/>
          <w:sz w:val="18"/>
        </w:rPr>
      </w:pPr>
      <w:r>
        <w:rPr>
          <w:rFonts w:ascii="Verdana"/>
          <w:b/>
          <w:sz w:val="18"/>
        </w:rPr>
        <w:t>Questions? </w:t>
      </w:r>
      <w:hyperlink r:id="rId24">
        <w:r>
          <w:rPr>
            <w:rFonts w:ascii="Verdana"/>
            <w:b/>
            <w:color w:val="0000ED"/>
            <w:sz w:val="18"/>
            <w:u w:val="single" w:color="0000ED"/>
          </w:rPr>
          <w:t>customercare@copyright.com</w:t>
        </w:r>
        <w:r>
          <w:rPr>
            <w:rFonts w:ascii="Verdana"/>
            <w:b/>
            <w:color w:val="0000ED"/>
            <w:sz w:val="18"/>
          </w:rPr>
          <w:t> </w:t>
        </w:r>
      </w:hyperlink>
      <w:r>
        <w:rPr>
          <w:rFonts w:ascii="Verdana"/>
          <w:b/>
          <w:sz w:val="18"/>
        </w:rPr>
        <w:t>or +1-855-239-3415 (toll free in the US) or</w:t>
      </w:r>
    </w:p>
    <w:p>
      <w:pPr>
        <w:spacing w:before="6"/>
        <w:ind w:left="110" w:right="0" w:firstLine="0"/>
        <w:jc w:val="left"/>
        <w:rPr>
          <w:rFonts w:ascii="Verdana"/>
          <w:b/>
          <w:sz w:val="18"/>
        </w:rPr>
      </w:pPr>
      <w:r>
        <w:rPr>
          <w:rFonts w:ascii="Verdana"/>
          <w:b/>
          <w:sz w:val="18"/>
        </w:rPr>
        <w:t>+1-978-646-2777.</w:t>
      </w:r>
    </w:p>
    <w:p>
      <w:pPr>
        <w:pStyle w:val="BodyText"/>
        <w:ind w:left="0"/>
        <w:rPr>
          <w:rFonts w:ascii="Verdana"/>
          <w:b/>
          <w:sz w:val="20"/>
        </w:rPr>
      </w:pPr>
    </w:p>
    <w:p>
      <w:pPr>
        <w:pStyle w:val="BodyText"/>
        <w:spacing w:before="2"/>
        <w:ind w:left="0"/>
        <w:rPr>
          <w:rFonts w:ascii="Verdana"/>
          <w:b/>
          <w:sz w:val="29"/>
        </w:rPr>
      </w:pPr>
      <w:r>
        <w:rPr/>
        <w:pict>
          <v:group style="position:absolute;margin-left:36.503483pt;margin-top:19.734386pt;width:447.25pt;height:1.55pt;mso-position-horizontal-relative:page;mso-position-vertical-relative:paragraph;z-index:-251643904;mso-wrap-distance-left:0;mso-wrap-distance-right:0" coordorigin="730,395" coordsize="8945,31">
            <v:line style="position:absolute" from="730,402" to="9674,402" stroked="true" strokeweight=".750349pt" strokecolor="#999999">
              <v:stroke dashstyle="solid"/>
            </v:line>
            <v:line style="position:absolute" from="730,417" to="9674,417" stroked="true" strokeweight=".750349pt" strokecolor="#ededed">
              <v:stroke dashstyle="solid"/>
            </v:line>
            <v:shape style="position:absolute;left:9659;top:394;width:15;height:31" coordorigin="9659,395" coordsize="15,31" path="m9674,425l9659,425,9659,410,9674,395,9674,425xe" filled="true" fillcolor="#ededed" stroked="false">
              <v:path arrowok="t"/>
              <v:fill type="solid"/>
            </v:shape>
            <v:shape style="position:absolute;left:730;top:394;width:15;height:31" coordorigin="730,395" coordsize="15,31" path="m730,425l730,395,745,395,745,410,730,425xe" filled="true" fillcolor="#999999" stroked="false">
              <v:path arrowok="t"/>
              <v:fill type="solid"/>
            </v:shape>
            <w10:wrap type="topAndBottom"/>
          </v:group>
        </w:pict>
      </w:r>
    </w:p>
    <w:p>
      <w:pPr>
        <w:pStyle w:val="BodyText"/>
        <w:spacing w:before="4"/>
        <w:ind w:left="0"/>
        <w:rPr>
          <w:rFonts w:ascii="Verdana"/>
          <w:b/>
          <w:sz w:val="7"/>
        </w:rPr>
      </w:pPr>
    </w:p>
    <w:p>
      <w:pPr>
        <w:pStyle w:val="BodyText"/>
        <w:spacing w:line="31" w:lineRule="exact"/>
        <w:ind w:left="102"/>
        <w:rPr>
          <w:rFonts w:ascii="Verdana"/>
          <w:sz w:val="3"/>
        </w:rPr>
      </w:pPr>
      <w:r>
        <w:rPr>
          <w:rFonts w:ascii="Verdana"/>
          <w:position w:val="0"/>
          <w:sz w:val="3"/>
        </w:rPr>
        <w:pict>
          <v:group style="width:447.25pt;height:1.55pt;mso-position-horizontal-relative:char;mso-position-vertical-relative:line" coordorigin="0,0" coordsize="8945,31">
            <v:line style="position:absolute" from="0,8" to="8944,8" stroked="true" strokeweight=".750349pt" strokecolor="#999999">
              <v:stroke dashstyle="solid"/>
            </v:line>
            <v:line style="position:absolute" from="0,23" to="8944,23" stroked="true" strokeweight=".750349pt" strokecolor="#ededed">
              <v:stroke dashstyle="solid"/>
            </v:line>
            <v:shape style="position:absolute;left:8929;top:0;width:15;height:31" coordorigin="8929,0" coordsize="15,31" path="m8944,30l8929,30,8929,15,8944,0,8944,30xe" filled="true" fillcolor="#ededed" stroked="false">
              <v:path arrowok="t"/>
              <v:fill type="solid"/>
            </v:shape>
            <v:shape style="position:absolute;left:0;top:0;width:15;height:31" coordorigin="0,0" coordsize="15,31" path="m0,30l0,0,15,0,15,15,0,30xe" filled="true" fillcolor="#999999" stroked="false">
              <v:path arrowok="t"/>
              <v:fill type="solid"/>
            </v:shape>
          </v:group>
        </w:pict>
      </w:r>
      <w:r>
        <w:rPr>
          <w:rFonts w:ascii="Verdana"/>
          <w:position w:val="0"/>
          <w:sz w:val="3"/>
        </w:rPr>
      </w:r>
    </w:p>
    <w:sectPr>
      <w:pgSz w:w="11900" w:h="16840"/>
      <w:pgMar w:header="274" w:footer="283" w:top="480" w:bottom="480" w:left="62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メイリオ">
    <w:altName w:val="メイリオ"/>
    <w:charset w:val="80"/>
    <w:family w:val="modern"/>
    <w:pitch w:val="variable"/>
  </w:font>
  <w:font w:name="Verdana">
    <w:altName w:val="Verdana"/>
    <w:charset w:val="0"/>
    <w:family w:val="swiss"/>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5.453123pt;margin-top:816.757751pt;width:167.9pt;height:10.95pt;mso-position-horizontal-relative:page;mso-position-vertical-relative:page;z-index:-251911168" type="#_x0000_t202" filled="false" stroked="false">
          <v:textbox inset="0,0,0,0">
            <w:txbxContent>
              <w:p>
                <w:pPr>
                  <w:spacing w:before="14"/>
                  <w:ind w:left="20" w:right="0" w:firstLine="0"/>
                  <w:jc w:val="left"/>
                  <w:rPr>
                    <w:rFonts w:ascii="Arial"/>
                    <w:sz w:val="16"/>
                  </w:rPr>
                </w:pPr>
                <w:r>
                  <w:rPr>
                    <w:rFonts w:ascii="Arial"/>
                    <w:sz w:val="16"/>
                  </w:rPr>
                  <w:t>https://s100.copyright.com/AppDispatchServlet</w:t>
                </w:r>
              </w:p>
            </w:txbxContent>
          </v:textbox>
          <w10:wrap type="none"/>
        </v:shape>
      </w:pict>
    </w:r>
    <w:r>
      <w:rPr/>
      <w:pict>
        <v:shape style="position:absolute;margin-left:554.406189pt;margin-top:816.757751pt;width:15.15pt;height:10.95pt;mso-position-horizontal-relative:page;mso-position-vertical-relative:page;z-index:-251910144" type="#_x0000_t202" filled="false" stroked="false">
          <v:textbox inset="0,0,0,0">
            <w:txbxContent>
              <w:p>
                <w:pPr>
                  <w:spacing w:before="14"/>
                  <w:ind w:left="60" w:right="0" w:firstLine="0"/>
                  <w:jc w:val="left"/>
                  <w:rPr>
                    <w:rFonts w:ascii="Arial"/>
                    <w:sz w:val="16"/>
                  </w:rPr>
                </w:pPr>
                <w:r>
                  <w:rPr/>
                  <w:fldChar w:fldCharType="begin"/>
                </w:r>
                <w:r>
                  <w:rPr>
                    <w:rFonts w:ascii="Arial"/>
                    <w:sz w:val="16"/>
                  </w:rPr>
                  <w:instrText> PAGE </w:instrText>
                </w:r>
                <w:r>
                  <w:rPr/>
                  <w:fldChar w:fldCharType="separate"/>
                </w:r>
                <w:r>
                  <w:rPr/>
                  <w:t>1</w:t>
                </w:r>
                <w:r>
                  <w:rPr/>
                  <w:fldChar w:fldCharType="end"/>
                </w:r>
                <w:r>
                  <w:rPr>
                    <w:rFonts w:ascii="Arial"/>
                    <w:sz w:val="16"/>
                  </w:rPr>
                  <w:t>/8</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25.453123pt;margin-top:13.757814pt;width:37.6pt;height:10.95pt;mso-position-horizontal-relative:page;mso-position-vertical-relative:page;z-index:-251913216" type="#_x0000_t202" filled="false" stroked="false">
          <v:textbox inset="0,0,0,0">
            <w:txbxContent>
              <w:p>
                <w:pPr>
                  <w:spacing w:before="14"/>
                  <w:ind w:left="20" w:right="0" w:firstLine="0"/>
                  <w:jc w:val="left"/>
                  <w:rPr>
                    <w:rFonts w:ascii="Arial"/>
                    <w:sz w:val="16"/>
                  </w:rPr>
                </w:pPr>
                <w:r>
                  <w:rPr>
                    <w:rFonts w:ascii="Arial"/>
                    <w:sz w:val="16"/>
                  </w:rPr>
                  <w:t>2019/9/26</w:t>
                </w:r>
              </w:p>
            </w:txbxContent>
          </v:textbox>
          <w10:wrap type="none"/>
        </v:shape>
      </w:pict>
    </w:r>
    <w:r>
      <w:rPr/>
      <w:pict>
        <v:shape style="position:absolute;margin-left:278.937469pt;margin-top:13.757814pt;width:102.95pt;height:10.95pt;mso-position-horizontal-relative:page;mso-position-vertical-relative:page;z-index:-251912192" type="#_x0000_t202" filled="false" stroked="false">
          <v:textbox inset="0,0,0,0">
            <w:txbxContent>
              <w:p>
                <w:pPr>
                  <w:spacing w:before="14"/>
                  <w:ind w:left="20" w:right="0" w:firstLine="0"/>
                  <w:jc w:val="left"/>
                  <w:rPr>
                    <w:rFonts w:ascii="Arial"/>
                    <w:sz w:val="16"/>
                  </w:rPr>
                </w:pPr>
                <w:r>
                  <w:rPr>
                    <w:rFonts w:ascii="Arial"/>
                    <w:sz w:val="16"/>
                  </w:rPr>
                  <w:t>RightsLink Printable License</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10" w:hanging="315"/>
        <w:jc w:val="left"/>
      </w:pPr>
      <w:rPr>
        <w:rFonts w:hint="default" w:ascii="メイリオ" w:hAnsi="メイリオ" w:eastAsia="メイリオ" w:cs="メイリオ"/>
        <w:spacing w:val="-34"/>
        <w:w w:val="100"/>
        <w:sz w:val="24"/>
        <w:szCs w:val="24"/>
      </w:rPr>
    </w:lvl>
    <w:lvl w:ilvl="1">
      <w:start w:val="0"/>
      <w:numFmt w:val="bullet"/>
      <w:lvlText w:val="•"/>
      <w:lvlJc w:val="left"/>
      <w:pPr>
        <w:ind w:left="1067" w:hanging="315"/>
      </w:pPr>
      <w:rPr>
        <w:rFonts w:hint="default"/>
      </w:rPr>
    </w:lvl>
    <w:lvl w:ilvl="2">
      <w:start w:val="0"/>
      <w:numFmt w:val="bullet"/>
      <w:lvlText w:val="•"/>
      <w:lvlJc w:val="left"/>
      <w:pPr>
        <w:ind w:left="2015" w:hanging="315"/>
      </w:pPr>
      <w:rPr>
        <w:rFonts w:hint="default"/>
      </w:rPr>
    </w:lvl>
    <w:lvl w:ilvl="3">
      <w:start w:val="0"/>
      <w:numFmt w:val="bullet"/>
      <w:lvlText w:val="•"/>
      <w:lvlJc w:val="left"/>
      <w:pPr>
        <w:ind w:left="2963" w:hanging="315"/>
      </w:pPr>
      <w:rPr>
        <w:rFonts w:hint="default"/>
      </w:rPr>
    </w:lvl>
    <w:lvl w:ilvl="4">
      <w:start w:val="0"/>
      <w:numFmt w:val="bullet"/>
      <w:lvlText w:val="•"/>
      <w:lvlJc w:val="left"/>
      <w:pPr>
        <w:ind w:left="3911" w:hanging="315"/>
      </w:pPr>
      <w:rPr>
        <w:rFonts w:hint="default"/>
      </w:rPr>
    </w:lvl>
    <w:lvl w:ilvl="5">
      <w:start w:val="0"/>
      <w:numFmt w:val="bullet"/>
      <w:lvlText w:val="•"/>
      <w:lvlJc w:val="left"/>
      <w:pPr>
        <w:ind w:left="4859" w:hanging="315"/>
      </w:pPr>
      <w:rPr>
        <w:rFonts w:hint="default"/>
      </w:rPr>
    </w:lvl>
    <w:lvl w:ilvl="6">
      <w:start w:val="0"/>
      <w:numFmt w:val="bullet"/>
      <w:lvlText w:val="•"/>
      <w:lvlJc w:val="left"/>
      <w:pPr>
        <w:ind w:left="5807" w:hanging="315"/>
      </w:pPr>
      <w:rPr>
        <w:rFonts w:hint="default"/>
      </w:rPr>
    </w:lvl>
    <w:lvl w:ilvl="7">
      <w:start w:val="0"/>
      <w:numFmt w:val="bullet"/>
      <w:lvlText w:val="•"/>
      <w:lvlJc w:val="left"/>
      <w:pPr>
        <w:ind w:left="6755" w:hanging="315"/>
      </w:pPr>
      <w:rPr>
        <w:rFonts w:hint="default"/>
      </w:rPr>
    </w:lvl>
    <w:lvl w:ilvl="8">
      <w:start w:val="0"/>
      <w:numFmt w:val="bullet"/>
      <w:lvlText w:val="•"/>
      <w:lvlJc w:val="left"/>
      <w:pPr>
        <w:ind w:left="7703" w:hanging="31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メイリオ" w:hAnsi="メイリオ" w:eastAsia="メイリオ" w:cs="メイリオ"/>
    </w:rPr>
  </w:style>
  <w:style w:styleId="BodyText" w:type="paragraph">
    <w:name w:val="Body Text"/>
    <w:basedOn w:val="Normal"/>
    <w:uiPriority w:val="1"/>
    <w:qFormat/>
    <w:pPr>
      <w:ind w:left="110"/>
    </w:pPr>
    <w:rPr>
      <w:rFonts w:ascii="メイリオ" w:hAnsi="メイリオ" w:eastAsia="メイリオ" w:cs="メイリオ"/>
      <w:sz w:val="24"/>
      <w:szCs w:val="24"/>
    </w:rPr>
  </w:style>
  <w:style w:styleId="Heading1" w:type="paragraph">
    <w:name w:val="Heading 1"/>
    <w:basedOn w:val="Normal"/>
    <w:uiPriority w:val="1"/>
    <w:qFormat/>
    <w:pPr>
      <w:ind w:left="110"/>
      <w:outlineLvl w:val="1"/>
    </w:pPr>
    <w:rPr>
      <w:rFonts w:ascii="メイリオ" w:hAnsi="メイリオ" w:eastAsia="メイリオ" w:cs="メイリオ"/>
      <w:b/>
      <w:bCs/>
      <w:sz w:val="24"/>
      <w:szCs w:val="24"/>
    </w:rPr>
  </w:style>
  <w:style w:styleId="ListParagraph" w:type="paragraph">
    <w:name w:val="List Paragraph"/>
    <w:basedOn w:val="Normal"/>
    <w:uiPriority w:val="1"/>
    <w:qFormat/>
    <w:pPr>
      <w:spacing w:before="1"/>
      <w:ind w:left="110"/>
    </w:pPr>
    <w:rPr>
      <w:rFonts w:ascii="メイリオ" w:hAnsi="メイリオ" w:eastAsia="メイリオ" w:cs="メイリオ"/>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myaccount.copyright.com/" TargetMode="External"/><Relationship Id="rId8" Type="http://schemas.openxmlformats.org/officeDocument/2006/relationships/hyperlink" Target="mailto:permissions@elsevier.com" TargetMode="External"/><Relationship Id="rId9" Type="http://schemas.openxmlformats.org/officeDocument/2006/relationships/hyperlink" Target="http://www.sciencedirect.com/science/journal/xxxxx" TargetMode="External"/><Relationship Id="rId10" Type="http://schemas.openxmlformats.org/officeDocument/2006/relationships/hyperlink" Target="http://www.elsevier.com/" TargetMode="Externa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png"/><Relationship Id="rId17" Type="http://schemas.openxmlformats.org/officeDocument/2006/relationships/image" Target="media/image7.png"/><Relationship Id="rId18" Type="http://schemas.openxmlformats.org/officeDocument/2006/relationships/hyperlink" Target="http://www.crossref.org/crossmark/index.html" TargetMode="External"/><Relationship Id="rId19" Type="http://schemas.openxmlformats.org/officeDocument/2006/relationships/hyperlink" Target="http://www.elsevier.com/about/open-access/open-access-policies/article-posting-policy" TargetMode="External"/><Relationship Id="rId20" Type="http://schemas.openxmlformats.org/officeDocument/2006/relationships/hyperlink" Target="http://www.elsevier.com/about/open-access/open-access-policies/oa-license-policy" TargetMode="External"/><Relationship Id="rId21" Type="http://schemas.openxmlformats.org/officeDocument/2006/relationships/hyperlink" Target="http://creativecommons.org/licenses/by/4.0" TargetMode="External"/><Relationship Id="rId22" Type="http://schemas.openxmlformats.org/officeDocument/2006/relationships/hyperlink" Target="http://creativecommons.org/licenses/by-nc-sa/4.0" TargetMode="External"/><Relationship Id="rId23" Type="http://schemas.openxmlformats.org/officeDocument/2006/relationships/hyperlink" Target="http://creativecommons.org/licenses/by-nc-nd/4.0" TargetMode="External"/><Relationship Id="rId24" Type="http://schemas.openxmlformats.org/officeDocument/2006/relationships/hyperlink" Target="mailto:customercare@copyright.com" TargetMode="External"/><Relationship Id="rId2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2019-11-30T23:17:28Z</dcterms:created>
  <dcterms:modified xsi:type="dcterms:W3CDTF">2019-11-30T23:17:28Z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2019-09-26T00:00:00Z</vt:filetime>
  </property>
  <property fmtid="{D5CDD505-2E9C-101B-9397-08002B2CF9AE}" pid="3" name="Creator">
    <vt:lpwstr>Mozilla/5.0 (Windows NT 10.0; Win64; x64) AppleWebKit/537.36 (KHTML, like Gecko) Chrome/77.0.3865.90 Safari/537.36</vt:lpwstr>
  </property>
  <property fmtid="{D5CDD505-2E9C-101B-9397-08002B2CF9AE}" pid="4" name="LastSaved">
    <vt:filetime>2019-11-30T00:00:00Z</vt:filetime>
  </property>
</Properties>
</file>