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C23A9" w14:textId="77777777" w:rsidR="006C77BF" w:rsidRPr="00E339AA" w:rsidRDefault="006305D7"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b/>
          <w:bCs/>
          <w:color w:val="auto"/>
        </w:rPr>
        <w:t>TITLE:</w:t>
      </w:r>
    </w:p>
    <w:p w14:paraId="0C76090E" w14:textId="127FE2C3" w:rsidR="007A4DD6" w:rsidRPr="00E339AA" w:rsidRDefault="005E7BFF"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color w:val="auto"/>
        </w:rPr>
        <w:t>Preparation of Peripheral Blood Mononuclear Cell</w:t>
      </w:r>
      <w:r w:rsidR="008E7C74" w:rsidRPr="00E339AA">
        <w:rPr>
          <w:rFonts w:asciiTheme="minorHAnsi" w:hAnsiTheme="minorHAnsi" w:cstheme="minorHAnsi"/>
          <w:color w:val="auto"/>
        </w:rPr>
        <w:t xml:space="preserve"> </w:t>
      </w:r>
      <w:r w:rsidRPr="00E339AA">
        <w:rPr>
          <w:rFonts w:asciiTheme="minorHAnsi" w:hAnsiTheme="minorHAnsi" w:cstheme="minorHAnsi"/>
          <w:color w:val="auto"/>
        </w:rPr>
        <w:t>Pellets and Plasma</w:t>
      </w:r>
      <w:r w:rsidR="006979B8">
        <w:rPr>
          <w:rFonts w:asciiTheme="minorHAnsi" w:hAnsiTheme="minorHAnsi" w:cstheme="minorHAnsi"/>
          <w:color w:val="auto"/>
        </w:rPr>
        <w:t xml:space="preserve"> </w:t>
      </w:r>
      <w:r w:rsidR="00AF1946" w:rsidRPr="00E339AA">
        <w:rPr>
          <w:rFonts w:asciiTheme="minorHAnsi" w:hAnsiTheme="minorHAnsi" w:cstheme="minorHAnsi"/>
          <w:color w:val="auto"/>
        </w:rPr>
        <w:t xml:space="preserve">from a Single Blood Draw </w:t>
      </w:r>
      <w:r w:rsidRPr="00E339AA">
        <w:rPr>
          <w:rFonts w:asciiTheme="minorHAnsi" w:hAnsiTheme="minorHAnsi" w:cstheme="minorHAnsi"/>
          <w:color w:val="auto"/>
        </w:rPr>
        <w:t>at Clinical Trial Site</w:t>
      </w:r>
      <w:r w:rsidR="00E135B1" w:rsidRPr="00E339AA">
        <w:rPr>
          <w:rFonts w:asciiTheme="minorHAnsi" w:hAnsiTheme="minorHAnsi" w:cstheme="minorHAnsi"/>
          <w:color w:val="auto"/>
        </w:rPr>
        <w:t xml:space="preserve"> </w:t>
      </w:r>
      <w:r w:rsidRPr="00E339AA">
        <w:rPr>
          <w:rFonts w:asciiTheme="minorHAnsi" w:hAnsiTheme="minorHAnsi" w:cstheme="minorHAnsi"/>
          <w:color w:val="auto"/>
        </w:rPr>
        <w:t>for Biomarker Analysis</w:t>
      </w:r>
    </w:p>
    <w:p w14:paraId="2E300B21" w14:textId="77777777" w:rsidR="007A4DD6" w:rsidRPr="00E339AA" w:rsidRDefault="007A4DD6" w:rsidP="002E63C2">
      <w:pPr>
        <w:rPr>
          <w:rFonts w:asciiTheme="minorHAnsi" w:hAnsiTheme="minorHAnsi" w:cstheme="minorHAnsi"/>
          <w:b/>
          <w:bCs/>
          <w:color w:val="auto"/>
        </w:rPr>
      </w:pPr>
    </w:p>
    <w:p w14:paraId="3D080DA3" w14:textId="63F5EADB" w:rsidR="006305D7" w:rsidRPr="00E339AA" w:rsidRDefault="006305D7" w:rsidP="002E63C2">
      <w:pPr>
        <w:rPr>
          <w:rFonts w:asciiTheme="minorHAnsi" w:hAnsiTheme="minorHAnsi" w:cstheme="minorHAnsi"/>
          <w:color w:val="auto"/>
        </w:rPr>
      </w:pPr>
      <w:r w:rsidRPr="00E339AA">
        <w:rPr>
          <w:rFonts w:asciiTheme="minorHAnsi" w:hAnsiTheme="minorHAnsi" w:cstheme="minorHAnsi"/>
          <w:b/>
          <w:bCs/>
          <w:color w:val="auto"/>
        </w:rPr>
        <w:t>AUTHORS</w:t>
      </w:r>
      <w:r w:rsidR="000B662E" w:rsidRPr="00E339AA">
        <w:rPr>
          <w:rFonts w:asciiTheme="minorHAnsi" w:hAnsiTheme="minorHAnsi" w:cstheme="minorHAnsi"/>
          <w:b/>
          <w:bCs/>
          <w:color w:val="auto"/>
        </w:rPr>
        <w:t xml:space="preserve"> </w:t>
      </w:r>
      <w:r w:rsidR="00086FF5" w:rsidRPr="00E339AA">
        <w:rPr>
          <w:rFonts w:asciiTheme="minorHAnsi" w:hAnsiTheme="minorHAnsi" w:cstheme="minorHAnsi"/>
          <w:b/>
          <w:bCs/>
          <w:color w:val="auto"/>
        </w:rPr>
        <w:t xml:space="preserve">AND </w:t>
      </w:r>
      <w:r w:rsidR="000B662E" w:rsidRPr="00E339AA">
        <w:rPr>
          <w:rFonts w:asciiTheme="minorHAnsi" w:hAnsiTheme="minorHAnsi" w:cstheme="minorHAnsi"/>
          <w:b/>
          <w:bCs/>
          <w:color w:val="auto"/>
        </w:rPr>
        <w:t>AFFILIATIONS</w:t>
      </w:r>
      <w:r w:rsidRPr="00E339AA">
        <w:rPr>
          <w:rFonts w:asciiTheme="minorHAnsi" w:hAnsiTheme="minorHAnsi" w:cstheme="minorHAnsi"/>
          <w:b/>
          <w:bCs/>
          <w:color w:val="auto"/>
        </w:rPr>
        <w:t>:</w:t>
      </w:r>
    </w:p>
    <w:p w14:paraId="32B171D0" w14:textId="192AA5EC" w:rsidR="007A4DD6" w:rsidRPr="00E339AA" w:rsidRDefault="00954297" w:rsidP="002E63C2">
      <w:pPr>
        <w:rPr>
          <w:rFonts w:asciiTheme="minorHAnsi" w:hAnsiTheme="minorHAnsi" w:cstheme="minorHAnsi"/>
          <w:color w:val="auto"/>
        </w:rPr>
      </w:pPr>
      <w:r w:rsidRPr="00E339AA">
        <w:rPr>
          <w:rFonts w:asciiTheme="minorHAnsi" w:hAnsiTheme="minorHAnsi" w:cstheme="minorHAnsi"/>
          <w:color w:val="auto"/>
        </w:rPr>
        <w:t>Paola Marco-Casanova</w:t>
      </w:r>
      <w:r w:rsidR="00F576AB" w:rsidRPr="00E339AA">
        <w:rPr>
          <w:rFonts w:asciiTheme="minorHAnsi" w:hAnsiTheme="minorHAnsi" w:cstheme="minorHAnsi"/>
          <w:color w:val="auto"/>
          <w:vertAlign w:val="superscript"/>
        </w:rPr>
        <w:t>1</w:t>
      </w:r>
      <w:r w:rsidRPr="00E339AA">
        <w:rPr>
          <w:rFonts w:asciiTheme="minorHAnsi" w:hAnsiTheme="minorHAnsi" w:cstheme="minorHAnsi"/>
          <w:color w:val="auto"/>
        </w:rPr>
        <w:t xml:space="preserve">, </w:t>
      </w:r>
      <w:r w:rsidR="00583515" w:rsidRPr="00E339AA">
        <w:rPr>
          <w:rFonts w:asciiTheme="minorHAnsi" w:hAnsiTheme="minorHAnsi" w:cstheme="minorHAnsi"/>
          <w:color w:val="auto"/>
        </w:rPr>
        <w:t>Nat</w:t>
      </w:r>
      <w:r w:rsidR="00F040DE" w:rsidRPr="00E339AA">
        <w:rPr>
          <w:rFonts w:asciiTheme="minorHAnsi" w:hAnsiTheme="minorHAnsi" w:cstheme="minorHAnsi"/>
          <w:color w:val="auto"/>
        </w:rPr>
        <w:t>ali</w:t>
      </w:r>
      <w:r w:rsidR="00583515" w:rsidRPr="00E339AA">
        <w:rPr>
          <w:rFonts w:asciiTheme="minorHAnsi" w:hAnsiTheme="minorHAnsi" w:cstheme="minorHAnsi"/>
          <w:color w:val="auto"/>
        </w:rPr>
        <w:t>a Lukashchuk</w:t>
      </w:r>
      <w:r w:rsidR="00F576AB" w:rsidRPr="00E339AA">
        <w:rPr>
          <w:rFonts w:asciiTheme="minorHAnsi" w:hAnsiTheme="minorHAnsi" w:cstheme="minorHAnsi"/>
          <w:color w:val="auto"/>
          <w:vertAlign w:val="superscript"/>
        </w:rPr>
        <w:t>1</w:t>
      </w:r>
      <w:r w:rsidR="00583515" w:rsidRPr="00E339AA">
        <w:rPr>
          <w:rFonts w:asciiTheme="minorHAnsi" w:hAnsiTheme="minorHAnsi" w:cstheme="minorHAnsi"/>
          <w:color w:val="auto"/>
        </w:rPr>
        <w:t xml:space="preserve">, </w:t>
      </w:r>
      <w:proofErr w:type="spellStart"/>
      <w:r w:rsidR="00F040DE" w:rsidRPr="00E339AA">
        <w:rPr>
          <w:rFonts w:asciiTheme="minorHAnsi" w:hAnsiTheme="minorHAnsi" w:cstheme="minorHAnsi"/>
          <w:color w:val="auto"/>
        </w:rPr>
        <w:t>Benedetta</w:t>
      </w:r>
      <w:proofErr w:type="spellEnd"/>
      <w:r w:rsidR="00F040DE" w:rsidRPr="00E339AA">
        <w:rPr>
          <w:rFonts w:asciiTheme="minorHAnsi" w:hAnsiTheme="minorHAnsi" w:cstheme="minorHAnsi"/>
          <w:color w:val="auto"/>
        </w:rPr>
        <w:t xml:space="preserve"> Lombardi</w:t>
      </w:r>
      <w:r w:rsidR="00F576AB" w:rsidRPr="00E339AA">
        <w:rPr>
          <w:rFonts w:asciiTheme="minorHAnsi" w:hAnsiTheme="minorHAnsi" w:cstheme="minorHAnsi"/>
          <w:color w:val="auto"/>
          <w:vertAlign w:val="superscript"/>
        </w:rPr>
        <w:t>1</w:t>
      </w:r>
      <w:r w:rsidR="00F040DE" w:rsidRPr="00E339AA">
        <w:rPr>
          <w:rFonts w:asciiTheme="minorHAnsi" w:hAnsiTheme="minorHAnsi" w:cstheme="minorHAnsi"/>
          <w:color w:val="auto"/>
        </w:rPr>
        <w:t xml:space="preserve">, </w:t>
      </w:r>
      <w:proofErr w:type="spellStart"/>
      <w:r w:rsidR="00604F5D" w:rsidRPr="00E339AA">
        <w:rPr>
          <w:rFonts w:asciiTheme="minorHAnsi" w:hAnsiTheme="minorHAnsi" w:cstheme="minorHAnsi"/>
          <w:color w:val="auto"/>
        </w:rPr>
        <w:t>Vee</w:t>
      </w:r>
      <w:r w:rsidR="00B91419" w:rsidRPr="00E339AA">
        <w:rPr>
          <w:rFonts w:asciiTheme="minorHAnsi" w:hAnsiTheme="minorHAnsi" w:cstheme="minorHAnsi"/>
          <w:color w:val="auto"/>
        </w:rPr>
        <w:t>rendra</w:t>
      </w:r>
      <w:proofErr w:type="spellEnd"/>
      <w:r w:rsidR="00B91419" w:rsidRPr="00E339AA">
        <w:rPr>
          <w:rFonts w:asciiTheme="minorHAnsi" w:hAnsiTheme="minorHAnsi" w:cstheme="minorHAnsi"/>
          <w:color w:val="auto"/>
        </w:rPr>
        <w:t xml:space="preserve"> Munugalavadla</w:t>
      </w:r>
      <w:r w:rsidR="002944C2" w:rsidRPr="00E339AA">
        <w:rPr>
          <w:rFonts w:asciiTheme="minorHAnsi" w:hAnsiTheme="minorHAnsi" w:cstheme="minorHAnsi"/>
          <w:color w:val="auto"/>
          <w:vertAlign w:val="superscript"/>
        </w:rPr>
        <w:t>2</w:t>
      </w:r>
      <w:r w:rsidR="00B91419" w:rsidRPr="00E339AA">
        <w:rPr>
          <w:rFonts w:asciiTheme="minorHAnsi" w:hAnsiTheme="minorHAnsi" w:cstheme="minorHAnsi"/>
          <w:color w:val="auto"/>
        </w:rPr>
        <w:t>, Melanie M. Frigault</w:t>
      </w:r>
      <w:r w:rsidR="00E9351E" w:rsidRPr="00E339AA">
        <w:rPr>
          <w:rFonts w:asciiTheme="minorHAnsi" w:hAnsiTheme="minorHAnsi" w:cstheme="minorHAnsi"/>
          <w:color w:val="auto"/>
          <w:vertAlign w:val="superscript"/>
        </w:rPr>
        <w:t>3</w:t>
      </w:r>
      <w:r w:rsidR="00B91419" w:rsidRPr="00E339AA">
        <w:rPr>
          <w:rFonts w:asciiTheme="minorHAnsi" w:hAnsiTheme="minorHAnsi" w:cstheme="minorHAnsi"/>
          <w:color w:val="auto"/>
        </w:rPr>
        <w:t xml:space="preserve">, </w:t>
      </w:r>
      <w:r w:rsidR="009940EE" w:rsidRPr="00E339AA">
        <w:rPr>
          <w:rFonts w:asciiTheme="minorHAnsi" w:hAnsiTheme="minorHAnsi" w:cstheme="minorHAnsi"/>
          <w:color w:val="auto"/>
        </w:rPr>
        <w:t>Elizabeth A. Harrington</w:t>
      </w:r>
      <w:r w:rsidR="00F576AB" w:rsidRPr="00E339AA">
        <w:rPr>
          <w:rFonts w:asciiTheme="minorHAnsi" w:hAnsiTheme="minorHAnsi" w:cstheme="minorHAnsi"/>
          <w:color w:val="auto"/>
          <w:vertAlign w:val="superscript"/>
        </w:rPr>
        <w:t>1</w:t>
      </w:r>
      <w:r w:rsidR="009940EE" w:rsidRPr="00E339AA">
        <w:rPr>
          <w:rFonts w:asciiTheme="minorHAnsi" w:hAnsiTheme="minorHAnsi" w:cstheme="minorHAnsi"/>
          <w:color w:val="auto"/>
        </w:rPr>
        <w:t>, J. Carl Barrett</w:t>
      </w:r>
      <w:r w:rsidR="00E9351E" w:rsidRPr="00E339AA">
        <w:rPr>
          <w:rFonts w:asciiTheme="minorHAnsi" w:hAnsiTheme="minorHAnsi" w:cstheme="minorHAnsi"/>
          <w:color w:val="auto"/>
          <w:vertAlign w:val="superscript"/>
        </w:rPr>
        <w:t>3</w:t>
      </w:r>
      <w:r w:rsidR="009940EE" w:rsidRPr="00E339AA">
        <w:rPr>
          <w:rFonts w:asciiTheme="minorHAnsi" w:hAnsiTheme="minorHAnsi" w:cstheme="minorHAnsi"/>
          <w:color w:val="auto"/>
        </w:rPr>
        <w:t xml:space="preserve">, </w:t>
      </w:r>
      <w:r w:rsidRPr="00E339AA">
        <w:rPr>
          <w:rFonts w:asciiTheme="minorHAnsi" w:hAnsiTheme="minorHAnsi" w:cstheme="minorHAnsi"/>
          <w:color w:val="auto"/>
        </w:rPr>
        <w:t>Andrew J Pierce</w:t>
      </w:r>
      <w:r w:rsidR="00F576AB" w:rsidRPr="00E339AA">
        <w:rPr>
          <w:rFonts w:asciiTheme="minorHAnsi" w:hAnsiTheme="minorHAnsi" w:cstheme="minorHAnsi"/>
          <w:color w:val="auto"/>
          <w:vertAlign w:val="superscript"/>
        </w:rPr>
        <w:t>1</w:t>
      </w:r>
    </w:p>
    <w:p w14:paraId="7189738A" w14:textId="77777777" w:rsidR="005E7BFF" w:rsidRPr="00E339AA" w:rsidRDefault="005E7BFF" w:rsidP="002E63C2">
      <w:pPr>
        <w:rPr>
          <w:color w:val="auto"/>
          <w:vertAlign w:val="superscript"/>
        </w:rPr>
      </w:pPr>
    </w:p>
    <w:p w14:paraId="0DB0B08B" w14:textId="7A50318A" w:rsidR="008F33FA" w:rsidRPr="00E339AA" w:rsidRDefault="002944C2" w:rsidP="002E63C2">
      <w:pPr>
        <w:rPr>
          <w:color w:val="auto"/>
        </w:rPr>
      </w:pPr>
      <w:r w:rsidRPr="00E339AA">
        <w:rPr>
          <w:color w:val="auto"/>
          <w:vertAlign w:val="superscript"/>
        </w:rPr>
        <w:t>1</w:t>
      </w:r>
      <w:r w:rsidR="008F33FA" w:rsidRPr="00E339AA">
        <w:rPr>
          <w:color w:val="auto"/>
        </w:rPr>
        <w:t>Translational Medicine,</w:t>
      </w:r>
      <w:r w:rsidR="005F6BA4" w:rsidRPr="00E339AA">
        <w:rPr>
          <w:color w:val="auto"/>
        </w:rPr>
        <w:t xml:space="preserve"> R&amp;D Oncology,</w:t>
      </w:r>
      <w:r w:rsidR="008F33FA" w:rsidRPr="00E339AA">
        <w:rPr>
          <w:color w:val="auto"/>
        </w:rPr>
        <w:t xml:space="preserve"> AstraZeneca, Cambridge, United Kingdom</w:t>
      </w:r>
    </w:p>
    <w:p w14:paraId="11211341" w14:textId="3A45C8E2" w:rsidR="002944C2" w:rsidRPr="00E339AA" w:rsidRDefault="002944C2" w:rsidP="002E63C2">
      <w:pPr>
        <w:rPr>
          <w:color w:val="auto"/>
        </w:rPr>
      </w:pPr>
      <w:r w:rsidRPr="00E339AA">
        <w:rPr>
          <w:color w:val="auto"/>
          <w:vertAlign w:val="superscript"/>
        </w:rPr>
        <w:t>2</w:t>
      </w:r>
      <w:r w:rsidR="002F0E87" w:rsidRPr="00E339AA">
        <w:rPr>
          <w:color w:val="auto"/>
        </w:rPr>
        <w:t>Acerta Pharma</w:t>
      </w:r>
      <w:r w:rsidR="00111B89" w:rsidRPr="00E339AA">
        <w:rPr>
          <w:color w:val="auto"/>
        </w:rPr>
        <w:t>, AstraZeneca Group, South San Francisco, California</w:t>
      </w:r>
      <w:r w:rsidR="00EF7C7C" w:rsidRPr="00E339AA">
        <w:rPr>
          <w:color w:val="auto"/>
        </w:rPr>
        <w:t>, United States</w:t>
      </w:r>
    </w:p>
    <w:p w14:paraId="0E587D21" w14:textId="3CDFC2CA" w:rsidR="00E9351E" w:rsidRPr="00E339AA" w:rsidRDefault="00E9351E" w:rsidP="002E63C2">
      <w:pPr>
        <w:rPr>
          <w:color w:val="auto"/>
        </w:rPr>
      </w:pPr>
      <w:r w:rsidRPr="00E339AA">
        <w:rPr>
          <w:color w:val="auto"/>
          <w:vertAlign w:val="superscript"/>
        </w:rPr>
        <w:t>3</w:t>
      </w:r>
      <w:r w:rsidRPr="00E339AA">
        <w:rPr>
          <w:color w:val="auto"/>
        </w:rPr>
        <w:t>Translational Medicine, R&amp;D Oncology, AstraZeneca, Waltham,</w:t>
      </w:r>
      <w:r w:rsidR="00EF7C7C" w:rsidRPr="00E339AA">
        <w:rPr>
          <w:color w:val="auto"/>
        </w:rPr>
        <w:t xml:space="preserve"> </w:t>
      </w:r>
      <w:r w:rsidRPr="00E339AA">
        <w:rPr>
          <w:color w:val="auto"/>
        </w:rPr>
        <w:t>United States</w:t>
      </w:r>
    </w:p>
    <w:p w14:paraId="10DE6F1E" w14:textId="77777777" w:rsidR="005E7BFF" w:rsidRPr="00E339AA" w:rsidRDefault="005E7BFF" w:rsidP="002E63C2">
      <w:pPr>
        <w:rPr>
          <w:color w:val="auto"/>
        </w:rPr>
      </w:pPr>
    </w:p>
    <w:p w14:paraId="4E71714D" w14:textId="2D46D176" w:rsidR="008F33FA" w:rsidRPr="00E339AA" w:rsidRDefault="008F33FA" w:rsidP="002E63C2">
      <w:pPr>
        <w:rPr>
          <w:color w:val="auto"/>
        </w:rPr>
      </w:pPr>
      <w:r w:rsidRPr="00E339AA">
        <w:rPr>
          <w:color w:val="auto"/>
        </w:rPr>
        <w:t xml:space="preserve">Email address of corresponding authors: </w:t>
      </w:r>
    </w:p>
    <w:p w14:paraId="711488A3" w14:textId="6E6614BF" w:rsidR="008F33FA" w:rsidRPr="00E339AA" w:rsidRDefault="008F33FA" w:rsidP="002E63C2">
      <w:pPr>
        <w:rPr>
          <w:color w:val="auto"/>
        </w:rPr>
      </w:pPr>
      <w:r w:rsidRPr="00E339AA">
        <w:rPr>
          <w:color w:val="auto"/>
        </w:rPr>
        <w:t>Paola Marco-Casanova</w:t>
      </w:r>
      <w:r w:rsidRPr="00E339AA">
        <w:rPr>
          <w:color w:val="auto"/>
        </w:rPr>
        <w:tab/>
      </w:r>
      <w:r w:rsidRPr="00E339AA">
        <w:rPr>
          <w:color w:val="auto"/>
        </w:rPr>
        <w:tab/>
        <w:t>(paola.marco-casanova@astrazeneca.com)</w:t>
      </w:r>
    </w:p>
    <w:p w14:paraId="3BCAC41C" w14:textId="4A3177CE" w:rsidR="008F33FA" w:rsidRPr="00E339AA" w:rsidRDefault="008F33FA" w:rsidP="002E63C2">
      <w:pPr>
        <w:rPr>
          <w:color w:val="auto"/>
        </w:rPr>
      </w:pPr>
      <w:r w:rsidRPr="00E339AA">
        <w:rPr>
          <w:color w:val="auto"/>
        </w:rPr>
        <w:t>Andrew J. Pierce</w:t>
      </w:r>
      <w:r w:rsidRPr="00E339AA">
        <w:rPr>
          <w:color w:val="auto"/>
        </w:rPr>
        <w:tab/>
      </w:r>
      <w:r w:rsidRPr="00E339AA">
        <w:rPr>
          <w:color w:val="auto"/>
        </w:rPr>
        <w:tab/>
      </w:r>
      <w:r w:rsidRPr="00E339AA">
        <w:rPr>
          <w:color w:val="auto"/>
        </w:rPr>
        <w:tab/>
        <w:t>(</w:t>
      </w:r>
      <w:r w:rsidR="004B4F3A">
        <w:rPr>
          <w:color w:val="auto"/>
        </w:rPr>
        <w:t>a</w:t>
      </w:r>
      <w:r w:rsidRPr="00E339AA">
        <w:rPr>
          <w:color w:val="auto"/>
        </w:rPr>
        <w:t>pierce@</w:t>
      </w:r>
      <w:r w:rsidR="00751141">
        <w:rPr>
          <w:color w:val="auto"/>
        </w:rPr>
        <w:t>crescendobiologics</w:t>
      </w:r>
      <w:r w:rsidRPr="00E339AA">
        <w:rPr>
          <w:color w:val="auto"/>
        </w:rPr>
        <w:t>.com)</w:t>
      </w:r>
    </w:p>
    <w:p w14:paraId="788B6AD5" w14:textId="77777777" w:rsidR="005E7BFF" w:rsidRPr="00E339AA" w:rsidRDefault="005E7BFF" w:rsidP="002E63C2">
      <w:pPr>
        <w:pStyle w:val="NormalWeb"/>
        <w:spacing w:before="0" w:beforeAutospacing="0" w:after="0" w:afterAutospacing="0"/>
        <w:rPr>
          <w:rFonts w:asciiTheme="minorHAnsi" w:hAnsiTheme="minorHAnsi" w:cstheme="minorHAnsi"/>
          <w:b/>
          <w:bCs/>
          <w:color w:val="auto"/>
        </w:rPr>
      </w:pPr>
    </w:p>
    <w:p w14:paraId="41C51C86" w14:textId="20D1CC7E" w:rsidR="005E7BFF" w:rsidRPr="00E339AA" w:rsidRDefault="005E7BFF" w:rsidP="002E63C2">
      <w:pPr>
        <w:pStyle w:val="NormalWeb"/>
        <w:spacing w:before="0" w:beforeAutospacing="0" w:after="0" w:afterAutospacing="0"/>
        <w:rPr>
          <w:rFonts w:asciiTheme="minorHAnsi" w:hAnsiTheme="minorHAnsi" w:cstheme="minorHAnsi"/>
          <w:b/>
          <w:bCs/>
          <w:color w:val="auto"/>
        </w:rPr>
      </w:pPr>
      <w:r w:rsidRPr="00E339AA">
        <w:rPr>
          <w:rFonts w:asciiTheme="minorHAnsi" w:hAnsiTheme="minorHAnsi" w:cstheme="minorHAnsi"/>
          <w:color w:val="auto"/>
        </w:rPr>
        <w:t>Email Address of Co-Authors:</w:t>
      </w:r>
      <w:r w:rsidRPr="00E339AA">
        <w:rPr>
          <w:rFonts w:asciiTheme="minorHAnsi" w:hAnsiTheme="minorHAnsi" w:cstheme="minorHAnsi"/>
          <w:b/>
          <w:bCs/>
          <w:color w:val="auto"/>
        </w:rPr>
        <w:t xml:space="preserve"> </w:t>
      </w:r>
    </w:p>
    <w:p w14:paraId="2B9EC16F" w14:textId="0DB430B6" w:rsidR="005E7BFF" w:rsidRPr="00E339AA" w:rsidRDefault="005E7BFF" w:rsidP="002E63C2">
      <w:pPr>
        <w:pStyle w:val="NormalWeb"/>
        <w:spacing w:before="0" w:beforeAutospacing="0" w:after="0" w:afterAutospacing="0"/>
        <w:rPr>
          <w:rFonts w:asciiTheme="minorHAnsi" w:hAnsiTheme="minorHAnsi" w:cstheme="minorHAnsi"/>
          <w:b/>
          <w:bCs/>
          <w:color w:val="auto"/>
        </w:rPr>
      </w:pPr>
      <w:r w:rsidRPr="00E339AA">
        <w:rPr>
          <w:rFonts w:asciiTheme="minorHAnsi" w:hAnsiTheme="minorHAnsi" w:cstheme="minorHAnsi"/>
          <w:color w:val="auto"/>
        </w:rPr>
        <w:t xml:space="preserve">Natalia </w:t>
      </w:r>
      <w:proofErr w:type="spellStart"/>
      <w:r w:rsidRPr="00E339AA">
        <w:rPr>
          <w:rFonts w:asciiTheme="minorHAnsi" w:hAnsiTheme="minorHAnsi" w:cstheme="minorHAnsi"/>
          <w:color w:val="auto"/>
        </w:rPr>
        <w:t>Lukashchuk</w:t>
      </w:r>
      <w:proofErr w:type="spellEnd"/>
      <w:r w:rsidR="00787914" w:rsidRPr="00E339AA">
        <w:rPr>
          <w:rFonts w:asciiTheme="minorHAnsi" w:hAnsiTheme="minorHAnsi" w:cstheme="minorHAnsi"/>
          <w:color w:val="auto"/>
        </w:rPr>
        <w:tab/>
      </w:r>
      <w:r w:rsidR="00787914" w:rsidRPr="00E339AA">
        <w:rPr>
          <w:rFonts w:asciiTheme="minorHAnsi" w:hAnsiTheme="minorHAnsi" w:cstheme="minorHAnsi"/>
          <w:color w:val="auto"/>
        </w:rPr>
        <w:tab/>
      </w:r>
      <w:r w:rsidR="00787914" w:rsidRPr="00E339AA">
        <w:rPr>
          <w:rFonts w:asciiTheme="minorHAnsi" w:hAnsiTheme="minorHAnsi" w:cstheme="minorHAnsi"/>
          <w:color w:val="auto"/>
        </w:rPr>
        <w:tab/>
        <w:t>(natalia.lukashchu</w:t>
      </w:r>
      <w:r w:rsidR="00C52266" w:rsidRPr="00E339AA">
        <w:rPr>
          <w:rFonts w:asciiTheme="minorHAnsi" w:hAnsiTheme="minorHAnsi" w:cstheme="minorHAnsi"/>
          <w:color w:val="auto"/>
        </w:rPr>
        <w:t>k@astrazeneca.com)</w:t>
      </w:r>
    </w:p>
    <w:p w14:paraId="1B100F1E" w14:textId="2C1618F9" w:rsidR="005E7BFF" w:rsidRPr="00E339AA" w:rsidRDefault="005E7BFF" w:rsidP="002E63C2">
      <w:pPr>
        <w:pStyle w:val="NormalWeb"/>
        <w:spacing w:before="0" w:beforeAutospacing="0" w:after="0" w:afterAutospacing="0"/>
        <w:rPr>
          <w:rFonts w:asciiTheme="minorHAnsi" w:hAnsiTheme="minorHAnsi" w:cstheme="minorHAnsi"/>
          <w:color w:val="auto"/>
        </w:rPr>
      </w:pPr>
      <w:proofErr w:type="spellStart"/>
      <w:r w:rsidRPr="00E339AA">
        <w:rPr>
          <w:rFonts w:asciiTheme="minorHAnsi" w:hAnsiTheme="minorHAnsi" w:cstheme="minorHAnsi"/>
          <w:color w:val="auto"/>
        </w:rPr>
        <w:t>Benedetta</w:t>
      </w:r>
      <w:proofErr w:type="spellEnd"/>
      <w:r w:rsidRPr="00E339AA">
        <w:rPr>
          <w:rFonts w:asciiTheme="minorHAnsi" w:hAnsiTheme="minorHAnsi" w:cstheme="minorHAnsi"/>
          <w:color w:val="auto"/>
        </w:rPr>
        <w:t xml:space="preserve"> Lombardi</w:t>
      </w:r>
      <w:r w:rsidR="00C52266" w:rsidRPr="00E339AA">
        <w:rPr>
          <w:rFonts w:asciiTheme="minorHAnsi" w:hAnsiTheme="minorHAnsi" w:cstheme="minorHAnsi"/>
          <w:color w:val="auto"/>
        </w:rPr>
        <w:tab/>
      </w:r>
      <w:r w:rsidR="00C52266" w:rsidRPr="00E339AA">
        <w:rPr>
          <w:rFonts w:asciiTheme="minorHAnsi" w:hAnsiTheme="minorHAnsi" w:cstheme="minorHAnsi"/>
          <w:color w:val="auto"/>
        </w:rPr>
        <w:tab/>
      </w:r>
      <w:r w:rsidR="00C52266" w:rsidRPr="00E339AA">
        <w:rPr>
          <w:rFonts w:asciiTheme="minorHAnsi" w:hAnsiTheme="minorHAnsi" w:cstheme="minorHAnsi"/>
          <w:color w:val="auto"/>
        </w:rPr>
        <w:tab/>
        <w:t>(benedetta.lombardi@astrazeneca.com)</w:t>
      </w:r>
    </w:p>
    <w:p w14:paraId="21D961DE" w14:textId="2CB509BC" w:rsidR="005E7BFF" w:rsidRPr="00E339AA" w:rsidRDefault="005E7BFF" w:rsidP="002E63C2">
      <w:pPr>
        <w:pStyle w:val="NormalWeb"/>
        <w:spacing w:before="0" w:beforeAutospacing="0" w:after="0" w:afterAutospacing="0"/>
        <w:rPr>
          <w:rFonts w:asciiTheme="minorHAnsi" w:hAnsiTheme="minorHAnsi" w:cstheme="minorHAnsi"/>
          <w:b/>
          <w:bCs/>
          <w:color w:val="auto"/>
        </w:rPr>
      </w:pPr>
      <w:proofErr w:type="spellStart"/>
      <w:r w:rsidRPr="00E339AA">
        <w:rPr>
          <w:rFonts w:asciiTheme="minorHAnsi" w:hAnsiTheme="minorHAnsi" w:cstheme="minorHAnsi"/>
          <w:color w:val="auto"/>
        </w:rPr>
        <w:t>Veerendra</w:t>
      </w:r>
      <w:proofErr w:type="spellEnd"/>
      <w:r w:rsidRPr="00E339AA">
        <w:rPr>
          <w:rFonts w:asciiTheme="minorHAnsi" w:hAnsiTheme="minorHAnsi" w:cstheme="minorHAnsi"/>
          <w:color w:val="auto"/>
        </w:rPr>
        <w:t xml:space="preserve"> </w:t>
      </w:r>
      <w:proofErr w:type="spellStart"/>
      <w:r w:rsidRPr="00E339AA">
        <w:rPr>
          <w:rFonts w:asciiTheme="minorHAnsi" w:hAnsiTheme="minorHAnsi" w:cstheme="minorHAnsi"/>
          <w:color w:val="auto"/>
        </w:rPr>
        <w:t>Munugalavadla</w:t>
      </w:r>
      <w:proofErr w:type="spellEnd"/>
      <w:r w:rsidR="001169F8" w:rsidRPr="00E339AA">
        <w:rPr>
          <w:rFonts w:asciiTheme="minorHAnsi" w:hAnsiTheme="minorHAnsi" w:cstheme="minorHAnsi"/>
          <w:color w:val="auto"/>
        </w:rPr>
        <w:tab/>
      </w:r>
      <w:r w:rsidR="001169F8" w:rsidRPr="00E339AA">
        <w:rPr>
          <w:rFonts w:asciiTheme="minorHAnsi" w:hAnsiTheme="minorHAnsi" w:cstheme="minorHAnsi"/>
          <w:color w:val="auto"/>
        </w:rPr>
        <w:tab/>
        <w:t>(vee</w:t>
      </w:r>
      <w:r w:rsidR="00E13021" w:rsidRPr="00E339AA">
        <w:rPr>
          <w:rFonts w:asciiTheme="minorHAnsi" w:hAnsiTheme="minorHAnsi" w:cstheme="minorHAnsi"/>
          <w:color w:val="auto"/>
        </w:rPr>
        <w:t>rendra.munugalavadla@acerta-pharma.com)</w:t>
      </w:r>
    </w:p>
    <w:p w14:paraId="0F000747" w14:textId="64AD7D56" w:rsidR="005E7BFF" w:rsidRPr="00E339AA" w:rsidRDefault="005E7BFF"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color w:val="auto"/>
        </w:rPr>
        <w:t xml:space="preserve">Melanie M. </w:t>
      </w:r>
      <w:proofErr w:type="spellStart"/>
      <w:r w:rsidRPr="00E339AA">
        <w:rPr>
          <w:rFonts w:asciiTheme="minorHAnsi" w:hAnsiTheme="minorHAnsi" w:cstheme="minorHAnsi"/>
          <w:color w:val="auto"/>
        </w:rPr>
        <w:t>Frigault</w:t>
      </w:r>
      <w:proofErr w:type="spellEnd"/>
      <w:r w:rsidR="000504F3" w:rsidRPr="00E339AA">
        <w:rPr>
          <w:rFonts w:asciiTheme="minorHAnsi" w:hAnsiTheme="minorHAnsi" w:cstheme="minorHAnsi"/>
          <w:color w:val="auto"/>
        </w:rPr>
        <w:tab/>
      </w:r>
      <w:r w:rsidR="000504F3" w:rsidRPr="00E339AA">
        <w:rPr>
          <w:rFonts w:asciiTheme="minorHAnsi" w:hAnsiTheme="minorHAnsi" w:cstheme="minorHAnsi"/>
          <w:color w:val="auto"/>
        </w:rPr>
        <w:tab/>
      </w:r>
      <w:r w:rsidR="000504F3" w:rsidRPr="00E339AA">
        <w:rPr>
          <w:rFonts w:asciiTheme="minorHAnsi" w:hAnsiTheme="minorHAnsi" w:cstheme="minorHAnsi"/>
          <w:color w:val="auto"/>
        </w:rPr>
        <w:tab/>
        <w:t>(melanie.frigault@astrazeneca.com)</w:t>
      </w:r>
    </w:p>
    <w:p w14:paraId="1788BEAD" w14:textId="3F952021" w:rsidR="005E7BFF" w:rsidRPr="00E339AA" w:rsidRDefault="005E7BFF"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color w:val="auto"/>
        </w:rPr>
        <w:t>Elizabeth A. Harrington</w:t>
      </w:r>
      <w:r w:rsidR="000504F3" w:rsidRPr="00E339AA">
        <w:rPr>
          <w:rFonts w:asciiTheme="minorHAnsi" w:hAnsiTheme="minorHAnsi" w:cstheme="minorHAnsi"/>
          <w:color w:val="auto"/>
        </w:rPr>
        <w:tab/>
      </w:r>
      <w:r w:rsidR="000504F3" w:rsidRPr="00E339AA">
        <w:rPr>
          <w:rFonts w:asciiTheme="minorHAnsi" w:hAnsiTheme="minorHAnsi" w:cstheme="minorHAnsi"/>
          <w:color w:val="auto"/>
        </w:rPr>
        <w:tab/>
        <w:t>(liz.harrington@astrazeneca.com)</w:t>
      </w:r>
    </w:p>
    <w:p w14:paraId="21FC495B" w14:textId="28559CC7" w:rsidR="005E7BFF" w:rsidRPr="00E339AA" w:rsidRDefault="005E7BFF"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color w:val="auto"/>
        </w:rPr>
        <w:t>J. Carl Barrett</w:t>
      </w:r>
      <w:r w:rsidR="00AD29DD" w:rsidRPr="00E339AA">
        <w:rPr>
          <w:rFonts w:asciiTheme="minorHAnsi" w:hAnsiTheme="minorHAnsi" w:cstheme="minorHAnsi"/>
          <w:color w:val="auto"/>
        </w:rPr>
        <w:tab/>
      </w:r>
      <w:r w:rsidR="00AD29DD" w:rsidRPr="00E339AA">
        <w:rPr>
          <w:rFonts w:asciiTheme="minorHAnsi" w:hAnsiTheme="minorHAnsi" w:cstheme="minorHAnsi"/>
          <w:color w:val="auto"/>
        </w:rPr>
        <w:tab/>
      </w:r>
      <w:r w:rsidR="00AD29DD" w:rsidRPr="00E339AA">
        <w:rPr>
          <w:rFonts w:asciiTheme="minorHAnsi" w:hAnsiTheme="minorHAnsi" w:cstheme="minorHAnsi"/>
          <w:color w:val="auto"/>
        </w:rPr>
        <w:tab/>
      </w:r>
      <w:r w:rsidR="00AD29DD" w:rsidRPr="00E339AA">
        <w:rPr>
          <w:rFonts w:asciiTheme="minorHAnsi" w:hAnsiTheme="minorHAnsi" w:cstheme="minorHAnsi"/>
          <w:color w:val="auto"/>
        </w:rPr>
        <w:tab/>
        <w:t>(carl.barrett@astrazeneca.com)</w:t>
      </w:r>
    </w:p>
    <w:p w14:paraId="18B64EE3" w14:textId="77777777" w:rsidR="005E7BFF" w:rsidRPr="00E339AA" w:rsidRDefault="005E7BFF" w:rsidP="002E63C2">
      <w:pPr>
        <w:pStyle w:val="NormalWeb"/>
        <w:spacing w:before="0" w:beforeAutospacing="0" w:after="0" w:afterAutospacing="0"/>
        <w:rPr>
          <w:rFonts w:asciiTheme="minorHAnsi" w:hAnsiTheme="minorHAnsi" w:cstheme="minorHAnsi"/>
          <w:b/>
          <w:bCs/>
          <w:color w:val="auto"/>
        </w:rPr>
      </w:pPr>
    </w:p>
    <w:p w14:paraId="71B79AC9" w14:textId="52AE97BD" w:rsidR="006305D7" w:rsidRPr="00E339AA" w:rsidRDefault="006305D7"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b/>
          <w:bCs/>
          <w:color w:val="auto"/>
        </w:rPr>
        <w:t>KEYWORDS:</w:t>
      </w:r>
    </w:p>
    <w:p w14:paraId="6C0B0781" w14:textId="56D4FF23" w:rsidR="007A4DD6" w:rsidRPr="00E339AA" w:rsidRDefault="005E7BFF" w:rsidP="002E63C2">
      <w:pPr>
        <w:rPr>
          <w:rFonts w:asciiTheme="minorHAnsi" w:hAnsiTheme="minorHAnsi" w:cstheme="minorHAnsi"/>
          <w:color w:val="auto"/>
        </w:rPr>
      </w:pPr>
      <w:r w:rsidRPr="00E339AA">
        <w:rPr>
          <w:rFonts w:asciiTheme="minorHAnsi" w:hAnsiTheme="minorHAnsi" w:cstheme="minorHAnsi"/>
          <w:color w:val="auto"/>
        </w:rPr>
        <w:t>p</w:t>
      </w:r>
      <w:r w:rsidR="00E9351E" w:rsidRPr="00E339AA">
        <w:rPr>
          <w:rFonts w:asciiTheme="minorHAnsi" w:hAnsiTheme="minorHAnsi" w:cstheme="minorHAnsi"/>
          <w:color w:val="auto"/>
        </w:rPr>
        <w:t>eripheral blood mononuclear cell</w:t>
      </w:r>
      <w:r w:rsidRPr="00E339AA">
        <w:rPr>
          <w:rFonts w:asciiTheme="minorHAnsi" w:hAnsiTheme="minorHAnsi" w:cstheme="minorHAnsi"/>
          <w:color w:val="auto"/>
        </w:rPr>
        <w:t>,</w:t>
      </w:r>
      <w:r w:rsidR="00E9351E" w:rsidRPr="00E339AA">
        <w:rPr>
          <w:rFonts w:asciiTheme="minorHAnsi" w:hAnsiTheme="minorHAnsi" w:cstheme="minorHAnsi"/>
          <w:color w:val="auto"/>
        </w:rPr>
        <w:t xml:space="preserve"> P</w:t>
      </w:r>
      <w:r w:rsidR="00F71E7C" w:rsidRPr="00E339AA">
        <w:rPr>
          <w:rFonts w:asciiTheme="minorHAnsi" w:hAnsiTheme="minorHAnsi" w:cstheme="minorHAnsi"/>
          <w:color w:val="auto"/>
        </w:rPr>
        <w:t xml:space="preserve">BMC, </w:t>
      </w:r>
      <w:r w:rsidR="008F33FA" w:rsidRPr="00E339AA">
        <w:rPr>
          <w:rFonts w:asciiTheme="minorHAnsi" w:hAnsiTheme="minorHAnsi" w:cstheme="minorHAnsi"/>
          <w:color w:val="auto"/>
        </w:rPr>
        <w:t xml:space="preserve">plasma, </w:t>
      </w:r>
      <w:r w:rsidR="00F71E7C" w:rsidRPr="00E339AA">
        <w:rPr>
          <w:rFonts w:asciiTheme="minorHAnsi" w:hAnsiTheme="minorHAnsi" w:cstheme="minorHAnsi"/>
          <w:color w:val="auto"/>
        </w:rPr>
        <w:t>clinical trial</w:t>
      </w:r>
      <w:r w:rsidR="008F33FA" w:rsidRPr="00E339AA">
        <w:rPr>
          <w:rFonts w:asciiTheme="minorHAnsi" w:hAnsiTheme="minorHAnsi" w:cstheme="minorHAnsi"/>
          <w:color w:val="auto"/>
        </w:rPr>
        <w:t xml:space="preserve">, biomarker, </w:t>
      </w:r>
      <w:r w:rsidR="00DB3A10" w:rsidRPr="00E339AA">
        <w:rPr>
          <w:rFonts w:asciiTheme="minorHAnsi" w:hAnsiTheme="minorHAnsi" w:cstheme="minorHAnsi"/>
          <w:color w:val="auto"/>
        </w:rPr>
        <w:t>mononuclear cell preparation</w:t>
      </w:r>
      <w:r w:rsidR="008C1329" w:rsidRPr="00E339AA">
        <w:rPr>
          <w:rFonts w:asciiTheme="minorHAnsi" w:hAnsiTheme="minorHAnsi" w:cstheme="minorHAnsi"/>
          <w:color w:val="auto"/>
        </w:rPr>
        <w:t xml:space="preserve"> tube,</w:t>
      </w:r>
      <w:r w:rsidR="00490220" w:rsidRPr="00E339AA">
        <w:rPr>
          <w:rFonts w:asciiTheme="minorHAnsi" w:hAnsiTheme="minorHAnsi" w:cstheme="minorHAnsi"/>
          <w:color w:val="auto"/>
        </w:rPr>
        <w:t xml:space="preserve"> pharmacodynamics</w:t>
      </w:r>
      <w:r w:rsidR="0073229D" w:rsidRPr="00E339AA">
        <w:rPr>
          <w:rFonts w:asciiTheme="minorHAnsi" w:hAnsiTheme="minorHAnsi" w:cstheme="minorHAnsi"/>
          <w:color w:val="auto"/>
        </w:rPr>
        <w:t>, translational science</w:t>
      </w:r>
      <w:r w:rsidR="00152196" w:rsidRPr="00E339AA">
        <w:rPr>
          <w:rFonts w:asciiTheme="minorHAnsi" w:hAnsiTheme="minorHAnsi" w:cstheme="minorHAnsi"/>
          <w:color w:val="auto"/>
        </w:rPr>
        <w:t>, DNA damage response</w:t>
      </w:r>
      <w:r w:rsidRPr="00E339AA">
        <w:rPr>
          <w:rFonts w:asciiTheme="minorHAnsi" w:hAnsiTheme="minorHAnsi" w:cstheme="minorHAnsi"/>
          <w:color w:val="auto"/>
        </w:rPr>
        <w:t xml:space="preserve">, </w:t>
      </w:r>
      <w:r w:rsidR="00152196" w:rsidRPr="00E339AA">
        <w:rPr>
          <w:rFonts w:asciiTheme="minorHAnsi" w:hAnsiTheme="minorHAnsi" w:cstheme="minorHAnsi"/>
          <w:color w:val="auto"/>
        </w:rPr>
        <w:t>DDR</w:t>
      </w:r>
    </w:p>
    <w:p w14:paraId="1CB4E390" w14:textId="77777777" w:rsidR="006305D7" w:rsidRPr="00E339AA" w:rsidRDefault="006305D7" w:rsidP="002E63C2">
      <w:pPr>
        <w:pStyle w:val="NormalWeb"/>
        <w:spacing w:before="0" w:beforeAutospacing="0" w:after="0" w:afterAutospacing="0"/>
        <w:rPr>
          <w:rFonts w:asciiTheme="minorHAnsi" w:hAnsiTheme="minorHAnsi" w:cstheme="minorHAnsi"/>
          <w:color w:val="auto"/>
        </w:rPr>
      </w:pPr>
    </w:p>
    <w:p w14:paraId="628AC4B5" w14:textId="0722B49B" w:rsidR="006305D7" w:rsidRPr="00E339AA" w:rsidRDefault="00086FF5" w:rsidP="002E63C2">
      <w:pPr>
        <w:rPr>
          <w:rFonts w:asciiTheme="minorHAnsi" w:hAnsiTheme="minorHAnsi" w:cstheme="minorHAnsi"/>
          <w:color w:val="auto"/>
        </w:rPr>
      </w:pPr>
      <w:r w:rsidRPr="00E339AA">
        <w:rPr>
          <w:rFonts w:asciiTheme="minorHAnsi" w:hAnsiTheme="minorHAnsi" w:cstheme="minorHAnsi"/>
          <w:b/>
          <w:bCs/>
          <w:color w:val="auto"/>
        </w:rPr>
        <w:t>SUMMARY</w:t>
      </w:r>
      <w:r w:rsidR="006305D7" w:rsidRPr="00E339AA">
        <w:rPr>
          <w:rFonts w:asciiTheme="minorHAnsi" w:hAnsiTheme="minorHAnsi" w:cstheme="minorHAnsi"/>
          <w:b/>
          <w:bCs/>
          <w:color w:val="auto"/>
        </w:rPr>
        <w:t>:</w:t>
      </w:r>
    </w:p>
    <w:p w14:paraId="58B40D44" w14:textId="6E418E81" w:rsidR="007652DC" w:rsidRPr="00E339AA" w:rsidRDefault="001D55F6" w:rsidP="002E63C2">
      <w:pPr>
        <w:rPr>
          <w:color w:val="auto"/>
        </w:rPr>
      </w:pPr>
      <w:r w:rsidRPr="00E339AA">
        <w:rPr>
          <w:color w:val="auto"/>
        </w:rPr>
        <w:t>This</w:t>
      </w:r>
      <w:r w:rsidR="007652DC" w:rsidRPr="00E339AA">
        <w:rPr>
          <w:color w:val="auto"/>
        </w:rPr>
        <w:t xml:space="preserve"> protocol </w:t>
      </w:r>
      <w:r w:rsidRPr="00E339AA">
        <w:rPr>
          <w:color w:val="auto"/>
        </w:rPr>
        <w:t xml:space="preserve">details </w:t>
      </w:r>
      <w:r w:rsidR="0097401E" w:rsidRPr="00E339AA">
        <w:rPr>
          <w:color w:val="auto"/>
        </w:rPr>
        <w:t>clinically implementable</w:t>
      </w:r>
      <w:r w:rsidR="00203015" w:rsidRPr="00E339AA">
        <w:rPr>
          <w:color w:val="auto"/>
        </w:rPr>
        <w:t xml:space="preserve"> </w:t>
      </w:r>
      <w:r w:rsidR="0097401E" w:rsidRPr="00E339AA">
        <w:rPr>
          <w:color w:val="auto"/>
        </w:rPr>
        <w:t xml:space="preserve">preparation of </w:t>
      </w:r>
      <w:r w:rsidR="007652DC" w:rsidRPr="00E339AA">
        <w:rPr>
          <w:color w:val="auto"/>
        </w:rPr>
        <w:t xml:space="preserve">high quality PBMC and plasma </w:t>
      </w:r>
      <w:proofErr w:type="spellStart"/>
      <w:r w:rsidR="00203015" w:rsidRPr="00E339AA">
        <w:rPr>
          <w:color w:val="auto"/>
        </w:rPr>
        <w:t>biosamples</w:t>
      </w:r>
      <w:proofErr w:type="spellEnd"/>
      <w:r w:rsidR="002D2C2B" w:rsidRPr="00E339AA">
        <w:rPr>
          <w:color w:val="auto"/>
        </w:rPr>
        <w:t xml:space="preserve"> at the clinical trial site</w:t>
      </w:r>
      <w:r w:rsidR="00203015" w:rsidRPr="00E339AA">
        <w:rPr>
          <w:color w:val="auto"/>
        </w:rPr>
        <w:t xml:space="preserve"> </w:t>
      </w:r>
      <w:r w:rsidR="007652DC" w:rsidRPr="00E339AA">
        <w:rPr>
          <w:color w:val="auto"/>
        </w:rPr>
        <w:t xml:space="preserve">that can be used for </w:t>
      </w:r>
      <w:r w:rsidR="00203015" w:rsidRPr="00E339AA">
        <w:rPr>
          <w:color w:val="auto"/>
        </w:rPr>
        <w:t xml:space="preserve">translational </w:t>
      </w:r>
      <w:r w:rsidR="007652DC" w:rsidRPr="00E339AA">
        <w:rPr>
          <w:color w:val="auto"/>
        </w:rPr>
        <w:t>biomarker analysis.</w:t>
      </w:r>
    </w:p>
    <w:p w14:paraId="761028D6" w14:textId="77777777" w:rsidR="006305D7" w:rsidRPr="00E339AA" w:rsidRDefault="006305D7" w:rsidP="002E63C2">
      <w:pPr>
        <w:rPr>
          <w:rFonts w:asciiTheme="minorHAnsi" w:hAnsiTheme="minorHAnsi" w:cstheme="minorHAnsi"/>
          <w:color w:val="auto"/>
        </w:rPr>
      </w:pPr>
    </w:p>
    <w:p w14:paraId="64FB8590" w14:textId="3AB04E00" w:rsidR="006305D7" w:rsidRPr="00E339AA" w:rsidRDefault="006305D7" w:rsidP="002E63C2">
      <w:pPr>
        <w:rPr>
          <w:rFonts w:asciiTheme="minorHAnsi" w:hAnsiTheme="minorHAnsi" w:cstheme="minorHAnsi"/>
          <w:color w:val="auto"/>
        </w:rPr>
      </w:pPr>
      <w:r w:rsidRPr="00E339AA">
        <w:rPr>
          <w:rFonts w:asciiTheme="minorHAnsi" w:hAnsiTheme="minorHAnsi" w:cstheme="minorHAnsi"/>
          <w:b/>
          <w:bCs/>
          <w:color w:val="auto"/>
        </w:rPr>
        <w:t>ABSTRACT:</w:t>
      </w:r>
      <w:r w:rsidRPr="00E339AA">
        <w:rPr>
          <w:rFonts w:asciiTheme="minorHAnsi" w:hAnsiTheme="minorHAnsi" w:cstheme="minorHAnsi"/>
          <w:color w:val="auto"/>
        </w:rPr>
        <w:t xml:space="preserve"> </w:t>
      </w:r>
    </w:p>
    <w:p w14:paraId="2DC3CAEB" w14:textId="671DE1E6" w:rsidR="00A83781" w:rsidRPr="00E339AA" w:rsidRDefault="00A83781" w:rsidP="002E63C2">
      <w:pPr>
        <w:rPr>
          <w:color w:val="auto"/>
        </w:rPr>
      </w:pPr>
      <w:r w:rsidRPr="00E339AA">
        <w:rPr>
          <w:color w:val="auto"/>
        </w:rPr>
        <w:t>Analysis of biomarkers in peripheral blood is becoming increasingly important in clinical trials</w:t>
      </w:r>
      <w:r w:rsidR="00335794" w:rsidRPr="00E339AA">
        <w:rPr>
          <w:color w:val="auto"/>
        </w:rPr>
        <w:t xml:space="preserve"> to establish proof of mechanism</w:t>
      </w:r>
      <w:r w:rsidR="002D2C2B" w:rsidRPr="00E339AA">
        <w:rPr>
          <w:color w:val="auto"/>
        </w:rPr>
        <w:t xml:space="preserve"> to evaluate effects of treatment</w:t>
      </w:r>
      <w:r w:rsidR="002D1E32" w:rsidRPr="00E339AA">
        <w:rPr>
          <w:color w:val="auto"/>
        </w:rPr>
        <w:t xml:space="preserve">, </w:t>
      </w:r>
      <w:r w:rsidR="00A22E62" w:rsidRPr="00E339AA">
        <w:rPr>
          <w:color w:val="auto"/>
        </w:rPr>
        <w:t xml:space="preserve">help </w:t>
      </w:r>
      <w:r w:rsidR="0030123B" w:rsidRPr="00E339AA">
        <w:rPr>
          <w:color w:val="auto"/>
        </w:rPr>
        <w:t>guide</w:t>
      </w:r>
      <w:r w:rsidR="00A22E62" w:rsidRPr="00E339AA">
        <w:rPr>
          <w:color w:val="auto"/>
        </w:rPr>
        <w:t xml:space="preserve"> dose and schedule </w:t>
      </w:r>
      <w:r w:rsidR="0030123B" w:rsidRPr="00E339AA">
        <w:rPr>
          <w:color w:val="auto"/>
        </w:rPr>
        <w:t xml:space="preserve">setting </w:t>
      </w:r>
      <w:r w:rsidR="00A22E62" w:rsidRPr="00E339AA">
        <w:rPr>
          <w:color w:val="auto"/>
        </w:rPr>
        <w:t>of therapeutics</w:t>
      </w:r>
      <w:r w:rsidRPr="00E339AA">
        <w:rPr>
          <w:color w:val="auto"/>
        </w:rPr>
        <w:t xml:space="preserve">. From a single blood draw, peripheral blood mononuclear cells can be isolated and processed to </w:t>
      </w:r>
      <w:r w:rsidR="00676183" w:rsidRPr="00E339AA">
        <w:rPr>
          <w:color w:val="auto"/>
        </w:rPr>
        <w:t>analyze</w:t>
      </w:r>
      <w:r w:rsidRPr="00E339AA">
        <w:rPr>
          <w:color w:val="auto"/>
        </w:rPr>
        <w:t xml:space="preserve"> and quantify protein markers, and plasma samples can be used for the analysis of circulating </w:t>
      </w:r>
      <w:r w:rsidR="006E1871" w:rsidRPr="00E339AA">
        <w:rPr>
          <w:color w:val="auto"/>
        </w:rPr>
        <w:t>tumor</w:t>
      </w:r>
      <w:r w:rsidRPr="00E339AA">
        <w:rPr>
          <w:color w:val="auto"/>
        </w:rPr>
        <w:t xml:space="preserve"> DNA</w:t>
      </w:r>
      <w:r w:rsidR="003F3618" w:rsidRPr="00E339AA">
        <w:rPr>
          <w:color w:val="auto"/>
        </w:rPr>
        <w:t>,</w:t>
      </w:r>
      <w:r w:rsidR="00EF74F8" w:rsidRPr="00E339AA">
        <w:rPr>
          <w:color w:val="auto"/>
        </w:rPr>
        <w:t xml:space="preserve"> </w:t>
      </w:r>
      <w:r w:rsidRPr="00E339AA">
        <w:rPr>
          <w:color w:val="auto"/>
        </w:rPr>
        <w:t>cytokines</w:t>
      </w:r>
      <w:r w:rsidR="002D1E32" w:rsidRPr="00E339AA">
        <w:rPr>
          <w:color w:val="auto"/>
        </w:rPr>
        <w:t>,</w:t>
      </w:r>
      <w:r w:rsidR="00A61BBD" w:rsidRPr="00E339AA">
        <w:rPr>
          <w:color w:val="auto"/>
        </w:rPr>
        <w:t xml:space="preserve"> and plasma metabolomics</w:t>
      </w:r>
      <w:r w:rsidRPr="00E339AA">
        <w:rPr>
          <w:color w:val="auto"/>
        </w:rPr>
        <w:t>.</w:t>
      </w:r>
      <w:r w:rsidR="00C51709">
        <w:rPr>
          <w:color w:val="auto"/>
        </w:rPr>
        <w:t xml:space="preserve"> </w:t>
      </w:r>
      <w:r w:rsidRPr="00E339AA">
        <w:rPr>
          <w:color w:val="auto"/>
        </w:rPr>
        <w:t>Longitudinal samples from a treatment provide information on the evolution of a given protein marker, the mutational status and immunological landscape of the patient. This can only be achieved if the processing of the peripheral blood is carried out effectively in clinical sites and samples are properly preserved from the bed</w:t>
      </w:r>
      <w:r w:rsidR="00E350B4" w:rsidRPr="00E339AA">
        <w:rPr>
          <w:color w:val="auto"/>
        </w:rPr>
        <w:t>side</w:t>
      </w:r>
      <w:r w:rsidRPr="00E339AA">
        <w:rPr>
          <w:color w:val="auto"/>
        </w:rPr>
        <w:t xml:space="preserve"> to benc</w:t>
      </w:r>
      <w:r w:rsidR="00C51709">
        <w:rPr>
          <w:color w:val="auto"/>
        </w:rPr>
        <w:t>h</w:t>
      </w:r>
      <w:r w:rsidRPr="00E339AA">
        <w:rPr>
          <w:color w:val="auto"/>
        </w:rPr>
        <w:t>.</w:t>
      </w:r>
      <w:r w:rsidR="005E7BFF" w:rsidRPr="00E339AA">
        <w:rPr>
          <w:color w:val="auto"/>
        </w:rPr>
        <w:t xml:space="preserve"> </w:t>
      </w:r>
      <w:r w:rsidRPr="00E339AA">
        <w:rPr>
          <w:color w:val="auto"/>
        </w:rPr>
        <w:t xml:space="preserve">Here, we present an </w:t>
      </w:r>
      <w:r w:rsidR="00676183" w:rsidRPr="00E339AA">
        <w:rPr>
          <w:color w:val="auto"/>
        </w:rPr>
        <w:t>optimized</w:t>
      </w:r>
      <w:r w:rsidRPr="00E339AA">
        <w:rPr>
          <w:color w:val="auto"/>
        </w:rPr>
        <w:t xml:space="preserve"> </w:t>
      </w:r>
      <w:r w:rsidR="00C63DB6" w:rsidRPr="00E339AA">
        <w:rPr>
          <w:color w:val="auto"/>
        </w:rPr>
        <w:t xml:space="preserve">general-purpose </w:t>
      </w:r>
      <w:r w:rsidRPr="00E339AA">
        <w:rPr>
          <w:color w:val="auto"/>
        </w:rPr>
        <w:t xml:space="preserve">protocol </w:t>
      </w:r>
      <w:r w:rsidR="00305738" w:rsidRPr="00E339AA">
        <w:rPr>
          <w:color w:val="auto"/>
        </w:rPr>
        <w:t xml:space="preserve">that can be implemented at clinical sites </w:t>
      </w:r>
      <w:r w:rsidRPr="00E339AA">
        <w:rPr>
          <w:color w:val="auto"/>
        </w:rPr>
        <w:t xml:space="preserve">for </w:t>
      </w:r>
      <w:r w:rsidR="00774542" w:rsidRPr="00E339AA">
        <w:rPr>
          <w:color w:val="auto"/>
        </w:rPr>
        <w:t>obtaining</w:t>
      </w:r>
      <w:r w:rsidRPr="00E339AA">
        <w:rPr>
          <w:color w:val="auto"/>
        </w:rPr>
        <w:t xml:space="preserve"> PBMC pellets and plasma samples </w:t>
      </w:r>
      <w:r w:rsidR="00C63DB6" w:rsidRPr="00E339AA">
        <w:rPr>
          <w:color w:val="auto"/>
        </w:rPr>
        <w:t xml:space="preserve">in </w:t>
      </w:r>
      <w:r w:rsidR="00774542" w:rsidRPr="00E339AA">
        <w:rPr>
          <w:color w:val="auto"/>
        </w:rPr>
        <w:t>multi-</w:t>
      </w:r>
      <w:r w:rsidR="006E1871" w:rsidRPr="00E339AA">
        <w:rPr>
          <w:color w:val="auto"/>
        </w:rPr>
        <w:t>center</w:t>
      </w:r>
      <w:r w:rsidR="00774542" w:rsidRPr="00E339AA">
        <w:rPr>
          <w:color w:val="auto"/>
        </w:rPr>
        <w:t xml:space="preserve"> </w:t>
      </w:r>
      <w:r w:rsidRPr="00E339AA">
        <w:rPr>
          <w:color w:val="auto"/>
        </w:rPr>
        <w:t xml:space="preserve">clinical trials, </w:t>
      </w:r>
      <w:r w:rsidR="0089441A" w:rsidRPr="00E339AA">
        <w:rPr>
          <w:color w:val="auto"/>
        </w:rPr>
        <w:t>that will enable</w:t>
      </w:r>
      <w:r w:rsidRPr="00E339AA">
        <w:rPr>
          <w:color w:val="auto"/>
        </w:rPr>
        <w:t xml:space="preserve"> clinical professionals in hospital laboratories to </w:t>
      </w:r>
      <w:r w:rsidRPr="00E339AA">
        <w:rPr>
          <w:color w:val="auto"/>
        </w:rPr>
        <w:lastRenderedPageBreak/>
        <w:t xml:space="preserve">successfully provide high quality samples, regardless of </w:t>
      </w:r>
      <w:r w:rsidR="002D2C2B" w:rsidRPr="00E339AA">
        <w:rPr>
          <w:color w:val="auto"/>
        </w:rPr>
        <w:t>their</w:t>
      </w:r>
      <w:r w:rsidR="00BB191E" w:rsidRPr="00E339AA">
        <w:rPr>
          <w:color w:val="auto"/>
        </w:rPr>
        <w:t xml:space="preserve"> </w:t>
      </w:r>
      <w:r w:rsidR="003653DE" w:rsidRPr="00E339AA">
        <w:rPr>
          <w:color w:val="auto"/>
        </w:rPr>
        <w:t xml:space="preserve">level of </w:t>
      </w:r>
      <w:r w:rsidR="00BB191E" w:rsidRPr="00E339AA">
        <w:rPr>
          <w:color w:val="auto"/>
        </w:rPr>
        <w:t xml:space="preserve">technical </w:t>
      </w:r>
      <w:r w:rsidRPr="00E339AA">
        <w:rPr>
          <w:color w:val="auto"/>
        </w:rPr>
        <w:t xml:space="preserve">expertise. </w:t>
      </w:r>
      <w:r w:rsidR="003653DE" w:rsidRPr="00E339AA">
        <w:rPr>
          <w:color w:val="auto"/>
        </w:rPr>
        <w:t>A</w:t>
      </w:r>
      <w:r w:rsidR="00BB191E" w:rsidRPr="00E339AA">
        <w:rPr>
          <w:color w:val="auto"/>
        </w:rPr>
        <w:t xml:space="preserve">lternative </w:t>
      </w:r>
      <w:r w:rsidR="00B218B4" w:rsidRPr="00E339AA">
        <w:rPr>
          <w:color w:val="auto"/>
        </w:rPr>
        <w:t xml:space="preserve">protocol </w:t>
      </w:r>
      <w:r w:rsidR="00BB191E" w:rsidRPr="00E339AA">
        <w:rPr>
          <w:color w:val="auto"/>
        </w:rPr>
        <w:t xml:space="preserve">variations </w:t>
      </w:r>
      <w:r w:rsidRPr="00E339AA">
        <w:rPr>
          <w:color w:val="auto"/>
        </w:rPr>
        <w:t xml:space="preserve">are </w:t>
      </w:r>
      <w:r w:rsidR="003653DE" w:rsidRPr="00E339AA">
        <w:rPr>
          <w:color w:val="auto"/>
        </w:rPr>
        <w:t xml:space="preserve">also </w:t>
      </w:r>
      <w:r w:rsidR="00BB191E" w:rsidRPr="00E339AA">
        <w:rPr>
          <w:color w:val="auto"/>
        </w:rPr>
        <w:t xml:space="preserve">presented </w:t>
      </w:r>
      <w:r w:rsidR="003226E4" w:rsidRPr="00E339AA">
        <w:rPr>
          <w:color w:val="auto"/>
        </w:rPr>
        <w:t xml:space="preserve">that </w:t>
      </w:r>
      <w:r w:rsidR="00676183" w:rsidRPr="00E339AA">
        <w:rPr>
          <w:color w:val="auto"/>
        </w:rPr>
        <w:t xml:space="preserve">are </w:t>
      </w:r>
      <w:r w:rsidR="003226E4" w:rsidRPr="00E339AA">
        <w:rPr>
          <w:color w:val="auto"/>
        </w:rPr>
        <w:t>optimize</w:t>
      </w:r>
      <w:r w:rsidR="00676183" w:rsidRPr="00E339AA">
        <w:rPr>
          <w:color w:val="auto"/>
        </w:rPr>
        <w:t>d</w:t>
      </w:r>
      <w:r w:rsidR="003226E4" w:rsidRPr="00E339AA">
        <w:rPr>
          <w:color w:val="auto"/>
        </w:rPr>
        <w:t xml:space="preserve"> </w:t>
      </w:r>
      <w:r w:rsidR="00676183" w:rsidRPr="00E339AA">
        <w:rPr>
          <w:color w:val="auto"/>
        </w:rPr>
        <w:t>for more</w:t>
      </w:r>
      <w:r w:rsidR="003226E4" w:rsidRPr="00E339AA">
        <w:rPr>
          <w:color w:val="auto"/>
        </w:rPr>
        <w:t xml:space="preserve"> </w:t>
      </w:r>
      <w:r w:rsidR="00607780" w:rsidRPr="00E339AA">
        <w:rPr>
          <w:color w:val="auto"/>
        </w:rPr>
        <w:t>specific downstream analytical method</w:t>
      </w:r>
      <w:r w:rsidR="003226E4" w:rsidRPr="00E339AA">
        <w:rPr>
          <w:color w:val="auto"/>
        </w:rPr>
        <w:t>s</w:t>
      </w:r>
      <w:r w:rsidRPr="00E339AA">
        <w:rPr>
          <w:color w:val="auto"/>
        </w:rPr>
        <w:t>.</w:t>
      </w:r>
      <w:r w:rsidR="00046C62" w:rsidRPr="00E339AA">
        <w:rPr>
          <w:color w:val="auto"/>
        </w:rPr>
        <w:t xml:space="preserve"> </w:t>
      </w:r>
      <w:r w:rsidR="00E747AD" w:rsidRPr="00E339AA">
        <w:rPr>
          <w:color w:val="auto"/>
        </w:rPr>
        <w:t>We apply this protocol</w:t>
      </w:r>
      <w:r w:rsidR="002D2C2B" w:rsidRPr="00E339AA">
        <w:rPr>
          <w:color w:val="auto"/>
        </w:rPr>
        <w:t xml:space="preserve"> for studying </w:t>
      </w:r>
      <w:r w:rsidR="009D4D43" w:rsidRPr="00E339AA">
        <w:rPr>
          <w:color w:val="auto"/>
        </w:rPr>
        <w:t>protein biomarkers</w:t>
      </w:r>
      <w:r w:rsidR="00D11F16" w:rsidRPr="00E339AA">
        <w:rPr>
          <w:color w:val="auto"/>
        </w:rPr>
        <w:t xml:space="preserve"> </w:t>
      </w:r>
      <w:r w:rsidR="002D2C2B" w:rsidRPr="00E339AA">
        <w:rPr>
          <w:color w:val="auto"/>
        </w:rPr>
        <w:t>against</w:t>
      </w:r>
      <w:r w:rsidR="00E747AD" w:rsidRPr="00E339AA">
        <w:rPr>
          <w:color w:val="auto"/>
        </w:rPr>
        <w:t xml:space="preserve"> DNA damage r</w:t>
      </w:r>
      <w:r w:rsidR="00D11F16" w:rsidRPr="00E339AA">
        <w:rPr>
          <w:color w:val="auto"/>
        </w:rPr>
        <w:t>esponse</w:t>
      </w:r>
      <w:r w:rsidR="002D2C2B" w:rsidRPr="00E339AA">
        <w:rPr>
          <w:color w:val="auto"/>
        </w:rPr>
        <w:t xml:space="preserve"> (DDR)</w:t>
      </w:r>
      <w:r w:rsidR="00E747AD" w:rsidRPr="00E339AA">
        <w:rPr>
          <w:color w:val="auto"/>
        </w:rPr>
        <w:t xml:space="preserve"> on </w:t>
      </w:r>
      <w:r w:rsidR="002C1787" w:rsidRPr="00E339AA">
        <w:rPr>
          <w:color w:val="auto"/>
        </w:rPr>
        <w:t>X</w:t>
      </w:r>
      <w:r w:rsidR="00E747AD" w:rsidRPr="00E339AA">
        <w:rPr>
          <w:color w:val="auto"/>
        </w:rPr>
        <w:t xml:space="preserve">-ray irradiated blood to demonstrate the suitability of the approach </w:t>
      </w:r>
      <w:r w:rsidR="00342B90" w:rsidRPr="00E339AA">
        <w:rPr>
          <w:color w:val="auto"/>
        </w:rPr>
        <w:t xml:space="preserve">in </w:t>
      </w:r>
      <w:r w:rsidR="00E747AD" w:rsidRPr="00E339AA">
        <w:rPr>
          <w:color w:val="auto"/>
        </w:rPr>
        <w:t xml:space="preserve">oncology settings where DDR drugs and/or radiotherapy have been </w:t>
      </w:r>
      <w:r w:rsidR="002D2C2B" w:rsidRPr="00E339AA">
        <w:rPr>
          <w:color w:val="auto"/>
        </w:rPr>
        <w:t xml:space="preserve">practiced </w:t>
      </w:r>
      <w:r w:rsidR="00342B90" w:rsidRPr="00E339AA">
        <w:rPr>
          <w:color w:val="auto"/>
        </w:rPr>
        <w:t>as well as in preclinical stages where mechanistic hypothesis testing is required</w:t>
      </w:r>
      <w:r w:rsidR="00E747AD" w:rsidRPr="00E339AA">
        <w:rPr>
          <w:color w:val="auto"/>
        </w:rPr>
        <w:t>.</w:t>
      </w:r>
    </w:p>
    <w:p w14:paraId="4C7D5FD5" w14:textId="77777777" w:rsidR="006305D7" w:rsidRPr="00E339AA" w:rsidRDefault="006305D7" w:rsidP="002E63C2">
      <w:pPr>
        <w:rPr>
          <w:rFonts w:asciiTheme="minorHAnsi" w:hAnsiTheme="minorHAnsi" w:cstheme="minorHAnsi"/>
          <w:color w:val="auto"/>
        </w:rPr>
      </w:pPr>
    </w:p>
    <w:p w14:paraId="20078E45" w14:textId="77777777" w:rsidR="00C87270" w:rsidRPr="00E339AA" w:rsidRDefault="00C87270" w:rsidP="002E63C2">
      <w:pPr>
        <w:rPr>
          <w:rFonts w:asciiTheme="minorHAnsi" w:hAnsiTheme="minorHAnsi" w:cstheme="minorHAnsi"/>
          <w:color w:val="auto"/>
        </w:rPr>
      </w:pPr>
      <w:r w:rsidRPr="00E339AA">
        <w:rPr>
          <w:rFonts w:asciiTheme="minorHAnsi" w:hAnsiTheme="minorHAnsi" w:cstheme="minorHAnsi"/>
          <w:b/>
          <w:color w:val="auto"/>
        </w:rPr>
        <w:t>INTRODUCTION</w:t>
      </w:r>
      <w:r w:rsidRPr="00E339AA">
        <w:rPr>
          <w:rFonts w:asciiTheme="minorHAnsi" w:hAnsiTheme="minorHAnsi" w:cstheme="minorHAnsi"/>
          <w:b/>
          <w:bCs/>
          <w:color w:val="auto"/>
        </w:rPr>
        <w:t>:</w:t>
      </w:r>
    </w:p>
    <w:p w14:paraId="5CE9BA2B" w14:textId="37140EBE" w:rsidR="00C87270" w:rsidRPr="00E339AA" w:rsidRDefault="00C87270" w:rsidP="002E63C2">
      <w:pPr>
        <w:rPr>
          <w:color w:val="auto"/>
        </w:rPr>
      </w:pPr>
      <w:r w:rsidRPr="00E339AA">
        <w:rPr>
          <w:color w:val="auto"/>
        </w:rPr>
        <w:t xml:space="preserve">Drug development aims to deliver new therapeutics addressing unmet medical need and more targeted, </w:t>
      </w:r>
      <w:r w:rsidR="00A961DB" w:rsidRPr="00E339AA">
        <w:rPr>
          <w:color w:val="auto"/>
        </w:rPr>
        <w:t>personalized</w:t>
      </w:r>
      <w:r w:rsidRPr="00E339AA">
        <w:rPr>
          <w:color w:val="auto"/>
        </w:rPr>
        <w:t xml:space="preserve"> medicine.</w:t>
      </w:r>
      <w:r w:rsidR="00A5178E" w:rsidRPr="00E339AA">
        <w:rPr>
          <w:color w:val="auto"/>
        </w:rPr>
        <w:t xml:space="preserve"> </w:t>
      </w:r>
      <w:r w:rsidRPr="00E339AA">
        <w:rPr>
          <w:color w:val="auto"/>
        </w:rPr>
        <w:t>Multiple drug mechanisms are under active investigation including enzymatic inhibition such as kinase</w:t>
      </w:r>
      <w:r w:rsidRPr="00E339AA">
        <w:rPr>
          <w:color w:val="auto"/>
          <w:vertAlign w:val="superscript"/>
        </w:rPr>
        <w:t>1</w:t>
      </w:r>
      <w:r w:rsidRPr="00E339AA">
        <w:rPr>
          <w:color w:val="auto"/>
        </w:rPr>
        <w:t>, protease</w:t>
      </w:r>
      <w:r w:rsidRPr="00E339AA">
        <w:rPr>
          <w:color w:val="auto"/>
          <w:vertAlign w:val="superscript"/>
        </w:rPr>
        <w:t>2</w:t>
      </w:r>
      <w:r w:rsidRPr="00E339AA">
        <w:rPr>
          <w:color w:val="auto"/>
        </w:rPr>
        <w:t>, or PARP inhibitors</w:t>
      </w:r>
      <w:r w:rsidRPr="00E339AA">
        <w:rPr>
          <w:color w:val="auto"/>
          <w:vertAlign w:val="superscript"/>
        </w:rPr>
        <w:t>3</w:t>
      </w:r>
      <w:r w:rsidRPr="00E339AA">
        <w:rPr>
          <w:color w:val="auto"/>
        </w:rPr>
        <w:t>, protein degraders</w:t>
      </w:r>
      <w:r w:rsidRPr="00E339AA">
        <w:rPr>
          <w:color w:val="auto"/>
          <w:vertAlign w:val="superscript"/>
        </w:rPr>
        <w:t>4</w:t>
      </w:r>
      <w:r w:rsidRPr="00E339AA">
        <w:rPr>
          <w:color w:val="auto"/>
        </w:rPr>
        <w:t>, therapeutic antibodies</w:t>
      </w:r>
      <w:r w:rsidRPr="00E339AA">
        <w:rPr>
          <w:color w:val="auto"/>
          <w:vertAlign w:val="superscript"/>
        </w:rPr>
        <w:t>5</w:t>
      </w:r>
      <w:r w:rsidRPr="00E339AA">
        <w:rPr>
          <w:color w:val="auto"/>
        </w:rPr>
        <w:t>, and antibody-conjugated drugs (ADCs)</w:t>
      </w:r>
      <w:r w:rsidRPr="00E339AA">
        <w:rPr>
          <w:color w:val="auto"/>
          <w:vertAlign w:val="superscript"/>
        </w:rPr>
        <w:t>6</w:t>
      </w:r>
      <w:r w:rsidRPr="00E339AA">
        <w:rPr>
          <w:color w:val="auto"/>
        </w:rPr>
        <w:t xml:space="preserve">, among many others. An example of the efforts to obtain better treatments in oncology is the use of kinase inhibitors with the goal of stopping the </w:t>
      </w:r>
      <w:r w:rsidR="003C3CC5" w:rsidRPr="00E339AA">
        <w:rPr>
          <w:color w:val="auto"/>
        </w:rPr>
        <w:t>signaling</w:t>
      </w:r>
      <w:r w:rsidRPr="00E339AA">
        <w:rPr>
          <w:color w:val="auto"/>
        </w:rPr>
        <w:t xml:space="preserve"> cascades that keep cancerous cells proliferating</w:t>
      </w:r>
      <w:r w:rsidRPr="00E339AA">
        <w:rPr>
          <w:color w:val="auto"/>
          <w:vertAlign w:val="superscript"/>
        </w:rPr>
        <w:t>1,7</w:t>
      </w:r>
      <w:r w:rsidRPr="00E339AA">
        <w:rPr>
          <w:color w:val="auto"/>
        </w:rPr>
        <w:t>. Measuring the levels of substrate phosphorylation specific to those kinases is the best pharmacodynamic biomarker to quantify the mechanism of action of these inhibitors</w:t>
      </w:r>
      <w:r w:rsidRPr="00E339AA">
        <w:rPr>
          <w:color w:val="auto"/>
          <w:vertAlign w:val="superscript"/>
        </w:rPr>
        <w:t>8</w:t>
      </w:r>
      <w:r w:rsidRPr="00E339AA">
        <w:rPr>
          <w:color w:val="auto"/>
        </w:rPr>
        <w:t>. Other drugs may modulate the expression of a given protein, and in that case being able to quantify the changes in concentration of their target protein longitudinally throughout the course of treatment is paramount. Therefore, independent of the characteristics of a drug or a pathology, evaluation of biomarkers to establish the pharmacokinetics (PK)/ pharmacodynamics (PD) relationship between drug exposure and target modulation is the best practice in early clinical development and enables the determination of a safe and tolerated pharmacologically active dose/schedule</w:t>
      </w:r>
      <w:r w:rsidRPr="00E339AA">
        <w:rPr>
          <w:color w:val="auto"/>
          <w:vertAlign w:val="superscript"/>
        </w:rPr>
        <w:t>9</w:t>
      </w:r>
      <w:r w:rsidRPr="00E339AA">
        <w:rPr>
          <w:color w:val="auto"/>
        </w:rPr>
        <w:t>.</w:t>
      </w:r>
    </w:p>
    <w:p w14:paraId="0D97D9F1" w14:textId="77777777" w:rsidR="00C87270" w:rsidRPr="00E339AA" w:rsidRDefault="00C87270" w:rsidP="002E63C2">
      <w:pPr>
        <w:rPr>
          <w:color w:val="auto"/>
        </w:rPr>
      </w:pPr>
    </w:p>
    <w:p w14:paraId="1590AF9F" w14:textId="3F851A66" w:rsidR="00C87270" w:rsidRPr="00E339AA" w:rsidRDefault="00C87270" w:rsidP="002E63C2">
      <w:pPr>
        <w:rPr>
          <w:color w:val="auto"/>
        </w:rPr>
      </w:pPr>
      <w:r w:rsidRPr="00E339AA">
        <w:rPr>
          <w:color w:val="auto"/>
        </w:rPr>
        <w:t>While in oncology clinical development</w:t>
      </w:r>
      <w:r w:rsidR="00C51709">
        <w:rPr>
          <w:color w:val="auto"/>
        </w:rPr>
        <w:t>,</w:t>
      </w:r>
      <w:r w:rsidRPr="00E339AA">
        <w:rPr>
          <w:color w:val="auto"/>
        </w:rPr>
        <w:t xml:space="preserve"> biomarker analysis in biopsies might be the best setting to establish proof of mechanism of a drug, the number of available biopsies in a trial is usually quite limited</w:t>
      </w:r>
      <w:r w:rsidRPr="00E339AA">
        <w:rPr>
          <w:color w:val="auto"/>
          <w:vertAlign w:val="superscript"/>
        </w:rPr>
        <w:t>10,11</w:t>
      </w:r>
      <w:r w:rsidRPr="00E339AA">
        <w:rPr>
          <w:color w:val="auto"/>
        </w:rPr>
        <w:t>. Alternatively, peripheral blood samples are highly valuable to clinical trials because they involve a minimally invasive procedure, are quick and easy to obtain facilitating longitudinal analysis, are less expensive than biopsies and provide a vast information for real-time monitoring of the outcome of a treatment. An additional benefit to assessing PD biomarkers in peripheral blood is the capacity to</w:t>
      </w:r>
      <w:r w:rsidR="00A5178E" w:rsidRPr="00E339AA">
        <w:rPr>
          <w:color w:val="auto"/>
        </w:rPr>
        <w:t xml:space="preserve"> use</w:t>
      </w:r>
      <w:r w:rsidRPr="00E339AA">
        <w:rPr>
          <w:color w:val="auto"/>
        </w:rPr>
        <w:t xml:space="preserve"> the </w:t>
      </w:r>
      <w:proofErr w:type="spellStart"/>
      <w:r w:rsidRPr="00E339AA">
        <w:rPr>
          <w:color w:val="auto"/>
        </w:rPr>
        <w:t>biosample</w:t>
      </w:r>
      <w:proofErr w:type="spellEnd"/>
      <w:r w:rsidRPr="00E339AA">
        <w:rPr>
          <w:color w:val="auto"/>
        </w:rPr>
        <w:t xml:space="preserve"> to also quantify PK allowing exactness in determining PK/PD quantitative relationships and subsequent PK/PD modeling</w:t>
      </w:r>
      <w:r w:rsidRPr="00E339AA">
        <w:rPr>
          <w:color w:val="auto"/>
          <w:vertAlign w:val="superscript"/>
        </w:rPr>
        <w:t>12,13</w:t>
      </w:r>
      <w:r w:rsidRPr="00E339AA">
        <w:rPr>
          <w:color w:val="auto"/>
        </w:rPr>
        <w:t>. Peripheral blood mononuclear cells (PBMCs) from whole blood can be isolated to study protein markers, which experience either changes in their expression level or in their post-translational modifications. In addition, PBMCs can be used for immunophenotyping purposes</w:t>
      </w:r>
      <w:r w:rsidRPr="00E339AA">
        <w:rPr>
          <w:color w:val="auto"/>
          <w:vertAlign w:val="superscript"/>
        </w:rPr>
        <w:t>14,15</w:t>
      </w:r>
      <w:r w:rsidRPr="00E339AA">
        <w:rPr>
          <w:color w:val="auto"/>
        </w:rPr>
        <w:t>, immune functionality assays such as assessing antibody-dependent cellular cytotoxicity (ADCC)</w:t>
      </w:r>
      <w:r w:rsidRPr="00E339AA">
        <w:rPr>
          <w:color w:val="auto"/>
          <w:vertAlign w:val="superscript"/>
        </w:rPr>
        <w:t>16</w:t>
      </w:r>
      <w:r w:rsidRPr="00E339AA">
        <w:rPr>
          <w:color w:val="auto"/>
        </w:rPr>
        <w:t xml:space="preserve"> and epigenetic analysis through RNA isolation. Likewise, plasma from whole blood can be used to quantify cytokines to characterize the immunological response of a patient, to perform metabolic studies, and also to isolate and sequence circulating </w:t>
      </w:r>
      <w:r w:rsidR="00A961DB" w:rsidRPr="00E339AA">
        <w:rPr>
          <w:color w:val="auto"/>
        </w:rPr>
        <w:t>tumor</w:t>
      </w:r>
      <w:r w:rsidRPr="00E339AA">
        <w:rPr>
          <w:color w:val="auto"/>
        </w:rPr>
        <w:t xml:space="preserve"> DNA (</w:t>
      </w:r>
      <w:proofErr w:type="spellStart"/>
      <w:r w:rsidRPr="00E339AA">
        <w:rPr>
          <w:color w:val="auto"/>
        </w:rPr>
        <w:t>ctDNA</w:t>
      </w:r>
      <w:proofErr w:type="spellEnd"/>
      <w:r w:rsidRPr="00E339AA">
        <w:rPr>
          <w:color w:val="auto"/>
        </w:rPr>
        <w:t xml:space="preserve">) </w:t>
      </w:r>
      <w:r w:rsidR="00485280">
        <w:rPr>
          <w:color w:val="auto"/>
        </w:rPr>
        <w:t>for</w:t>
      </w:r>
      <w:r w:rsidRPr="00E339AA">
        <w:rPr>
          <w:color w:val="auto"/>
        </w:rPr>
        <w:t xml:space="preserve"> monitor</w:t>
      </w:r>
      <w:r w:rsidR="00485280">
        <w:rPr>
          <w:color w:val="auto"/>
        </w:rPr>
        <w:t>ing</w:t>
      </w:r>
      <w:r w:rsidRPr="00E339AA">
        <w:rPr>
          <w:color w:val="auto"/>
        </w:rPr>
        <w:t xml:space="preserve"> the clonal evolution of disease under selection from the therapeutic agent, frequently providing a mechanistic basis for treatment resistance</w:t>
      </w:r>
      <w:r w:rsidRPr="00E339AA">
        <w:rPr>
          <w:color w:val="auto"/>
          <w:vertAlign w:val="superscript"/>
        </w:rPr>
        <w:t>17-19</w:t>
      </w:r>
      <w:r w:rsidRPr="00E339AA">
        <w:rPr>
          <w:color w:val="auto"/>
        </w:rPr>
        <w:t xml:space="preserve"> enabling development of subsequent generations of therapeutics</w:t>
      </w:r>
      <w:r w:rsidRPr="00E339AA">
        <w:rPr>
          <w:color w:val="auto"/>
          <w:vertAlign w:val="superscript"/>
        </w:rPr>
        <w:t>20</w:t>
      </w:r>
      <w:r w:rsidRPr="00E339AA">
        <w:rPr>
          <w:color w:val="auto"/>
        </w:rPr>
        <w:t xml:space="preserve">. Finally, isolation of circulating tumor cells (CTCs) from peripheral blood allows </w:t>
      </w:r>
      <w:r w:rsidR="00485280">
        <w:rPr>
          <w:color w:val="auto"/>
        </w:rPr>
        <w:t xml:space="preserve">for </w:t>
      </w:r>
      <w:r w:rsidRPr="00E339AA">
        <w:rPr>
          <w:color w:val="auto"/>
        </w:rPr>
        <w:t>the evaluation of disease progression by longitudinal enumeration, DNA/RNA sequencing and protein-biomarker analysis</w:t>
      </w:r>
      <w:r w:rsidRPr="00E339AA">
        <w:rPr>
          <w:color w:val="auto"/>
          <w:vertAlign w:val="superscript"/>
        </w:rPr>
        <w:t>21</w:t>
      </w:r>
      <w:r w:rsidRPr="00E339AA">
        <w:rPr>
          <w:color w:val="auto"/>
        </w:rPr>
        <w:t>. Although this isolation is compatible with the protocol described herein</w:t>
      </w:r>
      <w:r w:rsidRPr="00E339AA">
        <w:rPr>
          <w:color w:val="auto"/>
          <w:vertAlign w:val="superscript"/>
        </w:rPr>
        <w:t>22</w:t>
      </w:r>
      <w:r w:rsidRPr="00E339AA">
        <w:rPr>
          <w:color w:val="auto"/>
        </w:rPr>
        <w:t xml:space="preserve">, the low abundance of CTCs in many cancer types and early stages of the disease makes </w:t>
      </w:r>
      <w:r w:rsidR="00485280" w:rsidRPr="00E339AA">
        <w:rPr>
          <w:color w:val="auto"/>
        </w:rPr>
        <w:lastRenderedPageBreak/>
        <w:t xml:space="preserve">the use of specialized tubes </w:t>
      </w:r>
      <w:r w:rsidRPr="00E339AA">
        <w:rPr>
          <w:color w:val="auto"/>
        </w:rPr>
        <w:t xml:space="preserve">more suitable </w:t>
      </w:r>
      <w:r w:rsidR="00485280">
        <w:rPr>
          <w:color w:val="auto"/>
        </w:rPr>
        <w:t>by</w:t>
      </w:r>
      <w:r w:rsidRPr="00E339AA">
        <w:rPr>
          <w:color w:val="auto"/>
        </w:rPr>
        <w:t xml:space="preserve"> minimiz</w:t>
      </w:r>
      <w:r w:rsidR="00485280">
        <w:rPr>
          <w:color w:val="auto"/>
        </w:rPr>
        <w:t>ing</w:t>
      </w:r>
      <w:r w:rsidRPr="00E339AA">
        <w:rPr>
          <w:color w:val="auto"/>
        </w:rPr>
        <w:t xml:space="preserve"> CTC degradation</w:t>
      </w:r>
      <w:r w:rsidRPr="00E339AA">
        <w:rPr>
          <w:color w:val="auto"/>
          <w:vertAlign w:val="superscript"/>
        </w:rPr>
        <w:t>23</w:t>
      </w:r>
      <w:r w:rsidRPr="00E339AA">
        <w:rPr>
          <w:color w:val="auto"/>
        </w:rPr>
        <w:t xml:space="preserve">. </w:t>
      </w:r>
    </w:p>
    <w:p w14:paraId="6AAE1BA9" w14:textId="77777777" w:rsidR="00C87270" w:rsidRPr="00E339AA" w:rsidRDefault="00C87270" w:rsidP="002E63C2">
      <w:pPr>
        <w:rPr>
          <w:color w:val="auto"/>
        </w:rPr>
      </w:pPr>
    </w:p>
    <w:p w14:paraId="34680560" w14:textId="06CE7C8B" w:rsidR="00C87270" w:rsidRPr="00E339AA" w:rsidRDefault="00C87270" w:rsidP="002E63C2">
      <w:pPr>
        <w:rPr>
          <w:color w:val="auto"/>
        </w:rPr>
      </w:pPr>
      <w:r w:rsidRPr="00E339AA">
        <w:rPr>
          <w:color w:val="auto"/>
        </w:rPr>
        <w:t xml:space="preserve">In recent years, the use of liquid biopsies has improved the information obtained in clinical trials and PBMC collections have been included in many studies to monitor target engagement and proof of mechanism either directly in </w:t>
      </w:r>
      <w:r w:rsidR="00A961DB" w:rsidRPr="00E339AA">
        <w:rPr>
          <w:color w:val="auto"/>
        </w:rPr>
        <w:t>tumor</w:t>
      </w:r>
      <w:r w:rsidRPr="00E339AA">
        <w:rPr>
          <w:color w:val="auto"/>
        </w:rPr>
        <w:t xml:space="preserve"> cells for some types of </w:t>
      </w:r>
      <w:r w:rsidR="00A961DB" w:rsidRPr="00E339AA">
        <w:rPr>
          <w:color w:val="auto"/>
        </w:rPr>
        <w:t>hematological</w:t>
      </w:r>
      <w:r w:rsidRPr="00E339AA">
        <w:rPr>
          <w:color w:val="auto"/>
        </w:rPr>
        <w:t xml:space="preserve"> malignancies, or on the PBMCs themselves as PD surrogates of </w:t>
      </w:r>
      <w:r w:rsidR="00A961DB" w:rsidRPr="00E339AA">
        <w:rPr>
          <w:color w:val="auto"/>
        </w:rPr>
        <w:t>tumor</w:t>
      </w:r>
      <w:r w:rsidRPr="00E339AA">
        <w:rPr>
          <w:color w:val="auto"/>
        </w:rPr>
        <w:t xml:space="preserve"> cells</w:t>
      </w:r>
      <w:r w:rsidRPr="00E339AA">
        <w:rPr>
          <w:color w:val="auto"/>
          <w:vertAlign w:val="superscript"/>
        </w:rPr>
        <w:t>24-26</w:t>
      </w:r>
      <w:r w:rsidRPr="00E339AA">
        <w:rPr>
          <w:color w:val="auto"/>
        </w:rPr>
        <w:t>. The preparation of high-quality samples positively impacts determining the safest and most efficacious treatment for a given pathology but in our experience, the quality of PBMC preparations obtained from different clinical sites has been subjected to wide variability in quality resulting in samples that do not fit for the purpose of downstream analysis</w:t>
      </w:r>
      <w:r w:rsidR="00485280">
        <w:rPr>
          <w:color w:val="auto"/>
        </w:rPr>
        <w:t>.</w:t>
      </w:r>
      <w:r w:rsidRPr="00E339AA">
        <w:rPr>
          <w:color w:val="auto"/>
        </w:rPr>
        <w:t xml:space="preserve"> </w:t>
      </w:r>
      <w:r w:rsidR="00485280">
        <w:rPr>
          <w:color w:val="auto"/>
        </w:rPr>
        <w:t>This</w:t>
      </w:r>
      <w:r w:rsidRPr="00E339AA">
        <w:rPr>
          <w:color w:val="auto"/>
        </w:rPr>
        <w:t xml:space="preserve"> has impacted the amount of PD data that could be collected from those studies. </w:t>
      </w:r>
    </w:p>
    <w:p w14:paraId="15A30BB2" w14:textId="77777777" w:rsidR="00C87270" w:rsidRPr="00E339AA" w:rsidRDefault="00C87270" w:rsidP="002E63C2">
      <w:pPr>
        <w:rPr>
          <w:color w:val="auto"/>
        </w:rPr>
      </w:pPr>
    </w:p>
    <w:p w14:paraId="2B045AA5" w14:textId="046ADC4B" w:rsidR="00C87270" w:rsidRPr="00E339AA" w:rsidRDefault="00C87270" w:rsidP="002E63C2">
      <w:pPr>
        <w:rPr>
          <w:color w:val="auto"/>
        </w:rPr>
      </w:pPr>
      <w:r w:rsidRPr="00E339AA">
        <w:rPr>
          <w:color w:val="auto"/>
        </w:rPr>
        <w:t>Here we describe in detail an easy to follow protocol that shows how to efficiently isolate both PBMCs and plasma samples from a single blood draw in a clinical setting. The protocol is based on the instructions provided by the manufacturer of the mononuclear</w:t>
      </w:r>
      <w:r w:rsidRPr="00E339AA">
        <w:rPr>
          <w:rFonts w:asciiTheme="minorHAnsi" w:hAnsiTheme="minorHAnsi" w:cstheme="minorHAnsi"/>
          <w:color w:val="auto"/>
        </w:rPr>
        <w:t xml:space="preserve"> </w:t>
      </w:r>
      <w:r w:rsidRPr="00E339AA">
        <w:rPr>
          <w:color w:val="auto"/>
        </w:rPr>
        <w:t xml:space="preserve">cell preparation tubes, which incorporates modifications where real-world experience has highlighted difficulties in protocol execution as reported by clinical sites, such as centrifugation issues, processing delays and sample transfer to cryovials. There are alternative </w:t>
      </w:r>
      <w:r w:rsidR="00485280">
        <w:rPr>
          <w:color w:val="auto"/>
        </w:rPr>
        <w:t xml:space="preserve">commercially available </w:t>
      </w:r>
      <w:r w:rsidRPr="00E339AA">
        <w:rPr>
          <w:color w:val="auto"/>
        </w:rPr>
        <w:t xml:space="preserve">methods to the use of mononuclear cell preparation tubes based on </w:t>
      </w:r>
      <w:r w:rsidR="00485280">
        <w:rPr>
          <w:color w:val="auto"/>
        </w:rPr>
        <w:t xml:space="preserve">the </w:t>
      </w:r>
      <w:r w:rsidRPr="00E339AA">
        <w:rPr>
          <w:color w:val="auto"/>
        </w:rPr>
        <w:t>density gradient separation using polysaccharide solutions with or without a barrier that separates the solution from the blood</w:t>
      </w:r>
      <w:r w:rsidRPr="00E339AA">
        <w:rPr>
          <w:color w:val="auto"/>
          <w:vertAlign w:val="superscript"/>
        </w:rPr>
        <w:t>27</w:t>
      </w:r>
      <w:r w:rsidRPr="00E339AA">
        <w:rPr>
          <w:color w:val="auto"/>
        </w:rPr>
        <w:t xml:space="preserve">. If the relevant clinical site is already well-experienced in these alternative methodologies, </w:t>
      </w:r>
      <w:r w:rsidR="00A5178E" w:rsidRPr="00E339AA">
        <w:rPr>
          <w:color w:val="auto"/>
        </w:rPr>
        <w:t>this</w:t>
      </w:r>
      <w:r w:rsidRPr="00E339AA">
        <w:rPr>
          <w:color w:val="auto"/>
        </w:rPr>
        <w:t xml:space="preserve"> protocol can be acceptably substituted with these. In such cases, two factors can be considered: some alternative methods require a transfer of whole blood from a collection tube to a separate preparation tube where an additional transfer of human primary biological material may present a slightly increased safety risk, and  the success of methods without barriers separating the blood from the polysaccharide solution relies on critical steps such as layering the blood sample on the density gradient medium requiring development of a refined level of technical expertise not always found in a hospital laboratory setting. The above points notwithstanding, the overall viability and cell recovery are comparable between these techniques</w:t>
      </w:r>
      <w:r w:rsidRPr="00E339AA">
        <w:rPr>
          <w:color w:val="auto"/>
          <w:vertAlign w:val="superscript"/>
        </w:rPr>
        <w:t>15,28</w:t>
      </w:r>
      <w:r w:rsidRPr="00E339AA">
        <w:rPr>
          <w:color w:val="auto"/>
        </w:rPr>
        <w:t xml:space="preserve">. Choice of </w:t>
      </w:r>
      <w:r w:rsidR="00E339AA">
        <w:rPr>
          <w:color w:val="auto"/>
        </w:rPr>
        <w:t xml:space="preserve">the </w:t>
      </w:r>
      <w:r w:rsidRPr="00E339AA">
        <w:rPr>
          <w:color w:val="auto"/>
        </w:rPr>
        <w:t>methodology is, therefore, somewhat dependent upon prior technical experience, but in our hands, mononuclear cell preparation tubes can be used successfully in a broad clinical context and are our</w:t>
      </w:r>
      <w:r w:rsidR="00E339AA">
        <w:rPr>
          <w:color w:val="auto"/>
        </w:rPr>
        <w:t>,</w:t>
      </w:r>
      <w:r w:rsidRPr="00E339AA">
        <w:rPr>
          <w:color w:val="auto"/>
        </w:rPr>
        <w:t xml:space="preserve"> otherwise</w:t>
      </w:r>
      <w:r w:rsidR="00E339AA">
        <w:rPr>
          <w:color w:val="auto"/>
        </w:rPr>
        <w:t>,</w:t>
      </w:r>
      <w:r w:rsidRPr="00E339AA">
        <w:rPr>
          <w:color w:val="auto"/>
        </w:rPr>
        <w:t xml:space="preserve"> recommend</w:t>
      </w:r>
      <w:r w:rsidR="00485280">
        <w:rPr>
          <w:color w:val="auto"/>
        </w:rPr>
        <w:t>ation</w:t>
      </w:r>
      <w:r w:rsidRPr="00E339AA">
        <w:rPr>
          <w:color w:val="auto"/>
        </w:rPr>
        <w:t>.</w:t>
      </w:r>
    </w:p>
    <w:p w14:paraId="61164182" w14:textId="77777777" w:rsidR="00C87270" w:rsidRPr="00E339AA" w:rsidRDefault="00C87270" w:rsidP="002E63C2">
      <w:pPr>
        <w:rPr>
          <w:color w:val="auto"/>
        </w:rPr>
      </w:pPr>
    </w:p>
    <w:p w14:paraId="2DDC02B3" w14:textId="69BF8616" w:rsidR="00C87270" w:rsidRPr="00E339AA" w:rsidRDefault="00C87270" w:rsidP="002E63C2">
      <w:pPr>
        <w:rPr>
          <w:color w:val="auto"/>
        </w:rPr>
      </w:pPr>
      <w:r w:rsidRPr="00E339AA">
        <w:rPr>
          <w:color w:val="auto"/>
        </w:rPr>
        <w:t>While one endpoint of this protocol is to produce PBMC pellets for further processing into lysates, other final applications of the PBMC collection could be implemented, such as isolation of nucleic acids, or producing PBMC smears or PBMC blocks suitable for immunohistochemistry (IHC) methods.</w:t>
      </w:r>
      <w:r w:rsidR="00F720DF">
        <w:rPr>
          <w:color w:val="auto"/>
        </w:rPr>
        <w:t xml:space="preserve"> </w:t>
      </w:r>
      <w:r w:rsidRPr="00E339AA">
        <w:rPr>
          <w:color w:val="auto"/>
        </w:rPr>
        <w:t xml:space="preserve">Importantly, since each </w:t>
      </w:r>
      <w:proofErr w:type="spellStart"/>
      <w:r w:rsidRPr="00E339AA">
        <w:rPr>
          <w:color w:val="auto"/>
        </w:rPr>
        <w:t>biosample</w:t>
      </w:r>
      <w:proofErr w:type="spellEnd"/>
      <w:r w:rsidRPr="00E339AA">
        <w:rPr>
          <w:color w:val="auto"/>
        </w:rPr>
        <w:t xml:space="preserve"> taken from patients represents an invasive procedure on at least some level, this protocol maximizes the useful material from each sample by also isolating plasma which can be used for cytokine analyses, metabolomic studies or </w:t>
      </w:r>
      <w:proofErr w:type="spellStart"/>
      <w:r w:rsidRPr="00E339AA">
        <w:rPr>
          <w:color w:val="auto"/>
        </w:rPr>
        <w:t>ctDNA</w:t>
      </w:r>
      <w:proofErr w:type="spellEnd"/>
      <w:r w:rsidRPr="00E339AA">
        <w:rPr>
          <w:color w:val="auto"/>
        </w:rPr>
        <w:t xml:space="preserve"> sequencing.</w:t>
      </w:r>
    </w:p>
    <w:p w14:paraId="6C606B23" w14:textId="77777777" w:rsidR="00C87270" w:rsidRPr="00E339AA" w:rsidRDefault="00C87270" w:rsidP="002E63C2"/>
    <w:p w14:paraId="49FAFCF3" w14:textId="77777777" w:rsidR="00C87270" w:rsidRPr="00E339AA" w:rsidRDefault="00C87270" w:rsidP="002E63C2">
      <w:pPr>
        <w:rPr>
          <w:color w:val="auto"/>
        </w:rPr>
      </w:pPr>
      <w:r w:rsidRPr="00E339AA">
        <w:rPr>
          <w:color w:val="auto"/>
        </w:rPr>
        <w:t xml:space="preserve">The analysis of peripheral biomarkers in oncology trials is one of the many applications of PBMC lysates. One example is the evaluation of the DNA damage response (DDR) in treatments such as chemotherapy, radiotherapy or the use of inhibitors of enzymes involved in the DDR such as the </w:t>
      </w:r>
      <w:r w:rsidRPr="00E339AA">
        <w:rPr>
          <w:color w:val="auto"/>
        </w:rPr>
        <w:lastRenderedPageBreak/>
        <w:t>phosphatidylinositol-3 kinase-related kinases (PIKKs)</w:t>
      </w:r>
      <w:r w:rsidRPr="00E339AA">
        <w:rPr>
          <w:color w:val="auto"/>
          <w:vertAlign w:val="superscript"/>
        </w:rPr>
        <w:t>7</w:t>
      </w:r>
      <w:r w:rsidRPr="00E339AA">
        <w:rPr>
          <w:color w:val="auto"/>
        </w:rPr>
        <w:t xml:space="preserve"> and PARP</w:t>
      </w:r>
      <w:r w:rsidRPr="00E339AA">
        <w:rPr>
          <w:color w:val="auto"/>
          <w:vertAlign w:val="superscript"/>
        </w:rPr>
        <w:t>3,13</w:t>
      </w:r>
      <w:r w:rsidRPr="00E339AA">
        <w:rPr>
          <w:color w:val="auto"/>
        </w:rPr>
        <w:t xml:space="preserve">. The aim of these treatments is to increase DNA damage in proliferating cells, which generates high toxicity in cells with impaired DDR mechanisms and cell cycle checkpoints, such as cancer cells. Here we present an example on the study of DDR biomarkers in peripheral blood subjected to X-rays. </w:t>
      </w:r>
    </w:p>
    <w:p w14:paraId="6799C59F" w14:textId="77777777" w:rsidR="002E63C2" w:rsidRPr="00E339AA" w:rsidRDefault="002E63C2" w:rsidP="002E63C2">
      <w:pPr>
        <w:rPr>
          <w:rFonts w:asciiTheme="minorHAnsi" w:hAnsiTheme="minorHAnsi" w:cstheme="minorHAnsi"/>
          <w:b/>
          <w:color w:val="auto"/>
        </w:rPr>
      </w:pPr>
    </w:p>
    <w:p w14:paraId="113F5BE7" w14:textId="77777777" w:rsidR="002E63C2" w:rsidRPr="00E339AA" w:rsidRDefault="002E63C2" w:rsidP="002E63C2">
      <w:pPr>
        <w:rPr>
          <w:rFonts w:asciiTheme="minorHAnsi" w:hAnsiTheme="minorHAnsi" w:cstheme="minorHAnsi"/>
          <w:b/>
          <w:color w:val="auto"/>
        </w:rPr>
      </w:pPr>
      <w:bookmarkStart w:id="0" w:name="_Hlk45875179"/>
      <w:r w:rsidRPr="00E339AA">
        <w:rPr>
          <w:rFonts w:asciiTheme="minorHAnsi" w:hAnsiTheme="minorHAnsi" w:cstheme="minorHAnsi"/>
          <w:b/>
          <w:color w:val="auto"/>
        </w:rPr>
        <w:t>PROTOCOL:</w:t>
      </w:r>
    </w:p>
    <w:p w14:paraId="46B5590D" w14:textId="77777777" w:rsidR="002E63C2" w:rsidRPr="00E339AA" w:rsidRDefault="002E63C2" w:rsidP="002E63C2">
      <w:pPr>
        <w:pStyle w:val="Heading1"/>
        <w:spacing w:before="0" w:after="0"/>
        <w:rPr>
          <w:rFonts w:cs="Calibri"/>
          <w:b w:val="0"/>
          <w:iCs/>
          <w:color w:val="auto"/>
          <w:sz w:val="24"/>
        </w:rPr>
      </w:pPr>
      <w:r w:rsidRPr="00E339AA">
        <w:rPr>
          <w:rFonts w:cs="Calibri"/>
          <w:b w:val="0"/>
          <w:iCs/>
          <w:color w:val="auto"/>
          <w:sz w:val="24"/>
        </w:rPr>
        <w:t>Informed patient consent and full compliance with relevant national ethics requirements in each jurisdiction e.g., the Human Tissues Act (HTA – United Kingdom, 2004) and the Health Insurance Portability and Accountability Act (HIPAA – United States, 1996) are mandatory. Be certain to have fully documented ethics approval before beginning any work on human-derived materials. Blood used in the optimization of this protocol was provided with appropriate consent from the Volunteers Advancing Medicine Panel (VAMP) (ethics reference 16/EE/0459, study CRF494, sub study 001) run by the NIHR Cambridge Clinical Research Facility, Cambridge, United Kingdom, under a Human Biological Samples supply agreement with the National Institute for Health Research (NIHR) Cambridge Biomedical Research Centre. The AstraZeneca Biobank in the UK is licensed by the Human Tissue Authority (License No. 12109) and has National Research Ethics Service Committee (NREC) Approval as a Research Tissue Bank (RTB) (REC No 17/NW/0207).</w:t>
      </w:r>
    </w:p>
    <w:p w14:paraId="3626210A" w14:textId="77777777" w:rsidR="002E63C2" w:rsidRPr="00E339AA" w:rsidRDefault="002E63C2" w:rsidP="002E63C2">
      <w:pPr>
        <w:tabs>
          <w:tab w:val="left" w:pos="7770"/>
        </w:tabs>
        <w:rPr>
          <w:rFonts w:cs="Arial"/>
          <w:bCs/>
          <w:color w:val="auto"/>
        </w:rPr>
      </w:pPr>
      <w:r w:rsidRPr="00E339AA">
        <w:rPr>
          <w:rFonts w:cs="Arial"/>
          <w:bCs/>
          <w:color w:val="auto"/>
        </w:rPr>
        <w:tab/>
      </w:r>
    </w:p>
    <w:p w14:paraId="6FCE43E3" w14:textId="77777777" w:rsidR="002E63C2" w:rsidRPr="00E339AA" w:rsidRDefault="002E63C2" w:rsidP="002E63C2">
      <w:pPr>
        <w:rPr>
          <w:rFonts w:cs="Arial"/>
          <w:b/>
          <w:bCs/>
          <w:color w:val="auto"/>
          <w:highlight w:val="yellow"/>
        </w:rPr>
      </w:pPr>
      <w:r w:rsidRPr="00E339AA">
        <w:rPr>
          <w:rFonts w:cs="Arial"/>
          <w:b/>
          <w:bCs/>
          <w:color w:val="auto"/>
          <w:highlight w:val="yellow"/>
        </w:rPr>
        <w:t>1. General preparation guidance</w:t>
      </w:r>
    </w:p>
    <w:p w14:paraId="570F51B3" w14:textId="77777777" w:rsidR="002E63C2" w:rsidRPr="00E339AA" w:rsidRDefault="002E63C2" w:rsidP="002E63C2">
      <w:pPr>
        <w:rPr>
          <w:rFonts w:cs="Arial"/>
          <w:b/>
          <w:bCs/>
          <w:color w:val="auto"/>
        </w:rPr>
      </w:pPr>
    </w:p>
    <w:p w14:paraId="01BE3226" w14:textId="77777777" w:rsidR="002E63C2" w:rsidRPr="00E339AA" w:rsidRDefault="002E63C2" w:rsidP="002E63C2">
      <w:pPr>
        <w:rPr>
          <w:color w:val="auto"/>
        </w:rPr>
      </w:pPr>
      <w:r w:rsidRPr="00E339AA">
        <w:rPr>
          <w:rFonts w:cs="Arial"/>
          <w:color w:val="auto"/>
        </w:rPr>
        <w:t xml:space="preserve">NOTE: </w:t>
      </w:r>
      <w:r w:rsidRPr="00E339AA">
        <w:rPr>
          <w:color w:val="auto"/>
        </w:rPr>
        <w:t>All work with unfixed human material such as the blood, plasma and PBMCs in this protocol must operate under the assumption that these materials may carry potentially infectious agents and so must be performed under suitable biosafety precautions. For patients that have been tested as negative for known pathogens, do not ensure samples are non-infectious and so suitable safety precautions must still be applied. Waste products generated from these materials should be treated with the same biosafety precautions and disposed according to local rules.</w:t>
      </w:r>
    </w:p>
    <w:p w14:paraId="7896816A" w14:textId="77777777" w:rsidR="002E63C2" w:rsidRPr="00E339AA" w:rsidRDefault="002E63C2" w:rsidP="002E63C2">
      <w:pPr>
        <w:rPr>
          <w:rFonts w:cs="Arial"/>
          <w:b/>
          <w:bCs/>
          <w:color w:val="auto"/>
          <w:highlight w:val="yellow"/>
        </w:rPr>
      </w:pPr>
    </w:p>
    <w:p w14:paraId="40EFC6C2" w14:textId="77777777" w:rsidR="002E63C2" w:rsidRPr="00E339AA" w:rsidRDefault="002E63C2" w:rsidP="002E63C2">
      <w:pPr>
        <w:pStyle w:val="ListParagraph"/>
        <w:widowControl/>
        <w:numPr>
          <w:ilvl w:val="0"/>
          <w:numId w:val="29"/>
        </w:numPr>
        <w:ind w:left="0" w:firstLine="0"/>
        <w:contextualSpacing w:val="0"/>
        <w:rPr>
          <w:rFonts w:asciiTheme="minorHAnsi" w:hAnsiTheme="minorHAnsi" w:cs="Arial"/>
          <w:color w:val="auto"/>
        </w:rPr>
      </w:pPr>
      <w:r w:rsidRPr="00E339AA">
        <w:rPr>
          <w:color w:val="auto"/>
        </w:rPr>
        <w:t>Choose between the two type of mononuclear cell preparation tubes</w:t>
      </w:r>
      <w:r w:rsidRPr="00E339AA">
        <w:rPr>
          <w:rFonts w:asciiTheme="minorHAnsi" w:hAnsiTheme="minorHAnsi" w:cs="Arial"/>
          <w:color w:val="auto"/>
        </w:rPr>
        <w:t xml:space="preserve"> that utilize either sodium citrate or sodium heparin as anticoagulants. For many downstream applications these two anticoagulants can be used interchangeably but both anti-coagulants should be tested before selecting one for the trial.</w:t>
      </w:r>
    </w:p>
    <w:p w14:paraId="49A8C5A3"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6AB2CACA" w14:textId="77777777" w:rsidR="002E63C2" w:rsidRPr="00E339AA" w:rsidRDefault="002E63C2" w:rsidP="002E63C2">
      <w:pPr>
        <w:pStyle w:val="ListParagraph"/>
        <w:widowControl/>
        <w:numPr>
          <w:ilvl w:val="0"/>
          <w:numId w:val="29"/>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Label one 8 mL mononuclear cell preparation tube to be used for </w:t>
      </w:r>
      <w:r>
        <w:rPr>
          <w:rFonts w:asciiTheme="minorHAnsi" w:hAnsiTheme="minorHAnsi" w:cs="Arial"/>
          <w:color w:val="auto"/>
          <w:highlight w:val="yellow"/>
        </w:rPr>
        <w:t xml:space="preserve">the </w:t>
      </w:r>
      <w:r w:rsidRPr="00E339AA">
        <w:rPr>
          <w:rFonts w:asciiTheme="minorHAnsi" w:hAnsiTheme="minorHAnsi" w:cs="Arial"/>
          <w:color w:val="auto"/>
          <w:highlight w:val="yellow"/>
        </w:rPr>
        <w:t xml:space="preserve">blood collection with the patient’s coded ID. Keep the tubes at room temperature (18-25 </w:t>
      </w:r>
      <w:r w:rsidRPr="00E339AA">
        <w:rPr>
          <w:rFonts w:asciiTheme="minorHAnsi" w:hAnsiTheme="minorHAnsi" w:cstheme="minorHAnsi"/>
          <w:color w:val="auto"/>
          <w:highlight w:val="yellow"/>
        </w:rPr>
        <w:t>˚</w:t>
      </w:r>
      <w:r w:rsidRPr="00E339AA">
        <w:rPr>
          <w:rFonts w:asciiTheme="minorHAnsi" w:hAnsiTheme="minorHAnsi" w:cs="Arial"/>
          <w:color w:val="auto"/>
          <w:highlight w:val="yellow"/>
        </w:rPr>
        <w:t>C).</w:t>
      </w:r>
    </w:p>
    <w:p w14:paraId="681A99A5"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5F854F38" w14:textId="77777777" w:rsidR="002E63C2" w:rsidRPr="00E339AA" w:rsidRDefault="002E63C2" w:rsidP="002E63C2">
      <w:pPr>
        <w:pStyle w:val="ListParagraph"/>
        <w:widowControl/>
        <w:numPr>
          <w:ilvl w:val="0"/>
          <w:numId w:val="29"/>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Store 1x PBS at room temperature (18-25 </w:t>
      </w:r>
      <w:r w:rsidRPr="00E339AA">
        <w:rPr>
          <w:rFonts w:asciiTheme="minorHAnsi" w:hAnsiTheme="minorHAnsi" w:cstheme="minorHAnsi"/>
          <w:color w:val="auto"/>
          <w:highlight w:val="yellow"/>
        </w:rPr>
        <w:t>˚</w:t>
      </w:r>
      <w:r w:rsidRPr="00E339AA">
        <w:rPr>
          <w:rFonts w:asciiTheme="minorHAnsi" w:hAnsiTheme="minorHAnsi" w:cs="Arial"/>
          <w:color w:val="auto"/>
          <w:highlight w:val="yellow"/>
        </w:rPr>
        <w:t>C). Use 30 mL per preparation.</w:t>
      </w:r>
    </w:p>
    <w:p w14:paraId="183CEFFD"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74CF6BD0" w14:textId="77777777" w:rsidR="002E63C2" w:rsidRPr="00E339AA" w:rsidRDefault="002E63C2" w:rsidP="002E63C2">
      <w:pPr>
        <w:pStyle w:val="ListParagraph"/>
        <w:widowControl/>
        <w:numPr>
          <w:ilvl w:val="0"/>
          <w:numId w:val="29"/>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Make sure tubes for separate plasma samples and the cryovial for the PBMC sample are accurately labeled with unique </w:t>
      </w:r>
      <w:r w:rsidRPr="00E339AA">
        <w:rPr>
          <w:rFonts w:asciiTheme="minorHAnsi" w:hAnsiTheme="minorHAnsi" w:cs="Arial"/>
          <w:bCs/>
          <w:noProof/>
          <w:color w:val="auto"/>
          <w:highlight w:val="yellow"/>
        </w:rPr>
        <w:t>identifiers, as specified in the appropriate section of the lab manual.</w:t>
      </w:r>
    </w:p>
    <w:p w14:paraId="5467FF86"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34C2A65A" w14:textId="1B24291C" w:rsidR="002E63C2" w:rsidRPr="00E339AA" w:rsidRDefault="002E63C2" w:rsidP="002E63C2">
      <w:pPr>
        <w:pStyle w:val="ListParagraph"/>
        <w:widowControl/>
        <w:numPr>
          <w:ilvl w:val="0"/>
          <w:numId w:val="29"/>
        </w:numPr>
        <w:ind w:left="0" w:firstLine="0"/>
        <w:contextualSpacing w:val="0"/>
        <w:rPr>
          <w:rFonts w:asciiTheme="minorHAnsi" w:hAnsiTheme="minorHAnsi" w:cs="Arial"/>
          <w:color w:val="auto"/>
        </w:rPr>
      </w:pPr>
      <w:r w:rsidRPr="00E339AA">
        <w:rPr>
          <w:rFonts w:asciiTheme="minorHAnsi" w:hAnsiTheme="minorHAnsi" w:cs="Arial"/>
          <w:color w:val="auto"/>
        </w:rPr>
        <w:lastRenderedPageBreak/>
        <w:t>If PBMCs are going to be used to monitor phosphorylated proteins, prepare PBS supplemented with phosphatase inhibitors:</w:t>
      </w:r>
      <w:r w:rsidRPr="00E339AA">
        <w:rPr>
          <w:rFonts w:asciiTheme="minorHAnsi" w:hAnsiTheme="minorHAnsi"/>
          <w:color w:val="auto"/>
        </w:rPr>
        <w:t xml:space="preserve"> mix 5 mL </w:t>
      </w:r>
      <w:r w:rsidR="004A2F45">
        <w:rPr>
          <w:rFonts w:asciiTheme="minorHAnsi" w:hAnsiTheme="minorHAnsi"/>
          <w:color w:val="auto"/>
        </w:rPr>
        <w:t xml:space="preserve">of </w:t>
      </w:r>
      <w:r w:rsidRPr="00E339AA">
        <w:rPr>
          <w:rFonts w:asciiTheme="minorHAnsi" w:hAnsiTheme="minorHAnsi"/>
          <w:color w:val="auto"/>
        </w:rPr>
        <w:t xml:space="preserve">PBS with 50 </w:t>
      </w:r>
      <w:r w:rsidRPr="00E339AA">
        <w:rPr>
          <w:rFonts w:asciiTheme="minorHAnsi" w:hAnsiTheme="minorHAnsi" w:cstheme="minorHAnsi"/>
          <w:color w:val="auto"/>
        </w:rPr>
        <w:t>µ</w:t>
      </w:r>
      <w:r w:rsidRPr="00E339AA">
        <w:rPr>
          <w:rFonts w:asciiTheme="minorHAnsi" w:hAnsiTheme="minorHAnsi"/>
          <w:color w:val="auto"/>
        </w:rPr>
        <w:t xml:space="preserve">L </w:t>
      </w:r>
      <w:r w:rsidR="004A2F45">
        <w:rPr>
          <w:rFonts w:asciiTheme="minorHAnsi" w:hAnsiTheme="minorHAnsi"/>
          <w:color w:val="auto"/>
        </w:rPr>
        <w:t xml:space="preserve">of </w:t>
      </w:r>
      <w:r w:rsidRPr="00E339AA">
        <w:rPr>
          <w:rFonts w:asciiTheme="minorHAnsi" w:hAnsiTheme="minorHAnsi"/>
          <w:color w:val="auto"/>
        </w:rPr>
        <w:t xml:space="preserve">phosphatase inhibitor cocktail 2 + 50 </w:t>
      </w:r>
      <w:r w:rsidRPr="00E339AA">
        <w:rPr>
          <w:rFonts w:asciiTheme="minorHAnsi" w:hAnsiTheme="minorHAnsi" w:cstheme="minorHAnsi"/>
          <w:color w:val="auto"/>
        </w:rPr>
        <w:t>µ</w:t>
      </w:r>
      <w:r w:rsidRPr="00E339AA">
        <w:rPr>
          <w:rFonts w:asciiTheme="minorHAnsi" w:hAnsiTheme="minorHAnsi"/>
          <w:color w:val="auto"/>
        </w:rPr>
        <w:t xml:space="preserve">L </w:t>
      </w:r>
      <w:r w:rsidR="004A2F45">
        <w:rPr>
          <w:rFonts w:asciiTheme="minorHAnsi" w:hAnsiTheme="minorHAnsi"/>
          <w:color w:val="auto"/>
        </w:rPr>
        <w:t xml:space="preserve">of </w:t>
      </w:r>
      <w:r w:rsidRPr="00E339AA">
        <w:rPr>
          <w:rFonts w:asciiTheme="minorHAnsi" w:hAnsiTheme="minorHAnsi"/>
          <w:color w:val="auto"/>
        </w:rPr>
        <w:t>phosphatase inhibitor cocktail 3. Prepare fresh and keep on ice until use.</w:t>
      </w:r>
    </w:p>
    <w:p w14:paraId="2A74890A" w14:textId="77777777" w:rsidR="002E63C2" w:rsidRPr="00E339AA" w:rsidRDefault="002E63C2" w:rsidP="002E63C2">
      <w:pPr>
        <w:pStyle w:val="ListParagraph"/>
        <w:ind w:left="0"/>
        <w:rPr>
          <w:rFonts w:asciiTheme="minorHAnsi" w:hAnsiTheme="minorHAnsi" w:cs="Arial"/>
          <w:color w:val="auto"/>
        </w:rPr>
      </w:pPr>
    </w:p>
    <w:p w14:paraId="53B9FCE7" w14:textId="77777777" w:rsidR="002E63C2" w:rsidRPr="00E339AA" w:rsidRDefault="002E63C2" w:rsidP="002E63C2">
      <w:pPr>
        <w:pStyle w:val="ListParagraph"/>
        <w:widowControl/>
        <w:numPr>
          <w:ilvl w:val="0"/>
          <w:numId w:val="29"/>
        </w:numPr>
        <w:ind w:left="0" w:firstLine="0"/>
        <w:contextualSpacing w:val="0"/>
        <w:rPr>
          <w:rFonts w:asciiTheme="minorHAnsi" w:hAnsiTheme="minorHAnsi" w:cs="Arial"/>
          <w:color w:val="auto"/>
        </w:rPr>
      </w:pPr>
      <w:r w:rsidRPr="00E339AA">
        <w:rPr>
          <w:rFonts w:asciiTheme="minorHAnsi" w:hAnsiTheme="minorHAnsi" w:cs="Arial"/>
          <w:color w:val="auto"/>
        </w:rPr>
        <w:t>If PBMCs are going to be cryopreserved, prepare 1 mL freezing mixture per sample by mixing 90% FBS + 10% DMSO.</w:t>
      </w:r>
    </w:p>
    <w:p w14:paraId="21281392" w14:textId="77777777" w:rsidR="002E63C2" w:rsidRPr="00E339AA" w:rsidRDefault="002E63C2" w:rsidP="002E63C2">
      <w:pPr>
        <w:rPr>
          <w:rFonts w:cs="Arial"/>
          <w:color w:val="auto"/>
          <w:highlight w:val="yellow"/>
        </w:rPr>
      </w:pPr>
    </w:p>
    <w:p w14:paraId="19837FDD" w14:textId="77777777" w:rsidR="002E63C2" w:rsidRPr="00E339AA" w:rsidRDefault="002E63C2" w:rsidP="002E63C2">
      <w:pPr>
        <w:rPr>
          <w:rFonts w:cs="Arial"/>
          <w:b/>
          <w:bCs/>
          <w:color w:val="auto"/>
          <w:highlight w:val="yellow"/>
        </w:rPr>
      </w:pPr>
      <w:r w:rsidRPr="00E339AA">
        <w:rPr>
          <w:rFonts w:cs="Arial"/>
          <w:b/>
          <w:bCs/>
          <w:color w:val="auto"/>
          <w:highlight w:val="yellow"/>
        </w:rPr>
        <w:t>2. PBMC collection (Figure 1A)</w:t>
      </w:r>
    </w:p>
    <w:p w14:paraId="64CD011F" w14:textId="77777777" w:rsidR="002E63C2" w:rsidRPr="00E339AA" w:rsidRDefault="002E63C2" w:rsidP="002E63C2">
      <w:pPr>
        <w:rPr>
          <w:rFonts w:cs="Arial"/>
          <w:b/>
          <w:bCs/>
          <w:color w:val="auto"/>
          <w:highlight w:val="yellow"/>
        </w:rPr>
      </w:pPr>
    </w:p>
    <w:p w14:paraId="27B0F92D" w14:textId="199C7296" w:rsidR="002E63C2" w:rsidRPr="00E339AA" w:rsidRDefault="002E63C2" w:rsidP="002E63C2">
      <w:pPr>
        <w:pStyle w:val="ListParagraph"/>
        <w:widowControl/>
        <w:numPr>
          <w:ilvl w:val="0"/>
          <w:numId w:val="31"/>
        </w:numPr>
        <w:ind w:left="0" w:firstLine="0"/>
        <w:contextualSpacing w:val="0"/>
        <w:rPr>
          <w:rFonts w:asciiTheme="minorHAnsi" w:hAnsiTheme="minorHAnsi" w:cs="Arial"/>
          <w:color w:val="auto"/>
        </w:rPr>
      </w:pPr>
      <w:r w:rsidRPr="00E339AA">
        <w:rPr>
          <w:rFonts w:asciiTheme="minorHAnsi" w:hAnsiTheme="minorHAnsi" w:cs="Arial"/>
          <w:color w:val="auto"/>
        </w:rPr>
        <w:t>Draw 8 mL blood into the mononuclear cell preparation tube using the standard technique described by the manufacturer. Invert the tube gently 8 to 10 times to mix the anticoagulant additive with blood. Do not shake to avoid hemolysis. Record the time at which the blood was drawn.</w:t>
      </w:r>
    </w:p>
    <w:p w14:paraId="4B53F0F0" w14:textId="77777777" w:rsidR="002E63C2" w:rsidRPr="00E339AA" w:rsidRDefault="002E63C2" w:rsidP="002E63C2">
      <w:pPr>
        <w:pStyle w:val="ListParagraph"/>
        <w:widowControl/>
        <w:ind w:left="0"/>
        <w:contextualSpacing w:val="0"/>
        <w:rPr>
          <w:rFonts w:asciiTheme="minorHAnsi" w:hAnsiTheme="minorHAnsi" w:cs="Arial"/>
          <w:color w:val="auto"/>
        </w:rPr>
      </w:pPr>
    </w:p>
    <w:p w14:paraId="6E4F0CDD" w14:textId="77777777" w:rsidR="002E63C2" w:rsidRPr="00E339AA" w:rsidRDefault="002E63C2" w:rsidP="002E63C2">
      <w:pPr>
        <w:pStyle w:val="ListParagraph"/>
        <w:widowControl/>
        <w:numPr>
          <w:ilvl w:val="0"/>
          <w:numId w:val="31"/>
        </w:numPr>
        <w:ind w:left="0" w:firstLine="0"/>
        <w:contextualSpacing w:val="0"/>
        <w:rPr>
          <w:rFonts w:asciiTheme="minorHAnsi" w:hAnsiTheme="minorHAnsi" w:cs="Arial"/>
          <w:color w:val="auto"/>
        </w:rPr>
      </w:pPr>
      <w:r w:rsidRPr="00E339AA">
        <w:rPr>
          <w:rFonts w:asciiTheme="minorHAnsi" w:hAnsiTheme="minorHAnsi" w:cs="Arial"/>
          <w:color w:val="auto"/>
        </w:rPr>
        <w:t xml:space="preserve">After collection, store the tube upright at room temperature until centrifugation. Process the samples as soon as possible, ideally within one hour of this blood collection but not later than 4 h post collection. Record the timing when </w:t>
      </w:r>
      <w:r>
        <w:rPr>
          <w:rFonts w:asciiTheme="minorHAnsi" w:hAnsiTheme="minorHAnsi" w:cs="Arial"/>
          <w:color w:val="auto"/>
        </w:rPr>
        <w:t>starting the</w:t>
      </w:r>
      <w:r w:rsidRPr="00E339AA">
        <w:rPr>
          <w:rFonts w:asciiTheme="minorHAnsi" w:hAnsiTheme="minorHAnsi" w:cs="Arial"/>
          <w:color w:val="auto"/>
        </w:rPr>
        <w:t xml:space="preserve"> processing </w:t>
      </w:r>
      <w:r>
        <w:rPr>
          <w:rFonts w:asciiTheme="minorHAnsi" w:hAnsiTheme="minorHAnsi" w:cs="Arial"/>
          <w:color w:val="auto"/>
        </w:rPr>
        <w:t xml:space="preserve">of </w:t>
      </w:r>
      <w:r w:rsidRPr="00E339AA">
        <w:rPr>
          <w:rFonts w:asciiTheme="minorHAnsi" w:hAnsiTheme="minorHAnsi" w:cs="Arial"/>
          <w:color w:val="auto"/>
        </w:rPr>
        <w:t>the blood.</w:t>
      </w:r>
    </w:p>
    <w:p w14:paraId="69AD66C7"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3C4CE118" w14:textId="77777777" w:rsidR="002E63C2" w:rsidRPr="00E339AA" w:rsidRDefault="002E63C2" w:rsidP="002E63C2">
      <w:pPr>
        <w:pStyle w:val="ListParagraph"/>
        <w:widowControl/>
        <w:numPr>
          <w:ilvl w:val="0"/>
          <w:numId w:val="31"/>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Immediately prior to the centrifugation remix the blood sample by </w:t>
      </w:r>
      <w:r w:rsidRPr="00E339AA">
        <w:rPr>
          <w:rFonts w:asciiTheme="minorHAnsi" w:hAnsiTheme="minorHAnsi" w:cs="Arial"/>
          <w:bCs/>
          <w:color w:val="auto"/>
          <w:highlight w:val="yellow"/>
        </w:rPr>
        <w:t>gently</w:t>
      </w:r>
      <w:r w:rsidRPr="00E339AA">
        <w:rPr>
          <w:rFonts w:asciiTheme="minorHAnsi" w:hAnsiTheme="minorHAnsi" w:cs="Arial"/>
          <w:color w:val="auto"/>
          <w:highlight w:val="yellow"/>
        </w:rPr>
        <w:t xml:space="preserve"> inverting the tube 8 to 10 more times.</w:t>
      </w:r>
    </w:p>
    <w:p w14:paraId="6C6438C6"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5BE2E2B6" w14:textId="62637239" w:rsidR="002E63C2" w:rsidRPr="00E339AA" w:rsidRDefault="002E63C2" w:rsidP="002E63C2">
      <w:pPr>
        <w:pStyle w:val="ListParagraph"/>
        <w:widowControl/>
        <w:numPr>
          <w:ilvl w:val="0"/>
          <w:numId w:val="31"/>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Centrifuge the tube/blood sample tubes in a horizontal rotor (swing-out head) at 1</w:t>
      </w:r>
      <w:r w:rsidR="004A2F45">
        <w:rPr>
          <w:rFonts w:asciiTheme="minorHAnsi" w:hAnsiTheme="minorHAnsi" w:cs="Arial"/>
          <w:color w:val="auto"/>
          <w:highlight w:val="yellow"/>
        </w:rPr>
        <w:t>,</w:t>
      </w:r>
      <w:r w:rsidRPr="00E339AA">
        <w:rPr>
          <w:rFonts w:asciiTheme="minorHAnsi" w:hAnsiTheme="minorHAnsi" w:cs="Arial"/>
          <w:color w:val="auto"/>
          <w:highlight w:val="yellow"/>
        </w:rPr>
        <w:t xml:space="preserve">500 </w:t>
      </w:r>
      <w:r w:rsidR="004A2F45">
        <w:rPr>
          <w:rFonts w:asciiTheme="minorHAnsi" w:hAnsiTheme="minorHAnsi" w:cs="Arial"/>
          <w:color w:val="auto"/>
          <w:highlight w:val="yellow"/>
        </w:rPr>
        <w:t>–</w:t>
      </w:r>
      <w:r w:rsidRPr="00E339AA">
        <w:rPr>
          <w:rFonts w:asciiTheme="minorHAnsi" w:hAnsiTheme="minorHAnsi" w:cs="Arial"/>
          <w:color w:val="auto"/>
          <w:highlight w:val="yellow"/>
        </w:rPr>
        <w:t xml:space="preserve"> 1</w:t>
      </w:r>
      <w:r w:rsidR="004A2F45">
        <w:rPr>
          <w:rFonts w:asciiTheme="minorHAnsi" w:hAnsiTheme="minorHAnsi" w:cs="Arial"/>
          <w:color w:val="auto"/>
          <w:highlight w:val="yellow"/>
        </w:rPr>
        <w:t>,</w:t>
      </w:r>
      <w:r w:rsidRPr="00E339AA">
        <w:rPr>
          <w:rFonts w:asciiTheme="minorHAnsi" w:hAnsiTheme="minorHAnsi" w:cs="Arial"/>
          <w:color w:val="auto"/>
          <w:highlight w:val="yellow"/>
        </w:rPr>
        <w:t xml:space="preserve">800 </w:t>
      </w:r>
      <w:r w:rsidRPr="00E339AA">
        <w:rPr>
          <w:rFonts w:asciiTheme="minorHAnsi" w:hAnsiTheme="minorHAnsi" w:cs="Arial"/>
          <w:i/>
          <w:iCs/>
          <w:color w:val="auto"/>
          <w:highlight w:val="yellow"/>
        </w:rPr>
        <w:t>x</w:t>
      </w:r>
      <w:r w:rsidRPr="00E339AA">
        <w:rPr>
          <w:rFonts w:asciiTheme="minorHAnsi" w:hAnsiTheme="minorHAnsi" w:cs="Arial"/>
          <w:color w:val="auto"/>
          <w:highlight w:val="yellow"/>
        </w:rPr>
        <w:t xml:space="preserve"> </w:t>
      </w:r>
      <w:r w:rsidRPr="00E339AA">
        <w:rPr>
          <w:rFonts w:asciiTheme="minorHAnsi" w:hAnsiTheme="minorHAnsi" w:cs="Arial"/>
          <w:i/>
          <w:color w:val="auto"/>
          <w:highlight w:val="yellow"/>
        </w:rPr>
        <w:t>g</w:t>
      </w:r>
      <w:r w:rsidRPr="00E339AA">
        <w:rPr>
          <w:rFonts w:asciiTheme="minorHAnsi" w:hAnsiTheme="minorHAnsi" w:cs="Arial"/>
          <w:color w:val="auto"/>
          <w:highlight w:val="yellow"/>
        </w:rPr>
        <w:t xml:space="preserve"> for 30 min at room temperature (18-25 </w:t>
      </w:r>
      <w:r w:rsidRPr="00013697">
        <w:rPr>
          <w:rFonts w:asciiTheme="minorHAnsi" w:hAnsiTheme="minorHAnsi" w:cstheme="minorHAnsi"/>
          <w:color w:val="auto"/>
          <w:highlight w:val="yellow"/>
        </w:rPr>
        <w:t>˚</w:t>
      </w:r>
      <w:r w:rsidRPr="00E339AA">
        <w:rPr>
          <w:rFonts w:asciiTheme="minorHAnsi" w:hAnsiTheme="minorHAnsi" w:cs="Arial"/>
          <w:color w:val="auto"/>
          <w:highlight w:val="yellow"/>
        </w:rPr>
        <w:t xml:space="preserve">C). Ensure that all the tubes are balanced properly. </w:t>
      </w:r>
    </w:p>
    <w:p w14:paraId="2A2057C8" w14:textId="77777777" w:rsidR="002E63C2" w:rsidRPr="002E63C2" w:rsidRDefault="002E63C2" w:rsidP="002E63C2">
      <w:pPr>
        <w:pStyle w:val="ListParagraph"/>
        <w:ind w:left="0"/>
        <w:rPr>
          <w:rFonts w:asciiTheme="minorHAnsi" w:hAnsiTheme="minorHAnsi" w:cs="Arial"/>
          <w:color w:val="auto"/>
        </w:rPr>
      </w:pPr>
    </w:p>
    <w:p w14:paraId="35D44A34"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r w:rsidRPr="002E63C2">
        <w:rPr>
          <w:rFonts w:asciiTheme="minorHAnsi" w:hAnsiTheme="minorHAnsi" w:cs="Arial"/>
          <w:color w:val="auto"/>
        </w:rPr>
        <w:t xml:space="preserve">[Place </w:t>
      </w:r>
      <w:r w:rsidRPr="002E63C2">
        <w:rPr>
          <w:rFonts w:asciiTheme="minorHAnsi" w:hAnsiTheme="minorHAnsi" w:cs="Arial"/>
          <w:b/>
          <w:color w:val="auto"/>
        </w:rPr>
        <w:t>Figure 1</w:t>
      </w:r>
      <w:r w:rsidRPr="002E63C2">
        <w:rPr>
          <w:rFonts w:asciiTheme="minorHAnsi" w:hAnsiTheme="minorHAnsi" w:cs="Arial"/>
          <w:color w:val="auto"/>
        </w:rPr>
        <w:t xml:space="preserve"> here].</w:t>
      </w:r>
    </w:p>
    <w:p w14:paraId="2C2F8FB9" w14:textId="77777777" w:rsidR="002E63C2" w:rsidRPr="00E339AA" w:rsidRDefault="002E63C2" w:rsidP="002E63C2">
      <w:pPr>
        <w:pStyle w:val="ListParagraph"/>
        <w:ind w:left="0"/>
        <w:contextualSpacing w:val="0"/>
        <w:rPr>
          <w:rFonts w:asciiTheme="minorHAnsi" w:hAnsiTheme="minorHAnsi" w:cs="Arial"/>
          <w:iCs/>
          <w:color w:val="auto"/>
        </w:rPr>
      </w:pPr>
    </w:p>
    <w:p w14:paraId="37A97616" w14:textId="42313C83" w:rsidR="002E63C2" w:rsidRPr="00E339AA" w:rsidRDefault="002E63C2" w:rsidP="002E63C2">
      <w:pPr>
        <w:pStyle w:val="ListParagraph"/>
        <w:ind w:left="0"/>
        <w:rPr>
          <w:rFonts w:asciiTheme="minorHAnsi" w:hAnsiTheme="minorHAnsi" w:cs="Arial"/>
          <w:iCs/>
          <w:color w:val="auto"/>
          <w:u w:val="single"/>
        </w:rPr>
      </w:pPr>
      <w:r w:rsidRPr="00E339AA">
        <w:rPr>
          <w:rFonts w:asciiTheme="minorHAnsi" w:hAnsiTheme="minorHAnsi" w:cs="Arial"/>
          <w:color w:val="auto"/>
        </w:rPr>
        <w:t xml:space="preserve">NOTE: </w:t>
      </w:r>
      <w:r w:rsidRPr="00E339AA">
        <w:rPr>
          <w:rFonts w:asciiTheme="minorHAnsi" w:hAnsiTheme="minorHAnsi" w:cs="Arial"/>
          <w:i/>
          <w:iCs/>
          <w:color w:val="auto"/>
        </w:rPr>
        <w:t>x g</w:t>
      </w:r>
      <w:r w:rsidRPr="00E339AA">
        <w:rPr>
          <w:rFonts w:asciiTheme="minorHAnsi" w:hAnsiTheme="minorHAnsi" w:cs="Arial"/>
          <w:color w:val="auto"/>
        </w:rPr>
        <w:t xml:space="preserve"> (also referred to as RCF, relative centrifugal units) and RPM (revolutions per minute) are different units. Be sure to set the centrifuge for </w:t>
      </w:r>
      <w:r w:rsidRPr="00E339AA">
        <w:rPr>
          <w:rFonts w:asciiTheme="minorHAnsi" w:hAnsiTheme="minorHAnsi" w:cs="Arial"/>
          <w:i/>
          <w:iCs/>
          <w:color w:val="auto"/>
        </w:rPr>
        <w:t>x g</w:t>
      </w:r>
      <w:r w:rsidRPr="00E339AA">
        <w:rPr>
          <w:rFonts w:asciiTheme="minorHAnsi" w:hAnsiTheme="minorHAnsi" w:cs="Arial"/>
          <w:color w:val="auto"/>
        </w:rPr>
        <w:t xml:space="preserve"> (RCF). </w:t>
      </w:r>
      <w:r w:rsidR="007736FA">
        <w:rPr>
          <w:rFonts w:asciiTheme="minorHAnsi" w:hAnsiTheme="minorHAnsi" w:cs="Arial"/>
          <w:color w:val="auto"/>
        </w:rPr>
        <w:t xml:space="preserve">Use the online calculator (see </w:t>
      </w:r>
      <w:r w:rsidR="007736FA" w:rsidRPr="00013697">
        <w:rPr>
          <w:rFonts w:asciiTheme="minorHAnsi" w:hAnsiTheme="minorHAnsi" w:cs="Arial"/>
          <w:b/>
          <w:bCs/>
          <w:color w:val="auto"/>
        </w:rPr>
        <w:t>Table of Materials</w:t>
      </w:r>
      <w:r w:rsidR="007736FA">
        <w:rPr>
          <w:rFonts w:asciiTheme="minorHAnsi" w:hAnsiTheme="minorHAnsi" w:cs="Arial"/>
          <w:color w:val="auto"/>
        </w:rPr>
        <w:t>) for the conversion</w:t>
      </w:r>
      <w:r w:rsidR="005B4B11">
        <w:rPr>
          <w:rFonts w:asciiTheme="minorHAnsi" w:hAnsiTheme="minorHAnsi" w:cs="Arial"/>
          <w:color w:val="auto"/>
        </w:rPr>
        <w:t>.</w:t>
      </w:r>
      <w:r w:rsidRPr="00E339AA">
        <w:rPr>
          <w:rStyle w:val="Hyperlink"/>
          <w:rFonts w:asciiTheme="minorHAnsi" w:hAnsiTheme="minorHAnsi" w:cs="Arial"/>
          <w:iCs/>
          <w:color w:val="auto"/>
          <w:u w:val="none"/>
        </w:rPr>
        <w:t xml:space="preserve"> </w:t>
      </w:r>
      <w:r w:rsidRPr="00E339AA">
        <w:rPr>
          <w:rFonts w:asciiTheme="minorHAnsi" w:hAnsiTheme="minorHAnsi" w:cs="Arial"/>
          <w:color w:val="auto"/>
        </w:rPr>
        <w:t>If only fixed-angle rotor is available, perform this step for 10 min at 1</w:t>
      </w:r>
      <w:r w:rsidR="004A2F45">
        <w:rPr>
          <w:rFonts w:asciiTheme="minorHAnsi" w:hAnsiTheme="minorHAnsi" w:cs="Arial"/>
          <w:color w:val="auto"/>
        </w:rPr>
        <w:t>,</w:t>
      </w:r>
      <w:r w:rsidRPr="00E339AA">
        <w:rPr>
          <w:rFonts w:asciiTheme="minorHAnsi" w:hAnsiTheme="minorHAnsi" w:cs="Arial"/>
          <w:color w:val="auto"/>
        </w:rPr>
        <w:t>500 – 1</w:t>
      </w:r>
      <w:r w:rsidR="004A2F45">
        <w:rPr>
          <w:rFonts w:asciiTheme="minorHAnsi" w:hAnsiTheme="minorHAnsi" w:cs="Arial"/>
          <w:color w:val="auto"/>
        </w:rPr>
        <w:t>,</w:t>
      </w:r>
      <w:r w:rsidRPr="00E339AA">
        <w:rPr>
          <w:rFonts w:asciiTheme="minorHAnsi" w:hAnsiTheme="minorHAnsi" w:cs="Arial"/>
          <w:color w:val="auto"/>
        </w:rPr>
        <w:t xml:space="preserve">800 </w:t>
      </w:r>
      <w:r w:rsidRPr="00E339AA">
        <w:rPr>
          <w:rFonts w:asciiTheme="minorHAnsi" w:hAnsiTheme="minorHAnsi" w:cs="Arial"/>
          <w:i/>
          <w:iCs/>
          <w:color w:val="auto"/>
        </w:rPr>
        <w:t>x g</w:t>
      </w:r>
      <w:r w:rsidRPr="00E339AA">
        <w:rPr>
          <w:rFonts w:asciiTheme="minorHAnsi" w:hAnsiTheme="minorHAnsi" w:cs="Arial"/>
          <w:color w:val="auto"/>
        </w:rPr>
        <w:t>.</w:t>
      </w:r>
    </w:p>
    <w:p w14:paraId="7B240793" w14:textId="77777777" w:rsidR="002E63C2" w:rsidRPr="00E339AA" w:rsidRDefault="002E63C2" w:rsidP="002E63C2">
      <w:pPr>
        <w:pStyle w:val="ListParagraph"/>
        <w:ind w:left="0"/>
        <w:contextualSpacing w:val="0"/>
        <w:rPr>
          <w:rFonts w:asciiTheme="minorHAnsi" w:hAnsiTheme="minorHAnsi" w:cs="Arial"/>
          <w:color w:val="auto"/>
          <w:highlight w:val="yellow"/>
        </w:rPr>
      </w:pPr>
    </w:p>
    <w:p w14:paraId="30438D96" w14:textId="77777777" w:rsidR="002E63C2" w:rsidRPr="00E339AA" w:rsidRDefault="002E63C2" w:rsidP="002E63C2">
      <w:pPr>
        <w:pStyle w:val="ListParagraph"/>
        <w:widowControl/>
        <w:numPr>
          <w:ilvl w:val="0"/>
          <w:numId w:val="31"/>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After centrifugation, check for the presence of a dark red layer under the barrier (containing mostly red blood cells), and 2 layers above the barrier. The top layer is the plasma (straw-colored) and the whitish layer underneath is the buffy coat containing the PBMCs. These layers can be easily distinguished when viewing the tube against a dark/black background.</w:t>
      </w:r>
    </w:p>
    <w:p w14:paraId="2A9B7EA6"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2A5660E6"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r w:rsidRPr="00E339AA">
        <w:rPr>
          <w:rFonts w:asciiTheme="minorHAnsi" w:hAnsiTheme="minorHAnsi" w:cs="Arial"/>
          <w:color w:val="auto"/>
        </w:rPr>
        <w:t xml:space="preserve">[Place </w:t>
      </w:r>
      <w:r w:rsidRPr="00E339AA">
        <w:rPr>
          <w:rFonts w:asciiTheme="minorHAnsi" w:hAnsiTheme="minorHAnsi" w:cs="Arial"/>
          <w:b/>
          <w:color w:val="auto"/>
        </w:rPr>
        <w:t>Figure 2</w:t>
      </w:r>
      <w:r w:rsidRPr="00E339AA">
        <w:rPr>
          <w:rFonts w:asciiTheme="minorHAnsi" w:hAnsiTheme="minorHAnsi" w:cs="Arial"/>
          <w:color w:val="auto"/>
        </w:rPr>
        <w:t xml:space="preserve"> here].</w:t>
      </w:r>
    </w:p>
    <w:p w14:paraId="4ED0330B" w14:textId="77777777" w:rsidR="002E63C2" w:rsidRPr="00E339AA" w:rsidRDefault="002E63C2" w:rsidP="002E63C2">
      <w:pPr>
        <w:widowControl/>
        <w:rPr>
          <w:rFonts w:asciiTheme="minorHAnsi" w:hAnsiTheme="minorHAnsi" w:cs="Arial"/>
          <w:color w:val="auto"/>
        </w:rPr>
      </w:pPr>
    </w:p>
    <w:p w14:paraId="2442FE85" w14:textId="77777777" w:rsidR="002E63C2" w:rsidRPr="00E339AA" w:rsidRDefault="002E63C2" w:rsidP="002E63C2">
      <w:pPr>
        <w:widowControl/>
        <w:rPr>
          <w:rFonts w:asciiTheme="minorHAnsi" w:hAnsiTheme="minorHAnsi" w:cs="Arial"/>
          <w:color w:val="auto"/>
        </w:rPr>
      </w:pPr>
      <w:r w:rsidRPr="00E339AA">
        <w:rPr>
          <w:rFonts w:asciiTheme="minorHAnsi" w:hAnsiTheme="minorHAnsi" w:cs="Arial"/>
          <w:color w:val="auto"/>
        </w:rPr>
        <w:t xml:space="preserve">NOTE: If these layers are not visible, this probably indicates an error in setting up the centrifugation units. Ensure the right centrifuge adapter is used and the correct “x </w:t>
      </w:r>
      <w:r w:rsidRPr="00E339AA">
        <w:rPr>
          <w:rFonts w:asciiTheme="minorHAnsi" w:hAnsiTheme="minorHAnsi" w:cs="Arial"/>
          <w:i/>
          <w:color w:val="auto"/>
        </w:rPr>
        <w:t>g”</w:t>
      </w:r>
      <w:r w:rsidRPr="00E339AA">
        <w:rPr>
          <w:rFonts w:asciiTheme="minorHAnsi" w:hAnsiTheme="minorHAnsi" w:cs="Arial"/>
          <w:color w:val="auto"/>
        </w:rPr>
        <w:t xml:space="preserve"> are set. Repeat step 2.4. </w:t>
      </w:r>
    </w:p>
    <w:p w14:paraId="392AFFC5" w14:textId="77777777" w:rsidR="002E63C2" w:rsidRPr="00E339AA" w:rsidRDefault="002E63C2" w:rsidP="002E63C2">
      <w:pPr>
        <w:widowControl/>
        <w:rPr>
          <w:rFonts w:asciiTheme="minorHAnsi" w:hAnsiTheme="minorHAnsi" w:cs="Arial"/>
          <w:color w:val="auto"/>
          <w:highlight w:val="yellow"/>
        </w:rPr>
      </w:pPr>
    </w:p>
    <w:p w14:paraId="41A2FF09" w14:textId="77777777" w:rsidR="002E63C2" w:rsidRPr="00E339AA" w:rsidRDefault="002E63C2" w:rsidP="002E63C2">
      <w:pPr>
        <w:pStyle w:val="ListParagraph"/>
        <w:widowControl/>
        <w:numPr>
          <w:ilvl w:val="0"/>
          <w:numId w:val="31"/>
        </w:numPr>
        <w:ind w:left="0" w:firstLine="0"/>
        <w:contextualSpacing w:val="0"/>
        <w:rPr>
          <w:rFonts w:asciiTheme="minorHAnsi" w:hAnsiTheme="minorHAnsi" w:cs="Arial"/>
          <w:color w:val="auto"/>
          <w:highlight w:val="yellow"/>
        </w:rPr>
      </w:pPr>
      <w:r w:rsidRPr="00E339AA">
        <w:rPr>
          <w:rFonts w:asciiTheme="minorHAnsi" w:hAnsiTheme="minorHAnsi" w:cs="Arial"/>
          <w:bCs/>
          <w:color w:val="auto"/>
          <w:highlight w:val="yellow"/>
        </w:rPr>
        <w:lastRenderedPageBreak/>
        <w:t>Immediately fo</w:t>
      </w:r>
      <w:r w:rsidRPr="00E339AA">
        <w:rPr>
          <w:rFonts w:asciiTheme="minorHAnsi" w:hAnsiTheme="minorHAnsi" w:cs="Arial"/>
          <w:color w:val="auto"/>
          <w:highlight w:val="yellow"/>
        </w:rPr>
        <w:t xml:space="preserve">llowing centrifugation, use a serological pipette to transfer approximately half of the plasma into a labeled 15 mL size conical centrifuge tube with cap, while being careful to not disturb the PBMC layer (approximately 4-5 mL). Temporarily store this tube with plasma on wet ice to be used later in the </w:t>
      </w:r>
      <w:r w:rsidRPr="00E339AA">
        <w:rPr>
          <w:rFonts w:asciiTheme="minorHAnsi" w:hAnsiTheme="minorHAnsi" w:cs="Arial"/>
          <w:bCs/>
          <w:color w:val="auto"/>
          <w:highlight w:val="yellow"/>
        </w:rPr>
        <w:t>step 4.</w:t>
      </w:r>
      <w:r w:rsidRPr="00E339AA">
        <w:rPr>
          <w:rFonts w:asciiTheme="minorHAnsi" w:hAnsiTheme="minorHAnsi" w:cs="Arial"/>
          <w:color w:val="auto"/>
          <w:highlight w:val="yellow"/>
        </w:rPr>
        <w:t xml:space="preserve"> Set aside for now.</w:t>
      </w:r>
    </w:p>
    <w:p w14:paraId="251EC746"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28CF9B74" w14:textId="77777777" w:rsidR="002E63C2" w:rsidRPr="00E339AA" w:rsidRDefault="002E63C2" w:rsidP="002E63C2">
      <w:pPr>
        <w:pStyle w:val="ListParagraph"/>
        <w:widowControl/>
        <w:numPr>
          <w:ilvl w:val="0"/>
          <w:numId w:val="31"/>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Collect the entire PBMC layer with a Pasteur pipette by placing the pipette within the layer of cells and transfer to a different 15 mL size conical centrifuge tube with cap. It is acceptable to also take a small amount of plasma, if necessary, to completely get all the PBMC layer. The volume is usually 1-2 </w:t>
      </w:r>
      <w:proofErr w:type="spellStart"/>
      <w:r w:rsidRPr="00E339AA">
        <w:rPr>
          <w:rFonts w:asciiTheme="minorHAnsi" w:hAnsiTheme="minorHAnsi" w:cs="Arial"/>
          <w:color w:val="auto"/>
          <w:highlight w:val="yellow"/>
        </w:rPr>
        <w:t>mL.</w:t>
      </w:r>
      <w:proofErr w:type="spellEnd"/>
      <w:r w:rsidRPr="00E339AA">
        <w:rPr>
          <w:rFonts w:asciiTheme="minorHAnsi" w:hAnsiTheme="minorHAnsi" w:cs="Arial"/>
          <w:color w:val="auto"/>
          <w:highlight w:val="yellow"/>
        </w:rPr>
        <w:t xml:space="preserve"> Immediately continue with the step 3 below.</w:t>
      </w:r>
    </w:p>
    <w:p w14:paraId="3F8B6E82" w14:textId="77777777" w:rsidR="002E63C2" w:rsidRPr="00E339AA" w:rsidRDefault="002E63C2" w:rsidP="002E63C2">
      <w:pPr>
        <w:rPr>
          <w:rFonts w:cs="Frutiger-Light"/>
          <w:color w:val="auto"/>
          <w:highlight w:val="yellow"/>
        </w:rPr>
      </w:pPr>
    </w:p>
    <w:p w14:paraId="631B41FF" w14:textId="77777777" w:rsidR="002E63C2" w:rsidRPr="00E339AA" w:rsidRDefault="002E63C2" w:rsidP="002E63C2">
      <w:pPr>
        <w:rPr>
          <w:rFonts w:cs="Arial"/>
          <w:b/>
          <w:color w:val="auto"/>
          <w:highlight w:val="yellow"/>
        </w:rPr>
      </w:pPr>
      <w:r w:rsidRPr="00E339AA">
        <w:rPr>
          <w:rFonts w:cs="Arial"/>
          <w:b/>
          <w:color w:val="auto"/>
          <w:highlight w:val="yellow"/>
        </w:rPr>
        <w:t>3. PBMC washing steps</w:t>
      </w:r>
    </w:p>
    <w:p w14:paraId="27BFCC7F" w14:textId="77777777" w:rsidR="002E63C2" w:rsidRPr="00E339AA" w:rsidRDefault="002E63C2" w:rsidP="002E63C2">
      <w:pPr>
        <w:rPr>
          <w:rFonts w:cs="Arial"/>
          <w:color w:val="auto"/>
        </w:rPr>
      </w:pPr>
    </w:p>
    <w:p w14:paraId="0414FD75" w14:textId="77777777" w:rsidR="002E63C2" w:rsidRPr="00E339AA" w:rsidRDefault="002E63C2" w:rsidP="002E63C2">
      <w:pPr>
        <w:rPr>
          <w:rFonts w:cs="Arial"/>
          <w:color w:val="auto"/>
        </w:rPr>
      </w:pPr>
      <w:r w:rsidRPr="00E339AA">
        <w:rPr>
          <w:rFonts w:cs="Arial"/>
          <w:color w:val="auto"/>
        </w:rPr>
        <w:t xml:space="preserve">NOTE: The purpose of the wash steps is to dilute out and remove residual platelets and plasma from the PBMC pellet. All centrifugation steps should be performed at room temperature (18-25 </w:t>
      </w:r>
      <w:r w:rsidRPr="00E339AA">
        <w:rPr>
          <w:color w:val="auto"/>
        </w:rPr>
        <w:t>˚</w:t>
      </w:r>
      <w:r w:rsidRPr="00E339AA">
        <w:rPr>
          <w:rFonts w:cs="Arial"/>
          <w:color w:val="auto"/>
        </w:rPr>
        <w:t xml:space="preserve">C). </w:t>
      </w:r>
    </w:p>
    <w:p w14:paraId="344C1266" w14:textId="77777777" w:rsidR="002E63C2" w:rsidRPr="00E339AA" w:rsidRDefault="002E63C2" w:rsidP="002E63C2">
      <w:pPr>
        <w:rPr>
          <w:rFonts w:cs="Arial"/>
          <w:b/>
          <w:color w:val="auto"/>
          <w:highlight w:val="yellow"/>
        </w:rPr>
      </w:pPr>
    </w:p>
    <w:p w14:paraId="656AA2ED" w14:textId="77777777" w:rsidR="002E63C2" w:rsidRPr="00E339AA" w:rsidRDefault="002E63C2" w:rsidP="002E63C2">
      <w:pPr>
        <w:pStyle w:val="ListParagraph"/>
        <w:widowControl/>
        <w:numPr>
          <w:ilvl w:val="0"/>
          <w:numId w:val="33"/>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Add room temperature PBS to the PBMC tube to bring the volume to 15 </w:t>
      </w:r>
      <w:proofErr w:type="spellStart"/>
      <w:r w:rsidRPr="00E339AA">
        <w:rPr>
          <w:rFonts w:asciiTheme="minorHAnsi" w:hAnsiTheme="minorHAnsi" w:cs="Arial"/>
          <w:color w:val="auto"/>
          <w:highlight w:val="yellow"/>
        </w:rPr>
        <w:t>mL.</w:t>
      </w:r>
      <w:proofErr w:type="spellEnd"/>
      <w:r w:rsidRPr="00E339AA">
        <w:rPr>
          <w:rFonts w:asciiTheme="minorHAnsi" w:hAnsiTheme="minorHAnsi" w:cs="Arial"/>
          <w:color w:val="auto"/>
          <w:highlight w:val="yellow"/>
        </w:rPr>
        <w:t xml:space="preserve"> Cap the tube. Mix cells by gently inverting the tube 5</w:t>
      </w:r>
      <w:r>
        <w:rPr>
          <w:rFonts w:asciiTheme="minorHAnsi" w:hAnsiTheme="minorHAnsi" w:cs="Arial"/>
          <w:color w:val="auto"/>
          <w:highlight w:val="yellow"/>
        </w:rPr>
        <w:t xml:space="preserve"> times</w:t>
      </w:r>
      <w:r w:rsidRPr="00E339AA">
        <w:rPr>
          <w:rFonts w:asciiTheme="minorHAnsi" w:hAnsiTheme="minorHAnsi" w:cs="Arial"/>
          <w:color w:val="auto"/>
          <w:highlight w:val="yellow"/>
        </w:rPr>
        <w:t>.</w:t>
      </w:r>
    </w:p>
    <w:p w14:paraId="46F95010"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65815A37" w14:textId="77777777" w:rsidR="002E63C2" w:rsidRPr="00E339AA" w:rsidRDefault="002E63C2" w:rsidP="002E63C2">
      <w:pPr>
        <w:pStyle w:val="ListParagraph"/>
        <w:widowControl/>
        <w:numPr>
          <w:ilvl w:val="0"/>
          <w:numId w:val="33"/>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Centrifuge for 15 min at 300 </w:t>
      </w:r>
      <w:r w:rsidRPr="00E339AA">
        <w:rPr>
          <w:rFonts w:asciiTheme="minorHAnsi" w:hAnsiTheme="minorHAnsi" w:cs="Arial"/>
          <w:i/>
          <w:iCs/>
          <w:color w:val="auto"/>
          <w:highlight w:val="yellow"/>
        </w:rPr>
        <w:t>x g</w:t>
      </w:r>
      <w:r w:rsidRPr="00E339AA">
        <w:rPr>
          <w:rFonts w:asciiTheme="minorHAnsi" w:hAnsiTheme="minorHAnsi" w:cs="Arial"/>
          <w:color w:val="auto"/>
          <w:highlight w:val="yellow"/>
        </w:rPr>
        <w:t xml:space="preserve">. Note that this is a much gentler centrifugation than the initial centrifugation. </w:t>
      </w:r>
    </w:p>
    <w:p w14:paraId="2E6ED91B" w14:textId="77777777" w:rsidR="002E63C2" w:rsidRPr="00E339AA" w:rsidRDefault="002E63C2" w:rsidP="002E63C2">
      <w:pPr>
        <w:pStyle w:val="ListParagraph"/>
        <w:ind w:left="0"/>
        <w:rPr>
          <w:rFonts w:asciiTheme="minorHAnsi" w:hAnsiTheme="minorHAnsi" w:cs="Arial"/>
          <w:color w:val="auto"/>
          <w:highlight w:val="yellow"/>
        </w:rPr>
      </w:pPr>
    </w:p>
    <w:p w14:paraId="6D8BB493" w14:textId="77777777" w:rsidR="002E63C2" w:rsidRPr="00E339AA" w:rsidRDefault="002E63C2" w:rsidP="002E63C2">
      <w:pPr>
        <w:pStyle w:val="ListParagraph"/>
        <w:widowControl/>
        <w:numPr>
          <w:ilvl w:val="0"/>
          <w:numId w:val="33"/>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Visualize the pellet by viewing the tube against a dark/black background. Remove the supernatant by vacuum aspiration or with a pipette (</w:t>
      </w:r>
      <w:r w:rsidRPr="00E339AA">
        <w:rPr>
          <w:rFonts w:asciiTheme="minorHAnsi" w:hAnsiTheme="minorHAnsi" w:cs="Arial"/>
          <w:b/>
          <w:bCs/>
          <w:color w:val="auto"/>
          <w:highlight w:val="yellow"/>
        </w:rPr>
        <w:t>Figure 3A</w:t>
      </w:r>
      <w:r w:rsidRPr="00E339AA">
        <w:rPr>
          <w:rFonts w:asciiTheme="minorHAnsi" w:hAnsiTheme="minorHAnsi" w:cs="Arial"/>
          <w:color w:val="auto"/>
          <w:highlight w:val="yellow"/>
        </w:rPr>
        <w:t xml:space="preserve">). Discard the supernatant leaving a volume of approximately 500 </w:t>
      </w:r>
      <w:r w:rsidRPr="00E339AA">
        <w:rPr>
          <w:rFonts w:ascii="Symbol" w:hAnsi="Symbol" w:cs="Arial"/>
          <w:color w:val="auto"/>
          <w:highlight w:val="yellow"/>
        </w:rPr>
        <w:t></w:t>
      </w:r>
      <w:r w:rsidRPr="00E339AA">
        <w:rPr>
          <w:rFonts w:asciiTheme="minorHAnsi" w:hAnsiTheme="minorHAnsi" w:cs="Arial"/>
          <w:color w:val="auto"/>
          <w:highlight w:val="yellow"/>
        </w:rPr>
        <w:t>L above the whitish colored PBMC pellet.</w:t>
      </w:r>
    </w:p>
    <w:p w14:paraId="239B6E74" w14:textId="77777777" w:rsidR="002E63C2" w:rsidRPr="00E339AA" w:rsidRDefault="002E63C2" w:rsidP="002E63C2">
      <w:pPr>
        <w:rPr>
          <w:rFonts w:asciiTheme="minorHAnsi" w:hAnsiTheme="minorHAnsi" w:cs="Arial"/>
          <w:color w:val="auto"/>
        </w:rPr>
      </w:pPr>
    </w:p>
    <w:p w14:paraId="1CE92625" w14:textId="77777777" w:rsidR="002E63C2" w:rsidRPr="00E339AA" w:rsidRDefault="002E63C2" w:rsidP="002E63C2">
      <w:pPr>
        <w:rPr>
          <w:rFonts w:asciiTheme="minorHAnsi" w:hAnsiTheme="minorHAnsi" w:cs="Arial"/>
          <w:color w:val="auto"/>
        </w:rPr>
      </w:pPr>
      <w:r w:rsidRPr="00E339AA">
        <w:rPr>
          <w:rFonts w:asciiTheme="minorHAnsi" w:hAnsiTheme="minorHAnsi" w:cs="Arial"/>
          <w:color w:val="auto"/>
        </w:rPr>
        <w:t xml:space="preserve">[Place </w:t>
      </w:r>
      <w:r w:rsidRPr="00E339AA">
        <w:rPr>
          <w:rFonts w:asciiTheme="minorHAnsi" w:hAnsiTheme="minorHAnsi" w:cs="Arial"/>
          <w:b/>
          <w:color w:val="auto"/>
        </w:rPr>
        <w:t>Figure 3</w:t>
      </w:r>
      <w:r w:rsidRPr="00E339AA">
        <w:rPr>
          <w:rFonts w:asciiTheme="minorHAnsi" w:hAnsiTheme="minorHAnsi" w:cs="Arial"/>
          <w:color w:val="auto"/>
        </w:rPr>
        <w:t xml:space="preserve"> here].</w:t>
      </w:r>
    </w:p>
    <w:p w14:paraId="3769104A" w14:textId="77777777" w:rsidR="002E63C2" w:rsidRPr="00E339AA" w:rsidRDefault="002E63C2" w:rsidP="002E63C2">
      <w:pPr>
        <w:rPr>
          <w:rFonts w:asciiTheme="minorHAnsi" w:hAnsiTheme="minorHAnsi" w:cs="Arial"/>
          <w:color w:val="auto"/>
        </w:rPr>
      </w:pPr>
    </w:p>
    <w:p w14:paraId="54A2BF39" w14:textId="77777777" w:rsidR="002E63C2" w:rsidRPr="00E339AA" w:rsidRDefault="002E63C2" w:rsidP="002E63C2">
      <w:pPr>
        <w:pStyle w:val="ListParagraph"/>
        <w:widowControl/>
        <w:numPr>
          <w:ilvl w:val="0"/>
          <w:numId w:val="33"/>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Resuspend the cell pellet by gently pipetting up and down in the residual supernatant.</w:t>
      </w:r>
    </w:p>
    <w:p w14:paraId="028ECD78"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3B6D2D51" w14:textId="191ED83F" w:rsidR="002E63C2" w:rsidRPr="00E339AA" w:rsidRDefault="002E63C2" w:rsidP="002E63C2">
      <w:pPr>
        <w:pStyle w:val="ListParagraph"/>
        <w:widowControl/>
        <w:numPr>
          <w:ilvl w:val="0"/>
          <w:numId w:val="33"/>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Add additional 1x PBS to bring the volume to 10 </w:t>
      </w:r>
      <w:proofErr w:type="spellStart"/>
      <w:r w:rsidRPr="00E339AA">
        <w:rPr>
          <w:rFonts w:asciiTheme="minorHAnsi" w:hAnsiTheme="minorHAnsi" w:cs="Arial"/>
          <w:color w:val="auto"/>
          <w:highlight w:val="yellow"/>
        </w:rPr>
        <w:t>mL.</w:t>
      </w:r>
      <w:proofErr w:type="spellEnd"/>
      <w:r w:rsidRPr="00E339AA">
        <w:rPr>
          <w:rFonts w:asciiTheme="minorHAnsi" w:hAnsiTheme="minorHAnsi" w:cs="Arial"/>
          <w:color w:val="auto"/>
          <w:highlight w:val="yellow"/>
        </w:rPr>
        <w:t xml:space="preserve"> Cap the tube. Mix the cells by inverting the tube gently 5x. If cell counting is required in the study protocol go to step 3.5.1, if not required move directly to step 3.6.</w:t>
      </w:r>
    </w:p>
    <w:p w14:paraId="66704329" w14:textId="77777777" w:rsidR="002E63C2" w:rsidRPr="00E339AA" w:rsidRDefault="002E63C2" w:rsidP="002E63C2">
      <w:pPr>
        <w:pStyle w:val="ListParagraph"/>
        <w:ind w:left="0"/>
        <w:rPr>
          <w:rFonts w:asciiTheme="minorHAnsi" w:hAnsiTheme="minorHAnsi" w:cs="Arial"/>
          <w:color w:val="auto"/>
          <w:highlight w:val="yellow"/>
        </w:rPr>
      </w:pPr>
    </w:p>
    <w:p w14:paraId="7BCD585A" w14:textId="77777777" w:rsidR="002E63C2" w:rsidRPr="00E339AA" w:rsidRDefault="002E63C2" w:rsidP="002E63C2">
      <w:pPr>
        <w:pStyle w:val="ListParagraph"/>
        <w:widowControl/>
        <w:numPr>
          <w:ilvl w:val="2"/>
          <w:numId w:val="40"/>
        </w:numPr>
        <w:ind w:left="0" w:firstLine="0"/>
        <w:rPr>
          <w:rFonts w:asciiTheme="minorHAnsi" w:hAnsiTheme="minorHAnsi" w:cs="Arial"/>
          <w:color w:val="auto"/>
          <w:highlight w:val="yellow"/>
        </w:rPr>
      </w:pPr>
      <w:r w:rsidRPr="00E339AA">
        <w:rPr>
          <w:rFonts w:asciiTheme="minorHAnsi" w:hAnsiTheme="minorHAnsi" w:cs="Arial"/>
          <w:color w:val="auto"/>
          <w:highlight w:val="yellow"/>
        </w:rPr>
        <w:t xml:space="preserve">Take a 40 </w:t>
      </w:r>
      <w:r w:rsidRPr="00E339AA">
        <w:rPr>
          <w:highlight w:val="yellow"/>
        </w:rPr>
        <w:sym w:font="Symbol" w:char="F06D"/>
      </w:r>
      <w:r w:rsidRPr="00E339AA">
        <w:rPr>
          <w:rFonts w:asciiTheme="minorHAnsi" w:hAnsiTheme="minorHAnsi" w:cs="Arial"/>
          <w:color w:val="auto"/>
          <w:highlight w:val="yellow"/>
        </w:rPr>
        <w:t xml:space="preserve">L aliquot of the re-suspended cells and mix with 40 </w:t>
      </w:r>
      <w:r w:rsidRPr="00E339AA">
        <w:rPr>
          <w:highlight w:val="yellow"/>
        </w:rPr>
        <w:sym w:font="Symbol" w:char="F06D"/>
      </w:r>
      <w:r w:rsidRPr="00E339AA">
        <w:rPr>
          <w:rFonts w:asciiTheme="minorHAnsi" w:hAnsiTheme="minorHAnsi" w:cs="Arial"/>
          <w:color w:val="auto"/>
          <w:highlight w:val="yellow"/>
        </w:rPr>
        <w:t>L of trypan blue. Count the viable cells using a hemocytometer or an automatic cell counter.</w:t>
      </w:r>
    </w:p>
    <w:p w14:paraId="0FC37A72"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593D23BB" w14:textId="77777777" w:rsidR="002E63C2" w:rsidRPr="00E339AA" w:rsidRDefault="002E63C2" w:rsidP="002E63C2">
      <w:pPr>
        <w:pStyle w:val="ListParagraph"/>
        <w:widowControl/>
        <w:numPr>
          <w:ilvl w:val="0"/>
          <w:numId w:val="33"/>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Centrifuge the suspension from step 3.5 for 10 min at 300 </w:t>
      </w:r>
      <w:r w:rsidRPr="00E339AA">
        <w:rPr>
          <w:rFonts w:asciiTheme="minorHAnsi" w:hAnsiTheme="minorHAnsi" w:cs="Arial"/>
          <w:i/>
          <w:iCs/>
          <w:color w:val="auto"/>
          <w:highlight w:val="yellow"/>
        </w:rPr>
        <w:t>x g</w:t>
      </w:r>
      <w:r w:rsidRPr="00E339AA">
        <w:rPr>
          <w:rFonts w:asciiTheme="minorHAnsi" w:hAnsiTheme="minorHAnsi" w:cs="Arial"/>
          <w:color w:val="auto"/>
          <w:highlight w:val="yellow"/>
        </w:rPr>
        <w:t>. Remove as much supernatant as is reasonably possible without disturbing the cell pellet.</w:t>
      </w:r>
    </w:p>
    <w:p w14:paraId="19909F3E" w14:textId="77777777" w:rsidR="002E63C2" w:rsidRPr="00E339AA" w:rsidRDefault="002E63C2" w:rsidP="002E63C2">
      <w:pPr>
        <w:pStyle w:val="ListParagraph"/>
        <w:widowControl/>
        <w:ind w:left="0"/>
        <w:contextualSpacing w:val="0"/>
        <w:rPr>
          <w:rFonts w:asciiTheme="minorHAnsi" w:hAnsiTheme="minorHAnsi" w:cs="Arial"/>
          <w:color w:val="auto"/>
          <w:highlight w:val="yellow"/>
        </w:rPr>
      </w:pPr>
    </w:p>
    <w:p w14:paraId="5C39CCFC" w14:textId="77777777" w:rsidR="002E63C2" w:rsidRPr="00E339AA" w:rsidRDefault="002E63C2" w:rsidP="002E63C2">
      <w:pPr>
        <w:pStyle w:val="ListParagraph"/>
        <w:widowControl/>
        <w:numPr>
          <w:ilvl w:val="0"/>
          <w:numId w:val="33"/>
        </w:numPr>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Carefully remove and discard any remaining supernatant above the cell pellet by pipetting using a fine tip Pasteur pipette or a micropipette</w:t>
      </w:r>
      <w:r w:rsidRPr="00E339AA" w:rsidDel="000554E5">
        <w:rPr>
          <w:rFonts w:asciiTheme="minorHAnsi" w:hAnsiTheme="minorHAnsi" w:cs="Arial"/>
          <w:color w:val="auto"/>
          <w:highlight w:val="yellow"/>
        </w:rPr>
        <w:t xml:space="preserve"> </w:t>
      </w:r>
      <w:r w:rsidRPr="00E339AA">
        <w:rPr>
          <w:rFonts w:asciiTheme="minorHAnsi" w:hAnsiTheme="minorHAnsi" w:cs="Arial"/>
          <w:color w:val="auto"/>
          <w:highlight w:val="yellow"/>
        </w:rPr>
        <w:t>without disturbing the cell pellet. Leave little to no liquid above the pellet after completing this step. If the endpoint of this protocol is a PBMC pellet move to step 3.8</w:t>
      </w:r>
      <w:r>
        <w:rPr>
          <w:rFonts w:asciiTheme="minorHAnsi" w:hAnsiTheme="minorHAnsi" w:cs="Arial"/>
          <w:color w:val="auto"/>
          <w:highlight w:val="yellow"/>
        </w:rPr>
        <w:t>;</w:t>
      </w:r>
      <w:r w:rsidRPr="00E339AA">
        <w:rPr>
          <w:rFonts w:asciiTheme="minorHAnsi" w:hAnsiTheme="minorHAnsi" w:cs="Arial"/>
          <w:color w:val="auto"/>
          <w:highlight w:val="yellow"/>
        </w:rPr>
        <w:t xml:space="preserve"> if the endpoint is cryopreserved PBMCs go to step 3.10. </w:t>
      </w:r>
    </w:p>
    <w:p w14:paraId="3079D9FB" w14:textId="77777777" w:rsidR="002E63C2" w:rsidRPr="00E339AA" w:rsidRDefault="002E63C2" w:rsidP="002E63C2">
      <w:pPr>
        <w:pStyle w:val="ListParagraph"/>
        <w:ind w:left="0"/>
        <w:contextualSpacing w:val="0"/>
        <w:rPr>
          <w:rFonts w:asciiTheme="minorHAnsi" w:hAnsiTheme="minorHAnsi" w:cs="Arial"/>
          <w:color w:val="auto"/>
          <w:highlight w:val="yellow"/>
        </w:rPr>
      </w:pPr>
    </w:p>
    <w:p w14:paraId="4DAC4461" w14:textId="77777777" w:rsidR="002E63C2" w:rsidRPr="00E339AA" w:rsidRDefault="002E63C2" w:rsidP="002E63C2">
      <w:pPr>
        <w:pStyle w:val="ListParagraph"/>
        <w:widowControl/>
        <w:numPr>
          <w:ilvl w:val="0"/>
          <w:numId w:val="33"/>
        </w:numPr>
        <w:ind w:left="0" w:firstLine="0"/>
        <w:contextualSpacing w:val="0"/>
        <w:rPr>
          <w:rFonts w:asciiTheme="minorHAnsi" w:hAnsiTheme="minorHAnsi" w:cs="Arial"/>
          <w:bCs/>
          <w:color w:val="auto"/>
          <w:highlight w:val="yellow"/>
        </w:rPr>
      </w:pPr>
      <w:r w:rsidRPr="00E339AA">
        <w:rPr>
          <w:rFonts w:asciiTheme="minorHAnsi" w:hAnsiTheme="minorHAnsi" w:cs="Arial"/>
          <w:color w:val="auto"/>
          <w:highlight w:val="yellow"/>
        </w:rPr>
        <w:t xml:space="preserve">Add 50 µL of new PBS (or the supplemented PBS prepared in step 1.5 if applicable to your endpoint) to the pellet and pipette up and down gently using a micropipette to homogenously resuspend all the cells. Transfer the entire cell suspension to a </w:t>
      </w:r>
      <w:r w:rsidRPr="00E339AA">
        <w:rPr>
          <w:rFonts w:asciiTheme="minorHAnsi" w:hAnsiTheme="minorHAnsi" w:cs="Arial"/>
          <w:bCs/>
          <w:color w:val="auto"/>
          <w:highlight w:val="yellow"/>
        </w:rPr>
        <w:t>labeled 1.5 mL cryovial and immediately place on wet ice until freezing the samples.</w:t>
      </w:r>
    </w:p>
    <w:p w14:paraId="64C8210A" w14:textId="77777777" w:rsidR="002E63C2" w:rsidRPr="00E339AA" w:rsidRDefault="002E63C2" w:rsidP="002E63C2">
      <w:pPr>
        <w:pStyle w:val="ListParagraph"/>
        <w:ind w:left="0"/>
        <w:contextualSpacing w:val="0"/>
        <w:rPr>
          <w:rFonts w:asciiTheme="minorHAnsi" w:hAnsiTheme="minorHAnsi" w:cs="Arial"/>
          <w:color w:val="auto"/>
          <w:highlight w:val="yellow"/>
        </w:rPr>
      </w:pPr>
    </w:p>
    <w:p w14:paraId="6CA87ABC" w14:textId="77777777" w:rsidR="002E63C2" w:rsidRPr="00E339AA" w:rsidRDefault="002E63C2" w:rsidP="002E63C2">
      <w:pPr>
        <w:pStyle w:val="ListParagraph"/>
        <w:widowControl/>
        <w:numPr>
          <w:ilvl w:val="0"/>
          <w:numId w:val="33"/>
        </w:numPr>
        <w:shd w:val="clear" w:color="auto" w:fill="FFFFFF"/>
        <w:autoSpaceDE/>
        <w:autoSpaceDN/>
        <w:adjustRightInd/>
        <w:ind w:left="0" w:firstLine="0"/>
        <w:contextualSpacing w:val="0"/>
        <w:rPr>
          <w:rFonts w:asciiTheme="minorHAnsi" w:hAnsiTheme="minorHAnsi" w:cs="Arial"/>
          <w:color w:val="auto"/>
          <w:highlight w:val="yellow"/>
        </w:rPr>
      </w:pPr>
      <w:r w:rsidRPr="00E339AA">
        <w:rPr>
          <w:rFonts w:asciiTheme="minorHAnsi" w:hAnsiTheme="minorHAnsi" w:cs="Arial"/>
          <w:color w:val="auto"/>
          <w:highlight w:val="yellow"/>
        </w:rPr>
        <w:t xml:space="preserve">Freeze the labeled samples by placing them in liquid nitrogen or directly in dry ice. Cells can also be frozen at -80 </w:t>
      </w:r>
      <w:r w:rsidRPr="00E339AA">
        <w:rPr>
          <w:rFonts w:asciiTheme="minorHAnsi" w:hAnsiTheme="minorHAnsi" w:cstheme="minorHAnsi"/>
          <w:color w:val="auto"/>
          <w:highlight w:val="yellow"/>
        </w:rPr>
        <w:t>˚</w:t>
      </w:r>
      <w:r w:rsidRPr="00E339AA">
        <w:rPr>
          <w:rFonts w:asciiTheme="minorHAnsi" w:hAnsiTheme="minorHAnsi" w:cs="Arial"/>
          <w:color w:val="auto"/>
          <w:highlight w:val="yellow"/>
        </w:rPr>
        <w:t xml:space="preserve">C freezer using cell freezing boxes. In this case, prechill the boxes completely in – 80 </w:t>
      </w:r>
      <w:r w:rsidRPr="00E339AA">
        <w:rPr>
          <w:rFonts w:asciiTheme="minorHAnsi" w:hAnsiTheme="minorHAnsi" w:cstheme="minorHAnsi"/>
          <w:color w:val="auto"/>
          <w:highlight w:val="yellow"/>
        </w:rPr>
        <w:t>˚</w:t>
      </w:r>
      <w:r w:rsidRPr="00E339AA">
        <w:rPr>
          <w:rFonts w:asciiTheme="minorHAnsi" w:hAnsiTheme="minorHAnsi" w:cs="Arial"/>
          <w:color w:val="auto"/>
          <w:highlight w:val="yellow"/>
        </w:rPr>
        <w:t xml:space="preserve">C before adding the cell tubes. </w:t>
      </w:r>
      <w:r w:rsidRPr="00E339AA">
        <w:rPr>
          <w:rFonts w:asciiTheme="minorHAnsi" w:hAnsiTheme="minorHAnsi" w:cs="Arial"/>
          <w:iCs/>
          <w:color w:val="auto"/>
          <w:highlight w:val="yellow"/>
        </w:rPr>
        <w:t xml:space="preserve">Record the time at which cell pellets were frozen. Once cells freeze, </w:t>
      </w:r>
      <w:r w:rsidRPr="00E339AA">
        <w:rPr>
          <w:rFonts w:asciiTheme="minorHAnsi" w:hAnsiTheme="minorHAnsi" w:cs="Arial"/>
          <w:color w:val="auto"/>
          <w:highlight w:val="yellow"/>
        </w:rPr>
        <w:t xml:space="preserve">store at -80 </w:t>
      </w:r>
      <w:r w:rsidRPr="00E339AA">
        <w:rPr>
          <w:rFonts w:asciiTheme="minorHAnsi" w:hAnsiTheme="minorHAnsi" w:cstheme="minorHAnsi"/>
          <w:color w:val="auto"/>
          <w:highlight w:val="yellow"/>
        </w:rPr>
        <w:t>˚</w:t>
      </w:r>
      <w:r w:rsidRPr="00E339AA">
        <w:rPr>
          <w:rFonts w:asciiTheme="minorHAnsi" w:hAnsiTheme="minorHAnsi" w:cs="Arial"/>
          <w:color w:val="auto"/>
          <w:highlight w:val="yellow"/>
        </w:rPr>
        <w:t>C, ship frozen on dry ice.</w:t>
      </w:r>
    </w:p>
    <w:p w14:paraId="1679730A" w14:textId="77777777" w:rsidR="002E63C2" w:rsidRPr="00E339AA" w:rsidRDefault="002E63C2" w:rsidP="002E63C2">
      <w:pPr>
        <w:pStyle w:val="ListParagraph"/>
        <w:ind w:left="0"/>
        <w:rPr>
          <w:rFonts w:asciiTheme="minorHAnsi" w:hAnsiTheme="minorHAnsi" w:cs="Arial"/>
          <w:color w:val="auto"/>
        </w:rPr>
      </w:pPr>
    </w:p>
    <w:p w14:paraId="4C3EFA1C" w14:textId="07B59B2E" w:rsidR="002E63C2" w:rsidRPr="00C17286" w:rsidRDefault="002E63C2" w:rsidP="002E63C2">
      <w:pPr>
        <w:pStyle w:val="ListParagraph"/>
        <w:widowControl/>
        <w:numPr>
          <w:ilvl w:val="0"/>
          <w:numId w:val="33"/>
        </w:numPr>
        <w:shd w:val="clear" w:color="auto" w:fill="FFFFFF"/>
        <w:autoSpaceDE/>
        <w:autoSpaceDN/>
        <w:adjustRightInd/>
        <w:ind w:left="0" w:firstLine="0"/>
        <w:contextualSpacing w:val="0"/>
        <w:rPr>
          <w:rFonts w:asciiTheme="minorHAnsi" w:hAnsiTheme="minorHAnsi" w:cs="Arial"/>
          <w:color w:val="auto"/>
          <w:highlight w:val="yellow"/>
        </w:rPr>
      </w:pPr>
      <w:r w:rsidRPr="00C17286">
        <w:rPr>
          <w:rFonts w:asciiTheme="minorHAnsi" w:hAnsiTheme="minorHAnsi"/>
          <w:color w:val="auto"/>
          <w:highlight w:val="yellow"/>
        </w:rPr>
        <w:t xml:space="preserve">Optionally, to cryopreserve the PBMCs re-suspend the pellet in 1 mL of the freezing mixture (step 1.6) and transfer to a labeled cryovial. Continue </w:t>
      </w:r>
      <w:r w:rsidR="00013697">
        <w:rPr>
          <w:rFonts w:asciiTheme="minorHAnsi" w:hAnsiTheme="minorHAnsi"/>
          <w:color w:val="auto"/>
          <w:highlight w:val="yellow"/>
        </w:rPr>
        <w:t>as described in</w:t>
      </w:r>
      <w:r w:rsidRPr="00C17286">
        <w:rPr>
          <w:rFonts w:asciiTheme="minorHAnsi" w:hAnsiTheme="minorHAnsi"/>
          <w:color w:val="auto"/>
          <w:highlight w:val="yellow"/>
        </w:rPr>
        <w:t xml:space="preserve"> step 3.9, but, in this case, it is only acceptable to use cell freezing boxes to freeze down the samples. Transfer to liquid nitrogen for shipping and storage after being in the freezing box for a minimum of 24 h.</w:t>
      </w:r>
    </w:p>
    <w:p w14:paraId="270DD5D8" w14:textId="77777777" w:rsidR="002E63C2" w:rsidRPr="00E339AA" w:rsidRDefault="002E63C2" w:rsidP="002E63C2">
      <w:pPr>
        <w:rPr>
          <w:rFonts w:cs="Arial"/>
          <w:color w:val="auto"/>
          <w:highlight w:val="yellow"/>
        </w:rPr>
      </w:pPr>
      <w:bookmarkStart w:id="1" w:name="_Hlk34053321"/>
    </w:p>
    <w:p w14:paraId="58D198DB" w14:textId="77777777" w:rsidR="002E63C2" w:rsidRPr="00E339AA" w:rsidRDefault="002E63C2" w:rsidP="002E63C2">
      <w:pPr>
        <w:rPr>
          <w:rFonts w:cs="Arial"/>
          <w:b/>
          <w:color w:val="auto"/>
          <w:highlight w:val="yellow"/>
        </w:rPr>
      </w:pPr>
      <w:r w:rsidRPr="00E339AA">
        <w:rPr>
          <w:rFonts w:cs="Arial"/>
          <w:b/>
          <w:color w:val="auto"/>
          <w:highlight w:val="yellow"/>
        </w:rPr>
        <w:t>4. Plasma preparation steps (Figure 1A)</w:t>
      </w:r>
    </w:p>
    <w:bookmarkEnd w:id="1"/>
    <w:p w14:paraId="7BE1FE25" w14:textId="77777777" w:rsidR="002E63C2" w:rsidRPr="00E339AA" w:rsidRDefault="002E63C2" w:rsidP="002E63C2">
      <w:pPr>
        <w:rPr>
          <w:rFonts w:cs="Arial"/>
          <w:color w:val="auto"/>
          <w:highlight w:val="yellow"/>
        </w:rPr>
      </w:pPr>
    </w:p>
    <w:p w14:paraId="27DFC38F" w14:textId="77777777" w:rsidR="002E63C2" w:rsidRPr="00E339AA" w:rsidRDefault="002E63C2" w:rsidP="002E63C2">
      <w:pPr>
        <w:rPr>
          <w:rFonts w:cs="Arial"/>
          <w:color w:val="auto"/>
          <w:highlight w:val="yellow"/>
        </w:rPr>
      </w:pPr>
      <w:r w:rsidRPr="00E339AA">
        <w:rPr>
          <w:rFonts w:asciiTheme="minorHAnsi" w:hAnsiTheme="minorHAnsi" w:cs="Arial"/>
          <w:color w:val="auto"/>
          <w:highlight w:val="yellow"/>
        </w:rPr>
        <w:t xml:space="preserve">4.1. Following -80 </w:t>
      </w:r>
      <w:r w:rsidRPr="00E339AA">
        <w:rPr>
          <w:rFonts w:asciiTheme="minorHAnsi" w:hAnsiTheme="minorHAnsi" w:cstheme="minorHAnsi"/>
          <w:color w:val="auto"/>
          <w:highlight w:val="yellow"/>
        </w:rPr>
        <w:t>˚</w:t>
      </w:r>
      <w:r w:rsidRPr="00E339AA">
        <w:rPr>
          <w:rFonts w:asciiTheme="minorHAnsi" w:hAnsiTheme="minorHAnsi" w:cs="Arial"/>
          <w:color w:val="auto"/>
          <w:highlight w:val="yellow"/>
        </w:rPr>
        <w:t xml:space="preserve">C storage of the PBMC pellets, now prepare the plasma aliquot that was temporarily stored on wet ice in step 2.6. Perform the following centrifugation steps to clarify the plasma </w:t>
      </w:r>
      <w:r w:rsidRPr="00E339AA">
        <w:rPr>
          <w:rFonts w:cs="Arial"/>
          <w:color w:val="auto"/>
          <w:highlight w:val="yellow"/>
        </w:rPr>
        <w:t xml:space="preserve">if the purpose of the sample is </w:t>
      </w:r>
      <w:proofErr w:type="spellStart"/>
      <w:r w:rsidRPr="00E339AA">
        <w:rPr>
          <w:rFonts w:cs="Arial"/>
          <w:color w:val="auto"/>
          <w:highlight w:val="yellow"/>
        </w:rPr>
        <w:t>ctDNA</w:t>
      </w:r>
      <w:proofErr w:type="spellEnd"/>
      <w:r w:rsidRPr="00E339AA">
        <w:rPr>
          <w:rFonts w:cs="Arial"/>
          <w:color w:val="auto"/>
          <w:highlight w:val="yellow"/>
        </w:rPr>
        <w:t xml:space="preserve"> analysis</w:t>
      </w:r>
      <w:r w:rsidRPr="00E339AA">
        <w:rPr>
          <w:rFonts w:asciiTheme="minorHAnsi" w:hAnsiTheme="minorHAnsi" w:cs="Arial"/>
          <w:color w:val="auto"/>
          <w:highlight w:val="yellow"/>
        </w:rPr>
        <w:t>, otherwise move directly to step 4.2</w:t>
      </w:r>
      <w:r w:rsidRPr="00E339AA">
        <w:rPr>
          <w:rFonts w:cs="Arial"/>
          <w:color w:val="auto"/>
          <w:highlight w:val="yellow"/>
        </w:rPr>
        <w:t>.</w:t>
      </w:r>
    </w:p>
    <w:p w14:paraId="4E5E1100" w14:textId="77777777" w:rsidR="002E63C2" w:rsidRPr="00E339AA" w:rsidRDefault="002E63C2" w:rsidP="002E63C2">
      <w:pPr>
        <w:pStyle w:val="ListParagraph"/>
        <w:ind w:left="0"/>
        <w:contextualSpacing w:val="0"/>
        <w:rPr>
          <w:rFonts w:asciiTheme="minorHAnsi" w:hAnsiTheme="minorHAnsi" w:cstheme="minorHAnsi"/>
          <w:color w:val="auto"/>
        </w:rPr>
      </w:pPr>
    </w:p>
    <w:p w14:paraId="09BF14DB" w14:textId="73361BF6" w:rsidR="002E63C2" w:rsidRPr="00E339AA" w:rsidRDefault="002E63C2" w:rsidP="002E63C2">
      <w:pPr>
        <w:pStyle w:val="ListParagraph"/>
        <w:ind w:left="0"/>
        <w:contextualSpacing w:val="0"/>
        <w:rPr>
          <w:rFonts w:asciiTheme="minorHAnsi" w:hAnsiTheme="minorHAnsi" w:cstheme="minorHAnsi"/>
          <w:color w:val="auto"/>
        </w:rPr>
      </w:pPr>
      <w:r w:rsidRPr="00E339AA">
        <w:rPr>
          <w:rFonts w:asciiTheme="minorHAnsi" w:hAnsiTheme="minorHAnsi" w:cstheme="minorHAnsi"/>
          <w:color w:val="auto"/>
        </w:rPr>
        <w:t xml:space="preserve">4.1.1 </w:t>
      </w:r>
      <w:r w:rsidRPr="00E339AA">
        <w:rPr>
          <w:rFonts w:asciiTheme="minorHAnsi" w:hAnsiTheme="minorHAnsi" w:cstheme="minorHAnsi"/>
          <w:color w:val="auto"/>
        </w:rPr>
        <w:tab/>
      </w:r>
      <w:r w:rsidRPr="00E339AA">
        <w:rPr>
          <w:rFonts w:asciiTheme="minorHAnsi" w:hAnsiTheme="minorHAnsi" w:cstheme="minorHAnsi"/>
          <w:color w:val="auto"/>
          <w:highlight w:val="yellow"/>
        </w:rPr>
        <w:t>Centrifuge the plasma for 10 min at 1</w:t>
      </w:r>
      <w:r w:rsidR="004A2F45">
        <w:rPr>
          <w:rFonts w:asciiTheme="minorHAnsi" w:hAnsiTheme="minorHAnsi" w:cstheme="minorHAnsi"/>
          <w:color w:val="auto"/>
          <w:highlight w:val="yellow"/>
        </w:rPr>
        <w:t>,</w:t>
      </w:r>
      <w:r w:rsidRPr="00E339AA">
        <w:rPr>
          <w:rFonts w:asciiTheme="minorHAnsi" w:hAnsiTheme="minorHAnsi" w:cstheme="minorHAnsi"/>
          <w:color w:val="auto"/>
          <w:highlight w:val="yellow"/>
        </w:rPr>
        <w:t>600-2</w:t>
      </w:r>
      <w:r w:rsidR="004A2F45">
        <w:rPr>
          <w:rFonts w:asciiTheme="minorHAnsi" w:hAnsiTheme="minorHAnsi" w:cstheme="minorHAnsi"/>
          <w:color w:val="auto"/>
          <w:highlight w:val="yellow"/>
        </w:rPr>
        <w:t>,</w:t>
      </w:r>
      <w:r w:rsidRPr="00E339AA">
        <w:rPr>
          <w:rFonts w:asciiTheme="minorHAnsi" w:hAnsiTheme="minorHAnsi" w:cstheme="minorHAnsi"/>
          <w:color w:val="auto"/>
          <w:highlight w:val="yellow"/>
        </w:rPr>
        <w:t xml:space="preserve">000 </w:t>
      </w:r>
      <w:r w:rsidRPr="00E339AA">
        <w:rPr>
          <w:rFonts w:asciiTheme="minorHAnsi" w:hAnsiTheme="minorHAnsi" w:cstheme="minorHAnsi"/>
          <w:i/>
          <w:iCs/>
          <w:color w:val="auto"/>
          <w:highlight w:val="yellow"/>
        </w:rPr>
        <w:t>x g</w:t>
      </w:r>
      <w:r w:rsidRPr="00E339AA">
        <w:rPr>
          <w:rFonts w:asciiTheme="minorHAnsi" w:hAnsiTheme="minorHAnsi" w:cstheme="minorHAnsi"/>
          <w:color w:val="auto"/>
          <w:highlight w:val="yellow"/>
        </w:rPr>
        <w:t xml:space="preserve"> at 4 – 8 °C in a fixed-angle rotor</w:t>
      </w:r>
      <w:r w:rsidRPr="00E339AA">
        <w:rPr>
          <w:rFonts w:asciiTheme="minorHAnsi" w:hAnsiTheme="minorHAnsi" w:cstheme="minorHAnsi"/>
          <w:color w:val="auto"/>
        </w:rPr>
        <w:t xml:space="preserve"> (or 15 min in a swing-out rotor).</w:t>
      </w:r>
    </w:p>
    <w:p w14:paraId="028FBF99" w14:textId="77777777" w:rsidR="002E63C2" w:rsidRPr="00E339AA" w:rsidRDefault="002E63C2" w:rsidP="002E63C2">
      <w:pPr>
        <w:pStyle w:val="ListParagraph"/>
        <w:ind w:left="0"/>
        <w:contextualSpacing w:val="0"/>
        <w:rPr>
          <w:rFonts w:asciiTheme="minorHAnsi" w:hAnsiTheme="minorHAnsi" w:cstheme="minorHAnsi"/>
          <w:color w:val="auto"/>
        </w:rPr>
      </w:pPr>
    </w:p>
    <w:p w14:paraId="5FB6003C" w14:textId="77777777" w:rsidR="002E63C2" w:rsidRPr="00E339AA" w:rsidRDefault="002E63C2" w:rsidP="002E63C2">
      <w:pPr>
        <w:pStyle w:val="ListParagraph"/>
        <w:ind w:left="0"/>
        <w:contextualSpacing w:val="0"/>
        <w:rPr>
          <w:rFonts w:asciiTheme="minorHAnsi" w:hAnsiTheme="minorHAnsi" w:cstheme="minorHAnsi"/>
          <w:bCs/>
          <w:noProof/>
          <w:color w:val="auto"/>
        </w:rPr>
      </w:pPr>
      <w:r w:rsidRPr="00E339AA">
        <w:rPr>
          <w:rFonts w:asciiTheme="minorHAnsi" w:hAnsiTheme="minorHAnsi" w:cstheme="minorHAnsi"/>
          <w:color w:val="auto"/>
        </w:rPr>
        <w:t xml:space="preserve">4.1.2. </w:t>
      </w:r>
      <w:r w:rsidRPr="00E339AA">
        <w:rPr>
          <w:rFonts w:asciiTheme="minorHAnsi" w:hAnsiTheme="minorHAnsi" w:cstheme="minorHAnsi"/>
          <w:color w:val="auto"/>
        </w:rPr>
        <w:tab/>
      </w:r>
      <w:r w:rsidRPr="00E339AA">
        <w:rPr>
          <w:rFonts w:asciiTheme="minorHAnsi" w:hAnsiTheme="minorHAnsi" w:cstheme="minorHAnsi"/>
          <w:bCs/>
          <w:noProof/>
          <w:color w:val="auto"/>
          <w:highlight w:val="yellow"/>
        </w:rPr>
        <w:t>Carefully pipette off the plasma supernatant,</w:t>
      </w:r>
      <w:r w:rsidRPr="00E339AA">
        <w:rPr>
          <w:rFonts w:asciiTheme="minorHAnsi" w:hAnsiTheme="minorHAnsi" w:cstheme="minorHAnsi"/>
          <w:bCs/>
          <w:noProof/>
          <w:color w:val="auto"/>
        </w:rPr>
        <w:t xml:space="preserve"> taking care not to disturb any pellet </w:t>
      </w:r>
      <w:r w:rsidRPr="00E339AA">
        <w:rPr>
          <w:rFonts w:asciiTheme="minorHAnsi" w:hAnsiTheme="minorHAnsi" w:cstheme="minorHAnsi"/>
          <w:bCs/>
          <w:noProof/>
          <w:color w:val="auto"/>
          <w:highlight w:val="yellow"/>
        </w:rPr>
        <w:t>and transfer to a new 15 mL tube</w:t>
      </w:r>
      <w:r w:rsidRPr="00E339AA">
        <w:rPr>
          <w:rFonts w:asciiTheme="minorHAnsi" w:hAnsiTheme="minorHAnsi" w:cstheme="minorHAnsi"/>
          <w:bCs/>
          <w:noProof/>
          <w:color w:val="auto"/>
        </w:rPr>
        <w:t>. Discard the tube containing the pelleted material.</w:t>
      </w:r>
    </w:p>
    <w:p w14:paraId="6433EBB8" w14:textId="77777777" w:rsidR="002E63C2" w:rsidRPr="00E339AA" w:rsidRDefault="002E63C2" w:rsidP="002E63C2">
      <w:pPr>
        <w:pStyle w:val="ListParagraph"/>
        <w:ind w:left="0"/>
        <w:contextualSpacing w:val="0"/>
        <w:rPr>
          <w:rFonts w:asciiTheme="minorHAnsi" w:hAnsiTheme="minorHAnsi" w:cstheme="minorHAnsi"/>
          <w:bCs/>
          <w:noProof/>
          <w:color w:val="auto"/>
        </w:rPr>
      </w:pPr>
    </w:p>
    <w:p w14:paraId="36E6CE3B" w14:textId="2DC3AFDF" w:rsidR="002E63C2" w:rsidRPr="00E339AA" w:rsidRDefault="002E63C2" w:rsidP="002E63C2">
      <w:pPr>
        <w:pStyle w:val="ListParagraph"/>
        <w:ind w:left="0"/>
        <w:contextualSpacing w:val="0"/>
        <w:rPr>
          <w:rFonts w:asciiTheme="minorHAnsi" w:hAnsiTheme="minorHAnsi" w:cstheme="minorHAnsi"/>
          <w:color w:val="auto"/>
        </w:rPr>
      </w:pPr>
      <w:r w:rsidRPr="00E339AA">
        <w:rPr>
          <w:rFonts w:asciiTheme="minorHAnsi" w:hAnsiTheme="minorHAnsi" w:cstheme="minorHAnsi"/>
          <w:color w:val="auto"/>
        </w:rPr>
        <w:t xml:space="preserve">4.1.3 </w:t>
      </w:r>
      <w:r w:rsidRPr="00E339AA">
        <w:rPr>
          <w:rFonts w:asciiTheme="minorHAnsi" w:hAnsiTheme="minorHAnsi" w:cstheme="minorHAnsi"/>
          <w:color w:val="auto"/>
        </w:rPr>
        <w:tab/>
      </w:r>
      <w:r w:rsidRPr="00E339AA">
        <w:rPr>
          <w:rFonts w:asciiTheme="minorHAnsi" w:hAnsiTheme="minorHAnsi" w:cstheme="minorHAnsi"/>
          <w:color w:val="auto"/>
          <w:highlight w:val="yellow"/>
        </w:rPr>
        <w:t>Centrifuge the plasma for 10 min at 1</w:t>
      </w:r>
      <w:r w:rsidR="004A2F45">
        <w:rPr>
          <w:rFonts w:asciiTheme="minorHAnsi" w:hAnsiTheme="minorHAnsi" w:cstheme="minorHAnsi"/>
          <w:color w:val="auto"/>
          <w:highlight w:val="yellow"/>
        </w:rPr>
        <w:t>,</w:t>
      </w:r>
      <w:r w:rsidRPr="00E339AA">
        <w:rPr>
          <w:rFonts w:asciiTheme="minorHAnsi" w:hAnsiTheme="minorHAnsi" w:cstheme="minorHAnsi"/>
          <w:color w:val="auto"/>
          <w:highlight w:val="yellow"/>
        </w:rPr>
        <w:t>600- 2</w:t>
      </w:r>
      <w:r w:rsidR="004A2F45">
        <w:rPr>
          <w:rFonts w:asciiTheme="minorHAnsi" w:hAnsiTheme="minorHAnsi" w:cstheme="minorHAnsi"/>
          <w:color w:val="auto"/>
          <w:highlight w:val="yellow"/>
        </w:rPr>
        <w:t>,</w:t>
      </w:r>
      <w:r w:rsidRPr="00E339AA">
        <w:rPr>
          <w:rFonts w:asciiTheme="minorHAnsi" w:hAnsiTheme="minorHAnsi" w:cstheme="minorHAnsi"/>
          <w:color w:val="auto"/>
          <w:highlight w:val="yellow"/>
        </w:rPr>
        <w:t xml:space="preserve">000 </w:t>
      </w:r>
      <w:r w:rsidRPr="00E339AA">
        <w:rPr>
          <w:rFonts w:asciiTheme="minorHAnsi" w:hAnsiTheme="minorHAnsi" w:cstheme="minorHAnsi"/>
          <w:i/>
          <w:iCs/>
          <w:color w:val="auto"/>
          <w:highlight w:val="yellow"/>
        </w:rPr>
        <w:t>x g</w:t>
      </w:r>
      <w:r w:rsidRPr="00E339AA">
        <w:rPr>
          <w:rFonts w:asciiTheme="minorHAnsi" w:hAnsiTheme="minorHAnsi" w:cstheme="minorHAnsi"/>
          <w:color w:val="auto"/>
          <w:highlight w:val="yellow"/>
        </w:rPr>
        <w:t xml:space="preserve"> at 4 – 8 °C in a fixed-angle rotor</w:t>
      </w:r>
      <w:r w:rsidRPr="00E339AA">
        <w:rPr>
          <w:rFonts w:asciiTheme="minorHAnsi" w:hAnsiTheme="minorHAnsi" w:cstheme="minorHAnsi"/>
          <w:color w:val="auto"/>
        </w:rPr>
        <w:t xml:space="preserve"> (or 15 min in a swing-out rotor).</w:t>
      </w:r>
    </w:p>
    <w:p w14:paraId="4F8285D9" w14:textId="77777777" w:rsidR="002E63C2" w:rsidRPr="00E339AA" w:rsidRDefault="002E63C2" w:rsidP="002E63C2">
      <w:pPr>
        <w:pStyle w:val="ListParagraph"/>
        <w:ind w:left="0"/>
        <w:contextualSpacing w:val="0"/>
        <w:rPr>
          <w:rFonts w:asciiTheme="minorHAnsi" w:hAnsiTheme="minorHAnsi" w:cstheme="minorHAnsi"/>
          <w:color w:val="auto"/>
        </w:rPr>
      </w:pPr>
    </w:p>
    <w:p w14:paraId="5D55BC8F" w14:textId="77777777" w:rsidR="002E63C2" w:rsidRPr="00E339AA" w:rsidRDefault="002E63C2" w:rsidP="002E63C2">
      <w:pPr>
        <w:pStyle w:val="ListParagraph"/>
        <w:ind w:left="0"/>
        <w:contextualSpacing w:val="0"/>
        <w:rPr>
          <w:rFonts w:asciiTheme="minorHAnsi" w:hAnsiTheme="minorHAnsi" w:cstheme="minorHAnsi"/>
          <w:color w:val="auto"/>
        </w:rPr>
      </w:pPr>
      <w:r w:rsidRPr="00E339AA">
        <w:rPr>
          <w:rFonts w:asciiTheme="minorHAnsi" w:hAnsiTheme="minorHAnsi" w:cstheme="minorHAnsi"/>
          <w:color w:val="auto"/>
        </w:rPr>
        <w:t xml:space="preserve">4.1.4. </w:t>
      </w:r>
      <w:r w:rsidRPr="00E339AA">
        <w:rPr>
          <w:rFonts w:asciiTheme="minorHAnsi" w:hAnsiTheme="minorHAnsi" w:cs="Arial"/>
          <w:bCs/>
          <w:noProof/>
        </w:rPr>
        <w:t>Carefully transfer the plasma supernatant to a new 15 mL tube, being sure not to disturb any pelleted material. Discard the tube containing the pelleted material.</w:t>
      </w:r>
    </w:p>
    <w:p w14:paraId="3D2F94EA" w14:textId="77777777" w:rsidR="002E63C2" w:rsidRPr="00E339AA" w:rsidRDefault="002E63C2" w:rsidP="002E63C2">
      <w:pPr>
        <w:rPr>
          <w:rFonts w:cstheme="minorHAnsi"/>
          <w:color w:val="auto"/>
        </w:rPr>
      </w:pPr>
    </w:p>
    <w:p w14:paraId="65709C1D" w14:textId="0988656E" w:rsidR="002E63C2" w:rsidRPr="00E339AA" w:rsidRDefault="002E63C2" w:rsidP="002E63C2">
      <w:pPr>
        <w:rPr>
          <w:rFonts w:cstheme="minorHAnsi"/>
          <w:color w:val="auto"/>
        </w:rPr>
      </w:pPr>
      <w:r w:rsidRPr="00E339AA">
        <w:rPr>
          <w:rFonts w:cstheme="minorHAnsi"/>
          <w:color w:val="auto"/>
        </w:rPr>
        <w:t>NOTE 5: If a refrigerated centrifuge is not available, keep cells on ice for 5 mi</w:t>
      </w:r>
      <w:r w:rsidR="004A2F45">
        <w:rPr>
          <w:rFonts w:cstheme="minorHAnsi"/>
          <w:color w:val="auto"/>
        </w:rPr>
        <w:t>n</w:t>
      </w:r>
      <w:r w:rsidRPr="00E339AA">
        <w:rPr>
          <w:rFonts w:cstheme="minorHAnsi"/>
          <w:color w:val="auto"/>
        </w:rPr>
        <w:t xml:space="preserve"> between each spin, or centrifuge samples in a cold room.</w:t>
      </w:r>
    </w:p>
    <w:p w14:paraId="2C21ECD6" w14:textId="77777777" w:rsidR="002E63C2" w:rsidRPr="00E339AA" w:rsidRDefault="002E63C2" w:rsidP="002E63C2">
      <w:pPr>
        <w:pStyle w:val="NoSpacing"/>
        <w:jc w:val="both"/>
        <w:rPr>
          <w:rFonts w:asciiTheme="minorHAnsi" w:hAnsiTheme="minorHAnsi" w:cs="Arial"/>
          <w:bCs/>
          <w:noProof/>
          <w:sz w:val="24"/>
          <w:szCs w:val="24"/>
          <w:highlight w:val="yellow"/>
          <w:lang w:val="en-US"/>
        </w:rPr>
      </w:pPr>
    </w:p>
    <w:p w14:paraId="2C87A197" w14:textId="5968CB50" w:rsidR="002E63C2" w:rsidRPr="00E339AA" w:rsidRDefault="002E63C2" w:rsidP="002E63C2">
      <w:pPr>
        <w:pStyle w:val="NoSpacing"/>
        <w:numPr>
          <w:ilvl w:val="1"/>
          <w:numId w:val="41"/>
        </w:numPr>
        <w:ind w:left="0" w:firstLine="0"/>
        <w:jc w:val="both"/>
        <w:rPr>
          <w:rFonts w:asciiTheme="minorHAnsi" w:hAnsiTheme="minorHAnsi" w:cs="Arial"/>
          <w:noProof/>
          <w:sz w:val="24"/>
          <w:szCs w:val="24"/>
          <w:highlight w:val="yellow"/>
          <w:lang w:val="en-US"/>
        </w:rPr>
      </w:pPr>
      <w:r w:rsidRPr="00E339AA">
        <w:rPr>
          <w:rFonts w:asciiTheme="minorHAnsi" w:hAnsiTheme="minorHAnsi" w:cs="Arial"/>
          <w:bCs/>
          <w:noProof/>
          <w:sz w:val="24"/>
          <w:szCs w:val="24"/>
          <w:highlight w:val="yellow"/>
          <w:lang w:val="en-US"/>
        </w:rPr>
        <w:t>Transfer plasma in 1 mL aliquots into 5 fresh 2 mL microtubes.</w:t>
      </w:r>
      <w:r w:rsidRPr="00E339AA">
        <w:rPr>
          <w:rFonts w:asciiTheme="minorHAnsi" w:hAnsiTheme="minorHAnsi" w:cs="Arial"/>
          <w:noProof/>
          <w:sz w:val="24"/>
          <w:szCs w:val="24"/>
          <w:highlight w:val="yellow"/>
          <w:lang w:val="en-US"/>
        </w:rPr>
        <w:t xml:space="preserve"> Use fewer than 5 vials if there is not enough plasma to fill 5 vials with 1 mL aliquots</w:t>
      </w:r>
      <w:r w:rsidR="004A2F45">
        <w:rPr>
          <w:rFonts w:asciiTheme="minorHAnsi" w:hAnsiTheme="minorHAnsi" w:cs="Arial"/>
          <w:noProof/>
          <w:sz w:val="24"/>
          <w:szCs w:val="24"/>
          <w:highlight w:val="yellow"/>
          <w:lang w:val="en-US"/>
        </w:rPr>
        <w:t xml:space="preserve"> and</w:t>
      </w:r>
      <w:r w:rsidRPr="00E339AA">
        <w:rPr>
          <w:rFonts w:asciiTheme="minorHAnsi" w:hAnsiTheme="minorHAnsi" w:cs="Arial"/>
          <w:bCs/>
          <w:noProof/>
          <w:sz w:val="24"/>
          <w:szCs w:val="24"/>
          <w:highlight w:val="yellow"/>
          <w:lang w:val="en-US"/>
        </w:rPr>
        <w:t xml:space="preserve"> expected that the last vial will contain less than 1</w:t>
      </w:r>
      <w:r>
        <w:rPr>
          <w:rFonts w:asciiTheme="minorHAnsi" w:hAnsiTheme="minorHAnsi" w:cs="Arial"/>
          <w:bCs/>
          <w:noProof/>
          <w:sz w:val="24"/>
          <w:szCs w:val="24"/>
          <w:highlight w:val="yellow"/>
          <w:lang w:val="en-US"/>
        </w:rPr>
        <w:t xml:space="preserve"> </w:t>
      </w:r>
      <w:r w:rsidRPr="00E339AA">
        <w:rPr>
          <w:rFonts w:asciiTheme="minorHAnsi" w:hAnsiTheme="minorHAnsi" w:cs="Arial"/>
          <w:bCs/>
          <w:noProof/>
          <w:sz w:val="24"/>
          <w:szCs w:val="24"/>
          <w:highlight w:val="yellow"/>
          <w:lang w:val="en-US"/>
        </w:rPr>
        <w:t>mL plasma.</w:t>
      </w:r>
      <w:r w:rsidRPr="00E339AA">
        <w:rPr>
          <w:rFonts w:asciiTheme="minorHAnsi" w:hAnsiTheme="minorHAnsi" w:cs="Arial"/>
          <w:noProof/>
          <w:sz w:val="24"/>
          <w:szCs w:val="24"/>
          <w:highlight w:val="yellow"/>
          <w:lang w:val="en-US"/>
        </w:rPr>
        <w:t xml:space="preserve"> If there is more than 5 mL plasma, discard the remainder. Record the total volume of plasma in each tube. </w:t>
      </w:r>
    </w:p>
    <w:p w14:paraId="6A4EDB25" w14:textId="77777777" w:rsidR="002E63C2" w:rsidRPr="00E339AA" w:rsidRDefault="002E63C2" w:rsidP="002E63C2">
      <w:pPr>
        <w:pStyle w:val="NoSpacing"/>
        <w:jc w:val="both"/>
        <w:rPr>
          <w:rFonts w:asciiTheme="minorHAnsi" w:hAnsiTheme="minorHAnsi" w:cs="Arial"/>
          <w:noProof/>
          <w:sz w:val="24"/>
          <w:szCs w:val="24"/>
          <w:highlight w:val="yellow"/>
          <w:lang w:val="en-US"/>
        </w:rPr>
      </w:pPr>
    </w:p>
    <w:p w14:paraId="6E3A0A9B" w14:textId="77777777" w:rsidR="002E63C2" w:rsidRPr="00E339AA" w:rsidRDefault="002E63C2" w:rsidP="002E63C2">
      <w:pPr>
        <w:pStyle w:val="NoSpacing"/>
        <w:numPr>
          <w:ilvl w:val="1"/>
          <w:numId w:val="41"/>
        </w:numPr>
        <w:ind w:left="0" w:firstLine="0"/>
        <w:jc w:val="both"/>
        <w:rPr>
          <w:rFonts w:asciiTheme="minorHAnsi" w:hAnsiTheme="minorHAnsi" w:cs="Arial"/>
          <w:noProof/>
          <w:sz w:val="24"/>
          <w:szCs w:val="24"/>
          <w:highlight w:val="yellow"/>
          <w:lang w:val="en-US"/>
        </w:rPr>
      </w:pPr>
      <w:r w:rsidRPr="00E339AA">
        <w:rPr>
          <w:rFonts w:asciiTheme="minorHAnsi" w:hAnsiTheme="minorHAnsi" w:cs="Arial"/>
          <w:bCs/>
          <w:noProof/>
          <w:sz w:val="24"/>
          <w:szCs w:val="24"/>
          <w:highlight w:val="yellow"/>
          <w:lang w:val="en-US"/>
        </w:rPr>
        <w:t xml:space="preserve">Immediately freeze the plasma aliquots upright, by storing them at </w:t>
      </w:r>
      <w:r w:rsidRPr="00E339AA">
        <w:rPr>
          <w:rFonts w:asciiTheme="minorHAnsi" w:hAnsiTheme="minorHAnsi" w:cs="Arial"/>
          <w:noProof/>
          <w:sz w:val="24"/>
          <w:szCs w:val="24"/>
          <w:highlight w:val="yellow"/>
          <w:lang w:val="en-US"/>
        </w:rPr>
        <w:t>-80 °C.</w:t>
      </w:r>
    </w:p>
    <w:p w14:paraId="43B5D94A" w14:textId="77777777" w:rsidR="002E63C2" w:rsidRPr="00E339AA" w:rsidRDefault="002E63C2" w:rsidP="002E63C2">
      <w:pPr>
        <w:pStyle w:val="NoSpacing"/>
        <w:jc w:val="both"/>
        <w:rPr>
          <w:rFonts w:asciiTheme="minorHAnsi" w:hAnsiTheme="minorHAnsi" w:cs="Arial"/>
          <w:noProof/>
          <w:sz w:val="24"/>
          <w:szCs w:val="24"/>
          <w:highlight w:val="yellow"/>
          <w:lang w:val="en-US"/>
        </w:rPr>
      </w:pPr>
    </w:p>
    <w:p w14:paraId="325DC4D3" w14:textId="77777777" w:rsidR="002E63C2" w:rsidRPr="00E339AA" w:rsidRDefault="002E63C2" w:rsidP="002E63C2">
      <w:pPr>
        <w:rPr>
          <w:rFonts w:cstheme="minorHAnsi"/>
          <w:color w:val="auto"/>
        </w:rPr>
      </w:pPr>
    </w:p>
    <w:p w14:paraId="52549D6E" w14:textId="77777777" w:rsidR="002E63C2" w:rsidRPr="00E339AA" w:rsidRDefault="002E63C2" w:rsidP="002E63C2">
      <w:pPr>
        <w:pStyle w:val="ListParagraph"/>
        <w:numPr>
          <w:ilvl w:val="0"/>
          <w:numId w:val="41"/>
        </w:numPr>
        <w:ind w:left="0" w:firstLine="0"/>
        <w:rPr>
          <w:rFonts w:cs="Arial"/>
          <w:b/>
          <w:color w:val="auto"/>
        </w:rPr>
      </w:pPr>
      <w:r w:rsidRPr="00E339AA">
        <w:rPr>
          <w:rFonts w:cs="Arial"/>
          <w:b/>
          <w:color w:val="auto"/>
        </w:rPr>
        <w:t>Sample shipment</w:t>
      </w:r>
    </w:p>
    <w:p w14:paraId="13286971" w14:textId="77777777" w:rsidR="002E63C2" w:rsidRPr="00E339AA" w:rsidRDefault="002E63C2" w:rsidP="002E63C2">
      <w:pPr>
        <w:pStyle w:val="NoSpacing"/>
        <w:jc w:val="both"/>
        <w:rPr>
          <w:rFonts w:asciiTheme="minorHAnsi" w:hAnsiTheme="minorHAnsi" w:cs="Arial"/>
          <w:sz w:val="24"/>
          <w:szCs w:val="24"/>
          <w:lang w:val="en-US"/>
        </w:rPr>
      </w:pPr>
    </w:p>
    <w:p w14:paraId="1061DDC9" w14:textId="77777777" w:rsidR="002E63C2" w:rsidRPr="00E339AA" w:rsidRDefault="002E63C2" w:rsidP="002E63C2">
      <w:pPr>
        <w:pStyle w:val="NoSpacing"/>
        <w:jc w:val="both"/>
        <w:rPr>
          <w:rFonts w:asciiTheme="minorHAnsi" w:hAnsiTheme="minorHAnsi" w:cs="Arial"/>
          <w:sz w:val="24"/>
          <w:szCs w:val="24"/>
          <w:lang w:val="en-US"/>
        </w:rPr>
      </w:pPr>
      <w:r w:rsidRPr="00E339AA">
        <w:rPr>
          <w:rFonts w:asciiTheme="minorHAnsi" w:hAnsiTheme="minorHAnsi" w:cs="Arial"/>
          <w:sz w:val="24"/>
          <w:szCs w:val="24"/>
          <w:lang w:val="en-US"/>
        </w:rPr>
        <w:t>5.1. Ship both PBMC pellets and plasma samples on dry ice.</w:t>
      </w:r>
    </w:p>
    <w:p w14:paraId="1586114F" w14:textId="77777777" w:rsidR="002E63C2" w:rsidRPr="00E339AA" w:rsidRDefault="002E63C2" w:rsidP="002E63C2">
      <w:pPr>
        <w:pStyle w:val="NoSpacing"/>
        <w:jc w:val="both"/>
        <w:rPr>
          <w:rFonts w:asciiTheme="minorHAnsi" w:hAnsiTheme="minorHAnsi" w:cs="Arial"/>
          <w:sz w:val="24"/>
          <w:szCs w:val="24"/>
          <w:lang w:val="en-US"/>
        </w:rPr>
      </w:pPr>
    </w:p>
    <w:p w14:paraId="5352BA65" w14:textId="116C246C" w:rsidR="002E63C2" w:rsidRPr="00E339AA" w:rsidRDefault="002E63C2" w:rsidP="002E63C2">
      <w:pPr>
        <w:pStyle w:val="NoSpacing"/>
        <w:jc w:val="both"/>
        <w:rPr>
          <w:rFonts w:asciiTheme="minorHAnsi" w:hAnsiTheme="minorHAnsi" w:cs="Arial"/>
          <w:sz w:val="24"/>
          <w:szCs w:val="24"/>
          <w:lang w:val="en-US"/>
        </w:rPr>
      </w:pPr>
      <w:r w:rsidRPr="00E339AA">
        <w:rPr>
          <w:rFonts w:asciiTheme="minorHAnsi" w:hAnsiTheme="minorHAnsi" w:cs="Arial"/>
          <w:sz w:val="24"/>
          <w:szCs w:val="24"/>
          <w:lang w:val="en-US"/>
        </w:rPr>
        <w:t xml:space="preserve">5.2. Ensure that the sample is not thawed before and during shipment. </w:t>
      </w:r>
      <w:r w:rsidR="00AF3224">
        <w:rPr>
          <w:rFonts w:asciiTheme="minorHAnsi" w:hAnsiTheme="minorHAnsi" w:cs="Arial"/>
          <w:sz w:val="24"/>
          <w:szCs w:val="24"/>
          <w:lang w:val="en-US"/>
        </w:rPr>
        <w:t xml:space="preserve">Pack </w:t>
      </w:r>
      <w:r w:rsidRPr="00E339AA">
        <w:rPr>
          <w:rFonts w:asciiTheme="minorHAnsi" w:hAnsiTheme="minorHAnsi" w:cs="Arial"/>
          <w:sz w:val="24"/>
          <w:szCs w:val="24"/>
          <w:lang w:val="en-US"/>
        </w:rPr>
        <w:t>sufficient dry ice with the samples to ensure they remain frozen for the entirety of the shipping process, considering possible delays that may occur in transit.</w:t>
      </w:r>
    </w:p>
    <w:p w14:paraId="27C5A576" w14:textId="77777777" w:rsidR="002E63C2" w:rsidRPr="00E339AA" w:rsidRDefault="002E63C2" w:rsidP="002E63C2">
      <w:pPr>
        <w:rPr>
          <w:rFonts w:cs="Arial"/>
          <w:b/>
          <w:color w:val="auto"/>
        </w:rPr>
      </w:pPr>
    </w:p>
    <w:p w14:paraId="64696181" w14:textId="71169369" w:rsidR="002E63C2" w:rsidRPr="00E339AA" w:rsidRDefault="002E63C2" w:rsidP="002E63C2">
      <w:pPr>
        <w:pStyle w:val="NoSpacing"/>
        <w:jc w:val="both"/>
        <w:rPr>
          <w:rFonts w:asciiTheme="minorHAnsi" w:hAnsiTheme="minorHAnsi" w:cstheme="minorHAnsi"/>
          <w:b/>
          <w:sz w:val="24"/>
          <w:szCs w:val="24"/>
          <w:lang w:val="en-US"/>
        </w:rPr>
      </w:pPr>
      <w:r w:rsidRPr="002E63C2">
        <w:rPr>
          <w:rFonts w:asciiTheme="minorHAnsi" w:hAnsiTheme="minorHAnsi" w:cstheme="minorHAnsi"/>
          <w:b/>
          <w:sz w:val="24"/>
          <w:szCs w:val="24"/>
          <w:highlight w:val="yellow"/>
          <w:lang w:val="en-US"/>
        </w:rPr>
        <w:t>6. Whole blood irradiation and western blot analysis of DDR biomarkers (Figure 4A)</w:t>
      </w:r>
    </w:p>
    <w:p w14:paraId="39CE7033" w14:textId="77777777" w:rsidR="002E63C2" w:rsidRPr="00E339AA" w:rsidRDefault="002E63C2" w:rsidP="002E63C2">
      <w:pPr>
        <w:pStyle w:val="NoSpacing"/>
        <w:jc w:val="both"/>
        <w:rPr>
          <w:rFonts w:asciiTheme="minorHAnsi" w:hAnsiTheme="minorHAnsi" w:cstheme="minorHAnsi"/>
          <w:b/>
          <w:sz w:val="24"/>
          <w:szCs w:val="24"/>
          <w:lang w:val="en-US"/>
        </w:rPr>
      </w:pPr>
    </w:p>
    <w:p w14:paraId="3FB3224E" w14:textId="77777777" w:rsidR="002E63C2" w:rsidRPr="00E339AA" w:rsidRDefault="002E63C2" w:rsidP="002E63C2">
      <w:pPr>
        <w:pStyle w:val="NoSpacing"/>
        <w:jc w:val="both"/>
        <w:rPr>
          <w:rFonts w:asciiTheme="minorHAnsi" w:hAnsiTheme="minorHAnsi" w:cstheme="minorHAnsi"/>
          <w:bCs/>
          <w:sz w:val="24"/>
          <w:szCs w:val="24"/>
          <w:lang w:val="en-US"/>
        </w:rPr>
      </w:pPr>
      <w:r w:rsidRPr="00E339AA">
        <w:rPr>
          <w:rFonts w:asciiTheme="minorHAnsi" w:hAnsiTheme="minorHAnsi" w:cstheme="minorHAnsi"/>
          <w:bCs/>
          <w:sz w:val="24"/>
          <w:szCs w:val="24"/>
          <w:lang w:val="en-US"/>
        </w:rPr>
        <w:t>NOTE: This is an ex vivo treatment that will not be required in most cases in the clinic, but these experiments are a valuable exploratory strategy to find suitable clinical biomarkers. Blood samples should be treated as soon as possible upon collection to ensure best results.</w:t>
      </w:r>
    </w:p>
    <w:p w14:paraId="5637D2A4" w14:textId="77777777" w:rsidR="002E63C2" w:rsidRPr="00E339AA" w:rsidRDefault="002E63C2" w:rsidP="002E63C2">
      <w:pPr>
        <w:pStyle w:val="NoSpacing"/>
        <w:jc w:val="both"/>
        <w:rPr>
          <w:rFonts w:asciiTheme="minorHAnsi" w:hAnsiTheme="minorHAnsi" w:cstheme="minorHAnsi"/>
          <w:b/>
          <w:sz w:val="24"/>
          <w:szCs w:val="24"/>
          <w:lang w:val="en-US"/>
        </w:rPr>
      </w:pPr>
    </w:p>
    <w:p w14:paraId="3698C248" w14:textId="77777777"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 xml:space="preserve">Warm up the X-ray cabinet. Label three 15 mL tubes as 0, 0.2 and 7 </w:t>
      </w:r>
      <w:proofErr w:type="spellStart"/>
      <w:r w:rsidRPr="00E339AA">
        <w:rPr>
          <w:rFonts w:asciiTheme="minorHAnsi" w:hAnsiTheme="minorHAnsi" w:cstheme="minorHAnsi"/>
          <w:sz w:val="24"/>
          <w:szCs w:val="24"/>
          <w:lang w:val="en-US"/>
        </w:rPr>
        <w:t>Gy</w:t>
      </w:r>
      <w:proofErr w:type="spellEnd"/>
      <w:r w:rsidRPr="00E339AA">
        <w:rPr>
          <w:rFonts w:asciiTheme="minorHAnsi" w:hAnsiTheme="minorHAnsi" w:cstheme="minorHAnsi"/>
          <w:sz w:val="24"/>
          <w:szCs w:val="24"/>
          <w:lang w:val="en-US"/>
        </w:rPr>
        <w:t>, respectively.</w:t>
      </w:r>
    </w:p>
    <w:p w14:paraId="1D6222CB" w14:textId="77777777" w:rsidR="002E63C2" w:rsidRPr="00E339AA" w:rsidRDefault="002E63C2" w:rsidP="002E63C2">
      <w:pPr>
        <w:pStyle w:val="ListParagraph"/>
        <w:ind w:left="0"/>
        <w:rPr>
          <w:rFonts w:asciiTheme="minorHAnsi" w:hAnsiTheme="minorHAnsi" w:cstheme="minorHAnsi"/>
        </w:rPr>
      </w:pPr>
    </w:p>
    <w:p w14:paraId="58DD8908" w14:textId="77777777" w:rsidR="002E63C2" w:rsidRPr="002E63C2" w:rsidRDefault="002E63C2" w:rsidP="002E63C2">
      <w:pPr>
        <w:pStyle w:val="NoSpacing"/>
        <w:numPr>
          <w:ilvl w:val="1"/>
          <w:numId w:val="44"/>
        </w:numPr>
        <w:ind w:left="0" w:firstLine="0"/>
        <w:jc w:val="both"/>
        <w:rPr>
          <w:rFonts w:asciiTheme="minorHAnsi" w:hAnsiTheme="minorHAnsi" w:cstheme="minorHAnsi"/>
          <w:sz w:val="24"/>
          <w:szCs w:val="24"/>
          <w:highlight w:val="yellow"/>
          <w:lang w:val="en-US"/>
        </w:rPr>
      </w:pPr>
      <w:r w:rsidRPr="002E63C2">
        <w:rPr>
          <w:rFonts w:asciiTheme="minorHAnsi" w:hAnsiTheme="minorHAnsi" w:cstheme="minorHAnsi"/>
          <w:sz w:val="24"/>
          <w:szCs w:val="24"/>
          <w:highlight w:val="yellow"/>
          <w:lang w:val="en-US"/>
        </w:rPr>
        <w:t>Take three mononuclear cell preparation tubes containing freshly drawn blood from a single individual and after gently inverting the tubes 8 to 10 times transfer the bloods to the three 15 mL tubes.</w:t>
      </w:r>
    </w:p>
    <w:p w14:paraId="45DED617" w14:textId="77777777" w:rsidR="002E63C2" w:rsidRPr="002E63C2" w:rsidRDefault="002E63C2" w:rsidP="002E63C2">
      <w:pPr>
        <w:pStyle w:val="ListParagraph"/>
        <w:ind w:left="0"/>
        <w:rPr>
          <w:rFonts w:asciiTheme="minorHAnsi" w:hAnsiTheme="minorHAnsi" w:cstheme="minorHAnsi"/>
          <w:highlight w:val="yellow"/>
        </w:rPr>
      </w:pPr>
    </w:p>
    <w:p w14:paraId="10C81690" w14:textId="77777777" w:rsidR="002E63C2" w:rsidRPr="002E63C2" w:rsidRDefault="002E63C2" w:rsidP="002E63C2">
      <w:pPr>
        <w:pStyle w:val="NoSpacing"/>
        <w:numPr>
          <w:ilvl w:val="1"/>
          <w:numId w:val="44"/>
        </w:numPr>
        <w:ind w:left="0" w:firstLine="0"/>
        <w:jc w:val="both"/>
        <w:rPr>
          <w:rFonts w:asciiTheme="minorHAnsi" w:hAnsiTheme="minorHAnsi" w:cstheme="minorHAnsi"/>
          <w:sz w:val="24"/>
          <w:szCs w:val="24"/>
          <w:highlight w:val="yellow"/>
          <w:lang w:val="en-US"/>
        </w:rPr>
      </w:pPr>
      <w:r w:rsidRPr="002E63C2">
        <w:rPr>
          <w:rFonts w:asciiTheme="minorHAnsi" w:hAnsiTheme="minorHAnsi" w:cstheme="minorHAnsi"/>
          <w:sz w:val="24"/>
          <w:szCs w:val="24"/>
          <w:highlight w:val="yellow"/>
          <w:lang w:val="en-US"/>
        </w:rPr>
        <w:t xml:space="preserve">Place 0.2 </w:t>
      </w:r>
      <w:proofErr w:type="spellStart"/>
      <w:r w:rsidRPr="002E63C2">
        <w:rPr>
          <w:rFonts w:asciiTheme="minorHAnsi" w:hAnsiTheme="minorHAnsi" w:cstheme="minorHAnsi"/>
          <w:sz w:val="24"/>
          <w:szCs w:val="24"/>
          <w:highlight w:val="yellow"/>
          <w:lang w:val="en-US"/>
        </w:rPr>
        <w:t>Gy</w:t>
      </w:r>
      <w:proofErr w:type="spellEnd"/>
      <w:r w:rsidRPr="002E63C2">
        <w:rPr>
          <w:rFonts w:asciiTheme="minorHAnsi" w:hAnsiTheme="minorHAnsi" w:cstheme="minorHAnsi"/>
          <w:sz w:val="24"/>
          <w:szCs w:val="24"/>
          <w:highlight w:val="yellow"/>
          <w:lang w:val="en-US"/>
        </w:rPr>
        <w:t xml:space="preserve"> tube in the x-ray cabinet, close the door and apply 0.2 </w:t>
      </w:r>
      <w:proofErr w:type="spellStart"/>
      <w:r w:rsidRPr="002E63C2">
        <w:rPr>
          <w:rFonts w:asciiTheme="minorHAnsi" w:hAnsiTheme="minorHAnsi" w:cstheme="minorHAnsi"/>
          <w:sz w:val="24"/>
          <w:szCs w:val="24"/>
          <w:highlight w:val="yellow"/>
          <w:lang w:val="en-US"/>
        </w:rPr>
        <w:t>Gy</w:t>
      </w:r>
      <w:proofErr w:type="spellEnd"/>
      <w:r w:rsidRPr="002E63C2">
        <w:rPr>
          <w:rFonts w:asciiTheme="minorHAnsi" w:hAnsiTheme="minorHAnsi" w:cstheme="minorHAnsi"/>
          <w:sz w:val="24"/>
          <w:szCs w:val="24"/>
          <w:highlight w:val="yellow"/>
          <w:lang w:val="en-US"/>
        </w:rPr>
        <w:t xml:space="preserve"> dose to the tube by selecting the shelf number and dose. Apply 7 </w:t>
      </w:r>
      <w:proofErr w:type="spellStart"/>
      <w:r w:rsidRPr="002E63C2">
        <w:rPr>
          <w:rFonts w:asciiTheme="minorHAnsi" w:hAnsiTheme="minorHAnsi" w:cstheme="minorHAnsi"/>
          <w:sz w:val="24"/>
          <w:szCs w:val="24"/>
          <w:highlight w:val="yellow"/>
          <w:lang w:val="en-US"/>
        </w:rPr>
        <w:t>Gy</w:t>
      </w:r>
      <w:proofErr w:type="spellEnd"/>
      <w:r w:rsidRPr="002E63C2">
        <w:rPr>
          <w:rFonts w:asciiTheme="minorHAnsi" w:hAnsiTheme="minorHAnsi" w:cstheme="minorHAnsi"/>
          <w:sz w:val="24"/>
          <w:szCs w:val="24"/>
          <w:highlight w:val="yellow"/>
          <w:lang w:val="en-US"/>
        </w:rPr>
        <w:t xml:space="preserve"> radiation dose to the 7 </w:t>
      </w:r>
      <w:proofErr w:type="spellStart"/>
      <w:r w:rsidRPr="002E63C2">
        <w:rPr>
          <w:rFonts w:asciiTheme="minorHAnsi" w:hAnsiTheme="minorHAnsi" w:cstheme="minorHAnsi"/>
          <w:sz w:val="24"/>
          <w:szCs w:val="24"/>
          <w:highlight w:val="yellow"/>
          <w:lang w:val="en-US"/>
        </w:rPr>
        <w:t>Gy</w:t>
      </w:r>
      <w:proofErr w:type="spellEnd"/>
      <w:r w:rsidRPr="002E63C2">
        <w:rPr>
          <w:rFonts w:asciiTheme="minorHAnsi" w:hAnsiTheme="minorHAnsi" w:cstheme="minorHAnsi"/>
          <w:sz w:val="24"/>
          <w:szCs w:val="24"/>
          <w:highlight w:val="yellow"/>
          <w:lang w:val="en-US"/>
        </w:rPr>
        <w:t xml:space="preserve"> tube by adjusting the dose selected in the cabinet.</w:t>
      </w:r>
    </w:p>
    <w:p w14:paraId="67163C7F" w14:textId="77777777" w:rsidR="002E63C2" w:rsidRPr="002E63C2" w:rsidRDefault="002E63C2" w:rsidP="002E63C2">
      <w:pPr>
        <w:pStyle w:val="ListParagraph"/>
        <w:ind w:left="0"/>
        <w:rPr>
          <w:rFonts w:asciiTheme="minorHAnsi" w:hAnsiTheme="minorHAnsi" w:cstheme="minorHAnsi"/>
          <w:highlight w:val="yellow"/>
        </w:rPr>
      </w:pPr>
    </w:p>
    <w:p w14:paraId="5B1BB817" w14:textId="77777777" w:rsidR="002E63C2" w:rsidRPr="002E63C2" w:rsidRDefault="002E63C2" w:rsidP="002E63C2">
      <w:pPr>
        <w:pStyle w:val="NoSpacing"/>
        <w:numPr>
          <w:ilvl w:val="1"/>
          <w:numId w:val="44"/>
        </w:numPr>
        <w:ind w:left="0" w:firstLine="0"/>
        <w:jc w:val="both"/>
        <w:rPr>
          <w:rFonts w:asciiTheme="minorHAnsi" w:hAnsiTheme="minorHAnsi" w:cstheme="minorHAnsi"/>
          <w:sz w:val="24"/>
          <w:szCs w:val="24"/>
          <w:highlight w:val="yellow"/>
          <w:lang w:val="en-US"/>
        </w:rPr>
      </w:pPr>
      <w:r w:rsidRPr="002E63C2">
        <w:rPr>
          <w:rFonts w:asciiTheme="minorHAnsi" w:hAnsiTheme="minorHAnsi" w:cstheme="minorHAnsi"/>
          <w:sz w:val="24"/>
          <w:szCs w:val="24"/>
          <w:highlight w:val="yellow"/>
          <w:lang w:val="en-US"/>
        </w:rPr>
        <w:t>Incubate the three tubes at 37 ˚C for one hour.</w:t>
      </w:r>
    </w:p>
    <w:p w14:paraId="51723008" w14:textId="77777777" w:rsidR="002E63C2" w:rsidRPr="00E339AA" w:rsidRDefault="002E63C2" w:rsidP="002E63C2">
      <w:pPr>
        <w:pStyle w:val="ListParagraph"/>
        <w:ind w:left="0"/>
        <w:rPr>
          <w:rFonts w:asciiTheme="minorHAnsi" w:hAnsiTheme="minorHAnsi" w:cstheme="minorHAnsi"/>
        </w:rPr>
      </w:pPr>
    </w:p>
    <w:p w14:paraId="24A98F68" w14:textId="77777777"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Transfer the blood back to the mononuclear cell preparation tubes and carry out the PBMC preparation protocol as for a clinical setting from step 2.4 to step 3.8.</w:t>
      </w:r>
    </w:p>
    <w:p w14:paraId="17EF3CDC" w14:textId="77777777" w:rsidR="002E63C2" w:rsidRPr="00E339AA" w:rsidRDefault="002E63C2" w:rsidP="002E63C2">
      <w:pPr>
        <w:pStyle w:val="ListParagraph"/>
        <w:ind w:left="0"/>
        <w:rPr>
          <w:rFonts w:asciiTheme="minorHAnsi" w:hAnsiTheme="minorHAnsi" w:cstheme="minorHAnsi"/>
        </w:rPr>
      </w:pPr>
    </w:p>
    <w:p w14:paraId="4FFE809D" w14:textId="46588BB3"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highlight w:val="yellow"/>
          <w:lang w:val="en-US"/>
        </w:rPr>
        <w:t xml:space="preserve">Add a volume of lysis buffer supplemented with protease and phosphatase inhibitors equal to the cell pellet volume (in this case 70 </w:t>
      </w:r>
      <w:r w:rsidRPr="00E339AA">
        <w:rPr>
          <w:rFonts w:asciiTheme="minorHAnsi" w:hAnsiTheme="minorHAnsi" w:cstheme="minorHAnsi"/>
          <w:sz w:val="24"/>
          <w:szCs w:val="24"/>
          <w:highlight w:val="yellow"/>
          <w:lang w:val="en-US"/>
        </w:rPr>
        <w:sym w:font="Symbol" w:char="F06D"/>
      </w:r>
      <w:r w:rsidRPr="00E339AA">
        <w:rPr>
          <w:rFonts w:asciiTheme="minorHAnsi" w:hAnsiTheme="minorHAnsi" w:cstheme="minorHAnsi"/>
          <w:sz w:val="24"/>
          <w:szCs w:val="24"/>
          <w:highlight w:val="yellow"/>
          <w:lang w:val="en-US"/>
        </w:rPr>
        <w:t xml:space="preserve">L of RIPA buffer) to each of the cell pellets, pipette up and down and incubate on ice for 10 min. Sonicate the samples if a sonicator is available (3 cycles, 30 s </w:t>
      </w:r>
      <w:r w:rsidR="00AF3224">
        <w:rPr>
          <w:rFonts w:asciiTheme="minorHAnsi" w:hAnsiTheme="minorHAnsi" w:cstheme="minorHAnsi"/>
          <w:sz w:val="24"/>
          <w:szCs w:val="24"/>
          <w:highlight w:val="yellow"/>
          <w:lang w:val="en-US"/>
        </w:rPr>
        <w:t>ON</w:t>
      </w:r>
      <w:r w:rsidRPr="00E339AA">
        <w:rPr>
          <w:rFonts w:asciiTheme="minorHAnsi" w:hAnsiTheme="minorHAnsi" w:cstheme="minorHAnsi"/>
          <w:sz w:val="24"/>
          <w:szCs w:val="24"/>
          <w:highlight w:val="yellow"/>
          <w:lang w:val="en-US"/>
        </w:rPr>
        <w:t xml:space="preserve">/30 s </w:t>
      </w:r>
      <w:r w:rsidR="00AF3224">
        <w:rPr>
          <w:rFonts w:asciiTheme="minorHAnsi" w:hAnsiTheme="minorHAnsi" w:cstheme="minorHAnsi"/>
          <w:sz w:val="24"/>
          <w:szCs w:val="24"/>
          <w:highlight w:val="yellow"/>
          <w:lang w:val="en-US"/>
        </w:rPr>
        <w:t>OFF</w:t>
      </w:r>
      <w:r w:rsidRPr="00E339AA">
        <w:rPr>
          <w:rFonts w:asciiTheme="minorHAnsi" w:hAnsiTheme="minorHAnsi" w:cstheme="minorHAnsi"/>
          <w:sz w:val="24"/>
          <w:szCs w:val="24"/>
          <w:highlight w:val="yellow"/>
          <w:lang w:val="en-US"/>
        </w:rPr>
        <w:t>, 4 ˚C), alternatively syringe the samples to break the nucleic acids to eliminate viscosity in the sample</w:t>
      </w:r>
      <w:r w:rsidRPr="00E339AA">
        <w:rPr>
          <w:rFonts w:asciiTheme="minorHAnsi" w:hAnsiTheme="minorHAnsi" w:cstheme="minorHAnsi"/>
          <w:sz w:val="24"/>
          <w:szCs w:val="24"/>
          <w:lang w:val="en-US"/>
        </w:rPr>
        <w:t>.</w:t>
      </w:r>
    </w:p>
    <w:p w14:paraId="7198E5D1" w14:textId="77777777" w:rsidR="002E63C2" w:rsidRPr="00E339AA" w:rsidRDefault="002E63C2" w:rsidP="002E63C2">
      <w:pPr>
        <w:pStyle w:val="ListParagraph"/>
        <w:ind w:left="0"/>
        <w:rPr>
          <w:rFonts w:asciiTheme="minorHAnsi" w:hAnsiTheme="minorHAnsi" w:cstheme="minorHAnsi"/>
        </w:rPr>
      </w:pPr>
    </w:p>
    <w:p w14:paraId="11B57A84" w14:textId="77777777"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2E63C2">
        <w:rPr>
          <w:rFonts w:asciiTheme="minorHAnsi" w:hAnsiTheme="minorHAnsi" w:cstheme="minorHAnsi"/>
          <w:sz w:val="24"/>
          <w:szCs w:val="24"/>
          <w:highlight w:val="yellow"/>
          <w:lang w:val="en-US"/>
        </w:rPr>
        <w:t xml:space="preserve">Centrifuge the samples for 10 min at ≥ 15,000 </w:t>
      </w:r>
      <w:r w:rsidRPr="002E63C2">
        <w:rPr>
          <w:rFonts w:asciiTheme="minorHAnsi" w:hAnsiTheme="minorHAnsi" w:cstheme="minorHAnsi"/>
          <w:i/>
          <w:iCs/>
          <w:sz w:val="24"/>
          <w:szCs w:val="24"/>
          <w:highlight w:val="yellow"/>
          <w:lang w:val="en-US"/>
        </w:rPr>
        <w:t>x g</w:t>
      </w:r>
      <w:r w:rsidRPr="002E63C2">
        <w:rPr>
          <w:rFonts w:asciiTheme="minorHAnsi" w:hAnsiTheme="minorHAnsi" w:cstheme="minorHAnsi"/>
          <w:sz w:val="24"/>
          <w:szCs w:val="24"/>
          <w:highlight w:val="yellow"/>
          <w:lang w:val="en-US"/>
        </w:rPr>
        <w:t>, at 4 ˚C. Transfer each supernatant to a new 1.5 mL tube,</w:t>
      </w:r>
      <w:r w:rsidRPr="00E339AA">
        <w:rPr>
          <w:rFonts w:asciiTheme="minorHAnsi" w:hAnsiTheme="minorHAnsi" w:cstheme="minorHAnsi"/>
          <w:sz w:val="24"/>
          <w:szCs w:val="24"/>
          <w:lang w:val="en-US"/>
        </w:rPr>
        <w:t xml:space="preserve"> qualitatively assess the level of hemolysis (visual inspection) and measure the protein concentration by any preferred method.</w:t>
      </w:r>
    </w:p>
    <w:p w14:paraId="7A29C988" w14:textId="77777777" w:rsidR="002E63C2" w:rsidRPr="00E339AA" w:rsidRDefault="002E63C2" w:rsidP="002E63C2">
      <w:pPr>
        <w:pStyle w:val="ListParagraph"/>
        <w:ind w:left="0"/>
        <w:rPr>
          <w:rFonts w:asciiTheme="minorHAnsi" w:hAnsiTheme="minorHAnsi" w:cstheme="minorHAnsi"/>
        </w:rPr>
      </w:pPr>
    </w:p>
    <w:p w14:paraId="30254D5C" w14:textId="77777777"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 xml:space="preserve">Mix 40 </w:t>
      </w:r>
      <w:r w:rsidRPr="00E339AA">
        <w:rPr>
          <w:rFonts w:asciiTheme="minorHAnsi" w:hAnsiTheme="minorHAnsi" w:cstheme="minorHAnsi"/>
          <w:sz w:val="24"/>
          <w:szCs w:val="24"/>
          <w:lang w:val="en-US"/>
        </w:rPr>
        <w:sym w:font="Symbol" w:char="F06D"/>
      </w:r>
      <w:r w:rsidRPr="00E339AA">
        <w:rPr>
          <w:rFonts w:asciiTheme="minorHAnsi" w:hAnsiTheme="minorHAnsi" w:cstheme="minorHAnsi"/>
          <w:sz w:val="24"/>
          <w:szCs w:val="24"/>
          <w:lang w:val="en-US"/>
        </w:rPr>
        <w:t>g of total lysate with sample loading buffer containing SDS and sample reducing agent. Boil samples for 5 min in a heat block.</w:t>
      </w:r>
    </w:p>
    <w:p w14:paraId="22158C14" w14:textId="77777777" w:rsidR="002E63C2" w:rsidRPr="00E339AA" w:rsidRDefault="002E63C2" w:rsidP="002E63C2">
      <w:pPr>
        <w:pStyle w:val="ListParagraph"/>
        <w:ind w:left="0"/>
        <w:rPr>
          <w:rFonts w:asciiTheme="minorHAnsi" w:hAnsiTheme="minorHAnsi" w:cstheme="minorHAnsi"/>
        </w:rPr>
      </w:pPr>
    </w:p>
    <w:p w14:paraId="2FABA3F3" w14:textId="77777777" w:rsidR="002E63C2" w:rsidRPr="002E63C2" w:rsidRDefault="002E63C2" w:rsidP="002E63C2">
      <w:pPr>
        <w:pStyle w:val="NoSpacing"/>
        <w:numPr>
          <w:ilvl w:val="1"/>
          <w:numId w:val="44"/>
        </w:numPr>
        <w:ind w:left="0" w:firstLine="0"/>
        <w:jc w:val="both"/>
        <w:rPr>
          <w:rFonts w:asciiTheme="minorHAnsi" w:hAnsiTheme="minorHAnsi" w:cstheme="minorHAnsi"/>
          <w:sz w:val="24"/>
          <w:szCs w:val="24"/>
          <w:highlight w:val="yellow"/>
          <w:lang w:val="en-US"/>
        </w:rPr>
      </w:pPr>
      <w:r w:rsidRPr="002E63C2">
        <w:rPr>
          <w:rFonts w:asciiTheme="minorHAnsi" w:hAnsiTheme="minorHAnsi" w:cstheme="minorHAnsi"/>
          <w:sz w:val="24"/>
          <w:szCs w:val="24"/>
          <w:highlight w:val="yellow"/>
          <w:lang w:val="en-US"/>
        </w:rPr>
        <w:lastRenderedPageBreak/>
        <w:t xml:space="preserve">Load 20 </w:t>
      </w:r>
      <w:r w:rsidRPr="002E63C2">
        <w:rPr>
          <w:rFonts w:asciiTheme="minorHAnsi" w:hAnsiTheme="minorHAnsi" w:cstheme="minorHAnsi"/>
          <w:sz w:val="24"/>
          <w:szCs w:val="24"/>
          <w:highlight w:val="yellow"/>
          <w:lang w:val="en-US"/>
        </w:rPr>
        <w:sym w:font="Symbol" w:char="F06D"/>
      </w:r>
      <w:r w:rsidRPr="002E63C2">
        <w:rPr>
          <w:rFonts w:asciiTheme="minorHAnsi" w:hAnsiTheme="minorHAnsi" w:cstheme="minorHAnsi"/>
          <w:sz w:val="24"/>
          <w:szCs w:val="24"/>
          <w:highlight w:val="yellow"/>
          <w:lang w:val="en-US"/>
        </w:rPr>
        <w:t>g of each sample</w:t>
      </w:r>
      <w:r w:rsidRPr="002E63C2" w:rsidDel="00A05AB1">
        <w:rPr>
          <w:rFonts w:asciiTheme="minorHAnsi" w:hAnsiTheme="minorHAnsi" w:cstheme="minorHAnsi"/>
          <w:sz w:val="24"/>
          <w:szCs w:val="24"/>
          <w:highlight w:val="yellow"/>
          <w:lang w:val="en-US"/>
        </w:rPr>
        <w:t xml:space="preserve"> </w:t>
      </w:r>
      <w:r w:rsidRPr="002E63C2">
        <w:rPr>
          <w:rFonts w:asciiTheme="minorHAnsi" w:hAnsiTheme="minorHAnsi" w:cstheme="minorHAnsi"/>
          <w:sz w:val="24"/>
          <w:szCs w:val="24"/>
          <w:highlight w:val="yellow"/>
          <w:lang w:val="en-US"/>
        </w:rPr>
        <w:t>per lane in duplicate in a 4-12% bis-tris protein gel and run an SDS-PAGE.</w:t>
      </w:r>
    </w:p>
    <w:p w14:paraId="66BD5C18" w14:textId="77777777" w:rsidR="002E63C2" w:rsidRPr="00E339AA" w:rsidRDefault="002E63C2" w:rsidP="002E63C2">
      <w:pPr>
        <w:pStyle w:val="ListParagraph"/>
        <w:ind w:left="0"/>
        <w:rPr>
          <w:rFonts w:asciiTheme="minorHAnsi" w:hAnsiTheme="minorHAnsi" w:cstheme="minorHAnsi"/>
        </w:rPr>
      </w:pPr>
    </w:p>
    <w:p w14:paraId="0982F51D" w14:textId="05587960"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After separation, transfer the proteins to a nitrocellulose membrane using a commercially available system (20 V, 10 min) and block with 5 % milk in TBST</w:t>
      </w:r>
      <w:r w:rsidR="00AF3224">
        <w:rPr>
          <w:rFonts w:asciiTheme="minorHAnsi" w:hAnsiTheme="minorHAnsi" w:cstheme="minorHAnsi"/>
          <w:sz w:val="24"/>
          <w:szCs w:val="24"/>
          <w:lang w:val="en-US"/>
        </w:rPr>
        <w:t>.</w:t>
      </w:r>
    </w:p>
    <w:p w14:paraId="00021EB3" w14:textId="77777777" w:rsidR="002E63C2" w:rsidRPr="00E339AA" w:rsidRDefault="002E63C2" w:rsidP="002E63C2">
      <w:pPr>
        <w:pStyle w:val="ListParagraph"/>
        <w:ind w:left="0"/>
        <w:rPr>
          <w:rFonts w:asciiTheme="minorHAnsi" w:hAnsiTheme="minorHAnsi" w:cstheme="minorHAnsi"/>
        </w:rPr>
      </w:pPr>
    </w:p>
    <w:p w14:paraId="6C605F3D" w14:textId="77777777"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 xml:space="preserve">Cut the membrane at the relevant molecular sizes and incubate with the primary antibodies overnight at 4 ˚C (see </w:t>
      </w:r>
      <w:r w:rsidRPr="002E63C2">
        <w:rPr>
          <w:rFonts w:asciiTheme="minorHAnsi" w:hAnsiTheme="minorHAnsi" w:cstheme="minorHAnsi"/>
          <w:b/>
          <w:bCs/>
          <w:sz w:val="24"/>
          <w:szCs w:val="24"/>
          <w:lang w:val="en-US"/>
        </w:rPr>
        <w:t xml:space="preserve">Table of Materials </w:t>
      </w:r>
      <w:r w:rsidRPr="00E339AA">
        <w:rPr>
          <w:rFonts w:asciiTheme="minorHAnsi" w:hAnsiTheme="minorHAnsi" w:cstheme="minorHAnsi"/>
          <w:sz w:val="24"/>
          <w:szCs w:val="24"/>
          <w:lang w:val="en-US"/>
        </w:rPr>
        <w:t>for antibodies and dilutions).</w:t>
      </w:r>
    </w:p>
    <w:p w14:paraId="4832996D" w14:textId="77777777" w:rsidR="002E63C2" w:rsidRPr="00E339AA" w:rsidRDefault="002E63C2" w:rsidP="002E63C2">
      <w:pPr>
        <w:pStyle w:val="ListParagraph"/>
        <w:ind w:left="0"/>
        <w:rPr>
          <w:rFonts w:asciiTheme="minorHAnsi" w:hAnsiTheme="minorHAnsi" w:cstheme="minorHAnsi"/>
        </w:rPr>
      </w:pPr>
    </w:p>
    <w:p w14:paraId="5834D25F" w14:textId="77777777"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Remove the primary antibodies and wash the membranes 3 times with TBST for 5 minutes at room temperature. Incubate with the HRP-conjugated secondary antibodies for 45 minutes at room temperature.</w:t>
      </w:r>
    </w:p>
    <w:p w14:paraId="7D77764D" w14:textId="77777777" w:rsidR="002E63C2" w:rsidRPr="00E339AA" w:rsidRDefault="002E63C2" w:rsidP="002E63C2">
      <w:pPr>
        <w:pStyle w:val="ListParagraph"/>
        <w:ind w:left="0"/>
        <w:rPr>
          <w:rFonts w:asciiTheme="minorHAnsi" w:hAnsiTheme="minorHAnsi" w:cstheme="minorHAnsi"/>
        </w:rPr>
      </w:pPr>
    </w:p>
    <w:p w14:paraId="6B026879" w14:textId="77777777"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Wash 3 times with TBST for 5 min.</w:t>
      </w:r>
    </w:p>
    <w:p w14:paraId="566ED793" w14:textId="77777777" w:rsidR="002E63C2" w:rsidRPr="00E339AA" w:rsidRDefault="002E63C2" w:rsidP="002E63C2">
      <w:pPr>
        <w:pStyle w:val="ListParagraph"/>
        <w:ind w:left="0"/>
        <w:rPr>
          <w:rFonts w:asciiTheme="minorHAnsi" w:hAnsiTheme="minorHAnsi" w:cstheme="minorHAnsi"/>
        </w:rPr>
      </w:pPr>
    </w:p>
    <w:p w14:paraId="755118B6" w14:textId="017EC24C" w:rsidR="002E63C2" w:rsidRPr="00E339AA" w:rsidRDefault="002E63C2" w:rsidP="002E63C2">
      <w:pPr>
        <w:pStyle w:val="NoSpacing"/>
        <w:numPr>
          <w:ilvl w:val="1"/>
          <w:numId w:val="44"/>
        </w:numPr>
        <w:ind w:left="0" w:firstLine="0"/>
        <w:jc w:val="both"/>
        <w:rPr>
          <w:rFonts w:asciiTheme="minorHAnsi" w:hAnsiTheme="minorHAnsi" w:cstheme="minorHAnsi"/>
          <w:sz w:val="24"/>
          <w:szCs w:val="24"/>
          <w:lang w:val="en-US"/>
        </w:rPr>
      </w:pPr>
      <w:r w:rsidRPr="00E339AA">
        <w:rPr>
          <w:rFonts w:asciiTheme="minorHAnsi" w:hAnsiTheme="minorHAnsi" w:cstheme="minorHAnsi"/>
          <w:sz w:val="24"/>
          <w:szCs w:val="24"/>
          <w:lang w:val="en-US"/>
        </w:rPr>
        <w:t>Apply the ECL reagent and analy</w:t>
      </w:r>
      <w:r w:rsidR="00821C4D">
        <w:rPr>
          <w:rFonts w:asciiTheme="minorHAnsi" w:hAnsiTheme="minorHAnsi" w:cstheme="minorHAnsi"/>
          <w:sz w:val="24"/>
          <w:szCs w:val="24"/>
          <w:lang w:val="en-US"/>
        </w:rPr>
        <w:t>z</w:t>
      </w:r>
      <w:r w:rsidRPr="00E339AA">
        <w:rPr>
          <w:rFonts w:asciiTheme="minorHAnsi" w:hAnsiTheme="minorHAnsi" w:cstheme="minorHAnsi"/>
          <w:sz w:val="24"/>
          <w:szCs w:val="24"/>
          <w:lang w:val="en-US"/>
        </w:rPr>
        <w:t>e the images obtained relative to HRP signal.</w:t>
      </w:r>
    </w:p>
    <w:bookmarkEnd w:id="0"/>
    <w:p w14:paraId="33EAFEE3" w14:textId="77777777" w:rsidR="00D96FFF" w:rsidRPr="00E339AA" w:rsidRDefault="00D96FFF" w:rsidP="002E63C2">
      <w:pPr>
        <w:pStyle w:val="NormalWeb"/>
        <w:spacing w:before="0" w:beforeAutospacing="0" w:after="0" w:afterAutospacing="0"/>
        <w:rPr>
          <w:rFonts w:asciiTheme="minorHAnsi" w:hAnsiTheme="minorHAnsi" w:cstheme="minorHAnsi"/>
          <w:b/>
          <w:color w:val="auto"/>
        </w:rPr>
      </w:pPr>
    </w:p>
    <w:p w14:paraId="67679309" w14:textId="36993703" w:rsidR="00C05BC9" w:rsidRPr="00E339AA" w:rsidRDefault="006305D7"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b/>
          <w:color w:val="auto"/>
        </w:rPr>
        <w:t>REPRESENTATIVE RESULTS</w:t>
      </w:r>
      <w:r w:rsidR="00EF1462" w:rsidRPr="00E339AA">
        <w:rPr>
          <w:rFonts w:asciiTheme="minorHAnsi" w:hAnsiTheme="minorHAnsi" w:cstheme="minorHAnsi"/>
          <w:b/>
          <w:color w:val="auto"/>
        </w:rPr>
        <w:t>:</w:t>
      </w:r>
    </w:p>
    <w:p w14:paraId="2B264B09" w14:textId="235FE1A9" w:rsidR="00196DE4" w:rsidRPr="00E339AA" w:rsidRDefault="00C05BC9" w:rsidP="002E63C2">
      <w:pPr>
        <w:pStyle w:val="NormalWeb"/>
        <w:spacing w:before="0" w:beforeAutospacing="0" w:after="0" w:afterAutospacing="0"/>
        <w:rPr>
          <w:rFonts w:asciiTheme="minorHAnsi" w:hAnsiTheme="minorHAnsi" w:cstheme="minorHAnsi"/>
          <w:color w:val="auto"/>
        </w:rPr>
      </w:pPr>
      <w:r w:rsidRPr="00E339AA">
        <w:rPr>
          <w:color w:val="auto"/>
        </w:rPr>
        <w:t xml:space="preserve">To improve the quality of PBMC preparations in our clinical trials, we have </w:t>
      </w:r>
      <w:r w:rsidR="008528A6" w:rsidRPr="00E339AA">
        <w:rPr>
          <w:color w:val="auto"/>
        </w:rPr>
        <w:t>generated</w:t>
      </w:r>
      <w:r w:rsidRPr="00E339AA">
        <w:rPr>
          <w:color w:val="auto"/>
        </w:rPr>
        <w:t xml:space="preserve"> a protocol with concise, clear steps that can be followed by hospital laboratory professionals, independent of their molecular biology background and laboratory skills. We have adapted the </w:t>
      </w:r>
      <w:r w:rsidR="00326E40" w:rsidRPr="00E339AA">
        <w:rPr>
          <w:color w:val="auto"/>
        </w:rPr>
        <w:t>manufacturer</w:t>
      </w:r>
      <w:r w:rsidR="0027524F" w:rsidRPr="00E339AA">
        <w:rPr>
          <w:color w:val="auto"/>
        </w:rPr>
        <w:t>’s protocol</w:t>
      </w:r>
      <w:r w:rsidRPr="00E339AA">
        <w:rPr>
          <w:color w:val="auto"/>
        </w:rPr>
        <w:t xml:space="preserve"> incorporating modifications on those steps where execution issues have been</w:t>
      </w:r>
      <w:r w:rsidR="00FD1EB6" w:rsidRPr="00E339AA">
        <w:rPr>
          <w:color w:val="auto"/>
        </w:rPr>
        <w:t xml:space="preserve"> identified or</w:t>
      </w:r>
      <w:r w:rsidRPr="00E339AA">
        <w:rPr>
          <w:color w:val="auto"/>
        </w:rPr>
        <w:t xml:space="preserve"> reported from clinical sites </w:t>
      </w:r>
      <w:r w:rsidR="007D1295" w:rsidRPr="00E339AA">
        <w:rPr>
          <w:color w:val="auto"/>
        </w:rPr>
        <w:t xml:space="preserve">involved in </w:t>
      </w:r>
      <w:r w:rsidRPr="00E339AA">
        <w:rPr>
          <w:color w:val="auto"/>
        </w:rPr>
        <w:t xml:space="preserve">various </w:t>
      </w:r>
      <w:r w:rsidR="00C344AF" w:rsidRPr="00E339AA">
        <w:rPr>
          <w:color w:val="auto"/>
        </w:rPr>
        <w:t>multi-</w:t>
      </w:r>
      <w:r w:rsidR="00B36F13" w:rsidRPr="00E339AA">
        <w:rPr>
          <w:color w:val="auto"/>
        </w:rPr>
        <w:t>center</w:t>
      </w:r>
      <w:r w:rsidR="00C344AF" w:rsidRPr="00E339AA">
        <w:rPr>
          <w:color w:val="auto"/>
        </w:rPr>
        <w:t xml:space="preserve"> </w:t>
      </w:r>
      <w:r w:rsidRPr="00E339AA">
        <w:rPr>
          <w:color w:val="auto"/>
        </w:rPr>
        <w:t>clinical trial</w:t>
      </w:r>
      <w:r w:rsidR="00AF1946" w:rsidRPr="00E339AA">
        <w:rPr>
          <w:color w:val="auto"/>
        </w:rPr>
        <w:t>s</w:t>
      </w:r>
      <w:r w:rsidRPr="00E339AA">
        <w:rPr>
          <w:color w:val="auto"/>
        </w:rPr>
        <w:t>.</w:t>
      </w:r>
      <w:r w:rsidR="00BE4799" w:rsidRPr="00E339AA">
        <w:rPr>
          <w:color w:val="auto"/>
        </w:rPr>
        <w:t xml:space="preserve"> </w:t>
      </w:r>
      <w:r w:rsidR="00FF5023" w:rsidRPr="00E339AA">
        <w:rPr>
          <w:color w:val="auto"/>
        </w:rPr>
        <w:t>However,</w:t>
      </w:r>
      <w:r w:rsidR="00BE4799" w:rsidRPr="00E339AA">
        <w:rPr>
          <w:color w:val="auto"/>
        </w:rPr>
        <w:t xml:space="preserve"> </w:t>
      </w:r>
      <w:r w:rsidR="00241A8D" w:rsidRPr="00E339AA">
        <w:rPr>
          <w:color w:val="auto"/>
        </w:rPr>
        <w:t xml:space="preserve">the protocol can be further </w:t>
      </w:r>
      <w:r w:rsidR="00B36F13" w:rsidRPr="00E339AA">
        <w:rPr>
          <w:color w:val="auto"/>
        </w:rPr>
        <w:t>optimized</w:t>
      </w:r>
      <w:r w:rsidR="00241A8D" w:rsidRPr="00E339AA">
        <w:rPr>
          <w:color w:val="auto"/>
        </w:rPr>
        <w:t xml:space="preserve"> </w:t>
      </w:r>
      <w:r w:rsidR="00D33858" w:rsidRPr="00E339AA">
        <w:rPr>
          <w:color w:val="auto"/>
        </w:rPr>
        <w:t>to meet</w:t>
      </w:r>
      <w:r w:rsidR="00241A8D" w:rsidRPr="00E339AA">
        <w:rPr>
          <w:color w:val="auto"/>
        </w:rPr>
        <w:t xml:space="preserve"> specific requirements, such as time constraints</w:t>
      </w:r>
      <w:r w:rsidR="00D33858" w:rsidRPr="00E339AA">
        <w:rPr>
          <w:color w:val="auto"/>
        </w:rPr>
        <w:t xml:space="preserve"> in the clinical site or </w:t>
      </w:r>
      <w:r w:rsidR="00097DA4" w:rsidRPr="00E339AA">
        <w:rPr>
          <w:color w:val="auto"/>
        </w:rPr>
        <w:t>type of downstream analyse</w:t>
      </w:r>
      <w:r w:rsidR="00D33858" w:rsidRPr="00E339AA">
        <w:rPr>
          <w:color w:val="auto"/>
        </w:rPr>
        <w:t>s</w:t>
      </w:r>
      <w:r w:rsidR="00F47F36" w:rsidRPr="00E339AA">
        <w:rPr>
          <w:color w:val="auto"/>
        </w:rPr>
        <w:t xml:space="preserve"> (see </w:t>
      </w:r>
      <w:r w:rsidR="00A71145" w:rsidRPr="00AF3224">
        <w:rPr>
          <w:b/>
          <w:bCs/>
          <w:color w:val="auto"/>
        </w:rPr>
        <w:t>S</w:t>
      </w:r>
      <w:r w:rsidR="00F47F36" w:rsidRPr="00AF3224">
        <w:rPr>
          <w:b/>
          <w:bCs/>
          <w:color w:val="auto"/>
        </w:rPr>
        <w:t xml:space="preserve">upplementary </w:t>
      </w:r>
      <w:r w:rsidR="004A2F45">
        <w:rPr>
          <w:b/>
          <w:bCs/>
          <w:color w:val="auto"/>
        </w:rPr>
        <w:t>F</w:t>
      </w:r>
      <w:r w:rsidR="00F47F36" w:rsidRPr="00AF3224">
        <w:rPr>
          <w:b/>
          <w:bCs/>
          <w:color w:val="auto"/>
        </w:rPr>
        <w:t>ile</w:t>
      </w:r>
      <w:r w:rsidR="000144D8" w:rsidRPr="00E339AA">
        <w:rPr>
          <w:color w:val="auto"/>
        </w:rPr>
        <w:t>)</w:t>
      </w:r>
      <w:r w:rsidR="00D33858" w:rsidRPr="00E339AA">
        <w:rPr>
          <w:color w:val="auto"/>
        </w:rPr>
        <w:t>.</w:t>
      </w:r>
      <w:r w:rsidR="00764019" w:rsidRPr="00E339AA">
        <w:rPr>
          <w:color w:val="auto"/>
        </w:rPr>
        <w:t xml:space="preserve"> We demonstrate </w:t>
      </w:r>
      <w:r w:rsidR="00153563" w:rsidRPr="00E339AA">
        <w:rPr>
          <w:color w:val="auto"/>
        </w:rPr>
        <w:t xml:space="preserve">that the DDR can be </w:t>
      </w:r>
      <w:r w:rsidR="00B36F13" w:rsidRPr="00E339AA">
        <w:rPr>
          <w:color w:val="auto"/>
        </w:rPr>
        <w:t>analyzed</w:t>
      </w:r>
      <w:r w:rsidR="00153563" w:rsidRPr="00E339AA">
        <w:rPr>
          <w:color w:val="auto"/>
        </w:rPr>
        <w:t xml:space="preserve"> in PBMCs by looking at specific biomarkers upon </w:t>
      </w:r>
      <w:r w:rsidR="00036138" w:rsidRPr="00E339AA">
        <w:rPr>
          <w:color w:val="auto"/>
        </w:rPr>
        <w:t>DNA damage generated by radiation.</w:t>
      </w:r>
    </w:p>
    <w:p w14:paraId="09C73F35" w14:textId="77777777" w:rsidR="005F1402" w:rsidRPr="00E339AA" w:rsidRDefault="005F1402" w:rsidP="002E63C2">
      <w:pPr>
        <w:rPr>
          <w:color w:val="auto"/>
        </w:rPr>
      </w:pPr>
    </w:p>
    <w:p w14:paraId="0EB3B1AB" w14:textId="72E12244" w:rsidR="005353C1" w:rsidRPr="00E339AA" w:rsidRDefault="005353C1" w:rsidP="002E63C2">
      <w:pPr>
        <w:rPr>
          <w:color w:val="auto"/>
        </w:rPr>
      </w:pPr>
      <w:r w:rsidRPr="00E339AA">
        <w:rPr>
          <w:color w:val="auto"/>
        </w:rPr>
        <w:t>The most common queries we have received from clinical sites relate to the centrifugation steps, which directly impact being able to successfully isolate PBMCs and obtain the final PBMC pellet. Using the appropriate type of swing-out head rotor centrifuge (</w:t>
      </w:r>
      <w:r w:rsidRPr="00E339AA">
        <w:rPr>
          <w:b/>
          <w:bCs/>
          <w:color w:val="auto"/>
        </w:rPr>
        <w:t>Figure 1</w:t>
      </w:r>
      <w:proofErr w:type="gramStart"/>
      <w:r w:rsidRPr="00E339AA">
        <w:rPr>
          <w:b/>
          <w:bCs/>
          <w:color w:val="auto"/>
        </w:rPr>
        <w:t>B,C</w:t>
      </w:r>
      <w:proofErr w:type="gramEnd"/>
      <w:r w:rsidRPr="00E339AA">
        <w:rPr>
          <w:color w:val="auto"/>
        </w:rPr>
        <w:t xml:space="preserve">) is </w:t>
      </w:r>
      <w:r w:rsidR="008528A6" w:rsidRPr="00E339AA">
        <w:rPr>
          <w:color w:val="auto"/>
        </w:rPr>
        <w:t xml:space="preserve">the </w:t>
      </w:r>
      <w:r w:rsidRPr="00E339AA">
        <w:rPr>
          <w:color w:val="auto"/>
        </w:rPr>
        <w:t xml:space="preserve">key to the success of the protocol. However, when only a fixed-angle rotor centrifuge is available at the clinical site, we suggest carrying out step 2.4 in a fixed-angle rotor at the same RCF as for a swing-out head rotor but for only 10 minutes. This ensures that a PBMC layer is separated from the plasma, </w:t>
      </w:r>
      <w:r w:rsidR="008528A6" w:rsidRPr="00E339AA">
        <w:rPr>
          <w:color w:val="auto"/>
        </w:rPr>
        <w:t xml:space="preserve">(see </w:t>
      </w:r>
      <w:r w:rsidRPr="00E339AA">
        <w:rPr>
          <w:b/>
          <w:bCs/>
          <w:color w:val="auto"/>
        </w:rPr>
        <w:t>Figure 2</w:t>
      </w:r>
      <w:proofErr w:type="gramStart"/>
      <w:r w:rsidRPr="00E339AA">
        <w:rPr>
          <w:b/>
          <w:bCs/>
          <w:color w:val="auto"/>
        </w:rPr>
        <w:t>B</w:t>
      </w:r>
      <w:r w:rsidR="008528A6" w:rsidRPr="00E339AA">
        <w:rPr>
          <w:b/>
          <w:bCs/>
          <w:color w:val="auto"/>
        </w:rPr>
        <w:t>,</w:t>
      </w:r>
      <w:r w:rsidRPr="00E339AA">
        <w:rPr>
          <w:b/>
          <w:bCs/>
          <w:color w:val="auto"/>
        </w:rPr>
        <w:t>C</w:t>
      </w:r>
      <w:proofErr w:type="gramEnd"/>
      <w:r w:rsidR="008528A6" w:rsidRPr="00E339AA">
        <w:rPr>
          <w:color w:val="auto"/>
        </w:rPr>
        <w:t>)</w:t>
      </w:r>
      <w:r w:rsidRPr="00E339AA">
        <w:rPr>
          <w:color w:val="auto"/>
        </w:rPr>
        <w:t>. While layering blood on a density gradient separation medium requires a brake-off centrifugation, blood in mononuclear cell preparation tubes can be centrifuged with brakes on due to the presence of a gel barrier in the tube that ensures the preservation of the PBMC layer separated from the denser blood components</w:t>
      </w:r>
      <w:r w:rsidRPr="00E339AA">
        <w:rPr>
          <w:color w:val="auto"/>
          <w:vertAlign w:val="superscript"/>
        </w:rPr>
        <w:t>27,28</w:t>
      </w:r>
      <w:r w:rsidRPr="00E339AA">
        <w:rPr>
          <w:color w:val="auto"/>
        </w:rPr>
        <w:t xml:space="preserve">. </w:t>
      </w:r>
    </w:p>
    <w:p w14:paraId="2D7DE9DC" w14:textId="77777777" w:rsidR="008528A6" w:rsidRPr="00E339AA" w:rsidRDefault="008528A6" w:rsidP="002E63C2">
      <w:pPr>
        <w:rPr>
          <w:color w:val="auto"/>
        </w:rPr>
      </w:pPr>
    </w:p>
    <w:p w14:paraId="1EB3B85A" w14:textId="6E12B8B5" w:rsidR="005353C1" w:rsidRPr="00E339AA" w:rsidRDefault="005353C1" w:rsidP="002E63C2">
      <w:pPr>
        <w:rPr>
          <w:color w:val="auto"/>
        </w:rPr>
      </w:pPr>
      <w:r w:rsidRPr="00E339AA">
        <w:rPr>
          <w:color w:val="auto"/>
        </w:rPr>
        <w:t xml:space="preserve">At least 4 mL of high quality, non-diluted plasma </w:t>
      </w:r>
      <w:r w:rsidR="002E63C2">
        <w:rPr>
          <w:color w:val="auto"/>
        </w:rPr>
        <w:t>were</w:t>
      </w:r>
      <w:r w:rsidRPr="00E339AA">
        <w:rPr>
          <w:color w:val="auto"/>
        </w:rPr>
        <w:t xml:space="preserve"> obtained from the centrifugation of blood in the 8 mL tube format, which c</w:t>
      </w:r>
      <w:r w:rsidR="002E63C2">
        <w:rPr>
          <w:color w:val="auto"/>
        </w:rPr>
        <w:t>ould</w:t>
      </w:r>
      <w:r w:rsidRPr="00E339AA">
        <w:rPr>
          <w:color w:val="auto"/>
        </w:rPr>
        <w:t xml:space="preserve"> be further clarified for its use in </w:t>
      </w:r>
      <w:r w:rsidR="00B36F13" w:rsidRPr="00E339AA">
        <w:rPr>
          <w:color w:val="auto"/>
        </w:rPr>
        <w:t>specialized</w:t>
      </w:r>
      <w:r w:rsidRPr="00E339AA">
        <w:rPr>
          <w:color w:val="auto"/>
        </w:rPr>
        <w:t xml:space="preserve"> analyses such as </w:t>
      </w:r>
      <w:proofErr w:type="spellStart"/>
      <w:r w:rsidRPr="00E339AA">
        <w:rPr>
          <w:color w:val="auto"/>
        </w:rPr>
        <w:t>ctDNA</w:t>
      </w:r>
      <w:proofErr w:type="spellEnd"/>
      <w:r w:rsidRPr="00E339AA">
        <w:rPr>
          <w:color w:val="auto"/>
        </w:rPr>
        <w:t xml:space="preserve"> sequencing or metabolomics studies</w:t>
      </w:r>
      <w:r w:rsidR="00E575C3" w:rsidRPr="00717EB0">
        <w:rPr>
          <w:color w:val="auto"/>
          <w:vertAlign w:val="superscript"/>
        </w:rPr>
        <w:t>29,30</w:t>
      </w:r>
      <w:r w:rsidRPr="00717EB0">
        <w:rPr>
          <w:color w:val="auto"/>
          <w:vertAlign w:val="superscript"/>
        </w:rPr>
        <w:t xml:space="preserve"> </w:t>
      </w:r>
      <w:r w:rsidRPr="00E339AA">
        <w:rPr>
          <w:color w:val="auto"/>
        </w:rPr>
        <w:t xml:space="preserve">(optional steps 4.1.1-4.1.4). The amount of isolated PBMCs, size of the pellets and </w:t>
      </w:r>
      <w:r w:rsidR="00B36F13" w:rsidRPr="00E339AA">
        <w:rPr>
          <w:color w:val="auto"/>
        </w:rPr>
        <w:t>hemolysis</w:t>
      </w:r>
      <w:r w:rsidRPr="00E339AA">
        <w:rPr>
          <w:color w:val="auto"/>
        </w:rPr>
        <w:t xml:space="preserve"> or red blood cell contamination have been other concerns coming from clinical sites and experience </w:t>
      </w:r>
      <w:r w:rsidR="00B36F13" w:rsidRPr="00E339AA">
        <w:rPr>
          <w:color w:val="auto"/>
        </w:rPr>
        <w:t>analyzing</w:t>
      </w:r>
      <w:r w:rsidRPr="00E339AA">
        <w:rPr>
          <w:color w:val="auto"/>
        </w:rPr>
        <w:t xml:space="preserve"> samples. The number of cells </w:t>
      </w:r>
      <w:r w:rsidRPr="00E339AA">
        <w:rPr>
          <w:color w:val="auto"/>
        </w:rPr>
        <w:lastRenderedPageBreak/>
        <w:t xml:space="preserve">obtained from 8 mL blood </w:t>
      </w:r>
      <w:r w:rsidR="002E63C2">
        <w:rPr>
          <w:color w:val="auto"/>
        </w:rPr>
        <w:t>wa</w:t>
      </w:r>
      <w:r w:rsidRPr="00E339AA">
        <w:rPr>
          <w:color w:val="auto"/>
        </w:rPr>
        <w:t xml:space="preserve">s variable depending on the patient and disease setting, but in general the pellet obtained is small in size, and of a transparent/white </w:t>
      </w:r>
      <w:r w:rsidR="00B36F13" w:rsidRPr="00E339AA">
        <w:rPr>
          <w:color w:val="auto"/>
        </w:rPr>
        <w:t>coloration</w:t>
      </w:r>
      <w:r w:rsidRPr="00E339AA">
        <w:rPr>
          <w:color w:val="auto"/>
        </w:rPr>
        <w:t xml:space="preserve"> (</w:t>
      </w:r>
      <w:r w:rsidRPr="00E339AA">
        <w:rPr>
          <w:b/>
          <w:bCs/>
          <w:color w:val="auto"/>
        </w:rPr>
        <w:t>Figure 3</w:t>
      </w:r>
      <w:proofErr w:type="gramStart"/>
      <w:r w:rsidRPr="00E339AA">
        <w:rPr>
          <w:b/>
          <w:bCs/>
          <w:color w:val="auto"/>
        </w:rPr>
        <w:t>A</w:t>
      </w:r>
      <w:r w:rsidR="006205E4" w:rsidRPr="00E339AA">
        <w:rPr>
          <w:b/>
          <w:bCs/>
          <w:color w:val="auto"/>
        </w:rPr>
        <w:t>,</w:t>
      </w:r>
      <w:r w:rsidRPr="00E339AA">
        <w:rPr>
          <w:b/>
          <w:bCs/>
          <w:color w:val="auto"/>
        </w:rPr>
        <w:t>B</w:t>
      </w:r>
      <w:proofErr w:type="gramEnd"/>
      <w:r w:rsidRPr="00E339AA">
        <w:rPr>
          <w:color w:val="auto"/>
        </w:rPr>
        <w:t xml:space="preserve">). Due to these characteristics, it is important to </w:t>
      </w:r>
      <w:r w:rsidR="00B36F13" w:rsidRPr="00E339AA">
        <w:rPr>
          <w:color w:val="auto"/>
        </w:rPr>
        <w:t>visualize</w:t>
      </w:r>
      <w:r w:rsidRPr="00E339AA">
        <w:rPr>
          <w:color w:val="auto"/>
        </w:rPr>
        <w:t xml:space="preserve"> the pellet against a dark background to avoid its accidental aspiration during the wash steps (2.5 and 3.3). Sometimes pellets can have some red </w:t>
      </w:r>
      <w:r w:rsidR="00B36F13" w:rsidRPr="00E339AA">
        <w:rPr>
          <w:color w:val="auto"/>
        </w:rPr>
        <w:t>coloration</w:t>
      </w:r>
      <w:r w:rsidRPr="00E339AA">
        <w:rPr>
          <w:color w:val="auto"/>
        </w:rPr>
        <w:t xml:space="preserve"> due to red blood cell contamination (</w:t>
      </w:r>
      <w:r w:rsidRPr="00E339AA">
        <w:rPr>
          <w:b/>
          <w:bCs/>
          <w:color w:val="auto"/>
        </w:rPr>
        <w:t>Figure 3</w:t>
      </w:r>
      <w:r w:rsidR="006205E4" w:rsidRPr="00E339AA">
        <w:rPr>
          <w:b/>
          <w:bCs/>
          <w:color w:val="auto"/>
        </w:rPr>
        <w:t>C</w:t>
      </w:r>
      <w:r w:rsidRPr="00E339AA">
        <w:rPr>
          <w:color w:val="auto"/>
        </w:rPr>
        <w:t xml:space="preserve">), and this has a negative effect on the quality of the preparation. To avoid losing small pellets such as those shown in </w:t>
      </w:r>
      <w:r w:rsidR="006205E4" w:rsidRPr="00E339AA">
        <w:rPr>
          <w:b/>
          <w:bCs/>
          <w:color w:val="auto"/>
        </w:rPr>
        <w:t>F</w:t>
      </w:r>
      <w:r w:rsidRPr="00E339AA">
        <w:rPr>
          <w:b/>
          <w:bCs/>
          <w:color w:val="auto"/>
        </w:rPr>
        <w:t>igure 3</w:t>
      </w:r>
      <w:r w:rsidRPr="00E339AA">
        <w:rPr>
          <w:color w:val="auto"/>
        </w:rPr>
        <w:t xml:space="preserve">, transferring the PBMC pellet to a cryovial is facilitated by step 3.7 where the PBMC pellet is resuspended in 50 </w:t>
      </w:r>
      <w:r w:rsidRPr="00E339AA">
        <w:rPr>
          <w:rFonts w:cstheme="minorHAnsi"/>
          <w:color w:val="auto"/>
        </w:rPr>
        <w:t>µ</w:t>
      </w:r>
      <w:r w:rsidRPr="00E339AA">
        <w:rPr>
          <w:color w:val="auto"/>
        </w:rPr>
        <w:t xml:space="preserve">L </w:t>
      </w:r>
      <w:r w:rsidR="006205E4" w:rsidRPr="00E339AA">
        <w:rPr>
          <w:color w:val="auto"/>
        </w:rPr>
        <w:t xml:space="preserve">of </w:t>
      </w:r>
      <w:r w:rsidRPr="00E339AA">
        <w:rPr>
          <w:color w:val="auto"/>
        </w:rPr>
        <w:t xml:space="preserve">PBS. </w:t>
      </w:r>
    </w:p>
    <w:p w14:paraId="6124BD5F" w14:textId="77777777" w:rsidR="008528A6" w:rsidRPr="00E339AA" w:rsidRDefault="008528A6" w:rsidP="002E63C2">
      <w:pPr>
        <w:rPr>
          <w:color w:val="auto"/>
        </w:rPr>
      </w:pPr>
    </w:p>
    <w:p w14:paraId="3997839F" w14:textId="645446A8" w:rsidR="006205E4" w:rsidRPr="00E339AA" w:rsidRDefault="005353C1" w:rsidP="002E63C2">
      <w:pPr>
        <w:rPr>
          <w:color w:val="auto"/>
        </w:rPr>
      </w:pPr>
      <w:r w:rsidRPr="00E339AA">
        <w:rPr>
          <w:color w:val="auto"/>
        </w:rPr>
        <w:t>The typical yield when using these tubes and blood from healthy individuals ranges between 7 to 21 x 10</w:t>
      </w:r>
      <w:r w:rsidRPr="00E339AA">
        <w:rPr>
          <w:color w:val="auto"/>
          <w:vertAlign w:val="superscript"/>
        </w:rPr>
        <w:t>6</w:t>
      </w:r>
      <w:r w:rsidRPr="00E339AA">
        <w:rPr>
          <w:color w:val="auto"/>
        </w:rPr>
        <w:t xml:space="preserve"> cells for 8 mL, and a cell recovery between 70 and 80% as it is our experience and it has previously shown</w:t>
      </w:r>
      <w:r w:rsidRPr="00E339AA">
        <w:rPr>
          <w:color w:val="auto"/>
          <w:vertAlign w:val="superscript"/>
        </w:rPr>
        <w:t>27,28</w:t>
      </w:r>
      <w:r w:rsidRPr="00E339AA">
        <w:rPr>
          <w:color w:val="auto"/>
        </w:rPr>
        <w:t xml:space="preserve">. This depends on both the individual cell counts and the operator and it is comparable to the cell numbers and cell recovery values obtained by other methods using density gradient (including systems </w:t>
      </w:r>
      <w:r w:rsidR="00B36F13" w:rsidRPr="00E339AA">
        <w:rPr>
          <w:color w:val="auto"/>
        </w:rPr>
        <w:t>utilizing</w:t>
      </w:r>
      <w:r w:rsidRPr="00E339AA">
        <w:rPr>
          <w:color w:val="auto"/>
        </w:rPr>
        <w:t xml:space="preserve"> tubes with a separation barrier)</w:t>
      </w:r>
      <w:r w:rsidRPr="00E339AA">
        <w:rPr>
          <w:color w:val="auto"/>
          <w:vertAlign w:val="superscript"/>
        </w:rPr>
        <w:t>15,27,28</w:t>
      </w:r>
      <w:r w:rsidRPr="00E339AA">
        <w:rPr>
          <w:color w:val="auto"/>
        </w:rPr>
        <w:t xml:space="preserve">. An illustrative example of the variation on number of PBMCs isolated with this method depending on disease setting is the analysis of PBMC markers in chronic lymphocytic </w:t>
      </w:r>
      <w:r w:rsidR="00B36F13" w:rsidRPr="00E339AA">
        <w:rPr>
          <w:color w:val="auto"/>
        </w:rPr>
        <w:t>leukemia</w:t>
      </w:r>
      <w:r w:rsidRPr="00E339AA">
        <w:rPr>
          <w:color w:val="auto"/>
        </w:rPr>
        <w:t xml:space="preserve"> (CLL) patients. The number of cells recovered from an 8</w:t>
      </w:r>
      <w:r w:rsidR="006205E4" w:rsidRPr="00E339AA">
        <w:rPr>
          <w:color w:val="auto"/>
        </w:rPr>
        <w:t xml:space="preserve"> </w:t>
      </w:r>
      <w:r w:rsidRPr="00E339AA">
        <w:rPr>
          <w:color w:val="auto"/>
        </w:rPr>
        <w:t>mL mononuclear cell preparation tube when applying this protocol varied from 1.62 x 10</w:t>
      </w:r>
      <w:r w:rsidRPr="00E339AA">
        <w:rPr>
          <w:color w:val="auto"/>
          <w:vertAlign w:val="superscript"/>
        </w:rPr>
        <w:t>4</w:t>
      </w:r>
      <w:r w:rsidRPr="00E339AA">
        <w:rPr>
          <w:color w:val="auto"/>
        </w:rPr>
        <w:t xml:space="preserve"> to 1.99 x 10</w:t>
      </w:r>
      <w:r w:rsidRPr="00E339AA">
        <w:rPr>
          <w:color w:val="auto"/>
          <w:vertAlign w:val="superscript"/>
        </w:rPr>
        <w:t>9</w:t>
      </w:r>
      <w:r w:rsidRPr="00E339AA">
        <w:rPr>
          <w:color w:val="auto"/>
        </w:rPr>
        <w:t xml:space="preserve"> in 45 samples obtained from 7 patients in study </w:t>
      </w:r>
      <w:r w:rsidRPr="00E339AA">
        <w:rPr>
          <w:rFonts w:asciiTheme="minorHAnsi" w:hAnsiTheme="minorHAnsi" w:cstheme="minorHAnsi"/>
          <w:color w:val="auto"/>
          <w:shd w:val="clear" w:color="auto" w:fill="FFFFFF"/>
        </w:rPr>
        <w:t>NCT03328273</w:t>
      </w:r>
      <w:r w:rsidR="00E575C3" w:rsidRPr="00717EB0">
        <w:rPr>
          <w:rFonts w:asciiTheme="minorHAnsi" w:hAnsiTheme="minorHAnsi" w:cstheme="minorHAnsi"/>
          <w:color w:val="auto"/>
          <w:shd w:val="clear" w:color="auto" w:fill="FFFFFF"/>
          <w:vertAlign w:val="superscript"/>
        </w:rPr>
        <w:t>31</w:t>
      </w:r>
      <w:r w:rsidRPr="00717EB0">
        <w:rPr>
          <w:color w:val="auto"/>
        </w:rPr>
        <w:t xml:space="preserve"> </w:t>
      </w:r>
      <w:r w:rsidRPr="00E339AA">
        <w:rPr>
          <w:color w:val="auto"/>
        </w:rPr>
        <w:t>(</w:t>
      </w:r>
      <w:r w:rsidRPr="00E339AA">
        <w:rPr>
          <w:b/>
          <w:bCs/>
          <w:color w:val="auto"/>
        </w:rPr>
        <w:t>Table 1</w:t>
      </w:r>
      <w:r w:rsidRPr="00E339AA">
        <w:rPr>
          <w:color w:val="auto"/>
        </w:rPr>
        <w:t xml:space="preserve">). A related parameter is the protein concentration of the PBMC lysates obtained by this method, and this depends on the number of cells isolated and the efficiency of the protein extraction. The cell pellets lysed in section 6 were generated with RIPA buffer and sonication (step 6.6). The resuspension of the cell pellets in their same volume of lysis buffer usually results in a range of concentrations from 3 to 10 mg/mL, and in this particular example the lysate concentrations were 6.8, 8.3 and 8.6 mg/mL for 0, 0.2 and 7 </w:t>
      </w:r>
      <w:proofErr w:type="spellStart"/>
      <w:r w:rsidRPr="00E339AA">
        <w:rPr>
          <w:color w:val="auto"/>
        </w:rPr>
        <w:t>Gy</w:t>
      </w:r>
      <w:proofErr w:type="spellEnd"/>
      <w:r w:rsidRPr="00E339AA">
        <w:rPr>
          <w:color w:val="auto"/>
        </w:rPr>
        <w:t>, respectively. However</w:t>
      </w:r>
      <w:r w:rsidR="006205E4" w:rsidRPr="00E339AA">
        <w:rPr>
          <w:color w:val="auto"/>
        </w:rPr>
        <w:t>,</w:t>
      </w:r>
      <w:r w:rsidRPr="00E339AA">
        <w:rPr>
          <w:color w:val="auto"/>
        </w:rPr>
        <w:t xml:space="preserve"> this is subject</w:t>
      </w:r>
      <w:r w:rsidR="002E63C2">
        <w:rPr>
          <w:color w:val="auto"/>
        </w:rPr>
        <w:t>ed</w:t>
      </w:r>
      <w:r w:rsidRPr="00E339AA">
        <w:rPr>
          <w:color w:val="auto"/>
        </w:rPr>
        <w:t xml:space="preserve"> to a high variability when receiving samples from clinical sites that have not been optimally prepared, patient’s disease, and the presence of </w:t>
      </w:r>
      <w:r w:rsidR="00C5555A" w:rsidRPr="00E339AA">
        <w:rPr>
          <w:color w:val="auto"/>
        </w:rPr>
        <w:t>hemoglobin</w:t>
      </w:r>
      <w:r w:rsidRPr="00E339AA">
        <w:rPr>
          <w:color w:val="auto"/>
        </w:rPr>
        <w:t xml:space="preserve"> from red blood cell contamination. For example, very small pellets need to be resuspended in a volume of lysis buffer larger than the cell pellet volume to allow for both protein concentration measure and downstream biomarker analysis, resulting in more diluted samples. In such case, if a sample concentration is below 1 mg/mL this can pose a challenge to perform assays like western blot due to this high dilution factor. In contrast, in the CLL samples previously mentioned, the volume of lysis buffer added to resuspend the cell pellets varied from 50 to 500 </w:t>
      </w:r>
      <w:r w:rsidRPr="00E339AA">
        <w:rPr>
          <w:color w:val="auto"/>
        </w:rPr>
        <w:sym w:font="Symbol" w:char="F06D"/>
      </w:r>
      <w:r w:rsidRPr="00E339AA">
        <w:rPr>
          <w:color w:val="auto"/>
        </w:rPr>
        <w:t>L, and protein concentration spanned from 1.62 to 19.77 mg/mL (</w:t>
      </w:r>
      <w:r w:rsidRPr="00E339AA">
        <w:rPr>
          <w:b/>
          <w:bCs/>
          <w:color w:val="auto"/>
        </w:rPr>
        <w:t>Table 1</w:t>
      </w:r>
      <w:r w:rsidRPr="00E339AA">
        <w:rPr>
          <w:color w:val="auto"/>
        </w:rPr>
        <w:t>).</w:t>
      </w:r>
    </w:p>
    <w:p w14:paraId="6FB41641" w14:textId="52DB13E8" w:rsidR="005353C1" w:rsidRPr="00E339AA" w:rsidRDefault="005353C1" w:rsidP="002E63C2">
      <w:pPr>
        <w:rPr>
          <w:color w:val="auto"/>
        </w:rPr>
      </w:pPr>
      <w:r w:rsidRPr="00E339AA">
        <w:rPr>
          <w:color w:val="auto"/>
        </w:rPr>
        <w:t xml:space="preserve"> </w:t>
      </w:r>
    </w:p>
    <w:p w14:paraId="6AC6B957" w14:textId="50BA8067" w:rsidR="005353C1" w:rsidRPr="00E339AA" w:rsidRDefault="005353C1" w:rsidP="002E63C2">
      <w:pPr>
        <w:rPr>
          <w:color w:val="auto"/>
        </w:rPr>
      </w:pPr>
      <w:r w:rsidRPr="00E339AA">
        <w:rPr>
          <w:color w:val="auto"/>
        </w:rPr>
        <w:t xml:space="preserve">When samples present red blood cell contamination or </w:t>
      </w:r>
      <w:r w:rsidR="00C5555A" w:rsidRPr="00E339AA">
        <w:rPr>
          <w:color w:val="auto"/>
        </w:rPr>
        <w:t>hemolysis</w:t>
      </w:r>
      <w:r w:rsidRPr="00E339AA">
        <w:rPr>
          <w:color w:val="auto"/>
        </w:rPr>
        <w:t xml:space="preserve"> (</w:t>
      </w:r>
      <w:r w:rsidR="006205E4" w:rsidRPr="00E339AA">
        <w:rPr>
          <w:b/>
          <w:bCs/>
          <w:color w:val="auto"/>
        </w:rPr>
        <w:t>F</w:t>
      </w:r>
      <w:r w:rsidRPr="00E339AA">
        <w:rPr>
          <w:b/>
          <w:bCs/>
          <w:color w:val="auto"/>
        </w:rPr>
        <w:t>igure 3</w:t>
      </w:r>
      <w:r w:rsidR="006205E4" w:rsidRPr="00E339AA">
        <w:rPr>
          <w:b/>
          <w:bCs/>
          <w:color w:val="auto"/>
        </w:rPr>
        <w:t>C</w:t>
      </w:r>
      <w:r w:rsidRPr="00E339AA">
        <w:rPr>
          <w:color w:val="auto"/>
        </w:rPr>
        <w:t>)</w:t>
      </w:r>
      <w:r w:rsidR="006205E4" w:rsidRPr="00E339AA">
        <w:rPr>
          <w:color w:val="auto"/>
        </w:rPr>
        <w:t>,</w:t>
      </w:r>
      <w:r w:rsidRPr="00E339AA">
        <w:rPr>
          <w:color w:val="auto"/>
        </w:rPr>
        <w:t xml:space="preserve"> the protein concentration of the PBMC lysate becomes overestimated </w:t>
      </w:r>
      <w:r w:rsidR="00D537A7">
        <w:rPr>
          <w:color w:val="auto"/>
        </w:rPr>
        <w:t xml:space="preserve">due to the inclusion of </w:t>
      </w:r>
      <w:r w:rsidR="00C5555A" w:rsidRPr="00E339AA">
        <w:rPr>
          <w:color w:val="auto"/>
        </w:rPr>
        <w:t>hemoglobin</w:t>
      </w:r>
      <w:r w:rsidRPr="00E339AA">
        <w:rPr>
          <w:color w:val="auto"/>
        </w:rPr>
        <w:t xml:space="preserve"> from the erythrocytes. This is the reason why one should do a visual inspection and annotation of such samples, as described in step 6.7 of the protocol. Loading sample in excess can compensate for the presence of </w:t>
      </w:r>
      <w:r w:rsidR="00C5555A" w:rsidRPr="00E339AA">
        <w:rPr>
          <w:color w:val="auto"/>
        </w:rPr>
        <w:t>hemoglobin</w:t>
      </w:r>
      <w:r w:rsidRPr="00E339AA">
        <w:rPr>
          <w:color w:val="auto"/>
        </w:rPr>
        <w:t xml:space="preserve"> when performing biomarker analysis as far as a loading control is included in the assay. Other more quantitative methods to measure </w:t>
      </w:r>
      <w:r w:rsidR="00C5555A" w:rsidRPr="00E339AA">
        <w:rPr>
          <w:color w:val="auto"/>
        </w:rPr>
        <w:t>hemolysis</w:t>
      </w:r>
      <w:r w:rsidRPr="00E339AA">
        <w:rPr>
          <w:color w:val="auto"/>
        </w:rPr>
        <w:t xml:space="preserve"> could be implemented, such as measuring absorbance at 414 nm</w:t>
      </w:r>
      <w:r w:rsidRPr="00E339AA">
        <w:rPr>
          <w:color w:val="auto"/>
          <w:vertAlign w:val="superscript"/>
        </w:rPr>
        <w:t>3</w:t>
      </w:r>
      <w:r w:rsidR="00E575C3">
        <w:rPr>
          <w:color w:val="auto"/>
          <w:vertAlign w:val="superscript"/>
        </w:rPr>
        <w:t>2</w:t>
      </w:r>
      <w:r w:rsidRPr="00E339AA">
        <w:rPr>
          <w:color w:val="auto"/>
        </w:rPr>
        <w:t>.</w:t>
      </w:r>
    </w:p>
    <w:p w14:paraId="71C76B5F" w14:textId="77777777" w:rsidR="005353C1" w:rsidRPr="00E339AA" w:rsidRDefault="005353C1" w:rsidP="002E63C2">
      <w:pPr>
        <w:rPr>
          <w:color w:val="auto"/>
        </w:rPr>
      </w:pPr>
    </w:p>
    <w:p w14:paraId="3A85E5D8" w14:textId="68883DAE" w:rsidR="00691466" w:rsidRPr="00E339AA" w:rsidRDefault="00EB1DFC" w:rsidP="002E63C2">
      <w:pPr>
        <w:rPr>
          <w:color w:val="auto"/>
        </w:rPr>
      </w:pPr>
      <w:r w:rsidRPr="00E339AA">
        <w:rPr>
          <w:color w:val="auto"/>
        </w:rPr>
        <w:t xml:space="preserve">The DDR was </w:t>
      </w:r>
      <w:r w:rsidR="00C5555A" w:rsidRPr="00E339AA">
        <w:rPr>
          <w:color w:val="auto"/>
        </w:rPr>
        <w:t>analyzed</w:t>
      </w:r>
      <w:r w:rsidRPr="00E339AA">
        <w:rPr>
          <w:color w:val="auto"/>
        </w:rPr>
        <w:t xml:space="preserve"> in PBMCs </w:t>
      </w:r>
      <w:r w:rsidR="002A1171" w:rsidRPr="00E339AA">
        <w:rPr>
          <w:color w:val="auto"/>
        </w:rPr>
        <w:t>obtained following this clinical protocol</w:t>
      </w:r>
      <w:r w:rsidR="00691466" w:rsidRPr="00E339AA">
        <w:rPr>
          <w:color w:val="auto"/>
        </w:rPr>
        <w:t xml:space="preserve">. To illustrate </w:t>
      </w:r>
      <w:r w:rsidR="002A1171" w:rsidRPr="00E339AA">
        <w:rPr>
          <w:color w:val="auto"/>
        </w:rPr>
        <w:t xml:space="preserve">a situation </w:t>
      </w:r>
      <w:r w:rsidR="00BC008F" w:rsidRPr="00E339AA">
        <w:rPr>
          <w:color w:val="auto"/>
        </w:rPr>
        <w:t xml:space="preserve">that mimics DNA damaging </w:t>
      </w:r>
      <w:r w:rsidR="001C45C0" w:rsidRPr="00E339AA">
        <w:rPr>
          <w:color w:val="auto"/>
        </w:rPr>
        <w:t xml:space="preserve">clinical </w:t>
      </w:r>
      <w:r w:rsidR="00BC008F" w:rsidRPr="00E339AA">
        <w:rPr>
          <w:color w:val="auto"/>
        </w:rPr>
        <w:t>treatments such as radiotherapy or chemotherapy</w:t>
      </w:r>
      <w:r w:rsidR="00691466" w:rsidRPr="00E339AA">
        <w:rPr>
          <w:color w:val="auto"/>
        </w:rPr>
        <w:t xml:space="preserve">, whole </w:t>
      </w:r>
      <w:r w:rsidR="00691466" w:rsidRPr="00E339AA">
        <w:rPr>
          <w:color w:val="auto"/>
        </w:rPr>
        <w:lastRenderedPageBreak/>
        <w:t>blood from healthy volunteers was</w:t>
      </w:r>
      <w:r w:rsidR="001C45C0" w:rsidRPr="00E339AA">
        <w:rPr>
          <w:color w:val="auto"/>
        </w:rPr>
        <w:t xml:space="preserve"> ex vivo</w:t>
      </w:r>
      <w:r w:rsidR="00691466" w:rsidRPr="00E339AA">
        <w:rPr>
          <w:color w:val="auto"/>
        </w:rPr>
        <w:t xml:space="preserve"> subjected to </w:t>
      </w:r>
      <w:r w:rsidR="003A0015" w:rsidRPr="00E339AA">
        <w:rPr>
          <w:color w:val="auto"/>
        </w:rPr>
        <w:t>X</w:t>
      </w:r>
      <w:r w:rsidR="00691466" w:rsidRPr="00E339AA">
        <w:rPr>
          <w:color w:val="auto"/>
        </w:rPr>
        <w:t>-ray radiation</w:t>
      </w:r>
      <w:r w:rsidR="00591EC1" w:rsidRPr="00E339AA">
        <w:rPr>
          <w:color w:val="auto"/>
        </w:rPr>
        <w:t xml:space="preserve"> (</w:t>
      </w:r>
      <w:r w:rsidR="00591EC1" w:rsidRPr="00E339AA">
        <w:rPr>
          <w:b/>
          <w:bCs/>
          <w:color w:val="auto"/>
        </w:rPr>
        <w:t>Figure 4A</w:t>
      </w:r>
      <w:r w:rsidR="00591EC1" w:rsidRPr="00E339AA">
        <w:rPr>
          <w:color w:val="auto"/>
        </w:rPr>
        <w:t>)</w:t>
      </w:r>
      <w:r w:rsidR="00691466" w:rsidRPr="00E339AA">
        <w:rPr>
          <w:color w:val="auto"/>
        </w:rPr>
        <w:t xml:space="preserve">. </w:t>
      </w:r>
      <w:r w:rsidR="00C5555A" w:rsidRPr="00E339AA">
        <w:rPr>
          <w:color w:val="auto"/>
        </w:rPr>
        <w:t>Ionizing</w:t>
      </w:r>
      <w:r w:rsidR="007B7919" w:rsidRPr="00E339AA">
        <w:rPr>
          <w:color w:val="auto"/>
        </w:rPr>
        <w:t xml:space="preserve"> radiation</w:t>
      </w:r>
      <w:r w:rsidR="00550C52" w:rsidRPr="00E339AA">
        <w:rPr>
          <w:color w:val="auto"/>
        </w:rPr>
        <w:t xml:space="preserve"> (IR)</w:t>
      </w:r>
      <w:r w:rsidR="007B7919" w:rsidRPr="00E339AA">
        <w:rPr>
          <w:color w:val="auto"/>
        </w:rPr>
        <w:t xml:space="preserve"> such as </w:t>
      </w:r>
      <w:r w:rsidR="00116A98" w:rsidRPr="00E339AA">
        <w:rPr>
          <w:color w:val="auto"/>
        </w:rPr>
        <w:t>X</w:t>
      </w:r>
      <w:r w:rsidR="00691466" w:rsidRPr="00E339AA">
        <w:rPr>
          <w:color w:val="auto"/>
        </w:rPr>
        <w:t xml:space="preserve">-rays </w:t>
      </w:r>
      <w:r w:rsidR="00446E5F" w:rsidRPr="00E339AA">
        <w:rPr>
          <w:color w:val="auto"/>
        </w:rPr>
        <w:t>induce</w:t>
      </w:r>
      <w:r w:rsidR="0089666B" w:rsidRPr="00E339AA">
        <w:rPr>
          <w:color w:val="auto"/>
        </w:rPr>
        <w:t>s</w:t>
      </w:r>
      <w:r w:rsidR="001A37C0" w:rsidRPr="00E339AA">
        <w:rPr>
          <w:color w:val="auto"/>
        </w:rPr>
        <w:t xml:space="preserve"> different types of DNA damage, including</w:t>
      </w:r>
      <w:r w:rsidR="00446E5F" w:rsidRPr="00E339AA">
        <w:rPr>
          <w:color w:val="auto"/>
        </w:rPr>
        <w:t xml:space="preserve"> </w:t>
      </w:r>
      <w:r w:rsidR="00691466" w:rsidRPr="00E339AA">
        <w:rPr>
          <w:color w:val="auto"/>
        </w:rPr>
        <w:t>DNA double-strand break</w:t>
      </w:r>
      <w:r w:rsidR="00291BD8" w:rsidRPr="00E339AA">
        <w:rPr>
          <w:color w:val="auto"/>
        </w:rPr>
        <w:t>s</w:t>
      </w:r>
      <w:r w:rsidR="0049107D" w:rsidRPr="00E339AA">
        <w:rPr>
          <w:color w:val="auto"/>
        </w:rPr>
        <w:t xml:space="preserve"> (DSBs)</w:t>
      </w:r>
      <w:r w:rsidR="00291BD8" w:rsidRPr="00E339AA">
        <w:rPr>
          <w:color w:val="auto"/>
        </w:rPr>
        <w:t xml:space="preserve">. </w:t>
      </w:r>
      <w:r w:rsidR="00AE55B0" w:rsidRPr="00E339AA">
        <w:rPr>
          <w:color w:val="auto"/>
        </w:rPr>
        <w:t>DNA damage s</w:t>
      </w:r>
      <w:r w:rsidR="003B0C8D" w:rsidRPr="00E339AA">
        <w:rPr>
          <w:color w:val="auto"/>
        </w:rPr>
        <w:t>ensing of t</w:t>
      </w:r>
      <w:r w:rsidR="00291BD8" w:rsidRPr="00E339AA">
        <w:rPr>
          <w:color w:val="auto"/>
        </w:rPr>
        <w:t xml:space="preserve">hese lesions </w:t>
      </w:r>
      <w:r w:rsidR="003B0C8D" w:rsidRPr="00E339AA">
        <w:rPr>
          <w:color w:val="auto"/>
        </w:rPr>
        <w:t>activate</w:t>
      </w:r>
      <w:r w:rsidR="00AE55B0" w:rsidRPr="00E339AA">
        <w:rPr>
          <w:color w:val="auto"/>
        </w:rPr>
        <w:t>s</w:t>
      </w:r>
      <w:r w:rsidR="00291BD8" w:rsidRPr="00E339AA">
        <w:rPr>
          <w:color w:val="auto"/>
        </w:rPr>
        <w:t xml:space="preserve"> </w:t>
      </w:r>
      <w:r w:rsidR="005F435F" w:rsidRPr="00E339AA">
        <w:rPr>
          <w:color w:val="auto"/>
        </w:rPr>
        <w:t>PIKKs</w:t>
      </w:r>
      <w:r w:rsidR="00291BD8" w:rsidRPr="00E339AA">
        <w:rPr>
          <w:color w:val="auto"/>
        </w:rPr>
        <w:t xml:space="preserve"> such as </w:t>
      </w:r>
      <w:r w:rsidR="00952271" w:rsidRPr="00E339AA">
        <w:rPr>
          <w:color w:val="auto"/>
        </w:rPr>
        <w:t>a</w:t>
      </w:r>
      <w:r w:rsidR="00C9358C" w:rsidRPr="00E339AA">
        <w:rPr>
          <w:color w:val="auto"/>
        </w:rPr>
        <w:t>taxia-telangiectasia mutated (</w:t>
      </w:r>
      <w:r w:rsidR="00691466" w:rsidRPr="00E339AA">
        <w:rPr>
          <w:color w:val="auto"/>
        </w:rPr>
        <w:t>ATM</w:t>
      </w:r>
      <w:r w:rsidR="00C9358C" w:rsidRPr="00E339AA">
        <w:rPr>
          <w:color w:val="auto"/>
        </w:rPr>
        <w:t>)</w:t>
      </w:r>
      <w:r w:rsidR="00B02056" w:rsidRPr="00E339AA">
        <w:rPr>
          <w:color w:val="auto"/>
        </w:rPr>
        <w:t xml:space="preserve">, ATM and Rad3-related (ATR) </w:t>
      </w:r>
      <w:r w:rsidR="005B4872" w:rsidRPr="00E339AA">
        <w:rPr>
          <w:color w:val="auto"/>
        </w:rPr>
        <w:t>and DNA-dependent protein kinase (DNA-PK)</w:t>
      </w:r>
      <w:r w:rsidR="000E4632" w:rsidRPr="00E339AA">
        <w:rPr>
          <w:color w:val="auto"/>
        </w:rPr>
        <w:t xml:space="preserve">, which </w:t>
      </w:r>
      <w:r w:rsidR="00315111" w:rsidRPr="00E339AA">
        <w:rPr>
          <w:color w:val="auto"/>
        </w:rPr>
        <w:t>engage DNA repair mechanisms like</w:t>
      </w:r>
      <w:r w:rsidR="00C9358C" w:rsidRPr="00E339AA">
        <w:rPr>
          <w:color w:val="auto"/>
        </w:rPr>
        <w:t xml:space="preserve"> homologous recombination (HR)</w:t>
      </w:r>
      <w:r w:rsidR="00691466" w:rsidRPr="00E339AA">
        <w:rPr>
          <w:color w:val="auto"/>
        </w:rPr>
        <w:t xml:space="preserve"> </w:t>
      </w:r>
      <w:r w:rsidR="00315111" w:rsidRPr="00E339AA">
        <w:rPr>
          <w:color w:val="auto"/>
        </w:rPr>
        <w:t>or</w:t>
      </w:r>
      <w:r w:rsidR="005011E0" w:rsidRPr="00E339AA">
        <w:rPr>
          <w:color w:val="auto"/>
        </w:rPr>
        <w:t xml:space="preserve"> non-homologous end joining (NHEJ)</w:t>
      </w:r>
      <w:r w:rsidR="00691466" w:rsidRPr="00E339AA">
        <w:rPr>
          <w:color w:val="auto"/>
        </w:rPr>
        <w:t>.</w:t>
      </w:r>
      <w:r w:rsidR="004322D8" w:rsidRPr="00E339AA">
        <w:rPr>
          <w:color w:val="auto"/>
        </w:rPr>
        <w:t xml:space="preserve"> </w:t>
      </w:r>
      <w:r w:rsidR="00DE69ED" w:rsidRPr="00E339AA">
        <w:rPr>
          <w:color w:val="auto"/>
        </w:rPr>
        <w:t>A</w:t>
      </w:r>
      <w:r w:rsidR="004322D8" w:rsidRPr="00E339AA">
        <w:rPr>
          <w:color w:val="auto"/>
        </w:rPr>
        <w:t xml:space="preserve">ctivation of ATM </w:t>
      </w:r>
      <w:r w:rsidR="0049107D" w:rsidRPr="00E339AA">
        <w:rPr>
          <w:color w:val="auto"/>
        </w:rPr>
        <w:t>by the presence of DSBs</w:t>
      </w:r>
      <w:r w:rsidR="00B661B1" w:rsidRPr="00E339AA">
        <w:rPr>
          <w:color w:val="auto"/>
        </w:rPr>
        <w:t xml:space="preserve"> </w:t>
      </w:r>
      <w:r w:rsidR="001D5980" w:rsidRPr="00E339AA">
        <w:rPr>
          <w:color w:val="auto"/>
        </w:rPr>
        <w:t xml:space="preserve">occurs by its recruitment </w:t>
      </w:r>
      <w:r w:rsidR="0092235C" w:rsidRPr="00E339AA">
        <w:rPr>
          <w:color w:val="auto"/>
        </w:rPr>
        <w:t xml:space="preserve">to sites of damage </w:t>
      </w:r>
      <w:r w:rsidR="00496839" w:rsidRPr="00E339AA">
        <w:rPr>
          <w:color w:val="auto"/>
        </w:rPr>
        <w:t xml:space="preserve">by the MRN (MRE11-RAD50-NBS1) complex, </w:t>
      </w:r>
      <w:r w:rsidR="00524016" w:rsidRPr="00E339AA">
        <w:rPr>
          <w:color w:val="auto"/>
        </w:rPr>
        <w:t>causing</w:t>
      </w:r>
      <w:r w:rsidR="00E978B0" w:rsidRPr="00E339AA">
        <w:rPr>
          <w:color w:val="auto"/>
        </w:rPr>
        <w:t xml:space="preserve"> </w:t>
      </w:r>
      <w:r w:rsidR="00292220" w:rsidRPr="00E339AA">
        <w:rPr>
          <w:color w:val="auto"/>
        </w:rPr>
        <w:t xml:space="preserve">ATM </w:t>
      </w:r>
      <w:r w:rsidR="00E978B0" w:rsidRPr="00E339AA">
        <w:rPr>
          <w:color w:val="auto"/>
        </w:rPr>
        <w:t>autophosphorylation at several residues</w:t>
      </w:r>
      <w:r w:rsidR="00741337" w:rsidRPr="00E339AA">
        <w:rPr>
          <w:color w:val="auto"/>
        </w:rPr>
        <w:t xml:space="preserve"> including </w:t>
      </w:r>
      <w:r w:rsidR="002E19FC" w:rsidRPr="00E339AA">
        <w:rPr>
          <w:color w:val="auto"/>
        </w:rPr>
        <w:t>Ser</w:t>
      </w:r>
      <w:r w:rsidR="00741337" w:rsidRPr="00E339AA">
        <w:rPr>
          <w:color w:val="auto"/>
        </w:rPr>
        <w:t xml:space="preserve"> 1981</w:t>
      </w:r>
      <w:r w:rsidR="002E19FC" w:rsidRPr="00E339AA">
        <w:rPr>
          <w:color w:val="auto"/>
        </w:rPr>
        <w:t xml:space="preserve">. </w:t>
      </w:r>
      <w:r w:rsidR="00467C08" w:rsidRPr="00E339AA">
        <w:rPr>
          <w:color w:val="auto"/>
        </w:rPr>
        <w:t>In turn, activ</w:t>
      </w:r>
      <w:r w:rsidR="00292220" w:rsidRPr="00E339AA">
        <w:rPr>
          <w:color w:val="auto"/>
        </w:rPr>
        <w:t>ated</w:t>
      </w:r>
      <w:r w:rsidR="00467C08" w:rsidRPr="00E339AA">
        <w:rPr>
          <w:color w:val="auto"/>
        </w:rPr>
        <w:t xml:space="preserve"> ATM phosphorylates the components of the MRN complex</w:t>
      </w:r>
      <w:r w:rsidR="001A2B4D" w:rsidRPr="00E339AA">
        <w:rPr>
          <w:color w:val="auto"/>
        </w:rPr>
        <w:t xml:space="preserve"> and other </w:t>
      </w:r>
      <w:r w:rsidR="00C13006" w:rsidRPr="00E339AA">
        <w:rPr>
          <w:color w:val="auto"/>
        </w:rPr>
        <w:t xml:space="preserve">proteins such as histone </w:t>
      </w:r>
      <w:r w:rsidR="00C63A2F" w:rsidRPr="00E339AA">
        <w:rPr>
          <w:color w:val="auto"/>
        </w:rPr>
        <w:t xml:space="preserve">variant </w:t>
      </w:r>
      <w:r w:rsidR="00C13006" w:rsidRPr="00E339AA">
        <w:rPr>
          <w:color w:val="auto"/>
        </w:rPr>
        <w:t xml:space="preserve">H2AX </w:t>
      </w:r>
      <w:r w:rsidR="00FF0E6B" w:rsidRPr="00E339AA">
        <w:rPr>
          <w:color w:val="auto"/>
        </w:rPr>
        <w:t xml:space="preserve">on </w:t>
      </w:r>
      <w:r w:rsidR="00CF2334" w:rsidRPr="00E339AA">
        <w:rPr>
          <w:color w:val="auto"/>
        </w:rPr>
        <w:t>S</w:t>
      </w:r>
      <w:r w:rsidR="00C63A2F" w:rsidRPr="00E339AA">
        <w:rPr>
          <w:color w:val="auto"/>
        </w:rPr>
        <w:t xml:space="preserve">er </w:t>
      </w:r>
      <w:r w:rsidR="00C13006" w:rsidRPr="00E339AA">
        <w:rPr>
          <w:color w:val="auto"/>
        </w:rPr>
        <w:t>139</w:t>
      </w:r>
      <w:r w:rsidR="00D065D3" w:rsidRPr="00E339AA">
        <w:rPr>
          <w:color w:val="auto"/>
        </w:rPr>
        <w:t xml:space="preserve"> </w:t>
      </w:r>
      <w:r w:rsidR="00570E60" w:rsidRPr="00E339AA">
        <w:rPr>
          <w:color w:val="auto"/>
        </w:rPr>
        <w:t>(</w:t>
      </w:r>
      <w:r w:rsidR="00FF0E6B" w:rsidRPr="00E339AA">
        <w:rPr>
          <w:color w:val="auto"/>
        </w:rPr>
        <w:t>where pS</w:t>
      </w:r>
      <w:r w:rsidR="00A92360" w:rsidRPr="00E339AA">
        <w:rPr>
          <w:color w:val="auto"/>
        </w:rPr>
        <w:t>er</w:t>
      </w:r>
      <w:r w:rsidR="00FF0E6B" w:rsidRPr="00E339AA">
        <w:rPr>
          <w:color w:val="auto"/>
        </w:rPr>
        <w:t xml:space="preserve">139-H2AX is also </w:t>
      </w:r>
      <w:r w:rsidR="00B75C71" w:rsidRPr="00E339AA">
        <w:rPr>
          <w:color w:val="auto"/>
        </w:rPr>
        <w:t xml:space="preserve">known as </w:t>
      </w:r>
      <w:r w:rsidR="00570E60" w:rsidRPr="00E339AA">
        <w:rPr>
          <w:color w:val="auto"/>
        </w:rPr>
        <w:sym w:font="Symbol" w:char="F067"/>
      </w:r>
      <w:r w:rsidR="00570E60" w:rsidRPr="00E339AA">
        <w:rPr>
          <w:color w:val="auto"/>
        </w:rPr>
        <w:t xml:space="preserve">H2AX) </w:t>
      </w:r>
      <w:r w:rsidR="00D065D3" w:rsidRPr="00E339AA">
        <w:rPr>
          <w:color w:val="auto"/>
        </w:rPr>
        <w:t xml:space="preserve">to promote a </w:t>
      </w:r>
      <w:r w:rsidR="008B5AB7" w:rsidRPr="00E339AA">
        <w:rPr>
          <w:color w:val="auto"/>
        </w:rPr>
        <w:t>structural change</w:t>
      </w:r>
      <w:r w:rsidR="0020738A" w:rsidRPr="00E339AA">
        <w:rPr>
          <w:color w:val="auto"/>
        </w:rPr>
        <w:t xml:space="preserve"> in the chromatin</w:t>
      </w:r>
      <w:r w:rsidR="008B5AB7" w:rsidRPr="00E339AA">
        <w:rPr>
          <w:color w:val="auto"/>
        </w:rPr>
        <w:t xml:space="preserve"> spanning from the DSB</w:t>
      </w:r>
      <w:r w:rsidR="00745C79" w:rsidRPr="00E339AA">
        <w:rPr>
          <w:color w:val="auto"/>
        </w:rPr>
        <w:t xml:space="preserve"> which facilitates the recruitment of other DDR factors</w:t>
      </w:r>
      <w:r w:rsidR="00955617" w:rsidRPr="00E339AA">
        <w:rPr>
          <w:color w:val="auto"/>
          <w:vertAlign w:val="superscript"/>
        </w:rPr>
        <w:t>3</w:t>
      </w:r>
      <w:r w:rsidR="006A1B8A">
        <w:rPr>
          <w:color w:val="auto"/>
          <w:vertAlign w:val="superscript"/>
        </w:rPr>
        <w:t>3</w:t>
      </w:r>
      <w:r w:rsidR="00467C08" w:rsidRPr="00E339AA">
        <w:rPr>
          <w:color w:val="auto"/>
        </w:rPr>
        <w:t xml:space="preserve">. </w:t>
      </w:r>
      <w:r w:rsidR="007F297C" w:rsidRPr="00E339AA">
        <w:rPr>
          <w:color w:val="auto"/>
        </w:rPr>
        <w:t xml:space="preserve">PBMCs </w:t>
      </w:r>
      <w:r w:rsidR="00C668AF" w:rsidRPr="00E339AA">
        <w:rPr>
          <w:color w:val="auto"/>
        </w:rPr>
        <w:t xml:space="preserve">are responsive to </w:t>
      </w:r>
      <w:r w:rsidR="00C5555A" w:rsidRPr="00E339AA">
        <w:rPr>
          <w:color w:val="auto"/>
        </w:rPr>
        <w:t>ionizing</w:t>
      </w:r>
      <w:r w:rsidR="00C668AF" w:rsidRPr="00E339AA">
        <w:rPr>
          <w:color w:val="auto"/>
        </w:rPr>
        <w:t xml:space="preserve"> radiation </w:t>
      </w:r>
      <w:r w:rsidR="00DF39A9" w:rsidRPr="00E339AA">
        <w:rPr>
          <w:color w:val="auto"/>
        </w:rPr>
        <w:t xml:space="preserve">despite </w:t>
      </w:r>
      <w:r w:rsidR="00F8743B" w:rsidRPr="00E339AA">
        <w:rPr>
          <w:color w:val="auto"/>
        </w:rPr>
        <w:t>their low proliferation rate</w:t>
      </w:r>
      <w:r w:rsidR="00D81AC2" w:rsidRPr="00E339AA">
        <w:rPr>
          <w:color w:val="auto"/>
        </w:rPr>
        <w:t xml:space="preserve"> </w:t>
      </w:r>
      <w:r w:rsidR="00C668AF" w:rsidRPr="00E339AA">
        <w:rPr>
          <w:color w:val="auto"/>
        </w:rPr>
        <w:t xml:space="preserve">and </w:t>
      </w:r>
      <w:r w:rsidR="00467C08" w:rsidRPr="00E339AA">
        <w:rPr>
          <w:color w:val="auto"/>
        </w:rPr>
        <w:t xml:space="preserve">mass spectrometry </w:t>
      </w:r>
      <w:r w:rsidR="00F15984" w:rsidRPr="00E339AA">
        <w:rPr>
          <w:color w:val="auto"/>
        </w:rPr>
        <w:t xml:space="preserve">methods have allowed </w:t>
      </w:r>
      <w:r w:rsidR="005437C3" w:rsidRPr="00E339AA">
        <w:rPr>
          <w:color w:val="auto"/>
        </w:rPr>
        <w:t xml:space="preserve">quantification of </w:t>
      </w:r>
      <w:r w:rsidR="000E72AC" w:rsidRPr="00E339AA">
        <w:rPr>
          <w:color w:val="auto"/>
        </w:rPr>
        <w:t xml:space="preserve">the upregulation of </w:t>
      </w:r>
      <w:r w:rsidR="007F297C" w:rsidRPr="00E339AA">
        <w:rPr>
          <w:color w:val="auto"/>
        </w:rPr>
        <w:t xml:space="preserve">phosphorylated Ser 635 </w:t>
      </w:r>
      <w:r w:rsidR="00EB0621" w:rsidRPr="00E339AA">
        <w:rPr>
          <w:color w:val="auto"/>
        </w:rPr>
        <w:t xml:space="preserve">on </w:t>
      </w:r>
      <w:r w:rsidR="007F297C" w:rsidRPr="00E339AA">
        <w:rPr>
          <w:color w:val="auto"/>
        </w:rPr>
        <w:t>RAD50 by ATM</w:t>
      </w:r>
      <w:r w:rsidR="00F15984" w:rsidRPr="00E339AA">
        <w:rPr>
          <w:color w:val="auto"/>
        </w:rPr>
        <w:t>.</w:t>
      </w:r>
      <w:r w:rsidR="009464E5" w:rsidRPr="00E339AA">
        <w:rPr>
          <w:color w:val="auto"/>
        </w:rPr>
        <w:t xml:space="preserve"> This phosphorylation is reduced </w:t>
      </w:r>
      <w:r w:rsidR="00196CAF" w:rsidRPr="00E339AA">
        <w:rPr>
          <w:color w:val="auto"/>
        </w:rPr>
        <w:t xml:space="preserve">in </w:t>
      </w:r>
      <w:r w:rsidR="00EB0621" w:rsidRPr="00E339AA">
        <w:rPr>
          <w:color w:val="auto"/>
        </w:rPr>
        <w:t xml:space="preserve">the </w:t>
      </w:r>
      <w:r w:rsidR="00196CAF" w:rsidRPr="00E339AA">
        <w:rPr>
          <w:color w:val="auto"/>
        </w:rPr>
        <w:t>presence of</w:t>
      </w:r>
      <w:r w:rsidR="009464E5" w:rsidRPr="00E339AA">
        <w:rPr>
          <w:color w:val="auto"/>
        </w:rPr>
        <w:t xml:space="preserve"> ATM inhibitors and RAD50 </w:t>
      </w:r>
      <w:r w:rsidR="006F1DF4" w:rsidRPr="00E339AA">
        <w:rPr>
          <w:color w:val="auto"/>
        </w:rPr>
        <w:t xml:space="preserve">pS635 </w:t>
      </w:r>
      <w:r w:rsidR="00196CAF" w:rsidRPr="00E339AA">
        <w:rPr>
          <w:color w:val="auto"/>
        </w:rPr>
        <w:t>has been further validated</w:t>
      </w:r>
      <w:r w:rsidR="009464E5" w:rsidRPr="00E339AA">
        <w:rPr>
          <w:color w:val="auto"/>
        </w:rPr>
        <w:t xml:space="preserve"> as a </w:t>
      </w:r>
      <w:r w:rsidR="00387E90" w:rsidRPr="00E339AA">
        <w:rPr>
          <w:color w:val="auto"/>
        </w:rPr>
        <w:t xml:space="preserve">pharmacodynamic biomarker </w:t>
      </w:r>
      <w:r w:rsidR="00DC1310" w:rsidRPr="00E339AA">
        <w:rPr>
          <w:color w:val="auto"/>
        </w:rPr>
        <w:t xml:space="preserve">for </w:t>
      </w:r>
      <w:r w:rsidR="00673F9A" w:rsidRPr="00E339AA">
        <w:rPr>
          <w:color w:val="auto"/>
        </w:rPr>
        <w:t xml:space="preserve">clinical </w:t>
      </w:r>
      <w:r w:rsidR="00DC1310" w:rsidRPr="00E339AA">
        <w:rPr>
          <w:color w:val="auto"/>
        </w:rPr>
        <w:t>ATM inhibitor treatment</w:t>
      </w:r>
      <w:r w:rsidR="00673F9A" w:rsidRPr="00E339AA">
        <w:rPr>
          <w:color w:val="auto"/>
        </w:rPr>
        <w:t>s</w:t>
      </w:r>
      <w:r w:rsidR="00BA56D1" w:rsidRPr="00E339AA">
        <w:rPr>
          <w:color w:val="auto"/>
        </w:rPr>
        <w:t xml:space="preserve"> in </w:t>
      </w:r>
      <w:r w:rsidR="00C5555A" w:rsidRPr="00E339AA">
        <w:rPr>
          <w:color w:val="auto"/>
        </w:rPr>
        <w:t>tumors</w:t>
      </w:r>
      <w:r w:rsidR="00BA56D1" w:rsidRPr="00E339AA">
        <w:rPr>
          <w:color w:val="auto"/>
        </w:rPr>
        <w:t xml:space="preserve"> by </w:t>
      </w:r>
      <w:r w:rsidR="00DB3A10" w:rsidRPr="00E339AA">
        <w:rPr>
          <w:color w:val="auto"/>
        </w:rPr>
        <w:t>immunohistochemistry</w:t>
      </w:r>
      <w:r w:rsidR="00955617" w:rsidRPr="00E339AA">
        <w:rPr>
          <w:color w:val="auto"/>
          <w:vertAlign w:val="superscript"/>
        </w:rPr>
        <w:t>8</w:t>
      </w:r>
      <w:r w:rsidR="00BA56D1" w:rsidRPr="00E339AA">
        <w:rPr>
          <w:color w:val="auto"/>
        </w:rPr>
        <w:t>.</w:t>
      </w:r>
      <w:r w:rsidR="006269F4" w:rsidRPr="00E339AA">
        <w:rPr>
          <w:color w:val="auto"/>
        </w:rPr>
        <w:t xml:space="preserve"> To evaluate </w:t>
      </w:r>
      <w:r w:rsidR="002D03CC" w:rsidRPr="00E339AA">
        <w:rPr>
          <w:color w:val="auto"/>
        </w:rPr>
        <w:t>the response of</w:t>
      </w:r>
      <w:r w:rsidR="00984C98" w:rsidRPr="00E339AA">
        <w:rPr>
          <w:color w:val="auto"/>
        </w:rPr>
        <w:t xml:space="preserve"> PBMCs to radiation</w:t>
      </w:r>
      <w:r w:rsidR="006205E4" w:rsidRPr="00E339AA">
        <w:rPr>
          <w:color w:val="auto"/>
        </w:rPr>
        <w:t>,</w:t>
      </w:r>
      <w:r w:rsidR="00984C98" w:rsidRPr="00E339AA">
        <w:rPr>
          <w:color w:val="auto"/>
        </w:rPr>
        <w:t xml:space="preserve"> </w:t>
      </w:r>
      <w:r w:rsidR="00BA62A2" w:rsidRPr="00E339AA">
        <w:rPr>
          <w:color w:val="auto"/>
        </w:rPr>
        <w:t>blood from healthy volunteers w</w:t>
      </w:r>
      <w:r w:rsidR="00550C52" w:rsidRPr="00E339AA">
        <w:rPr>
          <w:color w:val="auto"/>
        </w:rPr>
        <w:t>as subject</w:t>
      </w:r>
      <w:r w:rsidR="00AD73E5" w:rsidRPr="00E339AA">
        <w:rPr>
          <w:color w:val="auto"/>
        </w:rPr>
        <w:t>ed</w:t>
      </w:r>
      <w:r w:rsidR="00550C52" w:rsidRPr="00E339AA">
        <w:rPr>
          <w:color w:val="auto"/>
        </w:rPr>
        <w:t xml:space="preserve"> to different IR doses</w:t>
      </w:r>
      <w:r w:rsidR="00C0733A" w:rsidRPr="00E339AA">
        <w:rPr>
          <w:color w:val="auto"/>
        </w:rPr>
        <w:t xml:space="preserve"> </w:t>
      </w:r>
      <w:r w:rsidR="002E7A39" w:rsidRPr="00E339AA">
        <w:rPr>
          <w:color w:val="auto"/>
        </w:rPr>
        <w:t xml:space="preserve">and samples were collected after </w:t>
      </w:r>
      <w:r w:rsidR="00AF3BC2" w:rsidRPr="00E339AA">
        <w:rPr>
          <w:color w:val="auto"/>
        </w:rPr>
        <w:t>a 1</w:t>
      </w:r>
      <w:r w:rsidR="006205E4" w:rsidRPr="00E339AA">
        <w:rPr>
          <w:color w:val="auto"/>
        </w:rPr>
        <w:t xml:space="preserve"> h</w:t>
      </w:r>
      <w:r w:rsidR="002E7A39" w:rsidRPr="00E339AA">
        <w:rPr>
          <w:color w:val="auto"/>
        </w:rPr>
        <w:t xml:space="preserve"> </w:t>
      </w:r>
      <w:r w:rsidR="00AF3BC2" w:rsidRPr="00E339AA">
        <w:rPr>
          <w:color w:val="auto"/>
        </w:rPr>
        <w:t>incubation</w:t>
      </w:r>
      <w:r w:rsidR="00817C38" w:rsidRPr="00E339AA">
        <w:rPr>
          <w:color w:val="auto"/>
        </w:rPr>
        <w:t xml:space="preserve"> at 37 </w:t>
      </w:r>
      <w:r w:rsidR="006205E4" w:rsidRPr="00E339AA">
        <w:rPr>
          <w:color w:val="auto"/>
        </w:rPr>
        <w:t>˚</w:t>
      </w:r>
      <w:r w:rsidR="00817C38" w:rsidRPr="00E339AA">
        <w:rPr>
          <w:color w:val="auto"/>
        </w:rPr>
        <w:t>C</w:t>
      </w:r>
      <w:r w:rsidR="00AF3BC2" w:rsidRPr="00E339AA">
        <w:rPr>
          <w:color w:val="auto"/>
        </w:rPr>
        <w:t xml:space="preserve"> </w:t>
      </w:r>
      <w:r w:rsidR="00C0733A" w:rsidRPr="00E339AA">
        <w:rPr>
          <w:color w:val="auto"/>
        </w:rPr>
        <w:t>(</w:t>
      </w:r>
      <w:r w:rsidR="00CA2665" w:rsidRPr="00D537A7">
        <w:rPr>
          <w:b/>
          <w:bCs/>
          <w:color w:val="auto"/>
        </w:rPr>
        <w:t>F</w:t>
      </w:r>
      <w:r w:rsidR="00C0733A" w:rsidRPr="00D537A7">
        <w:rPr>
          <w:b/>
          <w:bCs/>
          <w:color w:val="auto"/>
        </w:rPr>
        <w:t>ig</w:t>
      </w:r>
      <w:r w:rsidR="00E271A9" w:rsidRPr="00D537A7">
        <w:rPr>
          <w:b/>
          <w:bCs/>
          <w:color w:val="auto"/>
        </w:rPr>
        <w:t xml:space="preserve">ure </w:t>
      </w:r>
      <w:r w:rsidR="002B3479" w:rsidRPr="00D537A7">
        <w:rPr>
          <w:b/>
          <w:bCs/>
          <w:color w:val="auto"/>
        </w:rPr>
        <w:t>4A</w:t>
      </w:r>
      <w:r w:rsidR="00E271A9" w:rsidRPr="00E339AA">
        <w:rPr>
          <w:color w:val="auto"/>
        </w:rPr>
        <w:t>)</w:t>
      </w:r>
      <w:r w:rsidR="00550C52" w:rsidRPr="00E339AA">
        <w:rPr>
          <w:color w:val="auto"/>
        </w:rPr>
        <w:t>.</w:t>
      </w:r>
      <w:r w:rsidR="005C3279" w:rsidRPr="00E339AA">
        <w:rPr>
          <w:color w:val="auto"/>
        </w:rPr>
        <w:t xml:space="preserve"> For this purpose, bloods were transferred to </w:t>
      </w:r>
      <w:r w:rsidR="00D13ECC" w:rsidRPr="00E339AA">
        <w:rPr>
          <w:color w:val="auto"/>
        </w:rPr>
        <w:t xml:space="preserve">plastic tubes to avoid </w:t>
      </w:r>
      <w:r w:rsidR="000128FC" w:rsidRPr="00E339AA">
        <w:rPr>
          <w:color w:val="auto"/>
        </w:rPr>
        <w:t>reducing the yield of the PBMC isolation due to high temperature</w:t>
      </w:r>
      <w:r w:rsidR="008820BD" w:rsidRPr="00E339AA">
        <w:rPr>
          <w:color w:val="auto"/>
        </w:rPr>
        <w:t xml:space="preserve"> (step </w:t>
      </w:r>
      <w:r w:rsidR="00E2431F" w:rsidRPr="00E339AA">
        <w:rPr>
          <w:color w:val="auto"/>
        </w:rPr>
        <w:t>6.2</w:t>
      </w:r>
      <w:r w:rsidR="008820BD" w:rsidRPr="00E339AA">
        <w:rPr>
          <w:color w:val="auto"/>
        </w:rPr>
        <w:t>)</w:t>
      </w:r>
      <w:r w:rsidR="000128FC" w:rsidRPr="00E339AA">
        <w:rPr>
          <w:color w:val="auto"/>
        </w:rPr>
        <w:t>.</w:t>
      </w:r>
      <w:r w:rsidR="00550C52" w:rsidRPr="00E339AA">
        <w:rPr>
          <w:color w:val="auto"/>
        </w:rPr>
        <w:t xml:space="preserve"> </w:t>
      </w:r>
      <w:r w:rsidR="00983A25" w:rsidRPr="00E339AA">
        <w:rPr>
          <w:color w:val="auto"/>
        </w:rPr>
        <w:t xml:space="preserve">We </w:t>
      </w:r>
      <w:r w:rsidR="00C5555A" w:rsidRPr="00E339AA">
        <w:rPr>
          <w:color w:val="auto"/>
        </w:rPr>
        <w:t>analyzed</w:t>
      </w:r>
      <w:r w:rsidR="00983A25" w:rsidRPr="00E339AA">
        <w:rPr>
          <w:color w:val="auto"/>
        </w:rPr>
        <w:t xml:space="preserve"> </w:t>
      </w:r>
      <w:r w:rsidR="00D81AC2" w:rsidRPr="00E339AA">
        <w:rPr>
          <w:color w:val="auto"/>
        </w:rPr>
        <w:t>how ATM</w:t>
      </w:r>
      <w:r w:rsidR="00673F9A" w:rsidRPr="00E339AA">
        <w:rPr>
          <w:color w:val="auto"/>
        </w:rPr>
        <w:t xml:space="preserve"> was activated not only </w:t>
      </w:r>
      <w:r w:rsidR="00AB1B13" w:rsidRPr="00E339AA">
        <w:rPr>
          <w:color w:val="auto"/>
        </w:rPr>
        <w:t xml:space="preserve">by </w:t>
      </w:r>
      <w:r w:rsidR="0081207F" w:rsidRPr="00E339AA">
        <w:rPr>
          <w:color w:val="auto"/>
        </w:rPr>
        <w:t>look</w:t>
      </w:r>
      <w:r w:rsidR="00AD73E5" w:rsidRPr="00E339AA">
        <w:rPr>
          <w:color w:val="auto"/>
        </w:rPr>
        <w:t>ing</w:t>
      </w:r>
      <w:r w:rsidR="0081207F" w:rsidRPr="00E339AA">
        <w:rPr>
          <w:color w:val="auto"/>
        </w:rPr>
        <w:t xml:space="preserve"> at the previously reported RAD50 </w:t>
      </w:r>
      <w:r w:rsidR="00AB1B13" w:rsidRPr="00E339AA">
        <w:rPr>
          <w:color w:val="auto"/>
        </w:rPr>
        <w:t xml:space="preserve">pS635 </w:t>
      </w:r>
      <w:r w:rsidR="0081207F" w:rsidRPr="00E339AA">
        <w:rPr>
          <w:color w:val="auto"/>
        </w:rPr>
        <w:t xml:space="preserve">but also ATM </w:t>
      </w:r>
      <w:r w:rsidR="00AB1B13" w:rsidRPr="00E339AA">
        <w:rPr>
          <w:color w:val="auto"/>
        </w:rPr>
        <w:t xml:space="preserve">pS1981 </w:t>
      </w:r>
      <w:r w:rsidR="0081207F" w:rsidRPr="00E339AA">
        <w:rPr>
          <w:color w:val="auto"/>
        </w:rPr>
        <w:t>and</w:t>
      </w:r>
      <w:r w:rsidR="00570E60" w:rsidRPr="00E339AA">
        <w:rPr>
          <w:color w:val="auto"/>
        </w:rPr>
        <w:t xml:space="preserve"> </w:t>
      </w:r>
      <w:r w:rsidR="00570E60" w:rsidRPr="00E339AA">
        <w:rPr>
          <w:color w:val="auto"/>
        </w:rPr>
        <w:sym w:font="Symbol" w:char="F067"/>
      </w:r>
      <w:r w:rsidR="00570E60" w:rsidRPr="00E339AA">
        <w:rPr>
          <w:color w:val="auto"/>
        </w:rPr>
        <w:t>H2AX. In the three cases</w:t>
      </w:r>
      <w:r w:rsidR="00836C4C" w:rsidRPr="00E339AA">
        <w:rPr>
          <w:color w:val="auto"/>
        </w:rPr>
        <w:t xml:space="preserve"> </w:t>
      </w:r>
      <w:r w:rsidR="00D84D4D" w:rsidRPr="00E339AA">
        <w:rPr>
          <w:color w:val="auto"/>
        </w:rPr>
        <w:t xml:space="preserve">examined </w:t>
      </w:r>
      <w:r w:rsidR="00836C4C" w:rsidRPr="00E339AA">
        <w:rPr>
          <w:color w:val="auto"/>
        </w:rPr>
        <w:t>an increase in these post-translational modifications</w:t>
      </w:r>
      <w:r w:rsidR="007724B6" w:rsidRPr="00E339AA">
        <w:rPr>
          <w:color w:val="auto"/>
        </w:rPr>
        <w:t xml:space="preserve"> </w:t>
      </w:r>
      <w:r w:rsidR="00503B2E" w:rsidRPr="00E339AA">
        <w:rPr>
          <w:color w:val="auto"/>
        </w:rPr>
        <w:t xml:space="preserve">was observed </w:t>
      </w:r>
      <w:r w:rsidR="007724B6" w:rsidRPr="00E339AA">
        <w:rPr>
          <w:color w:val="auto"/>
        </w:rPr>
        <w:t>at higher IR doses</w:t>
      </w:r>
      <w:r w:rsidR="00FB6ECE" w:rsidRPr="00E339AA">
        <w:rPr>
          <w:color w:val="auto"/>
        </w:rPr>
        <w:t xml:space="preserve"> (</w:t>
      </w:r>
      <w:r w:rsidR="006205E4" w:rsidRPr="00E339AA">
        <w:rPr>
          <w:b/>
          <w:bCs/>
          <w:color w:val="auto"/>
        </w:rPr>
        <w:t>F</w:t>
      </w:r>
      <w:r w:rsidR="00FB6ECE" w:rsidRPr="00E339AA">
        <w:rPr>
          <w:b/>
          <w:bCs/>
          <w:color w:val="auto"/>
        </w:rPr>
        <w:t>igure 4B</w:t>
      </w:r>
      <w:r w:rsidR="00503B2E" w:rsidRPr="00E339AA">
        <w:rPr>
          <w:color w:val="auto"/>
        </w:rPr>
        <w:t>)</w:t>
      </w:r>
      <w:r w:rsidR="006C6022" w:rsidRPr="00E339AA">
        <w:rPr>
          <w:color w:val="auto"/>
        </w:rPr>
        <w:t xml:space="preserve">. Interestingly, the phosphorylation of ATM and RAD50 was substantial at the low dose of 0.2 </w:t>
      </w:r>
      <w:proofErr w:type="spellStart"/>
      <w:r w:rsidR="006C6022" w:rsidRPr="00E339AA">
        <w:rPr>
          <w:color w:val="auto"/>
        </w:rPr>
        <w:t>Gy</w:t>
      </w:r>
      <w:proofErr w:type="spellEnd"/>
      <w:r w:rsidR="005D7BAA" w:rsidRPr="00E339AA">
        <w:rPr>
          <w:color w:val="auto"/>
        </w:rPr>
        <w:t>,</w:t>
      </w:r>
      <w:r w:rsidR="00503B2E" w:rsidRPr="00E339AA">
        <w:rPr>
          <w:color w:val="auto"/>
        </w:rPr>
        <w:t xml:space="preserve"> which</w:t>
      </w:r>
      <w:r w:rsidR="007724B6" w:rsidRPr="00E339AA">
        <w:rPr>
          <w:color w:val="auto"/>
        </w:rPr>
        <w:t xml:space="preserve"> </w:t>
      </w:r>
      <w:r w:rsidR="00D84D4D" w:rsidRPr="00E339AA">
        <w:rPr>
          <w:color w:val="auto"/>
        </w:rPr>
        <w:t xml:space="preserve">suggests </w:t>
      </w:r>
      <w:r w:rsidR="00725292" w:rsidRPr="00E339AA">
        <w:rPr>
          <w:color w:val="auto"/>
        </w:rPr>
        <w:t>these</w:t>
      </w:r>
      <w:r w:rsidR="00503B2E" w:rsidRPr="00E339AA">
        <w:rPr>
          <w:color w:val="auto"/>
        </w:rPr>
        <w:t xml:space="preserve"> </w:t>
      </w:r>
      <w:r w:rsidR="00725292" w:rsidRPr="00E339AA">
        <w:rPr>
          <w:color w:val="auto"/>
        </w:rPr>
        <w:t xml:space="preserve">post-translational modifications </w:t>
      </w:r>
      <w:r w:rsidR="00D84D4D" w:rsidRPr="00E339AA">
        <w:rPr>
          <w:color w:val="auto"/>
        </w:rPr>
        <w:t xml:space="preserve">may be </w:t>
      </w:r>
      <w:r w:rsidR="00725292" w:rsidRPr="00E339AA">
        <w:rPr>
          <w:color w:val="auto"/>
        </w:rPr>
        <w:t>feasib</w:t>
      </w:r>
      <w:r w:rsidR="00D84D4D" w:rsidRPr="00E339AA">
        <w:rPr>
          <w:color w:val="auto"/>
        </w:rPr>
        <w:t>ly interrogated as</w:t>
      </w:r>
      <w:r w:rsidR="00725292" w:rsidRPr="00E339AA">
        <w:rPr>
          <w:color w:val="auto"/>
        </w:rPr>
        <w:t xml:space="preserve"> PD biomarkers for </w:t>
      </w:r>
      <w:r w:rsidR="00766531" w:rsidRPr="00E339AA">
        <w:rPr>
          <w:color w:val="auto"/>
        </w:rPr>
        <w:t>treatments involving the generation of DNA DSBs</w:t>
      </w:r>
      <w:r w:rsidR="005D7BAA" w:rsidRPr="00E339AA">
        <w:rPr>
          <w:color w:val="auto"/>
        </w:rPr>
        <w:t xml:space="preserve"> with a good dynamic range</w:t>
      </w:r>
      <w:r w:rsidR="002058B4" w:rsidRPr="00E339AA">
        <w:rPr>
          <w:color w:val="auto"/>
        </w:rPr>
        <w:t xml:space="preserve">, not only in </w:t>
      </w:r>
      <w:r w:rsidR="00C5555A" w:rsidRPr="00E339AA">
        <w:rPr>
          <w:color w:val="auto"/>
        </w:rPr>
        <w:t>tumor</w:t>
      </w:r>
      <w:r w:rsidR="002058B4" w:rsidRPr="00E339AA">
        <w:rPr>
          <w:color w:val="auto"/>
        </w:rPr>
        <w:t xml:space="preserve"> samples but in peripheral blood</w:t>
      </w:r>
      <w:r w:rsidR="00766531" w:rsidRPr="00E339AA">
        <w:rPr>
          <w:color w:val="auto"/>
        </w:rPr>
        <w:t>.</w:t>
      </w:r>
      <w:r w:rsidR="00A93358" w:rsidRPr="00E339AA">
        <w:rPr>
          <w:color w:val="auto"/>
        </w:rPr>
        <w:t xml:space="preserve"> </w:t>
      </w:r>
      <w:r w:rsidR="002058B4" w:rsidRPr="00E339AA">
        <w:rPr>
          <w:color w:val="auto"/>
        </w:rPr>
        <w:t>This allows the monitoring</w:t>
      </w:r>
      <w:r w:rsidR="00084215" w:rsidRPr="00E339AA">
        <w:rPr>
          <w:color w:val="auto"/>
        </w:rPr>
        <w:t xml:space="preserve"> of</w:t>
      </w:r>
      <w:r w:rsidR="002058B4" w:rsidRPr="00E339AA">
        <w:rPr>
          <w:color w:val="auto"/>
        </w:rPr>
        <w:t xml:space="preserve"> </w:t>
      </w:r>
      <w:r w:rsidR="007E7717" w:rsidRPr="00E339AA">
        <w:rPr>
          <w:color w:val="auto"/>
        </w:rPr>
        <w:t xml:space="preserve">the </w:t>
      </w:r>
      <w:r w:rsidR="00505F23" w:rsidRPr="00E339AA">
        <w:rPr>
          <w:color w:val="auto"/>
        </w:rPr>
        <w:t>PD</w:t>
      </w:r>
      <w:r w:rsidR="002672A9" w:rsidRPr="00E339AA">
        <w:rPr>
          <w:color w:val="auto"/>
        </w:rPr>
        <w:t xml:space="preserve"> </w:t>
      </w:r>
      <w:r w:rsidR="007E7717" w:rsidRPr="00E339AA">
        <w:rPr>
          <w:color w:val="auto"/>
        </w:rPr>
        <w:t xml:space="preserve">response </w:t>
      </w:r>
      <w:r w:rsidR="00997C46" w:rsidRPr="00E339AA">
        <w:rPr>
          <w:color w:val="auto"/>
        </w:rPr>
        <w:t xml:space="preserve">to </w:t>
      </w:r>
      <w:r w:rsidR="007E7717" w:rsidRPr="00E339AA">
        <w:rPr>
          <w:color w:val="auto"/>
        </w:rPr>
        <w:t xml:space="preserve">the treatment </w:t>
      </w:r>
      <w:r w:rsidR="00997C46" w:rsidRPr="00E339AA">
        <w:rPr>
          <w:color w:val="auto"/>
        </w:rPr>
        <w:t>by acquiring</w:t>
      </w:r>
      <w:r w:rsidR="0093049A" w:rsidRPr="00E339AA">
        <w:rPr>
          <w:color w:val="auto"/>
        </w:rPr>
        <w:t xml:space="preserve"> longitudinal</w:t>
      </w:r>
      <w:r w:rsidR="00997C46" w:rsidRPr="00E339AA">
        <w:rPr>
          <w:color w:val="auto"/>
        </w:rPr>
        <w:t xml:space="preserve"> samples</w:t>
      </w:r>
      <w:r w:rsidR="002672A9" w:rsidRPr="00E339AA">
        <w:rPr>
          <w:color w:val="auto"/>
        </w:rPr>
        <w:t xml:space="preserve"> through the course of treatment</w:t>
      </w:r>
      <w:r w:rsidR="00997C46" w:rsidRPr="00E339AA">
        <w:rPr>
          <w:color w:val="auto"/>
        </w:rPr>
        <w:t>.</w:t>
      </w:r>
      <w:r w:rsidR="00042995" w:rsidRPr="00E339AA">
        <w:rPr>
          <w:color w:val="auto"/>
        </w:rPr>
        <w:t xml:space="preserve"> </w:t>
      </w:r>
      <w:r w:rsidR="003C2ACB" w:rsidRPr="00E339AA">
        <w:rPr>
          <w:color w:val="auto"/>
        </w:rPr>
        <w:t xml:space="preserve">The timing from the blood draw to the processing of the samples is critical to ensure these </w:t>
      </w:r>
      <w:r w:rsidR="00C5555A" w:rsidRPr="00E339AA">
        <w:rPr>
          <w:color w:val="auto"/>
        </w:rPr>
        <w:t>signaling</w:t>
      </w:r>
      <w:r w:rsidR="003C2ACB" w:rsidRPr="00E339AA">
        <w:rPr>
          <w:color w:val="auto"/>
        </w:rPr>
        <w:t xml:space="preserve"> cascades are still active</w:t>
      </w:r>
      <w:r w:rsidR="002E7A39" w:rsidRPr="00E339AA">
        <w:rPr>
          <w:color w:val="auto"/>
        </w:rPr>
        <w:t xml:space="preserve"> as </w:t>
      </w:r>
      <w:r w:rsidR="006C729C" w:rsidRPr="00E339AA">
        <w:rPr>
          <w:color w:val="auto"/>
        </w:rPr>
        <w:t xml:space="preserve">delays in processing will impact on the kinetics of such cascades and one could miss the phosphorylation events used as </w:t>
      </w:r>
      <w:proofErr w:type="spellStart"/>
      <w:r w:rsidR="006C729C" w:rsidRPr="00E339AA">
        <w:rPr>
          <w:color w:val="auto"/>
        </w:rPr>
        <w:t>phosphomarkers</w:t>
      </w:r>
      <w:proofErr w:type="spellEnd"/>
      <w:r w:rsidR="003C2ACB" w:rsidRPr="00E339AA">
        <w:rPr>
          <w:color w:val="auto"/>
        </w:rPr>
        <w:t>.</w:t>
      </w:r>
    </w:p>
    <w:p w14:paraId="7F5815FC" w14:textId="6F01D56F" w:rsidR="004A71E4" w:rsidRPr="00E339AA" w:rsidRDefault="004A71E4" w:rsidP="002E63C2">
      <w:pPr>
        <w:rPr>
          <w:rFonts w:asciiTheme="minorHAnsi" w:hAnsiTheme="minorHAnsi" w:cstheme="minorHAnsi"/>
          <w:color w:val="auto"/>
        </w:rPr>
      </w:pPr>
    </w:p>
    <w:p w14:paraId="3C9083F6" w14:textId="03F2C134" w:rsidR="00B32616" w:rsidRPr="00E339AA" w:rsidRDefault="00B32616" w:rsidP="002E63C2">
      <w:pPr>
        <w:rPr>
          <w:rFonts w:asciiTheme="minorHAnsi" w:hAnsiTheme="minorHAnsi" w:cstheme="minorHAnsi"/>
          <w:bCs/>
          <w:color w:val="auto"/>
        </w:rPr>
      </w:pPr>
      <w:r w:rsidRPr="00E339AA">
        <w:rPr>
          <w:rFonts w:asciiTheme="minorHAnsi" w:hAnsiTheme="minorHAnsi" w:cstheme="minorHAnsi"/>
          <w:b/>
          <w:color w:val="auto"/>
        </w:rPr>
        <w:t xml:space="preserve">FIGURE </w:t>
      </w:r>
      <w:r w:rsidR="0013621E" w:rsidRPr="00E339AA">
        <w:rPr>
          <w:rFonts w:asciiTheme="minorHAnsi" w:hAnsiTheme="minorHAnsi" w:cstheme="minorHAnsi"/>
          <w:b/>
          <w:color w:val="auto"/>
        </w:rPr>
        <w:t xml:space="preserve">AND TABLE </w:t>
      </w:r>
      <w:r w:rsidRPr="00E339AA">
        <w:rPr>
          <w:rFonts w:asciiTheme="minorHAnsi" w:hAnsiTheme="minorHAnsi" w:cstheme="minorHAnsi"/>
          <w:b/>
          <w:color w:val="auto"/>
        </w:rPr>
        <w:t>LEGENDS:</w:t>
      </w:r>
    </w:p>
    <w:p w14:paraId="0554561B" w14:textId="77777777" w:rsidR="005F1402" w:rsidRPr="00E339AA" w:rsidRDefault="005F1402" w:rsidP="002E63C2">
      <w:pPr>
        <w:rPr>
          <w:color w:val="auto"/>
        </w:rPr>
      </w:pPr>
    </w:p>
    <w:p w14:paraId="59BBCAF9" w14:textId="15C573AE" w:rsidR="005E4E2D" w:rsidRPr="00E339AA" w:rsidRDefault="005E4E2D" w:rsidP="002E63C2">
      <w:pPr>
        <w:rPr>
          <w:color w:val="auto"/>
        </w:rPr>
      </w:pPr>
      <w:r w:rsidRPr="00E339AA">
        <w:rPr>
          <w:b/>
          <w:bCs/>
          <w:color w:val="auto"/>
        </w:rPr>
        <w:t xml:space="preserve">Figure 1: </w:t>
      </w:r>
      <w:r w:rsidR="005B1154" w:rsidRPr="00E339AA">
        <w:rPr>
          <w:b/>
          <w:bCs/>
          <w:color w:val="auto"/>
        </w:rPr>
        <w:t xml:space="preserve">General overview of the protocol and representative </w:t>
      </w:r>
      <w:r w:rsidRPr="00E339AA">
        <w:rPr>
          <w:b/>
          <w:bCs/>
          <w:color w:val="auto"/>
        </w:rPr>
        <w:t>images of the centrifuge</w:t>
      </w:r>
      <w:r w:rsidRPr="00E339AA">
        <w:rPr>
          <w:color w:val="auto"/>
        </w:rPr>
        <w:t xml:space="preserve">. </w:t>
      </w:r>
      <w:r w:rsidR="005B1154" w:rsidRPr="00E339AA">
        <w:rPr>
          <w:color w:val="auto"/>
        </w:rPr>
        <w:t>(</w:t>
      </w:r>
      <w:r w:rsidR="005B1154" w:rsidRPr="00E339AA">
        <w:rPr>
          <w:b/>
          <w:color w:val="auto"/>
        </w:rPr>
        <w:t>A</w:t>
      </w:r>
      <w:r w:rsidR="005B1154" w:rsidRPr="00E339AA">
        <w:rPr>
          <w:color w:val="auto"/>
        </w:rPr>
        <w:t>) Schematic overview of the protocol for the preparation of PBMCs and plasma</w:t>
      </w:r>
      <w:r w:rsidR="00010098" w:rsidRPr="00E339AA">
        <w:rPr>
          <w:color w:val="auto"/>
        </w:rPr>
        <w:t>.</w:t>
      </w:r>
      <w:r w:rsidR="001953E6" w:rsidRPr="00E339AA">
        <w:rPr>
          <w:color w:val="auto"/>
        </w:rPr>
        <w:t xml:space="preserve"> </w:t>
      </w:r>
      <w:r w:rsidR="00ED7D79" w:rsidRPr="00E339AA">
        <w:rPr>
          <w:color w:val="auto"/>
        </w:rPr>
        <w:t>*</w:t>
      </w:r>
      <w:r w:rsidR="003247A5" w:rsidRPr="00E339AA">
        <w:rPr>
          <w:color w:val="auto"/>
        </w:rPr>
        <w:t xml:space="preserve">If there are time constraints, </w:t>
      </w:r>
      <w:r w:rsidR="001F7AA7" w:rsidRPr="00E339AA">
        <w:rPr>
          <w:color w:val="auto"/>
        </w:rPr>
        <w:t>step 2.4 can be shortened to 20 min and steps 3.3 to 3.</w:t>
      </w:r>
      <w:r w:rsidR="006458D6" w:rsidRPr="00E339AA">
        <w:rPr>
          <w:color w:val="auto"/>
        </w:rPr>
        <w:t>6</w:t>
      </w:r>
      <w:r w:rsidR="001F7AA7" w:rsidRPr="00E339AA">
        <w:rPr>
          <w:color w:val="auto"/>
        </w:rPr>
        <w:t xml:space="preserve"> can be removed.</w:t>
      </w:r>
      <w:r w:rsidR="00ED7D79" w:rsidRPr="00E339AA">
        <w:rPr>
          <w:color w:val="auto"/>
        </w:rPr>
        <w:t xml:space="preserve"> </w:t>
      </w:r>
      <w:r w:rsidR="001953E6" w:rsidRPr="00E339AA">
        <w:rPr>
          <w:color w:val="auto"/>
        </w:rPr>
        <w:t>*</w:t>
      </w:r>
      <w:r w:rsidR="009259E3" w:rsidRPr="00E339AA">
        <w:rPr>
          <w:color w:val="auto"/>
        </w:rPr>
        <w:t>*</w:t>
      </w:r>
      <w:r w:rsidR="001953E6" w:rsidRPr="00E339AA">
        <w:rPr>
          <w:color w:val="auto"/>
        </w:rPr>
        <w:t xml:space="preserve"> Take an aliquot to</w:t>
      </w:r>
      <w:r w:rsidR="009259E3" w:rsidRPr="00E339AA">
        <w:rPr>
          <w:color w:val="auto"/>
        </w:rPr>
        <w:t xml:space="preserve"> count cells, if required. *** 2 extra centrifugation steps required for </w:t>
      </w:r>
      <w:proofErr w:type="spellStart"/>
      <w:r w:rsidR="009259E3" w:rsidRPr="00E339AA">
        <w:rPr>
          <w:color w:val="auto"/>
        </w:rPr>
        <w:t>ctDNA</w:t>
      </w:r>
      <w:proofErr w:type="spellEnd"/>
      <w:r w:rsidR="009259E3" w:rsidRPr="00E339AA">
        <w:rPr>
          <w:color w:val="auto"/>
        </w:rPr>
        <w:t xml:space="preserve"> analysis/metabolomics</w:t>
      </w:r>
      <w:r w:rsidR="00010098" w:rsidRPr="00E339AA">
        <w:rPr>
          <w:color w:val="auto"/>
        </w:rPr>
        <w:t xml:space="preserve"> </w:t>
      </w:r>
      <w:r w:rsidRPr="00E339AA">
        <w:rPr>
          <w:color w:val="auto"/>
        </w:rPr>
        <w:t>(</w:t>
      </w:r>
      <w:r w:rsidR="005B1154" w:rsidRPr="00E339AA">
        <w:rPr>
          <w:b/>
          <w:color w:val="auto"/>
        </w:rPr>
        <w:t>B</w:t>
      </w:r>
      <w:r w:rsidRPr="00E339AA">
        <w:rPr>
          <w:color w:val="auto"/>
        </w:rPr>
        <w:t>) image of a swing-out head rotor centrifuge set for step 2.4. (</w:t>
      </w:r>
      <w:r w:rsidR="005B1154" w:rsidRPr="00E339AA">
        <w:rPr>
          <w:b/>
          <w:color w:val="auto"/>
        </w:rPr>
        <w:t>C</w:t>
      </w:r>
      <w:r w:rsidRPr="00E339AA">
        <w:rPr>
          <w:color w:val="auto"/>
        </w:rPr>
        <w:t>) image of the rotor, which includes two buckets containing the adaptors to spin CPT tubes.</w:t>
      </w:r>
    </w:p>
    <w:p w14:paraId="59691C6B" w14:textId="77777777" w:rsidR="005F1402" w:rsidRPr="00E339AA" w:rsidRDefault="005F1402" w:rsidP="002E63C2">
      <w:pPr>
        <w:rPr>
          <w:color w:val="auto"/>
        </w:rPr>
      </w:pPr>
    </w:p>
    <w:p w14:paraId="14669690" w14:textId="20FD6BF3" w:rsidR="005E4E2D" w:rsidRPr="00E339AA" w:rsidRDefault="005E4E2D" w:rsidP="002E63C2">
      <w:pPr>
        <w:rPr>
          <w:color w:val="auto"/>
        </w:rPr>
      </w:pPr>
      <w:r w:rsidRPr="00E339AA">
        <w:rPr>
          <w:b/>
          <w:bCs/>
          <w:color w:val="auto"/>
        </w:rPr>
        <w:t xml:space="preserve">Figure 2: Tubes to isolate PBMCs. </w:t>
      </w:r>
      <w:r w:rsidRPr="00E339AA">
        <w:rPr>
          <w:color w:val="auto"/>
        </w:rPr>
        <w:t>(</w:t>
      </w:r>
      <w:r w:rsidRPr="00E339AA">
        <w:rPr>
          <w:b/>
          <w:color w:val="auto"/>
        </w:rPr>
        <w:t>A</w:t>
      </w:r>
      <w:r w:rsidRPr="00E339AA">
        <w:rPr>
          <w:color w:val="auto"/>
        </w:rPr>
        <w:t xml:space="preserve">) </w:t>
      </w:r>
      <w:r w:rsidR="00B262C2" w:rsidRPr="00E339AA">
        <w:rPr>
          <w:color w:val="auto"/>
        </w:rPr>
        <w:t>I</w:t>
      </w:r>
      <w:r w:rsidRPr="00E339AA">
        <w:rPr>
          <w:color w:val="auto"/>
        </w:rPr>
        <w:t>mage of the tubes before centrifugation (step 2.4), either empty (left) or containing blood (right). (</w:t>
      </w:r>
      <w:r w:rsidRPr="00E339AA">
        <w:rPr>
          <w:b/>
          <w:color w:val="auto"/>
        </w:rPr>
        <w:t>B</w:t>
      </w:r>
      <w:r w:rsidRPr="00E339AA">
        <w:rPr>
          <w:color w:val="auto"/>
        </w:rPr>
        <w:t>) Successful separation of the PBMC layer after centrifugation</w:t>
      </w:r>
      <w:r w:rsidR="00970ACE" w:rsidRPr="00E339AA">
        <w:rPr>
          <w:color w:val="auto"/>
        </w:rPr>
        <w:t xml:space="preserve"> (step </w:t>
      </w:r>
      <w:r w:rsidR="00474804" w:rsidRPr="00E339AA">
        <w:rPr>
          <w:color w:val="auto"/>
        </w:rPr>
        <w:t>2</w:t>
      </w:r>
      <w:r w:rsidR="00970ACE" w:rsidRPr="00E339AA">
        <w:rPr>
          <w:color w:val="auto"/>
        </w:rPr>
        <w:t>.5)</w:t>
      </w:r>
      <w:r w:rsidRPr="00E339AA">
        <w:rPr>
          <w:color w:val="auto"/>
        </w:rPr>
        <w:t>.</w:t>
      </w:r>
      <w:r w:rsidR="00B262C2" w:rsidRPr="00E339AA">
        <w:rPr>
          <w:color w:val="auto"/>
        </w:rPr>
        <w:t xml:space="preserve"> (</w:t>
      </w:r>
      <w:r w:rsidR="00B262C2" w:rsidRPr="00E339AA">
        <w:rPr>
          <w:b/>
          <w:color w:val="auto"/>
        </w:rPr>
        <w:t>C</w:t>
      </w:r>
      <w:r w:rsidR="00B262C2" w:rsidRPr="00E339AA">
        <w:rPr>
          <w:color w:val="auto"/>
        </w:rPr>
        <w:t>) Image of the PBMC layer after centrifugation</w:t>
      </w:r>
      <w:r w:rsidR="00B3027E" w:rsidRPr="00E339AA">
        <w:rPr>
          <w:color w:val="auto"/>
        </w:rPr>
        <w:t xml:space="preserve"> and a bit of plasma left to ensure all PBMCs are collected</w:t>
      </w:r>
      <w:r w:rsidR="00474804" w:rsidRPr="00E339AA">
        <w:rPr>
          <w:color w:val="auto"/>
        </w:rPr>
        <w:t xml:space="preserve"> (step 2.7)</w:t>
      </w:r>
      <w:r w:rsidR="00B262C2" w:rsidRPr="00E339AA">
        <w:rPr>
          <w:color w:val="auto"/>
        </w:rPr>
        <w:t>.</w:t>
      </w:r>
    </w:p>
    <w:p w14:paraId="1019A44D" w14:textId="77777777" w:rsidR="005F1402" w:rsidRPr="00E339AA" w:rsidRDefault="005F1402" w:rsidP="002E63C2">
      <w:pPr>
        <w:rPr>
          <w:color w:val="auto"/>
        </w:rPr>
      </w:pPr>
    </w:p>
    <w:p w14:paraId="3EAADF90" w14:textId="6D43D60E" w:rsidR="005E4E2D" w:rsidRPr="00E339AA" w:rsidRDefault="005E4E2D" w:rsidP="002E63C2">
      <w:pPr>
        <w:rPr>
          <w:color w:val="auto"/>
        </w:rPr>
      </w:pPr>
      <w:r w:rsidRPr="00E339AA">
        <w:rPr>
          <w:b/>
          <w:bCs/>
          <w:color w:val="auto"/>
        </w:rPr>
        <w:t>Figure 3: PBMC pellets.</w:t>
      </w:r>
      <w:r w:rsidRPr="00E339AA">
        <w:rPr>
          <w:color w:val="auto"/>
        </w:rPr>
        <w:t xml:space="preserve"> (</w:t>
      </w:r>
      <w:r w:rsidRPr="00E339AA">
        <w:rPr>
          <w:b/>
          <w:color w:val="auto"/>
        </w:rPr>
        <w:t>A</w:t>
      </w:r>
      <w:r w:rsidRPr="00E339AA">
        <w:rPr>
          <w:color w:val="auto"/>
        </w:rPr>
        <w:t xml:space="preserve">) Pellet obtained in </w:t>
      </w:r>
      <w:r w:rsidR="00A444EE" w:rsidRPr="00E339AA">
        <w:rPr>
          <w:color w:val="auto"/>
        </w:rPr>
        <w:t xml:space="preserve">the first wash </w:t>
      </w:r>
      <w:r w:rsidRPr="00E339AA">
        <w:rPr>
          <w:color w:val="auto"/>
        </w:rPr>
        <w:t>step 3.</w:t>
      </w:r>
      <w:r w:rsidR="007A4158" w:rsidRPr="00E339AA">
        <w:rPr>
          <w:color w:val="auto"/>
        </w:rPr>
        <w:t>3</w:t>
      </w:r>
      <w:r w:rsidRPr="00E339AA">
        <w:rPr>
          <w:color w:val="auto"/>
        </w:rPr>
        <w:t>. (</w:t>
      </w:r>
      <w:r w:rsidRPr="00E339AA">
        <w:rPr>
          <w:b/>
          <w:color w:val="auto"/>
        </w:rPr>
        <w:t>B</w:t>
      </w:r>
      <w:r w:rsidRPr="00E339AA">
        <w:rPr>
          <w:color w:val="auto"/>
        </w:rPr>
        <w:t xml:space="preserve">) Pellet isolated in </w:t>
      </w:r>
      <w:r w:rsidR="00B92319" w:rsidRPr="00E339AA">
        <w:rPr>
          <w:color w:val="auto"/>
        </w:rPr>
        <w:t>the second wash</w:t>
      </w:r>
      <w:r w:rsidR="004B539A" w:rsidRPr="00E339AA">
        <w:rPr>
          <w:color w:val="auto"/>
        </w:rPr>
        <w:t xml:space="preserve"> (step</w:t>
      </w:r>
      <w:r w:rsidR="00B92319" w:rsidRPr="00E339AA">
        <w:rPr>
          <w:color w:val="auto"/>
        </w:rPr>
        <w:t xml:space="preserve"> </w:t>
      </w:r>
      <w:r w:rsidRPr="00E339AA">
        <w:rPr>
          <w:color w:val="auto"/>
        </w:rPr>
        <w:t>3.</w:t>
      </w:r>
      <w:r w:rsidR="00C82C60" w:rsidRPr="00E339AA">
        <w:rPr>
          <w:color w:val="auto"/>
        </w:rPr>
        <w:t>7</w:t>
      </w:r>
      <w:r w:rsidR="00DA2F07" w:rsidRPr="00E339AA">
        <w:rPr>
          <w:color w:val="auto"/>
        </w:rPr>
        <w:t>)</w:t>
      </w:r>
      <w:r w:rsidRPr="00E339AA">
        <w:rPr>
          <w:color w:val="auto"/>
        </w:rPr>
        <w:t>.</w:t>
      </w:r>
      <w:r w:rsidR="00E35665" w:rsidRPr="00E339AA">
        <w:rPr>
          <w:color w:val="auto"/>
        </w:rPr>
        <w:t xml:space="preserve"> (</w:t>
      </w:r>
      <w:r w:rsidR="00E35665" w:rsidRPr="00E339AA">
        <w:rPr>
          <w:b/>
          <w:color w:val="auto"/>
        </w:rPr>
        <w:t>C</w:t>
      </w:r>
      <w:r w:rsidR="00E35665" w:rsidRPr="00E339AA">
        <w:rPr>
          <w:color w:val="auto"/>
        </w:rPr>
        <w:t>) Pellet</w:t>
      </w:r>
      <w:r w:rsidR="00CF1F42" w:rsidRPr="00E339AA">
        <w:rPr>
          <w:color w:val="auto"/>
        </w:rPr>
        <w:t xml:space="preserve"> </w:t>
      </w:r>
      <w:r w:rsidR="004F2434" w:rsidRPr="00E339AA">
        <w:rPr>
          <w:color w:val="auto"/>
        </w:rPr>
        <w:t xml:space="preserve">with </w:t>
      </w:r>
      <w:r w:rsidR="00CF1F42" w:rsidRPr="00E339AA">
        <w:rPr>
          <w:color w:val="auto"/>
        </w:rPr>
        <w:t xml:space="preserve">high level of </w:t>
      </w:r>
      <w:r w:rsidR="00C5555A" w:rsidRPr="00E339AA">
        <w:rPr>
          <w:color w:val="auto"/>
        </w:rPr>
        <w:t>hemolysis</w:t>
      </w:r>
      <w:r w:rsidR="004F2434" w:rsidRPr="00E339AA">
        <w:rPr>
          <w:color w:val="auto"/>
        </w:rPr>
        <w:t xml:space="preserve"> </w:t>
      </w:r>
      <w:r w:rsidR="008D6390" w:rsidRPr="00E339AA">
        <w:rPr>
          <w:color w:val="auto"/>
        </w:rPr>
        <w:t>obtained from</w:t>
      </w:r>
      <w:r w:rsidR="009E2BD9" w:rsidRPr="00E339AA">
        <w:rPr>
          <w:color w:val="auto"/>
        </w:rPr>
        <w:t xml:space="preserve"> blood </w:t>
      </w:r>
      <w:r w:rsidR="008D6390" w:rsidRPr="00E339AA">
        <w:rPr>
          <w:color w:val="auto"/>
        </w:rPr>
        <w:t xml:space="preserve">processed </w:t>
      </w:r>
      <w:r w:rsidR="009E2BD9" w:rsidRPr="00E339AA">
        <w:rPr>
          <w:color w:val="auto"/>
        </w:rPr>
        <w:t xml:space="preserve">later than 4 h from </w:t>
      </w:r>
      <w:r w:rsidR="008D6390" w:rsidRPr="00E339AA">
        <w:rPr>
          <w:color w:val="auto"/>
        </w:rPr>
        <w:t xml:space="preserve">the blood </w:t>
      </w:r>
      <w:r w:rsidR="009E2BD9" w:rsidRPr="00E339AA">
        <w:rPr>
          <w:color w:val="auto"/>
        </w:rPr>
        <w:t>draw</w:t>
      </w:r>
      <w:r w:rsidR="00DA2F07" w:rsidRPr="00E339AA">
        <w:rPr>
          <w:color w:val="auto"/>
        </w:rPr>
        <w:t xml:space="preserve"> </w:t>
      </w:r>
      <w:r w:rsidR="00704918" w:rsidRPr="00E339AA">
        <w:rPr>
          <w:color w:val="auto"/>
        </w:rPr>
        <w:t>isolated in the</w:t>
      </w:r>
      <w:r w:rsidR="00A42C69" w:rsidRPr="00E339AA">
        <w:rPr>
          <w:color w:val="auto"/>
        </w:rPr>
        <w:t xml:space="preserve"> second </w:t>
      </w:r>
      <w:r w:rsidR="00704918" w:rsidRPr="00E339AA">
        <w:rPr>
          <w:color w:val="auto"/>
        </w:rPr>
        <w:t>wash (</w:t>
      </w:r>
      <w:r w:rsidR="00DA2F07" w:rsidRPr="00E339AA">
        <w:rPr>
          <w:color w:val="auto"/>
        </w:rPr>
        <w:t>step 3.6)</w:t>
      </w:r>
      <w:r w:rsidR="00CF1F42" w:rsidRPr="00E339AA">
        <w:rPr>
          <w:color w:val="auto"/>
        </w:rPr>
        <w:t>.</w:t>
      </w:r>
    </w:p>
    <w:p w14:paraId="4A4ED702" w14:textId="77777777" w:rsidR="005F1402" w:rsidRPr="00E339AA" w:rsidRDefault="005F1402" w:rsidP="002E63C2">
      <w:pPr>
        <w:rPr>
          <w:color w:val="auto"/>
        </w:rPr>
      </w:pPr>
    </w:p>
    <w:p w14:paraId="47FF88D5" w14:textId="3AB628B0" w:rsidR="00246AAA" w:rsidRPr="00E339AA" w:rsidRDefault="00246AAA" w:rsidP="002E63C2">
      <w:pPr>
        <w:rPr>
          <w:color w:val="auto"/>
        </w:rPr>
      </w:pPr>
      <w:r w:rsidRPr="00E339AA">
        <w:rPr>
          <w:b/>
          <w:bCs/>
          <w:color w:val="auto"/>
        </w:rPr>
        <w:t xml:space="preserve">Figure 4: </w:t>
      </w:r>
      <w:r w:rsidR="00090584" w:rsidRPr="00E339AA">
        <w:rPr>
          <w:b/>
          <w:bCs/>
          <w:color w:val="auto"/>
        </w:rPr>
        <w:t xml:space="preserve">PBMCs isolated from </w:t>
      </w:r>
      <w:r w:rsidR="00090584" w:rsidRPr="00AF3224">
        <w:rPr>
          <w:b/>
          <w:bCs/>
          <w:iCs/>
          <w:color w:val="auto"/>
        </w:rPr>
        <w:t>e</w:t>
      </w:r>
      <w:r w:rsidR="007F6D63" w:rsidRPr="00AF3224">
        <w:rPr>
          <w:b/>
          <w:bCs/>
          <w:iCs/>
          <w:color w:val="auto"/>
        </w:rPr>
        <w:t>x vivo</w:t>
      </w:r>
      <w:r w:rsidR="007F6D63" w:rsidRPr="00E339AA">
        <w:rPr>
          <w:b/>
          <w:bCs/>
          <w:color w:val="auto"/>
        </w:rPr>
        <w:t xml:space="preserve"> irradiated blood</w:t>
      </w:r>
      <w:r w:rsidR="00090584" w:rsidRPr="00E339AA">
        <w:rPr>
          <w:b/>
          <w:bCs/>
          <w:color w:val="auto"/>
        </w:rPr>
        <w:t xml:space="preserve"> following the present clinical protocol</w:t>
      </w:r>
      <w:r w:rsidR="00151B15" w:rsidRPr="00E339AA">
        <w:rPr>
          <w:b/>
          <w:bCs/>
          <w:color w:val="auto"/>
        </w:rPr>
        <w:t xml:space="preserve"> display </w:t>
      </w:r>
      <w:r w:rsidR="00643F75" w:rsidRPr="00E339AA">
        <w:rPr>
          <w:b/>
          <w:bCs/>
          <w:color w:val="auto"/>
        </w:rPr>
        <w:t xml:space="preserve">biomarkers </w:t>
      </w:r>
      <w:r w:rsidR="00B44B16" w:rsidRPr="00E339AA">
        <w:rPr>
          <w:b/>
          <w:bCs/>
          <w:color w:val="auto"/>
        </w:rPr>
        <w:t>to inform on the extent of the DNA damage caused by the treatment.</w:t>
      </w:r>
      <w:r w:rsidR="007F6D63" w:rsidRPr="00E339AA">
        <w:rPr>
          <w:color w:val="auto"/>
        </w:rPr>
        <w:t xml:space="preserve"> </w:t>
      </w:r>
      <w:r w:rsidR="009A3030" w:rsidRPr="00E339AA">
        <w:rPr>
          <w:color w:val="auto"/>
        </w:rPr>
        <w:t>(</w:t>
      </w:r>
      <w:r w:rsidR="009A3030" w:rsidRPr="00E339AA">
        <w:rPr>
          <w:b/>
          <w:color w:val="auto"/>
        </w:rPr>
        <w:t>A</w:t>
      </w:r>
      <w:r w:rsidR="009A3030" w:rsidRPr="00E339AA">
        <w:rPr>
          <w:color w:val="auto"/>
        </w:rPr>
        <w:t xml:space="preserve">) Schematic overview of the protocol for </w:t>
      </w:r>
      <w:r w:rsidR="00F62BF3" w:rsidRPr="00E339AA">
        <w:rPr>
          <w:color w:val="auto"/>
        </w:rPr>
        <w:t>the preparation of PBMCs and analysis of the DDR upon whole-blood irradiation.</w:t>
      </w:r>
      <w:r w:rsidR="00010098" w:rsidRPr="00E339AA">
        <w:rPr>
          <w:color w:val="auto"/>
        </w:rPr>
        <w:t xml:space="preserve"> </w:t>
      </w:r>
      <w:r w:rsidR="002211D5" w:rsidRPr="00E339AA">
        <w:rPr>
          <w:color w:val="auto"/>
        </w:rPr>
        <w:t xml:space="preserve">2 extra centrifugation </w:t>
      </w:r>
      <w:r w:rsidR="001953E6" w:rsidRPr="00E339AA">
        <w:rPr>
          <w:color w:val="auto"/>
        </w:rPr>
        <w:t xml:space="preserve">steps required for </w:t>
      </w:r>
      <w:proofErr w:type="spellStart"/>
      <w:r w:rsidR="001953E6" w:rsidRPr="00E339AA">
        <w:rPr>
          <w:color w:val="auto"/>
        </w:rPr>
        <w:t>ctDNA</w:t>
      </w:r>
      <w:proofErr w:type="spellEnd"/>
      <w:r w:rsidR="001953E6" w:rsidRPr="00E339AA">
        <w:rPr>
          <w:color w:val="auto"/>
        </w:rPr>
        <w:t xml:space="preserve"> analysis/metabolomics.</w:t>
      </w:r>
      <w:r w:rsidR="00700E21" w:rsidRPr="00E339AA">
        <w:rPr>
          <w:color w:val="auto"/>
        </w:rPr>
        <w:t xml:space="preserve"> (</w:t>
      </w:r>
      <w:r w:rsidR="00700E21" w:rsidRPr="00E339AA">
        <w:rPr>
          <w:b/>
          <w:color w:val="auto"/>
        </w:rPr>
        <w:t>B</w:t>
      </w:r>
      <w:r w:rsidR="00700E21" w:rsidRPr="00E339AA">
        <w:rPr>
          <w:color w:val="auto"/>
        </w:rPr>
        <w:t xml:space="preserve">) </w:t>
      </w:r>
      <w:r w:rsidR="007F1E2C" w:rsidRPr="00E339AA">
        <w:rPr>
          <w:color w:val="auto"/>
        </w:rPr>
        <w:t>W</w:t>
      </w:r>
      <w:r w:rsidR="00700E21" w:rsidRPr="00E339AA">
        <w:rPr>
          <w:color w:val="auto"/>
        </w:rPr>
        <w:t xml:space="preserve">estern blot </w:t>
      </w:r>
      <w:r w:rsidR="000563E9" w:rsidRPr="00E339AA">
        <w:rPr>
          <w:color w:val="auto"/>
        </w:rPr>
        <w:t xml:space="preserve">showing dose-dependent upregulation of </w:t>
      </w:r>
      <w:r w:rsidR="00941E19" w:rsidRPr="00E339AA">
        <w:rPr>
          <w:color w:val="auto"/>
        </w:rPr>
        <w:t xml:space="preserve">DDR </w:t>
      </w:r>
      <w:r w:rsidR="000563E9" w:rsidRPr="00E339AA">
        <w:rPr>
          <w:color w:val="auto"/>
        </w:rPr>
        <w:t>phospho-biomarkers</w:t>
      </w:r>
      <w:r w:rsidR="00941E19" w:rsidRPr="00E339AA">
        <w:rPr>
          <w:color w:val="auto"/>
        </w:rPr>
        <w:t xml:space="preserve"> in PBMCs.</w:t>
      </w:r>
    </w:p>
    <w:p w14:paraId="47694D19" w14:textId="77777777" w:rsidR="005F1402" w:rsidRPr="00E339AA" w:rsidRDefault="005F1402" w:rsidP="002E63C2">
      <w:pPr>
        <w:rPr>
          <w:color w:val="auto"/>
        </w:rPr>
      </w:pPr>
    </w:p>
    <w:p w14:paraId="3AD63A71" w14:textId="37FC746B" w:rsidR="00B85232" w:rsidRDefault="00B85232" w:rsidP="002E63C2">
      <w:pPr>
        <w:rPr>
          <w:color w:val="auto"/>
        </w:rPr>
      </w:pPr>
      <w:r w:rsidRPr="00E339AA">
        <w:rPr>
          <w:b/>
          <w:bCs/>
          <w:color w:val="auto"/>
        </w:rPr>
        <w:t xml:space="preserve">Table 1: Cell number and protein concentration of PBMC pellets from chronic lymphocytic </w:t>
      </w:r>
      <w:r w:rsidR="00C5555A" w:rsidRPr="00E339AA">
        <w:rPr>
          <w:b/>
          <w:bCs/>
          <w:color w:val="auto"/>
        </w:rPr>
        <w:t>leukemia</w:t>
      </w:r>
      <w:r w:rsidRPr="00E339AA">
        <w:rPr>
          <w:b/>
          <w:bCs/>
          <w:color w:val="auto"/>
        </w:rPr>
        <w:t xml:space="preserve"> patients (CLL)</w:t>
      </w:r>
      <w:r w:rsidRPr="00E339AA">
        <w:rPr>
          <w:color w:val="auto"/>
        </w:rPr>
        <w:t xml:space="preserve">. The data presented in this table correspond to 45 PBMC samples from 7 CLL patients participating in study </w:t>
      </w:r>
      <w:r w:rsidRPr="00E339AA">
        <w:rPr>
          <w:rFonts w:asciiTheme="minorHAnsi" w:hAnsiTheme="minorHAnsi" w:cstheme="minorHAnsi"/>
          <w:color w:val="auto"/>
          <w:shd w:val="clear" w:color="auto" w:fill="FFFFFF"/>
        </w:rPr>
        <w:t xml:space="preserve">NCT03328273 </w:t>
      </w:r>
      <w:r w:rsidRPr="00E339AA">
        <w:rPr>
          <w:color w:val="auto"/>
        </w:rPr>
        <w:t>collected in mononuclear cell preparation tubes.</w:t>
      </w:r>
      <w:r w:rsidR="00A43621">
        <w:rPr>
          <w:color w:val="auto"/>
        </w:rPr>
        <w:t xml:space="preserve"> These are original data generated using</w:t>
      </w:r>
      <w:r w:rsidR="00FF3085">
        <w:rPr>
          <w:color w:val="auto"/>
        </w:rPr>
        <w:t xml:space="preserve"> </w:t>
      </w:r>
      <w:r w:rsidR="00D06760">
        <w:rPr>
          <w:color w:val="auto"/>
        </w:rPr>
        <w:t>samples from the cited study</w:t>
      </w:r>
      <w:r w:rsidR="00D06760" w:rsidRPr="00D06760">
        <w:rPr>
          <w:color w:val="auto"/>
          <w:vertAlign w:val="superscript"/>
        </w:rPr>
        <w:t>31</w:t>
      </w:r>
      <w:r w:rsidR="00D06760">
        <w:rPr>
          <w:color w:val="auto"/>
        </w:rPr>
        <w:t>.</w:t>
      </w:r>
      <w:r w:rsidR="00A43621">
        <w:rPr>
          <w:color w:val="auto"/>
        </w:rPr>
        <w:t xml:space="preserve"> </w:t>
      </w:r>
    </w:p>
    <w:p w14:paraId="6B0AF267" w14:textId="61FCFDB9" w:rsidR="000E001A" w:rsidRDefault="000E001A" w:rsidP="002E63C2">
      <w:pPr>
        <w:rPr>
          <w:color w:val="auto"/>
        </w:rPr>
      </w:pPr>
    </w:p>
    <w:p w14:paraId="419E81D1" w14:textId="2239090C" w:rsidR="000E001A" w:rsidRPr="000E001A" w:rsidRDefault="000E001A" w:rsidP="002E63C2">
      <w:pPr>
        <w:rPr>
          <w:b/>
          <w:bCs/>
          <w:color w:val="auto"/>
        </w:rPr>
      </w:pPr>
      <w:r w:rsidRPr="000E001A">
        <w:rPr>
          <w:b/>
          <w:bCs/>
          <w:color w:val="auto"/>
        </w:rPr>
        <w:t>Supplementary File: Alternative protocol options.</w:t>
      </w:r>
    </w:p>
    <w:p w14:paraId="75182EC3" w14:textId="77777777" w:rsidR="00B32616" w:rsidRPr="00E339AA" w:rsidRDefault="00B32616" w:rsidP="002E63C2">
      <w:pPr>
        <w:rPr>
          <w:rFonts w:asciiTheme="minorHAnsi" w:hAnsiTheme="minorHAnsi" w:cstheme="minorHAnsi"/>
          <w:color w:val="auto"/>
        </w:rPr>
      </w:pPr>
    </w:p>
    <w:p w14:paraId="64B8CF78" w14:textId="044D8518" w:rsidR="006305D7" w:rsidRPr="00E339AA" w:rsidRDefault="006305D7" w:rsidP="002E63C2">
      <w:pPr>
        <w:rPr>
          <w:rFonts w:asciiTheme="minorHAnsi" w:hAnsiTheme="minorHAnsi" w:cstheme="minorHAnsi"/>
          <w:b/>
          <w:color w:val="auto"/>
        </w:rPr>
      </w:pPr>
      <w:r w:rsidRPr="00E339AA">
        <w:rPr>
          <w:rFonts w:asciiTheme="minorHAnsi" w:hAnsiTheme="minorHAnsi" w:cstheme="minorHAnsi"/>
          <w:b/>
          <w:color w:val="auto"/>
        </w:rPr>
        <w:t>DISCUSSION</w:t>
      </w:r>
      <w:r w:rsidRPr="00E339AA">
        <w:rPr>
          <w:rFonts w:asciiTheme="minorHAnsi" w:hAnsiTheme="minorHAnsi" w:cstheme="minorHAnsi"/>
          <w:b/>
          <w:bCs/>
          <w:color w:val="auto"/>
        </w:rPr>
        <w:t xml:space="preserve">: </w:t>
      </w:r>
    </w:p>
    <w:p w14:paraId="7EA1A99A" w14:textId="54BDDD03" w:rsidR="00C730F3" w:rsidRPr="00E339AA" w:rsidRDefault="00C730F3" w:rsidP="002E63C2">
      <w:pPr>
        <w:pStyle w:val="NormalWeb"/>
        <w:spacing w:before="0" w:beforeAutospacing="0" w:after="0" w:afterAutospacing="0"/>
        <w:rPr>
          <w:rFonts w:asciiTheme="minorHAnsi" w:hAnsiTheme="minorHAnsi" w:cstheme="minorHAnsi"/>
          <w:color w:val="auto"/>
        </w:rPr>
      </w:pPr>
      <w:r w:rsidRPr="00E339AA">
        <w:rPr>
          <w:color w:val="auto"/>
        </w:rPr>
        <w:t>High-quality preparations of PBMCs and plasma that can be robustly and reproducibly prepared at clinical trial sites are invaluable to inform clinical trial peripheral predictive and pharmacodynamic translational biomarker endpoints. Here we have provided a short, clear protocol that addresses the typically problematic steps that have been heretofore vulnerable to execution errors in a clinical trial setting. However</w:t>
      </w:r>
      <w:r w:rsidR="006205E4" w:rsidRPr="00E339AA">
        <w:rPr>
          <w:color w:val="auto"/>
        </w:rPr>
        <w:t>,</w:t>
      </w:r>
      <w:r w:rsidRPr="00E339AA">
        <w:rPr>
          <w:color w:val="auto"/>
        </w:rPr>
        <w:t xml:space="preserve"> the protocol can be further </w:t>
      </w:r>
      <w:r w:rsidR="00C5555A" w:rsidRPr="00E339AA">
        <w:rPr>
          <w:color w:val="auto"/>
        </w:rPr>
        <w:t>optimized</w:t>
      </w:r>
      <w:r w:rsidRPr="00E339AA">
        <w:rPr>
          <w:color w:val="auto"/>
        </w:rPr>
        <w:t xml:space="preserve"> to meet specific requirements, such as time constraints in the clinical site or type of downstream analyses (see </w:t>
      </w:r>
      <w:r w:rsidR="006205E4" w:rsidRPr="00E339AA">
        <w:rPr>
          <w:b/>
          <w:bCs/>
          <w:color w:val="auto"/>
        </w:rPr>
        <w:t>S</w:t>
      </w:r>
      <w:r w:rsidRPr="00E339AA">
        <w:rPr>
          <w:b/>
          <w:bCs/>
          <w:color w:val="auto"/>
        </w:rPr>
        <w:t xml:space="preserve">upplementary </w:t>
      </w:r>
      <w:r w:rsidR="000E001A">
        <w:rPr>
          <w:b/>
          <w:bCs/>
          <w:color w:val="auto"/>
        </w:rPr>
        <w:t>F</w:t>
      </w:r>
      <w:r w:rsidRPr="00E339AA">
        <w:rPr>
          <w:b/>
          <w:bCs/>
          <w:color w:val="auto"/>
        </w:rPr>
        <w:t>ile</w:t>
      </w:r>
      <w:r w:rsidRPr="00E339AA">
        <w:rPr>
          <w:color w:val="auto"/>
        </w:rPr>
        <w:t>).</w:t>
      </w:r>
    </w:p>
    <w:p w14:paraId="1AF46E10" w14:textId="77777777" w:rsidR="00C730F3" w:rsidRPr="00E339AA" w:rsidRDefault="00C730F3" w:rsidP="002E63C2">
      <w:pPr>
        <w:rPr>
          <w:color w:val="auto"/>
        </w:rPr>
      </w:pPr>
    </w:p>
    <w:p w14:paraId="2E2F0BB1" w14:textId="6CAB3B6A" w:rsidR="00C730F3" w:rsidRPr="00E339AA" w:rsidRDefault="00C730F3" w:rsidP="002E63C2">
      <w:pPr>
        <w:rPr>
          <w:color w:val="auto"/>
        </w:rPr>
      </w:pPr>
      <w:r w:rsidRPr="00E339AA">
        <w:rPr>
          <w:color w:val="auto"/>
        </w:rPr>
        <w:t xml:space="preserve">To this aim, we have shown how to isolate both PBMCs and plasma from whole blood using mononuclear cell preparation tubes to produce frozen PBMC pellets and frozen plasma suitable for a variety of downstream analyses. We have called attention to particularly critical protocol steps involving centrifugation and identification of the PBMC layer in step 2.5, and PBMC pellets in steps 3.3 and 3.6. Historically, where clinical sites have often gone wrong is in setting the centrifuge to the correct units (confusing an RCF or x </w:t>
      </w:r>
      <w:r w:rsidRPr="00E339AA">
        <w:rPr>
          <w:i/>
          <w:color w:val="auto"/>
        </w:rPr>
        <w:t>g</w:t>
      </w:r>
      <w:r w:rsidRPr="00E339AA">
        <w:rPr>
          <w:color w:val="auto"/>
        </w:rPr>
        <w:t xml:space="preserve"> value with an RPM value), delaying the processing of blood samples, temperature and the presence of large volumes of PBS above the frozen cell pellet. In most centrifuge rotors erroneously entering a </w:t>
      </w:r>
      <w:r w:rsidRPr="00E339AA">
        <w:rPr>
          <w:i/>
          <w:iCs/>
          <w:color w:val="auto"/>
        </w:rPr>
        <w:t>x g</w:t>
      </w:r>
      <w:r w:rsidRPr="00E339AA">
        <w:rPr>
          <w:color w:val="auto"/>
        </w:rPr>
        <w:t xml:space="preserve"> value as an RPM setting will result in significant under-centrifugation with a resulting poorly defined or absent PBMC layer, and potential inadvertent PBMC discarding during wash steps due to inefficient cell pelleting. However, there is a possibility that a PBMC layer is not visible despite using the right centrifugation settings and rotor adaptor if the patient has developed leukopenia. This condition can affect patients enrolled in oncology trials </w:t>
      </w:r>
      <w:r w:rsidR="006205E4" w:rsidRPr="00E339AA">
        <w:rPr>
          <w:color w:val="auto"/>
        </w:rPr>
        <w:t>because of</w:t>
      </w:r>
      <w:r w:rsidRPr="00E339AA">
        <w:rPr>
          <w:color w:val="auto"/>
        </w:rPr>
        <w:t xml:space="preserve"> chemotherapy or radiation therapy and should be </w:t>
      </w:r>
      <w:r w:rsidR="006205E4" w:rsidRPr="00E339AA">
        <w:rPr>
          <w:color w:val="auto"/>
        </w:rPr>
        <w:t>considered</w:t>
      </w:r>
      <w:r w:rsidRPr="00E339AA">
        <w:rPr>
          <w:color w:val="auto"/>
        </w:rPr>
        <w:t xml:space="preserve">. Another critical point that has been made clear in the protocol is that samples </w:t>
      </w:r>
      <w:r w:rsidR="000E001A">
        <w:rPr>
          <w:color w:val="auto"/>
        </w:rPr>
        <w:t>must</w:t>
      </w:r>
      <w:r w:rsidRPr="00E339AA">
        <w:rPr>
          <w:color w:val="auto"/>
        </w:rPr>
        <w:t xml:space="preserve"> be processed within 1-2 h from the blood draw to decrease the possibility of </w:t>
      </w:r>
      <w:r w:rsidR="00C5555A" w:rsidRPr="00E339AA">
        <w:rPr>
          <w:color w:val="auto"/>
        </w:rPr>
        <w:t>hemolysis</w:t>
      </w:r>
      <w:r w:rsidRPr="00E339AA">
        <w:rPr>
          <w:color w:val="auto"/>
        </w:rPr>
        <w:t xml:space="preserve"> negatively impacting the protocol. Furthermore, aiming to process the samples during the first hour of the blood draw reduces </w:t>
      </w:r>
      <w:r w:rsidRPr="00E339AA">
        <w:rPr>
          <w:iCs/>
          <w:color w:val="auto"/>
        </w:rPr>
        <w:t>ex vivo</w:t>
      </w:r>
      <w:r w:rsidRPr="00E339AA">
        <w:rPr>
          <w:color w:val="auto"/>
        </w:rPr>
        <w:t xml:space="preserve"> variability, which can have a great impact in </w:t>
      </w:r>
      <w:r w:rsidRPr="00E339AA">
        <w:rPr>
          <w:color w:val="auto"/>
        </w:rPr>
        <w:lastRenderedPageBreak/>
        <w:t xml:space="preserve">pharmacokinetics readouts and on biomarkers affected by blood preservation or active </w:t>
      </w:r>
      <w:r w:rsidR="00C5555A" w:rsidRPr="00E339AA">
        <w:rPr>
          <w:color w:val="auto"/>
        </w:rPr>
        <w:t>signaling</w:t>
      </w:r>
      <w:r w:rsidRPr="00E339AA">
        <w:rPr>
          <w:color w:val="auto"/>
        </w:rPr>
        <w:t xml:space="preserve"> pathways, such as the case shown in </w:t>
      </w:r>
      <w:r w:rsidR="006205E4" w:rsidRPr="00D537A7">
        <w:rPr>
          <w:b/>
          <w:bCs/>
          <w:color w:val="auto"/>
        </w:rPr>
        <w:t>F</w:t>
      </w:r>
      <w:r w:rsidRPr="00D537A7">
        <w:rPr>
          <w:b/>
          <w:bCs/>
          <w:color w:val="auto"/>
        </w:rPr>
        <w:t>igure 4</w:t>
      </w:r>
      <w:r w:rsidRPr="00E339AA">
        <w:rPr>
          <w:color w:val="auto"/>
        </w:rPr>
        <w:t>. Delays in sample processing can also have a detrimental effect in cell viability if cells are going to be cryopreserved</w:t>
      </w:r>
      <w:r w:rsidR="00184BD8">
        <w:rPr>
          <w:color w:val="auto"/>
          <w:vertAlign w:val="superscript"/>
        </w:rPr>
        <w:t>34</w:t>
      </w:r>
      <w:r w:rsidRPr="00E339AA">
        <w:rPr>
          <w:color w:val="auto"/>
        </w:rPr>
        <w:t xml:space="preserve">. Another factor that can affect both the yield and red blood cell contamination is the storage and centrifugation temperature, which should be kept at room temperature (18-25 </w:t>
      </w:r>
      <w:r w:rsidR="000E001A">
        <w:rPr>
          <w:color w:val="auto"/>
        </w:rPr>
        <w:t>˚</w:t>
      </w:r>
      <w:r w:rsidRPr="00E339AA">
        <w:rPr>
          <w:color w:val="auto"/>
        </w:rPr>
        <w:t>C). Lower temperatures increase the density of the density gradient medium, which results in a higher degree of red blood cell and granulocyte contamination as these cells do not aggregate as well. On the other hand, higher temperatures lead to PBMCs trapped between aggregated erythrocytes, hence reducing the yield of the preparation</w:t>
      </w:r>
      <w:r w:rsidRPr="00E339AA">
        <w:rPr>
          <w:color w:val="auto"/>
          <w:vertAlign w:val="superscript"/>
        </w:rPr>
        <w:t>15,27,28</w:t>
      </w:r>
      <w:r w:rsidRPr="00E339AA">
        <w:rPr>
          <w:color w:val="auto"/>
        </w:rPr>
        <w:t xml:space="preserve">. And finally, it is crucial that no more than 50-100 </w:t>
      </w:r>
      <w:r w:rsidRPr="00E339AA">
        <w:rPr>
          <w:rFonts w:cstheme="minorHAnsi"/>
          <w:color w:val="auto"/>
        </w:rPr>
        <w:t>µ</w:t>
      </w:r>
      <w:r w:rsidRPr="00E339AA">
        <w:rPr>
          <w:color w:val="auto"/>
        </w:rPr>
        <w:t>L of liquid are present with the cell pellet in the cryovial, as this negatively impacts the concentration of any protein lysates obtained in downstream processing of these PBMC preparations. An excess of liquid will overdilute samples, leading to lysates with very low protein concentration not suitable for biomarker analysis. In addition, preservation of any post-translational modifications will be impaired, and the efficiency of the lysis will be also greatly reduced.</w:t>
      </w:r>
    </w:p>
    <w:p w14:paraId="5DE061C3" w14:textId="77777777" w:rsidR="00C730F3" w:rsidRPr="00E339AA" w:rsidRDefault="00C730F3" w:rsidP="002E63C2">
      <w:pPr>
        <w:rPr>
          <w:color w:val="auto"/>
        </w:rPr>
      </w:pPr>
    </w:p>
    <w:p w14:paraId="0413553A" w14:textId="0B8DEA5D" w:rsidR="00C730F3" w:rsidRDefault="00C730F3" w:rsidP="002E63C2">
      <w:pPr>
        <w:rPr>
          <w:color w:val="auto"/>
        </w:rPr>
      </w:pPr>
      <w:r w:rsidRPr="00E339AA">
        <w:rPr>
          <w:color w:val="auto"/>
        </w:rPr>
        <w:t>Mononuclear cell preparation tubes were chosen as they offer the most straightforward way to isolate both PBMCs and plasma in a single blood draw for clinical trials with, in our experience, excellent reproducibility. The blood processing does not require highly trained operators, and the use of a single tube removes the need of diluting the blood and its transfer to a different tube, lowering the hazard risk</w:t>
      </w:r>
      <w:r w:rsidR="00D537A7">
        <w:rPr>
          <w:color w:val="auto"/>
        </w:rPr>
        <w:t>;</w:t>
      </w:r>
      <w:r w:rsidRPr="00E339AA">
        <w:rPr>
          <w:color w:val="auto"/>
        </w:rPr>
        <w:t xml:space="preserve"> shortens the protocol due to performing the centrifugation steps with brakes on</w:t>
      </w:r>
      <w:r w:rsidR="00D537A7">
        <w:rPr>
          <w:color w:val="auto"/>
        </w:rPr>
        <w:t>;</w:t>
      </w:r>
      <w:r w:rsidRPr="00E339AA">
        <w:rPr>
          <w:color w:val="auto"/>
        </w:rPr>
        <w:t xml:space="preserve"> and all reagents are in the tube, which reduces variability. In our experience, these benefits outweigh the higher cost of these tubes when compared to other classical methods comprising only the use of a density gradient separation medium</w:t>
      </w:r>
      <w:r w:rsidRPr="00E339AA">
        <w:rPr>
          <w:color w:val="auto"/>
          <w:vertAlign w:val="superscript"/>
        </w:rPr>
        <w:t>27,28</w:t>
      </w:r>
      <w:r w:rsidRPr="00E339AA">
        <w:rPr>
          <w:color w:val="auto"/>
        </w:rPr>
        <w:t xml:space="preserve"> (£ 410 per 60 units while </w:t>
      </w:r>
      <w:proofErr w:type="spellStart"/>
      <w:r w:rsidRPr="00E339AA">
        <w:rPr>
          <w:color w:val="auto"/>
        </w:rPr>
        <w:t>lymphoprep</w:t>
      </w:r>
      <w:proofErr w:type="spellEnd"/>
      <w:r w:rsidRPr="00E339AA">
        <w:rPr>
          <w:color w:val="auto"/>
        </w:rPr>
        <w:t xml:space="preserve"> medium for 66 50-mL preparations is £ 215). They are available in two types of anticoagulants, heparin and citrate, both of which are comparable at maintaining functionality of the isolated PBMCs</w:t>
      </w:r>
      <w:r w:rsidRPr="00E339AA">
        <w:rPr>
          <w:color w:val="auto"/>
          <w:vertAlign w:val="superscript"/>
        </w:rPr>
        <w:t>3</w:t>
      </w:r>
      <w:r w:rsidR="00184BD8">
        <w:rPr>
          <w:color w:val="auto"/>
          <w:vertAlign w:val="superscript"/>
        </w:rPr>
        <w:t>5</w:t>
      </w:r>
      <w:r w:rsidRPr="00E339AA">
        <w:rPr>
          <w:color w:val="auto"/>
        </w:rPr>
        <w:t>, therefore</w:t>
      </w:r>
      <w:r w:rsidR="00D537A7">
        <w:rPr>
          <w:color w:val="auto"/>
        </w:rPr>
        <w:t>,</w:t>
      </w:r>
      <w:r w:rsidRPr="00E339AA">
        <w:rPr>
          <w:color w:val="auto"/>
        </w:rPr>
        <w:t xml:space="preserve"> the choice of one anticoagulant over the other will be based on possible influence of heparin or citrate in the downstream biomarker studies. While it has been shown that EDTA tubes provide the highest PBMC isolation yield compared to heparin or citrate</w:t>
      </w:r>
      <w:r w:rsidRPr="00E339AA">
        <w:rPr>
          <w:color w:val="auto"/>
          <w:vertAlign w:val="superscript"/>
        </w:rPr>
        <w:t>13</w:t>
      </w:r>
      <w:r w:rsidRPr="00E339AA">
        <w:rPr>
          <w:color w:val="auto"/>
        </w:rPr>
        <w:t xml:space="preserve">, the benefit of ease of use of the one-tube-only manipulation counterbalances this consideration. If cytokines are going to be </w:t>
      </w:r>
      <w:r w:rsidR="006E1871" w:rsidRPr="00E339AA">
        <w:rPr>
          <w:color w:val="auto"/>
        </w:rPr>
        <w:t>analyzed</w:t>
      </w:r>
      <w:r w:rsidRPr="00E339AA">
        <w:rPr>
          <w:color w:val="auto"/>
        </w:rPr>
        <w:t xml:space="preserve"> anti-coagulants can have an effect of the levels detected in plasma, hence both anticoagulants should be tested before selecting one for the clinical trial</w:t>
      </w:r>
      <w:r w:rsidRPr="00E339AA">
        <w:rPr>
          <w:color w:val="auto"/>
          <w:vertAlign w:val="superscript"/>
        </w:rPr>
        <w:t>3</w:t>
      </w:r>
      <w:r w:rsidR="00184BD8">
        <w:rPr>
          <w:color w:val="auto"/>
          <w:vertAlign w:val="superscript"/>
        </w:rPr>
        <w:t>6</w:t>
      </w:r>
      <w:r w:rsidRPr="00E339AA">
        <w:rPr>
          <w:color w:val="auto"/>
        </w:rPr>
        <w:t>. If the plasma is going to be used for metabolomics studies, using heparin as anticoagulant would be preferred</w:t>
      </w:r>
      <w:r w:rsidRPr="00E339AA">
        <w:rPr>
          <w:color w:val="auto"/>
          <w:vertAlign w:val="superscript"/>
        </w:rPr>
        <w:t>3</w:t>
      </w:r>
      <w:r w:rsidR="00184BD8">
        <w:rPr>
          <w:color w:val="auto"/>
          <w:vertAlign w:val="superscript"/>
        </w:rPr>
        <w:t>7</w:t>
      </w:r>
      <w:r w:rsidRPr="00E339AA">
        <w:rPr>
          <w:color w:val="auto"/>
        </w:rPr>
        <w:t xml:space="preserve">. Therefore, the only point left to the end user or clinical trial translational scientist is whether citrate or heparin will be more appropriate for their </w:t>
      </w:r>
      <w:r w:rsidR="000E001A" w:rsidRPr="00E339AA">
        <w:rPr>
          <w:color w:val="auto"/>
        </w:rPr>
        <w:t>purposes once</w:t>
      </w:r>
      <w:r w:rsidRPr="00E339AA">
        <w:rPr>
          <w:color w:val="auto"/>
        </w:rPr>
        <w:t xml:space="preserve"> costs have been assessed.</w:t>
      </w:r>
    </w:p>
    <w:p w14:paraId="15AEBDBF" w14:textId="77777777" w:rsidR="00AF3224" w:rsidRPr="00E339AA" w:rsidRDefault="00AF3224" w:rsidP="002E63C2">
      <w:pPr>
        <w:rPr>
          <w:color w:val="auto"/>
        </w:rPr>
      </w:pPr>
    </w:p>
    <w:p w14:paraId="74B94E4F" w14:textId="6BCD14DC" w:rsidR="00C730F3" w:rsidRPr="00E339AA" w:rsidRDefault="00D34567" w:rsidP="002E63C2">
      <w:pPr>
        <w:rPr>
          <w:color w:val="auto"/>
        </w:rPr>
      </w:pPr>
      <w:r>
        <w:rPr>
          <w:color w:val="auto"/>
        </w:rPr>
        <w:t xml:space="preserve">While the benefits of using cell preparation tubes are numerous compared to the limitations they pose (higher cost and availability of a restricted range of anticoagulants), the main limitation of the use of PBMCs or plasma to obtain PD biomarkers in clinical trials, especially in oncology, can be unrelated to the isolation method. </w:t>
      </w:r>
      <w:r w:rsidR="000E001A">
        <w:rPr>
          <w:color w:val="auto"/>
        </w:rPr>
        <w:t>Except for</w:t>
      </w:r>
      <w:r>
        <w:rPr>
          <w:color w:val="auto"/>
        </w:rPr>
        <w:t xml:space="preserve"> hematological cancers, where </w:t>
      </w:r>
      <w:r w:rsidR="000E001A">
        <w:rPr>
          <w:color w:val="auto"/>
        </w:rPr>
        <w:t>tumor</w:t>
      </w:r>
      <w:r>
        <w:rPr>
          <w:color w:val="auto"/>
        </w:rPr>
        <w:t xml:space="preserve"> is directly sampled from peripheral blood, for other cancer indications plasma and PBMCs are surrogate tissues which do not necessarily mimic the primary </w:t>
      </w:r>
      <w:r w:rsidR="000E001A">
        <w:rPr>
          <w:color w:val="auto"/>
        </w:rPr>
        <w:t>tumor</w:t>
      </w:r>
      <w:r>
        <w:rPr>
          <w:color w:val="auto"/>
        </w:rPr>
        <w:t>. Peripheral tissue may not share the genome and epigenome with the primary tumor</w:t>
      </w:r>
      <w:r w:rsidR="000E001A">
        <w:rPr>
          <w:color w:val="auto"/>
        </w:rPr>
        <w:t>,</w:t>
      </w:r>
      <w:r>
        <w:rPr>
          <w:color w:val="auto"/>
        </w:rPr>
        <w:t xml:space="preserve"> therefore</w:t>
      </w:r>
      <w:r w:rsidR="000E001A">
        <w:rPr>
          <w:color w:val="auto"/>
        </w:rPr>
        <w:t>,</w:t>
      </w:r>
      <w:r>
        <w:rPr>
          <w:color w:val="auto"/>
        </w:rPr>
        <w:t xml:space="preserve"> the peripheral analysis of biomarkers dependent on a specific tumor mutation is mainly limited to </w:t>
      </w:r>
      <w:proofErr w:type="spellStart"/>
      <w:r>
        <w:rPr>
          <w:color w:val="auto"/>
        </w:rPr>
        <w:t>ctDNA</w:t>
      </w:r>
      <w:proofErr w:type="spellEnd"/>
      <w:r>
        <w:rPr>
          <w:color w:val="auto"/>
        </w:rPr>
        <w:t xml:space="preserve"> analysis (from plasma) or </w:t>
      </w:r>
      <w:r>
        <w:rPr>
          <w:color w:val="auto"/>
        </w:rPr>
        <w:lastRenderedPageBreak/>
        <w:t>CTCs (by subsequent sorting of the PBMC layer). In addition, signaling cascades driving or contributing to the tumor proliferation may not be as active in peripheral blood. This challenge can be overcome by applying biomarker discovery approaches targeting blood</w:t>
      </w:r>
      <w:r w:rsidRPr="008D6362">
        <w:rPr>
          <w:color w:val="auto"/>
          <w:vertAlign w:val="superscript"/>
        </w:rPr>
        <w:t>8</w:t>
      </w:r>
      <w:r>
        <w:rPr>
          <w:color w:val="auto"/>
        </w:rPr>
        <w:t xml:space="preserve"> to identify alternative biomarkers or coupling ex vivo treatments to the isolation of plasma</w:t>
      </w:r>
      <w:r w:rsidRPr="00186ABC">
        <w:rPr>
          <w:color w:val="auto"/>
          <w:vertAlign w:val="superscript"/>
        </w:rPr>
        <w:t>38</w:t>
      </w:r>
      <w:r>
        <w:rPr>
          <w:color w:val="auto"/>
        </w:rPr>
        <w:t xml:space="preserve"> and PBMC preparations</w:t>
      </w:r>
      <w:r w:rsidRPr="008D6362">
        <w:rPr>
          <w:color w:val="auto"/>
          <w:vertAlign w:val="superscript"/>
        </w:rPr>
        <w:t>26</w:t>
      </w:r>
      <w:r>
        <w:rPr>
          <w:color w:val="auto"/>
        </w:rPr>
        <w:t>.</w:t>
      </w:r>
    </w:p>
    <w:p w14:paraId="2A4E180D" w14:textId="77777777" w:rsidR="00AF3224" w:rsidRDefault="00AF3224" w:rsidP="002E63C2">
      <w:pPr>
        <w:rPr>
          <w:color w:val="auto"/>
        </w:rPr>
      </w:pPr>
    </w:p>
    <w:p w14:paraId="03FE2E67" w14:textId="1CBA40F4" w:rsidR="00C730F3" w:rsidRPr="00E339AA" w:rsidRDefault="00C730F3" w:rsidP="002E63C2">
      <w:pPr>
        <w:rPr>
          <w:b/>
          <w:color w:val="auto"/>
        </w:rPr>
      </w:pPr>
      <w:r w:rsidRPr="00E339AA">
        <w:rPr>
          <w:color w:val="auto"/>
        </w:rPr>
        <w:t>In the current protocol frozen PBMC pellets can be easily processed off the clinical site to give protein lysates which can be evaluated by western blotting or ELISA techniques. Alternatives methods to use PBMCs to enable IHC methods have also been presented (</w:t>
      </w:r>
      <w:r w:rsidR="00F65E61" w:rsidRPr="00E339AA">
        <w:rPr>
          <w:b/>
          <w:bCs/>
          <w:color w:val="auto"/>
        </w:rPr>
        <w:t>S</w:t>
      </w:r>
      <w:r w:rsidRPr="00E339AA">
        <w:rPr>
          <w:b/>
          <w:bCs/>
          <w:color w:val="auto"/>
        </w:rPr>
        <w:t xml:space="preserve">upplementary </w:t>
      </w:r>
      <w:r w:rsidR="000E001A">
        <w:rPr>
          <w:b/>
          <w:bCs/>
          <w:color w:val="auto"/>
        </w:rPr>
        <w:t>F</w:t>
      </w:r>
      <w:r w:rsidRPr="00E339AA">
        <w:rPr>
          <w:b/>
          <w:bCs/>
          <w:color w:val="auto"/>
        </w:rPr>
        <w:t>ile</w:t>
      </w:r>
      <w:r w:rsidRPr="00E339AA">
        <w:rPr>
          <w:color w:val="auto"/>
        </w:rPr>
        <w:t xml:space="preserve">). In addition, we have also detailed the possibility of cryopreserving PBMCs (see </w:t>
      </w:r>
      <w:r w:rsidR="00F65E61" w:rsidRPr="00E339AA">
        <w:rPr>
          <w:b/>
          <w:bCs/>
          <w:color w:val="auto"/>
        </w:rPr>
        <w:t>S</w:t>
      </w:r>
      <w:r w:rsidRPr="00E339AA">
        <w:rPr>
          <w:b/>
          <w:bCs/>
          <w:color w:val="auto"/>
        </w:rPr>
        <w:t xml:space="preserve">upplementary </w:t>
      </w:r>
      <w:r w:rsidR="000E001A">
        <w:rPr>
          <w:b/>
          <w:bCs/>
          <w:color w:val="auto"/>
        </w:rPr>
        <w:t>F</w:t>
      </w:r>
      <w:r w:rsidRPr="00E339AA">
        <w:rPr>
          <w:b/>
          <w:bCs/>
          <w:color w:val="auto"/>
        </w:rPr>
        <w:t>ile</w:t>
      </w:r>
      <w:r w:rsidRPr="00E339AA">
        <w:rPr>
          <w:color w:val="auto"/>
        </w:rPr>
        <w:t>) for immune cell monitoring, a relevant application in oncology, with immune checkpoint inhibitors and ADCs increasingly tested in clinical trials. The assessment of immune functions such as ADCC</w:t>
      </w:r>
      <w:r w:rsidRPr="00E339AA">
        <w:rPr>
          <w:color w:val="auto"/>
          <w:vertAlign w:val="superscript"/>
        </w:rPr>
        <w:t>16</w:t>
      </w:r>
      <w:r w:rsidRPr="00E339AA">
        <w:rPr>
          <w:color w:val="auto"/>
        </w:rPr>
        <w:t xml:space="preserve"> and immunophenotyping are applications compatible with cryopreserved PBMCs isolated from mononuclear cell preparation tubes</w:t>
      </w:r>
      <w:r w:rsidRPr="00E339AA">
        <w:rPr>
          <w:color w:val="auto"/>
          <w:vertAlign w:val="superscript"/>
        </w:rPr>
        <w:t>15</w:t>
      </w:r>
      <w:r w:rsidRPr="00E339AA">
        <w:rPr>
          <w:color w:val="auto"/>
        </w:rPr>
        <w:t>. There is a caveat on cryopreservation, as it can promote down-regulation of certain surface and internal markers and might impair certain cell functions, however PBMC cryopreservation is the only feasible way to perform these assays due to time constrains when handling samples from multiple clinical sites to the processing in external labs</w:t>
      </w:r>
      <w:r w:rsidRPr="00E339AA">
        <w:rPr>
          <w:color w:val="auto"/>
          <w:vertAlign w:val="superscript"/>
        </w:rPr>
        <w:t>14,15</w:t>
      </w:r>
      <w:r w:rsidRPr="00E339AA">
        <w:rPr>
          <w:color w:val="auto"/>
        </w:rPr>
        <w:t>, and these detrimental effects can be greatly overcome by good thawing methods and resting periods</w:t>
      </w:r>
      <w:r w:rsidRPr="00E339AA">
        <w:rPr>
          <w:color w:val="auto"/>
          <w:vertAlign w:val="superscript"/>
        </w:rPr>
        <w:t>3</w:t>
      </w:r>
      <w:r w:rsidR="004302F0">
        <w:rPr>
          <w:color w:val="auto"/>
          <w:vertAlign w:val="superscript"/>
        </w:rPr>
        <w:t>9</w:t>
      </w:r>
      <w:r w:rsidRPr="00E339AA">
        <w:rPr>
          <w:color w:val="auto"/>
        </w:rPr>
        <w:t xml:space="preserve">. </w:t>
      </w:r>
    </w:p>
    <w:p w14:paraId="0BFDC150" w14:textId="688A4E43" w:rsidR="00C51824" w:rsidRPr="00E339AA" w:rsidRDefault="00912635" w:rsidP="002E63C2">
      <w:pPr>
        <w:rPr>
          <w:color w:val="auto"/>
        </w:rPr>
      </w:pPr>
      <w:r w:rsidRPr="00E339AA">
        <w:rPr>
          <w:color w:val="auto"/>
        </w:rPr>
        <w:t xml:space="preserve"> </w:t>
      </w:r>
    </w:p>
    <w:p w14:paraId="3E5E1DEF" w14:textId="77777777" w:rsidR="00F34757" w:rsidRPr="00E339AA" w:rsidRDefault="00C51824" w:rsidP="002E63C2">
      <w:pPr>
        <w:rPr>
          <w:color w:val="auto"/>
        </w:rPr>
      </w:pPr>
      <w:r w:rsidRPr="00E339AA">
        <w:rPr>
          <w:color w:val="auto"/>
        </w:rPr>
        <w:t xml:space="preserve">In conclusion, </w:t>
      </w:r>
      <w:r w:rsidR="00BB7635" w:rsidRPr="00E339AA">
        <w:rPr>
          <w:color w:val="auto"/>
        </w:rPr>
        <w:t xml:space="preserve">the </w:t>
      </w:r>
      <w:r w:rsidRPr="00E339AA">
        <w:rPr>
          <w:color w:val="auto"/>
        </w:rPr>
        <w:t xml:space="preserve">protocol provided here </w:t>
      </w:r>
      <w:r w:rsidR="009E06C6" w:rsidRPr="00E339AA">
        <w:rPr>
          <w:color w:val="auto"/>
        </w:rPr>
        <w:t xml:space="preserve">will </w:t>
      </w:r>
      <w:r w:rsidRPr="00E339AA">
        <w:rPr>
          <w:color w:val="auto"/>
        </w:rPr>
        <w:t xml:space="preserve">allow the </w:t>
      </w:r>
      <w:r w:rsidR="009E06C6" w:rsidRPr="00E339AA">
        <w:rPr>
          <w:color w:val="auto"/>
        </w:rPr>
        <w:t xml:space="preserve">dependable </w:t>
      </w:r>
      <w:r w:rsidRPr="00E339AA">
        <w:rPr>
          <w:color w:val="auto"/>
        </w:rPr>
        <w:t>preparation of PBMC</w:t>
      </w:r>
      <w:r w:rsidR="009E06C6" w:rsidRPr="00E339AA">
        <w:rPr>
          <w:color w:val="auto"/>
        </w:rPr>
        <w:t>s</w:t>
      </w:r>
      <w:r w:rsidRPr="00E339AA">
        <w:rPr>
          <w:color w:val="auto"/>
        </w:rPr>
        <w:t xml:space="preserve"> and plasma sample</w:t>
      </w:r>
      <w:r w:rsidR="009E06C6" w:rsidRPr="00E339AA">
        <w:rPr>
          <w:color w:val="auto"/>
        </w:rPr>
        <w:t>s</w:t>
      </w:r>
      <w:r w:rsidRPr="00E339AA">
        <w:rPr>
          <w:color w:val="auto"/>
        </w:rPr>
        <w:t xml:space="preserve"> in any clinical institution</w:t>
      </w:r>
      <w:r w:rsidR="00843FAE" w:rsidRPr="00E339AA">
        <w:rPr>
          <w:color w:val="auto"/>
        </w:rPr>
        <w:t xml:space="preserve"> </w:t>
      </w:r>
      <w:r w:rsidR="00235871" w:rsidRPr="00E339AA">
        <w:rPr>
          <w:color w:val="auto"/>
        </w:rPr>
        <w:t xml:space="preserve">with common equipment and materials </w:t>
      </w:r>
      <w:r w:rsidR="00843FAE" w:rsidRPr="00E339AA">
        <w:rPr>
          <w:color w:val="auto"/>
        </w:rPr>
        <w:t xml:space="preserve">so that translational endpoints </w:t>
      </w:r>
      <w:r w:rsidR="0090078E" w:rsidRPr="00E339AA">
        <w:rPr>
          <w:color w:val="auto"/>
        </w:rPr>
        <w:t xml:space="preserve">from peripheral blood </w:t>
      </w:r>
      <w:r w:rsidR="00843FAE" w:rsidRPr="00E339AA">
        <w:rPr>
          <w:color w:val="auto"/>
        </w:rPr>
        <w:t xml:space="preserve">can be </w:t>
      </w:r>
      <w:r w:rsidR="00302CF7" w:rsidRPr="00E339AA">
        <w:rPr>
          <w:color w:val="auto"/>
        </w:rPr>
        <w:t>robustly</w:t>
      </w:r>
      <w:r w:rsidR="00843FAE" w:rsidRPr="00E339AA">
        <w:rPr>
          <w:color w:val="auto"/>
        </w:rPr>
        <w:t xml:space="preserve"> </w:t>
      </w:r>
      <w:r w:rsidR="00302CF7" w:rsidRPr="00E339AA">
        <w:rPr>
          <w:color w:val="auto"/>
        </w:rPr>
        <w:t>enabled</w:t>
      </w:r>
      <w:r w:rsidR="00843FAE" w:rsidRPr="00E339AA">
        <w:rPr>
          <w:color w:val="auto"/>
        </w:rPr>
        <w:t xml:space="preserve"> in global clinical trials.</w:t>
      </w:r>
    </w:p>
    <w:p w14:paraId="0871E64F" w14:textId="77777777" w:rsidR="00F34757" w:rsidRPr="00E339AA" w:rsidRDefault="00F34757" w:rsidP="002E63C2">
      <w:pPr>
        <w:rPr>
          <w:color w:val="auto"/>
        </w:rPr>
      </w:pPr>
    </w:p>
    <w:p w14:paraId="20EDCDFD" w14:textId="54A143C7" w:rsidR="00C51824" w:rsidRPr="00E339AA" w:rsidRDefault="00F34757" w:rsidP="002E63C2">
      <w:pPr>
        <w:rPr>
          <w:color w:val="auto"/>
        </w:rPr>
      </w:pPr>
      <w:r w:rsidRPr="00E339AA">
        <w:rPr>
          <w:color w:val="auto"/>
        </w:rPr>
        <w:t xml:space="preserve">Finally, we demonstrate how the </w:t>
      </w:r>
      <w:r w:rsidR="00997C46" w:rsidRPr="00E339AA">
        <w:rPr>
          <w:color w:val="auto"/>
        </w:rPr>
        <w:t xml:space="preserve">analysis of PBMC lysates can </w:t>
      </w:r>
      <w:r w:rsidR="002959B7" w:rsidRPr="00E339AA">
        <w:rPr>
          <w:color w:val="auto"/>
        </w:rPr>
        <w:t xml:space="preserve">mechanistically inform </w:t>
      </w:r>
      <w:r w:rsidR="001A79D4" w:rsidRPr="00E339AA">
        <w:rPr>
          <w:color w:val="auto"/>
        </w:rPr>
        <w:t>the response to DNA-damaging agents by showing a dose-dependent post-translational modification</w:t>
      </w:r>
      <w:r w:rsidR="00800CCA" w:rsidRPr="00E339AA">
        <w:rPr>
          <w:color w:val="auto"/>
        </w:rPr>
        <w:t xml:space="preserve"> of key DDR factors, which can be used </w:t>
      </w:r>
      <w:r w:rsidR="00556347" w:rsidRPr="00E339AA">
        <w:rPr>
          <w:color w:val="auto"/>
        </w:rPr>
        <w:t xml:space="preserve">to help shape </w:t>
      </w:r>
      <w:r w:rsidR="003725E0" w:rsidRPr="00E339AA">
        <w:rPr>
          <w:color w:val="auto"/>
        </w:rPr>
        <w:t>clinical</w:t>
      </w:r>
      <w:r w:rsidR="00556347" w:rsidRPr="00E339AA">
        <w:rPr>
          <w:color w:val="auto"/>
        </w:rPr>
        <w:t xml:space="preserve"> development</w:t>
      </w:r>
      <w:r w:rsidR="003725E0" w:rsidRPr="00E339AA">
        <w:rPr>
          <w:color w:val="auto"/>
        </w:rPr>
        <w:t xml:space="preserve">. </w:t>
      </w:r>
      <w:r w:rsidR="00547EB7" w:rsidRPr="00E339AA">
        <w:rPr>
          <w:color w:val="auto"/>
        </w:rPr>
        <w:t xml:space="preserve">Forward-looking, </w:t>
      </w:r>
      <w:r w:rsidR="003725E0" w:rsidRPr="00E339AA">
        <w:rPr>
          <w:color w:val="auto"/>
        </w:rPr>
        <w:t>implementation o</w:t>
      </w:r>
      <w:r w:rsidR="000C019F" w:rsidRPr="00E339AA">
        <w:rPr>
          <w:color w:val="auto"/>
        </w:rPr>
        <w:t>f</w:t>
      </w:r>
      <w:r w:rsidR="003725E0" w:rsidRPr="00E339AA">
        <w:rPr>
          <w:color w:val="auto"/>
        </w:rPr>
        <w:t xml:space="preserve"> </w:t>
      </w:r>
      <w:r w:rsidR="00D91F12" w:rsidRPr="00E339AA">
        <w:rPr>
          <w:color w:val="auto"/>
        </w:rPr>
        <w:t xml:space="preserve">methods that </w:t>
      </w:r>
      <w:r w:rsidR="0046239A" w:rsidRPr="00E339AA">
        <w:rPr>
          <w:color w:val="auto"/>
        </w:rPr>
        <w:t>are more quantitative than western blotting (e.g.</w:t>
      </w:r>
      <w:r w:rsidR="000E001A">
        <w:rPr>
          <w:color w:val="auto"/>
        </w:rPr>
        <w:t>,</w:t>
      </w:r>
      <w:r w:rsidR="0046239A" w:rsidRPr="00E339AA">
        <w:rPr>
          <w:color w:val="auto"/>
        </w:rPr>
        <w:t xml:space="preserve"> mass </w:t>
      </w:r>
      <w:r w:rsidR="00ED4710" w:rsidRPr="00E339AA">
        <w:rPr>
          <w:color w:val="auto"/>
        </w:rPr>
        <w:t>spectrometry</w:t>
      </w:r>
      <w:r w:rsidR="004302F0">
        <w:rPr>
          <w:color w:val="auto"/>
          <w:vertAlign w:val="superscript"/>
        </w:rPr>
        <w:t>40</w:t>
      </w:r>
      <w:r w:rsidR="0046239A" w:rsidRPr="00E339AA">
        <w:rPr>
          <w:color w:val="auto"/>
        </w:rPr>
        <w:t xml:space="preserve">) and </w:t>
      </w:r>
      <w:r w:rsidR="00D91F12" w:rsidRPr="00E339AA">
        <w:rPr>
          <w:color w:val="auto"/>
        </w:rPr>
        <w:t xml:space="preserve">require less input material </w:t>
      </w:r>
      <w:r w:rsidR="0046239A" w:rsidRPr="00E339AA">
        <w:rPr>
          <w:color w:val="auto"/>
        </w:rPr>
        <w:t>(</w:t>
      </w:r>
      <w:r w:rsidR="00D91F12" w:rsidRPr="00E339AA">
        <w:rPr>
          <w:color w:val="auto"/>
        </w:rPr>
        <w:t>such as capillary western blotting and ELISA</w:t>
      </w:r>
      <w:r w:rsidR="0046239A" w:rsidRPr="00E339AA">
        <w:rPr>
          <w:color w:val="auto"/>
        </w:rPr>
        <w:t>)</w:t>
      </w:r>
      <w:r w:rsidR="003725E0" w:rsidRPr="00E339AA">
        <w:rPr>
          <w:color w:val="auto"/>
        </w:rPr>
        <w:t xml:space="preserve"> </w:t>
      </w:r>
      <w:r w:rsidR="000C019F" w:rsidRPr="00E339AA">
        <w:rPr>
          <w:color w:val="auto"/>
        </w:rPr>
        <w:t xml:space="preserve">would help to </w:t>
      </w:r>
      <w:r w:rsidR="00EA5DDD" w:rsidRPr="00E339AA">
        <w:rPr>
          <w:color w:val="auto"/>
        </w:rPr>
        <w:t>move th</w:t>
      </w:r>
      <w:r w:rsidR="00A45A33" w:rsidRPr="00E339AA">
        <w:rPr>
          <w:color w:val="auto"/>
        </w:rPr>
        <w:t>ese</w:t>
      </w:r>
      <w:r w:rsidR="00EA5DDD" w:rsidRPr="00E339AA">
        <w:rPr>
          <w:color w:val="auto"/>
        </w:rPr>
        <w:t xml:space="preserve"> preclinical results to</w:t>
      </w:r>
      <w:r w:rsidR="008A59DB" w:rsidRPr="00E339AA">
        <w:rPr>
          <w:color w:val="auto"/>
        </w:rPr>
        <w:t>wards</w:t>
      </w:r>
      <w:r w:rsidR="00EA5DDD" w:rsidRPr="00E339AA">
        <w:rPr>
          <w:color w:val="auto"/>
        </w:rPr>
        <w:t xml:space="preserve"> a </w:t>
      </w:r>
      <w:r w:rsidR="0000025D" w:rsidRPr="00E339AA">
        <w:rPr>
          <w:color w:val="auto"/>
        </w:rPr>
        <w:t>more robust, systematic evaluation of PBMC patient samples</w:t>
      </w:r>
      <w:r w:rsidR="000C019F" w:rsidRPr="00E339AA">
        <w:rPr>
          <w:color w:val="auto"/>
        </w:rPr>
        <w:t>.</w:t>
      </w:r>
    </w:p>
    <w:p w14:paraId="78728D18" w14:textId="2DB137BE" w:rsidR="00014314" w:rsidRPr="00E339AA" w:rsidRDefault="00014314" w:rsidP="002E63C2">
      <w:pPr>
        <w:rPr>
          <w:rFonts w:asciiTheme="minorHAnsi" w:hAnsiTheme="minorHAnsi" w:cstheme="minorHAnsi"/>
          <w:color w:val="auto"/>
        </w:rPr>
      </w:pPr>
    </w:p>
    <w:p w14:paraId="1734505F" w14:textId="5BB675FE" w:rsidR="00AA03DF" w:rsidRPr="00E339AA" w:rsidRDefault="00AA03DF"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b/>
          <w:bCs/>
          <w:color w:val="auto"/>
        </w:rPr>
        <w:t>ACKNOWLEDGMENTS:</w:t>
      </w:r>
    </w:p>
    <w:p w14:paraId="246DCD94" w14:textId="50F91832" w:rsidR="007A4DD6" w:rsidRPr="00E339AA" w:rsidRDefault="00C51824" w:rsidP="002E63C2">
      <w:pPr>
        <w:rPr>
          <w:rFonts w:asciiTheme="minorHAnsi" w:hAnsiTheme="minorHAnsi" w:cstheme="minorHAnsi"/>
          <w:color w:val="auto"/>
        </w:rPr>
      </w:pPr>
      <w:r w:rsidRPr="00E339AA">
        <w:rPr>
          <w:rFonts w:asciiTheme="minorHAnsi" w:hAnsiTheme="minorHAnsi" w:cstheme="minorHAnsi"/>
          <w:color w:val="auto"/>
        </w:rPr>
        <w:t>We would like to thank</w:t>
      </w:r>
      <w:r w:rsidR="00C72F26" w:rsidRPr="00E339AA">
        <w:rPr>
          <w:rFonts w:asciiTheme="minorHAnsi" w:hAnsiTheme="minorHAnsi" w:cstheme="minorHAnsi"/>
          <w:color w:val="auto"/>
        </w:rPr>
        <w:t xml:space="preserve"> all the members of Translational Medicine</w:t>
      </w:r>
      <w:r w:rsidR="002470E3" w:rsidRPr="00E339AA">
        <w:rPr>
          <w:rFonts w:asciiTheme="minorHAnsi" w:hAnsiTheme="minorHAnsi" w:cstheme="minorHAnsi"/>
          <w:color w:val="auto"/>
        </w:rPr>
        <w:t xml:space="preserve"> at AstraZeneca Oncology Research and Early </w:t>
      </w:r>
      <w:r w:rsidR="003D6141" w:rsidRPr="00E339AA">
        <w:rPr>
          <w:rFonts w:asciiTheme="minorHAnsi" w:hAnsiTheme="minorHAnsi" w:cstheme="minorHAnsi"/>
          <w:color w:val="auto"/>
        </w:rPr>
        <w:t>Development</w:t>
      </w:r>
      <w:r w:rsidR="00C72F26" w:rsidRPr="00E339AA">
        <w:rPr>
          <w:rFonts w:asciiTheme="minorHAnsi" w:hAnsiTheme="minorHAnsi" w:cstheme="minorHAnsi"/>
          <w:color w:val="auto"/>
        </w:rPr>
        <w:t xml:space="preserve"> for</w:t>
      </w:r>
      <w:r w:rsidR="003D6141" w:rsidRPr="00E339AA">
        <w:rPr>
          <w:rFonts w:asciiTheme="minorHAnsi" w:hAnsiTheme="minorHAnsi" w:cstheme="minorHAnsi"/>
          <w:color w:val="auto"/>
        </w:rPr>
        <w:t xml:space="preserve"> their</w:t>
      </w:r>
      <w:r w:rsidR="00C72F26" w:rsidRPr="00E339AA">
        <w:rPr>
          <w:rFonts w:asciiTheme="minorHAnsi" w:hAnsiTheme="minorHAnsi" w:cstheme="minorHAnsi"/>
          <w:color w:val="auto"/>
        </w:rPr>
        <w:t xml:space="preserve"> feedback on the protocol, especially Hedley </w:t>
      </w:r>
      <w:proofErr w:type="spellStart"/>
      <w:r w:rsidR="00C72F26" w:rsidRPr="00E339AA">
        <w:rPr>
          <w:rFonts w:asciiTheme="minorHAnsi" w:hAnsiTheme="minorHAnsi" w:cstheme="minorHAnsi"/>
          <w:color w:val="auto"/>
        </w:rPr>
        <w:t>Carr</w:t>
      </w:r>
      <w:proofErr w:type="spellEnd"/>
      <w:r w:rsidR="00E7378C" w:rsidRPr="00E339AA">
        <w:rPr>
          <w:rFonts w:asciiTheme="minorHAnsi" w:hAnsiTheme="minorHAnsi" w:cstheme="minorHAnsi"/>
          <w:color w:val="auto"/>
        </w:rPr>
        <w:t xml:space="preserve">, </w:t>
      </w:r>
      <w:r w:rsidR="00451DC9" w:rsidRPr="00E339AA">
        <w:rPr>
          <w:rFonts w:asciiTheme="minorHAnsi" w:hAnsiTheme="minorHAnsi" w:cstheme="minorHAnsi"/>
          <w:color w:val="auto"/>
        </w:rPr>
        <w:t>Tammie Yeh</w:t>
      </w:r>
      <w:r w:rsidR="00107C2F" w:rsidRPr="00E339AA">
        <w:rPr>
          <w:rFonts w:asciiTheme="minorHAnsi" w:hAnsiTheme="minorHAnsi" w:cstheme="minorHAnsi"/>
          <w:color w:val="auto"/>
        </w:rPr>
        <w:t xml:space="preserve"> and Nathan Standifer</w:t>
      </w:r>
      <w:r w:rsidR="00C72F26" w:rsidRPr="00E339AA">
        <w:rPr>
          <w:rFonts w:asciiTheme="minorHAnsi" w:hAnsiTheme="minorHAnsi" w:cstheme="minorHAnsi"/>
          <w:color w:val="auto"/>
        </w:rPr>
        <w:t xml:space="preserve"> for </w:t>
      </w:r>
      <w:r w:rsidR="0090078E" w:rsidRPr="00E339AA">
        <w:rPr>
          <w:rFonts w:asciiTheme="minorHAnsi" w:hAnsiTheme="minorHAnsi" w:cstheme="minorHAnsi"/>
          <w:color w:val="auto"/>
        </w:rPr>
        <w:t>advice</w:t>
      </w:r>
      <w:r w:rsidR="00C72F26" w:rsidRPr="00E339AA">
        <w:rPr>
          <w:rFonts w:asciiTheme="minorHAnsi" w:hAnsiTheme="minorHAnsi" w:cstheme="minorHAnsi"/>
          <w:color w:val="auto"/>
        </w:rPr>
        <w:t xml:space="preserve"> on </w:t>
      </w:r>
      <w:r w:rsidR="005F0CC9" w:rsidRPr="00E339AA">
        <w:rPr>
          <w:rFonts w:asciiTheme="minorHAnsi" w:hAnsiTheme="minorHAnsi" w:cstheme="minorHAnsi"/>
          <w:color w:val="auto"/>
        </w:rPr>
        <w:t>plasma preparation</w:t>
      </w:r>
      <w:r w:rsidR="00A6451D" w:rsidRPr="00E339AA">
        <w:rPr>
          <w:rFonts w:asciiTheme="minorHAnsi" w:hAnsiTheme="minorHAnsi" w:cstheme="minorHAnsi"/>
          <w:color w:val="auto"/>
        </w:rPr>
        <w:t xml:space="preserve"> for </w:t>
      </w:r>
      <w:proofErr w:type="spellStart"/>
      <w:r w:rsidR="00A6451D" w:rsidRPr="00E339AA">
        <w:rPr>
          <w:rFonts w:asciiTheme="minorHAnsi" w:hAnsiTheme="minorHAnsi" w:cstheme="minorHAnsi"/>
          <w:color w:val="auto"/>
        </w:rPr>
        <w:t>ctDNA</w:t>
      </w:r>
      <w:proofErr w:type="spellEnd"/>
      <w:r w:rsidR="00A6451D" w:rsidRPr="00E339AA">
        <w:rPr>
          <w:rFonts w:asciiTheme="minorHAnsi" w:hAnsiTheme="minorHAnsi" w:cstheme="minorHAnsi"/>
          <w:color w:val="auto"/>
        </w:rPr>
        <w:t xml:space="preserve"> </w:t>
      </w:r>
      <w:r w:rsidR="00CA6F55" w:rsidRPr="00E339AA">
        <w:rPr>
          <w:rFonts w:asciiTheme="minorHAnsi" w:hAnsiTheme="minorHAnsi" w:cstheme="minorHAnsi"/>
          <w:color w:val="auto"/>
        </w:rPr>
        <w:t>analysis</w:t>
      </w:r>
      <w:r w:rsidR="00EF74F8" w:rsidRPr="00E339AA">
        <w:rPr>
          <w:rFonts w:asciiTheme="minorHAnsi" w:hAnsiTheme="minorHAnsi" w:cstheme="minorHAnsi"/>
          <w:color w:val="auto"/>
        </w:rPr>
        <w:t>,</w:t>
      </w:r>
      <w:r w:rsidR="00451DC9" w:rsidRPr="00E339AA">
        <w:rPr>
          <w:rFonts w:asciiTheme="minorHAnsi" w:hAnsiTheme="minorHAnsi" w:cstheme="minorHAnsi"/>
          <w:color w:val="auto"/>
        </w:rPr>
        <w:t xml:space="preserve"> on PBMC isolation, </w:t>
      </w:r>
      <w:r w:rsidR="00EF74F8" w:rsidRPr="00E339AA">
        <w:rPr>
          <w:rFonts w:asciiTheme="minorHAnsi" w:hAnsiTheme="minorHAnsi" w:cstheme="minorHAnsi"/>
          <w:color w:val="auto"/>
        </w:rPr>
        <w:t xml:space="preserve">and PBMC cryopreservation and immunophenotyping, </w:t>
      </w:r>
      <w:r w:rsidR="00451DC9" w:rsidRPr="00E339AA">
        <w:rPr>
          <w:rFonts w:asciiTheme="minorHAnsi" w:hAnsiTheme="minorHAnsi" w:cstheme="minorHAnsi"/>
          <w:color w:val="auto"/>
        </w:rPr>
        <w:t>respectively</w:t>
      </w:r>
      <w:r w:rsidR="00A6451D" w:rsidRPr="00E339AA">
        <w:rPr>
          <w:rFonts w:asciiTheme="minorHAnsi" w:hAnsiTheme="minorHAnsi" w:cstheme="minorHAnsi"/>
          <w:color w:val="auto"/>
        </w:rPr>
        <w:t>.</w:t>
      </w:r>
    </w:p>
    <w:p w14:paraId="2D96E92E" w14:textId="72F287DC" w:rsidR="00AA03DF" w:rsidRPr="00E339AA" w:rsidRDefault="00AA03DF" w:rsidP="002E63C2">
      <w:pPr>
        <w:rPr>
          <w:rFonts w:asciiTheme="minorHAnsi" w:hAnsiTheme="minorHAnsi" w:cstheme="minorHAnsi"/>
          <w:b/>
          <w:bCs/>
          <w:color w:val="auto"/>
        </w:rPr>
      </w:pPr>
    </w:p>
    <w:p w14:paraId="5D52ED8B" w14:textId="6A457714" w:rsidR="00AA03DF" w:rsidRPr="00E339AA" w:rsidRDefault="00AA03DF" w:rsidP="002E63C2">
      <w:pPr>
        <w:pStyle w:val="NormalWeb"/>
        <w:spacing w:before="0" w:beforeAutospacing="0" w:after="0" w:afterAutospacing="0"/>
        <w:rPr>
          <w:rFonts w:asciiTheme="minorHAnsi" w:hAnsiTheme="minorHAnsi" w:cstheme="minorHAnsi"/>
          <w:color w:val="auto"/>
        </w:rPr>
      </w:pPr>
      <w:r w:rsidRPr="00E339AA">
        <w:rPr>
          <w:rFonts w:asciiTheme="minorHAnsi" w:hAnsiTheme="minorHAnsi" w:cstheme="minorHAnsi"/>
          <w:b/>
          <w:color w:val="auto"/>
        </w:rPr>
        <w:t>DISCLOSURES</w:t>
      </w:r>
      <w:r w:rsidRPr="00E339AA">
        <w:rPr>
          <w:rFonts w:asciiTheme="minorHAnsi" w:hAnsiTheme="minorHAnsi" w:cstheme="minorHAnsi"/>
          <w:b/>
          <w:bCs/>
          <w:color w:val="auto"/>
        </w:rPr>
        <w:t xml:space="preserve">: </w:t>
      </w:r>
    </w:p>
    <w:p w14:paraId="4E0C3135" w14:textId="251C775A" w:rsidR="007A4DD6" w:rsidRPr="00E339AA" w:rsidRDefault="00564236" w:rsidP="002E63C2">
      <w:pPr>
        <w:rPr>
          <w:color w:val="auto"/>
        </w:rPr>
      </w:pPr>
      <w:r w:rsidRPr="00E339AA">
        <w:rPr>
          <w:rFonts w:asciiTheme="minorHAnsi" w:hAnsiTheme="minorHAnsi" w:cstheme="minorHAnsi"/>
          <w:color w:val="auto"/>
        </w:rPr>
        <w:t>All t</w:t>
      </w:r>
      <w:r w:rsidR="00CA6F55" w:rsidRPr="00E339AA">
        <w:rPr>
          <w:rFonts w:asciiTheme="minorHAnsi" w:hAnsiTheme="minorHAnsi" w:cstheme="minorHAnsi"/>
          <w:color w:val="auto"/>
        </w:rPr>
        <w:t xml:space="preserve">he authors </w:t>
      </w:r>
      <w:r w:rsidRPr="00E339AA">
        <w:rPr>
          <w:rFonts w:asciiTheme="minorHAnsi" w:hAnsiTheme="minorHAnsi" w:cstheme="minorHAnsi"/>
          <w:color w:val="auto"/>
        </w:rPr>
        <w:t>are employees and stake holders of Astra</w:t>
      </w:r>
      <w:r w:rsidR="007F4738" w:rsidRPr="00E339AA">
        <w:rPr>
          <w:rFonts w:asciiTheme="minorHAnsi" w:hAnsiTheme="minorHAnsi" w:cstheme="minorHAnsi"/>
          <w:color w:val="auto"/>
        </w:rPr>
        <w:t>Zeneca.</w:t>
      </w:r>
      <w:r w:rsidR="00A8188C" w:rsidRPr="00E339AA">
        <w:rPr>
          <w:rFonts w:asciiTheme="minorHAnsi" w:hAnsiTheme="minorHAnsi" w:cstheme="minorHAnsi"/>
          <w:color w:val="auto"/>
        </w:rPr>
        <w:t xml:space="preserve"> </w:t>
      </w:r>
      <w:r w:rsidR="00A8188C" w:rsidRPr="00E339AA">
        <w:rPr>
          <w:color w:val="auto"/>
          <w:shd w:val="clear" w:color="auto" w:fill="FFFFFF"/>
        </w:rPr>
        <w:t xml:space="preserve">VM is an employee of </w:t>
      </w:r>
      <w:proofErr w:type="spellStart"/>
      <w:r w:rsidR="00A8188C" w:rsidRPr="00E339AA">
        <w:rPr>
          <w:color w:val="auto"/>
          <w:shd w:val="clear" w:color="auto" w:fill="FFFFFF"/>
        </w:rPr>
        <w:t>Acerta</w:t>
      </w:r>
      <w:proofErr w:type="spellEnd"/>
      <w:r w:rsidR="00A8188C" w:rsidRPr="00E339AA">
        <w:rPr>
          <w:color w:val="auto"/>
          <w:shd w:val="clear" w:color="auto" w:fill="FFFFFF"/>
        </w:rPr>
        <w:t xml:space="preserve"> Pharma, owns stock in AstraZeneca and Gilead Sciences.</w:t>
      </w:r>
    </w:p>
    <w:p w14:paraId="66030076" w14:textId="77777777" w:rsidR="00AA03DF" w:rsidRPr="00E339AA" w:rsidRDefault="00AA03DF" w:rsidP="002E63C2">
      <w:pPr>
        <w:rPr>
          <w:rFonts w:asciiTheme="minorHAnsi" w:hAnsiTheme="minorHAnsi" w:cstheme="minorHAnsi"/>
          <w:color w:val="auto"/>
        </w:rPr>
      </w:pPr>
    </w:p>
    <w:p w14:paraId="315B4FAD" w14:textId="37F9F76F" w:rsidR="00B32616" w:rsidRPr="00E339AA" w:rsidRDefault="009726EE" w:rsidP="002E63C2">
      <w:pPr>
        <w:rPr>
          <w:rFonts w:asciiTheme="minorHAnsi" w:hAnsiTheme="minorHAnsi" w:cstheme="minorHAnsi"/>
          <w:b/>
          <w:color w:val="auto"/>
        </w:rPr>
      </w:pPr>
      <w:r w:rsidRPr="00E339AA">
        <w:rPr>
          <w:rFonts w:asciiTheme="minorHAnsi" w:hAnsiTheme="minorHAnsi" w:cstheme="minorHAnsi"/>
          <w:b/>
          <w:bCs/>
          <w:color w:val="auto"/>
        </w:rPr>
        <w:t>REFERENCES</w:t>
      </w:r>
      <w:r w:rsidR="00D04760" w:rsidRPr="00E339AA">
        <w:rPr>
          <w:rFonts w:asciiTheme="minorHAnsi" w:hAnsiTheme="minorHAnsi" w:cstheme="minorHAnsi"/>
          <w:b/>
          <w:bCs/>
          <w:color w:val="auto"/>
        </w:rPr>
        <w:t>:</w:t>
      </w:r>
      <w:r w:rsidRPr="00E339AA">
        <w:rPr>
          <w:rFonts w:asciiTheme="minorHAnsi" w:hAnsiTheme="minorHAnsi" w:cstheme="minorHAnsi"/>
          <w:color w:val="auto"/>
        </w:rPr>
        <w:t xml:space="preserve"> </w:t>
      </w:r>
    </w:p>
    <w:p w14:paraId="6A14A902" w14:textId="00338702" w:rsidR="008010E4" w:rsidRPr="00E339AA" w:rsidRDefault="008010E4" w:rsidP="002E63C2">
      <w:pPr>
        <w:pStyle w:val="ListParagraph"/>
        <w:ind w:left="0"/>
        <w:contextualSpacing w:val="0"/>
        <w:rPr>
          <w:color w:val="auto"/>
        </w:rPr>
      </w:pPr>
    </w:p>
    <w:p w14:paraId="7A944E58" w14:textId="25E5DEE0" w:rsidR="008010E4" w:rsidRPr="00E339AA" w:rsidRDefault="008010E4" w:rsidP="002E63C2">
      <w:pPr>
        <w:pStyle w:val="ListParagraph"/>
        <w:numPr>
          <w:ilvl w:val="0"/>
          <w:numId w:val="35"/>
        </w:numPr>
        <w:ind w:left="0" w:firstLine="0"/>
        <w:contextualSpacing w:val="0"/>
        <w:rPr>
          <w:rFonts w:cs="AdvCaeciliaBdIt"/>
          <w:color w:val="auto"/>
        </w:rPr>
      </w:pPr>
      <w:proofErr w:type="spellStart"/>
      <w:r w:rsidRPr="00E339AA">
        <w:rPr>
          <w:rFonts w:asciiTheme="minorHAnsi" w:hAnsiTheme="minorHAnsi" w:cs="AdvCaeciliaBdIt"/>
          <w:color w:val="auto"/>
        </w:rPr>
        <w:lastRenderedPageBreak/>
        <w:t>Hoelder</w:t>
      </w:r>
      <w:proofErr w:type="spellEnd"/>
      <w:r w:rsidRPr="00E339AA">
        <w:rPr>
          <w:rFonts w:asciiTheme="minorHAnsi" w:hAnsiTheme="minorHAnsi" w:cs="AdvCaeciliaBdIt"/>
          <w:color w:val="auto"/>
        </w:rPr>
        <w:t xml:space="preserve">, </w:t>
      </w:r>
      <w:r w:rsidRPr="00E339AA">
        <w:rPr>
          <w:rFonts w:cs="AdvCaeciliaBdIt"/>
          <w:color w:val="auto"/>
        </w:rPr>
        <w:t xml:space="preserve">S., </w:t>
      </w:r>
      <w:r w:rsidRPr="00E339AA">
        <w:rPr>
          <w:rFonts w:asciiTheme="minorHAnsi" w:hAnsiTheme="minorHAnsi" w:cs="AdvCaeciliaBdIt"/>
          <w:color w:val="auto"/>
        </w:rPr>
        <w:t xml:space="preserve">Clarke, </w:t>
      </w:r>
      <w:r w:rsidRPr="00E339AA">
        <w:rPr>
          <w:rFonts w:cs="AdvCaeciliaBdIt"/>
          <w:color w:val="auto"/>
        </w:rPr>
        <w:t xml:space="preserve">P. A., </w:t>
      </w:r>
      <w:r w:rsidRPr="00E339AA">
        <w:rPr>
          <w:rFonts w:asciiTheme="minorHAnsi" w:hAnsiTheme="minorHAnsi" w:cs="AdvCaeciliaBdIt"/>
          <w:color w:val="auto"/>
        </w:rPr>
        <w:t>Workman</w:t>
      </w:r>
      <w:r w:rsidRPr="00E339AA">
        <w:rPr>
          <w:rFonts w:cs="AdvCaeciliaBdIt"/>
          <w:color w:val="auto"/>
        </w:rPr>
        <w:t>, P. Discovery of small molecule cancer drugs: successes, challenges</w:t>
      </w:r>
      <w:r w:rsidR="000E001A">
        <w:rPr>
          <w:rFonts w:cs="AdvCaeciliaBdIt"/>
          <w:color w:val="auto"/>
        </w:rPr>
        <w:t>.</w:t>
      </w:r>
      <w:r w:rsidRPr="00E339AA">
        <w:rPr>
          <w:rFonts w:cs="AdvCaeciliaBdIt"/>
          <w:color w:val="auto"/>
        </w:rPr>
        <w:t xml:space="preserve"> and opportunities. </w:t>
      </w:r>
      <w:r w:rsidRPr="00E339AA">
        <w:rPr>
          <w:rFonts w:cs="AdvCaeciliaBdIt"/>
          <w:i/>
          <w:color w:val="auto"/>
        </w:rPr>
        <w:t>Molecular Oncology</w:t>
      </w:r>
      <w:r w:rsidRPr="00E339AA">
        <w:rPr>
          <w:rFonts w:cs="AdvCaeciliaBdIt"/>
          <w:color w:val="auto"/>
        </w:rPr>
        <w:t xml:space="preserve">. </w:t>
      </w:r>
      <w:r w:rsidRPr="00E339AA">
        <w:rPr>
          <w:rFonts w:cs="AdvCaeciliaBdIt"/>
          <w:b/>
          <w:color w:val="auto"/>
        </w:rPr>
        <w:t>6</w:t>
      </w:r>
      <w:r w:rsidRPr="00E339AA">
        <w:rPr>
          <w:rFonts w:cs="AdvCaeciliaBdIt"/>
          <w:color w:val="auto"/>
        </w:rPr>
        <w:t>, 155-176 (2012).</w:t>
      </w:r>
    </w:p>
    <w:p w14:paraId="268E789C" w14:textId="77777777" w:rsidR="008010E4" w:rsidRPr="00E339AA" w:rsidRDefault="008010E4" w:rsidP="002E63C2">
      <w:pPr>
        <w:pStyle w:val="ListParagraph"/>
        <w:numPr>
          <w:ilvl w:val="0"/>
          <w:numId w:val="35"/>
        </w:numPr>
        <w:ind w:left="0" w:firstLine="0"/>
        <w:contextualSpacing w:val="0"/>
        <w:rPr>
          <w:color w:val="auto"/>
        </w:rPr>
      </w:pPr>
      <w:r w:rsidRPr="00E339AA">
        <w:rPr>
          <w:rFonts w:asciiTheme="minorHAnsi" w:hAnsiTheme="minorHAnsi"/>
          <w:color w:val="auto"/>
        </w:rPr>
        <w:t>Harrigan</w:t>
      </w:r>
      <w:r w:rsidRPr="00E339AA">
        <w:rPr>
          <w:color w:val="auto"/>
        </w:rPr>
        <w:t xml:space="preserve"> J. A., Jacq, X., Martin, N. M., Jackson, S. P. Deubiquitylating enzymes and drug discovery: emerging opportunities. </w:t>
      </w:r>
      <w:r w:rsidRPr="00E339AA">
        <w:rPr>
          <w:i/>
          <w:color w:val="auto"/>
        </w:rPr>
        <w:t>Nature Reviews Drug Discovery</w:t>
      </w:r>
      <w:r w:rsidRPr="00E339AA">
        <w:rPr>
          <w:color w:val="auto"/>
        </w:rPr>
        <w:t xml:space="preserve">. </w:t>
      </w:r>
      <w:r w:rsidRPr="00E339AA">
        <w:rPr>
          <w:b/>
          <w:color w:val="auto"/>
        </w:rPr>
        <w:t>17</w:t>
      </w:r>
      <w:r w:rsidRPr="00E339AA">
        <w:rPr>
          <w:color w:val="auto"/>
        </w:rPr>
        <w:t>, 57-77 (2018).</w:t>
      </w:r>
    </w:p>
    <w:p w14:paraId="42B5CF37" w14:textId="77777777"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Brown, J. S., </w:t>
      </w:r>
      <w:proofErr w:type="spellStart"/>
      <w:r w:rsidRPr="00E339AA">
        <w:rPr>
          <w:color w:val="auto"/>
        </w:rPr>
        <w:t>O’Carrigan</w:t>
      </w:r>
      <w:proofErr w:type="spellEnd"/>
      <w:r w:rsidRPr="00E339AA">
        <w:rPr>
          <w:color w:val="auto"/>
        </w:rPr>
        <w:t xml:space="preserve">, B., Jackson, S. P., Yap, T. A. Targeting DNA repair in cancer: beyond PARP inhibitors. </w:t>
      </w:r>
      <w:r w:rsidRPr="00E339AA">
        <w:rPr>
          <w:i/>
          <w:color w:val="auto"/>
        </w:rPr>
        <w:t>Cancer Discovery</w:t>
      </w:r>
      <w:r w:rsidRPr="00E339AA">
        <w:rPr>
          <w:color w:val="auto"/>
        </w:rPr>
        <w:t xml:space="preserve">. </w:t>
      </w:r>
      <w:r w:rsidRPr="00E339AA">
        <w:rPr>
          <w:b/>
          <w:color w:val="auto"/>
        </w:rPr>
        <w:t>1</w:t>
      </w:r>
      <w:r w:rsidRPr="00E339AA">
        <w:rPr>
          <w:color w:val="auto"/>
        </w:rPr>
        <w:t>, 20-37 (2017).</w:t>
      </w:r>
    </w:p>
    <w:p w14:paraId="53DB42F3" w14:textId="581566F2" w:rsidR="008010E4" w:rsidRPr="00E339AA" w:rsidRDefault="008010E4" w:rsidP="002E63C2">
      <w:pPr>
        <w:pStyle w:val="ListParagraph"/>
        <w:numPr>
          <w:ilvl w:val="0"/>
          <w:numId w:val="35"/>
        </w:numPr>
        <w:ind w:left="0" w:firstLine="0"/>
        <w:contextualSpacing w:val="0"/>
        <w:rPr>
          <w:color w:val="auto"/>
        </w:rPr>
      </w:pPr>
      <w:proofErr w:type="spellStart"/>
      <w:r w:rsidRPr="00E339AA">
        <w:rPr>
          <w:color w:val="auto"/>
        </w:rPr>
        <w:t>Pettersson</w:t>
      </w:r>
      <w:proofErr w:type="spellEnd"/>
      <w:r w:rsidRPr="00E339AA">
        <w:rPr>
          <w:color w:val="auto"/>
        </w:rPr>
        <w:t>, M.</w:t>
      </w:r>
      <w:r w:rsidR="000E001A">
        <w:rPr>
          <w:color w:val="auto"/>
        </w:rPr>
        <w:t>,</w:t>
      </w:r>
      <w:r w:rsidRPr="00E339AA">
        <w:rPr>
          <w:color w:val="auto"/>
        </w:rPr>
        <w:t xml:space="preserve"> Crews C. M. </w:t>
      </w:r>
      <w:proofErr w:type="spellStart"/>
      <w:r w:rsidRPr="00E339AA">
        <w:rPr>
          <w:color w:val="auto"/>
        </w:rPr>
        <w:t>PROteolysis</w:t>
      </w:r>
      <w:proofErr w:type="spellEnd"/>
      <w:r w:rsidRPr="00E339AA">
        <w:rPr>
          <w:color w:val="auto"/>
        </w:rPr>
        <w:t xml:space="preserve"> </w:t>
      </w:r>
      <w:proofErr w:type="spellStart"/>
      <w:r w:rsidRPr="00E339AA">
        <w:rPr>
          <w:color w:val="auto"/>
        </w:rPr>
        <w:t>TArgeting</w:t>
      </w:r>
      <w:proofErr w:type="spellEnd"/>
      <w:r w:rsidRPr="00E339AA">
        <w:rPr>
          <w:color w:val="auto"/>
        </w:rPr>
        <w:t xml:space="preserve"> Chimeras (PROTACs)-Past, </w:t>
      </w:r>
      <w:proofErr w:type="gramStart"/>
      <w:r w:rsidRPr="00E339AA">
        <w:rPr>
          <w:color w:val="auto"/>
        </w:rPr>
        <w:t>present</w:t>
      </w:r>
      <w:proofErr w:type="gramEnd"/>
      <w:r w:rsidRPr="00E339AA">
        <w:rPr>
          <w:color w:val="auto"/>
        </w:rPr>
        <w:t xml:space="preserve"> and future. </w:t>
      </w:r>
      <w:r w:rsidRPr="00E339AA">
        <w:rPr>
          <w:i/>
          <w:color w:val="auto"/>
        </w:rPr>
        <w:t>Drug Discovery Today: Technologies</w:t>
      </w:r>
      <w:r w:rsidRPr="00E339AA">
        <w:rPr>
          <w:color w:val="auto"/>
        </w:rPr>
        <w:t xml:space="preserve">. </w:t>
      </w:r>
      <w:r w:rsidRPr="00E339AA">
        <w:rPr>
          <w:b/>
          <w:color w:val="auto"/>
        </w:rPr>
        <w:t>31</w:t>
      </w:r>
      <w:r w:rsidRPr="00E339AA">
        <w:rPr>
          <w:color w:val="auto"/>
        </w:rPr>
        <w:t>, 15-27 (2019).</w:t>
      </w:r>
    </w:p>
    <w:p w14:paraId="1DA4598B" w14:textId="34C63563"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Scott, A. M., </w:t>
      </w:r>
      <w:proofErr w:type="spellStart"/>
      <w:r w:rsidRPr="00E339AA">
        <w:rPr>
          <w:color w:val="auto"/>
        </w:rPr>
        <w:t>Wolchok</w:t>
      </w:r>
      <w:proofErr w:type="spellEnd"/>
      <w:r w:rsidRPr="00E339AA">
        <w:rPr>
          <w:color w:val="auto"/>
        </w:rPr>
        <w:t>, J. D., Old, L.</w:t>
      </w:r>
      <w:r w:rsidR="000E001A">
        <w:rPr>
          <w:color w:val="auto"/>
        </w:rPr>
        <w:t xml:space="preserve"> </w:t>
      </w:r>
      <w:r w:rsidRPr="00E339AA">
        <w:rPr>
          <w:color w:val="auto"/>
        </w:rPr>
        <w:t xml:space="preserve">J. Antibody therapy of cancer. </w:t>
      </w:r>
      <w:r w:rsidRPr="00E339AA">
        <w:rPr>
          <w:i/>
          <w:color w:val="auto"/>
        </w:rPr>
        <w:t>Nature Reviews Cancer</w:t>
      </w:r>
      <w:r w:rsidRPr="00E339AA">
        <w:rPr>
          <w:color w:val="auto"/>
        </w:rPr>
        <w:t xml:space="preserve">. </w:t>
      </w:r>
      <w:r w:rsidRPr="00E339AA">
        <w:rPr>
          <w:b/>
          <w:color w:val="auto"/>
        </w:rPr>
        <w:t>12</w:t>
      </w:r>
      <w:r w:rsidRPr="00E339AA">
        <w:rPr>
          <w:color w:val="auto"/>
        </w:rPr>
        <w:t>, 278-287 (2012).</w:t>
      </w:r>
    </w:p>
    <w:p w14:paraId="450BE73D" w14:textId="17C1722D"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Thomas, A., </w:t>
      </w:r>
      <w:proofErr w:type="spellStart"/>
      <w:r w:rsidRPr="00E339AA">
        <w:rPr>
          <w:color w:val="auto"/>
        </w:rPr>
        <w:t>Teicher</w:t>
      </w:r>
      <w:proofErr w:type="spellEnd"/>
      <w:r w:rsidRPr="00E339AA">
        <w:rPr>
          <w:color w:val="auto"/>
        </w:rPr>
        <w:t xml:space="preserve"> B. A., Hassan, R. Antibody-drug conjugates for cancer therapy. </w:t>
      </w:r>
      <w:r w:rsidRPr="00E339AA">
        <w:rPr>
          <w:i/>
          <w:color w:val="auto"/>
        </w:rPr>
        <w:t>The Lancet Oncology</w:t>
      </w:r>
      <w:r w:rsidRPr="00E339AA">
        <w:rPr>
          <w:color w:val="auto"/>
        </w:rPr>
        <w:t xml:space="preserve">. </w:t>
      </w:r>
      <w:r w:rsidRPr="00E339AA">
        <w:rPr>
          <w:b/>
          <w:color w:val="auto"/>
        </w:rPr>
        <w:t>17</w:t>
      </w:r>
      <w:r w:rsidRPr="00E339AA">
        <w:rPr>
          <w:color w:val="auto"/>
        </w:rPr>
        <w:t xml:space="preserve"> (6), e254-e252 (2016).</w:t>
      </w:r>
    </w:p>
    <w:p w14:paraId="7345F9CB" w14:textId="6450D3C3" w:rsidR="00CA7E3C" w:rsidRPr="00E339AA" w:rsidRDefault="00CA7E3C" w:rsidP="002E63C2">
      <w:pPr>
        <w:pStyle w:val="ListParagraph"/>
        <w:numPr>
          <w:ilvl w:val="0"/>
          <w:numId w:val="35"/>
        </w:numPr>
        <w:ind w:left="0" w:firstLine="0"/>
        <w:contextualSpacing w:val="0"/>
        <w:rPr>
          <w:color w:val="auto"/>
        </w:rPr>
      </w:pPr>
      <w:r w:rsidRPr="00E339AA">
        <w:rPr>
          <w:color w:val="auto"/>
        </w:rPr>
        <w:t>Ferguson</w:t>
      </w:r>
      <w:r w:rsidR="0013672E" w:rsidRPr="00E339AA">
        <w:rPr>
          <w:color w:val="auto"/>
        </w:rPr>
        <w:t>, F. M.</w:t>
      </w:r>
      <w:r w:rsidR="000E001A">
        <w:rPr>
          <w:color w:val="auto"/>
        </w:rPr>
        <w:t xml:space="preserve">, </w:t>
      </w:r>
      <w:r w:rsidR="0013672E" w:rsidRPr="00E339AA">
        <w:rPr>
          <w:color w:val="auto"/>
        </w:rPr>
        <w:t>Gray, N. S. Kinase inhibitors: t</w:t>
      </w:r>
      <w:r w:rsidR="009829E3" w:rsidRPr="00E339AA">
        <w:rPr>
          <w:color w:val="auto"/>
        </w:rPr>
        <w:t xml:space="preserve">he road ahead. </w:t>
      </w:r>
      <w:r w:rsidR="009829E3" w:rsidRPr="00E339AA">
        <w:rPr>
          <w:i/>
          <w:iCs/>
          <w:color w:val="auto"/>
        </w:rPr>
        <w:t>Nature Reviews Drug Discovery</w:t>
      </w:r>
      <w:r w:rsidR="003E3AB6" w:rsidRPr="00E339AA">
        <w:rPr>
          <w:color w:val="auto"/>
        </w:rPr>
        <w:t xml:space="preserve">. </w:t>
      </w:r>
      <w:r w:rsidR="003E3AB6" w:rsidRPr="00E339AA">
        <w:rPr>
          <w:b/>
          <w:bCs/>
          <w:color w:val="auto"/>
        </w:rPr>
        <w:t>17</w:t>
      </w:r>
      <w:r w:rsidR="003E3AB6" w:rsidRPr="00E339AA">
        <w:rPr>
          <w:color w:val="auto"/>
        </w:rPr>
        <w:t xml:space="preserve"> (5), 353-377 (2018).</w:t>
      </w:r>
    </w:p>
    <w:p w14:paraId="74B2DC69" w14:textId="31E2FF26"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Jones, G. N. et al. pRAD50: a novel and clinically applicable pharmacodynamic biomarker of both ATM and ATR inhibition identified using mass spectrometry and immunohistochemistry. </w:t>
      </w:r>
      <w:r w:rsidRPr="00E339AA">
        <w:rPr>
          <w:i/>
          <w:color w:val="auto"/>
        </w:rPr>
        <w:t>British Journal of Cancer</w:t>
      </w:r>
      <w:r w:rsidRPr="00E339AA">
        <w:rPr>
          <w:color w:val="auto"/>
        </w:rPr>
        <w:t xml:space="preserve">. </w:t>
      </w:r>
      <w:r w:rsidRPr="00E339AA">
        <w:rPr>
          <w:b/>
          <w:color w:val="auto"/>
        </w:rPr>
        <w:t>119</w:t>
      </w:r>
      <w:r w:rsidRPr="00E339AA">
        <w:rPr>
          <w:color w:val="auto"/>
        </w:rPr>
        <w:t xml:space="preserve"> (10), 1233-1243 (2018).</w:t>
      </w:r>
    </w:p>
    <w:p w14:paraId="0CBE8C67" w14:textId="7D6F18FB" w:rsidR="008010E4" w:rsidRPr="00E339AA" w:rsidRDefault="008010E4" w:rsidP="002E63C2">
      <w:pPr>
        <w:pStyle w:val="ListParagraph"/>
        <w:numPr>
          <w:ilvl w:val="0"/>
          <w:numId w:val="35"/>
        </w:numPr>
        <w:ind w:left="0" w:firstLine="0"/>
        <w:contextualSpacing w:val="0"/>
        <w:rPr>
          <w:color w:val="auto"/>
        </w:rPr>
      </w:pPr>
      <w:r w:rsidRPr="00E339AA">
        <w:rPr>
          <w:color w:val="auto"/>
        </w:rPr>
        <w:t>Cook D.</w:t>
      </w:r>
      <w:r w:rsidR="000E001A">
        <w:rPr>
          <w:color w:val="auto"/>
        </w:rPr>
        <w:t xml:space="preserve"> et al.</w:t>
      </w:r>
      <w:r w:rsidRPr="00E339AA">
        <w:rPr>
          <w:color w:val="auto"/>
        </w:rPr>
        <w:t xml:space="preserve"> Lessons learned from the fate of AstraZeneca’s drug pipeline: a five-dimensional framework. </w:t>
      </w:r>
      <w:r w:rsidRPr="00E339AA">
        <w:rPr>
          <w:i/>
          <w:color w:val="auto"/>
        </w:rPr>
        <w:t>Nature Reviews Drug Discovery</w:t>
      </w:r>
      <w:r w:rsidRPr="00E339AA">
        <w:rPr>
          <w:color w:val="auto"/>
        </w:rPr>
        <w:t xml:space="preserve">. </w:t>
      </w:r>
      <w:r w:rsidRPr="00E339AA">
        <w:rPr>
          <w:b/>
          <w:color w:val="auto"/>
        </w:rPr>
        <w:t>13</w:t>
      </w:r>
      <w:r w:rsidRPr="00E339AA">
        <w:rPr>
          <w:color w:val="auto"/>
        </w:rPr>
        <w:t>, 419-431 (2014).</w:t>
      </w:r>
    </w:p>
    <w:p w14:paraId="051D0065" w14:textId="01B85500"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Overman, M. J. et al. Use of research biopsies in clinical trials: are risks and benefits adequately discussed? </w:t>
      </w:r>
      <w:r w:rsidRPr="00E339AA">
        <w:rPr>
          <w:i/>
          <w:color w:val="auto"/>
        </w:rPr>
        <w:t>Journal of Clinical Oncology.</w:t>
      </w:r>
      <w:r w:rsidRPr="00E339AA">
        <w:rPr>
          <w:color w:val="auto"/>
        </w:rPr>
        <w:t xml:space="preserve"> </w:t>
      </w:r>
      <w:r w:rsidRPr="00E339AA">
        <w:rPr>
          <w:b/>
          <w:color w:val="auto"/>
        </w:rPr>
        <w:t>31</w:t>
      </w:r>
      <w:r w:rsidRPr="00E339AA">
        <w:rPr>
          <w:color w:val="auto"/>
        </w:rPr>
        <w:t xml:space="preserve"> (1), 17-22 (2012).</w:t>
      </w:r>
    </w:p>
    <w:p w14:paraId="44A4E647" w14:textId="77777777" w:rsidR="008010E4" w:rsidRPr="00E339AA" w:rsidRDefault="008010E4" w:rsidP="002E63C2">
      <w:pPr>
        <w:pStyle w:val="ListParagraph"/>
        <w:numPr>
          <w:ilvl w:val="0"/>
          <w:numId w:val="35"/>
        </w:numPr>
        <w:ind w:left="0" w:firstLine="0"/>
        <w:contextualSpacing w:val="0"/>
        <w:rPr>
          <w:color w:val="auto"/>
        </w:rPr>
      </w:pPr>
      <w:r w:rsidRPr="00E339AA">
        <w:rPr>
          <w:iCs/>
          <w:color w:val="auto"/>
          <w:szCs w:val="20"/>
        </w:rPr>
        <w:t xml:space="preserve">Olson, E. M., Lin, N. U., </w:t>
      </w:r>
      <w:proofErr w:type="spellStart"/>
      <w:r w:rsidRPr="00E339AA">
        <w:rPr>
          <w:iCs/>
          <w:color w:val="auto"/>
          <w:szCs w:val="20"/>
        </w:rPr>
        <w:t>Krop</w:t>
      </w:r>
      <w:proofErr w:type="spellEnd"/>
      <w:r w:rsidRPr="00E339AA">
        <w:rPr>
          <w:iCs/>
          <w:color w:val="auto"/>
          <w:szCs w:val="20"/>
        </w:rPr>
        <w:t xml:space="preserve">, I. E., Winer, E. P. The ethical use of mandatory research biopsies. </w:t>
      </w:r>
      <w:r w:rsidRPr="00E339AA">
        <w:rPr>
          <w:i/>
          <w:iCs/>
          <w:color w:val="auto"/>
          <w:szCs w:val="20"/>
        </w:rPr>
        <w:t>Nature reviews Clinical Oncology</w:t>
      </w:r>
      <w:r w:rsidRPr="00E339AA">
        <w:rPr>
          <w:iCs/>
          <w:color w:val="auto"/>
          <w:szCs w:val="20"/>
        </w:rPr>
        <w:t xml:space="preserve">. </w:t>
      </w:r>
      <w:r w:rsidRPr="00E339AA">
        <w:rPr>
          <w:b/>
          <w:iCs/>
          <w:color w:val="auto"/>
          <w:szCs w:val="20"/>
        </w:rPr>
        <w:t>8</w:t>
      </w:r>
      <w:r w:rsidRPr="00E339AA">
        <w:rPr>
          <w:iCs/>
          <w:color w:val="auto"/>
          <w:szCs w:val="20"/>
        </w:rPr>
        <w:t>, 620-625 (2011).</w:t>
      </w:r>
    </w:p>
    <w:p w14:paraId="0523057E" w14:textId="10A118EE"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O’Donnell, A. et al. Phase I pharmacokinetic and pharmacodynamic study of the oral mammalian target of rapamycin inhibitor </w:t>
      </w:r>
      <w:proofErr w:type="spellStart"/>
      <w:r w:rsidRPr="00E339AA">
        <w:rPr>
          <w:color w:val="auto"/>
        </w:rPr>
        <w:t>Everolimus</w:t>
      </w:r>
      <w:proofErr w:type="spellEnd"/>
      <w:r w:rsidRPr="00E339AA">
        <w:rPr>
          <w:color w:val="auto"/>
        </w:rPr>
        <w:t xml:space="preserve"> in patients with advanced solid tumors. </w:t>
      </w:r>
      <w:r w:rsidRPr="00E339AA">
        <w:rPr>
          <w:i/>
          <w:color w:val="auto"/>
        </w:rPr>
        <w:t>Journal of Clinical Oncology</w:t>
      </w:r>
      <w:r w:rsidRPr="00E339AA">
        <w:rPr>
          <w:color w:val="auto"/>
        </w:rPr>
        <w:t xml:space="preserve">. </w:t>
      </w:r>
      <w:r w:rsidRPr="00E339AA">
        <w:rPr>
          <w:b/>
          <w:color w:val="auto"/>
        </w:rPr>
        <w:t>26</w:t>
      </w:r>
      <w:r w:rsidRPr="00E339AA">
        <w:rPr>
          <w:color w:val="auto"/>
        </w:rPr>
        <w:t xml:space="preserve"> (10), 1588-1595 (2008).</w:t>
      </w:r>
    </w:p>
    <w:p w14:paraId="2B966221" w14:textId="24060A38"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Fong, P. C. et al. Inhibition of </w:t>
      </w:r>
      <w:proofErr w:type="gramStart"/>
      <w:r w:rsidRPr="00E339AA">
        <w:rPr>
          <w:color w:val="auto"/>
        </w:rPr>
        <w:t>Poly(</w:t>
      </w:r>
      <w:proofErr w:type="gramEnd"/>
      <w:r w:rsidRPr="00E339AA">
        <w:rPr>
          <w:color w:val="auto"/>
        </w:rPr>
        <w:t xml:space="preserve">ADP-Ribose) polymerase in tumors from </w:t>
      </w:r>
      <w:r w:rsidRPr="00E339AA">
        <w:rPr>
          <w:i/>
          <w:color w:val="auto"/>
        </w:rPr>
        <w:t>BRCA</w:t>
      </w:r>
      <w:r w:rsidRPr="00E339AA">
        <w:rPr>
          <w:color w:val="auto"/>
        </w:rPr>
        <w:t xml:space="preserve"> mutation carriers. </w:t>
      </w:r>
      <w:r w:rsidR="000E001A" w:rsidRPr="00E339AA">
        <w:rPr>
          <w:i/>
          <w:color w:val="auto"/>
        </w:rPr>
        <w:t xml:space="preserve">The New England Journal </w:t>
      </w:r>
      <w:r w:rsidR="000E001A">
        <w:rPr>
          <w:i/>
          <w:color w:val="auto"/>
        </w:rPr>
        <w:t>o</w:t>
      </w:r>
      <w:r w:rsidR="000E001A" w:rsidRPr="00E339AA">
        <w:rPr>
          <w:i/>
          <w:color w:val="auto"/>
        </w:rPr>
        <w:t>f Medicine</w:t>
      </w:r>
      <w:r w:rsidR="000E001A" w:rsidRPr="00E339AA">
        <w:rPr>
          <w:color w:val="auto"/>
        </w:rPr>
        <w:t>.</w:t>
      </w:r>
      <w:r w:rsidRPr="00E339AA">
        <w:rPr>
          <w:color w:val="auto"/>
        </w:rPr>
        <w:t xml:space="preserve"> </w:t>
      </w:r>
      <w:r w:rsidRPr="00E339AA">
        <w:rPr>
          <w:b/>
          <w:color w:val="auto"/>
        </w:rPr>
        <w:t>361</w:t>
      </w:r>
      <w:r w:rsidRPr="00E339AA">
        <w:rPr>
          <w:color w:val="auto"/>
        </w:rPr>
        <w:t xml:space="preserve"> (2), 123-134 (2009).</w:t>
      </w:r>
    </w:p>
    <w:p w14:paraId="433F5E09" w14:textId="77777777"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Verschoor, C. P., Kohli, V., </w:t>
      </w:r>
      <w:proofErr w:type="spellStart"/>
      <w:r w:rsidRPr="00E339AA">
        <w:rPr>
          <w:color w:val="auto"/>
        </w:rPr>
        <w:t>Balion</w:t>
      </w:r>
      <w:proofErr w:type="spellEnd"/>
      <w:r w:rsidRPr="00E339AA">
        <w:rPr>
          <w:color w:val="auto"/>
        </w:rPr>
        <w:t xml:space="preserve">, C. A comprehensive assessment of immunophenotyping performed in cryopreserved peripheral whole blood. </w:t>
      </w:r>
      <w:r w:rsidRPr="00E339AA">
        <w:rPr>
          <w:i/>
          <w:color w:val="auto"/>
        </w:rPr>
        <w:t>Cytometry B Clinical Cytometry</w:t>
      </w:r>
      <w:r w:rsidRPr="00E339AA">
        <w:rPr>
          <w:color w:val="auto"/>
        </w:rPr>
        <w:t xml:space="preserve">. </w:t>
      </w:r>
      <w:r w:rsidRPr="00E339AA">
        <w:rPr>
          <w:b/>
          <w:color w:val="auto"/>
        </w:rPr>
        <w:t>94</w:t>
      </w:r>
      <w:r w:rsidRPr="00E339AA">
        <w:rPr>
          <w:color w:val="auto"/>
        </w:rPr>
        <w:t xml:space="preserve"> (5), 662-670 (2018).</w:t>
      </w:r>
    </w:p>
    <w:p w14:paraId="71075522" w14:textId="07417D8A" w:rsidR="008010E4" w:rsidRPr="00E339AA" w:rsidRDefault="008010E4" w:rsidP="002E63C2">
      <w:pPr>
        <w:pStyle w:val="ListParagraph"/>
        <w:numPr>
          <w:ilvl w:val="0"/>
          <w:numId w:val="35"/>
        </w:numPr>
        <w:ind w:left="0" w:firstLine="0"/>
        <w:contextualSpacing w:val="0"/>
        <w:rPr>
          <w:color w:val="auto"/>
        </w:rPr>
      </w:pPr>
      <w:proofErr w:type="spellStart"/>
      <w:r w:rsidRPr="00E339AA">
        <w:rPr>
          <w:color w:val="auto"/>
        </w:rPr>
        <w:t>Ruitenberg</w:t>
      </w:r>
      <w:proofErr w:type="spellEnd"/>
      <w:r w:rsidRPr="00E339AA">
        <w:rPr>
          <w:color w:val="auto"/>
        </w:rPr>
        <w:t>, J. J. et al. VACUTAINER</w:t>
      </w:r>
      <w:r w:rsidRPr="00E339AA">
        <w:rPr>
          <w:color w:val="auto"/>
        </w:rPr>
        <w:sym w:font="Symbol" w:char="F0D2"/>
      </w:r>
      <w:proofErr w:type="spellStart"/>
      <w:r w:rsidRPr="00E339AA">
        <w:rPr>
          <w:color w:val="auto"/>
        </w:rPr>
        <w:t>CPT™and</w:t>
      </w:r>
      <w:proofErr w:type="spellEnd"/>
      <w:r w:rsidRPr="00E339AA">
        <w:rPr>
          <w:color w:val="auto"/>
        </w:rPr>
        <w:t xml:space="preserve"> </w:t>
      </w:r>
      <w:proofErr w:type="spellStart"/>
      <w:r w:rsidRPr="00E339AA">
        <w:rPr>
          <w:color w:val="auto"/>
        </w:rPr>
        <w:t>Ficoll</w:t>
      </w:r>
      <w:proofErr w:type="spellEnd"/>
      <w:r w:rsidRPr="00E339AA">
        <w:rPr>
          <w:color w:val="auto"/>
        </w:rPr>
        <w:t xml:space="preserve"> density gradient separation perform equivalently in maintaining the quality and function of PBMC from HIV seropositive blood samples. </w:t>
      </w:r>
      <w:r w:rsidRPr="000E001A">
        <w:rPr>
          <w:i/>
          <w:iCs/>
          <w:color w:val="auto"/>
        </w:rPr>
        <w:t>BMC Immunology.</w:t>
      </w:r>
      <w:r w:rsidRPr="00E339AA">
        <w:rPr>
          <w:color w:val="auto"/>
        </w:rPr>
        <w:t xml:space="preserve"> 7 (11), (2006).</w:t>
      </w:r>
    </w:p>
    <w:p w14:paraId="4159FFB3" w14:textId="77777777"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Yamashita, M. et al. A novel method for evaluating antibody-dependent cell-mediated cytotoxicity by flowcytometry using cryopreserved human peripheral blood mononuclear cells. </w:t>
      </w:r>
      <w:r w:rsidRPr="00E339AA">
        <w:rPr>
          <w:i/>
          <w:color w:val="auto"/>
        </w:rPr>
        <w:t>Scientific Reports</w:t>
      </w:r>
      <w:r w:rsidRPr="00E339AA">
        <w:rPr>
          <w:color w:val="auto"/>
        </w:rPr>
        <w:t xml:space="preserve">. </w:t>
      </w:r>
      <w:r w:rsidRPr="00E339AA">
        <w:rPr>
          <w:b/>
          <w:color w:val="auto"/>
        </w:rPr>
        <w:t>6</w:t>
      </w:r>
      <w:r w:rsidRPr="00E339AA">
        <w:rPr>
          <w:color w:val="auto"/>
        </w:rPr>
        <w:t xml:space="preserve"> (19772), 1-10 (2016).</w:t>
      </w:r>
    </w:p>
    <w:p w14:paraId="34B343BB" w14:textId="621852C7" w:rsidR="008010E4" w:rsidRPr="00E339AA" w:rsidRDefault="008010E4" w:rsidP="002E63C2">
      <w:pPr>
        <w:pStyle w:val="ListParagraph"/>
        <w:numPr>
          <w:ilvl w:val="0"/>
          <w:numId w:val="35"/>
        </w:numPr>
        <w:ind w:left="0" w:firstLine="0"/>
        <w:contextualSpacing w:val="0"/>
        <w:rPr>
          <w:color w:val="auto"/>
        </w:rPr>
      </w:pPr>
      <w:r w:rsidRPr="00E339AA">
        <w:rPr>
          <w:color w:val="auto"/>
        </w:rPr>
        <w:t>Schiavon G</w:t>
      </w:r>
      <w:r w:rsidR="000E001A">
        <w:rPr>
          <w:color w:val="auto"/>
        </w:rPr>
        <w:t>.</w:t>
      </w:r>
      <w:r w:rsidRPr="00E339AA">
        <w:rPr>
          <w:color w:val="auto"/>
        </w:rPr>
        <w:t xml:space="preserve"> et al. Analysis of ESR1 mutation in circulating tumor DNA demonstrates evolution during therapy for metastatic breast cancer. </w:t>
      </w:r>
      <w:r w:rsidRPr="00E339AA">
        <w:rPr>
          <w:i/>
          <w:color w:val="auto"/>
        </w:rPr>
        <w:t>Science Translational Medicine</w:t>
      </w:r>
      <w:r w:rsidRPr="00E339AA">
        <w:rPr>
          <w:color w:val="auto"/>
        </w:rPr>
        <w:t xml:space="preserve">. </w:t>
      </w:r>
      <w:r w:rsidRPr="00E339AA">
        <w:rPr>
          <w:b/>
          <w:color w:val="auto"/>
        </w:rPr>
        <w:t>7</w:t>
      </w:r>
      <w:r w:rsidRPr="00E339AA">
        <w:rPr>
          <w:color w:val="auto"/>
        </w:rPr>
        <w:t xml:space="preserve"> (313), 313ra182 (2015).</w:t>
      </w:r>
    </w:p>
    <w:p w14:paraId="5C3A1E45" w14:textId="76ACC1EF"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Lee J. et al. Tumor genomic profiling guides metastatic gastric cancer patients to targeted treatment: the VIKTORY umbrella trial. </w:t>
      </w:r>
      <w:r w:rsidRPr="00E339AA">
        <w:rPr>
          <w:i/>
          <w:color w:val="auto"/>
        </w:rPr>
        <w:t xml:space="preserve">Cancer </w:t>
      </w:r>
      <w:r w:rsidR="000E001A">
        <w:rPr>
          <w:i/>
          <w:color w:val="auto"/>
        </w:rPr>
        <w:t>D</w:t>
      </w:r>
      <w:r w:rsidRPr="00E339AA">
        <w:rPr>
          <w:i/>
          <w:color w:val="auto"/>
        </w:rPr>
        <w:t>iscovery</w:t>
      </w:r>
      <w:r w:rsidR="000E001A">
        <w:rPr>
          <w:i/>
          <w:color w:val="auto"/>
        </w:rPr>
        <w:t xml:space="preserve">. </w:t>
      </w:r>
      <w:r w:rsidR="000E001A" w:rsidRPr="00E339AA">
        <w:rPr>
          <w:color w:val="auto"/>
        </w:rPr>
        <w:t>CD-19-0442</w:t>
      </w:r>
      <w:r w:rsidRPr="00E339AA">
        <w:rPr>
          <w:color w:val="auto"/>
        </w:rPr>
        <w:t xml:space="preserve"> (2019). </w:t>
      </w:r>
    </w:p>
    <w:p w14:paraId="3CA825E4" w14:textId="35D3C73C"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Abbosh C. et al. Phylogenetic </w:t>
      </w:r>
      <w:proofErr w:type="spellStart"/>
      <w:r w:rsidRPr="00E339AA">
        <w:rPr>
          <w:color w:val="auto"/>
        </w:rPr>
        <w:t>ctDNA</w:t>
      </w:r>
      <w:proofErr w:type="spellEnd"/>
      <w:r w:rsidRPr="00E339AA">
        <w:rPr>
          <w:color w:val="auto"/>
        </w:rPr>
        <w:t xml:space="preserve"> analysis depicts early-stage lung cancer evolution. </w:t>
      </w:r>
      <w:r w:rsidRPr="00E339AA">
        <w:rPr>
          <w:i/>
          <w:color w:val="auto"/>
        </w:rPr>
        <w:t>Nature</w:t>
      </w:r>
      <w:r w:rsidRPr="00E339AA">
        <w:rPr>
          <w:color w:val="auto"/>
        </w:rPr>
        <w:t xml:space="preserve">. </w:t>
      </w:r>
      <w:r w:rsidRPr="00E339AA">
        <w:rPr>
          <w:b/>
          <w:color w:val="auto"/>
        </w:rPr>
        <w:t>545</w:t>
      </w:r>
      <w:r w:rsidRPr="00E339AA">
        <w:rPr>
          <w:color w:val="auto"/>
        </w:rPr>
        <w:t>, 545-451 (2017).</w:t>
      </w:r>
    </w:p>
    <w:p w14:paraId="19C27A17" w14:textId="784829A1" w:rsidR="008010E4" w:rsidRPr="00E339AA" w:rsidRDefault="008010E4" w:rsidP="002E63C2">
      <w:pPr>
        <w:pStyle w:val="ListParagraph"/>
        <w:numPr>
          <w:ilvl w:val="0"/>
          <w:numId w:val="35"/>
        </w:numPr>
        <w:ind w:left="0" w:firstLine="0"/>
        <w:contextualSpacing w:val="0"/>
        <w:rPr>
          <w:color w:val="auto"/>
        </w:rPr>
      </w:pPr>
      <w:proofErr w:type="spellStart"/>
      <w:r w:rsidRPr="00E339AA">
        <w:rPr>
          <w:color w:val="auto"/>
        </w:rPr>
        <w:lastRenderedPageBreak/>
        <w:t>Thress</w:t>
      </w:r>
      <w:proofErr w:type="spellEnd"/>
      <w:r w:rsidRPr="00E339AA">
        <w:rPr>
          <w:color w:val="auto"/>
        </w:rPr>
        <w:t xml:space="preserve">, K. S. et al. Acquired EGFR C797S mutation mediates resistance to AZD9291 in non-small cell lung cancer harboring EGFR T790M. </w:t>
      </w:r>
      <w:r w:rsidRPr="00E339AA">
        <w:rPr>
          <w:i/>
          <w:color w:val="auto"/>
        </w:rPr>
        <w:t xml:space="preserve">Nature </w:t>
      </w:r>
      <w:r w:rsidR="000E001A">
        <w:rPr>
          <w:i/>
          <w:color w:val="auto"/>
        </w:rPr>
        <w:t>M</w:t>
      </w:r>
      <w:r w:rsidRPr="00E339AA">
        <w:rPr>
          <w:i/>
          <w:color w:val="auto"/>
        </w:rPr>
        <w:t>edicine</w:t>
      </w:r>
      <w:r w:rsidRPr="00E339AA">
        <w:rPr>
          <w:color w:val="auto"/>
        </w:rPr>
        <w:t xml:space="preserve">. </w:t>
      </w:r>
      <w:r w:rsidRPr="00E339AA">
        <w:rPr>
          <w:b/>
          <w:color w:val="auto"/>
        </w:rPr>
        <w:t>21</w:t>
      </w:r>
      <w:r w:rsidRPr="00E339AA">
        <w:rPr>
          <w:color w:val="auto"/>
        </w:rPr>
        <w:t xml:space="preserve"> (6), 560-562 (2015).</w:t>
      </w:r>
    </w:p>
    <w:p w14:paraId="54D28B29" w14:textId="4A04B6C8" w:rsidR="008010E4" w:rsidRPr="00E339AA" w:rsidRDefault="008010E4" w:rsidP="002E63C2">
      <w:pPr>
        <w:pStyle w:val="ListParagraph"/>
        <w:numPr>
          <w:ilvl w:val="0"/>
          <w:numId w:val="35"/>
        </w:numPr>
        <w:ind w:left="0" w:firstLine="0"/>
        <w:contextualSpacing w:val="0"/>
        <w:rPr>
          <w:color w:val="auto"/>
        </w:rPr>
      </w:pPr>
      <w:r w:rsidRPr="00E339AA">
        <w:rPr>
          <w:color w:val="auto"/>
        </w:rPr>
        <w:t>Rossi, G.</w:t>
      </w:r>
      <w:r w:rsidR="000E001A">
        <w:rPr>
          <w:color w:val="auto"/>
        </w:rPr>
        <w:t>,</w:t>
      </w:r>
      <w:r w:rsidRPr="00E339AA">
        <w:rPr>
          <w:color w:val="auto"/>
        </w:rPr>
        <w:t xml:space="preserve"> </w:t>
      </w:r>
      <w:proofErr w:type="spellStart"/>
      <w:r w:rsidRPr="00E339AA">
        <w:rPr>
          <w:color w:val="auto"/>
        </w:rPr>
        <w:t>Ignatiadis</w:t>
      </w:r>
      <w:proofErr w:type="spellEnd"/>
      <w:r w:rsidRPr="00E339AA">
        <w:rPr>
          <w:color w:val="auto"/>
        </w:rPr>
        <w:t xml:space="preserve">, M. Promises and pitfalls of using liquid biopsy for precision medicine. </w:t>
      </w:r>
      <w:r w:rsidRPr="00E339AA">
        <w:rPr>
          <w:i/>
          <w:color w:val="auto"/>
        </w:rPr>
        <w:t>Cancer Research</w:t>
      </w:r>
      <w:r w:rsidRPr="00E339AA">
        <w:rPr>
          <w:color w:val="auto"/>
        </w:rPr>
        <w:t xml:space="preserve">. </w:t>
      </w:r>
      <w:r w:rsidRPr="00E339AA">
        <w:rPr>
          <w:b/>
          <w:color w:val="auto"/>
        </w:rPr>
        <w:t>79</w:t>
      </w:r>
      <w:r w:rsidRPr="00E339AA">
        <w:rPr>
          <w:color w:val="auto"/>
        </w:rPr>
        <w:t xml:space="preserve"> (11), 2798-2804 (2019).</w:t>
      </w:r>
    </w:p>
    <w:p w14:paraId="2C3196B0" w14:textId="500A5704" w:rsidR="008010E4" w:rsidRPr="00E339AA" w:rsidRDefault="008010E4" w:rsidP="002E63C2">
      <w:pPr>
        <w:pStyle w:val="ListParagraph"/>
        <w:numPr>
          <w:ilvl w:val="0"/>
          <w:numId w:val="35"/>
        </w:numPr>
        <w:ind w:left="0" w:firstLine="0"/>
        <w:contextualSpacing w:val="0"/>
        <w:rPr>
          <w:rFonts w:asciiTheme="minorHAnsi" w:hAnsiTheme="minorHAnsi" w:cstheme="minorHAnsi"/>
          <w:color w:val="auto"/>
          <w:shd w:val="clear" w:color="auto" w:fill="FFFFFF"/>
        </w:rPr>
      </w:pPr>
      <w:r w:rsidRPr="00E339AA">
        <w:rPr>
          <w:rFonts w:asciiTheme="minorHAnsi" w:hAnsiTheme="minorHAnsi" w:cstheme="minorHAnsi"/>
          <w:color w:val="auto"/>
          <w:shd w:val="clear" w:color="auto" w:fill="FFFFFF"/>
        </w:rPr>
        <w:t xml:space="preserve">Balasubramanian, P. et al. Isolation and </w:t>
      </w:r>
      <w:proofErr w:type="spellStart"/>
      <w:r w:rsidRPr="00E339AA">
        <w:rPr>
          <w:rFonts w:asciiTheme="minorHAnsi" w:hAnsiTheme="minorHAnsi" w:cstheme="minorHAnsi"/>
          <w:color w:val="auto"/>
          <w:shd w:val="clear" w:color="auto" w:fill="FFFFFF"/>
        </w:rPr>
        <w:t>characterisation</w:t>
      </w:r>
      <w:proofErr w:type="spellEnd"/>
      <w:r w:rsidRPr="00E339AA">
        <w:rPr>
          <w:rFonts w:asciiTheme="minorHAnsi" w:hAnsiTheme="minorHAnsi" w:cstheme="minorHAnsi"/>
          <w:color w:val="auto"/>
          <w:shd w:val="clear" w:color="auto" w:fill="FFFFFF"/>
        </w:rPr>
        <w:t xml:space="preserve"> of circulating tumor cells (CTCs) from peripheral blood specimens of patients with advanced solid tumor malignancies (using </w:t>
      </w:r>
      <w:proofErr w:type="spellStart"/>
      <w:r w:rsidRPr="00E339AA">
        <w:rPr>
          <w:rFonts w:asciiTheme="minorHAnsi" w:hAnsiTheme="minorHAnsi" w:cstheme="minorHAnsi"/>
          <w:color w:val="auto"/>
          <w:shd w:val="clear" w:color="auto" w:fill="FFFFFF"/>
        </w:rPr>
        <w:t>ApoStream</w:t>
      </w:r>
      <w:proofErr w:type="spellEnd"/>
      <w:r w:rsidRPr="00E339AA">
        <w:rPr>
          <w:rFonts w:asciiTheme="minorHAnsi" w:hAnsiTheme="minorHAnsi" w:cstheme="minorHAnsi"/>
          <w:color w:val="auto"/>
          <w:shd w:val="clear" w:color="auto" w:fill="FFFFFF"/>
          <w:vertAlign w:val="superscript"/>
        </w:rPr>
        <w:t>®</w:t>
      </w:r>
      <w:r w:rsidRPr="00E339AA">
        <w:rPr>
          <w:rFonts w:asciiTheme="minorHAnsi" w:hAnsiTheme="minorHAnsi" w:cstheme="minorHAnsi"/>
          <w:color w:val="auto"/>
          <w:shd w:val="clear" w:color="auto" w:fill="FFFFFF"/>
        </w:rPr>
        <w:t xml:space="preserve"> instrumentation) [abstract 3062]. </w:t>
      </w:r>
      <w:r w:rsidRPr="00E339AA">
        <w:rPr>
          <w:rFonts w:asciiTheme="minorHAnsi" w:hAnsiTheme="minorHAnsi" w:cstheme="minorHAnsi"/>
          <w:i/>
          <w:color w:val="auto"/>
          <w:shd w:val="clear" w:color="auto" w:fill="FFFFFF"/>
        </w:rPr>
        <w:t>Proceedings of the Annual meeting of the American Association for Cancer Research</w:t>
      </w:r>
      <w:r w:rsidRPr="00E339AA">
        <w:rPr>
          <w:rFonts w:asciiTheme="minorHAnsi" w:hAnsiTheme="minorHAnsi" w:cstheme="minorHAnsi"/>
          <w:color w:val="auto"/>
          <w:shd w:val="clear" w:color="auto" w:fill="FFFFFF"/>
        </w:rPr>
        <w:t>. San Diego, CA (2014).</w:t>
      </w:r>
    </w:p>
    <w:p w14:paraId="056E9BE8" w14:textId="74720FB6" w:rsidR="008010E4" w:rsidRPr="00E339AA" w:rsidRDefault="008010E4" w:rsidP="002E63C2">
      <w:pPr>
        <w:pStyle w:val="ListParagraph"/>
        <w:numPr>
          <w:ilvl w:val="0"/>
          <w:numId w:val="35"/>
        </w:numPr>
        <w:ind w:left="0" w:firstLine="0"/>
        <w:contextualSpacing w:val="0"/>
        <w:rPr>
          <w:rFonts w:asciiTheme="minorHAnsi" w:hAnsiTheme="minorHAnsi" w:cstheme="minorHAnsi"/>
          <w:color w:val="auto"/>
          <w:shd w:val="clear" w:color="auto" w:fill="FFFFFF"/>
        </w:rPr>
      </w:pPr>
      <w:r w:rsidRPr="00E339AA">
        <w:rPr>
          <w:rFonts w:asciiTheme="minorHAnsi" w:hAnsiTheme="minorHAnsi" w:cstheme="minorHAnsi"/>
          <w:color w:val="auto"/>
          <w:shd w:val="clear" w:color="auto" w:fill="FFFFFF"/>
        </w:rPr>
        <w:t>Qin, J., Alt, J.</w:t>
      </w:r>
      <w:r w:rsidR="00A84181">
        <w:rPr>
          <w:rFonts w:asciiTheme="minorHAnsi" w:hAnsiTheme="minorHAnsi" w:cstheme="minorHAnsi"/>
          <w:color w:val="auto"/>
          <w:shd w:val="clear" w:color="auto" w:fill="FFFFFF"/>
        </w:rPr>
        <w:t xml:space="preserve"> </w:t>
      </w:r>
      <w:r w:rsidRPr="00E339AA">
        <w:rPr>
          <w:rFonts w:asciiTheme="minorHAnsi" w:hAnsiTheme="minorHAnsi" w:cstheme="minorHAnsi"/>
          <w:color w:val="auto"/>
          <w:shd w:val="clear" w:color="auto" w:fill="FFFFFF"/>
        </w:rPr>
        <w:t xml:space="preserve">R., </w:t>
      </w:r>
      <w:proofErr w:type="spellStart"/>
      <w:r w:rsidRPr="00E339AA">
        <w:rPr>
          <w:rFonts w:asciiTheme="minorHAnsi" w:hAnsiTheme="minorHAnsi" w:cstheme="minorHAnsi"/>
          <w:color w:val="auto"/>
          <w:shd w:val="clear" w:color="auto" w:fill="FFFFFF"/>
        </w:rPr>
        <w:t>Hunsley</w:t>
      </w:r>
      <w:proofErr w:type="spellEnd"/>
      <w:r w:rsidRPr="00E339AA">
        <w:rPr>
          <w:rFonts w:asciiTheme="minorHAnsi" w:hAnsiTheme="minorHAnsi" w:cstheme="minorHAnsi"/>
          <w:color w:val="auto"/>
          <w:shd w:val="clear" w:color="auto" w:fill="FFFFFF"/>
        </w:rPr>
        <w:t>, B.</w:t>
      </w:r>
      <w:r w:rsidR="00A84181">
        <w:rPr>
          <w:rFonts w:asciiTheme="minorHAnsi" w:hAnsiTheme="minorHAnsi" w:cstheme="minorHAnsi"/>
          <w:color w:val="auto"/>
          <w:shd w:val="clear" w:color="auto" w:fill="FFFFFF"/>
        </w:rPr>
        <w:t xml:space="preserve"> </w:t>
      </w:r>
      <w:r w:rsidRPr="00E339AA">
        <w:rPr>
          <w:rFonts w:asciiTheme="minorHAnsi" w:hAnsiTheme="minorHAnsi" w:cstheme="minorHAnsi"/>
          <w:color w:val="auto"/>
          <w:shd w:val="clear" w:color="auto" w:fill="FFFFFF"/>
        </w:rPr>
        <w:t>A., Williams, T.</w:t>
      </w:r>
      <w:r w:rsidR="00A84181">
        <w:rPr>
          <w:rFonts w:asciiTheme="minorHAnsi" w:hAnsiTheme="minorHAnsi" w:cstheme="minorHAnsi"/>
          <w:color w:val="auto"/>
          <w:shd w:val="clear" w:color="auto" w:fill="FFFFFF"/>
        </w:rPr>
        <w:t xml:space="preserve"> </w:t>
      </w:r>
      <w:r w:rsidRPr="00E339AA">
        <w:rPr>
          <w:rFonts w:asciiTheme="minorHAnsi" w:hAnsiTheme="minorHAnsi" w:cstheme="minorHAnsi"/>
          <w:color w:val="auto"/>
          <w:shd w:val="clear" w:color="auto" w:fill="FFFFFF"/>
        </w:rPr>
        <w:t>L., Fernando, M.</w:t>
      </w:r>
      <w:r w:rsidR="00A84181">
        <w:rPr>
          <w:rFonts w:asciiTheme="minorHAnsi" w:hAnsiTheme="minorHAnsi" w:cstheme="minorHAnsi"/>
          <w:color w:val="auto"/>
          <w:shd w:val="clear" w:color="auto" w:fill="FFFFFF"/>
        </w:rPr>
        <w:t xml:space="preserve"> </w:t>
      </w:r>
      <w:r w:rsidRPr="00E339AA">
        <w:rPr>
          <w:rFonts w:asciiTheme="minorHAnsi" w:hAnsiTheme="minorHAnsi" w:cstheme="minorHAnsi"/>
          <w:color w:val="auto"/>
          <w:shd w:val="clear" w:color="auto" w:fill="FFFFFF"/>
        </w:rPr>
        <w:t xml:space="preserve">R. Stabilization of circulating tumor cells in blood using a collection device with a preservative reagent. </w:t>
      </w:r>
      <w:r w:rsidRPr="00E339AA">
        <w:rPr>
          <w:rFonts w:asciiTheme="minorHAnsi" w:hAnsiTheme="minorHAnsi" w:cstheme="minorHAnsi"/>
          <w:i/>
          <w:color w:val="auto"/>
          <w:shd w:val="clear" w:color="auto" w:fill="FFFFFF"/>
        </w:rPr>
        <w:t>Cancer Cell International</w:t>
      </w:r>
      <w:r w:rsidRPr="00E339AA">
        <w:rPr>
          <w:rFonts w:asciiTheme="minorHAnsi" w:hAnsiTheme="minorHAnsi" w:cstheme="minorHAnsi"/>
          <w:color w:val="auto"/>
          <w:shd w:val="clear" w:color="auto" w:fill="FFFFFF"/>
        </w:rPr>
        <w:t xml:space="preserve">. </w:t>
      </w:r>
      <w:r w:rsidRPr="00E339AA">
        <w:rPr>
          <w:rFonts w:asciiTheme="minorHAnsi" w:hAnsiTheme="minorHAnsi" w:cstheme="minorHAnsi"/>
          <w:b/>
          <w:color w:val="auto"/>
          <w:shd w:val="clear" w:color="auto" w:fill="FFFFFF"/>
        </w:rPr>
        <w:t>14</w:t>
      </w:r>
      <w:r w:rsidRPr="00E339AA">
        <w:rPr>
          <w:rFonts w:asciiTheme="minorHAnsi" w:hAnsiTheme="minorHAnsi" w:cstheme="minorHAnsi"/>
          <w:color w:val="auto"/>
          <w:shd w:val="clear" w:color="auto" w:fill="FFFFFF"/>
        </w:rPr>
        <w:t xml:space="preserve"> (13), 1-6 (2014).</w:t>
      </w:r>
    </w:p>
    <w:p w14:paraId="7F5FCF12" w14:textId="2D57D639"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Biomarkers definitions working group. Biomarkers and surrogate endpoints: preferred definitions and conceptual framework. </w:t>
      </w:r>
      <w:r w:rsidRPr="00E339AA">
        <w:rPr>
          <w:i/>
          <w:color w:val="auto"/>
        </w:rPr>
        <w:t xml:space="preserve">Clinical </w:t>
      </w:r>
      <w:r w:rsidR="00A84181">
        <w:rPr>
          <w:i/>
          <w:color w:val="auto"/>
        </w:rPr>
        <w:t>P</w:t>
      </w:r>
      <w:r w:rsidRPr="00E339AA">
        <w:rPr>
          <w:i/>
          <w:color w:val="auto"/>
        </w:rPr>
        <w:t xml:space="preserve">harmacology &amp; </w:t>
      </w:r>
      <w:r w:rsidR="00A84181">
        <w:rPr>
          <w:i/>
          <w:color w:val="auto"/>
        </w:rPr>
        <w:t>T</w:t>
      </w:r>
      <w:r w:rsidRPr="00E339AA">
        <w:rPr>
          <w:i/>
          <w:color w:val="auto"/>
        </w:rPr>
        <w:t>herapeutics</w:t>
      </w:r>
      <w:r w:rsidRPr="00E339AA">
        <w:rPr>
          <w:color w:val="auto"/>
        </w:rPr>
        <w:t xml:space="preserve">. </w:t>
      </w:r>
      <w:r w:rsidRPr="00E339AA">
        <w:rPr>
          <w:b/>
          <w:color w:val="auto"/>
        </w:rPr>
        <w:t>69</w:t>
      </w:r>
      <w:r w:rsidRPr="00E339AA">
        <w:rPr>
          <w:color w:val="auto"/>
        </w:rPr>
        <w:t xml:space="preserve"> (3), 89- 95 (2001).</w:t>
      </w:r>
    </w:p>
    <w:p w14:paraId="1D9A2F54" w14:textId="06EA4461" w:rsidR="00F559BF" w:rsidRPr="00E339AA" w:rsidRDefault="001015B3" w:rsidP="002E63C2">
      <w:pPr>
        <w:pStyle w:val="ListParagraph"/>
        <w:numPr>
          <w:ilvl w:val="0"/>
          <w:numId w:val="35"/>
        </w:numPr>
        <w:ind w:left="0" w:firstLine="0"/>
        <w:contextualSpacing w:val="0"/>
        <w:rPr>
          <w:color w:val="auto"/>
        </w:rPr>
      </w:pPr>
      <w:r w:rsidRPr="00E339AA">
        <w:rPr>
          <w:color w:val="auto"/>
        </w:rPr>
        <w:t xml:space="preserve">Crowley, E., Di </w:t>
      </w:r>
      <w:proofErr w:type="spellStart"/>
      <w:r w:rsidRPr="00E339AA">
        <w:rPr>
          <w:color w:val="auto"/>
        </w:rPr>
        <w:t>Nicolantonio</w:t>
      </w:r>
      <w:proofErr w:type="spellEnd"/>
      <w:r w:rsidRPr="00E339AA">
        <w:rPr>
          <w:color w:val="auto"/>
        </w:rPr>
        <w:t xml:space="preserve">, F., </w:t>
      </w:r>
      <w:proofErr w:type="spellStart"/>
      <w:r w:rsidRPr="00E339AA">
        <w:rPr>
          <w:color w:val="auto"/>
        </w:rPr>
        <w:t>Loupakis</w:t>
      </w:r>
      <w:proofErr w:type="spellEnd"/>
      <w:r w:rsidRPr="00E339AA">
        <w:rPr>
          <w:color w:val="auto"/>
        </w:rPr>
        <w:t xml:space="preserve">, F., </w:t>
      </w:r>
      <w:proofErr w:type="spellStart"/>
      <w:r w:rsidRPr="00E339AA">
        <w:rPr>
          <w:color w:val="auto"/>
        </w:rPr>
        <w:t>Bardelli</w:t>
      </w:r>
      <w:proofErr w:type="spellEnd"/>
      <w:r w:rsidRPr="00E339AA">
        <w:rPr>
          <w:color w:val="auto"/>
        </w:rPr>
        <w:t>, A. Liquid biopsy: monitoring cancer-genetics in the blood.</w:t>
      </w:r>
      <w:r w:rsidR="00C166D0" w:rsidRPr="00E339AA">
        <w:rPr>
          <w:color w:val="auto"/>
        </w:rPr>
        <w:t xml:space="preserve"> </w:t>
      </w:r>
      <w:r w:rsidR="00C166D0" w:rsidRPr="00E339AA">
        <w:rPr>
          <w:i/>
          <w:iCs/>
          <w:color w:val="auto"/>
        </w:rPr>
        <w:t>Nature Reviews Clinical Oncology</w:t>
      </w:r>
      <w:r w:rsidR="0070216E" w:rsidRPr="00E339AA">
        <w:rPr>
          <w:color w:val="auto"/>
        </w:rPr>
        <w:t>.</w:t>
      </w:r>
      <w:r w:rsidR="00532C7D" w:rsidRPr="00E339AA">
        <w:rPr>
          <w:color w:val="auto"/>
        </w:rPr>
        <w:t xml:space="preserve"> </w:t>
      </w:r>
      <w:r w:rsidR="00532C7D" w:rsidRPr="00E339AA">
        <w:rPr>
          <w:b/>
          <w:bCs/>
          <w:color w:val="auto"/>
        </w:rPr>
        <w:t>10</w:t>
      </w:r>
      <w:r w:rsidR="00532C7D" w:rsidRPr="00E339AA">
        <w:rPr>
          <w:color w:val="auto"/>
        </w:rPr>
        <w:t>, 472-484 (2013).</w:t>
      </w:r>
    </w:p>
    <w:p w14:paraId="1997E3CC" w14:textId="47414FE0" w:rsidR="008010E4" w:rsidRPr="00E339AA" w:rsidRDefault="008010E4" w:rsidP="002E63C2">
      <w:pPr>
        <w:pStyle w:val="ListParagraph"/>
        <w:numPr>
          <w:ilvl w:val="0"/>
          <w:numId w:val="35"/>
        </w:numPr>
        <w:ind w:left="0" w:firstLine="0"/>
        <w:contextualSpacing w:val="0"/>
        <w:rPr>
          <w:color w:val="auto"/>
        </w:rPr>
      </w:pPr>
      <w:proofErr w:type="spellStart"/>
      <w:r w:rsidRPr="00E339AA">
        <w:rPr>
          <w:color w:val="auto"/>
        </w:rPr>
        <w:t>Bundred</w:t>
      </w:r>
      <w:proofErr w:type="spellEnd"/>
      <w:r w:rsidRPr="00E339AA">
        <w:rPr>
          <w:color w:val="auto"/>
        </w:rPr>
        <w:t>, N. et al.</w:t>
      </w:r>
      <w:r w:rsidR="00C30D16" w:rsidRPr="00E339AA">
        <w:rPr>
          <w:color w:val="auto"/>
        </w:rPr>
        <w:t xml:space="preserve"> </w:t>
      </w:r>
      <w:r w:rsidR="00D45FB8" w:rsidRPr="00E339AA">
        <w:rPr>
          <w:color w:val="auto"/>
        </w:rPr>
        <w:t xml:space="preserve">Evaluation of the pharmacodynamics of the PARP inhibitor </w:t>
      </w:r>
      <w:proofErr w:type="spellStart"/>
      <w:r w:rsidR="00D45FB8" w:rsidRPr="00E339AA">
        <w:rPr>
          <w:color w:val="auto"/>
        </w:rPr>
        <w:t>olaparib</w:t>
      </w:r>
      <w:proofErr w:type="spellEnd"/>
      <w:r w:rsidR="00D45FB8" w:rsidRPr="00E339AA">
        <w:rPr>
          <w:color w:val="auto"/>
        </w:rPr>
        <w:t xml:space="preserve">: a phase I </w:t>
      </w:r>
      <w:proofErr w:type="spellStart"/>
      <w:r w:rsidR="00D45FB8" w:rsidRPr="00E339AA">
        <w:rPr>
          <w:color w:val="auto"/>
        </w:rPr>
        <w:t>multicentre</w:t>
      </w:r>
      <w:proofErr w:type="spellEnd"/>
      <w:r w:rsidR="00D45FB8" w:rsidRPr="00E339AA">
        <w:rPr>
          <w:color w:val="auto"/>
        </w:rPr>
        <w:t xml:space="preserve"> trial in patients scheduled for elective breast</w:t>
      </w:r>
      <w:r w:rsidR="00AA221A" w:rsidRPr="00E339AA">
        <w:rPr>
          <w:color w:val="auto"/>
        </w:rPr>
        <w:t xml:space="preserve"> cancer surgery.</w:t>
      </w:r>
      <w:r w:rsidRPr="00E339AA">
        <w:rPr>
          <w:color w:val="auto"/>
        </w:rPr>
        <w:t xml:space="preserve"> </w:t>
      </w:r>
      <w:r w:rsidRPr="00E339AA">
        <w:rPr>
          <w:i/>
          <w:color w:val="auto"/>
        </w:rPr>
        <w:t>Investigational New Drugs</w:t>
      </w:r>
      <w:r w:rsidRPr="00E339AA">
        <w:rPr>
          <w:color w:val="auto"/>
        </w:rPr>
        <w:t xml:space="preserve">. </w:t>
      </w:r>
      <w:r w:rsidRPr="00E339AA">
        <w:rPr>
          <w:b/>
          <w:color w:val="auto"/>
        </w:rPr>
        <w:t>31</w:t>
      </w:r>
      <w:r w:rsidRPr="00E339AA">
        <w:rPr>
          <w:color w:val="auto"/>
        </w:rPr>
        <w:t>, 949- 958 (2013).</w:t>
      </w:r>
    </w:p>
    <w:p w14:paraId="730ABF21" w14:textId="31DDD524" w:rsidR="008010E4" w:rsidRPr="00E339AA" w:rsidRDefault="008010E4" w:rsidP="002E63C2">
      <w:pPr>
        <w:pStyle w:val="ListParagraph"/>
        <w:numPr>
          <w:ilvl w:val="0"/>
          <w:numId w:val="35"/>
        </w:numPr>
        <w:ind w:left="0" w:firstLine="0"/>
        <w:contextualSpacing w:val="0"/>
        <w:rPr>
          <w:color w:val="auto"/>
        </w:rPr>
      </w:pPr>
      <w:r w:rsidRPr="00E339AA">
        <w:rPr>
          <w:color w:val="auto"/>
        </w:rPr>
        <w:t xml:space="preserve">Rosado, M. et al. Advances in biomarker detection: Alternative approaches for blood-based biomarker detection. </w:t>
      </w:r>
      <w:r w:rsidRPr="00E339AA">
        <w:rPr>
          <w:i/>
          <w:color w:val="auto"/>
        </w:rPr>
        <w:t>Advances in Clinical Chemistry</w:t>
      </w:r>
      <w:r w:rsidRPr="00E339AA">
        <w:rPr>
          <w:color w:val="auto"/>
        </w:rPr>
        <w:t xml:space="preserve">. </w:t>
      </w:r>
      <w:r w:rsidRPr="00E339AA">
        <w:rPr>
          <w:b/>
          <w:color w:val="auto"/>
        </w:rPr>
        <w:t>92</w:t>
      </w:r>
      <w:r w:rsidRPr="00E339AA">
        <w:rPr>
          <w:color w:val="auto"/>
        </w:rPr>
        <w:t>, 141-199 (2019).</w:t>
      </w:r>
    </w:p>
    <w:p w14:paraId="7E5353C3" w14:textId="7FEE4C12" w:rsidR="008010E4" w:rsidRPr="00E339AA" w:rsidRDefault="008010E4" w:rsidP="002E63C2">
      <w:pPr>
        <w:pStyle w:val="ListParagraph"/>
        <w:numPr>
          <w:ilvl w:val="0"/>
          <w:numId w:val="35"/>
        </w:numPr>
        <w:ind w:left="0" w:firstLine="0"/>
        <w:contextualSpacing w:val="0"/>
        <w:rPr>
          <w:color w:val="auto"/>
        </w:rPr>
      </w:pPr>
      <w:proofErr w:type="spellStart"/>
      <w:r w:rsidRPr="00E339AA">
        <w:rPr>
          <w:color w:val="auto"/>
        </w:rPr>
        <w:t>Grievink</w:t>
      </w:r>
      <w:proofErr w:type="spellEnd"/>
      <w:r w:rsidRPr="00E339AA">
        <w:rPr>
          <w:color w:val="auto"/>
        </w:rPr>
        <w:t xml:space="preserve">, H. W. et al. Comparison of three isolation techniques for human peripheral blood mononuclear cells: cell recovery and viability, population composition and cell functionality. </w:t>
      </w:r>
      <w:proofErr w:type="spellStart"/>
      <w:r w:rsidRPr="00E339AA">
        <w:rPr>
          <w:i/>
          <w:color w:val="auto"/>
        </w:rPr>
        <w:t>Biopreservation</w:t>
      </w:r>
      <w:proofErr w:type="spellEnd"/>
      <w:r w:rsidRPr="00E339AA">
        <w:rPr>
          <w:i/>
          <w:color w:val="auto"/>
        </w:rPr>
        <w:t xml:space="preserve"> and </w:t>
      </w:r>
      <w:r w:rsidR="00A84181">
        <w:rPr>
          <w:i/>
          <w:color w:val="auto"/>
        </w:rPr>
        <w:t>B</w:t>
      </w:r>
      <w:r w:rsidRPr="00E339AA">
        <w:rPr>
          <w:i/>
          <w:color w:val="auto"/>
        </w:rPr>
        <w:t>iobanking</w:t>
      </w:r>
      <w:r w:rsidRPr="00E339AA">
        <w:rPr>
          <w:color w:val="auto"/>
        </w:rPr>
        <w:t xml:space="preserve">. </w:t>
      </w:r>
      <w:r w:rsidRPr="00E339AA">
        <w:rPr>
          <w:b/>
          <w:color w:val="auto"/>
        </w:rPr>
        <w:t>14</w:t>
      </w:r>
      <w:r w:rsidRPr="00E339AA">
        <w:rPr>
          <w:color w:val="auto"/>
        </w:rPr>
        <w:t xml:space="preserve"> (5), 410- 415 (2016). </w:t>
      </w:r>
    </w:p>
    <w:p w14:paraId="14B8B709" w14:textId="5DD24667" w:rsidR="00117B5A" w:rsidRPr="009C207F" w:rsidRDefault="00117B5A" w:rsidP="00117B5A">
      <w:pPr>
        <w:pStyle w:val="ListParagraph"/>
        <w:numPr>
          <w:ilvl w:val="0"/>
          <w:numId w:val="35"/>
        </w:numPr>
        <w:ind w:left="0" w:firstLine="0"/>
        <w:contextualSpacing w:val="0"/>
        <w:rPr>
          <w:color w:val="auto"/>
        </w:rPr>
      </w:pPr>
      <w:r w:rsidRPr="009C207F">
        <w:rPr>
          <w:color w:val="auto"/>
        </w:rPr>
        <w:t xml:space="preserve">Khadka, M. et al. The effect of anticoagulants, temperature, and time on the human plasma metabolome and lipidome from healthy donors as determined by liquid chromatography-mass spectrometry. </w:t>
      </w:r>
      <w:r w:rsidRPr="009C207F">
        <w:rPr>
          <w:i/>
          <w:iCs/>
          <w:color w:val="auto"/>
        </w:rPr>
        <w:t>Biomolecules</w:t>
      </w:r>
      <w:r w:rsidRPr="009C207F">
        <w:rPr>
          <w:color w:val="auto"/>
        </w:rPr>
        <w:t xml:space="preserve">. </w:t>
      </w:r>
      <w:r w:rsidRPr="009C207F">
        <w:rPr>
          <w:b/>
          <w:bCs/>
          <w:color w:val="auto"/>
        </w:rPr>
        <w:t>9</w:t>
      </w:r>
      <w:r w:rsidRPr="009C207F">
        <w:rPr>
          <w:color w:val="auto"/>
        </w:rPr>
        <w:t xml:space="preserve"> (5), 200: 1-15 (2019).</w:t>
      </w:r>
    </w:p>
    <w:p w14:paraId="0D52A1AD" w14:textId="77777777" w:rsidR="00117B5A" w:rsidRPr="009C207F" w:rsidRDefault="00117B5A" w:rsidP="00117B5A">
      <w:pPr>
        <w:pStyle w:val="ListParagraph"/>
        <w:numPr>
          <w:ilvl w:val="0"/>
          <w:numId w:val="35"/>
        </w:numPr>
        <w:ind w:left="0" w:firstLine="0"/>
        <w:contextualSpacing w:val="0"/>
        <w:rPr>
          <w:color w:val="auto"/>
        </w:rPr>
      </w:pPr>
      <w:r w:rsidRPr="009C207F">
        <w:rPr>
          <w:color w:val="auto"/>
        </w:rPr>
        <w:t>Hellmann, M. D., et al. Circulating tumor DNA analysis to assess risk of progression after long-term response to PD-(L)1 blockade in NSCLC. Clinical Cancer Research. 26 (12), 2849-2858 (2020).</w:t>
      </w:r>
    </w:p>
    <w:p w14:paraId="36110F50" w14:textId="7B4CA842" w:rsidR="00117B5A" w:rsidRPr="009C207F" w:rsidRDefault="00117B5A" w:rsidP="00117B5A">
      <w:pPr>
        <w:pStyle w:val="ListParagraph"/>
        <w:numPr>
          <w:ilvl w:val="0"/>
          <w:numId w:val="35"/>
        </w:numPr>
        <w:ind w:left="0" w:firstLine="0"/>
        <w:contextualSpacing w:val="0"/>
        <w:rPr>
          <w:color w:val="auto"/>
        </w:rPr>
      </w:pPr>
      <w:r w:rsidRPr="009C207F">
        <w:rPr>
          <w:rFonts w:cstheme="minorHAnsi"/>
          <w:color w:val="auto"/>
          <w:lang w:val="en-GB"/>
        </w:rPr>
        <w:t>ClinicalTrials.gov [Internet]. Identifier NCT03328273</w:t>
      </w:r>
      <w:r w:rsidR="00F720DF">
        <w:rPr>
          <w:rFonts w:cstheme="minorHAnsi"/>
          <w:color w:val="auto"/>
          <w:lang w:val="en-GB"/>
        </w:rPr>
        <w:t>,</w:t>
      </w:r>
      <w:r w:rsidRPr="009C207F">
        <w:rPr>
          <w:rFonts w:cstheme="minorHAnsi"/>
          <w:color w:val="auto"/>
          <w:lang w:val="en-GB"/>
        </w:rPr>
        <w:t xml:space="preserve"> </w:t>
      </w:r>
      <w:r w:rsidRPr="009C207F">
        <w:rPr>
          <w:rFonts w:cstheme="minorHAnsi"/>
          <w:color w:val="auto"/>
          <w:shd w:val="clear" w:color="auto" w:fill="FFFFFF"/>
        </w:rPr>
        <w:t xml:space="preserve">A </w:t>
      </w:r>
      <w:r w:rsidR="00F720DF">
        <w:rPr>
          <w:rFonts w:cstheme="minorHAnsi"/>
          <w:color w:val="auto"/>
          <w:shd w:val="clear" w:color="auto" w:fill="FFFFFF"/>
        </w:rPr>
        <w:t>s</w:t>
      </w:r>
      <w:r w:rsidRPr="009C207F">
        <w:rPr>
          <w:rFonts w:cstheme="minorHAnsi"/>
          <w:color w:val="auto"/>
          <w:shd w:val="clear" w:color="auto" w:fill="FFFFFF"/>
        </w:rPr>
        <w:t xml:space="preserve">tudy of AZD6738 and </w:t>
      </w:r>
      <w:r w:rsidR="00F720DF">
        <w:rPr>
          <w:rFonts w:cstheme="minorHAnsi"/>
          <w:color w:val="auto"/>
          <w:shd w:val="clear" w:color="auto" w:fill="FFFFFF"/>
        </w:rPr>
        <w:t>A</w:t>
      </w:r>
      <w:r w:rsidRPr="009C207F">
        <w:rPr>
          <w:rFonts w:cstheme="minorHAnsi"/>
          <w:color w:val="auto"/>
          <w:shd w:val="clear" w:color="auto" w:fill="FFFFFF"/>
        </w:rPr>
        <w:t xml:space="preserve">calabrutinib in </w:t>
      </w:r>
      <w:r w:rsidR="00F720DF">
        <w:rPr>
          <w:rFonts w:cstheme="minorHAnsi"/>
          <w:color w:val="auto"/>
          <w:shd w:val="clear" w:color="auto" w:fill="FFFFFF"/>
        </w:rPr>
        <w:t>s</w:t>
      </w:r>
      <w:r w:rsidRPr="009C207F">
        <w:rPr>
          <w:rFonts w:cstheme="minorHAnsi"/>
          <w:color w:val="auto"/>
          <w:shd w:val="clear" w:color="auto" w:fill="FFFFFF"/>
        </w:rPr>
        <w:t xml:space="preserve">ubjects </w:t>
      </w:r>
      <w:r w:rsidR="00F720DF">
        <w:rPr>
          <w:rFonts w:cstheme="minorHAnsi"/>
          <w:color w:val="auto"/>
          <w:shd w:val="clear" w:color="auto" w:fill="FFFFFF"/>
        </w:rPr>
        <w:t>w</w:t>
      </w:r>
      <w:r w:rsidRPr="009C207F">
        <w:rPr>
          <w:rFonts w:cstheme="minorHAnsi"/>
          <w:color w:val="auto"/>
          <w:shd w:val="clear" w:color="auto" w:fill="FFFFFF"/>
        </w:rPr>
        <w:t xml:space="preserve">ith </w:t>
      </w:r>
      <w:r w:rsidR="00F720DF">
        <w:rPr>
          <w:rFonts w:cstheme="minorHAnsi"/>
          <w:color w:val="auto"/>
          <w:shd w:val="clear" w:color="auto" w:fill="FFFFFF"/>
        </w:rPr>
        <w:t>r</w:t>
      </w:r>
      <w:r w:rsidRPr="009C207F">
        <w:rPr>
          <w:rFonts w:cstheme="minorHAnsi"/>
          <w:color w:val="auto"/>
          <w:shd w:val="clear" w:color="auto" w:fill="FFFFFF"/>
        </w:rPr>
        <w:t xml:space="preserve">elapsed or </w:t>
      </w:r>
      <w:r w:rsidR="00F720DF">
        <w:rPr>
          <w:rFonts w:cstheme="minorHAnsi"/>
          <w:color w:val="auto"/>
          <w:shd w:val="clear" w:color="auto" w:fill="FFFFFF"/>
        </w:rPr>
        <w:t>r</w:t>
      </w:r>
      <w:r w:rsidRPr="009C207F">
        <w:rPr>
          <w:rFonts w:cstheme="minorHAnsi"/>
          <w:color w:val="auto"/>
          <w:shd w:val="clear" w:color="auto" w:fill="FFFFFF"/>
        </w:rPr>
        <w:t xml:space="preserve">efractory </w:t>
      </w:r>
      <w:r w:rsidR="00F720DF">
        <w:rPr>
          <w:rFonts w:cstheme="minorHAnsi"/>
          <w:color w:val="auto"/>
          <w:shd w:val="clear" w:color="auto" w:fill="FFFFFF"/>
        </w:rPr>
        <w:t>c</w:t>
      </w:r>
      <w:r w:rsidRPr="009C207F">
        <w:rPr>
          <w:rFonts w:cstheme="minorHAnsi"/>
          <w:color w:val="auto"/>
          <w:shd w:val="clear" w:color="auto" w:fill="FFFFFF"/>
        </w:rPr>
        <w:t xml:space="preserve">hronic </w:t>
      </w:r>
      <w:r w:rsidR="00F720DF">
        <w:rPr>
          <w:rFonts w:cstheme="minorHAnsi"/>
          <w:color w:val="auto"/>
          <w:shd w:val="clear" w:color="auto" w:fill="FFFFFF"/>
        </w:rPr>
        <w:t>l</w:t>
      </w:r>
      <w:r w:rsidRPr="009C207F">
        <w:rPr>
          <w:rFonts w:cstheme="minorHAnsi"/>
          <w:color w:val="auto"/>
          <w:shd w:val="clear" w:color="auto" w:fill="FFFFFF"/>
        </w:rPr>
        <w:t xml:space="preserve">ymphocytic </w:t>
      </w:r>
      <w:r w:rsidR="00F720DF">
        <w:rPr>
          <w:rFonts w:cstheme="minorHAnsi"/>
          <w:color w:val="auto"/>
          <w:shd w:val="clear" w:color="auto" w:fill="FFFFFF"/>
        </w:rPr>
        <w:t>l</w:t>
      </w:r>
      <w:r w:rsidRPr="009C207F">
        <w:rPr>
          <w:rFonts w:cstheme="minorHAnsi"/>
          <w:color w:val="auto"/>
          <w:shd w:val="clear" w:color="auto" w:fill="FFFFFF"/>
        </w:rPr>
        <w:t>eukemia (CLL);</w:t>
      </w:r>
      <w:r w:rsidR="00F720DF">
        <w:rPr>
          <w:rFonts w:cstheme="minorHAnsi"/>
          <w:color w:val="auto"/>
          <w:shd w:val="clear" w:color="auto" w:fill="FFFFFF"/>
        </w:rPr>
        <w:t xml:space="preserve"> </w:t>
      </w:r>
      <w:r w:rsidR="00F720DF" w:rsidRPr="009C207F">
        <w:rPr>
          <w:rFonts w:cstheme="minorHAnsi"/>
          <w:color w:val="auto"/>
          <w:lang w:val="en-GB"/>
        </w:rPr>
        <w:t>National Library of Medicine (US).</w:t>
      </w:r>
      <w:r w:rsidR="00F720DF">
        <w:rPr>
          <w:rFonts w:cstheme="minorHAnsi"/>
          <w:color w:val="auto"/>
          <w:lang w:val="en-GB"/>
        </w:rPr>
        <w:t xml:space="preserve"> </w:t>
      </w:r>
      <w:r w:rsidR="00F720DF" w:rsidRPr="009C207F">
        <w:rPr>
          <w:rFonts w:cstheme="minorHAnsi"/>
          <w:color w:val="auto"/>
          <w:lang w:val="en-GB"/>
        </w:rPr>
        <w:t>Bethesda (MD)</w:t>
      </w:r>
      <w:r w:rsidR="00F720DF">
        <w:rPr>
          <w:rFonts w:cstheme="minorHAnsi"/>
          <w:color w:val="auto"/>
          <w:lang w:val="en-GB"/>
        </w:rPr>
        <w:t xml:space="preserve">. </w:t>
      </w:r>
      <w:r w:rsidRPr="009C207F">
        <w:rPr>
          <w:rFonts w:cstheme="minorHAnsi"/>
          <w:color w:val="auto"/>
          <w:shd w:val="clear" w:color="auto" w:fill="FFFFFF"/>
        </w:rPr>
        <w:t xml:space="preserve">2017. Available from </w:t>
      </w:r>
      <w:hyperlink r:id="rId12" w:history="1">
        <w:r w:rsidRPr="009C207F">
          <w:rPr>
            <w:rStyle w:val="Hyperlink"/>
            <w:rFonts w:cstheme="minorHAnsi"/>
            <w:color w:val="auto"/>
            <w:shd w:val="clear" w:color="auto" w:fill="FFFFFF"/>
          </w:rPr>
          <w:t>https://clinicaltrials.gov/ct2/show/NCT03328273</w:t>
        </w:r>
      </w:hyperlink>
    </w:p>
    <w:p w14:paraId="47854302" w14:textId="0C071281" w:rsidR="00117B5A" w:rsidRPr="009C207F" w:rsidRDefault="00117B5A" w:rsidP="00117B5A">
      <w:pPr>
        <w:pStyle w:val="ListParagraph"/>
        <w:numPr>
          <w:ilvl w:val="0"/>
          <w:numId w:val="35"/>
        </w:numPr>
        <w:ind w:left="0" w:firstLine="0"/>
        <w:contextualSpacing w:val="0"/>
        <w:rPr>
          <w:color w:val="auto"/>
        </w:rPr>
      </w:pPr>
      <w:r w:rsidRPr="009C207F">
        <w:rPr>
          <w:color w:val="auto"/>
        </w:rPr>
        <w:t xml:space="preserve">Kirschner, M. B. et al. The impact of hemolysis on cell-free microRNA biomarkers. </w:t>
      </w:r>
      <w:r w:rsidRPr="009C207F">
        <w:rPr>
          <w:i/>
          <w:color w:val="auto"/>
        </w:rPr>
        <w:t>Frontiers in Genetics</w:t>
      </w:r>
      <w:r w:rsidRPr="009C207F">
        <w:rPr>
          <w:color w:val="auto"/>
        </w:rPr>
        <w:t xml:space="preserve">. </w:t>
      </w:r>
      <w:r w:rsidRPr="009C207F">
        <w:rPr>
          <w:b/>
          <w:color w:val="auto"/>
        </w:rPr>
        <w:t>4</w:t>
      </w:r>
      <w:r w:rsidRPr="009C207F">
        <w:rPr>
          <w:color w:val="auto"/>
        </w:rPr>
        <w:t xml:space="preserve"> (94), 1-13 (2013).</w:t>
      </w:r>
    </w:p>
    <w:p w14:paraId="5E68807C" w14:textId="1E3C62AF" w:rsidR="00117B5A" w:rsidRPr="009C207F" w:rsidRDefault="00117B5A" w:rsidP="00117B5A">
      <w:pPr>
        <w:pStyle w:val="ListParagraph"/>
        <w:numPr>
          <w:ilvl w:val="0"/>
          <w:numId w:val="35"/>
        </w:numPr>
        <w:ind w:left="0" w:firstLine="0"/>
        <w:contextualSpacing w:val="0"/>
        <w:rPr>
          <w:color w:val="auto"/>
        </w:rPr>
      </w:pPr>
      <w:r w:rsidRPr="009C207F">
        <w:rPr>
          <w:color w:val="auto"/>
        </w:rPr>
        <w:t>Blackford, A. N.</w:t>
      </w:r>
      <w:r w:rsidR="00F720DF">
        <w:rPr>
          <w:color w:val="auto"/>
        </w:rPr>
        <w:t xml:space="preserve">, </w:t>
      </w:r>
      <w:r w:rsidRPr="009C207F">
        <w:rPr>
          <w:color w:val="auto"/>
        </w:rPr>
        <w:t xml:space="preserve">Jackson, S. P. ATM, ATR, and DNA-PK: The Trinity at the Heart of the DNA Damage Response. </w:t>
      </w:r>
      <w:r w:rsidRPr="009C207F">
        <w:rPr>
          <w:i/>
          <w:color w:val="auto"/>
        </w:rPr>
        <w:t>Molecular Cell</w:t>
      </w:r>
      <w:r w:rsidRPr="009C207F">
        <w:rPr>
          <w:color w:val="auto"/>
        </w:rPr>
        <w:t xml:space="preserve">. </w:t>
      </w:r>
      <w:r w:rsidRPr="009C207F">
        <w:rPr>
          <w:b/>
          <w:color w:val="auto"/>
        </w:rPr>
        <w:t>66</w:t>
      </w:r>
      <w:r w:rsidRPr="009C207F">
        <w:rPr>
          <w:color w:val="auto"/>
        </w:rPr>
        <w:t>, 801-817 (2017).</w:t>
      </w:r>
    </w:p>
    <w:p w14:paraId="6A16104D" w14:textId="77777777" w:rsidR="00117B5A" w:rsidRPr="009C207F" w:rsidRDefault="00117B5A" w:rsidP="00117B5A">
      <w:pPr>
        <w:pStyle w:val="ListParagraph"/>
        <w:numPr>
          <w:ilvl w:val="0"/>
          <w:numId w:val="35"/>
        </w:numPr>
        <w:ind w:left="0" w:firstLine="0"/>
        <w:contextualSpacing w:val="0"/>
        <w:rPr>
          <w:color w:val="auto"/>
        </w:rPr>
      </w:pPr>
      <w:proofErr w:type="spellStart"/>
      <w:r w:rsidRPr="009C207F">
        <w:rPr>
          <w:color w:val="auto"/>
        </w:rPr>
        <w:t>Riedhammer</w:t>
      </w:r>
      <w:proofErr w:type="spellEnd"/>
      <w:r w:rsidRPr="009C207F">
        <w:rPr>
          <w:color w:val="auto"/>
        </w:rPr>
        <w:t xml:space="preserve">, C., </w:t>
      </w:r>
      <w:proofErr w:type="spellStart"/>
      <w:r w:rsidRPr="009C207F">
        <w:rPr>
          <w:color w:val="auto"/>
        </w:rPr>
        <w:t>Halbritter</w:t>
      </w:r>
      <w:proofErr w:type="spellEnd"/>
      <w:r w:rsidRPr="009C207F">
        <w:rPr>
          <w:color w:val="auto"/>
        </w:rPr>
        <w:t xml:space="preserve">, D., </w:t>
      </w:r>
      <w:proofErr w:type="spellStart"/>
      <w:r w:rsidRPr="009C207F">
        <w:rPr>
          <w:color w:val="auto"/>
        </w:rPr>
        <w:t>Weissert</w:t>
      </w:r>
      <w:proofErr w:type="spellEnd"/>
      <w:r w:rsidRPr="009C207F">
        <w:rPr>
          <w:color w:val="auto"/>
        </w:rPr>
        <w:t xml:space="preserve">, R. Peripheral Blood Mononuclear Cells: Isolation, Freezing, Thawing, and Culture. </w:t>
      </w:r>
      <w:r w:rsidRPr="009C207F">
        <w:rPr>
          <w:i/>
          <w:color w:val="auto"/>
        </w:rPr>
        <w:t>Methods in Molecular Biology</w:t>
      </w:r>
      <w:r w:rsidRPr="009C207F">
        <w:rPr>
          <w:color w:val="auto"/>
        </w:rPr>
        <w:t xml:space="preserve">. </w:t>
      </w:r>
      <w:r w:rsidRPr="009C207F">
        <w:rPr>
          <w:b/>
          <w:color w:val="auto"/>
        </w:rPr>
        <w:t>1304</w:t>
      </w:r>
      <w:r w:rsidRPr="009C207F">
        <w:rPr>
          <w:color w:val="auto"/>
        </w:rPr>
        <w:t>, 53-61 (2016).</w:t>
      </w:r>
    </w:p>
    <w:p w14:paraId="6B7C5274" w14:textId="77777777" w:rsidR="00117B5A" w:rsidRPr="009C207F" w:rsidRDefault="00117B5A" w:rsidP="00117B5A">
      <w:pPr>
        <w:pStyle w:val="ListParagraph"/>
        <w:numPr>
          <w:ilvl w:val="0"/>
          <w:numId w:val="35"/>
        </w:numPr>
        <w:ind w:left="0" w:firstLine="0"/>
        <w:contextualSpacing w:val="0"/>
        <w:rPr>
          <w:color w:val="auto"/>
        </w:rPr>
      </w:pPr>
      <w:r w:rsidRPr="009C207F">
        <w:rPr>
          <w:color w:val="auto"/>
        </w:rPr>
        <w:t xml:space="preserve">Basavaraj, M. G., </w:t>
      </w:r>
      <w:proofErr w:type="spellStart"/>
      <w:r w:rsidRPr="009C207F">
        <w:rPr>
          <w:rFonts w:cstheme="minorHAnsi"/>
          <w:color w:val="auto"/>
        </w:rPr>
        <w:t>Ø</w:t>
      </w:r>
      <w:r w:rsidRPr="009C207F">
        <w:rPr>
          <w:color w:val="auto"/>
        </w:rPr>
        <w:t>sterud</w:t>
      </w:r>
      <w:proofErr w:type="spellEnd"/>
      <w:r w:rsidRPr="009C207F">
        <w:rPr>
          <w:color w:val="auto"/>
        </w:rPr>
        <w:t xml:space="preserve">, B., Hansen, J. B. Influence of different anticoagulants on monocyte procoagulant functions and monocyte-platelet aggregates formation. </w:t>
      </w:r>
      <w:r w:rsidRPr="009C207F">
        <w:rPr>
          <w:i/>
          <w:color w:val="auto"/>
        </w:rPr>
        <w:t xml:space="preserve">Journal of Thrombosis and </w:t>
      </w:r>
      <w:proofErr w:type="spellStart"/>
      <w:r w:rsidRPr="009C207F">
        <w:rPr>
          <w:i/>
          <w:color w:val="auto"/>
        </w:rPr>
        <w:t>Haemostasis</w:t>
      </w:r>
      <w:proofErr w:type="spellEnd"/>
      <w:r w:rsidRPr="009C207F">
        <w:rPr>
          <w:color w:val="auto"/>
        </w:rPr>
        <w:t xml:space="preserve">. </w:t>
      </w:r>
      <w:r w:rsidRPr="009C207F">
        <w:rPr>
          <w:b/>
          <w:color w:val="auto"/>
        </w:rPr>
        <w:t>9</w:t>
      </w:r>
      <w:r w:rsidRPr="009C207F">
        <w:rPr>
          <w:color w:val="auto"/>
        </w:rPr>
        <w:t xml:space="preserve"> (8), 1673- 1676 (2011).</w:t>
      </w:r>
    </w:p>
    <w:p w14:paraId="1B742F58" w14:textId="77777777" w:rsidR="00117B5A" w:rsidRPr="009C207F" w:rsidRDefault="00117B5A" w:rsidP="00117B5A">
      <w:pPr>
        <w:pStyle w:val="ListParagraph"/>
        <w:numPr>
          <w:ilvl w:val="0"/>
          <w:numId w:val="35"/>
        </w:numPr>
        <w:ind w:left="0" w:firstLine="0"/>
        <w:contextualSpacing w:val="0"/>
        <w:rPr>
          <w:color w:val="auto"/>
        </w:rPr>
      </w:pPr>
      <w:proofErr w:type="spellStart"/>
      <w:r w:rsidRPr="009C207F">
        <w:rPr>
          <w:color w:val="auto"/>
        </w:rPr>
        <w:t>Biancotto</w:t>
      </w:r>
      <w:proofErr w:type="spellEnd"/>
      <w:r w:rsidRPr="009C207F">
        <w:rPr>
          <w:color w:val="auto"/>
        </w:rPr>
        <w:t xml:space="preserve">, A., Feng, X., </w:t>
      </w:r>
      <w:proofErr w:type="spellStart"/>
      <w:r w:rsidRPr="009C207F">
        <w:rPr>
          <w:color w:val="auto"/>
        </w:rPr>
        <w:t>Langweiler</w:t>
      </w:r>
      <w:proofErr w:type="spellEnd"/>
      <w:r w:rsidRPr="009C207F">
        <w:rPr>
          <w:color w:val="auto"/>
        </w:rPr>
        <w:t xml:space="preserve">, M., Young, N. S., McCoy, J. P. Effect of anticoagulants </w:t>
      </w:r>
      <w:r w:rsidRPr="009C207F">
        <w:rPr>
          <w:color w:val="auto"/>
        </w:rPr>
        <w:lastRenderedPageBreak/>
        <w:t xml:space="preserve">on multiplexed measurements of cytokine/chemokines in healthy subjects. </w:t>
      </w:r>
      <w:r w:rsidRPr="009C207F">
        <w:rPr>
          <w:i/>
          <w:color w:val="auto"/>
        </w:rPr>
        <w:t>Cytokine</w:t>
      </w:r>
      <w:r w:rsidRPr="009C207F">
        <w:rPr>
          <w:color w:val="auto"/>
        </w:rPr>
        <w:t xml:space="preserve">. </w:t>
      </w:r>
      <w:r w:rsidRPr="009C207F">
        <w:rPr>
          <w:b/>
          <w:color w:val="auto"/>
        </w:rPr>
        <w:t>60</w:t>
      </w:r>
      <w:r w:rsidRPr="009C207F">
        <w:rPr>
          <w:color w:val="auto"/>
        </w:rPr>
        <w:t>, 438-446 (2012).</w:t>
      </w:r>
    </w:p>
    <w:p w14:paraId="5348F88B" w14:textId="3B2E51BA" w:rsidR="00117B5A" w:rsidRDefault="00117B5A" w:rsidP="00117B5A">
      <w:pPr>
        <w:pStyle w:val="ListParagraph"/>
        <w:numPr>
          <w:ilvl w:val="0"/>
          <w:numId w:val="35"/>
        </w:numPr>
        <w:ind w:left="0" w:firstLine="0"/>
        <w:contextualSpacing w:val="0"/>
        <w:rPr>
          <w:color w:val="auto"/>
        </w:rPr>
      </w:pPr>
      <w:proofErr w:type="spellStart"/>
      <w:r w:rsidRPr="009C207F">
        <w:rPr>
          <w:color w:val="auto"/>
        </w:rPr>
        <w:t>Wawrzyniak</w:t>
      </w:r>
      <w:proofErr w:type="spellEnd"/>
      <w:r w:rsidRPr="009C207F">
        <w:rPr>
          <w:color w:val="auto"/>
        </w:rPr>
        <w:t xml:space="preserve">, R. et al. New plasma preparation approach to enrich metabolome coverage in untargeted metabolomics: plasma protein bound hydrophobic metabolite release with proteinase K. </w:t>
      </w:r>
      <w:r w:rsidRPr="00497956">
        <w:rPr>
          <w:i/>
          <w:iCs/>
          <w:color w:val="auto"/>
        </w:rPr>
        <w:t>Scientific Reports</w:t>
      </w:r>
      <w:r w:rsidRPr="009C207F">
        <w:rPr>
          <w:color w:val="auto"/>
        </w:rPr>
        <w:t xml:space="preserve">. </w:t>
      </w:r>
      <w:r w:rsidRPr="009C207F">
        <w:rPr>
          <w:b/>
          <w:color w:val="auto"/>
        </w:rPr>
        <w:t>8</w:t>
      </w:r>
      <w:r w:rsidRPr="009C207F">
        <w:rPr>
          <w:color w:val="auto"/>
        </w:rPr>
        <w:t>, 1-10 (2018).</w:t>
      </w:r>
    </w:p>
    <w:p w14:paraId="06FCB831" w14:textId="5FEEC6D7" w:rsidR="00FA11D8" w:rsidRPr="009C207F" w:rsidRDefault="009F2C37" w:rsidP="00117B5A">
      <w:pPr>
        <w:pStyle w:val="ListParagraph"/>
        <w:numPr>
          <w:ilvl w:val="0"/>
          <w:numId w:val="35"/>
        </w:numPr>
        <w:ind w:left="0" w:firstLine="0"/>
        <w:contextualSpacing w:val="0"/>
        <w:rPr>
          <w:color w:val="auto"/>
        </w:rPr>
      </w:pPr>
      <w:r>
        <w:rPr>
          <w:color w:val="auto"/>
        </w:rPr>
        <w:t xml:space="preserve">Duffy, D. et al. Standardized </w:t>
      </w:r>
      <w:r w:rsidR="00B44820">
        <w:rPr>
          <w:color w:val="auto"/>
        </w:rPr>
        <w:t xml:space="preserve">whole blood stimulation improves </w:t>
      </w:r>
      <w:proofErr w:type="spellStart"/>
      <w:r w:rsidR="00B44820">
        <w:rPr>
          <w:color w:val="auto"/>
        </w:rPr>
        <w:t>immunomonitoring</w:t>
      </w:r>
      <w:proofErr w:type="spellEnd"/>
      <w:r w:rsidR="00B44820">
        <w:rPr>
          <w:color w:val="auto"/>
        </w:rPr>
        <w:t xml:space="preserve"> of induced immune responses in multi-center study. </w:t>
      </w:r>
      <w:r w:rsidR="00B44820" w:rsidRPr="007A5AE6">
        <w:rPr>
          <w:i/>
          <w:iCs/>
          <w:color w:val="auto"/>
        </w:rPr>
        <w:t>Clinical Immunology</w:t>
      </w:r>
      <w:r w:rsidR="00497956">
        <w:rPr>
          <w:color w:val="auto"/>
        </w:rPr>
        <w:t xml:space="preserve">. </w:t>
      </w:r>
      <w:r w:rsidR="00353F54" w:rsidRPr="007A5AE6">
        <w:rPr>
          <w:b/>
          <w:bCs/>
          <w:color w:val="auto"/>
        </w:rPr>
        <w:t>183</w:t>
      </w:r>
      <w:r w:rsidR="00353F54">
        <w:rPr>
          <w:color w:val="auto"/>
        </w:rPr>
        <w:t xml:space="preserve">, </w:t>
      </w:r>
      <w:r w:rsidR="007A5AE6">
        <w:rPr>
          <w:color w:val="auto"/>
        </w:rPr>
        <w:t>325-335 (2017).</w:t>
      </w:r>
    </w:p>
    <w:p w14:paraId="3173C177" w14:textId="7149FE59" w:rsidR="00117B5A" w:rsidRPr="009C207F" w:rsidRDefault="00117B5A" w:rsidP="00117B5A">
      <w:pPr>
        <w:pStyle w:val="ListParagraph"/>
        <w:numPr>
          <w:ilvl w:val="0"/>
          <w:numId w:val="35"/>
        </w:numPr>
        <w:ind w:left="0" w:firstLine="0"/>
        <w:contextualSpacing w:val="0"/>
        <w:rPr>
          <w:color w:val="auto"/>
        </w:rPr>
      </w:pPr>
      <w:r w:rsidRPr="009C207F">
        <w:rPr>
          <w:color w:val="auto"/>
        </w:rPr>
        <w:t xml:space="preserve">Wang, L. et al. Standardization of cryopreserved peripheral blood mononuclear cells through a resting process for clinical </w:t>
      </w:r>
      <w:proofErr w:type="spellStart"/>
      <w:r w:rsidRPr="009C207F">
        <w:rPr>
          <w:color w:val="auto"/>
        </w:rPr>
        <w:t>immunomonitoring</w:t>
      </w:r>
      <w:proofErr w:type="spellEnd"/>
      <w:r w:rsidRPr="009C207F">
        <w:rPr>
          <w:color w:val="auto"/>
        </w:rPr>
        <w:t xml:space="preserve">- development of an algorithm. </w:t>
      </w:r>
      <w:r w:rsidRPr="009C207F">
        <w:rPr>
          <w:i/>
          <w:color w:val="auto"/>
        </w:rPr>
        <w:t>Cytometry A Clinical Cytometry</w:t>
      </w:r>
      <w:r w:rsidRPr="009C207F">
        <w:rPr>
          <w:color w:val="auto"/>
        </w:rPr>
        <w:t xml:space="preserve">. </w:t>
      </w:r>
      <w:r w:rsidRPr="009C207F">
        <w:rPr>
          <w:b/>
          <w:color w:val="auto"/>
        </w:rPr>
        <w:t>89</w:t>
      </w:r>
      <w:r w:rsidRPr="009C207F">
        <w:rPr>
          <w:color w:val="auto"/>
        </w:rPr>
        <w:t>, 246-258 (2016).</w:t>
      </w:r>
    </w:p>
    <w:p w14:paraId="40D1CB52" w14:textId="5829AFE3" w:rsidR="00117B5A" w:rsidRPr="009C207F" w:rsidRDefault="00117B5A" w:rsidP="00117B5A">
      <w:pPr>
        <w:pStyle w:val="ListParagraph"/>
        <w:numPr>
          <w:ilvl w:val="0"/>
          <w:numId w:val="35"/>
        </w:numPr>
        <w:ind w:left="0" w:firstLine="0"/>
        <w:contextualSpacing w:val="0"/>
        <w:rPr>
          <w:color w:val="auto"/>
        </w:rPr>
      </w:pPr>
      <w:proofErr w:type="spellStart"/>
      <w:r w:rsidRPr="009C207F">
        <w:rPr>
          <w:color w:val="auto"/>
        </w:rPr>
        <w:t>Whiteaker</w:t>
      </w:r>
      <w:proofErr w:type="spellEnd"/>
      <w:r w:rsidRPr="009C207F">
        <w:rPr>
          <w:color w:val="auto"/>
        </w:rPr>
        <w:t xml:space="preserve">, J. R. et al. Targeted mass spectrometry enables robust quantification of FANCD2 mono-ubiquitination in response to DNA damage. </w:t>
      </w:r>
      <w:r w:rsidRPr="009C207F">
        <w:rPr>
          <w:i/>
          <w:color w:val="auto"/>
        </w:rPr>
        <w:t xml:space="preserve">DNA </w:t>
      </w:r>
      <w:r w:rsidR="00F720DF">
        <w:rPr>
          <w:i/>
          <w:color w:val="auto"/>
        </w:rPr>
        <w:t>R</w:t>
      </w:r>
      <w:r w:rsidRPr="009C207F">
        <w:rPr>
          <w:i/>
          <w:color w:val="auto"/>
        </w:rPr>
        <w:t>epair</w:t>
      </w:r>
      <w:r w:rsidRPr="009C207F">
        <w:rPr>
          <w:color w:val="auto"/>
        </w:rPr>
        <w:t xml:space="preserve">. </w:t>
      </w:r>
      <w:r w:rsidRPr="009C207F">
        <w:rPr>
          <w:b/>
          <w:color w:val="auto"/>
        </w:rPr>
        <w:t>65</w:t>
      </w:r>
      <w:r w:rsidRPr="009C207F">
        <w:rPr>
          <w:color w:val="auto"/>
        </w:rPr>
        <w:t>, 47-53 (2018).</w:t>
      </w:r>
    </w:p>
    <w:p w14:paraId="4B71E181" w14:textId="77777777" w:rsidR="00117B5A" w:rsidRPr="00E339AA" w:rsidRDefault="00117B5A" w:rsidP="00117B5A">
      <w:pPr>
        <w:pStyle w:val="ListParagraph"/>
        <w:numPr>
          <w:ilvl w:val="0"/>
          <w:numId w:val="35"/>
        </w:numPr>
        <w:ind w:left="0" w:firstLine="0"/>
        <w:contextualSpacing w:val="0"/>
        <w:rPr>
          <w:color w:val="auto"/>
        </w:rPr>
      </w:pPr>
      <w:r w:rsidRPr="00E339AA">
        <w:rPr>
          <w:color w:val="auto"/>
        </w:rPr>
        <w:t xml:space="preserve">Lam, N. Y., Rainer, T. H., Chiu, R. W., Lo, Y. M. EDTA is a better anticoagulant than heparin or citrate for delayed blood processing for plasma DNA analysis. </w:t>
      </w:r>
      <w:r w:rsidRPr="00E339AA">
        <w:rPr>
          <w:i/>
          <w:color w:val="auto"/>
        </w:rPr>
        <w:t>Clinical Chemistry</w:t>
      </w:r>
      <w:r w:rsidRPr="00E339AA">
        <w:rPr>
          <w:color w:val="auto"/>
        </w:rPr>
        <w:t xml:space="preserve">. </w:t>
      </w:r>
      <w:r w:rsidRPr="00E339AA">
        <w:rPr>
          <w:b/>
          <w:color w:val="auto"/>
        </w:rPr>
        <w:t>50</w:t>
      </w:r>
      <w:r w:rsidRPr="00E339AA">
        <w:rPr>
          <w:color w:val="auto"/>
        </w:rPr>
        <w:t>, 256-257 (2004).</w:t>
      </w:r>
    </w:p>
    <w:p w14:paraId="255B75A4" w14:textId="06E21296" w:rsidR="008010E4" w:rsidRPr="00117B5A" w:rsidRDefault="00117B5A" w:rsidP="00117B5A">
      <w:pPr>
        <w:pStyle w:val="ListParagraph"/>
        <w:numPr>
          <w:ilvl w:val="0"/>
          <w:numId w:val="35"/>
        </w:numPr>
        <w:ind w:left="0" w:firstLine="0"/>
        <w:contextualSpacing w:val="0"/>
        <w:rPr>
          <w:color w:val="auto"/>
        </w:rPr>
      </w:pPr>
      <w:proofErr w:type="spellStart"/>
      <w:r w:rsidRPr="00E339AA">
        <w:rPr>
          <w:color w:val="auto"/>
        </w:rPr>
        <w:t>Parpart</w:t>
      </w:r>
      <w:proofErr w:type="spellEnd"/>
      <w:r w:rsidRPr="00E339AA">
        <w:rPr>
          <w:color w:val="auto"/>
        </w:rPr>
        <w:t xml:space="preserve">-Li, S. et al. The effect of preservative and temperature on the analysis of circulating tumor DNA. </w:t>
      </w:r>
      <w:r w:rsidRPr="00E339AA">
        <w:rPr>
          <w:i/>
          <w:color w:val="auto"/>
        </w:rPr>
        <w:t>Clinical Cancer Research</w:t>
      </w:r>
      <w:r w:rsidRPr="00E339AA">
        <w:rPr>
          <w:color w:val="auto"/>
        </w:rPr>
        <w:t xml:space="preserve">. </w:t>
      </w:r>
      <w:r w:rsidRPr="00E339AA">
        <w:rPr>
          <w:b/>
          <w:color w:val="auto"/>
        </w:rPr>
        <w:t>23</w:t>
      </w:r>
      <w:r w:rsidRPr="00E339AA">
        <w:rPr>
          <w:color w:val="auto"/>
        </w:rPr>
        <w:t xml:space="preserve"> (10), 2471-2477 (2017).</w:t>
      </w:r>
    </w:p>
    <w:sectPr w:rsidR="008010E4" w:rsidRPr="00117B5A"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D4042" w14:textId="77777777" w:rsidR="0056167A" w:rsidRDefault="0056167A" w:rsidP="00621C4E">
      <w:r>
        <w:separator/>
      </w:r>
    </w:p>
  </w:endnote>
  <w:endnote w:type="continuationSeparator" w:id="0">
    <w:p w14:paraId="39C29D9D" w14:textId="77777777" w:rsidR="0056167A" w:rsidRDefault="0056167A" w:rsidP="00621C4E">
      <w:r>
        <w:continuationSeparator/>
      </w:r>
    </w:p>
  </w:endnote>
  <w:endnote w:type="continuationNotice" w:id="1">
    <w:p w14:paraId="0A15D81F" w14:textId="77777777" w:rsidR="0056167A" w:rsidRDefault="00561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AdvCaeciliaBdI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D5DBFA6" w:rsidR="002E63C2" w:rsidRDefault="002E63C2">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2E63C2" w:rsidRPr="00494F77" w:rsidRDefault="002E63C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E63C2" w:rsidRDefault="002E63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7ED76" w14:textId="77777777" w:rsidR="0056167A" w:rsidRDefault="0056167A" w:rsidP="00621C4E">
      <w:r>
        <w:separator/>
      </w:r>
    </w:p>
  </w:footnote>
  <w:footnote w:type="continuationSeparator" w:id="0">
    <w:p w14:paraId="76AB57BC" w14:textId="77777777" w:rsidR="0056167A" w:rsidRDefault="0056167A" w:rsidP="00621C4E">
      <w:r>
        <w:continuationSeparator/>
      </w:r>
    </w:p>
  </w:footnote>
  <w:footnote w:type="continuationNotice" w:id="1">
    <w:p w14:paraId="2BE359DD" w14:textId="77777777" w:rsidR="0056167A" w:rsidRDefault="00561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E63C2" w:rsidRPr="006F06E4" w:rsidRDefault="002E63C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8DDEE2A" w:rsidR="002E63C2" w:rsidRPr="006F06E4" w:rsidRDefault="002E63C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C96"/>
    <w:multiLevelType w:val="hybridMultilevel"/>
    <w:tmpl w:val="9E606128"/>
    <w:lvl w:ilvl="0" w:tplc="811EF70E">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31EA4"/>
    <w:multiLevelType w:val="hybridMultilevel"/>
    <w:tmpl w:val="5D62E554"/>
    <w:lvl w:ilvl="0" w:tplc="E54404EE">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7140C"/>
    <w:multiLevelType w:val="multilevel"/>
    <w:tmpl w:val="A802F310"/>
    <w:lvl w:ilvl="0">
      <w:start w:val="6"/>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813B3"/>
    <w:multiLevelType w:val="hybridMultilevel"/>
    <w:tmpl w:val="B75E4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2EFB"/>
    <w:multiLevelType w:val="multilevel"/>
    <w:tmpl w:val="3FC017E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E506C0"/>
    <w:multiLevelType w:val="multilevel"/>
    <w:tmpl w:val="6A1C3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C1F63"/>
    <w:multiLevelType w:val="hybridMultilevel"/>
    <w:tmpl w:val="CE123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978F9"/>
    <w:multiLevelType w:val="hybridMultilevel"/>
    <w:tmpl w:val="4EAC9B12"/>
    <w:lvl w:ilvl="0" w:tplc="883C10D0">
      <w:start w:val="1"/>
      <w:numFmt w:val="decimal"/>
      <w:lvlText w:val="3.%1."/>
      <w:lvlJc w:val="left"/>
      <w:pPr>
        <w:ind w:left="720" w:hanging="360"/>
      </w:pPr>
      <w:rPr>
        <w:rFonts w:hint="default"/>
      </w:rPr>
    </w:lvl>
    <w:lvl w:ilvl="1" w:tplc="473677BE">
      <w:start w:val="1"/>
      <w:numFmt w:val="decimal"/>
      <w:lvlText w:val="3.4.%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44E65"/>
    <w:multiLevelType w:val="multilevel"/>
    <w:tmpl w:val="8A426F5A"/>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706BC"/>
    <w:multiLevelType w:val="hybridMultilevel"/>
    <w:tmpl w:val="8820CB1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55115"/>
    <w:multiLevelType w:val="hybridMultilevel"/>
    <w:tmpl w:val="9E9AFEF8"/>
    <w:lvl w:ilvl="0" w:tplc="140A20D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F45C4"/>
    <w:multiLevelType w:val="hybridMultilevel"/>
    <w:tmpl w:val="6034447C"/>
    <w:lvl w:ilvl="0" w:tplc="6188F3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2675908"/>
    <w:multiLevelType w:val="hybridMultilevel"/>
    <w:tmpl w:val="3DEE4D9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643B07"/>
    <w:multiLevelType w:val="multilevel"/>
    <w:tmpl w:val="7AC075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A24897"/>
    <w:multiLevelType w:val="hybridMultilevel"/>
    <w:tmpl w:val="7CA42052"/>
    <w:lvl w:ilvl="0" w:tplc="B07E4294">
      <w:start w:val="1"/>
      <w:numFmt w:val="decimal"/>
      <w:lvlText w:val="2.%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41"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0"/>
  </w:num>
  <w:num w:numId="3">
    <w:abstractNumId w:val="9"/>
  </w:num>
  <w:num w:numId="4">
    <w:abstractNumId w:val="28"/>
  </w:num>
  <w:num w:numId="5">
    <w:abstractNumId w:val="20"/>
  </w:num>
  <w:num w:numId="6">
    <w:abstractNumId w:val="27"/>
  </w:num>
  <w:num w:numId="7">
    <w:abstractNumId w:val="1"/>
  </w:num>
  <w:num w:numId="8">
    <w:abstractNumId w:val="22"/>
  </w:num>
  <w:num w:numId="9">
    <w:abstractNumId w:val="23"/>
  </w:num>
  <w:num w:numId="10">
    <w:abstractNumId w:val="29"/>
  </w:num>
  <w:num w:numId="11">
    <w:abstractNumId w:val="35"/>
  </w:num>
  <w:num w:numId="12">
    <w:abstractNumId w:val="6"/>
  </w:num>
  <w:num w:numId="13">
    <w:abstractNumId w:val="31"/>
  </w:num>
  <w:num w:numId="14">
    <w:abstractNumId w:val="42"/>
  </w:num>
  <w:num w:numId="15">
    <w:abstractNumId w:val="24"/>
  </w:num>
  <w:num w:numId="16">
    <w:abstractNumId w:val="18"/>
  </w:num>
  <w:num w:numId="17">
    <w:abstractNumId w:val="33"/>
  </w:num>
  <w:num w:numId="18">
    <w:abstractNumId w:val="25"/>
  </w:num>
  <w:num w:numId="19">
    <w:abstractNumId w:val="37"/>
  </w:num>
  <w:num w:numId="20">
    <w:abstractNumId w:val="7"/>
  </w:num>
  <w:num w:numId="21">
    <w:abstractNumId w:val="38"/>
  </w:num>
  <w:num w:numId="22">
    <w:abstractNumId w:val="36"/>
  </w:num>
  <w:num w:numId="23">
    <w:abstractNumId w:val="26"/>
  </w:num>
  <w:num w:numId="24">
    <w:abstractNumId w:val="43"/>
  </w:num>
  <w:num w:numId="25">
    <w:abstractNumId w:val="14"/>
  </w:num>
  <w:num w:numId="26">
    <w:abstractNumId w:val="4"/>
  </w:num>
  <w:num w:numId="27">
    <w:abstractNumId w:val="11"/>
  </w:num>
  <w:num w:numId="28">
    <w:abstractNumId w:val="44"/>
  </w:num>
  <w:num w:numId="29">
    <w:abstractNumId w:val="21"/>
  </w:num>
  <w:num w:numId="30">
    <w:abstractNumId w:val="0"/>
  </w:num>
  <w:num w:numId="31">
    <w:abstractNumId w:val="40"/>
  </w:num>
  <w:num w:numId="32">
    <w:abstractNumId w:val="13"/>
  </w:num>
  <w:num w:numId="33">
    <w:abstractNumId w:val="16"/>
  </w:num>
  <w:num w:numId="34">
    <w:abstractNumId w:val="34"/>
  </w:num>
  <w:num w:numId="35">
    <w:abstractNumId w:val="19"/>
  </w:num>
  <w:num w:numId="36">
    <w:abstractNumId w:val="32"/>
  </w:num>
  <w:num w:numId="37">
    <w:abstractNumId w:val="2"/>
  </w:num>
  <w:num w:numId="38">
    <w:abstractNumId w:val="5"/>
  </w:num>
  <w:num w:numId="39">
    <w:abstractNumId w:val="15"/>
  </w:num>
  <w:num w:numId="40">
    <w:abstractNumId w:val="8"/>
  </w:num>
  <w:num w:numId="41">
    <w:abstractNumId w:val="39"/>
  </w:num>
  <w:num w:numId="42">
    <w:abstractNumId w:val="3"/>
  </w:num>
  <w:num w:numId="43">
    <w:abstractNumId w:val="17"/>
  </w:num>
  <w:num w:numId="44">
    <w:abstractNumId w:val="12"/>
  </w:num>
  <w:num w:numId="45">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5D"/>
    <w:rsid w:val="00000965"/>
    <w:rsid w:val="00001142"/>
    <w:rsid w:val="00001169"/>
    <w:rsid w:val="00001806"/>
    <w:rsid w:val="00002660"/>
    <w:rsid w:val="00002DCA"/>
    <w:rsid w:val="000046B4"/>
    <w:rsid w:val="000053E3"/>
    <w:rsid w:val="00005815"/>
    <w:rsid w:val="00006E68"/>
    <w:rsid w:val="00007BCA"/>
    <w:rsid w:val="00007DBC"/>
    <w:rsid w:val="00007EA1"/>
    <w:rsid w:val="00010098"/>
    <w:rsid w:val="000100F0"/>
    <w:rsid w:val="000128FC"/>
    <w:rsid w:val="000129B2"/>
    <w:rsid w:val="00012B42"/>
    <w:rsid w:val="00012FF9"/>
    <w:rsid w:val="00013697"/>
    <w:rsid w:val="0001389C"/>
    <w:rsid w:val="00014314"/>
    <w:rsid w:val="000144D8"/>
    <w:rsid w:val="000159BC"/>
    <w:rsid w:val="00016ACE"/>
    <w:rsid w:val="0002035F"/>
    <w:rsid w:val="000212AE"/>
    <w:rsid w:val="00021434"/>
    <w:rsid w:val="00021774"/>
    <w:rsid w:val="00021DF3"/>
    <w:rsid w:val="00023869"/>
    <w:rsid w:val="00023EB8"/>
    <w:rsid w:val="00024598"/>
    <w:rsid w:val="00024F9A"/>
    <w:rsid w:val="000254C8"/>
    <w:rsid w:val="000279B0"/>
    <w:rsid w:val="00030C25"/>
    <w:rsid w:val="00031679"/>
    <w:rsid w:val="00031A14"/>
    <w:rsid w:val="00032769"/>
    <w:rsid w:val="0003311E"/>
    <w:rsid w:val="0003399B"/>
    <w:rsid w:val="00035D48"/>
    <w:rsid w:val="00036138"/>
    <w:rsid w:val="00037B58"/>
    <w:rsid w:val="0004054A"/>
    <w:rsid w:val="00042995"/>
    <w:rsid w:val="00042E53"/>
    <w:rsid w:val="00044522"/>
    <w:rsid w:val="00044F91"/>
    <w:rsid w:val="000461F8"/>
    <w:rsid w:val="00046C62"/>
    <w:rsid w:val="000504F3"/>
    <w:rsid w:val="00051B73"/>
    <w:rsid w:val="00054A2C"/>
    <w:rsid w:val="000554E5"/>
    <w:rsid w:val="00055790"/>
    <w:rsid w:val="000563E9"/>
    <w:rsid w:val="000575CF"/>
    <w:rsid w:val="00060ABE"/>
    <w:rsid w:val="00060E8C"/>
    <w:rsid w:val="00061437"/>
    <w:rsid w:val="00061A50"/>
    <w:rsid w:val="00062251"/>
    <w:rsid w:val="00063257"/>
    <w:rsid w:val="0006361B"/>
    <w:rsid w:val="00064104"/>
    <w:rsid w:val="000643E0"/>
    <w:rsid w:val="00064F32"/>
    <w:rsid w:val="000652E3"/>
    <w:rsid w:val="00066025"/>
    <w:rsid w:val="00066217"/>
    <w:rsid w:val="00066587"/>
    <w:rsid w:val="00067262"/>
    <w:rsid w:val="00067A8F"/>
    <w:rsid w:val="000701D1"/>
    <w:rsid w:val="00070A38"/>
    <w:rsid w:val="00070E38"/>
    <w:rsid w:val="000747FA"/>
    <w:rsid w:val="000768CA"/>
    <w:rsid w:val="000775F3"/>
    <w:rsid w:val="00080252"/>
    <w:rsid w:val="00080A20"/>
    <w:rsid w:val="0008145E"/>
    <w:rsid w:val="0008153E"/>
    <w:rsid w:val="0008229A"/>
    <w:rsid w:val="00082796"/>
    <w:rsid w:val="00082DF4"/>
    <w:rsid w:val="00083EE3"/>
    <w:rsid w:val="00084215"/>
    <w:rsid w:val="00084A27"/>
    <w:rsid w:val="00085095"/>
    <w:rsid w:val="00086735"/>
    <w:rsid w:val="000869B7"/>
    <w:rsid w:val="00086E82"/>
    <w:rsid w:val="00086FF5"/>
    <w:rsid w:val="00087216"/>
    <w:rsid w:val="000872EA"/>
    <w:rsid w:val="00087C0A"/>
    <w:rsid w:val="00090584"/>
    <w:rsid w:val="00091788"/>
    <w:rsid w:val="00093908"/>
    <w:rsid w:val="00093BC4"/>
    <w:rsid w:val="000943E6"/>
    <w:rsid w:val="000945E5"/>
    <w:rsid w:val="00096043"/>
    <w:rsid w:val="00097929"/>
    <w:rsid w:val="00097DA4"/>
    <w:rsid w:val="00097F35"/>
    <w:rsid w:val="000A0944"/>
    <w:rsid w:val="000A0FB7"/>
    <w:rsid w:val="000A1E80"/>
    <w:rsid w:val="000A236B"/>
    <w:rsid w:val="000A2482"/>
    <w:rsid w:val="000A2F11"/>
    <w:rsid w:val="000A3697"/>
    <w:rsid w:val="000A3B70"/>
    <w:rsid w:val="000A4156"/>
    <w:rsid w:val="000A4C1E"/>
    <w:rsid w:val="000A5153"/>
    <w:rsid w:val="000A5DB8"/>
    <w:rsid w:val="000A5EFB"/>
    <w:rsid w:val="000A687C"/>
    <w:rsid w:val="000A6A9D"/>
    <w:rsid w:val="000B10AE"/>
    <w:rsid w:val="000B26EE"/>
    <w:rsid w:val="000B2F85"/>
    <w:rsid w:val="000B30BF"/>
    <w:rsid w:val="000B566B"/>
    <w:rsid w:val="000B57A8"/>
    <w:rsid w:val="000B584C"/>
    <w:rsid w:val="000B595C"/>
    <w:rsid w:val="000B662E"/>
    <w:rsid w:val="000B7294"/>
    <w:rsid w:val="000B75D0"/>
    <w:rsid w:val="000C019F"/>
    <w:rsid w:val="000C0EAF"/>
    <w:rsid w:val="000C18ED"/>
    <w:rsid w:val="000C1CF8"/>
    <w:rsid w:val="000C1F38"/>
    <w:rsid w:val="000C25D3"/>
    <w:rsid w:val="000C49CF"/>
    <w:rsid w:val="000C52E9"/>
    <w:rsid w:val="000C5B8B"/>
    <w:rsid w:val="000C5CDC"/>
    <w:rsid w:val="000C65DC"/>
    <w:rsid w:val="000C66F3"/>
    <w:rsid w:val="000C6900"/>
    <w:rsid w:val="000D0F3A"/>
    <w:rsid w:val="000D1C43"/>
    <w:rsid w:val="000D1DF5"/>
    <w:rsid w:val="000D28BF"/>
    <w:rsid w:val="000D2F52"/>
    <w:rsid w:val="000D31E8"/>
    <w:rsid w:val="000D4EE3"/>
    <w:rsid w:val="000D6142"/>
    <w:rsid w:val="000D73B3"/>
    <w:rsid w:val="000D76E4"/>
    <w:rsid w:val="000E001A"/>
    <w:rsid w:val="000E2224"/>
    <w:rsid w:val="000E3816"/>
    <w:rsid w:val="000E4632"/>
    <w:rsid w:val="000E4F77"/>
    <w:rsid w:val="000E54F5"/>
    <w:rsid w:val="000E5ADF"/>
    <w:rsid w:val="000E5B93"/>
    <w:rsid w:val="000E6B02"/>
    <w:rsid w:val="000E72AC"/>
    <w:rsid w:val="000F05E4"/>
    <w:rsid w:val="000F1010"/>
    <w:rsid w:val="000F10DD"/>
    <w:rsid w:val="000F265C"/>
    <w:rsid w:val="000F2D3F"/>
    <w:rsid w:val="000F3AFA"/>
    <w:rsid w:val="000F4DEA"/>
    <w:rsid w:val="000F5712"/>
    <w:rsid w:val="000F5D6A"/>
    <w:rsid w:val="000F6611"/>
    <w:rsid w:val="000F708B"/>
    <w:rsid w:val="000F7E22"/>
    <w:rsid w:val="0010000D"/>
    <w:rsid w:val="001015B3"/>
    <w:rsid w:val="00102D44"/>
    <w:rsid w:val="00104A11"/>
    <w:rsid w:val="00106B4B"/>
    <w:rsid w:val="00107554"/>
    <w:rsid w:val="001075E9"/>
    <w:rsid w:val="00107C2F"/>
    <w:rsid w:val="001104F3"/>
    <w:rsid w:val="00111B89"/>
    <w:rsid w:val="00112407"/>
    <w:rsid w:val="00112EEB"/>
    <w:rsid w:val="0011488D"/>
    <w:rsid w:val="001169F8"/>
    <w:rsid w:val="00116A98"/>
    <w:rsid w:val="00116CA4"/>
    <w:rsid w:val="001173FF"/>
    <w:rsid w:val="00117B5A"/>
    <w:rsid w:val="00120443"/>
    <w:rsid w:val="0012078A"/>
    <w:rsid w:val="00121187"/>
    <w:rsid w:val="00122C72"/>
    <w:rsid w:val="00124211"/>
    <w:rsid w:val="00124351"/>
    <w:rsid w:val="001243C0"/>
    <w:rsid w:val="0012563A"/>
    <w:rsid w:val="001257F2"/>
    <w:rsid w:val="00125B4A"/>
    <w:rsid w:val="001264DE"/>
    <w:rsid w:val="001313A7"/>
    <w:rsid w:val="0013276F"/>
    <w:rsid w:val="001342B5"/>
    <w:rsid w:val="00134C11"/>
    <w:rsid w:val="00135DED"/>
    <w:rsid w:val="00136131"/>
    <w:rsid w:val="0013621E"/>
    <w:rsid w:val="0013642E"/>
    <w:rsid w:val="0013672E"/>
    <w:rsid w:val="00137769"/>
    <w:rsid w:val="001379DC"/>
    <w:rsid w:val="0014113B"/>
    <w:rsid w:val="00141DD1"/>
    <w:rsid w:val="00142EFE"/>
    <w:rsid w:val="00150804"/>
    <w:rsid w:val="00151B15"/>
    <w:rsid w:val="00152196"/>
    <w:rsid w:val="00152A23"/>
    <w:rsid w:val="00153563"/>
    <w:rsid w:val="00153C0A"/>
    <w:rsid w:val="00155FE9"/>
    <w:rsid w:val="00156B11"/>
    <w:rsid w:val="00161AC1"/>
    <w:rsid w:val="00161FB8"/>
    <w:rsid w:val="0016290C"/>
    <w:rsid w:val="00162CB7"/>
    <w:rsid w:val="00165D84"/>
    <w:rsid w:val="001665C9"/>
    <w:rsid w:val="00166B34"/>
    <w:rsid w:val="00166F32"/>
    <w:rsid w:val="00167B39"/>
    <w:rsid w:val="00170132"/>
    <w:rsid w:val="001718C0"/>
    <w:rsid w:val="00171E5B"/>
    <w:rsid w:val="00171F94"/>
    <w:rsid w:val="00172313"/>
    <w:rsid w:val="00173993"/>
    <w:rsid w:val="00174219"/>
    <w:rsid w:val="00175D4E"/>
    <w:rsid w:val="0017668A"/>
    <w:rsid w:val="001766FE"/>
    <w:rsid w:val="00177028"/>
    <w:rsid w:val="001771E7"/>
    <w:rsid w:val="00177F3F"/>
    <w:rsid w:val="00177F79"/>
    <w:rsid w:val="00183848"/>
    <w:rsid w:val="001838BF"/>
    <w:rsid w:val="00184ACD"/>
    <w:rsid w:val="00184BD8"/>
    <w:rsid w:val="00184CF1"/>
    <w:rsid w:val="00186DFF"/>
    <w:rsid w:val="00190018"/>
    <w:rsid w:val="001911FF"/>
    <w:rsid w:val="00192006"/>
    <w:rsid w:val="00193180"/>
    <w:rsid w:val="0019530C"/>
    <w:rsid w:val="001953E6"/>
    <w:rsid w:val="00196792"/>
    <w:rsid w:val="00196CAF"/>
    <w:rsid w:val="00196DE4"/>
    <w:rsid w:val="00197418"/>
    <w:rsid w:val="001976F6"/>
    <w:rsid w:val="00197743"/>
    <w:rsid w:val="001A0908"/>
    <w:rsid w:val="001A0958"/>
    <w:rsid w:val="001A1BE7"/>
    <w:rsid w:val="001A216C"/>
    <w:rsid w:val="001A267E"/>
    <w:rsid w:val="001A2789"/>
    <w:rsid w:val="001A2B4D"/>
    <w:rsid w:val="001A37C0"/>
    <w:rsid w:val="001A54E7"/>
    <w:rsid w:val="001A5FCF"/>
    <w:rsid w:val="001A62A1"/>
    <w:rsid w:val="001A6315"/>
    <w:rsid w:val="001A7623"/>
    <w:rsid w:val="001A79D4"/>
    <w:rsid w:val="001A7CF4"/>
    <w:rsid w:val="001B1519"/>
    <w:rsid w:val="001B188E"/>
    <w:rsid w:val="001B2E2D"/>
    <w:rsid w:val="001B5CD2"/>
    <w:rsid w:val="001B63E7"/>
    <w:rsid w:val="001B6E24"/>
    <w:rsid w:val="001C0BEE"/>
    <w:rsid w:val="001C1E49"/>
    <w:rsid w:val="001C27C1"/>
    <w:rsid w:val="001C2A98"/>
    <w:rsid w:val="001C3222"/>
    <w:rsid w:val="001C38EC"/>
    <w:rsid w:val="001C3B86"/>
    <w:rsid w:val="001C4265"/>
    <w:rsid w:val="001C45C0"/>
    <w:rsid w:val="001C468B"/>
    <w:rsid w:val="001C47EC"/>
    <w:rsid w:val="001C48C7"/>
    <w:rsid w:val="001C4D95"/>
    <w:rsid w:val="001D0AB2"/>
    <w:rsid w:val="001D3D7D"/>
    <w:rsid w:val="001D3FFF"/>
    <w:rsid w:val="001D4997"/>
    <w:rsid w:val="001D55F6"/>
    <w:rsid w:val="001D5688"/>
    <w:rsid w:val="001D5980"/>
    <w:rsid w:val="001D625F"/>
    <w:rsid w:val="001D68A4"/>
    <w:rsid w:val="001D6D0E"/>
    <w:rsid w:val="001D7576"/>
    <w:rsid w:val="001E0D86"/>
    <w:rsid w:val="001E0E3F"/>
    <w:rsid w:val="001E14A0"/>
    <w:rsid w:val="001E17F5"/>
    <w:rsid w:val="001E2313"/>
    <w:rsid w:val="001E23E5"/>
    <w:rsid w:val="001E24A1"/>
    <w:rsid w:val="001E298D"/>
    <w:rsid w:val="001E2E0F"/>
    <w:rsid w:val="001E3350"/>
    <w:rsid w:val="001E3399"/>
    <w:rsid w:val="001E3C17"/>
    <w:rsid w:val="001E5470"/>
    <w:rsid w:val="001E6A35"/>
    <w:rsid w:val="001E7376"/>
    <w:rsid w:val="001E7641"/>
    <w:rsid w:val="001F00B3"/>
    <w:rsid w:val="001F0952"/>
    <w:rsid w:val="001F225C"/>
    <w:rsid w:val="001F365B"/>
    <w:rsid w:val="001F670D"/>
    <w:rsid w:val="001F69AF"/>
    <w:rsid w:val="001F7354"/>
    <w:rsid w:val="001F7AA7"/>
    <w:rsid w:val="001F7B9A"/>
    <w:rsid w:val="0020016E"/>
    <w:rsid w:val="00200792"/>
    <w:rsid w:val="00201A31"/>
    <w:rsid w:val="00201CFA"/>
    <w:rsid w:val="0020220D"/>
    <w:rsid w:val="00202448"/>
    <w:rsid w:val="00202D15"/>
    <w:rsid w:val="00203015"/>
    <w:rsid w:val="00205863"/>
    <w:rsid w:val="002058B4"/>
    <w:rsid w:val="00205B3F"/>
    <w:rsid w:val="00206DCA"/>
    <w:rsid w:val="0020738A"/>
    <w:rsid w:val="002078EE"/>
    <w:rsid w:val="00210595"/>
    <w:rsid w:val="00210BCE"/>
    <w:rsid w:val="00210EDE"/>
    <w:rsid w:val="00212314"/>
    <w:rsid w:val="00212D29"/>
    <w:rsid w:val="00212EAE"/>
    <w:rsid w:val="00213313"/>
    <w:rsid w:val="00213D19"/>
    <w:rsid w:val="0021488E"/>
    <w:rsid w:val="00214BEE"/>
    <w:rsid w:val="002205B8"/>
    <w:rsid w:val="002211D5"/>
    <w:rsid w:val="0022294B"/>
    <w:rsid w:val="00225720"/>
    <w:rsid w:val="002259E5"/>
    <w:rsid w:val="00226140"/>
    <w:rsid w:val="002273D7"/>
    <w:rsid w:val="002274F3"/>
    <w:rsid w:val="00227E3A"/>
    <w:rsid w:val="00227EE2"/>
    <w:rsid w:val="0023094C"/>
    <w:rsid w:val="00233484"/>
    <w:rsid w:val="00234303"/>
    <w:rsid w:val="00234BE3"/>
    <w:rsid w:val="00235871"/>
    <w:rsid w:val="00235A90"/>
    <w:rsid w:val="0023624F"/>
    <w:rsid w:val="00241A8D"/>
    <w:rsid w:val="00241E48"/>
    <w:rsid w:val="0024214E"/>
    <w:rsid w:val="00242623"/>
    <w:rsid w:val="002434AB"/>
    <w:rsid w:val="00244389"/>
    <w:rsid w:val="002445FE"/>
    <w:rsid w:val="00244FB7"/>
    <w:rsid w:val="002452BB"/>
    <w:rsid w:val="00246AAA"/>
    <w:rsid w:val="00246F93"/>
    <w:rsid w:val="002470E3"/>
    <w:rsid w:val="00247809"/>
    <w:rsid w:val="002478F9"/>
    <w:rsid w:val="00250558"/>
    <w:rsid w:val="00250C2A"/>
    <w:rsid w:val="00253318"/>
    <w:rsid w:val="0025357C"/>
    <w:rsid w:val="0025793A"/>
    <w:rsid w:val="002605D1"/>
    <w:rsid w:val="00260652"/>
    <w:rsid w:val="00260A8E"/>
    <w:rsid w:val="00260E5A"/>
    <w:rsid w:val="00261E9A"/>
    <w:rsid w:val="00261EAA"/>
    <w:rsid w:val="00261F25"/>
    <w:rsid w:val="00262741"/>
    <w:rsid w:val="00263D2A"/>
    <w:rsid w:val="002648A9"/>
    <w:rsid w:val="0026536F"/>
    <w:rsid w:val="0026553C"/>
    <w:rsid w:val="00265A5B"/>
    <w:rsid w:val="00265E2B"/>
    <w:rsid w:val="00265FDD"/>
    <w:rsid w:val="002661A0"/>
    <w:rsid w:val="00266823"/>
    <w:rsid w:val="002672A9"/>
    <w:rsid w:val="0026790A"/>
    <w:rsid w:val="00267AE0"/>
    <w:rsid w:val="00267DD5"/>
    <w:rsid w:val="00270039"/>
    <w:rsid w:val="002718DF"/>
    <w:rsid w:val="00274A0A"/>
    <w:rsid w:val="0027524F"/>
    <w:rsid w:val="00276E1C"/>
    <w:rsid w:val="002772D9"/>
    <w:rsid w:val="00277593"/>
    <w:rsid w:val="00280398"/>
    <w:rsid w:val="00280909"/>
    <w:rsid w:val="00280918"/>
    <w:rsid w:val="0028114F"/>
    <w:rsid w:val="002823D8"/>
    <w:rsid w:val="00282AF6"/>
    <w:rsid w:val="0028421A"/>
    <w:rsid w:val="00284AD8"/>
    <w:rsid w:val="0028520E"/>
    <w:rsid w:val="0028596A"/>
    <w:rsid w:val="0028657E"/>
    <w:rsid w:val="00287085"/>
    <w:rsid w:val="00287D39"/>
    <w:rsid w:val="00287DC0"/>
    <w:rsid w:val="0029051E"/>
    <w:rsid w:val="00290AF9"/>
    <w:rsid w:val="00290C64"/>
    <w:rsid w:val="00291131"/>
    <w:rsid w:val="00291BD8"/>
    <w:rsid w:val="00291CCE"/>
    <w:rsid w:val="00292220"/>
    <w:rsid w:val="002929CA"/>
    <w:rsid w:val="00292ACA"/>
    <w:rsid w:val="002944C2"/>
    <w:rsid w:val="00294669"/>
    <w:rsid w:val="002959B7"/>
    <w:rsid w:val="002967CF"/>
    <w:rsid w:val="0029725C"/>
    <w:rsid w:val="00297788"/>
    <w:rsid w:val="00297B74"/>
    <w:rsid w:val="002A02BA"/>
    <w:rsid w:val="002A1171"/>
    <w:rsid w:val="002A152D"/>
    <w:rsid w:val="002A1D87"/>
    <w:rsid w:val="002A3285"/>
    <w:rsid w:val="002A34F9"/>
    <w:rsid w:val="002A45D5"/>
    <w:rsid w:val="002A484B"/>
    <w:rsid w:val="002A53CD"/>
    <w:rsid w:val="002A64A6"/>
    <w:rsid w:val="002A78E8"/>
    <w:rsid w:val="002A7C36"/>
    <w:rsid w:val="002B0956"/>
    <w:rsid w:val="002B0D3F"/>
    <w:rsid w:val="002B19F1"/>
    <w:rsid w:val="002B1FE3"/>
    <w:rsid w:val="002B31B2"/>
    <w:rsid w:val="002B3301"/>
    <w:rsid w:val="002B3479"/>
    <w:rsid w:val="002B35F3"/>
    <w:rsid w:val="002B5307"/>
    <w:rsid w:val="002B5F28"/>
    <w:rsid w:val="002B74F3"/>
    <w:rsid w:val="002B77F5"/>
    <w:rsid w:val="002C1445"/>
    <w:rsid w:val="002C1787"/>
    <w:rsid w:val="002C2C6F"/>
    <w:rsid w:val="002C2F18"/>
    <w:rsid w:val="002C3DAD"/>
    <w:rsid w:val="002C47D4"/>
    <w:rsid w:val="002C66D6"/>
    <w:rsid w:val="002C7706"/>
    <w:rsid w:val="002D03CC"/>
    <w:rsid w:val="002D0B81"/>
    <w:rsid w:val="002D0F38"/>
    <w:rsid w:val="002D0FC4"/>
    <w:rsid w:val="002D1E32"/>
    <w:rsid w:val="002D2C2B"/>
    <w:rsid w:val="002D37FC"/>
    <w:rsid w:val="002D77E3"/>
    <w:rsid w:val="002D7835"/>
    <w:rsid w:val="002E0101"/>
    <w:rsid w:val="002E19FC"/>
    <w:rsid w:val="002E2CBB"/>
    <w:rsid w:val="002E399D"/>
    <w:rsid w:val="002E3A23"/>
    <w:rsid w:val="002E3DD4"/>
    <w:rsid w:val="002E526C"/>
    <w:rsid w:val="002E5DE9"/>
    <w:rsid w:val="002E63C2"/>
    <w:rsid w:val="002E7446"/>
    <w:rsid w:val="002E7A39"/>
    <w:rsid w:val="002F0E87"/>
    <w:rsid w:val="002F1E90"/>
    <w:rsid w:val="002F2859"/>
    <w:rsid w:val="002F2E18"/>
    <w:rsid w:val="002F43A8"/>
    <w:rsid w:val="002F66C7"/>
    <w:rsid w:val="002F6E3C"/>
    <w:rsid w:val="00301064"/>
    <w:rsid w:val="0030117D"/>
    <w:rsid w:val="00301210"/>
    <w:rsid w:val="0030123B"/>
    <w:rsid w:val="00301F30"/>
    <w:rsid w:val="00302CF7"/>
    <w:rsid w:val="003038FD"/>
    <w:rsid w:val="00303C87"/>
    <w:rsid w:val="003049FB"/>
    <w:rsid w:val="00304EB0"/>
    <w:rsid w:val="00305738"/>
    <w:rsid w:val="003070CF"/>
    <w:rsid w:val="003071B2"/>
    <w:rsid w:val="003108E5"/>
    <w:rsid w:val="003115A8"/>
    <w:rsid w:val="003120CB"/>
    <w:rsid w:val="0031296E"/>
    <w:rsid w:val="00314F6D"/>
    <w:rsid w:val="00315111"/>
    <w:rsid w:val="003155B6"/>
    <w:rsid w:val="003176B9"/>
    <w:rsid w:val="00320153"/>
    <w:rsid w:val="00320367"/>
    <w:rsid w:val="003226E4"/>
    <w:rsid w:val="00322871"/>
    <w:rsid w:val="00322882"/>
    <w:rsid w:val="00322AF6"/>
    <w:rsid w:val="003247A5"/>
    <w:rsid w:val="00324CD8"/>
    <w:rsid w:val="00326E40"/>
    <w:rsid w:val="00326FB3"/>
    <w:rsid w:val="0032754A"/>
    <w:rsid w:val="003275B0"/>
    <w:rsid w:val="00330810"/>
    <w:rsid w:val="00330A53"/>
    <w:rsid w:val="003316D4"/>
    <w:rsid w:val="003321B2"/>
    <w:rsid w:val="00332764"/>
    <w:rsid w:val="00332BBE"/>
    <w:rsid w:val="00333822"/>
    <w:rsid w:val="00333D00"/>
    <w:rsid w:val="0033426F"/>
    <w:rsid w:val="00335794"/>
    <w:rsid w:val="003361E5"/>
    <w:rsid w:val="00336715"/>
    <w:rsid w:val="00336EFF"/>
    <w:rsid w:val="003401EC"/>
    <w:rsid w:val="00340DFD"/>
    <w:rsid w:val="003416DA"/>
    <w:rsid w:val="00342B90"/>
    <w:rsid w:val="00344954"/>
    <w:rsid w:val="00344D0C"/>
    <w:rsid w:val="00347927"/>
    <w:rsid w:val="00347AAA"/>
    <w:rsid w:val="00347C31"/>
    <w:rsid w:val="00350CD7"/>
    <w:rsid w:val="00350D19"/>
    <w:rsid w:val="00351BED"/>
    <w:rsid w:val="00351FFC"/>
    <w:rsid w:val="003521B7"/>
    <w:rsid w:val="003527FB"/>
    <w:rsid w:val="00353086"/>
    <w:rsid w:val="00353F54"/>
    <w:rsid w:val="00360217"/>
    <w:rsid w:val="00360C17"/>
    <w:rsid w:val="003621C6"/>
    <w:rsid w:val="003622B8"/>
    <w:rsid w:val="00362F70"/>
    <w:rsid w:val="00363783"/>
    <w:rsid w:val="00363FB5"/>
    <w:rsid w:val="003642A0"/>
    <w:rsid w:val="00364E91"/>
    <w:rsid w:val="003653DE"/>
    <w:rsid w:val="00365CE0"/>
    <w:rsid w:val="00366330"/>
    <w:rsid w:val="00366682"/>
    <w:rsid w:val="00366B76"/>
    <w:rsid w:val="003725E0"/>
    <w:rsid w:val="00373051"/>
    <w:rsid w:val="0037320D"/>
    <w:rsid w:val="00373B8F"/>
    <w:rsid w:val="00374D0B"/>
    <w:rsid w:val="00376D95"/>
    <w:rsid w:val="00377FBB"/>
    <w:rsid w:val="003828DB"/>
    <w:rsid w:val="00384756"/>
    <w:rsid w:val="00385140"/>
    <w:rsid w:val="0038549E"/>
    <w:rsid w:val="00385E3E"/>
    <w:rsid w:val="00387E90"/>
    <w:rsid w:val="0039158C"/>
    <w:rsid w:val="00393CC7"/>
    <w:rsid w:val="00394DF4"/>
    <w:rsid w:val="00396059"/>
    <w:rsid w:val="00396302"/>
    <w:rsid w:val="003971F7"/>
    <w:rsid w:val="00397543"/>
    <w:rsid w:val="003975B1"/>
    <w:rsid w:val="003976E0"/>
    <w:rsid w:val="00397991"/>
    <w:rsid w:val="003A0015"/>
    <w:rsid w:val="003A0B2C"/>
    <w:rsid w:val="003A16FC"/>
    <w:rsid w:val="003A2C8A"/>
    <w:rsid w:val="003A430C"/>
    <w:rsid w:val="003A4FCD"/>
    <w:rsid w:val="003A7BAE"/>
    <w:rsid w:val="003B0167"/>
    <w:rsid w:val="003B01CF"/>
    <w:rsid w:val="003B0944"/>
    <w:rsid w:val="003B0C8D"/>
    <w:rsid w:val="003B1593"/>
    <w:rsid w:val="003B20AA"/>
    <w:rsid w:val="003B31FC"/>
    <w:rsid w:val="003B4130"/>
    <w:rsid w:val="003B4381"/>
    <w:rsid w:val="003B6EC8"/>
    <w:rsid w:val="003B7D0D"/>
    <w:rsid w:val="003B7E10"/>
    <w:rsid w:val="003C0047"/>
    <w:rsid w:val="003C1043"/>
    <w:rsid w:val="003C1A30"/>
    <w:rsid w:val="003C1C17"/>
    <w:rsid w:val="003C2587"/>
    <w:rsid w:val="003C28BF"/>
    <w:rsid w:val="003C2963"/>
    <w:rsid w:val="003C2ACB"/>
    <w:rsid w:val="003C3CC5"/>
    <w:rsid w:val="003C3CE5"/>
    <w:rsid w:val="003C6779"/>
    <w:rsid w:val="003C6F80"/>
    <w:rsid w:val="003C7197"/>
    <w:rsid w:val="003C71BE"/>
    <w:rsid w:val="003C7ACE"/>
    <w:rsid w:val="003D033C"/>
    <w:rsid w:val="003D210A"/>
    <w:rsid w:val="003D2998"/>
    <w:rsid w:val="003D2F0A"/>
    <w:rsid w:val="003D369B"/>
    <w:rsid w:val="003D3891"/>
    <w:rsid w:val="003D3FE9"/>
    <w:rsid w:val="003D3FFE"/>
    <w:rsid w:val="003D4960"/>
    <w:rsid w:val="003D5D84"/>
    <w:rsid w:val="003D6141"/>
    <w:rsid w:val="003D6190"/>
    <w:rsid w:val="003D69A6"/>
    <w:rsid w:val="003E0AA5"/>
    <w:rsid w:val="003E0F4F"/>
    <w:rsid w:val="003E18AC"/>
    <w:rsid w:val="003E210B"/>
    <w:rsid w:val="003E2A12"/>
    <w:rsid w:val="003E3384"/>
    <w:rsid w:val="003E3AB6"/>
    <w:rsid w:val="003E3CA4"/>
    <w:rsid w:val="003E45AF"/>
    <w:rsid w:val="003E4A5B"/>
    <w:rsid w:val="003E548E"/>
    <w:rsid w:val="003E5C8B"/>
    <w:rsid w:val="003E6BB1"/>
    <w:rsid w:val="003E7DA4"/>
    <w:rsid w:val="003F059C"/>
    <w:rsid w:val="003F22A4"/>
    <w:rsid w:val="003F3618"/>
    <w:rsid w:val="003F4214"/>
    <w:rsid w:val="003F5536"/>
    <w:rsid w:val="003F64C1"/>
    <w:rsid w:val="0040145F"/>
    <w:rsid w:val="00401D3E"/>
    <w:rsid w:val="0040206C"/>
    <w:rsid w:val="0040241A"/>
    <w:rsid w:val="00404FB3"/>
    <w:rsid w:val="0040601D"/>
    <w:rsid w:val="00406A73"/>
    <w:rsid w:val="00407B75"/>
    <w:rsid w:val="00407DF1"/>
    <w:rsid w:val="00407EC8"/>
    <w:rsid w:val="004110E8"/>
    <w:rsid w:val="0041110A"/>
    <w:rsid w:val="00411624"/>
    <w:rsid w:val="00411CFE"/>
    <w:rsid w:val="0041232C"/>
    <w:rsid w:val="00413038"/>
    <w:rsid w:val="004148E1"/>
    <w:rsid w:val="00414CFA"/>
    <w:rsid w:val="00415EC0"/>
    <w:rsid w:val="0041750F"/>
    <w:rsid w:val="0042021D"/>
    <w:rsid w:val="00420BE9"/>
    <w:rsid w:val="00421AC7"/>
    <w:rsid w:val="00423724"/>
    <w:rsid w:val="00423AD8"/>
    <w:rsid w:val="00423FDD"/>
    <w:rsid w:val="00424C85"/>
    <w:rsid w:val="00425044"/>
    <w:rsid w:val="004260BD"/>
    <w:rsid w:val="00426A37"/>
    <w:rsid w:val="00426A7A"/>
    <w:rsid w:val="0043012F"/>
    <w:rsid w:val="004302F0"/>
    <w:rsid w:val="00430515"/>
    <w:rsid w:val="00430F1F"/>
    <w:rsid w:val="00431C80"/>
    <w:rsid w:val="004322D8"/>
    <w:rsid w:val="004326EA"/>
    <w:rsid w:val="00434D30"/>
    <w:rsid w:val="00441785"/>
    <w:rsid w:val="00441CDF"/>
    <w:rsid w:val="004420C2"/>
    <w:rsid w:val="004422FB"/>
    <w:rsid w:val="0044434C"/>
    <w:rsid w:val="0044456B"/>
    <w:rsid w:val="00444FA1"/>
    <w:rsid w:val="0044540C"/>
    <w:rsid w:val="00446E5F"/>
    <w:rsid w:val="00447BD1"/>
    <w:rsid w:val="004507F3"/>
    <w:rsid w:val="00450AF4"/>
    <w:rsid w:val="00451DC9"/>
    <w:rsid w:val="004521C1"/>
    <w:rsid w:val="004566EF"/>
    <w:rsid w:val="00456A57"/>
    <w:rsid w:val="00457242"/>
    <w:rsid w:val="00460377"/>
    <w:rsid w:val="004607DE"/>
    <w:rsid w:val="004618AA"/>
    <w:rsid w:val="0046239A"/>
    <w:rsid w:val="00463CB0"/>
    <w:rsid w:val="00464A4C"/>
    <w:rsid w:val="004671C7"/>
    <w:rsid w:val="00467C08"/>
    <w:rsid w:val="0047020B"/>
    <w:rsid w:val="004707AA"/>
    <w:rsid w:val="00470869"/>
    <w:rsid w:val="00471CD0"/>
    <w:rsid w:val="00471DE4"/>
    <w:rsid w:val="00472F4D"/>
    <w:rsid w:val="004730BF"/>
    <w:rsid w:val="00474804"/>
    <w:rsid w:val="00474DCB"/>
    <w:rsid w:val="0047535C"/>
    <w:rsid w:val="004754CD"/>
    <w:rsid w:val="004762F6"/>
    <w:rsid w:val="0047649B"/>
    <w:rsid w:val="00482EB7"/>
    <w:rsid w:val="00484AE5"/>
    <w:rsid w:val="00485280"/>
    <w:rsid w:val="004856A0"/>
    <w:rsid w:val="00485870"/>
    <w:rsid w:val="00485FE8"/>
    <w:rsid w:val="00487B94"/>
    <w:rsid w:val="00490220"/>
    <w:rsid w:val="00490B03"/>
    <w:rsid w:val="0049107D"/>
    <w:rsid w:val="00491857"/>
    <w:rsid w:val="00491DC8"/>
    <w:rsid w:val="00492473"/>
    <w:rsid w:val="00492CB3"/>
    <w:rsid w:val="00492EB5"/>
    <w:rsid w:val="0049385E"/>
    <w:rsid w:val="00493CB6"/>
    <w:rsid w:val="00494ED4"/>
    <w:rsid w:val="00494F77"/>
    <w:rsid w:val="00496839"/>
    <w:rsid w:val="0049695D"/>
    <w:rsid w:val="00496BC1"/>
    <w:rsid w:val="00497721"/>
    <w:rsid w:val="00497956"/>
    <w:rsid w:val="00497B3C"/>
    <w:rsid w:val="00497C68"/>
    <w:rsid w:val="004A007E"/>
    <w:rsid w:val="004A0229"/>
    <w:rsid w:val="004A148F"/>
    <w:rsid w:val="004A1977"/>
    <w:rsid w:val="004A2F45"/>
    <w:rsid w:val="004A35D2"/>
    <w:rsid w:val="004A51CF"/>
    <w:rsid w:val="004A5D8E"/>
    <w:rsid w:val="004A71E4"/>
    <w:rsid w:val="004A7876"/>
    <w:rsid w:val="004B14F9"/>
    <w:rsid w:val="004B2F00"/>
    <w:rsid w:val="004B33A0"/>
    <w:rsid w:val="004B3AAE"/>
    <w:rsid w:val="004B3E2B"/>
    <w:rsid w:val="004B4AD8"/>
    <w:rsid w:val="004B4E24"/>
    <w:rsid w:val="004B4F3A"/>
    <w:rsid w:val="004B539A"/>
    <w:rsid w:val="004B667A"/>
    <w:rsid w:val="004B6848"/>
    <w:rsid w:val="004B6E31"/>
    <w:rsid w:val="004B7D07"/>
    <w:rsid w:val="004C1405"/>
    <w:rsid w:val="004C1D66"/>
    <w:rsid w:val="004C31D7"/>
    <w:rsid w:val="004C3DD4"/>
    <w:rsid w:val="004C4AD2"/>
    <w:rsid w:val="004C504E"/>
    <w:rsid w:val="004C5621"/>
    <w:rsid w:val="004C5E4B"/>
    <w:rsid w:val="004C6981"/>
    <w:rsid w:val="004C7BF1"/>
    <w:rsid w:val="004D069A"/>
    <w:rsid w:val="004D1F21"/>
    <w:rsid w:val="004D268C"/>
    <w:rsid w:val="004D45A5"/>
    <w:rsid w:val="004D5307"/>
    <w:rsid w:val="004D59D8"/>
    <w:rsid w:val="004D5DA1"/>
    <w:rsid w:val="004D5EFF"/>
    <w:rsid w:val="004D762A"/>
    <w:rsid w:val="004D7910"/>
    <w:rsid w:val="004E025B"/>
    <w:rsid w:val="004E09A0"/>
    <w:rsid w:val="004E150F"/>
    <w:rsid w:val="004E1DCA"/>
    <w:rsid w:val="004E23A1"/>
    <w:rsid w:val="004E3489"/>
    <w:rsid w:val="004E358A"/>
    <w:rsid w:val="004E3AFA"/>
    <w:rsid w:val="004E3E04"/>
    <w:rsid w:val="004E4856"/>
    <w:rsid w:val="004E5B5C"/>
    <w:rsid w:val="004E62C2"/>
    <w:rsid w:val="004E6342"/>
    <w:rsid w:val="004E6588"/>
    <w:rsid w:val="004E685D"/>
    <w:rsid w:val="004E6B79"/>
    <w:rsid w:val="004E6D84"/>
    <w:rsid w:val="004E6FA0"/>
    <w:rsid w:val="004F0E23"/>
    <w:rsid w:val="004F1146"/>
    <w:rsid w:val="004F2434"/>
    <w:rsid w:val="004F2479"/>
    <w:rsid w:val="004F2742"/>
    <w:rsid w:val="004F3F6C"/>
    <w:rsid w:val="004F5F99"/>
    <w:rsid w:val="004F6041"/>
    <w:rsid w:val="004F6EE6"/>
    <w:rsid w:val="00500436"/>
    <w:rsid w:val="005011E0"/>
    <w:rsid w:val="005021D4"/>
    <w:rsid w:val="00502A0A"/>
    <w:rsid w:val="00503B2E"/>
    <w:rsid w:val="0050432F"/>
    <w:rsid w:val="00505F23"/>
    <w:rsid w:val="00507304"/>
    <w:rsid w:val="005077F1"/>
    <w:rsid w:val="00507C50"/>
    <w:rsid w:val="00510FD5"/>
    <w:rsid w:val="00511DBE"/>
    <w:rsid w:val="00512151"/>
    <w:rsid w:val="00512292"/>
    <w:rsid w:val="00514D40"/>
    <w:rsid w:val="00517C3A"/>
    <w:rsid w:val="00520926"/>
    <w:rsid w:val="0052138C"/>
    <w:rsid w:val="00521847"/>
    <w:rsid w:val="00521AE5"/>
    <w:rsid w:val="00524016"/>
    <w:rsid w:val="00524C4C"/>
    <w:rsid w:val="00525316"/>
    <w:rsid w:val="00526D7E"/>
    <w:rsid w:val="00527BF4"/>
    <w:rsid w:val="00530443"/>
    <w:rsid w:val="00531307"/>
    <w:rsid w:val="00531E54"/>
    <w:rsid w:val="005324BE"/>
    <w:rsid w:val="005325E9"/>
    <w:rsid w:val="00532A38"/>
    <w:rsid w:val="00532C7D"/>
    <w:rsid w:val="00534F6C"/>
    <w:rsid w:val="005353C1"/>
    <w:rsid w:val="00535994"/>
    <w:rsid w:val="005360D6"/>
    <w:rsid w:val="0053646D"/>
    <w:rsid w:val="00536D67"/>
    <w:rsid w:val="00537BB3"/>
    <w:rsid w:val="00540088"/>
    <w:rsid w:val="00540AAD"/>
    <w:rsid w:val="00541D0E"/>
    <w:rsid w:val="005437C3"/>
    <w:rsid w:val="00543EC1"/>
    <w:rsid w:val="00544777"/>
    <w:rsid w:val="00546458"/>
    <w:rsid w:val="00547EB7"/>
    <w:rsid w:val="0055087C"/>
    <w:rsid w:val="00550C52"/>
    <w:rsid w:val="00553413"/>
    <w:rsid w:val="00554419"/>
    <w:rsid w:val="00555983"/>
    <w:rsid w:val="00556347"/>
    <w:rsid w:val="00560E31"/>
    <w:rsid w:val="0056167A"/>
    <w:rsid w:val="00561BDA"/>
    <w:rsid w:val="00561CEB"/>
    <w:rsid w:val="00561F42"/>
    <w:rsid w:val="00564236"/>
    <w:rsid w:val="00564866"/>
    <w:rsid w:val="00565FB7"/>
    <w:rsid w:val="00566D61"/>
    <w:rsid w:val="005675DF"/>
    <w:rsid w:val="00567DBF"/>
    <w:rsid w:val="00570BCD"/>
    <w:rsid w:val="00570E60"/>
    <w:rsid w:val="00573286"/>
    <w:rsid w:val="00573D91"/>
    <w:rsid w:val="00575A77"/>
    <w:rsid w:val="0057641B"/>
    <w:rsid w:val="0057649F"/>
    <w:rsid w:val="005771EE"/>
    <w:rsid w:val="0057746C"/>
    <w:rsid w:val="00577E43"/>
    <w:rsid w:val="005804D4"/>
    <w:rsid w:val="005808E5"/>
    <w:rsid w:val="00580ED7"/>
    <w:rsid w:val="00581B23"/>
    <w:rsid w:val="0058213E"/>
    <w:rsid w:val="0058219C"/>
    <w:rsid w:val="00582A06"/>
    <w:rsid w:val="00583515"/>
    <w:rsid w:val="00583C6B"/>
    <w:rsid w:val="0058403E"/>
    <w:rsid w:val="0058707F"/>
    <w:rsid w:val="0059011D"/>
    <w:rsid w:val="0059022B"/>
    <w:rsid w:val="00590654"/>
    <w:rsid w:val="00591DBD"/>
    <w:rsid w:val="00591EC1"/>
    <w:rsid w:val="005925E2"/>
    <w:rsid w:val="005931FE"/>
    <w:rsid w:val="00595512"/>
    <w:rsid w:val="0059767C"/>
    <w:rsid w:val="005A0028"/>
    <w:rsid w:val="005A0ACC"/>
    <w:rsid w:val="005A2F7A"/>
    <w:rsid w:val="005A7423"/>
    <w:rsid w:val="005B0072"/>
    <w:rsid w:val="005B0732"/>
    <w:rsid w:val="005B114B"/>
    <w:rsid w:val="005B1154"/>
    <w:rsid w:val="005B35CA"/>
    <w:rsid w:val="005B38A0"/>
    <w:rsid w:val="005B4872"/>
    <w:rsid w:val="005B491C"/>
    <w:rsid w:val="005B4B11"/>
    <w:rsid w:val="005B4DBF"/>
    <w:rsid w:val="005B56F6"/>
    <w:rsid w:val="005B576A"/>
    <w:rsid w:val="005B5B6C"/>
    <w:rsid w:val="005B5DE2"/>
    <w:rsid w:val="005B674C"/>
    <w:rsid w:val="005C0D5F"/>
    <w:rsid w:val="005C138A"/>
    <w:rsid w:val="005C14D3"/>
    <w:rsid w:val="005C24F2"/>
    <w:rsid w:val="005C2548"/>
    <w:rsid w:val="005C3279"/>
    <w:rsid w:val="005C528F"/>
    <w:rsid w:val="005C7561"/>
    <w:rsid w:val="005D1E57"/>
    <w:rsid w:val="005D2DA0"/>
    <w:rsid w:val="005D2F57"/>
    <w:rsid w:val="005D34F6"/>
    <w:rsid w:val="005D3C49"/>
    <w:rsid w:val="005D4F1A"/>
    <w:rsid w:val="005D7891"/>
    <w:rsid w:val="005D7BAA"/>
    <w:rsid w:val="005E0DB8"/>
    <w:rsid w:val="005E0F74"/>
    <w:rsid w:val="005E1884"/>
    <w:rsid w:val="005E1912"/>
    <w:rsid w:val="005E1D94"/>
    <w:rsid w:val="005E1E3F"/>
    <w:rsid w:val="005E2185"/>
    <w:rsid w:val="005E392B"/>
    <w:rsid w:val="005E4613"/>
    <w:rsid w:val="005E4E2D"/>
    <w:rsid w:val="005E4F22"/>
    <w:rsid w:val="005E5CEC"/>
    <w:rsid w:val="005E6853"/>
    <w:rsid w:val="005E72D0"/>
    <w:rsid w:val="005E7424"/>
    <w:rsid w:val="005E7BFF"/>
    <w:rsid w:val="005F0987"/>
    <w:rsid w:val="005F0CC9"/>
    <w:rsid w:val="005F1402"/>
    <w:rsid w:val="005F1F18"/>
    <w:rsid w:val="005F3058"/>
    <w:rsid w:val="005F32DC"/>
    <w:rsid w:val="005F373A"/>
    <w:rsid w:val="005F3927"/>
    <w:rsid w:val="005F3F81"/>
    <w:rsid w:val="005F435F"/>
    <w:rsid w:val="005F4F87"/>
    <w:rsid w:val="005F6B0E"/>
    <w:rsid w:val="005F6BA4"/>
    <w:rsid w:val="005F72ED"/>
    <w:rsid w:val="005F760E"/>
    <w:rsid w:val="005F7A90"/>
    <w:rsid w:val="005F7B1D"/>
    <w:rsid w:val="005F7C32"/>
    <w:rsid w:val="00600CB3"/>
    <w:rsid w:val="0060113E"/>
    <w:rsid w:val="006016A7"/>
    <w:rsid w:val="00601D09"/>
    <w:rsid w:val="0060222A"/>
    <w:rsid w:val="00602647"/>
    <w:rsid w:val="00602EE6"/>
    <w:rsid w:val="006033D9"/>
    <w:rsid w:val="00604F5D"/>
    <w:rsid w:val="00605451"/>
    <w:rsid w:val="006070C4"/>
    <w:rsid w:val="00607780"/>
    <w:rsid w:val="006101F7"/>
    <w:rsid w:val="00610C21"/>
    <w:rsid w:val="00611907"/>
    <w:rsid w:val="00612DB6"/>
    <w:rsid w:val="00613116"/>
    <w:rsid w:val="006154DC"/>
    <w:rsid w:val="006169F4"/>
    <w:rsid w:val="006202A6"/>
    <w:rsid w:val="0062054B"/>
    <w:rsid w:val="006205E4"/>
    <w:rsid w:val="0062083B"/>
    <w:rsid w:val="00620926"/>
    <w:rsid w:val="0062095F"/>
    <w:rsid w:val="00620D4D"/>
    <w:rsid w:val="0062178C"/>
    <w:rsid w:val="00621C4E"/>
    <w:rsid w:val="006229A8"/>
    <w:rsid w:val="006237EC"/>
    <w:rsid w:val="00623C05"/>
    <w:rsid w:val="00624EAE"/>
    <w:rsid w:val="006269F4"/>
    <w:rsid w:val="00627EA4"/>
    <w:rsid w:val="00630176"/>
    <w:rsid w:val="006305D7"/>
    <w:rsid w:val="00632F63"/>
    <w:rsid w:val="006339D2"/>
    <w:rsid w:val="00633A01"/>
    <w:rsid w:val="00633AEF"/>
    <w:rsid w:val="00633B97"/>
    <w:rsid w:val="006341F7"/>
    <w:rsid w:val="00634585"/>
    <w:rsid w:val="00635014"/>
    <w:rsid w:val="006369CE"/>
    <w:rsid w:val="006373B1"/>
    <w:rsid w:val="00640105"/>
    <w:rsid w:val="00640C98"/>
    <w:rsid w:val="006411CA"/>
    <w:rsid w:val="006433D9"/>
    <w:rsid w:val="00643F75"/>
    <w:rsid w:val="00643FAC"/>
    <w:rsid w:val="006450C9"/>
    <w:rsid w:val="006458D6"/>
    <w:rsid w:val="0064605E"/>
    <w:rsid w:val="006472F7"/>
    <w:rsid w:val="00647C43"/>
    <w:rsid w:val="00650FFC"/>
    <w:rsid w:val="00653521"/>
    <w:rsid w:val="0065590C"/>
    <w:rsid w:val="0065627C"/>
    <w:rsid w:val="00656558"/>
    <w:rsid w:val="00657959"/>
    <w:rsid w:val="00657BC4"/>
    <w:rsid w:val="006614AA"/>
    <w:rsid w:val="006619C8"/>
    <w:rsid w:val="00661AEE"/>
    <w:rsid w:val="00662A70"/>
    <w:rsid w:val="00663543"/>
    <w:rsid w:val="00670FBB"/>
    <w:rsid w:val="00671710"/>
    <w:rsid w:val="0067299F"/>
    <w:rsid w:val="00673414"/>
    <w:rsid w:val="00673F9A"/>
    <w:rsid w:val="00673FBB"/>
    <w:rsid w:val="0067499D"/>
    <w:rsid w:val="00676079"/>
    <w:rsid w:val="00676183"/>
    <w:rsid w:val="00676751"/>
    <w:rsid w:val="00676ECD"/>
    <w:rsid w:val="00677D0A"/>
    <w:rsid w:val="0068081B"/>
    <w:rsid w:val="006809BF"/>
    <w:rsid w:val="00680B0E"/>
    <w:rsid w:val="0068185F"/>
    <w:rsid w:val="006834FD"/>
    <w:rsid w:val="006839B0"/>
    <w:rsid w:val="006840F4"/>
    <w:rsid w:val="00691466"/>
    <w:rsid w:val="006921A6"/>
    <w:rsid w:val="006924B0"/>
    <w:rsid w:val="00693B33"/>
    <w:rsid w:val="00695E6E"/>
    <w:rsid w:val="006979B8"/>
    <w:rsid w:val="006979FC"/>
    <w:rsid w:val="006A01CF"/>
    <w:rsid w:val="006A1B8A"/>
    <w:rsid w:val="006A2BE7"/>
    <w:rsid w:val="006A301E"/>
    <w:rsid w:val="006A5958"/>
    <w:rsid w:val="006A60DD"/>
    <w:rsid w:val="006A7036"/>
    <w:rsid w:val="006B04F9"/>
    <w:rsid w:val="006B0679"/>
    <w:rsid w:val="006B074C"/>
    <w:rsid w:val="006B2F0E"/>
    <w:rsid w:val="006B3670"/>
    <w:rsid w:val="006B3B84"/>
    <w:rsid w:val="006B3C56"/>
    <w:rsid w:val="006B4E2A"/>
    <w:rsid w:val="006B4E7C"/>
    <w:rsid w:val="006B4FE6"/>
    <w:rsid w:val="006B5D12"/>
    <w:rsid w:val="006B5D8C"/>
    <w:rsid w:val="006B72D4"/>
    <w:rsid w:val="006B746B"/>
    <w:rsid w:val="006B7DA8"/>
    <w:rsid w:val="006C0252"/>
    <w:rsid w:val="006C0B2B"/>
    <w:rsid w:val="006C11CC"/>
    <w:rsid w:val="006C1424"/>
    <w:rsid w:val="006C1AEB"/>
    <w:rsid w:val="006C489A"/>
    <w:rsid w:val="006C51B0"/>
    <w:rsid w:val="006C51D7"/>
    <w:rsid w:val="006C57FE"/>
    <w:rsid w:val="006C6022"/>
    <w:rsid w:val="006C6085"/>
    <w:rsid w:val="006C60C0"/>
    <w:rsid w:val="006C668E"/>
    <w:rsid w:val="006C6F90"/>
    <w:rsid w:val="006C6FFB"/>
    <w:rsid w:val="006C7034"/>
    <w:rsid w:val="006C729C"/>
    <w:rsid w:val="006C75E6"/>
    <w:rsid w:val="006C77BF"/>
    <w:rsid w:val="006C79E4"/>
    <w:rsid w:val="006D19E4"/>
    <w:rsid w:val="006D2158"/>
    <w:rsid w:val="006D2500"/>
    <w:rsid w:val="006D3F8E"/>
    <w:rsid w:val="006E0D3E"/>
    <w:rsid w:val="006E1002"/>
    <w:rsid w:val="006E1871"/>
    <w:rsid w:val="006E25C9"/>
    <w:rsid w:val="006E347A"/>
    <w:rsid w:val="006E4B63"/>
    <w:rsid w:val="006E5848"/>
    <w:rsid w:val="006E63A0"/>
    <w:rsid w:val="006E63E0"/>
    <w:rsid w:val="006E7700"/>
    <w:rsid w:val="006F06E4"/>
    <w:rsid w:val="006F13C5"/>
    <w:rsid w:val="006F1574"/>
    <w:rsid w:val="006F1DF4"/>
    <w:rsid w:val="006F2265"/>
    <w:rsid w:val="006F2A9B"/>
    <w:rsid w:val="006F45EB"/>
    <w:rsid w:val="006F47E3"/>
    <w:rsid w:val="006F579B"/>
    <w:rsid w:val="006F6B12"/>
    <w:rsid w:val="006F7B41"/>
    <w:rsid w:val="007000EF"/>
    <w:rsid w:val="00700E21"/>
    <w:rsid w:val="00700FE1"/>
    <w:rsid w:val="0070208E"/>
    <w:rsid w:val="0070216E"/>
    <w:rsid w:val="00702B5D"/>
    <w:rsid w:val="00703400"/>
    <w:rsid w:val="00703ED2"/>
    <w:rsid w:val="00704918"/>
    <w:rsid w:val="0070530F"/>
    <w:rsid w:val="007063C3"/>
    <w:rsid w:val="00707B8D"/>
    <w:rsid w:val="00710891"/>
    <w:rsid w:val="00710ADB"/>
    <w:rsid w:val="00712073"/>
    <w:rsid w:val="0071302E"/>
    <w:rsid w:val="00713636"/>
    <w:rsid w:val="00714649"/>
    <w:rsid w:val="00714B8C"/>
    <w:rsid w:val="00715A0A"/>
    <w:rsid w:val="0071621E"/>
    <w:rsid w:val="0071675D"/>
    <w:rsid w:val="00716D09"/>
    <w:rsid w:val="00716D87"/>
    <w:rsid w:val="00717736"/>
    <w:rsid w:val="00717EB0"/>
    <w:rsid w:val="007202A8"/>
    <w:rsid w:val="007234E6"/>
    <w:rsid w:val="00723C69"/>
    <w:rsid w:val="0072465B"/>
    <w:rsid w:val="00725292"/>
    <w:rsid w:val="0072706A"/>
    <w:rsid w:val="007302CF"/>
    <w:rsid w:val="007310E4"/>
    <w:rsid w:val="0073198A"/>
    <w:rsid w:val="0073229D"/>
    <w:rsid w:val="00732B47"/>
    <w:rsid w:val="00733E3F"/>
    <w:rsid w:val="00735CF5"/>
    <w:rsid w:val="00735E3D"/>
    <w:rsid w:val="00736001"/>
    <w:rsid w:val="0074063A"/>
    <w:rsid w:val="00741337"/>
    <w:rsid w:val="00742AA4"/>
    <w:rsid w:val="00743BA1"/>
    <w:rsid w:val="0074481F"/>
    <w:rsid w:val="00745C79"/>
    <w:rsid w:val="00745F1E"/>
    <w:rsid w:val="00746E56"/>
    <w:rsid w:val="00751141"/>
    <w:rsid w:val="0075147F"/>
    <w:rsid w:val="007515FE"/>
    <w:rsid w:val="00751703"/>
    <w:rsid w:val="00751B8B"/>
    <w:rsid w:val="007541E3"/>
    <w:rsid w:val="00755A49"/>
    <w:rsid w:val="00756CBE"/>
    <w:rsid w:val="00757ECB"/>
    <w:rsid w:val="007601D0"/>
    <w:rsid w:val="007603BB"/>
    <w:rsid w:val="0076109D"/>
    <w:rsid w:val="00764019"/>
    <w:rsid w:val="007641BF"/>
    <w:rsid w:val="0076465A"/>
    <w:rsid w:val="007652DC"/>
    <w:rsid w:val="00766531"/>
    <w:rsid w:val="00766797"/>
    <w:rsid w:val="00767107"/>
    <w:rsid w:val="0076799C"/>
    <w:rsid w:val="00767A88"/>
    <w:rsid w:val="007724B6"/>
    <w:rsid w:val="00772DF1"/>
    <w:rsid w:val="0077330E"/>
    <w:rsid w:val="00773438"/>
    <w:rsid w:val="00773617"/>
    <w:rsid w:val="007736FA"/>
    <w:rsid w:val="00773BFD"/>
    <w:rsid w:val="007743B3"/>
    <w:rsid w:val="00774490"/>
    <w:rsid w:val="00774542"/>
    <w:rsid w:val="00775532"/>
    <w:rsid w:val="0077581E"/>
    <w:rsid w:val="00780A1D"/>
    <w:rsid w:val="007813C1"/>
    <w:rsid w:val="007819FF"/>
    <w:rsid w:val="00781A0F"/>
    <w:rsid w:val="00782673"/>
    <w:rsid w:val="0078360C"/>
    <w:rsid w:val="00783B71"/>
    <w:rsid w:val="00783C65"/>
    <w:rsid w:val="00784A4C"/>
    <w:rsid w:val="00784BC6"/>
    <w:rsid w:val="0078523D"/>
    <w:rsid w:val="007867BD"/>
    <w:rsid w:val="00787914"/>
    <w:rsid w:val="00790137"/>
    <w:rsid w:val="0079150F"/>
    <w:rsid w:val="00791B56"/>
    <w:rsid w:val="00792053"/>
    <w:rsid w:val="0079242B"/>
    <w:rsid w:val="007931DF"/>
    <w:rsid w:val="00793D2E"/>
    <w:rsid w:val="00794303"/>
    <w:rsid w:val="00796191"/>
    <w:rsid w:val="00797823"/>
    <w:rsid w:val="00797E0E"/>
    <w:rsid w:val="007A0172"/>
    <w:rsid w:val="007A1804"/>
    <w:rsid w:val="007A1E64"/>
    <w:rsid w:val="007A215A"/>
    <w:rsid w:val="007A2511"/>
    <w:rsid w:val="007A260E"/>
    <w:rsid w:val="007A3150"/>
    <w:rsid w:val="007A3E06"/>
    <w:rsid w:val="007A4158"/>
    <w:rsid w:val="007A4D4C"/>
    <w:rsid w:val="007A4DD6"/>
    <w:rsid w:val="007A4EF6"/>
    <w:rsid w:val="007A549D"/>
    <w:rsid w:val="007A5AE6"/>
    <w:rsid w:val="007A5CB9"/>
    <w:rsid w:val="007A6D7A"/>
    <w:rsid w:val="007A7C8A"/>
    <w:rsid w:val="007B1F72"/>
    <w:rsid w:val="007B20AE"/>
    <w:rsid w:val="007B23AC"/>
    <w:rsid w:val="007B29E8"/>
    <w:rsid w:val="007B2D63"/>
    <w:rsid w:val="007B3093"/>
    <w:rsid w:val="007B333B"/>
    <w:rsid w:val="007B34F4"/>
    <w:rsid w:val="007B472B"/>
    <w:rsid w:val="007B4BE1"/>
    <w:rsid w:val="007B4F82"/>
    <w:rsid w:val="007B6284"/>
    <w:rsid w:val="007B6B07"/>
    <w:rsid w:val="007B6D43"/>
    <w:rsid w:val="007B722F"/>
    <w:rsid w:val="007B749A"/>
    <w:rsid w:val="007B7919"/>
    <w:rsid w:val="007B7C6E"/>
    <w:rsid w:val="007C0AD7"/>
    <w:rsid w:val="007C1191"/>
    <w:rsid w:val="007C236E"/>
    <w:rsid w:val="007C3734"/>
    <w:rsid w:val="007C5DD0"/>
    <w:rsid w:val="007C7CB6"/>
    <w:rsid w:val="007C7FF2"/>
    <w:rsid w:val="007D0FE7"/>
    <w:rsid w:val="007D1295"/>
    <w:rsid w:val="007D20B4"/>
    <w:rsid w:val="007D3B9D"/>
    <w:rsid w:val="007D44D7"/>
    <w:rsid w:val="007D52A7"/>
    <w:rsid w:val="007D621A"/>
    <w:rsid w:val="007E058A"/>
    <w:rsid w:val="007E1152"/>
    <w:rsid w:val="007E2887"/>
    <w:rsid w:val="007E34C0"/>
    <w:rsid w:val="007E4ADA"/>
    <w:rsid w:val="007E4F44"/>
    <w:rsid w:val="007E5278"/>
    <w:rsid w:val="007E749C"/>
    <w:rsid w:val="007E7717"/>
    <w:rsid w:val="007F04D2"/>
    <w:rsid w:val="007F1709"/>
    <w:rsid w:val="007F182E"/>
    <w:rsid w:val="007F1B5C"/>
    <w:rsid w:val="007F1E2C"/>
    <w:rsid w:val="007F2474"/>
    <w:rsid w:val="007F297C"/>
    <w:rsid w:val="007F4738"/>
    <w:rsid w:val="007F6B53"/>
    <w:rsid w:val="007F6D63"/>
    <w:rsid w:val="007F75B7"/>
    <w:rsid w:val="008003D7"/>
    <w:rsid w:val="00800BF8"/>
    <w:rsid w:val="00800CCA"/>
    <w:rsid w:val="008010E4"/>
    <w:rsid w:val="00801257"/>
    <w:rsid w:val="00801DDD"/>
    <w:rsid w:val="00803B0A"/>
    <w:rsid w:val="00804072"/>
    <w:rsid w:val="00804902"/>
    <w:rsid w:val="00804A71"/>
    <w:rsid w:val="00804DED"/>
    <w:rsid w:val="00804E45"/>
    <w:rsid w:val="00805A65"/>
    <w:rsid w:val="00805B96"/>
    <w:rsid w:val="00806101"/>
    <w:rsid w:val="00806DA6"/>
    <w:rsid w:val="00810265"/>
    <w:rsid w:val="008105BE"/>
    <w:rsid w:val="008115A5"/>
    <w:rsid w:val="00811D46"/>
    <w:rsid w:val="0081207F"/>
    <w:rsid w:val="0081415D"/>
    <w:rsid w:val="008172A2"/>
    <w:rsid w:val="00817C38"/>
    <w:rsid w:val="00820229"/>
    <w:rsid w:val="00821C4D"/>
    <w:rsid w:val="00822448"/>
    <w:rsid w:val="008229F4"/>
    <w:rsid w:val="00822ABE"/>
    <w:rsid w:val="00823F52"/>
    <w:rsid w:val="008244D1"/>
    <w:rsid w:val="00824F3D"/>
    <w:rsid w:val="00827F51"/>
    <w:rsid w:val="0083104E"/>
    <w:rsid w:val="00831537"/>
    <w:rsid w:val="008343BE"/>
    <w:rsid w:val="00836094"/>
    <w:rsid w:val="00836535"/>
    <w:rsid w:val="00836C4C"/>
    <w:rsid w:val="00836D1E"/>
    <w:rsid w:val="00840FB4"/>
    <w:rsid w:val="008410B2"/>
    <w:rsid w:val="00841780"/>
    <w:rsid w:val="00841E29"/>
    <w:rsid w:val="0084272B"/>
    <w:rsid w:val="00843FAE"/>
    <w:rsid w:val="008448F7"/>
    <w:rsid w:val="00844E1D"/>
    <w:rsid w:val="0084567B"/>
    <w:rsid w:val="008467C6"/>
    <w:rsid w:val="008500A0"/>
    <w:rsid w:val="00851040"/>
    <w:rsid w:val="008521A0"/>
    <w:rsid w:val="008524E5"/>
    <w:rsid w:val="008528A6"/>
    <w:rsid w:val="0085351C"/>
    <w:rsid w:val="00853842"/>
    <w:rsid w:val="0085435A"/>
    <w:rsid w:val="008549CA"/>
    <w:rsid w:val="00854E21"/>
    <w:rsid w:val="008556C3"/>
    <w:rsid w:val="0085687C"/>
    <w:rsid w:val="00857154"/>
    <w:rsid w:val="00857768"/>
    <w:rsid w:val="008611C1"/>
    <w:rsid w:val="0086168B"/>
    <w:rsid w:val="00867334"/>
    <w:rsid w:val="008706C5"/>
    <w:rsid w:val="008708CA"/>
    <w:rsid w:val="00871CAF"/>
    <w:rsid w:val="00873707"/>
    <w:rsid w:val="0087372D"/>
    <w:rsid w:val="00874592"/>
    <w:rsid w:val="00874B20"/>
    <w:rsid w:val="008757C6"/>
    <w:rsid w:val="008763E1"/>
    <w:rsid w:val="0087775C"/>
    <w:rsid w:val="00877A34"/>
    <w:rsid w:val="00877EC8"/>
    <w:rsid w:val="00880E46"/>
    <w:rsid w:val="00880F36"/>
    <w:rsid w:val="00881DC2"/>
    <w:rsid w:val="008820BD"/>
    <w:rsid w:val="0088344B"/>
    <w:rsid w:val="00883FBF"/>
    <w:rsid w:val="00885530"/>
    <w:rsid w:val="00886B8A"/>
    <w:rsid w:val="0089027B"/>
    <w:rsid w:val="008910D1"/>
    <w:rsid w:val="0089296C"/>
    <w:rsid w:val="008934F4"/>
    <w:rsid w:val="00893E63"/>
    <w:rsid w:val="0089441A"/>
    <w:rsid w:val="00894D63"/>
    <w:rsid w:val="008954D0"/>
    <w:rsid w:val="0089666B"/>
    <w:rsid w:val="00896ABD"/>
    <w:rsid w:val="00896F9B"/>
    <w:rsid w:val="00897874"/>
    <w:rsid w:val="00897AB6"/>
    <w:rsid w:val="00897DA8"/>
    <w:rsid w:val="008A04D3"/>
    <w:rsid w:val="008A0DF4"/>
    <w:rsid w:val="008A1CF7"/>
    <w:rsid w:val="008A3380"/>
    <w:rsid w:val="008A445E"/>
    <w:rsid w:val="008A518F"/>
    <w:rsid w:val="008A59DB"/>
    <w:rsid w:val="008A5A79"/>
    <w:rsid w:val="008A5A9B"/>
    <w:rsid w:val="008A5D25"/>
    <w:rsid w:val="008A628C"/>
    <w:rsid w:val="008A6AC5"/>
    <w:rsid w:val="008A7A9C"/>
    <w:rsid w:val="008A7DCB"/>
    <w:rsid w:val="008B2B9D"/>
    <w:rsid w:val="008B3424"/>
    <w:rsid w:val="008B3901"/>
    <w:rsid w:val="008B5218"/>
    <w:rsid w:val="008B5AB7"/>
    <w:rsid w:val="008B7102"/>
    <w:rsid w:val="008B7BB3"/>
    <w:rsid w:val="008C1329"/>
    <w:rsid w:val="008C2649"/>
    <w:rsid w:val="008C3B7D"/>
    <w:rsid w:val="008C60BE"/>
    <w:rsid w:val="008C7029"/>
    <w:rsid w:val="008D0454"/>
    <w:rsid w:val="008D080E"/>
    <w:rsid w:val="008D0F90"/>
    <w:rsid w:val="008D10C0"/>
    <w:rsid w:val="008D20C7"/>
    <w:rsid w:val="008D2BF6"/>
    <w:rsid w:val="008D3715"/>
    <w:rsid w:val="008D4360"/>
    <w:rsid w:val="008D5465"/>
    <w:rsid w:val="008D5E61"/>
    <w:rsid w:val="008D6390"/>
    <w:rsid w:val="008D641D"/>
    <w:rsid w:val="008D7D67"/>
    <w:rsid w:val="008D7EB7"/>
    <w:rsid w:val="008D7EC5"/>
    <w:rsid w:val="008E25FB"/>
    <w:rsid w:val="008E3684"/>
    <w:rsid w:val="008E57F5"/>
    <w:rsid w:val="008E658E"/>
    <w:rsid w:val="008E7606"/>
    <w:rsid w:val="008E7C74"/>
    <w:rsid w:val="008F19EA"/>
    <w:rsid w:val="008F1DAA"/>
    <w:rsid w:val="008F33FA"/>
    <w:rsid w:val="008F3D62"/>
    <w:rsid w:val="008F3EBD"/>
    <w:rsid w:val="008F5421"/>
    <w:rsid w:val="008F60B2"/>
    <w:rsid w:val="008F7C41"/>
    <w:rsid w:val="0090062F"/>
    <w:rsid w:val="0090078E"/>
    <w:rsid w:val="009007D2"/>
    <w:rsid w:val="00900F8C"/>
    <w:rsid w:val="009031E2"/>
    <w:rsid w:val="00903264"/>
    <w:rsid w:val="00903AE3"/>
    <w:rsid w:val="00906B82"/>
    <w:rsid w:val="00907E41"/>
    <w:rsid w:val="009120EB"/>
    <w:rsid w:val="00912635"/>
    <w:rsid w:val="0091276C"/>
    <w:rsid w:val="009145BE"/>
    <w:rsid w:val="009147B4"/>
    <w:rsid w:val="00914CBE"/>
    <w:rsid w:val="00915219"/>
    <w:rsid w:val="009152EC"/>
    <w:rsid w:val="0091535C"/>
    <w:rsid w:val="009158FE"/>
    <w:rsid w:val="009165AC"/>
    <w:rsid w:val="00916FFC"/>
    <w:rsid w:val="0092053F"/>
    <w:rsid w:val="0092235C"/>
    <w:rsid w:val="00922A05"/>
    <w:rsid w:val="0092340A"/>
    <w:rsid w:val="00923E2E"/>
    <w:rsid w:val="009247B0"/>
    <w:rsid w:val="00924F94"/>
    <w:rsid w:val="009255BC"/>
    <w:rsid w:val="0092599C"/>
    <w:rsid w:val="009259E3"/>
    <w:rsid w:val="009270D8"/>
    <w:rsid w:val="009302AB"/>
    <w:rsid w:val="0093049A"/>
    <w:rsid w:val="009313D9"/>
    <w:rsid w:val="00931660"/>
    <w:rsid w:val="00932008"/>
    <w:rsid w:val="009337D7"/>
    <w:rsid w:val="00933C10"/>
    <w:rsid w:val="00934B4C"/>
    <w:rsid w:val="00934B6C"/>
    <w:rsid w:val="00935B7F"/>
    <w:rsid w:val="0093726A"/>
    <w:rsid w:val="009401CE"/>
    <w:rsid w:val="00940D47"/>
    <w:rsid w:val="00941293"/>
    <w:rsid w:val="00941676"/>
    <w:rsid w:val="00941975"/>
    <w:rsid w:val="00941ACF"/>
    <w:rsid w:val="00941E19"/>
    <w:rsid w:val="009425DE"/>
    <w:rsid w:val="009427CD"/>
    <w:rsid w:val="00943514"/>
    <w:rsid w:val="00943F4F"/>
    <w:rsid w:val="00944BEE"/>
    <w:rsid w:val="009450C7"/>
    <w:rsid w:val="009453B0"/>
    <w:rsid w:val="00946372"/>
    <w:rsid w:val="009464E5"/>
    <w:rsid w:val="0095032B"/>
    <w:rsid w:val="00950598"/>
    <w:rsid w:val="00950B13"/>
    <w:rsid w:val="00950C17"/>
    <w:rsid w:val="00951FAF"/>
    <w:rsid w:val="00952271"/>
    <w:rsid w:val="00954297"/>
    <w:rsid w:val="00954740"/>
    <w:rsid w:val="00954954"/>
    <w:rsid w:val="00955617"/>
    <w:rsid w:val="009557BC"/>
    <w:rsid w:val="00955AE5"/>
    <w:rsid w:val="009566E7"/>
    <w:rsid w:val="00956BC0"/>
    <w:rsid w:val="00960A97"/>
    <w:rsid w:val="0096296D"/>
    <w:rsid w:val="00962E71"/>
    <w:rsid w:val="00963ABC"/>
    <w:rsid w:val="00965D21"/>
    <w:rsid w:val="00966761"/>
    <w:rsid w:val="009670C6"/>
    <w:rsid w:val="00967764"/>
    <w:rsid w:val="0097095C"/>
    <w:rsid w:val="00970ACE"/>
    <w:rsid w:val="00970B0E"/>
    <w:rsid w:val="00970BB9"/>
    <w:rsid w:val="00971C47"/>
    <w:rsid w:val="009722A4"/>
    <w:rsid w:val="009726EE"/>
    <w:rsid w:val="00972A2A"/>
    <w:rsid w:val="00972C45"/>
    <w:rsid w:val="00972CDE"/>
    <w:rsid w:val="009733DD"/>
    <w:rsid w:val="0097401E"/>
    <w:rsid w:val="009742CA"/>
    <w:rsid w:val="009745C4"/>
    <w:rsid w:val="009754F4"/>
    <w:rsid w:val="00975573"/>
    <w:rsid w:val="00976D03"/>
    <w:rsid w:val="009771A0"/>
    <w:rsid w:val="00977A2D"/>
    <w:rsid w:val="00977B30"/>
    <w:rsid w:val="00980A3B"/>
    <w:rsid w:val="009829E3"/>
    <w:rsid w:val="00982DBB"/>
    <w:rsid w:val="00982E89"/>
    <w:rsid w:val="00982F41"/>
    <w:rsid w:val="00983301"/>
    <w:rsid w:val="00983A25"/>
    <w:rsid w:val="00984C98"/>
    <w:rsid w:val="00985090"/>
    <w:rsid w:val="00987710"/>
    <w:rsid w:val="009904AB"/>
    <w:rsid w:val="0099084F"/>
    <w:rsid w:val="00992834"/>
    <w:rsid w:val="00992D37"/>
    <w:rsid w:val="00993D3A"/>
    <w:rsid w:val="00993E0A"/>
    <w:rsid w:val="009940EE"/>
    <w:rsid w:val="00995688"/>
    <w:rsid w:val="009958A6"/>
    <w:rsid w:val="0099619C"/>
    <w:rsid w:val="00996456"/>
    <w:rsid w:val="00996D92"/>
    <w:rsid w:val="00997440"/>
    <w:rsid w:val="009976E9"/>
    <w:rsid w:val="00997796"/>
    <w:rsid w:val="00997C46"/>
    <w:rsid w:val="009A04B1"/>
    <w:rsid w:val="009A04F5"/>
    <w:rsid w:val="009A15EF"/>
    <w:rsid w:val="009A2061"/>
    <w:rsid w:val="009A276F"/>
    <w:rsid w:val="009A2B35"/>
    <w:rsid w:val="009A2F7E"/>
    <w:rsid w:val="009A3030"/>
    <w:rsid w:val="009A38A5"/>
    <w:rsid w:val="009A4A26"/>
    <w:rsid w:val="009A504E"/>
    <w:rsid w:val="009A5B73"/>
    <w:rsid w:val="009B118B"/>
    <w:rsid w:val="009B1737"/>
    <w:rsid w:val="009B3D4B"/>
    <w:rsid w:val="009B4264"/>
    <w:rsid w:val="009B4E63"/>
    <w:rsid w:val="009B5A59"/>
    <w:rsid w:val="009B5B99"/>
    <w:rsid w:val="009B64DF"/>
    <w:rsid w:val="009B6DBD"/>
    <w:rsid w:val="009B6EFC"/>
    <w:rsid w:val="009B70EA"/>
    <w:rsid w:val="009B712F"/>
    <w:rsid w:val="009B7830"/>
    <w:rsid w:val="009C031A"/>
    <w:rsid w:val="009C0A0C"/>
    <w:rsid w:val="009C0AC8"/>
    <w:rsid w:val="009C1FD0"/>
    <w:rsid w:val="009C2DF8"/>
    <w:rsid w:val="009C31BF"/>
    <w:rsid w:val="009C44F3"/>
    <w:rsid w:val="009C5547"/>
    <w:rsid w:val="009C5AC9"/>
    <w:rsid w:val="009C63E0"/>
    <w:rsid w:val="009C68B7"/>
    <w:rsid w:val="009C7611"/>
    <w:rsid w:val="009D0834"/>
    <w:rsid w:val="009D095A"/>
    <w:rsid w:val="009D0A1E"/>
    <w:rsid w:val="009D108B"/>
    <w:rsid w:val="009D168B"/>
    <w:rsid w:val="009D1D4C"/>
    <w:rsid w:val="009D2AE3"/>
    <w:rsid w:val="009D3C5C"/>
    <w:rsid w:val="009D4D43"/>
    <w:rsid w:val="009D52BC"/>
    <w:rsid w:val="009D5493"/>
    <w:rsid w:val="009D76C4"/>
    <w:rsid w:val="009D7D0A"/>
    <w:rsid w:val="009E06C6"/>
    <w:rsid w:val="009E09D9"/>
    <w:rsid w:val="009E1F2B"/>
    <w:rsid w:val="009E2092"/>
    <w:rsid w:val="009E2BD9"/>
    <w:rsid w:val="009E4C3A"/>
    <w:rsid w:val="009E4CEB"/>
    <w:rsid w:val="009F01B1"/>
    <w:rsid w:val="009F030C"/>
    <w:rsid w:val="009F0DBB"/>
    <w:rsid w:val="009F2C37"/>
    <w:rsid w:val="009F3887"/>
    <w:rsid w:val="009F40DC"/>
    <w:rsid w:val="009F4816"/>
    <w:rsid w:val="009F659A"/>
    <w:rsid w:val="009F6E2F"/>
    <w:rsid w:val="009F732B"/>
    <w:rsid w:val="009F75FB"/>
    <w:rsid w:val="00A01EC4"/>
    <w:rsid w:val="00A01FE0"/>
    <w:rsid w:val="00A0281B"/>
    <w:rsid w:val="00A0324C"/>
    <w:rsid w:val="00A03D49"/>
    <w:rsid w:val="00A05AB1"/>
    <w:rsid w:val="00A06945"/>
    <w:rsid w:val="00A07643"/>
    <w:rsid w:val="00A1015C"/>
    <w:rsid w:val="00A10247"/>
    <w:rsid w:val="00A10656"/>
    <w:rsid w:val="00A113C0"/>
    <w:rsid w:val="00A12D7D"/>
    <w:rsid w:val="00A12FA6"/>
    <w:rsid w:val="00A131CD"/>
    <w:rsid w:val="00A1339B"/>
    <w:rsid w:val="00A14ABA"/>
    <w:rsid w:val="00A14AC1"/>
    <w:rsid w:val="00A1515E"/>
    <w:rsid w:val="00A15301"/>
    <w:rsid w:val="00A17FFE"/>
    <w:rsid w:val="00A22E62"/>
    <w:rsid w:val="00A24BFC"/>
    <w:rsid w:val="00A24CB6"/>
    <w:rsid w:val="00A2558F"/>
    <w:rsid w:val="00A25865"/>
    <w:rsid w:val="00A26CD2"/>
    <w:rsid w:val="00A27667"/>
    <w:rsid w:val="00A27747"/>
    <w:rsid w:val="00A30FFA"/>
    <w:rsid w:val="00A324A5"/>
    <w:rsid w:val="00A32979"/>
    <w:rsid w:val="00A34A67"/>
    <w:rsid w:val="00A35CB5"/>
    <w:rsid w:val="00A37462"/>
    <w:rsid w:val="00A3794B"/>
    <w:rsid w:val="00A41896"/>
    <w:rsid w:val="00A42632"/>
    <w:rsid w:val="00A42C69"/>
    <w:rsid w:val="00A43621"/>
    <w:rsid w:val="00A444EE"/>
    <w:rsid w:val="00A459E1"/>
    <w:rsid w:val="00A45A33"/>
    <w:rsid w:val="00A462A0"/>
    <w:rsid w:val="00A46689"/>
    <w:rsid w:val="00A46AC4"/>
    <w:rsid w:val="00A478A5"/>
    <w:rsid w:val="00A47B0C"/>
    <w:rsid w:val="00A50E25"/>
    <w:rsid w:val="00A511F2"/>
    <w:rsid w:val="00A5178E"/>
    <w:rsid w:val="00A52296"/>
    <w:rsid w:val="00A5268B"/>
    <w:rsid w:val="00A53767"/>
    <w:rsid w:val="00A54E1C"/>
    <w:rsid w:val="00A55661"/>
    <w:rsid w:val="00A55BEF"/>
    <w:rsid w:val="00A60CCB"/>
    <w:rsid w:val="00A61B70"/>
    <w:rsid w:val="00A61BBD"/>
    <w:rsid w:val="00A61FA8"/>
    <w:rsid w:val="00A637F4"/>
    <w:rsid w:val="00A63A3B"/>
    <w:rsid w:val="00A64403"/>
    <w:rsid w:val="00A6451D"/>
    <w:rsid w:val="00A649DC"/>
    <w:rsid w:val="00A64DF2"/>
    <w:rsid w:val="00A65485"/>
    <w:rsid w:val="00A65F44"/>
    <w:rsid w:val="00A66E05"/>
    <w:rsid w:val="00A67018"/>
    <w:rsid w:val="00A67655"/>
    <w:rsid w:val="00A70753"/>
    <w:rsid w:val="00A71145"/>
    <w:rsid w:val="00A71170"/>
    <w:rsid w:val="00A712D2"/>
    <w:rsid w:val="00A74EA6"/>
    <w:rsid w:val="00A75841"/>
    <w:rsid w:val="00A76CB9"/>
    <w:rsid w:val="00A8188C"/>
    <w:rsid w:val="00A82789"/>
    <w:rsid w:val="00A82C8A"/>
    <w:rsid w:val="00A8346B"/>
    <w:rsid w:val="00A83781"/>
    <w:rsid w:val="00A84181"/>
    <w:rsid w:val="00A84D66"/>
    <w:rsid w:val="00A84FF6"/>
    <w:rsid w:val="00A852FF"/>
    <w:rsid w:val="00A87061"/>
    <w:rsid w:val="00A87337"/>
    <w:rsid w:val="00A90C97"/>
    <w:rsid w:val="00A911F5"/>
    <w:rsid w:val="00A92360"/>
    <w:rsid w:val="00A92DDC"/>
    <w:rsid w:val="00A93358"/>
    <w:rsid w:val="00A943DD"/>
    <w:rsid w:val="00A958A7"/>
    <w:rsid w:val="00A960C8"/>
    <w:rsid w:val="00A961DB"/>
    <w:rsid w:val="00A96604"/>
    <w:rsid w:val="00A97854"/>
    <w:rsid w:val="00AA03DF"/>
    <w:rsid w:val="00AA0728"/>
    <w:rsid w:val="00AA0F31"/>
    <w:rsid w:val="00AA1B4F"/>
    <w:rsid w:val="00AA201A"/>
    <w:rsid w:val="00AA21D8"/>
    <w:rsid w:val="00AA221A"/>
    <w:rsid w:val="00AA271A"/>
    <w:rsid w:val="00AA3270"/>
    <w:rsid w:val="00AA375A"/>
    <w:rsid w:val="00AA39B0"/>
    <w:rsid w:val="00AA3EA0"/>
    <w:rsid w:val="00AA5126"/>
    <w:rsid w:val="00AA54F3"/>
    <w:rsid w:val="00AA664E"/>
    <w:rsid w:val="00AA6B43"/>
    <w:rsid w:val="00AA6DB6"/>
    <w:rsid w:val="00AA6E56"/>
    <w:rsid w:val="00AA720D"/>
    <w:rsid w:val="00AA7A5C"/>
    <w:rsid w:val="00AA7B1F"/>
    <w:rsid w:val="00AB0337"/>
    <w:rsid w:val="00AB1B13"/>
    <w:rsid w:val="00AB3145"/>
    <w:rsid w:val="00AB367A"/>
    <w:rsid w:val="00AB6447"/>
    <w:rsid w:val="00AB7AF9"/>
    <w:rsid w:val="00AB7BF8"/>
    <w:rsid w:val="00AC01D1"/>
    <w:rsid w:val="00AC0AB2"/>
    <w:rsid w:val="00AC0E9F"/>
    <w:rsid w:val="00AC13A0"/>
    <w:rsid w:val="00AC1B0E"/>
    <w:rsid w:val="00AC2E48"/>
    <w:rsid w:val="00AC52A5"/>
    <w:rsid w:val="00AC6EFD"/>
    <w:rsid w:val="00AC7151"/>
    <w:rsid w:val="00AC7AD7"/>
    <w:rsid w:val="00AD037D"/>
    <w:rsid w:val="00AD22F8"/>
    <w:rsid w:val="00AD29DD"/>
    <w:rsid w:val="00AD460A"/>
    <w:rsid w:val="00AD50D7"/>
    <w:rsid w:val="00AD6A05"/>
    <w:rsid w:val="00AD73E5"/>
    <w:rsid w:val="00AE118B"/>
    <w:rsid w:val="00AE272B"/>
    <w:rsid w:val="00AE3E3A"/>
    <w:rsid w:val="00AE55B0"/>
    <w:rsid w:val="00AE5D19"/>
    <w:rsid w:val="00AE74DE"/>
    <w:rsid w:val="00AE77B4"/>
    <w:rsid w:val="00AE7C1A"/>
    <w:rsid w:val="00AE7DF8"/>
    <w:rsid w:val="00AF0D9C"/>
    <w:rsid w:val="00AF13AB"/>
    <w:rsid w:val="00AF1946"/>
    <w:rsid w:val="00AF1D36"/>
    <w:rsid w:val="00AF280B"/>
    <w:rsid w:val="00AF2A99"/>
    <w:rsid w:val="00AF3224"/>
    <w:rsid w:val="00AF3765"/>
    <w:rsid w:val="00AF3AEC"/>
    <w:rsid w:val="00AF3BC2"/>
    <w:rsid w:val="00AF466D"/>
    <w:rsid w:val="00AF5F75"/>
    <w:rsid w:val="00AF6001"/>
    <w:rsid w:val="00AF762A"/>
    <w:rsid w:val="00B01A16"/>
    <w:rsid w:val="00B02056"/>
    <w:rsid w:val="00B039C7"/>
    <w:rsid w:val="00B05AA0"/>
    <w:rsid w:val="00B05F34"/>
    <w:rsid w:val="00B06FD2"/>
    <w:rsid w:val="00B072D1"/>
    <w:rsid w:val="00B07F45"/>
    <w:rsid w:val="00B1021A"/>
    <w:rsid w:val="00B10271"/>
    <w:rsid w:val="00B10591"/>
    <w:rsid w:val="00B13005"/>
    <w:rsid w:val="00B140D9"/>
    <w:rsid w:val="00B1481A"/>
    <w:rsid w:val="00B148B7"/>
    <w:rsid w:val="00B15247"/>
    <w:rsid w:val="00B15A1F"/>
    <w:rsid w:val="00B15FE9"/>
    <w:rsid w:val="00B17589"/>
    <w:rsid w:val="00B20CA7"/>
    <w:rsid w:val="00B2148A"/>
    <w:rsid w:val="00B218B4"/>
    <w:rsid w:val="00B21AA7"/>
    <w:rsid w:val="00B21CF9"/>
    <w:rsid w:val="00B220C2"/>
    <w:rsid w:val="00B222EC"/>
    <w:rsid w:val="00B2276E"/>
    <w:rsid w:val="00B24CD6"/>
    <w:rsid w:val="00B25267"/>
    <w:rsid w:val="00B25B32"/>
    <w:rsid w:val="00B25F03"/>
    <w:rsid w:val="00B262C2"/>
    <w:rsid w:val="00B27780"/>
    <w:rsid w:val="00B3027E"/>
    <w:rsid w:val="00B30DA9"/>
    <w:rsid w:val="00B32616"/>
    <w:rsid w:val="00B33EB2"/>
    <w:rsid w:val="00B34CF4"/>
    <w:rsid w:val="00B3500C"/>
    <w:rsid w:val="00B35776"/>
    <w:rsid w:val="00B36A07"/>
    <w:rsid w:val="00B36A6F"/>
    <w:rsid w:val="00B36AF0"/>
    <w:rsid w:val="00B36C42"/>
    <w:rsid w:val="00B36F13"/>
    <w:rsid w:val="00B37B49"/>
    <w:rsid w:val="00B417FE"/>
    <w:rsid w:val="00B41DAD"/>
    <w:rsid w:val="00B42142"/>
    <w:rsid w:val="00B4241D"/>
    <w:rsid w:val="00B4268C"/>
    <w:rsid w:val="00B42EA7"/>
    <w:rsid w:val="00B43503"/>
    <w:rsid w:val="00B44820"/>
    <w:rsid w:val="00B44B16"/>
    <w:rsid w:val="00B47FAD"/>
    <w:rsid w:val="00B507BD"/>
    <w:rsid w:val="00B51845"/>
    <w:rsid w:val="00B51923"/>
    <w:rsid w:val="00B53131"/>
    <w:rsid w:val="00B5337C"/>
    <w:rsid w:val="00B53FDE"/>
    <w:rsid w:val="00B54570"/>
    <w:rsid w:val="00B559F9"/>
    <w:rsid w:val="00B56397"/>
    <w:rsid w:val="00B571DA"/>
    <w:rsid w:val="00B6027B"/>
    <w:rsid w:val="00B622D4"/>
    <w:rsid w:val="00B6288F"/>
    <w:rsid w:val="00B629BC"/>
    <w:rsid w:val="00B636C8"/>
    <w:rsid w:val="00B63862"/>
    <w:rsid w:val="00B644E4"/>
    <w:rsid w:val="00B65EDB"/>
    <w:rsid w:val="00B661B1"/>
    <w:rsid w:val="00B671A3"/>
    <w:rsid w:val="00B67AFF"/>
    <w:rsid w:val="00B67C41"/>
    <w:rsid w:val="00B705A1"/>
    <w:rsid w:val="00B70B59"/>
    <w:rsid w:val="00B71697"/>
    <w:rsid w:val="00B71DC2"/>
    <w:rsid w:val="00B7282F"/>
    <w:rsid w:val="00B730CB"/>
    <w:rsid w:val="00B73657"/>
    <w:rsid w:val="00B739B3"/>
    <w:rsid w:val="00B73D0C"/>
    <w:rsid w:val="00B74443"/>
    <w:rsid w:val="00B75537"/>
    <w:rsid w:val="00B75C71"/>
    <w:rsid w:val="00B75D58"/>
    <w:rsid w:val="00B76A84"/>
    <w:rsid w:val="00B77177"/>
    <w:rsid w:val="00B772A8"/>
    <w:rsid w:val="00B8032E"/>
    <w:rsid w:val="00B809F4"/>
    <w:rsid w:val="00B81B15"/>
    <w:rsid w:val="00B821D0"/>
    <w:rsid w:val="00B84815"/>
    <w:rsid w:val="00B85232"/>
    <w:rsid w:val="00B87DBE"/>
    <w:rsid w:val="00B9114A"/>
    <w:rsid w:val="00B91403"/>
    <w:rsid w:val="00B91419"/>
    <w:rsid w:val="00B9159D"/>
    <w:rsid w:val="00B915AE"/>
    <w:rsid w:val="00B9187D"/>
    <w:rsid w:val="00B92319"/>
    <w:rsid w:val="00B92529"/>
    <w:rsid w:val="00B95249"/>
    <w:rsid w:val="00B95660"/>
    <w:rsid w:val="00BA092C"/>
    <w:rsid w:val="00BA1735"/>
    <w:rsid w:val="00BA19FA"/>
    <w:rsid w:val="00BA1D39"/>
    <w:rsid w:val="00BA1D43"/>
    <w:rsid w:val="00BA4159"/>
    <w:rsid w:val="00BA4288"/>
    <w:rsid w:val="00BA550C"/>
    <w:rsid w:val="00BA55F4"/>
    <w:rsid w:val="00BA56D1"/>
    <w:rsid w:val="00BA62A2"/>
    <w:rsid w:val="00BA6325"/>
    <w:rsid w:val="00BA6E28"/>
    <w:rsid w:val="00BA7B33"/>
    <w:rsid w:val="00BB0902"/>
    <w:rsid w:val="00BB0B9B"/>
    <w:rsid w:val="00BB191E"/>
    <w:rsid w:val="00BB1F9C"/>
    <w:rsid w:val="00BB397A"/>
    <w:rsid w:val="00BB48E5"/>
    <w:rsid w:val="00BB5607"/>
    <w:rsid w:val="00BB5ACA"/>
    <w:rsid w:val="00BB5DEE"/>
    <w:rsid w:val="00BB627F"/>
    <w:rsid w:val="00BB72C4"/>
    <w:rsid w:val="00BB7635"/>
    <w:rsid w:val="00BC008F"/>
    <w:rsid w:val="00BC0C17"/>
    <w:rsid w:val="00BC15AC"/>
    <w:rsid w:val="00BC3823"/>
    <w:rsid w:val="00BC5841"/>
    <w:rsid w:val="00BC5E38"/>
    <w:rsid w:val="00BC6488"/>
    <w:rsid w:val="00BC6B2C"/>
    <w:rsid w:val="00BD201A"/>
    <w:rsid w:val="00BD2DC4"/>
    <w:rsid w:val="00BD2EF0"/>
    <w:rsid w:val="00BD60B4"/>
    <w:rsid w:val="00BD6DD5"/>
    <w:rsid w:val="00BD72E1"/>
    <w:rsid w:val="00BD796B"/>
    <w:rsid w:val="00BD7DD4"/>
    <w:rsid w:val="00BE1444"/>
    <w:rsid w:val="00BE2959"/>
    <w:rsid w:val="00BE40C0"/>
    <w:rsid w:val="00BE439E"/>
    <w:rsid w:val="00BE445C"/>
    <w:rsid w:val="00BE4799"/>
    <w:rsid w:val="00BE4E72"/>
    <w:rsid w:val="00BE515A"/>
    <w:rsid w:val="00BE5F4A"/>
    <w:rsid w:val="00BE64B2"/>
    <w:rsid w:val="00BE7AEF"/>
    <w:rsid w:val="00BF0116"/>
    <w:rsid w:val="00BF06A8"/>
    <w:rsid w:val="00BF09B0"/>
    <w:rsid w:val="00BF1228"/>
    <w:rsid w:val="00BF1544"/>
    <w:rsid w:val="00BF1B53"/>
    <w:rsid w:val="00BF246D"/>
    <w:rsid w:val="00BF262A"/>
    <w:rsid w:val="00BF2682"/>
    <w:rsid w:val="00BF2763"/>
    <w:rsid w:val="00BF2C4C"/>
    <w:rsid w:val="00BF3EBF"/>
    <w:rsid w:val="00BF5D8D"/>
    <w:rsid w:val="00BF6B0C"/>
    <w:rsid w:val="00BF7EBC"/>
    <w:rsid w:val="00C008FE"/>
    <w:rsid w:val="00C01E25"/>
    <w:rsid w:val="00C02F9F"/>
    <w:rsid w:val="00C047E8"/>
    <w:rsid w:val="00C05BC9"/>
    <w:rsid w:val="00C06F06"/>
    <w:rsid w:val="00C070A7"/>
    <w:rsid w:val="00C0733A"/>
    <w:rsid w:val="00C0754B"/>
    <w:rsid w:val="00C07C4B"/>
    <w:rsid w:val="00C10AC2"/>
    <w:rsid w:val="00C1111B"/>
    <w:rsid w:val="00C12101"/>
    <w:rsid w:val="00C13006"/>
    <w:rsid w:val="00C131A7"/>
    <w:rsid w:val="00C13B12"/>
    <w:rsid w:val="00C144FF"/>
    <w:rsid w:val="00C14E92"/>
    <w:rsid w:val="00C166D0"/>
    <w:rsid w:val="00C17286"/>
    <w:rsid w:val="00C17BFF"/>
    <w:rsid w:val="00C17F84"/>
    <w:rsid w:val="00C20FAD"/>
    <w:rsid w:val="00C23371"/>
    <w:rsid w:val="00C2375F"/>
    <w:rsid w:val="00C246D0"/>
    <w:rsid w:val="00C247CB"/>
    <w:rsid w:val="00C271DD"/>
    <w:rsid w:val="00C30133"/>
    <w:rsid w:val="00C3017E"/>
    <w:rsid w:val="00C30D16"/>
    <w:rsid w:val="00C31E6F"/>
    <w:rsid w:val="00C32D44"/>
    <w:rsid w:val="00C32E66"/>
    <w:rsid w:val="00C33515"/>
    <w:rsid w:val="00C3355F"/>
    <w:rsid w:val="00C33A04"/>
    <w:rsid w:val="00C33D44"/>
    <w:rsid w:val="00C3419E"/>
    <w:rsid w:val="00C344AF"/>
    <w:rsid w:val="00C3569A"/>
    <w:rsid w:val="00C40A53"/>
    <w:rsid w:val="00C41BC2"/>
    <w:rsid w:val="00C424DC"/>
    <w:rsid w:val="00C43F48"/>
    <w:rsid w:val="00C44172"/>
    <w:rsid w:val="00C448FF"/>
    <w:rsid w:val="00C45E57"/>
    <w:rsid w:val="00C51709"/>
    <w:rsid w:val="00C51824"/>
    <w:rsid w:val="00C52266"/>
    <w:rsid w:val="00C52F29"/>
    <w:rsid w:val="00C53464"/>
    <w:rsid w:val="00C54E06"/>
    <w:rsid w:val="00C5555A"/>
    <w:rsid w:val="00C5578D"/>
    <w:rsid w:val="00C55853"/>
    <w:rsid w:val="00C56CE6"/>
    <w:rsid w:val="00C56DDD"/>
    <w:rsid w:val="00C5745F"/>
    <w:rsid w:val="00C577ED"/>
    <w:rsid w:val="00C60005"/>
    <w:rsid w:val="00C600E5"/>
    <w:rsid w:val="00C60BFF"/>
    <w:rsid w:val="00C61A98"/>
    <w:rsid w:val="00C63177"/>
    <w:rsid w:val="00C63201"/>
    <w:rsid w:val="00C632A4"/>
    <w:rsid w:val="00C63A2F"/>
    <w:rsid w:val="00C63DB6"/>
    <w:rsid w:val="00C641BD"/>
    <w:rsid w:val="00C6456F"/>
    <w:rsid w:val="00C64E62"/>
    <w:rsid w:val="00C651D5"/>
    <w:rsid w:val="00C65CCC"/>
    <w:rsid w:val="00C65DA9"/>
    <w:rsid w:val="00C660B4"/>
    <w:rsid w:val="00C6631D"/>
    <w:rsid w:val="00C663EA"/>
    <w:rsid w:val="00C668AF"/>
    <w:rsid w:val="00C7053B"/>
    <w:rsid w:val="00C72D39"/>
    <w:rsid w:val="00C72F26"/>
    <w:rsid w:val="00C730F3"/>
    <w:rsid w:val="00C73568"/>
    <w:rsid w:val="00C74FE8"/>
    <w:rsid w:val="00C7618F"/>
    <w:rsid w:val="00C765A9"/>
    <w:rsid w:val="00C76AC8"/>
    <w:rsid w:val="00C80F98"/>
    <w:rsid w:val="00C81157"/>
    <w:rsid w:val="00C8162D"/>
    <w:rsid w:val="00C81E7C"/>
    <w:rsid w:val="00C8225E"/>
    <w:rsid w:val="00C82C23"/>
    <w:rsid w:val="00C82C60"/>
    <w:rsid w:val="00C830BB"/>
    <w:rsid w:val="00C83A0B"/>
    <w:rsid w:val="00C842D0"/>
    <w:rsid w:val="00C84656"/>
    <w:rsid w:val="00C84ED1"/>
    <w:rsid w:val="00C863CC"/>
    <w:rsid w:val="00C86BCC"/>
    <w:rsid w:val="00C87270"/>
    <w:rsid w:val="00C87B7A"/>
    <w:rsid w:val="00C9038F"/>
    <w:rsid w:val="00C90BF8"/>
    <w:rsid w:val="00C90C4C"/>
    <w:rsid w:val="00C921F0"/>
    <w:rsid w:val="00C92AAB"/>
    <w:rsid w:val="00C9326B"/>
    <w:rsid w:val="00C9358C"/>
    <w:rsid w:val="00C95D4C"/>
    <w:rsid w:val="00C9637F"/>
    <w:rsid w:val="00C9708A"/>
    <w:rsid w:val="00C97F44"/>
    <w:rsid w:val="00CA02D1"/>
    <w:rsid w:val="00CA04C8"/>
    <w:rsid w:val="00CA0885"/>
    <w:rsid w:val="00CA0D9A"/>
    <w:rsid w:val="00CA23AA"/>
    <w:rsid w:val="00CA2435"/>
    <w:rsid w:val="00CA2665"/>
    <w:rsid w:val="00CA2C61"/>
    <w:rsid w:val="00CA2CDB"/>
    <w:rsid w:val="00CA4068"/>
    <w:rsid w:val="00CA4305"/>
    <w:rsid w:val="00CA47D0"/>
    <w:rsid w:val="00CA510E"/>
    <w:rsid w:val="00CA67F4"/>
    <w:rsid w:val="00CA6F55"/>
    <w:rsid w:val="00CA7E3C"/>
    <w:rsid w:val="00CB2B1D"/>
    <w:rsid w:val="00CB2E8B"/>
    <w:rsid w:val="00CB37F8"/>
    <w:rsid w:val="00CB7DC3"/>
    <w:rsid w:val="00CC0740"/>
    <w:rsid w:val="00CC3E5B"/>
    <w:rsid w:val="00CC5019"/>
    <w:rsid w:val="00CC52B9"/>
    <w:rsid w:val="00CC56FD"/>
    <w:rsid w:val="00CC5870"/>
    <w:rsid w:val="00CC5BE1"/>
    <w:rsid w:val="00CC6AAA"/>
    <w:rsid w:val="00CC75A2"/>
    <w:rsid w:val="00CC7A18"/>
    <w:rsid w:val="00CC7B94"/>
    <w:rsid w:val="00CD099E"/>
    <w:rsid w:val="00CD0E2F"/>
    <w:rsid w:val="00CD1342"/>
    <w:rsid w:val="00CD1D49"/>
    <w:rsid w:val="00CD2F20"/>
    <w:rsid w:val="00CD42BE"/>
    <w:rsid w:val="00CD4BCA"/>
    <w:rsid w:val="00CD5380"/>
    <w:rsid w:val="00CD5BC6"/>
    <w:rsid w:val="00CD63CC"/>
    <w:rsid w:val="00CD6B20"/>
    <w:rsid w:val="00CE1339"/>
    <w:rsid w:val="00CE37E7"/>
    <w:rsid w:val="00CE3888"/>
    <w:rsid w:val="00CE42F9"/>
    <w:rsid w:val="00CE5C4E"/>
    <w:rsid w:val="00CE5F17"/>
    <w:rsid w:val="00CE61CC"/>
    <w:rsid w:val="00CE6E42"/>
    <w:rsid w:val="00CF046D"/>
    <w:rsid w:val="00CF0B47"/>
    <w:rsid w:val="00CF14B3"/>
    <w:rsid w:val="00CF1946"/>
    <w:rsid w:val="00CF19F4"/>
    <w:rsid w:val="00CF1A2D"/>
    <w:rsid w:val="00CF1F42"/>
    <w:rsid w:val="00CF20B7"/>
    <w:rsid w:val="00CF2334"/>
    <w:rsid w:val="00CF2387"/>
    <w:rsid w:val="00CF283B"/>
    <w:rsid w:val="00CF52CC"/>
    <w:rsid w:val="00CF6692"/>
    <w:rsid w:val="00CF7441"/>
    <w:rsid w:val="00D00494"/>
    <w:rsid w:val="00D00D16"/>
    <w:rsid w:val="00D01B14"/>
    <w:rsid w:val="00D01E59"/>
    <w:rsid w:val="00D0246F"/>
    <w:rsid w:val="00D03C6C"/>
    <w:rsid w:val="00D04760"/>
    <w:rsid w:val="00D04A95"/>
    <w:rsid w:val="00D04E97"/>
    <w:rsid w:val="00D06288"/>
    <w:rsid w:val="00D065D3"/>
    <w:rsid w:val="00D06760"/>
    <w:rsid w:val="00D068C7"/>
    <w:rsid w:val="00D1007D"/>
    <w:rsid w:val="00D10FF6"/>
    <w:rsid w:val="00D116ED"/>
    <w:rsid w:val="00D11F16"/>
    <w:rsid w:val="00D128A4"/>
    <w:rsid w:val="00D13B6F"/>
    <w:rsid w:val="00D13ECC"/>
    <w:rsid w:val="00D1449B"/>
    <w:rsid w:val="00D147C8"/>
    <w:rsid w:val="00D15131"/>
    <w:rsid w:val="00D16FA2"/>
    <w:rsid w:val="00D20954"/>
    <w:rsid w:val="00D21C39"/>
    <w:rsid w:val="00D21FC6"/>
    <w:rsid w:val="00D221A9"/>
    <w:rsid w:val="00D22327"/>
    <w:rsid w:val="00D2243A"/>
    <w:rsid w:val="00D243D4"/>
    <w:rsid w:val="00D24668"/>
    <w:rsid w:val="00D2472A"/>
    <w:rsid w:val="00D26BB0"/>
    <w:rsid w:val="00D30941"/>
    <w:rsid w:val="00D33393"/>
    <w:rsid w:val="00D33858"/>
    <w:rsid w:val="00D33BDE"/>
    <w:rsid w:val="00D33C66"/>
    <w:rsid w:val="00D33D36"/>
    <w:rsid w:val="00D340C9"/>
    <w:rsid w:val="00D34567"/>
    <w:rsid w:val="00D34D94"/>
    <w:rsid w:val="00D35EC6"/>
    <w:rsid w:val="00D37655"/>
    <w:rsid w:val="00D3775A"/>
    <w:rsid w:val="00D409E2"/>
    <w:rsid w:val="00D41370"/>
    <w:rsid w:val="00D427D7"/>
    <w:rsid w:val="00D42C3A"/>
    <w:rsid w:val="00D43130"/>
    <w:rsid w:val="00D43A20"/>
    <w:rsid w:val="00D44E62"/>
    <w:rsid w:val="00D45FB8"/>
    <w:rsid w:val="00D508EF"/>
    <w:rsid w:val="00D51570"/>
    <w:rsid w:val="00D53213"/>
    <w:rsid w:val="00D535EC"/>
    <w:rsid w:val="00D537A7"/>
    <w:rsid w:val="00D5406B"/>
    <w:rsid w:val="00D546D0"/>
    <w:rsid w:val="00D54C36"/>
    <w:rsid w:val="00D554E4"/>
    <w:rsid w:val="00D556AD"/>
    <w:rsid w:val="00D55B15"/>
    <w:rsid w:val="00D5692D"/>
    <w:rsid w:val="00D57A9B"/>
    <w:rsid w:val="00D60381"/>
    <w:rsid w:val="00D61605"/>
    <w:rsid w:val="00D616DE"/>
    <w:rsid w:val="00D62201"/>
    <w:rsid w:val="00D64FB8"/>
    <w:rsid w:val="00D651D1"/>
    <w:rsid w:val="00D71253"/>
    <w:rsid w:val="00D717BB"/>
    <w:rsid w:val="00D7188F"/>
    <w:rsid w:val="00D72119"/>
    <w:rsid w:val="00D7226B"/>
    <w:rsid w:val="00D72707"/>
    <w:rsid w:val="00D74AAC"/>
    <w:rsid w:val="00D75A9C"/>
    <w:rsid w:val="00D809FA"/>
    <w:rsid w:val="00D81AC2"/>
    <w:rsid w:val="00D81C66"/>
    <w:rsid w:val="00D829C8"/>
    <w:rsid w:val="00D8350A"/>
    <w:rsid w:val="00D84D4D"/>
    <w:rsid w:val="00D87917"/>
    <w:rsid w:val="00D90871"/>
    <w:rsid w:val="00D91277"/>
    <w:rsid w:val="00D9155F"/>
    <w:rsid w:val="00D917FC"/>
    <w:rsid w:val="00D91F12"/>
    <w:rsid w:val="00D926C1"/>
    <w:rsid w:val="00D92A82"/>
    <w:rsid w:val="00D93552"/>
    <w:rsid w:val="00D93ACA"/>
    <w:rsid w:val="00D93CA0"/>
    <w:rsid w:val="00D9403F"/>
    <w:rsid w:val="00D959B4"/>
    <w:rsid w:val="00D96180"/>
    <w:rsid w:val="00D9655C"/>
    <w:rsid w:val="00D96717"/>
    <w:rsid w:val="00D96EBC"/>
    <w:rsid w:val="00D96FFF"/>
    <w:rsid w:val="00D97122"/>
    <w:rsid w:val="00D97DDF"/>
    <w:rsid w:val="00DA0234"/>
    <w:rsid w:val="00DA03A5"/>
    <w:rsid w:val="00DA12A7"/>
    <w:rsid w:val="00DA18FD"/>
    <w:rsid w:val="00DA2F07"/>
    <w:rsid w:val="00DA392F"/>
    <w:rsid w:val="00DA44DE"/>
    <w:rsid w:val="00DA4CF2"/>
    <w:rsid w:val="00DA750B"/>
    <w:rsid w:val="00DB0E3E"/>
    <w:rsid w:val="00DB2D04"/>
    <w:rsid w:val="00DB3477"/>
    <w:rsid w:val="00DB3A10"/>
    <w:rsid w:val="00DB3C0D"/>
    <w:rsid w:val="00DB5DAA"/>
    <w:rsid w:val="00DB620A"/>
    <w:rsid w:val="00DB7F96"/>
    <w:rsid w:val="00DC0585"/>
    <w:rsid w:val="00DC084F"/>
    <w:rsid w:val="00DC1310"/>
    <w:rsid w:val="00DC322F"/>
    <w:rsid w:val="00DC3832"/>
    <w:rsid w:val="00DC5567"/>
    <w:rsid w:val="00DC6175"/>
    <w:rsid w:val="00DC68C7"/>
    <w:rsid w:val="00DC7A51"/>
    <w:rsid w:val="00DC7E76"/>
    <w:rsid w:val="00DD3B1E"/>
    <w:rsid w:val="00DD4438"/>
    <w:rsid w:val="00DD4BBE"/>
    <w:rsid w:val="00DD5C57"/>
    <w:rsid w:val="00DD6DF2"/>
    <w:rsid w:val="00DE06B2"/>
    <w:rsid w:val="00DE0B21"/>
    <w:rsid w:val="00DE2347"/>
    <w:rsid w:val="00DE3A2B"/>
    <w:rsid w:val="00DE4B4C"/>
    <w:rsid w:val="00DE5B5F"/>
    <w:rsid w:val="00DE5FBD"/>
    <w:rsid w:val="00DE61A4"/>
    <w:rsid w:val="00DE69ED"/>
    <w:rsid w:val="00DE6BCA"/>
    <w:rsid w:val="00DE7EA2"/>
    <w:rsid w:val="00DF044A"/>
    <w:rsid w:val="00DF233A"/>
    <w:rsid w:val="00DF263E"/>
    <w:rsid w:val="00DF27D7"/>
    <w:rsid w:val="00DF39A9"/>
    <w:rsid w:val="00DF423F"/>
    <w:rsid w:val="00DF4732"/>
    <w:rsid w:val="00DF55CC"/>
    <w:rsid w:val="00DF614E"/>
    <w:rsid w:val="00E00696"/>
    <w:rsid w:val="00E01209"/>
    <w:rsid w:val="00E01E34"/>
    <w:rsid w:val="00E0329C"/>
    <w:rsid w:val="00E0339D"/>
    <w:rsid w:val="00E03651"/>
    <w:rsid w:val="00E037AB"/>
    <w:rsid w:val="00E03808"/>
    <w:rsid w:val="00E03ABD"/>
    <w:rsid w:val="00E05C2E"/>
    <w:rsid w:val="00E05F3E"/>
    <w:rsid w:val="00E060C2"/>
    <w:rsid w:val="00E06324"/>
    <w:rsid w:val="00E07003"/>
    <w:rsid w:val="00E07A1C"/>
    <w:rsid w:val="00E07B81"/>
    <w:rsid w:val="00E104FB"/>
    <w:rsid w:val="00E10AFD"/>
    <w:rsid w:val="00E128B7"/>
    <w:rsid w:val="00E12B11"/>
    <w:rsid w:val="00E12B87"/>
    <w:rsid w:val="00E12FB0"/>
    <w:rsid w:val="00E13021"/>
    <w:rsid w:val="00E135B1"/>
    <w:rsid w:val="00E14814"/>
    <w:rsid w:val="00E1591B"/>
    <w:rsid w:val="00E16A50"/>
    <w:rsid w:val="00E2127E"/>
    <w:rsid w:val="00E2146D"/>
    <w:rsid w:val="00E2431F"/>
    <w:rsid w:val="00E2445F"/>
    <w:rsid w:val="00E249D5"/>
    <w:rsid w:val="00E25017"/>
    <w:rsid w:val="00E25ACE"/>
    <w:rsid w:val="00E26F73"/>
    <w:rsid w:val="00E271A9"/>
    <w:rsid w:val="00E27378"/>
    <w:rsid w:val="00E30A34"/>
    <w:rsid w:val="00E31568"/>
    <w:rsid w:val="00E31A60"/>
    <w:rsid w:val="00E32129"/>
    <w:rsid w:val="00E339AA"/>
    <w:rsid w:val="00E33C68"/>
    <w:rsid w:val="00E34EEB"/>
    <w:rsid w:val="00E350B4"/>
    <w:rsid w:val="00E350EA"/>
    <w:rsid w:val="00E35665"/>
    <w:rsid w:val="00E363AC"/>
    <w:rsid w:val="00E3687C"/>
    <w:rsid w:val="00E37766"/>
    <w:rsid w:val="00E40E45"/>
    <w:rsid w:val="00E41018"/>
    <w:rsid w:val="00E4158F"/>
    <w:rsid w:val="00E44EB9"/>
    <w:rsid w:val="00E45BDC"/>
    <w:rsid w:val="00E460B7"/>
    <w:rsid w:val="00E46332"/>
    <w:rsid w:val="00E46358"/>
    <w:rsid w:val="00E471DC"/>
    <w:rsid w:val="00E47CC7"/>
    <w:rsid w:val="00E50EB4"/>
    <w:rsid w:val="00E5239B"/>
    <w:rsid w:val="00E52463"/>
    <w:rsid w:val="00E5257D"/>
    <w:rsid w:val="00E532FC"/>
    <w:rsid w:val="00E54F85"/>
    <w:rsid w:val="00E559B4"/>
    <w:rsid w:val="00E55BB0"/>
    <w:rsid w:val="00E56BD0"/>
    <w:rsid w:val="00E56CF0"/>
    <w:rsid w:val="00E575C3"/>
    <w:rsid w:val="00E5799B"/>
    <w:rsid w:val="00E609E5"/>
    <w:rsid w:val="00E60F27"/>
    <w:rsid w:val="00E62C26"/>
    <w:rsid w:val="00E63283"/>
    <w:rsid w:val="00E64424"/>
    <w:rsid w:val="00E64D93"/>
    <w:rsid w:val="00E6574E"/>
    <w:rsid w:val="00E65EDB"/>
    <w:rsid w:val="00E66488"/>
    <w:rsid w:val="00E66927"/>
    <w:rsid w:val="00E677B8"/>
    <w:rsid w:val="00E67A43"/>
    <w:rsid w:val="00E67E7A"/>
    <w:rsid w:val="00E67E9E"/>
    <w:rsid w:val="00E67FA1"/>
    <w:rsid w:val="00E7115E"/>
    <w:rsid w:val="00E7196A"/>
    <w:rsid w:val="00E7274E"/>
    <w:rsid w:val="00E729BD"/>
    <w:rsid w:val="00E7378C"/>
    <w:rsid w:val="00E7387D"/>
    <w:rsid w:val="00E73D53"/>
    <w:rsid w:val="00E744F8"/>
    <w:rsid w:val="00E745F5"/>
    <w:rsid w:val="00E747AD"/>
    <w:rsid w:val="00E75111"/>
    <w:rsid w:val="00E76AC5"/>
    <w:rsid w:val="00E7726D"/>
    <w:rsid w:val="00E77296"/>
    <w:rsid w:val="00E77FB7"/>
    <w:rsid w:val="00E80823"/>
    <w:rsid w:val="00E8191F"/>
    <w:rsid w:val="00E82FEF"/>
    <w:rsid w:val="00E830A7"/>
    <w:rsid w:val="00E84C4E"/>
    <w:rsid w:val="00E85FBF"/>
    <w:rsid w:val="00E862B3"/>
    <w:rsid w:val="00E86EA9"/>
    <w:rsid w:val="00E87527"/>
    <w:rsid w:val="00E87993"/>
    <w:rsid w:val="00E87EF7"/>
    <w:rsid w:val="00E90D25"/>
    <w:rsid w:val="00E91439"/>
    <w:rsid w:val="00E9351E"/>
    <w:rsid w:val="00E93763"/>
    <w:rsid w:val="00E94333"/>
    <w:rsid w:val="00E94AAF"/>
    <w:rsid w:val="00E94ACF"/>
    <w:rsid w:val="00E96C4C"/>
    <w:rsid w:val="00E96E2A"/>
    <w:rsid w:val="00E978B0"/>
    <w:rsid w:val="00EA055E"/>
    <w:rsid w:val="00EA0BB2"/>
    <w:rsid w:val="00EA1884"/>
    <w:rsid w:val="00EA1F03"/>
    <w:rsid w:val="00EA2A96"/>
    <w:rsid w:val="00EA2AAE"/>
    <w:rsid w:val="00EA2EC0"/>
    <w:rsid w:val="00EA3595"/>
    <w:rsid w:val="00EA3CD4"/>
    <w:rsid w:val="00EA427A"/>
    <w:rsid w:val="00EA5DDD"/>
    <w:rsid w:val="00EA723B"/>
    <w:rsid w:val="00EA7B78"/>
    <w:rsid w:val="00EB0621"/>
    <w:rsid w:val="00EB0827"/>
    <w:rsid w:val="00EB13FF"/>
    <w:rsid w:val="00EB1DFC"/>
    <w:rsid w:val="00EB2D89"/>
    <w:rsid w:val="00EB55E1"/>
    <w:rsid w:val="00EB6350"/>
    <w:rsid w:val="00EB687A"/>
    <w:rsid w:val="00EB6EAD"/>
    <w:rsid w:val="00EB7BDC"/>
    <w:rsid w:val="00EC0B8B"/>
    <w:rsid w:val="00EC11F0"/>
    <w:rsid w:val="00EC121E"/>
    <w:rsid w:val="00EC2F62"/>
    <w:rsid w:val="00EC3397"/>
    <w:rsid w:val="00EC47F1"/>
    <w:rsid w:val="00EC62EB"/>
    <w:rsid w:val="00EC6E9F"/>
    <w:rsid w:val="00EC7ED1"/>
    <w:rsid w:val="00ED0B4A"/>
    <w:rsid w:val="00ED34F3"/>
    <w:rsid w:val="00ED34FA"/>
    <w:rsid w:val="00ED34FE"/>
    <w:rsid w:val="00ED3530"/>
    <w:rsid w:val="00ED44F0"/>
    <w:rsid w:val="00ED4710"/>
    <w:rsid w:val="00ED4B33"/>
    <w:rsid w:val="00ED5333"/>
    <w:rsid w:val="00ED5993"/>
    <w:rsid w:val="00ED7D79"/>
    <w:rsid w:val="00ED7DD6"/>
    <w:rsid w:val="00EE060B"/>
    <w:rsid w:val="00EE0B18"/>
    <w:rsid w:val="00EE14A6"/>
    <w:rsid w:val="00EE15A1"/>
    <w:rsid w:val="00EE2A7C"/>
    <w:rsid w:val="00EE2C42"/>
    <w:rsid w:val="00EE341B"/>
    <w:rsid w:val="00EE4453"/>
    <w:rsid w:val="00EE5F7C"/>
    <w:rsid w:val="00EE5FCE"/>
    <w:rsid w:val="00EE63D6"/>
    <w:rsid w:val="00EE6BBD"/>
    <w:rsid w:val="00EE6E1E"/>
    <w:rsid w:val="00EE705F"/>
    <w:rsid w:val="00EE7CAD"/>
    <w:rsid w:val="00EF092E"/>
    <w:rsid w:val="00EF1462"/>
    <w:rsid w:val="00EF1A54"/>
    <w:rsid w:val="00EF33D0"/>
    <w:rsid w:val="00EF39C5"/>
    <w:rsid w:val="00EF3A68"/>
    <w:rsid w:val="00EF3C8C"/>
    <w:rsid w:val="00EF52D4"/>
    <w:rsid w:val="00EF54FD"/>
    <w:rsid w:val="00EF6800"/>
    <w:rsid w:val="00EF74F8"/>
    <w:rsid w:val="00EF7C7C"/>
    <w:rsid w:val="00F0077B"/>
    <w:rsid w:val="00F01C9B"/>
    <w:rsid w:val="00F01D34"/>
    <w:rsid w:val="00F02C0F"/>
    <w:rsid w:val="00F03D0C"/>
    <w:rsid w:val="00F03D8C"/>
    <w:rsid w:val="00F040DE"/>
    <w:rsid w:val="00F041F6"/>
    <w:rsid w:val="00F067A9"/>
    <w:rsid w:val="00F07F0D"/>
    <w:rsid w:val="00F10003"/>
    <w:rsid w:val="00F13112"/>
    <w:rsid w:val="00F149B8"/>
    <w:rsid w:val="00F15056"/>
    <w:rsid w:val="00F15984"/>
    <w:rsid w:val="00F16FE6"/>
    <w:rsid w:val="00F20451"/>
    <w:rsid w:val="00F238BD"/>
    <w:rsid w:val="00F239CD"/>
    <w:rsid w:val="00F24700"/>
    <w:rsid w:val="00F24992"/>
    <w:rsid w:val="00F26E15"/>
    <w:rsid w:val="00F27CAC"/>
    <w:rsid w:val="00F304CC"/>
    <w:rsid w:val="00F30E60"/>
    <w:rsid w:val="00F32F2F"/>
    <w:rsid w:val="00F32F60"/>
    <w:rsid w:val="00F338F9"/>
    <w:rsid w:val="00F33F3F"/>
    <w:rsid w:val="00F343EA"/>
    <w:rsid w:val="00F34757"/>
    <w:rsid w:val="00F35BDD"/>
    <w:rsid w:val="00F35EF0"/>
    <w:rsid w:val="00F3781F"/>
    <w:rsid w:val="00F403FD"/>
    <w:rsid w:val="00F40F14"/>
    <w:rsid w:val="00F4140F"/>
    <w:rsid w:val="00F41E72"/>
    <w:rsid w:val="00F42697"/>
    <w:rsid w:val="00F43259"/>
    <w:rsid w:val="00F44BD5"/>
    <w:rsid w:val="00F45187"/>
    <w:rsid w:val="00F45BDF"/>
    <w:rsid w:val="00F47E7B"/>
    <w:rsid w:val="00F47F36"/>
    <w:rsid w:val="00F50300"/>
    <w:rsid w:val="00F50373"/>
    <w:rsid w:val="00F507C5"/>
    <w:rsid w:val="00F51350"/>
    <w:rsid w:val="00F520EF"/>
    <w:rsid w:val="00F5414B"/>
    <w:rsid w:val="00F55732"/>
    <w:rsid w:val="00F559BF"/>
    <w:rsid w:val="00F56E39"/>
    <w:rsid w:val="00F5718E"/>
    <w:rsid w:val="00F576AB"/>
    <w:rsid w:val="00F57BB3"/>
    <w:rsid w:val="00F60C97"/>
    <w:rsid w:val="00F623E9"/>
    <w:rsid w:val="00F62BF3"/>
    <w:rsid w:val="00F63951"/>
    <w:rsid w:val="00F63C86"/>
    <w:rsid w:val="00F65E61"/>
    <w:rsid w:val="00F7045B"/>
    <w:rsid w:val="00F71E7C"/>
    <w:rsid w:val="00F720DF"/>
    <w:rsid w:val="00F74D7A"/>
    <w:rsid w:val="00F764C8"/>
    <w:rsid w:val="00F766BE"/>
    <w:rsid w:val="00F77886"/>
    <w:rsid w:val="00F77EB9"/>
    <w:rsid w:val="00F80635"/>
    <w:rsid w:val="00F80AAE"/>
    <w:rsid w:val="00F8115F"/>
    <w:rsid w:val="00F815D1"/>
    <w:rsid w:val="00F81E7E"/>
    <w:rsid w:val="00F81F0F"/>
    <w:rsid w:val="00F825F4"/>
    <w:rsid w:val="00F82BAF"/>
    <w:rsid w:val="00F838DF"/>
    <w:rsid w:val="00F845FA"/>
    <w:rsid w:val="00F855F3"/>
    <w:rsid w:val="00F8743B"/>
    <w:rsid w:val="00F87753"/>
    <w:rsid w:val="00F92AA1"/>
    <w:rsid w:val="00F932DE"/>
    <w:rsid w:val="00F93E63"/>
    <w:rsid w:val="00F941D2"/>
    <w:rsid w:val="00F95949"/>
    <w:rsid w:val="00F95B16"/>
    <w:rsid w:val="00F963DD"/>
    <w:rsid w:val="00F9641A"/>
    <w:rsid w:val="00F964AF"/>
    <w:rsid w:val="00F97004"/>
    <w:rsid w:val="00F97DC3"/>
    <w:rsid w:val="00FA067D"/>
    <w:rsid w:val="00FA11D8"/>
    <w:rsid w:val="00FA2045"/>
    <w:rsid w:val="00FA205D"/>
    <w:rsid w:val="00FA42FD"/>
    <w:rsid w:val="00FA467A"/>
    <w:rsid w:val="00FA5389"/>
    <w:rsid w:val="00FA651D"/>
    <w:rsid w:val="00FA65C1"/>
    <w:rsid w:val="00FA7A66"/>
    <w:rsid w:val="00FB1AA9"/>
    <w:rsid w:val="00FB29BC"/>
    <w:rsid w:val="00FB4610"/>
    <w:rsid w:val="00FB4B5A"/>
    <w:rsid w:val="00FB541B"/>
    <w:rsid w:val="00FB5963"/>
    <w:rsid w:val="00FB5CA4"/>
    <w:rsid w:val="00FB5DAA"/>
    <w:rsid w:val="00FB5FBF"/>
    <w:rsid w:val="00FB6ECE"/>
    <w:rsid w:val="00FB7433"/>
    <w:rsid w:val="00FC04B9"/>
    <w:rsid w:val="00FC161A"/>
    <w:rsid w:val="00FC23D5"/>
    <w:rsid w:val="00FC400A"/>
    <w:rsid w:val="00FC41AA"/>
    <w:rsid w:val="00FC4337"/>
    <w:rsid w:val="00FC4C1A"/>
    <w:rsid w:val="00FC4D5A"/>
    <w:rsid w:val="00FC4DF6"/>
    <w:rsid w:val="00FC5487"/>
    <w:rsid w:val="00FC61E4"/>
    <w:rsid w:val="00FC628F"/>
    <w:rsid w:val="00FC6468"/>
    <w:rsid w:val="00FC6D49"/>
    <w:rsid w:val="00FC7D17"/>
    <w:rsid w:val="00FD1EB6"/>
    <w:rsid w:val="00FD4922"/>
    <w:rsid w:val="00FD617B"/>
    <w:rsid w:val="00FD6292"/>
    <w:rsid w:val="00FD6461"/>
    <w:rsid w:val="00FD681A"/>
    <w:rsid w:val="00FE0281"/>
    <w:rsid w:val="00FE031D"/>
    <w:rsid w:val="00FE6856"/>
    <w:rsid w:val="00FE7083"/>
    <w:rsid w:val="00FF019F"/>
    <w:rsid w:val="00FF0C13"/>
    <w:rsid w:val="00FF0E6B"/>
    <w:rsid w:val="00FF1B2A"/>
    <w:rsid w:val="00FF2160"/>
    <w:rsid w:val="00FF2E31"/>
    <w:rsid w:val="00FF3085"/>
    <w:rsid w:val="00FF30DE"/>
    <w:rsid w:val="00FF4A19"/>
    <w:rsid w:val="00FF5023"/>
    <w:rsid w:val="00FF528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D96FFF"/>
    <w:rPr>
      <w:rFonts w:ascii="Calibri" w:eastAsia="Calibri" w:hAnsi="Calibr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09132045">
      <w:bodyDiv w:val="1"/>
      <w:marLeft w:val="0"/>
      <w:marRight w:val="0"/>
      <w:marTop w:val="0"/>
      <w:marBottom w:val="0"/>
      <w:divBdr>
        <w:top w:val="none" w:sz="0" w:space="0" w:color="auto"/>
        <w:left w:val="none" w:sz="0" w:space="0" w:color="auto"/>
        <w:bottom w:val="none" w:sz="0" w:space="0" w:color="auto"/>
        <w:right w:val="none" w:sz="0" w:space="0" w:color="auto"/>
      </w:divBdr>
      <w:divsChild>
        <w:div w:id="211871561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linicaltrials.gov/ct2/show/NCT0332827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801C5187B2594CA17F7685D4A82110" ma:contentTypeVersion="13" ma:contentTypeDescription="Create a new document." ma:contentTypeScope="" ma:versionID="e3455993110c27243f8565f752af62ee">
  <xsd:schema xmlns:xsd="http://www.w3.org/2001/XMLSchema" xmlns:xs="http://www.w3.org/2001/XMLSchema" xmlns:p="http://schemas.microsoft.com/office/2006/metadata/properties" xmlns:ns3="44a56295-c29e-4898-8136-a54736c65b82" xmlns:ns4="f35010a9-f2d1-478f-bdae-67eb73ecabb6" xmlns:ns5="a4dcdd50-708e-4fe6-8138-59c39381c51c" targetNamespace="http://schemas.microsoft.com/office/2006/metadata/properties" ma:root="true" ma:fieldsID="554efc3a172019698d4511166cb67ab5" ns3:_="" ns4:_="" ns5:_="">
    <xsd:import namespace="44a56295-c29e-4898-8136-a54736c65b82"/>
    <xsd:import namespace="f35010a9-f2d1-478f-bdae-67eb73ecabb6"/>
    <xsd:import namespace="a4dcdd50-708e-4fe6-8138-59c39381c51c"/>
    <xsd:element name="properties">
      <xsd:complexType>
        <xsd:sequence>
          <xsd:element name="documentManagement">
            <xsd:complexType>
              <xsd:all>
                <xsd:element ref="ns3:Descriptions" minOccurs="0"/>
                <xsd:element ref="ns3:Keyword" minOccurs="0"/>
                <xsd:element ref="ns4:MediaServiceAutoTags" minOccurs="0"/>
                <xsd:element ref="ns4:MediaServiceDateTaken" minOccurs="0"/>
                <xsd:element ref="ns4:MediaServiceOCR" minOccurs="0"/>
                <xsd:element ref="ns4:MediaServiceLocation" minOccurs="0"/>
                <xsd:element ref="ns4:MediaServiceMetadata" minOccurs="0"/>
                <xsd:element ref="ns4:MediaServiceFastMetadata"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5010a9-f2d1-478f-bdae-67eb73ecabb6" elementFormDefault="qualified">
    <xsd:import namespace="http://schemas.microsoft.com/office/2006/documentManagement/types"/>
    <xsd:import namespace="http://schemas.microsoft.com/office/infopath/2007/PartnerControls"/>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dd50-708e-4fe6-8138-59c39381c5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5.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9A5CDE4A-C355-49CA-89EF-A8FB0E4321D0}">
  <ds:schemaRefs>
    <ds:schemaRef ds:uri="http://schemas.microsoft.com/sharepoint/v3/contenttype/forms"/>
  </ds:schemaRefs>
</ds:datastoreItem>
</file>

<file path=customXml/itemProps2.xml><?xml version="1.0" encoding="utf-8"?>
<ds:datastoreItem xmlns:ds="http://schemas.openxmlformats.org/officeDocument/2006/customXml" ds:itemID="{4AABA7EC-3FE4-4A35-A7C4-69FD8EB2093A}">
  <ds:schemaRefs>
    <ds:schemaRef ds:uri="http://schemas.openxmlformats.org/officeDocument/2006/bibliography"/>
  </ds:schemaRefs>
</ds:datastoreItem>
</file>

<file path=customXml/itemProps3.xml><?xml version="1.0" encoding="utf-8"?>
<ds:datastoreItem xmlns:ds="http://schemas.openxmlformats.org/officeDocument/2006/customXml" ds:itemID="{B86E03B5-3628-4FA2-BF7E-80C04F762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f35010a9-f2d1-478f-bdae-67eb73ecabb6"/>
    <ds:schemaRef ds:uri="a4dcdd50-708e-4fe6-8138-59c39381c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79EA4-CF94-4B39-BF24-25F2E1E2EF7D}">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6875ADA3-8C5F-4F30-949E-7086F38078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7530</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2020-07-24T14:48:00Z</dcterms:created>
  <dcterms:modified xsi:type="dcterms:W3CDTF">2020-07-27T11:32:00Z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0x010100CF801C5187B2594CA17F7685D4A82110</vt:lpwstr>
  </property>
</Properties>
</file>