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A0" w:rsidRDefault="00CC3AA0" w:rsidP="00CC3AA0">
      <w:r>
        <w:t>Dear Dr. Luo,</w:t>
      </w:r>
    </w:p>
    <w:p w:rsidR="00CC3AA0" w:rsidRDefault="00CC3AA0" w:rsidP="00CC3AA0">
      <w:r>
        <w:t>Your manuscript, JoVE60772 "Fecal microbiota transplantation and the detection of prevalence of IgA-coated bacteria in the gut,"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rsidR="00CC3AA0" w:rsidRDefault="00CC3AA0" w:rsidP="00CC3AA0"/>
    <w:p w:rsidR="00CC3AA0" w:rsidRDefault="00CC3AA0" w:rsidP="00CC3AA0">
      <w:r>
        <w:t>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p>
    <w:p w:rsidR="00CC3AA0" w:rsidRDefault="00CC3AA0" w:rsidP="00CC3AA0">
      <w:r>
        <w:t>Your revision is due by Nov 13, 2019.</w:t>
      </w:r>
    </w:p>
    <w:p w:rsidR="00CC3AA0" w:rsidRPr="00CC3AA0" w:rsidRDefault="00CC3AA0" w:rsidP="00CC3AA0">
      <w:r>
        <w:t>To submit a revision, go to the JoVE submission site and log in as an author. You will find your submission under the heading "Submission Needing Revision". Please note that the corresponding author in Editorial Manager refers to the point of contact during the review and production of the video article.</w:t>
      </w:r>
    </w:p>
    <w:p w:rsidR="00CC3AA0" w:rsidRDefault="00CC3AA0" w:rsidP="00CC3AA0">
      <w:r>
        <w:t>Best,</w:t>
      </w:r>
    </w:p>
    <w:p w:rsidR="00CC3AA0" w:rsidRDefault="00CC3AA0" w:rsidP="00CC3AA0">
      <w:r>
        <w:t>Peer Review,</w:t>
      </w:r>
    </w:p>
    <w:p w:rsidR="00CC3AA0" w:rsidRDefault="00CC3AA0" w:rsidP="00CC3AA0">
      <w:r>
        <w:t>Peer Review</w:t>
      </w:r>
    </w:p>
    <w:p w:rsidR="00CC3AA0" w:rsidRDefault="00CC3AA0" w:rsidP="00CC3AA0">
      <w:r>
        <w:t>JoVE</w:t>
      </w:r>
    </w:p>
    <w:p w:rsidR="00CC3AA0" w:rsidRDefault="00CC3AA0" w:rsidP="00CC3AA0">
      <w:r>
        <w:t>617.674.1888</w:t>
      </w:r>
    </w:p>
    <w:p w:rsidR="00CC3AA0" w:rsidRDefault="00CC3AA0" w:rsidP="00CC3AA0">
      <w:r>
        <w:t>Follow us: Facebook | Twitter | LinkedIn</w:t>
      </w:r>
    </w:p>
    <w:p w:rsidR="00CC3AA0" w:rsidRDefault="00CC3AA0" w:rsidP="00CC3AA0">
      <w:r>
        <w:t>About JoVE</w:t>
      </w:r>
    </w:p>
    <w:p w:rsidR="00CC3AA0" w:rsidRDefault="00CC3AA0" w:rsidP="00CC3AA0">
      <w:r>
        <w:t>____________________________________</w:t>
      </w:r>
    </w:p>
    <w:p w:rsidR="00CC3AA0" w:rsidRDefault="00CC3AA0" w:rsidP="00CC3AA0">
      <w:r>
        <w:t>Editorial comments:</w:t>
      </w:r>
    </w:p>
    <w:p w:rsidR="00CC3AA0" w:rsidRDefault="00CC3AA0" w:rsidP="00AD4432">
      <w:pPr>
        <w:pStyle w:val="a7"/>
        <w:numPr>
          <w:ilvl w:val="0"/>
          <w:numId w:val="1"/>
        </w:numPr>
        <w:ind w:firstLineChars="0"/>
      </w:pPr>
      <w:r>
        <w:t>Please take this opportunity to thoroughly proofread the manuscript to ensure that there are no spelling or grammar issues. The JoVE editor will not copy-edit your manuscript and any errors in the submitted revision may be present in the published version.</w:t>
      </w:r>
    </w:p>
    <w:p w:rsidR="00AD4432" w:rsidRPr="00AD4432" w:rsidRDefault="00AD4432" w:rsidP="00AD4432">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9B7401" w:rsidRPr="00060415">
        <w:rPr>
          <w:rFonts w:ascii="Times New Roman" w:hAnsi="Times New Roman" w:cs="Times New Roman"/>
          <w:color w:val="0070C0"/>
          <w:szCs w:val="21"/>
          <w:lang w:bidi="en-US"/>
        </w:rPr>
        <w:t xml:space="preserve">Thanks for the </w:t>
      </w:r>
      <w:r w:rsidR="009B7401">
        <w:rPr>
          <w:rFonts w:ascii="Times New Roman" w:hAnsi="Times New Roman" w:cs="Times New Roman"/>
          <w:color w:val="0070C0"/>
          <w:szCs w:val="21"/>
          <w:lang w:bidi="en-US"/>
        </w:rPr>
        <w:t>editor</w:t>
      </w:r>
      <w:r w:rsidR="009B7401" w:rsidRPr="00060415">
        <w:rPr>
          <w:rFonts w:ascii="Times New Roman" w:hAnsi="Times New Roman" w:cs="Times New Roman"/>
          <w:color w:val="0070C0"/>
          <w:szCs w:val="21"/>
          <w:lang w:bidi="en-US"/>
        </w:rPr>
        <w:t>s</w:t>
      </w:r>
      <w:r w:rsidR="009B7401">
        <w:rPr>
          <w:rFonts w:ascii="Times New Roman" w:hAnsi="Times New Roman" w:cs="Times New Roman"/>
          <w:color w:val="0070C0"/>
          <w:szCs w:val="21"/>
          <w:lang w:bidi="en-US"/>
        </w:rPr>
        <w:t>’</w:t>
      </w:r>
      <w:r w:rsidR="009B7401" w:rsidRPr="00060415">
        <w:rPr>
          <w:rFonts w:ascii="Times New Roman" w:hAnsi="Times New Roman" w:cs="Times New Roman"/>
          <w:color w:val="0070C0"/>
          <w:szCs w:val="21"/>
          <w:lang w:bidi="en-US"/>
        </w:rPr>
        <w:t xml:space="preserve"> </w:t>
      </w:r>
      <w:r w:rsidR="009B7401">
        <w:rPr>
          <w:rFonts w:ascii="Times New Roman" w:hAnsi="Times New Roman" w:cs="Times New Roman" w:hint="eastAsia"/>
          <w:color w:val="0070C0"/>
          <w:szCs w:val="21"/>
          <w:lang w:bidi="en-US"/>
        </w:rPr>
        <w:t xml:space="preserve">suggestion. We have </w:t>
      </w:r>
      <w:r w:rsidR="009B7401">
        <w:rPr>
          <w:rFonts w:ascii="Times New Roman" w:hAnsi="Times New Roman" w:cs="Times New Roman"/>
          <w:color w:val="0070C0"/>
          <w:szCs w:val="21"/>
          <w:lang w:bidi="en-US"/>
        </w:rPr>
        <w:t xml:space="preserve">checked the manuscript thoroughly before submission. </w:t>
      </w:r>
    </w:p>
    <w:p w:rsidR="00CC3AA0" w:rsidRDefault="00CC3AA0" w:rsidP="00AD4432">
      <w:pPr>
        <w:pStyle w:val="a7"/>
        <w:numPr>
          <w:ilvl w:val="0"/>
          <w:numId w:val="1"/>
        </w:numPr>
        <w:ind w:firstLineChars="0"/>
      </w:pPr>
      <w:r>
        <w:t>Authors and affiliations: Please provide an email address for each author in the manuscript.</w:t>
      </w:r>
    </w:p>
    <w:p w:rsidR="00AD4432" w:rsidRPr="00AD4432" w:rsidRDefault="00AD4432" w:rsidP="00AD4432">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9B7401">
        <w:rPr>
          <w:rFonts w:ascii="Times New Roman" w:hAnsi="Times New Roman" w:cs="Times New Roman" w:hint="eastAsia"/>
          <w:color w:val="0070C0"/>
          <w:szCs w:val="21"/>
          <w:lang w:bidi="en-US"/>
        </w:rPr>
        <w:t xml:space="preserve">As required by </w:t>
      </w:r>
      <w:r w:rsidR="009B7401">
        <w:rPr>
          <w:rFonts w:ascii="Times New Roman" w:hAnsi="Times New Roman" w:cs="Times New Roman"/>
          <w:color w:val="0070C0"/>
          <w:szCs w:val="21"/>
          <w:lang w:bidi="en-US"/>
        </w:rPr>
        <w:t>editors</w:t>
      </w:r>
      <w:r w:rsidR="009B7401">
        <w:rPr>
          <w:rFonts w:ascii="Times New Roman" w:hAnsi="Times New Roman" w:cs="Times New Roman" w:hint="eastAsia"/>
          <w:color w:val="0070C0"/>
          <w:szCs w:val="21"/>
          <w:lang w:bidi="en-US"/>
        </w:rPr>
        <w:t>, we have provided</w:t>
      </w:r>
      <w:r w:rsidR="009B7401">
        <w:rPr>
          <w:rFonts w:ascii="Times New Roman" w:hAnsi="Times New Roman" w:cs="Times New Roman"/>
          <w:color w:val="0070C0"/>
          <w:szCs w:val="21"/>
          <w:lang w:bidi="en-US"/>
        </w:rPr>
        <w:t xml:space="preserve"> a file with an email address for each author.</w:t>
      </w:r>
    </w:p>
    <w:p w:rsidR="00CC3AA0" w:rsidRDefault="00CC3AA0" w:rsidP="00AD4432">
      <w:pPr>
        <w:pStyle w:val="a7"/>
        <w:numPr>
          <w:ilvl w:val="0"/>
          <w:numId w:val="1"/>
        </w:numPr>
        <w:ind w:firstLineChars="0"/>
      </w:pPr>
      <w:r>
        <w:t>Keywords: Please provide at least 6 keywords or phrases.</w:t>
      </w:r>
    </w:p>
    <w:p w:rsidR="00AD4432" w:rsidRPr="00AD4432" w:rsidRDefault="00AD4432" w:rsidP="00AD4432">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9B7401">
        <w:rPr>
          <w:rFonts w:ascii="Times New Roman" w:hAnsi="Times New Roman" w:cs="Times New Roman" w:hint="eastAsia"/>
          <w:color w:val="0070C0"/>
          <w:szCs w:val="21"/>
          <w:lang w:bidi="en-US"/>
        </w:rPr>
        <w:t xml:space="preserve">As required by </w:t>
      </w:r>
      <w:r w:rsidR="009B7401">
        <w:rPr>
          <w:rFonts w:ascii="Times New Roman" w:hAnsi="Times New Roman" w:cs="Times New Roman"/>
          <w:color w:val="0070C0"/>
          <w:szCs w:val="21"/>
          <w:lang w:bidi="en-US"/>
        </w:rPr>
        <w:t>editors</w:t>
      </w:r>
      <w:r w:rsidR="009B7401">
        <w:rPr>
          <w:rFonts w:ascii="Times New Roman" w:hAnsi="Times New Roman" w:cs="Times New Roman" w:hint="eastAsia"/>
          <w:color w:val="0070C0"/>
          <w:szCs w:val="21"/>
          <w:lang w:bidi="en-US"/>
        </w:rPr>
        <w:t>, we have provided</w:t>
      </w:r>
      <w:r w:rsidR="009B7401">
        <w:rPr>
          <w:rFonts w:ascii="Times New Roman" w:hAnsi="Times New Roman" w:cs="Times New Roman"/>
          <w:color w:val="0070C0"/>
          <w:szCs w:val="21"/>
          <w:lang w:bidi="en-US"/>
        </w:rPr>
        <w:t xml:space="preserve"> 6 keywords in the manuscript.</w:t>
      </w:r>
    </w:p>
    <w:p w:rsidR="00CC3AA0" w:rsidRDefault="00CC3AA0" w:rsidP="00AD4432">
      <w:pPr>
        <w:pStyle w:val="a7"/>
        <w:numPr>
          <w:ilvl w:val="0"/>
          <w:numId w:val="1"/>
        </w:numPr>
        <w:ind w:firstLineChars="0"/>
      </w:pPr>
      <w: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eBioscience, SYTOTM, Thermo Fisher Scientific, BD FACSCalibur, BD Biosciences, etc.</w:t>
      </w:r>
    </w:p>
    <w:p w:rsidR="00AD4432" w:rsidRPr="009B7401" w:rsidRDefault="00AD4432" w:rsidP="00AD4432">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9B7401">
        <w:rPr>
          <w:rFonts w:ascii="Times New Roman" w:hAnsi="Times New Roman" w:cs="Times New Roman" w:hint="eastAsia"/>
          <w:color w:val="0070C0"/>
          <w:szCs w:val="21"/>
          <w:lang w:bidi="en-US"/>
        </w:rPr>
        <w:t xml:space="preserve">As required by </w:t>
      </w:r>
      <w:r w:rsidR="009B7401">
        <w:rPr>
          <w:rFonts w:ascii="Times New Roman" w:hAnsi="Times New Roman" w:cs="Times New Roman"/>
          <w:color w:val="0070C0"/>
          <w:szCs w:val="21"/>
          <w:lang w:bidi="en-US"/>
        </w:rPr>
        <w:t>editors</w:t>
      </w:r>
      <w:r w:rsidR="009B7401">
        <w:rPr>
          <w:rFonts w:ascii="Times New Roman" w:hAnsi="Times New Roman" w:cs="Times New Roman" w:hint="eastAsia"/>
          <w:color w:val="0070C0"/>
          <w:szCs w:val="21"/>
          <w:lang w:bidi="en-US"/>
        </w:rPr>
        <w:t xml:space="preserve">, we have </w:t>
      </w:r>
      <w:r w:rsidR="009B7401">
        <w:rPr>
          <w:rFonts w:ascii="Times New Roman" w:hAnsi="Times New Roman" w:cs="Times New Roman"/>
          <w:color w:val="0070C0"/>
          <w:szCs w:val="21"/>
          <w:lang w:bidi="en-US"/>
        </w:rPr>
        <w:t>remov</w:t>
      </w:r>
      <w:r w:rsidR="009B7401">
        <w:rPr>
          <w:rFonts w:ascii="Times New Roman" w:hAnsi="Times New Roman" w:cs="Times New Roman" w:hint="eastAsia"/>
          <w:color w:val="0070C0"/>
          <w:szCs w:val="21"/>
          <w:lang w:bidi="en-US"/>
        </w:rPr>
        <w:t>ed</w:t>
      </w:r>
      <w:r w:rsidR="009B7401">
        <w:rPr>
          <w:rFonts w:ascii="Times New Roman" w:hAnsi="Times New Roman" w:cs="Times New Roman"/>
          <w:color w:val="0070C0"/>
          <w:szCs w:val="21"/>
          <w:lang w:bidi="en-US"/>
        </w:rPr>
        <w:t xml:space="preserve"> the above information in the manuscript and </w:t>
      </w:r>
      <w:r w:rsidR="009B7401">
        <w:rPr>
          <w:rFonts w:ascii="Times New Roman" w:hAnsi="Times New Roman" w:cs="Times New Roman"/>
          <w:color w:val="0070C0"/>
          <w:szCs w:val="21"/>
          <w:lang w:bidi="en-US"/>
        </w:rPr>
        <w:lastRenderedPageBreak/>
        <w:t>provided commercial products information in Table of Materials.</w:t>
      </w:r>
    </w:p>
    <w:p w:rsidR="00AD4432" w:rsidRDefault="00CC3AA0" w:rsidP="00AD4432">
      <w:pPr>
        <w:pStyle w:val="a7"/>
        <w:numPr>
          <w:ilvl w:val="0"/>
          <w:numId w:val="1"/>
        </w:numPr>
        <w:ind w:firstLineChars="0"/>
      </w:pPr>
      <w: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CC3AA0" w:rsidRDefault="00CC3AA0" w:rsidP="00AD4432">
      <w:pPr>
        <w:pStyle w:val="a7"/>
        <w:numPr>
          <w:ilvl w:val="0"/>
          <w:numId w:val="1"/>
        </w:numPr>
        <w:ind w:firstLineChars="0"/>
      </w:pPr>
      <w:r>
        <w:t>The Protocol should be made up almost entirely of discrete steps without large paragraphs of text between sections. Please simplify the Protocol so that individual steps contain only 2-3 actions per step and a maximum of 4 sentences per step. Use sub-steps as necessary.</w:t>
      </w:r>
    </w:p>
    <w:p w:rsidR="00CC3AA0" w:rsidRDefault="00CC3AA0" w:rsidP="00AD4432">
      <w:pPr>
        <w:pStyle w:val="a7"/>
        <w:numPr>
          <w:ilvl w:val="0"/>
          <w:numId w:val="1"/>
        </w:numPr>
        <w:ind w:firstLineChars="0"/>
      </w:pPr>
      <w:r>
        <w:t>For each protocol step, please ensure you answer the “how” question, i.e., how is the step performed? Alternatively, add references to published material specifying how to perform the protocol action.</w:t>
      </w:r>
    </w:p>
    <w:p w:rsidR="003763AC" w:rsidRPr="003763AC" w:rsidRDefault="003763AC" w:rsidP="003763AC">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Pr="003763AC">
        <w:rPr>
          <w:rFonts w:ascii="Times New Roman" w:hAnsi="Times New Roman" w:cs="Times New Roman" w:hint="eastAsia"/>
          <w:color w:val="0070C0"/>
          <w:szCs w:val="21"/>
          <w:lang w:bidi="en-US"/>
        </w:rPr>
        <w:t xml:space="preserve">As required by </w:t>
      </w:r>
      <w:r w:rsidRPr="003763AC">
        <w:rPr>
          <w:rFonts w:ascii="Times New Roman" w:hAnsi="Times New Roman" w:cs="Times New Roman"/>
          <w:color w:val="0070C0"/>
          <w:szCs w:val="21"/>
          <w:lang w:bidi="en-US"/>
        </w:rPr>
        <w:t>editors for comments 5</w:t>
      </w:r>
      <w:r>
        <w:rPr>
          <w:rFonts w:ascii="Times New Roman" w:hAnsi="Times New Roman" w:cs="Times New Roman"/>
          <w:color w:val="0070C0"/>
          <w:szCs w:val="21"/>
          <w:lang w:bidi="en-US"/>
        </w:rPr>
        <w:t>, 6</w:t>
      </w:r>
      <w:r w:rsidRPr="003763AC">
        <w:rPr>
          <w:rFonts w:ascii="Times New Roman" w:hAnsi="Times New Roman" w:cs="Times New Roman"/>
          <w:color w:val="0070C0"/>
          <w:szCs w:val="21"/>
          <w:lang w:bidi="en-US"/>
        </w:rPr>
        <w:t xml:space="preserve"> and </w:t>
      </w:r>
      <w:r>
        <w:rPr>
          <w:rFonts w:ascii="Times New Roman" w:hAnsi="Times New Roman" w:cs="Times New Roman"/>
          <w:color w:val="0070C0"/>
          <w:szCs w:val="21"/>
          <w:lang w:bidi="en-US"/>
        </w:rPr>
        <w:t>7</w:t>
      </w:r>
      <w:r w:rsidRPr="003763AC">
        <w:rPr>
          <w:rFonts w:ascii="Times New Roman" w:hAnsi="Times New Roman" w:cs="Times New Roman" w:hint="eastAsia"/>
          <w:color w:val="0070C0"/>
          <w:szCs w:val="21"/>
          <w:lang w:bidi="en-US"/>
        </w:rPr>
        <w:t xml:space="preserve">, we have </w:t>
      </w:r>
      <w:r w:rsidRPr="003763AC">
        <w:rPr>
          <w:rFonts w:ascii="Times New Roman" w:hAnsi="Times New Roman" w:cs="Times New Roman"/>
          <w:color w:val="0070C0"/>
          <w:szCs w:val="21"/>
          <w:lang w:bidi="en-US"/>
        </w:rPr>
        <w:t>revised Protocol section in the manuscript.</w:t>
      </w:r>
    </w:p>
    <w:p w:rsidR="00AD4432" w:rsidRDefault="00AD4432" w:rsidP="00AD4432"/>
    <w:p w:rsidR="00CC3AA0" w:rsidRDefault="00CC3AA0" w:rsidP="00AD4432">
      <w:pPr>
        <w:pStyle w:val="a7"/>
        <w:numPr>
          <w:ilvl w:val="0"/>
          <w:numId w:val="1"/>
        </w:numPr>
        <w:ind w:firstLineChars="0"/>
      </w:pPr>
      <w:r>
        <w:t>Figure 4: Please replace SYTO with a generic term.</w:t>
      </w:r>
    </w:p>
    <w:p w:rsidR="00AD4432" w:rsidRPr="00AD4432" w:rsidRDefault="00AD4432" w:rsidP="00AD4432">
      <w:pPr>
        <w:rPr>
          <w:color w:val="0070C0"/>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3763AC">
        <w:rPr>
          <w:rFonts w:ascii="Times New Roman" w:hAnsi="Times New Roman" w:cs="Times New Roman"/>
          <w:color w:val="0070C0"/>
          <w:szCs w:val="21"/>
          <w:lang w:bidi="en-US"/>
        </w:rPr>
        <w:t>W</w:t>
      </w:r>
      <w:r w:rsidR="009B7401">
        <w:rPr>
          <w:rFonts w:ascii="Times New Roman" w:hAnsi="Times New Roman" w:cs="Times New Roman" w:hint="eastAsia"/>
          <w:color w:val="0070C0"/>
          <w:szCs w:val="21"/>
          <w:lang w:bidi="en-US"/>
        </w:rPr>
        <w:t xml:space="preserve">e have </w:t>
      </w:r>
      <w:r w:rsidR="003763AC">
        <w:rPr>
          <w:rFonts w:ascii="Times New Roman" w:hAnsi="Times New Roman" w:cs="Times New Roman"/>
          <w:color w:val="0070C0"/>
          <w:szCs w:val="21"/>
          <w:lang w:bidi="en-US"/>
        </w:rPr>
        <w:t xml:space="preserve">replaced SYTO with </w:t>
      </w:r>
      <w:r w:rsidR="003763AC" w:rsidRPr="00473561">
        <w:rPr>
          <w:rFonts w:ascii="Times New Roman" w:hAnsi="Times New Roman" w:cs="Times New Roman"/>
          <w:color w:val="0070C0"/>
          <w:szCs w:val="21"/>
          <w:lang w:bidi="en-US"/>
        </w:rPr>
        <w:t>“</w:t>
      </w:r>
      <w:r w:rsidR="00473561" w:rsidRPr="00473561">
        <w:rPr>
          <w:rFonts w:ascii="Times New Roman" w:hAnsi="Times New Roman" w:cs="Times New Roman"/>
          <w:color w:val="0070C0"/>
          <w:szCs w:val="21"/>
          <w:lang w:bidi="en-US"/>
        </w:rPr>
        <w:t>Green Fluorescent Nucleic Acid</w:t>
      </w:r>
      <w:r w:rsidR="009E0ED0">
        <w:rPr>
          <w:rFonts w:ascii="Times New Roman" w:hAnsi="Times New Roman" w:cs="Times New Roman" w:hint="eastAsia"/>
          <w:color w:val="0070C0"/>
          <w:szCs w:val="21"/>
          <w:lang w:bidi="en-US"/>
        </w:rPr>
        <w:t xml:space="preserve"> S</w:t>
      </w:r>
      <w:bookmarkStart w:id="0" w:name="_GoBack"/>
      <w:bookmarkEnd w:id="0"/>
      <w:r w:rsidR="009E0ED0">
        <w:rPr>
          <w:rFonts w:ascii="Times New Roman" w:hAnsi="Times New Roman" w:cs="Times New Roman" w:hint="eastAsia"/>
          <w:color w:val="0070C0"/>
          <w:szCs w:val="21"/>
          <w:lang w:bidi="en-US"/>
        </w:rPr>
        <w:t>tain</w:t>
      </w:r>
      <w:r w:rsidR="003763AC" w:rsidRPr="00473561">
        <w:rPr>
          <w:rFonts w:ascii="Times New Roman" w:hAnsi="Times New Roman" w:cs="Times New Roman"/>
          <w:color w:val="0070C0"/>
          <w:szCs w:val="21"/>
          <w:lang w:bidi="en-US"/>
        </w:rPr>
        <w:t>”</w:t>
      </w:r>
      <w:r w:rsidR="00473561">
        <w:rPr>
          <w:rFonts w:ascii="Times New Roman" w:hAnsi="Times New Roman" w:cs="Times New Roman"/>
          <w:color w:val="0070C0"/>
          <w:szCs w:val="21"/>
          <w:lang w:bidi="en-US"/>
        </w:rPr>
        <w:t xml:space="preserve"> in the manuscript</w:t>
      </w:r>
      <w:r w:rsidR="003763AC" w:rsidRPr="00473561">
        <w:rPr>
          <w:rFonts w:ascii="Times New Roman" w:hAnsi="Times New Roman" w:cs="Times New Roman"/>
          <w:color w:val="0070C0"/>
          <w:szCs w:val="21"/>
          <w:lang w:bidi="en-US"/>
        </w:rPr>
        <w:t>.</w:t>
      </w:r>
    </w:p>
    <w:p w:rsidR="00AD4432" w:rsidRPr="00AD4432" w:rsidRDefault="00AD4432" w:rsidP="00AD4432"/>
    <w:p w:rsidR="00CC3AA0" w:rsidRDefault="00CC3AA0" w:rsidP="00AD4432">
      <w:pPr>
        <w:pStyle w:val="a7"/>
        <w:numPr>
          <w:ilvl w:val="0"/>
          <w:numId w:val="1"/>
        </w:numPr>
        <w:ind w:firstLineChars="0"/>
      </w:pPr>
      <w:r>
        <w:t>Table of Materials: Please provide company and catalog number for all relevant supplies, reagents, equipment and software used, especially those mentioned in the Protocol. Please sort the materials alphabetically by material name.</w:t>
      </w:r>
    </w:p>
    <w:p w:rsidR="00AD4432" w:rsidRPr="00AD4432" w:rsidRDefault="00AD4432" w:rsidP="00AD4432">
      <w:pPr>
        <w:rPr>
          <w:color w:val="0070C0"/>
        </w:rPr>
      </w:pPr>
      <w:r w:rsidRPr="00D6282E">
        <w:rPr>
          <w:rFonts w:ascii="Times New Roman" w:hAnsi="Times New Roman" w:cs="Times New Roman" w:hint="eastAsia"/>
          <w:color w:val="0070C0"/>
          <w:szCs w:val="21"/>
          <w:lang w:bidi="en-US"/>
        </w:rPr>
        <w:t>R</w:t>
      </w:r>
      <w:r w:rsidRPr="00D6282E">
        <w:rPr>
          <w:rFonts w:ascii="Times New Roman" w:hAnsi="Times New Roman" w:cs="Times New Roman"/>
          <w:color w:val="0070C0"/>
          <w:szCs w:val="21"/>
          <w:lang w:bidi="en-US"/>
        </w:rPr>
        <w:t xml:space="preserve">esponse: </w:t>
      </w:r>
      <w:r w:rsidR="00D6282E" w:rsidRPr="00D6282E">
        <w:rPr>
          <w:rFonts w:ascii="Times New Roman" w:hAnsi="Times New Roman" w:cs="Times New Roman"/>
          <w:color w:val="0070C0"/>
          <w:szCs w:val="21"/>
          <w:lang w:bidi="en-US"/>
        </w:rPr>
        <w:t xml:space="preserve">We have </w:t>
      </w:r>
      <w:r w:rsidR="00D6282E">
        <w:rPr>
          <w:rFonts w:ascii="Times New Roman" w:hAnsi="Times New Roman" w:cs="Times New Roman"/>
          <w:color w:val="0070C0"/>
          <w:szCs w:val="21"/>
          <w:lang w:bidi="en-US"/>
        </w:rPr>
        <w:t>provided commercial products information in Table of Materials.</w:t>
      </w:r>
    </w:p>
    <w:p w:rsidR="00AD4432" w:rsidRDefault="00AD4432" w:rsidP="00AD4432"/>
    <w:p w:rsidR="00CC3AA0" w:rsidRDefault="00CC3AA0" w:rsidP="00CC3AA0">
      <w:r>
        <w:t>10. References: Please do not abbreviate journal titles; use full journal name.</w:t>
      </w:r>
    </w:p>
    <w:p w:rsidR="00AD4432" w:rsidRPr="00473561" w:rsidRDefault="00AD4432" w:rsidP="00AD4432">
      <w:pPr>
        <w:rPr>
          <w:rFonts w:ascii="Times New Roman" w:hAnsi="Times New Roman" w:cs="Times New Roman"/>
          <w:color w:val="0070C0"/>
          <w:szCs w:val="21"/>
          <w:lang w:bidi="en-US"/>
        </w:rPr>
      </w:pPr>
      <w:r w:rsidRPr="00473561">
        <w:rPr>
          <w:rFonts w:ascii="Times New Roman" w:hAnsi="Times New Roman" w:cs="Times New Roman" w:hint="eastAsia"/>
          <w:color w:val="0070C0"/>
          <w:szCs w:val="21"/>
          <w:lang w:bidi="en-US"/>
        </w:rPr>
        <w:t>R</w:t>
      </w:r>
      <w:r w:rsidRPr="00473561">
        <w:rPr>
          <w:rFonts w:ascii="Times New Roman" w:hAnsi="Times New Roman" w:cs="Times New Roman"/>
          <w:color w:val="0070C0"/>
          <w:szCs w:val="21"/>
          <w:lang w:bidi="en-US"/>
        </w:rPr>
        <w:t xml:space="preserve">esponse: </w:t>
      </w:r>
      <w:r w:rsidR="0042712B" w:rsidRPr="00473561">
        <w:rPr>
          <w:rFonts w:ascii="Times New Roman" w:hAnsi="Times New Roman" w:cs="Times New Roman"/>
          <w:color w:val="0070C0"/>
          <w:szCs w:val="21"/>
          <w:lang w:bidi="en-US"/>
        </w:rPr>
        <w:t xml:space="preserve">We </w:t>
      </w:r>
      <w:r w:rsidR="00487D61">
        <w:rPr>
          <w:rFonts w:ascii="Times New Roman" w:hAnsi="Times New Roman" w:cs="Times New Roman"/>
          <w:color w:val="0070C0"/>
          <w:szCs w:val="21"/>
          <w:lang w:bidi="en-US"/>
        </w:rPr>
        <w:t xml:space="preserve">have </w:t>
      </w:r>
      <w:r w:rsidR="0042712B" w:rsidRPr="00473561">
        <w:rPr>
          <w:rFonts w:ascii="Times New Roman" w:hAnsi="Times New Roman" w:cs="Times New Roman"/>
          <w:color w:val="0070C0"/>
          <w:szCs w:val="21"/>
          <w:lang w:bidi="en-US"/>
        </w:rPr>
        <w:t>use</w:t>
      </w:r>
      <w:r w:rsidR="00487D61">
        <w:rPr>
          <w:rFonts w:ascii="Times New Roman" w:hAnsi="Times New Roman" w:cs="Times New Roman"/>
          <w:color w:val="0070C0"/>
          <w:szCs w:val="21"/>
          <w:lang w:bidi="en-US"/>
        </w:rPr>
        <w:t>d</w:t>
      </w:r>
      <w:r w:rsidR="0042712B" w:rsidRPr="00473561">
        <w:rPr>
          <w:rFonts w:ascii="Times New Roman" w:hAnsi="Times New Roman" w:cs="Times New Roman"/>
          <w:color w:val="0070C0"/>
          <w:szCs w:val="21"/>
          <w:lang w:bidi="en-US"/>
        </w:rPr>
        <w:t xml:space="preserve"> full journal name in the manuscript.</w:t>
      </w:r>
    </w:p>
    <w:p w:rsidR="00CC3AA0" w:rsidRDefault="00CC3AA0" w:rsidP="00CC3AA0"/>
    <w:p w:rsidR="00CC3AA0" w:rsidRDefault="00CC3AA0" w:rsidP="00CC3AA0">
      <w:r>
        <w:t>Reviewers' comments:</w:t>
      </w:r>
    </w:p>
    <w:p w:rsidR="00CC3AA0" w:rsidRDefault="00CC3AA0" w:rsidP="00CC3AA0">
      <w:r>
        <w:t>Reviewer #1:</w:t>
      </w:r>
    </w:p>
    <w:p w:rsidR="00CC3AA0" w:rsidRDefault="00CC3AA0" w:rsidP="00CC3AA0">
      <w:r>
        <w:t>Manuscript Summary:</w:t>
      </w:r>
    </w:p>
    <w:p w:rsidR="00CC3AA0" w:rsidRDefault="00CC3AA0" w:rsidP="00CC3AA0">
      <w:r>
        <w:t>Antibiotics treatment, FMT, and IgA flow are all important procedures that are of broad interest in the microbiome field. The article covers these well and provides clear guidelines.</w:t>
      </w:r>
    </w:p>
    <w:p w:rsidR="00CC3AA0" w:rsidRDefault="00CC3AA0" w:rsidP="00CC3AA0"/>
    <w:p w:rsidR="00CC3AA0" w:rsidRDefault="00CC3AA0" w:rsidP="00CC3AA0">
      <w:r>
        <w:t>Major Concerns:</w:t>
      </w:r>
    </w:p>
    <w:p w:rsidR="00CC3AA0" w:rsidRDefault="00CC3AA0" w:rsidP="00CC3AA0">
      <w:r>
        <w:t>1. The total bacterial load is not assessed in any experiments, either by culturable colonies on nonselective media, or qPCR of all bacterial 16S. This is an important point for assessing the effectiveness of the antibiotics as well as comparing the different methods of FMT. Either qPCR or plating could be used to account for this.</w:t>
      </w:r>
    </w:p>
    <w:p w:rsidR="00AD4432" w:rsidRPr="00357682" w:rsidRDefault="00AD4432" w:rsidP="00AD4432">
      <w:pPr>
        <w:rPr>
          <w:rFonts w:ascii="Times New Roman" w:hAnsi="Times New Roman" w:cs="Times New Roman"/>
          <w:color w:val="0070C0"/>
          <w:szCs w:val="21"/>
          <w:lang w:bidi="en-US"/>
        </w:rPr>
      </w:pPr>
      <w:r w:rsidRPr="00357682">
        <w:rPr>
          <w:rFonts w:ascii="Times New Roman" w:hAnsi="Times New Roman" w:cs="Times New Roman" w:hint="eastAsia"/>
          <w:color w:val="0070C0"/>
          <w:szCs w:val="21"/>
          <w:lang w:bidi="en-US"/>
        </w:rPr>
        <w:t>R</w:t>
      </w:r>
      <w:r w:rsidRPr="00357682">
        <w:rPr>
          <w:rFonts w:ascii="Times New Roman" w:hAnsi="Times New Roman" w:cs="Times New Roman"/>
          <w:color w:val="0070C0"/>
          <w:szCs w:val="21"/>
          <w:lang w:bidi="en-US"/>
        </w:rPr>
        <w:t xml:space="preserve">esponse: </w:t>
      </w:r>
      <w:r w:rsidR="0042712B" w:rsidRPr="00357682">
        <w:rPr>
          <w:rFonts w:ascii="Times New Roman" w:hAnsi="Times New Roman" w:cs="Times New Roman"/>
          <w:color w:val="0070C0"/>
          <w:szCs w:val="21"/>
          <w:lang w:bidi="en-US"/>
        </w:rPr>
        <w:t xml:space="preserve">As suggested by the reviewer, we used </w:t>
      </w:r>
      <w:r w:rsidR="00487D61" w:rsidRPr="00357682">
        <w:rPr>
          <w:rFonts w:ascii="Times New Roman" w:hAnsi="Times New Roman" w:cs="Times New Roman"/>
          <w:color w:val="0070C0"/>
          <w:szCs w:val="21"/>
          <w:lang w:bidi="en-US"/>
        </w:rPr>
        <w:t>RT-</w:t>
      </w:r>
      <w:r w:rsidR="0042712B" w:rsidRPr="00357682">
        <w:rPr>
          <w:rFonts w:ascii="Times New Roman" w:hAnsi="Times New Roman" w:cs="Times New Roman"/>
          <w:color w:val="0070C0"/>
          <w:szCs w:val="21"/>
          <w:lang w:bidi="en-US"/>
        </w:rPr>
        <w:t>PCR to test the effic</w:t>
      </w:r>
      <w:r w:rsidR="00E10CD9" w:rsidRPr="00357682">
        <w:rPr>
          <w:rFonts w:ascii="Times New Roman" w:hAnsi="Times New Roman" w:cs="Times New Roman"/>
          <w:color w:val="0070C0"/>
          <w:szCs w:val="21"/>
          <w:lang w:bidi="en-US"/>
        </w:rPr>
        <w:t>a</w:t>
      </w:r>
      <w:r w:rsidR="0042712B" w:rsidRPr="00357682">
        <w:rPr>
          <w:rFonts w:ascii="Times New Roman" w:hAnsi="Times New Roman" w:cs="Times New Roman"/>
          <w:color w:val="0070C0"/>
          <w:szCs w:val="21"/>
          <w:lang w:bidi="en-US"/>
        </w:rPr>
        <w:t>cy of bacteria depletion.</w:t>
      </w:r>
      <w:r w:rsidR="004E650E" w:rsidRPr="00357682">
        <w:rPr>
          <w:rFonts w:ascii="Times New Roman" w:hAnsi="Times New Roman" w:cs="Times New Roman"/>
          <w:color w:val="0070C0"/>
          <w:szCs w:val="21"/>
          <w:lang w:bidi="en-US"/>
        </w:rPr>
        <w:t xml:space="preserve"> </w:t>
      </w:r>
      <w:r w:rsidR="00487D61" w:rsidRPr="00357682">
        <w:rPr>
          <w:rFonts w:ascii="Times New Roman" w:hAnsi="Times New Roman" w:cs="Times New Roman"/>
          <w:color w:val="0070C0"/>
          <w:szCs w:val="21"/>
          <w:lang w:bidi="en-US"/>
        </w:rPr>
        <w:t xml:space="preserve">The copy numbers in 1 mg gut contents is significantly reduced in the cecum and ileum in mice receiving antibiotics cocktail. The depletion efficacy is over 99%. </w:t>
      </w:r>
      <w:r w:rsidR="004E650E" w:rsidRPr="00357682">
        <w:rPr>
          <w:rFonts w:ascii="Times New Roman" w:hAnsi="Times New Roman" w:cs="Times New Roman"/>
          <w:color w:val="0070C0"/>
          <w:szCs w:val="21"/>
          <w:lang w:bidi="en-US"/>
        </w:rPr>
        <w:t xml:space="preserve">Data were </w:t>
      </w:r>
      <w:r w:rsidR="00487D61" w:rsidRPr="00357682">
        <w:rPr>
          <w:rFonts w:ascii="Times New Roman" w:hAnsi="Times New Roman" w:cs="Times New Roman"/>
          <w:color w:val="0070C0"/>
          <w:szCs w:val="21"/>
          <w:lang w:bidi="en-US"/>
        </w:rPr>
        <w:t>showe</w:t>
      </w:r>
      <w:r w:rsidR="004E650E" w:rsidRPr="00357682">
        <w:rPr>
          <w:rFonts w:ascii="Times New Roman" w:hAnsi="Times New Roman" w:cs="Times New Roman"/>
          <w:color w:val="0070C0"/>
          <w:szCs w:val="21"/>
          <w:lang w:bidi="en-US"/>
        </w:rPr>
        <w:t>d in Fig 2</w:t>
      </w:r>
      <w:r w:rsidR="00487D61" w:rsidRPr="00357682">
        <w:rPr>
          <w:rFonts w:ascii="Times New Roman" w:hAnsi="Times New Roman" w:cs="Times New Roman"/>
          <w:color w:val="0070C0"/>
          <w:szCs w:val="21"/>
          <w:lang w:bidi="en-US"/>
        </w:rPr>
        <w:t>C</w:t>
      </w:r>
      <w:r w:rsidR="004E650E" w:rsidRPr="00357682">
        <w:rPr>
          <w:rFonts w:ascii="Times New Roman" w:hAnsi="Times New Roman" w:cs="Times New Roman"/>
          <w:color w:val="0070C0"/>
          <w:szCs w:val="21"/>
          <w:lang w:bidi="en-US"/>
        </w:rPr>
        <w:t>.</w:t>
      </w:r>
    </w:p>
    <w:p w:rsidR="00CC3AA0" w:rsidRDefault="00CC3AA0" w:rsidP="00CC3AA0"/>
    <w:p w:rsidR="00CC3AA0" w:rsidRDefault="00CC3AA0" w:rsidP="00CC3AA0">
      <w:r>
        <w:t>2. Figure 4 is less convincing without including a FACS plot of bacteria stained with only SYTO-BC (and not anti IgA PE), which would make the rationale for the IgA+ gate more clear. The alternative would be staining with both colors but using a RAG KO mouse or other mouse that lacks IgA.</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BC25BD" w:rsidRPr="00BB3F87">
        <w:rPr>
          <w:rFonts w:ascii="Times New Roman" w:hAnsi="Times New Roman" w:cs="Times New Roman"/>
          <w:color w:val="0070C0"/>
          <w:szCs w:val="21"/>
          <w:lang w:bidi="en-US"/>
        </w:rPr>
        <w:t>W</w:t>
      </w:r>
      <w:r w:rsidR="004E650E" w:rsidRPr="00BB3F87">
        <w:rPr>
          <w:rFonts w:ascii="Times New Roman" w:hAnsi="Times New Roman" w:cs="Times New Roman"/>
          <w:color w:val="0070C0"/>
          <w:szCs w:val="21"/>
          <w:lang w:bidi="en-US"/>
        </w:rPr>
        <w:t>e replaced</w:t>
      </w:r>
      <w:r w:rsidR="006E20F7" w:rsidRPr="00BB3F87">
        <w:rPr>
          <w:rFonts w:ascii="Times New Roman" w:hAnsi="Times New Roman" w:cs="Times New Roman"/>
          <w:color w:val="0070C0"/>
          <w:szCs w:val="21"/>
          <w:lang w:bidi="en-US"/>
        </w:rPr>
        <w:t xml:space="preserve"> PE-conjugated IgA antibody with </w:t>
      </w:r>
      <w:r w:rsidR="00BC25BD" w:rsidRPr="00BB3F87">
        <w:rPr>
          <w:rFonts w:ascii="Times New Roman" w:hAnsi="Times New Roman" w:cs="Times New Roman"/>
          <w:color w:val="0070C0"/>
          <w:szCs w:val="21"/>
          <w:lang w:bidi="en-US"/>
        </w:rPr>
        <w:t xml:space="preserve">biotin anti-IgA and </w:t>
      </w:r>
      <w:r w:rsidR="006E20F7" w:rsidRPr="00BB3F87">
        <w:rPr>
          <w:rFonts w:ascii="Times New Roman" w:hAnsi="Times New Roman" w:cs="Times New Roman"/>
          <w:color w:val="0070C0"/>
          <w:szCs w:val="21"/>
          <w:lang w:bidi="en-US"/>
        </w:rPr>
        <w:t>APC</w:t>
      </w:r>
      <w:r w:rsidR="00BC25BD" w:rsidRPr="00BB3F87">
        <w:rPr>
          <w:rFonts w:ascii="Times New Roman" w:hAnsi="Times New Roman" w:cs="Times New Roman"/>
          <w:color w:val="0070C0"/>
          <w:szCs w:val="21"/>
          <w:lang w:bidi="en-US"/>
        </w:rPr>
        <w:t>-</w:t>
      </w:r>
      <w:r w:rsidR="006E20F7" w:rsidRPr="00BB3F87">
        <w:rPr>
          <w:rFonts w:ascii="Times New Roman" w:hAnsi="Times New Roman" w:cs="Times New Roman"/>
          <w:color w:val="0070C0"/>
          <w:szCs w:val="21"/>
          <w:lang w:bidi="en-US"/>
        </w:rPr>
        <w:t>conjugated</w:t>
      </w:r>
      <w:r w:rsidR="00BC25BD" w:rsidRPr="00BB3F87">
        <w:rPr>
          <w:rFonts w:ascii="Times New Roman" w:hAnsi="Times New Roman" w:cs="Times New Roman"/>
          <w:color w:val="0070C0"/>
          <w:szCs w:val="21"/>
          <w:lang w:bidi="en-US"/>
        </w:rPr>
        <w:t xml:space="preserve"> biotin antibody for IgA staining</w:t>
      </w:r>
      <w:r w:rsidR="006E20F7" w:rsidRPr="00BB3F87">
        <w:rPr>
          <w:rFonts w:ascii="Times New Roman" w:hAnsi="Times New Roman" w:cs="Times New Roman"/>
          <w:color w:val="0070C0"/>
          <w:szCs w:val="21"/>
          <w:lang w:bidi="en-US"/>
        </w:rPr>
        <w:t xml:space="preserve">. The FACS plots for </w:t>
      </w:r>
      <w:r w:rsidR="00BC25BD" w:rsidRPr="00BB3F87">
        <w:rPr>
          <w:rFonts w:ascii="Times New Roman" w:hAnsi="Times New Roman" w:cs="Times New Roman"/>
          <w:color w:val="0070C0"/>
          <w:szCs w:val="21"/>
          <w:lang w:bidi="en-US"/>
        </w:rPr>
        <w:t xml:space="preserve">single staining </w:t>
      </w:r>
      <w:r w:rsidR="006E20F7" w:rsidRPr="00BB3F87">
        <w:rPr>
          <w:rFonts w:ascii="Times New Roman" w:hAnsi="Times New Roman" w:cs="Times New Roman"/>
          <w:color w:val="0070C0"/>
          <w:szCs w:val="21"/>
          <w:lang w:bidi="en-US"/>
        </w:rPr>
        <w:t xml:space="preserve">and double staining were added in Fig4. </w:t>
      </w:r>
    </w:p>
    <w:p w:rsidR="00AD4432" w:rsidRPr="00CC3AA0" w:rsidRDefault="00AD4432" w:rsidP="00CC3AA0"/>
    <w:p w:rsidR="00CC3AA0" w:rsidRDefault="00CC3AA0" w:rsidP="00CC3AA0">
      <w:r>
        <w:t xml:space="preserve">Reviewer #2: </w:t>
      </w:r>
    </w:p>
    <w:p w:rsidR="00CC3AA0" w:rsidRDefault="00CC3AA0" w:rsidP="00CC3AA0">
      <w:r>
        <w:t>This manuscript is presenting an efficient way of fecal microbiota transplantation (FMT) from fresh or frozen donor intestinal contents to conventional mice and a flow cytometry-based method for detection of immunoglobulin A (IgA)-coating bacteria in the gut. Generally, the manuscript is well-written and provide a reproducible method in experimental study.</w:t>
      </w:r>
    </w:p>
    <w:p w:rsidR="00CC3AA0" w:rsidRDefault="00CC3AA0" w:rsidP="00CC3AA0">
      <w:r>
        <w:t>My major concern is that the method for FMT and detection of IgA-coating bacteria have been described in various literatures, could the authors describe the method for IgA-coating bacteria sorting using FACS-based method? In addition, if the authors transplant IgA+ and IgA- bacteria to recipients, what will be the difference of composition of bacteria in the recipient mice?</w:t>
      </w:r>
      <w:r w:rsidR="009A3045">
        <w:t xml:space="preserve"> </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F90A1A" w:rsidRPr="00BB3F87">
        <w:rPr>
          <w:rFonts w:ascii="Times New Roman" w:hAnsi="Times New Roman" w:cs="Times New Roman"/>
          <w:color w:val="0070C0"/>
          <w:szCs w:val="21"/>
          <w:lang w:bidi="en-US"/>
        </w:rPr>
        <w:t>Thanks for the reviewer’s suggestion. However, we never sor</w:t>
      </w:r>
      <w:r w:rsidR="003E23A6" w:rsidRPr="00BB3F87">
        <w:rPr>
          <w:rFonts w:ascii="Times New Roman" w:hAnsi="Times New Roman" w:cs="Times New Roman"/>
          <w:color w:val="0070C0"/>
          <w:szCs w:val="21"/>
          <w:lang w:bidi="en-US"/>
        </w:rPr>
        <w:t>ted</w:t>
      </w:r>
      <w:r w:rsidR="00F90A1A" w:rsidRPr="00BB3F87">
        <w:rPr>
          <w:rFonts w:ascii="Times New Roman" w:hAnsi="Times New Roman" w:cs="Times New Roman"/>
          <w:color w:val="0070C0"/>
          <w:szCs w:val="21"/>
          <w:lang w:bidi="en-US"/>
        </w:rPr>
        <w:t xml:space="preserve"> IgA-coating bacteria in our previous study. The reviewer can find the IgA-coating bacteria sorting</w:t>
      </w:r>
      <w:r w:rsidR="00ED6752" w:rsidRPr="00BB3F87">
        <w:rPr>
          <w:rFonts w:ascii="Times New Roman" w:hAnsi="Times New Roman" w:cs="Times New Roman"/>
          <w:color w:val="0070C0"/>
          <w:szCs w:val="21"/>
          <w:lang w:bidi="en-US"/>
        </w:rPr>
        <w:t xml:space="preserve">, culture and </w:t>
      </w:r>
      <w:r w:rsidR="00BC25BD" w:rsidRPr="00BB3F87">
        <w:rPr>
          <w:rFonts w:ascii="Times New Roman" w:hAnsi="Times New Roman" w:cs="Times New Roman"/>
          <w:color w:val="0070C0"/>
          <w:szCs w:val="21"/>
          <w:lang w:bidi="en-US"/>
        </w:rPr>
        <w:t xml:space="preserve">transplantation details </w:t>
      </w:r>
      <w:r w:rsidR="00F90A1A" w:rsidRPr="00BB3F87">
        <w:rPr>
          <w:rFonts w:ascii="Times New Roman" w:hAnsi="Times New Roman" w:cs="Times New Roman"/>
          <w:color w:val="0070C0"/>
          <w:szCs w:val="21"/>
          <w:lang w:bidi="en-US"/>
        </w:rPr>
        <w:t xml:space="preserve">in the paper published by </w:t>
      </w:r>
      <w:r w:rsidR="00AF595D" w:rsidRPr="00BB3F87">
        <w:rPr>
          <w:rFonts w:ascii="Times New Roman" w:hAnsi="Times New Roman" w:cs="Times New Roman"/>
          <w:color w:val="0070C0"/>
          <w:szCs w:val="21"/>
          <w:lang w:bidi="en-US"/>
        </w:rPr>
        <w:t>Palm</w:t>
      </w:r>
      <w:r w:rsidR="00F90A1A" w:rsidRPr="00BB3F87">
        <w:rPr>
          <w:rFonts w:ascii="Times New Roman" w:hAnsi="Times New Roman" w:cs="Times New Roman"/>
          <w:color w:val="0070C0"/>
          <w:szCs w:val="21"/>
          <w:lang w:bidi="en-US"/>
        </w:rPr>
        <w:t xml:space="preserve"> et al (</w:t>
      </w:r>
      <w:r w:rsidR="00AF595D" w:rsidRPr="00BB3F87">
        <w:rPr>
          <w:rFonts w:ascii="Times New Roman" w:hAnsi="Times New Roman" w:cs="Times New Roman"/>
          <w:color w:val="0070C0"/>
          <w:szCs w:val="21"/>
          <w:lang w:bidi="en-US"/>
        </w:rPr>
        <w:t>Immunoglobulin A Coating Identifies Colitogenic Bacteria in Inflammatory Bowel Disease. Cell</w:t>
      </w:r>
      <w:r w:rsidR="00F90A1A" w:rsidRPr="00BB3F87">
        <w:rPr>
          <w:rFonts w:ascii="Times New Roman" w:hAnsi="Times New Roman" w:cs="Times New Roman"/>
          <w:color w:val="0070C0"/>
          <w:szCs w:val="21"/>
          <w:lang w:bidi="en-US"/>
        </w:rPr>
        <w:t xml:space="preserve">, </w:t>
      </w:r>
      <w:r w:rsidR="00AF595D" w:rsidRPr="00BB3F87">
        <w:rPr>
          <w:rFonts w:ascii="Times New Roman" w:hAnsi="Times New Roman" w:cs="Times New Roman"/>
          <w:color w:val="0070C0"/>
          <w:szCs w:val="21"/>
          <w:lang w:bidi="en-US"/>
        </w:rPr>
        <w:t>2014</w:t>
      </w:r>
      <w:r w:rsidR="00F90A1A" w:rsidRPr="00BB3F87">
        <w:rPr>
          <w:rFonts w:ascii="Times New Roman" w:hAnsi="Times New Roman" w:cs="Times New Roman"/>
          <w:color w:val="0070C0"/>
          <w:szCs w:val="21"/>
          <w:lang w:bidi="en-US"/>
        </w:rPr>
        <w:t xml:space="preserve">, </w:t>
      </w:r>
      <w:r w:rsidR="00AF595D" w:rsidRPr="00BB3F87">
        <w:rPr>
          <w:rFonts w:ascii="Times New Roman" w:hAnsi="Times New Roman" w:cs="Times New Roman"/>
          <w:color w:val="0070C0"/>
          <w:szCs w:val="21"/>
          <w:lang w:bidi="en-US"/>
        </w:rPr>
        <w:t>158</w:t>
      </w:r>
      <w:r w:rsidR="00F90A1A" w:rsidRPr="00BB3F87">
        <w:rPr>
          <w:rFonts w:ascii="Times New Roman" w:hAnsi="Times New Roman" w:cs="Times New Roman"/>
          <w:color w:val="0070C0"/>
          <w:szCs w:val="21"/>
          <w:lang w:bidi="en-US"/>
        </w:rPr>
        <w:t xml:space="preserve">, </w:t>
      </w:r>
      <w:r w:rsidR="00AF595D" w:rsidRPr="00BB3F87">
        <w:rPr>
          <w:rFonts w:ascii="Times New Roman" w:hAnsi="Times New Roman" w:cs="Times New Roman"/>
          <w:color w:val="0070C0"/>
          <w:szCs w:val="21"/>
          <w:lang w:bidi="en-US"/>
        </w:rPr>
        <w:t>1000-1010</w:t>
      </w:r>
      <w:r w:rsidR="00F90A1A" w:rsidRPr="00BB3F87">
        <w:rPr>
          <w:rFonts w:ascii="Times New Roman" w:hAnsi="Times New Roman" w:cs="Times New Roman"/>
          <w:color w:val="0070C0"/>
          <w:szCs w:val="21"/>
          <w:lang w:bidi="en-US"/>
        </w:rPr>
        <w:t xml:space="preserve">). </w:t>
      </w:r>
    </w:p>
    <w:p w:rsidR="00AD4432" w:rsidRPr="00BC25BD" w:rsidRDefault="00AD4432" w:rsidP="00CC3AA0"/>
    <w:p w:rsidR="00CC3AA0" w:rsidRDefault="00CC3AA0" w:rsidP="00CC3AA0">
      <w:r>
        <w:t>Reviewer #3:</w:t>
      </w:r>
    </w:p>
    <w:p w:rsidR="00CC3AA0" w:rsidRDefault="00CC3AA0" w:rsidP="00CC3AA0">
      <w:r>
        <w:t>Manuscript Summary:</w:t>
      </w:r>
    </w:p>
    <w:p w:rsidR="00CC3AA0" w:rsidRDefault="00CC3AA0" w:rsidP="00CC3AA0">
      <w:r>
        <w:t>The authors address a very relevant question to the field of host-microbiota interactions. Indeed, a consensus on the best protocol to perform FMT in rodents would be very useful. However, the authors do not demonstrate that their protocol more efficient that other protocols or event just efficient. For that, they should 1) demonstrate the efficacy o</w:t>
      </w:r>
      <w:r w:rsidR="00E10CD9">
        <w:t>f</w:t>
      </w:r>
      <w:r>
        <w:t xml:space="preserve"> the microbiota depletion, and 2) explain figure 3 in a way that allow the reader to decipher if the recipient mice have an intestinal microbiota composition close to the inoculum composition. The following point should be addressed.</w:t>
      </w:r>
    </w:p>
    <w:p w:rsidR="00CC3AA0" w:rsidRDefault="00CC3AA0" w:rsidP="00CC3AA0">
      <w:r>
        <w:t>Major Concerns:</w:t>
      </w:r>
    </w:p>
    <w:p w:rsidR="00CC3AA0" w:rsidRDefault="00CC3AA0" w:rsidP="00CC3AA0">
      <w:r>
        <w:t>1. Several key publications documenting the impact of FMT protocols on the establishment of the inoculated microbiota should be mentioned and more importantly discussed, in particular:</w:t>
      </w:r>
    </w:p>
    <w:p w:rsidR="00CC3AA0" w:rsidRDefault="00CC3AA0" w:rsidP="00CC3AA0">
      <w:r>
        <w:t>a. Staley et al., 2017 about the efficacy of different antibiotics combinations to deplete the gut microbiota.</w:t>
      </w:r>
    </w:p>
    <w:p w:rsidR="00CC3AA0" w:rsidRDefault="00CC3AA0" w:rsidP="00CC3AA0">
      <w:r>
        <w:t>b. Wos-Oxley et al., 2012 about the impact of the recipient species (rat/mouse) on the quality of the transfer.</w:t>
      </w:r>
    </w:p>
    <w:p w:rsidR="00CC3AA0" w:rsidRDefault="00CC3AA0" w:rsidP="00CC3AA0">
      <w:r>
        <w:t>c. Ericsson et al., 2017 about the impact of the richness of the donors and recipients microbiota on the FMT, even after antibiotics-induced microbiota depletion.</w:t>
      </w:r>
    </w:p>
    <w:p w:rsidR="00CC3AA0" w:rsidRDefault="00CC3AA0" w:rsidP="00CC3AA0">
      <w:r>
        <w:t xml:space="preserve">d. Le Roy et al., 2019 about the impact of the age of the recipients and the necessity to remove </w:t>
      </w:r>
      <w:r>
        <w:lastRenderedPageBreak/>
        <w:t>antibiotics with laxatives before performing the FMT.</w:t>
      </w:r>
    </w:p>
    <w:p w:rsidR="00AD4432" w:rsidRPr="00BB3F87" w:rsidRDefault="00AD4432" w:rsidP="00CC3AA0">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43177A" w:rsidRPr="00BB3F87">
        <w:rPr>
          <w:rFonts w:ascii="Times New Roman" w:hAnsi="Times New Roman" w:cs="Times New Roman"/>
          <w:color w:val="0070C0"/>
          <w:szCs w:val="21"/>
          <w:lang w:bidi="en-US"/>
        </w:rPr>
        <w:t>As suggested by the reviewer, we have incited these references and discuss</w:t>
      </w:r>
      <w:r w:rsidR="008B7DB9" w:rsidRPr="00BB3F87">
        <w:rPr>
          <w:rFonts w:ascii="Times New Roman" w:hAnsi="Times New Roman" w:cs="Times New Roman"/>
          <w:color w:val="0070C0"/>
          <w:szCs w:val="21"/>
          <w:lang w:bidi="en-US"/>
        </w:rPr>
        <w:t>ed</w:t>
      </w:r>
      <w:r w:rsidR="0043177A" w:rsidRPr="00BB3F87">
        <w:rPr>
          <w:rFonts w:ascii="Times New Roman" w:hAnsi="Times New Roman" w:cs="Times New Roman"/>
          <w:color w:val="0070C0"/>
          <w:szCs w:val="21"/>
          <w:lang w:bidi="en-US"/>
        </w:rPr>
        <w:t xml:space="preserve"> in details in the discussion section. </w:t>
      </w:r>
    </w:p>
    <w:p w:rsidR="00CC3AA0" w:rsidRDefault="00CC3AA0" w:rsidP="00CC3AA0">
      <w:r>
        <w:t xml:space="preserve">2. The authors indicate the difficulty to control the antibiotics dose when antibiotics are administered in the drinking water, however in my experience and as documented in the literature by others (Reikvam et al., 2011) the major pitfall of administering the antibiotics in drinking water is the extremely bitter taste of metronidazole that lead to a massive decrease of water and food intake and thus a significant weight loss. </w:t>
      </w:r>
      <w:r w:rsidRPr="002E3873">
        <w:t>The authors should mention this limitation and indicate the water and food consumption along with the body weight of the mice during the experiment.</w:t>
      </w:r>
      <w:r>
        <w:t xml:space="preserve"> The authors also should explain why they decided to administer the antibiotics both by gavage and in the drinking water. Moreover, the choice of using the same concentrations of antibiotics in the drinking water and for the force-feeding is odd. Indeed, mice usually drink 3 to 5 ml per day, thus administering 200 µl by force feeding once a day should not dramatically increase the amount of antibiotics the mice receive per day.</w:t>
      </w:r>
    </w:p>
    <w:p w:rsidR="008B7DB9" w:rsidRPr="00BB3F87" w:rsidRDefault="00AD4432" w:rsidP="00CC3AA0">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8B7DB9" w:rsidRPr="00BB3F87">
        <w:rPr>
          <w:rFonts w:ascii="Times New Roman" w:hAnsi="Times New Roman" w:cs="Times New Roman"/>
          <w:color w:val="0070C0"/>
          <w:szCs w:val="21"/>
          <w:lang w:bidi="en-US"/>
        </w:rPr>
        <w:t>Thanks for the reviewer’s suggestion. We have mentioned the limitation of administering antibiotics in drinking water as well as the weight loss problem in mice in the Discussion section. In our system, we orally gavage mice with antibiotics cocktails to make sure that mice receiving enough antibiotics dosage to deplete microbiota. In fact, others reported to deplete gut microbiota by oral gavage for 12 h</w:t>
      </w:r>
      <w:r w:rsidR="00BE13AA" w:rsidRPr="00BB3F87">
        <w:rPr>
          <w:rFonts w:ascii="Times New Roman" w:hAnsi="Times New Roman" w:cs="Times New Roman"/>
          <w:color w:val="0070C0"/>
          <w:szCs w:val="21"/>
          <w:lang w:bidi="en-US"/>
        </w:rPr>
        <w:t xml:space="preserve">, 24 h or 72 h although they did not show </w:t>
      </w:r>
      <w:r w:rsidR="0069551D" w:rsidRPr="00BB3F87">
        <w:rPr>
          <w:rFonts w:ascii="Times New Roman" w:hAnsi="Times New Roman" w:cs="Times New Roman"/>
          <w:color w:val="0070C0"/>
          <w:szCs w:val="21"/>
          <w:lang w:bidi="en-US"/>
        </w:rPr>
        <w:t xml:space="preserve">the </w:t>
      </w:r>
      <w:r w:rsidR="00BE13AA" w:rsidRPr="00BB3F87">
        <w:rPr>
          <w:rFonts w:ascii="Times New Roman" w:hAnsi="Times New Roman" w:cs="Times New Roman"/>
          <w:color w:val="0070C0"/>
          <w:szCs w:val="21"/>
          <w:lang w:bidi="en-US"/>
        </w:rPr>
        <w:t>deplet</w:t>
      </w:r>
      <w:r w:rsidR="0069551D" w:rsidRPr="00BB3F87">
        <w:rPr>
          <w:rFonts w:ascii="Times New Roman" w:hAnsi="Times New Roman" w:cs="Times New Roman"/>
          <w:color w:val="0070C0"/>
          <w:szCs w:val="21"/>
          <w:lang w:bidi="en-US"/>
        </w:rPr>
        <w:t>ion efficacy</w:t>
      </w:r>
      <w:r w:rsidR="00BE13AA" w:rsidRPr="00BB3F87">
        <w:rPr>
          <w:rFonts w:ascii="Times New Roman" w:hAnsi="Times New Roman" w:cs="Times New Roman"/>
          <w:color w:val="0070C0"/>
          <w:szCs w:val="21"/>
          <w:lang w:bidi="en-US"/>
        </w:rPr>
        <w:t>. The reason why we also administrated antibiotics in drinking water is : 1. to avoid bacteria contamination from the environment; 2. to ensure deplet</w:t>
      </w:r>
      <w:r w:rsidR="00357921" w:rsidRPr="00BB3F87">
        <w:rPr>
          <w:rFonts w:ascii="Times New Roman" w:hAnsi="Times New Roman" w:cs="Times New Roman"/>
          <w:color w:val="0070C0"/>
          <w:szCs w:val="21"/>
          <w:lang w:bidi="en-US"/>
        </w:rPr>
        <w:t>ion efficacy</w:t>
      </w:r>
      <w:r w:rsidR="00BE13AA" w:rsidRPr="00BB3F87">
        <w:rPr>
          <w:rFonts w:ascii="Times New Roman" w:hAnsi="Times New Roman" w:cs="Times New Roman"/>
          <w:color w:val="0070C0"/>
          <w:szCs w:val="21"/>
          <w:lang w:bidi="en-US"/>
        </w:rPr>
        <w:t>.</w:t>
      </w:r>
      <w:r w:rsidR="00357921" w:rsidRPr="00BB3F87">
        <w:rPr>
          <w:rFonts w:ascii="Times New Roman" w:hAnsi="Times New Roman" w:cs="Times New Roman"/>
          <w:color w:val="0070C0"/>
          <w:szCs w:val="21"/>
          <w:lang w:bidi="en-US"/>
        </w:rPr>
        <w:t xml:space="preserve"> </w:t>
      </w:r>
    </w:p>
    <w:p w:rsidR="00CC3AA0" w:rsidRPr="008B7DB9" w:rsidRDefault="008B7DB9" w:rsidP="00CC3AA0">
      <w:pPr>
        <w:rPr>
          <w:color w:val="0070C0"/>
        </w:rPr>
      </w:pPr>
      <w:r>
        <w:rPr>
          <w:color w:val="0070C0"/>
        </w:rPr>
        <w:t xml:space="preserve"> </w:t>
      </w:r>
    </w:p>
    <w:p w:rsidR="00CC3AA0" w:rsidRDefault="00CC3AA0" w:rsidP="00CC3AA0">
      <w:r>
        <w:t>3. Lines 78-85. I agree with the authors that different bacterial population are found in the different regions of the gastrointestinal tract, however I fail to understand what the authors mean by « it is imperative to isolate relevant gut contents for fecal fluid preparation » and what is the connection with the previous statements.</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DF63A7" w:rsidRPr="00BB3F87">
        <w:rPr>
          <w:rFonts w:ascii="Times New Roman" w:hAnsi="Times New Roman" w:cs="Times New Roman"/>
          <w:color w:val="0070C0"/>
          <w:szCs w:val="21"/>
          <w:lang w:bidi="en-US"/>
        </w:rPr>
        <w:t>We have revised this sentence to make it clear in the introduction section.</w:t>
      </w:r>
    </w:p>
    <w:p w:rsidR="00CC3AA0" w:rsidRDefault="00CC3AA0" w:rsidP="00CC3AA0"/>
    <w:p w:rsidR="00CC3AA0" w:rsidRDefault="00CC3AA0" w:rsidP="00CC3AA0">
      <w:r>
        <w:t>4. The authors should distinguish between human to human FMT for therapeutics purposes and human/mice to mice FMT for research purposes. The conclusions from one approach can</w:t>
      </w:r>
      <w:r w:rsidR="00DA30AD">
        <w:t xml:space="preserve"> </w:t>
      </w:r>
      <w:r>
        <w:t>not be extended to the other.</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esponse:</w:t>
      </w:r>
      <w:r w:rsidR="00760E4B" w:rsidRPr="00BB3F87">
        <w:rPr>
          <w:rFonts w:ascii="Times New Roman" w:hAnsi="Times New Roman" w:cs="Times New Roman"/>
          <w:color w:val="0070C0"/>
          <w:szCs w:val="21"/>
          <w:lang w:bidi="en-US"/>
        </w:rPr>
        <w:t xml:space="preserve"> The reviewer is right.</w:t>
      </w:r>
      <w:r w:rsidRPr="00BB3F87">
        <w:rPr>
          <w:rFonts w:ascii="Times New Roman" w:hAnsi="Times New Roman" w:cs="Times New Roman"/>
          <w:color w:val="0070C0"/>
          <w:szCs w:val="21"/>
          <w:lang w:bidi="en-US"/>
        </w:rPr>
        <w:t xml:space="preserve"> </w:t>
      </w:r>
      <w:r w:rsidR="00760E4B" w:rsidRPr="00BB3F87">
        <w:rPr>
          <w:rFonts w:ascii="Times New Roman" w:hAnsi="Times New Roman" w:cs="Times New Roman"/>
          <w:color w:val="0070C0"/>
          <w:szCs w:val="21"/>
          <w:lang w:bidi="en-US"/>
        </w:rPr>
        <w:t>We have modified the conclusion in the end of manuscript.</w:t>
      </w:r>
    </w:p>
    <w:p w:rsidR="00CC3AA0" w:rsidRPr="00BB3F87" w:rsidRDefault="00CC3AA0" w:rsidP="00CC3AA0">
      <w:pPr>
        <w:rPr>
          <w:rFonts w:ascii="Times New Roman" w:hAnsi="Times New Roman" w:cs="Times New Roman"/>
          <w:color w:val="0070C0"/>
          <w:szCs w:val="21"/>
          <w:lang w:bidi="en-US"/>
        </w:rPr>
      </w:pPr>
    </w:p>
    <w:p w:rsidR="00CC3AA0" w:rsidRDefault="00CC3AA0" w:rsidP="00CC3AA0">
      <w:r>
        <w:t>5. It is imperative that the authors explain how the fecal microbiota of the recipients mice was analyzed. In particular,</w:t>
      </w:r>
    </w:p>
    <w:p w:rsidR="00CC3AA0" w:rsidRDefault="00CC3AA0" w:rsidP="00CC3AA0">
      <w:r>
        <w:t>a. the method of DNA extraction</w:t>
      </w:r>
    </w:p>
    <w:p w:rsidR="00CC3AA0" w:rsidRDefault="00CC3AA0" w:rsidP="00CC3AA0">
      <w:r>
        <w:t>b. the sequencing primers sequences</w:t>
      </w:r>
    </w:p>
    <w:p w:rsidR="00CC3AA0" w:rsidRDefault="00CC3AA0" w:rsidP="00CC3AA0">
      <w:r>
        <w:t>c. the initial number of sequences per sample</w:t>
      </w:r>
    </w:p>
    <w:p w:rsidR="00CC3AA0" w:rsidRDefault="00CC3AA0" w:rsidP="00CC3AA0">
      <w:r>
        <w:t>d. the number of sequences after quality filtering</w:t>
      </w:r>
    </w:p>
    <w:p w:rsidR="00CC3AA0" w:rsidRDefault="00CC3AA0" w:rsidP="00CC3AA0">
      <w:r>
        <w:t>e. the number of sequences of the smallest samples, in other words, what was the number of sequences used to compensate for differential sequencing depth between samples create normalized counts? Did the authors filter very low abundance sequences? This is generally highly recommended to filter sequences that represent less than 0.005% of the whole dataset.</w:t>
      </w:r>
    </w:p>
    <w:p w:rsidR="00CC3AA0" w:rsidRDefault="00CC3AA0" w:rsidP="00CC3AA0">
      <w:r>
        <w:t>f. the software used to perform clustering</w:t>
      </w:r>
    </w:p>
    <w:p w:rsidR="00CC3AA0" w:rsidRDefault="00CC3AA0" w:rsidP="00CC3AA0">
      <w:r>
        <w:lastRenderedPageBreak/>
        <w:t>g. the database used to assign a taxonomy to the OTUs</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506685" w:rsidRPr="00BB3F87">
        <w:rPr>
          <w:rFonts w:ascii="Times New Roman" w:hAnsi="Times New Roman" w:cs="Times New Roman"/>
          <w:color w:val="0070C0"/>
          <w:szCs w:val="21"/>
          <w:lang w:bidi="en-US"/>
        </w:rPr>
        <w:t>Thanks for the reviewer’s comment. We extracted DNA using QIAamp DNA Stool mini kit</w:t>
      </w:r>
      <w:r w:rsidR="00700FB9" w:rsidRPr="00BB3F87">
        <w:rPr>
          <w:rFonts w:ascii="Times New Roman" w:hAnsi="Times New Roman" w:cs="Times New Roman"/>
          <w:color w:val="0070C0"/>
          <w:szCs w:val="21"/>
          <w:lang w:bidi="en-US"/>
        </w:rPr>
        <w:t>.</w:t>
      </w:r>
      <w:r w:rsidR="00506685" w:rsidRPr="00BB3F87">
        <w:rPr>
          <w:rFonts w:ascii="Times New Roman" w:hAnsi="Times New Roman" w:cs="Times New Roman"/>
          <w:color w:val="0070C0"/>
          <w:szCs w:val="21"/>
          <w:lang w:bidi="en-US"/>
        </w:rPr>
        <w:t xml:space="preserve"> </w:t>
      </w:r>
      <w:r w:rsidR="00700FB9" w:rsidRPr="00BB3F87">
        <w:rPr>
          <w:rFonts w:ascii="Times New Roman" w:hAnsi="Times New Roman" w:cs="Times New Roman"/>
          <w:color w:val="0070C0"/>
          <w:szCs w:val="21"/>
          <w:lang w:bidi="en-US"/>
        </w:rPr>
        <w:t xml:space="preserve">The V3-V4 hypervariable regions of the bacteria 16S rRNA gene were amplified with primers 338F (5’- </w:t>
      </w:r>
      <w:bookmarkStart w:id="1" w:name="OLE_LINK81"/>
      <w:bookmarkStart w:id="2" w:name="OLE_LINK82"/>
      <w:r w:rsidR="00700FB9" w:rsidRPr="00BB3F87">
        <w:rPr>
          <w:rFonts w:ascii="Times New Roman" w:hAnsi="Times New Roman" w:cs="Times New Roman"/>
          <w:color w:val="0070C0"/>
          <w:szCs w:val="21"/>
          <w:lang w:bidi="en-US"/>
        </w:rPr>
        <w:t>ACTCCTACGGGAGGCAGCAG</w:t>
      </w:r>
      <w:bookmarkEnd w:id="1"/>
      <w:bookmarkEnd w:id="2"/>
      <w:r w:rsidR="00700FB9" w:rsidRPr="00BB3F87">
        <w:rPr>
          <w:rFonts w:ascii="Times New Roman" w:hAnsi="Times New Roman" w:cs="Times New Roman"/>
          <w:color w:val="0070C0"/>
          <w:szCs w:val="21"/>
          <w:lang w:bidi="en-US"/>
        </w:rPr>
        <w:t>-3’) and 806R (5’-</w:t>
      </w:r>
      <w:bookmarkStart w:id="3" w:name="OLE_LINK83"/>
      <w:bookmarkStart w:id="4" w:name="OLE_LINK84"/>
      <w:r w:rsidR="00700FB9" w:rsidRPr="00BB3F87">
        <w:rPr>
          <w:rFonts w:ascii="Times New Roman" w:hAnsi="Times New Roman" w:cs="Times New Roman"/>
          <w:color w:val="0070C0"/>
          <w:szCs w:val="21"/>
          <w:lang w:bidi="en-US"/>
        </w:rPr>
        <w:t>GGACTACHVGGGTWTCTAAT</w:t>
      </w:r>
      <w:bookmarkEnd w:id="3"/>
      <w:bookmarkEnd w:id="4"/>
      <w:r w:rsidR="00700FB9" w:rsidRPr="00BB3F87">
        <w:rPr>
          <w:rFonts w:ascii="Times New Roman" w:hAnsi="Times New Roman" w:cs="Times New Roman"/>
          <w:color w:val="0070C0"/>
          <w:szCs w:val="21"/>
          <w:lang w:bidi="en-US"/>
        </w:rPr>
        <w:t>-3’).</w:t>
      </w:r>
      <w:r w:rsidR="000A5B6A" w:rsidRPr="00BB3F87">
        <w:rPr>
          <w:rFonts w:ascii="Times New Roman" w:hAnsi="Times New Roman" w:cs="Times New Roman"/>
          <w:color w:val="0070C0"/>
          <w:szCs w:val="21"/>
          <w:lang w:bidi="en-US"/>
        </w:rPr>
        <w:t xml:space="preserve"> </w:t>
      </w:r>
      <w:r w:rsidR="00700FB9" w:rsidRPr="00BB3F87">
        <w:rPr>
          <w:rFonts w:ascii="Times New Roman" w:hAnsi="Times New Roman" w:cs="Times New Roman"/>
          <w:color w:val="0070C0"/>
          <w:szCs w:val="21"/>
          <w:lang w:bidi="en-US"/>
        </w:rPr>
        <w:t xml:space="preserve">The taxonomy of each 16S rRNA gene sequence was analyzed against the </w:t>
      </w:r>
      <w:bookmarkStart w:id="5" w:name="OLE_LINK70"/>
      <w:bookmarkStart w:id="6" w:name="OLE_LINK100"/>
      <w:r w:rsidR="00700FB9" w:rsidRPr="00BB3F87">
        <w:rPr>
          <w:rFonts w:ascii="Times New Roman" w:hAnsi="Times New Roman" w:cs="Times New Roman"/>
          <w:color w:val="0070C0"/>
          <w:szCs w:val="21"/>
          <w:lang w:bidi="en-US"/>
        </w:rPr>
        <w:t>Silva</w:t>
      </w:r>
      <w:bookmarkEnd w:id="5"/>
      <w:bookmarkEnd w:id="6"/>
      <w:r w:rsidR="00700FB9" w:rsidRPr="00BB3F87">
        <w:rPr>
          <w:rFonts w:ascii="Times New Roman" w:hAnsi="Times New Roman" w:cs="Times New Roman"/>
          <w:color w:val="0070C0"/>
          <w:szCs w:val="21"/>
          <w:lang w:bidi="en-US"/>
        </w:rPr>
        <w:t xml:space="preserve"> (SSU132) 16S rRNA database using a confidence threshold of 70%. </w:t>
      </w:r>
    </w:p>
    <w:p w:rsidR="00B33B5D" w:rsidRPr="00BB3F87" w:rsidRDefault="00B33B5D" w:rsidP="00CC3AA0">
      <w:pPr>
        <w:rPr>
          <w:rFonts w:ascii="Times New Roman" w:hAnsi="Times New Roman" w:cs="Times New Roman"/>
          <w:color w:val="0070C0"/>
          <w:szCs w:val="21"/>
          <w:lang w:bidi="en-US"/>
        </w:rPr>
      </w:pPr>
      <w:r w:rsidRPr="00BB3F87">
        <w:rPr>
          <w:rFonts w:ascii="Times New Roman" w:hAnsi="Times New Roman" w:cs="Times New Roman"/>
          <w:color w:val="0070C0"/>
          <w:szCs w:val="21"/>
          <w:lang w:bidi="en-US"/>
        </w:rPr>
        <w:t>I</w:t>
      </w:r>
      <w:r w:rsidRPr="00BB3F87">
        <w:rPr>
          <w:rFonts w:ascii="Times New Roman" w:hAnsi="Times New Roman" w:cs="Times New Roman" w:hint="eastAsia"/>
          <w:color w:val="0070C0"/>
          <w:szCs w:val="21"/>
          <w:lang w:bidi="en-US"/>
        </w:rPr>
        <w:t>n</w:t>
      </w:r>
      <w:r w:rsidRPr="00BB3F87">
        <w:rPr>
          <w:rFonts w:ascii="Times New Roman" w:hAnsi="Times New Roman" w:cs="Times New Roman"/>
          <w:color w:val="0070C0"/>
          <w:szCs w:val="21"/>
          <w:lang w:bidi="en-US"/>
        </w:rPr>
        <w:t xml:space="preserve"> this paper, we emphasize on the methods of microbiota depletion, FMT and IgA-coating bacteria measurement instead of data analysis. We have provided a material table and </w:t>
      </w:r>
      <w:r w:rsidR="00F374A6" w:rsidRPr="00BB3F87">
        <w:rPr>
          <w:rFonts w:ascii="Times New Roman" w:hAnsi="Times New Roman" w:cs="Times New Roman"/>
          <w:color w:val="0070C0"/>
          <w:szCs w:val="21"/>
          <w:lang w:bidi="en-US"/>
        </w:rPr>
        <w:t xml:space="preserve">original </w:t>
      </w:r>
      <w:r w:rsidRPr="00BB3F87">
        <w:rPr>
          <w:rFonts w:ascii="Times New Roman" w:hAnsi="Times New Roman" w:cs="Times New Roman"/>
          <w:color w:val="0070C0"/>
          <w:szCs w:val="21"/>
          <w:lang w:bidi="en-US"/>
        </w:rPr>
        <w:t>sequencing table</w:t>
      </w:r>
      <w:r w:rsidR="00F374A6" w:rsidRPr="00BB3F87">
        <w:rPr>
          <w:rFonts w:ascii="Times New Roman" w:hAnsi="Times New Roman" w:cs="Times New Roman"/>
          <w:color w:val="0070C0"/>
          <w:szCs w:val="21"/>
          <w:lang w:bidi="en-US"/>
        </w:rPr>
        <w:t xml:space="preserve"> for microbiota depletion method</w:t>
      </w:r>
      <w:r w:rsidRPr="00BB3F87">
        <w:rPr>
          <w:rFonts w:ascii="Times New Roman" w:hAnsi="Times New Roman" w:cs="Times New Roman"/>
          <w:color w:val="0070C0"/>
          <w:szCs w:val="21"/>
          <w:lang w:bidi="en-US"/>
        </w:rPr>
        <w:t xml:space="preserve">. For FMT data, we include the sequencing and data analysis details in another article we </w:t>
      </w:r>
      <w:r w:rsidR="007A0128" w:rsidRPr="00BB3F87">
        <w:rPr>
          <w:rFonts w:ascii="Times New Roman" w:hAnsi="Times New Roman" w:cs="Times New Roman"/>
          <w:color w:val="0070C0"/>
          <w:szCs w:val="21"/>
          <w:lang w:bidi="en-US"/>
        </w:rPr>
        <w:t>will submit to a journal soon</w:t>
      </w:r>
      <w:r w:rsidRPr="00BB3F87">
        <w:rPr>
          <w:rFonts w:ascii="Times New Roman" w:hAnsi="Times New Roman" w:cs="Times New Roman"/>
          <w:color w:val="0070C0"/>
          <w:szCs w:val="21"/>
          <w:lang w:bidi="en-US"/>
        </w:rPr>
        <w:t xml:space="preserve">. </w:t>
      </w:r>
      <w:r w:rsidR="001A448B">
        <w:rPr>
          <w:rFonts w:ascii="Times New Roman" w:hAnsi="Times New Roman" w:cs="Times New Roman"/>
          <w:color w:val="0070C0"/>
          <w:szCs w:val="21"/>
          <w:lang w:bidi="en-US"/>
        </w:rPr>
        <w:t>Therefore</w:t>
      </w:r>
      <w:r w:rsidR="00F374A6" w:rsidRPr="00BB3F87">
        <w:rPr>
          <w:rFonts w:ascii="Times New Roman" w:hAnsi="Times New Roman" w:cs="Times New Roman"/>
          <w:color w:val="0070C0"/>
          <w:szCs w:val="21"/>
          <w:lang w:bidi="en-US"/>
        </w:rPr>
        <w:t xml:space="preserve">, we </w:t>
      </w:r>
      <w:r w:rsidR="001A448B">
        <w:rPr>
          <w:rFonts w:ascii="Times New Roman" w:hAnsi="Times New Roman" w:cs="Times New Roman"/>
          <w:color w:val="0070C0"/>
          <w:szCs w:val="21"/>
          <w:lang w:bidi="en-US"/>
        </w:rPr>
        <w:t>only</w:t>
      </w:r>
      <w:r w:rsidR="00F374A6" w:rsidRPr="00BB3F87">
        <w:rPr>
          <w:rFonts w:ascii="Times New Roman" w:hAnsi="Times New Roman" w:cs="Times New Roman"/>
          <w:color w:val="0070C0"/>
          <w:szCs w:val="21"/>
          <w:lang w:bidi="en-US"/>
        </w:rPr>
        <w:t xml:space="preserve"> show the representative graphs as Figure 4</w:t>
      </w:r>
      <w:r w:rsidR="001A448B">
        <w:rPr>
          <w:rFonts w:ascii="Times New Roman" w:hAnsi="Times New Roman" w:cs="Times New Roman"/>
          <w:color w:val="0070C0"/>
          <w:szCs w:val="21"/>
          <w:lang w:bidi="en-US"/>
        </w:rPr>
        <w:t xml:space="preserve"> in this article</w:t>
      </w:r>
      <w:r w:rsidR="00F374A6" w:rsidRPr="00BB3F87">
        <w:rPr>
          <w:rFonts w:ascii="Times New Roman" w:hAnsi="Times New Roman" w:cs="Times New Roman"/>
          <w:color w:val="0070C0"/>
          <w:szCs w:val="21"/>
          <w:lang w:bidi="en-US"/>
        </w:rPr>
        <w:t>.</w:t>
      </w:r>
    </w:p>
    <w:p w:rsidR="00704457" w:rsidRPr="00F374A6" w:rsidRDefault="00704457" w:rsidP="00CC3AA0">
      <w:pPr>
        <w:rPr>
          <w:color w:val="0070C0"/>
        </w:rPr>
      </w:pPr>
    </w:p>
    <w:p w:rsidR="00CC3AA0" w:rsidRDefault="00CC3AA0" w:rsidP="00CC3AA0">
      <w:r>
        <w:t>6. Did the authors take care to avoid oxygen exposure during inocula preparations ? Did the authors eliminated the antibiotics from the gastrointestinal tract before performing the FMT ? If not, what was the time period between the last antibiotics administration and the first inoculum administration ? These points can be critical to ensure the success of the FMT.</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760E4B" w:rsidRPr="00BB3F87">
        <w:rPr>
          <w:rFonts w:ascii="Times New Roman" w:hAnsi="Times New Roman" w:cs="Times New Roman"/>
          <w:color w:val="0070C0"/>
          <w:szCs w:val="21"/>
          <w:lang w:bidi="en-US"/>
        </w:rPr>
        <w:t xml:space="preserve">The points the reviewer brings up are very critical to the success of the FMT. In fact, </w:t>
      </w:r>
      <w:r w:rsidR="009469F4" w:rsidRPr="00BB3F87">
        <w:rPr>
          <w:rFonts w:ascii="Times New Roman" w:hAnsi="Times New Roman" w:cs="Times New Roman"/>
          <w:color w:val="0070C0"/>
          <w:szCs w:val="21"/>
          <w:lang w:bidi="en-US"/>
        </w:rPr>
        <w:t xml:space="preserve">In order </w:t>
      </w:r>
      <w:r w:rsidR="00760E4B" w:rsidRPr="00BB3F87">
        <w:rPr>
          <w:rFonts w:ascii="Times New Roman" w:hAnsi="Times New Roman" w:cs="Times New Roman"/>
          <w:color w:val="0070C0"/>
          <w:szCs w:val="21"/>
          <w:lang w:bidi="en-US"/>
        </w:rPr>
        <w:t>to reduce the oxygen exposure time</w:t>
      </w:r>
      <w:r w:rsidR="009469F4" w:rsidRPr="00BB3F87">
        <w:rPr>
          <w:rFonts w:ascii="Times New Roman" w:hAnsi="Times New Roman" w:cs="Times New Roman"/>
          <w:color w:val="0070C0"/>
          <w:szCs w:val="21"/>
          <w:lang w:bidi="en-US"/>
        </w:rPr>
        <w:t>, we</w:t>
      </w:r>
      <w:r w:rsidR="00846088" w:rsidRPr="00BB3F87">
        <w:rPr>
          <w:rFonts w:ascii="Times New Roman" w:hAnsi="Times New Roman" w:cs="Times New Roman"/>
          <w:color w:val="0070C0"/>
          <w:szCs w:val="21"/>
          <w:lang w:bidi="en-US"/>
        </w:rPr>
        <w:t xml:space="preserve"> perform the </w:t>
      </w:r>
      <w:r w:rsidR="009469F4" w:rsidRPr="00BB3F87">
        <w:rPr>
          <w:rFonts w:ascii="Times New Roman" w:hAnsi="Times New Roman" w:cs="Times New Roman"/>
          <w:color w:val="0070C0"/>
          <w:szCs w:val="21"/>
          <w:lang w:bidi="en-US"/>
        </w:rPr>
        <w:t xml:space="preserve">gut contents </w:t>
      </w:r>
      <w:r w:rsidR="00846088" w:rsidRPr="00BB3F87">
        <w:rPr>
          <w:rFonts w:ascii="Times New Roman" w:hAnsi="Times New Roman" w:cs="Times New Roman"/>
          <w:color w:val="0070C0"/>
          <w:szCs w:val="21"/>
          <w:lang w:bidi="en-US"/>
        </w:rPr>
        <w:t>collection and weight</w:t>
      </w:r>
      <w:r w:rsidR="009469F4" w:rsidRPr="00BB3F87">
        <w:rPr>
          <w:rFonts w:ascii="Times New Roman" w:hAnsi="Times New Roman" w:cs="Times New Roman"/>
          <w:color w:val="0070C0"/>
          <w:szCs w:val="21"/>
          <w:lang w:bidi="en-US"/>
        </w:rPr>
        <w:t>ing</w:t>
      </w:r>
      <w:r w:rsidR="00846088" w:rsidRPr="00BB3F87">
        <w:rPr>
          <w:rFonts w:ascii="Times New Roman" w:hAnsi="Times New Roman" w:cs="Times New Roman"/>
          <w:color w:val="0070C0"/>
          <w:szCs w:val="21"/>
          <w:lang w:bidi="en-US"/>
        </w:rPr>
        <w:t xml:space="preserve"> </w:t>
      </w:r>
      <w:r w:rsidR="009469F4" w:rsidRPr="00BB3F87">
        <w:rPr>
          <w:rFonts w:ascii="Times New Roman" w:hAnsi="Times New Roman" w:cs="Times New Roman"/>
          <w:color w:val="0070C0"/>
          <w:szCs w:val="21"/>
          <w:lang w:bidi="en-US"/>
        </w:rPr>
        <w:t xml:space="preserve">steps </w:t>
      </w:r>
      <w:r w:rsidR="00846088" w:rsidRPr="00BB3F87">
        <w:rPr>
          <w:rFonts w:ascii="Times New Roman" w:hAnsi="Times New Roman" w:cs="Times New Roman"/>
          <w:color w:val="0070C0"/>
          <w:szCs w:val="21"/>
          <w:lang w:bidi="en-US"/>
        </w:rPr>
        <w:t xml:space="preserve">as fast as possible </w:t>
      </w:r>
      <w:r w:rsidR="00846088" w:rsidRPr="00BB3F87">
        <w:rPr>
          <w:rFonts w:ascii="Times New Roman" w:hAnsi="Times New Roman" w:cs="Times New Roman" w:hint="eastAsia"/>
          <w:color w:val="0070C0"/>
          <w:szCs w:val="21"/>
          <w:lang w:bidi="en-US"/>
        </w:rPr>
        <w:t>(</w:t>
      </w:r>
      <w:r w:rsidR="009469F4" w:rsidRPr="00BB3F87">
        <w:rPr>
          <w:rFonts w:ascii="Times New Roman" w:hAnsi="Times New Roman" w:cs="Times New Roman"/>
          <w:color w:val="0070C0"/>
          <w:szCs w:val="21"/>
          <w:lang w:bidi="en-US"/>
        </w:rPr>
        <w:t>within 2-3</w:t>
      </w:r>
      <w:r w:rsidR="00846088" w:rsidRPr="00BB3F87">
        <w:rPr>
          <w:rFonts w:ascii="Times New Roman" w:hAnsi="Times New Roman" w:cs="Times New Roman"/>
          <w:color w:val="0070C0"/>
          <w:szCs w:val="21"/>
          <w:lang w:bidi="en-US"/>
        </w:rPr>
        <w:t xml:space="preserve"> min</w:t>
      </w:r>
      <w:r w:rsidR="00846088" w:rsidRPr="00BB3F87">
        <w:rPr>
          <w:rFonts w:ascii="Times New Roman" w:hAnsi="Times New Roman" w:cs="Times New Roman" w:hint="eastAsia"/>
          <w:color w:val="0070C0"/>
          <w:szCs w:val="21"/>
          <w:lang w:bidi="en-US"/>
        </w:rPr>
        <w:t>)</w:t>
      </w:r>
      <w:r w:rsidR="00846088" w:rsidRPr="00BB3F87">
        <w:rPr>
          <w:rFonts w:ascii="Times New Roman" w:hAnsi="Times New Roman" w:cs="Times New Roman"/>
          <w:color w:val="0070C0"/>
          <w:szCs w:val="21"/>
          <w:lang w:bidi="en-US"/>
        </w:rPr>
        <w:t>.</w:t>
      </w:r>
      <w:r w:rsidR="00760E4B" w:rsidRPr="00BB3F87">
        <w:rPr>
          <w:rFonts w:ascii="Times New Roman" w:hAnsi="Times New Roman" w:cs="Times New Roman"/>
          <w:color w:val="0070C0"/>
          <w:szCs w:val="21"/>
          <w:lang w:bidi="en-US"/>
        </w:rPr>
        <w:t xml:space="preserve"> </w:t>
      </w:r>
      <w:r w:rsidR="00630EAF" w:rsidRPr="00BB3F87">
        <w:rPr>
          <w:rFonts w:ascii="Times New Roman" w:hAnsi="Times New Roman" w:cs="Times New Roman"/>
          <w:color w:val="0070C0"/>
          <w:szCs w:val="21"/>
          <w:lang w:bidi="en-US"/>
        </w:rPr>
        <w:t xml:space="preserve">We did not eliminate the antibiotics before performing FMT. We perform FMT 24 h after the last antibiotics administration. </w:t>
      </w:r>
    </w:p>
    <w:p w:rsidR="00CC3AA0" w:rsidRPr="00760E4B" w:rsidRDefault="00CC3AA0" w:rsidP="00CC3AA0"/>
    <w:p w:rsidR="00CC3AA0" w:rsidRDefault="00CC3AA0" w:rsidP="00CC3AA0">
      <w:r>
        <w:t>7. The efficacy of the microbiota depletion is not demonstrated. For that the authors should perform quantitative qPCR on total bacteria and/or bacterial cultivation.</w:t>
      </w:r>
    </w:p>
    <w:p w:rsidR="00D30E55" w:rsidRPr="00BB3F87" w:rsidRDefault="00AD4432" w:rsidP="00D30E55">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D30E55" w:rsidRPr="00BB3F87">
        <w:rPr>
          <w:rFonts w:ascii="Times New Roman" w:hAnsi="Times New Roman" w:cs="Times New Roman"/>
          <w:color w:val="0070C0"/>
          <w:szCs w:val="21"/>
          <w:lang w:bidi="en-US"/>
        </w:rPr>
        <w:t xml:space="preserve">As suggested by the reviewer, we used RT-PCR to test the efficacy of bacteria depletion. The copy numbers in 1 mg </w:t>
      </w:r>
      <w:r w:rsidR="00E9509C" w:rsidRPr="00BB3F87">
        <w:rPr>
          <w:rFonts w:ascii="Times New Roman" w:hAnsi="Times New Roman" w:cs="Times New Roman"/>
          <w:color w:val="0070C0"/>
          <w:szCs w:val="21"/>
          <w:lang w:bidi="en-US"/>
        </w:rPr>
        <w:t xml:space="preserve">of </w:t>
      </w:r>
      <w:r w:rsidR="00D30E55" w:rsidRPr="00BB3F87">
        <w:rPr>
          <w:rFonts w:ascii="Times New Roman" w:hAnsi="Times New Roman" w:cs="Times New Roman"/>
          <w:color w:val="0070C0"/>
          <w:szCs w:val="21"/>
          <w:lang w:bidi="en-US"/>
        </w:rPr>
        <w:t>gut contents is significantly reduced in the cecum and ileum in mice receiving antibiotics cocktail. The depletion efficacy is over 99%</w:t>
      </w:r>
      <w:r w:rsidR="00E9509C" w:rsidRPr="00BB3F87">
        <w:rPr>
          <w:rFonts w:ascii="Times New Roman" w:hAnsi="Times New Roman" w:cs="Times New Roman"/>
          <w:color w:val="0070C0"/>
          <w:szCs w:val="21"/>
          <w:lang w:bidi="en-US"/>
        </w:rPr>
        <w:t xml:space="preserve"> based on the copy numbers</w:t>
      </w:r>
      <w:r w:rsidR="00D30E55" w:rsidRPr="00BB3F87">
        <w:rPr>
          <w:rFonts w:ascii="Times New Roman" w:hAnsi="Times New Roman" w:cs="Times New Roman"/>
          <w:color w:val="0070C0"/>
          <w:szCs w:val="21"/>
          <w:lang w:bidi="en-US"/>
        </w:rPr>
        <w:t xml:space="preserve">. Data </w:t>
      </w:r>
      <w:r w:rsidR="00E9509C" w:rsidRPr="00BB3F87">
        <w:rPr>
          <w:rFonts w:ascii="Times New Roman" w:hAnsi="Times New Roman" w:cs="Times New Roman"/>
          <w:color w:val="0070C0"/>
          <w:szCs w:val="21"/>
          <w:lang w:bidi="en-US"/>
        </w:rPr>
        <w:t xml:space="preserve">are shown </w:t>
      </w:r>
      <w:r w:rsidR="00D30E55" w:rsidRPr="00BB3F87">
        <w:rPr>
          <w:rFonts w:ascii="Times New Roman" w:hAnsi="Times New Roman" w:cs="Times New Roman"/>
          <w:color w:val="0070C0"/>
          <w:szCs w:val="21"/>
          <w:lang w:bidi="en-US"/>
        </w:rPr>
        <w:t>in Fig 2</w:t>
      </w:r>
      <w:r w:rsidR="007A0128" w:rsidRPr="00BB3F87">
        <w:rPr>
          <w:rFonts w:ascii="Times New Roman" w:hAnsi="Times New Roman" w:cs="Times New Roman"/>
          <w:color w:val="0070C0"/>
          <w:szCs w:val="21"/>
          <w:lang w:bidi="en-US"/>
        </w:rPr>
        <w:t>C</w:t>
      </w:r>
      <w:r w:rsidR="00D30E55" w:rsidRPr="00BB3F87">
        <w:rPr>
          <w:rFonts w:ascii="Times New Roman" w:hAnsi="Times New Roman" w:cs="Times New Roman"/>
          <w:color w:val="0070C0"/>
          <w:szCs w:val="21"/>
          <w:lang w:bidi="en-US"/>
        </w:rPr>
        <w:t>.</w:t>
      </w:r>
    </w:p>
    <w:p w:rsidR="00CC3AA0" w:rsidRPr="00BB3F87" w:rsidRDefault="00CC3AA0" w:rsidP="00CC3AA0">
      <w:pPr>
        <w:rPr>
          <w:rFonts w:ascii="Times New Roman" w:hAnsi="Times New Roman" w:cs="Times New Roman"/>
          <w:color w:val="0070C0"/>
          <w:szCs w:val="21"/>
          <w:lang w:bidi="en-US"/>
        </w:rPr>
      </w:pPr>
    </w:p>
    <w:p w:rsidR="00CC3AA0" w:rsidRDefault="00CC3AA0" w:rsidP="00CC3AA0">
      <w:r>
        <w:t>8. I fail to understand what results are presented in figure 3A. Are the results the fecal microbiota of the recipient mice ? the ileal microbiota of recipient mice ? Are these the results of recipient mice colonized with the ileal or the colonic content of donor mice ? The inocula composition?</w:t>
      </w:r>
    </w:p>
    <w:p w:rsidR="00AD4432" w:rsidRPr="00AD4432" w:rsidRDefault="00AD4432" w:rsidP="00AD4432">
      <w:pPr>
        <w:rPr>
          <w:color w:val="0070C0"/>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1767C8" w:rsidRPr="00BB3F87">
        <w:rPr>
          <w:rFonts w:ascii="Times New Roman" w:hAnsi="Times New Roman" w:cs="Times New Roman"/>
          <w:color w:val="0070C0"/>
          <w:szCs w:val="21"/>
          <w:lang w:bidi="en-US"/>
        </w:rPr>
        <w:t xml:space="preserve">We are sorry for the unclear information for figure 3. We have </w:t>
      </w:r>
      <w:r w:rsidR="00A424A0" w:rsidRPr="00BB3F87">
        <w:rPr>
          <w:rFonts w:ascii="Times New Roman" w:hAnsi="Times New Roman" w:cs="Times New Roman"/>
          <w:color w:val="0070C0"/>
          <w:szCs w:val="21"/>
          <w:lang w:bidi="en-US"/>
        </w:rPr>
        <w:t>modified</w:t>
      </w:r>
      <w:r w:rsidR="001767C8" w:rsidRPr="00BB3F87">
        <w:rPr>
          <w:rFonts w:ascii="Times New Roman" w:hAnsi="Times New Roman" w:cs="Times New Roman"/>
          <w:color w:val="0070C0"/>
          <w:szCs w:val="21"/>
          <w:lang w:bidi="en-US"/>
        </w:rPr>
        <w:t xml:space="preserve"> the figure legends for Fig 3.</w:t>
      </w:r>
      <w:r w:rsidR="001767C8">
        <w:rPr>
          <w:color w:val="0070C0"/>
        </w:rPr>
        <w:t xml:space="preserve"> </w:t>
      </w:r>
    </w:p>
    <w:p w:rsidR="00CC3AA0" w:rsidRDefault="00CC3AA0" w:rsidP="00CC3AA0"/>
    <w:p w:rsidR="00CC3AA0" w:rsidRDefault="00CC3AA0" w:rsidP="00CC3AA0">
      <w:r>
        <w:t>9. The connection between the FMT protocol and the IgA coated bacteria detection protocol is not clear.</w:t>
      </w:r>
      <w:r w:rsidR="005B384F">
        <w:t xml:space="preserve"> </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DC6318" w:rsidRPr="00BB3F87">
        <w:rPr>
          <w:rFonts w:ascii="Times New Roman" w:hAnsi="Times New Roman" w:cs="Times New Roman"/>
          <w:color w:val="0070C0"/>
          <w:szCs w:val="21"/>
          <w:lang w:bidi="en-US"/>
        </w:rPr>
        <w:t xml:space="preserve">The microbiota shapes host immunity, the immune system shapes the gut microbiota as well through the secretion of IgA and antimicrobial peptides. It would be interesting to detect IgA-coating bacteria before and after FMT. However, since we always focus on IgA-coated bacteria alteration in the mice without FMT, </w:t>
      </w:r>
      <w:r w:rsidR="001A448B">
        <w:rPr>
          <w:rFonts w:ascii="Times New Roman" w:hAnsi="Times New Roman" w:cs="Times New Roman"/>
          <w:color w:val="0070C0"/>
          <w:szCs w:val="21"/>
          <w:lang w:bidi="en-US"/>
        </w:rPr>
        <w:t xml:space="preserve">in this study, </w:t>
      </w:r>
      <w:r w:rsidR="00DC6318" w:rsidRPr="00BB3F87">
        <w:rPr>
          <w:rFonts w:ascii="Times New Roman" w:hAnsi="Times New Roman" w:cs="Times New Roman"/>
          <w:color w:val="0070C0"/>
          <w:szCs w:val="21"/>
          <w:lang w:bidi="en-US"/>
        </w:rPr>
        <w:t>w</w:t>
      </w:r>
      <w:r w:rsidR="001767C8" w:rsidRPr="00BB3F87">
        <w:rPr>
          <w:rFonts w:ascii="Times New Roman" w:hAnsi="Times New Roman" w:cs="Times New Roman"/>
          <w:color w:val="0070C0"/>
          <w:szCs w:val="21"/>
          <w:lang w:bidi="en-US"/>
        </w:rPr>
        <w:t xml:space="preserve">e present FMT </w:t>
      </w:r>
      <w:r w:rsidR="0053084D" w:rsidRPr="00BB3F87">
        <w:rPr>
          <w:rFonts w:ascii="Times New Roman" w:hAnsi="Times New Roman" w:cs="Times New Roman"/>
          <w:color w:val="0070C0"/>
          <w:szCs w:val="21"/>
          <w:lang w:bidi="en-US"/>
        </w:rPr>
        <w:t xml:space="preserve">protocol </w:t>
      </w:r>
      <w:r w:rsidR="001767C8" w:rsidRPr="00BB3F87">
        <w:rPr>
          <w:rFonts w:ascii="Times New Roman" w:hAnsi="Times New Roman" w:cs="Times New Roman"/>
          <w:color w:val="0070C0"/>
          <w:szCs w:val="21"/>
          <w:lang w:bidi="en-US"/>
        </w:rPr>
        <w:t xml:space="preserve">and IgA-coating bacteria </w:t>
      </w:r>
      <w:r w:rsidR="0053084D" w:rsidRPr="00BB3F87">
        <w:rPr>
          <w:rFonts w:ascii="Times New Roman" w:hAnsi="Times New Roman" w:cs="Times New Roman"/>
          <w:color w:val="0070C0"/>
          <w:szCs w:val="21"/>
          <w:lang w:bidi="en-US"/>
        </w:rPr>
        <w:t xml:space="preserve">detection </w:t>
      </w:r>
      <w:r w:rsidR="002B7B93" w:rsidRPr="00BB3F87">
        <w:rPr>
          <w:rFonts w:ascii="Times New Roman" w:hAnsi="Times New Roman" w:cs="Times New Roman"/>
          <w:color w:val="0070C0"/>
          <w:szCs w:val="21"/>
          <w:lang w:bidi="en-US"/>
        </w:rPr>
        <w:t xml:space="preserve">method </w:t>
      </w:r>
      <w:r w:rsidR="00DC6318" w:rsidRPr="00BB3F87">
        <w:rPr>
          <w:rFonts w:ascii="Times New Roman" w:hAnsi="Times New Roman" w:cs="Times New Roman"/>
          <w:color w:val="0070C0"/>
          <w:szCs w:val="21"/>
          <w:lang w:bidi="en-US"/>
        </w:rPr>
        <w:t xml:space="preserve">separately </w:t>
      </w:r>
      <w:r w:rsidR="001767C8" w:rsidRPr="00BB3F87">
        <w:rPr>
          <w:rFonts w:ascii="Times New Roman" w:hAnsi="Times New Roman" w:cs="Times New Roman"/>
          <w:color w:val="0070C0"/>
          <w:szCs w:val="21"/>
          <w:lang w:bidi="en-US"/>
        </w:rPr>
        <w:t>in the manuscript</w:t>
      </w:r>
      <w:r w:rsidR="0053084D" w:rsidRPr="00BB3F87">
        <w:rPr>
          <w:rFonts w:ascii="Times New Roman" w:hAnsi="Times New Roman" w:cs="Times New Roman"/>
          <w:color w:val="0070C0"/>
          <w:szCs w:val="21"/>
          <w:lang w:bidi="en-US"/>
        </w:rPr>
        <w:t>.</w:t>
      </w:r>
      <w:r w:rsidR="001A448B">
        <w:rPr>
          <w:rFonts w:ascii="Times New Roman" w:hAnsi="Times New Roman" w:cs="Times New Roman"/>
          <w:color w:val="0070C0"/>
          <w:szCs w:val="21"/>
          <w:lang w:bidi="en-US"/>
        </w:rPr>
        <w:t xml:space="preserve"> </w:t>
      </w:r>
    </w:p>
    <w:p w:rsidR="00CC3AA0" w:rsidRDefault="00CC3AA0" w:rsidP="00CC3AA0"/>
    <w:p w:rsidR="00CC3AA0" w:rsidRDefault="00CC3AA0" w:rsidP="00CC3AA0">
      <w:r>
        <w:t>Minor Concerns:</w:t>
      </w:r>
    </w:p>
    <w:p w:rsidR="00CC3AA0" w:rsidRDefault="00CC3AA0" w:rsidP="00AD4432">
      <w:pPr>
        <w:pStyle w:val="a7"/>
        <w:numPr>
          <w:ilvl w:val="0"/>
          <w:numId w:val="2"/>
        </w:numPr>
        <w:ind w:firstLineChars="0"/>
      </w:pPr>
      <w:r>
        <w:lastRenderedPageBreak/>
        <w:t>Please indicate the supplier and the reference number of the products in the table of materials.</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414158" w:rsidRPr="00BB3F87">
        <w:rPr>
          <w:rFonts w:ascii="Times New Roman" w:hAnsi="Times New Roman" w:cs="Times New Roman"/>
          <w:color w:val="0070C0"/>
          <w:szCs w:val="21"/>
          <w:lang w:bidi="en-US"/>
        </w:rPr>
        <w:t>We have provided a Table of Materials with the supplier and reference number of the products.</w:t>
      </w:r>
    </w:p>
    <w:p w:rsidR="00AD4432" w:rsidRDefault="00AD4432" w:rsidP="00AD4432"/>
    <w:p w:rsidR="00CC3AA0" w:rsidRDefault="00CC3AA0" w:rsidP="00AD4432">
      <w:pPr>
        <w:pStyle w:val="a7"/>
        <w:numPr>
          <w:ilvl w:val="0"/>
          <w:numId w:val="2"/>
        </w:numPr>
        <w:ind w:firstLineChars="0"/>
      </w:pPr>
      <w:r>
        <w:t>It is indicated that the mice were sacrificed « humanely » but has the experiment been approved by an ethics committee and performed in accordance with the country laws ?</w:t>
      </w:r>
    </w:p>
    <w:p w:rsidR="00AD4432"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414158" w:rsidRPr="00BB3F87">
        <w:rPr>
          <w:rFonts w:ascii="Times New Roman" w:hAnsi="Times New Roman" w:cs="Times New Roman"/>
          <w:color w:val="0070C0"/>
          <w:szCs w:val="21"/>
          <w:lang w:bidi="en-US"/>
        </w:rPr>
        <w:t xml:space="preserve">Yes, we have an approval of Animal Ethical and Welfare in </w:t>
      </w:r>
      <w:r w:rsidR="00A80555" w:rsidRPr="00BB3F87">
        <w:rPr>
          <w:rFonts w:ascii="Times New Roman" w:hAnsi="Times New Roman" w:cs="Times New Roman"/>
          <w:color w:val="0070C0"/>
          <w:szCs w:val="21"/>
          <w:lang w:bidi="en-US"/>
        </w:rPr>
        <w:t xml:space="preserve">West China Hospital, Chengdu, </w:t>
      </w:r>
      <w:r w:rsidR="00414158" w:rsidRPr="00BB3F87">
        <w:rPr>
          <w:rFonts w:ascii="Times New Roman" w:hAnsi="Times New Roman" w:cs="Times New Roman"/>
          <w:color w:val="0070C0"/>
          <w:szCs w:val="21"/>
          <w:lang w:bidi="en-US"/>
        </w:rPr>
        <w:t>China (</w:t>
      </w:r>
      <w:r w:rsidR="00A80555" w:rsidRPr="00BB3F87">
        <w:rPr>
          <w:rFonts w:ascii="Times New Roman" w:hAnsi="Times New Roman" w:cs="Times New Roman"/>
          <w:color w:val="0070C0"/>
          <w:szCs w:val="21"/>
          <w:lang w:bidi="en-US"/>
        </w:rPr>
        <w:t>Approval No</w:t>
      </w:r>
      <w:r w:rsidR="00414158" w:rsidRPr="00BB3F87">
        <w:rPr>
          <w:rFonts w:ascii="Times New Roman" w:hAnsi="Times New Roman" w:cs="Times New Roman"/>
          <w:color w:val="0070C0"/>
          <w:szCs w:val="21"/>
          <w:lang w:bidi="en-US"/>
        </w:rPr>
        <w:t xml:space="preserve">: </w:t>
      </w:r>
      <w:r w:rsidR="00A80555" w:rsidRPr="00BB3F87">
        <w:rPr>
          <w:rFonts w:ascii="Times New Roman" w:hAnsi="Times New Roman" w:cs="Times New Roman"/>
          <w:color w:val="0070C0"/>
          <w:szCs w:val="21"/>
          <w:lang w:bidi="en-US"/>
        </w:rPr>
        <w:t>2019248A</w:t>
      </w:r>
      <w:r w:rsidR="00414158" w:rsidRPr="00BB3F87">
        <w:rPr>
          <w:rFonts w:ascii="Times New Roman" w:hAnsi="Times New Roman" w:cs="Times New Roman"/>
          <w:color w:val="0070C0"/>
          <w:szCs w:val="21"/>
          <w:lang w:bidi="en-US"/>
        </w:rPr>
        <w:t xml:space="preserve">). </w:t>
      </w:r>
    </w:p>
    <w:p w:rsidR="00BB3F87" w:rsidRPr="00BB3F87" w:rsidRDefault="00BB3F87" w:rsidP="00AD4432">
      <w:pPr>
        <w:rPr>
          <w:rFonts w:ascii="Times New Roman" w:hAnsi="Times New Roman" w:cs="Times New Roman"/>
          <w:color w:val="0070C0"/>
          <w:szCs w:val="21"/>
          <w:lang w:bidi="en-US"/>
        </w:rPr>
      </w:pPr>
    </w:p>
    <w:p w:rsidR="00CC3AA0" w:rsidRDefault="00CC3AA0" w:rsidP="00AD4432">
      <w:pPr>
        <w:pStyle w:val="a7"/>
        <w:numPr>
          <w:ilvl w:val="0"/>
          <w:numId w:val="2"/>
        </w:numPr>
        <w:ind w:firstLineChars="0"/>
      </w:pPr>
      <w:r>
        <w:t>Line 46 : document, present, detail… seems better word choice than « demonstrate ».</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80199D" w:rsidRPr="00BB3F87">
        <w:rPr>
          <w:rFonts w:ascii="Times New Roman" w:hAnsi="Times New Roman" w:cs="Times New Roman"/>
          <w:color w:val="0070C0"/>
          <w:szCs w:val="21"/>
          <w:lang w:bidi="en-US"/>
        </w:rPr>
        <w:t>We have changed to “demonstrate” in the manuscript.</w:t>
      </w:r>
    </w:p>
    <w:p w:rsidR="00AD4432" w:rsidRPr="00BB3F87" w:rsidRDefault="00AD4432" w:rsidP="00AD4432">
      <w:pPr>
        <w:rPr>
          <w:rFonts w:ascii="Times New Roman" w:hAnsi="Times New Roman" w:cs="Times New Roman"/>
          <w:color w:val="0070C0"/>
          <w:szCs w:val="21"/>
          <w:lang w:bidi="en-US"/>
        </w:rPr>
      </w:pPr>
    </w:p>
    <w:p w:rsidR="00CC3AA0" w:rsidRDefault="00CC3AA0" w:rsidP="00AD4432">
      <w:pPr>
        <w:pStyle w:val="a7"/>
        <w:numPr>
          <w:ilvl w:val="0"/>
          <w:numId w:val="2"/>
        </w:numPr>
        <w:ind w:firstLineChars="0"/>
      </w:pPr>
      <w:r w:rsidRPr="00074806">
        <w:t>Lines 54-55 :</w:t>
      </w:r>
      <w:r>
        <w:t xml:space="preserve"> metabolic diseases are also largely affected by the composition of the microbiota, I suggest to the authors to add this point and one relevant reference.</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043395" w:rsidRPr="00BB3F87">
        <w:rPr>
          <w:rFonts w:ascii="Times New Roman" w:hAnsi="Times New Roman" w:cs="Times New Roman"/>
          <w:color w:val="0070C0"/>
          <w:szCs w:val="21"/>
          <w:lang w:bidi="en-US"/>
        </w:rPr>
        <w:t>Thanks for the reviewer’s suggestion. We have add</w:t>
      </w:r>
      <w:r w:rsidR="00074806" w:rsidRPr="00BB3F87">
        <w:rPr>
          <w:rFonts w:ascii="Times New Roman" w:hAnsi="Times New Roman" w:cs="Times New Roman"/>
          <w:color w:val="0070C0"/>
          <w:szCs w:val="21"/>
          <w:lang w:bidi="en-US"/>
        </w:rPr>
        <w:t>ed</w:t>
      </w:r>
      <w:r w:rsidR="00043395" w:rsidRPr="00BB3F87">
        <w:rPr>
          <w:rFonts w:ascii="Times New Roman" w:hAnsi="Times New Roman" w:cs="Times New Roman"/>
          <w:color w:val="0070C0"/>
          <w:szCs w:val="21"/>
          <w:lang w:bidi="en-US"/>
        </w:rPr>
        <w:t xml:space="preserve"> 2 references in the introduction section. </w:t>
      </w:r>
    </w:p>
    <w:p w:rsidR="00AD4432" w:rsidRPr="00BB3F87" w:rsidRDefault="00AD4432" w:rsidP="00AD4432">
      <w:pPr>
        <w:rPr>
          <w:rFonts w:ascii="Times New Roman" w:hAnsi="Times New Roman" w:cs="Times New Roman"/>
          <w:color w:val="0070C0"/>
          <w:szCs w:val="21"/>
          <w:lang w:bidi="en-US"/>
        </w:rPr>
      </w:pPr>
    </w:p>
    <w:p w:rsidR="00CC3AA0" w:rsidRDefault="00CC3AA0" w:rsidP="00AD4432">
      <w:pPr>
        <w:pStyle w:val="a7"/>
        <w:numPr>
          <w:ilvl w:val="0"/>
          <w:numId w:val="2"/>
        </w:numPr>
        <w:ind w:firstLineChars="0"/>
      </w:pPr>
      <w:r>
        <w:t xml:space="preserve">Lines 59-60: the reference 7 refers to the pulmonary mucosa, I suggest to the authors to </w:t>
      </w:r>
      <w:r w:rsidRPr="006E53C6">
        <w:t>replace it by a reference</w:t>
      </w:r>
      <w:r>
        <w:t xml:space="preserve"> documenting the intestinal mucosa properties of germ-free mice, for example (Johansson et al., 2015; Reikvam et al., 2011; Smith et al., 2007).</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043395" w:rsidRPr="00BB3F87">
        <w:rPr>
          <w:rFonts w:ascii="Times New Roman" w:hAnsi="Times New Roman" w:cs="Times New Roman"/>
          <w:color w:val="0070C0"/>
          <w:szCs w:val="21"/>
          <w:lang w:bidi="en-US"/>
        </w:rPr>
        <w:t xml:space="preserve">Thanks for the reviewer’s </w:t>
      </w:r>
      <w:r w:rsidR="000E2D47" w:rsidRPr="00BB3F87">
        <w:rPr>
          <w:rFonts w:ascii="Times New Roman" w:hAnsi="Times New Roman" w:cs="Times New Roman"/>
          <w:color w:val="0070C0"/>
          <w:szCs w:val="21"/>
          <w:lang w:bidi="en-US"/>
        </w:rPr>
        <w:t>comment</w:t>
      </w:r>
      <w:r w:rsidR="00043395" w:rsidRPr="00BB3F87">
        <w:rPr>
          <w:rFonts w:ascii="Times New Roman" w:hAnsi="Times New Roman" w:cs="Times New Roman"/>
          <w:color w:val="0070C0"/>
          <w:szCs w:val="21"/>
          <w:lang w:bidi="en-US"/>
        </w:rPr>
        <w:t xml:space="preserve">. We have </w:t>
      </w:r>
      <w:r w:rsidR="00A30FCA" w:rsidRPr="00BB3F87">
        <w:rPr>
          <w:rFonts w:ascii="Times New Roman" w:hAnsi="Times New Roman" w:cs="Times New Roman"/>
          <w:color w:val="0070C0"/>
          <w:szCs w:val="21"/>
          <w:lang w:bidi="en-US"/>
        </w:rPr>
        <w:t>replaced</w:t>
      </w:r>
      <w:r w:rsidR="00043395" w:rsidRPr="00BB3F87">
        <w:rPr>
          <w:rFonts w:ascii="Times New Roman" w:hAnsi="Times New Roman" w:cs="Times New Roman"/>
          <w:color w:val="0070C0"/>
          <w:szCs w:val="21"/>
          <w:lang w:bidi="en-US"/>
        </w:rPr>
        <w:t xml:space="preserve"> the reference</w:t>
      </w:r>
      <w:r w:rsidR="000E2D47" w:rsidRPr="00BB3F87">
        <w:rPr>
          <w:rFonts w:ascii="Times New Roman" w:hAnsi="Times New Roman" w:cs="Times New Roman"/>
          <w:color w:val="0070C0"/>
          <w:szCs w:val="21"/>
          <w:lang w:bidi="en-US"/>
        </w:rPr>
        <w:t xml:space="preserve"> 7 with paper published by </w:t>
      </w:r>
      <w:r w:rsidR="006E53C6" w:rsidRPr="00BB3F87">
        <w:rPr>
          <w:rFonts w:ascii="Times New Roman" w:hAnsi="Times New Roman" w:cs="Times New Roman"/>
          <w:color w:val="0070C0"/>
          <w:szCs w:val="21"/>
          <w:lang w:bidi="en-US"/>
        </w:rPr>
        <w:t>Reikvam</w:t>
      </w:r>
      <w:r w:rsidR="000E2D47" w:rsidRPr="00BB3F87">
        <w:rPr>
          <w:rFonts w:ascii="Times New Roman" w:hAnsi="Times New Roman" w:cs="Times New Roman"/>
          <w:color w:val="0070C0"/>
          <w:szCs w:val="21"/>
          <w:lang w:bidi="en-US"/>
        </w:rPr>
        <w:t xml:space="preserve"> et al. 201</w:t>
      </w:r>
      <w:r w:rsidR="006E53C6" w:rsidRPr="00BB3F87">
        <w:rPr>
          <w:rFonts w:ascii="Times New Roman" w:hAnsi="Times New Roman" w:cs="Times New Roman"/>
          <w:color w:val="0070C0"/>
          <w:szCs w:val="21"/>
          <w:lang w:bidi="en-US"/>
        </w:rPr>
        <w:t>1</w:t>
      </w:r>
      <w:r w:rsidR="000E2D47" w:rsidRPr="00BB3F87">
        <w:rPr>
          <w:rFonts w:ascii="Times New Roman" w:hAnsi="Times New Roman" w:cs="Times New Roman"/>
          <w:color w:val="0070C0"/>
          <w:szCs w:val="21"/>
          <w:lang w:bidi="en-US"/>
        </w:rPr>
        <w:t>.</w:t>
      </w:r>
    </w:p>
    <w:p w:rsidR="00AD4432" w:rsidRPr="00AD4432" w:rsidRDefault="00AD4432" w:rsidP="00AD4432"/>
    <w:p w:rsidR="00CC3AA0" w:rsidRPr="00BB3F87" w:rsidRDefault="00CC3AA0" w:rsidP="00BB3F87">
      <w:r>
        <w:t xml:space="preserve">Line 63: did the authors mean « not consistant » or « inconsistant » instead of « not </w:t>
      </w:r>
      <w:r w:rsidRPr="00BB3F87">
        <w:t>inconsistant » ?</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0E2D47" w:rsidRPr="00BB3F87">
        <w:rPr>
          <w:rFonts w:ascii="Times New Roman" w:hAnsi="Times New Roman" w:cs="Times New Roman"/>
          <w:color w:val="0070C0"/>
          <w:szCs w:val="21"/>
          <w:lang w:bidi="en-US"/>
        </w:rPr>
        <w:t>Sorry about the mistake. We have corrected it in the manuscript.</w:t>
      </w:r>
    </w:p>
    <w:p w:rsidR="00AD4432" w:rsidRPr="00AD4432" w:rsidRDefault="00AD4432" w:rsidP="00AD4432"/>
    <w:p w:rsidR="00CC3AA0" w:rsidRDefault="00CC3AA0" w:rsidP="00AD4432">
      <w:pPr>
        <w:pStyle w:val="a7"/>
        <w:numPr>
          <w:ilvl w:val="0"/>
          <w:numId w:val="2"/>
        </w:numPr>
        <w:ind w:firstLineChars="0"/>
      </w:pPr>
      <w:r>
        <w:t>Please check the numbers of the references, I think that lines 80-81 refer to reference 14 instead of reference 15.</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BD26B8" w:rsidRPr="00BB3F87">
        <w:rPr>
          <w:rFonts w:ascii="Times New Roman" w:hAnsi="Times New Roman" w:cs="Times New Roman"/>
          <w:color w:val="0070C0"/>
          <w:szCs w:val="21"/>
          <w:lang w:bidi="en-US"/>
        </w:rPr>
        <w:t>We have checked the reference the reviewer mentioned and corrected it in the manuscript.</w:t>
      </w:r>
    </w:p>
    <w:p w:rsidR="00AD4432" w:rsidRPr="00AD4432" w:rsidRDefault="00AD4432" w:rsidP="00AD4432"/>
    <w:p w:rsidR="00CC3AA0" w:rsidRDefault="00CC3AA0" w:rsidP="00AD4432">
      <w:pPr>
        <w:pStyle w:val="a7"/>
        <w:numPr>
          <w:ilvl w:val="0"/>
          <w:numId w:val="2"/>
        </w:numPr>
        <w:ind w:firstLineChars="0"/>
      </w:pPr>
      <w:r>
        <w:t>The amount of antibiotics given by oral gavage should be expressed as mg or g of antibiotics per kg.</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716810" w:rsidRPr="00BB3F87">
        <w:rPr>
          <w:rFonts w:ascii="Times New Roman" w:hAnsi="Times New Roman" w:cs="Times New Roman"/>
          <w:color w:val="0070C0"/>
          <w:szCs w:val="21"/>
          <w:lang w:bidi="en-US"/>
        </w:rPr>
        <w:t>The reviewer is right. Sorry about the mistake. We have corrected it in the protocol.</w:t>
      </w:r>
    </w:p>
    <w:p w:rsidR="00AD4432" w:rsidRPr="00AD4432" w:rsidRDefault="00AD4432" w:rsidP="00AD4432"/>
    <w:p w:rsidR="00CC3AA0" w:rsidRDefault="00CC3AA0" w:rsidP="00AD4432">
      <w:pPr>
        <w:pStyle w:val="a7"/>
        <w:numPr>
          <w:ilvl w:val="0"/>
          <w:numId w:val="2"/>
        </w:numPr>
        <w:ind w:firstLineChars="0"/>
      </w:pPr>
      <w:r>
        <w:t>Line 129: typo on the size of the force-feeding needle.</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716810" w:rsidRPr="00BB3F87">
        <w:rPr>
          <w:rFonts w:ascii="Times New Roman" w:hAnsi="Times New Roman" w:cs="Times New Roman"/>
          <w:color w:val="0070C0"/>
          <w:szCs w:val="21"/>
          <w:lang w:bidi="en-US"/>
        </w:rPr>
        <w:t>We have added the size of the force-feeding needle in the manuscript.</w:t>
      </w:r>
    </w:p>
    <w:p w:rsidR="00AD4432" w:rsidRPr="00AD4432" w:rsidRDefault="00AD4432" w:rsidP="00AD4432"/>
    <w:p w:rsidR="0037474F" w:rsidRDefault="00CC3AA0" w:rsidP="00AD4432">
      <w:pPr>
        <w:pStyle w:val="a7"/>
        <w:numPr>
          <w:ilvl w:val="0"/>
          <w:numId w:val="2"/>
        </w:numPr>
        <w:ind w:firstLineChars="0"/>
      </w:pPr>
      <w:r>
        <w:t>Figure 2A, please indicate the unit of the Y axis.</w:t>
      </w:r>
    </w:p>
    <w:p w:rsidR="00AD4432" w:rsidRPr="00BB3F87" w:rsidRDefault="00AD4432" w:rsidP="00AD4432">
      <w:pPr>
        <w:rPr>
          <w:rFonts w:ascii="Times New Roman" w:hAnsi="Times New Roman" w:cs="Times New Roman"/>
          <w:color w:val="0070C0"/>
          <w:szCs w:val="21"/>
          <w:lang w:bidi="en-US"/>
        </w:rPr>
      </w:pPr>
      <w:r w:rsidRPr="00BB3F87">
        <w:rPr>
          <w:rFonts w:ascii="Times New Roman" w:hAnsi="Times New Roman" w:cs="Times New Roman" w:hint="eastAsia"/>
          <w:color w:val="0070C0"/>
          <w:szCs w:val="21"/>
          <w:lang w:bidi="en-US"/>
        </w:rPr>
        <w:t>R</w:t>
      </w:r>
      <w:r w:rsidRPr="00BB3F87">
        <w:rPr>
          <w:rFonts w:ascii="Times New Roman" w:hAnsi="Times New Roman" w:cs="Times New Roman"/>
          <w:color w:val="0070C0"/>
          <w:szCs w:val="21"/>
          <w:lang w:bidi="en-US"/>
        </w:rPr>
        <w:t xml:space="preserve">esponse: </w:t>
      </w:r>
      <w:r w:rsidR="00B636AF" w:rsidRPr="00BB3F87">
        <w:rPr>
          <w:rFonts w:ascii="Times New Roman" w:hAnsi="Times New Roman" w:cs="Times New Roman"/>
          <w:color w:val="0070C0"/>
          <w:szCs w:val="21"/>
          <w:lang w:bidi="en-US"/>
        </w:rPr>
        <w:t>We have indicated the unit of the Y axis in Fig 2 as required by the reviewer.</w:t>
      </w:r>
    </w:p>
    <w:p w:rsidR="00AD4432" w:rsidRPr="00AD4432" w:rsidRDefault="00AD4432" w:rsidP="00AD4432"/>
    <w:sectPr w:rsidR="00AD4432" w:rsidRPr="00AD44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43" w:rsidRDefault="00356543" w:rsidP="00454307">
      <w:r>
        <w:separator/>
      </w:r>
    </w:p>
  </w:endnote>
  <w:endnote w:type="continuationSeparator" w:id="0">
    <w:p w:rsidR="00356543" w:rsidRDefault="00356543" w:rsidP="004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43" w:rsidRDefault="00356543" w:rsidP="00454307">
      <w:r>
        <w:separator/>
      </w:r>
    </w:p>
  </w:footnote>
  <w:footnote w:type="continuationSeparator" w:id="0">
    <w:p w:rsidR="00356543" w:rsidRDefault="00356543" w:rsidP="004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FBB"/>
    <w:multiLevelType w:val="hybridMultilevel"/>
    <w:tmpl w:val="D71276E4"/>
    <w:lvl w:ilvl="0" w:tplc="6276B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2D4E33"/>
    <w:multiLevelType w:val="hybridMultilevel"/>
    <w:tmpl w:val="A05446D2"/>
    <w:lvl w:ilvl="0" w:tplc="14008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DE"/>
    <w:rsid w:val="00043395"/>
    <w:rsid w:val="00074806"/>
    <w:rsid w:val="00094B2B"/>
    <w:rsid w:val="000A5B6A"/>
    <w:rsid w:val="000D00F5"/>
    <w:rsid w:val="000E2D47"/>
    <w:rsid w:val="000E4953"/>
    <w:rsid w:val="001403EE"/>
    <w:rsid w:val="001767C8"/>
    <w:rsid w:val="001912C3"/>
    <w:rsid w:val="001A448B"/>
    <w:rsid w:val="001A4C0B"/>
    <w:rsid w:val="001B54AC"/>
    <w:rsid w:val="00240321"/>
    <w:rsid w:val="002B7B93"/>
    <w:rsid w:val="002C78F4"/>
    <w:rsid w:val="002E3873"/>
    <w:rsid w:val="002E621F"/>
    <w:rsid w:val="00356543"/>
    <w:rsid w:val="00357682"/>
    <w:rsid w:val="00357921"/>
    <w:rsid w:val="0037474F"/>
    <w:rsid w:val="003763AC"/>
    <w:rsid w:val="003D4DC1"/>
    <w:rsid w:val="003E23A6"/>
    <w:rsid w:val="00414158"/>
    <w:rsid w:val="00425DAC"/>
    <w:rsid w:val="0042712B"/>
    <w:rsid w:val="0043177A"/>
    <w:rsid w:val="00454307"/>
    <w:rsid w:val="00473561"/>
    <w:rsid w:val="00487D61"/>
    <w:rsid w:val="004E650E"/>
    <w:rsid w:val="00506685"/>
    <w:rsid w:val="00523169"/>
    <w:rsid w:val="0053084D"/>
    <w:rsid w:val="005A1C8A"/>
    <w:rsid w:val="005B384F"/>
    <w:rsid w:val="005E7339"/>
    <w:rsid w:val="00620BED"/>
    <w:rsid w:val="00630EAF"/>
    <w:rsid w:val="0069551D"/>
    <w:rsid w:val="006D3845"/>
    <w:rsid w:val="006E20F7"/>
    <w:rsid w:val="006E53C6"/>
    <w:rsid w:val="00700FB9"/>
    <w:rsid w:val="00704457"/>
    <w:rsid w:val="00716810"/>
    <w:rsid w:val="00743220"/>
    <w:rsid w:val="0075768E"/>
    <w:rsid w:val="00760E4B"/>
    <w:rsid w:val="00781087"/>
    <w:rsid w:val="007A0128"/>
    <w:rsid w:val="007E2C69"/>
    <w:rsid w:val="0080199D"/>
    <w:rsid w:val="00812148"/>
    <w:rsid w:val="00846088"/>
    <w:rsid w:val="008B7DB9"/>
    <w:rsid w:val="008D1A8C"/>
    <w:rsid w:val="009469F4"/>
    <w:rsid w:val="00976310"/>
    <w:rsid w:val="009A3045"/>
    <w:rsid w:val="009B7401"/>
    <w:rsid w:val="009E0ED0"/>
    <w:rsid w:val="00A30FCA"/>
    <w:rsid w:val="00A424A0"/>
    <w:rsid w:val="00A80555"/>
    <w:rsid w:val="00AA2E04"/>
    <w:rsid w:val="00AD4432"/>
    <w:rsid w:val="00AF595D"/>
    <w:rsid w:val="00B33B5D"/>
    <w:rsid w:val="00B616FB"/>
    <w:rsid w:val="00B636AF"/>
    <w:rsid w:val="00BB3F87"/>
    <w:rsid w:val="00BC25BD"/>
    <w:rsid w:val="00BD26B8"/>
    <w:rsid w:val="00BE13AA"/>
    <w:rsid w:val="00C93BD3"/>
    <w:rsid w:val="00CC3AA0"/>
    <w:rsid w:val="00D162EC"/>
    <w:rsid w:val="00D30E55"/>
    <w:rsid w:val="00D469DE"/>
    <w:rsid w:val="00D6282E"/>
    <w:rsid w:val="00D87505"/>
    <w:rsid w:val="00DA30AD"/>
    <w:rsid w:val="00DC6318"/>
    <w:rsid w:val="00DE5E8A"/>
    <w:rsid w:val="00DF63A7"/>
    <w:rsid w:val="00E10CD9"/>
    <w:rsid w:val="00E4248B"/>
    <w:rsid w:val="00E9509C"/>
    <w:rsid w:val="00ED6752"/>
    <w:rsid w:val="00F374A6"/>
    <w:rsid w:val="00F90A1A"/>
    <w:rsid w:val="00FE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A323A"/>
  <w15:chartTrackingRefBased/>
  <w15:docId w15:val="{C068D29A-31BE-4065-9911-5835375A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3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4307"/>
    <w:rPr>
      <w:sz w:val="18"/>
      <w:szCs w:val="18"/>
    </w:rPr>
  </w:style>
  <w:style w:type="paragraph" w:styleId="a5">
    <w:name w:val="footer"/>
    <w:basedOn w:val="a"/>
    <w:link w:val="a6"/>
    <w:uiPriority w:val="99"/>
    <w:unhideWhenUsed/>
    <w:rsid w:val="00454307"/>
    <w:pPr>
      <w:tabs>
        <w:tab w:val="center" w:pos="4153"/>
        <w:tab w:val="right" w:pos="8306"/>
      </w:tabs>
      <w:snapToGrid w:val="0"/>
      <w:jc w:val="left"/>
    </w:pPr>
    <w:rPr>
      <w:sz w:val="18"/>
      <w:szCs w:val="18"/>
    </w:rPr>
  </w:style>
  <w:style w:type="character" w:customStyle="1" w:styleId="a6">
    <w:name w:val="页脚 字符"/>
    <w:basedOn w:val="a0"/>
    <w:link w:val="a5"/>
    <w:uiPriority w:val="99"/>
    <w:rsid w:val="00454307"/>
    <w:rPr>
      <w:sz w:val="18"/>
      <w:szCs w:val="18"/>
    </w:rPr>
  </w:style>
  <w:style w:type="paragraph" w:styleId="a7">
    <w:name w:val="List Paragraph"/>
    <w:basedOn w:val="a"/>
    <w:uiPriority w:val="34"/>
    <w:qFormat/>
    <w:rsid w:val="00AD4432"/>
    <w:pPr>
      <w:ind w:firstLineChars="200" w:firstLine="420"/>
    </w:pPr>
  </w:style>
  <w:style w:type="paragraph" w:styleId="a8">
    <w:name w:val="Balloon Text"/>
    <w:basedOn w:val="a"/>
    <w:link w:val="a9"/>
    <w:uiPriority w:val="99"/>
    <w:semiHidden/>
    <w:unhideWhenUsed/>
    <w:rsid w:val="009B7401"/>
    <w:rPr>
      <w:sz w:val="18"/>
      <w:szCs w:val="18"/>
    </w:rPr>
  </w:style>
  <w:style w:type="character" w:customStyle="1" w:styleId="a9">
    <w:name w:val="批注框文本 字符"/>
    <w:basedOn w:val="a0"/>
    <w:link w:val="a8"/>
    <w:uiPriority w:val="99"/>
    <w:semiHidden/>
    <w:rsid w:val="009B74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14410</Characters>
  <Application>Microsoft Office Word</Application>
  <DocSecurity>0</DocSecurity>
  <Lines>120</Lines>
  <Paragraphs>33</Paragraphs>
  <ScaleCrop>false</ScaleCrop>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Qiuping</dc:creator>
  <cp:keywords/>
  <dc:description/>
  <cp:lastModifiedBy>Qiuping</cp:lastModifiedBy>
  <cp:revision>79</cp:revision>
  <dcterms:created xsi:type="dcterms:W3CDTF">2019-11-04T01:57:00Z</dcterms:created>
  <dcterms:modified xsi:type="dcterms:W3CDTF">2019-11-26T09:39:00Z</dcterms:modified>
</cp:coreProperties>
</file>