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DE12" w14:textId="77777777" w:rsidR="003C5D74" w:rsidRPr="00997786" w:rsidRDefault="003C5D74" w:rsidP="008E4526">
      <w:pPr>
        <w:pStyle w:val="NormalWeb"/>
        <w:spacing w:before="0" w:beforeAutospacing="0" w:after="0" w:afterAutospacing="0"/>
      </w:pPr>
      <w:bookmarkStart w:id="0" w:name="_Hlk22290875"/>
      <w:r w:rsidRPr="00997786">
        <w:rPr>
          <w:b/>
          <w:bCs/>
        </w:rPr>
        <w:t>TITLE:</w:t>
      </w:r>
      <w:r w:rsidRPr="00997786">
        <w:t xml:space="preserve"> </w:t>
      </w:r>
    </w:p>
    <w:p w14:paraId="111C2797" w14:textId="0AFC496B" w:rsidR="003C5D74" w:rsidRPr="00D25D72" w:rsidRDefault="003C5D74" w:rsidP="008E4526">
      <w:pPr>
        <w:rPr>
          <w:b/>
          <w:bCs/>
        </w:rPr>
      </w:pPr>
      <w:bookmarkStart w:id="1" w:name="OLE_LINK5"/>
      <w:bookmarkStart w:id="2" w:name="OLE_LINK6"/>
      <w:r w:rsidRPr="00D25D72">
        <w:rPr>
          <w:b/>
          <w:bCs/>
        </w:rPr>
        <w:t>Loca</w:t>
      </w:r>
      <w:r w:rsidRPr="00D25D72">
        <w:rPr>
          <w:b/>
          <w:bCs/>
          <w:lang w:eastAsia="zh-CN"/>
        </w:rPr>
        <w:t>liz</w:t>
      </w:r>
      <w:r w:rsidR="00D25D72">
        <w:rPr>
          <w:b/>
          <w:bCs/>
          <w:lang w:eastAsia="zh-CN"/>
        </w:rPr>
        <w:t xml:space="preserve">ation </w:t>
      </w:r>
      <w:r w:rsidR="00D25D72" w:rsidRPr="00D25D72">
        <w:rPr>
          <w:b/>
          <w:bCs/>
        </w:rPr>
        <w:t>and Quantif</w:t>
      </w:r>
      <w:r w:rsidR="00D25D72">
        <w:rPr>
          <w:b/>
          <w:bCs/>
        </w:rPr>
        <w:t>ication of</w:t>
      </w:r>
      <w:r w:rsidR="00D25D72" w:rsidRPr="00D25D72">
        <w:rPr>
          <w:b/>
          <w:bCs/>
        </w:rPr>
        <w:t xml:space="preserve"> </w:t>
      </w:r>
      <w:proofErr w:type="spellStart"/>
      <w:r w:rsidR="00D25D72" w:rsidRPr="00D25D72">
        <w:rPr>
          <w:b/>
          <w:bCs/>
        </w:rPr>
        <w:t>Begomovirus</w:t>
      </w:r>
      <w:r w:rsidR="00D25D72" w:rsidRPr="00D25D72">
        <w:rPr>
          <w:b/>
          <w:bCs/>
          <w:lang w:eastAsia="zh-CN"/>
        </w:rPr>
        <w:t>es</w:t>
      </w:r>
      <w:proofErr w:type="spellEnd"/>
      <w:r w:rsidR="00D25D72" w:rsidRPr="00D25D72">
        <w:rPr>
          <w:b/>
          <w:bCs/>
        </w:rPr>
        <w:t xml:space="preserve"> </w:t>
      </w:r>
      <w:r w:rsidR="00D25D72">
        <w:rPr>
          <w:b/>
          <w:bCs/>
        </w:rPr>
        <w:t>i</w:t>
      </w:r>
      <w:r w:rsidR="00D25D72" w:rsidRPr="00D25D72">
        <w:rPr>
          <w:b/>
          <w:bCs/>
        </w:rPr>
        <w:t xml:space="preserve">n Whitefly Tissues </w:t>
      </w:r>
      <w:r w:rsidR="00D25D72">
        <w:rPr>
          <w:b/>
          <w:bCs/>
        </w:rPr>
        <w:t>b</w:t>
      </w:r>
      <w:r w:rsidR="00D25D72" w:rsidRPr="00D25D72">
        <w:rPr>
          <w:b/>
          <w:bCs/>
        </w:rPr>
        <w:t xml:space="preserve">y </w:t>
      </w:r>
      <w:bookmarkStart w:id="3" w:name="OLE_LINK10"/>
      <w:bookmarkStart w:id="4" w:name="OLE_LINK11"/>
      <w:bookmarkStart w:id="5" w:name="OLE_LINK15"/>
      <w:bookmarkStart w:id="6" w:name="OLE_LINK33"/>
      <w:bookmarkStart w:id="7" w:name="OLE_LINK34"/>
      <w:bookmarkStart w:id="8" w:name="OLE_LINK1"/>
      <w:bookmarkStart w:id="9" w:name="OLE_LINK2"/>
      <w:bookmarkStart w:id="10" w:name="OLE_LINK60"/>
      <w:r w:rsidR="00D25D72" w:rsidRPr="00D25D72">
        <w:rPr>
          <w:b/>
          <w:bCs/>
        </w:rPr>
        <w:t>Immunofluorescence</w:t>
      </w:r>
      <w:bookmarkEnd w:id="3"/>
      <w:bookmarkEnd w:id="4"/>
      <w:bookmarkEnd w:id="5"/>
      <w:bookmarkEnd w:id="6"/>
      <w:bookmarkEnd w:id="7"/>
      <w:bookmarkEnd w:id="8"/>
      <w:bookmarkEnd w:id="9"/>
      <w:r w:rsidR="00D25D72" w:rsidRPr="00D25D72">
        <w:rPr>
          <w:b/>
          <w:bCs/>
        </w:rPr>
        <w:t xml:space="preserve"> </w:t>
      </w:r>
      <w:bookmarkEnd w:id="10"/>
      <w:r w:rsidR="00D25D72" w:rsidRPr="00D25D72">
        <w:rPr>
          <w:b/>
          <w:bCs/>
        </w:rPr>
        <w:t xml:space="preserve">and Quantitative </w:t>
      </w:r>
      <w:r w:rsidRPr="00D25D72">
        <w:rPr>
          <w:b/>
          <w:bCs/>
        </w:rPr>
        <w:t>PCR</w:t>
      </w:r>
      <w:bookmarkEnd w:id="1"/>
      <w:bookmarkEnd w:id="2"/>
    </w:p>
    <w:p w14:paraId="0027978A" w14:textId="77777777" w:rsidR="003C5D74" w:rsidRPr="00997786" w:rsidRDefault="003C5D74" w:rsidP="008E4526"/>
    <w:p w14:paraId="09ED27C8" w14:textId="77777777" w:rsidR="003C5D74" w:rsidRPr="00997786" w:rsidRDefault="003C5D74" w:rsidP="008E4526">
      <w:pPr>
        <w:rPr>
          <w:color w:val="808080" w:themeColor="background1" w:themeShade="80"/>
        </w:rPr>
      </w:pPr>
      <w:r w:rsidRPr="00997786">
        <w:rPr>
          <w:b/>
          <w:bCs/>
        </w:rPr>
        <w:t>AUTHORS AND AFFILIATIONS:</w:t>
      </w:r>
    </w:p>
    <w:p w14:paraId="6A1BE24C" w14:textId="07312DB5" w:rsidR="003C5D74" w:rsidRDefault="003C5D74" w:rsidP="008E4526">
      <w:pPr>
        <w:pStyle w:val="NormalWeb"/>
        <w:spacing w:before="0" w:beforeAutospacing="0" w:after="0" w:afterAutospacing="0"/>
        <w:rPr>
          <w:bCs/>
          <w:color w:val="auto"/>
          <w:vertAlign w:val="superscript"/>
        </w:rPr>
      </w:pPr>
      <w:r w:rsidRPr="00997786">
        <w:rPr>
          <w:bCs/>
          <w:color w:val="auto"/>
        </w:rPr>
        <w:t>Fei-</w:t>
      </w:r>
      <w:proofErr w:type="spellStart"/>
      <w:r w:rsidRPr="00997786">
        <w:rPr>
          <w:bCs/>
          <w:color w:val="auto"/>
        </w:rPr>
        <w:t>Xue</w:t>
      </w:r>
      <w:proofErr w:type="spellEnd"/>
      <w:r w:rsidRPr="00997786">
        <w:rPr>
          <w:bCs/>
          <w:color w:val="auto"/>
        </w:rPr>
        <w:t xml:space="preserve"> Ban</w:t>
      </w:r>
      <w:r w:rsidR="00D25D72" w:rsidRPr="00D25D72">
        <w:rPr>
          <w:bCs/>
          <w:color w:val="auto"/>
          <w:vertAlign w:val="superscript"/>
        </w:rPr>
        <w:t>1</w:t>
      </w:r>
      <w:r w:rsidRPr="00997786">
        <w:rPr>
          <w:bCs/>
          <w:color w:val="auto"/>
        </w:rPr>
        <w:t>, Tian-Yan Yin</w:t>
      </w:r>
      <w:r w:rsidR="00D25D72" w:rsidRPr="00D25D72">
        <w:rPr>
          <w:bCs/>
          <w:color w:val="auto"/>
          <w:vertAlign w:val="superscript"/>
        </w:rPr>
        <w:t>1</w:t>
      </w:r>
      <w:r w:rsidRPr="00997786">
        <w:rPr>
          <w:bCs/>
          <w:color w:val="auto"/>
        </w:rPr>
        <w:t>, Qi Guo</w:t>
      </w:r>
      <w:r w:rsidR="00D25D72" w:rsidRPr="00D25D72">
        <w:rPr>
          <w:bCs/>
          <w:color w:val="auto"/>
          <w:vertAlign w:val="superscript"/>
        </w:rPr>
        <w:t>1</w:t>
      </w:r>
      <w:r w:rsidRPr="00997786">
        <w:rPr>
          <w:bCs/>
          <w:color w:val="auto"/>
        </w:rPr>
        <w:t>, Li-Long Pan</w:t>
      </w:r>
      <w:r w:rsidR="00D25D72" w:rsidRPr="00D25D72">
        <w:rPr>
          <w:bCs/>
          <w:color w:val="auto"/>
          <w:vertAlign w:val="superscript"/>
        </w:rPr>
        <w:t>1</w:t>
      </w:r>
      <w:r w:rsidRPr="00997786">
        <w:rPr>
          <w:bCs/>
          <w:color w:val="auto"/>
        </w:rPr>
        <w:t>, Yin-Quan Liu</w:t>
      </w:r>
      <w:r w:rsidR="00D25D72" w:rsidRPr="00D25D72">
        <w:rPr>
          <w:bCs/>
          <w:color w:val="auto"/>
          <w:vertAlign w:val="superscript"/>
        </w:rPr>
        <w:t>1</w:t>
      </w:r>
      <w:r w:rsidRPr="00997786">
        <w:rPr>
          <w:bCs/>
          <w:color w:val="auto"/>
        </w:rPr>
        <w:t>, Xiao-Wei Wang</w:t>
      </w:r>
      <w:r w:rsidR="00D25D72" w:rsidRPr="00D25D72">
        <w:rPr>
          <w:bCs/>
          <w:color w:val="auto"/>
          <w:vertAlign w:val="superscript"/>
        </w:rPr>
        <w:t>1</w:t>
      </w:r>
    </w:p>
    <w:p w14:paraId="04B32258" w14:textId="77777777" w:rsidR="00D25D72" w:rsidRPr="00997786" w:rsidRDefault="00D25D72" w:rsidP="008E4526">
      <w:pPr>
        <w:pStyle w:val="NormalWeb"/>
        <w:spacing w:before="0" w:beforeAutospacing="0" w:after="0" w:afterAutospacing="0"/>
        <w:rPr>
          <w:bCs/>
          <w:color w:val="auto"/>
        </w:rPr>
      </w:pPr>
    </w:p>
    <w:p w14:paraId="4AC56021" w14:textId="113132BB" w:rsidR="003C5D74" w:rsidRPr="00997786" w:rsidRDefault="00D25D72" w:rsidP="008E4526">
      <w:pPr>
        <w:pStyle w:val="NormalWeb"/>
        <w:spacing w:before="0" w:beforeAutospacing="0" w:after="0" w:afterAutospacing="0"/>
        <w:rPr>
          <w:b/>
          <w:bCs/>
          <w:color w:val="auto"/>
        </w:rPr>
      </w:pPr>
      <w:r w:rsidRPr="00D25D72">
        <w:rPr>
          <w:bCs/>
          <w:color w:val="auto"/>
          <w:vertAlign w:val="superscript"/>
        </w:rPr>
        <w:t>1</w:t>
      </w:r>
      <w:r w:rsidR="003C5D74" w:rsidRPr="00997786">
        <w:rPr>
          <w:bCs/>
          <w:color w:val="auto"/>
        </w:rPr>
        <w:t>Ministry of Agriculture Key Laboratory of Molecular Biology of Crop Pathogen and Insects, Institute of Insect Sciences, Zhejiang University</w:t>
      </w:r>
      <w:r w:rsidR="00755FB3">
        <w:rPr>
          <w:bCs/>
          <w:color w:val="auto"/>
        </w:rPr>
        <w:t>, China</w:t>
      </w:r>
    </w:p>
    <w:p w14:paraId="1105BD70" w14:textId="77777777" w:rsidR="003C5D74" w:rsidRPr="00997786" w:rsidRDefault="003C5D74" w:rsidP="008E4526">
      <w:pPr>
        <w:pStyle w:val="NormalWeb"/>
        <w:spacing w:before="0" w:beforeAutospacing="0" w:after="0" w:afterAutospacing="0"/>
        <w:rPr>
          <w:bCs/>
          <w:color w:val="auto"/>
        </w:rPr>
      </w:pPr>
    </w:p>
    <w:p w14:paraId="7A8AC3AF" w14:textId="77777777" w:rsidR="00D25D72" w:rsidRPr="00D25D72" w:rsidRDefault="00D25D72" w:rsidP="008E4526">
      <w:pPr>
        <w:pStyle w:val="NormalWeb"/>
        <w:spacing w:before="0" w:beforeAutospacing="0" w:after="0" w:afterAutospacing="0"/>
        <w:rPr>
          <w:b/>
          <w:color w:val="auto"/>
        </w:rPr>
      </w:pPr>
      <w:r w:rsidRPr="00D25D72">
        <w:rPr>
          <w:b/>
          <w:color w:val="auto"/>
        </w:rPr>
        <w:t>Corresponding Author:</w:t>
      </w:r>
    </w:p>
    <w:p w14:paraId="38821952" w14:textId="77777777" w:rsidR="00D25D72" w:rsidRPr="00997786" w:rsidRDefault="00D25D72" w:rsidP="008E4526">
      <w:pPr>
        <w:pStyle w:val="NormalWeb"/>
        <w:spacing w:before="0" w:beforeAutospacing="0" w:after="0" w:afterAutospacing="0"/>
        <w:rPr>
          <w:bCs/>
          <w:color w:val="auto"/>
        </w:rPr>
      </w:pPr>
      <w:r w:rsidRPr="00997786">
        <w:rPr>
          <w:bCs/>
          <w:color w:val="auto"/>
        </w:rPr>
        <w:t>Xiao-Wei Wang</w:t>
      </w:r>
      <w:r>
        <w:rPr>
          <w:bCs/>
          <w:color w:val="auto"/>
        </w:rPr>
        <w:tab/>
      </w:r>
      <w:r>
        <w:rPr>
          <w:bCs/>
          <w:color w:val="auto"/>
        </w:rPr>
        <w:tab/>
        <w:t>(</w:t>
      </w:r>
      <w:r w:rsidRPr="00D25D72">
        <w:t>xwwang@zju.edu.cn</w:t>
      </w:r>
      <w:r>
        <w:t>)</w:t>
      </w:r>
    </w:p>
    <w:p w14:paraId="46248534" w14:textId="77777777" w:rsidR="00D25D72" w:rsidRDefault="00D25D72" w:rsidP="008E4526">
      <w:pPr>
        <w:widowControl/>
        <w:autoSpaceDE/>
        <w:autoSpaceDN/>
        <w:adjustRightInd/>
        <w:rPr>
          <w:color w:val="auto"/>
          <w:lang w:eastAsia="zh-CN"/>
        </w:rPr>
      </w:pPr>
    </w:p>
    <w:p w14:paraId="2441374C" w14:textId="48E9A324" w:rsidR="003C5D74" w:rsidRPr="00D25D72" w:rsidRDefault="003C5D74" w:rsidP="008E4526">
      <w:pPr>
        <w:widowControl/>
        <w:autoSpaceDE/>
        <w:autoSpaceDN/>
        <w:adjustRightInd/>
        <w:rPr>
          <w:b/>
          <w:bCs/>
          <w:color w:val="auto"/>
          <w:lang w:eastAsia="zh-CN"/>
        </w:rPr>
      </w:pPr>
      <w:r w:rsidRPr="00D25D72">
        <w:rPr>
          <w:b/>
          <w:bCs/>
          <w:color w:val="auto"/>
          <w:lang w:eastAsia="zh-CN"/>
        </w:rPr>
        <w:t>E-mail Addresses of Co-authors:</w:t>
      </w:r>
    </w:p>
    <w:p w14:paraId="74F32EA1" w14:textId="02E2DB17" w:rsidR="003C5D74" w:rsidRPr="00997786" w:rsidRDefault="003C5D74" w:rsidP="008E4526">
      <w:pPr>
        <w:widowControl/>
        <w:autoSpaceDE/>
        <w:autoSpaceDN/>
        <w:adjustRightInd/>
        <w:rPr>
          <w:bCs/>
          <w:color w:val="auto"/>
        </w:rPr>
      </w:pPr>
      <w:r w:rsidRPr="00997786">
        <w:rPr>
          <w:bCs/>
          <w:color w:val="auto"/>
        </w:rPr>
        <w:t>Fei-</w:t>
      </w:r>
      <w:proofErr w:type="spellStart"/>
      <w:r w:rsidRPr="00997786">
        <w:rPr>
          <w:bCs/>
          <w:color w:val="auto"/>
        </w:rPr>
        <w:t>Xue</w:t>
      </w:r>
      <w:proofErr w:type="spellEnd"/>
      <w:r w:rsidRPr="00997786">
        <w:rPr>
          <w:bCs/>
          <w:color w:val="auto"/>
        </w:rPr>
        <w:t xml:space="preserve"> Ban </w:t>
      </w:r>
      <w:r w:rsidR="00D25D72">
        <w:rPr>
          <w:bCs/>
          <w:color w:val="auto"/>
        </w:rPr>
        <w:tab/>
      </w:r>
      <w:r w:rsidR="00D25D72">
        <w:rPr>
          <w:bCs/>
          <w:color w:val="auto"/>
        </w:rPr>
        <w:tab/>
      </w:r>
      <w:r w:rsidRPr="00997786">
        <w:rPr>
          <w:bCs/>
          <w:color w:val="auto"/>
        </w:rPr>
        <w:t>(</w:t>
      </w:r>
      <w:r w:rsidRPr="00997786">
        <w:rPr>
          <w:bCs/>
        </w:rPr>
        <w:t>banfeixue@zju.edu.cn</w:t>
      </w:r>
      <w:r w:rsidRPr="00997786">
        <w:rPr>
          <w:bCs/>
          <w:color w:val="auto"/>
        </w:rPr>
        <w:t>)</w:t>
      </w:r>
    </w:p>
    <w:p w14:paraId="3050D664" w14:textId="0474B0B6" w:rsidR="003C5D74" w:rsidRPr="00997786" w:rsidRDefault="003C5D74" w:rsidP="008E4526">
      <w:pPr>
        <w:widowControl/>
        <w:autoSpaceDE/>
        <w:autoSpaceDN/>
        <w:adjustRightInd/>
        <w:rPr>
          <w:bCs/>
          <w:color w:val="auto"/>
        </w:rPr>
      </w:pPr>
      <w:r w:rsidRPr="00997786">
        <w:rPr>
          <w:bCs/>
          <w:color w:val="auto"/>
        </w:rPr>
        <w:t xml:space="preserve">Tian-Tan Yin </w:t>
      </w:r>
      <w:r w:rsidR="00D25D72">
        <w:rPr>
          <w:bCs/>
          <w:color w:val="auto"/>
        </w:rPr>
        <w:tab/>
      </w:r>
      <w:r w:rsidR="00D25D72">
        <w:rPr>
          <w:bCs/>
          <w:color w:val="auto"/>
        </w:rPr>
        <w:tab/>
      </w:r>
      <w:r w:rsidRPr="00997786">
        <w:rPr>
          <w:bCs/>
          <w:color w:val="auto"/>
          <w:lang w:eastAsia="zh-CN"/>
        </w:rPr>
        <w:t>(</w:t>
      </w:r>
      <w:r w:rsidRPr="00997786">
        <w:rPr>
          <w:bCs/>
          <w:color w:val="auto"/>
        </w:rPr>
        <w:t>tyyin110@163.com)</w:t>
      </w:r>
    </w:p>
    <w:p w14:paraId="283D9691" w14:textId="4E37782F" w:rsidR="003C5D74" w:rsidRPr="00997786" w:rsidRDefault="003C5D74" w:rsidP="008E4526">
      <w:pPr>
        <w:widowControl/>
        <w:autoSpaceDE/>
        <w:autoSpaceDN/>
        <w:adjustRightInd/>
        <w:rPr>
          <w:bCs/>
          <w:color w:val="auto"/>
        </w:rPr>
      </w:pPr>
      <w:r w:rsidRPr="00997786">
        <w:rPr>
          <w:bCs/>
          <w:color w:val="auto"/>
        </w:rPr>
        <w:t xml:space="preserve">Qi Guo </w:t>
      </w:r>
      <w:r w:rsidR="00D25D72">
        <w:rPr>
          <w:bCs/>
          <w:color w:val="auto"/>
        </w:rPr>
        <w:tab/>
      </w:r>
      <w:r w:rsidR="00D25D72">
        <w:rPr>
          <w:bCs/>
          <w:color w:val="auto"/>
        </w:rPr>
        <w:tab/>
      </w:r>
      <w:r w:rsidR="00D25D72">
        <w:rPr>
          <w:bCs/>
          <w:color w:val="auto"/>
        </w:rPr>
        <w:tab/>
      </w:r>
      <w:r w:rsidR="00D25D72">
        <w:rPr>
          <w:bCs/>
          <w:color w:val="auto"/>
        </w:rPr>
        <w:tab/>
      </w:r>
      <w:r w:rsidRPr="00997786">
        <w:rPr>
          <w:bCs/>
          <w:color w:val="auto"/>
        </w:rPr>
        <w:t>(</w:t>
      </w:r>
      <w:r w:rsidRPr="00997786">
        <w:rPr>
          <w:bCs/>
          <w:color w:val="auto"/>
          <w:lang w:eastAsia="zh-CN"/>
        </w:rPr>
        <w:t>guo</w:t>
      </w:r>
      <w:r w:rsidRPr="00997786">
        <w:rPr>
          <w:bCs/>
          <w:color w:val="auto"/>
        </w:rPr>
        <w:t>qi@zju.edu.cn)</w:t>
      </w:r>
    </w:p>
    <w:p w14:paraId="5DC60327" w14:textId="456A4FAF" w:rsidR="003C5D74" w:rsidRPr="00997786" w:rsidRDefault="003C5D74" w:rsidP="008E4526">
      <w:pPr>
        <w:widowControl/>
        <w:autoSpaceDE/>
        <w:autoSpaceDN/>
        <w:adjustRightInd/>
        <w:rPr>
          <w:bCs/>
          <w:color w:val="auto"/>
        </w:rPr>
      </w:pPr>
      <w:r w:rsidRPr="00997786">
        <w:rPr>
          <w:bCs/>
          <w:color w:val="auto"/>
        </w:rPr>
        <w:t xml:space="preserve">Li-Long Pan </w:t>
      </w:r>
      <w:r w:rsidR="00D25D72">
        <w:rPr>
          <w:bCs/>
          <w:color w:val="auto"/>
        </w:rPr>
        <w:tab/>
      </w:r>
      <w:r w:rsidR="00D25D72">
        <w:rPr>
          <w:bCs/>
          <w:color w:val="auto"/>
        </w:rPr>
        <w:tab/>
      </w:r>
      <w:r w:rsidR="00D25D72">
        <w:rPr>
          <w:bCs/>
          <w:color w:val="auto"/>
        </w:rPr>
        <w:tab/>
      </w:r>
      <w:r w:rsidRPr="00997786">
        <w:rPr>
          <w:bCs/>
          <w:color w:val="auto"/>
        </w:rPr>
        <w:t>(</w:t>
      </w:r>
      <w:r w:rsidRPr="00997786">
        <w:rPr>
          <w:rStyle w:val="address"/>
        </w:rPr>
        <w:t>panlilong@zju.edu.cn</w:t>
      </w:r>
      <w:r w:rsidRPr="00997786">
        <w:rPr>
          <w:bCs/>
          <w:color w:val="auto"/>
        </w:rPr>
        <w:t>)</w:t>
      </w:r>
    </w:p>
    <w:p w14:paraId="1073DE24" w14:textId="37A3B4C3" w:rsidR="003C5D74" w:rsidRPr="00997786" w:rsidRDefault="003C5D74" w:rsidP="008E4526">
      <w:pPr>
        <w:widowControl/>
        <w:autoSpaceDE/>
        <w:autoSpaceDN/>
        <w:adjustRightInd/>
        <w:rPr>
          <w:bCs/>
          <w:color w:val="auto"/>
        </w:rPr>
      </w:pPr>
      <w:r w:rsidRPr="00997786">
        <w:rPr>
          <w:bCs/>
          <w:color w:val="auto"/>
        </w:rPr>
        <w:t xml:space="preserve">Yin-Quan Liu </w:t>
      </w:r>
      <w:r w:rsidR="00D25D72">
        <w:rPr>
          <w:bCs/>
          <w:color w:val="auto"/>
        </w:rPr>
        <w:tab/>
      </w:r>
      <w:r w:rsidR="00D25D72">
        <w:rPr>
          <w:bCs/>
          <w:color w:val="auto"/>
        </w:rPr>
        <w:tab/>
      </w:r>
      <w:r w:rsidRPr="00997786">
        <w:rPr>
          <w:bCs/>
          <w:color w:val="auto"/>
        </w:rPr>
        <w:t>(</w:t>
      </w:r>
      <w:r w:rsidRPr="00997786">
        <w:rPr>
          <w:bCs/>
        </w:rPr>
        <w:t>yqliu@zju.edu.cn</w:t>
      </w:r>
      <w:r w:rsidRPr="00997786">
        <w:rPr>
          <w:bCs/>
          <w:color w:val="auto"/>
        </w:rPr>
        <w:t>)</w:t>
      </w:r>
    </w:p>
    <w:p w14:paraId="022C377A" w14:textId="77777777" w:rsidR="003C5D74" w:rsidRPr="00997786" w:rsidRDefault="003C5D74" w:rsidP="008E4526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20A3760D" w14:textId="77777777" w:rsidR="00D25D72" w:rsidRDefault="003C5D74" w:rsidP="008E4526">
      <w:pPr>
        <w:pStyle w:val="NormalWeb"/>
        <w:spacing w:before="0" w:beforeAutospacing="0" w:after="0" w:afterAutospacing="0"/>
        <w:rPr>
          <w:color w:val="auto"/>
        </w:rPr>
      </w:pPr>
      <w:r w:rsidRPr="00997786">
        <w:rPr>
          <w:b/>
          <w:bCs/>
          <w:color w:val="auto"/>
        </w:rPr>
        <w:t>KEYWORDS:</w:t>
      </w:r>
      <w:r w:rsidRPr="00997786">
        <w:rPr>
          <w:color w:val="auto"/>
        </w:rPr>
        <w:t xml:space="preserve"> </w:t>
      </w:r>
    </w:p>
    <w:p w14:paraId="7558F4FF" w14:textId="63DC9741" w:rsidR="003C5D74" w:rsidRPr="00997786" w:rsidRDefault="003C5D74" w:rsidP="008E4526">
      <w:pPr>
        <w:pStyle w:val="NormalWeb"/>
        <w:spacing w:before="0" w:beforeAutospacing="0" w:after="0" w:afterAutospacing="0"/>
        <w:rPr>
          <w:color w:val="auto"/>
        </w:rPr>
      </w:pPr>
      <w:r w:rsidRPr="00997786">
        <w:rPr>
          <w:color w:val="auto"/>
        </w:rPr>
        <w:t xml:space="preserve">immunofluorescence, quantitative PCR, </w:t>
      </w:r>
      <w:proofErr w:type="spellStart"/>
      <w:r w:rsidRPr="00997786">
        <w:rPr>
          <w:i/>
          <w:color w:val="auto"/>
        </w:rPr>
        <w:t>Bemisia</w:t>
      </w:r>
      <w:proofErr w:type="spellEnd"/>
      <w:r w:rsidRPr="00997786">
        <w:rPr>
          <w:i/>
          <w:color w:val="auto"/>
        </w:rPr>
        <w:t xml:space="preserve"> </w:t>
      </w:r>
      <w:proofErr w:type="spellStart"/>
      <w:r w:rsidRPr="00997786">
        <w:rPr>
          <w:i/>
          <w:color w:val="auto"/>
        </w:rPr>
        <w:t>tabaci</w:t>
      </w:r>
      <w:proofErr w:type="spellEnd"/>
      <w:r w:rsidRPr="00997786">
        <w:rPr>
          <w:color w:val="auto"/>
        </w:rPr>
        <w:t xml:space="preserve">, </w:t>
      </w:r>
      <w:r w:rsidRPr="00997786">
        <w:rPr>
          <w:i/>
          <w:iCs/>
          <w:color w:val="auto"/>
          <w:lang w:eastAsia="zh-CN"/>
        </w:rPr>
        <w:t>T</w:t>
      </w:r>
      <w:r w:rsidRPr="00997786">
        <w:rPr>
          <w:i/>
          <w:iCs/>
          <w:color w:val="auto"/>
        </w:rPr>
        <w:t>omato yellow leaf curl virus</w:t>
      </w:r>
      <w:r w:rsidRPr="00997786">
        <w:rPr>
          <w:iCs/>
          <w:color w:val="auto"/>
        </w:rPr>
        <w:t>, dissection, primary salivary gland, midgut</w:t>
      </w:r>
    </w:p>
    <w:p w14:paraId="244E787C" w14:textId="77777777" w:rsidR="00D25D72" w:rsidRDefault="00D25D72" w:rsidP="008E4526">
      <w:pPr>
        <w:rPr>
          <w:b/>
          <w:bCs/>
          <w:color w:val="auto"/>
        </w:rPr>
      </w:pPr>
    </w:p>
    <w:p w14:paraId="70BBC4E2" w14:textId="6603367E" w:rsidR="003C5D74" w:rsidRPr="00997786" w:rsidRDefault="003C5D74" w:rsidP="008E4526">
      <w:pPr>
        <w:rPr>
          <w:color w:val="auto"/>
        </w:rPr>
      </w:pPr>
      <w:r w:rsidRPr="00997786">
        <w:rPr>
          <w:b/>
          <w:bCs/>
          <w:color w:val="auto"/>
        </w:rPr>
        <w:t>SUMMARY:</w:t>
      </w:r>
    </w:p>
    <w:p w14:paraId="6E7D18BF" w14:textId="3C7F8B81" w:rsidR="003C5D74" w:rsidRPr="00997786" w:rsidRDefault="003C5D74" w:rsidP="008E4526">
      <w:pPr>
        <w:rPr>
          <w:color w:val="auto"/>
        </w:rPr>
      </w:pPr>
      <w:r w:rsidRPr="00997786">
        <w:rPr>
          <w:color w:val="auto"/>
        </w:rPr>
        <w:t xml:space="preserve">We describe </w:t>
      </w:r>
      <w:r w:rsidR="00755FB3">
        <w:rPr>
          <w:color w:val="auto"/>
        </w:rPr>
        <w:t>an</w:t>
      </w:r>
      <w:r w:rsidRPr="00997786">
        <w:rPr>
          <w:color w:val="auto"/>
        </w:rPr>
        <w:t xml:space="preserve"> immunofluorescence and quantitative PCR method for the localization and quantification of </w:t>
      </w:r>
      <w:proofErr w:type="spellStart"/>
      <w:r w:rsidRPr="00997786">
        <w:rPr>
          <w:color w:val="auto"/>
        </w:rPr>
        <w:t>begomoviruses</w:t>
      </w:r>
      <w:proofErr w:type="spellEnd"/>
      <w:r w:rsidRPr="00997786">
        <w:rPr>
          <w:color w:val="auto"/>
        </w:rPr>
        <w:t xml:space="preserve"> in insect tissues. The immunofluorescence </w:t>
      </w:r>
      <w:r w:rsidR="00755FB3" w:rsidRPr="00997786">
        <w:rPr>
          <w:color w:val="auto"/>
        </w:rPr>
        <w:t xml:space="preserve">protocol </w:t>
      </w:r>
      <w:r w:rsidRPr="00997786">
        <w:rPr>
          <w:color w:val="auto"/>
        </w:rPr>
        <w:t xml:space="preserve">can be used to </w:t>
      </w:r>
      <w:r w:rsidR="00755FB3">
        <w:rPr>
          <w:color w:val="auto"/>
        </w:rPr>
        <w:t>colocalize</w:t>
      </w:r>
      <w:r w:rsidRPr="00997786">
        <w:rPr>
          <w:color w:val="auto"/>
        </w:rPr>
        <w:t xml:space="preserve"> viral and vector proteins. The quantitative PCR </w:t>
      </w:r>
      <w:r w:rsidR="00755FB3" w:rsidRPr="00997786">
        <w:rPr>
          <w:color w:val="auto"/>
        </w:rPr>
        <w:t xml:space="preserve">protocol </w:t>
      </w:r>
      <w:r w:rsidRPr="00997786">
        <w:rPr>
          <w:color w:val="auto"/>
        </w:rPr>
        <w:t xml:space="preserve">can be extended to quantify viruses in whole </w:t>
      </w:r>
      <w:r w:rsidR="002C0918" w:rsidRPr="00997786">
        <w:rPr>
          <w:color w:val="auto"/>
        </w:rPr>
        <w:t xml:space="preserve">whitefly </w:t>
      </w:r>
      <w:r w:rsidRPr="00997786">
        <w:rPr>
          <w:color w:val="auto"/>
        </w:rPr>
        <w:t>bod</w:t>
      </w:r>
      <w:r w:rsidR="002C0918">
        <w:rPr>
          <w:color w:val="auto"/>
        </w:rPr>
        <w:t>ies</w:t>
      </w:r>
      <w:r w:rsidRPr="00997786">
        <w:rPr>
          <w:color w:val="auto"/>
        </w:rPr>
        <w:t xml:space="preserve"> and virus-infected plants.</w:t>
      </w:r>
    </w:p>
    <w:p w14:paraId="4714A45F" w14:textId="77777777" w:rsidR="00D25D72" w:rsidRDefault="00D25D72" w:rsidP="008E4526">
      <w:pPr>
        <w:rPr>
          <w:b/>
          <w:bCs/>
        </w:rPr>
      </w:pPr>
    </w:p>
    <w:p w14:paraId="502B40F6" w14:textId="647A68D5" w:rsidR="003C5D74" w:rsidRPr="00997786" w:rsidRDefault="003C5D74" w:rsidP="008E4526">
      <w:pPr>
        <w:rPr>
          <w:color w:val="808080"/>
        </w:rPr>
      </w:pPr>
      <w:r w:rsidRPr="00997786">
        <w:rPr>
          <w:b/>
          <w:bCs/>
        </w:rPr>
        <w:t>ABSTRACT:</w:t>
      </w:r>
    </w:p>
    <w:p w14:paraId="2667F4A9" w14:textId="05166512" w:rsidR="003C5D74" w:rsidRPr="00997786" w:rsidRDefault="003C5D74" w:rsidP="008E4526">
      <w:proofErr w:type="spellStart"/>
      <w:r w:rsidRPr="00997786">
        <w:rPr>
          <w:iCs/>
        </w:rPr>
        <w:t>Begomoviruses</w:t>
      </w:r>
      <w:proofErr w:type="spellEnd"/>
      <w:r w:rsidRPr="00997786">
        <w:rPr>
          <w:iCs/>
        </w:rPr>
        <w:t xml:space="preserve"> </w:t>
      </w:r>
      <w:r w:rsidRPr="00997786">
        <w:t xml:space="preserve">(genus </w:t>
      </w:r>
      <w:proofErr w:type="spellStart"/>
      <w:r w:rsidRPr="00997786">
        <w:rPr>
          <w:i/>
          <w:iCs/>
        </w:rPr>
        <w:t>Begomovirus</w:t>
      </w:r>
      <w:proofErr w:type="spellEnd"/>
      <w:r w:rsidRPr="00997786">
        <w:t xml:space="preserve">, family </w:t>
      </w:r>
      <w:proofErr w:type="spellStart"/>
      <w:r w:rsidRPr="00997786">
        <w:rPr>
          <w:i/>
          <w:iCs/>
        </w:rPr>
        <w:t>Geminiviridae</w:t>
      </w:r>
      <w:proofErr w:type="spellEnd"/>
      <w:r w:rsidRPr="00997786">
        <w:t xml:space="preserve">) are transmitted by whiteflies of the </w:t>
      </w:r>
      <w:proofErr w:type="spellStart"/>
      <w:r w:rsidRPr="00997786">
        <w:rPr>
          <w:i/>
          <w:iCs/>
        </w:rPr>
        <w:t>Bemisia</w:t>
      </w:r>
      <w:proofErr w:type="spellEnd"/>
      <w:r w:rsidRPr="00997786">
        <w:rPr>
          <w:i/>
          <w:iCs/>
        </w:rPr>
        <w:t xml:space="preserve"> </w:t>
      </w:r>
      <w:proofErr w:type="spellStart"/>
      <w:r w:rsidRPr="00997786">
        <w:rPr>
          <w:i/>
          <w:iCs/>
        </w:rPr>
        <w:t>tabaci</w:t>
      </w:r>
      <w:proofErr w:type="spellEnd"/>
      <w:r w:rsidRPr="00997786">
        <w:t xml:space="preserve"> complex in a persistent</w:t>
      </w:r>
      <w:r w:rsidR="002C0918">
        <w:t>,</w:t>
      </w:r>
      <w:r w:rsidRPr="00997786">
        <w:t xml:space="preserve"> circulative manner. Considering the extensive damage caused by </w:t>
      </w:r>
      <w:proofErr w:type="spellStart"/>
      <w:r w:rsidRPr="00997786">
        <w:t>begomoviruses</w:t>
      </w:r>
      <w:proofErr w:type="spellEnd"/>
      <w:r w:rsidRPr="00997786">
        <w:t xml:space="preserve"> to crop production worldwide, it is imperative to understand the interaction between </w:t>
      </w:r>
      <w:proofErr w:type="spellStart"/>
      <w:r w:rsidRPr="00997786">
        <w:t>begomoviruses</w:t>
      </w:r>
      <w:proofErr w:type="spellEnd"/>
      <w:r w:rsidRPr="00997786">
        <w:t xml:space="preserve"> and their whitefly vector</w:t>
      </w:r>
      <w:r w:rsidR="00062748">
        <w:t>.</w:t>
      </w:r>
      <w:r w:rsidRPr="00997786">
        <w:t xml:space="preserve"> </w:t>
      </w:r>
      <w:r w:rsidR="00062748">
        <w:t xml:space="preserve">To do so, </w:t>
      </w:r>
      <w:r w:rsidRPr="00997786">
        <w:t xml:space="preserve">localization and quantification of </w:t>
      </w:r>
      <w:r w:rsidR="00062748">
        <w:t xml:space="preserve">the </w:t>
      </w:r>
      <w:r w:rsidRPr="00997786">
        <w:t xml:space="preserve">virus in </w:t>
      </w:r>
      <w:r w:rsidR="00062748">
        <w:t xml:space="preserve">the </w:t>
      </w:r>
      <w:r w:rsidRPr="00997786">
        <w:t>vector tissues is crucial. Here</w:t>
      </w:r>
      <w:r w:rsidR="00062748">
        <w:t>,</w:t>
      </w:r>
      <w:r w:rsidRPr="00997786">
        <w:t xml:space="preserve"> using tomato yellow leaf curl virus (TYLCV) as an example, we describe a detailed protocol to localize </w:t>
      </w:r>
      <w:proofErr w:type="spellStart"/>
      <w:r w:rsidRPr="00997786">
        <w:t>begomoviruses</w:t>
      </w:r>
      <w:proofErr w:type="spellEnd"/>
      <w:r w:rsidRPr="00997786">
        <w:t xml:space="preserve"> in whitefly midguts, primary salivary glands</w:t>
      </w:r>
      <w:r w:rsidR="00062748">
        <w:t>,</w:t>
      </w:r>
      <w:r w:rsidRPr="00997786">
        <w:t xml:space="preserve"> and ovaries by immunofluorescence. The method is based on the use of specific antibodies against </w:t>
      </w:r>
      <w:r w:rsidR="00062748">
        <w:t xml:space="preserve">a </w:t>
      </w:r>
      <w:r w:rsidRPr="00997786">
        <w:t xml:space="preserve">virus coat protein, dye-labeled secondary antibodies, and </w:t>
      </w:r>
      <w:r w:rsidR="00062748">
        <w:t xml:space="preserve">a </w:t>
      </w:r>
      <w:r w:rsidRPr="00997786">
        <w:t xml:space="preserve">confocal microscope. The protocol can also be used to </w:t>
      </w:r>
      <w:r w:rsidR="00755FB3">
        <w:t>colocalize</w:t>
      </w:r>
      <w:r w:rsidRPr="00997786">
        <w:t xml:space="preserve"> begomoviral and whitefly proteins. We further describe a protocol for the quantification of TYLCV in whitefly midguts, primary salivary glands, hemolymph</w:t>
      </w:r>
      <w:r w:rsidR="00062748">
        <w:t>,</w:t>
      </w:r>
      <w:r w:rsidRPr="00997786">
        <w:t xml:space="preserve"> and </w:t>
      </w:r>
      <w:r w:rsidRPr="00997786">
        <w:lastRenderedPageBreak/>
        <w:t xml:space="preserve">ovaries by quantitative PCR (qPCR). Using primers specifically designed for TYLCV, the protocols for quantification allow the comparison of </w:t>
      </w:r>
      <w:r w:rsidR="00062748">
        <w:t xml:space="preserve">the </w:t>
      </w:r>
      <w:r w:rsidRPr="00997786">
        <w:t xml:space="preserve">amount of TYLCV in different tissues of </w:t>
      </w:r>
      <w:r w:rsidR="00062748">
        <w:t xml:space="preserve">the </w:t>
      </w:r>
      <w:r w:rsidRPr="00997786">
        <w:t xml:space="preserve">whitefly. The described protocol is potentially useful for the quantification of </w:t>
      </w:r>
      <w:proofErr w:type="spellStart"/>
      <w:r w:rsidRPr="00997786">
        <w:t>begomoviruses</w:t>
      </w:r>
      <w:proofErr w:type="spellEnd"/>
      <w:r w:rsidRPr="00997786">
        <w:t xml:space="preserve"> in </w:t>
      </w:r>
      <w:r w:rsidR="00062748">
        <w:t xml:space="preserve">the </w:t>
      </w:r>
      <w:r w:rsidRPr="00997786">
        <w:t xml:space="preserve">body </w:t>
      </w:r>
      <w:r w:rsidR="00062748">
        <w:t xml:space="preserve">of a </w:t>
      </w:r>
      <w:r w:rsidR="00062748" w:rsidRPr="00997786">
        <w:t xml:space="preserve">whitefly </w:t>
      </w:r>
      <w:r w:rsidRPr="00997786">
        <w:t xml:space="preserve">and </w:t>
      </w:r>
      <w:r w:rsidR="00062748">
        <w:t xml:space="preserve">a </w:t>
      </w:r>
      <w:r w:rsidRPr="00997786">
        <w:t xml:space="preserve">virus-infected plant. These protocols can be used to analyze the circulation pathway of </w:t>
      </w:r>
      <w:proofErr w:type="spellStart"/>
      <w:r w:rsidRPr="00997786">
        <w:t>begomoviruses</w:t>
      </w:r>
      <w:proofErr w:type="spellEnd"/>
      <w:r w:rsidRPr="00997786">
        <w:t xml:space="preserve"> in </w:t>
      </w:r>
      <w:r w:rsidR="00062748">
        <w:t xml:space="preserve">the </w:t>
      </w:r>
      <w:r w:rsidRPr="00997786">
        <w:t>whitefly or as a complement to other methods to study whitefly-</w:t>
      </w:r>
      <w:proofErr w:type="spellStart"/>
      <w:r w:rsidRPr="00997786">
        <w:t>begomovirus</w:t>
      </w:r>
      <w:proofErr w:type="spellEnd"/>
      <w:r w:rsidRPr="00997786">
        <w:t xml:space="preserve"> interaction</w:t>
      </w:r>
      <w:r w:rsidRPr="00997786">
        <w:rPr>
          <w:rFonts w:hint="eastAsia"/>
          <w:lang w:eastAsia="zh-CN"/>
        </w:rPr>
        <w:t>s</w:t>
      </w:r>
      <w:r w:rsidRPr="00997786">
        <w:t>.</w:t>
      </w:r>
    </w:p>
    <w:p w14:paraId="547004F8" w14:textId="77777777" w:rsidR="00D25D72" w:rsidRDefault="00D25D72" w:rsidP="008E4526">
      <w:pPr>
        <w:rPr>
          <w:b/>
        </w:rPr>
      </w:pPr>
    </w:p>
    <w:p w14:paraId="7D21C252" w14:textId="39A6F0C8" w:rsidR="003C5D74" w:rsidRPr="00997786" w:rsidRDefault="003C5D74" w:rsidP="008E4526">
      <w:pPr>
        <w:rPr>
          <w:color w:val="808080"/>
        </w:rPr>
      </w:pPr>
      <w:r w:rsidRPr="00997786">
        <w:rPr>
          <w:b/>
        </w:rPr>
        <w:t>INTRODUCTION</w:t>
      </w:r>
      <w:r w:rsidRPr="00997786">
        <w:rPr>
          <w:b/>
          <w:bCs/>
        </w:rPr>
        <w:t>:</w:t>
      </w:r>
    </w:p>
    <w:p w14:paraId="1328B635" w14:textId="2D6ECB72" w:rsidR="003C5D74" w:rsidRDefault="003C5D74" w:rsidP="008E4526">
      <w:r w:rsidRPr="00997786">
        <w:t xml:space="preserve">In the last decades, </w:t>
      </w:r>
      <w:proofErr w:type="spellStart"/>
      <w:r w:rsidRPr="00997786">
        <w:t>begomoviruses</w:t>
      </w:r>
      <w:proofErr w:type="spellEnd"/>
      <w:r w:rsidRPr="00997786">
        <w:t xml:space="preserve"> (genus </w:t>
      </w:r>
      <w:proofErr w:type="spellStart"/>
      <w:r w:rsidRPr="00997786">
        <w:rPr>
          <w:rStyle w:val="html-italic"/>
          <w:i/>
        </w:rPr>
        <w:t>Begomovirus</w:t>
      </w:r>
      <w:proofErr w:type="spellEnd"/>
      <w:r w:rsidRPr="00997786">
        <w:t xml:space="preserve">, family </w:t>
      </w:r>
      <w:proofErr w:type="spellStart"/>
      <w:r w:rsidRPr="00997786">
        <w:rPr>
          <w:rStyle w:val="html-italic"/>
          <w:i/>
        </w:rPr>
        <w:t>Geminiviridae</w:t>
      </w:r>
      <w:proofErr w:type="spellEnd"/>
      <w:r w:rsidRPr="00997786">
        <w:t>) have caused serious damage to the production of many vegetable, fiber</w:t>
      </w:r>
      <w:r w:rsidR="00755FB3">
        <w:t>,</w:t>
      </w:r>
      <w:r w:rsidRPr="00997786">
        <w:t xml:space="preserve"> and ornamental crops worldwide</w:t>
      </w:r>
      <w:r w:rsidRPr="00997786">
        <w:rPr>
          <w:noProof/>
          <w:vertAlign w:val="superscript"/>
        </w:rPr>
        <w:t>1</w:t>
      </w:r>
      <w:r w:rsidRPr="00997786">
        <w:t>.</w:t>
      </w:r>
      <w:r w:rsidRPr="00997786">
        <w:rPr>
          <w:vertAlign w:val="superscript"/>
        </w:rPr>
        <w:t xml:space="preserve"> </w:t>
      </w:r>
      <w:proofErr w:type="spellStart"/>
      <w:r w:rsidRPr="00997786">
        <w:t>Begomoviruses</w:t>
      </w:r>
      <w:proofErr w:type="spellEnd"/>
      <w:r w:rsidRPr="00997786">
        <w:t xml:space="preserve"> are transmitted in a persistent manner by the whitefly</w:t>
      </w:r>
      <w:r w:rsidRPr="00997786">
        <w:rPr>
          <w:i/>
          <w:iCs/>
        </w:rPr>
        <w:t xml:space="preserve"> </w:t>
      </w:r>
      <w:proofErr w:type="spellStart"/>
      <w:r w:rsidRPr="00997786">
        <w:rPr>
          <w:i/>
          <w:iCs/>
        </w:rPr>
        <w:t>Bemisia</w:t>
      </w:r>
      <w:proofErr w:type="spellEnd"/>
      <w:r w:rsidRPr="00997786">
        <w:rPr>
          <w:i/>
          <w:iCs/>
        </w:rPr>
        <w:t xml:space="preserve"> </w:t>
      </w:r>
      <w:proofErr w:type="spellStart"/>
      <w:r w:rsidRPr="00997786">
        <w:rPr>
          <w:i/>
          <w:iCs/>
        </w:rPr>
        <w:t>tabaci</w:t>
      </w:r>
      <w:proofErr w:type="spellEnd"/>
      <w:r w:rsidRPr="00997786">
        <w:t xml:space="preserve"> (</w:t>
      </w:r>
      <w:r w:rsidRPr="002C0918">
        <w:t>Hemiptera</w:t>
      </w:r>
      <w:r w:rsidRPr="00997786">
        <w:rPr>
          <w:lang w:eastAsia="zh-CN"/>
        </w:rPr>
        <w:t>:</w:t>
      </w:r>
      <w:r w:rsidRPr="00997786">
        <w:t xml:space="preserve"> Aleyrodidae), which is a </w:t>
      </w:r>
      <w:r w:rsidR="00062748" w:rsidRPr="00997786">
        <w:t xml:space="preserve">complex </w:t>
      </w:r>
      <w:r w:rsidRPr="00997786">
        <w:t xml:space="preserve">species </w:t>
      </w:r>
      <w:r w:rsidRPr="00997786">
        <w:rPr>
          <w:rStyle w:val="tlid-translation"/>
          <w:lang w:val="en"/>
        </w:rPr>
        <w:t>contain</w:t>
      </w:r>
      <w:r w:rsidRPr="00997786">
        <w:rPr>
          <w:rStyle w:val="tlid-translation"/>
          <w:lang w:val="en" w:eastAsia="zh-CN"/>
        </w:rPr>
        <w:t>ing</w:t>
      </w:r>
      <w:r w:rsidRPr="00997786">
        <w:t xml:space="preserve"> over 35 </w:t>
      </w:r>
      <w:r w:rsidRPr="002C0918">
        <w:t>cryptic</w:t>
      </w:r>
      <w:r w:rsidRPr="00997786">
        <w:t xml:space="preserve"> species</w:t>
      </w:r>
      <w:r w:rsidRPr="00997786">
        <w:rPr>
          <w:noProof/>
          <w:vertAlign w:val="superscript"/>
        </w:rPr>
        <w:t>2,3</w:t>
      </w:r>
      <w:r w:rsidRPr="00997786">
        <w:t xml:space="preserve">. </w:t>
      </w:r>
      <w:proofErr w:type="spellStart"/>
      <w:r w:rsidRPr="00997786">
        <w:t>Begomoviruses</w:t>
      </w:r>
      <w:proofErr w:type="spellEnd"/>
      <w:r w:rsidRPr="00997786">
        <w:t xml:space="preserve"> may directly or indirectly affect whitefly physiology and behavior, such as fecundit</w:t>
      </w:r>
      <w:r w:rsidRPr="00997786">
        <w:rPr>
          <w:lang w:eastAsia="zh-CN"/>
        </w:rPr>
        <w:t>y</w:t>
      </w:r>
      <w:r w:rsidRPr="00997786">
        <w:rPr>
          <w:noProof/>
          <w:vertAlign w:val="superscript"/>
          <w:lang w:eastAsia="zh-CN"/>
        </w:rPr>
        <w:t>4</w:t>
      </w:r>
      <w:r w:rsidRPr="00997786">
        <w:t xml:space="preserve">, </w:t>
      </w:r>
      <w:r w:rsidRPr="00997786">
        <w:rPr>
          <w:rStyle w:val="gt-baf-cell"/>
        </w:rPr>
        <w:t>longevity</w:t>
      </w:r>
      <w:r w:rsidRPr="00997786">
        <w:rPr>
          <w:rStyle w:val="gt-baf-cell"/>
          <w:noProof/>
          <w:vertAlign w:val="superscript"/>
        </w:rPr>
        <w:t>4</w:t>
      </w:r>
      <w:r w:rsidR="00755FB3">
        <w:rPr>
          <w:rStyle w:val="gt-baf-cell"/>
          <w:noProof/>
        </w:rPr>
        <w:t>,</w:t>
      </w:r>
      <w:r w:rsidRPr="00997786">
        <w:rPr>
          <w:rStyle w:val="gt-baf-cell"/>
        </w:rPr>
        <w:t xml:space="preserve"> and host </w:t>
      </w:r>
      <w:r w:rsidRPr="00997786">
        <w:t>preference</w:t>
      </w:r>
      <w:r w:rsidRPr="00997786">
        <w:rPr>
          <w:noProof/>
          <w:vertAlign w:val="superscript"/>
        </w:rPr>
        <w:t>5,6</w:t>
      </w:r>
      <w:r w:rsidRPr="00997786">
        <w:rPr>
          <w:rStyle w:val="gt-baf-cell"/>
        </w:rPr>
        <w:t xml:space="preserve">. Furthermore, </w:t>
      </w:r>
      <w:r w:rsidRPr="00997786">
        <w:rPr>
          <w:color w:val="auto"/>
        </w:rPr>
        <w:t xml:space="preserve">the transmission efficiency of a given </w:t>
      </w:r>
      <w:proofErr w:type="spellStart"/>
      <w:r w:rsidRPr="00997786">
        <w:rPr>
          <w:color w:val="auto"/>
        </w:rPr>
        <w:t>begomovirus</w:t>
      </w:r>
      <w:proofErr w:type="spellEnd"/>
      <w:r w:rsidRPr="00997786">
        <w:rPr>
          <w:color w:val="auto"/>
        </w:rPr>
        <w:t xml:space="preserve"> species</w:t>
      </w:r>
      <w:r w:rsidRPr="00997786">
        <w:rPr>
          <w:color w:val="auto"/>
          <w:lang w:eastAsia="zh-CN"/>
        </w:rPr>
        <w:t>/</w:t>
      </w:r>
      <w:r w:rsidRPr="00997786">
        <w:rPr>
          <w:color w:val="auto"/>
        </w:rPr>
        <w:t>strain varies for different whitefly cryptic species even under the same experimental condition</w:t>
      </w:r>
      <w:r w:rsidR="00062748">
        <w:rPr>
          <w:color w:val="auto"/>
        </w:rPr>
        <w:t>s</w:t>
      </w:r>
      <w:r w:rsidRPr="00997786">
        <w:rPr>
          <w:rStyle w:val="gt-baf-cell"/>
          <w:noProof/>
          <w:vertAlign w:val="superscript"/>
        </w:rPr>
        <w:t>7</w:t>
      </w:r>
      <w:r w:rsidR="002C0918" w:rsidRPr="002C0918">
        <w:rPr>
          <w:rStyle w:val="gt-baf-cell"/>
          <w:noProof/>
          <w:vertAlign w:val="superscript"/>
        </w:rPr>
        <w:t>–</w:t>
      </w:r>
      <w:r w:rsidRPr="00997786">
        <w:rPr>
          <w:rStyle w:val="gt-baf-cell"/>
          <w:noProof/>
          <w:vertAlign w:val="superscript"/>
        </w:rPr>
        <w:t>10</w:t>
      </w:r>
      <w:r w:rsidRPr="00997786">
        <w:t xml:space="preserve">, indicating that there is a complex interaction between </w:t>
      </w:r>
      <w:proofErr w:type="spellStart"/>
      <w:r w:rsidRPr="00997786">
        <w:t>begomoviruses</w:t>
      </w:r>
      <w:proofErr w:type="spellEnd"/>
      <w:r w:rsidRPr="00997786">
        <w:t xml:space="preserve"> and whiteflies. To better understand the mechanisms underlying whitefly</w:t>
      </w:r>
      <w:r w:rsidR="00062748">
        <w:t>-</w:t>
      </w:r>
      <w:proofErr w:type="spellStart"/>
      <w:r w:rsidRPr="00997786">
        <w:t>begomovirus</w:t>
      </w:r>
      <w:proofErr w:type="spellEnd"/>
      <w:r w:rsidRPr="00997786">
        <w:t xml:space="preserve"> interaction</w:t>
      </w:r>
      <w:r w:rsidR="00062748">
        <w:t>s</w:t>
      </w:r>
      <w:r w:rsidRPr="00997786">
        <w:t>, loca</w:t>
      </w:r>
      <w:r w:rsidRPr="00997786">
        <w:rPr>
          <w:lang w:eastAsia="zh-CN"/>
        </w:rPr>
        <w:t>lization</w:t>
      </w:r>
      <w:r w:rsidRPr="00997786">
        <w:t xml:space="preserve"> and quantification of </w:t>
      </w:r>
      <w:r w:rsidR="00062748">
        <w:t xml:space="preserve">the </w:t>
      </w:r>
      <w:r w:rsidRPr="00997786">
        <w:t>virus in whitefly tissues are essential.</w:t>
      </w:r>
    </w:p>
    <w:p w14:paraId="273101B1" w14:textId="77777777" w:rsidR="00D25D72" w:rsidRPr="00997786" w:rsidRDefault="00D25D72" w:rsidP="008E4526"/>
    <w:p w14:paraId="1BE2D0D2" w14:textId="06B5D056" w:rsidR="003C5D74" w:rsidRDefault="003C5D74" w:rsidP="008E4526">
      <w:r w:rsidRPr="00997786">
        <w:rPr>
          <w:rFonts w:eastAsiaTheme="majorEastAsia"/>
          <w:iCs/>
        </w:rPr>
        <w:t>Tomato yellow leaf curl virus</w:t>
      </w:r>
      <w:r w:rsidRPr="00997786">
        <w:t xml:space="preserve"> (TYLCV) is a </w:t>
      </w:r>
      <w:proofErr w:type="spellStart"/>
      <w:r w:rsidRPr="00997786">
        <w:t>begomovirus</w:t>
      </w:r>
      <w:proofErr w:type="spellEnd"/>
      <w:r w:rsidRPr="00997786">
        <w:t xml:space="preserve"> that was first reported in Israel </w:t>
      </w:r>
      <w:r w:rsidR="009D289D">
        <w:t>but</w:t>
      </w:r>
      <w:r w:rsidRPr="00997786">
        <w:t xml:space="preserve"> nowadays causes serious damage to tomato production worldwide</w:t>
      </w:r>
      <w:r w:rsidRPr="00997786">
        <w:rPr>
          <w:noProof/>
          <w:vertAlign w:val="superscript"/>
        </w:rPr>
        <w:t>11,12</w:t>
      </w:r>
      <w:r w:rsidRPr="00997786">
        <w:t xml:space="preserve">. Due to its economic importance, </w:t>
      </w:r>
      <w:r w:rsidR="00062748">
        <w:t>it</w:t>
      </w:r>
      <w:r w:rsidRPr="00997786">
        <w:t xml:space="preserve"> is one of the best-studied begomoviruses</w:t>
      </w:r>
      <w:r w:rsidRPr="00997786">
        <w:rPr>
          <w:noProof/>
          <w:vertAlign w:val="superscript"/>
        </w:rPr>
        <w:t>13</w:t>
      </w:r>
      <w:r w:rsidRPr="00997786">
        <w:t xml:space="preserve">. Like other monopartite </w:t>
      </w:r>
      <w:proofErr w:type="spellStart"/>
      <w:r w:rsidRPr="00997786">
        <w:t>begomoviruses</w:t>
      </w:r>
      <w:proofErr w:type="spellEnd"/>
      <w:r w:rsidRPr="00997786">
        <w:t>, TYLCV is a single-strand circular DNA virus with a genome size of about 2</w:t>
      </w:r>
      <w:r w:rsidR="00062748">
        <w:t>,</w:t>
      </w:r>
      <w:r w:rsidRPr="00997786">
        <w:t>800 nucleotides</w:t>
      </w:r>
      <w:bookmarkStart w:id="11" w:name="bbib0385"/>
      <w:r w:rsidRPr="00997786">
        <w:rPr>
          <w:noProof/>
          <w:vertAlign w:val="superscript"/>
        </w:rPr>
        <w:t>14</w:t>
      </w:r>
      <w:r w:rsidRPr="00997786">
        <w:t xml:space="preserve">. </w:t>
      </w:r>
      <w:r w:rsidRPr="00997786">
        <w:rPr>
          <w:color w:val="auto"/>
        </w:rPr>
        <w:t>While still under debate,</w:t>
      </w:r>
      <w:r w:rsidRPr="00997786">
        <w:rPr>
          <w:rFonts w:hint="eastAsia"/>
          <w:color w:val="auto"/>
          <w:lang w:eastAsia="zh-CN"/>
        </w:rPr>
        <w:t xml:space="preserve"> </w:t>
      </w:r>
      <w:r w:rsidRPr="00997786">
        <w:rPr>
          <w:color w:val="auto"/>
        </w:rPr>
        <w:t>several lines of evidence support the replication of TYLCV in whitefl</w:t>
      </w:r>
      <w:r w:rsidR="00062748">
        <w:rPr>
          <w:color w:val="auto"/>
        </w:rPr>
        <w:t>ies</w:t>
      </w:r>
      <w:r w:rsidRPr="00997786">
        <w:rPr>
          <w:noProof/>
          <w:color w:val="auto"/>
          <w:vertAlign w:val="superscript"/>
        </w:rPr>
        <w:t>15</w:t>
      </w:r>
      <w:r w:rsidR="002C0918" w:rsidRPr="002C0918">
        <w:rPr>
          <w:noProof/>
          <w:color w:val="auto"/>
          <w:vertAlign w:val="superscript"/>
        </w:rPr>
        <w:t>–</w:t>
      </w:r>
      <w:r w:rsidRPr="00997786">
        <w:rPr>
          <w:noProof/>
          <w:color w:val="auto"/>
          <w:vertAlign w:val="superscript"/>
        </w:rPr>
        <w:t>17</w:t>
      </w:r>
      <w:r w:rsidRPr="00997786">
        <w:rPr>
          <w:color w:val="auto"/>
        </w:rPr>
        <w:t>. Moreover, the interaction of TYLCV particle</w:t>
      </w:r>
      <w:r w:rsidR="00062748">
        <w:rPr>
          <w:color w:val="auto"/>
        </w:rPr>
        <w:t>s</w:t>
      </w:r>
      <w:r w:rsidRPr="00997786">
        <w:rPr>
          <w:color w:val="auto"/>
        </w:rPr>
        <w:t xml:space="preserve"> and whitefly proteins </w:t>
      </w:r>
      <w:r w:rsidR="00062748">
        <w:rPr>
          <w:color w:val="auto"/>
        </w:rPr>
        <w:t>has</w:t>
      </w:r>
      <w:r w:rsidR="00062748" w:rsidRPr="00997786">
        <w:rPr>
          <w:color w:val="auto"/>
        </w:rPr>
        <w:t xml:space="preserve"> </w:t>
      </w:r>
      <w:r w:rsidRPr="00997786">
        <w:rPr>
          <w:color w:val="auto"/>
        </w:rPr>
        <w:t>been reported</w:t>
      </w:r>
      <w:r w:rsidRPr="00997786">
        <w:rPr>
          <w:noProof/>
          <w:color w:val="auto"/>
          <w:vertAlign w:val="superscript"/>
        </w:rPr>
        <w:t>6,18</w:t>
      </w:r>
      <w:r w:rsidR="002C0918" w:rsidRPr="002C0918">
        <w:rPr>
          <w:noProof/>
          <w:color w:val="auto"/>
          <w:vertAlign w:val="superscript"/>
        </w:rPr>
        <w:t>–</w:t>
      </w:r>
      <w:r w:rsidRPr="00997786">
        <w:rPr>
          <w:noProof/>
          <w:color w:val="auto"/>
          <w:vertAlign w:val="superscript"/>
        </w:rPr>
        <w:t>20</w:t>
      </w:r>
      <w:r w:rsidRPr="00997786">
        <w:rPr>
          <w:color w:val="auto"/>
        </w:rPr>
        <w:t>.</w:t>
      </w:r>
      <w:bookmarkEnd w:id="11"/>
      <w:r w:rsidRPr="00997786">
        <w:rPr>
          <w:color w:val="auto"/>
          <w:lang w:eastAsia="zh-CN"/>
        </w:rPr>
        <w:t xml:space="preserve"> </w:t>
      </w:r>
      <w:r w:rsidRPr="00997786">
        <w:t xml:space="preserve">For virus transmission, </w:t>
      </w:r>
      <w:r w:rsidRPr="00997786">
        <w:rPr>
          <w:iCs/>
        </w:rPr>
        <w:t>whiteflies</w:t>
      </w:r>
      <w:r w:rsidRPr="00997786">
        <w:rPr>
          <w:i/>
          <w:iCs/>
        </w:rPr>
        <w:t xml:space="preserve"> </w:t>
      </w:r>
      <w:r w:rsidRPr="00997786">
        <w:rPr>
          <w:iCs/>
        </w:rPr>
        <w:t xml:space="preserve">acquire </w:t>
      </w:r>
      <w:r w:rsidRPr="00997786">
        <w:t>TYLCV by feeding on virus-infected plants, virions pass along the food canal to reach the esophagus</w:t>
      </w:r>
      <w:r w:rsidR="00062748">
        <w:t>,</w:t>
      </w:r>
      <w:r w:rsidRPr="00997786">
        <w:t xml:space="preserve"> penetrate the midgut wall to reach the hemolymph, </w:t>
      </w:r>
      <w:r w:rsidR="00062748">
        <w:t>and</w:t>
      </w:r>
      <w:r w:rsidR="00062748" w:rsidRPr="00997786">
        <w:t xml:space="preserve"> </w:t>
      </w:r>
      <w:r w:rsidRPr="00997786">
        <w:t>the</w:t>
      </w:r>
      <w:r w:rsidR="00062748">
        <w:t>n</w:t>
      </w:r>
      <w:r w:rsidRPr="00997786">
        <w:t xml:space="preserve"> translocate into the primary salivary glands (PSGs). Finally, virions are egested with saliva along the salivary duct into plant phloem</w:t>
      </w:r>
      <w:r w:rsidRPr="00997786">
        <w:rPr>
          <w:noProof/>
          <w:vertAlign w:val="superscript"/>
        </w:rPr>
        <w:t>21</w:t>
      </w:r>
      <w:r w:rsidRPr="00997786">
        <w:t xml:space="preserve">. Furthermore, several studies show that TYLCV </w:t>
      </w:r>
      <w:proofErr w:type="gramStart"/>
      <w:r w:rsidRPr="00997786">
        <w:t>is able to</w:t>
      </w:r>
      <w:proofErr w:type="gramEnd"/>
      <w:r w:rsidRPr="00997786">
        <w:t xml:space="preserve"> be </w:t>
      </w:r>
      <w:proofErr w:type="spellStart"/>
      <w:r w:rsidRPr="002C0918">
        <w:t>transovarially</w:t>
      </w:r>
      <w:proofErr w:type="spellEnd"/>
      <w:r w:rsidRPr="00997786">
        <w:t xml:space="preserve"> transmitted from female whiteflies to </w:t>
      </w:r>
      <w:r w:rsidR="00C23365">
        <w:t xml:space="preserve">their </w:t>
      </w:r>
      <w:r w:rsidRPr="00997786">
        <w:t>offspring</w:t>
      </w:r>
      <w:r w:rsidRPr="00997786">
        <w:rPr>
          <w:noProof/>
          <w:vertAlign w:val="superscript"/>
        </w:rPr>
        <w:t>22,23</w:t>
      </w:r>
      <w:r w:rsidRPr="00997786">
        <w:t xml:space="preserve">. In other words, to achieve productive transmission, </w:t>
      </w:r>
      <w:r w:rsidR="004B2564" w:rsidRPr="00997786">
        <w:t xml:space="preserve">the </w:t>
      </w:r>
      <w:r w:rsidRPr="00997786">
        <w:t xml:space="preserve">virus has to overcome cellular barriers within the whitefly to translocate from one tissue to another. During the crossing of these barriers, interactions between whitefly and virus proteins </w:t>
      </w:r>
      <w:r w:rsidR="002C0918">
        <w:t>are likely to</w:t>
      </w:r>
      <w:r w:rsidR="002C0918" w:rsidRPr="00997786">
        <w:t xml:space="preserve"> </w:t>
      </w:r>
      <w:r w:rsidRPr="00997786">
        <w:t xml:space="preserve">occur, probably determining the efficiency with which </w:t>
      </w:r>
      <w:r w:rsidR="00C23365">
        <w:t xml:space="preserve">the </w:t>
      </w:r>
      <w:r w:rsidRPr="00997786">
        <w:t>viruses are transmitted.</w:t>
      </w:r>
    </w:p>
    <w:p w14:paraId="79251C1B" w14:textId="77777777" w:rsidR="00D25D72" w:rsidRPr="00997786" w:rsidRDefault="00D25D72" w:rsidP="008E4526"/>
    <w:p w14:paraId="6771B94A" w14:textId="28C3D5FF" w:rsidR="003C5D74" w:rsidRDefault="003C5D74" w:rsidP="008E4526">
      <w:r w:rsidRPr="00997786">
        <w:t xml:space="preserve">Immunofluorescence </w:t>
      </w:r>
      <w:r w:rsidRPr="00997786">
        <w:rPr>
          <w:rStyle w:val="tlid-translation"/>
          <w:lang w:val="en"/>
        </w:rPr>
        <w:t xml:space="preserve">is a commonly used technique for protein distribution analysis. The specificity of antibodies binding to their antigen form the </w:t>
      </w:r>
      <w:r w:rsidR="00C23365">
        <w:rPr>
          <w:rStyle w:val="tlid-translation"/>
          <w:lang w:val="en"/>
        </w:rPr>
        <w:t>basis</w:t>
      </w:r>
      <w:r w:rsidR="00C23365" w:rsidRPr="00997786">
        <w:rPr>
          <w:rStyle w:val="tlid-translation"/>
          <w:lang w:val="en"/>
        </w:rPr>
        <w:t xml:space="preserve"> </w:t>
      </w:r>
      <w:r w:rsidRPr="00997786">
        <w:rPr>
          <w:rStyle w:val="tlid-translation"/>
          <w:lang w:val="en"/>
        </w:rPr>
        <w:t>of immunofluorescence. Due to the economic significance of TYLCV, monoclonal antibodies against the TYLCV coat protein have been developed, offering a highly sensitive way to localize the virus</w:t>
      </w:r>
      <w:r w:rsidRPr="00997786">
        <w:rPr>
          <w:rStyle w:val="tlid-translation"/>
          <w:noProof/>
          <w:vertAlign w:val="superscript"/>
          <w:lang w:val="en"/>
        </w:rPr>
        <w:t>24</w:t>
      </w:r>
      <w:r w:rsidRPr="00997786">
        <w:rPr>
          <w:rStyle w:val="tlid-translation"/>
          <w:lang w:val="en"/>
        </w:rPr>
        <w:t xml:space="preserve">. Quantitative PCR (qPCR) allows sensitive and specific quantification of nucleic acids. </w:t>
      </w:r>
      <w:r w:rsidRPr="00997786">
        <w:t xml:space="preserve">This technique is most </w:t>
      </w:r>
      <w:r w:rsidRPr="00997786">
        <w:lastRenderedPageBreak/>
        <w:t xml:space="preserve">frequently based on the use of </w:t>
      </w:r>
      <w:r w:rsidR="00623ACC">
        <w:t xml:space="preserve">hydrolysis probe (e.g., </w:t>
      </w:r>
      <w:r w:rsidRPr="00997786">
        <w:t>TaqMan</w:t>
      </w:r>
      <w:r w:rsidR="00623ACC">
        <w:t>)</w:t>
      </w:r>
      <w:r w:rsidRPr="00997786">
        <w:t xml:space="preserve"> or</w:t>
      </w:r>
      <w:r w:rsidR="00623ACC">
        <w:t xml:space="preserve"> fluorescent</w:t>
      </w:r>
      <w:r w:rsidR="00133AE8">
        <w:t xml:space="preserve"> dye</w:t>
      </w:r>
      <w:r w:rsidR="00623ACC">
        <w:t xml:space="preserve"> (e.g.,</w:t>
      </w:r>
      <w:r w:rsidRPr="00997786">
        <w:t xml:space="preserve"> SYBR Green</w:t>
      </w:r>
      <w:r w:rsidR="00623ACC">
        <w:t>)</w:t>
      </w:r>
      <w:r w:rsidR="00133AE8">
        <w:t xml:space="preserve"> detection</w:t>
      </w:r>
      <w:r w:rsidRPr="00997786">
        <w:t xml:space="preserve">. For </w:t>
      </w:r>
      <w:r w:rsidR="00623ACC">
        <w:t>hydrolysis probe</w:t>
      </w:r>
      <w:r w:rsidRPr="00997786">
        <w:t xml:space="preserve">-based qPCR, specific probes are needed, which consequently increase </w:t>
      </w:r>
      <w:r w:rsidR="00623ACC">
        <w:t xml:space="preserve">the </w:t>
      </w:r>
      <w:r w:rsidRPr="00997786">
        <w:t>cost</w:t>
      </w:r>
      <w:r w:rsidRPr="00997786">
        <w:rPr>
          <w:lang w:val="en"/>
        </w:rPr>
        <w:t>.</w:t>
      </w:r>
      <w:r w:rsidRPr="00997786">
        <w:rPr>
          <w:rStyle w:val="tlid-translation"/>
          <w:lang w:val="en"/>
        </w:rPr>
        <w:t xml:space="preserve"> </w:t>
      </w:r>
      <w:r w:rsidR="00623ACC">
        <w:rPr>
          <w:rStyle w:val="tlid-translation"/>
          <w:lang w:val="en"/>
        </w:rPr>
        <w:t>Fluorescent dye</w:t>
      </w:r>
      <w:r w:rsidR="00623ACC" w:rsidRPr="00997786">
        <w:rPr>
          <w:rStyle w:val="tlid-translation"/>
          <w:lang w:val="en"/>
        </w:rPr>
        <w:t>-based</w:t>
      </w:r>
      <w:r w:rsidRPr="00997786">
        <w:rPr>
          <w:rStyle w:val="tlid-translation"/>
          <w:lang w:val="en"/>
        </w:rPr>
        <w:t xml:space="preserve"> qPCR is simpler and more cost-effective</w:t>
      </w:r>
      <w:r w:rsidR="00C23365">
        <w:rPr>
          <w:rStyle w:val="tlid-translation"/>
          <w:lang w:val="en"/>
        </w:rPr>
        <w:t>,</w:t>
      </w:r>
      <w:r w:rsidRPr="00997786">
        <w:rPr>
          <w:rStyle w:val="tlid-translation"/>
          <w:lang w:val="en"/>
        </w:rPr>
        <w:t xml:space="preserve"> </w:t>
      </w:r>
      <w:r w:rsidR="00C23365" w:rsidRPr="00DF6413">
        <w:rPr>
          <w:rStyle w:val="tlid-translation"/>
          <w:lang w:val="en"/>
        </w:rPr>
        <w:t>because</w:t>
      </w:r>
      <w:r w:rsidR="00C23365" w:rsidRPr="00997786">
        <w:rPr>
          <w:rStyle w:val="tlid-translation"/>
          <w:lang w:val="en"/>
        </w:rPr>
        <w:t xml:space="preserve"> </w:t>
      </w:r>
      <w:r w:rsidRPr="00997786">
        <w:rPr>
          <w:rStyle w:val="tlid-translation"/>
          <w:lang w:val="en"/>
        </w:rPr>
        <w:t>labeled amplicon-specific hybridization probes are not required</w:t>
      </w:r>
      <w:r w:rsidRPr="00997786">
        <w:rPr>
          <w:rStyle w:val="tlid-translation"/>
          <w:noProof/>
          <w:vertAlign w:val="superscript"/>
          <w:lang w:val="en"/>
        </w:rPr>
        <w:t>25</w:t>
      </w:r>
      <w:r w:rsidRPr="00997786">
        <w:rPr>
          <w:rStyle w:val="tlid-translation"/>
          <w:lang w:val="en"/>
        </w:rPr>
        <w:t>. So far,</w:t>
      </w:r>
      <w:r w:rsidRPr="00997786">
        <w:rPr>
          <w:lang w:val="en"/>
        </w:rPr>
        <w:t xml:space="preserve"> </w:t>
      </w:r>
      <w:r w:rsidRPr="00997786">
        <w:t xml:space="preserve">several studies have used immunofluorescence and qPCR along with other methods to investigate the complex </w:t>
      </w:r>
      <w:proofErr w:type="spellStart"/>
      <w:r w:rsidRPr="00997786">
        <w:t>begomovirus</w:t>
      </w:r>
      <w:proofErr w:type="spellEnd"/>
      <w:r w:rsidRPr="00997786">
        <w:t>-whitefly interaction</w:t>
      </w:r>
      <w:r w:rsidR="00C23365">
        <w:t>s</w:t>
      </w:r>
      <w:r w:rsidRPr="00997786">
        <w:t xml:space="preserve">. For example, Pan </w:t>
      </w:r>
      <w:r w:rsidRPr="00623ACC">
        <w:rPr>
          <w:iCs/>
        </w:rPr>
        <w:t>et al.</w:t>
      </w:r>
      <w:r w:rsidR="00623ACC">
        <w:rPr>
          <w:iCs/>
        </w:rPr>
        <w:t xml:space="preserve"> </w:t>
      </w:r>
      <w:r w:rsidRPr="00997786">
        <w:t xml:space="preserve">performed qPCR and immunofluorescence analysis of </w:t>
      </w:r>
      <w:r w:rsidR="00C23365">
        <w:t xml:space="preserve">the </w:t>
      </w:r>
      <w:r w:rsidRPr="00997786">
        <w:t xml:space="preserve">virus in whitefly tissues and found that the </w:t>
      </w:r>
      <w:r w:rsidR="00C23365" w:rsidRPr="00997786">
        <w:t>differen</w:t>
      </w:r>
      <w:r w:rsidR="00C23365">
        <w:t>ce</w:t>
      </w:r>
      <w:r w:rsidR="00C23365" w:rsidRPr="00997786">
        <w:t xml:space="preserve"> </w:t>
      </w:r>
      <w:r w:rsidR="00C23365">
        <w:t xml:space="preserve">in </w:t>
      </w:r>
      <w:r w:rsidR="00C23365" w:rsidRPr="00997786">
        <w:t>ability</w:t>
      </w:r>
      <w:r w:rsidRPr="00997786">
        <w:t xml:space="preserve"> to transmit tobacco curly shoot virus (</w:t>
      </w:r>
      <w:proofErr w:type="spellStart"/>
      <w:r w:rsidRPr="00997786">
        <w:t>TbCSV</w:t>
      </w:r>
      <w:proofErr w:type="spellEnd"/>
      <w:r w:rsidRPr="00997786">
        <w:t xml:space="preserve">) </w:t>
      </w:r>
      <w:r w:rsidR="00C23365">
        <w:t>between</w:t>
      </w:r>
      <w:r w:rsidR="00C23365" w:rsidRPr="00997786">
        <w:t xml:space="preserve"> </w:t>
      </w:r>
      <w:r w:rsidR="00C23365">
        <w:t xml:space="preserve">whitefly species </w:t>
      </w:r>
      <w:proofErr w:type="spellStart"/>
      <w:r w:rsidR="00C23365" w:rsidRPr="00997786">
        <w:t>AsiaII</w:t>
      </w:r>
      <w:proofErr w:type="spellEnd"/>
      <w:r w:rsidR="00C23365" w:rsidRPr="00997786">
        <w:t xml:space="preserve"> 1 and </w:t>
      </w:r>
      <w:r w:rsidR="00C23365" w:rsidRPr="00997786">
        <w:rPr>
          <w:bCs/>
        </w:rPr>
        <w:t>Middle East Asia Minor 1 (</w:t>
      </w:r>
      <w:r w:rsidR="00C23365" w:rsidRPr="00997786">
        <w:t xml:space="preserve">MEAM1) </w:t>
      </w:r>
      <w:r w:rsidRPr="00997786">
        <w:t>was due to the virus being able to efficiently cross the midgut wall of AsiaII1 but not MEAM1</w:t>
      </w:r>
      <w:r w:rsidR="00623ACC" w:rsidRPr="00997786">
        <w:rPr>
          <w:noProof/>
          <w:vertAlign w:val="superscript"/>
        </w:rPr>
        <w:t>8</w:t>
      </w:r>
      <w:r w:rsidRPr="00997786">
        <w:t xml:space="preserve">. </w:t>
      </w:r>
      <w:r w:rsidR="00F54909">
        <w:t>Similarly</w:t>
      </w:r>
      <w:r w:rsidRPr="00997786">
        <w:t xml:space="preserve">, while Mediterranean (MED) whiteflies can readily transmit TYLCV, they fail to transmit tomato yellow leaf curl China virus </w:t>
      </w:r>
      <w:r w:rsidRPr="00997786">
        <w:rPr>
          <w:lang w:eastAsia="zh-CN"/>
        </w:rPr>
        <w:t>(</w:t>
      </w:r>
      <w:r w:rsidRPr="00997786">
        <w:t>TYLCCN</w:t>
      </w:r>
      <w:r w:rsidRPr="00997786">
        <w:rPr>
          <w:lang w:eastAsia="zh-CN"/>
        </w:rPr>
        <w:t xml:space="preserve">V). </w:t>
      </w:r>
      <w:r w:rsidR="00C23365" w:rsidRPr="00997786">
        <w:t xml:space="preserve">Selective </w:t>
      </w:r>
      <w:r w:rsidRPr="00997786">
        <w:t>transmission was investigated using immunofluorescence detection of virus in the PSGs, which show</w:t>
      </w:r>
      <w:r w:rsidR="00F54909">
        <w:t>ed</w:t>
      </w:r>
      <w:r w:rsidRPr="00997786">
        <w:t xml:space="preserve"> that TYLCCNV </w:t>
      </w:r>
      <w:r w:rsidR="00F54909">
        <w:t xml:space="preserve">do not easily </w:t>
      </w:r>
      <w:r w:rsidRPr="00997786">
        <w:t>cross the PSGs of MED whiteflies</w:t>
      </w:r>
      <w:r w:rsidRPr="00997786">
        <w:rPr>
          <w:noProof/>
          <w:vertAlign w:val="superscript"/>
        </w:rPr>
        <w:t>26</w:t>
      </w:r>
      <w:r w:rsidRPr="00997786">
        <w:t>.</w:t>
      </w:r>
      <w:r w:rsidR="00C23365">
        <w:t xml:space="preserve"> </w:t>
      </w:r>
      <w:r w:rsidRPr="00997786">
        <w:t>Immunofluorescence colocalization of TYLCV</w:t>
      </w:r>
      <w:r w:rsidR="009D334C">
        <w:t xml:space="preserve"> </w:t>
      </w:r>
      <w:r w:rsidRPr="00997786">
        <w:t xml:space="preserve">CP and the autophagy marker protein ATG8-II in whitefly midguts shows that autophagy plays a critical role in repressing the infection of TYLCV in </w:t>
      </w:r>
      <w:r w:rsidR="00F54909">
        <w:t xml:space="preserve">the </w:t>
      </w:r>
      <w:r w:rsidRPr="00997786">
        <w:t>whitefly</w:t>
      </w:r>
      <w:r w:rsidRPr="00997786">
        <w:rPr>
          <w:noProof/>
          <w:vertAlign w:val="superscript"/>
        </w:rPr>
        <w:t>27</w:t>
      </w:r>
      <w:r w:rsidRPr="00997786">
        <w:t>.</w:t>
      </w:r>
    </w:p>
    <w:p w14:paraId="58C665F3" w14:textId="77777777" w:rsidR="00D25D72" w:rsidRPr="00997786" w:rsidRDefault="00D25D72" w:rsidP="008E4526"/>
    <w:p w14:paraId="10DE4425" w14:textId="5ED72FBA" w:rsidR="003C5D74" w:rsidRPr="00997786" w:rsidRDefault="003C5D74" w:rsidP="008E4526">
      <w:pPr>
        <w:rPr>
          <w:lang w:val="en"/>
        </w:rPr>
      </w:pPr>
      <w:r w:rsidRPr="00997786">
        <w:t>Here</w:t>
      </w:r>
      <w:r w:rsidR="00C23365">
        <w:t>,</w:t>
      </w:r>
      <w:r w:rsidRPr="00997786">
        <w:t xml:space="preserve"> using </w:t>
      </w:r>
      <w:r w:rsidRPr="00997786">
        <w:rPr>
          <w:rStyle w:val="tlid-translation"/>
          <w:lang w:val="en"/>
        </w:rPr>
        <w:t xml:space="preserve">TYLCV as an example, we describe a </w:t>
      </w:r>
      <w:r w:rsidRPr="00997786">
        <w:t xml:space="preserve">protocol for the localization of </w:t>
      </w:r>
      <w:proofErr w:type="spellStart"/>
      <w:r w:rsidRPr="00997786">
        <w:t>begomoviruses</w:t>
      </w:r>
      <w:proofErr w:type="spellEnd"/>
      <w:r w:rsidRPr="00997786">
        <w:t xml:space="preserve"> in whitefly midguts, PSGs</w:t>
      </w:r>
      <w:r w:rsidR="00C23365">
        <w:t>,</w:t>
      </w:r>
      <w:r w:rsidRPr="00997786">
        <w:t xml:space="preserve"> and ovaries by </w:t>
      </w:r>
      <w:r w:rsidR="00C23365">
        <w:t xml:space="preserve">an </w:t>
      </w:r>
      <w:r w:rsidRPr="00997786">
        <w:t>immunofluorescence technique.</w:t>
      </w:r>
      <w:r w:rsidRPr="00997786">
        <w:rPr>
          <w:rStyle w:val="tlid-translation"/>
          <w:lang w:val="en"/>
        </w:rPr>
        <w:t xml:space="preserve"> </w:t>
      </w:r>
      <w:r w:rsidR="00C23365">
        <w:rPr>
          <w:rStyle w:val="tlid-translation"/>
          <w:lang w:val="en"/>
        </w:rPr>
        <w:t>The technique includes d</w:t>
      </w:r>
      <w:r w:rsidRPr="00997786">
        <w:rPr>
          <w:rStyle w:val="tlid-translation"/>
          <w:lang w:val="en"/>
        </w:rPr>
        <w:t xml:space="preserve">issection, fixation, </w:t>
      </w:r>
      <w:r w:rsidR="00C23365">
        <w:rPr>
          <w:rStyle w:val="tlid-translation"/>
          <w:lang w:val="en"/>
        </w:rPr>
        <w:t xml:space="preserve">and </w:t>
      </w:r>
      <w:r w:rsidRPr="00997786">
        <w:rPr>
          <w:rStyle w:val="tlid-translation"/>
          <w:lang w:val="en"/>
        </w:rPr>
        <w:t>incubation with primary and dye-labeled secondary antibodies</w:t>
      </w:r>
      <w:r w:rsidR="00C23365">
        <w:rPr>
          <w:rStyle w:val="tlid-translation"/>
          <w:lang w:val="en"/>
        </w:rPr>
        <w:t xml:space="preserve">. </w:t>
      </w:r>
      <w:r w:rsidR="00C23365" w:rsidRPr="00997786">
        <w:t xml:space="preserve">Fluorescence </w:t>
      </w:r>
      <w:r w:rsidRPr="00997786">
        <w:t>signals showing the location of viral protein</w:t>
      </w:r>
      <w:r w:rsidR="00C23365">
        <w:t>s</w:t>
      </w:r>
      <w:r w:rsidRPr="00997786">
        <w:t xml:space="preserve"> in the whitefly tissues </w:t>
      </w:r>
      <w:r w:rsidR="00C23365">
        <w:t>can then</w:t>
      </w:r>
      <w:r w:rsidR="00C23365" w:rsidRPr="00997786">
        <w:t xml:space="preserve"> </w:t>
      </w:r>
      <w:r w:rsidRPr="00997786">
        <w:t>be detected under a confocal microscope</w:t>
      </w:r>
      <w:r w:rsidRPr="00997786">
        <w:rPr>
          <w:rStyle w:val="tlid-translation"/>
          <w:lang w:val="en"/>
        </w:rPr>
        <w:t xml:space="preserve">. </w:t>
      </w:r>
      <w:r w:rsidRPr="00997786">
        <w:t xml:space="preserve">More importantly, this protocol can be used to </w:t>
      </w:r>
      <w:r w:rsidR="00755FB3">
        <w:t>colocalize</w:t>
      </w:r>
      <w:r w:rsidRPr="00997786">
        <w:t xml:space="preserve"> begomoviral and whitefly proteins. We further describe a protocol for the quantification of TYLCV using SYBR Green-based qPCR in whitefly midguts, PSGs, </w:t>
      </w:r>
      <w:r w:rsidRPr="00997786">
        <w:rPr>
          <w:rStyle w:val="tlid-translation"/>
          <w:lang w:val="en"/>
        </w:rPr>
        <w:t>hemolymph</w:t>
      </w:r>
      <w:r w:rsidR="00C23365">
        <w:rPr>
          <w:rStyle w:val="tlid-translation"/>
          <w:lang w:val="en"/>
        </w:rPr>
        <w:t>,</w:t>
      </w:r>
      <w:r w:rsidRPr="00997786">
        <w:t xml:space="preserve"> and ovaries, </w:t>
      </w:r>
      <w:r w:rsidR="00C23365" w:rsidRPr="00DF6413">
        <w:t>that</w:t>
      </w:r>
      <w:r w:rsidR="00C23365" w:rsidRPr="00997786">
        <w:t xml:space="preserve"> </w:t>
      </w:r>
      <w:r w:rsidRPr="00997786">
        <w:t>can be used to compare the amount of virus in different whitefly tissue samples.</w:t>
      </w:r>
    </w:p>
    <w:p w14:paraId="69C79234" w14:textId="77777777" w:rsidR="00D25D72" w:rsidRDefault="00D25D72" w:rsidP="008E4526">
      <w:pPr>
        <w:rPr>
          <w:b/>
        </w:rPr>
      </w:pPr>
    </w:p>
    <w:p w14:paraId="39E90760" w14:textId="615DE282" w:rsidR="003C5D74" w:rsidRPr="00997786" w:rsidRDefault="003C5D74" w:rsidP="008E4526">
      <w:pPr>
        <w:rPr>
          <w:color w:val="808080" w:themeColor="background1" w:themeShade="80"/>
        </w:rPr>
      </w:pPr>
      <w:r w:rsidRPr="00997786">
        <w:rPr>
          <w:b/>
        </w:rPr>
        <w:t>PROTOCOL:</w:t>
      </w:r>
    </w:p>
    <w:p w14:paraId="01132A7B" w14:textId="77777777" w:rsidR="00D25D72" w:rsidRDefault="00D25D72" w:rsidP="008E4526">
      <w:pPr>
        <w:rPr>
          <w:b/>
        </w:rPr>
      </w:pPr>
    </w:p>
    <w:p w14:paraId="3BCCAFBD" w14:textId="004EEB49" w:rsidR="003C5D74" w:rsidRPr="00997786" w:rsidRDefault="003C5D74" w:rsidP="008E4526">
      <w:pPr>
        <w:rPr>
          <w:b/>
        </w:rPr>
      </w:pPr>
      <w:r w:rsidRPr="00997786">
        <w:rPr>
          <w:b/>
        </w:rPr>
        <w:t>1</w:t>
      </w:r>
      <w:r w:rsidR="00133AE8">
        <w:rPr>
          <w:b/>
        </w:rPr>
        <w:t>.</w:t>
      </w:r>
      <w:r w:rsidRPr="00997786">
        <w:rPr>
          <w:b/>
        </w:rPr>
        <w:t xml:space="preserve"> Whitefly</w:t>
      </w:r>
      <w:r w:rsidRPr="003170D7">
        <w:t>,</w:t>
      </w:r>
      <w:r w:rsidRPr="00997786">
        <w:rPr>
          <w:b/>
        </w:rPr>
        <w:t xml:space="preserve"> </w:t>
      </w:r>
      <w:r w:rsidR="00C23365" w:rsidRPr="00997786">
        <w:rPr>
          <w:b/>
        </w:rPr>
        <w:t>virus</w:t>
      </w:r>
      <w:r w:rsidR="00C23365" w:rsidRPr="00DF6413">
        <w:t>,</w:t>
      </w:r>
      <w:r w:rsidR="00C23365" w:rsidRPr="00997786">
        <w:rPr>
          <w:b/>
        </w:rPr>
        <w:t xml:space="preserve"> plant</w:t>
      </w:r>
      <w:r w:rsidR="00C23365">
        <w:rPr>
          <w:b/>
        </w:rPr>
        <w:t>s,</w:t>
      </w:r>
      <w:r w:rsidR="00C23365" w:rsidRPr="00997786">
        <w:rPr>
          <w:b/>
        </w:rPr>
        <w:t xml:space="preserve"> and acquisition of </w:t>
      </w:r>
      <w:r w:rsidR="00C23365">
        <w:rPr>
          <w:b/>
        </w:rPr>
        <w:t xml:space="preserve">the </w:t>
      </w:r>
      <w:r w:rsidR="00C23365" w:rsidRPr="00997786">
        <w:rPr>
          <w:b/>
        </w:rPr>
        <w:t>virus</w:t>
      </w:r>
    </w:p>
    <w:p w14:paraId="05DBA510" w14:textId="77777777" w:rsidR="00D25D72" w:rsidRPr="00D25D72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/>
        </w:rPr>
      </w:pPr>
    </w:p>
    <w:p w14:paraId="367EB28A" w14:textId="6EA4F488" w:rsidR="003C5D74" w:rsidRPr="00D25D72" w:rsidRDefault="003C5D74" w:rsidP="008E4526">
      <w:pPr>
        <w:pStyle w:val="ListParagraph"/>
        <w:numPr>
          <w:ilvl w:val="1"/>
          <w:numId w:val="2"/>
        </w:numPr>
        <w:autoSpaceDE/>
        <w:autoSpaceDN/>
        <w:adjustRightInd/>
        <w:contextualSpacing w:val="0"/>
        <w:rPr>
          <w:b/>
        </w:rPr>
      </w:pPr>
      <w:r w:rsidRPr="00997786">
        <w:t>Rear</w:t>
      </w:r>
      <w:r w:rsidRPr="00997786">
        <w:rPr>
          <w:i/>
          <w:iCs/>
        </w:rPr>
        <w:t xml:space="preserve"> </w:t>
      </w:r>
      <w:r w:rsidRPr="00997786">
        <w:rPr>
          <w:iCs/>
        </w:rPr>
        <w:t>whiteflies (MEAM1)</w:t>
      </w:r>
      <w:r w:rsidRPr="00997786">
        <w:t xml:space="preserve"> on cotton (</w:t>
      </w:r>
      <w:r w:rsidRPr="00997786">
        <w:rPr>
          <w:i/>
          <w:iCs/>
        </w:rPr>
        <w:t xml:space="preserve">Gossypium </w:t>
      </w:r>
      <w:proofErr w:type="spellStart"/>
      <w:r w:rsidRPr="00997786">
        <w:rPr>
          <w:i/>
          <w:iCs/>
        </w:rPr>
        <w:t>hirsutum</w:t>
      </w:r>
      <w:proofErr w:type="spellEnd"/>
      <w:r w:rsidRPr="00997786">
        <w:t xml:space="preserve"> cv. </w:t>
      </w:r>
      <w:proofErr w:type="spellStart"/>
      <w:r w:rsidRPr="00997786">
        <w:t>Zhemian</w:t>
      </w:r>
      <w:proofErr w:type="spellEnd"/>
      <w:r w:rsidRPr="00997786">
        <w:t xml:space="preserve"> 1793) in insect-proof cages in a greenhouse at 26 ± 1 °C</w:t>
      </w:r>
      <w:r w:rsidRPr="00997786">
        <w:rPr>
          <w:rFonts w:eastAsia="NSimSun"/>
          <w:lang w:eastAsia="zh-CN"/>
        </w:rPr>
        <w:t xml:space="preserve"> </w:t>
      </w:r>
      <w:r w:rsidRPr="00997786">
        <w:t xml:space="preserve">with </w:t>
      </w:r>
      <w:r w:rsidR="00F54909">
        <w:t xml:space="preserve">a </w:t>
      </w:r>
      <w:r w:rsidRPr="00997786">
        <w:t xml:space="preserve">14:10 </w:t>
      </w:r>
      <w:proofErr w:type="spellStart"/>
      <w:proofErr w:type="gramStart"/>
      <w:r w:rsidRPr="00997786">
        <w:t>light:dark</w:t>
      </w:r>
      <w:proofErr w:type="spellEnd"/>
      <w:proofErr w:type="gramEnd"/>
      <w:r w:rsidRPr="00997786">
        <w:t xml:space="preserve"> cycle and 60 ± 10% relative humidity.</w:t>
      </w:r>
    </w:p>
    <w:p w14:paraId="158FB198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/>
        </w:rPr>
      </w:pPr>
    </w:p>
    <w:p w14:paraId="3594198C" w14:textId="374AA20F" w:rsidR="003C5D74" w:rsidRPr="00D25D72" w:rsidRDefault="003C5D74" w:rsidP="008E4526">
      <w:pPr>
        <w:pStyle w:val="ListParagraph"/>
        <w:numPr>
          <w:ilvl w:val="1"/>
          <w:numId w:val="2"/>
        </w:numPr>
        <w:autoSpaceDE/>
        <w:autoSpaceDN/>
        <w:adjustRightInd/>
        <w:contextualSpacing w:val="0"/>
        <w:rPr>
          <w:b/>
        </w:rPr>
      </w:pPr>
      <w:r w:rsidRPr="00997786">
        <w:t xml:space="preserve">Perform conventional PCR </w:t>
      </w:r>
      <w:r w:rsidRPr="00997786">
        <w:rPr>
          <w:color w:val="000000" w:themeColor="text1"/>
        </w:rPr>
        <w:t xml:space="preserve">based on whitefly mitochondrial cytochrome oxidase I gene </w:t>
      </w:r>
      <w:r w:rsidRPr="00997786">
        <w:t xml:space="preserve">to determine the purity of </w:t>
      </w:r>
      <w:r w:rsidR="00C23365">
        <w:t xml:space="preserve">the </w:t>
      </w:r>
      <w:r w:rsidRPr="00997786">
        <w:t xml:space="preserve">whitefly population. </w:t>
      </w:r>
    </w:p>
    <w:p w14:paraId="406071B4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/>
        </w:rPr>
      </w:pPr>
    </w:p>
    <w:p w14:paraId="0DA4D94B" w14:textId="299BBE54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  <w:lang w:eastAsia="zh-CN"/>
        </w:rPr>
      </w:pPr>
      <w:bookmarkStart w:id="12" w:name="_Hlk21173654"/>
      <w:r w:rsidRPr="00997786">
        <w:rPr>
          <w:bCs/>
          <w:lang w:eastAsia="zh-CN"/>
        </w:rPr>
        <w:t xml:space="preserve">Collect 20 adult whiteflies and transfer them into </w:t>
      </w:r>
      <w:r w:rsidR="00C23365">
        <w:rPr>
          <w:bCs/>
          <w:lang w:eastAsia="zh-CN"/>
        </w:rPr>
        <w:t xml:space="preserve">a </w:t>
      </w:r>
      <w:r w:rsidRPr="00997786">
        <w:rPr>
          <w:bCs/>
          <w:lang w:eastAsia="zh-CN"/>
        </w:rPr>
        <w:t xml:space="preserve">PCR tube containing 30 μL </w:t>
      </w:r>
      <w:r w:rsidR="00F54909">
        <w:rPr>
          <w:bCs/>
          <w:lang w:eastAsia="zh-CN"/>
        </w:rPr>
        <w:t xml:space="preserve">of </w:t>
      </w:r>
      <w:r w:rsidRPr="00997786">
        <w:rPr>
          <w:bCs/>
          <w:lang w:eastAsia="zh-CN"/>
        </w:rPr>
        <w:t xml:space="preserve">lysis buffer (10 mM Tris, pH </w:t>
      </w:r>
      <w:r w:rsidR="00F54909">
        <w:rPr>
          <w:bCs/>
          <w:lang w:eastAsia="zh-CN"/>
        </w:rPr>
        <w:t xml:space="preserve">= </w:t>
      </w:r>
      <w:r w:rsidRPr="00997786">
        <w:rPr>
          <w:bCs/>
          <w:lang w:eastAsia="zh-CN"/>
        </w:rPr>
        <w:t xml:space="preserve">8.4, 50 mM </w:t>
      </w:r>
      <w:proofErr w:type="spellStart"/>
      <w:r w:rsidRPr="00997786">
        <w:rPr>
          <w:bCs/>
          <w:lang w:eastAsia="zh-CN"/>
        </w:rPr>
        <w:t>KCl</w:t>
      </w:r>
      <w:proofErr w:type="spellEnd"/>
      <w:r w:rsidRPr="00997786">
        <w:rPr>
          <w:bCs/>
          <w:lang w:eastAsia="zh-CN"/>
        </w:rPr>
        <w:t>, 0.45% [</w:t>
      </w:r>
      <w:proofErr w:type="spellStart"/>
      <w:r w:rsidRPr="00997786">
        <w:rPr>
          <w:bCs/>
          <w:lang w:eastAsia="zh-CN"/>
        </w:rPr>
        <w:t>wt</w:t>
      </w:r>
      <w:proofErr w:type="spellEnd"/>
      <w:r w:rsidRPr="00997786">
        <w:rPr>
          <w:bCs/>
          <w:lang w:eastAsia="zh-CN"/>
        </w:rPr>
        <w:t>/vol] Tween-20, 0.2% [</w:t>
      </w:r>
      <w:proofErr w:type="spellStart"/>
      <w:r w:rsidRPr="00997786">
        <w:rPr>
          <w:bCs/>
          <w:lang w:eastAsia="zh-CN"/>
        </w:rPr>
        <w:t>wt</w:t>
      </w:r>
      <w:proofErr w:type="spellEnd"/>
      <w:r w:rsidRPr="00997786">
        <w:rPr>
          <w:bCs/>
          <w:lang w:eastAsia="zh-CN"/>
        </w:rPr>
        <w:t xml:space="preserve">/vol] gelatin, 0.45% [vol/vol] </w:t>
      </w:r>
      <w:proofErr w:type="spellStart"/>
      <w:r w:rsidRPr="00997786">
        <w:rPr>
          <w:bCs/>
          <w:lang w:eastAsia="zh-CN"/>
        </w:rPr>
        <w:t>Nonidet</w:t>
      </w:r>
      <w:proofErr w:type="spellEnd"/>
      <w:r w:rsidRPr="00997786">
        <w:rPr>
          <w:bCs/>
          <w:lang w:eastAsia="zh-CN"/>
        </w:rPr>
        <w:t xml:space="preserve"> P 40, 60 g/mL Proteinase K). </w:t>
      </w:r>
    </w:p>
    <w:p w14:paraId="64554E0E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</w:p>
    <w:p w14:paraId="0830C606" w14:textId="1CC563A8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  <w:lang w:eastAsia="zh-CN"/>
        </w:rPr>
      </w:pPr>
      <w:r w:rsidRPr="00997786">
        <w:rPr>
          <w:bCs/>
          <w:lang w:eastAsia="zh-CN"/>
        </w:rPr>
        <w:lastRenderedPageBreak/>
        <w:t>Add 5</w:t>
      </w:r>
      <w:r w:rsidR="00C23365" w:rsidRPr="00DF6413">
        <w:rPr>
          <w:bCs/>
          <w:lang w:eastAsia="zh-CN"/>
        </w:rPr>
        <w:t>–</w:t>
      </w:r>
      <w:r w:rsidRPr="00997786">
        <w:rPr>
          <w:bCs/>
          <w:lang w:eastAsia="zh-CN"/>
        </w:rPr>
        <w:t xml:space="preserve">7 ceramic beads (2 mm in diameter) into each PCR tube and grind </w:t>
      </w:r>
      <w:r w:rsidR="00C23365">
        <w:rPr>
          <w:bCs/>
          <w:lang w:eastAsia="zh-CN"/>
        </w:rPr>
        <w:t xml:space="preserve">the </w:t>
      </w:r>
      <w:r w:rsidRPr="00997786">
        <w:rPr>
          <w:bCs/>
          <w:lang w:eastAsia="zh-CN"/>
        </w:rPr>
        <w:t xml:space="preserve">samples </w:t>
      </w:r>
      <w:r w:rsidR="00133AE8">
        <w:rPr>
          <w:bCs/>
          <w:lang w:eastAsia="zh-CN"/>
        </w:rPr>
        <w:t xml:space="preserve">to perform the tissue lysis. </w:t>
      </w:r>
    </w:p>
    <w:p w14:paraId="09E5B7FF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</w:p>
    <w:p w14:paraId="52299B5C" w14:textId="01F9D033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  <w:lang w:eastAsia="zh-CN"/>
        </w:rPr>
      </w:pPr>
      <w:r w:rsidRPr="00997786">
        <w:rPr>
          <w:bCs/>
          <w:lang w:eastAsia="zh-CN"/>
        </w:rPr>
        <w:t xml:space="preserve">Incubate all samples at 65 °C for 1 h followed by 10 min at 100 °C, and then centrifuge briefly. </w:t>
      </w:r>
      <w:r w:rsidR="00133AE8">
        <w:rPr>
          <w:bCs/>
          <w:lang w:eastAsia="zh-CN"/>
        </w:rPr>
        <w:t>Use this</w:t>
      </w:r>
      <w:r w:rsidRPr="00997786">
        <w:rPr>
          <w:bCs/>
          <w:lang w:eastAsia="zh-CN"/>
        </w:rPr>
        <w:t xml:space="preserve"> supernatant as the template for PCR amplification.</w:t>
      </w:r>
    </w:p>
    <w:p w14:paraId="2A78DA8F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</w:p>
    <w:p w14:paraId="01ACBA0C" w14:textId="22F2A684" w:rsidR="00D25D72" w:rsidRDefault="003C5D74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  <w:r w:rsidRPr="00997786">
        <w:rPr>
          <w:bCs/>
          <w:lang w:eastAsia="zh-CN"/>
        </w:rPr>
        <w:t>NOTE: The incubation time at 65 °C can be increased if necessary.</w:t>
      </w:r>
    </w:p>
    <w:p w14:paraId="51EADC29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</w:p>
    <w:p w14:paraId="4A45E106" w14:textId="337A9AA5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  <w:lang w:eastAsia="zh-CN"/>
        </w:rPr>
      </w:pPr>
      <w:r w:rsidRPr="00997786">
        <w:rPr>
          <w:bCs/>
          <w:lang w:eastAsia="zh-CN"/>
        </w:rPr>
        <w:t xml:space="preserve">Prepare the PCR reaction as follows: 1 U of </w:t>
      </w:r>
      <w:proofErr w:type="spellStart"/>
      <w:r w:rsidRPr="00997786">
        <w:rPr>
          <w:bCs/>
          <w:lang w:eastAsia="zh-CN"/>
        </w:rPr>
        <w:t>Taq</w:t>
      </w:r>
      <w:proofErr w:type="spellEnd"/>
      <w:r w:rsidRPr="00997786">
        <w:rPr>
          <w:bCs/>
          <w:lang w:eastAsia="zh-CN"/>
        </w:rPr>
        <w:t xml:space="preserve"> DNA polymerase, 2 µL</w:t>
      </w:r>
      <w:r w:rsidR="00133AE8">
        <w:rPr>
          <w:bCs/>
          <w:lang w:eastAsia="zh-CN"/>
        </w:rPr>
        <w:t xml:space="preserve"> of</w:t>
      </w:r>
      <w:r w:rsidRPr="00997786">
        <w:rPr>
          <w:bCs/>
          <w:lang w:eastAsia="zh-CN"/>
        </w:rPr>
        <w:t xml:space="preserve"> 10x </w:t>
      </w:r>
      <w:r w:rsidR="00DF6413" w:rsidRPr="00997786">
        <w:rPr>
          <w:bCs/>
          <w:lang w:eastAsia="zh-CN"/>
        </w:rPr>
        <w:t xml:space="preserve">buffer </w:t>
      </w:r>
      <w:r w:rsidRPr="00997786">
        <w:rPr>
          <w:bCs/>
          <w:lang w:eastAsia="zh-CN"/>
        </w:rPr>
        <w:t>(with Mg</w:t>
      </w:r>
      <w:r w:rsidRPr="00997786">
        <w:rPr>
          <w:bCs/>
          <w:vertAlign w:val="superscript"/>
          <w:lang w:eastAsia="zh-CN"/>
        </w:rPr>
        <w:t>2+</w:t>
      </w:r>
      <w:r w:rsidRPr="00997786">
        <w:rPr>
          <w:bCs/>
          <w:lang w:eastAsia="zh-CN"/>
        </w:rPr>
        <w:t xml:space="preserve">), 1.6 µL </w:t>
      </w:r>
      <w:r w:rsidR="00133AE8">
        <w:rPr>
          <w:bCs/>
          <w:lang w:eastAsia="zh-CN"/>
        </w:rPr>
        <w:t xml:space="preserve">of </w:t>
      </w:r>
      <w:r w:rsidRPr="00997786">
        <w:rPr>
          <w:bCs/>
          <w:lang w:eastAsia="zh-CN"/>
        </w:rPr>
        <w:t>dNTP mixture</w:t>
      </w:r>
      <w:r w:rsidR="00DF6413">
        <w:rPr>
          <w:bCs/>
          <w:lang w:eastAsia="zh-CN"/>
        </w:rPr>
        <w:t xml:space="preserve"> (</w:t>
      </w:r>
      <w:r w:rsidR="00DF6413" w:rsidRPr="00997786">
        <w:rPr>
          <w:bCs/>
          <w:lang w:eastAsia="zh-CN"/>
        </w:rPr>
        <w:t>2.5 mM</w:t>
      </w:r>
      <w:r w:rsidR="00DF6413">
        <w:rPr>
          <w:bCs/>
          <w:lang w:eastAsia="zh-CN"/>
        </w:rPr>
        <w:t>)</w:t>
      </w:r>
      <w:r w:rsidRPr="00997786">
        <w:rPr>
          <w:bCs/>
          <w:lang w:eastAsia="zh-CN"/>
        </w:rPr>
        <w:t>, 0.5 µL</w:t>
      </w:r>
      <w:r w:rsidR="00133AE8">
        <w:rPr>
          <w:bCs/>
          <w:lang w:eastAsia="zh-CN"/>
        </w:rPr>
        <w:t xml:space="preserve"> </w:t>
      </w:r>
      <w:r w:rsidRPr="00997786">
        <w:rPr>
          <w:bCs/>
          <w:lang w:eastAsia="zh-CN"/>
        </w:rPr>
        <w:t xml:space="preserve">of each primer (10 </w:t>
      </w:r>
      <w:proofErr w:type="spellStart"/>
      <w:r w:rsidRPr="00997786">
        <w:rPr>
          <w:bCs/>
          <w:lang w:eastAsia="zh-CN"/>
        </w:rPr>
        <w:t>μM</w:t>
      </w:r>
      <w:proofErr w:type="spellEnd"/>
      <w:r w:rsidRPr="00997786">
        <w:rPr>
          <w:bCs/>
          <w:lang w:eastAsia="zh-CN"/>
        </w:rPr>
        <w:t xml:space="preserve"> each), 2 µL of whitefly </w:t>
      </w:r>
      <w:r w:rsidR="003170D7">
        <w:rPr>
          <w:bCs/>
          <w:lang w:eastAsia="zh-CN"/>
        </w:rPr>
        <w:t>tissue lysate supernatant</w:t>
      </w:r>
      <w:r w:rsidR="00DF6413">
        <w:rPr>
          <w:bCs/>
          <w:lang w:eastAsia="zh-CN"/>
        </w:rPr>
        <w:t>,</w:t>
      </w:r>
      <w:r w:rsidRPr="00997786">
        <w:rPr>
          <w:bCs/>
          <w:lang w:eastAsia="zh-CN"/>
        </w:rPr>
        <w:t xml:space="preserve"> and double distilled water to a total volume </w:t>
      </w:r>
      <w:r w:rsidR="00DF6413">
        <w:rPr>
          <w:bCs/>
          <w:lang w:eastAsia="zh-CN"/>
        </w:rPr>
        <w:t xml:space="preserve">of </w:t>
      </w:r>
      <w:r w:rsidRPr="00997786">
        <w:rPr>
          <w:bCs/>
          <w:lang w:eastAsia="zh-CN"/>
        </w:rPr>
        <w:t xml:space="preserve">20 µL per reaction. </w:t>
      </w:r>
      <w:r w:rsidR="00DF6413">
        <w:rPr>
          <w:bCs/>
          <w:lang w:eastAsia="zh-CN"/>
        </w:rPr>
        <w:t xml:space="preserve">The </w:t>
      </w:r>
      <w:r w:rsidRPr="00997786">
        <w:rPr>
          <w:bCs/>
          <w:lang w:eastAsia="zh-CN"/>
        </w:rPr>
        <w:t xml:space="preserve">forward primer </w:t>
      </w:r>
      <w:r w:rsidR="00DF6413" w:rsidRPr="00997786">
        <w:rPr>
          <w:bCs/>
          <w:lang w:eastAsia="zh-CN"/>
        </w:rPr>
        <w:t>sequence</w:t>
      </w:r>
      <w:r w:rsidR="00DF6413">
        <w:rPr>
          <w:bCs/>
          <w:lang w:eastAsia="zh-CN"/>
        </w:rPr>
        <w:t xml:space="preserve"> is</w:t>
      </w:r>
      <w:r w:rsidR="00DF6413" w:rsidRPr="00997786">
        <w:rPr>
          <w:bCs/>
          <w:lang w:eastAsia="zh-CN"/>
        </w:rPr>
        <w:t xml:space="preserve"> </w:t>
      </w:r>
      <w:r w:rsidRPr="00997786">
        <w:rPr>
          <w:bCs/>
          <w:lang w:eastAsia="zh-CN"/>
        </w:rPr>
        <w:t xml:space="preserve">5'-TTGATTTTTTGGTCATCCAGAAGT-3' and </w:t>
      </w:r>
      <w:r w:rsidR="00DF6413">
        <w:rPr>
          <w:bCs/>
          <w:lang w:eastAsia="zh-CN"/>
        </w:rPr>
        <w:t xml:space="preserve">the </w:t>
      </w:r>
      <w:r w:rsidRPr="00997786">
        <w:rPr>
          <w:bCs/>
          <w:lang w:eastAsia="zh-CN"/>
        </w:rPr>
        <w:t xml:space="preserve">reverse primer </w:t>
      </w:r>
      <w:r w:rsidR="00DF6413" w:rsidRPr="00997786">
        <w:rPr>
          <w:bCs/>
          <w:lang w:eastAsia="zh-CN"/>
        </w:rPr>
        <w:t>sequence</w:t>
      </w:r>
      <w:r w:rsidR="00DF6413">
        <w:rPr>
          <w:bCs/>
          <w:lang w:eastAsia="zh-CN"/>
        </w:rPr>
        <w:t xml:space="preserve"> is </w:t>
      </w:r>
      <w:r w:rsidRPr="00997786">
        <w:rPr>
          <w:bCs/>
          <w:lang w:eastAsia="zh-CN"/>
        </w:rPr>
        <w:t>5'-TAATATGGCAGATTAGTGCATTGGA-3</w:t>
      </w:r>
      <w:r w:rsidR="00301E64" w:rsidRPr="00997786">
        <w:rPr>
          <w:bCs/>
          <w:lang w:eastAsia="zh-CN"/>
        </w:rPr>
        <w:t>’</w:t>
      </w:r>
      <w:r w:rsidRPr="00997786">
        <w:rPr>
          <w:bCs/>
          <w:lang w:eastAsia="zh-CN"/>
        </w:rPr>
        <w:t>.</w:t>
      </w:r>
    </w:p>
    <w:p w14:paraId="5E434D74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</w:p>
    <w:p w14:paraId="75D68735" w14:textId="7B931E78" w:rsidR="003C5D74" w:rsidRDefault="003C5D74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  <w:r w:rsidRPr="00997786">
        <w:rPr>
          <w:bCs/>
          <w:lang w:eastAsia="zh-CN"/>
        </w:rPr>
        <w:t xml:space="preserve">NOTE: A negative control </w:t>
      </w:r>
      <w:r w:rsidR="00133AE8">
        <w:rPr>
          <w:bCs/>
          <w:lang w:eastAsia="zh-CN"/>
        </w:rPr>
        <w:t>where</w:t>
      </w:r>
      <w:r w:rsidRPr="00997786">
        <w:rPr>
          <w:bCs/>
          <w:lang w:eastAsia="zh-CN"/>
        </w:rPr>
        <w:t xml:space="preserve"> </w:t>
      </w:r>
      <w:r w:rsidR="00DF6413">
        <w:rPr>
          <w:bCs/>
          <w:lang w:eastAsia="zh-CN"/>
        </w:rPr>
        <w:t xml:space="preserve">the </w:t>
      </w:r>
      <w:r w:rsidRPr="00997786">
        <w:rPr>
          <w:bCs/>
          <w:lang w:eastAsia="zh-CN"/>
        </w:rPr>
        <w:t>DNA</w:t>
      </w:r>
      <w:r w:rsidR="00133AE8">
        <w:rPr>
          <w:bCs/>
          <w:lang w:eastAsia="zh-CN"/>
        </w:rPr>
        <w:t xml:space="preserve"> is substituted with</w:t>
      </w:r>
      <w:r w:rsidRPr="00997786">
        <w:rPr>
          <w:bCs/>
          <w:lang w:eastAsia="zh-CN"/>
        </w:rPr>
        <w:t xml:space="preserve"> nuclease-free water and a positive control </w:t>
      </w:r>
      <w:r w:rsidR="00133AE8">
        <w:rPr>
          <w:bCs/>
          <w:lang w:eastAsia="zh-CN"/>
        </w:rPr>
        <w:t>with</w:t>
      </w:r>
      <w:r w:rsidRPr="00997786">
        <w:rPr>
          <w:bCs/>
          <w:lang w:eastAsia="zh-CN"/>
        </w:rPr>
        <w:t xml:space="preserve"> previously verified MEAM1 whitefly DNA should be included.</w:t>
      </w:r>
    </w:p>
    <w:p w14:paraId="26139B32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</w:p>
    <w:p w14:paraId="420DE8E6" w14:textId="3AB7C9BF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  <w:lang w:eastAsia="zh-CN"/>
        </w:rPr>
      </w:pPr>
      <w:r w:rsidRPr="00997786">
        <w:rPr>
          <w:bCs/>
          <w:lang w:eastAsia="zh-CN"/>
        </w:rPr>
        <w:t xml:space="preserve">Perform PCR </w:t>
      </w:r>
      <w:r w:rsidR="001748AE">
        <w:rPr>
          <w:bCs/>
          <w:lang w:eastAsia="zh-CN"/>
        </w:rPr>
        <w:t xml:space="preserve">using the following </w:t>
      </w:r>
      <w:r w:rsidRPr="00997786">
        <w:rPr>
          <w:bCs/>
          <w:lang w:eastAsia="zh-CN"/>
        </w:rPr>
        <w:t xml:space="preserve">cycling </w:t>
      </w:r>
      <w:r w:rsidR="001748AE">
        <w:rPr>
          <w:bCs/>
          <w:lang w:eastAsia="zh-CN"/>
        </w:rPr>
        <w:t>parameters</w:t>
      </w:r>
      <w:r w:rsidRPr="00997786">
        <w:rPr>
          <w:bCs/>
          <w:lang w:eastAsia="zh-CN"/>
        </w:rPr>
        <w:t>: initial denaturation at 95 °C for 3 min, followed by 35 cycles of denaturation at 95 °C for 30 s, annealing at 50</w:t>
      </w:r>
      <w:r w:rsidR="00972780" w:rsidRPr="00BE2644">
        <w:rPr>
          <w:bCs/>
          <w:lang w:eastAsia="zh-CN"/>
        </w:rPr>
        <w:t>–</w:t>
      </w:r>
      <w:r w:rsidRPr="00997786">
        <w:rPr>
          <w:bCs/>
          <w:lang w:eastAsia="zh-CN"/>
        </w:rPr>
        <w:t>55 °C for 30 s</w:t>
      </w:r>
      <w:r w:rsidR="00DF6413">
        <w:rPr>
          <w:bCs/>
          <w:lang w:eastAsia="zh-CN"/>
        </w:rPr>
        <w:t>,</w:t>
      </w:r>
      <w:r w:rsidRPr="00997786">
        <w:rPr>
          <w:bCs/>
          <w:lang w:eastAsia="zh-CN"/>
        </w:rPr>
        <w:t xml:space="preserve"> and extension at 72 °C for 1 min, followed by 72 °C for 10 min.</w:t>
      </w:r>
    </w:p>
    <w:p w14:paraId="09202320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</w:p>
    <w:p w14:paraId="2AACA815" w14:textId="60BA5528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  <w:lang w:eastAsia="zh-CN"/>
        </w:rPr>
      </w:pPr>
      <w:r w:rsidRPr="00997786">
        <w:rPr>
          <w:bCs/>
          <w:lang w:eastAsia="zh-CN"/>
        </w:rPr>
        <w:t xml:space="preserve">Digest the amplified product with restriction enzyme </w:t>
      </w:r>
      <w:proofErr w:type="spellStart"/>
      <w:r w:rsidRPr="00997786">
        <w:rPr>
          <w:bCs/>
          <w:lang w:eastAsia="zh-CN"/>
        </w:rPr>
        <w:t>Taq</w:t>
      </w:r>
      <w:proofErr w:type="spellEnd"/>
      <w:r w:rsidRPr="00997786">
        <w:rPr>
          <w:bCs/>
          <w:lang w:eastAsia="zh-CN"/>
        </w:rPr>
        <w:t xml:space="preserve"> I</w:t>
      </w:r>
      <w:r w:rsidR="00133AE8">
        <w:rPr>
          <w:bCs/>
          <w:lang w:eastAsia="zh-CN"/>
        </w:rPr>
        <w:t xml:space="preserve">. To do so, </w:t>
      </w:r>
      <w:r w:rsidRPr="00997786">
        <w:rPr>
          <w:bCs/>
          <w:lang w:eastAsia="zh-CN"/>
        </w:rPr>
        <w:t xml:space="preserve">prepare the digestion mixture </w:t>
      </w:r>
      <w:r w:rsidR="00133AE8">
        <w:rPr>
          <w:bCs/>
          <w:lang w:eastAsia="zh-CN"/>
        </w:rPr>
        <w:t>with</w:t>
      </w:r>
      <w:r w:rsidRPr="00997786">
        <w:rPr>
          <w:bCs/>
          <w:lang w:eastAsia="zh-CN"/>
        </w:rPr>
        <w:t xml:space="preserve"> 0.1 µL (1 U) of enzyme,1 μL </w:t>
      </w:r>
      <w:r w:rsidR="00DF6413">
        <w:rPr>
          <w:bCs/>
          <w:lang w:eastAsia="zh-CN"/>
        </w:rPr>
        <w:t xml:space="preserve">of </w:t>
      </w:r>
      <w:r w:rsidRPr="00997786">
        <w:rPr>
          <w:bCs/>
          <w:lang w:eastAsia="zh-CN"/>
        </w:rPr>
        <w:t xml:space="preserve">10x </w:t>
      </w:r>
      <w:proofErr w:type="spellStart"/>
      <w:r w:rsidRPr="00997786">
        <w:rPr>
          <w:bCs/>
          <w:lang w:eastAsia="zh-CN"/>
        </w:rPr>
        <w:t>Taq</w:t>
      </w:r>
      <w:proofErr w:type="spellEnd"/>
      <w:r w:rsidRPr="00997786">
        <w:rPr>
          <w:bCs/>
          <w:lang w:eastAsia="zh-CN"/>
        </w:rPr>
        <w:t xml:space="preserve"> I Buffer, 1 μL </w:t>
      </w:r>
      <w:r w:rsidR="00DF6413">
        <w:rPr>
          <w:bCs/>
          <w:lang w:eastAsia="zh-CN"/>
        </w:rPr>
        <w:t xml:space="preserve">of </w:t>
      </w:r>
      <w:r w:rsidRPr="00997786">
        <w:rPr>
          <w:bCs/>
          <w:lang w:eastAsia="zh-CN"/>
        </w:rPr>
        <w:t xml:space="preserve">BSA, 5 μL </w:t>
      </w:r>
      <w:r w:rsidR="00DF6413">
        <w:rPr>
          <w:bCs/>
          <w:lang w:eastAsia="zh-CN"/>
        </w:rPr>
        <w:t xml:space="preserve">of </w:t>
      </w:r>
      <w:r w:rsidRPr="00997786">
        <w:rPr>
          <w:bCs/>
          <w:lang w:eastAsia="zh-CN"/>
        </w:rPr>
        <w:t>amplified product</w:t>
      </w:r>
      <w:r w:rsidR="00DF6413">
        <w:rPr>
          <w:bCs/>
          <w:lang w:eastAsia="zh-CN"/>
        </w:rPr>
        <w:t>,</w:t>
      </w:r>
      <w:r w:rsidRPr="00997786">
        <w:rPr>
          <w:bCs/>
          <w:lang w:eastAsia="zh-CN"/>
        </w:rPr>
        <w:t xml:space="preserve"> and double distilled water to a total volume of 10 μ</w:t>
      </w:r>
      <w:r w:rsidR="00133AE8">
        <w:rPr>
          <w:bCs/>
          <w:lang w:eastAsia="zh-CN"/>
        </w:rPr>
        <w:t>L</w:t>
      </w:r>
      <w:r w:rsidRPr="00997786">
        <w:rPr>
          <w:bCs/>
          <w:lang w:eastAsia="zh-CN"/>
        </w:rPr>
        <w:t xml:space="preserve">. </w:t>
      </w:r>
      <w:r w:rsidRPr="00997786">
        <w:rPr>
          <w:rFonts w:hint="eastAsia"/>
          <w:bCs/>
          <w:lang w:eastAsia="zh-CN"/>
        </w:rPr>
        <w:t>Incubate</w:t>
      </w:r>
      <w:r w:rsidRPr="00997786">
        <w:rPr>
          <w:bCs/>
          <w:lang w:eastAsia="zh-CN"/>
        </w:rPr>
        <w:t xml:space="preserve"> at 65 °C for 1 h in a therm</w:t>
      </w:r>
      <w:r w:rsidR="00133AE8">
        <w:rPr>
          <w:bCs/>
          <w:lang w:eastAsia="zh-CN"/>
        </w:rPr>
        <w:t>o</w:t>
      </w:r>
      <w:r w:rsidR="008E4526">
        <w:rPr>
          <w:bCs/>
          <w:lang w:eastAsia="zh-CN"/>
        </w:rPr>
        <w:t>c</w:t>
      </w:r>
      <w:r w:rsidRPr="00997786">
        <w:rPr>
          <w:bCs/>
          <w:lang w:eastAsia="zh-CN"/>
        </w:rPr>
        <w:t xml:space="preserve">ycler. </w:t>
      </w:r>
    </w:p>
    <w:p w14:paraId="58389080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</w:p>
    <w:p w14:paraId="3CB8F004" w14:textId="6761C4E8" w:rsidR="003C5D74" w:rsidRPr="00D25D72" w:rsidRDefault="008E4526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  <w:lang w:eastAsia="zh-CN"/>
        </w:rPr>
      </w:pPr>
      <w:r>
        <w:rPr>
          <w:bCs/>
          <w:lang w:eastAsia="zh-CN"/>
        </w:rPr>
        <w:t>Perform agarose gel electrophoresis of the samples by lo</w:t>
      </w:r>
      <w:r w:rsidR="003C5D74" w:rsidRPr="00997786">
        <w:rPr>
          <w:bCs/>
          <w:lang w:eastAsia="zh-CN"/>
        </w:rPr>
        <w:t>ad</w:t>
      </w:r>
      <w:r>
        <w:rPr>
          <w:bCs/>
          <w:lang w:eastAsia="zh-CN"/>
        </w:rPr>
        <w:t>ing</w:t>
      </w:r>
      <w:r w:rsidR="003C5D74" w:rsidRPr="00997786">
        <w:rPr>
          <w:bCs/>
          <w:lang w:eastAsia="zh-CN"/>
        </w:rPr>
        <w:t xml:space="preserve"> 5</w:t>
      </w:r>
      <w:r w:rsidR="00DF6413" w:rsidRPr="0064215D">
        <w:rPr>
          <w:bCs/>
          <w:lang w:eastAsia="zh-CN"/>
        </w:rPr>
        <w:t>–</w:t>
      </w:r>
      <w:r w:rsidR="003C5D74" w:rsidRPr="00997786">
        <w:rPr>
          <w:bCs/>
          <w:lang w:eastAsia="zh-CN"/>
        </w:rPr>
        <w:t xml:space="preserve">7 µL of each digested product and </w:t>
      </w:r>
      <w:r w:rsidR="00DF6413">
        <w:rPr>
          <w:bCs/>
          <w:lang w:eastAsia="zh-CN"/>
        </w:rPr>
        <w:t xml:space="preserve">a </w:t>
      </w:r>
      <w:r w:rsidR="003C5D74" w:rsidRPr="00997786">
        <w:rPr>
          <w:bCs/>
          <w:lang w:eastAsia="zh-CN"/>
        </w:rPr>
        <w:t>DNA ladder (100-2</w:t>
      </w:r>
      <w:r w:rsidR="00DF6413">
        <w:rPr>
          <w:bCs/>
          <w:lang w:eastAsia="zh-CN"/>
        </w:rPr>
        <w:t>,</w:t>
      </w:r>
      <w:r w:rsidR="003C5D74" w:rsidRPr="00997786">
        <w:rPr>
          <w:bCs/>
          <w:lang w:eastAsia="zh-CN"/>
        </w:rPr>
        <w:t xml:space="preserve">000 bp) into </w:t>
      </w:r>
      <w:r>
        <w:rPr>
          <w:bCs/>
          <w:lang w:eastAsia="zh-CN"/>
        </w:rPr>
        <w:t xml:space="preserve">the </w:t>
      </w:r>
      <w:r w:rsidR="003C5D74" w:rsidRPr="00997786">
        <w:rPr>
          <w:bCs/>
          <w:lang w:eastAsia="zh-CN"/>
        </w:rPr>
        <w:t>wells</w:t>
      </w:r>
      <w:r>
        <w:rPr>
          <w:bCs/>
          <w:lang w:eastAsia="zh-CN"/>
        </w:rPr>
        <w:t xml:space="preserve"> of </w:t>
      </w:r>
      <w:r w:rsidR="00DF6413">
        <w:rPr>
          <w:bCs/>
          <w:lang w:eastAsia="zh-CN"/>
        </w:rPr>
        <w:t xml:space="preserve">a </w:t>
      </w:r>
      <w:r>
        <w:rPr>
          <w:bCs/>
          <w:lang w:eastAsia="zh-CN"/>
        </w:rPr>
        <w:t>1% agarose gel</w:t>
      </w:r>
      <w:r w:rsidR="003C5D74" w:rsidRPr="00997786">
        <w:rPr>
          <w:bCs/>
          <w:lang w:eastAsia="zh-CN"/>
        </w:rPr>
        <w:t xml:space="preserve">. Then, observe </w:t>
      </w:r>
      <w:r w:rsidR="00DF6413">
        <w:rPr>
          <w:bCs/>
          <w:lang w:eastAsia="zh-CN"/>
        </w:rPr>
        <w:t xml:space="preserve">the </w:t>
      </w:r>
      <w:r w:rsidR="003C5D74" w:rsidRPr="00997786">
        <w:rPr>
          <w:bCs/>
          <w:lang w:eastAsia="zh-CN"/>
        </w:rPr>
        <w:t>DNA band size</w:t>
      </w:r>
      <w:r w:rsidR="00DF6413">
        <w:rPr>
          <w:bCs/>
          <w:lang w:eastAsia="zh-CN"/>
        </w:rPr>
        <w:t>s</w:t>
      </w:r>
      <w:r w:rsidR="003C5D74" w:rsidRPr="00997786">
        <w:rPr>
          <w:bCs/>
          <w:lang w:eastAsia="zh-CN"/>
        </w:rPr>
        <w:t xml:space="preserve"> by </w:t>
      </w:r>
      <w:r>
        <w:rPr>
          <w:bCs/>
          <w:lang w:eastAsia="zh-CN"/>
        </w:rPr>
        <w:t>g</w:t>
      </w:r>
      <w:r w:rsidR="003C5D74" w:rsidRPr="00997786">
        <w:rPr>
          <w:bCs/>
          <w:lang w:eastAsia="zh-CN"/>
        </w:rPr>
        <w:t>el-red staining in a gel documentation machine using UV light. Compare the band size</w:t>
      </w:r>
      <w:r>
        <w:rPr>
          <w:bCs/>
          <w:lang w:eastAsia="zh-CN"/>
        </w:rPr>
        <w:t>s</w:t>
      </w:r>
      <w:r w:rsidR="003C5D74" w:rsidRPr="00997786">
        <w:rPr>
          <w:bCs/>
          <w:lang w:eastAsia="zh-CN"/>
        </w:rPr>
        <w:t xml:space="preserve"> of </w:t>
      </w:r>
      <w:r w:rsidR="00DF6413">
        <w:rPr>
          <w:bCs/>
          <w:lang w:eastAsia="zh-CN"/>
        </w:rPr>
        <w:t xml:space="preserve">the </w:t>
      </w:r>
      <w:r w:rsidR="003C5D74" w:rsidRPr="00997786">
        <w:rPr>
          <w:bCs/>
          <w:lang w:eastAsia="zh-CN"/>
        </w:rPr>
        <w:t>digested product</w:t>
      </w:r>
      <w:r>
        <w:rPr>
          <w:bCs/>
          <w:lang w:eastAsia="zh-CN"/>
        </w:rPr>
        <w:t>s</w:t>
      </w:r>
      <w:r w:rsidR="003C5D74" w:rsidRPr="00997786">
        <w:rPr>
          <w:bCs/>
          <w:lang w:eastAsia="zh-CN"/>
        </w:rPr>
        <w:t xml:space="preserve"> to </w:t>
      </w:r>
      <w:r w:rsidR="00DF6413">
        <w:rPr>
          <w:bCs/>
          <w:lang w:eastAsia="zh-CN"/>
        </w:rPr>
        <w:t xml:space="preserve">the </w:t>
      </w:r>
      <w:r w:rsidR="003C5D74" w:rsidRPr="00997786">
        <w:rPr>
          <w:bCs/>
          <w:lang w:eastAsia="zh-CN"/>
        </w:rPr>
        <w:t xml:space="preserve">positive control to </w:t>
      </w:r>
      <w:r w:rsidR="003C5D74" w:rsidRPr="00997786">
        <w:t>determine the purity of the whitefly population.</w:t>
      </w:r>
    </w:p>
    <w:p w14:paraId="181C2624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  <w:lang w:eastAsia="zh-CN"/>
        </w:rPr>
      </w:pPr>
    </w:p>
    <w:p w14:paraId="1DDCA0BF" w14:textId="2CCBEF45" w:rsidR="003C5D74" w:rsidRPr="00D25D72" w:rsidRDefault="003C5D74" w:rsidP="008E4526">
      <w:pPr>
        <w:pStyle w:val="ListParagraph"/>
        <w:numPr>
          <w:ilvl w:val="1"/>
          <w:numId w:val="2"/>
        </w:numPr>
        <w:autoSpaceDE/>
        <w:autoSpaceDN/>
        <w:adjustRightInd/>
        <w:contextualSpacing w:val="0"/>
        <w:rPr>
          <w:b/>
        </w:rPr>
      </w:pPr>
      <w:bookmarkStart w:id="13" w:name="_Hlk21455548"/>
      <w:bookmarkEnd w:id="12"/>
      <w:proofErr w:type="spellStart"/>
      <w:r w:rsidRPr="00997786">
        <w:t>Agro</w:t>
      </w:r>
      <w:proofErr w:type="spellEnd"/>
      <w:r w:rsidRPr="00997786">
        <w:t>-inoculate the infectious clone of TYLCV (GenBank accession number AM282874.1) (pBINPLUS-SH2-1.4A) into 3</w:t>
      </w:r>
      <w:r w:rsidR="00DF6413" w:rsidRPr="0064215D">
        <w:t>–</w:t>
      </w:r>
      <w:r w:rsidRPr="00997786">
        <w:t>4 true leaf stage tomato plants (</w:t>
      </w:r>
      <w:r w:rsidRPr="00997786">
        <w:rPr>
          <w:i/>
          <w:iCs/>
        </w:rPr>
        <w:t xml:space="preserve">Solanum </w:t>
      </w:r>
      <w:proofErr w:type="spellStart"/>
      <w:r w:rsidRPr="00997786">
        <w:rPr>
          <w:i/>
          <w:iCs/>
        </w:rPr>
        <w:t>lycopersicum</w:t>
      </w:r>
      <w:proofErr w:type="spellEnd"/>
      <w:r w:rsidRPr="00997786">
        <w:rPr>
          <w:i/>
          <w:iCs/>
        </w:rPr>
        <w:t xml:space="preserve"> </w:t>
      </w:r>
      <w:r w:rsidRPr="00997786">
        <w:rPr>
          <w:iCs/>
        </w:rPr>
        <w:t>L</w:t>
      </w:r>
      <w:r w:rsidRPr="00997786">
        <w:t xml:space="preserve">. cv. </w:t>
      </w:r>
      <w:proofErr w:type="spellStart"/>
      <w:r w:rsidRPr="00972780">
        <w:t>Hezuo</w:t>
      </w:r>
      <w:proofErr w:type="spellEnd"/>
      <w:r w:rsidRPr="00997786">
        <w:t xml:space="preserve"> 903).</w:t>
      </w:r>
    </w:p>
    <w:p w14:paraId="53D64A79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/>
        </w:rPr>
      </w:pPr>
    </w:p>
    <w:p w14:paraId="340F8A51" w14:textId="020C95A0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</w:rPr>
      </w:pPr>
      <w:r w:rsidRPr="00997786">
        <w:rPr>
          <w:bCs/>
        </w:rPr>
        <w:t xml:space="preserve">Inoculate 10 mL </w:t>
      </w:r>
      <w:r w:rsidR="00DF6413">
        <w:rPr>
          <w:bCs/>
        </w:rPr>
        <w:t xml:space="preserve">of </w:t>
      </w:r>
      <w:r w:rsidRPr="00997786">
        <w:rPr>
          <w:bCs/>
        </w:rPr>
        <w:t xml:space="preserve">Luria–Bertani (LB) medium containing kanamycin (50 </w:t>
      </w:r>
      <w:proofErr w:type="spellStart"/>
      <w:r w:rsidRPr="00997786">
        <w:rPr>
          <w:bCs/>
        </w:rPr>
        <w:t>μg</w:t>
      </w:r>
      <w:proofErr w:type="spellEnd"/>
      <w:r w:rsidRPr="00997786">
        <w:rPr>
          <w:bCs/>
        </w:rPr>
        <w:t xml:space="preserve">/mL) and rifampicin (50 </w:t>
      </w:r>
      <w:proofErr w:type="spellStart"/>
      <w:r w:rsidRPr="00997786">
        <w:rPr>
          <w:bCs/>
        </w:rPr>
        <w:t>μg</w:t>
      </w:r>
      <w:proofErr w:type="spellEnd"/>
      <w:r w:rsidRPr="00997786">
        <w:rPr>
          <w:bCs/>
        </w:rPr>
        <w:t>/mL)</w:t>
      </w:r>
      <w:r w:rsidR="00BE2644">
        <w:rPr>
          <w:bCs/>
        </w:rPr>
        <w:t xml:space="preserve"> with a </w:t>
      </w:r>
      <w:r w:rsidR="00BE2644" w:rsidRPr="00997786">
        <w:rPr>
          <w:bCs/>
        </w:rPr>
        <w:t>single colony</w:t>
      </w:r>
      <w:r w:rsidRPr="00997786">
        <w:rPr>
          <w:bCs/>
        </w:rPr>
        <w:t>. Incubate at 28 °C with shaking at 200 rpm until the OD</w:t>
      </w:r>
      <w:r w:rsidRPr="008E4526">
        <w:rPr>
          <w:bCs/>
          <w:vertAlign w:val="subscript"/>
        </w:rPr>
        <w:t>600</w:t>
      </w:r>
      <w:r w:rsidRPr="00997786">
        <w:rPr>
          <w:bCs/>
        </w:rPr>
        <w:t xml:space="preserve"> reaches </w:t>
      </w:r>
      <w:r w:rsidR="00DF6413">
        <w:rPr>
          <w:bCs/>
        </w:rPr>
        <w:t>~</w:t>
      </w:r>
      <w:r w:rsidRPr="00997786">
        <w:rPr>
          <w:bCs/>
        </w:rPr>
        <w:t>1.5.</w:t>
      </w:r>
    </w:p>
    <w:p w14:paraId="7A973451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</w:rPr>
      </w:pPr>
    </w:p>
    <w:p w14:paraId="533A117A" w14:textId="2393BF43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</w:rPr>
      </w:pPr>
      <w:r w:rsidRPr="00997786">
        <w:rPr>
          <w:bCs/>
        </w:rPr>
        <w:t xml:space="preserve">Harvest agrobacteria by centrifugation at 4,000 </w:t>
      </w:r>
      <w:r w:rsidR="00DF6413">
        <w:rPr>
          <w:bCs/>
        </w:rPr>
        <w:t xml:space="preserve">x </w:t>
      </w:r>
      <w:r w:rsidRPr="008E4526">
        <w:rPr>
          <w:bCs/>
          <w:i/>
          <w:iCs/>
        </w:rPr>
        <w:t>g</w:t>
      </w:r>
      <w:r w:rsidRPr="00997786">
        <w:rPr>
          <w:bCs/>
        </w:rPr>
        <w:t xml:space="preserve"> for 10 min. Discard </w:t>
      </w:r>
      <w:r w:rsidR="003170D7">
        <w:rPr>
          <w:bCs/>
        </w:rPr>
        <w:t xml:space="preserve">the </w:t>
      </w:r>
      <w:r w:rsidRPr="00997786">
        <w:rPr>
          <w:bCs/>
        </w:rPr>
        <w:t>supernatant.</w:t>
      </w:r>
    </w:p>
    <w:p w14:paraId="668F9E97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</w:rPr>
      </w:pPr>
    </w:p>
    <w:p w14:paraId="75BD5D2B" w14:textId="1BD329F6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</w:rPr>
      </w:pPr>
      <w:r w:rsidRPr="00997786">
        <w:rPr>
          <w:bCs/>
        </w:rPr>
        <w:lastRenderedPageBreak/>
        <w:t>Resuspend pellets in 10 mL</w:t>
      </w:r>
      <w:r w:rsidR="00DF6413">
        <w:rPr>
          <w:bCs/>
        </w:rPr>
        <w:t xml:space="preserve"> of</w:t>
      </w:r>
      <w:r w:rsidRPr="00997786">
        <w:rPr>
          <w:bCs/>
        </w:rPr>
        <w:t xml:space="preserve"> infiltration buffer</w:t>
      </w:r>
      <w:r w:rsidR="00DF6413">
        <w:rPr>
          <w:bCs/>
        </w:rPr>
        <w:t xml:space="preserve">, consisting of </w:t>
      </w:r>
      <w:r w:rsidRPr="00997786">
        <w:rPr>
          <w:bCs/>
        </w:rPr>
        <w:t xml:space="preserve">200 </w:t>
      </w:r>
      <w:proofErr w:type="spellStart"/>
      <w:r w:rsidRPr="00997786">
        <w:rPr>
          <w:bCs/>
        </w:rPr>
        <w:t>μM</w:t>
      </w:r>
      <w:proofErr w:type="spellEnd"/>
      <w:r w:rsidRPr="00997786">
        <w:rPr>
          <w:bCs/>
        </w:rPr>
        <w:t xml:space="preserve"> </w:t>
      </w:r>
      <w:proofErr w:type="spellStart"/>
      <w:r w:rsidRPr="00997786">
        <w:rPr>
          <w:bCs/>
        </w:rPr>
        <w:t>acetosyringone</w:t>
      </w:r>
      <w:proofErr w:type="spellEnd"/>
      <w:r w:rsidRPr="00997786">
        <w:rPr>
          <w:bCs/>
        </w:rPr>
        <w:t>, 10 mM</w:t>
      </w:r>
      <w:r w:rsidR="00A90498" w:rsidRPr="00997786">
        <w:rPr>
          <w:rFonts w:hint="eastAsia"/>
          <w:bCs/>
          <w:lang w:eastAsia="zh-CN"/>
        </w:rPr>
        <w:t xml:space="preserve"> </w:t>
      </w:r>
      <w:r w:rsidRPr="00997786">
        <w:rPr>
          <w:bCs/>
        </w:rPr>
        <w:t>2-(N-</w:t>
      </w:r>
      <w:r w:rsidR="00A15E06" w:rsidRPr="00997786">
        <w:rPr>
          <w:bCs/>
        </w:rPr>
        <w:t>morpholino</w:t>
      </w:r>
      <w:r w:rsidRPr="00997786">
        <w:rPr>
          <w:bCs/>
        </w:rPr>
        <w:t>) ethane sulfonic acid (MES),</w:t>
      </w:r>
      <w:r w:rsidR="00A15E06">
        <w:rPr>
          <w:bCs/>
        </w:rPr>
        <w:t xml:space="preserve"> and</w:t>
      </w:r>
      <w:r w:rsidRPr="00997786">
        <w:rPr>
          <w:bCs/>
        </w:rPr>
        <w:t xml:space="preserve"> 10 mM MgCl</w:t>
      </w:r>
      <w:r w:rsidRPr="00997786">
        <w:rPr>
          <w:bCs/>
          <w:vertAlign w:val="subscript"/>
        </w:rPr>
        <w:t>2</w:t>
      </w:r>
      <w:r w:rsidR="00A15E06">
        <w:rPr>
          <w:bCs/>
        </w:rPr>
        <w:t>.</w:t>
      </w:r>
      <w:r w:rsidRPr="00997786">
        <w:rPr>
          <w:bCs/>
        </w:rPr>
        <w:t xml:space="preserve"> </w:t>
      </w:r>
      <w:r w:rsidR="00A15E06" w:rsidRPr="00997786">
        <w:rPr>
          <w:bCs/>
        </w:rPr>
        <w:t xml:space="preserve">Incubate </w:t>
      </w:r>
      <w:r w:rsidRPr="00997786">
        <w:rPr>
          <w:bCs/>
        </w:rPr>
        <w:t>at room temperature</w:t>
      </w:r>
      <w:r w:rsidR="00EF751A">
        <w:rPr>
          <w:bCs/>
        </w:rPr>
        <w:t xml:space="preserve"> (RT)</w:t>
      </w:r>
      <w:r w:rsidRPr="00997786">
        <w:rPr>
          <w:bCs/>
        </w:rPr>
        <w:t xml:space="preserve"> for 1</w:t>
      </w:r>
      <w:r w:rsidR="00DF6413" w:rsidRPr="0064215D">
        <w:rPr>
          <w:bCs/>
        </w:rPr>
        <w:t>–</w:t>
      </w:r>
      <w:r w:rsidRPr="00997786">
        <w:rPr>
          <w:bCs/>
        </w:rPr>
        <w:t>2 h.</w:t>
      </w:r>
    </w:p>
    <w:p w14:paraId="28F5910D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</w:rPr>
      </w:pPr>
    </w:p>
    <w:p w14:paraId="7CAC3161" w14:textId="2DE0A2A8" w:rsidR="003C5D74" w:rsidRDefault="003C5D74" w:rsidP="008E4526">
      <w:pPr>
        <w:pStyle w:val="ListParagraph"/>
        <w:numPr>
          <w:ilvl w:val="2"/>
          <w:numId w:val="2"/>
        </w:numPr>
        <w:autoSpaceDE/>
        <w:autoSpaceDN/>
        <w:adjustRightInd/>
        <w:contextualSpacing w:val="0"/>
        <w:rPr>
          <w:bCs/>
        </w:rPr>
      </w:pPr>
      <w:r w:rsidRPr="00997786">
        <w:rPr>
          <w:bCs/>
        </w:rPr>
        <w:t>Infiltrate 2</w:t>
      </w:r>
      <w:r w:rsidR="00A15E06" w:rsidRPr="0064215D">
        <w:rPr>
          <w:bCs/>
        </w:rPr>
        <w:t>–</w:t>
      </w:r>
      <w:r w:rsidRPr="00997786">
        <w:rPr>
          <w:bCs/>
        </w:rPr>
        <w:t xml:space="preserve">3 </w:t>
      </w:r>
      <w:r w:rsidR="00A15E06" w:rsidRPr="00997786">
        <w:rPr>
          <w:bCs/>
        </w:rPr>
        <w:t xml:space="preserve">plant </w:t>
      </w:r>
      <w:r w:rsidRPr="00997786">
        <w:rPr>
          <w:bCs/>
        </w:rPr>
        <w:t xml:space="preserve">leaves using </w:t>
      </w:r>
      <w:r w:rsidR="00A15E06">
        <w:rPr>
          <w:bCs/>
        </w:rPr>
        <w:t xml:space="preserve">the mixture from step 1.3.3 with </w:t>
      </w:r>
      <w:r w:rsidRPr="00997786">
        <w:rPr>
          <w:bCs/>
        </w:rPr>
        <w:t xml:space="preserve">a 1 mL needleless syringe. Maintain plants in </w:t>
      </w:r>
      <w:r w:rsidR="00A15E06">
        <w:rPr>
          <w:bCs/>
        </w:rPr>
        <w:t xml:space="preserve">a </w:t>
      </w:r>
      <w:r w:rsidRPr="00997786">
        <w:rPr>
          <w:bCs/>
        </w:rPr>
        <w:t>greenhouse at 26 ± 1 °C.</w:t>
      </w:r>
    </w:p>
    <w:p w14:paraId="7A31A2A9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Cs/>
        </w:rPr>
      </w:pPr>
    </w:p>
    <w:bookmarkEnd w:id="13"/>
    <w:p w14:paraId="74EF52B1" w14:textId="449F1BA3" w:rsidR="003C5D74" w:rsidRPr="00D25D72" w:rsidRDefault="003C5D74" w:rsidP="008E4526">
      <w:pPr>
        <w:pStyle w:val="ListParagraph"/>
        <w:numPr>
          <w:ilvl w:val="1"/>
          <w:numId w:val="2"/>
        </w:numPr>
        <w:autoSpaceDE/>
        <w:autoSpaceDN/>
        <w:adjustRightInd/>
        <w:contextualSpacing w:val="0"/>
        <w:rPr>
          <w:b/>
        </w:rPr>
      </w:pPr>
      <w:r w:rsidRPr="00997786">
        <w:t xml:space="preserve">About </w:t>
      </w:r>
      <w:r w:rsidR="00A15E06">
        <w:t xml:space="preserve">1 </w:t>
      </w:r>
      <w:r w:rsidRPr="00997786">
        <w:t xml:space="preserve">month later, perform </w:t>
      </w:r>
      <w:r w:rsidR="00A15E06">
        <w:t xml:space="preserve">a </w:t>
      </w:r>
      <w:r w:rsidRPr="00997786">
        <w:t xml:space="preserve">visual inspection and choose plants </w:t>
      </w:r>
      <w:r w:rsidRPr="00997786">
        <w:rPr>
          <w:color w:val="000000" w:themeColor="text1"/>
        </w:rPr>
        <w:t xml:space="preserve">showing </w:t>
      </w:r>
      <w:r w:rsidRPr="00997786">
        <w:t>yellow curl leaf and stunt symptoms.</w:t>
      </w:r>
      <w:bookmarkStart w:id="14" w:name="OLE_LINK56"/>
      <w:bookmarkStart w:id="15" w:name="OLE_LINK57"/>
    </w:p>
    <w:p w14:paraId="670DE32F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/>
        </w:rPr>
      </w:pPr>
    </w:p>
    <w:p w14:paraId="1C444544" w14:textId="63E29D89" w:rsidR="003C5D74" w:rsidRPr="00D25D72" w:rsidRDefault="003C5D74" w:rsidP="008E4526">
      <w:pPr>
        <w:pStyle w:val="ListParagraph"/>
        <w:numPr>
          <w:ilvl w:val="1"/>
          <w:numId w:val="2"/>
        </w:numPr>
        <w:autoSpaceDE/>
        <w:autoSpaceDN/>
        <w:adjustRightInd/>
        <w:contextualSpacing w:val="0"/>
        <w:rPr>
          <w:b/>
        </w:rPr>
      </w:pPr>
      <w:r w:rsidRPr="00997786">
        <w:t>Transfer non-</w:t>
      </w:r>
      <w:proofErr w:type="spellStart"/>
      <w:r w:rsidRPr="00997786">
        <w:t>viruliferous</w:t>
      </w:r>
      <w:proofErr w:type="spellEnd"/>
      <w:r w:rsidRPr="00997786">
        <w:t xml:space="preserve"> whitefly adults onto TYLCV-infected tomato plants for 48 h</w:t>
      </w:r>
      <w:r w:rsidR="00D35874">
        <w:t xml:space="preserve"> for</w:t>
      </w:r>
      <w:r w:rsidRPr="00997786">
        <w:t xml:space="preserve"> virus acquisition.</w:t>
      </w:r>
      <w:bookmarkEnd w:id="14"/>
      <w:bookmarkEnd w:id="15"/>
    </w:p>
    <w:p w14:paraId="0114241D" w14:textId="77777777" w:rsidR="00D25D72" w:rsidRPr="00997786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b/>
        </w:rPr>
      </w:pPr>
    </w:p>
    <w:p w14:paraId="02220A03" w14:textId="7EE8CADF" w:rsidR="003C5D74" w:rsidRDefault="003C5D74" w:rsidP="00D35874">
      <w:pPr>
        <w:autoSpaceDE/>
        <w:autoSpaceDN/>
        <w:adjustRightInd/>
        <w:rPr>
          <w:b/>
          <w:highlight w:val="yellow"/>
        </w:rPr>
      </w:pPr>
      <w:bookmarkStart w:id="16" w:name="_Hlk22038617"/>
      <w:r w:rsidRPr="00912E88">
        <w:rPr>
          <w:b/>
          <w:highlight w:val="yellow"/>
        </w:rPr>
        <w:t>2</w:t>
      </w:r>
      <w:r w:rsidR="00133AE8">
        <w:rPr>
          <w:b/>
          <w:highlight w:val="yellow"/>
        </w:rPr>
        <w:t>.</w:t>
      </w:r>
      <w:r w:rsidRPr="00912E88">
        <w:rPr>
          <w:b/>
          <w:highlight w:val="yellow"/>
        </w:rPr>
        <w:t xml:space="preserve"> Dissection and </w:t>
      </w:r>
      <w:r w:rsidR="00A15E06" w:rsidRPr="00912E88">
        <w:rPr>
          <w:b/>
          <w:highlight w:val="yellow"/>
        </w:rPr>
        <w:t xml:space="preserve">collection of </w:t>
      </w:r>
      <w:r w:rsidR="003170D7" w:rsidRPr="00912E88">
        <w:rPr>
          <w:b/>
          <w:highlight w:val="yellow"/>
        </w:rPr>
        <w:t>midguts</w:t>
      </w:r>
      <w:r w:rsidR="00A15E06" w:rsidRPr="0064215D">
        <w:rPr>
          <w:highlight w:val="yellow"/>
        </w:rPr>
        <w:t>,</w:t>
      </w:r>
      <w:r w:rsidR="00A15E06" w:rsidRPr="00912E88">
        <w:rPr>
          <w:b/>
          <w:highlight w:val="yellow"/>
        </w:rPr>
        <w:t xml:space="preserve"> primary salivary glands</w:t>
      </w:r>
      <w:r w:rsidR="00A15E06">
        <w:rPr>
          <w:b/>
          <w:highlight w:val="yellow"/>
        </w:rPr>
        <w:t xml:space="preserve"> </w:t>
      </w:r>
      <w:r w:rsidR="008E4526">
        <w:rPr>
          <w:b/>
          <w:highlight w:val="yellow"/>
        </w:rPr>
        <w:t>(PSG)</w:t>
      </w:r>
      <w:r w:rsidRPr="003170D7">
        <w:rPr>
          <w:highlight w:val="yellow"/>
        </w:rPr>
        <w:t>,</w:t>
      </w:r>
      <w:r w:rsidRPr="00912E88">
        <w:rPr>
          <w:b/>
          <w:highlight w:val="yellow"/>
        </w:rPr>
        <w:t xml:space="preserve"> </w:t>
      </w:r>
      <w:r w:rsidR="00A15E06" w:rsidRPr="00912E88">
        <w:rPr>
          <w:b/>
          <w:highlight w:val="yellow"/>
        </w:rPr>
        <w:t>ovar</w:t>
      </w:r>
      <w:r w:rsidR="00EF0B5D">
        <w:rPr>
          <w:b/>
          <w:highlight w:val="yellow"/>
        </w:rPr>
        <w:t>ies</w:t>
      </w:r>
      <w:r w:rsidR="00A15E06">
        <w:rPr>
          <w:b/>
          <w:highlight w:val="yellow"/>
        </w:rPr>
        <w:t>,</w:t>
      </w:r>
      <w:r w:rsidR="00A15E06" w:rsidRPr="00912E88">
        <w:rPr>
          <w:b/>
          <w:highlight w:val="yellow"/>
        </w:rPr>
        <w:t xml:space="preserve"> and hemolymph of female whitefl</w:t>
      </w:r>
      <w:r w:rsidR="00A15E06">
        <w:rPr>
          <w:b/>
          <w:highlight w:val="yellow"/>
        </w:rPr>
        <w:t>ies</w:t>
      </w:r>
    </w:p>
    <w:p w14:paraId="430A8789" w14:textId="77777777" w:rsidR="00D25D72" w:rsidRPr="00912E88" w:rsidRDefault="00D25D72" w:rsidP="00D35874">
      <w:pPr>
        <w:autoSpaceDE/>
        <w:autoSpaceDN/>
        <w:adjustRightInd/>
        <w:rPr>
          <w:b/>
          <w:highlight w:val="yellow"/>
        </w:rPr>
      </w:pPr>
    </w:p>
    <w:p w14:paraId="284A0199" w14:textId="14A78F09" w:rsidR="003C5D74" w:rsidRPr="00D35874" w:rsidRDefault="008E4526" w:rsidP="00D35874">
      <w:pPr>
        <w:pStyle w:val="ListParagraph"/>
        <w:numPr>
          <w:ilvl w:val="1"/>
          <w:numId w:val="7"/>
        </w:numPr>
        <w:autoSpaceDE/>
        <w:autoSpaceDN/>
        <w:adjustRightInd/>
        <w:ind w:left="0" w:firstLine="0"/>
      </w:pPr>
      <w:r w:rsidRPr="008E4526">
        <w:t>Collect whiteflies using aspiration, and then place them on ice to put them in a coma.</w:t>
      </w:r>
      <w:r w:rsidR="00D35874">
        <w:t xml:space="preserve"> </w:t>
      </w:r>
      <w:r w:rsidR="003C5D74" w:rsidRPr="00D35874">
        <w:rPr>
          <w:bCs/>
          <w:highlight w:val="yellow"/>
        </w:rPr>
        <w:t xml:space="preserve">Add </w:t>
      </w:r>
      <w:bookmarkStart w:id="17" w:name="OLE_LINK53"/>
      <w:r w:rsidR="003C5D74" w:rsidRPr="00D35874">
        <w:rPr>
          <w:bCs/>
          <w:highlight w:val="yellow"/>
        </w:rPr>
        <w:t>1x PBS (</w:t>
      </w:r>
      <w:r w:rsidR="00A15E06" w:rsidRPr="00D35874">
        <w:rPr>
          <w:bCs/>
          <w:highlight w:val="yellow"/>
        </w:rPr>
        <w:t>phosphate</w:t>
      </w:r>
      <w:r w:rsidR="003C5D74" w:rsidRPr="00D35874">
        <w:rPr>
          <w:bCs/>
          <w:highlight w:val="yellow"/>
        </w:rPr>
        <w:t>-buffered saline) buffer onto a microscope slide</w:t>
      </w:r>
      <w:bookmarkEnd w:id="17"/>
      <w:r w:rsidR="003C5D74" w:rsidRPr="00D35874">
        <w:rPr>
          <w:bCs/>
          <w:highlight w:val="yellow"/>
        </w:rPr>
        <w:t>, and then place whiteflies in the 1x PBS buffer for dissection under a stereo microscope.</w:t>
      </w:r>
      <w:bookmarkStart w:id="18" w:name="OLE_LINK43"/>
      <w:bookmarkStart w:id="19" w:name="OLE_LINK44"/>
      <w:bookmarkStart w:id="20" w:name="OLE_LINK38"/>
      <w:bookmarkStart w:id="21" w:name="OLE_LINK39"/>
    </w:p>
    <w:p w14:paraId="2629B8BF" w14:textId="77777777" w:rsidR="00D25D72" w:rsidRPr="00912E88" w:rsidRDefault="00D25D72" w:rsidP="00D35874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3A2C24DF" w14:textId="78C5D052" w:rsidR="003C5D74" w:rsidRDefault="003C5D74" w:rsidP="00D35874">
      <w:pPr>
        <w:pStyle w:val="ListParagraph"/>
        <w:numPr>
          <w:ilvl w:val="2"/>
          <w:numId w:val="1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For </w:t>
      </w:r>
      <w:r w:rsidR="002018C2" w:rsidRPr="00912E88">
        <w:rPr>
          <w:highlight w:val="yellow"/>
        </w:rPr>
        <w:t xml:space="preserve">the </w:t>
      </w:r>
      <w:r w:rsidRPr="00912E88">
        <w:rPr>
          <w:highlight w:val="yellow"/>
        </w:rPr>
        <w:t>midgut</w:t>
      </w:r>
      <w:bookmarkEnd w:id="18"/>
      <w:bookmarkEnd w:id="19"/>
      <w:r w:rsidRPr="00912E88">
        <w:rPr>
          <w:highlight w:val="yellow"/>
        </w:rPr>
        <w:t xml:space="preserve"> dissection, break the abdomen of the whitefly</w:t>
      </w:r>
      <w:bookmarkEnd w:id="20"/>
      <w:bookmarkEnd w:id="21"/>
      <w:r w:rsidRPr="00912E88">
        <w:rPr>
          <w:highlight w:val="yellow"/>
        </w:rPr>
        <w:t xml:space="preserve"> and pull out the midgut</w:t>
      </w:r>
      <w:bookmarkStart w:id="22" w:name="OLE_LINK37"/>
      <w:r w:rsidRPr="00912E88">
        <w:rPr>
          <w:highlight w:val="yellow"/>
        </w:rPr>
        <w:t xml:space="preserve"> using a fine acupuncture needle</w:t>
      </w:r>
      <w:bookmarkStart w:id="23" w:name="OLE_LINK49"/>
      <w:bookmarkEnd w:id="22"/>
      <w:r w:rsidRPr="00912E88">
        <w:rPr>
          <w:highlight w:val="yellow"/>
        </w:rPr>
        <w:t xml:space="preserve"> (0.25 mm in diameter). Transfer the midgut to </w:t>
      </w:r>
      <w:bookmarkStart w:id="24" w:name="OLE_LINK41"/>
      <w:bookmarkStart w:id="25" w:name="OLE_LINK42"/>
      <w:r w:rsidRPr="00912E88">
        <w:rPr>
          <w:highlight w:val="yellow"/>
        </w:rPr>
        <w:t>clean</w:t>
      </w:r>
      <w:bookmarkEnd w:id="24"/>
      <w:bookmarkEnd w:id="25"/>
      <w:r w:rsidR="00EF0B5D">
        <w:rPr>
          <w:highlight w:val="yellow"/>
        </w:rPr>
        <w:t>,</w:t>
      </w:r>
      <w:r w:rsidRPr="00912E88">
        <w:rPr>
          <w:highlight w:val="yellow"/>
        </w:rPr>
        <w:t xml:space="preserve"> </w:t>
      </w:r>
      <w:r w:rsidRPr="00912E88">
        <w:rPr>
          <w:bCs/>
          <w:highlight w:val="yellow"/>
        </w:rPr>
        <w:t>1x</w:t>
      </w:r>
      <w:r w:rsidRPr="00912E88">
        <w:rPr>
          <w:highlight w:val="yellow"/>
        </w:rPr>
        <w:t xml:space="preserve"> PBS.</w:t>
      </w:r>
      <w:bookmarkEnd w:id="23"/>
    </w:p>
    <w:p w14:paraId="737D31F8" w14:textId="77777777" w:rsidR="00D25D72" w:rsidRPr="00912E88" w:rsidRDefault="00D25D72" w:rsidP="00D35874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4A8F5421" w14:textId="54CA39F6" w:rsidR="003C5D74" w:rsidRDefault="003C5D74" w:rsidP="00D35874">
      <w:pPr>
        <w:pStyle w:val="ListParagraph"/>
        <w:numPr>
          <w:ilvl w:val="2"/>
          <w:numId w:val="3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>For</w:t>
      </w:r>
      <w:bookmarkStart w:id="26" w:name="OLE_LINK50"/>
      <w:bookmarkStart w:id="27" w:name="OLE_LINK51"/>
      <w:r w:rsidRPr="00912E88">
        <w:rPr>
          <w:highlight w:val="yellow"/>
        </w:rPr>
        <w:t xml:space="preserve"> </w:t>
      </w:r>
      <w:bookmarkEnd w:id="26"/>
      <w:bookmarkEnd w:id="27"/>
      <w:r w:rsidRPr="00912E88">
        <w:rPr>
          <w:highlight w:val="yellow"/>
          <w:lang w:eastAsia="zh-CN"/>
        </w:rPr>
        <w:t>PSG</w:t>
      </w:r>
      <w:r w:rsidRPr="00912E88">
        <w:rPr>
          <w:highlight w:val="yellow"/>
        </w:rPr>
        <w:t xml:space="preserve"> dissection, </w:t>
      </w:r>
      <w:bookmarkStart w:id="28" w:name="OLE_LINK45"/>
      <w:bookmarkStart w:id="29" w:name="OLE_LINK46"/>
      <w:r w:rsidRPr="00912E88">
        <w:rPr>
          <w:highlight w:val="yellow"/>
        </w:rPr>
        <w:t xml:space="preserve">break the body of the whitefly in the thorax near the head from </w:t>
      </w:r>
      <w:r w:rsidR="0064215D">
        <w:rPr>
          <w:highlight w:val="yellow"/>
        </w:rPr>
        <w:t xml:space="preserve">the </w:t>
      </w:r>
      <w:r w:rsidRPr="00912E88">
        <w:rPr>
          <w:highlight w:val="yellow"/>
        </w:rPr>
        <w:t>dorsal</w:t>
      </w:r>
      <w:r w:rsidR="0064215D">
        <w:rPr>
          <w:highlight w:val="yellow"/>
        </w:rPr>
        <w:t xml:space="preserve"> side</w:t>
      </w:r>
      <w:r w:rsidRPr="00912E88">
        <w:rPr>
          <w:highlight w:val="yellow"/>
        </w:rPr>
        <w:t>.</w:t>
      </w:r>
      <w:bookmarkEnd w:id="28"/>
      <w:bookmarkEnd w:id="29"/>
      <w:r w:rsidRPr="00912E88">
        <w:rPr>
          <w:highlight w:val="yellow"/>
        </w:rPr>
        <w:t xml:space="preserve"> Next, insert </w:t>
      </w:r>
      <w:r w:rsidR="008E4526">
        <w:rPr>
          <w:highlight w:val="yellow"/>
        </w:rPr>
        <w:t xml:space="preserve">a </w:t>
      </w:r>
      <w:r w:rsidRPr="00912E88">
        <w:rPr>
          <w:highlight w:val="yellow"/>
        </w:rPr>
        <w:t xml:space="preserve">needle into the thorax to fix the whitefly, and </w:t>
      </w:r>
      <w:bookmarkStart w:id="30" w:name="OLE_LINK48"/>
      <w:r w:rsidRPr="00912E88">
        <w:rPr>
          <w:highlight w:val="yellow"/>
        </w:rPr>
        <w:t xml:space="preserve">use another needle to shake </w:t>
      </w:r>
      <w:r w:rsidR="0064215D">
        <w:rPr>
          <w:highlight w:val="yellow"/>
        </w:rPr>
        <w:t xml:space="preserve">the whitefly </w:t>
      </w:r>
      <w:r w:rsidRPr="00912E88">
        <w:rPr>
          <w:highlight w:val="yellow"/>
        </w:rPr>
        <w:t>until the two salivary glands are separated from the body.</w:t>
      </w:r>
      <w:bookmarkEnd w:id="30"/>
      <w:r w:rsidRPr="00912E88">
        <w:rPr>
          <w:highlight w:val="yellow"/>
        </w:rPr>
        <w:t xml:space="preserve"> Then, transfer the PSGs to clean</w:t>
      </w:r>
      <w:r w:rsidR="00EF0B5D">
        <w:rPr>
          <w:highlight w:val="yellow"/>
        </w:rPr>
        <w:t>,</w:t>
      </w:r>
      <w:r w:rsidRPr="00912E88">
        <w:rPr>
          <w:highlight w:val="yellow"/>
        </w:rPr>
        <w:t xml:space="preserve"> </w:t>
      </w:r>
      <w:r w:rsidRPr="00912E88">
        <w:rPr>
          <w:bCs/>
          <w:highlight w:val="yellow"/>
        </w:rPr>
        <w:t>1x</w:t>
      </w:r>
      <w:r w:rsidRPr="00912E88">
        <w:rPr>
          <w:highlight w:val="yellow"/>
        </w:rPr>
        <w:t xml:space="preserve"> PBS.</w:t>
      </w:r>
    </w:p>
    <w:p w14:paraId="41009FBD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779B5D03" w14:textId="28710FAC" w:rsidR="003C5D74" w:rsidRDefault="003C5D74" w:rsidP="008E4526">
      <w:pPr>
        <w:pStyle w:val="ListParagraph"/>
        <w:numPr>
          <w:ilvl w:val="2"/>
          <w:numId w:val="3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For </w:t>
      </w:r>
      <w:r w:rsidR="002018C2" w:rsidRPr="00912E88">
        <w:rPr>
          <w:highlight w:val="yellow"/>
        </w:rPr>
        <w:t xml:space="preserve">the </w:t>
      </w:r>
      <w:r w:rsidRPr="00912E88">
        <w:rPr>
          <w:highlight w:val="yellow"/>
        </w:rPr>
        <w:t xml:space="preserve">ovary dissection, </w:t>
      </w:r>
      <w:bookmarkStart w:id="31" w:name="OLE_LINK52"/>
      <w:r w:rsidRPr="00912E88">
        <w:rPr>
          <w:highlight w:val="yellow"/>
        </w:rPr>
        <w:t xml:space="preserve">completely break the abdomen of </w:t>
      </w:r>
      <w:r w:rsidR="0064215D">
        <w:rPr>
          <w:highlight w:val="yellow"/>
        </w:rPr>
        <w:t xml:space="preserve">the </w:t>
      </w:r>
      <w:r w:rsidRPr="00912E88">
        <w:rPr>
          <w:highlight w:val="yellow"/>
        </w:rPr>
        <w:t>whitefly</w:t>
      </w:r>
      <w:bookmarkEnd w:id="31"/>
      <w:r w:rsidRPr="00912E88">
        <w:rPr>
          <w:highlight w:val="yellow"/>
        </w:rPr>
        <w:t>, and use a needle to separate the ovar</w:t>
      </w:r>
      <w:r w:rsidR="00251438">
        <w:rPr>
          <w:highlight w:val="yellow"/>
        </w:rPr>
        <w:t>ies</w:t>
      </w:r>
      <w:r w:rsidRPr="00912E88">
        <w:rPr>
          <w:highlight w:val="yellow"/>
        </w:rPr>
        <w:t xml:space="preserve"> from other tissues</w:t>
      </w:r>
      <w:r w:rsidR="0064215D">
        <w:rPr>
          <w:highlight w:val="yellow"/>
        </w:rPr>
        <w:t>.</w:t>
      </w:r>
      <w:r w:rsidRPr="00912E88">
        <w:rPr>
          <w:highlight w:val="yellow"/>
        </w:rPr>
        <w:t xml:space="preserve"> </w:t>
      </w:r>
      <w:r w:rsidR="0064215D" w:rsidRPr="00912E88">
        <w:rPr>
          <w:highlight w:val="yellow"/>
        </w:rPr>
        <w:t>Then</w:t>
      </w:r>
      <w:r w:rsidR="0064215D">
        <w:rPr>
          <w:highlight w:val="yellow"/>
        </w:rPr>
        <w:t>,</w:t>
      </w:r>
      <w:r w:rsidR="0064215D" w:rsidRPr="00912E88">
        <w:rPr>
          <w:highlight w:val="yellow"/>
        </w:rPr>
        <w:t xml:space="preserve"> </w:t>
      </w:r>
      <w:r w:rsidRPr="00912E88">
        <w:rPr>
          <w:highlight w:val="yellow"/>
        </w:rPr>
        <w:t>remove excess tissues by pipettin</w:t>
      </w:r>
      <w:r w:rsidR="003170D7">
        <w:rPr>
          <w:highlight w:val="yellow"/>
        </w:rPr>
        <w:t>g.</w:t>
      </w:r>
    </w:p>
    <w:p w14:paraId="070DADF5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1E4C32EE" w14:textId="64F037B0" w:rsidR="003C5D74" w:rsidRDefault="003C5D74" w:rsidP="008E4526">
      <w:pPr>
        <w:pStyle w:val="ListParagraph"/>
        <w:numPr>
          <w:ilvl w:val="2"/>
          <w:numId w:val="3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For </w:t>
      </w:r>
      <w:bookmarkStart w:id="32" w:name="OLE_LINK62"/>
      <w:r w:rsidR="002018C2" w:rsidRPr="00912E88">
        <w:rPr>
          <w:highlight w:val="yellow"/>
        </w:rPr>
        <w:t xml:space="preserve">the </w:t>
      </w:r>
      <w:r w:rsidRPr="00912E88">
        <w:rPr>
          <w:highlight w:val="yellow"/>
        </w:rPr>
        <w:t>hemolymph collection</w:t>
      </w:r>
      <w:bookmarkEnd w:id="32"/>
      <w:r w:rsidRPr="00912E88">
        <w:rPr>
          <w:highlight w:val="yellow"/>
        </w:rPr>
        <w:t xml:space="preserve">, add 10 μL of 1x PBS buffer onto a microscope slide, and then place a whitefly in the buffer. To obtain </w:t>
      </w:r>
      <w:r w:rsidR="0064215D">
        <w:rPr>
          <w:highlight w:val="yellow"/>
        </w:rPr>
        <w:t xml:space="preserve">the </w:t>
      </w:r>
      <w:r w:rsidRPr="00912E88">
        <w:rPr>
          <w:highlight w:val="yellow"/>
        </w:rPr>
        <w:t xml:space="preserve">hemolymph, gently tear a hole </w:t>
      </w:r>
      <w:r w:rsidR="00251438">
        <w:rPr>
          <w:highlight w:val="yellow"/>
        </w:rPr>
        <w:t>i</w:t>
      </w:r>
      <w:r w:rsidRPr="00912E88">
        <w:rPr>
          <w:highlight w:val="yellow"/>
        </w:rPr>
        <w:t xml:space="preserve">n the abdomen using a fine acupuncture needle, and slightly press the abdomen to release the hemolymph out into the buffer. Collect 8 μL </w:t>
      </w:r>
      <w:r w:rsidR="00251438">
        <w:rPr>
          <w:highlight w:val="yellow"/>
        </w:rPr>
        <w:t xml:space="preserve">of the </w:t>
      </w:r>
      <w:r w:rsidRPr="00912E88">
        <w:rPr>
          <w:highlight w:val="yellow"/>
        </w:rPr>
        <w:t xml:space="preserve">liquid as </w:t>
      </w:r>
      <w:r w:rsidR="0064215D">
        <w:rPr>
          <w:highlight w:val="yellow"/>
        </w:rPr>
        <w:t xml:space="preserve">the </w:t>
      </w:r>
      <w:r w:rsidRPr="00912E88">
        <w:rPr>
          <w:highlight w:val="yellow"/>
        </w:rPr>
        <w:t>hemolymph sample.</w:t>
      </w:r>
    </w:p>
    <w:p w14:paraId="084691F4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6C4A8B3B" w14:textId="6E95519F" w:rsidR="003C5D74" w:rsidRPr="00D25D72" w:rsidRDefault="003C5D74" w:rsidP="008E4526">
      <w:pPr>
        <w:pStyle w:val="ListParagraph"/>
        <w:numPr>
          <w:ilvl w:val="0"/>
          <w:numId w:val="3"/>
        </w:numPr>
        <w:rPr>
          <w:b/>
          <w:highlight w:val="yellow"/>
        </w:rPr>
      </w:pPr>
      <w:r w:rsidRPr="00D25D72">
        <w:rPr>
          <w:b/>
          <w:highlight w:val="yellow"/>
        </w:rPr>
        <w:t xml:space="preserve">Localization of TYLCV in </w:t>
      </w:r>
      <w:r w:rsidR="0064215D" w:rsidRPr="00D25D72">
        <w:rPr>
          <w:b/>
          <w:highlight w:val="yellow"/>
        </w:rPr>
        <w:t>whitefly midgut</w:t>
      </w:r>
      <w:r w:rsidR="0064215D" w:rsidRPr="00F54909">
        <w:rPr>
          <w:highlight w:val="yellow"/>
        </w:rPr>
        <w:t>,</w:t>
      </w:r>
      <w:r w:rsidR="0064215D" w:rsidRPr="00D25D72">
        <w:rPr>
          <w:b/>
          <w:highlight w:val="yellow"/>
        </w:rPr>
        <w:t xml:space="preserve"> primary salivary glands</w:t>
      </w:r>
      <w:r w:rsidR="0064215D">
        <w:rPr>
          <w:b/>
          <w:highlight w:val="yellow"/>
        </w:rPr>
        <w:t>,</w:t>
      </w:r>
      <w:r w:rsidR="0064215D" w:rsidRPr="00D25D72">
        <w:rPr>
          <w:b/>
          <w:highlight w:val="yellow"/>
        </w:rPr>
        <w:t xml:space="preserve"> and ovar</w:t>
      </w:r>
      <w:r w:rsidR="00251438">
        <w:rPr>
          <w:b/>
          <w:highlight w:val="yellow"/>
        </w:rPr>
        <w:t>ies</w:t>
      </w:r>
      <w:r w:rsidR="0064215D" w:rsidRPr="00D25D72">
        <w:rPr>
          <w:b/>
          <w:highlight w:val="yellow"/>
        </w:rPr>
        <w:t xml:space="preserve"> by </w:t>
      </w:r>
      <w:bookmarkStart w:id="33" w:name="OLE_LINK29"/>
      <w:bookmarkStart w:id="34" w:name="OLE_LINK30"/>
      <w:bookmarkStart w:id="35" w:name="OLE_LINK58"/>
      <w:r w:rsidR="0064215D" w:rsidRPr="00D25D72">
        <w:rPr>
          <w:b/>
          <w:highlight w:val="yellow"/>
        </w:rPr>
        <w:t>immunofluorescenc</w:t>
      </w:r>
      <w:r w:rsidRPr="00D25D72">
        <w:rPr>
          <w:b/>
          <w:highlight w:val="yellow"/>
        </w:rPr>
        <w:t>e</w:t>
      </w:r>
      <w:bookmarkEnd w:id="33"/>
      <w:bookmarkEnd w:id="34"/>
      <w:bookmarkEnd w:id="35"/>
    </w:p>
    <w:p w14:paraId="5018D224" w14:textId="77777777" w:rsidR="00D25D72" w:rsidRPr="00D25D72" w:rsidRDefault="00D25D72" w:rsidP="008E4526">
      <w:pPr>
        <w:pStyle w:val="ListParagraph"/>
        <w:ind w:left="0"/>
        <w:rPr>
          <w:b/>
          <w:highlight w:val="yellow"/>
        </w:rPr>
      </w:pPr>
    </w:p>
    <w:p w14:paraId="02CC4E2C" w14:textId="5A1F397F" w:rsidR="003C5D74" w:rsidRDefault="00D35874" w:rsidP="008E4526">
      <w:pPr>
        <w:rPr>
          <w:highlight w:val="yellow"/>
        </w:rPr>
      </w:pPr>
      <w:bookmarkStart w:id="36" w:name="OLE_LINK27"/>
      <w:bookmarkStart w:id="37" w:name="OLE_LINK28"/>
      <w:r>
        <w:rPr>
          <w:highlight w:val="yellow"/>
        </w:rPr>
        <w:t xml:space="preserve">NOTE: </w:t>
      </w:r>
      <w:r w:rsidR="003C5D74" w:rsidRPr="00912E88">
        <w:rPr>
          <w:highlight w:val="yellow"/>
        </w:rPr>
        <w:t xml:space="preserve">The procedure for the localization of TYLCV in </w:t>
      </w:r>
      <w:r w:rsidR="00EF751A">
        <w:rPr>
          <w:highlight w:val="yellow"/>
        </w:rPr>
        <w:t xml:space="preserve">the </w:t>
      </w:r>
      <w:r w:rsidR="003C5D74" w:rsidRPr="00912E88">
        <w:rPr>
          <w:highlight w:val="yellow"/>
        </w:rPr>
        <w:t>midguts is presented as an example</w:t>
      </w:r>
      <w:r w:rsidR="00EF751A">
        <w:rPr>
          <w:highlight w:val="yellow"/>
        </w:rPr>
        <w:t>.</w:t>
      </w:r>
      <w:r w:rsidR="003C5D74" w:rsidRPr="00912E88">
        <w:rPr>
          <w:highlight w:val="yellow"/>
        </w:rPr>
        <w:t xml:space="preserve"> </w:t>
      </w:r>
      <w:r w:rsidR="00EF751A" w:rsidRPr="00912E88">
        <w:rPr>
          <w:highlight w:val="yellow"/>
        </w:rPr>
        <w:t xml:space="preserve">The </w:t>
      </w:r>
      <w:r w:rsidR="003C5D74" w:rsidRPr="00912E88">
        <w:rPr>
          <w:highlight w:val="yellow"/>
        </w:rPr>
        <w:t>method can be used for PSGs and ovaries.</w:t>
      </w:r>
    </w:p>
    <w:p w14:paraId="5DD93782" w14:textId="77777777" w:rsidR="00D25D72" w:rsidRPr="00912E88" w:rsidRDefault="00D25D72" w:rsidP="008E4526">
      <w:pPr>
        <w:rPr>
          <w:highlight w:val="yellow"/>
        </w:rPr>
      </w:pPr>
    </w:p>
    <w:p w14:paraId="72DFABA6" w14:textId="09E22E2F" w:rsidR="003C5D74" w:rsidRDefault="003C5D74" w:rsidP="008E4526">
      <w:pPr>
        <w:pStyle w:val="ListParagraph"/>
        <w:numPr>
          <w:ilvl w:val="1"/>
          <w:numId w:val="4"/>
        </w:numPr>
        <w:autoSpaceDE/>
        <w:autoSpaceDN/>
        <w:adjustRightInd/>
        <w:ind w:left="0" w:firstLine="0"/>
        <w:contextualSpacing w:val="0"/>
        <w:rPr>
          <w:highlight w:val="yellow"/>
        </w:rPr>
      </w:pPr>
      <w:r w:rsidRPr="00912E88">
        <w:rPr>
          <w:highlight w:val="yellow"/>
        </w:rPr>
        <w:lastRenderedPageBreak/>
        <w:t xml:space="preserve">Dissect </w:t>
      </w:r>
      <w:r w:rsidR="00EF751A">
        <w:rPr>
          <w:highlight w:val="yellow"/>
        </w:rPr>
        <w:t xml:space="preserve">the </w:t>
      </w:r>
      <w:r w:rsidRPr="00912E88">
        <w:rPr>
          <w:highlight w:val="yellow"/>
        </w:rPr>
        <w:t xml:space="preserve">midguts in TBS buffer (10 mM Tris-HCl, 150 mM sodium chloride, pH </w:t>
      </w:r>
      <w:r w:rsidR="00EF751A">
        <w:rPr>
          <w:highlight w:val="yellow"/>
        </w:rPr>
        <w:t xml:space="preserve">= </w:t>
      </w:r>
      <w:r w:rsidRPr="00912E88">
        <w:rPr>
          <w:highlight w:val="yellow"/>
        </w:rPr>
        <w:t>7.5) as described</w:t>
      </w:r>
      <w:r w:rsidR="00D35874">
        <w:rPr>
          <w:highlight w:val="yellow"/>
        </w:rPr>
        <w:t xml:space="preserve"> in step 2.2.1</w:t>
      </w:r>
      <w:r w:rsidRPr="00912E88">
        <w:rPr>
          <w:highlight w:val="yellow"/>
        </w:rPr>
        <w:t>.</w:t>
      </w:r>
      <w:bookmarkEnd w:id="36"/>
      <w:bookmarkEnd w:id="37"/>
      <w:r w:rsidRPr="00912E88">
        <w:rPr>
          <w:highlight w:val="yellow"/>
        </w:rPr>
        <w:t xml:space="preserve"> Collect 15</w:t>
      </w:r>
      <w:r w:rsidR="00EF751A" w:rsidRPr="00F54909">
        <w:rPr>
          <w:highlight w:val="yellow"/>
        </w:rPr>
        <w:t>–</w:t>
      </w:r>
      <w:r w:rsidRPr="00912E88">
        <w:rPr>
          <w:highlight w:val="yellow"/>
        </w:rPr>
        <w:t>20 whitefly midguts</w:t>
      </w:r>
      <w:r w:rsidR="00EF751A">
        <w:rPr>
          <w:highlight w:val="yellow"/>
        </w:rPr>
        <w:t>,</w:t>
      </w:r>
      <w:r w:rsidRPr="00912E88">
        <w:rPr>
          <w:highlight w:val="yellow"/>
        </w:rPr>
        <w:t xml:space="preserve"> transfer them into a glass </w:t>
      </w:r>
      <w:r w:rsidR="00D35874">
        <w:rPr>
          <w:highlight w:val="yellow"/>
        </w:rPr>
        <w:t>P</w:t>
      </w:r>
      <w:r w:rsidRPr="00912E88">
        <w:rPr>
          <w:highlight w:val="yellow"/>
        </w:rPr>
        <w:t>etri dish (3.5 cm in diameter), and then remove excess TBS buffer.</w:t>
      </w:r>
    </w:p>
    <w:p w14:paraId="02AAE476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09C8EBF5" w14:textId="6EE32458" w:rsidR="003C5D74" w:rsidRDefault="003C5D74" w:rsidP="008E4526">
      <w:pPr>
        <w:pStyle w:val="ListParagraph"/>
        <w:numPr>
          <w:ilvl w:val="1"/>
          <w:numId w:val="4"/>
        </w:numPr>
        <w:autoSpaceDE/>
        <w:autoSpaceDN/>
        <w:adjustRightInd/>
        <w:ind w:left="0" w:firstLine="0"/>
        <w:contextualSpacing w:val="0"/>
        <w:rPr>
          <w:highlight w:val="yellow"/>
        </w:rPr>
      </w:pPr>
      <w:bookmarkStart w:id="38" w:name="OLE_LINK8"/>
      <w:bookmarkStart w:id="39" w:name="OLE_LINK9"/>
      <w:r w:rsidRPr="00912E88">
        <w:rPr>
          <w:highlight w:val="yellow"/>
        </w:rPr>
        <w:t xml:space="preserve">Add 1 mL </w:t>
      </w:r>
      <w:r w:rsidR="00D35874">
        <w:rPr>
          <w:highlight w:val="yellow"/>
        </w:rPr>
        <w:t xml:space="preserve">of </w:t>
      </w:r>
      <w:r w:rsidRPr="00912E88">
        <w:rPr>
          <w:highlight w:val="yellow"/>
        </w:rPr>
        <w:t xml:space="preserve">4% </w:t>
      </w:r>
      <w:r w:rsidR="00EF751A" w:rsidRPr="00912E88">
        <w:rPr>
          <w:highlight w:val="yellow"/>
        </w:rPr>
        <w:t xml:space="preserve">paraformaldehyde </w:t>
      </w:r>
      <w:r w:rsidRPr="00912E88">
        <w:rPr>
          <w:highlight w:val="yellow"/>
        </w:rPr>
        <w:t>to fix midguts for 2 h at room temperature, and then remove the fixative solution. P</w:t>
      </w:r>
      <w:r w:rsidR="00D35874">
        <w:rPr>
          <w:highlight w:val="yellow"/>
        </w:rPr>
        <w:t>ipette</w:t>
      </w:r>
      <w:r w:rsidRPr="00912E88">
        <w:rPr>
          <w:highlight w:val="yellow"/>
        </w:rPr>
        <w:t xml:space="preserve"> sl</w:t>
      </w:r>
      <w:r w:rsidR="00D35874">
        <w:rPr>
          <w:highlight w:val="yellow"/>
        </w:rPr>
        <w:t xml:space="preserve">owly </w:t>
      </w:r>
      <w:r w:rsidRPr="00912E88">
        <w:rPr>
          <w:highlight w:val="yellow"/>
        </w:rPr>
        <w:t xml:space="preserve">to wash </w:t>
      </w:r>
      <w:r w:rsidR="00EF751A">
        <w:rPr>
          <w:highlight w:val="yellow"/>
        </w:rPr>
        <w:t xml:space="preserve">the </w:t>
      </w:r>
      <w:r w:rsidRPr="00912E88">
        <w:rPr>
          <w:highlight w:val="yellow"/>
        </w:rPr>
        <w:t xml:space="preserve">midguts </w:t>
      </w:r>
      <w:r w:rsidR="00EF751A" w:rsidRPr="00F54909">
        <w:rPr>
          <w:highlight w:val="yellow"/>
        </w:rPr>
        <w:t>3</w:t>
      </w:r>
      <w:r w:rsidR="00EF751A" w:rsidRPr="00BE2644">
        <w:rPr>
          <w:highlight w:val="yellow"/>
        </w:rPr>
        <w:t>x</w:t>
      </w:r>
      <w:r w:rsidR="00EF751A" w:rsidRPr="00912E88">
        <w:rPr>
          <w:highlight w:val="yellow"/>
        </w:rPr>
        <w:t xml:space="preserve"> </w:t>
      </w:r>
      <w:r w:rsidRPr="00912E88">
        <w:rPr>
          <w:highlight w:val="yellow"/>
        </w:rPr>
        <w:t>in TBS for 2 min each.</w:t>
      </w:r>
      <w:bookmarkEnd w:id="38"/>
      <w:bookmarkEnd w:id="39"/>
    </w:p>
    <w:p w14:paraId="30118CDF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7C10C8BA" w14:textId="5015924E" w:rsidR="003C5D74" w:rsidRDefault="003C5D74" w:rsidP="008E4526">
      <w:pPr>
        <w:pStyle w:val="ListParagraph"/>
        <w:numPr>
          <w:ilvl w:val="1"/>
          <w:numId w:val="4"/>
        </w:numPr>
        <w:autoSpaceDE/>
        <w:autoSpaceDN/>
        <w:adjustRightInd/>
        <w:ind w:left="0" w:firstLine="0"/>
        <w:contextualSpacing w:val="0"/>
        <w:rPr>
          <w:highlight w:val="yellow"/>
        </w:rPr>
      </w:pPr>
      <w:r w:rsidRPr="00912E88">
        <w:rPr>
          <w:highlight w:val="yellow"/>
        </w:rPr>
        <w:t xml:space="preserve">Incubate </w:t>
      </w:r>
      <w:r w:rsidR="004D1FD4">
        <w:rPr>
          <w:highlight w:val="yellow"/>
        </w:rPr>
        <w:t xml:space="preserve">the </w:t>
      </w:r>
      <w:r w:rsidRPr="00912E88">
        <w:rPr>
          <w:highlight w:val="yellow"/>
        </w:rPr>
        <w:t xml:space="preserve">midguts in 1 mL </w:t>
      </w:r>
      <w:r w:rsidR="00D35874">
        <w:rPr>
          <w:highlight w:val="yellow"/>
        </w:rPr>
        <w:t xml:space="preserve">of </w:t>
      </w:r>
      <w:r w:rsidRPr="00912E88">
        <w:rPr>
          <w:highlight w:val="yellow"/>
        </w:rPr>
        <w:t>0.5% Triton X-100 for 30 min</w:t>
      </w:r>
      <w:r w:rsidR="00D35874">
        <w:rPr>
          <w:highlight w:val="yellow"/>
        </w:rPr>
        <w:t xml:space="preserve"> to permeabilize.</w:t>
      </w:r>
      <w:r w:rsidRPr="00912E88">
        <w:rPr>
          <w:highlight w:val="yellow"/>
        </w:rPr>
        <w:t xml:space="preserve"> </w:t>
      </w:r>
      <w:r w:rsidR="00D35874">
        <w:rPr>
          <w:highlight w:val="yellow"/>
        </w:rPr>
        <w:t>T</w:t>
      </w:r>
      <w:r w:rsidRPr="00912E88">
        <w:rPr>
          <w:highlight w:val="yellow"/>
        </w:rPr>
        <w:t xml:space="preserve">hen remove the permeabilization solution and wash </w:t>
      </w:r>
      <w:r w:rsidR="004D1FD4">
        <w:rPr>
          <w:highlight w:val="yellow"/>
        </w:rPr>
        <w:t xml:space="preserve">the </w:t>
      </w:r>
      <w:r w:rsidRPr="00912E88">
        <w:rPr>
          <w:highlight w:val="yellow"/>
        </w:rPr>
        <w:t xml:space="preserve">midguts </w:t>
      </w:r>
      <w:r w:rsidR="004D1FD4" w:rsidRPr="00F54909">
        <w:rPr>
          <w:highlight w:val="yellow"/>
        </w:rPr>
        <w:t>3</w:t>
      </w:r>
      <w:r w:rsidR="004D1FD4" w:rsidRPr="00BE2644">
        <w:rPr>
          <w:highlight w:val="yellow"/>
        </w:rPr>
        <w:t>x</w:t>
      </w:r>
      <w:r w:rsidR="004D1FD4" w:rsidRPr="00912E88">
        <w:rPr>
          <w:highlight w:val="yellow"/>
        </w:rPr>
        <w:t xml:space="preserve"> </w:t>
      </w:r>
      <w:r w:rsidRPr="00912E88">
        <w:rPr>
          <w:highlight w:val="yellow"/>
        </w:rPr>
        <w:t>with</w:t>
      </w:r>
      <w:bookmarkStart w:id="40" w:name="_Hlk21645473"/>
      <w:r w:rsidRPr="00912E88">
        <w:rPr>
          <w:highlight w:val="yellow"/>
        </w:rPr>
        <w:t xml:space="preserve"> TBST (1× TBS with 0.05% Tween 20</w:t>
      </w:r>
      <w:bookmarkEnd w:id="40"/>
      <w:r w:rsidRPr="00912E88">
        <w:rPr>
          <w:highlight w:val="yellow"/>
        </w:rPr>
        <w:t xml:space="preserve">) as described </w:t>
      </w:r>
      <w:r w:rsidR="00D35874">
        <w:rPr>
          <w:highlight w:val="yellow"/>
        </w:rPr>
        <w:t>in step 3.2</w:t>
      </w:r>
      <w:r w:rsidRPr="00912E88">
        <w:rPr>
          <w:highlight w:val="yellow"/>
        </w:rPr>
        <w:t>.</w:t>
      </w:r>
    </w:p>
    <w:p w14:paraId="7F53AAD6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2AF186A6" w14:textId="6BAAF108" w:rsidR="003C5D74" w:rsidRDefault="003C5D74" w:rsidP="008E4526">
      <w:pPr>
        <w:pStyle w:val="ListParagraph"/>
        <w:numPr>
          <w:ilvl w:val="1"/>
          <w:numId w:val="4"/>
        </w:numPr>
        <w:autoSpaceDE/>
        <w:autoSpaceDN/>
        <w:adjustRightInd/>
        <w:ind w:left="0" w:firstLine="0"/>
        <w:contextualSpacing w:val="0"/>
        <w:rPr>
          <w:highlight w:val="yellow"/>
        </w:rPr>
      </w:pPr>
      <w:r w:rsidRPr="00912E88">
        <w:rPr>
          <w:highlight w:val="yellow"/>
        </w:rPr>
        <w:t xml:space="preserve">Add 1 </w:t>
      </w:r>
      <w:r w:rsidR="004D1FD4">
        <w:rPr>
          <w:highlight w:val="yellow"/>
        </w:rPr>
        <w:t>mL of</w:t>
      </w:r>
      <w:r w:rsidRPr="00912E88">
        <w:rPr>
          <w:highlight w:val="yellow"/>
        </w:rPr>
        <w:t xml:space="preserve"> 1% BSA (bovine serum albumin prepared in TBST) </w:t>
      </w:r>
      <w:r w:rsidR="00D35874">
        <w:rPr>
          <w:highlight w:val="yellow"/>
        </w:rPr>
        <w:t>to block</w:t>
      </w:r>
      <w:r w:rsidRPr="00912E88">
        <w:rPr>
          <w:highlight w:val="yellow"/>
        </w:rPr>
        <w:t xml:space="preserve"> </w:t>
      </w:r>
      <w:r w:rsidR="00D35874">
        <w:rPr>
          <w:highlight w:val="yellow"/>
        </w:rPr>
        <w:t>the</w:t>
      </w:r>
      <w:r w:rsidRPr="00912E88">
        <w:rPr>
          <w:highlight w:val="yellow"/>
        </w:rPr>
        <w:t xml:space="preserve"> midguts</w:t>
      </w:r>
      <w:r w:rsidR="00D35874">
        <w:rPr>
          <w:highlight w:val="yellow"/>
        </w:rPr>
        <w:t>. Perform the blocking step</w:t>
      </w:r>
      <w:r w:rsidRPr="00912E88">
        <w:rPr>
          <w:highlight w:val="yellow"/>
        </w:rPr>
        <w:t xml:space="preserve"> at </w:t>
      </w:r>
      <w:r w:rsidR="00EF751A" w:rsidRPr="00F54909">
        <w:rPr>
          <w:highlight w:val="yellow"/>
        </w:rPr>
        <w:t>RT</w:t>
      </w:r>
      <w:r w:rsidRPr="00912E88">
        <w:rPr>
          <w:highlight w:val="yellow"/>
        </w:rPr>
        <w:t xml:space="preserve"> for 2 h, and then remove the blocking solution and </w:t>
      </w:r>
      <w:bookmarkStart w:id="41" w:name="OLE_LINK13"/>
      <w:bookmarkStart w:id="42" w:name="OLE_LINK14"/>
      <w:r w:rsidRPr="00912E88">
        <w:rPr>
          <w:highlight w:val="yellow"/>
        </w:rPr>
        <w:t xml:space="preserve">wash the midguts </w:t>
      </w:r>
      <w:r w:rsidR="004D1FD4" w:rsidRPr="00F54909">
        <w:rPr>
          <w:highlight w:val="yellow"/>
        </w:rPr>
        <w:t>3</w:t>
      </w:r>
      <w:r w:rsidR="004D1FD4" w:rsidRPr="00BE2644">
        <w:rPr>
          <w:highlight w:val="yellow"/>
        </w:rPr>
        <w:t>x</w:t>
      </w:r>
      <w:r w:rsidR="004D1FD4" w:rsidRPr="00912E88">
        <w:rPr>
          <w:highlight w:val="yellow"/>
        </w:rPr>
        <w:t xml:space="preserve"> </w:t>
      </w:r>
      <w:r w:rsidRPr="00912E88">
        <w:rPr>
          <w:highlight w:val="yellow"/>
        </w:rPr>
        <w:t>in TBST.</w:t>
      </w:r>
      <w:bookmarkEnd w:id="41"/>
      <w:bookmarkEnd w:id="42"/>
    </w:p>
    <w:p w14:paraId="4A2B3903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0EC76A8B" w14:textId="1E9AFD1A" w:rsidR="003C5D74" w:rsidRDefault="003C5D74" w:rsidP="008E4526">
      <w:pPr>
        <w:pStyle w:val="ListParagraph"/>
        <w:numPr>
          <w:ilvl w:val="1"/>
          <w:numId w:val="4"/>
        </w:numPr>
        <w:autoSpaceDE/>
        <w:autoSpaceDN/>
        <w:adjustRightInd/>
        <w:ind w:left="0" w:firstLine="0"/>
        <w:contextualSpacing w:val="0"/>
        <w:rPr>
          <w:highlight w:val="yellow"/>
        </w:rPr>
      </w:pPr>
      <w:r w:rsidRPr="00912E88">
        <w:rPr>
          <w:highlight w:val="yellow"/>
        </w:rPr>
        <w:t>Dilute the primary antibodies (</w:t>
      </w:r>
      <w:proofErr w:type="spellStart"/>
      <w:r w:rsidRPr="00912E88">
        <w:rPr>
          <w:highlight w:val="yellow"/>
        </w:rPr>
        <w:t>MAb</w:t>
      </w:r>
      <w:proofErr w:type="spellEnd"/>
      <w:r w:rsidRPr="00912E88">
        <w:rPr>
          <w:highlight w:val="yellow"/>
        </w:rPr>
        <w:t xml:space="preserve"> 1C4 against TYLCV coat protein) at 1:400 with TBST</w:t>
      </w:r>
      <w:r w:rsidRPr="00912E88">
        <w:rPr>
          <w:noProof/>
          <w:highlight w:val="yellow"/>
          <w:vertAlign w:val="superscript"/>
        </w:rPr>
        <w:t>24</w:t>
      </w:r>
      <w:r w:rsidRPr="00912E88">
        <w:rPr>
          <w:highlight w:val="yellow"/>
        </w:rPr>
        <w:t xml:space="preserve"> and add the solution into th</w:t>
      </w:r>
      <w:r w:rsidR="00D35874">
        <w:rPr>
          <w:highlight w:val="yellow"/>
        </w:rPr>
        <w:t xml:space="preserve">e </w:t>
      </w:r>
      <w:r w:rsidR="004D1FD4">
        <w:rPr>
          <w:highlight w:val="yellow"/>
        </w:rPr>
        <w:t xml:space="preserve">Petri </w:t>
      </w:r>
      <w:r w:rsidRPr="00912E88">
        <w:rPr>
          <w:highlight w:val="yellow"/>
        </w:rPr>
        <w:t xml:space="preserve">dish to immerse </w:t>
      </w:r>
      <w:r w:rsidR="004D1FD4">
        <w:rPr>
          <w:highlight w:val="yellow"/>
        </w:rPr>
        <w:t xml:space="preserve">the </w:t>
      </w:r>
      <w:r w:rsidRPr="00912E88">
        <w:rPr>
          <w:highlight w:val="yellow"/>
        </w:rPr>
        <w:t xml:space="preserve">midguts. Incubate at 4 °C overnight in the dark. Discard the primary antibody solution and wash </w:t>
      </w:r>
      <w:r w:rsidR="004D1FD4" w:rsidRPr="00F54909">
        <w:rPr>
          <w:highlight w:val="yellow"/>
        </w:rPr>
        <w:t>3</w:t>
      </w:r>
      <w:r w:rsidR="004D1FD4" w:rsidRPr="00BE2644">
        <w:rPr>
          <w:highlight w:val="yellow"/>
        </w:rPr>
        <w:t>x</w:t>
      </w:r>
      <w:r w:rsidR="004D1FD4" w:rsidRPr="00912E88">
        <w:rPr>
          <w:highlight w:val="yellow"/>
        </w:rPr>
        <w:t xml:space="preserve"> </w:t>
      </w:r>
      <w:r w:rsidRPr="00912E88">
        <w:rPr>
          <w:highlight w:val="yellow"/>
        </w:rPr>
        <w:t>in TBST.</w:t>
      </w:r>
    </w:p>
    <w:p w14:paraId="2126553A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134F20FA" w14:textId="2ECC1A62" w:rsidR="003C5D74" w:rsidRDefault="003C5D74" w:rsidP="008E4526">
      <w:pPr>
        <w:pStyle w:val="ListParagraph"/>
        <w:numPr>
          <w:ilvl w:val="1"/>
          <w:numId w:val="4"/>
        </w:numPr>
        <w:autoSpaceDE/>
        <w:autoSpaceDN/>
        <w:adjustRightInd/>
        <w:ind w:left="0" w:firstLine="0"/>
        <w:contextualSpacing w:val="0"/>
        <w:rPr>
          <w:highlight w:val="yellow"/>
        </w:rPr>
      </w:pPr>
      <w:r w:rsidRPr="00912E88">
        <w:rPr>
          <w:highlight w:val="yellow"/>
        </w:rPr>
        <w:t xml:space="preserve">Dilute </w:t>
      </w:r>
      <w:r w:rsidR="004D1FD4">
        <w:rPr>
          <w:highlight w:val="yellow"/>
        </w:rPr>
        <w:t xml:space="preserve">the </w:t>
      </w:r>
      <w:r w:rsidRPr="00912E88">
        <w:rPr>
          <w:highlight w:val="yellow"/>
        </w:rPr>
        <w:t>secondary antibodies (anti-mouse) at 1:400 with TBST and add the solution into the</w:t>
      </w:r>
      <w:r w:rsidR="00D35874">
        <w:rPr>
          <w:highlight w:val="yellow"/>
        </w:rPr>
        <w:t xml:space="preserve"> </w:t>
      </w:r>
      <w:r w:rsidR="004D1FD4">
        <w:rPr>
          <w:highlight w:val="yellow"/>
        </w:rPr>
        <w:t xml:space="preserve">Petri </w:t>
      </w:r>
      <w:r w:rsidRPr="00912E88">
        <w:rPr>
          <w:highlight w:val="yellow"/>
        </w:rPr>
        <w:t xml:space="preserve">dish to immerse </w:t>
      </w:r>
      <w:r w:rsidR="004D1FD4">
        <w:rPr>
          <w:highlight w:val="yellow"/>
        </w:rPr>
        <w:t xml:space="preserve">the </w:t>
      </w:r>
      <w:r w:rsidRPr="00912E88">
        <w:rPr>
          <w:highlight w:val="yellow"/>
        </w:rPr>
        <w:t xml:space="preserve">midguts. Incubate the dish for 2 h at </w:t>
      </w:r>
      <w:r w:rsidR="00EF751A" w:rsidRPr="00F54909">
        <w:rPr>
          <w:highlight w:val="yellow"/>
        </w:rPr>
        <w:t>RT</w:t>
      </w:r>
      <w:r w:rsidRPr="00912E88">
        <w:rPr>
          <w:highlight w:val="yellow"/>
        </w:rPr>
        <w:t xml:space="preserve"> in the dark. Discard the second</w:t>
      </w:r>
      <w:r w:rsidR="00D35874">
        <w:rPr>
          <w:highlight w:val="yellow"/>
        </w:rPr>
        <w:t>ary</w:t>
      </w:r>
      <w:r w:rsidRPr="00912E88">
        <w:rPr>
          <w:highlight w:val="yellow"/>
        </w:rPr>
        <w:t xml:space="preserve"> antibod</w:t>
      </w:r>
      <w:r w:rsidR="00D35874">
        <w:rPr>
          <w:highlight w:val="yellow"/>
        </w:rPr>
        <w:t>y</w:t>
      </w:r>
      <w:r w:rsidRPr="00912E88">
        <w:rPr>
          <w:highlight w:val="yellow"/>
        </w:rPr>
        <w:t xml:space="preserve"> solution and wash the midguts </w:t>
      </w:r>
      <w:r w:rsidR="004D1FD4" w:rsidRPr="00F54909">
        <w:rPr>
          <w:highlight w:val="yellow"/>
        </w:rPr>
        <w:t>3</w:t>
      </w:r>
      <w:r w:rsidR="004D1FD4" w:rsidRPr="00BE2644">
        <w:rPr>
          <w:highlight w:val="yellow"/>
        </w:rPr>
        <w:t>x</w:t>
      </w:r>
      <w:r w:rsidR="004D1FD4" w:rsidRPr="00912E88">
        <w:rPr>
          <w:highlight w:val="yellow"/>
        </w:rPr>
        <w:t xml:space="preserve"> </w:t>
      </w:r>
      <w:r w:rsidRPr="00912E88">
        <w:rPr>
          <w:highlight w:val="yellow"/>
        </w:rPr>
        <w:t>in TBST.</w:t>
      </w:r>
    </w:p>
    <w:p w14:paraId="68F783CA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5DB0DF6D" w14:textId="671CDE71" w:rsidR="003C5D74" w:rsidRDefault="003C5D74" w:rsidP="008E4526">
      <w:pPr>
        <w:pStyle w:val="ListParagraph"/>
        <w:numPr>
          <w:ilvl w:val="1"/>
          <w:numId w:val="4"/>
        </w:numPr>
        <w:autoSpaceDE/>
        <w:autoSpaceDN/>
        <w:adjustRightInd/>
        <w:ind w:left="0" w:firstLine="0"/>
        <w:contextualSpacing w:val="0"/>
        <w:rPr>
          <w:highlight w:val="yellow"/>
        </w:rPr>
      </w:pPr>
      <w:bookmarkStart w:id="43" w:name="OLE_LINK23"/>
      <w:bookmarkStart w:id="44" w:name="OLE_LINK24"/>
      <w:r w:rsidRPr="00912E88">
        <w:rPr>
          <w:highlight w:val="yellow"/>
        </w:rPr>
        <w:t xml:space="preserve">Transfer </w:t>
      </w:r>
      <w:r w:rsidR="004D1FD4">
        <w:rPr>
          <w:highlight w:val="yellow"/>
        </w:rPr>
        <w:t xml:space="preserve">the </w:t>
      </w:r>
      <w:r w:rsidRPr="00912E88">
        <w:rPr>
          <w:highlight w:val="yellow"/>
        </w:rPr>
        <w:t>midguts to a clear microscope slide</w:t>
      </w:r>
      <w:r w:rsidR="00D35874">
        <w:rPr>
          <w:highlight w:val="yellow"/>
        </w:rPr>
        <w:t xml:space="preserve">. </w:t>
      </w:r>
      <w:r w:rsidR="002814DF">
        <w:rPr>
          <w:highlight w:val="yellow"/>
        </w:rPr>
        <w:t>Aspirate</w:t>
      </w:r>
      <w:r w:rsidRPr="00912E88">
        <w:rPr>
          <w:highlight w:val="yellow"/>
        </w:rPr>
        <w:t xml:space="preserve"> as much TBST </w:t>
      </w:r>
      <w:r w:rsidR="004D1FD4">
        <w:rPr>
          <w:highlight w:val="yellow"/>
        </w:rPr>
        <w:t>off</w:t>
      </w:r>
      <w:r w:rsidRPr="00912E88">
        <w:rPr>
          <w:highlight w:val="yellow"/>
        </w:rPr>
        <w:t xml:space="preserve"> the slide as possible. Add 1 drop of </w:t>
      </w:r>
      <w:bookmarkStart w:id="45" w:name="OLE_LINK25"/>
      <w:bookmarkStart w:id="46" w:name="OLE_LINK26"/>
      <w:r w:rsidRPr="00912E88">
        <w:rPr>
          <w:highlight w:val="yellow"/>
        </w:rPr>
        <w:t xml:space="preserve">DAPI </w:t>
      </w:r>
      <w:bookmarkEnd w:id="45"/>
      <w:bookmarkEnd w:id="46"/>
      <w:r w:rsidRPr="00912E88">
        <w:rPr>
          <w:highlight w:val="yellow"/>
        </w:rPr>
        <w:t>(4’, 6-diamidino-2-phenylindole, dihydrochloride)</w:t>
      </w:r>
      <w:bookmarkStart w:id="47" w:name="OLE_LINK35"/>
      <w:bookmarkStart w:id="48" w:name="OLE_LINK36"/>
      <w:r w:rsidR="002814DF">
        <w:rPr>
          <w:highlight w:val="yellow"/>
        </w:rPr>
        <w:t xml:space="preserve"> to stain the nucleus</w:t>
      </w:r>
      <w:r w:rsidRPr="00912E88">
        <w:rPr>
          <w:highlight w:val="yellow"/>
        </w:rPr>
        <w:t xml:space="preserve">, and then place </w:t>
      </w:r>
      <w:r w:rsidR="002814DF">
        <w:rPr>
          <w:highlight w:val="yellow"/>
        </w:rPr>
        <w:t xml:space="preserve">the </w:t>
      </w:r>
      <w:r w:rsidRPr="00912E88">
        <w:rPr>
          <w:highlight w:val="yellow"/>
        </w:rPr>
        <w:t>coverslip and seal with nail polish</w:t>
      </w:r>
      <w:bookmarkStart w:id="49" w:name="OLE_LINK40"/>
      <w:bookmarkStart w:id="50" w:name="OLE_LINK47"/>
      <w:bookmarkEnd w:id="47"/>
      <w:bookmarkEnd w:id="48"/>
      <w:r w:rsidRPr="00912E88">
        <w:rPr>
          <w:highlight w:val="yellow"/>
        </w:rPr>
        <w:t>. Examine under a confocal microscope</w:t>
      </w:r>
      <w:bookmarkEnd w:id="43"/>
      <w:bookmarkEnd w:id="44"/>
      <w:bookmarkEnd w:id="49"/>
      <w:bookmarkEnd w:id="50"/>
      <w:r w:rsidRPr="00912E88">
        <w:rPr>
          <w:highlight w:val="yellow"/>
        </w:rPr>
        <w:t>.</w:t>
      </w:r>
    </w:p>
    <w:p w14:paraId="3A9988C6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657832CF" w14:textId="598E81C5" w:rsidR="003C5D74" w:rsidRPr="00D25D72" w:rsidRDefault="003C5D74" w:rsidP="008E4526">
      <w:pPr>
        <w:pStyle w:val="ListParagraph"/>
        <w:numPr>
          <w:ilvl w:val="0"/>
          <w:numId w:val="5"/>
        </w:numPr>
        <w:rPr>
          <w:b/>
          <w:highlight w:val="yellow"/>
        </w:rPr>
      </w:pPr>
      <w:r w:rsidRPr="00D25D72">
        <w:rPr>
          <w:b/>
          <w:highlight w:val="yellow"/>
        </w:rPr>
        <w:t xml:space="preserve">Quantification of TYLCV in </w:t>
      </w:r>
      <w:r w:rsidR="004D1FD4" w:rsidRPr="00D25D72">
        <w:rPr>
          <w:b/>
          <w:highlight w:val="yellow"/>
        </w:rPr>
        <w:t>whitefly midgut</w:t>
      </w:r>
      <w:r w:rsidR="004D1FD4" w:rsidRPr="00F54909">
        <w:rPr>
          <w:highlight w:val="yellow"/>
        </w:rPr>
        <w:t>,</w:t>
      </w:r>
      <w:r w:rsidR="004D1FD4" w:rsidRPr="00D25D72">
        <w:rPr>
          <w:b/>
          <w:highlight w:val="yellow"/>
        </w:rPr>
        <w:t xml:space="preserve"> primary salivary glands</w:t>
      </w:r>
      <w:r w:rsidR="004D1FD4" w:rsidRPr="00F54909">
        <w:rPr>
          <w:highlight w:val="yellow"/>
        </w:rPr>
        <w:t>,</w:t>
      </w:r>
      <w:r w:rsidR="004D1FD4" w:rsidRPr="00D25D72">
        <w:rPr>
          <w:b/>
          <w:highlight w:val="yellow"/>
        </w:rPr>
        <w:t xml:space="preserve"> hemolymph</w:t>
      </w:r>
      <w:r w:rsidR="004D1FD4">
        <w:rPr>
          <w:b/>
          <w:highlight w:val="yellow"/>
        </w:rPr>
        <w:t>,</w:t>
      </w:r>
      <w:r w:rsidR="004D1FD4" w:rsidRPr="00D25D72">
        <w:rPr>
          <w:b/>
          <w:highlight w:val="yellow"/>
        </w:rPr>
        <w:t xml:space="preserve"> and ovar</w:t>
      </w:r>
      <w:r w:rsidR="004D1FD4">
        <w:rPr>
          <w:b/>
          <w:highlight w:val="yellow"/>
        </w:rPr>
        <w:t>ies</w:t>
      </w:r>
      <w:r w:rsidR="004D1FD4" w:rsidRPr="00D25D72">
        <w:rPr>
          <w:b/>
          <w:highlight w:val="yellow"/>
        </w:rPr>
        <w:t xml:space="preserve"> wit</w:t>
      </w:r>
      <w:r w:rsidRPr="00D25D72">
        <w:rPr>
          <w:b/>
          <w:highlight w:val="yellow"/>
        </w:rPr>
        <w:t>h qPCR</w:t>
      </w:r>
    </w:p>
    <w:p w14:paraId="61D91D7D" w14:textId="77777777" w:rsidR="00D25D72" w:rsidRPr="00D25D72" w:rsidRDefault="00D25D72" w:rsidP="008E4526">
      <w:pPr>
        <w:pStyle w:val="ListParagraph"/>
        <w:ind w:left="0"/>
        <w:rPr>
          <w:b/>
          <w:highlight w:val="yellow"/>
        </w:rPr>
      </w:pPr>
    </w:p>
    <w:p w14:paraId="4F4223B6" w14:textId="59F97CF0" w:rsidR="003C5D74" w:rsidRDefault="003C5D74" w:rsidP="008E4526">
      <w:pPr>
        <w:pStyle w:val="ListParagraph"/>
        <w:numPr>
          <w:ilvl w:val="1"/>
          <w:numId w:val="5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Dissect </w:t>
      </w:r>
      <w:r w:rsidR="004D1FD4">
        <w:rPr>
          <w:highlight w:val="yellow"/>
        </w:rPr>
        <w:t xml:space="preserve">the </w:t>
      </w:r>
      <w:r w:rsidRPr="00912E88">
        <w:rPr>
          <w:highlight w:val="yellow"/>
        </w:rPr>
        <w:t>whitefly midguts, PSGs, hemolymph</w:t>
      </w:r>
      <w:r w:rsidR="004D1FD4">
        <w:rPr>
          <w:highlight w:val="yellow"/>
        </w:rPr>
        <w:t>,</w:t>
      </w:r>
      <w:r w:rsidRPr="00912E88">
        <w:rPr>
          <w:highlight w:val="yellow"/>
        </w:rPr>
        <w:t xml:space="preserve"> and ovaries in </w:t>
      </w:r>
      <w:r w:rsidRPr="00912E88">
        <w:rPr>
          <w:bCs/>
          <w:highlight w:val="yellow"/>
        </w:rPr>
        <w:t>1x</w:t>
      </w:r>
      <w:r w:rsidRPr="00912E88">
        <w:rPr>
          <w:highlight w:val="yellow"/>
        </w:rPr>
        <w:t xml:space="preserve"> PBS as described above.</w:t>
      </w:r>
    </w:p>
    <w:p w14:paraId="34A4BF5E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3760E844" w14:textId="2FB84334" w:rsidR="003C5D74" w:rsidRDefault="003C5D74" w:rsidP="008E4526">
      <w:pPr>
        <w:pStyle w:val="ListParagraph"/>
        <w:numPr>
          <w:ilvl w:val="1"/>
          <w:numId w:val="5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Extract the DNA of </w:t>
      </w:r>
      <w:r w:rsidR="004D1FD4">
        <w:rPr>
          <w:highlight w:val="yellow"/>
        </w:rPr>
        <w:t xml:space="preserve">the </w:t>
      </w:r>
      <w:r w:rsidRPr="00912E88">
        <w:rPr>
          <w:highlight w:val="yellow"/>
        </w:rPr>
        <w:t>midguts, PSGs, hemolymph</w:t>
      </w:r>
      <w:r w:rsidR="004D1FD4">
        <w:rPr>
          <w:highlight w:val="yellow"/>
        </w:rPr>
        <w:t>,</w:t>
      </w:r>
      <w:r w:rsidRPr="00912E88">
        <w:rPr>
          <w:highlight w:val="yellow"/>
        </w:rPr>
        <w:t xml:space="preserve"> and ovaries.</w:t>
      </w:r>
    </w:p>
    <w:p w14:paraId="1A210C84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08C0814F" w14:textId="77777777" w:rsidR="00BE2644" w:rsidRPr="00BE2644" w:rsidRDefault="00BE2644" w:rsidP="00BE2644">
      <w:pPr>
        <w:pStyle w:val="ListParagraph"/>
        <w:numPr>
          <w:ilvl w:val="0"/>
          <w:numId w:val="6"/>
        </w:numPr>
        <w:autoSpaceDE/>
        <w:autoSpaceDN/>
        <w:adjustRightInd/>
        <w:contextualSpacing w:val="0"/>
        <w:rPr>
          <w:vanish/>
          <w:highlight w:val="yellow"/>
        </w:rPr>
      </w:pPr>
      <w:bookmarkStart w:id="51" w:name="OLE_LINK61"/>
    </w:p>
    <w:p w14:paraId="53EA85E2" w14:textId="77777777" w:rsidR="00BE2644" w:rsidRPr="00BE2644" w:rsidRDefault="00BE2644" w:rsidP="00BE2644">
      <w:pPr>
        <w:pStyle w:val="ListParagraph"/>
        <w:numPr>
          <w:ilvl w:val="1"/>
          <w:numId w:val="6"/>
        </w:numPr>
        <w:autoSpaceDE/>
        <w:autoSpaceDN/>
        <w:adjustRightInd/>
        <w:contextualSpacing w:val="0"/>
        <w:rPr>
          <w:vanish/>
          <w:highlight w:val="yellow"/>
        </w:rPr>
      </w:pPr>
    </w:p>
    <w:p w14:paraId="2CB81673" w14:textId="77777777" w:rsidR="00BE2644" w:rsidRPr="00BE2644" w:rsidRDefault="00BE2644" w:rsidP="00BE2644">
      <w:pPr>
        <w:pStyle w:val="ListParagraph"/>
        <w:numPr>
          <w:ilvl w:val="1"/>
          <w:numId w:val="6"/>
        </w:numPr>
        <w:autoSpaceDE/>
        <w:autoSpaceDN/>
        <w:adjustRightInd/>
        <w:contextualSpacing w:val="0"/>
        <w:rPr>
          <w:vanish/>
          <w:highlight w:val="yellow"/>
        </w:rPr>
      </w:pPr>
    </w:p>
    <w:p w14:paraId="501F15B5" w14:textId="410E93D3" w:rsidR="00D25D72" w:rsidRDefault="003C5D74" w:rsidP="00BE2644">
      <w:pPr>
        <w:pStyle w:val="ListParagraph"/>
        <w:numPr>
          <w:ilvl w:val="2"/>
          <w:numId w:val="6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After dissection, wash </w:t>
      </w:r>
      <w:r w:rsidR="004D1FD4">
        <w:rPr>
          <w:highlight w:val="yellow"/>
        </w:rPr>
        <w:t xml:space="preserve">the </w:t>
      </w:r>
      <w:r w:rsidRPr="00912E88">
        <w:rPr>
          <w:highlight w:val="yellow"/>
        </w:rPr>
        <w:t>midguts, PSGs</w:t>
      </w:r>
      <w:r w:rsidR="004D1FD4">
        <w:rPr>
          <w:highlight w:val="yellow"/>
        </w:rPr>
        <w:t>,</w:t>
      </w:r>
      <w:r w:rsidRPr="00912E88">
        <w:rPr>
          <w:highlight w:val="yellow"/>
        </w:rPr>
        <w:t xml:space="preserve"> and ovaries in clean</w:t>
      </w:r>
      <w:r w:rsidR="004D1FD4">
        <w:rPr>
          <w:highlight w:val="yellow"/>
        </w:rPr>
        <w:t>,</w:t>
      </w:r>
      <w:r w:rsidRPr="00912E88">
        <w:rPr>
          <w:highlight w:val="yellow"/>
        </w:rPr>
        <w:t xml:space="preserve"> </w:t>
      </w:r>
      <w:r w:rsidRPr="00912E88">
        <w:rPr>
          <w:bCs/>
          <w:highlight w:val="yellow"/>
        </w:rPr>
        <w:t>1x</w:t>
      </w:r>
      <w:r w:rsidRPr="00912E88">
        <w:rPr>
          <w:highlight w:val="yellow"/>
        </w:rPr>
        <w:t xml:space="preserve"> PBS buffer 2</w:t>
      </w:r>
      <w:r w:rsidR="004D1FD4" w:rsidRPr="00F54909">
        <w:rPr>
          <w:highlight w:val="yellow"/>
        </w:rPr>
        <w:t>–</w:t>
      </w:r>
      <w:r w:rsidRPr="00912E88">
        <w:rPr>
          <w:highlight w:val="yellow"/>
        </w:rPr>
        <w:t>3</w:t>
      </w:r>
      <w:r w:rsidR="004D1FD4" w:rsidRPr="00F54909">
        <w:rPr>
          <w:highlight w:val="yellow"/>
        </w:rPr>
        <w:t>x</w:t>
      </w:r>
      <w:r w:rsidRPr="00912E88">
        <w:rPr>
          <w:highlight w:val="yellow"/>
        </w:rPr>
        <w:t>.</w:t>
      </w:r>
    </w:p>
    <w:p w14:paraId="30CB2E90" w14:textId="77777777" w:rsidR="00D25D72" w:rsidRPr="00D25D72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7AE4C0FA" w14:textId="6D146549" w:rsidR="003C5D74" w:rsidRDefault="003C5D74" w:rsidP="008E4526">
      <w:pPr>
        <w:pStyle w:val="ListParagraph"/>
        <w:numPr>
          <w:ilvl w:val="2"/>
          <w:numId w:val="6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Collect 20 midguts or 20 PSGs in 5 μL of </w:t>
      </w:r>
      <w:r w:rsidRPr="00912E88">
        <w:rPr>
          <w:bCs/>
          <w:highlight w:val="yellow"/>
        </w:rPr>
        <w:t>1x</w:t>
      </w:r>
      <w:r w:rsidRPr="00912E88">
        <w:rPr>
          <w:highlight w:val="yellow"/>
        </w:rPr>
        <w:t xml:space="preserve"> PBS and transfer them into 25 μL lysis solution</w:t>
      </w:r>
      <w:bookmarkEnd w:id="51"/>
      <w:r w:rsidRPr="00912E88">
        <w:rPr>
          <w:highlight w:val="yellow"/>
        </w:rPr>
        <w:t xml:space="preserve">. </w:t>
      </w:r>
      <w:bookmarkStart w:id="52" w:name="_Hlk21168336"/>
      <w:r w:rsidRPr="00912E88">
        <w:rPr>
          <w:highlight w:val="yellow"/>
        </w:rPr>
        <w:t xml:space="preserve">Transfer </w:t>
      </w:r>
      <w:r w:rsidR="003170D7">
        <w:rPr>
          <w:highlight w:val="yellow"/>
        </w:rPr>
        <w:t xml:space="preserve">each </w:t>
      </w:r>
      <w:r w:rsidRPr="00912E88">
        <w:rPr>
          <w:highlight w:val="yellow"/>
        </w:rPr>
        <w:t>ovar</w:t>
      </w:r>
      <w:r w:rsidR="003170D7">
        <w:rPr>
          <w:highlight w:val="yellow"/>
        </w:rPr>
        <w:t>y</w:t>
      </w:r>
      <w:r w:rsidRPr="00912E88">
        <w:rPr>
          <w:highlight w:val="yellow"/>
        </w:rPr>
        <w:t xml:space="preserve"> in 5 μL </w:t>
      </w:r>
      <w:r w:rsidR="003170D7">
        <w:rPr>
          <w:highlight w:val="yellow"/>
        </w:rPr>
        <w:t xml:space="preserve">of </w:t>
      </w:r>
      <w:r w:rsidRPr="00912E88">
        <w:rPr>
          <w:bCs/>
          <w:highlight w:val="yellow"/>
        </w:rPr>
        <w:t>1x</w:t>
      </w:r>
      <w:r w:rsidRPr="00912E88">
        <w:rPr>
          <w:highlight w:val="yellow"/>
        </w:rPr>
        <w:t xml:space="preserve"> PBS</w:t>
      </w:r>
      <w:r w:rsidR="003170D7">
        <w:rPr>
          <w:highlight w:val="yellow"/>
        </w:rPr>
        <w:t xml:space="preserve"> and then transfer </w:t>
      </w:r>
      <w:r w:rsidR="003170D7" w:rsidRPr="00912E88">
        <w:rPr>
          <w:highlight w:val="yellow"/>
        </w:rPr>
        <w:t>into 25 μL lysis solution</w:t>
      </w:r>
      <w:r w:rsidRPr="00912E88">
        <w:rPr>
          <w:highlight w:val="yellow"/>
        </w:rPr>
        <w:t xml:space="preserve"> individually.</w:t>
      </w:r>
      <w:bookmarkEnd w:id="52"/>
      <w:r w:rsidRPr="00912E88">
        <w:rPr>
          <w:highlight w:val="yellow"/>
        </w:rPr>
        <w:t xml:space="preserve"> </w:t>
      </w:r>
      <w:bookmarkStart w:id="53" w:name="OLE_LINK63"/>
      <w:bookmarkStart w:id="54" w:name="_Hlk21180247"/>
    </w:p>
    <w:p w14:paraId="26F98E83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34CC353A" w14:textId="379926A0" w:rsidR="003C5D74" w:rsidRDefault="003C5D74" w:rsidP="008E4526">
      <w:pPr>
        <w:pStyle w:val="ListParagraph"/>
        <w:numPr>
          <w:ilvl w:val="2"/>
          <w:numId w:val="6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lastRenderedPageBreak/>
        <w:t>Grind midguts, PSGs</w:t>
      </w:r>
      <w:r w:rsidR="004D1FD4">
        <w:rPr>
          <w:highlight w:val="yellow"/>
        </w:rPr>
        <w:t>,</w:t>
      </w:r>
      <w:r w:rsidRPr="00912E88">
        <w:rPr>
          <w:highlight w:val="yellow"/>
        </w:rPr>
        <w:t xml:space="preserve"> and ovaries</w:t>
      </w:r>
      <w:bookmarkEnd w:id="53"/>
      <w:r w:rsidRPr="00912E88">
        <w:rPr>
          <w:highlight w:val="yellow"/>
        </w:rPr>
        <w:t xml:space="preserve"> samples as described in </w:t>
      </w:r>
      <w:r w:rsidR="002814DF">
        <w:rPr>
          <w:highlight w:val="yellow"/>
        </w:rPr>
        <w:t xml:space="preserve">step </w:t>
      </w:r>
      <w:r w:rsidRPr="00912E88">
        <w:rPr>
          <w:highlight w:val="yellow"/>
        </w:rPr>
        <w:t>1.2.2.</w:t>
      </w:r>
      <w:bookmarkEnd w:id="54"/>
    </w:p>
    <w:p w14:paraId="65D32B9A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1922B608" w14:textId="693638CC" w:rsidR="003C5D74" w:rsidRDefault="003C5D74" w:rsidP="008E4526">
      <w:pPr>
        <w:pStyle w:val="ListParagraph"/>
        <w:numPr>
          <w:ilvl w:val="2"/>
          <w:numId w:val="6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Collect 8 μL of hemolymph with </w:t>
      </w:r>
      <w:r w:rsidRPr="00912E88">
        <w:rPr>
          <w:bCs/>
          <w:highlight w:val="yellow"/>
        </w:rPr>
        <w:t>1x</w:t>
      </w:r>
      <w:r w:rsidRPr="00912E88">
        <w:rPr>
          <w:highlight w:val="yellow"/>
        </w:rPr>
        <w:t xml:space="preserve"> PBS into a PCR tube, and then add 10 μL of lysis solution. Mix thoroughly.</w:t>
      </w:r>
    </w:p>
    <w:p w14:paraId="602DD4A8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63AE2114" w14:textId="009093A4" w:rsidR="003C5D74" w:rsidRDefault="003C5D74" w:rsidP="008E4526">
      <w:pPr>
        <w:pStyle w:val="ListParagraph"/>
        <w:numPr>
          <w:ilvl w:val="1"/>
          <w:numId w:val="5"/>
        </w:numPr>
        <w:autoSpaceDE/>
        <w:autoSpaceDN/>
        <w:adjustRightInd/>
        <w:contextualSpacing w:val="0"/>
        <w:rPr>
          <w:highlight w:val="yellow"/>
        </w:rPr>
      </w:pPr>
      <w:bookmarkStart w:id="55" w:name="_Hlk21168865"/>
      <w:r w:rsidRPr="00912E88">
        <w:rPr>
          <w:highlight w:val="yellow"/>
          <w:lang w:eastAsia="zh-CN"/>
        </w:rPr>
        <w:t>Extract DNA from all samples as described in 1.2.3.</w:t>
      </w:r>
    </w:p>
    <w:p w14:paraId="457CB027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2A37E3BE" w14:textId="7A9593FD" w:rsidR="003C5D74" w:rsidRDefault="003C5D74" w:rsidP="008E4526">
      <w:pPr>
        <w:pStyle w:val="ListParagraph"/>
        <w:numPr>
          <w:ilvl w:val="1"/>
          <w:numId w:val="5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>Prepare two separate qPCR master</w:t>
      </w:r>
      <w:r w:rsidR="004D1FD4">
        <w:rPr>
          <w:highlight w:val="yellow"/>
        </w:rPr>
        <w:t xml:space="preserve"> </w:t>
      </w:r>
      <w:r w:rsidRPr="00912E88">
        <w:rPr>
          <w:highlight w:val="yellow"/>
        </w:rPr>
        <w:t>mix</w:t>
      </w:r>
      <w:r w:rsidR="004D1FD4">
        <w:rPr>
          <w:highlight w:val="yellow"/>
        </w:rPr>
        <w:t>es</w:t>
      </w:r>
      <w:r w:rsidRPr="00912E88">
        <w:rPr>
          <w:highlight w:val="yellow"/>
        </w:rPr>
        <w:t xml:space="preserve"> (18 μL</w:t>
      </w:r>
      <w:r w:rsidR="004D1FD4">
        <w:rPr>
          <w:highlight w:val="yellow"/>
        </w:rPr>
        <w:t xml:space="preserve"> each</w:t>
      </w:r>
      <w:r w:rsidRPr="00912E88">
        <w:rPr>
          <w:highlight w:val="yellow"/>
        </w:rPr>
        <w:t xml:space="preserve">) for TYLCV and </w:t>
      </w:r>
      <w:r w:rsidR="004D1FD4">
        <w:rPr>
          <w:highlight w:val="yellow"/>
        </w:rPr>
        <w:t xml:space="preserve">the </w:t>
      </w:r>
      <w:r w:rsidR="004D1FD4" w:rsidRPr="00912E88">
        <w:rPr>
          <w:highlight w:val="yellow"/>
        </w:rPr>
        <w:t>internal control</w:t>
      </w:r>
      <w:r w:rsidR="004D1FD4" w:rsidRPr="00912E88">
        <w:rPr>
          <w:rFonts w:ascii="Symbol" w:hAnsi="Symbol" w:cstheme="minorHAnsi"/>
          <w:i/>
          <w:highlight w:val="yellow"/>
        </w:rPr>
        <w:t></w:t>
      </w:r>
      <w:r w:rsidR="004D1FD4">
        <w:rPr>
          <w:rFonts w:ascii="Symbol" w:hAnsi="Symbol" w:cstheme="minorHAnsi"/>
          <w:iCs/>
          <w:highlight w:val="yellow"/>
        </w:rPr>
        <w:t></w:t>
      </w:r>
      <w:r w:rsidRPr="00912E88">
        <w:rPr>
          <w:rFonts w:ascii="Symbol" w:hAnsi="Symbol" w:cstheme="minorHAnsi"/>
          <w:i/>
          <w:highlight w:val="yellow"/>
        </w:rPr>
        <w:t></w:t>
      </w:r>
      <w:r w:rsidRPr="00912E88">
        <w:rPr>
          <w:highlight w:val="yellow"/>
        </w:rPr>
        <w:t xml:space="preserve">-actin gene) as follows: 10 μL of SYBR Green mix, 0.8 μL of each primer (10 </w:t>
      </w:r>
      <w:proofErr w:type="spellStart"/>
      <w:r w:rsidRPr="00912E88">
        <w:rPr>
          <w:highlight w:val="yellow"/>
        </w:rPr>
        <w:t>μM</w:t>
      </w:r>
      <w:proofErr w:type="spellEnd"/>
      <w:r w:rsidRPr="00912E88">
        <w:rPr>
          <w:highlight w:val="yellow"/>
        </w:rPr>
        <w:t xml:space="preserve"> each), and</w:t>
      </w:r>
      <w:bookmarkStart w:id="56" w:name="_Hlk21171478"/>
      <w:r w:rsidRPr="00912E88">
        <w:rPr>
          <w:highlight w:val="yellow"/>
        </w:rPr>
        <w:t xml:space="preserve"> 6.4 μL </w:t>
      </w:r>
      <w:r w:rsidR="00C70504">
        <w:rPr>
          <w:highlight w:val="yellow"/>
        </w:rPr>
        <w:t xml:space="preserve">of </w:t>
      </w:r>
      <w:r w:rsidRPr="00912E88">
        <w:rPr>
          <w:highlight w:val="yellow"/>
        </w:rPr>
        <w:t>double distilled water per reaction</w:t>
      </w:r>
      <w:bookmarkEnd w:id="56"/>
      <w:r w:rsidRPr="00912E88">
        <w:rPr>
          <w:highlight w:val="yellow"/>
        </w:rPr>
        <w:t xml:space="preserve">. </w:t>
      </w:r>
      <w:r w:rsidR="001748AE">
        <w:rPr>
          <w:highlight w:val="yellow"/>
        </w:rPr>
        <w:t>F</w:t>
      </w:r>
      <w:r w:rsidRPr="00912E88">
        <w:rPr>
          <w:highlight w:val="yellow"/>
        </w:rPr>
        <w:t xml:space="preserve">or TYLCV, </w:t>
      </w:r>
      <w:r w:rsidR="001748AE">
        <w:rPr>
          <w:highlight w:val="yellow"/>
        </w:rPr>
        <w:t xml:space="preserve">the </w:t>
      </w:r>
      <w:r w:rsidRPr="00912E88">
        <w:rPr>
          <w:highlight w:val="yellow"/>
          <w:lang w:eastAsia="zh-CN"/>
        </w:rPr>
        <w:t>forward</w:t>
      </w:r>
      <w:r w:rsidRPr="00912E88">
        <w:rPr>
          <w:highlight w:val="yellow"/>
        </w:rPr>
        <w:t xml:space="preserve"> primer </w:t>
      </w:r>
      <w:r w:rsidR="001748AE">
        <w:rPr>
          <w:highlight w:val="yellow"/>
        </w:rPr>
        <w:t xml:space="preserve">sequence is </w:t>
      </w:r>
      <w:r w:rsidRPr="00912E88">
        <w:rPr>
          <w:highlight w:val="yellow"/>
        </w:rPr>
        <w:t xml:space="preserve">5′-GAAGCGACCAGGCGATATAA-3′ and </w:t>
      </w:r>
      <w:r w:rsidR="001748AE">
        <w:rPr>
          <w:highlight w:val="yellow"/>
        </w:rPr>
        <w:t xml:space="preserve">the </w:t>
      </w:r>
      <w:r w:rsidRPr="00912E88">
        <w:rPr>
          <w:highlight w:val="yellow"/>
        </w:rPr>
        <w:t xml:space="preserve">reverse primer </w:t>
      </w:r>
      <w:r w:rsidR="001748AE">
        <w:rPr>
          <w:highlight w:val="yellow"/>
        </w:rPr>
        <w:t xml:space="preserve">sequence is </w:t>
      </w:r>
      <w:r w:rsidRPr="00912E88">
        <w:rPr>
          <w:highlight w:val="yellow"/>
        </w:rPr>
        <w:t>5′-GGAACATCAGGGCTTCGATA-3′</w:t>
      </w:r>
      <w:r w:rsidR="001748AE">
        <w:rPr>
          <w:highlight w:val="yellow"/>
        </w:rPr>
        <w:t>.</w:t>
      </w:r>
      <w:r w:rsidRPr="00912E88">
        <w:rPr>
          <w:highlight w:val="yellow"/>
        </w:rPr>
        <w:t xml:space="preserve"> </w:t>
      </w:r>
      <w:r w:rsidR="001748AE">
        <w:rPr>
          <w:highlight w:val="yellow"/>
        </w:rPr>
        <w:t>F</w:t>
      </w:r>
      <w:r w:rsidRPr="00912E88">
        <w:rPr>
          <w:highlight w:val="yellow"/>
        </w:rPr>
        <w:t xml:space="preserve">or </w:t>
      </w:r>
      <w:r w:rsidRPr="00912E88">
        <w:rPr>
          <w:rFonts w:ascii="Symbol" w:hAnsi="Symbol" w:cstheme="minorHAnsi"/>
          <w:i/>
          <w:highlight w:val="yellow"/>
        </w:rPr>
        <w:t></w:t>
      </w:r>
      <w:r w:rsidRPr="00912E88">
        <w:rPr>
          <w:highlight w:val="yellow"/>
        </w:rPr>
        <w:t xml:space="preserve">-actin, </w:t>
      </w:r>
      <w:r w:rsidR="001748AE">
        <w:rPr>
          <w:highlight w:val="yellow"/>
        </w:rPr>
        <w:t xml:space="preserve">the </w:t>
      </w:r>
      <w:r w:rsidRPr="00912E88">
        <w:rPr>
          <w:highlight w:val="yellow"/>
        </w:rPr>
        <w:t xml:space="preserve">forward primer </w:t>
      </w:r>
      <w:r w:rsidR="001748AE">
        <w:rPr>
          <w:highlight w:val="yellow"/>
        </w:rPr>
        <w:t xml:space="preserve">sequence is </w:t>
      </w:r>
      <w:r w:rsidRPr="00912E88">
        <w:rPr>
          <w:highlight w:val="yellow"/>
        </w:rPr>
        <w:t xml:space="preserve">5′-TCTTCCAGCCATCCTTCTTG-3′ and </w:t>
      </w:r>
      <w:r w:rsidR="001748AE">
        <w:rPr>
          <w:highlight w:val="yellow"/>
        </w:rPr>
        <w:t xml:space="preserve">the </w:t>
      </w:r>
      <w:r w:rsidRPr="00912E88">
        <w:rPr>
          <w:highlight w:val="yellow"/>
        </w:rPr>
        <w:t xml:space="preserve">reverse primer </w:t>
      </w:r>
      <w:r w:rsidR="001748AE">
        <w:rPr>
          <w:highlight w:val="yellow"/>
        </w:rPr>
        <w:t xml:space="preserve">sequence is </w:t>
      </w:r>
      <w:r w:rsidRPr="00912E88">
        <w:rPr>
          <w:highlight w:val="yellow"/>
        </w:rPr>
        <w:t>5′-CGGTGATTTCCTTCTGCATT-3′.</w:t>
      </w:r>
    </w:p>
    <w:p w14:paraId="54DBC80B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bookmarkEnd w:id="55"/>
    <w:p w14:paraId="3D28C3F2" w14:textId="639B9A51" w:rsidR="003C5D74" w:rsidRDefault="003C5D74" w:rsidP="008E4526">
      <w:pPr>
        <w:pStyle w:val="ListParagraph"/>
        <w:numPr>
          <w:ilvl w:val="1"/>
          <w:numId w:val="5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>Dispense 18 µL of the master</w:t>
      </w:r>
      <w:r w:rsidR="001748AE">
        <w:rPr>
          <w:highlight w:val="yellow"/>
        </w:rPr>
        <w:t xml:space="preserve"> </w:t>
      </w:r>
      <w:r w:rsidRPr="00912E88">
        <w:rPr>
          <w:highlight w:val="yellow"/>
        </w:rPr>
        <w:t>mix into vials of qPCR strip tubes or a 96</w:t>
      </w:r>
      <w:r w:rsidR="001748AE">
        <w:rPr>
          <w:highlight w:val="yellow"/>
        </w:rPr>
        <w:t xml:space="preserve"> </w:t>
      </w:r>
      <w:r w:rsidRPr="00912E88">
        <w:rPr>
          <w:highlight w:val="yellow"/>
        </w:rPr>
        <w:t xml:space="preserve">well plate. Then, add 2 µL of </w:t>
      </w:r>
      <w:r w:rsidR="001748AE">
        <w:rPr>
          <w:highlight w:val="yellow"/>
        </w:rPr>
        <w:t xml:space="preserve">the </w:t>
      </w:r>
      <w:r w:rsidRPr="00912E88">
        <w:rPr>
          <w:highlight w:val="yellow"/>
        </w:rPr>
        <w:t>DNA samples into each vial. Perform all reactions with at l</w:t>
      </w:r>
      <w:r w:rsidR="001748AE">
        <w:rPr>
          <w:highlight w:val="yellow"/>
        </w:rPr>
        <w:t>e</w:t>
      </w:r>
      <w:r w:rsidRPr="00912E88">
        <w:rPr>
          <w:highlight w:val="yellow"/>
        </w:rPr>
        <w:t>ast three technical replicates and three biological replicates.</w:t>
      </w:r>
    </w:p>
    <w:p w14:paraId="3D1441A9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5FF1DF2C" w14:textId="637C12B4" w:rsidR="003C5D74" w:rsidRDefault="00D35874" w:rsidP="008E4526">
      <w:pPr>
        <w:pStyle w:val="ListParagraph"/>
        <w:ind w:left="0"/>
        <w:contextualSpacing w:val="0"/>
        <w:rPr>
          <w:highlight w:val="yellow"/>
        </w:rPr>
      </w:pPr>
      <w:r w:rsidRPr="00912E88">
        <w:rPr>
          <w:highlight w:val="yellow"/>
        </w:rPr>
        <w:t xml:space="preserve">NOTE: </w:t>
      </w:r>
      <w:r w:rsidR="001748AE" w:rsidRPr="00912E88">
        <w:rPr>
          <w:highlight w:val="yellow"/>
        </w:rPr>
        <w:t>Step</w:t>
      </w:r>
      <w:r w:rsidR="001748AE">
        <w:rPr>
          <w:highlight w:val="yellow"/>
        </w:rPr>
        <w:t>s</w:t>
      </w:r>
      <w:r w:rsidR="001748AE" w:rsidRPr="00912E88">
        <w:rPr>
          <w:highlight w:val="yellow"/>
        </w:rPr>
        <w:t xml:space="preserve"> </w:t>
      </w:r>
      <w:r w:rsidR="003C5D74" w:rsidRPr="00912E88">
        <w:rPr>
          <w:highlight w:val="yellow"/>
        </w:rPr>
        <w:t>4.3 and 4.4 should be perform</w:t>
      </w:r>
      <w:r w:rsidR="001748AE">
        <w:rPr>
          <w:highlight w:val="yellow"/>
        </w:rPr>
        <w:t>ed</w:t>
      </w:r>
      <w:r w:rsidR="003C5D74" w:rsidRPr="00912E88">
        <w:rPr>
          <w:highlight w:val="yellow"/>
        </w:rPr>
        <w:t xml:space="preserve"> on ice.</w:t>
      </w:r>
    </w:p>
    <w:p w14:paraId="310A918C" w14:textId="77777777" w:rsidR="00D25D72" w:rsidRPr="00912E88" w:rsidRDefault="00D25D72" w:rsidP="008E4526">
      <w:pPr>
        <w:pStyle w:val="ListParagraph"/>
        <w:ind w:left="0"/>
        <w:contextualSpacing w:val="0"/>
        <w:rPr>
          <w:highlight w:val="yellow"/>
        </w:rPr>
      </w:pPr>
    </w:p>
    <w:p w14:paraId="5D0B8708" w14:textId="2644D915" w:rsidR="003C5D74" w:rsidRDefault="003C5D74" w:rsidP="008E4526">
      <w:pPr>
        <w:pStyle w:val="ListParagraph"/>
        <w:numPr>
          <w:ilvl w:val="1"/>
          <w:numId w:val="5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Close the qPCR tubes or seal the 96 well plates with adhesive plate seal. </w:t>
      </w:r>
    </w:p>
    <w:p w14:paraId="3A48BF1D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1E4814E6" w14:textId="29E67835" w:rsidR="003C5D74" w:rsidRDefault="003C5D74" w:rsidP="008E4526">
      <w:pPr>
        <w:pStyle w:val="ListParagraph"/>
        <w:numPr>
          <w:ilvl w:val="1"/>
          <w:numId w:val="5"/>
        </w:numPr>
        <w:autoSpaceDE/>
        <w:autoSpaceDN/>
        <w:adjustRightInd/>
        <w:contextualSpacing w:val="0"/>
        <w:rPr>
          <w:highlight w:val="yellow"/>
        </w:rPr>
      </w:pPr>
      <w:bookmarkStart w:id="57" w:name="OLE_LINK3"/>
      <w:bookmarkStart w:id="58" w:name="OLE_LINK4"/>
      <w:bookmarkStart w:id="59" w:name="OLE_LINK12"/>
      <w:bookmarkStart w:id="60" w:name="OLE_LINK16"/>
      <w:r w:rsidRPr="00912E88">
        <w:rPr>
          <w:highlight w:val="yellow"/>
        </w:rPr>
        <w:t xml:space="preserve">Centrifuge to collect the liquid at the bottom of the </w:t>
      </w:r>
      <w:bookmarkEnd w:id="57"/>
      <w:bookmarkEnd w:id="58"/>
      <w:bookmarkEnd w:id="59"/>
      <w:r w:rsidRPr="00912E88">
        <w:rPr>
          <w:highlight w:val="yellow"/>
        </w:rPr>
        <w:t>qPCR tubes or 96</w:t>
      </w:r>
      <w:r w:rsidR="001748AE">
        <w:rPr>
          <w:highlight w:val="yellow"/>
        </w:rPr>
        <w:t xml:space="preserve"> </w:t>
      </w:r>
      <w:r w:rsidRPr="00912E88">
        <w:rPr>
          <w:highlight w:val="yellow"/>
        </w:rPr>
        <w:t>well plate.</w:t>
      </w:r>
      <w:bookmarkEnd w:id="60"/>
      <w:r w:rsidRPr="00912E88">
        <w:rPr>
          <w:highlight w:val="yellow"/>
        </w:rPr>
        <w:t xml:space="preserve"> </w:t>
      </w:r>
    </w:p>
    <w:p w14:paraId="6A377A84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4E5690F9" w14:textId="3877B31C" w:rsidR="003C5D74" w:rsidRDefault="003C5D74" w:rsidP="008E4526">
      <w:pPr>
        <w:pStyle w:val="ListParagraph"/>
        <w:numPr>
          <w:ilvl w:val="1"/>
          <w:numId w:val="5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Place the tubes or plate into the real-time thermal cycler and perform qPCR. </w:t>
      </w:r>
    </w:p>
    <w:p w14:paraId="631F1C13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6A047CFE" w14:textId="099E438D" w:rsidR="003C5D74" w:rsidRDefault="003C5D74" w:rsidP="008E4526">
      <w:pPr>
        <w:pStyle w:val="ListParagraph"/>
        <w:numPr>
          <w:ilvl w:val="2"/>
          <w:numId w:val="5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>Perform the qPCR us</w:t>
      </w:r>
      <w:r w:rsidR="001748AE">
        <w:rPr>
          <w:highlight w:val="yellow"/>
        </w:rPr>
        <w:t>ing</w:t>
      </w:r>
      <w:r w:rsidRPr="00912E88">
        <w:rPr>
          <w:highlight w:val="yellow"/>
        </w:rPr>
        <w:t xml:space="preserve"> the following cycling parameters: 95 °C for 30 s, followed by 40 cycles of 95 °C for 5 s and 60 °C for 34 s for primer annealing and elongation, 1 cycle at 95 °C for 15 s, ending with a melting curve step of 60 °C to 95 °C with an increment of 0.5 °C per 15 s.</w:t>
      </w:r>
    </w:p>
    <w:p w14:paraId="605074B9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493C02A0" w14:textId="4A766495" w:rsidR="003C5D74" w:rsidRDefault="003C5D74" w:rsidP="008E4526">
      <w:pPr>
        <w:pStyle w:val="ListParagraph"/>
        <w:numPr>
          <w:ilvl w:val="2"/>
          <w:numId w:val="5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Choose SYBR as </w:t>
      </w:r>
      <w:bookmarkStart w:id="61" w:name="OLE_LINK31"/>
      <w:bookmarkStart w:id="62" w:name="OLE_LINK32"/>
      <w:r w:rsidR="005704F8">
        <w:rPr>
          <w:highlight w:val="yellow"/>
        </w:rPr>
        <w:t xml:space="preserve">the </w:t>
      </w:r>
      <w:r w:rsidRPr="00912E88">
        <w:rPr>
          <w:highlight w:val="yellow"/>
        </w:rPr>
        <w:t>fluorophore dye</w:t>
      </w:r>
      <w:bookmarkEnd w:id="61"/>
      <w:bookmarkEnd w:id="62"/>
      <w:r w:rsidR="002814DF">
        <w:rPr>
          <w:highlight w:val="yellow"/>
        </w:rPr>
        <w:t xml:space="preserve"> and </w:t>
      </w:r>
      <w:r w:rsidRPr="00912E88">
        <w:rPr>
          <w:highlight w:val="yellow"/>
        </w:rPr>
        <w:t>unknown as sample type.</w:t>
      </w:r>
    </w:p>
    <w:p w14:paraId="6D81BBE3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p w14:paraId="1E3D929D" w14:textId="720120A5" w:rsidR="003C5D74" w:rsidRDefault="003C5D74" w:rsidP="008E4526">
      <w:pPr>
        <w:pStyle w:val="ListParagraph"/>
        <w:numPr>
          <w:ilvl w:val="1"/>
          <w:numId w:val="5"/>
        </w:numPr>
        <w:autoSpaceDE/>
        <w:autoSpaceDN/>
        <w:adjustRightInd/>
        <w:contextualSpacing w:val="0"/>
        <w:rPr>
          <w:highlight w:val="yellow"/>
        </w:rPr>
      </w:pPr>
      <w:r w:rsidRPr="00912E88">
        <w:rPr>
          <w:highlight w:val="yellow"/>
        </w:rPr>
        <w:t xml:space="preserve">Export </w:t>
      </w:r>
      <w:r w:rsidR="005704F8">
        <w:rPr>
          <w:highlight w:val="yellow"/>
        </w:rPr>
        <w:t xml:space="preserve">the </w:t>
      </w:r>
      <w:r w:rsidRPr="00912E88">
        <w:rPr>
          <w:highlight w:val="yellow"/>
        </w:rPr>
        <w:t xml:space="preserve">quantitative data to </w:t>
      </w:r>
      <w:r w:rsidR="002814DF">
        <w:rPr>
          <w:highlight w:val="yellow"/>
        </w:rPr>
        <w:t>a spreadsheet</w:t>
      </w:r>
      <w:r w:rsidRPr="00912E88">
        <w:rPr>
          <w:highlight w:val="yellow"/>
        </w:rPr>
        <w:t xml:space="preserve"> format</w:t>
      </w:r>
      <w:r w:rsidR="002814DF">
        <w:rPr>
          <w:highlight w:val="yellow"/>
        </w:rPr>
        <w:t xml:space="preserve"> and </w:t>
      </w:r>
      <w:r w:rsidRPr="00912E88">
        <w:rPr>
          <w:highlight w:val="yellow"/>
        </w:rPr>
        <w:t xml:space="preserve">analyze the relative quantity of viral DNA by </w:t>
      </w:r>
      <w:bookmarkStart w:id="63" w:name="OLE_LINK54"/>
      <w:bookmarkStart w:id="64" w:name="OLE_LINK55"/>
      <w:r w:rsidR="005704F8">
        <w:rPr>
          <w:highlight w:val="yellow"/>
        </w:rPr>
        <w:t xml:space="preserve">the </w:t>
      </w:r>
      <w:r w:rsidRPr="00912E88">
        <w:rPr>
          <w:highlight w:val="yellow"/>
        </w:rPr>
        <w:t>2</w:t>
      </w:r>
      <w:r w:rsidRPr="00912E88">
        <w:rPr>
          <w:highlight w:val="yellow"/>
          <w:vertAlign w:val="superscript"/>
        </w:rPr>
        <w:t>−ΔΔCT</w:t>
      </w:r>
      <w:r w:rsidRPr="00912E88">
        <w:rPr>
          <w:highlight w:val="yellow"/>
        </w:rPr>
        <w:t xml:space="preserve"> </w:t>
      </w:r>
      <w:bookmarkEnd w:id="63"/>
      <w:bookmarkEnd w:id="64"/>
      <w:r w:rsidRPr="00912E88">
        <w:rPr>
          <w:highlight w:val="yellow"/>
        </w:rPr>
        <w:t>method</w:t>
      </w:r>
      <w:r w:rsidRPr="00912E88">
        <w:rPr>
          <w:noProof/>
          <w:highlight w:val="yellow"/>
          <w:vertAlign w:val="superscript"/>
        </w:rPr>
        <w:t>28</w:t>
      </w:r>
      <w:r w:rsidRPr="00912E88">
        <w:rPr>
          <w:highlight w:val="yellow"/>
        </w:rPr>
        <w:t>.</w:t>
      </w:r>
    </w:p>
    <w:p w14:paraId="4F2782F2" w14:textId="77777777" w:rsidR="00D25D72" w:rsidRPr="00912E88" w:rsidRDefault="00D25D72" w:rsidP="008E4526">
      <w:pPr>
        <w:pStyle w:val="ListParagraph"/>
        <w:autoSpaceDE/>
        <w:autoSpaceDN/>
        <w:adjustRightInd/>
        <w:ind w:left="0"/>
        <w:contextualSpacing w:val="0"/>
        <w:rPr>
          <w:highlight w:val="yellow"/>
        </w:rPr>
      </w:pPr>
    </w:p>
    <w:bookmarkEnd w:id="16"/>
    <w:p w14:paraId="3B2E4662" w14:textId="77777777" w:rsidR="003C5D74" w:rsidRPr="00997786" w:rsidRDefault="003C5D74" w:rsidP="008E4526">
      <w:pPr>
        <w:pStyle w:val="NormalWeb"/>
        <w:spacing w:before="0" w:beforeAutospacing="0" w:after="0" w:afterAutospacing="0"/>
        <w:rPr>
          <w:color w:val="808080"/>
        </w:rPr>
      </w:pPr>
      <w:r w:rsidRPr="00997786">
        <w:rPr>
          <w:b/>
        </w:rPr>
        <w:t>REPRESENTATIVE RESULTS</w:t>
      </w:r>
      <w:r w:rsidRPr="00997786">
        <w:rPr>
          <w:b/>
          <w:bCs/>
        </w:rPr>
        <w:t>:</w:t>
      </w:r>
    </w:p>
    <w:p w14:paraId="794F0406" w14:textId="7F2634A2" w:rsidR="003C5D74" w:rsidRPr="00997786" w:rsidRDefault="003C5D74" w:rsidP="008E4526">
      <w:pPr>
        <w:rPr>
          <w:bCs/>
        </w:rPr>
      </w:pPr>
      <w:r w:rsidRPr="00997786">
        <w:rPr>
          <w:bCs/>
        </w:rPr>
        <w:t xml:space="preserve">The MEAM1 whiteflies of the </w:t>
      </w:r>
      <w:r w:rsidRPr="00997786">
        <w:rPr>
          <w:bCs/>
          <w:i/>
          <w:iCs/>
        </w:rPr>
        <w:t xml:space="preserve">B. </w:t>
      </w:r>
      <w:proofErr w:type="spellStart"/>
      <w:r w:rsidRPr="00997786">
        <w:rPr>
          <w:bCs/>
          <w:i/>
          <w:iCs/>
        </w:rPr>
        <w:t>tabaci</w:t>
      </w:r>
      <w:proofErr w:type="spellEnd"/>
      <w:r w:rsidRPr="00997786">
        <w:rPr>
          <w:bCs/>
        </w:rPr>
        <w:t xml:space="preserve"> complex and TYLCV </w:t>
      </w:r>
      <w:r w:rsidR="00C70504">
        <w:rPr>
          <w:bCs/>
        </w:rPr>
        <w:t>were</w:t>
      </w:r>
      <w:r w:rsidR="00C70504" w:rsidRPr="00997786">
        <w:rPr>
          <w:bCs/>
        </w:rPr>
        <w:t xml:space="preserve"> </w:t>
      </w:r>
      <w:r w:rsidRPr="00997786">
        <w:rPr>
          <w:bCs/>
        </w:rPr>
        <w:t xml:space="preserve">used as an example here to describe the procedures. The overview of the immunofluorescence and viral quantification procedures described in this manuscript is shown in </w:t>
      </w:r>
      <w:r w:rsidRPr="002814DF">
        <w:rPr>
          <w:b/>
        </w:rPr>
        <w:t>Figure 1</w:t>
      </w:r>
      <w:r w:rsidRPr="00997786">
        <w:rPr>
          <w:bCs/>
        </w:rPr>
        <w:t xml:space="preserve">. </w:t>
      </w:r>
      <w:r w:rsidRPr="002814DF">
        <w:rPr>
          <w:b/>
        </w:rPr>
        <w:t>Figure 2</w:t>
      </w:r>
      <w:r w:rsidRPr="00997786">
        <w:rPr>
          <w:bCs/>
        </w:rPr>
        <w:t xml:space="preserve"> shows representative results of immunofluorescence detection of TYLCV and DAPI staining in PSGs, midguts</w:t>
      </w:r>
      <w:r w:rsidR="006B7B8D">
        <w:rPr>
          <w:bCs/>
        </w:rPr>
        <w:t>,</w:t>
      </w:r>
      <w:r w:rsidRPr="00997786">
        <w:rPr>
          <w:bCs/>
        </w:rPr>
        <w:t xml:space="preserve"> and </w:t>
      </w:r>
      <w:r w:rsidRPr="00997786">
        <w:rPr>
          <w:bCs/>
        </w:rPr>
        <w:lastRenderedPageBreak/>
        <w:t>ovaries, indicating that TYLCV accumulate</w:t>
      </w:r>
      <w:r w:rsidR="00C70504">
        <w:rPr>
          <w:bCs/>
        </w:rPr>
        <w:t>d</w:t>
      </w:r>
      <w:r w:rsidRPr="00997786">
        <w:rPr>
          <w:bCs/>
        </w:rPr>
        <w:t xml:space="preserve"> more in </w:t>
      </w:r>
      <w:r w:rsidR="006B7B8D">
        <w:rPr>
          <w:bCs/>
        </w:rPr>
        <w:t xml:space="preserve">the </w:t>
      </w:r>
      <w:r w:rsidRPr="00997786">
        <w:rPr>
          <w:bCs/>
        </w:rPr>
        <w:t xml:space="preserve">PSGs and midguts, and less in the ovaries. </w:t>
      </w:r>
      <w:r w:rsidRPr="002814DF">
        <w:rPr>
          <w:b/>
        </w:rPr>
        <w:t>Figure 3</w:t>
      </w:r>
      <w:r w:rsidRPr="00997786">
        <w:rPr>
          <w:bCs/>
        </w:rPr>
        <w:t xml:space="preserve"> shows the relative quantity of virus in </w:t>
      </w:r>
      <w:r w:rsidR="006B7B8D">
        <w:rPr>
          <w:bCs/>
        </w:rPr>
        <w:t xml:space="preserve">the </w:t>
      </w:r>
      <w:r w:rsidRPr="00997786">
        <w:rPr>
          <w:bCs/>
        </w:rPr>
        <w:t>whitefly PSGs, midguts, hemolymph</w:t>
      </w:r>
      <w:r w:rsidR="006B7B8D">
        <w:rPr>
          <w:bCs/>
        </w:rPr>
        <w:t>,</w:t>
      </w:r>
      <w:r w:rsidRPr="00997786">
        <w:rPr>
          <w:bCs/>
        </w:rPr>
        <w:t xml:space="preserve"> and ovaries after whiteflies fed on TYLCV-infected tomato for 24, 48</w:t>
      </w:r>
      <w:r w:rsidR="006B7B8D">
        <w:rPr>
          <w:bCs/>
        </w:rPr>
        <w:t>,</w:t>
      </w:r>
      <w:r w:rsidRPr="00997786">
        <w:rPr>
          <w:bCs/>
        </w:rPr>
        <w:t xml:space="preserve"> and 72 h, indicating that the quantity of virus increase</w:t>
      </w:r>
      <w:r w:rsidR="00C70504">
        <w:rPr>
          <w:bCs/>
        </w:rPr>
        <w:t>d</w:t>
      </w:r>
      <w:r w:rsidRPr="00997786">
        <w:rPr>
          <w:bCs/>
        </w:rPr>
        <w:t xml:space="preserve"> in different whitefly tissues</w:t>
      </w:r>
      <w:r w:rsidRPr="00997786">
        <w:rPr>
          <w:bCs/>
          <w:i/>
          <w:iCs/>
        </w:rPr>
        <w:t xml:space="preserve"> </w:t>
      </w:r>
      <w:r w:rsidRPr="00997786">
        <w:rPr>
          <w:bCs/>
        </w:rPr>
        <w:t xml:space="preserve">with the increase of </w:t>
      </w:r>
      <w:r w:rsidR="006B7B8D">
        <w:rPr>
          <w:bCs/>
        </w:rPr>
        <w:t xml:space="preserve">the </w:t>
      </w:r>
      <w:r w:rsidRPr="00997786">
        <w:rPr>
          <w:bCs/>
        </w:rPr>
        <w:t>acquisition access period.</w:t>
      </w:r>
    </w:p>
    <w:p w14:paraId="228428E9" w14:textId="77777777" w:rsidR="00D25D72" w:rsidRDefault="00D25D72" w:rsidP="008E4526">
      <w:pPr>
        <w:rPr>
          <w:b/>
        </w:rPr>
      </w:pPr>
    </w:p>
    <w:p w14:paraId="675A65FE" w14:textId="1F97EDA2" w:rsidR="003C5D74" w:rsidRPr="00997786" w:rsidRDefault="003C5D74" w:rsidP="008E4526">
      <w:pPr>
        <w:rPr>
          <w:bCs/>
        </w:rPr>
      </w:pPr>
      <w:r w:rsidRPr="00997786">
        <w:rPr>
          <w:b/>
        </w:rPr>
        <w:t>FIGURE AND TABLE LEGENDS:</w:t>
      </w:r>
      <w:r w:rsidRPr="00997786">
        <w:rPr>
          <w:color w:val="808080"/>
        </w:rPr>
        <w:t xml:space="preserve"> </w:t>
      </w:r>
    </w:p>
    <w:p w14:paraId="1207BF62" w14:textId="5E1A1E58" w:rsidR="003C5D74" w:rsidRPr="00997786" w:rsidRDefault="003C5D74" w:rsidP="008E4526">
      <w:pPr>
        <w:rPr>
          <w:rStyle w:val="tlid-translation"/>
        </w:rPr>
      </w:pPr>
      <w:r w:rsidRPr="00997786">
        <w:rPr>
          <w:b/>
        </w:rPr>
        <w:t>Figure 1:</w:t>
      </w:r>
      <w:r w:rsidRPr="00997786">
        <w:t xml:space="preserve"> </w:t>
      </w:r>
      <w:bookmarkStart w:id="65" w:name="_Hlk17136489"/>
      <w:r w:rsidRPr="00997786">
        <w:rPr>
          <w:rStyle w:val="Strong"/>
        </w:rPr>
        <w:t>Overview of the protocols</w:t>
      </w:r>
      <w:bookmarkEnd w:id="65"/>
      <w:r w:rsidRPr="00997786">
        <w:rPr>
          <w:rStyle w:val="Strong"/>
        </w:rPr>
        <w:t xml:space="preserve"> presented in this paper</w:t>
      </w:r>
      <w:r w:rsidRPr="00997786">
        <w:rPr>
          <w:b/>
        </w:rPr>
        <w:t>.</w:t>
      </w:r>
      <w:r w:rsidRPr="00997786">
        <w:t xml:space="preserve"> </w:t>
      </w:r>
      <w:r w:rsidR="002814DF">
        <w:t>(</w:t>
      </w:r>
      <w:r w:rsidRPr="002814DF">
        <w:rPr>
          <w:b/>
          <w:bCs/>
        </w:rPr>
        <w:t>A</w:t>
      </w:r>
      <w:r w:rsidR="002814DF">
        <w:t xml:space="preserve">) </w:t>
      </w:r>
      <w:r w:rsidRPr="00997786">
        <w:t>Experimental procedures for immunofluorescence in whitefly midguts, PSGs</w:t>
      </w:r>
      <w:r w:rsidR="006B7B8D">
        <w:t>,</w:t>
      </w:r>
      <w:r w:rsidRPr="00997786">
        <w:t xml:space="preserve"> and ovaries. Tissues </w:t>
      </w:r>
      <w:r w:rsidR="00C70504">
        <w:t>were</w:t>
      </w:r>
      <w:r w:rsidR="00C70504" w:rsidRPr="00997786">
        <w:t xml:space="preserve"> </w:t>
      </w:r>
      <w:r w:rsidRPr="00997786">
        <w:t xml:space="preserve">collected from TYLCV-infected adult female whiteflies, followed by a series of fixation, </w:t>
      </w:r>
      <w:r w:rsidRPr="00997786">
        <w:rPr>
          <w:rStyle w:val="gt-card-ttl-txt"/>
        </w:rPr>
        <w:t>permeabilization, blocking</w:t>
      </w:r>
      <w:r w:rsidR="006B7B8D">
        <w:rPr>
          <w:rStyle w:val="gt-card-ttl-txt"/>
        </w:rPr>
        <w:t>,</w:t>
      </w:r>
      <w:r w:rsidRPr="00997786">
        <w:t xml:space="preserve"> incubations with primary antibodies</w:t>
      </w:r>
      <w:r w:rsidR="00754500">
        <w:t xml:space="preserve"> </w:t>
      </w:r>
      <w:r w:rsidR="00754500" w:rsidRPr="00BE2644">
        <w:t>that</w:t>
      </w:r>
      <w:r w:rsidRPr="00997786">
        <w:t xml:space="preserve"> bind to </w:t>
      </w:r>
      <w:r w:rsidR="006B7B8D">
        <w:t xml:space="preserve">a </w:t>
      </w:r>
      <w:r w:rsidRPr="00997786">
        <w:t>TYLCV</w:t>
      </w:r>
      <w:r w:rsidR="006B7B8D" w:rsidRPr="006B7B8D">
        <w:t xml:space="preserve"> </w:t>
      </w:r>
      <w:r w:rsidR="006B7B8D" w:rsidRPr="00997786">
        <w:t>coat protein</w:t>
      </w:r>
      <w:r w:rsidRPr="00997786">
        <w:t xml:space="preserve">, and fluorochrome-conjugated secondary antibodies </w:t>
      </w:r>
      <w:r w:rsidR="00754500" w:rsidRPr="00F54909">
        <w:t>that</w:t>
      </w:r>
      <w:r w:rsidR="00754500" w:rsidRPr="00997786">
        <w:t xml:space="preserve"> </w:t>
      </w:r>
      <w:r w:rsidRPr="00997786">
        <w:t xml:space="preserve">bind to the primary antibodies. </w:t>
      </w:r>
      <w:r w:rsidR="00754500" w:rsidRPr="00997786">
        <w:t>Finally</w:t>
      </w:r>
      <w:r w:rsidRPr="00997786">
        <w:t xml:space="preserve">, samples </w:t>
      </w:r>
      <w:r w:rsidR="00C70504">
        <w:t>were</w:t>
      </w:r>
      <w:r w:rsidR="00C70504" w:rsidRPr="00997786">
        <w:t xml:space="preserve"> </w:t>
      </w:r>
      <w:r w:rsidRPr="00997786">
        <w:t>analyzed under a confocal microscop</w:t>
      </w:r>
      <w:r w:rsidR="00754500">
        <w:t>e</w:t>
      </w:r>
      <w:r w:rsidRPr="00997786">
        <w:t xml:space="preserve">, allowing the acquisition of images. </w:t>
      </w:r>
      <w:r w:rsidR="002814DF">
        <w:t>(</w:t>
      </w:r>
      <w:r w:rsidRPr="002814DF">
        <w:rPr>
          <w:b/>
          <w:bCs/>
        </w:rPr>
        <w:t>B</w:t>
      </w:r>
      <w:r w:rsidR="002814DF">
        <w:t>)</w:t>
      </w:r>
      <w:r w:rsidRPr="00997786">
        <w:t xml:space="preserve"> Experimental procedure for the quantification of virus in </w:t>
      </w:r>
      <w:r w:rsidR="00754500">
        <w:t xml:space="preserve">the </w:t>
      </w:r>
      <w:r w:rsidRPr="00997786">
        <w:t>whitefly midguts, PSGs, ovaries</w:t>
      </w:r>
      <w:r w:rsidR="00754500">
        <w:t>,</w:t>
      </w:r>
      <w:r w:rsidRPr="00997786">
        <w:t xml:space="preserve"> and hemolymph. Tissues </w:t>
      </w:r>
      <w:r w:rsidR="00C70504">
        <w:t>were</w:t>
      </w:r>
      <w:r w:rsidR="00C70504" w:rsidRPr="00997786">
        <w:t xml:space="preserve"> </w:t>
      </w:r>
      <w:r w:rsidRPr="00997786">
        <w:t xml:space="preserve">collected from TYLCV-infected adult female whiteflies, and then DNA extraction </w:t>
      </w:r>
      <w:r w:rsidR="00C70504">
        <w:t>was</w:t>
      </w:r>
      <w:r w:rsidR="00C70504" w:rsidRPr="00997786">
        <w:t xml:space="preserve"> </w:t>
      </w:r>
      <w:r w:rsidRPr="00997786">
        <w:t xml:space="preserve">performed. </w:t>
      </w:r>
      <w:r w:rsidR="000D3640">
        <w:t>q</w:t>
      </w:r>
      <w:r w:rsidRPr="00997786">
        <w:t xml:space="preserve">PCR </w:t>
      </w:r>
      <w:r w:rsidR="00C70504">
        <w:t>was</w:t>
      </w:r>
      <w:r w:rsidR="00C70504" w:rsidRPr="00997786">
        <w:t xml:space="preserve"> </w:t>
      </w:r>
      <w:r w:rsidRPr="00997786">
        <w:t>performed on a real-</w:t>
      </w:r>
      <w:r w:rsidR="0037486C">
        <w:t>t</w:t>
      </w:r>
      <w:r w:rsidRPr="00997786">
        <w:t xml:space="preserve">ime PCR instrument, allowing the acquisition of data </w:t>
      </w:r>
      <w:r w:rsidR="00754500" w:rsidRPr="00F54909">
        <w:t>that</w:t>
      </w:r>
      <w:r w:rsidR="00754500" w:rsidRPr="00997786">
        <w:t xml:space="preserve"> </w:t>
      </w:r>
      <w:r w:rsidRPr="00997786">
        <w:t>can be subsequently analyzed.</w:t>
      </w:r>
    </w:p>
    <w:p w14:paraId="2D3AB00E" w14:textId="77777777" w:rsidR="00D25D72" w:rsidRDefault="00D25D72" w:rsidP="008E4526">
      <w:pPr>
        <w:rPr>
          <w:b/>
        </w:rPr>
      </w:pPr>
    </w:p>
    <w:p w14:paraId="4E45BA9D" w14:textId="794F037C" w:rsidR="003C5D74" w:rsidRPr="00997786" w:rsidRDefault="003C5D74" w:rsidP="008E4526">
      <w:r w:rsidRPr="00997786">
        <w:rPr>
          <w:b/>
        </w:rPr>
        <w:t xml:space="preserve">Figure 2: Immunofluorescence detection of TYLCV in </w:t>
      </w:r>
      <w:r w:rsidR="00CE4DE6">
        <w:rPr>
          <w:b/>
        </w:rPr>
        <w:t xml:space="preserve">the </w:t>
      </w:r>
      <w:r w:rsidRPr="00997786">
        <w:rPr>
          <w:b/>
        </w:rPr>
        <w:t>primary salivary glands</w:t>
      </w:r>
      <w:r w:rsidRPr="003170D7">
        <w:t>,</w:t>
      </w:r>
      <w:r w:rsidRPr="00997786">
        <w:rPr>
          <w:b/>
        </w:rPr>
        <w:t xml:space="preserve"> midguts</w:t>
      </w:r>
      <w:r w:rsidR="00CE4DE6">
        <w:rPr>
          <w:b/>
        </w:rPr>
        <w:t>,</w:t>
      </w:r>
      <w:r w:rsidRPr="00997786">
        <w:rPr>
          <w:b/>
        </w:rPr>
        <w:t xml:space="preserve"> and ovaries of female adult whiteflies after a </w:t>
      </w:r>
      <w:proofErr w:type="gramStart"/>
      <w:r w:rsidR="002814DF" w:rsidRPr="00997786">
        <w:rPr>
          <w:b/>
        </w:rPr>
        <w:t>48</w:t>
      </w:r>
      <w:r w:rsidR="00CE4DE6">
        <w:rPr>
          <w:b/>
        </w:rPr>
        <w:t xml:space="preserve"> </w:t>
      </w:r>
      <w:r w:rsidR="002814DF" w:rsidRPr="00997786">
        <w:rPr>
          <w:b/>
        </w:rPr>
        <w:t>h</w:t>
      </w:r>
      <w:proofErr w:type="gramEnd"/>
      <w:r w:rsidRPr="00997786">
        <w:rPr>
          <w:b/>
        </w:rPr>
        <w:t xml:space="preserve"> virus acquisition access period</w:t>
      </w:r>
      <w:r w:rsidRPr="00997786">
        <w:t xml:space="preserve">. Whiteflies </w:t>
      </w:r>
      <w:proofErr w:type="gramStart"/>
      <w:r w:rsidRPr="00997786">
        <w:t>were allowed to</w:t>
      </w:r>
      <w:proofErr w:type="gramEnd"/>
      <w:r w:rsidRPr="00997786">
        <w:t xml:space="preserve"> feed on TYLCV-infected tomato plants for 48 h, and then 20 PSGs, 20 midguts</w:t>
      </w:r>
      <w:r w:rsidR="00CE4DE6">
        <w:t>,</w:t>
      </w:r>
      <w:r w:rsidRPr="00997786">
        <w:t xml:space="preserve"> and 20 </w:t>
      </w:r>
      <w:bookmarkStart w:id="66" w:name="OLE_LINK59"/>
      <w:r w:rsidRPr="00997786">
        <w:t>ovaries</w:t>
      </w:r>
      <w:bookmarkEnd w:id="66"/>
      <w:r w:rsidRPr="00997786">
        <w:t xml:space="preserve"> were dissected and collected. Next, samples </w:t>
      </w:r>
      <w:r w:rsidR="00C70504">
        <w:t>were</w:t>
      </w:r>
      <w:r w:rsidR="00C70504" w:rsidRPr="00997786">
        <w:t xml:space="preserve"> </w:t>
      </w:r>
      <w:r w:rsidRPr="00997786">
        <w:t>fixed in 4% formaldehyde, permeabilized in 0.5% Triton X-100</w:t>
      </w:r>
      <w:r w:rsidR="00CE4DE6">
        <w:t>,</w:t>
      </w:r>
      <w:r w:rsidRPr="00997786">
        <w:t xml:space="preserve"> blocked in 1% BSA</w:t>
      </w:r>
      <w:r w:rsidR="00CE4DE6">
        <w:t>,</w:t>
      </w:r>
      <w:r w:rsidRPr="00997786">
        <w:t xml:space="preserve"> and then </w:t>
      </w:r>
      <w:r w:rsidR="00CE4DE6" w:rsidRPr="00997786">
        <w:t xml:space="preserve">incubated </w:t>
      </w:r>
      <w:r w:rsidRPr="00997786">
        <w:t>with mouse anti-TYLCV monoclonal antibodies (</w:t>
      </w:r>
      <w:proofErr w:type="spellStart"/>
      <w:r w:rsidRPr="00997786">
        <w:t>MAb</w:t>
      </w:r>
      <w:proofErr w:type="spellEnd"/>
      <w:r w:rsidRPr="00997786">
        <w:t xml:space="preserve"> 1C4 against TYLCV coat protein)</w:t>
      </w:r>
      <w:r w:rsidRPr="00997786">
        <w:rPr>
          <w:noProof/>
          <w:vertAlign w:val="superscript"/>
        </w:rPr>
        <w:t>24</w:t>
      </w:r>
      <w:r w:rsidRPr="00997786">
        <w:t xml:space="preserve"> and goat anti-mouse secondary antibodies conjugated to </w:t>
      </w:r>
      <w:r w:rsidR="00447281">
        <w:t xml:space="preserve">a </w:t>
      </w:r>
      <w:r w:rsidRPr="00997786">
        <w:t>red</w:t>
      </w:r>
      <w:r w:rsidR="00447281">
        <w:t xml:space="preserve"> fluorescent dye (</w:t>
      </w:r>
      <w:r w:rsidR="00CE4DE6">
        <w:t>i.e</w:t>
      </w:r>
      <w:r w:rsidR="00447281">
        <w:t>.,</w:t>
      </w:r>
      <w:r w:rsidR="00447281" w:rsidRPr="00447281">
        <w:t xml:space="preserve"> </w:t>
      </w:r>
      <w:proofErr w:type="spellStart"/>
      <w:r w:rsidR="00447281" w:rsidRPr="00997786">
        <w:t>Dylight</w:t>
      </w:r>
      <w:proofErr w:type="spellEnd"/>
      <w:r w:rsidR="00447281" w:rsidRPr="00997786">
        <w:t xml:space="preserve"> 549</w:t>
      </w:r>
      <w:r w:rsidRPr="00997786">
        <w:t>). Nuclei were stained with DAPI (blue). Immunofluorescence signals were examined under a confocal microscope.</w:t>
      </w:r>
    </w:p>
    <w:p w14:paraId="31391518" w14:textId="77777777" w:rsidR="00D25D72" w:rsidRDefault="00D25D72" w:rsidP="008E4526">
      <w:pPr>
        <w:rPr>
          <w:b/>
        </w:rPr>
      </w:pPr>
    </w:p>
    <w:p w14:paraId="6414F2B9" w14:textId="5B15E806" w:rsidR="003C5D74" w:rsidRPr="00997786" w:rsidRDefault="003C5D74" w:rsidP="008E4526">
      <w:pPr>
        <w:rPr>
          <w:bCs/>
        </w:rPr>
      </w:pPr>
      <w:r w:rsidRPr="00997786">
        <w:rPr>
          <w:b/>
        </w:rPr>
        <w:t>Figure 3: Quantification of TYLCV DNA in the midguts</w:t>
      </w:r>
      <w:r w:rsidRPr="003170D7">
        <w:t>,</w:t>
      </w:r>
      <w:r w:rsidRPr="00997786">
        <w:rPr>
          <w:b/>
        </w:rPr>
        <w:t xml:space="preserve"> hemolymph</w:t>
      </w:r>
      <w:r w:rsidRPr="003170D7">
        <w:t>,</w:t>
      </w:r>
      <w:r w:rsidRPr="00997786">
        <w:rPr>
          <w:b/>
        </w:rPr>
        <w:t xml:space="preserve"> primary salivary glands</w:t>
      </w:r>
      <w:r w:rsidR="00CE4DE6">
        <w:rPr>
          <w:b/>
        </w:rPr>
        <w:t>,</w:t>
      </w:r>
      <w:r w:rsidRPr="00997786">
        <w:rPr>
          <w:b/>
        </w:rPr>
        <w:t xml:space="preserve"> and ovaries in MEAM1 whiteflies. </w:t>
      </w:r>
      <w:r w:rsidRPr="00997786">
        <w:rPr>
          <w:bCs/>
        </w:rPr>
        <w:t xml:space="preserve">Adult </w:t>
      </w:r>
      <w:r w:rsidR="00C70504">
        <w:rPr>
          <w:bCs/>
        </w:rPr>
        <w:t>fed</w:t>
      </w:r>
      <w:r w:rsidRPr="00997786">
        <w:rPr>
          <w:bCs/>
        </w:rPr>
        <w:t xml:space="preserve"> on TYLCV-infected tomato plants for 24, 48</w:t>
      </w:r>
      <w:r w:rsidR="00CE4DE6">
        <w:rPr>
          <w:bCs/>
        </w:rPr>
        <w:t>,</w:t>
      </w:r>
      <w:r w:rsidRPr="00997786">
        <w:rPr>
          <w:bCs/>
        </w:rPr>
        <w:t xml:space="preserve"> and 72 h, and then </w:t>
      </w:r>
      <w:r w:rsidR="00CE4DE6">
        <w:rPr>
          <w:bCs/>
        </w:rPr>
        <w:t xml:space="preserve">the </w:t>
      </w:r>
      <w:r w:rsidRPr="00997786">
        <w:rPr>
          <w:bCs/>
        </w:rPr>
        <w:t>whitefly midguts, hemolymph, PSGs</w:t>
      </w:r>
      <w:r w:rsidR="00CE4DE6">
        <w:rPr>
          <w:bCs/>
        </w:rPr>
        <w:t>,</w:t>
      </w:r>
      <w:r w:rsidRPr="00997786">
        <w:rPr>
          <w:bCs/>
        </w:rPr>
        <w:t xml:space="preserve"> and ovaries were dissected and collected. Next, extraction of DNA and qPCR </w:t>
      </w:r>
      <w:r w:rsidR="00CE4DE6">
        <w:rPr>
          <w:bCs/>
        </w:rPr>
        <w:t>were</w:t>
      </w:r>
      <w:r w:rsidR="00CE4DE6" w:rsidRPr="00997786">
        <w:rPr>
          <w:bCs/>
        </w:rPr>
        <w:t xml:space="preserve"> </w:t>
      </w:r>
      <w:r w:rsidRPr="00997786">
        <w:rPr>
          <w:bCs/>
        </w:rPr>
        <w:t xml:space="preserve">performed for </w:t>
      </w:r>
      <w:r w:rsidR="00CE4DE6">
        <w:rPr>
          <w:bCs/>
        </w:rPr>
        <w:t xml:space="preserve">the </w:t>
      </w:r>
      <w:r w:rsidRPr="00997786">
        <w:rPr>
          <w:bCs/>
        </w:rPr>
        <w:t>midguts (</w:t>
      </w:r>
      <w:r w:rsidRPr="002814DF">
        <w:rPr>
          <w:b/>
        </w:rPr>
        <w:t>A</w:t>
      </w:r>
      <w:r w:rsidRPr="00997786">
        <w:rPr>
          <w:bCs/>
        </w:rPr>
        <w:t>), hemolymph (</w:t>
      </w:r>
      <w:r w:rsidRPr="002814DF">
        <w:rPr>
          <w:b/>
        </w:rPr>
        <w:t>B</w:t>
      </w:r>
      <w:r w:rsidRPr="00997786">
        <w:rPr>
          <w:bCs/>
        </w:rPr>
        <w:t>), PSGs (</w:t>
      </w:r>
      <w:r w:rsidRPr="002814DF">
        <w:rPr>
          <w:b/>
        </w:rPr>
        <w:t>C</w:t>
      </w:r>
      <w:r w:rsidRPr="00997786">
        <w:rPr>
          <w:bCs/>
        </w:rPr>
        <w:t>)</w:t>
      </w:r>
      <w:r w:rsidR="00CE4DE6">
        <w:rPr>
          <w:bCs/>
        </w:rPr>
        <w:t>,</w:t>
      </w:r>
      <w:r w:rsidRPr="00997786">
        <w:rPr>
          <w:bCs/>
        </w:rPr>
        <w:t xml:space="preserve"> and ovaries (</w:t>
      </w:r>
      <w:r w:rsidRPr="002814DF">
        <w:rPr>
          <w:b/>
        </w:rPr>
        <w:t>D</w:t>
      </w:r>
      <w:r w:rsidRPr="00997786">
        <w:rPr>
          <w:bCs/>
        </w:rPr>
        <w:t xml:space="preserve">). Data were firstly normalized to </w:t>
      </w:r>
      <w:r w:rsidR="00CE4DE6">
        <w:rPr>
          <w:bCs/>
        </w:rPr>
        <w:t xml:space="preserve">the </w:t>
      </w:r>
      <w:r w:rsidRPr="00997786">
        <w:rPr>
          <w:bCs/>
        </w:rPr>
        <w:t xml:space="preserve">whitefly </w:t>
      </w:r>
      <w:r w:rsidRPr="00997786">
        <w:rPr>
          <w:rFonts w:ascii="Symbol" w:hAnsi="Symbol" w:cstheme="minorHAnsi"/>
          <w:i/>
        </w:rPr>
        <w:t></w:t>
      </w:r>
      <w:r w:rsidRPr="00997786">
        <w:rPr>
          <w:bCs/>
          <w:i/>
          <w:iCs/>
        </w:rPr>
        <w:t>-actin</w:t>
      </w:r>
      <w:r w:rsidRPr="00997786">
        <w:rPr>
          <w:bCs/>
        </w:rPr>
        <w:t xml:space="preserve"> DNA, and then </w:t>
      </w:r>
      <w:r w:rsidR="00CE4DE6">
        <w:rPr>
          <w:bCs/>
        </w:rPr>
        <w:t xml:space="preserve">the </w:t>
      </w:r>
      <w:r w:rsidRPr="00997786">
        <w:rPr>
          <w:bCs/>
        </w:rPr>
        <w:t xml:space="preserve">relative quantity of virus obtained were again normalized to that at 24 h. </w:t>
      </w:r>
      <w:r w:rsidR="00E40274" w:rsidRPr="00997786">
        <w:rPr>
          <w:rFonts w:hint="eastAsia"/>
          <w:bCs/>
          <w:lang w:eastAsia="zh-CN"/>
        </w:rPr>
        <w:t>NV</w:t>
      </w:r>
      <w:r w:rsidR="00E40274" w:rsidRPr="00997786">
        <w:rPr>
          <w:bCs/>
        </w:rPr>
        <w:t>: Non-</w:t>
      </w:r>
      <w:proofErr w:type="spellStart"/>
      <w:r w:rsidR="00E40274" w:rsidRPr="00997786">
        <w:rPr>
          <w:bCs/>
        </w:rPr>
        <w:t>viruliferous</w:t>
      </w:r>
      <w:proofErr w:type="spellEnd"/>
      <w:r w:rsidR="00E40274" w:rsidRPr="00997786">
        <w:rPr>
          <w:bCs/>
        </w:rPr>
        <w:t xml:space="preserve">. </w:t>
      </w:r>
      <w:r w:rsidRPr="00997786">
        <w:rPr>
          <w:bCs/>
        </w:rPr>
        <w:t>Data are presented as the mean ± SEM of relative quantity of virus.</w:t>
      </w:r>
    </w:p>
    <w:p w14:paraId="0E20F671" w14:textId="77777777" w:rsidR="00D25D72" w:rsidRDefault="00D25D72" w:rsidP="008E4526">
      <w:pPr>
        <w:rPr>
          <w:b/>
        </w:rPr>
      </w:pPr>
    </w:p>
    <w:p w14:paraId="12B08D4F" w14:textId="0103E97C" w:rsidR="003C5D74" w:rsidRPr="00997786" w:rsidRDefault="003C5D74" w:rsidP="008E4526">
      <w:pPr>
        <w:rPr>
          <w:b/>
        </w:rPr>
      </w:pPr>
      <w:r w:rsidRPr="00997786">
        <w:rPr>
          <w:b/>
        </w:rPr>
        <w:t>DISCUSSION</w:t>
      </w:r>
      <w:r w:rsidRPr="00997786">
        <w:rPr>
          <w:b/>
          <w:bCs/>
        </w:rPr>
        <w:t>:</w:t>
      </w:r>
    </w:p>
    <w:p w14:paraId="1A29CAF8" w14:textId="2FABF0BB" w:rsidR="003C5D74" w:rsidRDefault="003C5D74" w:rsidP="008E4526">
      <w:pPr>
        <w:widowControl/>
      </w:pPr>
      <w:r w:rsidRPr="00997786">
        <w:t xml:space="preserve">Here we describe a protocol for the localization and quantification of a </w:t>
      </w:r>
      <w:proofErr w:type="spellStart"/>
      <w:r w:rsidRPr="00997786">
        <w:t>begomovirus</w:t>
      </w:r>
      <w:proofErr w:type="spellEnd"/>
      <w:r w:rsidRPr="00997786">
        <w:t xml:space="preserve"> in the tissues of its whitefly vector by immunofluorescence and qPCR. Dissection represents the first step to localize and quantify </w:t>
      </w:r>
      <w:r w:rsidR="00722A39">
        <w:t xml:space="preserve">the </w:t>
      </w:r>
      <w:r w:rsidRPr="00997786">
        <w:t xml:space="preserve">virus in whitefly tissues. </w:t>
      </w:r>
      <w:r w:rsidR="00722A39">
        <w:t>The w</w:t>
      </w:r>
      <w:r w:rsidRPr="00997786">
        <w:t xml:space="preserve">hitefly </w:t>
      </w:r>
      <w:r w:rsidRPr="00997786">
        <w:rPr>
          <w:rStyle w:val="tlid-translation"/>
          <w:lang w:val="en"/>
        </w:rPr>
        <w:t xml:space="preserve">body is about 1 mm in length, which means that the tissues are extremely </w:t>
      </w:r>
      <w:r w:rsidR="00722A39" w:rsidRPr="00997786">
        <w:rPr>
          <w:rStyle w:val="tlid-translation"/>
          <w:lang w:val="en"/>
        </w:rPr>
        <w:t>small</w:t>
      </w:r>
      <w:r w:rsidR="00C70504">
        <w:rPr>
          <w:rStyle w:val="tlid-translation"/>
          <w:lang w:val="en"/>
        </w:rPr>
        <w:t xml:space="preserve">, and it </w:t>
      </w:r>
      <w:r w:rsidRPr="00997786">
        <w:rPr>
          <w:rStyle w:val="tlid-translation"/>
          <w:lang w:val="en"/>
        </w:rPr>
        <w:t xml:space="preserve">is difficult to dissect </w:t>
      </w:r>
      <w:r w:rsidR="00722A39">
        <w:rPr>
          <w:rStyle w:val="tlid-translation"/>
          <w:lang w:val="en"/>
        </w:rPr>
        <w:t>the</w:t>
      </w:r>
      <w:r w:rsidR="00C70504">
        <w:rPr>
          <w:rStyle w:val="tlid-translation"/>
          <w:lang w:val="en"/>
        </w:rPr>
        <w:t>m</w:t>
      </w:r>
      <w:r w:rsidRPr="00997786">
        <w:rPr>
          <w:rStyle w:val="tlid-translation"/>
          <w:lang w:val="en"/>
        </w:rPr>
        <w:t xml:space="preserve">. Besides, </w:t>
      </w:r>
      <w:r w:rsidRPr="00997786">
        <w:t xml:space="preserve">there are </w:t>
      </w:r>
      <w:r w:rsidR="00722A39">
        <w:t>strong connections</w:t>
      </w:r>
      <w:r w:rsidR="00722A39" w:rsidRPr="00997786" w:rsidDel="00722A39">
        <w:t xml:space="preserve"> </w:t>
      </w:r>
      <w:r w:rsidRPr="00997786">
        <w:t xml:space="preserve">between </w:t>
      </w:r>
      <w:r w:rsidR="00722A39">
        <w:t xml:space="preserve">the </w:t>
      </w:r>
      <w:r w:rsidRPr="00997786">
        <w:t>tissues</w:t>
      </w:r>
      <w:r w:rsidR="00722A39">
        <w:t>.</w:t>
      </w:r>
      <w:r w:rsidRPr="00997786">
        <w:t xml:space="preserve"> </w:t>
      </w:r>
      <w:r w:rsidR="00722A39" w:rsidRPr="00997786">
        <w:t xml:space="preserve">For </w:t>
      </w:r>
      <w:r w:rsidRPr="00997786">
        <w:t xml:space="preserve">example, </w:t>
      </w:r>
      <w:r w:rsidR="00722A39">
        <w:t xml:space="preserve">the </w:t>
      </w:r>
      <w:r w:rsidRPr="00997786">
        <w:t>ovar</w:t>
      </w:r>
      <w:r w:rsidR="00722A39">
        <w:t>ies</w:t>
      </w:r>
      <w:r w:rsidRPr="00997786">
        <w:t xml:space="preserve"> </w:t>
      </w:r>
      <w:r w:rsidR="00722A39">
        <w:t xml:space="preserve">are </w:t>
      </w:r>
      <w:r w:rsidRPr="00997786">
        <w:lastRenderedPageBreak/>
        <w:t xml:space="preserve">tightly </w:t>
      </w:r>
      <w:r w:rsidR="00722A39">
        <w:t>connected</w:t>
      </w:r>
      <w:r w:rsidR="00722A39" w:rsidRPr="00997786" w:rsidDel="00722A39">
        <w:t xml:space="preserve"> </w:t>
      </w:r>
      <w:r w:rsidRPr="00997786">
        <w:t xml:space="preserve">with </w:t>
      </w:r>
      <w:r w:rsidR="00722A39">
        <w:t xml:space="preserve">the </w:t>
      </w:r>
      <w:r w:rsidRPr="00997786">
        <w:t xml:space="preserve">bacteriocytes, making </w:t>
      </w:r>
      <w:r w:rsidR="00722A39">
        <w:t>them</w:t>
      </w:r>
      <w:r w:rsidR="00722A39" w:rsidRPr="00997786">
        <w:t xml:space="preserve"> </w:t>
      </w:r>
      <w:r w:rsidRPr="00997786">
        <w:t>difficult to isolate. Here, considering the characteristics and location</w:t>
      </w:r>
      <w:r w:rsidR="00722A39">
        <w:t>s</w:t>
      </w:r>
      <w:r w:rsidRPr="00997786">
        <w:t xml:space="preserve"> of </w:t>
      </w:r>
      <w:r w:rsidR="00C70504">
        <w:t xml:space="preserve">the </w:t>
      </w:r>
      <w:r w:rsidRPr="00997786">
        <w:t>different tissues, we describe different approaches for dissection. However, a lot of practice is needed to rapidly and accurately dissect these tissues. In addition, it is best to use fresh whiteflies</w:t>
      </w:r>
      <w:r w:rsidR="00722A39">
        <w:t>,</w:t>
      </w:r>
      <w:r w:rsidRPr="00997786">
        <w:t xml:space="preserve"> </w:t>
      </w:r>
      <w:r w:rsidR="00722A39" w:rsidRPr="00F54909">
        <w:t>because</w:t>
      </w:r>
      <w:r w:rsidR="00722A39" w:rsidRPr="00997786">
        <w:t xml:space="preserve"> </w:t>
      </w:r>
      <w:r w:rsidRPr="00997786">
        <w:t xml:space="preserve">dead insects would increase the difficulty of dissection. Furthermore, </w:t>
      </w:r>
      <w:proofErr w:type="spellStart"/>
      <w:r w:rsidRPr="00997786">
        <w:t>postdissection</w:t>
      </w:r>
      <w:proofErr w:type="spellEnd"/>
      <w:r w:rsidRPr="00997786">
        <w:t>, tissues must be cleaned to avoid contamination.</w:t>
      </w:r>
    </w:p>
    <w:p w14:paraId="3AC246CB" w14:textId="77777777" w:rsidR="002814DF" w:rsidRPr="00997786" w:rsidRDefault="002814DF" w:rsidP="008E4526">
      <w:pPr>
        <w:widowControl/>
      </w:pPr>
    </w:p>
    <w:p w14:paraId="505C5992" w14:textId="62B4B124" w:rsidR="003C5D74" w:rsidRDefault="00722A39" w:rsidP="008E4526">
      <w:r>
        <w:t>The i</w:t>
      </w:r>
      <w:r w:rsidR="003C5D74" w:rsidRPr="00997786">
        <w:t xml:space="preserve">mmunofluorescence technique is based on the use of specific antibodies. A suitable working concentration for each antibody is </w:t>
      </w:r>
      <w:r>
        <w:t>very</w:t>
      </w:r>
      <w:r w:rsidR="003C5D74" w:rsidRPr="00997786">
        <w:t xml:space="preserve"> importan</w:t>
      </w:r>
      <w:r>
        <w:t>t</w:t>
      </w:r>
      <w:r w:rsidR="003C5D74" w:rsidRPr="00997786">
        <w:t xml:space="preserve"> </w:t>
      </w:r>
      <w:r>
        <w:t xml:space="preserve">in </w:t>
      </w:r>
      <w:r w:rsidR="003C5D74" w:rsidRPr="00997786">
        <w:t>imaging</w:t>
      </w:r>
      <w:r>
        <w:t>,</w:t>
      </w:r>
      <w:r w:rsidR="003C5D74" w:rsidRPr="00997786">
        <w:t xml:space="preserve"> </w:t>
      </w:r>
      <w:r w:rsidRPr="00BE2644">
        <w:t>because</w:t>
      </w:r>
      <w:r w:rsidRPr="00997786">
        <w:t xml:space="preserve"> </w:t>
      </w:r>
      <w:r>
        <w:t xml:space="preserve">a </w:t>
      </w:r>
      <w:r w:rsidR="003C5D74" w:rsidRPr="00997786">
        <w:t>high concentration of antibodies reduce</w:t>
      </w:r>
      <w:r>
        <w:t>s</w:t>
      </w:r>
      <w:r w:rsidR="003C5D74" w:rsidRPr="00997786">
        <w:t xml:space="preserve"> the signal-to-background ratio and </w:t>
      </w:r>
      <w:r>
        <w:t xml:space="preserve">a </w:t>
      </w:r>
      <w:r w:rsidR="003C5D74" w:rsidRPr="00997786">
        <w:t xml:space="preserve">low concentration may not provide </w:t>
      </w:r>
      <w:proofErr w:type="gramStart"/>
      <w:r w:rsidR="003C5D74" w:rsidRPr="00997786">
        <w:t>sufficient</w:t>
      </w:r>
      <w:proofErr w:type="gramEnd"/>
      <w:r w:rsidR="003C5D74" w:rsidRPr="00997786">
        <w:t xml:space="preserve"> signal. Here, we used a dilution of 1:400 for both primary antibodies and second</w:t>
      </w:r>
      <w:r w:rsidR="003C5D74" w:rsidRPr="00997786">
        <w:rPr>
          <w:lang w:eastAsia="zh-CN"/>
        </w:rPr>
        <w:t xml:space="preserve"> </w:t>
      </w:r>
      <w:r w:rsidR="003C5D74" w:rsidRPr="00997786">
        <w:t xml:space="preserve">antibodies. These antibodies should be divided into small aliquots and kept </w:t>
      </w:r>
      <w:r>
        <w:t>at</w:t>
      </w:r>
      <w:r w:rsidRPr="00997786">
        <w:t xml:space="preserve"> </w:t>
      </w:r>
      <w:r w:rsidR="003C5D74" w:rsidRPr="00997786">
        <w:t xml:space="preserve">-20 </w:t>
      </w:r>
      <w:r w:rsidR="003C5D74" w:rsidRPr="00997786">
        <w:rPr>
          <w:bCs/>
        </w:rPr>
        <w:t>°C</w:t>
      </w:r>
      <w:r w:rsidR="003C5D74" w:rsidRPr="00997786">
        <w:rPr>
          <w:lang w:eastAsia="zh-CN"/>
        </w:rPr>
        <w:t xml:space="preserve"> </w:t>
      </w:r>
      <w:r w:rsidR="003C5D74" w:rsidRPr="00997786">
        <w:t xml:space="preserve">to avoid repeated freezing and thawing. The antibody dilutions should be prepared right before use. When the protocol described here is used to </w:t>
      </w:r>
      <w:r w:rsidR="00755FB3">
        <w:t>colocalize</w:t>
      </w:r>
      <w:r w:rsidR="003C5D74" w:rsidRPr="00997786">
        <w:t xml:space="preserve"> viral and whitefly proteins, it is important that </w:t>
      </w:r>
      <w:r>
        <w:t xml:space="preserve">the </w:t>
      </w:r>
      <w:r w:rsidR="003C5D74" w:rsidRPr="00997786">
        <w:t>primary antibodies against viral and whitefly protein</w:t>
      </w:r>
      <w:r>
        <w:t>s</w:t>
      </w:r>
      <w:r w:rsidR="003C5D74" w:rsidRPr="00997786">
        <w:t xml:space="preserve"> are produced in animals of different species. Additionally, the fluorophores of </w:t>
      </w:r>
      <w:r>
        <w:t xml:space="preserve">the </w:t>
      </w:r>
      <w:r w:rsidR="003C5D74" w:rsidRPr="00997786">
        <w:t>secondary antibodies should be chosen carefully to prevent bleed</w:t>
      </w:r>
      <w:r>
        <w:t>-</w:t>
      </w:r>
      <w:r w:rsidR="003C5D74" w:rsidRPr="00997786">
        <w:t xml:space="preserve">through between channels. Furthermore, in view of the small size of whitefly tissues, they should always be washed under the microscope to avoid loss. </w:t>
      </w:r>
      <w:r w:rsidR="003C5D74" w:rsidRPr="00997786">
        <w:rPr>
          <w:lang w:eastAsia="zh-CN"/>
        </w:rPr>
        <w:t>Although</w:t>
      </w:r>
      <w:r w:rsidR="003C5D74" w:rsidRPr="00997786">
        <w:t xml:space="preserve"> immunofluorescence is highly sensitive, it is relatively more time-consuming and costly when compared to other virus location methods such as Fluorescence in situ Hybridizations (FISH). In addition, antibodies against </w:t>
      </w:r>
      <w:proofErr w:type="spellStart"/>
      <w:r w:rsidR="003C5D74" w:rsidRPr="00997786">
        <w:t>begomovir</w:t>
      </w:r>
      <w:r>
        <w:t>u</w:t>
      </w:r>
      <w:r w:rsidR="003C5D74" w:rsidRPr="00997786">
        <w:t>ses</w:t>
      </w:r>
      <w:proofErr w:type="spellEnd"/>
      <w:r w:rsidR="003C5D74" w:rsidRPr="00997786">
        <w:t xml:space="preserve"> may not be available </w:t>
      </w:r>
      <w:r>
        <w:t>for purchase</w:t>
      </w:r>
      <w:r w:rsidR="003C5D74" w:rsidRPr="00997786">
        <w:t>.</w:t>
      </w:r>
    </w:p>
    <w:p w14:paraId="10242EA6" w14:textId="77777777" w:rsidR="002814DF" w:rsidRPr="00997786" w:rsidRDefault="002814DF" w:rsidP="008E4526"/>
    <w:p w14:paraId="01E508D7" w14:textId="207521E2" w:rsidR="003C5D74" w:rsidRDefault="003C5D74" w:rsidP="008E4526">
      <w:pPr>
        <w:pStyle w:val="jovecontent"/>
        <w:spacing w:before="0" w:beforeAutospacing="0" w:after="0" w:afterAutospacing="0"/>
        <w:jc w:val="both"/>
        <w:rPr>
          <w:rFonts w:ascii="Calibri" w:hAnsi="Calibri" w:cs="Calibri"/>
          <w:bCs/>
        </w:rPr>
      </w:pPr>
      <w:r w:rsidRPr="00997786">
        <w:rPr>
          <w:rFonts w:ascii="Calibri" w:hAnsi="Calibri" w:cs="Calibri"/>
          <w:bCs/>
        </w:rPr>
        <w:t xml:space="preserve">The key to the successful application of qPCR for the quantification of </w:t>
      </w:r>
      <w:r w:rsidR="00722A39">
        <w:rPr>
          <w:rFonts w:ascii="Calibri" w:hAnsi="Calibri" w:cs="Calibri"/>
          <w:bCs/>
        </w:rPr>
        <w:t xml:space="preserve">the </w:t>
      </w:r>
      <w:r w:rsidRPr="00997786">
        <w:rPr>
          <w:rFonts w:ascii="Calibri" w:hAnsi="Calibri" w:cs="Calibri"/>
          <w:bCs/>
        </w:rPr>
        <w:t xml:space="preserve">virus in whitefly tissues lies in the design of suitable primers and selection of endogenous reference genes. Rodríguez </w:t>
      </w:r>
      <w:r w:rsidRPr="002814DF">
        <w:rPr>
          <w:rFonts w:ascii="Calibri" w:hAnsi="Calibri" w:cs="Calibri"/>
          <w:bCs/>
        </w:rPr>
        <w:t>et al.</w:t>
      </w:r>
      <w:r w:rsidR="002C0918">
        <w:rPr>
          <w:rFonts w:ascii="Calibri" w:hAnsi="Calibri" w:cs="Calibri"/>
          <w:bCs/>
        </w:rPr>
        <w:t xml:space="preserve"> </w:t>
      </w:r>
      <w:r w:rsidRPr="00997786">
        <w:rPr>
          <w:rFonts w:ascii="Calibri" w:hAnsi="Calibri" w:cs="Calibri"/>
          <w:bCs/>
        </w:rPr>
        <w:t>described the criteria for designing qPCR primers in detail</w:t>
      </w:r>
      <w:r w:rsidRPr="00997786">
        <w:rPr>
          <w:rFonts w:ascii="Calibri" w:hAnsi="Calibri" w:cs="Calibri"/>
          <w:bCs/>
          <w:noProof/>
          <w:vertAlign w:val="superscript"/>
        </w:rPr>
        <w:t>25</w:t>
      </w:r>
      <w:r w:rsidRPr="00997786">
        <w:rPr>
          <w:rFonts w:ascii="Calibri" w:hAnsi="Calibri" w:cs="Calibri"/>
          <w:bCs/>
        </w:rPr>
        <w:t xml:space="preserve">, which also applies in the design of virus primers. In this study, </w:t>
      </w:r>
      <w:r w:rsidRPr="00997786">
        <w:rPr>
          <w:rFonts w:ascii="Symbol" w:hAnsi="Symbol" w:cstheme="minorHAnsi"/>
          <w:i/>
        </w:rPr>
        <w:t></w:t>
      </w:r>
      <w:r w:rsidRPr="00997786">
        <w:rPr>
          <w:rFonts w:ascii="Calibri" w:hAnsi="Calibri" w:cs="Calibri"/>
          <w:i/>
          <w:iCs/>
        </w:rPr>
        <w:t>-</w:t>
      </w:r>
      <w:r w:rsidRPr="00997786">
        <w:rPr>
          <w:rFonts w:ascii="Calibri" w:hAnsi="Calibri" w:cs="Calibri"/>
          <w:bCs/>
        </w:rPr>
        <w:t xml:space="preserve">actin was selected </w:t>
      </w:r>
      <w:r w:rsidR="000D3640">
        <w:rPr>
          <w:rFonts w:ascii="Calibri" w:hAnsi="Calibri" w:cs="Calibri"/>
          <w:bCs/>
        </w:rPr>
        <w:t xml:space="preserve">as the </w:t>
      </w:r>
      <w:r w:rsidR="000D3640" w:rsidRPr="00997786">
        <w:rPr>
          <w:rFonts w:ascii="Calibri" w:hAnsi="Calibri" w:cs="Calibri"/>
          <w:bCs/>
        </w:rPr>
        <w:t xml:space="preserve">reference gene </w:t>
      </w:r>
      <w:r w:rsidRPr="00997786">
        <w:rPr>
          <w:rFonts w:ascii="Calibri" w:hAnsi="Calibri" w:cs="Calibri"/>
          <w:bCs/>
        </w:rPr>
        <w:t>for virus quantification in whitefly tissues. However, in some cases</w:t>
      </w:r>
      <w:r w:rsidR="000D3640">
        <w:rPr>
          <w:rFonts w:ascii="Calibri" w:hAnsi="Calibri" w:cs="Calibri"/>
          <w:bCs/>
        </w:rPr>
        <w:t xml:space="preserve"> (e.g., RNA genes)</w:t>
      </w:r>
      <w:r w:rsidRPr="00997786">
        <w:rPr>
          <w:rFonts w:ascii="Calibri" w:hAnsi="Calibri" w:cs="Calibri"/>
          <w:bCs/>
        </w:rPr>
        <w:t xml:space="preserve">, other </w:t>
      </w:r>
      <w:r w:rsidR="000D3640">
        <w:rPr>
          <w:rFonts w:ascii="Calibri" w:hAnsi="Calibri" w:cs="Calibri"/>
          <w:bCs/>
        </w:rPr>
        <w:t xml:space="preserve">endogenous </w:t>
      </w:r>
      <w:r w:rsidRPr="00997786">
        <w:rPr>
          <w:rFonts w:ascii="Calibri" w:hAnsi="Calibri" w:cs="Calibri"/>
          <w:bCs/>
        </w:rPr>
        <w:t xml:space="preserve">genes </w:t>
      </w:r>
      <w:r w:rsidR="000D3640">
        <w:rPr>
          <w:rFonts w:ascii="Calibri" w:hAnsi="Calibri" w:cs="Calibri"/>
          <w:bCs/>
        </w:rPr>
        <w:t xml:space="preserve">should </w:t>
      </w:r>
      <w:r w:rsidRPr="00997786">
        <w:rPr>
          <w:rFonts w:ascii="Calibri" w:hAnsi="Calibri" w:cs="Calibri"/>
          <w:bCs/>
        </w:rPr>
        <w:t>be used as reference genes if they are suitable for the experimental design</w:t>
      </w:r>
      <w:r w:rsidRPr="00997786">
        <w:rPr>
          <w:rFonts w:ascii="Calibri" w:hAnsi="Calibri" w:cs="Calibri"/>
          <w:bCs/>
          <w:noProof/>
          <w:vertAlign w:val="superscript"/>
        </w:rPr>
        <w:t>29</w:t>
      </w:r>
      <w:r w:rsidRPr="00997786">
        <w:rPr>
          <w:rFonts w:ascii="Calibri" w:hAnsi="Calibri" w:cs="Calibri"/>
          <w:bCs/>
        </w:rPr>
        <w:t xml:space="preserve">. </w:t>
      </w:r>
      <w:r w:rsidR="00722A39">
        <w:rPr>
          <w:rFonts w:ascii="Calibri" w:hAnsi="Calibri" w:cs="Calibri"/>
          <w:bCs/>
        </w:rPr>
        <w:t>Also</w:t>
      </w:r>
      <w:r w:rsidRPr="00997786">
        <w:rPr>
          <w:rFonts w:ascii="Calibri" w:hAnsi="Calibri" w:cs="Calibri"/>
          <w:bCs/>
        </w:rPr>
        <w:t>, to obtain stable and accurate results, whiteflies of same developmental stage should be used</w:t>
      </w:r>
      <w:r w:rsidR="00722A39">
        <w:rPr>
          <w:rFonts w:ascii="Calibri" w:hAnsi="Calibri" w:cs="Calibri"/>
          <w:bCs/>
        </w:rPr>
        <w:t>,</w:t>
      </w:r>
      <w:r w:rsidRPr="00997786">
        <w:rPr>
          <w:rFonts w:ascii="Calibri" w:hAnsi="Calibri" w:cs="Calibri"/>
          <w:bCs/>
        </w:rPr>
        <w:t xml:space="preserve"> </w:t>
      </w:r>
      <w:r w:rsidR="00722A39" w:rsidRPr="00F54909">
        <w:rPr>
          <w:rFonts w:ascii="Calibri" w:hAnsi="Calibri" w:cs="Calibri"/>
          <w:bCs/>
        </w:rPr>
        <w:t>because</w:t>
      </w:r>
      <w:r w:rsidR="00722A39" w:rsidRPr="00997786">
        <w:rPr>
          <w:rFonts w:ascii="Calibri" w:hAnsi="Calibri" w:cs="Calibri"/>
          <w:bCs/>
        </w:rPr>
        <w:t xml:space="preserve"> </w:t>
      </w:r>
      <w:r w:rsidRPr="00997786">
        <w:rPr>
          <w:rFonts w:ascii="Calibri" w:hAnsi="Calibri" w:cs="Calibri"/>
          <w:bCs/>
        </w:rPr>
        <w:t>whiteflies of different developmental stages possess differential capabilit</w:t>
      </w:r>
      <w:r w:rsidR="00722A39">
        <w:rPr>
          <w:rFonts w:ascii="Calibri" w:hAnsi="Calibri" w:cs="Calibri"/>
          <w:bCs/>
        </w:rPr>
        <w:t>ies</w:t>
      </w:r>
      <w:r w:rsidRPr="00997786">
        <w:rPr>
          <w:rFonts w:ascii="Calibri" w:hAnsi="Calibri" w:cs="Calibri"/>
          <w:bCs/>
        </w:rPr>
        <w:t xml:space="preserve"> to acquire and transmit viruses</w:t>
      </w:r>
      <w:r w:rsidRPr="00997786">
        <w:rPr>
          <w:rFonts w:ascii="Calibri" w:hAnsi="Calibri" w:cs="Calibri"/>
          <w:bCs/>
          <w:noProof/>
          <w:vertAlign w:val="superscript"/>
        </w:rPr>
        <w:t>22</w:t>
      </w:r>
      <w:r w:rsidRPr="00997786">
        <w:rPr>
          <w:rFonts w:ascii="Calibri" w:hAnsi="Calibri" w:cs="Calibri"/>
          <w:bCs/>
        </w:rPr>
        <w:t xml:space="preserve">. Moreover, while we used 20 PSGs or midguts as one sample, </w:t>
      </w:r>
      <w:r w:rsidR="00722A39">
        <w:rPr>
          <w:rFonts w:ascii="Calibri" w:hAnsi="Calibri" w:cs="Calibri"/>
          <w:bCs/>
        </w:rPr>
        <w:t xml:space="preserve">we used </w:t>
      </w:r>
      <w:r w:rsidR="00F054F4">
        <w:rPr>
          <w:rFonts w:ascii="Calibri" w:hAnsi="Calibri" w:cs="Calibri"/>
          <w:bCs/>
        </w:rPr>
        <w:t>a</w:t>
      </w:r>
      <w:r w:rsidR="00722A39">
        <w:rPr>
          <w:rFonts w:ascii="Calibri" w:hAnsi="Calibri" w:cs="Calibri"/>
          <w:bCs/>
        </w:rPr>
        <w:t xml:space="preserve"> </w:t>
      </w:r>
      <w:r w:rsidRPr="00997786">
        <w:rPr>
          <w:rFonts w:ascii="Calibri" w:hAnsi="Calibri" w:cs="Calibri"/>
          <w:bCs/>
        </w:rPr>
        <w:t xml:space="preserve">hemolymph collected from one whitefly as one sample for qPCR analysis. This is due to the fact that the collection of </w:t>
      </w:r>
      <w:r w:rsidR="00722A39">
        <w:rPr>
          <w:rFonts w:ascii="Calibri" w:hAnsi="Calibri" w:cs="Calibri"/>
          <w:bCs/>
        </w:rPr>
        <w:t xml:space="preserve">the </w:t>
      </w:r>
      <w:r w:rsidRPr="00997786">
        <w:rPr>
          <w:rFonts w:ascii="Calibri" w:hAnsi="Calibri" w:cs="Calibri"/>
          <w:bCs/>
        </w:rPr>
        <w:t xml:space="preserve">hemolymph is </w:t>
      </w:r>
      <w:proofErr w:type="gramStart"/>
      <w:r w:rsidRPr="00997786">
        <w:rPr>
          <w:rFonts w:ascii="Calibri" w:hAnsi="Calibri" w:cs="Calibri"/>
          <w:bCs/>
        </w:rPr>
        <w:t>time-consuming</w:t>
      </w:r>
      <w:proofErr w:type="gramEnd"/>
      <w:r w:rsidRPr="00997786">
        <w:rPr>
          <w:rFonts w:ascii="Calibri" w:hAnsi="Calibri" w:cs="Calibri"/>
          <w:bCs/>
        </w:rPr>
        <w:t xml:space="preserve"> and the DNA of </w:t>
      </w:r>
      <w:r w:rsidR="00722A39">
        <w:rPr>
          <w:rFonts w:ascii="Calibri" w:hAnsi="Calibri" w:cs="Calibri"/>
          <w:bCs/>
        </w:rPr>
        <w:t xml:space="preserve">the </w:t>
      </w:r>
      <w:r w:rsidRPr="00997786">
        <w:rPr>
          <w:rFonts w:ascii="Calibri" w:hAnsi="Calibri" w:cs="Calibri"/>
          <w:bCs/>
        </w:rPr>
        <w:t xml:space="preserve">hemolymph samples is vulnerable to degradation if not processed in a timely manner. This protocol can also be used to quantify the amount of virus in whitefly whole body and virus-infected plants. </w:t>
      </w:r>
    </w:p>
    <w:p w14:paraId="10E0C20E" w14:textId="77777777" w:rsidR="00D25D72" w:rsidRPr="00997786" w:rsidRDefault="00D25D72" w:rsidP="008E4526">
      <w:pPr>
        <w:pStyle w:val="jovecontent"/>
        <w:spacing w:before="0" w:beforeAutospacing="0" w:after="0" w:afterAutospacing="0"/>
        <w:jc w:val="both"/>
        <w:rPr>
          <w:rFonts w:ascii="Calibri" w:hAnsi="Calibri" w:cs="Calibri"/>
          <w:bCs/>
        </w:rPr>
      </w:pPr>
    </w:p>
    <w:p w14:paraId="4A90C891" w14:textId="48A1B132" w:rsidR="003C5D74" w:rsidRDefault="003C5D74" w:rsidP="008E4526">
      <w:pPr>
        <w:pStyle w:val="jovecontent"/>
        <w:spacing w:before="0" w:beforeAutospacing="0" w:after="0" w:afterAutospacing="0"/>
        <w:jc w:val="both"/>
        <w:rPr>
          <w:rFonts w:ascii="Calibri" w:eastAsia="Times New Roman" w:hAnsi="Calibri" w:cs="Calibri"/>
        </w:rPr>
      </w:pPr>
      <w:r w:rsidRPr="00997786">
        <w:rPr>
          <w:rFonts w:ascii="Calibri" w:hAnsi="Calibri" w:cs="Calibri"/>
        </w:rPr>
        <w:t xml:space="preserve">In summary, we describe an efficient and sensitive protocol to localize and quantify </w:t>
      </w:r>
      <w:proofErr w:type="spellStart"/>
      <w:r w:rsidRPr="00997786">
        <w:rPr>
          <w:rFonts w:ascii="Calibri" w:hAnsi="Calibri" w:cs="Calibri"/>
        </w:rPr>
        <w:t>begomoviruses</w:t>
      </w:r>
      <w:proofErr w:type="spellEnd"/>
      <w:r w:rsidRPr="00997786">
        <w:rPr>
          <w:rFonts w:ascii="Calibri" w:hAnsi="Calibri" w:cs="Calibri"/>
        </w:rPr>
        <w:t xml:space="preserve"> in whitefly tissues by immunofluorescence and qPCR, respectively. This protocol can also be </w:t>
      </w:r>
      <w:r w:rsidRPr="00997786">
        <w:rPr>
          <w:rFonts w:ascii="Calibri" w:eastAsia="Times New Roman" w:hAnsi="Calibri" w:cs="Calibri"/>
        </w:rPr>
        <w:t xml:space="preserve">adapted for the localization and quantification of other </w:t>
      </w:r>
      <w:proofErr w:type="spellStart"/>
      <w:r w:rsidRPr="00997786">
        <w:rPr>
          <w:rFonts w:ascii="Calibri" w:eastAsia="Times New Roman" w:hAnsi="Calibri" w:cs="Calibri"/>
        </w:rPr>
        <w:t>begomoviruses</w:t>
      </w:r>
      <w:proofErr w:type="spellEnd"/>
      <w:r w:rsidRPr="00997786">
        <w:rPr>
          <w:rFonts w:ascii="Calibri" w:eastAsia="Times New Roman" w:hAnsi="Calibri" w:cs="Calibri"/>
        </w:rPr>
        <w:t xml:space="preserve">. Furthermore, the protocol of </w:t>
      </w:r>
      <w:r w:rsidRPr="00997786">
        <w:rPr>
          <w:rFonts w:ascii="Calibri" w:hAnsi="Calibri" w:cs="Calibri"/>
        </w:rPr>
        <w:t>immunofluorescence</w:t>
      </w:r>
      <w:r w:rsidRPr="00997786">
        <w:rPr>
          <w:rFonts w:ascii="Calibri" w:eastAsia="Times New Roman" w:hAnsi="Calibri" w:cs="Calibri"/>
        </w:rPr>
        <w:t xml:space="preserve"> can be used to </w:t>
      </w:r>
      <w:r w:rsidR="00755FB3">
        <w:rPr>
          <w:rFonts w:ascii="Calibri" w:eastAsia="Times New Roman" w:hAnsi="Calibri" w:cs="Calibri"/>
        </w:rPr>
        <w:t>colocalize</w:t>
      </w:r>
      <w:r w:rsidRPr="00997786">
        <w:rPr>
          <w:rFonts w:ascii="Calibri" w:eastAsia="Times New Roman" w:hAnsi="Calibri" w:cs="Calibri"/>
        </w:rPr>
        <w:t xml:space="preserve"> viral and whitefly protein</w:t>
      </w:r>
      <w:r w:rsidR="00F054F4">
        <w:rPr>
          <w:rFonts w:ascii="Calibri" w:eastAsia="Times New Roman" w:hAnsi="Calibri" w:cs="Calibri"/>
        </w:rPr>
        <w:t>s</w:t>
      </w:r>
      <w:r w:rsidRPr="00997786">
        <w:rPr>
          <w:rFonts w:ascii="Calibri" w:eastAsia="Times New Roman" w:hAnsi="Calibri" w:cs="Calibri"/>
        </w:rPr>
        <w:t>.</w:t>
      </w:r>
    </w:p>
    <w:p w14:paraId="7E70B2A3" w14:textId="77777777" w:rsidR="00D25D72" w:rsidRPr="00997786" w:rsidRDefault="00D25D72" w:rsidP="008E4526">
      <w:pPr>
        <w:pStyle w:val="jovecontent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F6B3FD1" w14:textId="77777777" w:rsidR="003C5D74" w:rsidRPr="00997786" w:rsidRDefault="003C5D74" w:rsidP="008E4526">
      <w:pPr>
        <w:pStyle w:val="NormalWeb"/>
        <w:spacing w:before="0" w:beforeAutospacing="0" w:after="0" w:afterAutospacing="0"/>
        <w:rPr>
          <w:color w:val="808080"/>
        </w:rPr>
      </w:pPr>
      <w:r w:rsidRPr="00997786">
        <w:rPr>
          <w:b/>
          <w:bCs/>
        </w:rPr>
        <w:t>ACKNOWLEDGMENTS:</w:t>
      </w:r>
    </w:p>
    <w:p w14:paraId="407BF6F0" w14:textId="77777777" w:rsidR="003C5D74" w:rsidRPr="00997786" w:rsidRDefault="003C5D74" w:rsidP="008E4526">
      <w:pPr>
        <w:rPr>
          <w:bCs/>
        </w:rPr>
      </w:pPr>
      <w:r w:rsidRPr="00997786">
        <w:rPr>
          <w:bCs/>
        </w:rPr>
        <w:t xml:space="preserve">This work was supported by National Key Research and Development Program (Grant number: 2017YFD0200600), the earmarked fund for China Agriculture Research System (grant number: CARS-23-D07) and the Bill &amp; Melinda Gates Foundation (Investment ID OPP1149777). </w:t>
      </w:r>
      <w:r w:rsidRPr="00997786">
        <w:t>We thank Prof. Jian-Xiang Wu for providing TYLCV CP antibodies.</w:t>
      </w:r>
    </w:p>
    <w:p w14:paraId="101C0E55" w14:textId="77777777" w:rsidR="00D25D72" w:rsidRDefault="00D25D72" w:rsidP="008E4526">
      <w:pPr>
        <w:pStyle w:val="NormalWeb"/>
        <w:spacing w:before="0" w:beforeAutospacing="0" w:after="0" w:afterAutospacing="0"/>
        <w:rPr>
          <w:b/>
        </w:rPr>
      </w:pPr>
    </w:p>
    <w:p w14:paraId="6EBD3000" w14:textId="64579C82" w:rsidR="003C5D74" w:rsidRPr="00997786" w:rsidRDefault="003C5D74" w:rsidP="008E4526">
      <w:pPr>
        <w:pStyle w:val="NormalWeb"/>
        <w:spacing w:before="0" w:beforeAutospacing="0" w:after="0" w:afterAutospacing="0"/>
        <w:rPr>
          <w:color w:val="808080"/>
        </w:rPr>
      </w:pPr>
      <w:r w:rsidRPr="00997786">
        <w:rPr>
          <w:b/>
        </w:rPr>
        <w:t>DISCLOSURES</w:t>
      </w:r>
      <w:r w:rsidRPr="00997786">
        <w:rPr>
          <w:b/>
          <w:bCs/>
        </w:rPr>
        <w:t>:</w:t>
      </w:r>
    </w:p>
    <w:p w14:paraId="6AE74F88" w14:textId="77777777" w:rsidR="003C5D74" w:rsidRPr="00997786" w:rsidRDefault="003C5D74" w:rsidP="008E4526">
      <w:r w:rsidRPr="00997786">
        <w:rPr>
          <w:rStyle w:val="fontstyle01"/>
          <w:rFonts w:ascii="Calibri" w:hAnsi="Calibri"/>
          <w:sz w:val="24"/>
          <w:szCs w:val="24"/>
        </w:rPr>
        <w:t>The authors have nothing to disclose.</w:t>
      </w:r>
    </w:p>
    <w:bookmarkEnd w:id="0"/>
    <w:p w14:paraId="264DE678" w14:textId="77777777" w:rsidR="00D25D72" w:rsidRDefault="00D25D72" w:rsidP="008E4526">
      <w:pPr>
        <w:rPr>
          <w:b/>
          <w:bCs/>
        </w:rPr>
      </w:pPr>
    </w:p>
    <w:p w14:paraId="46E30506" w14:textId="574FAA87" w:rsidR="003C5D74" w:rsidRPr="00997786" w:rsidRDefault="003C5D74" w:rsidP="008E4526">
      <w:pPr>
        <w:rPr>
          <w:b/>
          <w:color w:val="000000" w:themeColor="text1"/>
        </w:rPr>
      </w:pPr>
      <w:r w:rsidRPr="00997786">
        <w:rPr>
          <w:b/>
          <w:bCs/>
        </w:rPr>
        <w:t>REFERENCES:</w:t>
      </w:r>
      <w:r w:rsidRPr="00997786">
        <w:t xml:space="preserve"> </w:t>
      </w:r>
    </w:p>
    <w:p w14:paraId="0E449152" w14:textId="251B7564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Rojas, M. R.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World management of geminiviruses. </w:t>
      </w:r>
      <w:r w:rsidRPr="00997786">
        <w:rPr>
          <w:i/>
        </w:rPr>
        <w:t>Annual Review of Phytopathology.</w:t>
      </w:r>
      <w:r w:rsidRPr="00997786">
        <w:t xml:space="preserve"> </w:t>
      </w:r>
      <w:r w:rsidRPr="00997786">
        <w:rPr>
          <w:b/>
        </w:rPr>
        <w:t>56</w:t>
      </w:r>
      <w:r w:rsidR="002814DF" w:rsidRPr="003170D7">
        <w:t>,</w:t>
      </w:r>
      <w:r w:rsidRPr="00997786">
        <w:t xml:space="preserve"> 637</w:t>
      </w:r>
      <w:r w:rsidR="00387B1E">
        <w:t>–</w:t>
      </w:r>
      <w:r w:rsidRPr="00997786">
        <w:t>677 (2018).</w:t>
      </w:r>
    </w:p>
    <w:p w14:paraId="7787BDF8" w14:textId="46C496BC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De Barro, P. J., Liu, S. S., Boykin, L. M.</w:t>
      </w:r>
      <w:r w:rsidR="002814DF">
        <w:t xml:space="preserve">, </w:t>
      </w:r>
      <w:r w:rsidRPr="00997786">
        <w:t xml:space="preserve">Dinsdale, A. B. </w:t>
      </w:r>
      <w:r w:rsidRPr="00997786">
        <w:rPr>
          <w:i/>
        </w:rPr>
        <w:t>Bemisia tabaci</w:t>
      </w:r>
      <w:r w:rsidRPr="00997786">
        <w:t xml:space="preserve">: a statement of species status. </w:t>
      </w:r>
      <w:r w:rsidR="007C7992">
        <w:rPr>
          <w:i/>
        </w:rPr>
        <w:t>Annual Review o</w:t>
      </w:r>
      <w:r w:rsidRPr="00997786">
        <w:rPr>
          <w:i/>
        </w:rPr>
        <w:t>f Entomology.</w:t>
      </w:r>
      <w:r w:rsidRPr="00997786">
        <w:t xml:space="preserve"> </w:t>
      </w:r>
      <w:r w:rsidRPr="00997786">
        <w:rPr>
          <w:b/>
        </w:rPr>
        <w:t>56</w:t>
      </w:r>
      <w:r w:rsidR="002814DF" w:rsidRPr="003170D7">
        <w:t>,</w:t>
      </w:r>
      <w:r w:rsidRPr="00997786">
        <w:t xml:space="preserve"> 1</w:t>
      </w:r>
      <w:r w:rsidR="00387B1E">
        <w:t>–</w:t>
      </w:r>
      <w:r w:rsidRPr="00997786">
        <w:t>19</w:t>
      </w:r>
      <w:r w:rsidR="002814DF">
        <w:t xml:space="preserve"> </w:t>
      </w:r>
      <w:r w:rsidRPr="00997786">
        <w:t>(2011).</w:t>
      </w:r>
    </w:p>
    <w:p w14:paraId="2D8FC25D" w14:textId="2EA1511E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Navas-Castillo, J., Fiallo-Olive, E.</w:t>
      </w:r>
      <w:r w:rsidR="002814DF">
        <w:t xml:space="preserve">, </w:t>
      </w:r>
      <w:r w:rsidRPr="00997786">
        <w:t xml:space="preserve">Sanchez-Campos, S. Emerging virus diseases transmitted by whiteflies. </w:t>
      </w:r>
      <w:r w:rsidRPr="00997786">
        <w:rPr>
          <w:i/>
        </w:rPr>
        <w:t>Annual Review of Phytopathology.</w:t>
      </w:r>
      <w:r w:rsidRPr="00997786">
        <w:t xml:space="preserve"> </w:t>
      </w:r>
      <w:r w:rsidRPr="00997786">
        <w:rPr>
          <w:b/>
        </w:rPr>
        <w:t>49</w:t>
      </w:r>
      <w:r w:rsidR="002814DF" w:rsidRPr="003170D7">
        <w:t>,</w:t>
      </w:r>
      <w:r w:rsidRPr="00997786">
        <w:t xml:space="preserve"> 219</w:t>
      </w:r>
      <w:r w:rsidR="00387B1E">
        <w:t>–</w:t>
      </w:r>
      <w:r w:rsidRPr="00997786">
        <w:t>248 (2011).</w:t>
      </w:r>
    </w:p>
    <w:p w14:paraId="7F203995" w14:textId="27E4B65E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Liu, J.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Viral infection of tobacco plants improves performance of Bemisia tabaci but more so for an invasive than for an indigenous biotype of the whitefly. </w:t>
      </w:r>
      <w:r w:rsidRPr="00997786">
        <w:rPr>
          <w:i/>
        </w:rPr>
        <w:t>Journal of Zhejiang University-Science B.</w:t>
      </w:r>
      <w:r w:rsidRPr="00997786">
        <w:t xml:space="preserve"> </w:t>
      </w:r>
      <w:r w:rsidRPr="00997786">
        <w:rPr>
          <w:b/>
        </w:rPr>
        <w:t>11</w:t>
      </w:r>
      <w:r w:rsidRPr="00997786">
        <w:t xml:space="preserve"> (1), 30</w:t>
      </w:r>
      <w:r w:rsidR="00387B1E">
        <w:t>–</w:t>
      </w:r>
      <w:r w:rsidRPr="00997786">
        <w:t>40 (2010).</w:t>
      </w:r>
    </w:p>
    <w:p w14:paraId="124DF421" w14:textId="0C35084C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Legarrea, S., Barman, A., Marchant, W., Diffie, S.</w:t>
      </w:r>
      <w:r w:rsidR="002814DF">
        <w:t>,</w:t>
      </w:r>
      <w:r w:rsidRPr="00997786">
        <w:t xml:space="preserve"> Srinivasan, R. Temporal effects of a begomovirus infection and host plant resistance on the preference and development of an insect vector, </w:t>
      </w:r>
      <w:r w:rsidRPr="00997786">
        <w:rPr>
          <w:i/>
        </w:rPr>
        <w:t>Bemisia tabaci</w:t>
      </w:r>
      <w:r w:rsidRPr="00997786">
        <w:t xml:space="preserve">, and implications for epidemics. </w:t>
      </w:r>
      <w:r w:rsidRPr="00997786">
        <w:rPr>
          <w:i/>
        </w:rPr>
        <w:t>PLoS One.</w:t>
      </w:r>
      <w:r w:rsidRPr="00997786">
        <w:t xml:space="preserve"> </w:t>
      </w:r>
      <w:r w:rsidRPr="00997786">
        <w:rPr>
          <w:b/>
        </w:rPr>
        <w:t>10</w:t>
      </w:r>
      <w:r w:rsidRPr="00997786">
        <w:t xml:space="preserve"> (11), e0142114 (2015).</w:t>
      </w:r>
    </w:p>
    <w:p w14:paraId="539B5826" w14:textId="698BFE69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Fang, Y.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Tomato yellow leaf curl virus alters the host preferences of its vector </w:t>
      </w:r>
      <w:r w:rsidRPr="00997786">
        <w:rPr>
          <w:i/>
        </w:rPr>
        <w:t>Bemisia tabaci</w:t>
      </w:r>
      <w:r w:rsidRPr="00997786">
        <w:t xml:space="preserve">. </w:t>
      </w:r>
      <w:r w:rsidRPr="00997786">
        <w:rPr>
          <w:i/>
        </w:rPr>
        <w:t>Scientific Reports.</w:t>
      </w:r>
      <w:r w:rsidRPr="00997786">
        <w:t xml:space="preserve"> </w:t>
      </w:r>
      <w:r w:rsidRPr="00997786">
        <w:rPr>
          <w:b/>
        </w:rPr>
        <w:t>3</w:t>
      </w:r>
      <w:r w:rsidR="002814DF" w:rsidRPr="003170D7">
        <w:t>,</w:t>
      </w:r>
      <w:r w:rsidRPr="00997786">
        <w:t xml:space="preserve"> 2876 (2013).</w:t>
      </w:r>
    </w:p>
    <w:p w14:paraId="0991928F" w14:textId="3AABE1D4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Guo, T.</w:t>
      </w:r>
      <w:r w:rsidRPr="00997786">
        <w:rPr>
          <w:i/>
        </w:rPr>
        <w:t xml:space="preserve"> </w:t>
      </w:r>
      <w:r w:rsidRPr="002814DF">
        <w:rPr>
          <w:iCs/>
        </w:rPr>
        <w:t>et al. Comparison</w:t>
      </w:r>
      <w:r w:rsidRPr="00997786">
        <w:t xml:space="preserve"> of transmission of papaya leaf curl China virus among four cryptic species of the whitefly </w:t>
      </w:r>
      <w:r w:rsidRPr="00997786">
        <w:rPr>
          <w:i/>
        </w:rPr>
        <w:t>Bemisia tabaci</w:t>
      </w:r>
      <w:r w:rsidRPr="00997786">
        <w:t xml:space="preserve"> complex. </w:t>
      </w:r>
      <w:r w:rsidRPr="00997786">
        <w:rPr>
          <w:i/>
        </w:rPr>
        <w:t>Scientific Reports.</w:t>
      </w:r>
      <w:r w:rsidRPr="00997786">
        <w:t xml:space="preserve"> </w:t>
      </w:r>
      <w:r w:rsidRPr="00997786">
        <w:rPr>
          <w:b/>
        </w:rPr>
        <w:t>5</w:t>
      </w:r>
      <w:r w:rsidR="002814DF" w:rsidRPr="003170D7">
        <w:t>,</w:t>
      </w:r>
      <w:r w:rsidRPr="00997786">
        <w:t xml:space="preserve"> 15432 (2015).</w:t>
      </w:r>
    </w:p>
    <w:p w14:paraId="30B028E1" w14:textId="6159D769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Pan, L</w:t>
      </w:r>
      <w:r w:rsidRPr="002814DF">
        <w:t>. L. et al. Differential</w:t>
      </w:r>
      <w:r w:rsidRPr="00997786">
        <w:t xml:space="preserve"> efficiency of a begomovirus to cross the midgut of different species of whiteflies results in variation of virus transmission by the vectors. </w:t>
      </w:r>
      <w:r w:rsidRPr="00997786">
        <w:rPr>
          <w:i/>
        </w:rPr>
        <w:t>Science China</w:t>
      </w:r>
      <w:r w:rsidR="00387B1E">
        <w:rPr>
          <w:i/>
        </w:rPr>
        <w:t>–</w:t>
      </w:r>
      <w:r w:rsidRPr="00997786">
        <w:rPr>
          <w:i/>
        </w:rPr>
        <w:t>Life Sciences.</w:t>
      </w:r>
      <w:r w:rsidRPr="00997786">
        <w:t xml:space="preserve"> </w:t>
      </w:r>
      <w:r w:rsidRPr="00997786">
        <w:rPr>
          <w:b/>
        </w:rPr>
        <w:t>61</w:t>
      </w:r>
      <w:r w:rsidRPr="00997786">
        <w:t xml:space="preserve"> (10), 1254</w:t>
      </w:r>
      <w:r w:rsidR="00387B1E">
        <w:t>–</w:t>
      </w:r>
      <w:r w:rsidRPr="00997786">
        <w:t>1265 (2018).</w:t>
      </w:r>
    </w:p>
    <w:p w14:paraId="711D0AAA" w14:textId="62BD59C3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Pan, L. L., Cui, X. Y., Chen, Q. F., Wang, X. W.</w:t>
      </w:r>
      <w:r w:rsidR="002814DF">
        <w:t>,</w:t>
      </w:r>
      <w:r w:rsidRPr="00997786">
        <w:t xml:space="preserve"> Liu, S. S. Cotton leaf curl disease: which whitefly is the vector? </w:t>
      </w:r>
      <w:r w:rsidRPr="00997786">
        <w:rPr>
          <w:i/>
        </w:rPr>
        <w:t>Phytopathology.</w:t>
      </w:r>
      <w:r w:rsidRPr="00997786">
        <w:t xml:space="preserve"> </w:t>
      </w:r>
      <w:r w:rsidRPr="00997786">
        <w:rPr>
          <w:b/>
        </w:rPr>
        <w:t>108</w:t>
      </w:r>
      <w:r w:rsidRPr="00997786">
        <w:t xml:space="preserve"> (10), 1172</w:t>
      </w:r>
      <w:r w:rsidR="00387B1E">
        <w:t>–</w:t>
      </w:r>
      <w:r w:rsidRPr="00997786">
        <w:t>1183 (2018).</w:t>
      </w:r>
    </w:p>
    <w:p w14:paraId="022F0E2D" w14:textId="15298A00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Fiallo-Olive, E., Pan, L. L., Liu, S. S.</w:t>
      </w:r>
      <w:r w:rsidR="002814DF">
        <w:t xml:space="preserve">, </w:t>
      </w:r>
      <w:r w:rsidRPr="00997786">
        <w:t xml:space="preserve">Navas-Castillo, J. Transmission of begomoviruses and other whitefly-borne viruses: dependence on the vector species. </w:t>
      </w:r>
      <w:r w:rsidRPr="00997786">
        <w:rPr>
          <w:i/>
        </w:rPr>
        <w:t>Phytopathology.</w:t>
      </w:r>
      <w:r w:rsidRPr="00997786">
        <w:t xml:space="preserve"> 10.1094/PHYTO-07-19-0273-FI</w:t>
      </w:r>
      <w:r w:rsidR="00387B1E">
        <w:t>,</w:t>
      </w:r>
      <w:r w:rsidRPr="00997786">
        <w:t xml:space="preserve"> </w:t>
      </w:r>
      <w:r w:rsidR="00387B1E">
        <w:rPr>
          <w:color w:val="auto"/>
        </w:rPr>
        <w:t>In Press</w:t>
      </w:r>
      <w:r w:rsidRPr="00997786">
        <w:t xml:space="preserve"> (2019).</w:t>
      </w:r>
    </w:p>
    <w:p w14:paraId="623F95E8" w14:textId="0FADDC6B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Cohen, S.</w:t>
      </w:r>
      <w:r w:rsidR="002814DF">
        <w:t>,</w:t>
      </w:r>
      <w:r w:rsidRPr="00997786">
        <w:t xml:space="preserve"> Nitzany, F. E. Transmission and host range of the tomato yellow leaf curl virus. </w:t>
      </w:r>
      <w:r w:rsidRPr="00997786">
        <w:rPr>
          <w:i/>
        </w:rPr>
        <w:t>Phytopathology.</w:t>
      </w:r>
      <w:r w:rsidRPr="00997786">
        <w:t xml:space="preserve"> </w:t>
      </w:r>
      <w:r w:rsidRPr="00997786">
        <w:rPr>
          <w:b/>
        </w:rPr>
        <w:t>56</w:t>
      </w:r>
      <w:r w:rsidR="002814DF" w:rsidRPr="003170D7">
        <w:t>,</w:t>
      </w:r>
      <w:r w:rsidRPr="00997786">
        <w:t xml:space="preserve"> 1127</w:t>
      </w:r>
      <w:r w:rsidR="00387B1E">
        <w:t>–</w:t>
      </w:r>
      <w:r w:rsidRPr="00997786">
        <w:t>1131 (1966).</w:t>
      </w:r>
    </w:p>
    <w:p w14:paraId="3C66E304" w14:textId="7852D621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Moriones, E</w:t>
      </w:r>
      <w:r w:rsidR="002814DF">
        <w:t>.,</w:t>
      </w:r>
      <w:r w:rsidRPr="00997786">
        <w:t xml:space="preserve"> Navas-Castillo, J. Tomato yellow leaf curl virus, an emerging virus complex causing epidemics worldwide. </w:t>
      </w:r>
      <w:r w:rsidRPr="00997786">
        <w:rPr>
          <w:i/>
        </w:rPr>
        <w:t>Virus Research.</w:t>
      </w:r>
      <w:r w:rsidRPr="00997786">
        <w:t xml:space="preserve"> </w:t>
      </w:r>
      <w:r w:rsidRPr="00997786">
        <w:rPr>
          <w:b/>
        </w:rPr>
        <w:t>71</w:t>
      </w:r>
      <w:r w:rsidRPr="00997786">
        <w:t xml:space="preserve"> (1</w:t>
      </w:r>
      <w:r w:rsidR="00387B1E">
        <w:t>–</w:t>
      </w:r>
      <w:r w:rsidRPr="00997786">
        <w:t>2), 123</w:t>
      </w:r>
      <w:r w:rsidR="00387B1E">
        <w:t>–</w:t>
      </w:r>
      <w:r w:rsidRPr="00997786">
        <w:t>134 (2000).</w:t>
      </w:r>
    </w:p>
    <w:p w14:paraId="521FD2FD" w14:textId="630096D4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Ghanim, M. A review of the mechanisms and components that determine the transmission efficiency of tomato yellow leaf curl virus (</w:t>
      </w:r>
      <w:r w:rsidRPr="00997786">
        <w:rPr>
          <w:i/>
        </w:rPr>
        <w:t>Geminiviridae</w:t>
      </w:r>
      <w:r w:rsidRPr="00997786">
        <w:t xml:space="preserve">; </w:t>
      </w:r>
      <w:r w:rsidRPr="00997786">
        <w:rPr>
          <w:i/>
        </w:rPr>
        <w:t>Begomovirus</w:t>
      </w:r>
      <w:r w:rsidRPr="00997786">
        <w:t xml:space="preserve">) by its </w:t>
      </w:r>
      <w:r w:rsidRPr="00997786">
        <w:lastRenderedPageBreak/>
        <w:t xml:space="preserve">whitefly vector. </w:t>
      </w:r>
      <w:r w:rsidRPr="00997786">
        <w:rPr>
          <w:i/>
        </w:rPr>
        <w:t>Virus Research.</w:t>
      </w:r>
      <w:r w:rsidRPr="00997786">
        <w:t xml:space="preserve"> </w:t>
      </w:r>
      <w:r w:rsidRPr="00997786">
        <w:rPr>
          <w:b/>
        </w:rPr>
        <w:t>186</w:t>
      </w:r>
      <w:r w:rsidR="002814DF" w:rsidRPr="003170D7">
        <w:t>,</w:t>
      </w:r>
      <w:r w:rsidRPr="00997786">
        <w:t xml:space="preserve"> 47</w:t>
      </w:r>
      <w:r w:rsidR="00387B1E">
        <w:t>–</w:t>
      </w:r>
      <w:r w:rsidRPr="00997786">
        <w:t>54 (2014).</w:t>
      </w:r>
    </w:p>
    <w:p w14:paraId="29EE1924" w14:textId="302FD688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Navot, N., Pichersky, E., Zeidan, M., Zamir, D.</w:t>
      </w:r>
      <w:r w:rsidR="002814DF">
        <w:t xml:space="preserve">, </w:t>
      </w:r>
      <w:r w:rsidRPr="00997786">
        <w:t xml:space="preserve">Czosnek, H. Tomato yellow leaf curl virus - a whitefly-transmitted geminivirus with a single genomic component. </w:t>
      </w:r>
      <w:r w:rsidRPr="00997786">
        <w:rPr>
          <w:i/>
        </w:rPr>
        <w:t>Virology.</w:t>
      </w:r>
      <w:r w:rsidRPr="00997786">
        <w:t xml:space="preserve"> </w:t>
      </w:r>
      <w:r w:rsidRPr="00997786">
        <w:rPr>
          <w:b/>
        </w:rPr>
        <w:t>185</w:t>
      </w:r>
      <w:r w:rsidRPr="00997786">
        <w:t xml:space="preserve"> (1), 151</w:t>
      </w:r>
      <w:r w:rsidR="00387B1E">
        <w:t>–</w:t>
      </w:r>
      <w:r w:rsidRPr="00997786">
        <w:t>161 (1991).</w:t>
      </w:r>
    </w:p>
    <w:p w14:paraId="2E473CC4" w14:textId="3645E4F1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Sanchez-Campos, S.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Tomato yellow leaf curl virus: No evidence for replication in the insect vector Bemisia tabaci. </w:t>
      </w:r>
      <w:r w:rsidRPr="00997786">
        <w:rPr>
          <w:i/>
        </w:rPr>
        <w:t>Scientific Reports.</w:t>
      </w:r>
      <w:r w:rsidRPr="00997786">
        <w:t xml:space="preserve"> </w:t>
      </w:r>
      <w:r w:rsidRPr="00997786">
        <w:rPr>
          <w:b/>
        </w:rPr>
        <w:t>6</w:t>
      </w:r>
      <w:r w:rsidR="002814DF" w:rsidRPr="002814DF">
        <w:rPr>
          <w:bCs/>
        </w:rPr>
        <w:t>,</w:t>
      </w:r>
      <w:r w:rsidRPr="00997786">
        <w:t xml:space="preserve"> 30942</w:t>
      </w:r>
      <w:r w:rsidR="002814DF">
        <w:t xml:space="preserve"> </w:t>
      </w:r>
      <w:r w:rsidRPr="00997786">
        <w:t>(2016).</w:t>
      </w:r>
    </w:p>
    <w:p w14:paraId="7DF2F800" w14:textId="103FA9F9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Pakkianathan, B. C</w:t>
      </w:r>
      <w:r w:rsidRPr="002814DF">
        <w:t>. et al</w:t>
      </w:r>
      <w:r w:rsidRPr="002814DF">
        <w:rPr>
          <w:iCs/>
        </w:rPr>
        <w:t xml:space="preserve">. </w:t>
      </w:r>
      <w:r w:rsidRPr="00997786">
        <w:t xml:space="preserve">Replication of tomato yellow leaf curl virus in its whitefly vector, </w:t>
      </w:r>
      <w:r w:rsidRPr="00997786">
        <w:rPr>
          <w:i/>
        </w:rPr>
        <w:t>Bemisia tabaci</w:t>
      </w:r>
      <w:r w:rsidRPr="00997786">
        <w:t xml:space="preserve">. </w:t>
      </w:r>
      <w:r w:rsidRPr="00997786">
        <w:rPr>
          <w:i/>
        </w:rPr>
        <w:t>Journal of Virology.</w:t>
      </w:r>
      <w:r w:rsidRPr="00997786">
        <w:t xml:space="preserve"> </w:t>
      </w:r>
      <w:r w:rsidRPr="00997786">
        <w:rPr>
          <w:b/>
        </w:rPr>
        <w:t>89</w:t>
      </w:r>
      <w:r w:rsidRPr="00997786">
        <w:t xml:space="preserve"> (19), 9791</w:t>
      </w:r>
      <w:r w:rsidR="00387B1E">
        <w:t>–</w:t>
      </w:r>
      <w:r w:rsidRPr="00997786">
        <w:t>9803 (2015).</w:t>
      </w:r>
    </w:p>
    <w:p w14:paraId="6D211F2B" w14:textId="75686AE1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Rodriguez-Negrete, E. A</w:t>
      </w:r>
      <w:r w:rsidRPr="002814DF">
        <w:t>. et al.</w:t>
      </w:r>
      <w:r w:rsidRPr="00997786">
        <w:t xml:space="preserve"> A sensitive method for the quantification of virion-sense and complementary-sense DNA strands of circular single-stranded DNA viruses. </w:t>
      </w:r>
      <w:r w:rsidRPr="00997786">
        <w:rPr>
          <w:i/>
        </w:rPr>
        <w:t>Scientific Reports.</w:t>
      </w:r>
      <w:r w:rsidRPr="00997786">
        <w:t xml:space="preserve"> </w:t>
      </w:r>
      <w:r w:rsidRPr="00997786">
        <w:rPr>
          <w:b/>
        </w:rPr>
        <w:t>4</w:t>
      </w:r>
      <w:r w:rsidR="002814DF" w:rsidRPr="002814DF">
        <w:rPr>
          <w:bCs/>
        </w:rPr>
        <w:t>,</w:t>
      </w:r>
      <w:r w:rsidRPr="00997786">
        <w:t xml:space="preserve"> 6438 (2014).</w:t>
      </w:r>
    </w:p>
    <w:p w14:paraId="2AB5A889" w14:textId="42BF24AF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Gotz, M.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Implication of </w:t>
      </w:r>
      <w:r w:rsidRPr="00997786">
        <w:rPr>
          <w:i/>
        </w:rPr>
        <w:t xml:space="preserve">Bemisia tabaci </w:t>
      </w:r>
      <w:r w:rsidRPr="00997786">
        <w:t xml:space="preserve">heat shock protein 70 in Begomovirus-whitefly interactions. </w:t>
      </w:r>
      <w:r w:rsidRPr="00997786">
        <w:rPr>
          <w:i/>
        </w:rPr>
        <w:t>Journal of Virology.</w:t>
      </w:r>
      <w:r w:rsidRPr="00997786">
        <w:t xml:space="preserve"> </w:t>
      </w:r>
      <w:r w:rsidRPr="00997786">
        <w:rPr>
          <w:b/>
        </w:rPr>
        <w:t>86</w:t>
      </w:r>
      <w:r w:rsidRPr="00997786">
        <w:t xml:space="preserve"> (24), 13241</w:t>
      </w:r>
      <w:r w:rsidR="00387B1E">
        <w:t>–</w:t>
      </w:r>
      <w:r w:rsidRPr="00997786">
        <w:t>13252 (2012).</w:t>
      </w:r>
    </w:p>
    <w:p w14:paraId="160F699D" w14:textId="2680026A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Zhao, J., Chi, Y., Zhang, X. J., Wang, X. W.</w:t>
      </w:r>
      <w:r w:rsidR="002814DF">
        <w:t>,</w:t>
      </w:r>
      <w:r w:rsidRPr="00997786">
        <w:t xml:space="preserve"> Liu, S. S. Implication of whitefly vesicle associated membrane protein-associated protein B in the transmission of Tomato yellow leaf curl virus. </w:t>
      </w:r>
      <w:r w:rsidRPr="00997786">
        <w:rPr>
          <w:i/>
        </w:rPr>
        <w:t>Virology.</w:t>
      </w:r>
      <w:r w:rsidRPr="00997786">
        <w:t xml:space="preserve"> </w:t>
      </w:r>
      <w:r w:rsidRPr="00997786">
        <w:rPr>
          <w:b/>
        </w:rPr>
        <w:t>535</w:t>
      </w:r>
      <w:r w:rsidR="002814DF" w:rsidRPr="002814DF">
        <w:rPr>
          <w:bCs/>
        </w:rPr>
        <w:t>,</w:t>
      </w:r>
      <w:r w:rsidRPr="00997786">
        <w:t xml:space="preserve"> 210</w:t>
      </w:r>
      <w:r w:rsidR="00387B1E">
        <w:t>–</w:t>
      </w:r>
      <w:r w:rsidRPr="00997786">
        <w:t>217 (2019).</w:t>
      </w:r>
    </w:p>
    <w:p w14:paraId="68535757" w14:textId="708DFB99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Maluta, N. K., Garzo, E., Moreno, A., Lopes, J. R.</w:t>
      </w:r>
      <w:r w:rsidR="002814DF">
        <w:t xml:space="preserve">, </w:t>
      </w:r>
      <w:r w:rsidRPr="00997786">
        <w:t xml:space="preserve">Fereres, A. Tomato yellow leaf curl virus benefits population growth of the Q biotype of </w:t>
      </w:r>
      <w:r w:rsidRPr="00997786">
        <w:rPr>
          <w:i/>
        </w:rPr>
        <w:t>Bemisia tabaci</w:t>
      </w:r>
      <w:r w:rsidRPr="00997786">
        <w:t xml:space="preserve"> (Gennadius) (Hemiptera: Aleyrodidae). </w:t>
      </w:r>
      <w:r w:rsidRPr="00997786">
        <w:rPr>
          <w:i/>
        </w:rPr>
        <w:t>Neotropical Entomology.</w:t>
      </w:r>
      <w:r w:rsidRPr="00997786">
        <w:t xml:space="preserve"> </w:t>
      </w:r>
      <w:r w:rsidRPr="00997786">
        <w:rPr>
          <w:b/>
        </w:rPr>
        <w:t>43</w:t>
      </w:r>
      <w:r w:rsidRPr="00997786">
        <w:t xml:space="preserve"> (4), 385</w:t>
      </w:r>
      <w:r w:rsidR="00387B1E">
        <w:t>–</w:t>
      </w:r>
      <w:r w:rsidRPr="00997786">
        <w:t>392 (2014).</w:t>
      </w:r>
    </w:p>
    <w:p w14:paraId="604AA45B" w14:textId="11FA1A04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Czosnek, H., Hariton-Shalev, A., Sobol, I., Gorovits, R.</w:t>
      </w:r>
      <w:r w:rsidR="002814DF">
        <w:t xml:space="preserve">, </w:t>
      </w:r>
      <w:r w:rsidRPr="00997786">
        <w:t xml:space="preserve">Ghanim, M. The incredible journey of begomoviruses in their whitefly vector. </w:t>
      </w:r>
      <w:r w:rsidRPr="00997786">
        <w:rPr>
          <w:i/>
        </w:rPr>
        <w:t>Viruses.</w:t>
      </w:r>
      <w:r w:rsidRPr="00997786">
        <w:t xml:space="preserve"> </w:t>
      </w:r>
      <w:r w:rsidRPr="00997786">
        <w:rPr>
          <w:b/>
        </w:rPr>
        <w:t>9</w:t>
      </w:r>
      <w:r w:rsidRPr="00997786">
        <w:t xml:space="preserve"> (10), 273 (2017).</w:t>
      </w:r>
    </w:p>
    <w:p w14:paraId="2A902BA6" w14:textId="1144FD7B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Wei, J.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Vector development and vitellogenin determine the transovarial transmission of begomoviruses. </w:t>
      </w:r>
      <w:r w:rsidRPr="00997786">
        <w:rPr>
          <w:i/>
        </w:rPr>
        <w:t>Proceedings of the National Academy of Sciences of the United States of America.</w:t>
      </w:r>
      <w:r w:rsidRPr="00997786">
        <w:t xml:space="preserve"> </w:t>
      </w:r>
      <w:r w:rsidRPr="00997786">
        <w:rPr>
          <w:b/>
        </w:rPr>
        <w:t>114</w:t>
      </w:r>
      <w:r w:rsidRPr="00997786">
        <w:t xml:space="preserve"> (26), 6746</w:t>
      </w:r>
      <w:r w:rsidR="00387B1E">
        <w:t>–</w:t>
      </w:r>
      <w:r w:rsidRPr="00997786">
        <w:t>6751 (2017).</w:t>
      </w:r>
    </w:p>
    <w:p w14:paraId="77E74B0E" w14:textId="56142D8C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Ghanim, M., Morin, S., Zeidan, M.</w:t>
      </w:r>
      <w:r w:rsidR="002814DF">
        <w:t xml:space="preserve">, </w:t>
      </w:r>
      <w:r w:rsidRPr="00997786">
        <w:t xml:space="preserve">Czosnek, H. Evidence for transovarial transmission of tomato yellow leaf curl virus by its vector, the whitefly </w:t>
      </w:r>
      <w:r w:rsidRPr="00997786">
        <w:rPr>
          <w:i/>
        </w:rPr>
        <w:t>Bemisia tabaci</w:t>
      </w:r>
      <w:r w:rsidRPr="00997786">
        <w:t xml:space="preserve">. </w:t>
      </w:r>
      <w:r w:rsidRPr="00997786">
        <w:rPr>
          <w:i/>
        </w:rPr>
        <w:t>Virology.</w:t>
      </w:r>
      <w:r w:rsidRPr="00997786">
        <w:t xml:space="preserve"> </w:t>
      </w:r>
      <w:r w:rsidRPr="00997786">
        <w:rPr>
          <w:b/>
        </w:rPr>
        <w:t>240</w:t>
      </w:r>
      <w:r w:rsidRPr="00997786">
        <w:t xml:space="preserve"> (2), 295</w:t>
      </w:r>
      <w:r w:rsidR="00387B1E">
        <w:t>–</w:t>
      </w:r>
      <w:r w:rsidRPr="00997786">
        <w:t>303</w:t>
      </w:r>
      <w:r w:rsidR="002814DF">
        <w:t xml:space="preserve"> </w:t>
      </w:r>
      <w:r w:rsidRPr="00997786">
        <w:t>(1998).</w:t>
      </w:r>
    </w:p>
    <w:p w14:paraId="7F374A6C" w14:textId="5F243A49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Xie, Y.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Highly sensitive serological methods for detecting tomato yellow leaf curl virus in tomato plants and whiteflies. </w:t>
      </w:r>
      <w:r w:rsidRPr="00997786">
        <w:rPr>
          <w:i/>
        </w:rPr>
        <w:t>Virology Journal.</w:t>
      </w:r>
      <w:r w:rsidRPr="00997786">
        <w:t xml:space="preserve"> </w:t>
      </w:r>
      <w:r w:rsidRPr="00997786">
        <w:rPr>
          <w:b/>
        </w:rPr>
        <w:t>10</w:t>
      </w:r>
      <w:r w:rsidRPr="00997786">
        <w:t xml:space="preserve"> 142, (2013).</w:t>
      </w:r>
    </w:p>
    <w:p w14:paraId="072F18A2" w14:textId="34BC130D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Arya, M.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Basic principles of real-time quantitative PCR. </w:t>
      </w:r>
      <w:r w:rsidRPr="00997786">
        <w:rPr>
          <w:i/>
        </w:rPr>
        <w:t>Expert Review of Molecular Diagnostics.</w:t>
      </w:r>
      <w:r w:rsidRPr="00997786">
        <w:t xml:space="preserve"> </w:t>
      </w:r>
      <w:r w:rsidRPr="00997786">
        <w:rPr>
          <w:b/>
        </w:rPr>
        <w:t>5</w:t>
      </w:r>
      <w:r w:rsidRPr="00997786">
        <w:t xml:space="preserve"> (2), 209</w:t>
      </w:r>
      <w:r w:rsidR="00387B1E">
        <w:t>–</w:t>
      </w:r>
      <w:r w:rsidRPr="00997786">
        <w:t>219 (2005).</w:t>
      </w:r>
    </w:p>
    <w:p w14:paraId="34D0BB05" w14:textId="0CADF8D4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Wei, J.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Specific cells in the primary salivary glands of the whitefly </w:t>
      </w:r>
      <w:r w:rsidRPr="00997786">
        <w:rPr>
          <w:i/>
        </w:rPr>
        <w:t xml:space="preserve">Bemisia tabaci </w:t>
      </w:r>
      <w:r w:rsidRPr="00997786">
        <w:t xml:space="preserve">control retention and transmission of begomoviruses. </w:t>
      </w:r>
      <w:r w:rsidRPr="00997786">
        <w:rPr>
          <w:i/>
        </w:rPr>
        <w:t>Journal of Virology.</w:t>
      </w:r>
      <w:r w:rsidRPr="00997786">
        <w:t xml:space="preserve"> </w:t>
      </w:r>
      <w:r w:rsidRPr="00997786">
        <w:rPr>
          <w:b/>
        </w:rPr>
        <w:t>88</w:t>
      </w:r>
      <w:r w:rsidRPr="00997786">
        <w:t xml:space="preserve"> (22), 13460</w:t>
      </w:r>
      <w:r w:rsidR="00387B1E">
        <w:t>–</w:t>
      </w:r>
      <w:r w:rsidRPr="00997786">
        <w:t>13468 (2014).</w:t>
      </w:r>
    </w:p>
    <w:p w14:paraId="46A38330" w14:textId="031A08AE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Wang, L. L.</w:t>
      </w:r>
      <w:r w:rsidRPr="00997786">
        <w:rPr>
          <w:i/>
        </w:rPr>
        <w:t xml:space="preserve"> </w:t>
      </w:r>
      <w:r w:rsidRPr="002814DF">
        <w:rPr>
          <w:iCs/>
        </w:rPr>
        <w:t>et al.</w:t>
      </w:r>
      <w:r w:rsidRPr="00997786">
        <w:t xml:space="preserve"> The autophagy pathway participates in resistance to tomato yellow leaf curl virus infection in whiteflies. </w:t>
      </w:r>
      <w:r w:rsidRPr="00997786">
        <w:rPr>
          <w:i/>
        </w:rPr>
        <w:t>Autophagy.</w:t>
      </w:r>
      <w:r w:rsidRPr="00997786">
        <w:t xml:space="preserve"> </w:t>
      </w:r>
      <w:r w:rsidRPr="00997786">
        <w:rPr>
          <w:b/>
        </w:rPr>
        <w:t>12</w:t>
      </w:r>
      <w:r w:rsidRPr="00997786">
        <w:t xml:space="preserve"> (9), 1560</w:t>
      </w:r>
      <w:r w:rsidR="00387B1E">
        <w:t>–</w:t>
      </w:r>
      <w:r w:rsidRPr="00997786">
        <w:t>1574 (2016).</w:t>
      </w:r>
    </w:p>
    <w:p w14:paraId="09EC9026" w14:textId="578C5809" w:rsidR="003C5D74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Arocho, A., Chen, B. Y., Ladanyi, M.</w:t>
      </w:r>
      <w:r w:rsidR="002814DF">
        <w:t>,</w:t>
      </w:r>
      <w:r w:rsidRPr="00997786">
        <w:t xml:space="preserve"> Pan, Q. L. Validation of the 2(-Delta Delta Ct) calculation as an alternate method of data analysis for quantitative PCR of BCR-ABL P210 transcripts. </w:t>
      </w:r>
      <w:r w:rsidRPr="00997786">
        <w:rPr>
          <w:i/>
        </w:rPr>
        <w:t>Diagnostic Molecular Pathology.</w:t>
      </w:r>
      <w:r w:rsidRPr="00997786">
        <w:t xml:space="preserve"> </w:t>
      </w:r>
      <w:r w:rsidRPr="00997786">
        <w:rPr>
          <w:b/>
        </w:rPr>
        <w:t>15</w:t>
      </w:r>
      <w:r w:rsidRPr="00997786">
        <w:t xml:space="preserve"> (1), 56</w:t>
      </w:r>
      <w:r w:rsidR="00387B1E">
        <w:t>–</w:t>
      </w:r>
      <w:r w:rsidRPr="00997786">
        <w:t>61 (2006).</w:t>
      </w:r>
    </w:p>
    <w:p w14:paraId="5362AEC3" w14:textId="3E1A33F3" w:rsidR="00052498" w:rsidRPr="00997786" w:rsidRDefault="003C5D74" w:rsidP="003170D7">
      <w:pPr>
        <w:pStyle w:val="EndNoteBibliography"/>
        <w:numPr>
          <w:ilvl w:val="0"/>
          <w:numId w:val="8"/>
        </w:numPr>
        <w:ind w:left="0" w:firstLine="0"/>
      </w:pPr>
      <w:r w:rsidRPr="00997786">
        <w:t>Li, R</w:t>
      </w:r>
      <w:r w:rsidRPr="002814DF">
        <w:t>. et al. Reference</w:t>
      </w:r>
      <w:r w:rsidRPr="00997786">
        <w:t xml:space="preserve"> gene selection for qRT-PCR analysis in the sweetpotato whitefly, </w:t>
      </w:r>
      <w:r w:rsidRPr="00997786">
        <w:rPr>
          <w:i/>
        </w:rPr>
        <w:t xml:space="preserve">Bemisia tabaci </w:t>
      </w:r>
      <w:r w:rsidRPr="00997786">
        <w:t>(Hemiptera: Aleyrod</w:t>
      </w:r>
      <w:bookmarkStart w:id="67" w:name="_GoBack"/>
      <w:bookmarkEnd w:id="67"/>
      <w:r w:rsidRPr="00997786">
        <w:t xml:space="preserve">idae). </w:t>
      </w:r>
      <w:r w:rsidRPr="00997786">
        <w:rPr>
          <w:i/>
        </w:rPr>
        <w:t>PLoS One.</w:t>
      </w:r>
      <w:r w:rsidRPr="00997786">
        <w:t xml:space="preserve"> </w:t>
      </w:r>
      <w:r w:rsidRPr="00997786">
        <w:rPr>
          <w:b/>
        </w:rPr>
        <w:t>8</w:t>
      </w:r>
      <w:r w:rsidRPr="00997786">
        <w:t xml:space="preserve"> (1), e53006 (2013).</w:t>
      </w:r>
    </w:p>
    <w:sectPr w:rsidR="00052498" w:rsidRPr="00997786" w:rsidSect="00D25D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4B021" w14:textId="77777777" w:rsidR="00A37B94" w:rsidRDefault="00A37B94">
      <w:r>
        <w:separator/>
      </w:r>
    </w:p>
  </w:endnote>
  <w:endnote w:type="continuationSeparator" w:id="0">
    <w:p w14:paraId="05C6EC58" w14:textId="77777777" w:rsidR="00A37B94" w:rsidRDefault="00A37B94">
      <w:r>
        <w:continuationSeparator/>
      </w:r>
    </w:p>
  </w:endnote>
  <w:endnote w:type="continuationNotice" w:id="1">
    <w:p w14:paraId="4440EE7C" w14:textId="77777777" w:rsidR="00A37B94" w:rsidRDefault="00A37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MT">
    <w:altName w:val="方正舒体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581593"/>
      <w:docPartObj>
        <w:docPartGallery w:val="Page Numbers (Bottom of Page)"/>
        <w:docPartUnique/>
      </w:docPartObj>
    </w:sdtPr>
    <w:sdtEndPr/>
    <w:sdtContent>
      <w:p w14:paraId="75E5EF40" w14:textId="77777777" w:rsidR="00A15E06" w:rsidRDefault="00A15E06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7C7992">
          <w:rPr>
            <w:noProof/>
            <w:lang w:val="zh-CN" w:eastAsia="zh-CN"/>
          </w:rPr>
          <w:t>11</w:t>
        </w:r>
        <w:r>
          <w:fldChar w:fldCharType="end"/>
        </w:r>
        <w:r>
          <w:t xml:space="preserve"> of </w:t>
        </w:r>
        <w:fldSimple w:instr=" NUMPAGES  \* Arabic  \* MERGEFORMAT ">
          <w:r>
            <w:rPr>
              <w:noProof/>
            </w:rPr>
            <w:t>13</w:t>
          </w:r>
        </w:fldSimple>
      </w:p>
    </w:sdtContent>
  </w:sdt>
  <w:p w14:paraId="11185E3E" w14:textId="77777777" w:rsidR="00A15E06" w:rsidRDefault="00A15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030088"/>
      <w:docPartObj>
        <w:docPartGallery w:val="Page Numbers (Bottom of Page)"/>
        <w:docPartUnique/>
      </w:docPartObj>
    </w:sdtPr>
    <w:sdtEndPr/>
    <w:sdtContent>
      <w:p w14:paraId="18348200" w14:textId="77777777" w:rsidR="00A15E06" w:rsidRDefault="00A15E06">
        <w:pPr>
          <w:pStyle w:val="Footer"/>
          <w:jc w:val="right"/>
        </w:pPr>
        <w:r>
          <w:t xml:space="preserve">Page 1 of </w:t>
        </w:r>
        <w:fldSimple w:instr=" NUMPAGES  \* Arabic  \* MERGEFORMAT ">
          <w:r>
            <w:rPr>
              <w:noProof/>
            </w:rPr>
            <w:t>11</w:t>
          </w:r>
        </w:fldSimple>
      </w:p>
    </w:sdtContent>
  </w:sdt>
  <w:p w14:paraId="316BEC6E" w14:textId="77777777" w:rsidR="00A15E06" w:rsidRPr="00C7350A" w:rsidRDefault="00A15E06" w:rsidP="00A15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34F5D" w14:textId="77777777" w:rsidR="00A37B94" w:rsidRDefault="00A37B94">
      <w:r>
        <w:separator/>
      </w:r>
    </w:p>
  </w:footnote>
  <w:footnote w:type="continuationSeparator" w:id="0">
    <w:p w14:paraId="61D16BF8" w14:textId="77777777" w:rsidR="00A37B94" w:rsidRDefault="00A37B94">
      <w:r>
        <w:continuationSeparator/>
      </w:r>
    </w:p>
  </w:footnote>
  <w:footnote w:type="continuationNotice" w:id="1">
    <w:p w14:paraId="2B898AD6" w14:textId="77777777" w:rsidR="00A37B94" w:rsidRDefault="00A37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3FB5" w14:textId="77777777" w:rsidR="00A15E06" w:rsidRDefault="00A15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E59C6" w14:textId="77777777" w:rsidR="00A15E06" w:rsidRPr="006F06E4" w:rsidRDefault="00A15E06" w:rsidP="00A15E06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22FE"/>
    <w:multiLevelType w:val="multilevel"/>
    <w:tmpl w:val="36FE3D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C755A9"/>
    <w:multiLevelType w:val="hybridMultilevel"/>
    <w:tmpl w:val="0D08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62A8A"/>
    <w:multiLevelType w:val="multilevel"/>
    <w:tmpl w:val="0A8A96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46666DA1"/>
    <w:multiLevelType w:val="multilevel"/>
    <w:tmpl w:val="195AE2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A661A1"/>
    <w:multiLevelType w:val="multilevel"/>
    <w:tmpl w:val="7C7AD73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1A0978"/>
    <w:multiLevelType w:val="multilevel"/>
    <w:tmpl w:val="A18269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1E37302"/>
    <w:multiLevelType w:val="multilevel"/>
    <w:tmpl w:val="9968B3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43" w:hanging="360"/>
      </w:pPr>
      <w:rPr>
        <w:rFonts w:hint="eastAsia"/>
      </w:rPr>
    </w:lvl>
    <w:lvl w:ilvl="2">
      <w:start w:val="2"/>
      <w:numFmt w:val="decimal"/>
      <w:suff w:val="space"/>
      <w:lvlText w:val="%3.2.1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73B77867"/>
    <w:multiLevelType w:val="multilevel"/>
    <w:tmpl w:val="F04648BE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C5D74"/>
    <w:rsid w:val="00052498"/>
    <w:rsid w:val="000541B6"/>
    <w:rsid w:val="00062748"/>
    <w:rsid w:val="000D3640"/>
    <w:rsid w:val="00133AE8"/>
    <w:rsid w:val="001748AE"/>
    <w:rsid w:val="001D1809"/>
    <w:rsid w:val="002018C2"/>
    <w:rsid w:val="00251438"/>
    <w:rsid w:val="002814DF"/>
    <w:rsid w:val="002C0918"/>
    <w:rsid w:val="00301E64"/>
    <w:rsid w:val="0031313A"/>
    <w:rsid w:val="003170D7"/>
    <w:rsid w:val="003263D3"/>
    <w:rsid w:val="0037486C"/>
    <w:rsid w:val="00387B1E"/>
    <w:rsid w:val="003C5D74"/>
    <w:rsid w:val="00447281"/>
    <w:rsid w:val="004B2564"/>
    <w:rsid w:val="004D1FD4"/>
    <w:rsid w:val="005704F8"/>
    <w:rsid w:val="005D06D3"/>
    <w:rsid w:val="00623ACC"/>
    <w:rsid w:val="0064215D"/>
    <w:rsid w:val="006B7B8D"/>
    <w:rsid w:val="006C4023"/>
    <w:rsid w:val="00722A39"/>
    <w:rsid w:val="00742426"/>
    <w:rsid w:val="00754500"/>
    <w:rsid w:val="00755FB3"/>
    <w:rsid w:val="00766D00"/>
    <w:rsid w:val="007C7992"/>
    <w:rsid w:val="008E4526"/>
    <w:rsid w:val="00912E88"/>
    <w:rsid w:val="00933EF7"/>
    <w:rsid w:val="00965841"/>
    <w:rsid w:val="00965843"/>
    <w:rsid w:val="00972326"/>
    <w:rsid w:val="00972780"/>
    <w:rsid w:val="00997786"/>
    <w:rsid w:val="009D289D"/>
    <w:rsid w:val="009D334C"/>
    <w:rsid w:val="00A15E06"/>
    <w:rsid w:val="00A37B94"/>
    <w:rsid w:val="00A90498"/>
    <w:rsid w:val="00BE2644"/>
    <w:rsid w:val="00BF066F"/>
    <w:rsid w:val="00C23365"/>
    <w:rsid w:val="00C639E4"/>
    <w:rsid w:val="00C64A05"/>
    <w:rsid w:val="00C70504"/>
    <w:rsid w:val="00CE4DE6"/>
    <w:rsid w:val="00D25D72"/>
    <w:rsid w:val="00D35874"/>
    <w:rsid w:val="00DF6413"/>
    <w:rsid w:val="00E22DBA"/>
    <w:rsid w:val="00E40274"/>
    <w:rsid w:val="00EF0B5D"/>
    <w:rsid w:val="00EF751A"/>
    <w:rsid w:val="00F054F4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7E22"/>
  <w15:chartTrackingRefBased/>
  <w15:docId w15:val="{8D6E497A-F423-4D0B-A663-BCCFA660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D74"/>
    <w:pPr>
      <w:widowControl w:val="0"/>
      <w:autoSpaceDE w:val="0"/>
      <w:autoSpaceDN w:val="0"/>
      <w:adjustRightInd w:val="0"/>
      <w:jc w:val="both"/>
    </w:pPr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5D74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C5D74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5D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5D74"/>
    <w:rPr>
      <w:rFonts w:ascii="Calibri" w:eastAsia="SimSun" w:hAnsi="Calibri" w:cs="Times New Roman"/>
      <w:b/>
      <w:bCs/>
      <w:color w:val="000000"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rsid w:val="003C5D74"/>
    <w:rPr>
      <w:rFonts w:ascii="Calibri" w:eastAsia="SimSun" w:hAnsi="Calibri" w:cs="Times New Roman"/>
      <w:b/>
      <w:bCs/>
      <w:iCs/>
      <w:color w:val="000000"/>
      <w:kern w:val="0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C5D74"/>
    <w:rPr>
      <w:rFonts w:asciiTheme="majorHAnsi" w:eastAsiaTheme="majorEastAsia" w:hAnsiTheme="majorHAnsi" w:cstheme="majorBidi"/>
      <w:b/>
      <w:bCs/>
      <w:color w:val="4F81BD" w:themeColor="accent1"/>
      <w:kern w:val="0"/>
      <w:sz w:val="24"/>
      <w:szCs w:val="24"/>
      <w:lang w:eastAsia="en-US"/>
    </w:rPr>
  </w:style>
  <w:style w:type="paragraph" w:styleId="NormalWeb">
    <w:name w:val="Normal (Web)"/>
    <w:basedOn w:val="Normal"/>
    <w:rsid w:val="003C5D74"/>
    <w:pPr>
      <w:spacing w:before="100" w:beforeAutospacing="1" w:after="100" w:afterAutospacing="1"/>
    </w:pPr>
  </w:style>
  <w:style w:type="character" w:styleId="Hyperlink">
    <w:name w:val="Hyperlink"/>
    <w:uiPriority w:val="99"/>
    <w:rsid w:val="003C5D74"/>
    <w:rPr>
      <w:color w:val="0000FF"/>
      <w:u w:val="single"/>
    </w:rPr>
  </w:style>
  <w:style w:type="paragraph" w:styleId="Header">
    <w:name w:val="header"/>
    <w:basedOn w:val="Normal"/>
    <w:link w:val="HeaderChar"/>
    <w:rsid w:val="003C5D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C5D74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C5D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5D74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character" w:styleId="CommentReference">
    <w:name w:val="annotation reference"/>
    <w:rsid w:val="003C5D74"/>
    <w:rPr>
      <w:sz w:val="18"/>
      <w:szCs w:val="18"/>
    </w:rPr>
  </w:style>
  <w:style w:type="paragraph" w:styleId="CommentText">
    <w:name w:val="annotation text"/>
    <w:basedOn w:val="Normal"/>
    <w:link w:val="CommentTextChar"/>
    <w:rsid w:val="003C5D74"/>
  </w:style>
  <w:style w:type="character" w:customStyle="1" w:styleId="CommentTextChar">
    <w:name w:val="Comment Text Char"/>
    <w:link w:val="CommentText"/>
    <w:rsid w:val="003C5D74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5D7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C5D74"/>
    <w:rPr>
      <w:rFonts w:ascii="Calibri" w:eastAsia="SimSun" w:hAnsi="Calibri" w:cs="Calibri"/>
      <w:b/>
      <w:bCs/>
      <w:color w:val="000000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3C5D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3C5D74"/>
    <w:rPr>
      <w:rFonts w:ascii="Lucida Grande" w:eastAsia="SimSun" w:hAnsi="Lucida Grande" w:cs="Calibri"/>
      <w:color w:val="000000"/>
      <w:kern w:val="0"/>
      <w:sz w:val="18"/>
      <w:szCs w:val="18"/>
      <w:lang w:eastAsia="en-US"/>
    </w:rPr>
  </w:style>
  <w:style w:type="character" w:styleId="PageNumber">
    <w:name w:val="page number"/>
    <w:basedOn w:val="DefaultParagraphFont"/>
    <w:rsid w:val="003C5D74"/>
  </w:style>
  <w:style w:type="character" w:styleId="FollowedHyperlink">
    <w:name w:val="FollowedHyperlink"/>
    <w:rsid w:val="003C5D74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C5D74"/>
  </w:style>
  <w:style w:type="character" w:styleId="IntenseEmphasis">
    <w:name w:val="Intense Emphasis"/>
    <w:qFormat/>
    <w:rsid w:val="003C5D74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3C5D74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3C5D74"/>
    <w:rPr>
      <w:rFonts w:ascii="Calibri" w:eastAsia="SimSun" w:hAnsi="Calibri" w:cs="Calibri"/>
      <w:color w:val="7F7F7F"/>
      <w:kern w:val="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C5D74"/>
    <w:pPr>
      <w:ind w:left="720"/>
      <w:contextualSpacing/>
    </w:pPr>
  </w:style>
  <w:style w:type="paragraph" w:styleId="Revision">
    <w:name w:val="Revision"/>
    <w:hidden/>
    <w:uiPriority w:val="99"/>
    <w:semiHidden/>
    <w:rsid w:val="003C5D74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C5D74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C5D74"/>
    <w:rPr>
      <w:rFonts w:ascii="Calibri" w:eastAsia="Calibri" w:hAnsi="Calibri" w:cs="Calibri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C5D74"/>
    <w:rPr>
      <w:b/>
      <w:bCs/>
    </w:rPr>
  </w:style>
  <w:style w:type="character" w:styleId="Emphasis">
    <w:name w:val="Emphasis"/>
    <w:basedOn w:val="DefaultParagraphFont"/>
    <w:uiPriority w:val="20"/>
    <w:qFormat/>
    <w:rsid w:val="003C5D74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3C5D74"/>
  </w:style>
  <w:style w:type="character" w:customStyle="1" w:styleId="1">
    <w:name w:val="未处理的提及1"/>
    <w:basedOn w:val="DefaultParagraphFont"/>
    <w:uiPriority w:val="99"/>
    <w:semiHidden/>
    <w:unhideWhenUsed/>
    <w:rsid w:val="003C5D74"/>
    <w:rPr>
      <w:color w:val="808080"/>
      <w:shd w:val="clear" w:color="auto" w:fill="E6E6E6"/>
    </w:rPr>
  </w:style>
  <w:style w:type="character" w:customStyle="1" w:styleId="tlid-translation">
    <w:name w:val="tlid-translation"/>
    <w:basedOn w:val="DefaultParagraphFont"/>
    <w:rsid w:val="003C5D74"/>
  </w:style>
  <w:style w:type="character" w:customStyle="1" w:styleId="gt-baf-cell">
    <w:name w:val="gt-baf-cell"/>
    <w:basedOn w:val="DefaultParagraphFont"/>
    <w:rsid w:val="003C5D74"/>
  </w:style>
  <w:style w:type="character" w:customStyle="1" w:styleId="html-italic">
    <w:name w:val="html-italic"/>
    <w:basedOn w:val="DefaultParagraphFont"/>
    <w:rsid w:val="003C5D74"/>
  </w:style>
  <w:style w:type="character" w:customStyle="1" w:styleId="ListParagraphChar">
    <w:name w:val="List Paragraph Char"/>
    <w:basedOn w:val="DefaultParagraphFont"/>
    <w:link w:val="ListParagraph"/>
    <w:uiPriority w:val="34"/>
    <w:rsid w:val="003C5D74"/>
    <w:rPr>
      <w:rFonts w:ascii="Calibri" w:eastAsia="SimSun" w:hAnsi="Calibri" w:cs="Calibri"/>
      <w:color w:val="000000"/>
      <w:kern w:val="0"/>
      <w:sz w:val="24"/>
      <w:szCs w:val="24"/>
      <w:lang w:eastAsia="en-US"/>
    </w:rPr>
  </w:style>
  <w:style w:type="character" w:customStyle="1" w:styleId="gt-card-ttl-txt">
    <w:name w:val="gt-card-ttl-txt"/>
    <w:basedOn w:val="DefaultParagraphFont"/>
    <w:rsid w:val="003C5D74"/>
  </w:style>
  <w:style w:type="paragraph" w:customStyle="1" w:styleId="jovecontent">
    <w:name w:val="jove_content"/>
    <w:basedOn w:val="Normal"/>
    <w:rsid w:val="003C5D7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SimSun" w:hAnsi="SimSun" w:cs="SimSun"/>
      <w:color w:val="auto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3C5D7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C5D74"/>
    <w:rPr>
      <w:rFonts w:ascii="Calibri" w:eastAsia="SimSun" w:hAnsi="Calibri" w:cs="Calibri"/>
      <w:noProof/>
      <w:color w:val="000000"/>
      <w:kern w:val="0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3C5D7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C5D74"/>
    <w:rPr>
      <w:rFonts w:ascii="Calibri" w:eastAsia="SimSun" w:hAnsi="Calibri" w:cs="Calibri"/>
      <w:noProof/>
      <w:color w:val="000000"/>
      <w:kern w:val="0"/>
      <w:sz w:val="24"/>
      <w:szCs w:val="24"/>
      <w:lang w:eastAsia="en-US"/>
    </w:rPr>
  </w:style>
  <w:style w:type="character" w:customStyle="1" w:styleId="fontstyle01">
    <w:name w:val="fontstyle01"/>
    <w:basedOn w:val="DefaultParagraphFont"/>
    <w:rsid w:val="003C5D7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C5D74"/>
    <w:rPr>
      <w:color w:val="808080"/>
    </w:rPr>
  </w:style>
  <w:style w:type="character" w:customStyle="1" w:styleId="address">
    <w:name w:val="address"/>
    <w:basedOn w:val="DefaultParagraphFont"/>
    <w:rsid w:val="003C5D74"/>
  </w:style>
  <w:style w:type="character" w:styleId="UnresolvedMention">
    <w:name w:val="Unresolved Mention"/>
    <w:basedOn w:val="DefaultParagraphFont"/>
    <w:uiPriority w:val="99"/>
    <w:semiHidden/>
    <w:unhideWhenUsed/>
    <w:rsid w:val="0074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36D8F36-28BA-4706-B377-B983244E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4350</Words>
  <Characters>24799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ban</dc:creator>
  <cp:keywords/>
  <dc:description/>
  <cp:lastModifiedBy>Vineeta Bajaj</cp:lastModifiedBy>
  <cp:revision>12</cp:revision>
  <dcterms:created xsi:type="dcterms:W3CDTF">2019-10-18T15:33:00Z</dcterms:created>
  <dcterms:modified xsi:type="dcterms:W3CDTF">2019-10-21T14:38:00Z</dcterms:modified>
</cp:coreProperties>
</file>