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D2665" w14:textId="77777777" w:rsidR="007879EF" w:rsidRPr="00E97782" w:rsidRDefault="009F2DD7" w:rsidP="009F2DD7">
      <w:pPr>
        <w:pStyle w:val="NormalWeb"/>
        <w:rPr>
          <w:lang w:val="en-US"/>
        </w:rPr>
      </w:pPr>
      <w:r w:rsidRPr="00E97782">
        <w:rPr>
          <w:rStyle w:val="Strong"/>
          <w:lang w:val="en-US"/>
        </w:rPr>
        <w:t>Editorial comments:</w:t>
      </w:r>
      <w:r w:rsidRPr="00E97782">
        <w:rPr>
          <w:lang w:val="en-US"/>
        </w:rPr>
        <w:br/>
        <w:t>General:</w:t>
      </w:r>
    </w:p>
    <w:p w14:paraId="3126F82A" w14:textId="77777777" w:rsidR="007879EF" w:rsidRPr="00E97782" w:rsidRDefault="009F2DD7" w:rsidP="009F2DD7">
      <w:pPr>
        <w:pStyle w:val="NormalWeb"/>
        <w:rPr>
          <w:lang w:val="en-US"/>
        </w:rPr>
      </w:pPr>
      <w:r w:rsidRPr="00E97782">
        <w:rPr>
          <w:lang w:val="en-US"/>
        </w:rPr>
        <w:br/>
        <w:t>1. Please take this opportunity to thoroughly proofread the manuscript to ensure that there are no spelling or grammar issues.</w:t>
      </w:r>
    </w:p>
    <w:p w14:paraId="26657809" w14:textId="47926C9C" w:rsidR="00833F09" w:rsidRPr="00E97782" w:rsidRDefault="00833F09" w:rsidP="00833F09">
      <w:pPr>
        <w:pStyle w:val="NormalWeb"/>
        <w:numPr>
          <w:ilvl w:val="0"/>
          <w:numId w:val="2"/>
        </w:numPr>
        <w:rPr>
          <w:lang w:val="en-US"/>
        </w:rPr>
      </w:pPr>
      <w:r w:rsidRPr="00E97782">
        <w:rPr>
          <w:b/>
          <w:lang w:val="en-US"/>
        </w:rPr>
        <w:t xml:space="preserve">In the revised manuscript we have ensured proper quality of the language. </w:t>
      </w:r>
    </w:p>
    <w:p w14:paraId="3F0B2652" w14:textId="1CAFFC0E" w:rsidR="00697526" w:rsidRPr="00E97782" w:rsidRDefault="009F2DD7" w:rsidP="00833F09">
      <w:pPr>
        <w:pStyle w:val="NormalWeb"/>
        <w:rPr>
          <w:lang w:val="en-US"/>
        </w:rPr>
      </w:pPr>
      <w:r w:rsidRPr="00E97782">
        <w:rPr>
          <w:lang w:val="en-US"/>
        </w:rPr>
        <w:t>2. Please ensure that the manuscript is formatted according to JoVE guidelines–letter (8.5” x 11”) page size, 1-inch margins, 12 pt Calibri font throughout, all text aligned to the left margin, single spacing within paragraphs, and spaces between all paragraphs and protocol steps/substeps.</w:t>
      </w:r>
    </w:p>
    <w:p w14:paraId="54E34AEF" w14:textId="632FF45B" w:rsidR="00733AD9" w:rsidRPr="00E97782" w:rsidRDefault="00697526" w:rsidP="00733AD9">
      <w:pPr>
        <w:pStyle w:val="NormalWeb"/>
        <w:numPr>
          <w:ilvl w:val="0"/>
          <w:numId w:val="2"/>
        </w:numPr>
        <w:rPr>
          <w:b/>
          <w:lang w:val="en-US"/>
        </w:rPr>
      </w:pPr>
      <w:r w:rsidRPr="00E97782">
        <w:rPr>
          <w:b/>
          <w:lang w:val="en-US"/>
        </w:rPr>
        <w:t xml:space="preserve">We have ensured that our manuscript is formatted according to the JoVE guidelines. </w:t>
      </w:r>
    </w:p>
    <w:p w14:paraId="40CC3BBE" w14:textId="7DD8CADA" w:rsidR="00AA79D3" w:rsidRPr="00E97782" w:rsidRDefault="009F2DD7" w:rsidP="00733AD9">
      <w:pPr>
        <w:pStyle w:val="NormalWeb"/>
        <w:rPr>
          <w:b/>
          <w:lang w:val="en-US"/>
        </w:rPr>
      </w:pPr>
      <w:r w:rsidRPr="00E97782">
        <w:rPr>
          <w:lang w:val="en-US"/>
        </w:rPr>
        <w:t>3. JoVE cannot publish manuscripts containing commercial language. This includes trademark symbols (™), registered symbols (®), and company names before an instrument or reagent. Please limit the use of commercial language from your manuscript/figures and use generic terms instead. All commercial products should be sufficiently referenced in the Table of Materials and Reagents.</w:t>
      </w:r>
      <w:r w:rsidRPr="00E97782">
        <w:rPr>
          <w:lang w:val="en-US"/>
        </w:rPr>
        <w:br/>
        <w:t>For example: Virkon S, Ficoll, RosetteSep, EasySep, TruStrain FcX , BD Fortessa X20, FlowJo, Phusion Hot Start II, Softject, Nucleospin, Superscript, QX100, QuantaSoft, Emtr</w:t>
      </w:r>
      <w:r w:rsidR="00733AD9" w:rsidRPr="00E97782">
        <w:rPr>
          <w:lang w:val="en-US"/>
        </w:rPr>
        <w:t>icitabine, ssniff Spexialdiäten</w:t>
      </w:r>
    </w:p>
    <w:p w14:paraId="30FB644A" w14:textId="77777777" w:rsidR="00E35E68" w:rsidRPr="00E97782" w:rsidRDefault="00A51617" w:rsidP="00004F0A">
      <w:pPr>
        <w:pStyle w:val="NormalWeb"/>
        <w:numPr>
          <w:ilvl w:val="0"/>
          <w:numId w:val="2"/>
        </w:numPr>
        <w:rPr>
          <w:lang w:val="en-US"/>
        </w:rPr>
      </w:pPr>
      <w:r w:rsidRPr="00E97782">
        <w:rPr>
          <w:b/>
          <w:lang w:val="en-US"/>
        </w:rPr>
        <w:t xml:space="preserve">We have replaced all trade names from the text with generic terms and listed trade named in the materials section. We have left </w:t>
      </w:r>
      <w:r w:rsidR="00F17AAD" w:rsidRPr="00E97782">
        <w:rPr>
          <w:b/>
          <w:lang w:val="en-US"/>
        </w:rPr>
        <w:t>e</w:t>
      </w:r>
      <w:r w:rsidRPr="00E97782">
        <w:rPr>
          <w:b/>
          <w:lang w:val="en-US"/>
        </w:rPr>
        <w:t>mtricitabine in the text, since t</w:t>
      </w:r>
      <w:r w:rsidR="00F17AAD" w:rsidRPr="00E97782">
        <w:rPr>
          <w:b/>
          <w:lang w:val="en-US"/>
        </w:rPr>
        <w:t>his is not a license tradename, but a generi</w:t>
      </w:r>
      <w:r w:rsidR="00115E16" w:rsidRPr="00E97782">
        <w:rPr>
          <w:b/>
          <w:lang w:val="en-US"/>
        </w:rPr>
        <w:t xml:space="preserve">c name similar to raltegravir. </w:t>
      </w:r>
    </w:p>
    <w:p w14:paraId="045E5B77" w14:textId="1D03AC72" w:rsidR="00733AD9" w:rsidRPr="00E97782" w:rsidRDefault="009F2DD7" w:rsidP="00E35E68">
      <w:pPr>
        <w:pStyle w:val="NormalWeb"/>
        <w:rPr>
          <w:lang w:val="en-US"/>
        </w:rPr>
      </w:pPr>
      <w:r w:rsidRPr="00E97782">
        <w:rPr>
          <w:lang w:val="en-US"/>
        </w:rPr>
        <w:br/>
        <w:t>Protocol:</w:t>
      </w:r>
    </w:p>
    <w:p w14:paraId="62306DAA" w14:textId="2FC06E90" w:rsidR="00D40D85" w:rsidRPr="00E97782" w:rsidRDefault="009F2DD7" w:rsidP="009F2DD7">
      <w:pPr>
        <w:pStyle w:val="NormalWeb"/>
        <w:rPr>
          <w:lang w:val="en-US"/>
        </w:rPr>
      </w:pPr>
      <w:r w:rsidRPr="00E97782">
        <w:rPr>
          <w:lang w:val="en-US"/>
        </w:rPr>
        <w:br/>
        <w:t>1. Please include an ethics statement before the numbered protocol steps, indicating that the protocol follows the guidelines of your institution’s human research ethics committee.</w:t>
      </w:r>
    </w:p>
    <w:p w14:paraId="3AC634B5" w14:textId="79C1F4A8" w:rsidR="00733AD9" w:rsidRPr="00E97782" w:rsidRDefault="00D40D85" w:rsidP="009F2DD7">
      <w:pPr>
        <w:pStyle w:val="NormalWeb"/>
        <w:numPr>
          <w:ilvl w:val="0"/>
          <w:numId w:val="2"/>
        </w:numPr>
        <w:rPr>
          <w:b/>
          <w:lang w:val="en-US"/>
        </w:rPr>
      </w:pPr>
      <w:r w:rsidRPr="00E97782">
        <w:rPr>
          <w:b/>
          <w:lang w:val="en-US"/>
        </w:rPr>
        <w:t xml:space="preserve">In the revised manuscript, we have included a statement about the ethics and approvals used for this protocol. </w:t>
      </w:r>
      <w:r w:rsidR="00273B79" w:rsidRPr="00E97782">
        <w:rPr>
          <w:b/>
          <w:lang w:val="en-US"/>
        </w:rPr>
        <w:t>Parts of this</w:t>
      </w:r>
      <w:r w:rsidRPr="00E97782">
        <w:rPr>
          <w:b/>
          <w:lang w:val="en-US"/>
        </w:rPr>
        <w:t xml:space="preserve"> information </w:t>
      </w:r>
      <w:r w:rsidR="0015156A" w:rsidRPr="00E97782">
        <w:rPr>
          <w:b/>
          <w:lang w:val="en-US"/>
        </w:rPr>
        <w:t xml:space="preserve">were </w:t>
      </w:r>
      <w:r w:rsidRPr="00E97782">
        <w:rPr>
          <w:b/>
          <w:lang w:val="en-US"/>
        </w:rPr>
        <w:t>previously embedded in the “protocol-headline”</w:t>
      </w:r>
      <w:r w:rsidR="001D3668" w:rsidRPr="00E97782">
        <w:rPr>
          <w:b/>
          <w:lang w:val="en-US"/>
        </w:rPr>
        <w:t xml:space="preserve"> (</w:t>
      </w:r>
      <w:r w:rsidR="001D3668" w:rsidRPr="00E97782">
        <w:rPr>
          <w:b/>
          <w:highlight w:val="lightGray"/>
          <w:lang w:val="en-US"/>
        </w:rPr>
        <w:t>page 3, lines 99-100</w:t>
      </w:r>
      <w:r w:rsidR="001D3668" w:rsidRPr="00E97782">
        <w:rPr>
          <w:b/>
          <w:lang w:val="en-US"/>
        </w:rPr>
        <w:t xml:space="preserve"> original</w:t>
      </w:r>
      <w:r w:rsidR="00AA79D3" w:rsidRPr="00E97782">
        <w:rPr>
          <w:b/>
          <w:lang w:val="en-US"/>
        </w:rPr>
        <w:t xml:space="preserve"> manuscript) but can now be found on</w:t>
      </w:r>
      <w:r w:rsidR="001D3668" w:rsidRPr="00E97782">
        <w:rPr>
          <w:b/>
          <w:lang w:val="en-US"/>
        </w:rPr>
        <w:t xml:space="preserve"> </w:t>
      </w:r>
      <w:r w:rsidR="0069288D" w:rsidRPr="0069288D">
        <w:rPr>
          <w:b/>
          <w:highlight w:val="lightGray"/>
          <w:lang w:val="en-US"/>
        </w:rPr>
        <w:t>page 3 lines 94-98</w:t>
      </w:r>
      <w:r w:rsidR="00AA79D3" w:rsidRPr="00E97782">
        <w:rPr>
          <w:b/>
          <w:lang w:val="en-US"/>
        </w:rPr>
        <w:t xml:space="preserve"> in the revised manuscript</w:t>
      </w:r>
      <w:r w:rsidR="007879EF" w:rsidRPr="00E97782">
        <w:rPr>
          <w:b/>
          <w:lang w:val="en-US"/>
        </w:rPr>
        <w:t>.</w:t>
      </w:r>
    </w:p>
    <w:p w14:paraId="6955B6E2" w14:textId="18073144" w:rsidR="00EC4A6E" w:rsidRPr="00E97782" w:rsidRDefault="009F2DD7" w:rsidP="00733AD9">
      <w:pPr>
        <w:pStyle w:val="NormalWeb"/>
        <w:rPr>
          <w:b/>
          <w:lang w:val="en-US"/>
        </w:rPr>
      </w:pPr>
      <w:r w:rsidRPr="00E97782">
        <w:rPr>
          <w:lang w:val="en-US"/>
        </w:rPr>
        <w:t>2. There is a 10 page limit for the Protocol, but a 2.75 page limit for filmable content. If revisions cause the highlighted portion to be more than 2.75 pages, please highlight 2.75 pages or less of the Protocol (including headers and spacing) that identifies the essential steps of the protocol for the video, i.e., the steps that should be visualized to tell the most cohesive story of the Protocol.</w:t>
      </w:r>
    </w:p>
    <w:p w14:paraId="169B47DC" w14:textId="31776466" w:rsidR="00733AD9" w:rsidRPr="00E97782" w:rsidRDefault="00756F75" w:rsidP="00833F09">
      <w:pPr>
        <w:pStyle w:val="NormalWeb"/>
        <w:numPr>
          <w:ilvl w:val="0"/>
          <w:numId w:val="2"/>
        </w:numPr>
        <w:rPr>
          <w:b/>
          <w:lang w:val="en-US"/>
        </w:rPr>
      </w:pPr>
      <w:r>
        <w:rPr>
          <w:b/>
          <w:lang w:val="en-US"/>
        </w:rPr>
        <w:t>We have noted these requirements and have made certain that the highlighted portion is equal to or less than 2.75 pages</w:t>
      </w:r>
      <w:r w:rsidR="009F2DD7" w:rsidRPr="00E97782">
        <w:rPr>
          <w:lang w:val="en-US"/>
        </w:rPr>
        <w:br/>
      </w:r>
    </w:p>
    <w:p w14:paraId="1E9CAE26" w14:textId="13FEC070" w:rsidR="00833F09" w:rsidRPr="00E97782" w:rsidRDefault="009F2DD7" w:rsidP="00733AD9">
      <w:pPr>
        <w:pStyle w:val="NormalWeb"/>
        <w:rPr>
          <w:b/>
          <w:lang w:val="en-US"/>
        </w:rPr>
      </w:pPr>
      <w:r w:rsidRPr="00E97782">
        <w:rPr>
          <w:lang w:val="en-US"/>
        </w:rPr>
        <w:lastRenderedPageBreak/>
        <w:t>3.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p>
    <w:p w14:paraId="036E0C25" w14:textId="6DD36E5C" w:rsidR="00733AD9" w:rsidRPr="00E97782" w:rsidRDefault="00381E77" w:rsidP="00833F09">
      <w:pPr>
        <w:pStyle w:val="NormalWeb"/>
        <w:numPr>
          <w:ilvl w:val="0"/>
          <w:numId w:val="2"/>
        </w:numPr>
        <w:rPr>
          <w:b/>
          <w:lang w:val="en-US"/>
        </w:rPr>
      </w:pPr>
      <w:r w:rsidRPr="00E97782">
        <w:rPr>
          <w:b/>
          <w:lang w:val="en-US"/>
        </w:rPr>
        <w:t>In the revised manuscript we have made a great effort to ensure the clarity of the description on actions.</w:t>
      </w:r>
    </w:p>
    <w:p w14:paraId="1855E89A" w14:textId="47A94F06" w:rsidR="00EC4A6E" w:rsidRPr="00E97782" w:rsidRDefault="009F2DD7" w:rsidP="00733AD9">
      <w:pPr>
        <w:pStyle w:val="NormalWeb"/>
        <w:rPr>
          <w:lang w:val="en-US"/>
        </w:rPr>
      </w:pPr>
      <w:r w:rsidRPr="00E97782">
        <w:rPr>
          <w:lang w:val="en-US"/>
        </w:rPr>
        <w:t>Specific Protocol steps:</w:t>
      </w:r>
      <w:r w:rsidRPr="00E97782">
        <w:rPr>
          <w:lang w:val="en-US"/>
        </w:rPr>
        <w:br/>
        <w:t>1. 4.1: Where do these mice come from? Also, how exactly are mice irradiated?</w:t>
      </w:r>
    </w:p>
    <w:p w14:paraId="32C91006" w14:textId="77E0E932" w:rsidR="00EC4A6E" w:rsidRPr="00E97782" w:rsidRDefault="00EC4A6E" w:rsidP="007879EF">
      <w:pPr>
        <w:pStyle w:val="NormalWeb"/>
        <w:numPr>
          <w:ilvl w:val="0"/>
          <w:numId w:val="2"/>
        </w:numPr>
        <w:rPr>
          <w:b/>
          <w:lang w:val="en-US"/>
        </w:rPr>
      </w:pPr>
      <w:r w:rsidRPr="00E97782">
        <w:rPr>
          <w:b/>
          <w:lang w:val="en-US"/>
        </w:rPr>
        <w:t xml:space="preserve">In the revised manuscript, we have now included a description of the acquisition of the mice as well </w:t>
      </w:r>
      <w:r w:rsidR="00BC5795" w:rsidRPr="00E97782">
        <w:rPr>
          <w:b/>
          <w:lang w:val="en-US"/>
        </w:rPr>
        <w:t>as the source of irradiation, along with</w:t>
      </w:r>
      <w:r w:rsidRPr="00E97782">
        <w:rPr>
          <w:b/>
          <w:lang w:val="en-US"/>
        </w:rPr>
        <w:t xml:space="preserve"> the specification that we used female mice for this particular experiment. The details are also included in Materials</w:t>
      </w:r>
      <w:r w:rsidR="00756F75">
        <w:rPr>
          <w:b/>
          <w:lang w:val="en-US"/>
        </w:rPr>
        <w:t xml:space="preserve"> and Equipment</w:t>
      </w:r>
      <w:r w:rsidRPr="00E97782">
        <w:rPr>
          <w:b/>
          <w:lang w:val="en-US"/>
        </w:rPr>
        <w:t>.</w:t>
      </w:r>
    </w:p>
    <w:p w14:paraId="0F4D4104" w14:textId="69D741A4" w:rsidR="00935E94" w:rsidRPr="0069288D" w:rsidRDefault="009F2DD7" w:rsidP="0069288D">
      <w:pPr>
        <w:pStyle w:val="NormalWeb"/>
        <w:rPr>
          <w:rFonts w:asciiTheme="minorHAnsi" w:hAnsiTheme="minorHAnsi" w:cstheme="minorHAnsi"/>
          <w:highlight w:val="yellow"/>
        </w:rPr>
      </w:pPr>
      <w:r w:rsidRPr="00E97782">
        <w:rPr>
          <w:lang w:val="en-US"/>
        </w:rPr>
        <w:br/>
        <w:t>2. 10.9: Please provide more details about this step if it is to be filmed</w:t>
      </w:r>
    </w:p>
    <w:p w14:paraId="04BAE9A5" w14:textId="3B558138" w:rsidR="00935E94" w:rsidRPr="00935E94" w:rsidRDefault="00935E94" w:rsidP="00935E94">
      <w:pPr>
        <w:pStyle w:val="ListParagraph"/>
        <w:widowControl/>
        <w:numPr>
          <w:ilvl w:val="1"/>
          <w:numId w:val="5"/>
        </w:numPr>
        <w:autoSpaceDE/>
        <w:autoSpaceDN/>
        <w:adjustRightInd/>
        <w:spacing w:after="160"/>
        <w:jc w:val="left"/>
        <w:rPr>
          <w:rFonts w:ascii="Times New Roman" w:hAnsi="Times New Roman" w:cs="Times New Roman"/>
          <w:b/>
        </w:rPr>
      </w:pPr>
      <w:r w:rsidRPr="00935E94">
        <w:rPr>
          <w:rFonts w:ascii="Times New Roman" w:hAnsi="Times New Roman" w:cs="Times New Roman"/>
          <w:b/>
        </w:rPr>
        <w:t xml:space="preserve">In the revised manuscript, this particular step has been omitted from the part which needs visualization. We believe that this step needs to be optimized for each laboratory and too time consuming for a video representation. </w:t>
      </w:r>
    </w:p>
    <w:p w14:paraId="743514D2" w14:textId="5C26DC5A" w:rsidR="00DC1AAD" w:rsidRPr="00E97782" w:rsidRDefault="009F2DD7" w:rsidP="009F2DD7">
      <w:pPr>
        <w:pStyle w:val="NormalWeb"/>
        <w:rPr>
          <w:lang w:val="en-US"/>
        </w:rPr>
      </w:pPr>
      <w:r w:rsidRPr="00E97782">
        <w:rPr>
          <w:lang w:val="en-US"/>
        </w:rPr>
        <w:br/>
        <w:t>Figures and Tables:</w:t>
      </w:r>
      <w:r w:rsidRPr="00E97782">
        <w:rPr>
          <w:lang w:val="en-US"/>
        </w:rPr>
        <w:br/>
        <w:t>1. Please remove the embedded table(s) from the manuscript. All tables should be uploaded separately to your Editorial Manager account in the form of an .xls or .xlsx file. Each table must be accompanied by a title and a description after the Representative Results of the manuscript text.</w:t>
      </w:r>
    </w:p>
    <w:p w14:paraId="336CA33E" w14:textId="316E9ED4" w:rsidR="00DC1AAD" w:rsidRPr="00E97782" w:rsidRDefault="00DC1AAD" w:rsidP="007879EF">
      <w:pPr>
        <w:pStyle w:val="NormalWeb"/>
        <w:numPr>
          <w:ilvl w:val="0"/>
          <w:numId w:val="2"/>
        </w:numPr>
        <w:rPr>
          <w:b/>
          <w:lang w:val="en-US"/>
        </w:rPr>
      </w:pPr>
      <w:r w:rsidRPr="00E97782">
        <w:rPr>
          <w:b/>
          <w:lang w:val="en-US"/>
        </w:rPr>
        <w:t xml:space="preserve">All tables are removed from the revised manuscript and uploaded separately. </w:t>
      </w:r>
      <w:r w:rsidR="0096162C" w:rsidRPr="00E97782">
        <w:rPr>
          <w:b/>
          <w:lang w:val="en-US"/>
        </w:rPr>
        <w:t xml:space="preserve">The revised manuscript now includes a detailed description of </w:t>
      </w:r>
      <w:r w:rsidR="0096162C" w:rsidRPr="0069288D">
        <w:rPr>
          <w:b/>
          <w:lang w:val="en-US"/>
        </w:rPr>
        <w:t>each table (</w:t>
      </w:r>
      <w:r w:rsidR="0096162C" w:rsidRPr="0069288D">
        <w:rPr>
          <w:b/>
          <w:highlight w:val="lightGray"/>
          <w:lang w:val="en-US"/>
        </w:rPr>
        <w:t>page 11</w:t>
      </w:r>
      <w:r w:rsidR="0069288D" w:rsidRPr="0069288D">
        <w:rPr>
          <w:b/>
          <w:highlight w:val="lightGray"/>
          <w:lang w:val="en-US"/>
        </w:rPr>
        <w:t>-12</w:t>
      </w:r>
      <w:r w:rsidR="0096162C" w:rsidRPr="0069288D">
        <w:rPr>
          <w:b/>
          <w:highlight w:val="lightGray"/>
          <w:lang w:val="en-US"/>
        </w:rPr>
        <w:t xml:space="preserve">, </w:t>
      </w:r>
      <w:r w:rsidR="0069288D" w:rsidRPr="0069288D">
        <w:rPr>
          <w:b/>
          <w:highlight w:val="lightGray"/>
          <w:lang w:val="en-US"/>
        </w:rPr>
        <w:t xml:space="preserve">lines 480-506 </w:t>
      </w:r>
      <w:r w:rsidR="0096162C" w:rsidRPr="0069288D">
        <w:rPr>
          <w:b/>
          <w:highlight w:val="lightGray"/>
          <w:lang w:val="en-US"/>
        </w:rPr>
        <w:t>lines</w:t>
      </w:r>
      <w:r w:rsidR="0096162C" w:rsidRPr="0069288D">
        <w:rPr>
          <w:b/>
          <w:lang w:val="en-US"/>
        </w:rPr>
        <w:t>)</w:t>
      </w:r>
      <w:r w:rsidR="0069288D">
        <w:rPr>
          <w:b/>
          <w:lang w:val="en-US"/>
        </w:rPr>
        <w:t>.</w:t>
      </w:r>
    </w:p>
    <w:p w14:paraId="69BF4B2D" w14:textId="77777777" w:rsidR="00DC1AAD" w:rsidRPr="00E97782" w:rsidRDefault="009F2DD7" w:rsidP="009F2DD7">
      <w:pPr>
        <w:pStyle w:val="NormalWeb"/>
        <w:rPr>
          <w:lang w:val="en-US"/>
        </w:rPr>
      </w:pPr>
      <w:r w:rsidRPr="00E97782">
        <w:rPr>
          <w:lang w:val="en-US"/>
        </w:rPr>
        <w:br/>
        <w:t>2. Please remove ‘Figure 1’ etc. from the figures themselves.</w:t>
      </w:r>
    </w:p>
    <w:p w14:paraId="6AB3EC64" w14:textId="0A5F23AB" w:rsidR="0091674F" w:rsidRPr="00E97782" w:rsidRDefault="00E31D29" w:rsidP="007879EF">
      <w:pPr>
        <w:pStyle w:val="NormalWeb"/>
        <w:numPr>
          <w:ilvl w:val="0"/>
          <w:numId w:val="2"/>
        </w:numPr>
        <w:rPr>
          <w:b/>
          <w:lang w:val="en-US"/>
        </w:rPr>
      </w:pPr>
      <w:r w:rsidRPr="00E97782">
        <w:rPr>
          <w:b/>
          <w:lang w:val="en-US"/>
        </w:rPr>
        <w:t>The requested changes have been made</w:t>
      </w:r>
      <w:r w:rsidR="0091674F" w:rsidRPr="00E97782">
        <w:rPr>
          <w:b/>
          <w:lang w:val="en-US"/>
        </w:rPr>
        <w:t>.</w:t>
      </w:r>
    </w:p>
    <w:p w14:paraId="13809983" w14:textId="77777777" w:rsidR="009F46B8" w:rsidRPr="00E97782" w:rsidRDefault="009F2DD7" w:rsidP="009F2DD7">
      <w:pPr>
        <w:pStyle w:val="NormalWeb"/>
        <w:rPr>
          <w:lang w:val="en-US"/>
        </w:rPr>
      </w:pPr>
      <w:r w:rsidRPr="00E97782">
        <w:rPr>
          <w:lang w:val="en-US"/>
        </w:rPr>
        <w:br/>
        <w:t>3. Figure 5C: What are the error bars here?</w:t>
      </w:r>
    </w:p>
    <w:p w14:paraId="478E009E" w14:textId="5657317F" w:rsidR="007879EF" w:rsidRPr="00E97782" w:rsidRDefault="004F7C80" w:rsidP="007879EF">
      <w:pPr>
        <w:pStyle w:val="NormalWeb"/>
        <w:numPr>
          <w:ilvl w:val="0"/>
          <w:numId w:val="2"/>
        </w:numPr>
        <w:rPr>
          <w:lang w:val="en-US"/>
        </w:rPr>
      </w:pPr>
      <w:r w:rsidRPr="00E97782">
        <w:rPr>
          <w:b/>
          <w:lang w:val="en-US"/>
        </w:rPr>
        <w:t xml:space="preserve">The error bars are the standard deviation based on the data from three animals. We have included </w:t>
      </w:r>
      <w:r w:rsidR="00E31D29" w:rsidRPr="00E97782">
        <w:rPr>
          <w:b/>
          <w:lang w:val="en-US"/>
        </w:rPr>
        <w:t xml:space="preserve">this important </w:t>
      </w:r>
      <w:r w:rsidRPr="00E97782">
        <w:rPr>
          <w:b/>
          <w:lang w:val="en-US"/>
        </w:rPr>
        <w:t xml:space="preserve">detail in the figure legend for Figure 5 </w:t>
      </w:r>
      <w:r w:rsidRPr="0069288D">
        <w:rPr>
          <w:b/>
          <w:lang w:val="en-US"/>
        </w:rPr>
        <w:t>(</w:t>
      </w:r>
      <w:r w:rsidR="0069288D" w:rsidRPr="0069288D">
        <w:rPr>
          <w:b/>
          <w:highlight w:val="lightGray"/>
          <w:lang w:val="en-US"/>
        </w:rPr>
        <w:t>page 11, lines 477-478</w:t>
      </w:r>
      <w:r w:rsidRPr="0069288D">
        <w:rPr>
          <w:b/>
          <w:lang w:val="en-US"/>
        </w:rPr>
        <w:t>)</w:t>
      </w:r>
    </w:p>
    <w:p w14:paraId="2DBA98EC" w14:textId="77777777" w:rsidR="007879EF" w:rsidRPr="00E97782" w:rsidRDefault="009F2DD7" w:rsidP="007879EF">
      <w:pPr>
        <w:pStyle w:val="NormalWeb"/>
        <w:rPr>
          <w:lang w:val="en-US"/>
        </w:rPr>
      </w:pPr>
      <w:r w:rsidRPr="00E97782">
        <w:rPr>
          <w:lang w:val="en-US"/>
        </w:rPr>
        <w:t>References:</w:t>
      </w:r>
    </w:p>
    <w:p w14:paraId="6A89624F" w14:textId="77777777" w:rsidR="007879EF" w:rsidRPr="00E97782" w:rsidRDefault="009F2DD7" w:rsidP="007879EF">
      <w:pPr>
        <w:pStyle w:val="NormalWeb"/>
        <w:rPr>
          <w:lang w:val="en-US"/>
        </w:rPr>
      </w:pPr>
      <w:r w:rsidRPr="00E97782">
        <w:rPr>
          <w:lang w:val="en-US"/>
        </w:rPr>
        <w:lastRenderedPageBreak/>
        <w:br/>
        <w:t xml:space="preserve">1. Please ensure that the references appear as the following: [Lastname, F.I., LastName, F.I., LastName, F.I. Article Title. </w:t>
      </w:r>
      <w:r w:rsidRPr="00E97782">
        <w:rPr>
          <w:rStyle w:val="Emphasis"/>
          <w:lang w:val="en-US"/>
        </w:rPr>
        <w:t>Source</w:t>
      </w:r>
      <w:r w:rsidRPr="00E97782">
        <w:rPr>
          <w:lang w:val="en-US"/>
        </w:rPr>
        <w:t>.</w:t>
      </w:r>
      <w:r w:rsidRPr="00E97782">
        <w:rPr>
          <w:rStyle w:val="Strong"/>
          <w:lang w:val="en-US"/>
        </w:rPr>
        <w:t xml:space="preserve"> Volume</w:t>
      </w:r>
      <w:r w:rsidRPr="00E97782">
        <w:rPr>
          <w:lang w:val="en-US"/>
        </w:rPr>
        <w:t xml:space="preserve"> (Issue), FirstPage – Last</w:t>
      </w:r>
      <w:bookmarkStart w:id="0" w:name="_GoBack"/>
      <w:r w:rsidRPr="00E97782">
        <w:rPr>
          <w:lang w:val="en-US"/>
        </w:rPr>
        <w:t>Page</w:t>
      </w:r>
      <w:bookmarkEnd w:id="0"/>
      <w:r w:rsidRPr="00E97782">
        <w:rPr>
          <w:lang w:val="en-US"/>
        </w:rPr>
        <w:t xml:space="preserve"> (YEAR).] For more than 6 authors, list only the first author then et al.</w:t>
      </w:r>
    </w:p>
    <w:p w14:paraId="521A77A5" w14:textId="345FFA3E" w:rsidR="00B0507A" w:rsidRPr="00E97782" w:rsidRDefault="00065AF1" w:rsidP="007879EF">
      <w:pPr>
        <w:pStyle w:val="NormalWeb"/>
        <w:numPr>
          <w:ilvl w:val="0"/>
          <w:numId w:val="2"/>
        </w:numPr>
        <w:rPr>
          <w:lang w:val="en-US"/>
        </w:rPr>
      </w:pPr>
      <w:r w:rsidRPr="00E97782">
        <w:rPr>
          <w:b/>
          <w:lang w:val="en-US"/>
        </w:rPr>
        <w:t>The reference list have now been formatted to accommodate JoVEs requirements.</w:t>
      </w:r>
      <w:r w:rsidRPr="00E97782">
        <w:rPr>
          <w:lang w:val="en-US"/>
        </w:rPr>
        <w:t xml:space="preserve"> </w:t>
      </w:r>
    </w:p>
    <w:p w14:paraId="5C6CCD95" w14:textId="77777777" w:rsidR="00B0507A" w:rsidRPr="00E97782" w:rsidRDefault="009F2DD7" w:rsidP="007879EF">
      <w:pPr>
        <w:pStyle w:val="NormalWeb"/>
        <w:rPr>
          <w:lang w:val="en-US"/>
        </w:rPr>
      </w:pPr>
      <w:r w:rsidRPr="00E97782">
        <w:rPr>
          <w:lang w:val="en-US"/>
        </w:rPr>
        <w:t>2. Please do not abbreviate journal titles.</w:t>
      </w:r>
    </w:p>
    <w:p w14:paraId="5517A265" w14:textId="27C7C060" w:rsidR="00B0507A" w:rsidRPr="00E97782" w:rsidRDefault="00B0507A" w:rsidP="00B0507A">
      <w:pPr>
        <w:pStyle w:val="NormalWeb"/>
        <w:numPr>
          <w:ilvl w:val="0"/>
          <w:numId w:val="2"/>
        </w:numPr>
        <w:rPr>
          <w:lang w:val="en-US"/>
        </w:rPr>
      </w:pPr>
      <w:r w:rsidRPr="00E97782">
        <w:rPr>
          <w:b/>
          <w:lang w:val="en-US"/>
        </w:rPr>
        <w:t>This issue has been corrected in the revised manuscript</w:t>
      </w:r>
      <w:r w:rsidR="00E35E68" w:rsidRPr="00E97782">
        <w:rPr>
          <w:b/>
          <w:lang w:val="en-US"/>
        </w:rPr>
        <w:t>.</w:t>
      </w:r>
    </w:p>
    <w:p w14:paraId="06BDF1A9" w14:textId="77777777" w:rsidR="007879EF" w:rsidRPr="00E97782" w:rsidRDefault="009F2DD7" w:rsidP="00B0507A">
      <w:pPr>
        <w:pStyle w:val="NormalWeb"/>
        <w:rPr>
          <w:lang w:val="en-US"/>
        </w:rPr>
      </w:pPr>
      <w:r w:rsidRPr="00E97782">
        <w:rPr>
          <w:lang w:val="en-US"/>
        </w:rPr>
        <w:t>Table of Materials:</w:t>
      </w:r>
    </w:p>
    <w:p w14:paraId="3FEC8243" w14:textId="77777777" w:rsidR="007879EF" w:rsidRPr="00E97782" w:rsidRDefault="009F2DD7" w:rsidP="007879EF">
      <w:pPr>
        <w:pStyle w:val="NormalWeb"/>
        <w:rPr>
          <w:lang w:val="en-US"/>
        </w:rPr>
      </w:pPr>
      <w:r w:rsidRPr="00E97782">
        <w:rPr>
          <w:lang w:val="en-US"/>
        </w:rPr>
        <w:br/>
        <w:t>1. Please ensure the Table of Materials has information on all materials and equipment used, especially those mentioned in the Protocol.</w:t>
      </w:r>
    </w:p>
    <w:p w14:paraId="7DB8BA98" w14:textId="448AF710" w:rsidR="00BD2F01" w:rsidRPr="00E97782" w:rsidRDefault="00383161" w:rsidP="00BD2F01">
      <w:pPr>
        <w:pStyle w:val="NormalWeb"/>
        <w:numPr>
          <w:ilvl w:val="0"/>
          <w:numId w:val="2"/>
        </w:numPr>
        <w:rPr>
          <w:b/>
          <w:lang w:val="en-US"/>
        </w:rPr>
      </w:pPr>
      <w:r w:rsidRPr="00E97782">
        <w:rPr>
          <w:b/>
          <w:lang w:val="en-US"/>
        </w:rPr>
        <w:t>In the revised manuscript we have ensured that all reagents, materials and e</w:t>
      </w:r>
      <w:r w:rsidR="00BD2F01" w:rsidRPr="00E97782">
        <w:rPr>
          <w:b/>
          <w:lang w:val="en-US"/>
        </w:rPr>
        <w:t>quipment used in the protocol are</w:t>
      </w:r>
      <w:r w:rsidRPr="00E97782">
        <w:rPr>
          <w:b/>
          <w:lang w:val="en-US"/>
        </w:rPr>
        <w:t xml:space="preserve"> listed. </w:t>
      </w:r>
    </w:p>
    <w:p w14:paraId="24F0EB53" w14:textId="77777777" w:rsidR="00BD2F01" w:rsidRPr="00E97782" w:rsidRDefault="009F2DD7" w:rsidP="00BD2F01">
      <w:pPr>
        <w:pStyle w:val="NormalWeb"/>
        <w:rPr>
          <w:lang w:val="en-US"/>
        </w:rPr>
      </w:pPr>
      <w:r w:rsidRPr="00E97782">
        <w:rPr>
          <w:lang w:val="en-US"/>
        </w:rPr>
        <w:t>2. Please remove trademark (™) and registered (®) symbols from the Table of Materials.</w:t>
      </w:r>
    </w:p>
    <w:p w14:paraId="342337CF" w14:textId="795758A0" w:rsidR="00BD2F01" w:rsidRPr="00E97782" w:rsidRDefault="0097650E" w:rsidP="00BD2F01">
      <w:pPr>
        <w:pStyle w:val="NormalWeb"/>
        <w:numPr>
          <w:ilvl w:val="0"/>
          <w:numId w:val="2"/>
        </w:numPr>
        <w:rPr>
          <w:b/>
          <w:lang w:val="en-US"/>
        </w:rPr>
      </w:pPr>
      <w:r w:rsidRPr="00E97782">
        <w:rPr>
          <w:b/>
          <w:lang w:val="en-US"/>
        </w:rPr>
        <w:t>I</w:t>
      </w:r>
      <w:r w:rsidR="00BD2F01" w:rsidRPr="00E97782">
        <w:rPr>
          <w:b/>
          <w:lang w:val="en-US"/>
        </w:rPr>
        <w:t>n the revised manuscript, we have removed all trademark and registered symbols.</w:t>
      </w:r>
    </w:p>
    <w:p w14:paraId="3DE948A0" w14:textId="77777777" w:rsidR="0071164D" w:rsidRPr="00E97782" w:rsidRDefault="009F2DD7" w:rsidP="0071164D">
      <w:pPr>
        <w:pStyle w:val="NormalWeb"/>
        <w:rPr>
          <w:lang w:val="en-US"/>
        </w:rPr>
      </w:pPr>
      <w:r w:rsidRPr="00E97782">
        <w:rPr>
          <w:lang w:val="en-US"/>
        </w:rPr>
        <w:br/>
      </w:r>
      <w:r w:rsidRPr="00E97782">
        <w:rPr>
          <w:lang w:val="en-US"/>
        </w:rPr>
        <w:br/>
      </w:r>
      <w:r w:rsidRPr="00E97782">
        <w:rPr>
          <w:rStyle w:val="Strong"/>
          <w:lang w:val="en-US"/>
        </w:rPr>
        <w:t>Reviewers' comments:</w:t>
      </w:r>
      <w:r w:rsidRPr="00E97782">
        <w:rPr>
          <w:lang w:val="en-US"/>
        </w:rPr>
        <w:br/>
        <w:t>Reviewer #1:</w:t>
      </w:r>
      <w:r w:rsidRPr="00E97782">
        <w:rPr>
          <w:lang w:val="en-US"/>
        </w:rPr>
        <w:br/>
      </w:r>
      <w:r w:rsidRPr="00E97782">
        <w:rPr>
          <w:lang w:val="en-US"/>
        </w:rPr>
        <w:br/>
        <w:t>Manuscript Summary:</w:t>
      </w:r>
      <w:r w:rsidRPr="00E97782">
        <w:rPr>
          <w:lang w:val="en-US"/>
        </w:rPr>
        <w:br/>
        <w:t>Reconstitution of immune deficient mice with CD34+ cord blood cells is not a new procedure neither are the virological assays described novel. There are additional concerns in providing cART in a diet rather than ensuring garage or injectable dosing as drug levels would be highly variable. There are no antiretroviral drug levels provided in the plasma of these animals. Additional concerns are the adequate human cell reconstitution in the genitourinary system in mice reconstituted mice with CD34+ cord blood. This is known to be highly variable and inferior to what is seen in replicate BLT transplanted animals.</w:t>
      </w:r>
      <w:r w:rsidRPr="00E97782">
        <w:rPr>
          <w:lang w:val="en-US"/>
        </w:rPr>
        <w:br/>
      </w:r>
      <w:r w:rsidRPr="00E97782">
        <w:rPr>
          <w:lang w:val="en-US"/>
        </w:rPr>
        <w:br/>
        <w:t>Major Concerns:</w:t>
      </w:r>
      <w:r w:rsidRPr="00E97782">
        <w:rPr>
          <w:lang w:val="en-US"/>
        </w:rPr>
        <w:br/>
        <w:t>Novelty of CD34+ humanization using cord blood and approach limitations in establishing intravaginal infections with these animals compared to more conventional BLT mice.</w:t>
      </w:r>
      <w:r w:rsidRPr="00E97782">
        <w:rPr>
          <w:lang w:val="en-US"/>
        </w:rPr>
        <w:br/>
      </w:r>
      <w:r w:rsidRPr="00E97782">
        <w:rPr>
          <w:lang w:val="en-US"/>
        </w:rPr>
        <w:br/>
        <w:t>Minor Concerns:</w:t>
      </w:r>
      <w:r w:rsidRPr="00E97782">
        <w:rPr>
          <w:lang w:val="en-US"/>
        </w:rPr>
        <w:br/>
        <w:t>None</w:t>
      </w:r>
      <w:r w:rsidRPr="00E97782">
        <w:rPr>
          <w:lang w:val="en-US"/>
        </w:rPr>
        <w:br/>
      </w:r>
    </w:p>
    <w:p w14:paraId="36D84C99" w14:textId="20FD7774" w:rsidR="003B228F" w:rsidRPr="00E97782" w:rsidRDefault="0071164D" w:rsidP="003B228F">
      <w:pPr>
        <w:pStyle w:val="NormalWeb"/>
        <w:numPr>
          <w:ilvl w:val="0"/>
          <w:numId w:val="2"/>
        </w:numPr>
        <w:rPr>
          <w:b/>
          <w:lang w:val="en-US"/>
        </w:rPr>
      </w:pPr>
      <w:r w:rsidRPr="00E97782">
        <w:rPr>
          <w:b/>
          <w:lang w:val="en-US"/>
        </w:rPr>
        <w:t>We appreciate the reviewer</w:t>
      </w:r>
      <w:r w:rsidR="003B228F" w:rsidRPr="00E97782">
        <w:rPr>
          <w:b/>
          <w:lang w:val="en-US"/>
        </w:rPr>
        <w:t>’</w:t>
      </w:r>
      <w:r w:rsidRPr="00E97782">
        <w:rPr>
          <w:b/>
          <w:lang w:val="en-US"/>
        </w:rPr>
        <w:t xml:space="preserve">s perspectives. Regarding cART delivery in food, we agree that we have not performed </w:t>
      </w:r>
      <w:r w:rsidR="00637CC6">
        <w:rPr>
          <w:b/>
          <w:lang w:val="en-US"/>
        </w:rPr>
        <w:t>a definitive</w:t>
      </w:r>
      <w:r w:rsidRPr="00E97782">
        <w:rPr>
          <w:b/>
          <w:lang w:val="en-US"/>
        </w:rPr>
        <w:t xml:space="preserve"> head-to-head test of delivering cART via food </w:t>
      </w:r>
      <w:r w:rsidRPr="00E97782">
        <w:rPr>
          <w:b/>
          <w:lang w:val="en-US"/>
        </w:rPr>
        <w:lastRenderedPageBreak/>
        <w:t xml:space="preserve">pellets, gavage and </w:t>
      </w:r>
      <w:r w:rsidR="003B228F" w:rsidRPr="00E97782">
        <w:rPr>
          <w:b/>
          <w:lang w:val="en-US"/>
        </w:rPr>
        <w:t>injection</w:t>
      </w:r>
      <w:r w:rsidRPr="00E97782">
        <w:rPr>
          <w:b/>
          <w:lang w:val="en-US"/>
        </w:rPr>
        <w:t>.</w:t>
      </w:r>
      <w:r w:rsidR="003B228F" w:rsidRPr="00E97782">
        <w:rPr>
          <w:b/>
          <w:lang w:val="en-US"/>
        </w:rPr>
        <w:t xml:space="preserve"> We are unaware of any study that has shown this comparison in humanized mice. Thus, we cannot speak to the potential for drug level variability that is </w:t>
      </w:r>
      <w:r w:rsidR="00637CC6">
        <w:rPr>
          <w:b/>
          <w:lang w:val="en-US"/>
        </w:rPr>
        <w:t>suggested</w:t>
      </w:r>
      <w:r w:rsidR="003B228F" w:rsidRPr="00E97782">
        <w:rPr>
          <w:b/>
          <w:lang w:val="en-US"/>
        </w:rPr>
        <w:t xml:space="preserve">. However, it is clear that </w:t>
      </w:r>
      <w:r w:rsidR="00637CC6">
        <w:rPr>
          <w:b/>
          <w:lang w:val="en-US"/>
        </w:rPr>
        <w:t>there is</w:t>
      </w:r>
      <w:r w:rsidR="003B228F" w:rsidRPr="00E97782">
        <w:rPr>
          <w:b/>
          <w:lang w:val="en-US"/>
        </w:rPr>
        <w:t xml:space="preserve"> </w:t>
      </w:r>
      <w:r w:rsidR="00637CC6">
        <w:rPr>
          <w:b/>
          <w:lang w:val="en-US"/>
        </w:rPr>
        <w:t>effective</w:t>
      </w:r>
      <w:r w:rsidR="003B228F" w:rsidRPr="00E97782">
        <w:rPr>
          <w:b/>
          <w:lang w:val="en-US"/>
        </w:rPr>
        <w:t xml:space="preserve"> drug delivery via food pellets. This is reflected both in our own data regarding the ability of cART in food pellets to maintain sustained suppression of HIV viremia in HIV infected mice for the duration of the treatment period as well as in the data from the originally published work using </w:t>
      </w:r>
      <w:r w:rsidR="00637CC6">
        <w:rPr>
          <w:b/>
          <w:lang w:val="en-US"/>
        </w:rPr>
        <w:t>food for</w:t>
      </w:r>
      <w:r w:rsidR="003B228F" w:rsidRPr="00E97782">
        <w:rPr>
          <w:b/>
          <w:lang w:val="en-US"/>
        </w:rPr>
        <w:t xml:space="preserve"> cART delivery (</w:t>
      </w:r>
      <w:r w:rsidR="003B228F" w:rsidRPr="00253DAC">
        <w:rPr>
          <w:b/>
          <w:highlight w:val="lightGray"/>
          <w:lang w:val="en-US"/>
        </w:rPr>
        <w:t>ref</w:t>
      </w:r>
      <w:r w:rsidR="00253DAC">
        <w:rPr>
          <w:b/>
          <w:highlight w:val="lightGray"/>
          <w:lang w:val="en-US"/>
        </w:rPr>
        <w:t>#</w:t>
      </w:r>
      <w:r w:rsidR="003B228F" w:rsidRPr="00253DAC">
        <w:rPr>
          <w:b/>
          <w:highlight w:val="lightGray"/>
          <w:lang w:val="en-US"/>
        </w:rPr>
        <w:t xml:space="preserve"> </w:t>
      </w:r>
      <w:r w:rsidR="00253DAC" w:rsidRPr="00253DAC">
        <w:rPr>
          <w:b/>
          <w:highlight w:val="lightGray"/>
          <w:lang w:val="en-US"/>
        </w:rPr>
        <w:t>21</w:t>
      </w:r>
      <w:r w:rsidR="003B228F" w:rsidRPr="00E97782">
        <w:rPr>
          <w:b/>
          <w:lang w:val="en-US"/>
        </w:rPr>
        <w:t>).</w:t>
      </w:r>
      <w:r w:rsidRPr="00E97782">
        <w:rPr>
          <w:b/>
          <w:lang w:val="en-US"/>
        </w:rPr>
        <w:t xml:space="preserve"> </w:t>
      </w:r>
      <w:r w:rsidR="003B228F" w:rsidRPr="00E97782">
        <w:rPr>
          <w:b/>
          <w:lang w:val="en-US"/>
        </w:rPr>
        <w:t>Simpl</w:t>
      </w:r>
      <w:r w:rsidR="00637CC6">
        <w:rPr>
          <w:b/>
          <w:lang w:val="en-US"/>
        </w:rPr>
        <w:t>y</w:t>
      </w:r>
      <w:r w:rsidR="003B228F" w:rsidRPr="00E97782">
        <w:rPr>
          <w:b/>
          <w:lang w:val="en-US"/>
        </w:rPr>
        <w:t xml:space="preserve"> </w:t>
      </w:r>
      <w:r w:rsidR="00637CC6">
        <w:rPr>
          <w:b/>
          <w:lang w:val="en-US"/>
        </w:rPr>
        <w:t>replacing the</w:t>
      </w:r>
      <w:r w:rsidR="003B228F" w:rsidRPr="00E97782">
        <w:rPr>
          <w:b/>
          <w:lang w:val="en-US"/>
        </w:rPr>
        <w:t xml:space="preserve"> food </w:t>
      </w:r>
      <w:r w:rsidR="00637CC6">
        <w:rPr>
          <w:b/>
          <w:lang w:val="en-US"/>
        </w:rPr>
        <w:t>in a cage leads to</w:t>
      </w:r>
      <w:r w:rsidR="003B228F" w:rsidRPr="00E97782">
        <w:rPr>
          <w:b/>
          <w:lang w:val="en-US"/>
        </w:rPr>
        <w:t xml:space="preserve"> </w:t>
      </w:r>
      <w:r w:rsidR="00637CC6">
        <w:rPr>
          <w:b/>
          <w:lang w:val="en-US"/>
        </w:rPr>
        <w:t>sustained</w:t>
      </w:r>
      <w:r w:rsidR="003B228F" w:rsidRPr="00E97782">
        <w:rPr>
          <w:b/>
          <w:lang w:val="en-US"/>
        </w:rPr>
        <w:t xml:space="preserve"> viral suppression </w:t>
      </w:r>
      <w:r w:rsidR="00637CC6">
        <w:rPr>
          <w:b/>
          <w:lang w:val="en-US"/>
        </w:rPr>
        <w:t>in a manner that is</w:t>
      </w:r>
      <w:r w:rsidR="003B228F" w:rsidRPr="00E97782">
        <w:rPr>
          <w:b/>
          <w:lang w:val="en-US"/>
        </w:rPr>
        <w:t xml:space="preserve"> far less invasive for the animals than either gavage or injection. Thus, we are utilizing this drug delivery method without any claims about its superiority</w:t>
      </w:r>
      <w:r w:rsidR="00637CC6">
        <w:rPr>
          <w:b/>
          <w:lang w:val="en-US"/>
        </w:rPr>
        <w:t xml:space="preserve"> for drug delivery versus</w:t>
      </w:r>
      <w:r w:rsidR="003B228F" w:rsidRPr="00E97782">
        <w:rPr>
          <w:b/>
          <w:lang w:val="en-US"/>
        </w:rPr>
        <w:t xml:space="preserve"> other methods. We claim it as a refinement of the drug delivery method simply because it is less invasive to the </w:t>
      </w:r>
      <w:r w:rsidR="00637CC6">
        <w:rPr>
          <w:b/>
          <w:lang w:val="en-US"/>
        </w:rPr>
        <w:t>mice</w:t>
      </w:r>
      <w:r w:rsidR="003B228F" w:rsidRPr="00E97782">
        <w:rPr>
          <w:b/>
          <w:lang w:val="en-US"/>
        </w:rPr>
        <w:t xml:space="preserve"> </w:t>
      </w:r>
      <w:r w:rsidR="00637CC6">
        <w:rPr>
          <w:b/>
          <w:lang w:val="en-US"/>
        </w:rPr>
        <w:t>while being very</w:t>
      </w:r>
      <w:r w:rsidR="003B228F" w:rsidRPr="00E97782">
        <w:rPr>
          <w:b/>
          <w:lang w:val="en-US"/>
        </w:rPr>
        <w:t xml:space="preserve"> effective</w:t>
      </w:r>
      <w:r w:rsidR="00637CC6">
        <w:rPr>
          <w:b/>
          <w:lang w:val="en-US"/>
        </w:rPr>
        <w:t xml:space="preserve"> at viral suppression</w:t>
      </w:r>
      <w:r w:rsidR="003B228F" w:rsidRPr="00E97782">
        <w:rPr>
          <w:b/>
          <w:lang w:val="en-US"/>
        </w:rPr>
        <w:t>.</w:t>
      </w:r>
    </w:p>
    <w:p w14:paraId="00B13DC7" w14:textId="51AE5BEE" w:rsidR="003B228F" w:rsidRPr="003804D0" w:rsidRDefault="003B228F" w:rsidP="003B228F">
      <w:pPr>
        <w:pStyle w:val="NormalWeb"/>
        <w:numPr>
          <w:ilvl w:val="0"/>
          <w:numId w:val="2"/>
        </w:numPr>
        <w:rPr>
          <w:b/>
          <w:lang w:val="en-US"/>
        </w:rPr>
      </w:pPr>
      <w:r w:rsidRPr="00E97782">
        <w:rPr>
          <w:b/>
          <w:lang w:val="en-US"/>
        </w:rPr>
        <w:t xml:space="preserve">We are unsure what published data the reviewer is referencing when they claim that the genitourinary system of mice reconstituted mice with CD34+ cord blood is highly variable and inferior to what is seen in replicate BLT </w:t>
      </w:r>
      <w:r w:rsidRPr="002D5BB3">
        <w:rPr>
          <w:b/>
          <w:lang w:val="en-US"/>
        </w:rPr>
        <w:t>transplanted animals. In contrast to this statement, there are many papers that have used CD34+ transplanted animals</w:t>
      </w:r>
      <w:r w:rsidR="00637CC6" w:rsidRPr="002D5BB3">
        <w:rPr>
          <w:b/>
          <w:lang w:val="en-US"/>
        </w:rPr>
        <w:t xml:space="preserve"> (multiple mouse strains)</w:t>
      </w:r>
      <w:r w:rsidRPr="002D5BB3">
        <w:rPr>
          <w:b/>
          <w:lang w:val="en-US"/>
        </w:rPr>
        <w:t xml:space="preserve"> to conduct vaginal HIV </w:t>
      </w:r>
      <w:r w:rsidR="00E97782" w:rsidRPr="002D5BB3">
        <w:rPr>
          <w:b/>
          <w:lang w:val="en-US"/>
        </w:rPr>
        <w:t xml:space="preserve">studies (one review on this topic is by us and found in </w:t>
      </w:r>
      <w:r w:rsidR="00E97782" w:rsidRPr="002D5BB3">
        <w:rPr>
          <w:b/>
          <w:bCs/>
          <w:lang w:val="en-US"/>
        </w:rPr>
        <w:t xml:space="preserve">Chapter 19 (pg. 235-245) of the book: Humanized Mice for HIV Research, ISBN 978-1-4939-1655-9). In fact, the ability to utilize so many strains of mice transplanted </w:t>
      </w:r>
      <w:r w:rsidR="00E97782" w:rsidRPr="003804D0">
        <w:rPr>
          <w:b/>
          <w:bCs/>
          <w:lang w:val="en-US"/>
        </w:rPr>
        <w:t>with only hCD34+ cells (no thymic implant) is why we submitted this video protocol for publication.</w:t>
      </w:r>
      <w:r w:rsidR="00637CC6" w:rsidRPr="003804D0">
        <w:rPr>
          <w:b/>
          <w:bCs/>
          <w:lang w:val="en-US"/>
        </w:rPr>
        <w:t xml:space="preserve"> We are not emphasizing novelty. Rather we are making a video protocol available to increase accessibility to a very useful technique</w:t>
      </w:r>
      <w:r w:rsidR="00770CDC" w:rsidRPr="003804D0">
        <w:rPr>
          <w:b/>
          <w:bCs/>
          <w:lang w:val="en-US"/>
        </w:rPr>
        <w:t xml:space="preserve"> (as noted by Reviewer 2)</w:t>
      </w:r>
      <w:r w:rsidR="00637CC6" w:rsidRPr="003804D0">
        <w:rPr>
          <w:b/>
          <w:bCs/>
          <w:lang w:val="en-US"/>
        </w:rPr>
        <w:t>.</w:t>
      </w:r>
      <w:r w:rsidR="00E97782" w:rsidRPr="003804D0">
        <w:rPr>
          <w:b/>
          <w:bCs/>
          <w:lang w:val="en-US"/>
        </w:rPr>
        <w:t xml:space="preserve"> Perhaps the reviewer is mixing their comment with the fact that human reconstitution of the intestinal tract is indeed variable between humanized mouse strains. This is something that we have provided a mechanistic explanation for in our papers. Specifically, the immune inductive sites of the intestine are not formed when gamma chain signaling is absent (PMID: </w:t>
      </w:r>
      <w:r w:rsidR="00E97782" w:rsidRPr="003804D0">
        <w:rPr>
          <w:b/>
          <w:bCs/>
        </w:rPr>
        <w:t xml:space="preserve">22569301 and </w:t>
      </w:r>
      <w:r w:rsidR="00E97782" w:rsidRPr="003804D0">
        <w:rPr>
          <w:b/>
          <w:bCs/>
          <w:lang w:val="en-US"/>
        </w:rPr>
        <w:t xml:space="preserve">23791525). This is not dependent upon the human transplant technique (stem cells only versus BLT), but </w:t>
      </w:r>
      <w:r w:rsidR="00770CDC" w:rsidRPr="003804D0">
        <w:rPr>
          <w:b/>
          <w:bCs/>
          <w:lang w:val="en-US"/>
        </w:rPr>
        <w:t xml:space="preserve">it </w:t>
      </w:r>
      <w:r w:rsidR="00E97782" w:rsidRPr="003804D0">
        <w:rPr>
          <w:b/>
          <w:bCs/>
          <w:lang w:val="en-US"/>
        </w:rPr>
        <w:t xml:space="preserve">is driven by the strain of mouse that is being </w:t>
      </w:r>
      <w:r w:rsidR="00637CC6" w:rsidRPr="003804D0">
        <w:rPr>
          <w:b/>
          <w:bCs/>
          <w:lang w:val="en-US"/>
        </w:rPr>
        <w:t>humanized</w:t>
      </w:r>
      <w:r w:rsidR="00E97782" w:rsidRPr="003804D0">
        <w:rPr>
          <w:b/>
          <w:bCs/>
          <w:lang w:val="en-US"/>
        </w:rPr>
        <w:t>.</w:t>
      </w:r>
    </w:p>
    <w:p w14:paraId="0D2FF4C9" w14:textId="5D149C60" w:rsidR="00172970" w:rsidRPr="00E97782" w:rsidRDefault="009F2DD7" w:rsidP="0071164D">
      <w:pPr>
        <w:pStyle w:val="NormalWeb"/>
        <w:rPr>
          <w:lang w:val="en-US"/>
        </w:rPr>
      </w:pPr>
      <w:r w:rsidRPr="00E97782">
        <w:rPr>
          <w:lang w:val="en-US"/>
        </w:rPr>
        <w:br/>
        <w:t>Reviewer #2:</w:t>
      </w:r>
      <w:r w:rsidRPr="00E97782">
        <w:rPr>
          <w:lang w:val="en-US"/>
        </w:rPr>
        <w:br/>
      </w:r>
      <w:r w:rsidRPr="00E97782">
        <w:rPr>
          <w:lang w:val="en-US"/>
        </w:rPr>
        <w:br/>
        <w:t>Manuscript Summary:</w:t>
      </w:r>
      <w:r w:rsidRPr="00E97782">
        <w:rPr>
          <w:lang w:val="en-US"/>
        </w:rPr>
        <w:br/>
      </w:r>
      <w:r w:rsidRPr="00E97782">
        <w:rPr>
          <w:lang w:val="en-US"/>
        </w:rPr>
        <w:br/>
        <w:t>In the manuscript "Humanized NOG mice for intravaginal HIV exposure and treatment of HIV infection", Andersen and colleagues focused on describing the methodology to establish HIV-1 infection via vaginal route in a humanized mouse model. The hu-mouse model is prepared by using human cord blood CD34 cells. A detailed protocol to detect the CCR5Δ32/WT or CCR5Δ32/ Δ32 genotypic deletions in the human CD34+ cord blood cells was included in addition to assaying the viral loads in plasma by a very sensitive ddPCR. Viral control by using cART treatment via drug incorporated feed pellets was described.</w:t>
      </w:r>
      <w:r w:rsidRPr="00E97782">
        <w:rPr>
          <w:lang w:val="en-US"/>
        </w:rPr>
        <w:br/>
      </w:r>
      <w:r w:rsidRPr="00E97782">
        <w:rPr>
          <w:lang w:val="en-US"/>
        </w:rPr>
        <w:br/>
        <w:t>All the methods described in this manuscript were already published in the literature including some by the present authors' themselves and thus there is not much new here. However, the idea of putting together many previously described methods in one setting in the JoVE journal is a good one and will be helpful to the investigators that are newly entering the field. Using the drugs in a feed is a very good idea to reduce mouse stress and technician time.</w:t>
      </w:r>
      <w:r w:rsidRPr="00E97782">
        <w:rPr>
          <w:lang w:val="en-US"/>
        </w:rPr>
        <w:br/>
      </w:r>
      <w:r w:rsidRPr="00E97782">
        <w:rPr>
          <w:lang w:val="en-US"/>
        </w:rPr>
        <w:lastRenderedPageBreak/>
        <w:br/>
        <w:t>The paper is primarily about describing the hu-HSC humanized mouse model as a substitute for BLT mouse model for HIV-1. The present manuscript starts well in description in the beginning but fades and becomes diffuse towards the end wherein cART was discussed. Many manuscripts using the hu-HSC model for vaginal HIV-1 transmission were previously published by other groups particularly from the Akkina group and this was not sufficiently acknowledged in the references section which needs to be rectified. The following points need to be addressed to improve and make this paper acceptable.</w:t>
      </w:r>
      <w:r w:rsidRPr="00E97782">
        <w:rPr>
          <w:lang w:val="en-US"/>
        </w:rPr>
        <w:br/>
      </w:r>
      <w:r w:rsidRPr="00E97782">
        <w:rPr>
          <w:lang w:val="en-US"/>
        </w:rPr>
        <w:br/>
        <w:t>Major Concerns:</w:t>
      </w:r>
      <w:r w:rsidRPr="00E97782">
        <w:rPr>
          <w:lang w:val="en-US"/>
        </w:rPr>
        <w:br/>
      </w:r>
      <w:r w:rsidRPr="00E97782">
        <w:rPr>
          <w:lang w:val="en-US"/>
        </w:rPr>
        <w:br/>
        <w:t>1. The literature review and references are not inclusive of previous important contributions that used hu-HSC mice for HIV-1 vaginal transmission. A methods paper by M. Veselinovic et al 2016, Methods in Molecular Biology, 1354:203 would need to be cited. A review by Akkina 2013, Virology 435;14-28 that compares hu-HSC and BLT models for mucosal transmission need to be cited as well in the background section.</w:t>
      </w:r>
      <w:r w:rsidRPr="00E97782">
        <w:rPr>
          <w:lang w:val="en-US"/>
        </w:rPr>
        <w:br/>
      </w:r>
    </w:p>
    <w:p w14:paraId="6433E7CE" w14:textId="7F44A547" w:rsidR="00172970" w:rsidRPr="00E97782" w:rsidRDefault="00172970" w:rsidP="00172970">
      <w:pPr>
        <w:pStyle w:val="NormalWeb"/>
        <w:numPr>
          <w:ilvl w:val="0"/>
          <w:numId w:val="2"/>
        </w:numPr>
        <w:rPr>
          <w:lang w:val="en-US"/>
        </w:rPr>
      </w:pPr>
      <w:r w:rsidRPr="00E97782">
        <w:rPr>
          <w:b/>
          <w:lang w:val="en-US"/>
        </w:rPr>
        <w:t xml:space="preserve">We thank the reviewer for reminding us of </w:t>
      </w:r>
      <w:r w:rsidR="008B5A47">
        <w:rPr>
          <w:b/>
          <w:lang w:val="en-US"/>
        </w:rPr>
        <w:t>the</w:t>
      </w:r>
      <w:r w:rsidR="0073550B">
        <w:rPr>
          <w:b/>
          <w:lang w:val="en-US"/>
        </w:rPr>
        <w:t>s</w:t>
      </w:r>
      <w:r w:rsidR="008B5A47">
        <w:rPr>
          <w:b/>
          <w:lang w:val="en-US"/>
        </w:rPr>
        <w:t>e</w:t>
      </w:r>
      <w:r w:rsidR="0073550B" w:rsidRPr="00E97782">
        <w:rPr>
          <w:b/>
          <w:lang w:val="en-US"/>
        </w:rPr>
        <w:t xml:space="preserve"> </w:t>
      </w:r>
      <w:r w:rsidRPr="00E97782">
        <w:rPr>
          <w:b/>
          <w:lang w:val="en-US"/>
        </w:rPr>
        <w:t>important piece</w:t>
      </w:r>
      <w:r w:rsidR="0073550B">
        <w:rPr>
          <w:b/>
          <w:lang w:val="en-US"/>
        </w:rPr>
        <w:t>s</w:t>
      </w:r>
      <w:r w:rsidRPr="00E97782">
        <w:rPr>
          <w:b/>
          <w:lang w:val="en-US"/>
        </w:rPr>
        <w:t xml:space="preserve"> of literature. We have ensured that </w:t>
      </w:r>
      <w:r w:rsidR="0073550B">
        <w:rPr>
          <w:b/>
          <w:lang w:val="en-US"/>
        </w:rPr>
        <w:t>these</w:t>
      </w:r>
      <w:r w:rsidR="0073550B" w:rsidRPr="00E97782">
        <w:rPr>
          <w:b/>
          <w:lang w:val="en-US"/>
        </w:rPr>
        <w:t xml:space="preserve"> </w:t>
      </w:r>
      <w:r w:rsidR="006D3A72">
        <w:rPr>
          <w:b/>
          <w:lang w:val="en-US"/>
        </w:rPr>
        <w:t xml:space="preserve">and other relevant </w:t>
      </w:r>
      <w:r w:rsidRPr="00E97782">
        <w:rPr>
          <w:b/>
          <w:lang w:val="en-US"/>
        </w:rPr>
        <w:t xml:space="preserve">references are now </w:t>
      </w:r>
      <w:r w:rsidR="0073550B">
        <w:rPr>
          <w:b/>
          <w:lang w:val="en-US"/>
        </w:rPr>
        <w:t xml:space="preserve">properly </w:t>
      </w:r>
      <w:r w:rsidRPr="00E97782">
        <w:rPr>
          <w:b/>
          <w:lang w:val="en-US"/>
        </w:rPr>
        <w:t xml:space="preserve">cited. </w:t>
      </w:r>
    </w:p>
    <w:p w14:paraId="0A1998E3" w14:textId="0FE988C0" w:rsidR="00E93C02" w:rsidRPr="00E97782" w:rsidRDefault="009F2DD7" w:rsidP="007879EF">
      <w:pPr>
        <w:pStyle w:val="NormalWeb"/>
        <w:rPr>
          <w:lang w:val="en-US"/>
        </w:rPr>
      </w:pPr>
      <w:r w:rsidRPr="00E97782">
        <w:rPr>
          <w:lang w:val="en-US"/>
        </w:rPr>
        <w:br/>
        <w:t>2. The viral infecting dose (5,000 infectious units) described here as a low dose is not really a low dose for a mouse. Other investigators described 100% of mice being infected (Berges et al 2008 ref) with a lower R5 viral vaginal exposure (200TCID/50). Is it because here only 75,000 CD34 cells from cord blood cell source were used resulting in lower vaginal mucosal engraftment compared with other Hu-HSC mucosal transmission reports? This needs to be clarified.</w:t>
      </w:r>
    </w:p>
    <w:p w14:paraId="3686E769" w14:textId="03161051" w:rsidR="00016331" w:rsidRPr="00E459CA" w:rsidRDefault="006A1CA1" w:rsidP="00E459CA">
      <w:pPr>
        <w:pStyle w:val="NormalWeb"/>
        <w:numPr>
          <w:ilvl w:val="0"/>
          <w:numId w:val="2"/>
        </w:numPr>
        <w:rPr>
          <w:b/>
          <w:lang w:val="en-US"/>
        </w:rPr>
      </w:pPr>
      <w:r w:rsidRPr="00E459CA">
        <w:rPr>
          <w:b/>
          <w:lang w:val="en-US"/>
        </w:rPr>
        <w:t xml:space="preserve">Because it is virtually impossible to compare an inoculum reported as a TCID50 with a </w:t>
      </w:r>
      <w:r w:rsidRPr="00A36156">
        <w:rPr>
          <w:b/>
          <w:lang w:val="en-US"/>
        </w:rPr>
        <w:t>TCIU</w:t>
      </w:r>
      <w:r w:rsidR="005B3308">
        <w:rPr>
          <w:b/>
          <w:lang w:val="en-US"/>
        </w:rPr>
        <w:t>(IU)</w:t>
      </w:r>
      <w:r w:rsidRPr="00A36156">
        <w:rPr>
          <w:b/>
          <w:lang w:val="en-US"/>
        </w:rPr>
        <w:t xml:space="preserve"> as we rep</w:t>
      </w:r>
      <w:r w:rsidRPr="00C339D7">
        <w:rPr>
          <w:b/>
          <w:lang w:val="en-US"/>
        </w:rPr>
        <w:t xml:space="preserve">ort here, we have removed the language that we had included regarding </w:t>
      </w:r>
      <w:r w:rsidRPr="00E459CA">
        <w:rPr>
          <w:b/>
          <w:lang w:val="en-US"/>
        </w:rPr>
        <w:t xml:space="preserve">“low” inoculum to eliminate confusion. We </w:t>
      </w:r>
      <w:r w:rsidR="00016331" w:rsidRPr="00E459CA">
        <w:rPr>
          <w:b/>
          <w:lang w:val="en-US"/>
        </w:rPr>
        <w:t>now</w:t>
      </w:r>
      <w:r w:rsidRPr="00E459CA">
        <w:rPr>
          <w:b/>
          <w:lang w:val="en-US"/>
        </w:rPr>
        <w:t xml:space="preserve"> state the TCIU values as fact without qualifiers. We would like to note that this</w:t>
      </w:r>
      <w:r w:rsidR="00E93C02" w:rsidRPr="00E459CA">
        <w:rPr>
          <w:b/>
          <w:lang w:val="en-US"/>
        </w:rPr>
        <w:t xml:space="preserve"> question lead us to discover </w:t>
      </w:r>
      <w:r w:rsidR="00591F0C" w:rsidRPr="00E459CA">
        <w:rPr>
          <w:b/>
          <w:lang w:val="en-US"/>
        </w:rPr>
        <w:t xml:space="preserve">an </w:t>
      </w:r>
      <w:r w:rsidR="00016331" w:rsidRPr="00E459CA">
        <w:rPr>
          <w:b/>
          <w:lang w:val="en-US"/>
        </w:rPr>
        <w:t xml:space="preserve">omission </w:t>
      </w:r>
      <w:r w:rsidR="00E93C02" w:rsidRPr="00E459CA">
        <w:rPr>
          <w:b/>
          <w:lang w:val="en-US"/>
        </w:rPr>
        <w:t>in the</w:t>
      </w:r>
      <w:r w:rsidR="00016331" w:rsidRPr="00E459CA">
        <w:rPr>
          <w:b/>
          <w:lang w:val="en-US"/>
        </w:rPr>
        <w:t xml:space="preserve"> previously submitted version of our</w:t>
      </w:r>
      <w:r w:rsidR="00E93C02" w:rsidRPr="00E459CA">
        <w:rPr>
          <w:b/>
          <w:lang w:val="en-US"/>
        </w:rPr>
        <w:t xml:space="preserve"> manuscript</w:t>
      </w:r>
      <w:r w:rsidR="00016331" w:rsidRPr="00E459CA">
        <w:rPr>
          <w:b/>
          <w:lang w:val="en-US"/>
        </w:rPr>
        <w:t xml:space="preserve">. Specifically, we had omitted the inoculum dose for vaginal exposures of HIV.  We have now included the TCIU for both intravenous and vaginal exposures of </w:t>
      </w:r>
      <w:r w:rsidR="00690F15" w:rsidRPr="00E459CA">
        <w:rPr>
          <w:b/>
          <w:lang w:val="en-US"/>
        </w:rPr>
        <w:t xml:space="preserve">in the revised </w:t>
      </w:r>
      <w:r w:rsidR="00253DAC">
        <w:rPr>
          <w:b/>
          <w:lang w:val="en-US"/>
        </w:rPr>
        <w:t xml:space="preserve">where appropriate </w:t>
      </w:r>
      <w:r w:rsidR="00690F15" w:rsidRPr="00E459CA">
        <w:rPr>
          <w:b/>
          <w:lang w:val="en-US"/>
        </w:rPr>
        <w:t>(</w:t>
      </w:r>
      <w:r w:rsidR="00253DAC">
        <w:rPr>
          <w:b/>
          <w:lang w:val="en-US"/>
        </w:rPr>
        <w:t xml:space="preserve">vaginal exposure: </w:t>
      </w:r>
      <w:r w:rsidR="00253DAC" w:rsidRPr="00253DAC">
        <w:rPr>
          <w:b/>
          <w:highlight w:val="lightGray"/>
          <w:lang w:val="en-US"/>
        </w:rPr>
        <w:t>page 6, line 256</w:t>
      </w:r>
      <w:r w:rsidR="00253DAC">
        <w:rPr>
          <w:b/>
          <w:lang w:val="en-US"/>
        </w:rPr>
        <w:t xml:space="preserve">, </w:t>
      </w:r>
      <w:r w:rsidR="00253DAC" w:rsidRPr="005B3308">
        <w:rPr>
          <w:b/>
          <w:highlight w:val="lightGray"/>
          <w:lang w:val="en-US"/>
        </w:rPr>
        <w:t>page 10, line 417</w:t>
      </w:r>
      <w:r w:rsidR="00253DAC">
        <w:rPr>
          <w:b/>
          <w:lang w:val="en-US"/>
        </w:rPr>
        <w:t xml:space="preserve"> and </w:t>
      </w:r>
      <w:r w:rsidR="00253DAC" w:rsidRPr="005B3308">
        <w:rPr>
          <w:b/>
          <w:highlight w:val="lightGray"/>
          <w:lang w:val="en-US"/>
        </w:rPr>
        <w:t>page 11, line 469</w:t>
      </w:r>
      <w:r w:rsidR="00253DAC">
        <w:rPr>
          <w:b/>
          <w:lang w:val="en-US"/>
        </w:rPr>
        <w:t xml:space="preserve">, and intravenous exposure: </w:t>
      </w:r>
      <w:r w:rsidR="00253DAC" w:rsidRPr="005B3308">
        <w:rPr>
          <w:b/>
          <w:highlight w:val="lightGray"/>
          <w:lang w:val="en-US"/>
        </w:rPr>
        <w:t>page 11, line 470</w:t>
      </w:r>
      <w:r w:rsidR="00876241" w:rsidRPr="00E459CA">
        <w:rPr>
          <w:b/>
          <w:lang w:val="en-US"/>
        </w:rPr>
        <w:t>)</w:t>
      </w:r>
      <w:r w:rsidR="00E459CA">
        <w:rPr>
          <w:b/>
          <w:lang w:val="en-US"/>
        </w:rPr>
        <w:t>.</w:t>
      </w:r>
      <w:r w:rsidR="00F27D5D" w:rsidRPr="00E459CA">
        <w:rPr>
          <w:b/>
          <w:lang w:val="en-US"/>
        </w:rPr>
        <w:t xml:space="preserve"> </w:t>
      </w:r>
      <w:r w:rsidR="00016331" w:rsidRPr="00E459CA">
        <w:rPr>
          <w:b/>
          <w:lang w:val="en-US"/>
        </w:rPr>
        <w:t xml:space="preserve">Regarding the impact that the number of CD34 cells transplanted may have on vaginal engraftment, we are not aware of any </w:t>
      </w:r>
      <w:r w:rsidR="00E459CA">
        <w:rPr>
          <w:b/>
          <w:lang w:val="en-US"/>
        </w:rPr>
        <w:t xml:space="preserve">published </w:t>
      </w:r>
      <w:r w:rsidR="00016331" w:rsidRPr="00E459CA">
        <w:rPr>
          <w:b/>
          <w:lang w:val="en-US"/>
        </w:rPr>
        <w:t xml:space="preserve">data that directly addresses this question. The relatively limited number of studies that have performed head to head </w:t>
      </w:r>
      <w:r w:rsidR="00016331" w:rsidRPr="00A36156">
        <w:rPr>
          <w:b/>
          <w:lang w:val="en-US"/>
        </w:rPr>
        <w:t>comparisons of</w:t>
      </w:r>
      <w:r w:rsidR="00016331" w:rsidRPr="00C339D7">
        <w:rPr>
          <w:b/>
          <w:lang w:val="en-US"/>
        </w:rPr>
        <w:t xml:space="preserve"> chimerization strategies in humanized mice have not examined the fe</w:t>
      </w:r>
      <w:r w:rsidR="00016331" w:rsidRPr="00E459CA">
        <w:rPr>
          <w:b/>
          <w:lang w:val="en-US"/>
        </w:rPr>
        <w:t>male reproductive tracts</w:t>
      </w:r>
      <w:r w:rsidR="00E459CA">
        <w:rPr>
          <w:b/>
          <w:lang w:val="en-US"/>
        </w:rPr>
        <w:t xml:space="preserve"> in a comparative manner</w:t>
      </w:r>
      <w:r w:rsidR="00016331" w:rsidRPr="00E459CA">
        <w:rPr>
          <w:b/>
          <w:lang w:val="en-US"/>
        </w:rPr>
        <w:t xml:space="preserve">. In this void of data, we are uncomfortable making any claims regarding relative measures between models. This is a second reason for simply stating our TCIU without qualifies. </w:t>
      </w:r>
    </w:p>
    <w:p w14:paraId="21E9E5B4" w14:textId="50B2F904" w:rsidR="007C6BA2" w:rsidRPr="00E97782" w:rsidRDefault="007C6BA2" w:rsidP="007C6BA2">
      <w:pPr>
        <w:pStyle w:val="NormalWeb"/>
        <w:rPr>
          <w:lang w:val="en-US"/>
        </w:rPr>
      </w:pPr>
      <w:r w:rsidRPr="00E97782">
        <w:rPr>
          <w:lang w:val="en-US"/>
        </w:rPr>
        <w:t>3. The</w:t>
      </w:r>
      <w:r w:rsidR="009F2DD7" w:rsidRPr="00E97782">
        <w:rPr>
          <w:lang w:val="en-US"/>
        </w:rPr>
        <w:t xml:space="preserve"> authors describe using a 20ul pipette tip (Page 6, 7.7) for vaginal delivery of the virus. In practice, the pipette tips can be sharp and can cause abrasions in the mucosa. To overcome this, Berges et al used pipette tips that had been previously heated over a flame to smooth out any </w:t>
      </w:r>
      <w:r w:rsidR="009F2DD7" w:rsidRPr="00E97782">
        <w:rPr>
          <w:lang w:val="en-US"/>
        </w:rPr>
        <w:lastRenderedPageBreak/>
        <w:t>abrasive surfaces and then were used to deliver the virus. Alternatively a 22 gauge 1.25mm straight gave needle was used to avoid abrasion as described by M. Veselinovic et al 2016, Methods in Molecular Biology, 1354:203. These methods need to be pointed out and referenced for the benefit of the readers to avoid any possibl</w:t>
      </w:r>
      <w:r w:rsidRPr="00E97782">
        <w:rPr>
          <w:lang w:val="en-US"/>
        </w:rPr>
        <w:t>e abrasions.</w:t>
      </w:r>
    </w:p>
    <w:p w14:paraId="1F20AC0D" w14:textId="3A2E876D" w:rsidR="007C6BA2" w:rsidRPr="00E97782" w:rsidRDefault="007C6BA2" w:rsidP="007C6BA2">
      <w:pPr>
        <w:pStyle w:val="NormalWeb"/>
        <w:numPr>
          <w:ilvl w:val="0"/>
          <w:numId w:val="2"/>
        </w:numPr>
        <w:rPr>
          <w:b/>
          <w:lang w:val="en-US"/>
        </w:rPr>
      </w:pPr>
      <w:r w:rsidRPr="00E97782">
        <w:rPr>
          <w:b/>
          <w:lang w:val="en-US"/>
        </w:rPr>
        <w:t xml:space="preserve">We appreciate the </w:t>
      </w:r>
      <w:r w:rsidR="00E459CA">
        <w:rPr>
          <w:b/>
          <w:lang w:val="en-US"/>
        </w:rPr>
        <w:t>concern for reproducibility displayed by the reviewer.</w:t>
      </w:r>
      <w:r w:rsidRPr="00E97782">
        <w:rPr>
          <w:b/>
          <w:lang w:val="en-US"/>
        </w:rPr>
        <w:t xml:space="preserve"> </w:t>
      </w:r>
      <w:r w:rsidR="00E459CA">
        <w:rPr>
          <w:b/>
          <w:lang w:val="en-US"/>
        </w:rPr>
        <w:t xml:space="preserve">While it is possible that plastic pipette tips may have the </w:t>
      </w:r>
      <w:r w:rsidR="004A170D">
        <w:rPr>
          <w:b/>
          <w:lang w:val="en-US"/>
        </w:rPr>
        <w:t xml:space="preserve">capacity for abrasion – </w:t>
      </w:r>
      <w:r w:rsidR="00E459CA">
        <w:rPr>
          <w:b/>
          <w:lang w:val="en-US"/>
        </w:rPr>
        <w:t>that is extremely unlikely in our approach to vaginal HIV exposure. This is because we never actually insert the pipette tip into the vagina. Rather, as will be clearly shown in the video protocol, the mouse is held (while anesthetized) upside down in such a manner that the vulva opens up and a 20ul aliquot of inoculum can be dr</w:t>
      </w:r>
      <w:r w:rsidR="00C339D7">
        <w:rPr>
          <w:b/>
          <w:lang w:val="en-US"/>
        </w:rPr>
        <w:t>i</w:t>
      </w:r>
      <w:r w:rsidR="00E459CA">
        <w:rPr>
          <w:b/>
          <w:lang w:val="en-US"/>
        </w:rPr>
        <w:t>pped</w:t>
      </w:r>
      <w:r w:rsidR="00C339D7">
        <w:rPr>
          <w:b/>
          <w:lang w:val="en-US"/>
        </w:rPr>
        <w:t xml:space="preserve"> (via gravity)</w:t>
      </w:r>
      <w:r w:rsidR="00E459CA">
        <w:rPr>
          <w:b/>
          <w:lang w:val="en-US"/>
        </w:rPr>
        <w:t xml:space="preserve"> into the vagina with the tip of the pipette even with the vulva. This means that the pipette barely touches the mouse, if at all, during this technique. If an investigator were to be placing the tip of the pipette deep in the vagina </w:t>
      </w:r>
      <w:r w:rsidR="00C339D7">
        <w:rPr>
          <w:b/>
          <w:lang w:val="en-US"/>
        </w:rPr>
        <w:t>(e.g.</w:t>
      </w:r>
      <w:r w:rsidR="00E459CA">
        <w:rPr>
          <w:b/>
          <w:lang w:val="en-US"/>
        </w:rPr>
        <w:t xml:space="preserve"> next to the cervix of the mouse</w:t>
      </w:r>
      <w:r w:rsidR="00C339D7">
        <w:rPr>
          <w:b/>
          <w:lang w:val="en-US"/>
        </w:rPr>
        <w:t>)</w:t>
      </w:r>
      <w:r w:rsidR="00E459CA">
        <w:rPr>
          <w:b/>
          <w:lang w:val="en-US"/>
        </w:rPr>
        <w:t xml:space="preserve"> prior to releasing the inoculum, then we would fully agree with the reviewer’s point that plastic tips may lead to some abrasion. This is not the case in our technique, but in such a</w:t>
      </w:r>
      <w:r w:rsidR="004A170D">
        <w:rPr>
          <w:b/>
          <w:lang w:val="en-US"/>
        </w:rPr>
        <w:t>n</w:t>
      </w:r>
      <w:r w:rsidR="00E459CA">
        <w:rPr>
          <w:b/>
          <w:lang w:val="en-US"/>
        </w:rPr>
        <w:t xml:space="preserve"> </w:t>
      </w:r>
      <w:r w:rsidR="00C339D7">
        <w:rPr>
          <w:b/>
          <w:lang w:val="en-US"/>
        </w:rPr>
        <w:t>instance</w:t>
      </w:r>
      <w:r w:rsidR="00E459CA">
        <w:rPr>
          <w:b/>
          <w:lang w:val="en-US"/>
        </w:rPr>
        <w:t xml:space="preserve"> we</w:t>
      </w:r>
      <w:r w:rsidR="00E459CA" w:rsidRPr="00E459CA">
        <w:rPr>
          <w:b/>
          <w:lang w:val="en-US"/>
        </w:rPr>
        <w:t xml:space="preserve"> </w:t>
      </w:r>
      <w:r w:rsidR="00E459CA" w:rsidRPr="00E97782">
        <w:rPr>
          <w:b/>
          <w:lang w:val="en-US"/>
        </w:rPr>
        <w:t xml:space="preserve">would </w:t>
      </w:r>
      <w:r w:rsidR="00E459CA">
        <w:rPr>
          <w:b/>
          <w:lang w:val="en-US"/>
        </w:rPr>
        <w:t>be very uncomfortable</w:t>
      </w:r>
      <w:r w:rsidR="00E459CA" w:rsidRPr="00E97782">
        <w:rPr>
          <w:b/>
          <w:lang w:val="en-US"/>
        </w:rPr>
        <w:t xml:space="preserve"> heating pipette tips before use</w:t>
      </w:r>
      <w:r w:rsidR="00E459CA">
        <w:rPr>
          <w:b/>
          <w:lang w:val="en-US"/>
        </w:rPr>
        <w:t xml:space="preserve"> because of the</w:t>
      </w:r>
      <w:r w:rsidR="00C339D7">
        <w:rPr>
          <w:b/>
          <w:lang w:val="en-US"/>
        </w:rPr>
        <w:t xml:space="preserve"> high</w:t>
      </w:r>
      <w:r w:rsidR="00E459CA">
        <w:rPr>
          <w:b/>
          <w:lang w:val="en-US"/>
        </w:rPr>
        <w:t xml:space="preserve"> potential for </w:t>
      </w:r>
      <w:r w:rsidR="00E459CA" w:rsidRPr="00E97782">
        <w:rPr>
          <w:b/>
          <w:lang w:val="en-US"/>
        </w:rPr>
        <w:t>dramatic changes in the volume of aspiration</w:t>
      </w:r>
      <w:r w:rsidR="00E459CA">
        <w:rPr>
          <w:b/>
          <w:lang w:val="en-US"/>
        </w:rPr>
        <w:t xml:space="preserve"> between tips that may have been differentially heated which could lead to</w:t>
      </w:r>
      <w:r w:rsidR="00E459CA" w:rsidRPr="00E97782">
        <w:rPr>
          <w:b/>
          <w:lang w:val="en-US"/>
        </w:rPr>
        <w:t xml:space="preserve"> incorrect dosing. With regards to the alternative suggestion using a 22</w:t>
      </w:r>
      <w:r w:rsidR="00E459CA">
        <w:rPr>
          <w:b/>
          <w:lang w:val="en-US"/>
        </w:rPr>
        <w:t>-</w:t>
      </w:r>
      <w:r w:rsidR="00E459CA" w:rsidRPr="00E97782">
        <w:rPr>
          <w:b/>
          <w:lang w:val="en-US"/>
        </w:rPr>
        <w:t>gauge 1.25 mm straight needle</w:t>
      </w:r>
      <w:r w:rsidR="00E459CA">
        <w:rPr>
          <w:b/>
          <w:lang w:val="en-US"/>
        </w:rPr>
        <w:t xml:space="preserve">, we can say anecdotally that we have tried this approach. We found it unwieldy and </w:t>
      </w:r>
      <w:r w:rsidR="00A36156">
        <w:rPr>
          <w:b/>
          <w:lang w:val="en-US"/>
        </w:rPr>
        <w:t>impossible to accurately transfer 20</w:t>
      </w:r>
      <w:r w:rsidR="004A170D">
        <w:rPr>
          <w:b/>
          <w:lang w:val="en-US"/>
        </w:rPr>
        <w:t>µ</w:t>
      </w:r>
      <w:r w:rsidR="00A36156">
        <w:rPr>
          <w:b/>
          <w:lang w:val="en-US"/>
        </w:rPr>
        <w:t>l.</w:t>
      </w:r>
      <w:r w:rsidR="00C339D7">
        <w:rPr>
          <w:b/>
          <w:lang w:val="en-US"/>
        </w:rPr>
        <w:t xml:space="preserve"> (The inoculum volume is less than ½ of the dead volume in a syringe hub.) The tolerances for accuracy are severely impacted in such a scenario of low volume transfer.</w:t>
      </w:r>
      <w:r w:rsidR="00A36156">
        <w:rPr>
          <w:b/>
          <w:lang w:val="en-US"/>
        </w:rPr>
        <w:t xml:space="preserve"> Therefore, to keep the inoculum as consistent as possible, we</w:t>
      </w:r>
      <w:r w:rsidR="00E459CA" w:rsidRPr="00E97782">
        <w:rPr>
          <w:b/>
          <w:lang w:val="en-US"/>
        </w:rPr>
        <w:t xml:space="preserve"> </w:t>
      </w:r>
      <w:r w:rsidR="00A36156">
        <w:rPr>
          <w:b/>
          <w:lang w:val="en-US"/>
        </w:rPr>
        <w:t xml:space="preserve">utilize a </w:t>
      </w:r>
      <w:r w:rsidR="00E459CA">
        <w:rPr>
          <w:b/>
          <w:lang w:val="en-US"/>
        </w:rPr>
        <w:t>precision</w:t>
      </w:r>
      <w:r w:rsidR="00E459CA" w:rsidRPr="00E97782">
        <w:rPr>
          <w:b/>
          <w:lang w:val="en-US"/>
        </w:rPr>
        <w:t xml:space="preserve"> P20 pipette in the 20 µL range</w:t>
      </w:r>
      <w:r w:rsidR="00A36156">
        <w:rPr>
          <w:b/>
          <w:lang w:val="en-US"/>
        </w:rPr>
        <w:t xml:space="preserve"> with high quality, precision, PCR-grade pipette tips (not the cheapest option that is more likely to have jagged edges) and we avoid touching the mouse in a manner that is likely to lead to any abrasion</w:t>
      </w:r>
      <w:r w:rsidR="00E459CA">
        <w:rPr>
          <w:b/>
          <w:lang w:val="en-US"/>
        </w:rPr>
        <w:t>.</w:t>
      </w:r>
      <w:r w:rsidR="00A36156">
        <w:rPr>
          <w:b/>
          <w:lang w:val="en-US"/>
        </w:rPr>
        <w:t xml:space="preserve"> Alongside our explanation for why we took the approach we have taken, we have now noted that other methods have been successfully utilized and provide the indicated citations (</w:t>
      </w:r>
      <w:r w:rsidR="00253DAC" w:rsidRPr="00253DAC">
        <w:rPr>
          <w:b/>
          <w:highlight w:val="lightGray"/>
          <w:lang w:val="en-US"/>
        </w:rPr>
        <w:t>page 7</w:t>
      </w:r>
      <w:r w:rsidR="00A36156" w:rsidRPr="00253DAC">
        <w:rPr>
          <w:b/>
          <w:highlight w:val="lightGray"/>
          <w:lang w:val="en-US"/>
        </w:rPr>
        <w:t>, line</w:t>
      </w:r>
      <w:r w:rsidR="00253DAC" w:rsidRPr="00253DAC">
        <w:rPr>
          <w:b/>
          <w:highlight w:val="lightGray"/>
          <w:lang w:val="en-US"/>
        </w:rPr>
        <w:t xml:space="preserve"> 292</w:t>
      </w:r>
      <w:r w:rsidR="00A36156">
        <w:rPr>
          <w:b/>
          <w:lang w:val="en-US"/>
        </w:rPr>
        <w:t>).</w:t>
      </w:r>
    </w:p>
    <w:p w14:paraId="6F4E2213" w14:textId="7278CB6B" w:rsidR="00E6692C" w:rsidRPr="00E97782" w:rsidRDefault="009F2DD7" w:rsidP="007C6BA2">
      <w:pPr>
        <w:pStyle w:val="NormalWeb"/>
        <w:rPr>
          <w:lang w:val="en-US"/>
        </w:rPr>
      </w:pPr>
      <w:r w:rsidRPr="00E97782">
        <w:rPr>
          <w:lang w:val="en-US"/>
        </w:rPr>
        <w:br/>
        <w:t>4. In page 6, it is not clear why heat lamp is used during vaginal infections. Please clarify.</w:t>
      </w:r>
    </w:p>
    <w:p w14:paraId="21F0EDD4" w14:textId="61F88EE5" w:rsidR="00733AD9" w:rsidRPr="00E97782" w:rsidRDefault="00E6692C" w:rsidP="007879EF">
      <w:pPr>
        <w:pStyle w:val="NormalWeb"/>
        <w:numPr>
          <w:ilvl w:val="0"/>
          <w:numId w:val="2"/>
        </w:numPr>
        <w:rPr>
          <w:b/>
          <w:lang w:val="en-US"/>
        </w:rPr>
      </w:pPr>
      <w:r w:rsidRPr="00E97782">
        <w:rPr>
          <w:b/>
          <w:lang w:val="en-US"/>
        </w:rPr>
        <w:t>The heat lamp is used in this setting to ensure the body temperature of the mice remain stable during the procedure under anesthesia</w:t>
      </w:r>
      <w:r w:rsidR="004802CB" w:rsidRPr="00E97782">
        <w:rPr>
          <w:b/>
          <w:lang w:val="en-US"/>
        </w:rPr>
        <w:t xml:space="preserve">. The body temperature of </w:t>
      </w:r>
      <w:r w:rsidR="00B43637" w:rsidRPr="00E97782">
        <w:rPr>
          <w:b/>
          <w:lang w:val="en-US"/>
        </w:rPr>
        <w:t>anaesthetized</w:t>
      </w:r>
      <w:r w:rsidR="004802CB" w:rsidRPr="00E97782">
        <w:rPr>
          <w:b/>
          <w:lang w:val="en-US"/>
        </w:rPr>
        <w:t xml:space="preserve"> animals can decrease as much as </w:t>
      </w:r>
      <w:r w:rsidR="004F30ED" w:rsidRPr="00E97782">
        <w:rPr>
          <w:b/>
          <w:lang w:val="en-US"/>
        </w:rPr>
        <w:t>5</w:t>
      </w:r>
      <w:r w:rsidR="004F30ED" w:rsidRPr="00E97782">
        <w:rPr>
          <w:rFonts w:ascii="Calibri" w:hAnsi="Calibri" w:cs="Calibri"/>
          <w:b/>
          <w:lang w:val="en-US"/>
        </w:rPr>
        <w:t>°</w:t>
      </w:r>
      <w:r w:rsidR="004F30ED" w:rsidRPr="00E97782">
        <w:rPr>
          <w:b/>
          <w:lang w:val="en-US"/>
        </w:rPr>
        <w:t xml:space="preserve"> C during a 30 min period</w:t>
      </w:r>
      <w:r w:rsidR="00C339D7">
        <w:rPr>
          <w:b/>
          <w:lang w:val="en-US"/>
        </w:rPr>
        <w:t xml:space="preserve"> under anesthesia</w:t>
      </w:r>
      <w:r w:rsidR="00F27D5D" w:rsidRPr="00E97782">
        <w:rPr>
          <w:b/>
          <w:lang w:val="en-US"/>
        </w:rPr>
        <w:t xml:space="preserve"> (</w:t>
      </w:r>
      <w:r w:rsidR="004A170D">
        <w:rPr>
          <w:b/>
          <w:highlight w:val="lightGray"/>
          <w:lang w:val="en-US"/>
        </w:rPr>
        <w:t>ref #</w:t>
      </w:r>
      <w:r w:rsidR="00253DAC">
        <w:rPr>
          <w:b/>
          <w:highlight w:val="lightGray"/>
          <w:lang w:val="en-US"/>
        </w:rPr>
        <w:t>1</w:t>
      </w:r>
      <w:r w:rsidR="00253DAC" w:rsidRPr="00253DAC">
        <w:rPr>
          <w:b/>
          <w:highlight w:val="lightGray"/>
          <w:lang w:val="en-US"/>
        </w:rPr>
        <w:t xml:space="preserve">8 </w:t>
      </w:r>
      <w:r w:rsidR="00F27D5D" w:rsidRPr="00E97782">
        <w:rPr>
          <w:b/>
          <w:highlight w:val="lightGray"/>
          <w:lang w:val="en-US"/>
        </w:rPr>
        <w:t>in the revised manuscript</w:t>
      </w:r>
      <w:r w:rsidR="00C339D7" w:rsidRPr="00E97782">
        <w:rPr>
          <w:b/>
          <w:lang w:val="en-US"/>
        </w:rPr>
        <w:t>)</w:t>
      </w:r>
      <w:r w:rsidR="00C339D7">
        <w:rPr>
          <w:b/>
          <w:lang w:val="en-US"/>
        </w:rPr>
        <w:t>. Such changes</w:t>
      </w:r>
      <w:r w:rsidR="004F30ED" w:rsidRPr="00E97782">
        <w:rPr>
          <w:b/>
          <w:lang w:val="en-US"/>
        </w:rPr>
        <w:t xml:space="preserve"> can influence the overall health of the mice. Other measures such as a heated gel pad or circulating-warm-water-blanket could also be used with similar effects</w:t>
      </w:r>
      <w:r w:rsidR="00C339D7">
        <w:rPr>
          <w:b/>
          <w:lang w:val="en-US"/>
        </w:rPr>
        <w:t>, although many animal facilities have banned electric heating pages because of uneven temperatures and the potential for “hotspots” that can seriously harm a mouse</w:t>
      </w:r>
      <w:r w:rsidR="004F30ED" w:rsidRPr="00E97782">
        <w:rPr>
          <w:b/>
          <w:lang w:val="en-US"/>
        </w:rPr>
        <w:t>.</w:t>
      </w:r>
      <w:r w:rsidR="00C339D7">
        <w:rPr>
          <w:b/>
          <w:lang w:val="en-US"/>
        </w:rPr>
        <w:t xml:space="preserve"> Heat lamps are </w:t>
      </w:r>
      <w:r w:rsidR="009D744F">
        <w:rPr>
          <w:b/>
          <w:lang w:val="en-US"/>
        </w:rPr>
        <w:t>a very</w:t>
      </w:r>
      <w:r w:rsidR="00C339D7">
        <w:rPr>
          <w:b/>
          <w:lang w:val="en-US"/>
        </w:rPr>
        <w:t xml:space="preserve"> effective strateg</w:t>
      </w:r>
      <w:r w:rsidR="009D744F">
        <w:rPr>
          <w:b/>
          <w:lang w:val="en-US"/>
        </w:rPr>
        <w:t>y</w:t>
      </w:r>
      <w:r w:rsidR="00C339D7">
        <w:rPr>
          <w:b/>
          <w:lang w:val="en-US"/>
        </w:rPr>
        <w:t xml:space="preserve"> for creating a properly warmed </w:t>
      </w:r>
      <w:r w:rsidR="009D744F">
        <w:rPr>
          <w:b/>
          <w:lang w:val="en-US"/>
        </w:rPr>
        <w:t>workspace for mice undergoing anesthesia.</w:t>
      </w:r>
      <w:r w:rsidR="004F30ED" w:rsidRPr="00E97782">
        <w:rPr>
          <w:b/>
          <w:lang w:val="en-US"/>
        </w:rPr>
        <w:t xml:space="preserve"> We have elaborated on this step in the revised manuscript and included a</w:t>
      </w:r>
      <w:r w:rsidR="005B3308">
        <w:rPr>
          <w:b/>
          <w:lang w:val="en-US"/>
        </w:rPr>
        <w:t>n appropriate reference</w:t>
      </w:r>
      <w:r w:rsidR="004F30ED" w:rsidRPr="00E97782">
        <w:rPr>
          <w:b/>
          <w:lang w:val="en-US"/>
        </w:rPr>
        <w:t xml:space="preserve"> </w:t>
      </w:r>
      <w:r w:rsidR="004F30ED" w:rsidRPr="005B3308">
        <w:rPr>
          <w:b/>
          <w:lang w:val="en-US"/>
        </w:rPr>
        <w:t>(</w:t>
      </w:r>
      <w:r w:rsidR="004F30ED" w:rsidRPr="005B3308">
        <w:rPr>
          <w:b/>
          <w:highlight w:val="lightGray"/>
          <w:lang w:val="en-US"/>
        </w:rPr>
        <w:t>page 6</w:t>
      </w:r>
      <w:r w:rsidR="005B3308" w:rsidRPr="005B3308">
        <w:rPr>
          <w:b/>
          <w:highlight w:val="lightGray"/>
          <w:lang w:val="en-US"/>
        </w:rPr>
        <w:t>-7</w:t>
      </w:r>
      <w:r w:rsidR="004F30ED" w:rsidRPr="005B3308">
        <w:rPr>
          <w:b/>
          <w:highlight w:val="lightGray"/>
          <w:lang w:val="en-US"/>
        </w:rPr>
        <w:t xml:space="preserve">, lines </w:t>
      </w:r>
      <w:r w:rsidR="005B3308" w:rsidRPr="005B3308">
        <w:rPr>
          <w:b/>
          <w:highlight w:val="lightGray"/>
          <w:lang w:val="en-US"/>
        </w:rPr>
        <w:t>263-267</w:t>
      </w:r>
      <w:r w:rsidR="004F30ED" w:rsidRPr="005B3308">
        <w:rPr>
          <w:b/>
          <w:lang w:val="en-US"/>
        </w:rPr>
        <w:t xml:space="preserve"> in the revised manuscript)</w:t>
      </w:r>
      <w:r w:rsidR="005B3308">
        <w:rPr>
          <w:b/>
          <w:lang w:val="en-US"/>
        </w:rPr>
        <w:t>.</w:t>
      </w:r>
    </w:p>
    <w:p w14:paraId="0CA6E688" w14:textId="0B0D8D43" w:rsidR="00833F09" w:rsidRPr="00E97782" w:rsidRDefault="009F2DD7" w:rsidP="00733AD9">
      <w:pPr>
        <w:pStyle w:val="NormalWeb"/>
        <w:rPr>
          <w:b/>
          <w:lang w:val="en-US"/>
        </w:rPr>
      </w:pPr>
      <w:r w:rsidRPr="00E97782">
        <w:rPr>
          <w:lang w:val="en-US"/>
        </w:rPr>
        <w:t xml:space="preserve">5. In the abstract, the last sentence "the model can be used for preclinical analysis of systemic and topical pre-exposure prophylaxis compounds………" Since no evidence for this is presented in this </w:t>
      </w:r>
      <w:r w:rsidRPr="00E97782">
        <w:rPr>
          <w:lang w:val="en-US"/>
        </w:rPr>
        <w:lastRenderedPageBreak/>
        <w:t>paper using this cord blood hu-HSC model, it is misleading. Therefore this sentence need to be removed from the abstract and shifted to the discussion section and citing examples done with hu-HSC models by the Akkina group wherein both topical and systemic prophylaxis were demonstrated (Veselinovic et al, Virology. 2012, 432:505, Neff et al, 2010, PLoS One 5:e15257, Neff et al 2011, PLoS One 6:e202209, Veselinovic et al, 2014, Virology 464-465:253-263</w:t>
      </w:r>
    </w:p>
    <w:p w14:paraId="21BB3C9D" w14:textId="535B37A5" w:rsidR="00833F09" w:rsidRPr="00E97782" w:rsidRDefault="001C5C21" w:rsidP="00833F09">
      <w:pPr>
        <w:pStyle w:val="NormalWeb"/>
        <w:numPr>
          <w:ilvl w:val="0"/>
          <w:numId w:val="2"/>
        </w:numPr>
        <w:rPr>
          <w:b/>
          <w:lang w:val="en-US"/>
        </w:rPr>
      </w:pPr>
      <w:r w:rsidRPr="00E97782">
        <w:rPr>
          <w:b/>
          <w:lang w:val="en-US"/>
        </w:rPr>
        <w:t>We respectfully disagree with the reviewer regarding the last sentence. The purpose of the last sentence of an abstract is to highlight the perspe</w:t>
      </w:r>
      <w:r w:rsidR="000651AF" w:rsidRPr="00E97782">
        <w:rPr>
          <w:b/>
          <w:lang w:val="en-US"/>
        </w:rPr>
        <w:t xml:space="preserve">ctives and potential of the described protocol, and thus we </w:t>
      </w:r>
      <w:r w:rsidR="009D744F">
        <w:rPr>
          <w:b/>
          <w:lang w:val="en-US"/>
        </w:rPr>
        <w:t xml:space="preserve">believe that this concept definitely belongs </w:t>
      </w:r>
      <w:r w:rsidR="000651AF" w:rsidRPr="00E97782">
        <w:rPr>
          <w:b/>
          <w:lang w:val="en-US"/>
        </w:rPr>
        <w:t xml:space="preserve">in our manuscript. In the introduction in the original manuscript, </w:t>
      </w:r>
      <w:r w:rsidR="00253A87" w:rsidRPr="00E97782">
        <w:rPr>
          <w:b/>
          <w:lang w:val="en-US"/>
        </w:rPr>
        <w:t xml:space="preserve">the </w:t>
      </w:r>
      <w:r w:rsidR="000651AF" w:rsidRPr="00E97782">
        <w:rPr>
          <w:b/>
          <w:lang w:val="en-US"/>
        </w:rPr>
        <w:t>following sentence ends the first paragraph</w:t>
      </w:r>
      <w:r w:rsidR="00253A87" w:rsidRPr="00E97782">
        <w:rPr>
          <w:b/>
          <w:lang w:val="en-US"/>
        </w:rPr>
        <w:t>:</w:t>
      </w:r>
      <w:r w:rsidR="000651AF" w:rsidRPr="00E97782">
        <w:rPr>
          <w:b/>
          <w:lang w:val="en-US"/>
        </w:rPr>
        <w:t xml:space="preserve"> “Humanized mice have facilitated research in HIV viral transmission, pathogenesis, prevention, and treatment”. </w:t>
      </w:r>
      <w:r w:rsidR="002D5BB3">
        <w:rPr>
          <w:b/>
          <w:lang w:val="en-US"/>
        </w:rPr>
        <w:t xml:space="preserve">To this statement we have included appropriate references. </w:t>
      </w:r>
      <w:r w:rsidR="000651AF" w:rsidRPr="00E97782">
        <w:rPr>
          <w:b/>
          <w:lang w:val="en-US"/>
        </w:rPr>
        <w:t xml:space="preserve">In the revised manuscript, we </w:t>
      </w:r>
      <w:r w:rsidR="00821855" w:rsidRPr="00E97782">
        <w:rPr>
          <w:b/>
          <w:lang w:val="en-US"/>
        </w:rPr>
        <w:t>have</w:t>
      </w:r>
      <w:r w:rsidR="000651AF" w:rsidRPr="00E97782">
        <w:rPr>
          <w:b/>
          <w:lang w:val="en-US"/>
        </w:rPr>
        <w:t xml:space="preserve"> ensure</w:t>
      </w:r>
      <w:r w:rsidR="00821855" w:rsidRPr="00E97782">
        <w:rPr>
          <w:b/>
          <w:lang w:val="en-US"/>
        </w:rPr>
        <w:t>d</w:t>
      </w:r>
      <w:r w:rsidR="000651AF" w:rsidRPr="00E97782">
        <w:rPr>
          <w:b/>
          <w:lang w:val="en-US"/>
        </w:rPr>
        <w:t xml:space="preserve"> citation of the mentioned pivotal papers</w:t>
      </w:r>
      <w:r w:rsidR="00821855" w:rsidRPr="00E97782">
        <w:rPr>
          <w:b/>
          <w:lang w:val="en-US"/>
        </w:rPr>
        <w:t xml:space="preserve"> (</w:t>
      </w:r>
      <w:r w:rsidR="00C6764C" w:rsidRPr="00C6764C">
        <w:rPr>
          <w:b/>
          <w:highlight w:val="lightGray"/>
          <w:lang w:val="en-US"/>
        </w:rPr>
        <w:t>page 2, line 64</w:t>
      </w:r>
      <w:r w:rsidR="00821855" w:rsidRPr="00E97782">
        <w:rPr>
          <w:b/>
          <w:lang w:val="en-US"/>
        </w:rPr>
        <w:t>)</w:t>
      </w:r>
      <w:r w:rsidR="000651AF" w:rsidRPr="00E97782">
        <w:rPr>
          <w:b/>
          <w:lang w:val="en-US"/>
        </w:rPr>
        <w:t xml:space="preserve">. </w:t>
      </w:r>
    </w:p>
    <w:p w14:paraId="3711B775" w14:textId="593D5A3A" w:rsidR="0012208B" w:rsidRPr="00E97782" w:rsidRDefault="009F2DD7" w:rsidP="00833F09">
      <w:pPr>
        <w:pStyle w:val="NormalWeb"/>
        <w:rPr>
          <w:lang w:val="en-US"/>
        </w:rPr>
      </w:pPr>
      <w:r w:rsidRPr="00E97782">
        <w:rPr>
          <w:lang w:val="en-US"/>
        </w:rPr>
        <w:t>6. The authors do not talk about Figure 5 anywhere in the protocol or text, which is extremely important given that it contains the data for half of the manuscript regarding the ddPCR experiments showing detection of plasma viral loads as well as the HIV-1 infected humanized mouse response to cART.</w:t>
      </w:r>
    </w:p>
    <w:p w14:paraId="3DB7CCC9" w14:textId="226B0904" w:rsidR="00892FA2" w:rsidRPr="00E97782" w:rsidRDefault="0012208B" w:rsidP="00892FA2">
      <w:pPr>
        <w:pStyle w:val="NormalWeb"/>
        <w:numPr>
          <w:ilvl w:val="0"/>
          <w:numId w:val="2"/>
        </w:numPr>
        <w:rPr>
          <w:lang w:val="en-US"/>
        </w:rPr>
      </w:pPr>
      <w:r w:rsidRPr="00E97782">
        <w:rPr>
          <w:b/>
          <w:lang w:val="en-US"/>
        </w:rPr>
        <w:t>We</w:t>
      </w:r>
      <w:r w:rsidR="009D744F">
        <w:rPr>
          <w:b/>
          <w:lang w:val="en-US"/>
        </w:rPr>
        <w:t xml:space="preserve"> have the figure and table call outs highlighted in gray to draw attention to them because they are very important, as pointed out by the reviewer. In this case, the reviewer unfortunately missed these call outs in the originally submitted text. They were found</w:t>
      </w:r>
      <w:r w:rsidRPr="00E97782">
        <w:rPr>
          <w:b/>
          <w:lang w:val="en-US"/>
        </w:rPr>
        <w:t xml:space="preserve"> </w:t>
      </w:r>
      <w:r w:rsidR="002D5BB3" w:rsidRPr="00E97782">
        <w:rPr>
          <w:b/>
          <w:lang w:val="en-US"/>
        </w:rPr>
        <w:t>under</w:t>
      </w:r>
      <w:r w:rsidR="002D5BB3">
        <w:rPr>
          <w:b/>
          <w:lang w:val="en-US"/>
        </w:rPr>
        <w:t xml:space="preserve"> </w:t>
      </w:r>
      <w:r w:rsidR="002D5BB3" w:rsidRPr="00E97782">
        <w:rPr>
          <w:b/>
          <w:lang w:val="en-US"/>
        </w:rPr>
        <w:t>”</w:t>
      </w:r>
      <w:r w:rsidR="00656A82" w:rsidRPr="00E97782">
        <w:rPr>
          <w:b/>
          <w:lang w:val="en-US"/>
        </w:rPr>
        <w:t>R</w:t>
      </w:r>
      <w:r w:rsidRPr="00E97782">
        <w:rPr>
          <w:b/>
          <w:lang w:val="en-US"/>
        </w:rPr>
        <w:t>epresentative results</w:t>
      </w:r>
      <w:r w:rsidR="00656A82" w:rsidRPr="00E97782">
        <w:rPr>
          <w:b/>
          <w:lang w:val="en-US"/>
        </w:rPr>
        <w:t>”</w:t>
      </w:r>
      <w:r w:rsidRPr="00E97782">
        <w:rPr>
          <w:b/>
          <w:lang w:val="en-US"/>
        </w:rPr>
        <w:t xml:space="preserve"> </w:t>
      </w:r>
      <w:r w:rsidR="00656A82" w:rsidRPr="00E97782">
        <w:rPr>
          <w:b/>
          <w:lang w:val="en-US"/>
        </w:rPr>
        <w:t xml:space="preserve">on </w:t>
      </w:r>
      <w:r w:rsidR="00656A82" w:rsidRPr="00E97782">
        <w:rPr>
          <w:b/>
          <w:highlight w:val="lightGray"/>
          <w:lang w:val="en-US"/>
        </w:rPr>
        <w:t xml:space="preserve">page 10, </w:t>
      </w:r>
      <w:r w:rsidRPr="00E97782">
        <w:rPr>
          <w:b/>
          <w:highlight w:val="lightGray"/>
          <w:lang w:val="en-US"/>
        </w:rPr>
        <w:t>line</w:t>
      </w:r>
      <w:r w:rsidR="00272673" w:rsidRPr="00E97782">
        <w:rPr>
          <w:b/>
          <w:highlight w:val="lightGray"/>
          <w:lang w:val="en-US"/>
        </w:rPr>
        <w:t>s</w:t>
      </w:r>
      <w:r w:rsidRPr="00E97782">
        <w:rPr>
          <w:b/>
          <w:highlight w:val="lightGray"/>
          <w:lang w:val="en-US"/>
        </w:rPr>
        <w:t xml:space="preserve"> 386, 392 and 397</w:t>
      </w:r>
      <w:r w:rsidRPr="00E97782">
        <w:rPr>
          <w:b/>
          <w:lang w:val="en-US"/>
        </w:rPr>
        <w:t xml:space="preserve"> </w:t>
      </w:r>
      <w:r w:rsidR="00656A82" w:rsidRPr="00E97782">
        <w:rPr>
          <w:b/>
          <w:lang w:val="en-US"/>
        </w:rPr>
        <w:t xml:space="preserve">in the </w:t>
      </w:r>
      <w:r w:rsidR="001D3668" w:rsidRPr="00E97782">
        <w:rPr>
          <w:b/>
          <w:lang w:val="en-US"/>
        </w:rPr>
        <w:t>original</w:t>
      </w:r>
      <w:r w:rsidRPr="00E97782">
        <w:rPr>
          <w:b/>
          <w:lang w:val="en-US"/>
        </w:rPr>
        <w:t xml:space="preserve"> manuscript</w:t>
      </w:r>
      <w:r w:rsidR="009D744F">
        <w:rPr>
          <w:b/>
          <w:lang w:val="en-US"/>
        </w:rPr>
        <w:t xml:space="preserve"> (</w:t>
      </w:r>
      <w:r w:rsidR="00C6764C" w:rsidRPr="00C6764C">
        <w:rPr>
          <w:b/>
          <w:highlight w:val="lightGray"/>
          <w:lang w:val="en-US"/>
        </w:rPr>
        <w:t>page 10</w:t>
      </w:r>
      <w:r w:rsidR="00C6764C">
        <w:rPr>
          <w:b/>
          <w:highlight w:val="lightGray"/>
          <w:lang w:val="en-US"/>
        </w:rPr>
        <w:t>,</w:t>
      </w:r>
      <w:r w:rsidR="001D3668" w:rsidRPr="00C6764C">
        <w:rPr>
          <w:b/>
          <w:highlight w:val="lightGray"/>
          <w:lang w:val="en-US"/>
        </w:rPr>
        <w:t xml:space="preserve"> </w:t>
      </w:r>
      <w:r w:rsidRPr="00C6764C">
        <w:rPr>
          <w:b/>
          <w:highlight w:val="lightGray"/>
          <w:lang w:val="en-US"/>
        </w:rPr>
        <w:t>line</w:t>
      </w:r>
      <w:r w:rsidR="00272673" w:rsidRPr="00C6764C">
        <w:rPr>
          <w:b/>
          <w:highlight w:val="lightGray"/>
          <w:lang w:val="en-US"/>
        </w:rPr>
        <w:t>s</w:t>
      </w:r>
      <w:r w:rsidR="00C6764C" w:rsidRPr="00C6764C">
        <w:rPr>
          <w:b/>
          <w:highlight w:val="lightGray"/>
          <w:lang w:val="en-US"/>
        </w:rPr>
        <w:t xml:space="preserve"> 416, 423, 428</w:t>
      </w:r>
      <w:r w:rsidRPr="00E97782">
        <w:rPr>
          <w:b/>
          <w:lang w:val="en-US"/>
        </w:rPr>
        <w:t xml:space="preserve"> </w:t>
      </w:r>
      <w:r w:rsidR="00656A82" w:rsidRPr="00E97782">
        <w:rPr>
          <w:b/>
          <w:lang w:val="en-US"/>
        </w:rPr>
        <w:t xml:space="preserve">in the </w:t>
      </w:r>
      <w:r w:rsidRPr="00E97782">
        <w:rPr>
          <w:b/>
          <w:lang w:val="en-US"/>
        </w:rPr>
        <w:t>revised manuscript)</w:t>
      </w:r>
      <w:r w:rsidR="009D744F">
        <w:rPr>
          <w:b/>
          <w:lang w:val="en-US"/>
        </w:rPr>
        <w:t>.</w:t>
      </w:r>
    </w:p>
    <w:p w14:paraId="538CBD40" w14:textId="77777777" w:rsidR="00833F09" w:rsidRPr="00E97782" w:rsidRDefault="009F2DD7" w:rsidP="00892FA2">
      <w:pPr>
        <w:pStyle w:val="NormalWeb"/>
        <w:rPr>
          <w:lang w:val="en-US"/>
        </w:rPr>
      </w:pPr>
      <w:r w:rsidRPr="00E97782">
        <w:rPr>
          <w:lang w:val="en-US"/>
        </w:rPr>
        <w:t>7. Under "4. Intravenous stem cell transplant," the authors make no mention of how old these NOG mice are that are being irradiated and engrafted with human CD34+ stem cells.</w:t>
      </w:r>
    </w:p>
    <w:p w14:paraId="027D33A7" w14:textId="586C06DB" w:rsidR="00833F09" w:rsidRPr="00E97782" w:rsidRDefault="00833F09" w:rsidP="00833F09">
      <w:pPr>
        <w:pStyle w:val="NormalWeb"/>
        <w:numPr>
          <w:ilvl w:val="0"/>
          <w:numId w:val="2"/>
        </w:numPr>
        <w:rPr>
          <w:b/>
          <w:lang w:val="en-US"/>
        </w:rPr>
      </w:pPr>
      <w:r w:rsidRPr="00E97782">
        <w:rPr>
          <w:b/>
          <w:lang w:val="en-US"/>
        </w:rPr>
        <w:t>We thank the reviewer for the attention to detail. In the revised manuscript, we have included the very important information regarding the age of the animals as well as the gender used for this particular protocol (</w:t>
      </w:r>
      <w:r w:rsidRPr="00C6764C">
        <w:rPr>
          <w:b/>
          <w:highlight w:val="lightGray"/>
          <w:lang w:val="en-US"/>
        </w:rPr>
        <w:t xml:space="preserve">page 4, lines </w:t>
      </w:r>
      <w:r w:rsidR="00C6764C" w:rsidRPr="00C6764C">
        <w:rPr>
          <w:b/>
          <w:highlight w:val="lightGray"/>
          <w:lang w:val="en-US"/>
        </w:rPr>
        <w:t>171-174</w:t>
      </w:r>
      <w:r w:rsidRPr="00E97782">
        <w:rPr>
          <w:b/>
          <w:lang w:val="en-US"/>
        </w:rPr>
        <w:t xml:space="preserve">).  </w:t>
      </w:r>
      <w:r w:rsidRPr="00E97782">
        <w:rPr>
          <w:b/>
          <w:lang w:val="en-US"/>
        </w:rPr>
        <w:br/>
      </w:r>
    </w:p>
    <w:p w14:paraId="5833C1CE" w14:textId="77777777" w:rsidR="00656A82" w:rsidRPr="00E97782" w:rsidRDefault="009F2DD7" w:rsidP="00833F09">
      <w:pPr>
        <w:pStyle w:val="NormalWeb"/>
        <w:rPr>
          <w:lang w:val="en-US"/>
        </w:rPr>
      </w:pPr>
      <w:r w:rsidRPr="00E97782">
        <w:rPr>
          <w:lang w:val="en-US"/>
        </w:rPr>
        <w:t>8. In the 7. Intravaginal HIV exposure" protocol section, there is no indication of the viral titer used to inoculate these humanized mice intravaginally.</w:t>
      </w:r>
      <w:r w:rsidRPr="00E97782">
        <w:rPr>
          <w:lang w:val="en-US"/>
        </w:rPr>
        <w:br/>
      </w:r>
    </w:p>
    <w:p w14:paraId="09088BA8" w14:textId="1A3B596F" w:rsidR="00D77121" w:rsidRDefault="00D77121" w:rsidP="00656A82">
      <w:pPr>
        <w:pStyle w:val="NormalWeb"/>
        <w:numPr>
          <w:ilvl w:val="0"/>
          <w:numId w:val="2"/>
        </w:numPr>
        <w:rPr>
          <w:b/>
          <w:lang w:val="en-US"/>
        </w:rPr>
      </w:pPr>
      <w:r>
        <w:rPr>
          <w:b/>
          <w:lang w:val="en-US"/>
        </w:rPr>
        <w:t>In the revised manuscript, w</w:t>
      </w:r>
      <w:r w:rsidR="00C6764C">
        <w:rPr>
          <w:b/>
          <w:lang w:val="en-US"/>
        </w:rPr>
        <w:t>e have now included the viral ti</w:t>
      </w:r>
      <w:r>
        <w:rPr>
          <w:b/>
          <w:lang w:val="en-US"/>
        </w:rPr>
        <w:t>ter under this protocol step (</w:t>
      </w:r>
      <w:r w:rsidR="00C6764C" w:rsidRPr="00253DAC">
        <w:rPr>
          <w:b/>
          <w:highlight w:val="lightGray"/>
          <w:lang w:val="en-US"/>
        </w:rPr>
        <w:t>page 6, line 256</w:t>
      </w:r>
      <w:r>
        <w:rPr>
          <w:b/>
          <w:lang w:val="en-US"/>
        </w:rPr>
        <w:t>). The inoculums are references again under the “Representative results” section (</w:t>
      </w:r>
      <w:r w:rsidR="00C6764C" w:rsidRPr="005B3308">
        <w:rPr>
          <w:b/>
          <w:highlight w:val="lightGray"/>
          <w:lang w:val="en-US"/>
        </w:rPr>
        <w:t>page 10, line 417</w:t>
      </w:r>
      <w:r>
        <w:rPr>
          <w:b/>
          <w:lang w:val="en-US"/>
        </w:rPr>
        <w:t>) and in the legend for Figure 5 (</w:t>
      </w:r>
      <w:r w:rsidR="00C6764C" w:rsidRPr="005B3308">
        <w:rPr>
          <w:b/>
          <w:highlight w:val="lightGray"/>
          <w:lang w:val="en-US"/>
        </w:rPr>
        <w:t xml:space="preserve">page 11, </w:t>
      </w:r>
      <w:r w:rsidR="00C6764C" w:rsidRPr="00C6764C">
        <w:rPr>
          <w:b/>
          <w:highlight w:val="lightGray"/>
          <w:lang w:val="en-US"/>
        </w:rPr>
        <w:t>line 469</w:t>
      </w:r>
      <w:r w:rsidR="00C6764C" w:rsidRPr="00C6764C">
        <w:rPr>
          <w:b/>
          <w:highlight w:val="lightGray"/>
          <w:lang w:val="en-US"/>
        </w:rPr>
        <w:t>-470</w:t>
      </w:r>
      <w:r w:rsidRPr="00C6764C">
        <w:rPr>
          <w:b/>
          <w:highlight w:val="lightGray"/>
          <w:lang w:val="en-US"/>
        </w:rPr>
        <w:t>)</w:t>
      </w:r>
    </w:p>
    <w:p w14:paraId="4F380739" w14:textId="549EF345" w:rsidR="0043591E" w:rsidRPr="00E97782" w:rsidRDefault="009F2DD7" w:rsidP="00833F09">
      <w:pPr>
        <w:pStyle w:val="NormalWeb"/>
        <w:rPr>
          <w:lang w:val="en-US"/>
        </w:rPr>
      </w:pPr>
      <w:r w:rsidRPr="00E97782">
        <w:rPr>
          <w:lang w:val="en-US"/>
        </w:rPr>
        <w:br/>
        <w:t>Minor Concerns:</w:t>
      </w:r>
      <w:r w:rsidRPr="00E97782">
        <w:rPr>
          <w:lang w:val="en-US"/>
        </w:rPr>
        <w:br/>
      </w:r>
      <w:r w:rsidRPr="00E97782">
        <w:rPr>
          <w:lang w:val="en-US"/>
        </w:rPr>
        <w:br/>
        <w:t xml:space="preserve">1. The "RosetteSep" and "EasySep Human Cord Blood CD34 Positive Selection kit II (line 110)," which are crucial to the isolation of CD34+ cells from cord blood are not listed in the materials and </w:t>
      </w:r>
      <w:r w:rsidRPr="00E97782">
        <w:rPr>
          <w:lang w:val="en-US"/>
        </w:rPr>
        <w:lastRenderedPageBreak/>
        <w:t>equipment section.</w:t>
      </w:r>
      <w:r w:rsidRPr="00E97782">
        <w:rPr>
          <w:lang w:val="en-US"/>
        </w:rPr>
        <w:br/>
      </w:r>
    </w:p>
    <w:p w14:paraId="3379E522" w14:textId="77F72DE0" w:rsidR="0043591E" w:rsidRPr="00E97782" w:rsidRDefault="0043591E" w:rsidP="0043591E">
      <w:pPr>
        <w:pStyle w:val="NormalWeb"/>
        <w:numPr>
          <w:ilvl w:val="0"/>
          <w:numId w:val="2"/>
        </w:numPr>
        <w:rPr>
          <w:b/>
          <w:lang w:val="en-US"/>
        </w:rPr>
      </w:pPr>
      <w:r w:rsidRPr="00E97782">
        <w:rPr>
          <w:b/>
          <w:lang w:val="en-US"/>
        </w:rPr>
        <w:t>These reagents are now include</w:t>
      </w:r>
      <w:r w:rsidR="00684167" w:rsidRPr="00E97782">
        <w:rPr>
          <w:b/>
          <w:lang w:val="en-US"/>
        </w:rPr>
        <w:t xml:space="preserve">d in the revised </w:t>
      </w:r>
      <w:r w:rsidR="002E3DCC">
        <w:rPr>
          <w:b/>
          <w:lang w:val="en-US"/>
        </w:rPr>
        <w:t xml:space="preserve">Table of </w:t>
      </w:r>
      <w:r w:rsidR="00684167" w:rsidRPr="00E97782">
        <w:rPr>
          <w:b/>
          <w:lang w:val="en-US"/>
        </w:rPr>
        <w:t>Materials and E</w:t>
      </w:r>
      <w:r w:rsidRPr="00E97782">
        <w:rPr>
          <w:b/>
          <w:lang w:val="en-US"/>
        </w:rPr>
        <w:t>quipment section</w:t>
      </w:r>
      <w:r w:rsidR="00253A87" w:rsidRPr="00E97782">
        <w:rPr>
          <w:b/>
          <w:lang w:val="en-US"/>
        </w:rPr>
        <w:t>.</w:t>
      </w:r>
    </w:p>
    <w:p w14:paraId="66581181" w14:textId="77777777" w:rsidR="004858FA" w:rsidRPr="00E97782" w:rsidRDefault="009F2DD7" w:rsidP="009F2DD7">
      <w:pPr>
        <w:pStyle w:val="NormalWeb"/>
        <w:rPr>
          <w:lang w:val="en-US"/>
        </w:rPr>
      </w:pPr>
      <w:r w:rsidRPr="00E97782">
        <w:rPr>
          <w:lang w:val="en-US"/>
        </w:rPr>
        <w:br/>
        <w:t>2. The clones for the antibody panel used to verify CD34+ purity are listed on lines 133-134; however, the manufacturer is not. This also applies to the antibodies listed on lines 211-213, which were used to check the engraftment of the humanized mice.</w:t>
      </w:r>
    </w:p>
    <w:p w14:paraId="5BA47EFE" w14:textId="07C19C72" w:rsidR="004858FA" w:rsidRPr="00E97782" w:rsidRDefault="004858FA" w:rsidP="004858FA">
      <w:pPr>
        <w:pStyle w:val="NormalWeb"/>
        <w:numPr>
          <w:ilvl w:val="0"/>
          <w:numId w:val="2"/>
        </w:numPr>
        <w:rPr>
          <w:b/>
          <w:lang w:val="en-US"/>
        </w:rPr>
      </w:pPr>
      <w:r w:rsidRPr="00E97782">
        <w:rPr>
          <w:b/>
          <w:lang w:val="en-US"/>
        </w:rPr>
        <w:t xml:space="preserve">All antibodies </w:t>
      </w:r>
      <w:r w:rsidR="00756F75">
        <w:rPr>
          <w:b/>
          <w:lang w:val="en-US"/>
        </w:rPr>
        <w:t xml:space="preserve">including information on clone and fluorochrome </w:t>
      </w:r>
      <w:r w:rsidRPr="00E97782">
        <w:rPr>
          <w:b/>
          <w:lang w:val="en-US"/>
        </w:rPr>
        <w:t xml:space="preserve">are now listed in </w:t>
      </w:r>
      <w:r w:rsidR="003C4F5E" w:rsidRPr="00E97782">
        <w:rPr>
          <w:b/>
          <w:lang w:val="en-US"/>
        </w:rPr>
        <w:t>two new tables, (</w:t>
      </w:r>
      <w:r w:rsidR="003C4F5E" w:rsidRPr="00E97782">
        <w:rPr>
          <w:b/>
          <w:highlight w:val="lightGray"/>
          <w:lang w:val="en-US"/>
        </w:rPr>
        <w:t>Table</w:t>
      </w:r>
      <w:r w:rsidR="00F27D5D" w:rsidRPr="00E97782">
        <w:rPr>
          <w:b/>
          <w:highlight w:val="lightGray"/>
          <w:lang w:val="en-US"/>
        </w:rPr>
        <w:t xml:space="preserve"> 1</w:t>
      </w:r>
      <w:r w:rsidR="003C4F5E" w:rsidRPr="00E97782">
        <w:rPr>
          <w:b/>
          <w:highlight w:val="lightGray"/>
          <w:lang w:val="en-US"/>
        </w:rPr>
        <w:t xml:space="preserve"> and </w:t>
      </w:r>
      <w:r w:rsidR="00F27D5D" w:rsidRPr="00E97782">
        <w:rPr>
          <w:b/>
          <w:highlight w:val="lightGray"/>
          <w:lang w:val="en-US"/>
        </w:rPr>
        <w:t>Table 4</w:t>
      </w:r>
      <w:r w:rsidR="003C4F5E" w:rsidRPr="00E97782">
        <w:rPr>
          <w:b/>
          <w:lang w:val="en-US"/>
        </w:rPr>
        <w:t>)</w:t>
      </w:r>
      <w:r w:rsidRPr="00E97782">
        <w:rPr>
          <w:b/>
          <w:lang w:val="en-US"/>
        </w:rPr>
        <w:t xml:space="preserve"> </w:t>
      </w:r>
      <w:r w:rsidR="00756F75">
        <w:rPr>
          <w:b/>
          <w:lang w:val="en-US"/>
        </w:rPr>
        <w:t>and in the Table of Material and Equipment</w:t>
      </w:r>
      <w:r w:rsidRPr="00E97782">
        <w:rPr>
          <w:b/>
          <w:lang w:val="en-US"/>
        </w:rPr>
        <w:t xml:space="preserve">. </w:t>
      </w:r>
    </w:p>
    <w:p w14:paraId="1CF207E9" w14:textId="122DEA89" w:rsidR="00733AD9" w:rsidRPr="00E97782" w:rsidRDefault="009F2DD7" w:rsidP="00733AD9">
      <w:pPr>
        <w:pStyle w:val="NormalWeb"/>
        <w:numPr>
          <w:ilvl w:val="0"/>
          <w:numId w:val="1"/>
        </w:numPr>
        <w:rPr>
          <w:lang w:val="en-US"/>
        </w:rPr>
      </w:pPr>
      <w:r w:rsidRPr="00E97782">
        <w:rPr>
          <w:lang w:val="en-US"/>
        </w:rPr>
        <w:t>The materials and equipment section appears to be lacking some crucial pieces of materials/equipment that are necessary to complete this protocol such as a heating lamp (line 167, Figure 4), anesthesia chamber (line 237, Figure 4), sterile PCR-approved microcentrifuge tubes (lines 203-204), 3% isoflurane gas (line 237), 1x RBC lysis solution (line 269), QX100 Droplet Generator (line 319), QX100 Droplet Reader (line 324), QuantaSoft software (line 325), and mouse cART chow diet. Please add these to the ma</w:t>
      </w:r>
      <w:r w:rsidR="00733AD9" w:rsidRPr="00E97782">
        <w:rPr>
          <w:lang w:val="en-US"/>
        </w:rPr>
        <w:t>terials and equipment section.</w:t>
      </w:r>
    </w:p>
    <w:p w14:paraId="068B34DB" w14:textId="35446EAB" w:rsidR="00733AD9" w:rsidRPr="00E97782" w:rsidRDefault="00684167" w:rsidP="00733AD9">
      <w:pPr>
        <w:pStyle w:val="NormalWeb"/>
        <w:numPr>
          <w:ilvl w:val="0"/>
          <w:numId w:val="2"/>
        </w:numPr>
        <w:rPr>
          <w:b/>
          <w:lang w:val="en-US"/>
        </w:rPr>
      </w:pPr>
      <w:r w:rsidRPr="00E97782">
        <w:rPr>
          <w:b/>
          <w:lang w:val="en-US"/>
        </w:rPr>
        <w:t>The revised manuscript includes a more detailed description of materials and equipment used</w:t>
      </w:r>
      <w:r w:rsidR="00253A87" w:rsidRPr="00E97782">
        <w:rPr>
          <w:b/>
          <w:lang w:val="en-US"/>
        </w:rPr>
        <w:t>.</w:t>
      </w:r>
    </w:p>
    <w:p w14:paraId="58DBC8BD" w14:textId="5F5D64D4" w:rsidR="00733AD9" w:rsidRPr="00E97782" w:rsidRDefault="009F2DD7" w:rsidP="00733AD9">
      <w:pPr>
        <w:pStyle w:val="NormalWeb"/>
        <w:rPr>
          <w:lang w:val="en-US"/>
        </w:rPr>
      </w:pPr>
      <w:r w:rsidRPr="00E97782">
        <w:rPr>
          <w:lang w:val="en-US"/>
        </w:rPr>
        <w:t>4. The "suggested multicolour flow cytometry panel for humanization" listed the antibodies and clones used. When completing a general search on these antibodies and clones, multiple companies appear to make these antibodies. Please provide the company they were purchased from.</w:t>
      </w:r>
    </w:p>
    <w:p w14:paraId="3DA6F9AC" w14:textId="2BC66D9D" w:rsidR="00733AD9" w:rsidRPr="00E97782" w:rsidRDefault="00733AD9" w:rsidP="00733AD9">
      <w:pPr>
        <w:pStyle w:val="NormalWeb"/>
        <w:numPr>
          <w:ilvl w:val="0"/>
          <w:numId w:val="2"/>
        </w:numPr>
        <w:rPr>
          <w:lang w:val="en-US"/>
        </w:rPr>
      </w:pPr>
      <w:r w:rsidRPr="00E97782">
        <w:rPr>
          <w:b/>
          <w:lang w:val="en-US"/>
        </w:rPr>
        <w:t>Please find in the revised manuscript all details including catalogue numbers and vendor is supplied for the antibodies used</w:t>
      </w:r>
      <w:r w:rsidR="003C4F5E" w:rsidRPr="00E97782">
        <w:rPr>
          <w:b/>
          <w:lang w:val="en-US"/>
        </w:rPr>
        <w:t xml:space="preserve"> in </w:t>
      </w:r>
      <w:r w:rsidR="00F27D5D" w:rsidRPr="00E97782">
        <w:rPr>
          <w:b/>
          <w:highlight w:val="lightGray"/>
          <w:lang w:val="en-US"/>
        </w:rPr>
        <w:t>Table 1 and Table 4</w:t>
      </w:r>
    </w:p>
    <w:p w14:paraId="50A8BD26" w14:textId="019148EA" w:rsidR="00953D5F" w:rsidRPr="00E97782" w:rsidRDefault="009F2DD7" w:rsidP="00733AD9">
      <w:pPr>
        <w:pStyle w:val="NormalWeb"/>
        <w:rPr>
          <w:lang w:val="en-US"/>
        </w:rPr>
      </w:pPr>
      <w:r w:rsidRPr="00E97782">
        <w:rPr>
          <w:lang w:val="en-US"/>
        </w:rPr>
        <w:t>5. Language can be improved overall in some places. For example, page 12 line 459, a "pristine" mouse can be corrected as "naïve" mouse.</w:t>
      </w:r>
      <w:r w:rsidRPr="00E97782">
        <w:rPr>
          <w:lang w:val="en-US"/>
        </w:rPr>
        <w:br/>
      </w:r>
    </w:p>
    <w:p w14:paraId="746D43B4" w14:textId="32968B3B" w:rsidR="00965893" w:rsidRPr="00E97782" w:rsidRDefault="00953D5F" w:rsidP="00965893">
      <w:pPr>
        <w:pStyle w:val="NormalWeb"/>
        <w:numPr>
          <w:ilvl w:val="0"/>
          <w:numId w:val="2"/>
        </w:numPr>
        <w:rPr>
          <w:b/>
          <w:lang w:val="en-US"/>
        </w:rPr>
      </w:pPr>
      <w:r w:rsidRPr="00E97782">
        <w:rPr>
          <w:b/>
          <w:lang w:val="en-US"/>
        </w:rPr>
        <w:t xml:space="preserve">In the revised manuscript, we have strived to improve the overall language and change the wording. This specific example </w:t>
      </w:r>
      <w:r w:rsidR="004854CC" w:rsidRPr="00E97782">
        <w:rPr>
          <w:b/>
          <w:lang w:val="en-US"/>
        </w:rPr>
        <w:t>ha</w:t>
      </w:r>
      <w:r w:rsidR="004854CC">
        <w:rPr>
          <w:b/>
          <w:lang w:val="en-US"/>
        </w:rPr>
        <w:t>s</w:t>
      </w:r>
      <w:r w:rsidR="004854CC" w:rsidRPr="00E97782">
        <w:rPr>
          <w:b/>
          <w:lang w:val="en-US"/>
        </w:rPr>
        <w:t xml:space="preserve"> </w:t>
      </w:r>
      <w:r w:rsidRPr="00E97782">
        <w:rPr>
          <w:b/>
          <w:lang w:val="en-US"/>
        </w:rPr>
        <w:t xml:space="preserve">been addressed and changed to the </w:t>
      </w:r>
      <w:r w:rsidR="004854CC">
        <w:rPr>
          <w:b/>
          <w:lang w:val="en-US"/>
        </w:rPr>
        <w:t>word suggested by</w:t>
      </w:r>
      <w:r w:rsidRPr="00E97782">
        <w:rPr>
          <w:b/>
          <w:lang w:val="en-US"/>
        </w:rPr>
        <w:t xml:space="preserve"> the reviewer (revised manuscript </w:t>
      </w:r>
      <w:r w:rsidR="004430AD" w:rsidRPr="004430AD">
        <w:rPr>
          <w:b/>
          <w:highlight w:val="lightGray"/>
          <w:lang w:val="en-US"/>
        </w:rPr>
        <w:t>page 12, lines 523</w:t>
      </w:r>
      <w:r w:rsidRPr="00E97782">
        <w:rPr>
          <w:b/>
          <w:lang w:val="en-US"/>
        </w:rPr>
        <w:t>)</w:t>
      </w:r>
      <w:r w:rsidR="00253A87" w:rsidRPr="00E97782">
        <w:rPr>
          <w:b/>
          <w:lang w:val="en-US"/>
        </w:rPr>
        <w:t>.</w:t>
      </w:r>
      <w:r w:rsidR="00781531">
        <w:rPr>
          <w:b/>
          <w:lang w:val="en-US"/>
        </w:rPr>
        <w:t>F</w:t>
      </w:r>
    </w:p>
    <w:p w14:paraId="1ECB359F" w14:textId="77777777" w:rsidR="009F2DD7" w:rsidRPr="00E97782" w:rsidRDefault="009F2DD7" w:rsidP="004858FA">
      <w:pPr>
        <w:pStyle w:val="NormalWeb"/>
        <w:rPr>
          <w:lang w:val="en-US"/>
        </w:rPr>
      </w:pPr>
      <w:r w:rsidRPr="00E97782">
        <w:rPr>
          <w:lang w:val="en-US"/>
        </w:rPr>
        <w:br/>
        <w:t>6. It is unclear what the yellow highlighted text in pages 8 and 9.</w:t>
      </w:r>
    </w:p>
    <w:p w14:paraId="74D4D785" w14:textId="5C315B30" w:rsidR="00BD7037" w:rsidRPr="00E97782" w:rsidRDefault="00965893" w:rsidP="00965893">
      <w:pPr>
        <w:pStyle w:val="ListParagraph"/>
        <w:numPr>
          <w:ilvl w:val="0"/>
          <w:numId w:val="2"/>
        </w:numPr>
        <w:rPr>
          <w:rFonts w:ascii="Times New Roman" w:hAnsi="Times New Roman" w:cs="Times New Roman"/>
          <w:b/>
        </w:rPr>
      </w:pPr>
      <w:r w:rsidRPr="00E97782">
        <w:rPr>
          <w:rFonts w:ascii="Times New Roman" w:hAnsi="Times New Roman" w:cs="Times New Roman"/>
          <w:b/>
        </w:rPr>
        <w:t xml:space="preserve">JoVE specifically </w:t>
      </w:r>
      <w:r w:rsidR="004854CC">
        <w:rPr>
          <w:rFonts w:ascii="Times New Roman" w:hAnsi="Times New Roman" w:cs="Times New Roman"/>
          <w:b/>
        </w:rPr>
        <w:t>requests that</w:t>
      </w:r>
      <w:r w:rsidR="004854CC" w:rsidRPr="00E97782">
        <w:rPr>
          <w:rFonts w:ascii="Times New Roman" w:hAnsi="Times New Roman" w:cs="Times New Roman"/>
          <w:b/>
        </w:rPr>
        <w:t xml:space="preserve"> </w:t>
      </w:r>
      <w:r w:rsidRPr="00E97782">
        <w:rPr>
          <w:rFonts w:ascii="Times New Roman" w:hAnsi="Times New Roman" w:cs="Times New Roman"/>
          <w:b/>
        </w:rPr>
        <w:t>authors highlight selected sections of the manuscripts that would be suitable for video</w:t>
      </w:r>
      <w:r w:rsidR="004854CC">
        <w:rPr>
          <w:rFonts w:ascii="Times New Roman" w:hAnsi="Times New Roman" w:cs="Times New Roman"/>
          <w:b/>
        </w:rPr>
        <w:t xml:space="preserve"> commentary</w:t>
      </w:r>
      <w:r w:rsidR="005F4A0C" w:rsidRPr="00E97782">
        <w:rPr>
          <w:rFonts w:ascii="Times New Roman" w:hAnsi="Times New Roman" w:cs="Times New Roman"/>
          <w:b/>
        </w:rPr>
        <w:t xml:space="preserve"> in the submission file</w:t>
      </w:r>
      <w:r w:rsidRPr="00E97782">
        <w:rPr>
          <w:rFonts w:ascii="Times New Roman" w:hAnsi="Times New Roman" w:cs="Times New Roman"/>
          <w:b/>
        </w:rPr>
        <w:t>.</w:t>
      </w:r>
    </w:p>
    <w:sectPr w:rsidR="00BD7037" w:rsidRPr="00E97782">
      <w:headerReference w:type="default" r:id="rId7"/>
      <w:pgSz w:w="11906" w:h="16838"/>
      <w:pgMar w:top="1701" w:right="1134" w:bottom="1701"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6D0AA" w16cid:durableId="2146CFD9"/>
  <w16cid:commentId w16cid:paraId="3D2C819D" w16cid:durableId="2146D21A"/>
  <w16cid:commentId w16cid:paraId="3F5DD22B" w16cid:durableId="2146D29B"/>
  <w16cid:commentId w16cid:paraId="54CB5F9F" w16cid:durableId="2146D72D"/>
  <w16cid:commentId w16cid:paraId="69A35888" w16cid:durableId="2146D754"/>
  <w16cid:commentId w16cid:paraId="42708BFF" w16cid:durableId="2146E45D"/>
  <w16cid:commentId w16cid:paraId="2909A403" w16cid:durableId="2146E617"/>
  <w16cid:commentId w16cid:paraId="6D8992D6" w16cid:durableId="2146E694"/>
  <w16cid:commentId w16cid:paraId="6786B6EA" w16cid:durableId="2146E9BA"/>
  <w16cid:commentId w16cid:paraId="19218DDE" w16cid:durableId="2146EAF4"/>
  <w16cid:commentId w16cid:paraId="2DAA50AE" w16cid:durableId="2146CE52"/>
  <w16cid:commentId w16cid:paraId="4ECE4504" w16cid:durableId="2146F3CD"/>
  <w16cid:commentId w16cid:paraId="029EAB0C" w16cid:durableId="2146F4F0"/>
  <w16cid:commentId w16cid:paraId="79C721C1" w16cid:durableId="2146F6AF"/>
  <w16cid:commentId w16cid:paraId="51E4BDF9" w16cid:durableId="2146F702"/>
  <w16cid:commentId w16cid:paraId="6508CDC7" w16cid:durableId="2146F74B"/>
  <w16cid:commentId w16cid:paraId="39F5D6BD" w16cid:durableId="2146F7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46465" w14:textId="77777777" w:rsidR="00A82DDE" w:rsidRDefault="00A82DDE" w:rsidP="00A519CD">
      <w:pPr>
        <w:spacing w:after="0" w:line="240" w:lineRule="auto"/>
      </w:pPr>
      <w:r>
        <w:separator/>
      </w:r>
    </w:p>
  </w:endnote>
  <w:endnote w:type="continuationSeparator" w:id="0">
    <w:p w14:paraId="119E4738" w14:textId="77777777" w:rsidR="00A82DDE" w:rsidRDefault="00A82DDE" w:rsidP="00A51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4F6D5" w14:textId="77777777" w:rsidR="00A82DDE" w:rsidRDefault="00A82DDE" w:rsidP="00A519CD">
      <w:pPr>
        <w:spacing w:after="0" w:line="240" w:lineRule="auto"/>
      </w:pPr>
      <w:r>
        <w:separator/>
      </w:r>
    </w:p>
  </w:footnote>
  <w:footnote w:type="continuationSeparator" w:id="0">
    <w:p w14:paraId="52A271AC" w14:textId="77777777" w:rsidR="00A82DDE" w:rsidRDefault="00A82DDE" w:rsidP="00A51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F2ACF" w14:textId="77777777" w:rsidR="00A519CD" w:rsidRPr="0015156A" w:rsidRDefault="00A519CD">
    <w:pPr>
      <w:pStyle w:val="Header"/>
    </w:pPr>
    <w:r w:rsidRPr="0015156A">
      <w:t>Author response to editor and review comments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C0C90"/>
    <w:multiLevelType w:val="multilevel"/>
    <w:tmpl w:val="1F60227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1C3745B"/>
    <w:multiLevelType w:val="multilevel"/>
    <w:tmpl w:val="3636FDE6"/>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4616218"/>
    <w:multiLevelType w:val="hybridMultilevel"/>
    <w:tmpl w:val="F4DC1EDE"/>
    <w:lvl w:ilvl="0" w:tplc="B9AC7DB0">
      <w:start w:val="1"/>
      <w:numFmt w:val="decimal"/>
      <w:lvlText w:val="%1."/>
      <w:lvlJc w:val="left"/>
      <w:pPr>
        <w:ind w:left="502"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B5B40"/>
    <w:multiLevelType w:val="hybridMultilevel"/>
    <w:tmpl w:val="9300C940"/>
    <w:lvl w:ilvl="0" w:tplc="C5143B18">
      <w:start w:val="5"/>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A3C3C45"/>
    <w:multiLevelType w:val="multilevel"/>
    <w:tmpl w:val="EC262892"/>
    <w:lvl w:ilvl="0">
      <w:start w:val="2"/>
      <w:numFmt w:val="decimal"/>
      <w:lvlText w:val="%1."/>
      <w:lvlJc w:val="left"/>
      <w:pPr>
        <w:ind w:left="360" w:hanging="360"/>
      </w:pPr>
      <w:rPr>
        <w:rFonts w:hint="default"/>
      </w:rPr>
    </w:lvl>
    <w:lvl w:ilvl="1">
      <w:start w:val="5"/>
      <w:numFmt w:val="bullet"/>
      <w:lvlText w:val="-"/>
      <w:lvlJc w:val="left"/>
      <w:pPr>
        <w:ind w:left="1080" w:hanging="360"/>
      </w:pPr>
      <w:rPr>
        <w:rFonts w:ascii="Times New Roman" w:eastAsiaTheme="minorHAnsi"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da-DK" w:vendorID="64" w:dllVersion="6" w:nlCheck="1" w:checkStyle="0"/>
  <w:activeWritingStyle w:appName="MSWord" w:lang="en-US" w:vendorID="64" w:dllVersion="6" w:nlCheck="1" w:checkStyle="1"/>
  <w:activeWritingStyle w:appName="MSWord" w:lang="en-US" w:vendorID="64" w:dllVersion="4096" w:nlCheck="1" w:checkStyle="0"/>
  <w:activeWritingStyle w:appName="MSWord" w:lang="da-DK" w:vendorID="64" w:dllVersion="4096" w:nlCheck="1" w:checkStyle="0"/>
  <w:activeWritingStyle w:appName="MSWord" w:lang="en-US" w:vendorID="64" w:dllVersion="131078" w:nlCheck="1" w:checkStyle="1"/>
  <w:activeWritingStyle w:appName="MSWord" w:lang="da-DK" w:vendorID="64" w:dllVersion="131078" w:nlCheck="1" w:checkStyle="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DD7"/>
    <w:rsid w:val="00002FD2"/>
    <w:rsid w:val="00016331"/>
    <w:rsid w:val="000651AF"/>
    <w:rsid w:val="00065AF1"/>
    <w:rsid w:val="00081BDF"/>
    <w:rsid w:val="00115E16"/>
    <w:rsid w:val="0012208B"/>
    <w:rsid w:val="00137635"/>
    <w:rsid w:val="0015156A"/>
    <w:rsid w:val="00172970"/>
    <w:rsid w:val="001750F1"/>
    <w:rsid w:val="001823D5"/>
    <w:rsid w:val="001C5C21"/>
    <w:rsid w:val="001D3668"/>
    <w:rsid w:val="00253A87"/>
    <w:rsid w:val="00253DAC"/>
    <w:rsid w:val="0026429A"/>
    <w:rsid w:val="00272673"/>
    <w:rsid w:val="00273B79"/>
    <w:rsid w:val="002C4170"/>
    <w:rsid w:val="002D5BB3"/>
    <w:rsid w:val="002E3DCC"/>
    <w:rsid w:val="003804D0"/>
    <w:rsid w:val="00381E77"/>
    <w:rsid w:val="00383161"/>
    <w:rsid w:val="003B228F"/>
    <w:rsid w:val="003C2575"/>
    <w:rsid w:val="003C4F5E"/>
    <w:rsid w:val="003F7956"/>
    <w:rsid w:val="00425795"/>
    <w:rsid w:val="0043591E"/>
    <w:rsid w:val="004430AD"/>
    <w:rsid w:val="004802CB"/>
    <w:rsid w:val="004854CC"/>
    <w:rsid w:val="004858FA"/>
    <w:rsid w:val="00490474"/>
    <w:rsid w:val="004A170D"/>
    <w:rsid w:val="004F30ED"/>
    <w:rsid w:val="004F7C80"/>
    <w:rsid w:val="005417B8"/>
    <w:rsid w:val="00591F0C"/>
    <w:rsid w:val="005B3308"/>
    <w:rsid w:val="005D6924"/>
    <w:rsid w:val="005F4A0C"/>
    <w:rsid w:val="006239E4"/>
    <w:rsid w:val="00637CC6"/>
    <w:rsid w:val="00656A82"/>
    <w:rsid w:val="00684167"/>
    <w:rsid w:val="00690F15"/>
    <w:rsid w:val="0069288D"/>
    <w:rsid w:val="00697526"/>
    <w:rsid w:val="006A1CA1"/>
    <w:rsid w:val="006D3A72"/>
    <w:rsid w:val="0071164D"/>
    <w:rsid w:val="00733AD9"/>
    <w:rsid w:val="0073550B"/>
    <w:rsid w:val="00756F75"/>
    <w:rsid w:val="00770CDC"/>
    <w:rsid w:val="00781531"/>
    <w:rsid w:val="007879EF"/>
    <w:rsid w:val="007969C6"/>
    <w:rsid w:val="007B2A16"/>
    <w:rsid w:val="007C6BA2"/>
    <w:rsid w:val="00821855"/>
    <w:rsid w:val="00833F09"/>
    <w:rsid w:val="00876241"/>
    <w:rsid w:val="00892FA2"/>
    <w:rsid w:val="008B5A47"/>
    <w:rsid w:val="0091674F"/>
    <w:rsid w:val="00935E94"/>
    <w:rsid w:val="00953D5F"/>
    <w:rsid w:val="0096162C"/>
    <w:rsid w:val="00965893"/>
    <w:rsid w:val="0097650E"/>
    <w:rsid w:val="0098239E"/>
    <w:rsid w:val="009854E8"/>
    <w:rsid w:val="0099084B"/>
    <w:rsid w:val="009D744F"/>
    <w:rsid w:val="009F2DD7"/>
    <w:rsid w:val="009F46B8"/>
    <w:rsid w:val="00A33973"/>
    <w:rsid w:val="00A344DC"/>
    <w:rsid w:val="00A36156"/>
    <w:rsid w:val="00A51617"/>
    <w:rsid w:val="00A519CD"/>
    <w:rsid w:val="00A82DDE"/>
    <w:rsid w:val="00A968AF"/>
    <w:rsid w:val="00AA79D3"/>
    <w:rsid w:val="00B0507A"/>
    <w:rsid w:val="00B43637"/>
    <w:rsid w:val="00B662E8"/>
    <w:rsid w:val="00B95FBF"/>
    <w:rsid w:val="00BC5795"/>
    <w:rsid w:val="00BD2F01"/>
    <w:rsid w:val="00BF2348"/>
    <w:rsid w:val="00BF51E4"/>
    <w:rsid w:val="00C339D7"/>
    <w:rsid w:val="00C6764C"/>
    <w:rsid w:val="00C865E2"/>
    <w:rsid w:val="00CA1599"/>
    <w:rsid w:val="00D03404"/>
    <w:rsid w:val="00D26410"/>
    <w:rsid w:val="00D40D85"/>
    <w:rsid w:val="00D55C8B"/>
    <w:rsid w:val="00D7663D"/>
    <w:rsid w:val="00D77121"/>
    <w:rsid w:val="00D97AD9"/>
    <w:rsid w:val="00DC0ECA"/>
    <w:rsid w:val="00DC1AAD"/>
    <w:rsid w:val="00E05A36"/>
    <w:rsid w:val="00E31D29"/>
    <w:rsid w:val="00E35E68"/>
    <w:rsid w:val="00E459CA"/>
    <w:rsid w:val="00E56D90"/>
    <w:rsid w:val="00E6692C"/>
    <w:rsid w:val="00E93C02"/>
    <w:rsid w:val="00E97782"/>
    <w:rsid w:val="00EC4A6E"/>
    <w:rsid w:val="00EF6E1C"/>
    <w:rsid w:val="00F072E9"/>
    <w:rsid w:val="00F17AAD"/>
    <w:rsid w:val="00F27D5D"/>
    <w:rsid w:val="00F42190"/>
    <w:rsid w:val="00F87702"/>
    <w:rsid w:val="00FE28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DEF8"/>
  <w15:chartTrackingRefBased/>
  <w15:docId w15:val="{01751AAB-DE5E-4440-8041-4B5A0E92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link w:val="Heading1Char"/>
    <w:uiPriority w:val="9"/>
    <w:qFormat/>
    <w:rsid w:val="00137635"/>
    <w:pPr>
      <w:spacing w:before="100" w:beforeAutospacing="1" w:after="100" w:afterAutospacing="1" w:line="240" w:lineRule="auto"/>
      <w:outlineLvl w:val="0"/>
    </w:pPr>
    <w:rPr>
      <w:rFonts w:ascii="Times New Roman" w:eastAsia="Times New Roman" w:hAnsi="Times New Roman" w:cs="Times New Roman"/>
      <w:b/>
      <w:bCs/>
      <w:kern w:val="36"/>
      <w:sz w:val="48"/>
      <w:szCs w:val="4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2DD7"/>
    <w:pPr>
      <w:spacing w:before="100" w:beforeAutospacing="1" w:after="100" w:afterAutospacing="1" w:line="240" w:lineRule="auto"/>
    </w:pPr>
    <w:rPr>
      <w:rFonts w:ascii="Times New Roman" w:hAnsi="Times New Roman" w:cs="Times New Roman"/>
      <w:sz w:val="24"/>
      <w:szCs w:val="24"/>
      <w:lang w:val="da-DK" w:eastAsia="da-DK"/>
    </w:rPr>
  </w:style>
  <w:style w:type="character" w:styleId="Strong">
    <w:name w:val="Strong"/>
    <w:basedOn w:val="DefaultParagraphFont"/>
    <w:uiPriority w:val="22"/>
    <w:qFormat/>
    <w:rsid w:val="009F2DD7"/>
    <w:rPr>
      <w:b/>
      <w:bCs/>
    </w:rPr>
  </w:style>
  <w:style w:type="character" w:styleId="Emphasis">
    <w:name w:val="Emphasis"/>
    <w:basedOn w:val="DefaultParagraphFont"/>
    <w:uiPriority w:val="20"/>
    <w:qFormat/>
    <w:rsid w:val="009F2DD7"/>
    <w:rPr>
      <w:i/>
      <w:iCs/>
    </w:rPr>
  </w:style>
  <w:style w:type="paragraph" w:styleId="Header">
    <w:name w:val="header"/>
    <w:basedOn w:val="Normal"/>
    <w:link w:val="HeaderChar"/>
    <w:uiPriority w:val="99"/>
    <w:unhideWhenUsed/>
    <w:rsid w:val="00A519CD"/>
    <w:pPr>
      <w:tabs>
        <w:tab w:val="center" w:pos="4819"/>
        <w:tab w:val="right" w:pos="9638"/>
      </w:tabs>
      <w:spacing w:after="0" w:line="240" w:lineRule="auto"/>
    </w:pPr>
  </w:style>
  <w:style w:type="character" w:customStyle="1" w:styleId="HeaderChar">
    <w:name w:val="Header Char"/>
    <w:basedOn w:val="DefaultParagraphFont"/>
    <w:link w:val="Header"/>
    <w:uiPriority w:val="99"/>
    <w:rsid w:val="00A519CD"/>
    <w:rPr>
      <w:lang w:val="en-US"/>
    </w:rPr>
  </w:style>
  <w:style w:type="paragraph" w:styleId="Footer">
    <w:name w:val="footer"/>
    <w:basedOn w:val="Normal"/>
    <w:link w:val="FooterChar"/>
    <w:uiPriority w:val="99"/>
    <w:unhideWhenUsed/>
    <w:rsid w:val="00A519CD"/>
    <w:pPr>
      <w:tabs>
        <w:tab w:val="center" w:pos="4819"/>
        <w:tab w:val="right" w:pos="9638"/>
      </w:tabs>
      <w:spacing w:after="0" w:line="240" w:lineRule="auto"/>
    </w:pPr>
  </w:style>
  <w:style w:type="character" w:customStyle="1" w:styleId="FooterChar">
    <w:name w:val="Footer Char"/>
    <w:basedOn w:val="DefaultParagraphFont"/>
    <w:link w:val="Footer"/>
    <w:uiPriority w:val="99"/>
    <w:rsid w:val="00A519CD"/>
    <w:rPr>
      <w:lang w:val="en-US"/>
    </w:rPr>
  </w:style>
  <w:style w:type="paragraph" w:styleId="ListParagraph">
    <w:name w:val="List Paragraph"/>
    <w:basedOn w:val="Normal"/>
    <w:uiPriority w:val="34"/>
    <w:qFormat/>
    <w:rsid w:val="00EC4A6E"/>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DC0ECA"/>
    <w:rPr>
      <w:sz w:val="16"/>
      <w:szCs w:val="16"/>
    </w:rPr>
  </w:style>
  <w:style w:type="paragraph" w:styleId="CommentText">
    <w:name w:val="annotation text"/>
    <w:basedOn w:val="Normal"/>
    <w:link w:val="CommentTextChar"/>
    <w:uiPriority w:val="99"/>
    <w:semiHidden/>
    <w:unhideWhenUsed/>
    <w:rsid w:val="00DC0ECA"/>
    <w:pPr>
      <w:spacing w:line="240" w:lineRule="auto"/>
    </w:pPr>
    <w:rPr>
      <w:sz w:val="20"/>
      <w:szCs w:val="20"/>
    </w:rPr>
  </w:style>
  <w:style w:type="character" w:customStyle="1" w:styleId="CommentTextChar">
    <w:name w:val="Comment Text Char"/>
    <w:basedOn w:val="DefaultParagraphFont"/>
    <w:link w:val="CommentText"/>
    <w:uiPriority w:val="99"/>
    <w:semiHidden/>
    <w:rsid w:val="00DC0ECA"/>
    <w:rPr>
      <w:sz w:val="20"/>
      <w:szCs w:val="20"/>
      <w:lang w:val="en-US"/>
    </w:rPr>
  </w:style>
  <w:style w:type="paragraph" w:styleId="CommentSubject">
    <w:name w:val="annotation subject"/>
    <w:basedOn w:val="CommentText"/>
    <w:next w:val="CommentText"/>
    <w:link w:val="CommentSubjectChar"/>
    <w:uiPriority w:val="99"/>
    <w:semiHidden/>
    <w:unhideWhenUsed/>
    <w:rsid w:val="00DC0ECA"/>
    <w:rPr>
      <w:b/>
      <w:bCs/>
    </w:rPr>
  </w:style>
  <w:style w:type="character" w:customStyle="1" w:styleId="CommentSubjectChar">
    <w:name w:val="Comment Subject Char"/>
    <w:basedOn w:val="CommentTextChar"/>
    <w:link w:val="CommentSubject"/>
    <w:uiPriority w:val="99"/>
    <w:semiHidden/>
    <w:rsid w:val="00DC0ECA"/>
    <w:rPr>
      <w:b/>
      <w:bCs/>
      <w:sz w:val="20"/>
      <w:szCs w:val="20"/>
      <w:lang w:val="en-US"/>
    </w:rPr>
  </w:style>
  <w:style w:type="paragraph" w:styleId="BalloonText">
    <w:name w:val="Balloon Text"/>
    <w:basedOn w:val="Normal"/>
    <w:link w:val="BalloonTextChar"/>
    <w:uiPriority w:val="99"/>
    <w:semiHidden/>
    <w:unhideWhenUsed/>
    <w:rsid w:val="00DC0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ECA"/>
    <w:rPr>
      <w:rFonts w:ascii="Segoe UI" w:hAnsi="Segoe UI" w:cs="Segoe UI"/>
      <w:sz w:val="18"/>
      <w:szCs w:val="18"/>
      <w:lang w:val="en-US"/>
    </w:rPr>
  </w:style>
  <w:style w:type="character" w:customStyle="1" w:styleId="Heading1Char">
    <w:name w:val="Heading 1 Char"/>
    <w:basedOn w:val="DefaultParagraphFont"/>
    <w:link w:val="Heading1"/>
    <w:uiPriority w:val="9"/>
    <w:rsid w:val="00137635"/>
    <w:rPr>
      <w:rFonts w:ascii="Times New Roman" w:eastAsia="Times New Roman" w:hAnsi="Times New Roman" w:cs="Times New Roman"/>
      <w:b/>
      <w:bCs/>
      <w:kern w:val="36"/>
      <w:sz w:val="48"/>
      <w:szCs w:val="48"/>
      <w:lang w:eastAsia="da-DK"/>
    </w:rPr>
  </w:style>
  <w:style w:type="character" w:customStyle="1" w:styleId="title-text">
    <w:name w:val="title-text"/>
    <w:basedOn w:val="DefaultParagraphFont"/>
    <w:rsid w:val="00137635"/>
  </w:style>
  <w:style w:type="character" w:styleId="Hyperlink">
    <w:name w:val="Hyperlink"/>
    <w:basedOn w:val="DefaultParagraphFont"/>
    <w:uiPriority w:val="99"/>
    <w:unhideWhenUsed/>
    <w:rsid w:val="006D3A72"/>
    <w:rPr>
      <w:color w:val="0563C1" w:themeColor="hyperlink"/>
      <w:u w:val="single"/>
    </w:rPr>
  </w:style>
  <w:style w:type="character" w:customStyle="1" w:styleId="UnresolvedMention">
    <w:name w:val="Unresolved Mention"/>
    <w:basedOn w:val="DefaultParagraphFont"/>
    <w:uiPriority w:val="99"/>
    <w:semiHidden/>
    <w:unhideWhenUsed/>
    <w:rsid w:val="006D3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5113">
      <w:bodyDiv w:val="1"/>
      <w:marLeft w:val="0"/>
      <w:marRight w:val="0"/>
      <w:marTop w:val="0"/>
      <w:marBottom w:val="0"/>
      <w:divBdr>
        <w:top w:val="none" w:sz="0" w:space="0" w:color="auto"/>
        <w:left w:val="none" w:sz="0" w:space="0" w:color="auto"/>
        <w:bottom w:val="none" w:sz="0" w:space="0" w:color="auto"/>
        <w:right w:val="none" w:sz="0" w:space="0" w:color="auto"/>
      </w:divBdr>
    </w:div>
    <w:div w:id="35835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3057</Words>
  <Characters>18648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Aarhus University</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Halling Folkmar Andersen</dc:creator>
  <cp:keywords/>
  <dc:description/>
  <cp:lastModifiedBy>Anna Halling Folkmar Andersen</cp:lastModifiedBy>
  <cp:revision>3</cp:revision>
  <dcterms:created xsi:type="dcterms:W3CDTF">2019-10-14T15:47:00Z</dcterms:created>
  <dcterms:modified xsi:type="dcterms:W3CDTF">2019-10-14T15:47:00Z</dcterms:modified>
</cp:coreProperties>
</file>