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FDA4D75" w:rsidR="006305D7" w:rsidRPr="00E21748" w:rsidRDefault="006305D7" w:rsidP="00E21748">
      <w:pPr>
        <w:pStyle w:val="NormalWeb"/>
        <w:snapToGrid w:val="0"/>
        <w:spacing w:before="0" w:beforeAutospacing="0" w:after="0" w:afterAutospacing="0"/>
        <w:contextualSpacing/>
        <w:rPr>
          <w:rFonts w:asciiTheme="minorHAnsi" w:hAnsiTheme="minorHAnsi" w:cstheme="minorHAnsi"/>
        </w:rPr>
      </w:pPr>
      <w:r w:rsidRPr="00E21748">
        <w:rPr>
          <w:rFonts w:asciiTheme="minorHAnsi" w:hAnsiTheme="minorHAnsi" w:cstheme="minorHAnsi"/>
          <w:b/>
          <w:bCs/>
        </w:rPr>
        <w:t>TITLE:</w:t>
      </w:r>
      <w:r w:rsidRPr="00E21748">
        <w:rPr>
          <w:rFonts w:asciiTheme="minorHAnsi" w:hAnsiTheme="minorHAnsi" w:cstheme="minorHAnsi"/>
        </w:rPr>
        <w:t xml:space="preserve"> </w:t>
      </w:r>
    </w:p>
    <w:p w14:paraId="214D781C" w14:textId="77777777" w:rsidR="00A56CF0" w:rsidRPr="005C2511" w:rsidRDefault="00A56CF0" w:rsidP="00E21748">
      <w:pPr>
        <w:snapToGrid w:val="0"/>
        <w:contextualSpacing/>
        <w:rPr>
          <w:rFonts w:asciiTheme="minorHAnsi" w:hAnsiTheme="minorHAnsi" w:cstheme="minorHAnsi"/>
          <w:b/>
          <w:bCs/>
        </w:rPr>
      </w:pPr>
      <w:r w:rsidRPr="005C2511">
        <w:rPr>
          <w:rFonts w:asciiTheme="minorHAnsi" w:hAnsiTheme="minorHAnsi" w:cstheme="minorHAnsi"/>
          <w:b/>
          <w:bCs/>
        </w:rPr>
        <w:t>Humanized NOG mice for intravaginal HIV exposure and treatment of HIV infection</w:t>
      </w:r>
    </w:p>
    <w:p w14:paraId="2E300B21" w14:textId="77777777" w:rsidR="007A4DD6" w:rsidRPr="00E21748" w:rsidRDefault="007A4DD6" w:rsidP="00E21748">
      <w:pPr>
        <w:snapToGrid w:val="0"/>
        <w:contextualSpacing/>
        <w:rPr>
          <w:rFonts w:asciiTheme="minorHAnsi" w:hAnsiTheme="minorHAnsi" w:cstheme="minorHAnsi"/>
          <w:b/>
          <w:bCs/>
        </w:rPr>
      </w:pPr>
    </w:p>
    <w:p w14:paraId="3D080DA3" w14:textId="179B3252" w:rsidR="006305D7" w:rsidRPr="00E21748" w:rsidRDefault="006305D7" w:rsidP="00E21748">
      <w:pPr>
        <w:snapToGrid w:val="0"/>
        <w:contextualSpacing/>
        <w:rPr>
          <w:rFonts w:asciiTheme="minorHAnsi" w:hAnsiTheme="minorHAnsi" w:cstheme="minorHAnsi"/>
          <w:color w:val="808080" w:themeColor="background1" w:themeShade="80"/>
        </w:rPr>
      </w:pPr>
      <w:r w:rsidRPr="00E21748">
        <w:rPr>
          <w:rFonts w:asciiTheme="minorHAnsi" w:hAnsiTheme="minorHAnsi" w:cstheme="minorHAnsi"/>
          <w:b/>
          <w:bCs/>
        </w:rPr>
        <w:t>AUTHORS</w:t>
      </w:r>
      <w:r w:rsidR="000B662E" w:rsidRPr="00E21748">
        <w:rPr>
          <w:rFonts w:asciiTheme="minorHAnsi" w:hAnsiTheme="minorHAnsi" w:cstheme="minorHAnsi"/>
          <w:b/>
          <w:bCs/>
        </w:rPr>
        <w:t xml:space="preserve"> </w:t>
      </w:r>
      <w:r w:rsidR="00086FF5" w:rsidRPr="00E21748">
        <w:rPr>
          <w:rFonts w:asciiTheme="minorHAnsi" w:hAnsiTheme="minorHAnsi" w:cstheme="minorHAnsi"/>
          <w:b/>
          <w:bCs/>
        </w:rPr>
        <w:t xml:space="preserve">AND </w:t>
      </w:r>
      <w:r w:rsidR="000B662E" w:rsidRPr="00E21748">
        <w:rPr>
          <w:rFonts w:asciiTheme="minorHAnsi" w:hAnsiTheme="minorHAnsi" w:cstheme="minorHAnsi"/>
          <w:b/>
          <w:bCs/>
        </w:rPr>
        <w:t>AFFILIATIONS</w:t>
      </w:r>
      <w:r w:rsidRPr="00E21748">
        <w:rPr>
          <w:rFonts w:asciiTheme="minorHAnsi" w:hAnsiTheme="minorHAnsi" w:cstheme="minorHAnsi"/>
          <w:b/>
          <w:bCs/>
        </w:rPr>
        <w:t xml:space="preserve">: </w:t>
      </w:r>
    </w:p>
    <w:p w14:paraId="72227282" w14:textId="78FFBD26" w:rsidR="00A56CF0" w:rsidRPr="00E21748" w:rsidRDefault="00A56CF0" w:rsidP="00E21748">
      <w:pPr>
        <w:snapToGrid w:val="0"/>
        <w:contextualSpacing/>
        <w:rPr>
          <w:rFonts w:asciiTheme="minorHAnsi" w:hAnsiTheme="minorHAnsi" w:cstheme="minorHAnsi"/>
          <w:vertAlign w:val="superscript"/>
        </w:rPr>
      </w:pPr>
      <w:r w:rsidRPr="00E21748">
        <w:rPr>
          <w:rFonts w:asciiTheme="minorHAnsi" w:hAnsiTheme="minorHAnsi" w:cstheme="minorHAnsi"/>
        </w:rPr>
        <w:t>A</w:t>
      </w:r>
      <w:r w:rsidR="00FE40A6" w:rsidRPr="00E21748">
        <w:rPr>
          <w:rFonts w:asciiTheme="minorHAnsi" w:hAnsiTheme="minorHAnsi" w:cstheme="minorHAnsi"/>
        </w:rPr>
        <w:t xml:space="preserve">nna </w:t>
      </w:r>
      <w:r w:rsidRPr="00E21748">
        <w:rPr>
          <w:rFonts w:asciiTheme="minorHAnsi" w:hAnsiTheme="minorHAnsi" w:cstheme="minorHAnsi"/>
        </w:rPr>
        <w:t>H.F. Andersen</w:t>
      </w:r>
      <w:r w:rsidRPr="00E21748">
        <w:rPr>
          <w:rFonts w:asciiTheme="minorHAnsi" w:hAnsiTheme="minorHAnsi" w:cstheme="minorHAnsi"/>
          <w:vertAlign w:val="superscript"/>
        </w:rPr>
        <w:t>1,2</w:t>
      </w:r>
      <w:r w:rsidRPr="00E21748">
        <w:rPr>
          <w:rFonts w:asciiTheme="minorHAnsi" w:hAnsiTheme="minorHAnsi" w:cstheme="minorHAnsi"/>
        </w:rPr>
        <w:t>, S</w:t>
      </w:r>
      <w:r w:rsidR="00FE40A6" w:rsidRPr="00E21748">
        <w:rPr>
          <w:rFonts w:asciiTheme="minorHAnsi" w:hAnsiTheme="minorHAnsi" w:cstheme="minorHAnsi"/>
        </w:rPr>
        <w:t xml:space="preserve">tine </w:t>
      </w:r>
      <w:r w:rsidRPr="00E21748">
        <w:rPr>
          <w:rFonts w:asciiTheme="minorHAnsi" w:hAnsiTheme="minorHAnsi" w:cstheme="minorHAnsi"/>
        </w:rPr>
        <w:t>S.F. Nielsen</w:t>
      </w:r>
      <w:r w:rsidRPr="00E21748">
        <w:rPr>
          <w:rFonts w:asciiTheme="minorHAnsi" w:hAnsiTheme="minorHAnsi" w:cstheme="minorHAnsi"/>
          <w:vertAlign w:val="superscript"/>
        </w:rPr>
        <w:t>1,2</w:t>
      </w:r>
      <w:r w:rsidR="00FE40A6" w:rsidRPr="00E21748">
        <w:rPr>
          <w:rFonts w:asciiTheme="minorHAnsi" w:hAnsiTheme="minorHAnsi" w:cstheme="minorHAnsi"/>
        </w:rPr>
        <w:t xml:space="preserve">, </w:t>
      </w:r>
      <w:proofErr w:type="spellStart"/>
      <w:r w:rsidR="00FE40A6" w:rsidRPr="00E21748">
        <w:rPr>
          <w:rFonts w:asciiTheme="minorHAnsi" w:hAnsiTheme="minorHAnsi" w:cstheme="minorHAnsi"/>
        </w:rPr>
        <w:t>Rikke</w:t>
      </w:r>
      <w:proofErr w:type="spellEnd"/>
      <w:r w:rsidRPr="00E21748">
        <w:rPr>
          <w:rFonts w:asciiTheme="minorHAnsi" w:hAnsiTheme="minorHAnsi" w:cstheme="minorHAnsi"/>
        </w:rPr>
        <w:t xml:space="preserve"> Olesen</w:t>
      </w:r>
      <w:r w:rsidRPr="00E21748">
        <w:rPr>
          <w:rFonts w:asciiTheme="minorHAnsi" w:hAnsiTheme="minorHAnsi" w:cstheme="minorHAnsi"/>
          <w:vertAlign w:val="superscript"/>
        </w:rPr>
        <w:t>1,2</w:t>
      </w:r>
      <w:r w:rsidRPr="00E21748">
        <w:rPr>
          <w:rFonts w:asciiTheme="minorHAnsi" w:hAnsiTheme="minorHAnsi" w:cstheme="minorHAnsi"/>
        </w:rPr>
        <w:t>, K</w:t>
      </w:r>
      <w:r w:rsidR="00FE40A6" w:rsidRPr="00E21748">
        <w:rPr>
          <w:rFonts w:asciiTheme="minorHAnsi" w:hAnsiTheme="minorHAnsi" w:cstheme="minorHAnsi"/>
        </w:rPr>
        <w:t>atharina</w:t>
      </w:r>
      <w:r w:rsidRPr="00E21748">
        <w:rPr>
          <w:rFonts w:asciiTheme="minorHAnsi" w:hAnsiTheme="minorHAnsi" w:cstheme="minorHAnsi"/>
        </w:rPr>
        <w:t xml:space="preserve"> Mack</w:t>
      </w:r>
      <w:r w:rsidRPr="00E21748">
        <w:rPr>
          <w:rFonts w:asciiTheme="minorHAnsi" w:hAnsiTheme="minorHAnsi" w:cstheme="minorHAnsi"/>
          <w:vertAlign w:val="superscript"/>
        </w:rPr>
        <w:t>1</w:t>
      </w:r>
      <w:r w:rsidR="00FE40A6" w:rsidRPr="00E21748">
        <w:rPr>
          <w:rFonts w:asciiTheme="minorHAnsi" w:hAnsiTheme="minorHAnsi" w:cstheme="minorHAnsi"/>
        </w:rPr>
        <w:t xml:space="preserve">, Frederik </w:t>
      </w:r>
      <w:r w:rsidRPr="00E21748">
        <w:rPr>
          <w:rFonts w:asciiTheme="minorHAnsi" w:hAnsiTheme="minorHAnsi" w:cstheme="minorHAnsi"/>
        </w:rPr>
        <w:t>Dagnæs-Hansen</w:t>
      </w:r>
      <w:r w:rsidRPr="00E21748">
        <w:rPr>
          <w:rFonts w:asciiTheme="minorHAnsi" w:hAnsiTheme="minorHAnsi" w:cstheme="minorHAnsi"/>
          <w:vertAlign w:val="superscript"/>
        </w:rPr>
        <w:t>3</w:t>
      </w:r>
      <w:r w:rsidR="00FE40A6" w:rsidRPr="00E21748">
        <w:rPr>
          <w:rFonts w:asciiTheme="minorHAnsi" w:hAnsiTheme="minorHAnsi" w:cstheme="minorHAnsi"/>
        </w:rPr>
        <w:t>, Niels</w:t>
      </w:r>
      <w:r w:rsidRPr="00E21748">
        <w:rPr>
          <w:rFonts w:asciiTheme="minorHAnsi" w:hAnsiTheme="minorHAnsi" w:cstheme="minorHAnsi"/>
        </w:rPr>
        <w:t xml:space="preserve"> Uldbjerg</w:t>
      </w:r>
      <w:r w:rsidRPr="00E21748">
        <w:rPr>
          <w:rFonts w:asciiTheme="minorHAnsi" w:hAnsiTheme="minorHAnsi" w:cstheme="minorHAnsi"/>
          <w:vertAlign w:val="superscript"/>
        </w:rPr>
        <w:t>1,4</w:t>
      </w:r>
      <w:r w:rsidRPr="00E21748">
        <w:rPr>
          <w:rFonts w:asciiTheme="minorHAnsi" w:hAnsiTheme="minorHAnsi" w:cstheme="minorHAnsi"/>
        </w:rPr>
        <w:t>, L</w:t>
      </w:r>
      <w:r w:rsidR="00FE40A6" w:rsidRPr="00E21748">
        <w:rPr>
          <w:rFonts w:asciiTheme="minorHAnsi" w:hAnsiTheme="minorHAnsi" w:cstheme="minorHAnsi"/>
        </w:rPr>
        <w:t>ars</w:t>
      </w:r>
      <w:r w:rsidRPr="00E21748">
        <w:rPr>
          <w:rFonts w:asciiTheme="minorHAnsi" w:hAnsiTheme="minorHAnsi" w:cstheme="minorHAnsi"/>
        </w:rPr>
        <w:t xml:space="preserve"> Østergaard</w:t>
      </w:r>
      <w:r w:rsidRPr="00E21748">
        <w:rPr>
          <w:rFonts w:asciiTheme="minorHAnsi" w:hAnsiTheme="minorHAnsi" w:cstheme="minorHAnsi"/>
          <w:vertAlign w:val="superscript"/>
        </w:rPr>
        <w:t>1,2</w:t>
      </w:r>
      <w:r w:rsidR="00FE40A6" w:rsidRPr="00E21748">
        <w:rPr>
          <w:rFonts w:asciiTheme="minorHAnsi" w:hAnsiTheme="minorHAnsi" w:cstheme="minorHAnsi"/>
        </w:rPr>
        <w:t>, Ole S.</w:t>
      </w:r>
      <w:r w:rsidRPr="00E21748">
        <w:rPr>
          <w:rFonts w:asciiTheme="minorHAnsi" w:hAnsiTheme="minorHAnsi" w:cstheme="minorHAnsi"/>
        </w:rPr>
        <w:t xml:space="preserve"> Søgaard</w:t>
      </w:r>
      <w:r w:rsidRPr="00E21748">
        <w:rPr>
          <w:rFonts w:asciiTheme="minorHAnsi" w:hAnsiTheme="minorHAnsi" w:cstheme="minorHAnsi"/>
          <w:vertAlign w:val="superscript"/>
        </w:rPr>
        <w:t>1,2</w:t>
      </w:r>
      <w:r w:rsidR="00FE40A6" w:rsidRPr="00E21748">
        <w:rPr>
          <w:rFonts w:asciiTheme="minorHAnsi" w:hAnsiTheme="minorHAnsi" w:cstheme="minorHAnsi"/>
        </w:rPr>
        <w:t xml:space="preserve">, Paul </w:t>
      </w:r>
      <w:r w:rsidRPr="00E21748">
        <w:rPr>
          <w:rFonts w:asciiTheme="minorHAnsi" w:hAnsiTheme="minorHAnsi" w:cstheme="minorHAnsi"/>
        </w:rPr>
        <w:t>W. Denton</w:t>
      </w:r>
      <w:r w:rsidRPr="00E21748">
        <w:rPr>
          <w:rFonts w:asciiTheme="minorHAnsi" w:hAnsiTheme="minorHAnsi" w:cstheme="minorHAnsi"/>
          <w:vertAlign w:val="superscript"/>
        </w:rPr>
        <w:t>1,2,5</w:t>
      </w:r>
      <w:r w:rsidR="00FE40A6" w:rsidRPr="00E21748">
        <w:rPr>
          <w:rFonts w:asciiTheme="minorHAnsi" w:hAnsiTheme="minorHAnsi" w:cstheme="minorHAnsi"/>
        </w:rPr>
        <w:t>, Martin</w:t>
      </w:r>
      <w:r w:rsidRPr="00E21748">
        <w:rPr>
          <w:rFonts w:asciiTheme="minorHAnsi" w:hAnsiTheme="minorHAnsi" w:cstheme="minorHAnsi"/>
        </w:rPr>
        <w:t xml:space="preserve"> Tolstrup</w:t>
      </w:r>
      <w:r w:rsidRPr="00E21748">
        <w:rPr>
          <w:rFonts w:asciiTheme="minorHAnsi" w:hAnsiTheme="minorHAnsi" w:cstheme="minorHAnsi"/>
          <w:vertAlign w:val="superscript"/>
        </w:rPr>
        <w:t>1,2</w:t>
      </w:r>
    </w:p>
    <w:p w14:paraId="2E8FD9D1" w14:textId="77777777" w:rsidR="00A56CF0" w:rsidRPr="00E21748" w:rsidRDefault="00A56CF0" w:rsidP="00E21748">
      <w:pPr>
        <w:snapToGrid w:val="0"/>
        <w:contextualSpacing/>
        <w:rPr>
          <w:rFonts w:asciiTheme="minorHAnsi" w:hAnsiTheme="minorHAnsi" w:cstheme="minorHAnsi"/>
        </w:rPr>
      </w:pPr>
    </w:p>
    <w:p w14:paraId="5FA3F2AD" w14:textId="77777777" w:rsidR="00A56CF0" w:rsidRPr="00E21748" w:rsidRDefault="00A56CF0" w:rsidP="00E21748">
      <w:pPr>
        <w:snapToGrid w:val="0"/>
        <w:contextualSpacing/>
        <w:rPr>
          <w:rFonts w:asciiTheme="minorHAnsi" w:hAnsiTheme="minorHAnsi" w:cstheme="minorHAnsi"/>
        </w:rPr>
      </w:pPr>
      <w:r w:rsidRPr="00E21748">
        <w:rPr>
          <w:rFonts w:asciiTheme="minorHAnsi" w:hAnsiTheme="minorHAnsi" w:cstheme="minorHAnsi"/>
          <w:vertAlign w:val="superscript"/>
        </w:rPr>
        <w:t>1</w:t>
      </w:r>
      <w:r w:rsidRPr="00E21748">
        <w:rPr>
          <w:rFonts w:asciiTheme="minorHAnsi" w:hAnsiTheme="minorHAnsi" w:cstheme="minorHAnsi"/>
        </w:rPr>
        <w:t>Department of Clinical Medicine, Aarhus University, Denmark</w:t>
      </w:r>
    </w:p>
    <w:p w14:paraId="2FA1C931" w14:textId="77777777" w:rsidR="00A56CF0" w:rsidRPr="00E21748" w:rsidRDefault="00A56CF0" w:rsidP="00E21748">
      <w:pPr>
        <w:snapToGrid w:val="0"/>
        <w:contextualSpacing/>
        <w:rPr>
          <w:rFonts w:asciiTheme="minorHAnsi" w:hAnsiTheme="minorHAnsi" w:cstheme="minorHAnsi"/>
        </w:rPr>
      </w:pPr>
      <w:r w:rsidRPr="00E21748">
        <w:rPr>
          <w:rFonts w:asciiTheme="minorHAnsi" w:hAnsiTheme="minorHAnsi" w:cstheme="minorHAnsi"/>
          <w:vertAlign w:val="superscript"/>
        </w:rPr>
        <w:t>2</w:t>
      </w:r>
      <w:r w:rsidRPr="00E21748">
        <w:rPr>
          <w:rFonts w:asciiTheme="minorHAnsi" w:hAnsiTheme="minorHAnsi" w:cstheme="minorHAnsi"/>
        </w:rPr>
        <w:t>Department of Infectious Diseases, Aarhus University Hospital, Denmark</w:t>
      </w:r>
    </w:p>
    <w:p w14:paraId="6CB01751" w14:textId="5B66C59F" w:rsidR="00A56CF0" w:rsidRPr="00E21748" w:rsidRDefault="00A56CF0" w:rsidP="00E21748">
      <w:pPr>
        <w:snapToGrid w:val="0"/>
        <w:contextualSpacing/>
        <w:rPr>
          <w:rFonts w:asciiTheme="minorHAnsi" w:hAnsiTheme="minorHAnsi" w:cstheme="minorHAnsi"/>
        </w:rPr>
      </w:pPr>
      <w:r w:rsidRPr="00E21748">
        <w:rPr>
          <w:rFonts w:asciiTheme="minorHAnsi" w:hAnsiTheme="minorHAnsi" w:cstheme="minorHAnsi"/>
          <w:vertAlign w:val="superscript"/>
        </w:rPr>
        <w:t>3</w:t>
      </w:r>
      <w:r w:rsidRPr="00E21748">
        <w:rPr>
          <w:rFonts w:asciiTheme="minorHAnsi" w:hAnsiTheme="minorHAnsi" w:cstheme="minorHAnsi"/>
        </w:rPr>
        <w:t>Department of Biomedicine, Aarhus University</w:t>
      </w:r>
      <w:r w:rsidR="005C2511">
        <w:rPr>
          <w:rFonts w:asciiTheme="minorHAnsi" w:hAnsiTheme="minorHAnsi" w:cstheme="minorHAnsi"/>
        </w:rPr>
        <w:t>, Denmark</w:t>
      </w:r>
    </w:p>
    <w:p w14:paraId="3A7B794F" w14:textId="70AE9F66" w:rsidR="00A56CF0" w:rsidRPr="00E21748" w:rsidRDefault="00A56CF0" w:rsidP="00E21748">
      <w:pPr>
        <w:snapToGrid w:val="0"/>
        <w:contextualSpacing/>
        <w:rPr>
          <w:rFonts w:asciiTheme="minorHAnsi" w:hAnsiTheme="minorHAnsi" w:cstheme="minorHAnsi"/>
        </w:rPr>
      </w:pPr>
      <w:r w:rsidRPr="00E21748">
        <w:rPr>
          <w:rFonts w:asciiTheme="minorHAnsi" w:hAnsiTheme="minorHAnsi" w:cstheme="minorHAnsi"/>
          <w:vertAlign w:val="superscript"/>
        </w:rPr>
        <w:t>4</w:t>
      </w:r>
      <w:r w:rsidRPr="00E21748">
        <w:rPr>
          <w:rFonts w:asciiTheme="minorHAnsi" w:hAnsiTheme="minorHAnsi" w:cstheme="minorHAnsi"/>
        </w:rPr>
        <w:t xml:space="preserve">Department of </w:t>
      </w:r>
      <w:r w:rsidR="00FE40A6" w:rsidRPr="00E21748">
        <w:rPr>
          <w:rFonts w:asciiTheme="minorHAnsi" w:hAnsiTheme="minorHAnsi" w:cstheme="minorHAnsi"/>
        </w:rPr>
        <w:t>Gynecology</w:t>
      </w:r>
      <w:r w:rsidRPr="00E21748">
        <w:rPr>
          <w:rFonts w:asciiTheme="minorHAnsi" w:hAnsiTheme="minorHAnsi" w:cstheme="minorHAnsi"/>
        </w:rPr>
        <w:t xml:space="preserve"> and Obstetrics, Aarhus University Hospital, Denmark</w:t>
      </w:r>
    </w:p>
    <w:p w14:paraId="2DE9A158" w14:textId="77777777" w:rsidR="00A56CF0" w:rsidRPr="00E21748" w:rsidRDefault="00A56CF0" w:rsidP="00E21748">
      <w:pPr>
        <w:snapToGrid w:val="0"/>
        <w:contextualSpacing/>
        <w:rPr>
          <w:rFonts w:asciiTheme="minorHAnsi" w:hAnsiTheme="minorHAnsi" w:cstheme="minorHAnsi"/>
        </w:rPr>
      </w:pPr>
      <w:r w:rsidRPr="00E21748">
        <w:rPr>
          <w:rFonts w:asciiTheme="minorHAnsi" w:hAnsiTheme="minorHAnsi" w:cstheme="minorHAnsi"/>
          <w:vertAlign w:val="superscript"/>
        </w:rPr>
        <w:t>5</w:t>
      </w:r>
      <w:r w:rsidRPr="00E21748">
        <w:rPr>
          <w:rFonts w:asciiTheme="minorHAnsi" w:hAnsiTheme="minorHAnsi" w:cstheme="minorHAnsi"/>
        </w:rPr>
        <w:t>Department of Biology, University of Nebraska at Omaha, USA</w:t>
      </w:r>
    </w:p>
    <w:p w14:paraId="76DF780B" w14:textId="77777777" w:rsidR="00A56CF0" w:rsidRPr="00E21748" w:rsidRDefault="00A56CF0" w:rsidP="00E21748">
      <w:pPr>
        <w:snapToGrid w:val="0"/>
        <w:contextualSpacing/>
        <w:rPr>
          <w:rFonts w:asciiTheme="minorHAnsi" w:hAnsiTheme="minorHAnsi" w:cstheme="minorHAnsi"/>
        </w:rPr>
      </w:pPr>
    </w:p>
    <w:p w14:paraId="7C51EC20" w14:textId="5FB18AD5" w:rsidR="00E21748" w:rsidRPr="005C2511" w:rsidRDefault="00FE40A6" w:rsidP="00E21748">
      <w:pPr>
        <w:snapToGrid w:val="0"/>
        <w:contextualSpacing/>
        <w:rPr>
          <w:rFonts w:asciiTheme="minorHAnsi" w:hAnsiTheme="minorHAnsi" w:cstheme="minorHAnsi"/>
          <w:b/>
          <w:bCs/>
        </w:rPr>
      </w:pPr>
      <w:r w:rsidRPr="005C2511">
        <w:rPr>
          <w:rFonts w:asciiTheme="minorHAnsi" w:hAnsiTheme="minorHAnsi" w:cstheme="minorHAnsi"/>
          <w:b/>
          <w:bCs/>
        </w:rPr>
        <w:t>Correspond</w:t>
      </w:r>
      <w:r w:rsidR="00E21748" w:rsidRPr="005C2511">
        <w:rPr>
          <w:rFonts w:asciiTheme="minorHAnsi" w:hAnsiTheme="minorHAnsi" w:cstheme="minorHAnsi"/>
          <w:b/>
          <w:bCs/>
        </w:rPr>
        <w:t>ing</w:t>
      </w:r>
      <w:r w:rsidRPr="005C2511">
        <w:rPr>
          <w:rFonts w:asciiTheme="minorHAnsi" w:hAnsiTheme="minorHAnsi" w:cstheme="minorHAnsi"/>
          <w:b/>
          <w:bCs/>
        </w:rPr>
        <w:t xml:space="preserve"> </w:t>
      </w:r>
      <w:r w:rsidR="00C93B58" w:rsidRPr="005C2511">
        <w:rPr>
          <w:rFonts w:asciiTheme="minorHAnsi" w:hAnsiTheme="minorHAnsi" w:cstheme="minorHAnsi"/>
          <w:b/>
          <w:bCs/>
        </w:rPr>
        <w:t>Author</w:t>
      </w:r>
      <w:r w:rsidRPr="005C2511">
        <w:rPr>
          <w:rFonts w:asciiTheme="minorHAnsi" w:hAnsiTheme="minorHAnsi" w:cstheme="minorHAnsi"/>
          <w:b/>
          <w:bCs/>
        </w:rPr>
        <w:t>:</w:t>
      </w:r>
      <w:r w:rsidR="00A56CF0" w:rsidRPr="005C2511">
        <w:rPr>
          <w:rFonts w:asciiTheme="minorHAnsi" w:hAnsiTheme="minorHAnsi" w:cstheme="minorHAnsi"/>
          <w:b/>
          <w:bCs/>
        </w:rPr>
        <w:t xml:space="preserve"> </w:t>
      </w:r>
    </w:p>
    <w:p w14:paraId="760D3E58" w14:textId="65F8E055" w:rsidR="00A56CF0" w:rsidRPr="00E21748" w:rsidRDefault="00A56CF0" w:rsidP="00E21748">
      <w:pPr>
        <w:snapToGrid w:val="0"/>
        <w:contextualSpacing/>
        <w:rPr>
          <w:rStyle w:val="Hyperlink"/>
          <w:rFonts w:asciiTheme="minorHAnsi" w:hAnsiTheme="minorHAnsi" w:cstheme="minorHAnsi"/>
        </w:rPr>
      </w:pPr>
      <w:r w:rsidRPr="00E21748">
        <w:rPr>
          <w:rFonts w:asciiTheme="minorHAnsi" w:hAnsiTheme="minorHAnsi" w:cstheme="minorHAnsi"/>
        </w:rPr>
        <w:t xml:space="preserve">Anna </w:t>
      </w:r>
      <w:r w:rsidR="00FE40A6" w:rsidRPr="00E21748">
        <w:rPr>
          <w:rFonts w:asciiTheme="minorHAnsi" w:hAnsiTheme="minorHAnsi" w:cstheme="minorHAnsi"/>
        </w:rPr>
        <w:t>H.F.</w:t>
      </w:r>
      <w:r w:rsidRPr="00E21748">
        <w:rPr>
          <w:rFonts w:asciiTheme="minorHAnsi" w:hAnsiTheme="minorHAnsi" w:cstheme="minorHAnsi"/>
        </w:rPr>
        <w:t xml:space="preserve"> Andersen </w:t>
      </w:r>
      <w:r w:rsidR="00C93B58">
        <w:rPr>
          <w:rFonts w:asciiTheme="minorHAnsi" w:hAnsiTheme="minorHAnsi" w:cstheme="minorHAnsi"/>
        </w:rPr>
        <w:tab/>
      </w:r>
      <w:r w:rsidR="00C93B58">
        <w:rPr>
          <w:rFonts w:asciiTheme="minorHAnsi" w:hAnsiTheme="minorHAnsi" w:cstheme="minorHAnsi"/>
        </w:rPr>
        <w:tab/>
      </w:r>
      <w:r w:rsidR="007F5BD9" w:rsidRPr="00E21748">
        <w:rPr>
          <w:rFonts w:asciiTheme="minorHAnsi" w:hAnsiTheme="minorHAnsi" w:cstheme="minorHAnsi"/>
        </w:rPr>
        <w:t>(</w:t>
      </w:r>
      <w:r w:rsidR="007F5BD9" w:rsidRPr="00C93B58">
        <w:rPr>
          <w:rFonts w:asciiTheme="minorHAnsi" w:hAnsiTheme="minorHAnsi" w:cstheme="minorHAnsi"/>
        </w:rPr>
        <w:t>ahfa@clin.au.dk</w:t>
      </w:r>
      <w:r w:rsidR="007F5BD9" w:rsidRPr="00E21748">
        <w:rPr>
          <w:rFonts w:asciiTheme="minorHAnsi" w:hAnsiTheme="minorHAnsi" w:cstheme="minorHAnsi"/>
        </w:rPr>
        <w:t>)</w:t>
      </w:r>
    </w:p>
    <w:p w14:paraId="2FF9BCA4" w14:textId="77777777" w:rsidR="00F71E6D" w:rsidRPr="00E21748" w:rsidRDefault="00F71E6D" w:rsidP="00E21748">
      <w:pPr>
        <w:pStyle w:val="NormalWeb"/>
        <w:snapToGrid w:val="0"/>
        <w:spacing w:before="0" w:beforeAutospacing="0" w:after="0" w:afterAutospacing="0"/>
        <w:contextualSpacing/>
        <w:rPr>
          <w:rFonts w:asciiTheme="minorHAnsi" w:hAnsiTheme="minorHAnsi" w:cstheme="minorHAnsi"/>
          <w:bCs/>
          <w:color w:val="auto"/>
        </w:rPr>
      </w:pPr>
    </w:p>
    <w:p w14:paraId="27743A2A" w14:textId="41CA819B" w:rsidR="00FE40A6" w:rsidRPr="005C2511" w:rsidRDefault="00FE40A6" w:rsidP="00E21748">
      <w:pPr>
        <w:pStyle w:val="NormalWeb"/>
        <w:snapToGrid w:val="0"/>
        <w:spacing w:before="0" w:beforeAutospacing="0" w:after="0" w:afterAutospacing="0"/>
        <w:contextualSpacing/>
        <w:rPr>
          <w:rFonts w:asciiTheme="minorHAnsi" w:hAnsiTheme="minorHAnsi" w:cstheme="minorHAnsi"/>
          <w:b/>
          <w:color w:val="auto"/>
        </w:rPr>
      </w:pPr>
      <w:r w:rsidRPr="005C2511">
        <w:rPr>
          <w:rFonts w:asciiTheme="minorHAnsi" w:hAnsiTheme="minorHAnsi" w:cstheme="minorHAnsi"/>
          <w:b/>
          <w:color w:val="auto"/>
        </w:rPr>
        <w:t xml:space="preserve">Email </w:t>
      </w:r>
      <w:r w:rsidR="00C93B58" w:rsidRPr="005C2511">
        <w:rPr>
          <w:rFonts w:asciiTheme="minorHAnsi" w:hAnsiTheme="minorHAnsi" w:cstheme="minorHAnsi"/>
          <w:b/>
          <w:color w:val="auto"/>
        </w:rPr>
        <w:t xml:space="preserve">Addresses </w:t>
      </w:r>
      <w:r w:rsidRPr="005C2511">
        <w:rPr>
          <w:rFonts w:asciiTheme="minorHAnsi" w:hAnsiTheme="minorHAnsi" w:cstheme="minorHAnsi"/>
          <w:b/>
          <w:color w:val="auto"/>
        </w:rPr>
        <w:t xml:space="preserve">of </w:t>
      </w:r>
      <w:r w:rsidR="00C93B58" w:rsidRPr="005C2511">
        <w:rPr>
          <w:rFonts w:asciiTheme="minorHAnsi" w:hAnsiTheme="minorHAnsi" w:cstheme="minorHAnsi"/>
          <w:b/>
          <w:color w:val="auto"/>
        </w:rPr>
        <w:t>Co</w:t>
      </w:r>
      <w:r w:rsidRPr="005C2511">
        <w:rPr>
          <w:rFonts w:asciiTheme="minorHAnsi" w:hAnsiTheme="minorHAnsi" w:cstheme="minorHAnsi"/>
          <w:b/>
          <w:color w:val="auto"/>
        </w:rPr>
        <w:t>-authors:</w:t>
      </w:r>
    </w:p>
    <w:p w14:paraId="2806C3DA" w14:textId="4F0C6D50" w:rsidR="00FE40A6" w:rsidRPr="00E21748" w:rsidRDefault="00FE40A6" w:rsidP="00E21748">
      <w:pPr>
        <w:pStyle w:val="NormalWeb"/>
        <w:snapToGrid w:val="0"/>
        <w:spacing w:before="0" w:beforeAutospacing="0" w:after="0" w:afterAutospacing="0"/>
        <w:contextualSpacing/>
        <w:rPr>
          <w:rFonts w:asciiTheme="minorHAnsi" w:hAnsiTheme="minorHAnsi" w:cstheme="minorHAnsi"/>
          <w:bCs/>
          <w:color w:val="auto"/>
        </w:rPr>
      </w:pPr>
      <w:r w:rsidRPr="00E21748">
        <w:rPr>
          <w:rFonts w:asciiTheme="minorHAnsi" w:hAnsiTheme="minorHAnsi" w:cstheme="minorHAnsi"/>
          <w:bCs/>
          <w:color w:val="auto"/>
        </w:rPr>
        <w:t xml:space="preserve">Stine S.F. Nielsen </w:t>
      </w:r>
      <w:r w:rsidR="00C93B58">
        <w:rPr>
          <w:rFonts w:asciiTheme="minorHAnsi" w:hAnsiTheme="minorHAnsi" w:cstheme="minorHAnsi"/>
          <w:bCs/>
          <w:color w:val="auto"/>
        </w:rPr>
        <w:tab/>
      </w:r>
      <w:r w:rsidR="00C93B58">
        <w:rPr>
          <w:rFonts w:asciiTheme="minorHAnsi" w:hAnsiTheme="minorHAnsi" w:cstheme="minorHAnsi"/>
          <w:bCs/>
          <w:color w:val="auto"/>
        </w:rPr>
        <w:tab/>
      </w:r>
      <w:r w:rsidR="007F5BD9" w:rsidRPr="00E21748">
        <w:rPr>
          <w:rFonts w:asciiTheme="minorHAnsi" w:hAnsiTheme="minorHAnsi" w:cstheme="minorHAnsi"/>
          <w:bCs/>
          <w:color w:val="auto"/>
        </w:rPr>
        <w:t>(</w:t>
      </w:r>
      <w:r w:rsidR="007F5BD9" w:rsidRPr="00C93B58">
        <w:rPr>
          <w:rFonts w:asciiTheme="minorHAnsi" w:hAnsiTheme="minorHAnsi" w:cstheme="minorHAnsi"/>
          <w:bCs/>
        </w:rPr>
        <w:t>stsoni@rm.dk</w:t>
      </w:r>
      <w:r w:rsidR="007F5BD9" w:rsidRPr="00E21748">
        <w:rPr>
          <w:rFonts w:asciiTheme="minorHAnsi" w:hAnsiTheme="minorHAnsi" w:cstheme="minorHAnsi"/>
          <w:bCs/>
          <w:color w:val="auto"/>
        </w:rPr>
        <w:t>)</w:t>
      </w:r>
    </w:p>
    <w:p w14:paraId="4EA4AD6A" w14:textId="0C9CC271" w:rsidR="00FE40A6" w:rsidRPr="00E21748" w:rsidRDefault="00FE40A6" w:rsidP="00E21748">
      <w:pPr>
        <w:pStyle w:val="NormalWeb"/>
        <w:snapToGrid w:val="0"/>
        <w:spacing w:before="0" w:beforeAutospacing="0" w:after="0" w:afterAutospacing="0"/>
        <w:contextualSpacing/>
        <w:rPr>
          <w:rFonts w:asciiTheme="minorHAnsi" w:hAnsiTheme="minorHAnsi" w:cstheme="minorHAnsi"/>
          <w:bCs/>
          <w:color w:val="auto"/>
        </w:rPr>
      </w:pPr>
      <w:proofErr w:type="spellStart"/>
      <w:r w:rsidRPr="00E21748">
        <w:rPr>
          <w:rFonts w:asciiTheme="minorHAnsi" w:hAnsiTheme="minorHAnsi" w:cstheme="minorHAnsi"/>
          <w:bCs/>
          <w:color w:val="auto"/>
        </w:rPr>
        <w:t>Rikke</w:t>
      </w:r>
      <w:proofErr w:type="spellEnd"/>
      <w:r w:rsidRPr="00E21748">
        <w:rPr>
          <w:rFonts w:asciiTheme="minorHAnsi" w:hAnsiTheme="minorHAnsi" w:cstheme="minorHAnsi"/>
          <w:bCs/>
          <w:color w:val="auto"/>
        </w:rPr>
        <w:t xml:space="preserve"> Olesen </w:t>
      </w:r>
      <w:r w:rsidR="00C93B58">
        <w:rPr>
          <w:rFonts w:asciiTheme="minorHAnsi" w:hAnsiTheme="minorHAnsi" w:cstheme="minorHAnsi"/>
          <w:bCs/>
          <w:color w:val="auto"/>
        </w:rPr>
        <w:tab/>
      </w:r>
      <w:r w:rsidR="00C93B58">
        <w:rPr>
          <w:rFonts w:asciiTheme="minorHAnsi" w:hAnsiTheme="minorHAnsi" w:cstheme="minorHAnsi"/>
          <w:bCs/>
          <w:color w:val="auto"/>
        </w:rPr>
        <w:tab/>
      </w:r>
      <w:r w:rsidR="00C93B58">
        <w:rPr>
          <w:rFonts w:asciiTheme="minorHAnsi" w:hAnsiTheme="minorHAnsi" w:cstheme="minorHAnsi"/>
          <w:bCs/>
          <w:color w:val="auto"/>
        </w:rPr>
        <w:tab/>
      </w:r>
      <w:r w:rsidRPr="00E21748">
        <w:rPr>
          <w:rFonts w:asciiTheme="minorHAnsi" w:hAnsiTheme="minorHAnsi" w:cstheme="minorHAnsi"/>
          <w:bCs/>
          <w:color w:val="auto"/>
        </w:rPr>
        <w:t>(</w:t>
      </w:r>
      <w:r w:rsidRPr="00C93B58">
        <w:rPr>
          <w:rFonts w:asciiTheme="minorHAnsi" w:hAnsiTheme="minorHAnsi" w:cstheme="minorHAnsi"/>
          <w:bCs/>
        </w:rPr>
        <w:t>rikkol@rm.dk</w:t>
      </w:r>
      <w:r w:rsidRPr="00E21748">
        <w:rPr>
          <w:rFonts w:asciiTheme="minorHAnsi" w:hAnsiTheme="minorHAnsi" w:cstheme="minorHAnsi"/>
          <w:bCs/>
          <w:color w:val="auto"/>
        </w:rPr>
        <w:t>)</w:t>
      </w:r>
    </w:p>
    <w:p w14:paraId="5775EF73" w14:textId="77775E99" w:rsidR="00FE40A6" w:rsidRPr="00E21748" w:rsidRDefault="00FE40A6" w:rsidP="00E21748">
      <w:pPr>
        <w:pStyle w:val="NormalWeb"/>
        <w:snapToGrid w:val="0"/>
        <w:spacing w:before="0" w:beforeAutospacing="0" w:after="0" w:afterAutospacing="0"/>
        <w:contextualSpacing/>
        <w:rPr>
          <w:rFonts w:asciiTheme="minorHAnsi" w:hAnsiTheme="minorHAnsi" w:cstheme="minorHAnsi"/>
          <w:bCs/>
          <w:color w:val="auto"/>
        </w:rPr>
      </w:pPr>
      <w:r w:rsidRPr="00E21748">
        <w:rPr>
          <w:rFonts w:asciiTheme="minorHAnsi" w:hAnsiTheme="minorHAnsi" w:cstheme="minorHAnsi"/>
          <w:bCs/>
          <w:color w:val="auto"/>
        </w:rPr>
        <w:t xml:space="preserve">Katharina Mack </w:t>
      </w:r>
      <w:r w:rsidR="00C93B58">
        <w:rPr>
          <w:rFonts w:asciiTheme="minorHAnsi" w:hAnsiTheme="minorHAnsi" w:cstheme="minorHAnsi"/>
          <w:bCs/>
          <w:color w:val="auto"/>
        </w:rPr>
        <w:tab/>
      </w:r>
      <w:r w:rsidR="00C93B58">
        <w:rPr>
          <w:rFonts w:asciiTheme="minorHAnsi" w:hAnsiTheme="minorHAnsi" w:cstheme="minorHAnsi"/>
          <w:bCs/>
          <w:color w:val="auto"/>
        </w:rPr>
        <w:tab/>
      </w:r>
      <w:r w:rsidRPr="00E21748">
        <w:rPr>
          <w:rFonts w:asciiTheme="minorHAnsi" w:hAnsiTheme="minorHAnsi" w:cstheme="minorHAnsi"/>
          <w:bCs/>
          <w:color w:val="auto"/>
        </w:rPr>
        <w:t>(</w:t>
      </w:r>
      <w:r w:rsidRPr="00C93B58">
        <w:rPr>
          <w:rFonts w:asciiTheme="minorHAnsi" w:hAnsiTheme="minorHAnsi" w:cstheme="minorHAnsi"/>
          <w:bCs/>
        </w:rPr>
        <w:t>katharinamack@yahoo.com</w:t>
      </w:r>
      <w:r w:rsidRPr="00E21748">
        <w:rPr>
          <w:rFonts w:asciiTheme="minorHAnsi" w:hAnsiTheme="minorHAnsi" w:cstheme="minorHAnsi"/>
          <w:bCs/>
          <w:color w:val="auto"/>
        </w:rPr>
        <w:t>)</w:t>
      </w:r>
    </w:p>
    <w:p w14:paraId="7A876223" w14:textId="3F7A6B75" w:rsidR="00FE40A6" w:rsidRPr="00E21748" w:rsidRDefault="00FE40A6" w:rsidP="00E21748">
      <w:pPr>
        <w:pStyle w:val="NormalWeb"/>
        <w:snapToGrid w:val="0"/>
        <w:spacing w:before="0" w:beforeAutospacing="0" w:after="0" w:afterAutospacing="0"/>
        <w:contextualSpacing/>
        <w:rPr>
          <w:rFonts w:asciiTheme="minorHAnsi" w:hAnsiTheme="minorHAnsi" w:cstheme="minorHAnsi"/>
          <w:bCs/>
          <w:color w:val="auto"/>
        </w:rPr>
      </w:pPr>
      <w:r w:rsidRPr="00E21748">
        <w:rPr>
          <w:rFonts w:asciiTheme="minorHAnsi" w:hAnsiTheme="minorHAnsi" w:cstheme="minorHAnsi"/>
          <w:bCs/>
          <w:color w:val="auto"/>
        </w:rPr>
        <w:t xml:space="preserve">Frederik </w:t>
      </w:r>
      <w:proofErr w:type="spellStart"/>
      <w:r w:rsidRPr="00E21748">
        <w:rPr>
          <w:rFonts w:asciiTheme="minorHAnsi" w:hAnsiTheme="minorHAnsi" w:cstheme="minorHAnsi"/>
          <w:bCs/>
          <w:color w:val="auto"/>
        </w:rPr>
        <w:t>Dagnæs</w:t>
      </w:r>
      <w:proofErr w:type="spellEnd"/>
      <w:r w:rsidRPr="00E21748">
        <w:rPr>
          <w:rFonts w:asciiTheme="minorHAnsi" w:hAnsiTheme="minorHAnsi" w:cstheme="minorHAnsi"/>
          <w:bCs/>
          <w:color w:val="auto"/>
        </w:rPr>
        <w:t>-Hansen</w:t>
      </w:r>
      <w:r w:rsidR="00C93B58">
        <w:rPr>
          <w:rFonts w:asciiTheme="minorHAnsi" w:hAnsiTheme="minorHAnsi" w:cstheme="minorHAnsi"/>
          <w:bCs/>
          <w:color w:val="auto"/>
        </w:rPr>
        <w:tab/>
      </w:r>
      <w:r w:rsidRPr="00E21748">
        <w:rPr>
          <w:rFonts w:asciiTheme="minorHAnsi" w:hAnsiTheme="minorHAnsi" w:cstheme="minorHAnsi"/>
          <w:bCs/>
          <w:color w:val="auto"/>
        </w:rPr>
        <w:t>(</w:t>
      </w:r>
      <w:r w:rsidRPr="00C93B58">
        <w:rPr>
          <w:rFonts w:asciiTheme="minorHAnsi" w:hAnsiTheme="minorHAnsi" w:cstheme="minorHAnsi"/>
          <w:bCs/>
        </w:rPr>
        <w:t>fdh@biomed.au.dk</w:t>
      </w:r>
      <w:r w:rsidRPr="00E21748">
        <w:rPr>
          <w:rFonts w:asciiTheme="minorHAnsi" w:hAnsiTheme="minorHAnsi" w:cstheme="minorHAnsi"/>
          <w:bCs/>
          <w:color w:val="auto"/>
        </w:rPr>
        <w:t>)</w:t>
      </w:r>
    </w:p>
    <w:p w14:paraId="2363197E" w14:textId="163EF6FA" w:rsidR="00FE40A6" w:rsidRPr="00E21748" w:rsidRDefault="00FE40A6" w:rsidP="00E21748">
      <w:pPr>
        <w:pStyle w:val="NormalWeb"/>
        <w:snapToGrid w:val="0"/>
        <w:spacing w:before="0" w:beforeAutospacing="0" w:after="0" w:afterAutospacing="0"/>
        <w:contextualSpacing/>
        <w:rPr>
          <w:rFonts w:asciiTheme="minorHAnsi" w:hAnsiTheme="minorHAnsi" w:cstheme="minorHAnsi"/>
          <w:bCs/>
          <w:color w:val="auto"/>
        </w:rPr>
      </w:pPr>
      <w:r w:rsidRPr="00E21748">
        <w:rPr>
          <w:rFonts w:asciiTheme="minorHAnsi" w:hAnsiTheme="minorHAnsi" w:cstheme="minorHAnsi"/>
          <w:bCs/>
          <w:color w:val="auto"/>
        </w:rPr>
        <w:t xml:space="preserve">Niels </w:t>
      </w:r>
      <w:proofErr w:type="spellStart"/>
      <w:r w:rsidRPr="00E21748">
        <w:rPr>
          <w:rFonts w:asciiTheme="minorHAnsi" w:hAnsiTheme="minorHAnsi" w:cstheme="minorHAnsi"/>
          <w:bCs/>
          <w:color w:val="auto"/>
        </w:rPr>
        <w:t>Uldbjerg</w:t>
      </w:r>
      <w:proofErr w:type="spellEnd"/>
      <w:r w:rsidRPr="00E21748">
        <w:rPr>
          <w:rFonts w:asciiTheme="minorHAnsi" w:hAnsiTheme="minorHAnsi" w:cstheme="minorHAnsi"/>
          <w:bCs/>
          <w:color w:val="auto"/>
        </w:rPr>
        <w:t xml:space="preserve"> </w:t>
      </w:r>
      <w:r w:rsidR="00C93B58">
        <w:rPr>
          <w:rFonts w:asciiTheme="minorHAnsi" w:hAnsiTheme="minorHAnsi" w:cstheme="minorHAnsi"/>
          <w:bCs/>
          <w:color w:val="auto"/>
        </w:rPr>
        <w:tab/>
      </w:r>
      <w:r w:rsidR="00C93B58">
        <w:rPr>
          <w:rFonts w:asciiTheme="minorHAnsi" w:hAnsiTheme="minorHAnsi" w:cstheme="minorHAnsi"/>
          <w:bCs/>
          <w:color w:val="auto"/>
        </w:rPr>
        <w:tab/>
      </w:r>
      <w:r w:rsidR="00C93B58">
        <w:rPr>
          <w:rFonts w:asciiTheme="minorHAnsi" w:hAnsiTheme="minorHAnsi" w:cstheme="minorHAnsi"/>
          <w:bCs/>
          <w:color w:val="auto"/>
        </w:rPr>
        <w:tab/>
      </w:r>
      <w:r w:rsidRPr="00E21748">
        <w:rPr>
          <w:rFonts w:asciiTheme="minorHAnsi" w:hAnsiTheme="minorHAnsi" w:cstheme="minorHAnsi"/>
          <w:bCs/>
          <w:color w:val="auto"/>
        </w:rPr>
        <w:t>(</w:t>
      </w:r>
      <w:r w:rsidRPr="00C93B58">
        <w:rPr>
          <w:rFonts w:asciiTheme="minorHAnsi" w:hAnsiTheme="minorHAnsi" w:cstheme="minorHAnsi"/>
          <w:bCs/>
        </w:rPr>
        <w:t>uldbjerg@clin.au.dk</w:t>
      </w:r>
      <w:r w:rsidRPr="00E21748">
        <w:rPr>
          <w:rFonts w:asciiTheme="minorHAnsi" w:hAnsiTheme="minorHAnsi" w:cstheme="minorHAnsi"/>
          <w:bCs/>
          <w:color w:val="auto"/>
        </w:rPr>
        <w:t>)</w:t>
      </w:r>
      <w:r w:rsidRPr="00E21748">
        <w:rPr>
          <w:rFonts w:asciiTheme="minorHAnsi" w:hAnsiTheme="minorHAnsi" w:cstheme="minorHAnsi"/>
          <w:bCs/>
          <w:color w:val="auto"/>
        </w:rPr>
        <w:tab/>
      </w:r>
    </w:p>
    <w:p w14:paraId="1A7C82D0" w14:textId="725DE9F6" w:rsidR="00FE40A6" w:rsidRPr="00E21748" w:rsidRDefault="00FE40A6" w:rsidP="00E21748">
      <w:pPr>
        <w:pStyle w:val="NormalWeb"/>
        <w:snapToGrid w:val="0"/>
        <w:spacing w:before="0" w:beforeAutospacing="0" w:after="0" w:afterAutospacing="0"/>
        <w:contextualSpacing/>
        <w:rPr>
          <w:rFonts w:asciiTheme="minorHAnsi" w:hAnsiTheme="minorHAnsi" w:cstheme="minorHAnsi"/>
          <w:bCs/>
          <w:color w:val="auto"/>
        </w:rPr>
      </w:pPr>
      <w:r w:rsidRPr="00E21748">
        <w:rPr>
          <w:rFonts w:asciiTheme="minorHAnsi" w:hAnsiTheme="minorHAnsi" w:cstheme="minorHAnsi"/>
          <w:bCs/>
          <w:color w:val="auto"/>
        </w:rPr>
        <w:t xml:space="preserve">Lars </w:t>
      </w:r>
      <w:proofErr w:type="spellStart"/>
      <w:r w:rsidRPr="00E21748">
        <w:rPr>
          <w:rFonts w:asciiTheme="minorHAnsi" w:hAnsiTheme="minorHAnsi" w:cstheme="minorHAnsi"/>
          <w:bCs/>
          <w:color w:val="auto"/>
        </w:rPr>
        <w:t>Østergaard</w:t>
      </w:r>
      <w:proofErr w:type="spellEnd"/>
      <w:r w:rsidRPr="00E21748">
        <w:rPr>
          <w:rFonts w:asciiTheme="minorHAnsi" w:hAnsiTheme="minorHAnsi" w:cstheme="minorHAnsi"/>
          <w:bCs/>
          <w:color w:val="auto"/>
        </w:rPr>
        <w:t xml:space="preserve"> </w:t>
      </w:r>
      <w:r w:rsidR="00C93B58">
        <w:rPr>
          <w:rFonts w:asciiTheme="minorHAnsi" w:hAnsiTheme="minorHAnsi" w:cstheme="minorHAnsi"/>
          <w:bCs/>
          <w:color w:val="auto"/>
        </w:rPr>
        <w:tab/>
      </w:r>
      <w:r w:rsidR="00C93B58">
        <w:rPr>
          <w:rFonts w:asciiTheme="minorHAnsi" w:hAnsiTheme="minorHAnsi" w:cstheme="minorHAnsi"/>
          <w:bCs/>
          <w:color w:val="auto"/>
        </w:rPr>
        <w:tab/>
      </w:r>
      <w:r w:rsidRPr="00E21748">
        <w:rPr>
          <w:rFonts w:asciiTheme="minorHAnsi" w:hAnsiTheme="minorHAnsi" w:cstheme="minorHAnsi"/>
          <w:bCs/>
          <w:color w:val="auto"/>
        </w:rPr>
        <w:t>(</w:t>
      </w:r>
      <w:r w:rsidRPr="00C93B58">
        <w:rPr>
          <w:rFonts w:asciiTheme="minorHAnsi" w:hAnsiTheme="minorHAnsi" w:cstheme="minorHAnsi"/>
          <w:bCs/>
        </w:rPr>
        <w:t>lars.ostergaard@clin.au.dk</w:t>
      </w:r>
      <w:r w:rsidRPr="00E21748">
        <w:rPr>
          <w:rFonts w:asciiTheme="minorHAnsi" w:hAnsiTheme="minorHAnsi" w:cstheme="minorHAnsi"/>
          <w:bCs/>
          <w:color w:val="auto"/>
        </w:rPr>
        <w:t>)</w:t>
      </w:r>
      <w:r w:rsidRPr="00E21748">
        <w:rPr>
          <w:rFonts w:asciiTheme="minorHAnsi" w:hAnsiTheme="minorHAnsi" w:cstheme="minorHAnsi"/>
          <w:bCs/>
          <w:color w:val="auto"/>
        </w:rPr>
        <w:tab/>
      </w:r>
    </w:p>
    <w:p w14:paraId="1487128E" w14:textId="692199A4" w:rsidR="00FE40A6" w:rsidRPr="00E21748" w:rsidRDefault="00FE40A6" w:rsidP="00E21748">
      <w:pPr>
        <w:pStyle w:val="NormalWeb"/>
        <w:snapToGrid w:val="0"/>
        <w:spacing w:before="0" w:beforeAutospacing="0" w:after="0" w:afterAutospacing="0"/>
        <w:contextualSpacing/>
        <w:rPr>
          <w:rFonts w:asciiTheme="minorHAnsi" w:hAnsiTheme="minorHAnsi" w:cstheme="minorHAnsi"/>
          <w:bCs/>
          <w:color w:val="auto"/>
        </w:rPr>
      </w:pPr>
      <w:r w:rsidRPr="00E21748">
        <w:rPr>
          <w:rFonts w:asciiTheme="minorHAnsi" w:hAnsiTheme="minorHAnsi" w:cstheme="minorHAnsi"/>
          <w:bCs/>
          <w:color w:val="auto"/>
        </w:rPr>
        <w:t xml:space="preserve">Ole S. </w:t>
      </w:r>
      <w:proofErr w:type="spellStart"/>
      <w:r w:rsidRPr="00E21748">
        <w:rPr>
          <w:rFonts w:asciiTheme="minorHAnsi" w:hAnsiTheme="minorHAnsi" w:cstheme="minorHAnsi"/>
          <w:bCs/>
          <w:color w:val="auto"/>
        </w:rPr>
        <w:t>Søgaard</w:t>
      </w:r>
      <w:proofErr w:type="spellEnd"/>
      <w:r w:rsidRPr="00E21748">
        <w:rPr>
          <w:rFonts w:asciiTheme="minorHAnsi" w:hAnsiTheme="minorHAnsi" w:cstheme="minorHAnsi"/>
          <w:bCs/>
          <w:color w:val="auto"/>
        </w:rPr>
        <w:t xml:space="preserve"> </w:t>
      </w:r>
      <w:r w:rsidR="00C93B58">
        <w:rPr>
          <w:rFonts w:asciiTheme="minorHAnsi" w:hAnsiTheme="minorHAnsi" w:cstheme="minorHAnsi"/>
          <w:bCs/>
          <w:color w:val="auto"/>
        </w:rPr>
        <w:tab/>
      </w:r>
      <w:r w:rsidR="00C93B58">
        <w:rPr>
          <w:rFonts w:asciiTheme="minorHAnsi" w:hAnsiTheme="minorHAnsi" w:cstheme="minorHAnsi"/>
          <w:bCs/>
          <w:color w:val="auto"/>
        </w:rPr>
        <w:tab/>
      </w:r>
      <w:r w:rsidRPr="00E21748">
        <w:rPr>
          <w:rFonts w:asciiTheme="minorHAnsi" w:hAnsiTheme="minorHAnsi" w:cstheme="minorHAnsi"/>
          <w:bCs/>
          <w:color w:val="auto"/>
        </w:rPr>
        <w:t>(</w:t>
      </w:r>
      <w:r w:rsidRPr="00C93B58">
        <w:rPr>
          <w:rFonts w:asciiTheme="minorHAnsi" w:hAnsiTheme="minorHAnsi" w:cstheme="minorHAnsi"/>
          <w:bCs/>
        </w:rPr>
        <w:t>ole.schmeltz.sogaard@clin.au.dk</w:t>
      </w:r>
      <w:r w:rsidRPr="00E21748">
        <w:rPr>
          <w:rFonts w:asciiTheme="minorHAnsi" w:hAnsiTheme="minorHAnsi" w:cstheme="minorHAnsi"/>
          <w:bCs/>
          <w:color w:val="auto"/>
        </w:rPr>
        <w:t>)</w:t>
      </w:r>
      <w:r w:rsidRPr="00E21748">
        <w:rPr>
          <w:rFonts w:asciiTheme="minorHAnsi" w:hAnsiTheme="minorHAnsi" w:cstheme="minorHAnsi"/>
          <w:bCs/>
          <w:color w:val="auto"/>
        </w:rPr>
        <w:tab/>
      </w:r>
    </w:p>
    <w:p w14:paraId="1C1FDC5F" w14:textId="0DCC8D6F" w:rsidR="00FE40A6" w:rsidRPr="00E21748" w:rsidRDefault="00FE40A6" w:rsidP="00E21748">
      <w:pPr>
        <w:pStyle w:val="NormalWeb"/>
        <w:snapToGrid w:val="0"/>
        <w:spacing w:before="0" w:beforeAutospacing="0" w:after="0" w:afterAutospacing="0"/>
        <w:contextualSpacing/>
        <w:rPr>
          <w:rFonts w:asciiTheme="minorHAnsi" w:hAnsiTheme="minorHAnsi" w:cstheme="minorHAnsi"/>
          <w:bCs/>
          <w:color w:val="auto"/>
        </w:rPr>
      </w:pPr>
      <w:r w:rsidRPr="00E21748">
        <w:rPr>
          <w:rFonts w:asciiTheme="minorHAnsi" w:hAnsiTheme="minorHAnsi" w:cstheme="minorHAnsi"/>
          <w:bCs/>
          <w:color w:val="auto"/>
        </w:rPr>
        <w:t xml:space="preserve">Paul W. Denton </w:t>
      </w:r>
      <w:r w:rsidR="00C93B58">
        <w:rPr>
          <w:rFonts w:asciiTheme="minorHAnsi" w:hAnsiTheme="minorHAnsi" w:cstheme="minorHAnsi"/>
          <w:bCs/>
          <w:color w:val="auto"/>
        </w:rPr>
        <w:tab/>
      </w:r>
      <w:r w:rsidR="00C93B58">
        <w:rPr>
          <w:rFonts w:asciiTheme="minorHAnsi" w:hAnsiTheme="minorHAnsi" w:cstheme="minorHAnsi"/>
          <w:bCs/>
          <w:color w:val="auto"/>
        </w:rPr>
        <w:tab/>
      </w:r>
      <w:r w:rsidRPr="00E21748">
        <w:rPr>
          <w:rFonts w:asciiTheme="minorHAnsi" w:hAnsiTheme="minorHAnsi" w:cstheme="minorHAnsi"/>
          <w:bCs/>
          <w:color w:val="auto"/>
        </w:rPr>
        <w:t>(</w:t>
      </w:r>
      <w:r w:rsidRPr="00C93B58">
        <w:rPr>
          <w:rFonts w:asciiTheme="minorHAnsi" w:hAnsiTheme="minorHAnsi" w:cstheme="minorHAnsi"/>
          <w:bCs/>
        </w:rPr>
        <w:t>pdenton@unomaha.edu</w:t>
      </w:r>
      <w:r w:rsidRPr="00E21748">
        <w:rPr>
          <w:rFonts w:asciiTheme="minorHAnsi" w:hAnsiTheme="minorHAnsi" w:cstheme="minorHAnsi"/>
          <w:bCs/>
          <w:color w:val="auto"/>
        </w:rPr>
        <w:t>)</w:t>
      </w:r>
      <w:r w:rsidRPr="00E21748">
        <w:rPr>
          <w:rFonts w:asciiTheme="minorHAnsi" w:hAnsiTheme="minorHAnsi" w:cstheme="minorHAnsi"/>
          <w:bCs/>
          <w:color w:val="auto"/>
        </w:rPr>
        <w:tab/>
      </w:r>
    </w:p>
    <w:p w14:paraId="663B884E" w14:textId="372BF204" w:rsidR="00FE40A6" w:rsidRPr="00E21748" w:rsidRDefault="00FE40A6" w:rsidP="00E21748">
      <w:pPr>
        <w:pStyle w:val="NormalWeb"/>
        <w:snapToGrid w:val="0"/>
        <w:spacing w:before="0" w:beforeAutospacing="0" w:after="0" w:afterAutospacing="0"/>
        <w:contextualSpacing/>
        <w:rPr>
          <w:rFonts w:asciiTheme="minorHAnsi" w:hAnsiTheme="minorHAnsi" w:cstheme="minorHAnsi"/>
          <w:bCs/>
          <w:color w:val="auto"/>
        </w:rPr>
      </w:pPr>
      <w:r w:rsidRPr="00E21748">
        <w:rPr>
          <w:rFonts w:asciiTheme="minorHAnsi" w:hAnsiTheme="minorHAnsi" w:cstheme="minorHAnsi"/>
          <w:bCs/>
          <w:color w:val="auto"/>
        </w:rPr>
        <w:t xml:space="preserve">Martin </w:t>
      </w:r>
      <w:proofErr w:type="spellStart"/>
      <w:r w:rsidRPr="00E21748">
        <w:rPr>
          <w:rFonts w:asciiTheme="minorHAnsi" w:hAnsiTheme="minorHAnsi" w:cstheme="minorHAnsi"/>
          <w:bCs/>
          <w:color w:val="auto"/>
        </w:rPr>
        <w:t>Tolstrup</w:t>
      </w:r>
      <w:proofErr w:type="spellEnd"/>
      <w:r w:rsidRPr="00E21748">
        <w:rPr>
          <w:rFonts w:asciiTheme="minorHAnsi" w:hAnsiTheme="minorHAnsi" w:cstheme="minorHAnsi"/>
          <w:bCs/>
          <w:color w:val="auto"/>
        </w:rPr>
        <w:t xml:space="preserve"> </w:t>
      </w:r>
      <w:r w:rsidR="00C93B58">
        <w:rPr>
          <w:rFonts w:asciiTheme="minorHAnsi" w:hAnsiTheme="minorHAnsi" w:cstheme="minorHAnsi"/>
          <w:bCs/>
          <w:color w:val="auto"/>
        </w:rPr>
        <w:tab/>
      </w:r>
      <w:r w:rsidR="00C93B58">
        <w:rPr>
          <w:rFonts w:asciiTheme="minorHAnsi" w:hAnsiTheme="minorHAnsi" w:cstheme="minorHAnsi"/>
          <w:bCs/>
          <w:color w:val="auto"/>
        </w:rPr>
        <w:tab/>
      </w:r>
      <w:r w:rsidR="007F5BD9" w:rsidRPr="00E21748">
        <w:rPr>
          <w:rFonts w:asciiTheme="minorHAnsi" w:hAnsiTheme="minorHAnsi" w:cstheme="minorHAnsi"/>
          <w:bCs/>
          <w:color w:val="auto"/>
        </w:rPr>
        <w:t>(</w:t>
      </w:r>
      <w:r w:rsidR="007F5BD9" w:rsidRPr="00C93B58">
        <w:rPr>
          <w:rFonts w:asciiTheme="minorHAnsi" w:hAnsiTheme="minorHAnsi" w:cstheme="minorHAnsi"/>
          <w:bCs/>
        </w:rPr>
        <w:t>mtol@clin.au.dk</w:t>
      </w:r>
      <w:r w:rsidR="007F5BD9" w:rsidRPr="00E21748">
        <w:rPr>
          <w:rFonts w:asciiTheme="minorHAnsi" w:hAnsiTheme="minorHAnsi" w:cstheme="minorHAnsi"/>
          <w:bCs/>
          <w:color w:val="auto"/>
        </w:rPr>
        <w:t>)</w:t>
      </w:r>
    </w:p>
    <w:p w14:paraId="17441AE6" w14:textId="0F77796A" w:rsidR="00FE40A6" w:rsidRPr="00E21748" w:rsidRDefault="00FE40A6" w:rsidP="00E21748">
      <w:pPr>
        <w:pStyle w:val="NormalWeb"/>
        <w:snapToGrid w:val="0"/>
        <w:spacing w:before="0" w:beforeAutospacing="0" w:after="0" w:afterAutospacing="0"/>
        <w:contextualSpacing/>
        <w:rPr>
          <w:rFonts w:asciiTheme="minorHAnsi" w:hAnsiTheme="minorHAnsi" w:cstheme="minorHAnsi"/>
          <w:b/>
          <w:bCs/>
        </w:rPr>
      </w:pPr>
    </w:p>
    <w:p w14:paraId="71B79AC9" w14:textId="184F998A" w:rsidR="006305D7" w:rsidRPr="00E21748" w:rsidRDefault="006305D7" w:rsidP="00E21748">
      <w:pPr>
        <w:pStyle w:val="NormalWeb"/>
        <w:snapToGrid w:val="0"/>
        <w:spacing w:before="0" w:beforeAutospacing="0" w:after="0" w:afterAutospacing="0"/>
        <w:contextualSpacing/>
        <w:rPr>
          <w:rFonts w:asciiTheme="minorHAnsi" w:hAnsiTheme="minorHAnsi" w:cstheme="minorHAnsi"/>
        </w:rPr>
      </w:pPr>
      <w:r w:rsidRPr="00E21748">
        <w:rPr>
          <w:rFonts w:asciiTheme="minorHAnsi" w:hAnsiTheme="minorHAnsi" w:cstheme="minorHAnsi"/>
          <w:b/>
          <w:bCs/>
        </w:rPr>
        <w:t>KEYWORDS:</w:t>
      </w:r>
      <w:r w:rsidRPr="00E21748">
        <w:rPr>
          <w:rFonts w:asciiTheme="minorHAnsi" w:hAnsiTheme="minorHAnsi" w:cstheme="minorHAnsi"/>
        </w:rPr>
        <w:t xml:space="preserve"> </w:t>
      </w:r>
    </w:p>
    <w:p w14:paraId="4B653F0B" w14:textId="71E95D6C" w:rsidR="00A56CF0" w:rsidRPr="00E21748" w:rsidRDefault="00C93B58" w:rsidP="00E21748">
      <w:pPr>
        <w:snapToGrid w:val="0"/>
        <w:contextualSpacing/>
        <w:rPr>
          <w:rFonts w:asciiTheme="minorHAnsi" w:hAnsiTheme="minorHAnsi" w:cstheme="minorHAnsi"/>
        </w:rPr>
      </w:pPr>
      <w:r>
        <w:rPr>
          <w:rFonts w:asciiTheme="minorHAnsi" w:hAnsiTheme="minorHAnsi" w:cstheme="minorHAnsi"/>
        </w:rPr>
        <w:t>i</w:t>
      </w:r>
      <w:r w:rsidR="00A56CF0" w:rsidRPr="00E21748">
        <w:rPr>
          <w:rFonts w:asciiTheme="minorHAnsi" w:hAnsiTheme="minorHAnsi" w:cstheme="minorHAnsi"/>
        </w:rPr>
        <w:t xml:space="preserve">mmunology and infection, NOG mouse, </w:t>
      </w:r>
      <w:r>
        <w:rPr>
          <w:rFonts w:asciiTheme="minorHAnsi" w:hAnsiTheme="minorHAnsi" w:cstheme="minorHAnsi"/>
        </w:rPr>
        <w:t>h</w:t>
      </w:r>
      <w:r w:rsidR="00A56CF0" w:rsidRPr="00E21748">
        <w:rPr>
          <w:rFonts w:asciiTheme="minorHAnsi" w:hAnsiTheme="minorHAnsi" w:cstheme="minorHAnsi"/>
        </w:rPr>
        <w:t xml:space="preserve">umanized mice, HIV, </w:t>
      </w:r>
      <w:proofErr w:type="spellStart"/>
      <w:r w:rsidR="00A56CF0" w:rsidRPr="00E21748">
        <w:rPr>
          <w:rFonts w:asciiTheme="minorHAnsi" w:hAnsiTheme="minorHAnsi" w:cstheme="minorHAnsi"/>
        </w:rPr>
        <w:t>cART</w:t>
      </w:r>
      <w:proofErr w:type="spellEnd"/>
      <w:r w:rsidR="00A56CF0" w:rsidRPr="00E21748">
        <w:rPr>
          <w:rFonts w:asciiTheme="minorHAnsi" w:hAnsiTheme="minorHAnsi" w:cstheme="minorHAnsi"/>
        </w:rPr>
        <w:t xml:space="preserve">, CCR5, </w:t>
      </w:r>
      <w:r>
        <w:rPr>
          <w:rFonts w:asciiTheme="minorHAnsi" w:hAnsiTheme="minorHAnsi" w:cstheme="minorHAnsi"/>
        </w:rPr>
        <w:t>s</w:t>
      </w:r>
      <w:r w:rsidR="00A56CF0" w:rsidRPr="00E21748">
        <w:rPr>
          <w:rFonts w:asciiTheme="minorHAnsi" w:hAnsiTheme="minorHAnsi" w:cstheme="minorHAnsi"/>
        </w:rPr>
        <w:t xml:space="preserve">tem cells, </w:t>
      </w:r>
      <w:proofErr w:type="spellStart"/>
      <w:r w:rsidR="00A56CF0" w:rsidRPr="00E21748">
        <w:rPr>
          <w:rFonts w:asciiTheme="minorHAnsi" w:hAnsiTheme="minorHAnsi" w:cstheme="minorHAnsi"/>
        </w:rPr>
        <w:t>ddPCR</w:t>
      </w:r>
      <w:proofErr w:type="spellEnd"/>
    </w:p>
    <w:p w14:paraId="1CB4E390" w14:textId="77777777" w:rsidR="006305D7" w:rsidRPr="00E21748" w:rsidRDefault="006305D7" w:rsidP="00E21748">
      <w:pPr>
        <w:pStyle w:val="NormalWeb"/>
        <w:snapToGrid w:val="0"/>
        <w:spacing w:before="0" w:beforeAutospacing="0" w:after="0" w:afterAutospacing="0"/>
        <w:contextualSpacing/>
        <w:rPr>
          <w:rFonts w:asciiTheme="minorHAnsi" w:hAnsiTheme="minorHAnsi" w:cstheme="minorHAnsi"/>
        </w:rPr>
      </w:pPr>
    </w:p>
    <w:p w14:paraId="628AC4B5" w14:textId="617457A4" w:rsidR="006305D7" w:rsidRPr="00E21748" w:rsidRDefault="00086FF5" w:rsidP="00E21748">
      <w:pPr>
        <w:snapToGrid w:val="0"/>
        <w:contextualSpacing/>
        <w:rPr>
          <w:rFonts w:asciiTheme="minorHAnsi" w:hAnsiTheme="minorHAnsi" w:cstheme="minorHAnsi"/>
        </w:rPr>
      </w:pPr>
      <w:r w:rsidRPr="00E21748">
        <w:rPr>
          <w:rFonts w:asciiTheme="minorHAnsi" w:hAnsiTheme="minorHAnsi" w:cstheme="minorHAnsi"/>
          <w:b/>
          <w:bCs/>
        </w:rPr>
        <w:t>SUMMARY</w:t>
      </w:r>
      <w:r w:rsidR="006305D7" w:rsidRPr="00E21748">
        <w:rPr>
          <w:rFonts w:asciiTheme="minorHAnsi" w:hAnsiTheme="minorHAnsi" w:cstheme="minorHAnsi"/>
          <w:b/>
          <w:bCs/>
        </w:rPr>
        <w:t>:</w:t>
      </w:r>
      <w:r w:rsidR="006305D7" w:rsidRPr="00E21748">
        <w:rPr>
          <w:rFonts w:asciiTheme="minorHAnsi" w:hAnsiTheme="minorHAnsi" w:cstheme="minorHAnsi"/>
        </w:rPr>
        <w:t xml:space="preserve"> </w:t>
      </w:r>
    </w:p>
    <w:p w14:paraId="39A8EA47" w14:textId="50581E63" w:rsidR="00A56CF0" w:rsidRPr="00E21748" w:rsidRDefault="00A56CF0" w:rsidP="00E21748">
      <w:pPr>
        <w:snapToGrid w:val="0"/>
        <w:contextualSpacing/>
        <w:rPr>
          <w:rFonts w:asciiTheme="minorHAnsi" w:hAnsiTheme="minorHAnsi" w:cstheme="minorHAnsi"/>
        </w:rPr>
      </w:pPr>
      <w:r w:rsidRPr="00E21748">
        <w:rPr>
          <w:rFonts w:asciiTheme="minorHAnsi" w:hAnsiTheme="minorHAnsi" w:cstheme="minorHAnsi"/>
        </w:rPr>
        <w:t>We have developed a protocol for the generation and evaluation</w:t>
      </w:r>
      <w:r w:rsidR="00EF6B55">
        <w:rPr>
          <w:rFonts w:asciiTheme="minorHAnsi" w:hAnsiTheme="minorHAnsi" w:cstheme="minorHAnsi"/>
        </w:rPr>
        <w:t xml:space="preserve"> of</w:t>
      </w:r>
      <w:r w:rsidRPr="00E21748">
        <w:rPr>
          <w:rFonts w:asciiTheme="minorHAnsi" w:hAnsiTheme="minorHAnsi" w:cstheme="minorHAnsi"/>
        </w:rPr>
        <w:t xml:space="preserve"> a humanized and </w:t>
      </w:r>
      <w:r w:rsidR="00EF6B55" w:rsidRPr="00E21748">
        <w:rPr>
          <w:rFonts w:asciiTheme="minorHAnsi" w:hAnsiTheme="minorHAnsi" w:cstheme="minorHAnsi"/>
        </w:rPr>
        <w:t xml:space="preserve">human immunodeficiency </w:t>
      </w:r>
      <w:proofErr w:type="gramStart"/>
      <w:r w:rsidR="00EF6B55" w:rsidRPr="00E21748">
        <w:rPr>
          <w:rFonts w:asciiTheme="minorHAnsi" w:hAnsiTheme="minorHAnsi" w:cstheme="minorHAnsi"/>
        </w:rPr>
        <w:t>virus</w:t>
      </w:r>
      <w:r w:rsidR="00F71E6D" w:rsidRPr="00E21748">
        <w:rPr>
          <w:rFonts w:asciiTheme="minorHAnsi" w:hAnsiTheme="minorHAnsi" w:cstheme="minorHAnsi"/>
        </w:rPr>
        <w:t>-</w:t>
      </w:r>
      <w:r w:rsidRPr="00E21748">
        <w:rPr>
          <w:rFonts w:asciiTheme="minorHAnsi" w:hAnsiTheme="minorHAnsi" w:cstheme="minorHAnsi"/>
        </w:rPr>
        <w:t>infected</w:t>
      </w:r>
      <w:proofErr w:type="gramEnd"/>
      <w:r w:rsidRPr="00E21748">
        <w:rPr>
          <w:rFonts w:asciiTheme="minorHAnsi" w:hAnsiTheme="minorHAnsi" w:cstheme="minorHAnsi"/>
        </w:rPr>
        <w:t xml:space="preserve"> NOG mouse model based on stem cell transplant, intravaginal </w:t>
      </w:r>
      <w:r w:rsidR="00EF6B55" w:rsidRPr="00E21748">
        <w:rPr>
          <w:rFonts w:asciiTheme="minorHAnsi" w:hAnsiTheme="minorHAnsi" w:cstheme="minorHAnsi"/>
        </w:rPr>
        <w:t xml:space="preserve">human immunodeficiency virus </w:t>
      </w:r>
      <w:r w:rsidRPr="00E21748">
        <w:rPr>
          <w:rFonts w:asciiTheme="minorHAnsi" w:hAnsiTheme="minorHAnsi" w:cstheme="minorHAnsi"/>
        </w:rPr>
        <w:t>exposure</w:t>
      </w:r>
      <w:r w:rsidR="00EF63E9">
        <w:rPr>
          <w:rFonts w:asciiTheme="minorHAnsi" w:hAnsiTheme="minorHAnsi" w:cstheme="minorHAnsi"/>
        </w:rPr>
        <w:t>,</w:t>
      </w:r>
      <w:r w:rsidRPr="00E21748">
        <w:rPr>
          <w:rFonts w:asciiTheme="minorHAnsi" w:hAnsiTheme="minorHAnsi" w:cstheme="minorHAnsi"/>
        </w:rPr>
        <w:t xml:space="preserve"> and d</w:t>
      </w:r>
      <w:r w:rsidR="00EF6B55">
        <w:rPr>
          <w:rFonts w:asciiTheme="minorHAnsi" w:hAnsiTheme="minorHAnsi" w:cstheme="minorHAnsi"/>
        </w:rPr>
        <w:t xml:space="preserve">roplet digital </w:t>
      </w:r>
      <w:r w:rsidRPr="00E21748">
        <w:rPr>
          <w:rFonts w:asciiTheme="minorHAnsi" w:hAnsiTheme="minorHAnsi" w:cstheme="minorHAnsi"/>
        </w:rPr>
        <w:t>PCR RNA quantification.</w:t>
      </w:r>
    </w:p>
    <w:p w14:paraId="761028D6" w14:textId="77777777" w:rsidR="006305D7" w:rsidRPr="00E21748" w:rsidRDefault="006305D7" w:rsidP="00E21748">
      <w:pPr>
        <w:snapToGrid w:val="0"/>
        <w:contextualSpacing/>
        <w:rPr>
          <w:rFonts w:asciiTheme="minorHAnsi" w:hAnsiTheme="minorHAnsi" w:cstheme="minorHAnsi"/>
        </w:rPr>
      </w:pPr>
    </w:p>
    <w:p w14:paraId="64FB8590" w14:textId="2D53A794" w:rsidR="006305D7" w:rsidRPr="00E21748" w:rsidRDefault="006305D7" w:rsidP="00E21748">
      <w:pPr>
        <w:snapToGrid w:val="0"/>
        <w:contextualSpacing/>
        <w:rPr>
          <w:rFonts w:asciiTheme="minorHAnsi" w:hAnsiTheme="minorHAnsi" w:cstheme="minorHAnsi"/>
          <w:color w:val="808080"/>
        </w:rPr>
      </w:pPr>
      <w:r w:rsidRPr="00E21748">
        <w:rPr>
          <w:rFonts w:asciiTheme="minorHAnsi" w:hAnsiTheme="minorHAnsi" w:cstheme="minorHAnsi"/>
          <w:b/>
          <w:bCs/>
        </w:rPr>
        <w:t>ABSTRACT:</w:t>
      </w:r>
      <w:r w:rsidRPr="00E21748">
        <w:rPr>
          <w:rFonts w:asciiTheme="minorHAnsi" w:hAnsiTheme="minorHAnsi" w:cstheme="minorHAnsi"/>
        </w:rPr>
        <w:t xml:space="preserve"> </w:t>
      </w:r>
    </w:p>
    <w:p w14:paraId="19848DCE" w14:textId="6AB30233" w:rsidR="00A56CF0" w:rsidRPr="00E21748" w:rsidRDefault="00A56CF0" w:rsidP="00E21748">
      <w:pPr>
        <w:snapToGrid w:val="0"/>
        <w:contextualSpacing/>
        <w:rPr>
          <w:rFonts w:asciiTheme="minorHAnsi" w:hAnsiTheme="minorHAnsi" w:cstheme="minorHAnsi"/>
        </w:rPr>
      </w:pPr>
      <w:r w:rsidRPr="00E21748">
        <w:rPr>
          <w:rFonts w:asciiTheme="minorHAnsi" w:hAnsiTheme="minorHAnsi" w:cstheme="minorHAnsi"/>
        </w:rPr>
        <w:t xml:space="preserve">Humanized mice provide a sophisticated platform to study </w:t>
      </w:r>
      <w:r w:rsidR="00F71E6D" w:rsidRPr="00E21748">
        <w:rPr>
          <w:rFonts w:asciiTheme="minorHAnsi" w:hAnsiTheme="minorHAnsi" w:cstheme="minorHAnsi"/>
        </w:rPr>
        <w:t>human immunodeficiency virus (</w:t>
      </w:r>
      <w:r w:rsidRPr="00E21748">
        <w:rPr>
          <w:rFonts w:asciiTheme="minorHAnsi" w:hAnsiTheme="minorHAnsi" w:cstheme="minorHAnsi"/>
        </w:rPr>
        <w:t>HIV</w:t>
      </w:r>
      <w:r w:rsidR="00F71E6D" w:rsidRPr="00E21748">
        <w:rPr>
          <w:rFonts w:asciiTheme="minorHAnsi" w:hAnsiTheme="minorHAnsi" w:cstheme="minorHAnsi"/>
        </w:rPr>
        <w:t>)</w:t>
      </w:r>
      <w:r w:rsidRPr="00E21748">
        <w:rPr>
          <w:rFonts w:asciiTheme="minorHAnsi" w:hAnsiTheme="minorHAnsi" w:cstheme="minorHAnsi"/>
        </w:rPr>
        <w:t xml:space="preserve"> virology and to test antiviral drugs. This protocol describes the establishment of a human immune system in adult NOG mice. Here, we explain all </w:t>
      </w:r>
      <w:r w:rsidR="00960CA7">
        <w:rPr>
          <w:rFonts w:asciiTheme="minorHAnsi" w:hAnsiTheme="minorHAnsi" w:cstheme="minorHAnsi"/>
        </w:rPr>
        <w:t xml:space="preserve">the </w:t>
      </w:r>
      <w:r w:rsidRPr="00E21748">
        <w:rPr>
          <w:rFonts w:asciiTheme="minorHAnsi" w:hAnsiTheme="minorHAnsi" w:cstheme="minorHAnsi"/>
        </w:rPr>
        <w:t xml:space="preserve">practical steps from isolation of </w:t>
      </w:r>
      <w:r w:rsidR="002547DD">
        <w:rPr>
          <w:rFonts w:asciiTheme="minorHAnsi" w:hAnsiTheme="minorHAnsi" w:cstheme="minorHAnsi"/>
        </w:rPr>
        <w:t xml:space="preserve">umbilical </w:t>
      </w:r>
      <w:r w:rsidRPr="00E21748">
        <w:rPr>
          <w:rFonts w:asciiTheme="minorHAnsi" w:hAnsiTheme="minorHAnsi" w:cstheme="minorHAnsi"/>
        </w:rPr>
        <w:t>cord</w:t>
      </w:r>
      <w:r w:rsidR="002547DD">
        <w:rPr>
          <w:rFonts w:asciiTheme="minorHAnsi" w:hAnsiTheme="minorHAnsi" w:cstheme="minorHAnsi"/>
        </w:rPr>
        <w:t xml:space="preserve"> </w:t>
      </w:r>
      <w:r w:rsidRPr="00E21748">
        <w:rPr>
          <w:rFonts w:asciiTheme="minorHAnsi" w:hAnsiTheme="minorHAnsi" w:cstheme="minorHAnsi"/>
        </w:rPr>
        <w:t xml:space="preserve">blood derived human CD34+ cells and their subsequent intravenous transplantation into the mice, to the manipulation of the model through HIV infection, </w:t>
      </w:r>
      <w:r w:rsidR="00F71E6D" w:rsidRPr="00E21748">
        <w:rPr>
          <w:rFonts w:asciiTheme="minorHAnsi" w:hAnsiTheme="minorHAnsi" w:cstheme="minorHAnsi"/>
        </w:rPr>
        <w:t>combination antiretroviral therapy (</w:t>
      </w:r>
      <w:proofErr w:type="spellStart"/>
      <w:r w:rsidRPr="00E21748">
        <w:rPr>
          <w:rFonts w:asciiTheme="minorHAnsi" w:hAnsiTheme="minorHAnsi" w:cstheme="minorHAnsi"/>
        </w:rPr>
        <w:t>cART</w:t>
      </w:r>
      <w:proofErr w:type="spellEnd"/>
      <w:r w:rsidR="00F71E6D" w:rsidRPr="00E21748">
        <w:rPr>
          <w:rFonts w:asciiTheme="minorHAnsi" w:hAnsiTheme="minorHAnsi" w:cstheme="minorHAnsi"/>
        </w:rPr>
        <w:t>)</w:t>
      </w:r>
      <w:r w:rsidR="008A2598">
        <w:rPr>
          <w:rFonts w:asciiTheme="minorHAnsi" w:hAnsiTheme="minorHAnsi" w:cstheme="minorHAnsi"/>
        </w:rPr>
        <w:t>,</w:t>
      </w:r>
      <w:r w:rsidRPr="00E21748">
        <w:rPr>
          <w:rFonts w:asciiTheme="minorHAnsi" w:hAnsiTheme="minorHAnsi" w:cstheme="minorHAnsi"/>
        </w:rPr>
        <w:t xml:space="preserve"> and blood sampling. Approximately 75,000 hCD34+ </w:t>
      </w:r>
      <w:r w:rsidR="005C2511">
        <w:rPr>
          <w:rFonts w:asciiTheme="minorHAnsi" w:hAnsiTheme="minorHAnsi" w:cstheme="minorHAnsi"/>
        </w:rPr>
        <w:t xml:space="preserve">cells </w:t>
      </w:r>
      <w:r w:rsidRPr="00E21748">
        <w:rPr>
          <w:rFonts w:asciiTheme="minorHAnsi" w:hAnsiTheme="minorHAnsi" w:cstheme="minorHAnsi"/>
        </w:rPr>
        <w:t xml:space="preserve">are injected intravenously into the mice and the level of human chimerism, also known as humanization, in the peripheral blood </w:t>
      </w:r>
      <w:r w:rsidRPr="00E21748">
        <w:rPr>
          <w:rFonts w:asciiTheme="minorHAnsi" w:hAnsiTheme="minorHAnsi" w:cstheme="minorHAnsi"/>
        </w:rPr>
        <w:lastRenderedPageBreak/>
        <w:t xml:space="preserve">is estimated longitudinally for months by flow cytometry. </w:t>
      </w:r>
      <w:r w:rsidR="008A2598">
        <w:rPr>
          <w:rFonts w:asciiTheme="minorHAnsi" w:hAnsiTheme="minorHAnsi" w:cstheme="minorHAnsi"/>
        </w:rPr>
        <w:t xml:space="preserve">A total of </w:t>
      </w:r>
      <w:r w:rsidRPr="00E21748">
        <w:rPr>
          <w:rFonts w:asciiTheme="minorHAnsi" w:hAnsiTheme="minorHAnsi" w:cstheme="minorHAnsi"/>
        </w:rPr>
        <w:t>75,000 hCD34+ cells yield</w:t>
      </w:r>
      <w:r w:rsidR="00960CA7">
        <w:rPr>
          <w:rFonts w:asciiTheme="minorHAnsi" w:hAnsiTheme="minorHAnsi" w:cstheme="minorHAnsi"/>
        </w:rPr>
        <w:t>s</w:t>
      </w:r>
      <w:r w:rsidRPr="00E21748">
        <w:rPr>
          <w:rFonts w:asciiTheme="minorHAnsi" w:hAnsiTheme="minorHAnsi" w:cstheme="minorHAnsi"/>
        </w:rPr>
        <w:t xml:space="preserve"> </w:t>
      </w:r>
      <w:r w:rsidR="00E21748" w:rsidRPr="00E21748">
        <w:rPr>
          <w:rFonts w:asciiTheme="minorHAnsi" w:hAnsiTheme="minorHAnsi" w:cstheme="minorHAnsi"/>
        </w:rPr>
        <w:t>20</w:t>
      </w:r>
      <w:r w:rsidR="005C2511">
        <w:rPr>
          <w:rFonts w:asciiTheme="minorHAnsi" w:hAnsiTheme="minorHAnsi" w:cstheme="minorHAnsi"/>
        </w:rPr>
        <w:t>%</w:t>
      </w:r>
      <w:r w:rsidR="00E21748">
        <w:rPr>
          <w:rFonts w:asciiTheme="minorHAnsi" w:hAnsiTheme="minorHAnsi" w:cstheme="minorHAnsi"/>
        </w:rPr>
        <w:t>–</w:t>
      </w:r>
      <w:r w:rsidR="00E21748" w:rsidRPr="00E21748">
        <w:rPr>
          <w:rFonts w:asciiTheme="minorHAnsi" w:hAnsiTheme="minorHAnsi" w:cstheme="minorHAnsi"/>
        </w:rPr>
        <w:t>50</w:t>
      </w:r>
      <w:r w:rsidR="00E21748">
        <w:rPr>
          <w:rFonts w:asciiTheme="minorHAnsi" w:hAnsiTheme="minorHAnsi" w:cstheme="minorHAnsi"/>
        </w:rPr>
        <w:t>%</w:t>
      </w:r>
      <w:r w:rsidRPr="00E21748">
        <w:rPr>
          <w:rFonts w:asciiTheme="minorHAnsi" w:hAnsiTheme="minorHAnsi" w:cstheme="minorHAnsi"/>
        </w:rPr>
        <w:t xml:space="preserve"> human CD45+ cells in the peripheral blood. The mice are susceptible to intravaginal infection with HIV and blood can be sampled once weekly for analysis, and twice monthly for extended periods. This protocol describes an assay for quantification of plasma viral load using droplet digital PCR (</w:t>
      </w:r>
      <w:proofErr w:type="spellStart"/>
      <w:r w:rsidRPr="00E21748">
        <w:rPr>
          <w:rFonts w:asciiTheme="minorHAnsi" w:hAnsiTheme="minorHAnsi" w:cstheme="minorHAnsi"/>
        </w:rPr>
        <w:t>ddPCR</w:t>
      </w:r>
      <w:proofErr w:type="spellEnd"/>
      <w:r w:rsidRPr="00E21748">
        <w:rPr>
          <w:rFonts w:asciiTheme="minorHAnsi" w:hAnsiTheme="minorHAnsi" w:cstheme="minorHAnsi"/>
        </w:rPr>
        <w:t xml:space="preserve">). We show how the mice can be effectively treated with a standard-of-care </w:t>
      </w:r>
      <w:proofErr w:type="spellStart"/>
      <w:r w:rsidR="00F71E6D" w:rsidRPr="00E21748">
        <w:rPr>
          <w:rFonts w:asciiTheme="minorHAnsi" w:hAnsiTheme="minorHAnsi" w:cstheme="minorHAnsi"/>
        </w:rPr>
        <w:t>cART</w:t>
      </w:r>
      <w:proofErr w:type="spellEnd"/>
      <w:r w:rsidRPr="00E21748">
        <w:rPr>
          <w:rFonts w:asciiTheme="minorHAnsi" w:hAnsiTheme="minorHAnsi" w:cstheme="minorHAnsi"/>
        </w:rPr>
        <w:t xml:space="preserve"> regimen in the diet. The delivery of </w:t>
      </w:r>
      <w:proofErr w:type="spellStart"/>
      <w:r w:rsidRPr="00E21748">
        <w:rPr>
          <w:rFonts w:asciiTheme="minorHAnsi" w:hAnsiTheme="minorHAnsi" w:cstheme="minorHAnsi"/>
        </w:rPr>
        <w:t>cART</w:t>
      </w:r>
      <w:proofErr w:type="spellEnd"/>
      <w:r w:rsidRPr="00E21748">
        <w:rPr>
          <w:rFonts w:asciiTheme="minorHAnsi" w:hAnsiTheme="minorHAnsi" w:cstheme="minorHAnsi"/>
        </w:rPr>
        <w:t xml:space="preserve"> in the form of regular mouse chow is a significant refinement of the experimental model. This model can be used for preclinical analysis of both systemic and topical pre-exposure prophylaxis compounds as well as for testing of novel treatment</w:t>
      </w:r>
      <w:r w:rsidR="008A2598">
        <w:rPr>
          <w:rFonts w:asciiTheme="minorHAnsi" w:hAnsiTheme="minorHAnsi" w:cstheme="minorHAnsi"/>
        </w:rPr>
        <w:t>s</w:t>
      </w:r>
      <w:r w:rsidRPr="00E21748">
        <w:rPr>
          <w:rFonts w:asciiTheme="minorHAnsi" w:hAnsiTheme="minorHAnsi" w:cstheme="minorHAnsi"/>
        </w:rPr>
        <w:t xml:space="preserve"> and HIV cure strategies.</w:t>
      </w:r>
    </w:p>
    <w:p w14:paraId="4C7D5FD5" w14:textId="77777777" w:rsidR="006305D7" w:rsidRPr="00E21748" w:rsidRDefault="006305D7" w:rsidP="00E21748">
      <w:pPr>
        <w:snapToGrid w:val="0"/>
        <w:contextualSpacing/>
        <w:rPr>
          <w:rFonts w:asciiTheme="minorHAnsi" w:hAnsiTheme="minorHAnsi" w:cstheme="minorHAnsi"/>
        </w:rPr>
      </w:pPr>
    </w:p>
    <w:p w14:paraId="00D25F73" w14:textId="2E1C6837" w:rsidR="006305D7" w:rsidRPr="00E21748" w:rsidRDefault="006305D7" w:rsidP="00E21748">
      <w:pPr>
        <w:snapToGrid w:val="0"/>
        <w:contextualSpacing/>
        <w:rPr>
          <w:rFonts w:asciiTheme="minorHAnsi" w:hAnsiTheme="minorHAnsi" w:cstheme="minorHAnsi"/>
          <w:color w:val="808080"/>
        </w:rPr>
      </w:pPr>
      <w:r w:rsidRPr="00E21748">
        <w:rPr>
          <w:rFonts w:asciiTheme="minorHAnsi" w:hAnsiTheme="minorHAnsi" w:cstheme="minorHAnsi"/>
          <w:b/>
        </w:rPr>
        <w:t>INTRODUCTION</w:t>
      </w:r>
      <w:r w:rsidRPr="00E21748">
        <w:rPr>
          <w:rFonts w:asciiTheme="minorHAnsi" w:hAnsiTheme="minorHAnsi" w:cstheme="minorHAnsi"/>
          <w:b/>
          <w:bCs/>
        </w:rPr>
        <w:t>:</w:t>
      </w:r>
      <w:r w:rsidRPr="00E21748">
        <w:rPr>
          <w:rFonts w:asciiTheme="minorHAnsi" w:hAnsiTheme="minorHAnsi" w:cstheme="minorHAnsi"/>
        </w:rPr>
        <w:t xml:space="preserve"> </w:t>
      </w:r>
    </w:p>
    <w:p w14:paraId="69B4E630" w14:textId="1C3A5946" w:rsidR="00A56CF0" w:rsidRPr="00E21748" w:rsidRDefault="00F71E6D" w:rsidP="00E21748">
      <w:pPr>
        <w:snapToGrid w:val="0"/>
        <w:contextualSpacing/>
        <w:rPr>
          <w:rFonts w:asciiTheme="minorHAnsi" w:hAnsiTheme="minorHAnsi" w:cstheme="minorHAnsi"/>
        </w:rPr>
      </w:pPr>
      <w:r w:rsidRPr="00E21748">
        <w:rPr>
          <w:rFonts w:asciiTheme="minorHAnsi" w:hAnsiTheme="minorHAnsi" w:cstheme="minorHAnsi"/>
        </w:rPr>
        <w:t>Human immunodeficiency virus (</w:t>
      </w:r>
      <w:r w:rsidR="00A56CF0" w:rsidRPr="00E21748">
        <w:rPr>
          <w:rFonts w:asciiTheme="minorHAnsi" w:hAnsiTheme="minorHAnsi" w:cstheme="minorHAnsi"/>
        </w:rPr>
        <w:t>HIV</w:t>
      </w:r>
      <w:r w:rsidRPr="00E21748">
        <w:rPr>
          <w:rFonts w:asciiTheme="minorHAnsi" w:hAnsiTheme="minorHAnsi" w:cstheme="minorHAnsi"/>
        </w:rPr>
        <w:t>)</w:t>
      </w:r>
      <w:r w:rsidR="00A56CF0" w:rsidRPr="00E21748">
        <w:rPr>
          <w:rFonts w:asciiTheme="minorHAnsi" w:hAnsiTheme="minorHAnsi" w:cstheme="minorHAnsi"/>
        </w:rPr>
        <w:t xml:space="preserve"> is a chronic infection with more than 37 million infected individuals worldwide</w:t>
      </w:r>
      <w:r w:rsidR="0039061E" w:rsidRPr="00E21748">
        <w:rPr>
          <w:rFonts w:asciiTheme="minorHAnsi" w:hAnsiTheme="minorHAnsi" w:cstheme="minorHAnsi"/>
          <w:noProof/>
          <w:vertAlign w:val="superscript"/>
        </w:rPr>
        <w:t>1</w:t>
      </w:r>
      <w:r w:rsidR="00DE569E" w:rsidRPr="00E21748">
        <w:rPr>
          <w:rFonts w:asciiTheme="minorHAnsi" w:hAnsiTheme="minorHAnsi" w:cstheme="minorHAnsi"/>
        </w:rPr>
        <w:t>.</w:t>
      </w:r>
      <w:r w:rsidR="00A56CF0" w:rsidRPr="00E21748">
        <w:rPr>
          <w:rFonts w:asciiTheme="minorHAnsi" w:hAnsiTheme="minorHAnsi" w:cstheme="minorHAnsi"/>
        </w:rPr>
        <w:t xml:space="preserve"> Combination antiviral therapy (</w:t>
      </w:r>
      <w:proofErr w:type="spellStart"/>
      <w:r w:rsidR="00A56CF0" w:rsidRPr="00E21748">
        <w:rPr>
          <w:rFonts w:asciiTheme="minorHAnsi" w:hAnsiTheme="minorHAnsi" w:cstheme="minorHAnsi"/>
        </w:rPr>
        <w:t>cART</w:t>
      </w:r>
      <w:proofErr w:type="spellEnd"/>
      <w:r w:rsidR="00A56CF0" w:rsidRPr="00E21748">
        <w:rPr>
          <w:rFonts w:asciiTheme="minorHAnsi" w:hAnsiTheme="minorHAnsi" w:cstheme="minorHAnsi"/>
        </w:rPr>
        <w:t xml:space="preserve">) is a life-saving therapy, but a cure is still warranted. Thus, there is a need for animal models that mirror </w:t>
      </w:r>
      <w:r w:rsidRPr="00E21748">
        <w:rPr>
          <w:rFonts w:asciiTheme="minorHAnsi" w:hAnsiTheme="minorHAnsi" w:cstheme="minorHAnsi"/>
        </w:rPr>
        <w:t xml:space="preserve">the </w:t>
      </w:r>
      <w:r w:rsidR="00A56CF0" w:rsidRPr="00E21748">
        <w:rPr>
          <w:rFonts w:asciiTheme="minorHAnsi" w:hAnsiTheme="minorHAnsi" w:cstheme="minorHAnsi"/>
        </w:rPr>
        <w:t>human immune system and its responses in order to facilitate continued research in HIV. Multiple types of humanized mice</w:t>
      </w:r>
      <w:r w:rsidR="00960CA7">
        <w:rPr>
          <w:rFonts w:asciiTheme="minorHAnsi" w:hAnsiTheme="minorHAnsi" w:cstheme="minorHAnsi"/>
        </w:rPr>
        <w:t xml:space="preserve"> that</w:t>
      </w:r>
      <w:r w:rsidR="00960CA7" w:rsidRPr="00960CA7">
        <w:rPr>
          <w:rFonts w:asciiTheme="minorHAnsi" w:hAnsiTheme="minorHAnsi" w:cstheme="minorHAnsi"/>
        </w:rPr>
        <w:t xml:space="preserve"> </w:t>
      </w:r>
      <w:r w:rsidR="00960CA7" w:rsidRPr="00E21748">
        <w:rPr>
          <w:rFonts w:asciiTheme="minorHAnsi" w:hAnsiTheme="minorHAnsi" w:cstheme="minorHAnsi"/>
        </w:rPr>
        <w:t>are capable of supporting cell and tissue engraftment</w:t>
      </w:r>
      <w:r w:rsidR="00A56CF0" w:rsidRPr="00E21748">
        <w:rPr>
          <w:rFonts w:asciiTheme="minorHAnsi" w:hAnsiTheme="minorHAnsi" w:cstheme="minorHAnsi"/>
        </w:rPr>
        <w:t xml:space="preserve"> have been developed by transplanting human cells into severely immunodeficient mice</w:t>
      </w:r>
      <w:r w:rsidR="0039061E" w:rsidRPr="00E21748">
        <w:rPr>
          <w:rFonts w:asciiTheme="minorHAnsi" w:hAnsiTheme="minorHAnsi" w:cstheme="minorHAnsi"/>
          <w:noProof/>
          <w:vertAlign w:val="superscript"/>
        </w:rPr>
        <w:t>2</w:t>
      </w:r>
      <w:r w:rsidR="00DE569E" w:rsidRPr="00E21748">
        <w:rPr>
          <w:rFonts w:asciiTheme="minorHAnsi" w:hAnsiTheme="minorHAnsi" w:cstheme="minorHAnsi"/>
        </w:rPr>
        <w:t>.</w:t>
      </w:r>
      <w:r w:rsidR="00A56CF0" w:rsidRPr="00E21748">
        <w:rPr>
          <w:rFonts w:asciiTheme="minorHAnsi" w:hAnsiTheme="minorHAnsi" w:cstheme="minorHAnsi"/>
        </w:rPr>
        <w:t xml:space="preserve"> Such humanized mice are susceptible to HIV infection and provide an important alternative to nonhuman primate </w:t>
      </w:r>
      <w:r w:rsidR="00960CA7">
        <w:rPr>
          <w:rFonts w:asciiTheme="minorHAnsi" w:hAnsiTheme="minorHAnsi" w:cstheme="minorHAnsi"/>
        </w:rPr>
        <w:t>simian immunodeficiency virus</w:t>
      </w:r>
      <w:r w:rsidR="00960CA7" w:rsidRPr="00E21748">
        <w:rPr>
          <w:rFonts w:asciiTheme="minorHAnsi" w:hAnsiTheme="minorHAnsi" w:cstheme="minorHAnsi"/>
        </w:rPr>
        <w:t xml:space="preserve"> </w:t>
      </w:r>
      <w:r w:rsidR="00A56CF0" w:rsidRPr="00E21748">
        <w:rPr>
          <w:rFonts w:asciiTheme="minorHAnsi" w:hAnsiTheme="minorHAnsi" w:cstheme="minorHAnsi"/>
        </w:rPr>
        <w:t xml:space="preserve">models, as they are cheaper and </w:t>
      </w:r>
      <w:r w:rsidRPr="00E21748">
        <w:rPr>
          <w:rFonts w:asciiTheme="minorHAnsi" w:hAnsiTheme="minorHAnsi" w:cstheme="minorHAnsi"/>
        </w:rPr>
        <w:t>simpler</w:t>
      </w:r>
      <w:r w:rsidR="00960CA7">
        <w:rPr>
          <w:rFonts w:asciiTheme="minorHAnsi" w:hAnsiTheme="minorHAnsi" w:cstheme="minorHAnsi"/>
        </w:rPr>
        <w:t xml:space="preserve"> to use</w:t>
      </w:r>
      <w:r w:rsidR="00A56CF0" w:rsidRPr="00E21748">
        <w:rPr>
          <w:rFonts w:asciiTheme="minorHAnsi" w:hAnsiTheme="minorHAnsi" w:cstheme="minorHAnsi"/>
        </w:rPr>
        <w:t xml:space="preserve"> than nonhuman primates. Humanized mice have facilitated research in HIV viral transmission, pathogenesis, prevention, and treatment</w:t>
      </w:r>
      <w:r w:rsidR="00A85CC2" w:rsidRPr="00E21748">
        <w:rPr>
          <w:rFonts w:asciiTheme="minorHAnsi" w:hAnsiTheme="minorHAnsi" w:cstheme="minorHAnsi"/>
          <w:noProof/>
          <w:vertAlign w:val="superscript"/>
        </w:rPr>
        <w:t>3–11</w:t>
      </w:r>
      <w:r w:rsidR="00DE569E" w:rsidRPr="00E21748">
        <w:rPr>
          <w:rFonts w:asciiTheme="minorHAnsi" w:hAnsiTheme="minorHAnsi" w:cstheme="minorHAnsi"/>
        </w:rPr>
        <w:t>.</w:t>
      </w:r>
    </w:p>
    <w:p w14:paraId="40895AC2" w14:textId="77777777" w:rsidR="009E0D34" w:rsidRPr="00E21748" w:rsidRDefault="009E0D34" w:rsidP="00E21748">
      <w:pPr>
        <w:snapToGrid w:val="0"/>
        <w:contextualSpacing/>
        <w:rPr>
          <w:rFonts w:asciiTheme="minorHAnsi" w:hAnsiTheme="minorHAnsi" w:cstheme="minorHAnsi"/>
        </w:rPr>
      </w:pPr>
    </w:p>
    <w:p w14:paraId="315A8ABA" w14:textId="0B9F4029" w:rsidR="00A56CF0" w:rsidRPr="00E21748" w:rsidRDefault="009E0D34" w:rsidP="00E21748">
      <w:pPr>
        <w:snapToGrid w:val="0"/>
        <w:contextualSpacing/>
        <w:rPr>
          <w:rFonts w:asciiTheme="minorHAnsi" w:hAnsiTheme="minorHAnsi" w:cstheme="minorHAnsi"/>
        </w:rPr>
      </w:pPr>
      <w:r w:rsidRPr="00E21748">
        <w:rPr>
          <w:rFonts w:asciiTheme="minorHAnsi" w:hAnsiTheme="minorHAnsi" w:cstheme="minorHAnsi"/>
        </w:rPr>
        <w:t>W</w:t>
      </w:r>
      <w:r w:rsidR="00A56CF0" w:rsidRPr="00E21748">
        <w:rPr>
          <w:rFonts w:asciiTheme="minorHAnsi" w:hAnsiTheme="minorHAnsi" w:cstheme="minorHAnsi"/>
        </w:rPr>
        <w:t>e present a flexible humanized model system for HIV research developed by transplanting cord</w:t>
      </w:r>
      <w:r w:rsidR="002547DD">
        <w:rPr>
          <w:rFonts w:asciiTheme="minorHAnsi" w:hAnsiTheme="minorHAnsi" w:cstheme="minorHAnsi"/>
        </w:rPr>
        <w:t xml:space="preserve"> </w:t>
      </w:r>
      <w:r w:rsidR="00A56CF0" w:rsidRPr="00E21748">
        <w:rPr>
          <w:rFonts w:asciiTheme="minorHAnsi" w:hAnsiTheme="minorHAnsi" w:cstheme="minorHAnsi"/>
        </w:rPr>
        <w:t xml:space="preserve">blood derived human stem cells into mice of the </w:t>
      </w:r>
      <w:proofErr w:type="spellStart"/>
      <w:r w:rsidR="00A56CF0" w:rsidRPr="00E21748">
        <w:rPr>
          <w:rFonts w:asciiTheme="minorHAnsi" w:hAnsiTheme="minorHAnsi" w:cstheme="minorHAnsi"/>
          <w:shd w:val="clear" w:color="auto" w:fill="FFFFFF"/>
        </w:rPr>
        <w:t>NOD.Cg-</w:t>
      </w:r>
      <w:r w:rsidR="00A56CF0" w:rsidRPr="00E21748">
        <w:rPr>
          <w:rFonts w:asciiTheme="minorHAnsi" w:hAnsiTheme="minorHAnsi" w:cstheme="minorHAnsi"/>
          <w:i/>
          <w:iCs/>
          <w:shd w:val="clear" w:color="auto" w:fill="FFFFFF"/>
        </w:rPr>
        <w:t>Prkdc</w:t>
      </w:r>
      <w:r w:rsidR="00A56CF0" w:rsidRPr="00E21748">
        <w:rPr>
          <w:rFonts w:asciiTheme="minorHAnsi" w:hAnsiTheme="minorHAnsi" w:cstheme="minorHAnsi"/>
          <w:i/>
          <w:iCs/>
          <w:shd w:val="clear" w:color="auto" w:fill="FFFFFF"/>
          <w:vertAlign w:val="superscript"/>
        </w:rPr>
        <w:t>scid</w:t>
      </w:r>
      <w:proofErr w:type="spellEnd"/>
      <w:r w:rsidR="00A56CF0" w:rsidRPr="00E21748">
        <w:rPr>
          <w:rFonts w:asciiTheme="minorHAnsi" w:hAnsiTheme="minorHAnsi" w:cstheme="minorHAnsi"/>
          <w:i/>
          <w:iCs/>
          <w:shd w:val="clear" w:color="auto" w:fill="FFFFFF"/>
        </w:rPr>
        <w:t> Il2rg</w:t>
      </w:r>
      <w:r w:rsidR="00A56CF0" w:rsidRPr="00E21748">
        <w:rPr>
          <w:rFonts w:asciiTheme="minorHAnsi" w:hAnsiTheme="minorHAnsi" w:cstheme="minorHAnsi"/>
          <w:i/>
          <w:iCs/>
          <w:shd w:val="clear" w:color="auto" w:fill="FFFFFF"/>
          <w:vertAlign w:val="superscript"/>
        </w:rPr>
        <w:t>tm1Sug</w:t>
      </w:r>
      <w:r w:rsidR="00A56CF0" w:rsidRPr="00E21748">
        <w:rPr>
          <w:rFonts w:asciiTheme="minorHAnsi" w:hAnsiTheme="minorHAnsi" w:cstheme="minorHAnsi"/>
          <w:shd w:val="clear" w:color="auto" w:fill="FFFFFF"/>
        </w:rPr>
        <w:t>/</w:t>
      </w:r>
      <w:proofErr w:type="spellStart"/>
      <w:r w:rsidR="00A56CF0" w:rsidRPr="00E21748">
        <w:rPr>
          <w:rFonts w:asciiTheme="minorHAnsi" w:hAnsiTheme="minorHAnsi" w:cstheme="minorHAnsi"/>
          <w:shd w:val="clear" w:color="auto" w:fill="FFFFFF"/>
        </w:rPr>
        <w:t>JicTac</w:t>
      </w:r>
      <w:proofErr w:type="spellEnd"/>
      <w:r w:rsidR="00A56CF0" w:rsidRPr="00E21748">
        <w:rPr>
          <w:rFonts w:asciiTheme="minorHAnsi" w:hAnsiTheme="minorHAnsi" w:cstheme="minorHAnsi"/>
          <w:shd w:val="clear" w:color="auto" w:fill="FFFFFF"/>
        </w:rPr>
        <w:t xml:space="preserve"> (NOG) background.</w:t>
      </w:r>
      <w:r w:rsidR="00A56CF0" w:rsidRPr="00E21748">
        <w:rPr>
          <w:rFonts w:asciiTheme="minorHAnsi" w:hAnsiTheme="minorHAnsi" w:cstheme="minorHAnsi"/>
        </w:rPr>
        <w:t xml:space="preserve"> Besides being of non-</w:t>
      </w:r>
      <w:r w:rsidR="00DE569E" w:rsidRPr="00E21748">
        <w:rPr>
          <w:rFonts w:asciiTheme="minorHAnsi" w:hAnsiTheme="minorHAnsi" w:cstheme="minorHAnsi"/>
        </w:rPr>
        <w:t>fetal</w:t>
      </w:r>
      <w:r w:rsidR="00A56CF0" w:rsidRPr="00E21748">
        <w:rPr>
          <w:rFonts w:asciiTheme="minorHAnsi" w:hAnsiTheme="minorHAnsi" w:cstheme="minorHAnsi"/>
        </w:rPr>
        <w:t xml:space="preserve"> origin, the practical bioengineering of these mice is less technically demanding compared to the microsurgical procedures involved in the transplant of the blood-liver-thymus (BLT) construct. </w:t>
      </w:r>
    </w:p>
    <w:p w14:paraId="7988D0D7" w14:textId="77777777" w:rsidR="00A56CF0" w:rsidRPr="00E21748" w:rsidRDefault="00A56CF0" w:rsidP="00E21748">
      <w:pPr>
        <w:snapToGrid w:val="0"/>
        <w:contextualSpacing/>
        <w:rPr>
          <w:rFonts w:asciiTheme="minorHAnsi" w:hAnsiTheme="minorHAnsi" w:cstheme="minorHAnsi"/>
        </w:rPr>
      </w:pPr>
    </w:p>
    <w:p w14:paraId="10C0CF0E" w14:textId="21CD5BCE" w:rsidR="00A56CF0" w:rsidRPr="00E21748" w:rsidRDefault="00A56CF0" w:rsidP="00E21748">
      <w:pPr>
        <w:snapToGrid w:val="0"/>
        <w:contextualSpacing/>
        <w:rPr>
          <w:rFonts w:asciiTheme="minorHAnsi" w:hAnsiTheme="minorHAnsi" w:cstheme="minorHAnsi"/>
        </w:rPr>
      </w:pPr>
      <w:r w:rsidRPr="00E21748">
        <w:rPr>
          <w:rFonts w:asciiTheme="minorHAnsi" w:hAnsiTheme="minorHAnsi" w:cstheme="minorHAnsi"/>
        </w:rPr>
        <w:t xml:space="preserve">We show how to establish HIV infection through intravaginal transmission and how to monitor the plasma viral load with a sensitive </w:t>
      </w:r>
      <w:r w:rsidR="00B4393B" w:rsidRPr="00E21748">
        <w:rPr>
          <w:rFonts w:asciiTheme="minorHAnsi" w:hAnsiTheme="minorHAnsi" w:cstheme="minorHAnsi"/>
        </w:rPr>
        <w:t>droplet digital PCR (</w:t>
      </w:r>
      <w:proofErr w:type="spellStart"/>
      <w:r w:rsidRPr="00E21748">
        <w:rPr>
          <w:rFonts w:asciiTheme="minorHAnsi" w:hAnsiTheme="minorHAnsi" w:cstheme="minorHAnsi"/>
        </w:rPr>
        <w:t>ddPCR</w:t>
      </w:r>
      <w:proofErr w:type="spellEnd"/>
      <w:r w:rsidR="00B4393B" w:rsidRPr="00E21748">
        <w:rPr>
          <w:rFonts w:asciiTheme="minorHAnsi" w:hAnsiTheme="minorHAnsi" w:cstheme="minorHAnsi"/>
        </w:rPr>
        <w:t>)</w:t>
      </w:r>
      <w:r w:rsidRPr="00E21748">
        <w:rPr>
          <w:rFonts w:asciiTheme="minorHAnsi" w:hAnsiTheme="minorHAnsi" w:cstheme="minorHAnsi"/>
        </w:rPr>
        <w:t>-based setup. Subsequently</w:t>
      </w:r>
      <w:r w:rsidR="00C711A1">
        <w:rPr>
          <w:rFonts w:asciiTheme="minorHAnsi" w:hAnsiTheme="minorHAnsi" w:cstheme="minorHAnsi"/>
        </w:rPr>
        <w:t>,</w:t>
      </w:r>
      <w:r w:rsidRPr="00E21748">
        <w:rPr>
          <w:rFonts w:asciiTheme="minorHAnsi" w:hAnsiTheme="minorHAnsi" w:cstheme="minorHAnsi"/>
        </w:rPr>
        <w:t xml:space="preserve"> we describe the establishment of standard </w:t>
      </w:r>
      <w:proofErr w:type="spellStart"/>
      <w:r w:rsidRPr="00E21748">
        <w:rPr>
          <w:rFonts w:asciiTheme="minorHAnsi" w:hAnsiTheme="minorHAnsi" w:cstheme="minorHAnsi"/>
        </w:rPr>
        <w:t>cART</w:t>
      </w:r>
      <w:proofErr w:type="spellEnd"/>
      <w:r w:rsidRPr="00E21748">
        <w:rPr>
          <w:rFonts w:asciiTheme="minorHAnsi" w:hAnsiTheme="minorHAnsi" w:cstheme="minorHAnsi"/>
        </w:rPr>
        <w:t xml:space="preserve"> given as part of the daily mouse diet. The aim of these combined methods is to reduce stress to the animals and facilitate large-scale experiments where time spent handling each animal</w:t>
      </w:r>
      <w:r w:rsidR="00FD1492">
        <w:rPr>
          <w:rFonts w:asciiTheme="minorHAnsi" w:hAnsiTheme="minorHAnsi" w:cstheme="minorHAnsi"/>
        </w:rPr>
        <w:t xml:space="preserve"> is </w:t>
      </w:r>
      <w:r w:rsidR="00FD1492" w:rsidRPr="00E21748">
        <w:rPr>
          <w:rFonts w:asciiTheme="minorHAnsi" w:hAnsiTheme="minorHAnsi" w:cstheme="minorHAnsi"/>
        </w:rPr>
        <w:t>limited</w:t>
      </w:r>
      <w:r w:rsidR="00A85CC2" w:rsidRPr="00E21748">
        <w:rPr>
          <w:rFonts w:asciiTheme="minorHAnsi" w:hAnsiTheme="minorHAnsi" w:cstheme="minorHAnsi"/>
          <w:noProof/>
          <w:vertAlign w:val="superscript"/>
        </w:rPr>
        <w:t>12</w:t>
      </w:r>
      <w:r w:rsidRPr="00E21748">
        <w:rPr>
          <w:rFonts w:asciiTheme="minorHAnsi" w:hAnsiTheme="minorHAnsi" w:cstheme="minorHAnsi"/>
        </w:rPr>
        <w:t>.</w:t>
      </w:r>
    </w:p>
    <w:p w14:paraId="4FD404CE" w14:textId="6400C1C0" w:rsidR="00A56CF0" w:rsidRPr="00E21748" w:rsidRDefault="00C85D5A" w:rsidP="00E21748">
      <w:pPr>
        <w:tabs>
          <w:tab w:val="left" w:pos="7572"/>
        </w:tabs>
        <w:snapToGrid w:val="0"/>
        <w:contextualSpacing/>
        <w:rPr>
          <w:rFonts w:asciiTheme="minorHAnsi" w:hAnsiTheme="minorHAnsi" w:cstheme="minorHAnsi"/>
        </w:rPr>
      </w:pPr>
      <w:r w:rsidRPr="00E21748">
        <w:rPr>
          <w:rFonts w:asciiTheme="minorHAnsi" w:hAnsiTheme="minorHAnsi" w:cstheme="minorHAnsi"/>
        </w:rPr>
        <w:tab/>
      </w:r>
    </w:p>
    <w:p w14:paraId="13C93FEF" w14:textId="3A17665E" w:rsidR="00A56CF0" w:rsidRPr="00E21748" w:rsidRDefault="00A56CF0" w:rsidP="00E21748">
      <w:pPr>
        <w:snapToGrid w:val="0"/>
        <w:contextualSpacing/>
        <w:rPr>
          <w:rFonts w:asciiTheme="minorHAnsi" w:hAnsiTheme="minorHAnsi" w:cstheme="minorHAnsi"/>
        </w:rPr>
      </w:pPr>
      <w:r w:rsidRPr="00E21748">
        <w:rPr>
          <w:rFonts w:asciiTheme="minorHAnsi" w:hAnsiTheme="minorHAnsi" w:cstheme="minorHAnsi"/>
        </w:rPr>
        <w:t>In humans, a</w:t>
      </w:r>
      <w:r w:rsidRPr="00E21748">
        <w:rPr>
          <w:rFonts w:asciiTheme="minorHAnsi" w:hAnsiTheme="minorHAnsi" w:cstheme="minorHAnsi"/>
          <w:lang w:eastAsia="da-DK"/>
        </w:rPr>
        <w:t xml:space="preserve"> </w:t>
      </w:r>
      <w:r w:rsidRPr="00E21748">
        <w:rPr>
          <w:rFonts w:asciiTheme="minorHAnsi" w:hAnsiTheme="minorHAnsi" w:cstheme="minorHAnsi"/>
          <w:i/>
          <w:lang w:eastAsia="da-DK"/>
        </w:rPr>
        <w:t>CCR5</w:t>
      </w:r>
      <w:r w:rsidRPr="00E21748">
        <w:rPr>
          <w:rFonts w:asciiTheme="minorHAnsi" w:hAnsiTheme="minorHAnsi" w:cstheme="minorHAnsi"/>
          <w:vertAlign w:val="superscript"/>
        </w:rPr>
        <w:t>Δ32/</w:t>
      </w:r>
      <w:proofErr w:type="spellStart"/>
      <w:r w:rsidRPr="00E21748">
        <w:rPr>
          <w:rFonts w:asciiTheme="minorHAnsi" w:hAnsiTheme="minorHAnsi" w:cstheme="minorHAnsi"/>
          <w:i/>
          <w:vertAlign w:val="superscript"/>
        </w:rPr>
        <w:t>wt</w:t>
      </w:r>
      <w:proofErr w:type="spellEnd"/>
      <w:r w:rsidRPr="00E21748">
        <w:rPr>
          <w:rFonts w:asciiTheme="minorHAnsi" w:hAnsiTheme="minorHAnsi" w:cstheme="minorHAnsi"/>
        </w:rPr>
        <w:t xml:space="preserve"> or </w:t>
      </w:r>
      <w:r w:rsidRPr="00E21748">
        <w:rPr>
          <w:rFonts w:asciiTheme="minorHAnsi" w:hAnsiTheme="minorHAnsi" w:cstheme="minorHAnsi"/>
          <w:i/>
        </w:rPr>
        <w:t>CCR5</w:t>
      </w:r>
      <w:r w:rsidRPr="00E21748">
        <w:rPr>
          <w:rFonts w:asciiTheme="minorHAnsi" w:hAnsiTheme="minorHAnsi" w:cstheme="minorHAnsi"/>
          <w:vertAlign w:val="superscript"/>
        </w:rPr>
        <w:t>Δ32/ Δ32</w:t>
      </w:r>
      <w:r w:rsidRPr="00E21748">
        <w:rPr>
          <w:rFonts w:asciiTheme="minorHAnsi" w:hAnsiTheme="minorHAnsi" w:cstheme="minorHAnsi"/>
        </w:rPr>
        <w:t xml:space="preserve"> genotype causes reduced susceptibility to HIV infection with transmitter/founder viruses</w:t>
      </w:r>
      <w:r w:rsidR="00A85CC2" w:rsidRPr="00E21748">
        <w:rPr>
          <w:rFonts w:asciiTheme="minorHAnsi" w:hAnsiTheme="minorHAnsi" w:cstheme="minorHAnsi"/>
          <w:noProof/>
          <w:vertAlign w:val="superscript"/>
        </w:rPr>
        <w:t>13</w:t>
      </w:r>
      <w:r w:rsidRPr="00E21748">
        <w:rPr>
          <w:rFonts w:asciiTheme="minorHAnsi" w:hAnsiTheme="minorHAnsi" w:cstheme="minorHAnsi"/>
        </w:rPr>
        <w:t xml:space="preserve">, </w:t>
      </w:r>
      <w:r w:rsidR="00DE569E" w:rsidRPr="00E21748">
        <w:rPr>
          <w:rFonts w:asciiTheme="minorHAnsi" w:hAnsiTheme="minorHAnsi" w:cstheme="minorHAnsi"/>
        </w:rPr>
        <w:t xml:space="preserve">and </w:t>
      </w:r>
      <w:r w:rsidRPr="00E21748">
        <w:rPr>
          <w:rFonts w:asciiTheme="minorHAnsi" w:hAnsiTheme="minorHAnsi" w:cstheme="minorHAnsi"/>
        </w:rPr>
        <w:t xml:space="preserve">some precautions must be taken when bioengineering humanized mice with stem cells </w:t>
      </w:r>
      <w:r w:rsidR="00C711A1">
        <w:rPr>
          <w:rFonts w:asciiTheme="minorHAnsi" w:hAnsiTheme="minorHAnsi" w:cstheme="minorHAnsi"/>
        </w:rPr>
        <w:t>for</w:t>
      </w:r>
      <w:r w:rsidR="00C711A1" w:rsidRPr="00E21748">
        <w:rPr>
          <w:rFonts w:asciiTheme="minorHAnsi" w:hAnsiTheme="minorHAnsi" w:cstheme="minorHAnsi"/>
        </w:rPr>
        <w:t xml:space="preserve"> </w:t>
      </w:r>
      <w:r w:rsidRPr="00E21748">
        <w:rPr>
          <w:rFonts w:asciiTheme="minorHAnsi" w:hAnsiTheme="minorHAnsi" w:cstheme="minorHAnsi"/>
        </w:rPr>
        <w:t xml:space="preserve">the purpose of HIV studies. This is especially true in our region because naturally occurring variants in the </w:t>
      </w:r>
      <w:r w:rsidRPr="00E21748">
        <w:rPr>
          <w:rFonts w:asciiTheme="minorHAnsi" w:hAnsiTheme="minorHAnsi" w:cstheme="minorHAnsi"/>
          <w:i/>
        </w:rPr>
        <w:t>CCR5</w:t>
      </w:r>
      <w:r w:rsidRPr="00E21748">
        <w:rPr>
          <w:rFonts w:asciiTheme="minorHAnsi" w:hAnsiTheme="minorHAnsi" w:cstheme="minorHAnsi"/>
        </w:rPr>
        <w:t xml:space="preserve"> gene</w:t>
      </w:r>
      <w:r w:rsidR="00DE569E" w:rsidRPr="00E21748">
        <w:rPr>
          <w:rFonts w:asciiTheme="minorHAnsi" w:hAnsiTheme="minorHAnsi" w:cstheme="minorHAnsi"/>
        </w:rPr>
        <w:t>, particularly Δ32 deletions, are</w:t>
      </w:r>
      <w:r w:rsidRPr="00E21748">
        <w:rPr>
          <w:rFonts w:asciiTheme="minorHAnsi" w:hAnsiTheme="minorHAnsi" w:cstheme="minorHAnsi"/>
        </w:rPr>
        <w:t xml:space="preserve"> more prevalent in Scandinavian and Baltic native populations compared to rest of the world</w:t>
      </w:r>
      <w:r w:rsidR="00A85CC2" w:rsidRPr="00E21748">
        <w:rPr>
          <w:rFonts w:asciiTheme="minorHAnsi" w:hAnsiTheme="minorHAnsi" w:cstheme="minorHAnsi"/>
          <w:noProof/>
          <w:vertAlign w:val="superscript"/>
        </w:rPr>
        <w:t>14,15</w:t>
      </w:r>
      <w:r w:rsidRPr="00E21748">
        <w:rPr>
          <w:rFonts w:asciiTheme="minorHAnsi" w:hAnsiTheme="minorHAnsi" w:cstheme="minorHAnsi"/>
        </w:rPr>
        <w:t xml:space="preserve">. Thus, our protocol includes an easy, high-throughput </w:t>
      </w:r>
      <w:r w:rsidR="009173D3" w:rsidRPr="00E21748">
        <w:rPr>
          <w:rFonts w:asciiTheme="minorHAnsi" w:hAnsiTheme="minorHAnsi" w:cstheme="minorHAnsi"/>
        </w:rPr>
        <w:t xml:space="preserve">assay </w:t>
      </w:r>
      <w:r w:rsidRPr="00E21748">
        <w:rPr>
          <w:rFonts w:asciiTheme="minorHAnsi" w:hAnsiTheme="minorHAnsi" w:cstheme="minorHAnsi"/>
        </w:rPr>
        <w:t>for screening donor hematopoietic stem cells for CCR5 variants prior to transplantation.</w:t>
      </w:r>
    </w:p>
    <w:p w14:paraId="2AA67949" w14:textId="77777777" w:rsidR="00A56CF0" w:rsidRPr="00E21748" w:rsidRDefault="00A56CF0" w:rsidP="00E21748">
      <w:pPr>
        <w:snapToGrid w:val="0"/>
        <w:contextualSpacing/>
        <w:rPr>
          <w:rFonts w:asciiTheme="minorHAnsi" w:hAnsiTheme="minorHAnsi" w:cstheme="minorHAnsi"/>
        </w:rPr>
      </w:pPr>
    </w:p>
    <w:p w14:paraId="4F87A79B" w14:textId="2EBF06AE" w:rsidR="00A56CF0" w:rsidRPr="00E21748" w:rsidRDefault="00A56CF0" w:rsidP="00E21748">
      <w:pPr>
        <w:snapToGrid w:val="0"/>
        <w:contextualSpacing/>
        <w:rPr>
          <w:rFonts w:asciiTheme="minorHAnsi" w:hAnsiTheme="minorHAnsi" w:cstheme="minorHAnsi"/>
        </w:rPr>
      </w:pPr>
      <w:r w:rsidRPr="00E21748">
        <w:rPr>
          <w:rFonts w:asciiTheme="minorHAnsi" w:hAnsiTheme="minorHAnsi" w:cstheme="minorHAnsi"/>
        </w:rPr>
        <w:t>For the intravaginal exposure we chose the transmitter/founder R5 virus RHPA4259, isolated from a woman in an early stage of infection who was infected intravaginally</w:t>
      </w:r>
      <w:r w:rsidR="00A85CC2" w:rsidRPr="00E21748">
        <w:rPr>
          <w:rFonts w:asciiTheme="minorHAnsi" w:hAnsiTheme="minorHAnsi" w:cstheme="minorHAnsi"/>
          <w:noProof/>
          <w:vertAlign w:val="superscript"/>
        </w:rPr>
        <w:t>16</w:t>
      </w:r>
      <w:r w:rsidRPr="00E21748">
        <w:rPr>
          <w:rFonts w:asciiTheme="minorHAnsi" w:hAnsiTheme="minorHAnsi" w:cstheme="minorHAnsi"/>
        </w:rPr>
        <w:t>. We expose</w:t>
      </w:r>
      <w:r w:rsidR="009173D3" w:rsidRPr="00E21748">
        <w:rPr>
          <w:rFonts w:asciiTheme="minorHAnsi" w:hAnsiTheme="minorHAnsi" w:cstheme="minorHAnsi"/>
        </w:rPr>
        <w:t>d</w:t>
      </w:r>
      <w:r w:rsidRPr="00E21748">
        <w:rPr>
          <w:rFonts w:asciiTheme="minorHAnsi" w:hAnsiTheme="minorHAnsi" w:cstheme="minorHAnsi"/>
        </w:rPr>
        <w:t xml:space="preserve"> the </w:t>
      </w:r>
      <w:r w:rsidRPr="00E21748">
        <w:rPr>
          <w:rFonts w:asciiTheme="minorHAnsi" w:hAnsiTheme="minorHAnsi" w:cstheme="minorHAnsi"/>
        </w:rPr>
        <w:lastRenderedPageBreak/>
        <w:t xml:space="preserve">mice </w:t>
      </w:r>
      <w:r w:rsidR="009173D3" w:rsidRPr="00E21748">
        <w:rPr>
          <w:rFonts w:asciiTheme="minorHAnsi" w:hAnsiTheme="minorHAnsi" w:cstheme="minorHAnsi"/>
        </w:rPr>
        <w:t>to a</w:t>
      </w:r>
      <w:r w:rsidRPr="00E21748">
        <w:rPr>
          <w:rFonts w:asciiTheme="minorHAnsi" w:hAnsiTheme="minorHAnsi" w:cstheme="minorHAnsi"/>
        </w:rPr>
        <w:t xml:space="preserve"> </w:t>
      </w:r>
      <w:r w:rsidR="009173D3" w:rsidRPr="00E21748">
        <w:rPr>
          <w:rFonts w:asciiTheme="minorHAnsi" w:hAnsiTheme="minorHAnsi" w:cstheme="minorHAnsi"/>
        </w:rPr>
        <w:t xml:space="preserve">viral </w:t>
      </w:r>
      <w:r w:rsidRPr="00E21748">
        <w:rPr>
          <w:rFonts w:asciiTheme="minorHAnsi" w:hAnsiTheme="minorHAnsi" w:cstheme="minorHAnsi"/>
        </w:rPr>
        <w:t xml:space="preserve">dose that was </w:t>
      </w:r>
      <w:proofErr w:type="gramStart"/>
      <w:r w:rsidRPr="00E21748">
        <w:rPr>
          <w:rFonts w:asciiTheme="minorHAnsi" w:hAnsiTheme="minorHAnsi" w:cstheme="minorHAnsi"/>
        </w:rPr>
        <w:t>sufficient</w:t>
      </w:r>
      <w:proofErr w:type="gramEnd"/>
      <w:r w:rsidRPr="00E21748">
        <w:rPr>
          <w:rFonts w:asciiTheme="minorHAnsi" w:hAnsiTheme="minorHAnsi" w:cstheme="minorHAnsi"/>
        </w:rPr>
        <w:t xml:space="preserve"> to yield successful transmission in the majority of mice</w:t>
      </w:r>
      <w:r w:rsidR="009173D3" w:rsidRPr="00E21748">
        <w:rPr>
          <w:rFonts w:asciiTheme="minorHAnsi" w:hAnsiTheme="minorHAnsi" w:cstheme="minorHAnsi"/>
        </w:rPr>
        <w:t>,</w:t>
      </w:r>
      <w:r w:rsidRPr="00E21748">
        <w:rPr>
          <w:rFonts w:asciiTheme="minorHAnsi" w:hAnsiTheme="minorHAnsi" w:cstheme="minorHAnsi"/>
        </w:rPr>
        <w:t xml:space="preserve"> but below a 100% transmission rate. Choosing such a dose enables a </w:t>
      </w:r>
      <w:proofErr w:type="gramStart"/>
      <w:r w:rsidRPr="00E21748">
        <w:rPr>
          <w:rFonts w:asciiTheme="minorHAnsi" w:hAnsiTheme="minorHAnsi" w:cstheme="minorHAnsi"/>
        </w:rPr>
        <w:t>sufficient</w:t>
      </w:r>
      <w:proofErr w:type="gramEnd"/>
      <w:r w:rsidRPr="00E21748">
        <w:rPr>
          <w:rFonts w:asciiTheme="minorHAnsi" w:hAnsiTheme="minorHAnsi" w:cstheme="minorHAnsi"/>
        </w:rPr>
        <w:t xml:space="preserve"> dynamic range in transmission rate such that antiviral effects of a drug candidate </w:t>
      </w:r>
      <w:r w:rsidR="009173D3" w:rsidRPr="00E21748">
        <w:rPr>
          <w:rFonts w:asciiTheme="minorHAnsi" w:hAnsiTheme="minorHAnsi" w:cstheme="minorHAnsi"/>
        </w:rPr>
        <w:t xml:space="preserve">can </w:t>
      </w:r>
      <w:r w:rsidRPr="00E21748">
        <w:rPr>
          <w:rFonts w:asciiTheme="minorHAnsi" w:hAnsiTheme="minorHAnsi" w:cstheme="minorHAnsi"/>
        </w:rPr>
        <w:t xml:space="preserve">result in protected animals in HIV prevention experiments and decreased viral load for treatment studies. </w:t>
      </w:r>
    </w:p>
    <w:p w14:paraId="09D247EB" w14:textId="77777777" w:rsidR="00E21748" w:rsidRDefault="00E21748" w:rsidP="00E21748">
      <w:pPr>
        <w:snapToGrid w:val="0"/>
        <w:contextualSpacing/>
        <w:rPr>
          <w:rFonts w:asciiTheme="minorHAnsi" w:hAnsiTheme="minorHAnsi" w:cstheme="minorHAnsi"/>
          <w:b/>
        </w:rPr>
      </w:pPr>
    </w:p>
    <w:p w14:paraId="3D4CD2F3" w14:textId="579853C3" w:rsidR="006305D7" w:rsidRPr="00E21748" w:rsidRDefault="006305D7" w:rsidP="00E21748">
      <w:pPr>
        <w:snapToGrid w:val="0"/>
        <w:contextualSpacing/>
        <w:rPr>
          <w:rFonts w:asciiTheme="minorHAnsi" w:hAnsiTheme="minorHAnsi" w:cstheme="minorHAnsi"/>
          <w:color w:val="808080" w:themeColor="background1" w:themeShade="80"/>
        </w:rPr>
      </w:pPr>
      <w:r w:rsidRPr="00E21748">
        <w:rPr>
          <w:rFonts w:asciiTheme="minorHAnsi" w:hAnsiTheme="minorHAnsi" w:cstheme="minorHAnsi"/>
          <w:b/>
        </w:rPr>
        <w:t>PROTOCOL:</w:t>
      </w:r>
      <w:r w:rsidRPr="00E21748">
        <w:rPr>
          <w:rFonts w:asciiTheme="minorHAnsi" w:hAnsiTheme="minorHAnsi" w:cstheme="minorHAnsi"/>
        </w:rPr>
        <w:t xml:space="preserve"> </w:t>
      </w:r>
    </w:p>
    <w:p w14:paraId="6651A21A" w14:textId="77777777" w:rsidR="00C711A1" w:rsidRDefault="00C711A1" w:rsidP="00E21748">
      <w:pPr>
        <w:snapToGrid w:val="0"/>
        <w:contextualSpacing/>
        <w:rPr>
          <w:rFonts w:asciiTheme="minorHAnsi" w:hAnsiTheme="minorHAnsi" w:cstheme="minorHAnsi"/>
        </w:rPr>
      </w:pPr>
    </w:p>
    <w:p w14:paraId="69D9E134" w14:textId="73F8BCD5" w:rsidR="001D3C34" w:rsidRPr="00E21748" w:rsidRDefault="00E21748" w:rsidP="00E21748">
      <w:pPr>
        <w:snapToGrid w:val="0"/>
        <w:contextualSpacing/>
        <w:rPr>
          <w:rFonts w:asciiTheme="minorHAnsi" w:hAnsiTheme="minorHAnsi" w:cstheme="minorHAnsi"/>
        </w:rPr>
      </w:pPr>
      <w:r w:rsidRPr="00E21748">
        <w:rPr>
          <w:rFonts w:asciiTheme="minorHAnsi" w:hAnsiTheme="minorHAnsi" w:cstheme="minorHAnsi"/>
        </w:rPr>
        <w:t>All cord blood</w:t>
      </w:r>
      <w:r w:rsidR="00FD1492">
        <w:rPr>
          <w:rFonts w:asciiTheme="minorHAnsi" w:hAnsiTheme="minorHAnsi" w:cstheme="minorHAnsi"/>
        </w:rPr>
        <w:t xml:space="preserve"> samples</w:t>
      </w:r>
      <w:r w:rsidRPr="00E21748">
        <w:rPr>
          <w:rFonts w:asciiTheme="minorHAnsi" w:hAnsiTheme="minorHAnsi" w:cstheme="minorHAnsi"/>
        </w:rPr>
        <w:t xml:space="preserve"> were obtained in strict accordance </w:t>
      </w:r>
      <w:r w:rsidR="00FD1492">
        <w:rPr>
          <w:rFonts w:asciiTheme="minorHAnsi" w:hAnsiTheme="minorHAnsi" w:cstheme="minorHAnsi"/>
        </w:rPr>
        <w:t>with</w:t>
      </w:r>
      <w:r w:rsidR="00FD1492" w:rsidRPr="00E21748">
        <w:rPr>
          <w:rFonts w:asciiTheme="minorHAnsi" w:hAnsiTheme="minorHAnsi" w:cstheme="minorHAnsi"/>
        </w:rPr>
        <w:t xml:space="preserve"> </w:t>
      </w:r>
      <w:r w:rsidRPr="00E21748">
        <w:rPr>
          <w:rFonts w:asciiTheme="minorHAnsi" w:hAnsiTheme="minorHAnsi" w:cstheme="minorHAnsi"/>
        </w:rPr>
        <w:t>local</w:t>
      </w:r>
      <w:r w:rsidR="00980DB6">
        <w:rPr>
          <w:rFonts w:asciiTheme="minorHAnsi" w:hAnsiTheme="minorHAnsi" w:cstheme="minorHAnsi"/>
        </w:rPr>
        <w:t>ly</w:t>
      </w:r>
      <w:r w:rsidRPr="00E21748">
        <w:rPr>
          <w:rFonts w:asciiTheme="minorHAnsi" w:hAnsiTheme="minorHAnsi" w:cstheme="minorHAnsi"/>
        </w:rPr>
        <w:t xml:space="preserve"> approved protocols, including informed consent of anonymous donation by the parents. All animal experiments were approved and performed in strict accordance with Danish national regulations under the license 2017-15-0201-01312.</w:t>
      </w:r>
    </w:p>
    <w:p w14:paraId="530689EF" w14:textId="77777777" w:rsidR="00E21748" w:rsidRDefault="00E21748" w:rsidP="00E21748">
      <w:pPr>
        <w:snapToGrid w:val="0"/>
        <w:contextualSpacing/>
        <w:rPr>
          <w:rFonts w:asciiTheme="minorHAnsi" w:hAnsiTheme="minorHAnsi" w:cstheme="minorHAnsi"/>
        </w:rPr>
      </w:pPr>
    </w:p>
    <w:p w14:paraId="604B1D9B" w14:textId="28713124" w:rsidR="00C442F8" w:rsidRPr="00E21748" w:rsidRDefault="00C442F8" w:rsidP="00E21748">
      <w:pPr>
        <w:snapToGrid w:val="0"/>
        <w:contextualSpacing/>
        <w:rPr>
          <w:rFonts w:asciiTheme="minorHAnsi" w:hAnsiTheme="minorHAnsi" w:cstheme="minorHAnsi"/>
        </w:rPr>
      </w:pPr>
      <w:r w:rsidRPr="00E21748">
        <w:rPr>
          <w:rFonts w:asciiTheme="minorHAnsi" w:hAnsiTheme="minorHAnsi" w:cstheme="minorHAnsi"/>
        </w:rPr>
        <w:t xml:space="preserve">CAUTION: </w:t>
      </w:r>
      <w:r w:rsidR="00E21748">
        <w:rPr>
          <w:rFonts w:asciiTheme="minorHAnsi" w:hAnsiTheme="minorHAnsi" w:cstheme="minorHAnsi"/>
        </w:rPr>
        <w:t>H</w:t>
      </w:r>
      <w:r w:rsidRPr="00E21748">
        <w:rPr>
          <w:rFonts w:asciiTheme="minorHAnsi" w:hAnsiTheme="minorHAnsi" w:cstheme="minorHAnsi"/>
        </w:rPr>
        <w:t xml:space="preserve">andle HIV exposed mice and blood with extreme caution. </w:t>
      </w:r>
      <w:r w:rsidR="003D1576" w:rsidRPr="00E21748">
        <w:rPr>
          <w:rFonts w:asciiTheme="minorHAnsi" w:hAnsiTheme="minorHAnsi" w:cstheme="minorHAnsi"/>
        </w:rPr>
        <w:t xml:space="preserve">Decontaminate </w:t>
      </w:r>
      <w:r w:rsidRPr="00E21748">
        <w:rPr>
          <w:rFonts w:asciiTheme="minorHAnsi" w:hAnsiTheme="minorHAnsi" w:cstheme="minorHAnsi"/>
        </w:rPr>
        <w:t xml:space="preserve">all surfaces and liquids that have been in contact with HIV </w:t>
      </w:r>
      <w:r w:rsidR="003D1576" w:rsidRPr="00E21748">
        <w:rPr>
          <w:rFonts w:asciiTheme="minorHAnsi" w:hAnsiTheme="minorHAnsi" w:cstheme="minorHAnsi"/>
        </w:rPr>
        <w:t>with</w:t>
      </w:r>
      <w:r w:rsidR="00103398" w:rsidRPr="00E21748">
        <w:rPr>
          <w:rFonts w:asciiTheme="minorHAnsi" w:hAnsiTheme="minorHAnsi" w:cstheme="minorHAnsi"/>
        </w:rPr>
        <w:t xml:space="preserve"> a confirmed HIV</w:t>
      </w:r>
      <w:r w:rsidR="00FD1492">
        <w:rPr>
          <w:rFonts w:asciiTheme="minorHAnsi" w:hAnsiTheme="minorHAnsi" w:cstheme="minorHAnsi"/>
        </w:rPr>
        <w:t xml:space="preserve"> </w:t>
      </w:r>
      <w:r w:rsidR="00103398" w:rsidRPr="00E21748">
        <w:rPr>
          <w:rFonts w:asciiTheme="minorHAnsi" w:hAnsiTheme="minorHAnsi" w:cstheme="minorHAnsi"/>
        </w:rPr>
        <w:t>disinfectant</w:t>
      </w:r>
      <w:r w:rsidR="00F77D58" w:rsidRPr="00E21748">
        <w:rPr>
          <w:rFonts w:asciiTheme="minorHAnsi" w:hAnsiTheme="minorHAnsi" w:cstheme="minorHAnsi"/>
        </w:rPr>
        <w:t xml:space="preserve"> (</w:t>
      </w:r>
      <w:r w:rsidR="00E21748" w:rsidRPr="00E21748">
        <w:rPr>
          <w:b/>
          <w:bCs/>
        </w:rPr>
        <w:t>Table of Materials</w:t>
      </w:r>
      <w:r w:rsidR="00F77D58" w:rsidRPr="00E21748">
        <w:rPr>
          <w:rFonts w:asciiTheme="minorHAnsi" w:hAnsiTheme="minorHAnsi" w:cstheme="minorHAnsi"/>
        </w:rPr>
        <w:t>)</w:t>
      </w:r>
      <w:r w:rsidRPr="00E21748">
        <w:rPr>
          <w:rFonts w:asciiTheme="minorHAnsi" w:hAnsiTheme="minorHAnsi" w:cstheme="minorHAnsi"/>
        </w:rPr>
        <w:t xml:space="preserve">. </w:t>
      </w:r>
    </w:p>
    <w:p w14:paraId="463480B3" w14:textId="77777777" w:rsidR="00C442F8" w:rsidRPr="00E21748" w:rsidRDefault="00C442F8" w:rsidP="00E21748">
      <w:pPr>
        <w:snapToGrid w:val="0"/>
        <w:contextualSpacing/>
        <w:rPr>
          <w:rFonts w:asciiTheme="minorHAnsi" w:hAnsiTheme="minorHAnsi" w:cstheme="minorHAnsi"/>
        </w:rPr>
      </w:pPr>
    </w:p>
    <w:p w14:paraId="5A9D6891" w14:textId="5F723983" w:rsidR="001D3C34" w:rsidRPr="00E21748" w:rsidRDefault="001D3C34" w:rsidP="00E21748">
      <w:pPr>
        <w:pStyle w:val="ListParagraph"/>
        <w:widowControl/>
        <w:numPr>
          <w:ilvl w:val="0"/>
          <w:numId w:val="32"/>
        </w:numPr>
        <w:autoSpaceDE/>
        <w:autoSpaceDN/>
        <w:adjustRightInd/>
        <w:snapToGrid w:val="0"/>
        <w:rPr>
          <w:rFonts w:asciiTheme="minorHAnsi" w:hAnsiTheme="minorHAnsi" w:cstheme="minorHAnsi"/>
          <w:b/>
        </w:rPr>
      </w:pPr>
      <w:r w:rsidRPr="00E21748">
        <w:rPr>
          <w:rFonts w:asciiTheme="minorHAnsi" w:hAnsiTheme="minorHAnsi" w:cstheme="minorHAnsi"/>
          <w:b/>
        </w:rPr>
        <w:t>Isolation of human CD34+ stem cells</w:t>
      </w:r>
    </w:p>
    <w:p w14:paraId="3C153394"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b/>
        </w:rPr>
      </w:pPr>
    </w:p>
    <w:p w14:paraId="63C17517" w14:textId="324231F7"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E21748">
        <w:rPr>
          <w:rFonts w:asciiTheme="minorHAnsi" w:hAnsiTheme="minorHAnsi" w:cstheme="minorHAnsi"/>
        </w:rPr>
        <w:t>Col</w:t>
      </w:r>
      <w:r w:rsidR="00345BCA" w:rsidRPr="00E21748">
        <w:rPr>
          <w:rFonts w:asciiTheme="minorHAnsi" w:hAnsiTheme="minorHAnsi" w:cstheme="minorHAnsi"/>
        </w:rPr>
        <w:t>lect cord blood samples in EDTA-coated blood</w:t>
      </w:r>
      <w:r w:rsidR="002547DD">
        <w:rPr>
          <w:rFonts w:asciiTheme="minorHAnsi" w:hAnsiTheme="minorHAnsi" w:cstheme="minorHAnsi"/>
        </w:rPr>
        <w:t xml:space="preserve"> </w:t>
      </w:r>
      <w:r w:rsidRPr="00E21748">
        <w:rPr>
          <w:rFonts w:asciiTheme="minorHAnsi" w:hAnsiTheme="minorHAnsi" w:cstheme="minorHAnsi"/>
        </w:rPr>
        <w:t>collection tubes</w:t>
      </w:r>
      <w:r w:rsidR="00C711A1">
        <w:rPr>
          <w:rFonts w:asciiTheme="minorHAnsi" w:hAnsiTheme="minorHAnsi" w:cstheme="minorHAnsi"/>
        </w:rPr>
        <w:t xml:space="preserve"> a</w:t>
      </w:r>
      <w:r w:rsidRPr="00E21748">
        <w:rPr>
          <w:rFonts w:asciiTheme="minorHAnsi" w:hAnsiTheme="minorHAnsi" w:cstheme="minorHAnsi"/>
        </w:rPr>
        <w:t xml:space="preserve">fter planned </w:t>
      </w:r>
      <w:r w:rsidR="007708BF" w:rsidRPr="00E21748">
        <w:rPr>
          <w:rFonts w:asciiTheme="minorHAnsi" w:hAnsiTheme="minorHAnsi" w:cstheme="minorHAnsi"/>
        </w:rPr>
        <w:t xml:space="preserve">Caesarean </w:t>
      </w:r>
      <w:r w:rsidRPr="00E21748">
        <w:rPr>
          <w:rFonts w:asciiTheme="minorHAnsi" w:hAnsiTheme="minorHAnsi" w:cstheme="minorHAnsi"/>
        </w:rPr>
        <w:t>sections or vaginal births and according to local ethical approvals</w:t>
      </w:r>
      <w:r w:rsidR="00C711A1">
        <w:rPr>
          <w:rFonts w:asciiTheme="minorHAnsi" w:hAnsiTheme="minorHAnsi" w:cstheme="minorHAnsi"/>
        </w:rPr>
        <w:t>.</w:t>
      </w:r>
    </w:p>
    <w:p w14:paraId="7FFAF548"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rPr>
      </w:pPr>
    </w:p>
    <w:p w14:paraId="0FB5DB36" w14:textId="308398D1"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E21748">
        <w:rPr>
          <w:rFonts w:asciiTheme="minorHAnsi" w:hAnsiTheme="minorHAnsi" w:cstheme="minorHAnsi"/>
        </w:rPr>
        <w:t xml:space="preserve">Isolate PMBCs from cord blood by </w:t>
      </w:r>
      <w:r w:rsidR="001D4506" w:rsidRPr="00E21748">
        <w:rPr>
          <w:rFonts w:asciiTheme="minorHAnsi" w:hAnsiTheme="minorHAnsi" w:cstheme="minorHAnsi"/>
        </w:rPr>
        <w:t>density-gradient</w:t>
      </w:r>
      <w:r w:rsidRPr="00E21748">
        <w:rPr>
          <w:rFonts w:asciiTheme="minorHAnsi" w:hAnsiTheme="minorHAnsi" w:cstheme="minorHAnsi"/>
        </w:rPr>
        <w:t xml:space="preserve"> separation</w:t>
      </w:r>
      <w:r w:rsidR="006000D0" w:rsidRPr="00E21748">
        <w:rPr>
          <w:rFonts w:asciiTheme="minorHAnsi" w:hAnsiTheme="minorHAnsi" w:cstheme="minorHAnsi"/>
        </w:rPr>
        <w:t xml:space="preserve"> according to </w:t>
      </w:r>
      <w:r w:rsidR="00C711A1">
        <w:rPr>
          <w:rFonts w:asciiTheme="minorHAnsi" w:hAnsiTheme="minorHAnsi" w:cstheme="minorHAnsi"/>
        </w:rPr>
        <w:t xml:space="preserve">the </w:t>
      </w:r>
      <w:r w:rsidR="006000D0" w:rsidRPr="00E21748">
        <w:rPr>
          <w:rFonts w:asciiTheme="minorHAnsi" w:hAnsiTheme="minorHAnsi" w:cstheme="minorHAnsi"/>
        </w:rPr>
        <w:t>manufacturer</w:t>
      </w:r>
      <w:r w:rsidR="00C93B58" w:rsidRPr="00C93B58">
        <w:rPr>
          <w:rFonts w:asciiTheme="minorHAnsi" w:hAnsiTheme="minorHAnsi" w:cstheme="minorHAnsi"/>
        </w:rPr>
        <w:t>’s</w:t>
      </w:r>
      <w:r w:rsidR="006000D0" w:rsidRPr="00E21748">
        <w:rPr>
          <w:rFonts w:asciiTheme="minorHAnsi" w:hAnsiTheme="minorHAnsi" w:cstheme="minorHAnsi"/>
        </w:rPr>
        <w:t xml:space="preserve"> protocol</w:t>
      </w:r>
      <w:r w:rsidR="005C4B02" w:rsidRPr="00E21748">
        <w:rPr>
          <w:rFonts w:asciiTheme="minorHAnsi" w:hAnsiTheme="minorHAnsi" w:cstheme="minorHAnsi"/>
        </w:rPr>
        <w:t>.</w:t>
      </w:r>
    </w:p>
    <w:p w14:paraId="4FAB37AF"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rPr>
      </w:pPr>
    </w:p>
    <w:p w14:paraId="4EA750A7" w14:textId="438A4A5D"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E21748">
        <w:rPr>
          <w:rFonts w:asciiTheme="minorHAnsi" w:hAnsiTheme="minorHAnsi" w:cstheme="minorHAnsi"/>
        </w:rPr>
        <w:t xml:space="preserve">Isolate CD34+ cells from the PBMC population by first pre-enriching with </w:t>
      </w:r>
      <w:r w:rsidR="00103398" w:rsidRPr="00E21748">
        <w:rPr>
          <w:rFonts w:asciiTheme="minorHAnsi" w:hAnsiTheme="minorHAnsi" w:cstheme="minorHAnsi"/>
        </w:rPr>
        <w:t>antibodies against common markers for mature cells</w:t>
      </w:r>
      <w:r w:rsidR="00C711A1">
        <w:rPr>
          <w:rFonts w:asciiTheme="minorHAnsi" w:hAnsiTheme="minorHAnsi" w:cstheme="minorHAnsi"/>
        </w:rPr>
        <w:t>,</w:t>
      </w:r>
      <w:r w:rsidR="00103398" w:rsidRPr="00E21748">
        <w:rPr>
          <w:rFonts w:asciiTheme="minorHAnsi" w:hAnsiTheme="minorHAnsi" w:cstheme="minorHAnsi"/>
        </w:rPr>
        <w:t xml:space="preserve"> which induces crosslinking of </w:t>
      </w:r>
      <w:r w:rsidR="00ED2A88" w:rsidRPr="00E21748">
        <w:rPr>
          <w:rFonts w:asciiTheme="minorHAnsi" w:hAnsiTheme="minorHAnsi" w:cstheme="minorHAnsi"/>
        </w:rPr>
        <w:t>cells of undesired lineages</w:t>
      </w:r>
      <w:r w:rsidR="00103398" w:rsidRPr="00E21748">
        <w:rPr>
          <w:rFonts w:asciiTheme="minorHAnsi" w:hAnsiTheme="minorHAnsi" w:cstheme="minorHAnsi"/>
        </w:rPr>
        <w:t xml:space="preserve"> with red blood cells</w:t>
      </w:r>
      <w:r w:rsidR="00ED2A88" w:rsidRPr="00E21748">
        <w:rPr>
          <w:rFonts w:asciiTheme="minorHAnsi" w:hAnsiTheme="minorHAnsi" w:cstheme="minorHAnsi"/>
        </w:rPr>
        <w:t>. This is</w:t>
      </w:r>
      <w:r w:rsidRPr="00E21748">
        <w:rPr>
          <w:rFonts w:asciiTheme="minorHAnsi" w:hAnsiTheme="minorHAnsi" w:cstheme="minorHAnsi"/>
        </w:rPr>
        <w:t xml:space="preserve"> follo</w:t>
      </w:r>
      <w:r w:rsidR="00103398" w:rsidRPr="00E21748">
        <w:rPr>
          <w:rFonts w:asciiTheme="minorHAnsi" w:hAnsiTheme="minorHAnsi" w:cstheme="minorHAnsi"/>
        </w:rPr>
        <w:t xml:space="preserve">wed by CD34+ cell </w:t>
      </w:r>
      <w:r w:rsidR="00ED2A88" w:rsidRPr="00E21748">
        <w:rPr>
          <w:rFonts w:asciiTheme="minorHAnsi" w:hAnsiTheme="minorHAnsi" w:cstheme="minorHAnsi"/>
        </w:rPr>
        <w:t xml:space="preserve">enrichment </w:t>
      </w:r>
      <w:r w:rsidR="00103398" w:rsidRPr="00E21748">
        <w:rPr>
          <w:rFonts w:asciiTheme="minorHAnsi" w:hAnsiTheme="minorHAnsi" w:cstheme="minorHAnsi"/>
        </w:rPr>
        <w:t xml:space="preserve">using magnetic beads, </w:t>
      </w:r>
      <w:r w:rsidRPr="00E21748">
        <w:rPr>
          <w:rFonts w:asciiTheme="minorHAnsi" w:hAnsiTheme="minorHAnsi" w:cstheme="minorHAnsi"/>
        </w:rPr>
        <w:t xml:space="preserve">according to </w:t>
      </w:r>
      <w:r w:rsidR="00C711A1">
        <w:rPr>
          <w:rFonts w:asciiTheme="minorHAnsi" w:hAnsiTheme="minorHAnsi" w:cstheme="minorHAnsi"/>
        </w:rPr>
        <w:t xml:space="preserve">the </w:t>
      </w:r>
      <w:r w:rsidRPr="00E21748">
        <w:rPr>
          <w:rFonts w:asciiTheme="minorHAnsi" w:hAnsiTheme="minorHAnsi" w:cstheme="minorHAnsi"/>
        </w:rPr>
        <w:t>manufacturer</w:t>
      </w:r>
      <w:r w:rsidR="00C93B58" w:rsidRPr="00C93B58">
        <w:rPr>
          <w:rFonts w:asciiTheme="minorHAnsi" w:hAnsiTheme="minorHAnsi" w:cstheme="minorHAnsi"/>
        </w:rPr>
        <w:t>’s</w:t>
      </w:r>
      <w:r w:rsidRPr="00E21748">
        <w:rPr>
          <w:rFonts w:asciiTheme="minorHAnsi" w:hAnsiTheme="minorHAnsi" w:cstheme="minorHAnsi"/>
        </w:rPr>
        <w:t xml:space="preserve"> protocol.</w:t>
      </w:r>
    </w:p>
    <w:p w14:paraId="5B84F3B1"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rPr>
      </w:pPr>
    </w:p>
    <w:p w14:paraId="03CDECB1" w14:textId="525019B1" w:rsidR="001D3C34" w:rsidRPr="00E21748" w:rsidRDefault="001D3C34" w:rsidP="00E21748">
      <w:pPr>
        <w:pStyle w:val="ListParagraph"/>
        <w:widowControl/>
        <w:numPr>
          <w:ilvl w:val="2"/>
          <w:numId w:val="32"/>
        </w:numPr>
        <w:autoSpaceDE/>
        <w:autoSpaceDN/>
        <w:adjustRightInd/>
        <w:snapToGrid w:val="0"/>
        <w:rPr>
          <w:rFonts w:asciiTheme="minorHAnsi" w:hAnsiTheme="minorHAnsi" w:cstheme="minorHAnsi"/>
        </w:rPr>
      </w:pPr>
      <w:r w:rsidRPr="00E21748">
        <w:rPr>
          <w:rFonts w:asciiTheme="minorHAnsi" w:hAnsiTheme="minorHAnsi" w:cstheme="minorHAnsi"/>
        </w:rPr>
        <w:t>Determine live cell count by standard trypan blue exclusion</w:t>
      </w:r>
      <w:r w:rsidR="00C711A1">
        <w:rPr>
          <w:rFonts w:asciiTheme="minorHAnsi" w:hAnsiTheme="minorHAnsi" w:cstheme="minorHAnsi"/>
        </w:rPr>
        <w:t xml:space="preserve"> by</w:t>
      </w:r>
      <w:r w:rsidR="009315C2" w:rsidRPr="00E21748">
        <w:rPr>
          <w:rFonts w:asciiTheme="minorHAnsi" w:hAnsiTheme="minorHAnsi" w:cstheme="minorHAnsi"/>
        </w:rPr>
        <w:t xml:space="preserve"> resuspend</w:t>
      </w:r>
      <w:r w:rsidR="00C711A1">
        <w:rPr>
          <w:rFonts w:asciiTheme="minorHAnsi" w:hAnsiTheme="minorHAnsi" w:cstheme="minorHAnsi"/>
        </w:rPr>
        <w:t>ing</w:t>
      </w:r>
      <w:r w:rsidR="009315C2" w:rsidRPr="00E21748">
        <w:rPr>
          <w:rFonts w:asciiTheme="minorHAnsi" w:hAnsiTheme="minorHAnsi" w:cstheme="minorHAnsi"/>
        </w:rPr>
        <w:t xml:space="preserve"> 10 µL of cell suspension in 90 µL of trypan blue. Add 10 µL of this solution to a </w:t>
      </w:r>
      <w:proofErr w:type="spellStart"/>
      <w:r w:rsidR="008C2F75" w:rsidRPr="00E21748">
        <w:rPr>
          <w:rFonts w:asciiTheme="minorHAnsi" w:hAnsiTheme="minorHAnsi" w:cstheme="minorHAnsi"/>
        </w:rPr>
        <w:t>hemacytometer</w:t>
      </w:r>
      <w:proofErr w:type="spellEnd"/>
      <w:r w:rsidR="009315C2" w:rsidRPr="00E21748">
        <w:rPr>
          <w:rFonts w:asciiTheme="minorHAnsi" w:hAnsiTheme="minorHAnsi" w:cstheme="minorHAnsi"/>
        </w:rPr>
        <w:t xml:space="preserve"> and count non-blue cells</w:t>
      </w:r>
      <w:r w:rsidR="00ED2A88" w:rsidRPr="00E21748">
        <w:rPr>
          <w:rFonts w:asciiTheme="minorHAnsi" w:hAnsiTheme="minorHAnsi" w:cstheme="minorHAnsi"/>
        </w:rPr>
        <w:t xml:space="preserve">, according to </w:t>
      </w:r>
      <w:r w:rsidR="007708BF">
        <w:rPr>
          <w:rFonts w:asciiTheme="minorHAnsi" w:hAnsiTheme="minorHAnsi" w:cstheme="minorHAnsi"/>
        </w:rPr>
        <w:t xml:space="preserve">the </w:t>
      </w:r>
      <w:r w:rsidR="00ED2A88" w:rsidRPr="00E21748">
        <w:rPr>
          <w:rFonts w:asciiTheme="minorHAnsi" w:hAnsiTheme="minorHAnsi" w:cstheme="minorHAnsi"/>
        </w:rPr>
        <w:t>manufacturer</w:t>
      </w:r>
      <w:r w:rsidR="00C93B58" w:rsidRPr="00C93B58">
        <w:rPr>
          <w:rFonts w:asciiTheme="minorHAnsi" w:hAnsiTheme="minorHAnsi" w:cstheme="minorHAnsi"/>
        </w:rPr>
        <w:t>’s</w:t>
      </w:r>
      <w:r w:rsidR="00ED2A88" w:rsidRPr="00E21748">
        <w:rPr>
          <w:rFonts w:asciiTheme="minorHAnsi" w:hAnsiTheme="minorHAnsi" w:cstheme="minorHAnsi"/>
        </w:rPr>
        <w:t xml:space="preserve"> protocol</w:t>
      </w:r>
      <w:r w:rsidR="009315C2" w:rsidRPr="00E21748">
        <w:rPr>
          <w:rFonts w:asciiTheme="minorHAnsi" w:hAnsiTheme="minorHAnsi" w:cstheme="minorHAnsi"/>
        </w:rPr>
        <w:t xml:space="preserve">. </w:t>
      </w:r>
    </w:p>
    <w:p w14:paraId="1A8167B0"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rPr>
      </w:pPr>
    </w:p>
    <w:p w14:paraId="0DFDE37F" w14:textId="65F66B9F" w:rsidR="001D3C34" w:rsidRPr="00E21748" w:rsidRDefault="001D3C34" w:rsidP="00E21748">
      <w:pPr>
        <w:pStyle w:val="ListParagraph"/>
        <w:widowControl/>
        <w:numPr>
          <w:ilvl w:val="2"/>
          <w:numId w:val="32"/>
        </w:numPr>
        <w:autoSpaceDE/>
        <w:autoSpaceDN/>
        <w:adjustRightInd/>
        <w:snapToGrid w:val="0"/>
        <w:rPr>
          <w:rFonts w:asciiTheme="minorHAnsi" w:hAnsiTheme="minorHAnsi" w:cstheme="minorHAnsi"/>
        </w:rPr>
      </w:pPr>
      <w:r w:rsidRPr="00E21748">
        <w:rPr>
          <w:rFonts w:asciiTheme="minorHAnsi" w:hAnsiTheme="minorHAnsi" w:cstheme="minorHAnsi"/>
        </w:rPr>
        <w:t>Viably cryopreserve CD34+ cells in 1</w:t>
      </w:r>
      <w:r w:rsidR="007708BF">
        <w:rPr>
          <w:rFonts w:asciiTheme="minorHAnsi" w:hAnsiTheme="minorHAnsi" w:cstheme="minorHAnsi"/>
        </w:rPr>
        <w:t xml:space="preserve"> mL of</w:t>
      </w:r>
      <w:r w:rsidRPr="00E21748">
        <w:rPr>
          <w:rFonts w:asciiTheme="minorHAnsi" w:hAnsiTheme="minorHAnsi" w:cstheme="minorHAnsi"/>
        </w:rPr>
        <w:t xml:space="preserve"> 10% DMSO in </w:t>
      </w:r>
      <w:r w:rsidR="008D3FE6" w:rsidRPr="00E21748">
        <w:rPr>
          <w:rFonts w:asciiTheme="minorHAnsi" w:hAnsiTheme="minorHAnsi" w:cstheme="minorHAnsi"/>
        </w:rPr>
        <w:t>fetal</w:t>
      </w:r>
      <w:r w:rsidRPr="00E21748">
        <w:rPr>
          <w:rFonts w:asciiTheme="minorHAnsi" w:hAnsiTheme="minorHAnsi" w:cstheme="minorHAnsi"/>
        </w:rPr>
        <w:t xml:space="preserve"> bovine serum (FBS) until </w:t>
      </w:r>
      <w:r w:rsidR="00C711A1">
        <w:rPr>
          <w:rFonts w:asciiTheme="minorHAnsi" w:hAnsiTheme="minorHAnsi" w:cstheme="minorHAnsi"/>
        </w:rPr>
        <w:t xml:space="preserve">the </w:t>
      </w:r>
      <w:r w:rsidRPr="00E21748">
        <w:rPr>
          <w:rFonts w:asciiTheme="minorHAnsi" w:hAnsiTheme="minorHAnsi" w:cstheme="minorHAnsi"/>
        </w:rPr>
        <w:t xml:space="preserve">day of </w:t>
      </w:r>
      <w:r w:rsidR="00683409" w:rsidRPr="00E21748">
        <w:rPr>
          <w:rFonts w:asciiTheme="minorHAnsi" w:hAnsiTheme="minorHAnsi" w:cstheme="minorHAnsi"/>
        </w:rPr>
        <w:t xml:space="preserve">mouse </w:t>
      </w:r>
      <w:r w:rsidRPr="00E21748">
        <w:rPr>
          <w:rFonts w:asciiTheme="minorHAnsi" w:hAnsiTheme="minorHAnsi" w:cstheme="minorHAnsi"/>
        </w:rPr>
        <w:t>transplantation.</w:t>
      </w:r>
    </w:p>
    <w:p w14:paraId="2D40D7EB"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rPr>
      </w:pPr>
    </w:p>
    <w:p w14:paraId="600D4485" w14:textId="004ECFBF" w:rsidR="001D3C34" w:rsidRPr="00E21748" w:rsidRDefault="001D3C34" w:rsidP="00E21748">
      <w:pPr>
        <w:pStyle w:val="ListParagraph"/>
        <w:widowControl/>
        <w:numPr>
          <w:ilvl w:val="2"/>
          <w:numId w:val="32"/>
        </w:numPr>
        <w:autoSpaceDE/>
        <w:autoSpaceDN/>
        <w:adjustRightInd/>
        <w:snapToGrid w:val="0"/>
        <w:rPr>
          <w:rFonts w:asciiTheme="minorHAnsi" w:hAnsiTheme="minorHAnsi" w:cstheme="minorHAnsi"/>
        </w:rPr>
      </w:pPr>
      <w:r w:rsidRPr="00E21748">
        <w:rPr>
          <w:rFonts w:asciiTheme="minorHAnsi" w:hAnsiTheme="minorHAnsi" w:cstheme="minorHAnsi"/>
        </w:rPr>
        <w:t>Viably cryopreserve a small fraction of both isolated (CD34+) and flow-through cells (</w:t>
      </w:r>
      <w:r w:rsidR="00083277">
        <w:rPr>
          <w:rFonts w:asciiTheme="minorHAnsi" w:hAnsiTheme="minorHAnsi" w:cstheme="minorHAnsi"/>
        </w:rPr>
        <w:t>CD34</w:t>
      </w:r>
      <w:r w:rsidR="00FD1492">
        <w:rPr>
          <w:rFonts w:asciiTheme="minorHAnsi" w:hAnsiTheme="minorHAnsi" w:cstheme="minorHAnsi"/>
        </w:rPr>
        <w:t>-</w:t>
      </w:r>
      <w:r w:rsidRPr="00E21748">
        <w:rPr>
          <w:rFonts w:asciiTheme="minorHAnsi" w:hAnsiTheme="minorHAnsi" w:cstheme="minorHAnsi"/>
        </w:rPr>
        <w:t>) separately for assessing CD34+ stem cell purity (</w:t>
      </w:r>
      <w:r w:rsidR="00C711A1">
        <w:rPr>
          <w:rFonts w:asciiTheme="minorHAnsi" w:hAnsiTheme="minorHAnsi" w:cstheme="minorHAnsi"/>
        </w:rPr>
        <w:t>~</w:t>
      </w:r>
      <w:r w:rsidRPr="00E21748">
        <w:rPr>
          <w:rFonts w:asciiTheme="minorHAnsi" w:hAnsiTheme="minorHAnsi" w:cstheme="minorHAnsi"/>
        </w:rPr>
        <w:t>30,000 cells of each sample).</w:t>
      </w:r>
      <w:r w:rsidR="00683409" w:rsidRPr="00E21748">
        <w:rPr>
          <w:rFonts w:asciiTheme="minorHAnsi" w:hAnsiTheme="minorHAnsi" w:cstheme="minorHAnsi"/>
        </w:rPr>
        <w:t xml:space="preserve"> Alternative</w:t>
      </w:r>
      <w:r w:rsidR="00083277">
        <w:rPr>
          <w:rFonts w:asciiTheme="minorHAnsi" w:hAnsiTheme="minorHAnsi" w:cstheme="minorHAnsi"/>
        </w:rPr>
        <w:t>ly,</w:t>
      </w:r>
      <w:r w:rsidR="00683409" w:rsidRPr="00E21748">
        <w:rPr>
          <w:rFonts w:asciiTheme="minorHAnsi" w:hAnsiTheme="minorHAnsi" w:cstheme="minorHAnsi"/>
        </w:rPr>
        <w:t xml:space="preserve"> </w:t>
      </w:r>
      <w:r w:rsidR="00083277" w:rsidRPr="00E21748">
        <w:rPr>
          <w:rFonts w:asciiTheme="minorHAnsi" w:hAnsiTheme="minorHAnsi" w:cstheme="minorHAnsi"/>
        </w:rPr>
        <w:t xml:space="preserve">test </w:t>
      </w:r>
      <w:r w:rsidR="00083277">
        <w:rPr>
          <w:rFonts w:asciiTheme="minorHAnsi" w:hAnsiTheme="minorHAnsi" w:cstheme="minorHAnsi"/>
        </w:rPr>
        <w:t xml:space="preserve">the </w:t>
      </w:r>
      <w:r w:rsidR="00683409" w:rsidRPr="00E21748">
        <w:rPr>
          <w:rFonts w:asciiTheme="minorHAnsi" w:hAnsiTheme="minorHAnsi" w:cstheme="minorHAnsi"/>
        </w:rPr>
        <w:t xml:space="preserve">purity on freshly enriched cells </w:t>
      </w:r>
      <w:r w:rsidR="00083277">
        <w:rPr>
          <w:rFonts w:asciiTheme="minorHAnsi" w:hAnsiTheme="minorHAnsi" w:cstheme="minorHAnsi"/>
        </w:rPr>
        <w:t>(see s</w:t>
      </w:r>
      <w:r w:rsidR="00683409" w:rsidRPr="00E21748">
        <w:rPr>
          <w:rFonts w:asciiTheme="minorHAnsi" w:hAnsiTheme="minorHAnsi" w:cstheme="minorHAnsi"/>
        </w:rPr>
        <w:t>tep 2 below)</w:t>
      </w:r>
      <w:r w:rsidR="00083277">
        <w:rPr>
          <w:rFonts w:asciiTheme="minorHAnsi" w:hAnsiTheme="minorHAnsi" w:cstheme="minorHAnsi"/>
        </w:rPr>
        <w:t>.</w:t>
      </w:r>
    </w:p>
    <w:p w14:paraId="1359F701"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rPr>
      </w:pPr>
    </w:p>
    <w:p w14:paraId="780A83CC" w14:textId="1308BF9C" w:rsidR="001D3C34" w:rsidRPr="00E21748" w:rsidRDefault="001D3C34" w:rsidP="00E21748">
      <w:pPr>
        <w:pStyle w:val="ListParagraph"/>
        <w:widowControl/>
        <w:numPr>
          <w:ilvl w:val="2"/>
          <w:numId w:val="32"/>
        </w:numPr>
        <w:autoSpaceDE/>
        <w:autoSpaceDN/>
        <w:adjustRightInd/>
        <w:snapToGrid w:val="0"/>
        <w:rPr>
          <w:rFonts w:asciiTheme="minorHAnsi" w:hAnsiTheme="minorHAnsi" w:cstheme="minorHAnsi"/>
        </w:rPr>
      </w:pPr>
      <w:r w:rsidRPr="00E21748">
        <w:rPr>
          <w:rFonts w:asciiTheme="minorHAnsi" w:hAnsiTheme="minorHAnsi" w:cstheme="minorHAnsi"/>
        </w:rPr>
        <w:t>Freeze a fraction of non-pelleted flow-through (</w:t>
      </w:r>
      <w:r w:rsidR="00083277">
        <w:rPr>
          <w:rFonts w:asciiTheme="minorHAnsi" w:hAnsiTheme="minorHAnsi" w:cstheme="minorHAnsi"/>
        </w:rPr>
        <w:t>CD34-</w:t>
      </w:r>
      <w:r w:rsidRPr="00E21748">
        <w:rPr>
          <w:rFonts w:asciiTheme="minorHAnsi" w:hAnsiTheme="minorHAnsi" w:cstheme="minorHAnsi"/>
        </w:rPr>
        <w:t xml:space="preserve">) for determination of </w:t>
      </w:r>
      <w:r w:rsidRPr="00E21748">
        <w:rPr>
          <w:rFonts w:asciiTheme="minorHAnsi" w:hAnsiTheme="minorHAnsi" w:cstheme="minorHAnsi"/>
          <w:i/>
        </w:rPr>
        <w:t>CCR5</w:t>
      </w:r>
      <w:r w:rsidRPr="00E21748">
        <w:rPr>
          <w:rFonts w:asciiTheme="minorHAnsi" w:hAnsiTheme="minorHAnsi" w:cstheme="minorHAnsi"/>
        </w:rPr>
        <w:t>Δ32 status. Cells can be frozen directly without conditioned freezing solution</w:t>
      </w:r>
      <w:r w:rsidR="00683409" w:rsidRPr="00E21748">
        <w:rPr>
          <w:rFonts w:asciiTheme="minorHAnsi" w:hAnsiTheme="minorHAnsi" w:cstheme="minorHAnsi"/>
        </w:rPr>
        <w:t>,</w:t>
      </w:r>
      <w:r w:rsidRPr="00E21748">
        <w:rPr>
          <w:rFonts w:asciiTheme="minorHAnsi" w:hAnsiTheme="minorHAnsi" w:cstheme="minorHAnsi"/>
        </w:rPr>
        <w:t xml:space="preserve"> but the presence of red blood cells </w:t>
      </w:r>
      <w:r w:rsidR="00E51F34" w:rsidRPr="00E21748">
        <w:rPr>
          <w:rFonts w:asciiTheme="minorHAnsi" w:hAnsiTheme="minorHAnsi" w:cstheme="minorHAnsi"/>
        </w:rPr>
        <w:t xml:space="preserve">in the pellet </w:t>
      </w:r>
      <w:r w:rsidRPr="00E21748">
        <w:rPr>
          <w:rFonts w:asciiTheme="minorHAnsi" w:hAnsiTheme="minorHAnsi" w:cstheme="minorHAnsi"/>
        </w:rPr>
        <w:t>can inhibit the subsequent PCR if the flow-through is pelleted</w:t>
      </w:r>
      <w:r w:rsidR="00683409" w:rsidRPr="00E21748">
        <w:rPr>
          <w:rFonts w:asciiTheme="minorHAnsi" w:hAnsiTheme="minorHAnsi" w:cstheme="minorHAnsi"/>
        </w:rPr>
        <w:t>.</w:t>
      </w:r>
    </w:p>
    <w:p w14:paraId="466F0F03" w14:textId="77777777" w:rsidR="001D3C34" w:rsidRPr="00E21748" w:rsidRDefault="001D3C34" w:rsidP="00E21748">
      <w:pPr>
        <w:pStyle w:val="ListParagraph"/>
        <w:snapToGrid w:val="0"/>
        <w:ind w:left="1800"/>
        <w:rPr>
          <w:rFonts w:asciiTheme="minorHAnsi" w:hAnsiTheme="minorHAnsi" w:cstheme="minorHAnsi"/>
        </w:rPr>
      </w:pPr>
    </w:p>
    <w:p w14:paraId="2D9FC121" w14:textId="77777777" w:rsidR="001D3C34" w:rsidRPr="00E21748" w:rsidRDefault="001D3C34" w:rsidP="00E21748">
      <w:pPr>
        <w:pStyle w:val="ListParagraph"/>
        <w:widowControl/>
        <w:numPr>
          <w:ilvl w:val="0"/>
          <w:numId w:val="32"/>
        </w:numPr>
        <w:autoSpaceDE/>
        <w:autoSpaceDN/>
        <w:adjustRightInd/>
        <w:snapToGrid w:val="0"/>
        <w:rPr>
          <w:rFonts w:asciiTheme="minorHAnsi" w:hAnsiTheme="minorHAnsi" w:cstheme="minorHAnsi"/>
          <w:b/>
        </w:rPr>
      </w:pPr>
      <w:r w:rsidRPr="00E21748">
        <w:rPr>
          <w:rFonts w:asciiTheme="minorHAnsi" w:hAnsiTheme="minorHAnsi" w:cstheme="minorHAnsi"/>
          <w:b/>
        </w:rPr>
        <w:lastRenderedPageBreak/>
        <w:t>Assessing CD34+ stem cell purity via flow cytometry</w:t>
      </w:r>
    </w:p>
    <w:p w14:paraId="57E4C26E"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rPr>
      </w:pPr>
    </w:p>
    <w:p w14:paraId="64C0DD10" w14:textId="3B1062FD"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E21748">
        <w:rPr>
          <w:rFonts w:asciiTheme="minorHAnsi" w:hAnsiTheme="minorHAnsi" w:cstheme="minorHAnsi"/>
        </w:rPr>
        <w:t>Thaw the isolate</w:t>
      </w:r>
      <w:r w:rsidR="00480DA0" w:rsidRPr="00E21748">
        <w:rPr>
          <w:rFonts w:asciiTheme="minorHAnsi" w:hAnsiTheme="minorHAnsi" w:cstheme="minorHAnsi"/>
        </w:rPr>
        <w:t>d cells</w:t>
      </w:r>
      <w:r w:rsidRPr="00E21748">
        <w:rPr>
          <w:rFonts w:asciiTheme="minorHAnsi" w:hAnsiTheme="minorHAnsi" w:cstheme="minorHAnsi"/>
        </w:rPr>
        <w:t xml:space="preserve"> (CD34+) and flow-through</w:t>
      </w:r>
      <w:r w:rsidR="00480DA0" w:rsidRPr="00E21748">
        <w:rPr>
          <w:rFonts w:asciiTheme="minorHAnsi" w:hAnsiTheme="minorHAnsi" w:cstheme="minorHAnsi"/>
        </w:rPr>
        <w:t xml:space="preserve"> cells</w:t>
      </w:r>
      <w:r w:rsidRPr="00E21748">
        <w:rPr>
          <w:rFonts w:asciiTheme="minorHAnsi" w:hAnsiTheme="minorHAnsi" w:cstheme="minorHAnsi"/>
        </w:rPr>
        <w:t xml:space="preserve"> (CD34-)</w:t>
      </w:r>
      <w:r w:rsidR="00480DA0" w:rsidRPr="00E21748">
        <w:rPr>
          <w:rFonts w:asciiTheme="minorHAnsi" w:hAnsiTheme="minorHAnsi" w:cstheme="minorHAnsi"/>
        </w:rPr>
        <w:t>. W</w:t>
      </w:r>
      <w:r w:rsidRPr="00E21748">
        <w:rPr>
          <w:rFonts w:asciiTheme="minorHAnsi" w:hAnsiTheme="minorHAnsi" w:cstheme="minorHAnsi"/>
        </w:rPr>
        <w:t xml:space="preserve">ash </w:t>
      </w:r>
      <w:r w:rsidR="00083277">
        <w:rPr>
          <w:rFonts w:asciiTheme="minorHAnsi" w:hAnsiTheme="minorHAnsi" w:cstheme="minorHAnsi"/>
        </w:rPr>
        <w:t xml:space="preserve">the </w:t>
      </w:r>
      <w:r w:rsidRPr="00E21748">
        <w:rPr>
          <w:rFonts w:asciiTheme="minorHAnsi" w:hAnsiTheme="minorHAnsi" w:cstheme="minorHAnsi"/>
        </w:rPr>
        <w:t>cells by resuspend</w:t>
      </w:r>
      <w:r w:rsidR="005C4B02" w:rsidRPr="00E21748">
        <w:rPr>
          <w:rFonts w:asciiTheme="minorHAnsi" w:hAnsiTheme="minorHAnsi" w:cstheme="minorHAnsi"/>
        </w:rPr>
        <w:t>ing</w:t>
      </w:r>
      <w:r w:rsidRPr="00E21748">
        <w:rPr>
          <w:rFonts w:asciiTheme="minorHAnsi" w:hAnsiTheme="minorHAnsi" w:cstheme="minorHAnsi"/>
        </w:rPr>
        <w:t xml:space="preserve"> </w:t>
      </w:r>
      <w:r w:rsidR="00083277">
        <w:rPr>
          <w:rFonts w:asciiTheme="minorHAnsi" w:hAnsiTheme="minorHAnsi" w:cstheme="minorHAnsi"/>
        </w:rPr>
        <w:t xml:space="preserve">the </w:t>
      </w:r>
      <w:r w:rsidR="00480DA0" w:rsidRPr="00E21748">
        <w:rPr>
          <w:rFonts w:asciiTheme="minorHAnsi" w:hAnsiTheme="minorHAnsi" w:cstheme="minorHAnsi"/>
        </w:rPr>
        <w:t xml:space="preserve">cells from </w:t>
      </w:r>
      <w:r w:rsidRPr="00E21748">
        <w:rPr>
          <w:rFonts w:asciiTheme="minorHAnsi" w:hAnsiTheme="minorHAnsi" w:cstheme="minorHAnsi"/>
        </w:rPr>
        <w:t>each vial in 9 mL of room temp</w:t>
      </w:r>
      <w:r w:rsidR="005C4B02" w:rsidRPr="00E21748">
        <w:rPr>
          <w:rFonts w:asciiTheme="minorHAnsi" w:hAnsiTheme="minorHAnsi" w:cstheme="minorHAnsi"/>
        </w:rPr>
        <w:t>erature (RT) FACS buffer</w:t>
      </w:r>
      <w:r w:rsidR="00FD1492">
        <w:rPr>
          <w:rFonts w:asciiTheme="minorHAnsi" w:hAnsiTheme="minorHAnsi" w:cstheme="minorHAnsi"/>
        </w:rPr>
        <w:t>, consisting of</w:t>
      </w:r>
      <w:r w:rsidR="005C4B02" w:rsidRPr="00E21748">
        <w:rPr>
          <w:rFonts w:asciiTheme="minorHAnsi" w:hAnsiTheme="minorHAnsi" w:cstheme="minorHAnsi"/>
        </w:rPr>
        <w:t xml:space="preserve"> 2% fetal bovine serum (FBS)</w:t>
      </w:r>
      <w:r w:rsidRPr="00E21748">
        <w:rPr>
          <w:rFonts w:asciiTheme="minorHAnsi" w:hAnsiTheme="minorHAnsi" w:cstheme="minorHAnsi"/>
        </w:rPr>
        <w:t xml:space="preserve"> in phosphate-buffered saline (</w:t>
      </w:r>
      <w:r w:rsidRPr="00FD1492">
        <w:rPr>
          <w:rFonts w:asciiTheme="minorHAnsi" w:hAnsiTheme="minorHAnsi" w:cstheme="minorHAnsi"/>
        </w:rPr>
        <w:t>PBS</w:t>
      </w:r>
      <w:r w:rsidRPr="00E21748">
        <w:rPr>
          <w:rFonts w:asciiTheme="minorHAnsi" w:hAnsiTheme="minorHAnsi" w:cstheme="minorHAnsi"/>
        </w:rPr>
        <w:t>).</w:t>
      </w:r>
    </w:p>
    <w:p w14:paraId="1A78D53A"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rPr>
      </w:pPr>
    </w:p>
    <w:p w14:paraId="55ED92FE" w14:textId="188D4569"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E21748">
        <w:rPr>
          <w:rFonts w:asciiTheme="minorHAnsi" w:hAnsiTheme="minorHAnsi" w:cstheme="minorHAnsi"/>
        </w:rPr>
        <w:t xml:space="preserve">Centrifuge for 5 min at 300 x </w:t>
      </w:r>
      <w:r w:rsidRPr="005C2511">
        <w:rPr>
          <w:rFonts w:asciiTheme="minorHAnsi" w:hAnsiTheme="minorHAnsi" w:cstheme="minorHAnsi"/>
          <w:i/>
          <w:iCs/>
        </w:rPr>
        <w:t>g</w:t>
      </w:r>
      <w:r w:rsidRPr="00E21748">
        <w:rPr>
          <w:rFonts w:asciiTheme="minorHAnsi" w:hAnsiTheme="minorHAnsi" w:cstheme="minorHAnsi"/>
        </w:rPr>
        <w:t xml:space="preserve"> at RT</w:t>
      </w:r>
      <w:r w:rsidR="00D82984" w:rsidRPr="00E21748">
        <w:rPr>
          <w:rFonts w:asciiTheme="minorHAnsi" w:hAnsiTheme="minorHAnsi" w:cstheme="minorHAnsi"/>
        </w:rPr>
        <w:t xml:space="preserve"> to pellet cells</w:t>
      </w:r>
      <w:r w:rsidRPr="00E21748">
        <w:rPr>
          <w:rFonts w:asciiTheme="minorHAnsi" w:hAnsiTheme="minorHAnsi" w:cstheme="minorHAnsi"/>
        </w:rPr>
        <w:t xml:space="preserve">. </w:t>
      </w:r>
    </w:p>
    <w:p w14:paraId="0358B0D7"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rPr>
      </w:pPr>
    </w:p>
    <w:p w14:paraId="162CEE7F" w14:textId="03FA7D12"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E21748">
        <w:rPr>
          <w:rFonts w:asciiTheme="minorHAnsi" w:hAnsiTheme="minorHAnsi" w:cstheme="minorHAnsi"/>
        </w:rPr>
        <w:t xml:space="preserve">Pour off </w:t>
      </w:r>
      <w:r w:rsidR="00083277">
        <w:rPr>
          <w:rFonts w:asciiTheme="minorHAnsi" w:hAnsiTheme="minorHAnsi" w:cstheme="minorHAnsi"/>
        </w:rPr>
        <w:t xml:space="preserve">the </w:t>
      </w:r>
      <w:r w:rsidRPr="00E21748">
        <w:rPr>
          <w:rFonts w:asciiTheme="minorHAnsi" w:hAnsiTheme="minorHAnsi" w:cstheme="minorHAnsi"/>
        </w:rPr>
        <w:t xml:space="preserve">supernatant, resuspend </w:t>
      </w:r>
      <w:r w:rsidR="00083277">
        <w:rPr>
          <w:rFonts w:asciiTheme="minorHAnsi" w:hAnsiTheme="minorHAnsi" w:cstheme="minorHAnsi"/>
        </w:rPr>
        <w:t xml:space="preserve">the </w:t>
      </w:r>
      <w:r w:rsidRPr="00E21748">
        <w:rPr>
          <w:rFonts w:asciiTheme="minorHAnsi" w:hAnsiTheme="minorHAnsi" w:cstheme="minorHAnsi"/>
        </w:rPr>
        <w:t xml:space="preserve">cells in </w:t>
      </w:r>
      <w:r w:rsidR="00083277">
        <w:rPr>
          <w:rFonts w:asciiTheme="minorHAnsi" w:hAnsiTheme="minorHAnsi" w:cstheme="minorHAnsi"/>
        </w:rPr>
        <w:t xml:space="preserve">the </w:t>
      </w:r>
      <w:r w:rsidRPr="00E21748">
        <w:rPr>
          <w:rFonts w:asciiTheme="minorHAnsi" w:hAnsiTheme="minorHAnsi" w:cstheme="minorHAnsi"/>
        </w:rPr>
        <w:t>remaining liquid and transfer to FACS tubes</w:t>
      </w:r>
      <w:r w:rsidR="00083277">
        <w:rPr>
          <w:rFonts w:asciiTheme="minorHAnsi" w:hAnsiTheme="minorHAnsi" w:cstheme="minorHAnsi"/>
        </w:rPr>
        <w:t>.</w:t>
      </w:r>
      <w:r w:rsidRPr="00E21748">
        <w:rPr>
          <w:rFonts w:asciiTheme="minorHAnsi" w:hAnsiTheme="minorHAnsi" w:cstheme="minorHAnsi"/>
        </w:rPr>
        <w:t xml:space="preserve"> </w:t>
      </w:r>
      <w:r w:rsidR="00083277" w:rsidRPr="00E21748">
        <w:rPr>
          <w:rFonts w:asciiTheme="minorHAnsi" w:hAnsiTheme="minorHAnsi" w:cstheme="minorHAnsi"/>
        </w:rPr>
        <w:t xml:space="preserve">Repeat </w:t>
      </w:r>
      <w:r w:rsidR="00083277">
        <w:rPr>
          <w:rFonts w:asciiTheme="minorHAnsi" w:hAnsiTheme="minorHAnsi" w:cstheme="minorHAnsi"/>
        </w:rPr>
        <w:t xml:space="preserve">the </w:t>
      </w:r>
      <w:r w:rsidRPr="00E21748">
        <w:rPr>
          <w:rFonts w:asciiTheme="minorHAnsi" w:hAnsiTheme="minorHAnsi" w:cstheme="minorHAnsi"/>
        </w:rPr>
        <w:t xml:space="preserve">washing step with 3 mL of FACS buffer. After </w:t>
      </w:r>
      <w:r w:rsidR="00083277">
        <w:rPr>
          <w:rFonts w:asciiTheme="minorHAnsi" w:hAnsiTheme="minorHAnsi" w:cstheme="minorHAnsi"/>
        </w:rPr>
        <w:t xml:space="preserve">the </w:t>
      </w:r>
      <w:r w:rsidR="005C4B02" w:rsidRPr="00E21748">
        <w:rPr>
          <w:rFonts w:asciiTheme="minorHAnsi" w:hAnsiTheme="minorHAnsi" w:cstheme="minorHAnsi"/>
        </w:rPr>
        <w:t>second centrifugation, pou</w:t>
      </w:r>
      <w:r w:rsidRPr="00E21748">
        <w:rPr>
          <w:rFonts w:asciiTheme="minorHAnsi" w:hAnsiTheme="minorHAnsi" w:cstheme="minorHAnsi"/>
        </w:rPr>
        <w:t xml:space="preserve">r off </w:t>
      </w:r>
      <w:r w:rsidR="00083277">
        <w:rPr>
          <w:rFonts w:asciiTheme="minorHAnsi" w:hAnsiTheme="minorHAnsi" w:cstheme="minorHAnsi"/>
        </w:rPr>
        <w:t xml:space="preserve">the </w:t>
      </w:r>
      <w:r w:rsidRPr="00E21748">
        <w:rPr>
          <w:rFonts w:asciiTheme="minorHAnsi" w:hAnsiTheme="minorHAnsi" w:cstheme="minorHAnsi"/>
        </w:rPr>
        <w:t xml:space="preserve">supernatant and resuspend </w:t>
      </w:r>
      <w:r w:rsidR="00083277">
        <w:rPr>
          <w:rFonts w:asciiTheme="minorHAnsi" w:hAnsiTheme="minorHAnsi" w:cstheme="minorHAnsi"/>
        </w:rPr>
        <w:t xml:space="preserve">the </w:t>
      </w:r>
      <w:r w:rsidRPr="00E21748">
        <w:rPr>
          <w:rFonts w:asciiTheme="minorHAnsi" w:hAnsiTheme="minorHAnsi" w:cstheme="minorHAnsi"/>
        </w:rPr>
        <w:t xml:space="preserve">cells in </w:t>
      </w:r>
      <w:r w:rsidR="00083277">
        <w:rPr>
          <w:rFonts w:asciiTheme="minorHAnsi" w:hAnsiTheme="minorHAnsi" w:cstheme="minorHAnsi"/>
        </w:rPr>
        <w:t xml:space="preserve">the </w:t>
      </w:r>
      <w:r w:rsidRPr="00E21748">
        <w:rPr>
          <w:rFonts w:asciiTheme="minorHAnsi" w:hAnsiTheme="minorHAnsi" w:cstheme="minorHAnsi"/>
        </w:rPr>
        <w:t>remaining liquid.</w:t>
      </w:r>
    </w:p>
    <w:p w14:paraId="069E10C0"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rPr>
      </w:pPr>
    </w:p>
    <w:p w14:paraId="54C637E8" w14:textId="14958E8F"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E21748">
        <w:rPr>
          <w:rFonts w:asciiTheme="minorHAnsi" w:hAnsiTheme="minorHAnsi" w:cstheme="minorHAnsi"/>
        </w:rPr>
        <w:t xml:space="preserve">Add 5 µL of </w:t>
      </w:r>
      <w:r w:rsidR="009315C2" w:rsidRPr="00E21748">
        <w:rPr>
          <w:rFonts w:asciiTheme="minorHAnsi" w:hAnsiTheme="minorHAnsi" w:cstheme="minorHAnsi"/>
        </w:rPr>
        <w:t>Fc Receptor blocking solution</w:t>
      </w:r>
      <w:r w:rsidR="00D82984" w:rsidRPr="00E21748">
        <w:rPr>
          <w:rFonts w:asciiTheme="minorHAnsi" w:hAnsiTheme="minorHAnsi" w:cstheme="minorHAnsi"/>
        </w:rPr>
        <w:t xml:space="preserve"> (</w:t>
      </w:r>
      <w:r w:rsidR="00E21748" w:rsidRPr="00E21748">
        <w:rPr>
          <w:b/>
        </w:rPr>
        <w:t>Table of Materials</w:t>
      </w:r>
      <w:r w:rsidR="00D82984" w:rsidRPr="00E21748">
        <w:rPr>
          <w:rFonts w:asciiTheme="minorHAnsi" w:hAnsiTheme="minorHAnsi" w:cstheme="minorHAnsi"/>
        </w:rPr>
        <w:t>)</w:t>
      </w:r>
      <w:r w:rsidRPr="00E21748">
        <w:rPr>
          <w:rFonts w:asciiTheme="minorHAnsi" w:hAnsiTheme="minorHAnsi" w:cstheme="minorHAnsi"/>
        </w:rPr>
        <w:t xml:space="preserve"> and leave for 10 min at RT</w:t>
      </w:r>
      <w:r w:rsidR="00083277">
        <w:rPr>
          <w:rFonts w:asciiTheme="minorHAnsi" w:hAnsiTheme="minorHAnsi" w:cstheme="minorHAnsi"/>
        </w:rPr>
        <w:t>.</w:t>
      </w:r>
      <w:r w:rsidRPr="00E21748">
        <w:rPr>
          <w:rFonts w:asciiTheme="minorHAnsi" w:hAnsiTheme="minorHAnsi" w:cstheme="minorHAnsi"/>
        </w:rPr>
        <w:t xml:space="preserve"> Do not wash off </w:t>
      </w:r>
      <w:r w:rsidR="00083277">
        <w:rPr>
          <w:rFonts w:asciiTheme="minorHAnsi" w:hAnsiTheme="minorHAnsi" w:cstheme="minorHAnsi"/>
        </w:rPr>
        <w:t xml:space="preserve">the </w:t>
      </w:r>
      <w:r w:rsidR="009315C2" w:rsidRPr="00E21748">
        <w:rPr>
          <w:rFonts w:asciiTheme="minorHAnsi" w:hAnsiTheme="minorHAnsi" w:cstheme="minorHAnsi"/>
        </w:rPr>
        <w:t>Fc Receptor blocking solution</w:t>
      </w:r>
      <w:r w:rsidRPr="00E21748">
        <w:rPr>
          <w:rFonts w:asciiTheme="minorHAnsi" w:hAnsiTheme="minorHAnsi" w:cstheme="minorHAnsi"/>
        </w:rPr>
        <w:t xml:space="preserve">. </w:t>
      </w:r>
    </w:p>
    <w:p w14:paraId="0F3899F6"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rPr>
      </w:pPr>
    </w:p>
    <w:p w14:paraId="535B9AD8" w14:textId="049F52E3"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E21748">
        <w:rPr>
          <w:rFonts w:asciiTheme="minorHAnsi" w:hAnsiTheme="minorHAnsi" w:cstheme="minorHAnsi"/>
        </w:rPr>
        <w:t xml:space="preserve">Add </w:t>
      </w:r>
      <w:r w:rsidR="00083277">
        <w:rPr>
          <w:rFonts w:asciiTheme="minorHAnsi" w:hAnsiTheme="minorHAnsi" w:cstheme="minorHAnsi"/>
        </w:rPr>
        <w:t xml:space="preserve">the </w:t>
      </w:r>
      <w:r w:rsidRPr="00E21748">
        <w:rPr>
          <w:rFonts w:asciiTheme="minorHAnsi" w:hAnsiTheme="minorHAnsi" w:cstheme="minorHAnsi"/>
        </w:rPr>
        <w:t>mix containing predetermined volumes of antibodies against human CD3 (clone SK7) BUV395, CD34 (clone AC136)</w:t>
      </w:r>
      <w:r w:rsidR="00083277">
        <w:rPr>
          <w:rFonts w:asciiTheme="minorHAnsi" w:hAnsiTheme="minorHAnsi" w:cstheme="minorHAnsi"/>
        </w:rPr>
        <w:t>,</w:t>
      </w:r>
      <w:r w:rsidRPr="00E21748">
        <w:rPr>
          <w:rFonts w:asciiTheme="minorHAnsi" w:hAnsiTheme="minorHAnsi" w:cstheme="minorHAnsi"/>
        </w:rPr>
        <w:t xml:space="preserve"> FITC</w:t>
      </w:r>
      <w:r w:rsidR="00083277">
        <w:rPr>
          <w:rFonts w:asciiTheme="minorHAnsi" w:hAnsiTheme="minorHAnsi" w:cstheme="minorHAnsi"/>
        </w:rPr>
        <w:t>,</w:t>
      </w:r>
      <w:r w:rsidRPr="00E21748">
        <w:rPr>
          <w:rFonts w:asciiTheme="minorHAnsi" w:hAnsiTheme="minorHAnsi" w:cstheme="minorHAnsi"/>
        </w:rPr>
        <w:t xml:space="preserve"> and CD45 (</w:t>
      </w:r>
      <w:r w:rsidRPr="00FD1492">
        <w:rPr>
          <w:rFonts w:asciiTheme="minorHAnsi" w:hAnsiTheme="minorHAnsi" w:cstheme="minorHAnsi"/>
        </w:rPr>
        <w:t>clone</w:t>
      </w:r>
      <w:r w:rsidRPr="00E21748">
        <w:rPr>
          <w:rFonts w:asciiTheme="minorHAnsi" w:hAnsiTheme="minorHAnsi" w:cstheme="minorHAnsi"/>
        </w:rPr>
        <w:t xml:space="preserve"> 2D1) APC</w:t>
      </w:r>
      <w:r w:rsidR="00604BD6" w:rsidRPr="00E21748">
        <w:rPr>
          <w:rFonts w:asciiTheme="minorHAnsi" w:hAnsiTheme="minorHAnsi" w:cstheme="minorHAnsi"/>
        </w:rPr>
        <w:t xml:space="preserve"> (</w:t>
      </w:r>
      <w:r w:rsidR="00E21748" w:rsidRPr="00E21748">
        <w:rPr>
          <w:rFonts w:asciiTheme="minorHAnsi" w:hAnsiTheme="minorHAnsi" w:cstheme="minorHAnsi"/>
          <w:b/>
        </w:rPr>
        <w:t>Table 1</w:t>
      </w:r>
      <w:r w:rsidR="00604BD6" w:rsidRPr="00E21748">
        <w:rPr>
          <w:rFonts w:asciiTheme="minorHAnsi" w:hAnsiTheme="minorHAnsi" w:cstheme="minorHAnsi"/>
        </w:rPr>
        <w:t>)</w:t>
      </w:r>
      <w:r w:rsidRPr="00E21748">
        <w:rPr>
          <w:rFonts w:asciiTheme="minorHAnsi" w:hAnsiTheme="minorHAnsi" w:cstheme="minorHAnsi"/>
        </w:rPr>
        <w:t xml:space="preserve">. Leave </w:t>
      </w:r>
      <w:r w:rsidR="00083277">
        <w:rPr>
          <w:rFonts w:asciiTheme="minorHAnsi" w:hAnsiTheme="minorHAnsi" w:cstheme="minorHAnsi"/>
        </w:rPr>
        <w:t xml:space="preserve">the </w:t>
      </w:r>
      <w:r w:rsidRPr="00E21748">
        <w:rPr>
          <w:rFonts w:asciiTheme="minorHAnsi" w:hAnsiTheme="minorHAnsi" w:cstheme="minorHAnsi"/>
        </w:rPr>
        <w:t xml:space="preserve">cells for 30 </w:t>
      </w:r>
      <w:r w:rsidR="00083277" w:rsidRPr="00FD1492">
        <w:rPr>
          <w:rFonts w:asciiTheme="minorHAnsi" w:hAnsiTheme="minorHAnsi" w:cstheme="minorHAnsi"/>
        </w:rPr>
        <w:t>min</w:t>
      </w:r>
      <w:r w:rsidR="00083277" w:rsidRPr="00E21748">
        <w:rPr>
          <w:rFonts w:asciiTheme="minorHAnsi" w:hAnsiTheme="minorHAnsi" w:cstheme="minorHAnsi"/>
        </w:rPr>
        <w:t xml:space="preserve"> </w:t>
      </w:r>
      <w:r w:rsidRPr="00E21748">
        <w:rPr>
          <w:rFonts w:asciiTheme="minorHAnsi" w:hAnsiTheme="minorHAnsi" w:cstheme="minorHAnsi"/>
        </w:rPr>
        <w:t xml:space="preserve">at RT in the dark. </w:t>
      </w:r>
      <w:r w:rsidR="00083277">
        <w:rPr>
          <w:rFonts w:asciiTheme="minorHAnsi" w:hAnsiTheme="minorHAnsi" w:cstheme="minorHAnsi"/>
        </w:rPr>
        <w:t>The f</w:t>
      </w:r>
      <w:r w:rsidRPr="00E21748">
        <w:rPr>
          <w:rFonts w:asciiTheme="minorHAnsi" w:hAnsiTheme="minorHAnsi" w:cstheme="minorHAnsi"/>
        </w:rPr>
        <w:t>luoro</w:t>
      </w:r>
      <w:r w:rsidR="00E51F34" w:rsidRPr="00E21748">
        <w:rPr>
          <w:rFonts w:asciiTheme="minorHAnsi" w:hAnsiTheme="minorHAnsi" w:cstheme="minorHAnsi"/>
        </w:rPr>
        <w:t>phores</w:t>
      </w:r>
      <w:r w:rsidR="000D3624" w:rsidRPr="00E21748">
        <w:rPr>
          <w:rFonts w:asciiTheme="minorHAnsi" w:hAnsiTheme="minorHAnsi" w:cstheme="minorHAnsi"/>
        </w:rPr>
        <w:t xml:space="preserve"> must be</w:t>
      </w:r>
      <w:r w:rsidRPr="00E21748">
        <w:rPr>
          <w:rFonts w:asciiTheme="minorHAnsi" w:hAnsiTheme="minorHAnsi" w:cstheme="minorHAnsi"/>
        </w:rPr>
        <w:t xml:space="preserve"> chosen based on parameters that can be assessed with available flow cytometers without requiring </w:t>
      </w:r>
      <w:r w:rsidR="00083277">
        <w:rPr>
          <w:rFonts w:asciiTheme="minorHAnsi" w:hAnsiTheme="minorHAnsi" w:cstheme="minorHAnsi"/>
        </w:rPr>
        <w:t xml:space="preserve">a </w:t>
      </w:r>
      <w:r w:rsidRPr="00E21748">
        <w:rPr>
          <w:rFonts w:asciiTheme="minorHAnsi" w:hAnsiTheme="minorHAnsi" w:cstheme="minorHAnsi"/>
        </w:rPr>
        <w:t>compensation matrix</w:t>
      </w:r>
      <w:r w:rsidR="00083277">
        <w:rPr>
          <w:rFonts w:asciiTheme="minorHAnsi" w:hAnsiTheme="minorHAnsi" w:cstheme="minorHAnsi"/>
        </w:rPr>
        <w:t>.</w:t>
      </w:r>
    </w:p>
    <w:p w14:paraId="474876D3"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rPr>
      </w:pPr>
    </w:p>
    <w:p w14:paraId="7C5028F5" w14:textId="3297EB4F" w:rsidR="001D3C34" w:rsidRPr="00E21748" w:rsidRDefault="008D3FE6" w:rsidP="00E21748">
      <w:pPr>
        <w:pStyle w:val="ListParagraph"/>
        <w:widowControl/>
        <w:numPr>
          <w:ilvl w:val="1"/>
          <w:numId w:val="32"/>
        </w:numPr>
        <w:autoSpaceDE/>
        <w:autoSpaceDN/>
        <w:adjustRightInd/>
        <w:snapToGrid w:val="0"/>
        <w:rPr>
          <w:rFonts w:asciiTheme="minorHAnsi" w:hAnsiTheme="minorHAnsi" w:cstheme="minorHAnsi"/>
        </w:rPr>
      </w:pPr>
      <w:r w:rsidRPr="00E21748">
        <w:rPr>
          <w:rFonts w:asciiTheme="minorHAnsi" w:hAnsiTheme="minorHAnsi" w:cstheme="minorHAnsi"/>
        </w:rPr>
        <w:t xml:space="preserve">Wash </w:t>
      </w:r>
      <w:r w:rsidR="00083277">
        <w:rPr>
          <w:rFonts w:asciiTheme="minorHAnsi" w:hAnsiTheme="minorHAnsi" w:cstheme="minorHAnsi"/>
        </w:rPr>
        <w:t xml:space="preserve">the </w:t>
      </w:r>
      <w:r w:rsidRPr="00E21748">
        <w:rPr>
          <w:rFonts w:asciiTheme="minorHAnsi" w:hAnsiTheme="minorHAnsi" w:cstheme="minorHAnsi"/>
        </w:rPr>
        <w:t xml:space="preserve">cells </w:t>
      </w:r>
      <w:r w:rsidR="00083277">
        <w:rPr>
          <w:rFonts w:asciiTheme="minorHAnsi" w:hAnsiTheme="minorHAnsi" w:cstheme="minorHAnsi"/>
        </w:rPr>
        <w:t>with</w:t>
      </w:r>
      <w:r w:rsidR="00083277" w:rsidRPr="00E21748">
        <w:rPr>
          <w:rFonts w:asciiTheme="minorHAnsi" w:hAnsiTheme="minorHAnsi" w:cstheme="minorHAnsi"/>
        </w:rPr>
        <w:t xml:space="preserve"> </w:t>
      </w:r>
      <w:r w:rsidR="001D3C34" w:rsidRPr="00E21748">
        <w:rPr>
          <w:rFonts w:asciiTheme="minorHAnsi" w:hAnsiTheme="minorHAnsi" w:cstheme="minorHAnsi"/>
        </w:rPr>
        <w:t>3 mL of FACS buffer.</w:t>
      </w:r>
    </w:p>
    <w:p w14:paraId="7E78249E"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rPr>
      </w:pPr>
    </w:p>
    <w:p w14:paraId="2A402CB3" w14:textId="092B0760"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E21748">
        <w:rPr>
          <w:rFonts w:asciiTheme="minorHAnsi" w:hAnsiTheme="minorHAnsi" w:cstheme="minorHAnsi"/>
        </w:rPr>
        <w:t xml:space="preserve">Centrifuge for 5 min at 300 x </w:t>
      </w:r>
      <w:r w:rsidRPr="005C2511">
        <w:rPr>
          <w:rFonts w:asciiTheme="minorHAnsi" w:hAnsiTheme="minorHAnsi" w:cstheme="minorHAnsi"/>
          <w:i/>
          <w:iCs/>
        </w:rPr>
        <w:t>g</w:t>
      </w:r>
      <w:r w:rsidR="00083277">
        <w:rPr>
          <w:rFonts w:asciiTheme="minorHAnsi" w:hAnsiTheme="minorHAnsi" w:cstheme="minorHAnsi"/>
        </w:rPr>
        <w:t xml:space="preserve"> at</w:t>
      </w:r>
      <w:r w:rsidRPr="00E21748">
        <w:rPr>
          <w:rFonts w:asciiTheme="minorHAnsi" w:hAnsiTheme="minorHAnsi" w:cstheme="minorHAnsi"/>
        </w:rPr>
        <w:t xml:space="preserve"> RT</w:t>
      </w:r>
      <w:r w:rsidR="00D82984" w:rsidRPr="00E21748">
        <w:rPr>
          <w:rFonts w:asciiTheme="minorHAnsi" w:hAnsiTheme="minorHAnsi" w:cstheme="minorHAnsi"/>
        </w:rPr>
        <w:t xml:space="preserve"> to pellet </w:t>
      </w:r>
      <w:r w:rsidR="00083277">
        <w:rPr>
          <w:rFonts w:asciiTheme="minorHAnsi" w:hAnsiTheme="minorHAnsi" w:cstheme="minorHAnsi"/>
        </w:rPr>
        <w:t xml:space="preserve">the </w:t>
      </w:r>
      <w:r w:rsidR="00D82984" w:rsidRPr="00E21748">
        <w:rPr>
          <w:rFonts w:asciiTheme="minorHAnsi" w:hAnsiTheme="minorHAnsi" w:cstheme="minorHAnsi"/>
        </w:rPr>
        <w:t>cells</w:t>
      </w:r>
      <w:r w:rsidRPr="00E21748">
        <w:rPr>
          <w:rFonts w:asciiTheme="minorHAnsi" w:hAnsiTheme="minorHAnsi" w:cstheme="minorHAnsi"/>
        </w:rPr>
        <w:t xml:space="preserve">. </w:t>
      </w:r>
    </w:p>
    <w:p w14:paraId="538C8DC6"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rPr>
      </w:pPr>
    </w:p>
    <w:p w14:paraId="7AFFA5DE" w14:textId="303907DB"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E21748">
        <w:rPr>
          <w:rFonts w:asciiTheme="minorHAnsi" w:hAnsiTheme="minorHAnsi" w:cstheme="minorHAnsi"/>
        </w:rPr>
        <w:t xml:space="preserve">Pour off </w:t>
      </w:r>
      <w:r w:rsidR="00083277">
        <w:rPr>
          <w:rFonts w:asciiTheme="minorHAnsi" w:hAnsiTheme="minorHAnsi" w:cstheme="minorHAnsi"/>
        </w:rPr>
        <w:t xml:space="preserve">the </w:t>
      </w:r>
      <w:r w:rsidRPr="00E21748">
        <w:rPr>
          <w:rFonts w:asciiTheme="minorHAnsi" w:hAnsiTheme="minorHAnsi" w:cstheme="minorHAnsi"/>
        </w:rPr>
        <w:t xml:space="preserve">supernatant and resuspend </w:t>
      </w:r>
      <w:r w:rsidR="00083277">
        <w:rPr>
          <w:rFonts w:asciiTheme="minorHAnsi" w:hAnsiTheme="minorHAnsi" w:cstheme="minorHAnsi"/>
        </w:rPr>
        <w:t xml:space="preserve">the </w:t>
      </w:r>
      <w:r w:rsidRPr="00E21748">
        <w:rPr>
          <w:rFonts w:asciiTheme="minorHAnsi" w:hAnsiTheme="minorHAnsi" w:cstheme="minorHAnsi"/>
        </w:rPr>
        <w:t xml:space="preserve">cells in </w:t>
      </w:r>
      <w:r w:rsidR="00083277">
        <w:rPr>
          <w:rFonts w:asciiTheme="minorHAnsi" w:hAnsiTheme="minorHAnsi" w:cstheme="minorHAnsi"/>
        </w:rPr>
        <w:t xml:space="preserve">the </w:t>
      </w:r>
      <w:r w:rsidRPr="00E21748">
        <w:rPr>
          <w:rFonts w:asciiTheme="minorHAnsi" w:hAnsiTheme="minorHAnsi" w:cstheme="minorHAnsi"/>
        </w:rPr>
        <w:t>remaining liquid.</w:t>
      </w:r>
    </w:p>
    <w:p w14:paraId="14D0CF74"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rPr>
      </w:pPr>
    </w:p>
    <w:p w14:paraId="3C8B237E" w14:textId="07683333" w:rsidR="001D3C34" w:rsidRPr="00E21748" w:rsidRDefault="001D3C34" w:rsidP="00E21748">
      <w:pPr>
        <w:pStyle w:val="ListParagraph"/>
        <w:widowControl/>
        <w:numPr>
          <w:ilvl w:val="2"/>
          <w:numId w:val="32"/>
        </w:numPr>
        <w:autoSpaceDE/>
        <w:autoSpaceDN/>
        <w:adjustRightInd/>
        <w:snapToGrid w:val="0"/>
        <w:rPr>
          <w:rFonts w:asciiTheme="minorHAnsi" w:hAnsiTheme="minorHAnsi" w:cstheme="minorHAnsi"/>
        </w:rPr>
      </w:pPr>
      <w:r w:rsidRPr="00E21748">
        <w:rPr>
          <w:rFonts w:asciiTheme="minorHAnsi" w:hAnsiTheme="minorHAnsi" w:cstheme="minorHAnsi"/>
        </w:rPr>
        <w:t xml:space="preserve">Repeat this washing step </w:t>
      </w:r>
      <w:r w:rsidR="00083277" w:rsidRPr="00960CA7">
        <w:rPr>
          <w:rFonts w:asciiTheme="minorHAnsi" w:hAnsiTheme="minorHAnsi" w:cstheme="minorHAnsi"/>
        </w:rPr>
        <w:t>2x</w:t>
      </w:r>
      <w:r w:rsidR="00083277" w:rsidRPr="00E21748">
        <w:rPr>
          <w:rFonts w:asciiTheme="minorHAnsi" w:hAnsiTheme="minorHAnsi" w:cstheme="minorHAnsi"/>
        </w:rPr>
        <w:t xml:space="preserve"> </w:t>
      </w:r>
      <w:r w:rsidRPr="00E21748">
        <w:rPr>
          <w:rFonts w:asciiTheme="minorHAnsi" w:hAnsiTheme="minorHAnsi" w:cstheme="minorHAnsi"/>
        </w:rPr>
        <w:t xml:space="preserve">to ensure all </w:t>
      </w:r>
      <w:r w:rsidR="00FD1492">
        <w:rPr>
          <w:rFonts w:asciiTheme="minorHAnsi" w:hAnsiTheme="minorHAnsi" w:cstheme="minorHAnsi"/>
        </w:rPr>
        <w:t>un</w:t>
      </w:r>
      <w:r w:rsidRPr="00E21748">
        <w:rPr>
          <w:rFonts w:asciiTheme="minorHAnsi" w:hAnsiTheme="minorHAnsi" w:cstheme="minorHAnsi"/>
        </w:rPr>
        <w:t>bound antibodies have been removed</w:t>
      </w:r>
      <w:r w:rsidR="00083277">
        <w:rPr>
          <w:rFonts w:asciiTheme="minorHAnsi" w:hAnsiTheme="minorHAnsi" w:cstheme="minorHAnsi"/>
        </w:rPr>
        <w:t>.</w:t>
      </w:r>
    </w:p>
    <w:p w14:paraId="685EE921"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rPr>
      </w:pPr>
    </w:p>
    <w:p w14:paraId="40DD7DB4" w14:textId="4D97691B"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E21748">
        <w:rPr>
          <w:rFonts w:asciiTheme="minorHAnsi" w:hAnsiTheme="minorHAnsi" w:cstheme="minorHAnsi"/>
        </w:rPr>
        <w:t xml:space="preserve">Record </w:t>
      </w:r>
      <w:r w:rsidR="00083277">
        <w:rPr>
          <w:rFonts w:asciiTheme="minorHAnsi" w:hAnsiTheme="minorHAnsi" w:cstheme="minorHAnsi"/>
        </w:rPr>
        <w:t xml:space="preserve">the </w:t>
      </w:r>
      <w:r w:rsidRPr="00E21748">
        <w:rPr>
          <w:rFonts w:asciiTheme="minorHAnsi" w:hAnsiTheme="minorHAnsi" w:cstheme="minorHAnsi"/>
        </w:rPr>
        <w:t xml:space="preserve">samples on </w:t>
      </w:r>
      <w:r w:rsidR="00083277">
        <w:rPr>
          <w:rFonts w:asciiTheme="minorHAnsi" w:hAnsiTheme="minorHAnsi" w:cstheme="minorHAnsi"/>
        </w:rPr>
        <w:t xml:space="preserve">the </w:t>
      </w:r>
      <w:r w:rsidRPr="00E21748">
        <w:rPr>
          <w:rFonts w:asciiTheme="minorHAnsi" w:hAnsiTheme="minorHAnsi" w:cstheme="minorHAnsi"/>
        </w:rPr>
        <w:t xml:space="preserve">flow cytometer </w:t>
      </w:r>
      <w:r w:rsidR="00D82984" w:rsidRPr="00E21748">
        <w:rPr>
          <w:rFonts w:asciiTheme="minorHAnsi" w:hAnsiTheme="minorHAnsi" w:cstheme="minorHAnsi"/>
        </w:rPr>
        <w:t>(</w:t>
      </w:r>
      <w:r w:rsidR="00E21748" w:rsidRPr="00E21748">
        <w:rPr>
          <w:b/>
        </w:rPr>
        <w:t>Table of Materials</w:t>
      </w:r>
      <w:r w:rsidR="00D82984" w:rsidRPr="00E21748">
        <w:rPr>
          <w:rFonts w:asciiTheme="minorHAnsi" w:hAnsiTheme="minorHAnsi" w:cstheme="minorHAnsi"/>
        </w:rPr>
        <w:t xml:space="preserve">) </w:t>
      </w:r>
      <w:r w:rsidRPr="00E21748">
        <w:rPr>
          <w:rFonts w:asciiTheme="minorHAnsi" w:hAnsiTheme="minorHAnsi" w:cstheme="minorHAnsi"/>
        </w:rPr>
        <w:t xml:space="preserve">and perform data analysis with </w:t>
      </w:r>
      <w:r w:rsidR="00621109" w:rsidRPr="00E21748">
        <w:rPr>
          <w:rFonts w:asciiTheme="minorHAnsi" w:hAnsiTheme="minorHAnsi" w:cstheme="minorHAnsi"/>
        </w:rPr>
        <w:t xml:space="preserve">appropriate software. </w:t>
      </w:r>
      <w:r w:rsidR="00083277">
        <w:rPr>
          <w:rFonts w:asciiTheme="minorHAnsi" w:hAnsiTheme="minorHAnsi" w:cstheme="minorHAnsi"/>
        </w:rPr>
        <w:t>The g</w:t>
      </w:r>
      <w:r w:rsidRPr="00E21748">
        <w:rPr>
          <w:rFonts w:asciiTheme="minorHAnsi" w:hAnsiTheme="minorHAnsi" w:cstheme="minorHAnsi"/>
        </w:rPr>
        <w:t xml:space="preserve">ating strategy </w:t>
      </w:r>
      <w:r w:rsidR="00083277">
        <w:rPr>
          <w:rFonts w:asciiTheme="minorHAnsi" w:hAnsiTheme="minorHAnsi" w:cstheme="minorHAnsi"/>
        </w:rPr>
        <w:t xml:space="preserve">is </w:t>
      </w:r>
      <w:r w:rsidRPr="00E21748">
        <w:rPr>
          <w:rFonts w:asciiTheme="minorHAnsi" w:hAnsiTheme="minorHAnsi" w:cstheme="minorHAnsi"/>
        </w:rPr>
        <w:t xml:space="preserve">presented in </w:t>
      </w:r>
      <w:r w:rsidR="00E21748" w:rsidRPr="00E21748">
        <w:rPr>
          <w:rFonts w:asciiTheme="minorHAnsi" w:hAnsiTheme="minorHAnsi" w:cstheme="minorHAnsi"/>
          <w:b/>
        </w:rPr>
        <w:t>Figure 1A</w:t>
      </w:r>
      <w:r w:rsidR="00FD1492" w:rsidRPr="00980DB6">
        <w:rPr>
          <w:rFonts w:asciiTheme="minorHAnsi" w:hAnsiTheme="minorHAnsi" w:cstheme="minorHAnsi"/>
        </w:rPr>
        <w:t>–</w:t>
      </w:r>
      <w:r w:rsidRPr="005C2511">
        <w:rPr>
          <w:rFonts w:asciiTheme="minorHAnsi" w:hAnsiTheme="minorHAnsi" w:cstheme="minorHAnsi"/>
          <w:b/>
          <w:bCs/>
        </w:rPr>
        <w:t>F</w:t>
      </w:r>
      <w:r w:rsidR="00083277">
        <w:rPr>
          <w:rFonts w:asciiTheme="minorHAnsi" w:hAnsiTheme="minorHAnsi" w:cstheme="minorHAnsi"/>
        </w:rPr>
        <w:t>.</w:t>
      </w:r>
    </w:p>
    <w:p w14:paraId="0C2C2F92" w14:textId="77777777" w:rsidR="001D3C34" w:rsidRPr="00B042FD" w:rsidRDefault="001D3C34" w:rsidP="00E21748">
      <w:pPr>
        <w:pStyle w:val="ListParagraph"/>
        <w:snapToGrid w:val="0"/>
        <w:ind w:left="1080"/>
        <w:rPr>
          <w:rFonts w:asciiTheme="minorHAnsi" w:hAnsiTheme="minorHAnsi" w:cstheme="minorHAnsi"/>
        </w:rPr>
      </w:pPr>
    </w:p>
    <w:p w14:paraId="1629AAF7" w14:textId="44A82240" w:rsidR="001D3C34" w:rsidRPr="00FE6595" w:rsidRDefault="001D3C34" w:rsidP="00E21748">
      <w:pPr>
        <w:pStyle w:val="ListParagraph"/>
        <w:widowControl/>
        <w:numPr>
          <w:ilvl w:val="0"/>
          <w:numId w:val="32"/>
        </w:numPr>
        <w:autoSpaceDE/>
        <w:autoSpaceDN/>
        <w:adjustRightInd/>
        <w:snapToGrid w:val="0"/>
        <w:rPr>
          <w:rFonts w:asciiTheme="minorHAnsi" w:hAnsiTheme="minorHAnsi" w:cstheme="minorHAnsi"/>
          <w:b/>
          <w:highlight w:val="yellow"/>
        </w:rPr>
      </w:pPr>
      <w:r w:rsidRPr="00FE6595">
        <w:rPr>
          <w:rFonts w:asciiTheme="minorHAnsi" w:hAnsiTheme="minorHAnsi" w:cstheme="minorHAnsi"/>
          <w:b/>
          <w:highlight w:val="yellow"/>
        </w:rPr>
        <w:t xml:space="preserve">Genetic screening for </w:t>
      </w:r>
      <w:r w:rsidRPr="00FE6595">
        <w:rPr>
          <w:rFonts w:asciiTheme="minorHAnsi" w:hAnsiTheme="minorHAnsi" w:cstheme="minorHAnsi"/>
          <w:b/>
          <w:i/>
          <w:highlight w:val="yellow"/>
        </w:rPr>
        <w:t>CCR5</w:t>
      </w:r>
      <w:r w:rsidRPr="00FE6595">
        <w:rPr>
          <w:rFonts w:asciiTheme="minorHAnsi" w:hAnsiTheme="minorHAnsi" w:cstheme="minorHAnsi"/>
          <w:b/>
          <w:highlight w:val="yellow"/>
        </w:rPr>
        <w:t>Δ32 variants in cord blood</w:t>
      </w:r>
    </w:p>
    <w:p w14:paraId="60F42CC4"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highlight w:val="yellow"/>
        </w:rPr>
      </w:pPr>
    </w:p>
    <w:p w14:paraId="57907EAD" w14:textId="2E1FC2C5" w:rsidR="001D3C34" w:rsidRPr="005C2511" w:rsidRDefault="001D3C34" w:rsidP="00E21748">
      <w:pPr>
        <w:pStyle w:val="ListParagraph"/>
        <w:widowControl/>
        <w:numPr>
          <w:ilvl w:val="1"/>
          <w:numId w:val="32"/>
        </w:numPr>
        <w:autoSpaceDE/>
        <w:autoSpaceDN/>
        <w:adjustRightInd/>
        <w:snapToGrid w:val="0"/>
        <w:rPr>
          <w:rFonts w:asciiTheme="minorHAnsi" w:hAnsiTheme="minorHAnsi" w:cstheme="minorHAnsi"/>
          <w:highlight w:val="yellow"/>
        </w:rPr>
      </w:pPr>
      <w:r w:rsidRPr="00E21748">
        <w:rPr>
          <w:rFonts w:asciiTheme="minorHAnsi" w:hAnsiTheme="minorHAnsi" w:cstheme="minorHAnsi"/>
          <w:highlight w:val="yellow"/>
        </w:rPr>
        <w:t>Incubate 1.25 µL of</w:t>
      </w:r>
      <w:r w:rsidRPr="005C2511">
        <w:rPr>
          <w:rFonts w:asciiTheme="minorHAnsi" w:hAnsiTheme="minorHAnsi" w:cstheme="minorHAnsi"/>
          <w:highlight w:val="yellow"/>
        </w:rPr>
        <w:t xml:space="preserve"> non-pelleted flow-through with 11.25 µL </w:t>
      </w:r>
      <w:r w:rsidR="00083277" w:rsidRPr="005C2511">
        <w:rPr>
          <w:rFonts w:asciiTheme="minorHAnsi" w:hAnsiTheme="minorHAnsi" w:cstheme="minorHAnsi"/>
          <w:highlight w:val="yellow"/>
        </w:rPr>
        <w:t xml:space="preserve">of </w:t>
      </w:r>
      <w:r w:rsidRPr="005C2511">
        <w:rPr>
          <w:rFonts w:asciiTheme="minorHAnsi" w:hAnsiTheme="minorHAnsi" w:cstheme="minorHAnsi"/>
          <w:highlight w:val="yellow"/>
        </w:rPr>
        <w:t xml:space="preserve">PCR mix containing 200 µM of dNTP mix, 0.01 U/µL </w:t>
      </w:r>
      <w:r w:rsidR="00621109" w:rsidRPr="005C2511">
        <w:rPr>
          <w:rFonts w:asciiTheme="minorHAnsi" w:hAnsiTheme="minorHAnsi" w:cstheme="minorHAnsi"/>
          <w:highlight w:val="yellow"/>
        </w:rPr>
        <w:t xml:space="preserve">high fidelity </w:t>
      </w:r>
      <w:r w:rsidRPr="005C2511">
        <w:rPr>
          <w:rFonts w:asciiTheme="minorHAnsi" w:hAnsiTheme="minorHAnsi" w:cstheme="minorHAnsi"/>
          <w:highlight w:val="yellow"/>
        </w:rPr>
        <w:t xml:space="preserve">DNA polymerase, </w:t>
      </w:r>
      <w:r w:rsidR="00083277" w:rsidRPr="005C2511">
        <w:rPr>
          <w:rFonts w:asciiTheme="minorHAnsi" w:hAnsiTheme="minorHAnsi" w:cstheme="minorHAnsi"/>
          <w:highlight w:val="yellow"/>
        </w:rPr>
        <w:t xml:space="preserve">and the </w:t>
      </w:r>
      <w:r w:rsidRPr="005C2511">
        <w:rPr>
          <w:rFonts w:asciiTheme="minorHAnsi" w:hAnsiTheme="minorHAnsi" w:cstheme="minorHAnsi"/>
          <w:highlight w:val="yellow"/>
        </w:rPr>
        <w:t xml:space="preserve">forward and reverse primers detailed in </w:t>
      </w:r>
      <w:r w:rsidR="00E21748" w:rsidRPr="005C2511">
        <w:rPr>
          <w:rFonts w:asciiTheme="minorHAnsi" w:hAnsiTheme="minorHAnsi" w:cstheme="minorHAnsi"/>
          <w:b/>
          <w:highlight w:val="yellow"/>
          <w:lang w:eastAsia="da-DK"/>
        </w:rPr>
        <w:t>Table 2</w:t>
      </w:r>
      <w:r w:rsidR="00E03EA8" w:rsidRPr="005C2511">
        <w:rPr>
          <w:rFonts w:asciiTheme="minorHAnsi" w:hAnsiTheme="minorHAnsi" w:cstheme="minorHAnsi"/>
          <w:highlight w:val="yellow"/>
          <w:lang w:eastAsia="da-DK"/>
        </w:rPr>
        <w:t>.</w:t>
      </w:r>
    </w:p>
    <w:p w14:paraId="730CFEA5" w14:textId="77777777" w:rsidR="00B761E8" w:rsidRPr="005C2511" w:rsidRDefault="00B761E8" w:rsidP="00E21748">
      <w:pPr>
        <w:pStyle w:val="ListParagraph"/>
        <w:widowControl/>
        <w:autoSpaceDE/>
        <w:autoSpaceDN/>
        <w:adjustRightInd/>
        <w:snapToGrid w:val="0"/>
        <w:ind w:left="0"/>
        <w:rPr>
          <w:rFonts w:asciiTheme="minorHAnsi" w:hAnsiTheme="minorHAnsi" w:cstheme="minorHAnsi"/>
          <w:highlight w:val="yellow"/>
        </w:rPr>
      </w:pPr>
    </w:p>
    <w:p w14:paraId="5D588E7C" w14:textId="4F21485C" w:rsidR="001D3C34" w:rsidRPr="005C2511" w:rsidRDefault="001D3C34" w:rsidP="00E21748">
      <w:pPr>
        <w:pStyle w:val="ListParagraph"/>
        <w:widowControl/>
        <w:numPr>
          <w:ilvl w:val="2"/>
          <w:numId w:val="32"/>
        </w:numPr>
        <w:autoSpaceDE/>
        <w:autoSpaceDN/>
        <w:adjustRightInd/>
        <w:snapToGrid w:val="0"/>
        <w:rPr>
          <w:rFonts w:asciiTheme="minorHAnsi" w:hAnsiTheme="minorHAnsi" w:cstheme="minorHAnsi"/>
          <w:highlight w:val="yellow"/>
        </w:rPr>
      </w:pPr>
      <w:r w:rsidRPr="005C2511">
        <w:rPr>
          <w:rFonts w:asciiTheme="minorHAnsi" w:hAnsiTheme="minorHAnsi" w:cstheme="minorHAnsi"/>
          <w:highlight w:val="yellow"/>
        </w:rPr>
        <w:t xml:space="preserve">Adjust </w:t>
      </w:r>
      <w:r w:rsidR="00EC041E" w:rsidRPr="005C2511">
        <w:rPr>
          <w:rFonts w:asciiTheme="minorHAnsi" w:hAnsiTheme="minorHAnsi" w:cstheme="minorHAnsi"/>
          <w:highlight w:val="yellow"/>
        </w:rPr>
        <w:t xml:space="preserve">the </w:t>
      </w:r>
      <w:r w:rsidRPr="005C2511">
        <w:rPr>
          <w:rFonts w:asciiTheme="minorHAnsi" w:hAnsiTheme="minorHAnsi" w:cstheme="minorHAnsi"/>
          <w:highlight w:val="yellow"/>
        </w:rPr>
        <w:t xml:space="preserve">volume with nuclease-free </w:t>
      </w:r>
      <w:r w:rsidR="00EC041E" w:rsidRPr="005C2511">
        <w:rPr>
          <w:rFonts w:asciiTheme="minorHAnsi" w:hAnsiTheme="minorHAnsi" w:cstheme="minorHAnsi"/>
          <w:highlight w:val="yellow"/>
        </w:rPr>
        <w:t xml:space="preserve">water </w:t>
      </w:r>
      <w:r w:rsidRPr="005C2511">
        <w:rPr>
          <w:rFonts w:asciiTheme="minorHAnsi" w:hAnsiTheme="minorHAnsi" w:cstheme="minorHAnsi"/>
          <w:highlight w:val="yellow"/>
        </w:rPr>
        <w:t>to approximately 12.5 µL for each PCR</w:t>
      </w:r>
      <w:r w:rsidR="00EC041E" w:rsidRPr="005C2511">
        <w:rPr>
          <w:rFonts w:asciiTheme="minorHAnsi" w:hAnsiTheme="minorHAnsi" w:cstheme="minorHAnsi"/>
          <w:highlight w:val="yellow"/>
        </w:rPr>
        <w:t xml:space="preserve"> reaction</w:t>
      </w:r>
      <w:r w:rsidRPr="005C2511">
        <w:rPr>
          <w:rFonts w:asciiTheme="minorHAnsi" w:hAnsiTheme="minorHAnsi" w:cstheme="minorHAnsi"/>
          <w:highlight w:val="yellow"/>
        </w:rPr>
        <w:t>.</w:t>
      </w:r>
    </w:p>
    <w:p w14:paraId="71C79311" w14:textId="77777777" w:rsidR="00B761E8" w:rsidRPr="005C2511" w:rsidRDefault="00B761E8" w:rsidP="00E21748">
      <w:pPr>
        <w:pStyle w:val="ListParagraph"/>
        <w:widowControl/>
        <w:autoSpaceDE/>
        <w:autoSpaceDN/>
        <w:adjustRightInd/>
        <w:snapToGrid w:val="0"/>
        <w:ind w:left="0"/>
        <w:rPr>
          <w:rFonts w:asciiTheme="minorHAnsi" w:hAnsiTheme="minorHAnsi" w:cstheme="minorHAnsi"/>
          <w:highlight w:val="yellow"/>
        </w:rPr>
      </w:pPr>
    </w:p>
    <w:p w14:paraId="295F0A82" w14:textId="22D0BB6F" w:rsidR="001D3C34" w:rsidRPr="005C2511" w:rsidRDefault="001D3C34" w:rsidP="00E21748">
      <w:pPr>
        <w:pStyle w:val="ListParagraph"/>
        <w:widowControl/>
        <w:numPr>
          <w:ilvl w:val="1"/>
          <w:numId w:val="32"/>
        </w:numPr>
        <w:autoSpaceDE/>
        <w:autoSpaceDN/>
        <w:adjustRightInd/>
        <w:snapToGrid w:val="0"/>
        <w:rPr>
          <w:rFonts w:asciiTheme="minorHAnsi" w:hAnsiTheme="minorHAnsi" w:cstheme="minorHAnsi"/>
          <w:highlight w:val="yellow"/>
        </w:rPr>
      </w:pPr>
      <w:r w:rsidRPr="005C2511">
        <w:rPr>
          <w:rFonts w:asciiTheme="minorHAnsi" w:hAnsiTheme="minorHAnsi" w:cstheme="minorHAnsi"/>
          <w:highlight w:val="yellow"/>
          <w:lang w:eastAsia="da-DK"/>
        </w:rPr>
        <w:t xml:space="preserve">Amplify </w:t>
      </w:r>
      <w:r w:rsidR="00EC041E" w:rsidRPr="005C2511">
        <w:rPr>
          <w:rFonts w:asciiTheme="minorHAnsi" w:hAnsiTheme="minorHAnsi" w:cstheme="minorHAnsi"/>
          <w:highlight w:val="yellow"/>
          <w:lang w:eastAsia="da-DK"/>
        </w:rPr>
        <w:t xml:space="preserve">the </w:t>
      </w:r>
      <w:r w:rsidRPr="005C2511">
        <w:rPr>
          <w:rFonts w:asciiTheme="minorHAnsi" w:hAnsiTheme="minorHAnsi" w:cstheme="minorHAnsi"/>
          <w:highlight w:val="yellow"/>
          <w:lang w:eastAsia="da-DK"/>
        </w:rPr>
        <w:t xml:space="preserve">genomic fragments with the </w:t>
      </w:r>
      <w:r w:rsidR="00E03EA8" w:rsidRPr="005C2511">
        <w:rPr>
          <w:rFonts w:asciiTheme="minorHAnsi" w:hAnsiTheme="minorHAnsi" w:cstheme="minorHAnsi"/>
          <w:highlight w:val="yellow"/>
          <w:lang w:eastAsia="da-DK"/>
        </w:rPr>
        <w:t xml:space="preserve">PCR cycling </w:t>
      </w:r>
      <w:r w:rsidR="00A579C9" w:rsidRPr="005C2511">
        <w:rPr>
          <w:rFonts w:asciiTheme="minorHAnsi" w:hAnsiTheme="minorHAnsi" w:cstheme="minorHAnsi"/>
          <w:highlight w:val="yellow"/>
          <w:lang w:eastAsia="da-DK"/>
        </w:rPr>
        <w:t>program</w:t>
      </w:r>
      <w:r w:rsidR="00E03EA8" w:rsidRPr="005C2511">
        <w:rPr>
          <w:rFonts w:asciiTheme="minorHAnsi" w:hAnsiTheme="minorHAnsi" w:cstheme="minorHAnsi"/>
          <w:highlight w:val="yellow"/>
          <w:lang w:eastAsia="da-DK"/>
        </w:rPr>
        <w:t xml:space="preserve"> </w:t>
      </w:r>
      <w:r w:rsidRPr="005C2511">
        <w:rPr>
          <w:rFonts w:asciiTheme="minorHAnsi" w:hAnsiTheme="minorHAnsi" w:cstheme="minorHAnsi"/>
          <w:highlight w:val="yellow"/>
          <w:lang w:eastAsia="da-DK"/>
        </w:rPr>
        <w:t xml:space="preserve">detailed in </w:t>
      </w:r>
      <w:r w:rsidR="00E21748" w:rsidRPr="005C2511">
        <w:rPr>
          <w:rFonts w:asciiTheme="minorHAnsi" w:hAnsiTheme="minorHAnsi" w:cstheme="minorHAnsi"/>
          <w:b/>
          <w:highlight w:val="yellow"/>
          <w:lang w:eastAsia="da-DK"/>
        </w:rPr>
        <w:t>Table 3</w:t>
      </w:r>
      <w:r w:rsidR="00A579C9" w:rsidRPr="005C2511">
        <w:rPr>
          <w:rFonts w:asciiTheme="minorHAnsi" w:hAnsiTheme="minorHAnsi" w:cstheme="minorHAnsi"/>
          <w:highlight w:val="yellow"/>
          <w:lang w:eastAsia="da-DK"/>
        </w:rPr>
        <w:t>.</w:t>
      </w:r>
    </w:p>
    <w:p w14:paraId="4D3998EA" w14:textId="77777777" w:rsidR="00B761E8" w:rsidRPr="005C2511" w:rsidRDefault="00B761E8" w:rsidP="00E21748">
      <w:pPr>
        <w:pStyle w:val="ListParagraph"/>
        <w:widowControl/>
        <w:autoSpaceDE/>
        <w:autoSpaceDN/>
        <w:adjustRightInd/>
        <w:snapToGrid w:val="0"/>
        <w:ind w:left="0"/>
        <w:rPr>
          <w:rFonts w:asciiTheme="minorHAnsi" w:hAnsiTheme="minorHAnsi" w:cstheme="minorHAnsi"/>
          <w:highlight w:val="yellow"/>
        </w:rPr>
      </w:pPr>
    </w:p>
    <w:p w14:paraId="3E22E070" w14:textId="6E4560E3" w:rsidR="001D3C34" w:rsidRPr="005C2511" w:rsidRDefault="001D3C34" w:rsidP="00E21748">
      <w:pPr>
        <w:pStyle w:val="ListParagraph"/>
        <w:widowControl/>
        <w:numPr>
          <w:ilvl w:val="1"/>
          <w:numId w:val="32"/>
        </w:numPr>
        <w:autoSpaceDE/>
        <w:autoSpaceDN/>
        <w:adjustRightInd/>
        <w:snapToGrid w:val="0"/>
        <w:rPr>
          <w:rFonts w:asciiTheme="minorHAnsi" w:hAnsiTheme="minorHAnsi" w:cstheme="minorHAnsi"/>
          <w:highlight w:val="yellow"/>
        </w:rPr>
      </w:pPr>
      <w:r w:rsidRPr="005C2511">
        <w:rPr>
          <w:rFonts w:asciiTheme="minorHAnsi" w:hAnsiTheme="minorHAnsi" w:cstheme="minorHAnsi"/>
          <w:highlight w:val="yellow"/>
          <w:lang w:eastAsia="da-DK"/>
        </w:rPr>
        <w:t xml:space="preserve">Separate </w:t>
      </w:r>
      <w:r w:rsidR="00EC041E" w:rsidRPr="005C2511">
        <w:rPr>
          <w:rFonts w:asciiTheme="minorHAnsi" w:hAnsiTheme="minorHAnsi" w:cstheme="minorHAnsi"/>
          <w:highlight w:val="yellow"/>
          <w:lang w:eastAsia="da-DK"/>
        </w:rPr>
        <w:t xml:space="preserve">the </w:t>
      </w:r>
      <w:r w:rsidRPr="005C2511">
        <w:rPr>
          <w:rFonts w:asciiTheme="minorHAnsi" w:hAnsiTheme="minorHAnsi" w:cstheme="minorHAnsi"/>
          <w:highlight w:val="yellow"/>
          <w:lang w:eastAsia="da-DK"/>
        </w:rPr>
        <w:t>PCR products on a 2% agarose gel</w:t>
      </w:r>
      <w:r w:rsidR="00A85CC2" w:rsidRPr="005C2511">
        <w:rPr>
          <w:rFonts w:asciiTheme="minorHAnsi" w:hAnsiTheme="minorHAnsi" w:cstheme="minorHAnsi"/>
          <w:noProof/>
          <w:highlight w:val="yellow"/>
          <w:vertAlign w:val="superscript"/>
          <w:lang w:eastAsia="da-DK"/>
        </w:rPr>
        <w:t>13</w:t>
      </w:r>
      <w:r w:rsidRPr="005C2511">
        <w:rPr>
          <w:rFonts w:asciiTheme="minorHAnsi" w:hAnsiTheme="minorHAnsi" w:cstheme="minorHAnsi"/>
          <w:highlight w:val="yellow"/>
          <w:lang w:eastAsia="da-DK"/>
        </w:rPr>
        <w:t xml:space="preserve">. </w:t>
      </w:r>
    </w:p>
    <w:p w14:paraId="27B3303F" w14:textId="77777777" w:rsidR="00B761E8" w:rsidRPr="005C2511" w:rsidRDefault="00B761E8" w:rsidP="00E21748">
      <w:pPr>
        <w:pStyle w:val="ListParagraph"/>
        <w:widowControl/>
        <w:autoSpaceDE/>
        <w:autoSpaceDN/>
        <w:adjustRightInd/>
        <w:snapToGrid w:val="0"/>
        <w:ind w:left="0"/>
        <w:rPr>
          <w:rFonts w:asciiTheme="minorHAnsi" w:hAnsiTheme="minorHAnsi" w:cstheme="minorHAnsi"/>
          <w:highlight w:val="yellow"/>
        </w:rPr>
      </w:pPr>
    </w:p>
    <w:p w14:paraId="5B08FFE7" w14:textId="4AE1E154" w:rsidR="001D3C34" w:rsidRPr="005C2511" w:rsidRDefault="001D3C34" w:rsidP="00E21748">
      <w:pPr>
        <w:pStyle w:val="ListParagraph"/>
        <w:widowControl/>
        <w:numPr>
          <w:ilvl w:val="2"/>
          <w:numId w:val="32"/>
        </w:numPr>
        <w:autoSpaceDE/>
        <w:autoSpaceDN/>
        <w:adjustRightInd/>
        <w:snapToGrid w:val="0"/>
        <w:rPr>
          <w:rFonts w:asciiTheme="minorHAnsi" w:hAnsiTheme="minorHAnsi" w:cstheme="minorHAnsi"/>
          <w:highlight w:val="yellow"/>
        </w:rPr>
      </w:pPr>
      <w:r w:rsidRPr="005C2511">
        <w:rPr>
          <w:rFonts w:asciiTheme="minorHAnsi" w:hAnsiTheme="minorHAnsi" w:cstheme="minorHAnsi"/>
          <w:highlight w:val="yellow"/>
          <w:lang w:eastAsia="da-DK"/>
        </w:rPr>
        <w:lastRenderedPageBreak/>
        <w:t xml:space="preserve">PCR products from the </w:t>
      </w:r>
      <w:r w:rsidR="00A579C9" w:rsidRPr="005C2511">
        <w:rPr>
          <w:rFonts w:asciiTheme="minorHAnsi" w:hAnsiTheme="minorHAnsi" w:cstheme="minorHAnsi"/>
          <w:highlight w:val="yellow"/>
          <w:lang w:eastAsia="da-DK"/>
        </w:rPr>
        <w:t>wild type</w:t>
      </w:r>
      <w:r w:rsidRPr="005C2511">
        <w:rPr>
          <w:rFonts w:asciiTheme="minorHAnsi" w:hAnsiTheme="minorHAnsi" w:cstheme="minorHAnsi"/>
          <w:highlight w:val="yellow"/>
          <w:lang w:eastAsia="da-DK"/>
        </w:rPr>
        <w:t xml:space="preserve"> alleles and the </w:t>
      </w:r>
      <w:r w:rsidRPr="005C2511">
        <w:rPr>
          <w:rFonts w:asciiTheme="minorHAnsi" w:hAnsiTheme="minorHAnsi" w:cstheme="minorHAnsi"/>
          <w:highlight w:val="yellow"/>
        </w:rPr>
        <w:t>Δ32 alleles yield</w:t>
      </w:r>
      <w:r w:rsidRPr="005C2511">
        <w:rPr>
          <w:rFonts w:asciiTheme="minorHAnsi" w:hAnsiTheme="minorHAnsi" w:cstheme="minorHAnsi"/>
          <w:highlight w:val="yellow"/>
          <w:lang w:eastAsia="da-DK"/>
        </w:rPr>
        <w:t xml:space="preserve"> PCR fragments of 196 base pairs and </w:t>
      </w:r>
      <w:r w:rsidRPr="005C2511">
        <w:rPr>
          <w:rFonts w:asciiTheme="minorHAnsi" w:hAnsiTheme="minorHAnsi" w:cstheme="minorHAnsi"/>
          <w:highlight w:val="yellow"/>
        </w:rPr>
        <w:t>164 base pairs bands respectively, making them easily distinguishable by gel electrophoresis</w:t>
      </w:r>
      <w:r w:rsidR="00A85CC2" w:rsidRPr="005C2511">
        <w:rPr>
          <w:rFonts w:asciiTheme="minorHAnsi" w:hAnsiTheme="minorHAnsi" w:cstheme="minorHAnsi"/>
          <w:noProof/>
          <w:highlight w:val="yellow"/>
          <w:vertAlign w:val="superscript"/>
          <w:lang w:eastAsia="da-DK"/>
        </w:rPr>
        <w:t>13</w:t>
      </w:r>
      <w:r w:rsidRPr="005C2511">
        <w:rPr>
          <w:rFonts w:asciiTheme="minorHAnsi" w:hAnsiTheme="minorHAnsi" w:cstheme="minorHAnsi"/>
          <w:highlight w:val="yellow"/>
        </w:rPr>
        <w:t xml:space="preserve"> (</w:t>
      </w:r>
      <w:r w:rsidR="00E21748" w:rsidRPr="005C2511">
        <w:rPr>
          <w:rFonts w:asciiTheme="minorHAnsi" w:hAnsiTheme="minorHAnsi" w:cstheme="minorHAnsi"/>
          <w:b/>
          <w:highlight w:val="yellow"/>
        </w:rPr>
        <w:t>Figure 1G</w:t>
      </w:r>
      <w:r w:rsidRPr="005C2511">
        <w:rPr>
          <w:rFonts w:asciiTheme="minorHAnsi" w:hAnsiTheme="minorHAnsi" w:cstheme="minorHAnsi"/>
          <w:highlight w:val="yellow"/>
        </w:rPr>
        <w:t>)</w:t>
      </w:r>
      <w:r w:rsidR="00980DB6" w:rsidRPr="005C2511">
        <w:rPr>
          <w:rFonts w:asciiTheme="minorHAnsi" w:hAnsiTheme="minorHAnsi" w:cstheme="minorHAnsi"/>
          <w:highlight w:val="yellow"/>
        </w:rPr>
        <w:t>.</w:t>
      </w:r>
    </w:p>
    <w:p w14:paraId="034E2B3F" w14:textId="77777777" w:rsidR="001D3C34" w:rsidRPr="000D3624" w:rsidRDefault="001D3C34" w:rsidP="00E21748">
      <w:pPr>
        <w:pStyle w:val="ListParagraph"/>
        <w:snapToGrid w:val="0"/>
        <w:ind w:left="1080"/>
        <w:rPr>
          <w:rFonts w:asciiTheme="minorHAnsi" w:hAnsiTheme="minorHAnsi" w:cstheme="minorHAnsi"/>
          <w:highlight w:val="yellow"/>
        </w:rPr>
      </w:pPr>
    </w:p>
    <w:p w14:paraId="290801C0" w14:textId="77777777" w:rsidR="00B761E8" w:rsidRDefault="001D3C34" w:rsidP="00E21748">
      <w:pPr>
        <w:pStyle w:val="ListParagraph"/>
        <w:widowControl/>
        <w:numPr>
          <w:ilvl w:val="0"/>
          <w:numId w:val="32"/>
        </w:numPr>
        <w:autoSpaceDE/>
        <w:autoSpaceDN/>
        <w:adjustRightInd/>
        <w:snapToGrid w:val="0"/>
        <w:rPr>
          <w:rFonts w:asciiTheme="minorHAnsi" w:hAnsiTheme="minorHAnsi" w:cstheme="minorHAnsi"/>
          <w:b/>
        </w:rPr>
      </w:pPr>
      <w:r w:rsidRPr="00CB64EE">
        <w:rPr>
          <w:rFonts w:asciiTheme="minorHAnsi" w:hAnsiTheme="minorHAnsi" w:cstheme="minorHAnsi"/>
          <w:b/>
        </w:rPr>
        <w:t>Intravenous stem cell transplant</w:t>
      </w:r>
      <w:r w:rsidR="001B0BDF" w:rsidRPr="00CB64EE">
        <w:rPr>
          <w:rFonts w:asciiTheme="minorHAnsi" w:hAnsiTheme="minorHAnsi" w:cstheme="minorHAnsi"/>
          <w:b/>
        </w:rPr>
        <w:t xml:space="preserve"> </w:t>
      </w:r>
    </w:p>
    <w:p w14:paraId="755CE9C9" w14:textId="77777777" w:rsidR="00B761E8" w:rsidRDefault="00B761E8" w:rsidP="00E21748">
      <w:pPr>
        <w:pStyle w:val="ListParagraph"/>
        <w:widowControl/>
        <w:autoSpaceDE/>
        <w:autoSpaceDN/>
        <w:adjustRightInd/>
        <w:snapToGrid w:val="0"/>
        <w:ind w:left="0"/>
        <w:rPr>
          <w:rFonts w:asciiTheme="minorHAnsi" w:hAnsiTheme="minorHAnsi" w:cstheme="minorHAnsi"/>
          <w:b/>
        </w:rPr>
      </w:pPr>
    </w:p>
    <w:p w14:paraId="68DDB9B2" w14:textId="7230866E" w:rsidR="001D3C34" w:rsidRPr="00CB64EE" w:rsidRDefault="00B761E8" w:rsidP="00E21748">
      <w:pPr>
        <w:pStyle w:val="ListParagraph"/>
        <w:widowControl/>
        <w:autoSpaceDE/>
        <w:autoSpaceDN/>
        <w:adjustRightInd/>
        <w:snapToGrid w:val="0"/>
        <w:ind w:left="0"/>
        <w:rPr>
          <w:rFonts w:asciiTheme="minorHAnsi" w:hAnsiTheme="minorHAnsi" w:cstheme="minorHAnsi"/>
          <w:b/>
        </w:rPr>
      </w:pPr>
      <w:r w:rsidRPr="005C2511">
        <w:rPr>
          <w:rFonts w:asciiTheme="minorHAnsi" w:hAnsiTheme="minorHAnsi" w:cstheme="minorHAnsi"/>
          <w:bCs/>
        </w:rPr>
        <w:t>NOTE:</w:t>
      </w:r>
      <w:r>
        <w:rPr>
          <w:rFonts w:asciiTheme="minorHAnsi" w:hAnsiTheme="minorHAnsi" w:cstheme="minorHAnsi"/>
          <w:b/>
        </w:rPr>
        <w:t xml:space="preserve"> </w:t>
      </w:r>
      <w:r w:rsidR="00EC041E" w:rsidRPr="00CB64EE">
        <w:rPr>
          <w:rFonts w:asciiTheme="minorHAnsi" w:hAnsiTheme="minorHAnsi" w:cstheme="minorHAnsi"/>
        </w:rPr>
        <w:t xml:space="preserve">Having </w:t>
      </w:r>
      <w:r w:rsidR="001B0BDF" w:rsidRPr="00CB64EE">
        <w:rPr>
          <w:rFonts w:asciiTheme="minorHAnsi" w:hAnsiTheme="minorHAnsi" w:cstheme="minorHAnsi"/>
        </w:rPr>
        <w:t xml:space="preserve">one person </w:t>
      </w:r>
      <w:r w:rsidR="00EC041E" w:rsidRPr="00CB64EE">
        <w:rPr>
          <w:rFonts w:asciiTheme="minorHAnsi" w:hAnsiTheme="minorHAnsi" w:cstheme="minorHAnsi"/>
        </w:rPr>
        <w:t>prepar</w:t>
      </w:r>
      <w:r w:rsidR="00EC041E">
        <w:rPr>
          <w:rFonts w:asciiTheme="minorHAnsi" w:hAnsiTheme="minorHAnsi" w:cstheme="minorHAnsi"/>
        </w:rPr>
        <w:t>e</w:t>
      </w:r>
      <w:r w:rsidR="00EC041E" w:rsidRPr="00CB64EE">
        <w:rPr>
          <w:rFonts w:asciiTheme="minorHAnsi" w:hAnsiTheme="minorHAnsi" w:cstheme="minorHAnsi"/>
        </w:rPr>
        <w:t xml:space="preserve"> </w:t>
      </w:r>
      <w:r w:rsidR="00EC041E">
        <w:rPr>
          <w:rFonts w:asciiTheme="minorHAnsi" w:hAnsiTheme="minorHAnsi" w:cstheme="minorHAnsi"/>
        </w:rPr>
        <w:t xml:space="preserve">the </w:t>
      </w:r>
      <w:r w:rsidR="001B0BDF" w:rsidRPr="00CB64EE">
        <w:rPr>
          <w:rFonts w:asciiTheme="minorHAnsi" w:hAnsiTheme="minorHAnsi" w:cstheme="minorHAnsi"/>
        </w:rPr>
        <w:t xml:space="preserve">cells in the laboratory and </w:t>
      </w:r>
      <w:r w:rsidR="00EC041E">
        <w:rPr>
          <w:rFonts w:asciiTheme="minorHAnsi" w:hAnsiTheme="minorHAnsi" w:cstheme="minorHAnsi"/>
        </w:rPr>
        <w:t>another</w:t>
      </w:r>
      <w:r w:rsidR="00EC041E" w:rsidRPr="00CB64EE">
        <w:rPr>
          <w:rFonts w:asciiTheme="minorHAnsi" w:hAnsiTheme="minorHAnsi" w:cstheme="minorHAnsi"/>
        </w:rPr>
        <w:t xml:space="preserve"> </w:t>
      </w:r>
      <w:r w:rsidR="001B0BDF" w:rsidRPr="00CB64EE">
        <w:rPr>
          <w:rFonts w:asciiTheme="minorHAnsi" w:hAnsiTheme="minorHAnsi" w:cstheme="minorHAnsi"/>
        </w:rPr>
        <w:t xml:space="preserve">person </w:t>
      </w:r>
      <w:r w:rsidR="00EC041E" w:rsidRPr="00CB64EE">
        <w:rPr>
          <w:rFonts w:asciiTheme="minorHAnsi" w:hAnsiTheme="minorHAnsi" w:cstheme="minorHAnsi"/>
        </w:rPr>
        <w:t>prepar</w:t>
      </w:r>
      <w:r w:rsidR="00EC041E">
        <w:rPr>
          <w:rFonts w:asciiTheme="minorHAnsi" w:hAnsiTheme="minorHAnsi" w:cstheme="minorHAnsi"/>
        </w:rPr>
        <w:t xml:space="preserve">e </w:t>
      </w:r>
      <w:r w:rsidR="001B0BDF" w:rsidRPr="00CB64EE">
        <w:rPr>
          <w:rFonts w:asciiTheme="minorHAnsi" w:hAnsiTheme="minorHAnsi" w:cstheme="minorHAnsi"/>
        </w:rPr>
        <w:t>the mice and workspace for transplants is an efficient approach</w:t>
      </w:r>
      <w:r w:rsidR="00EC041E">
        <w:rPr>
          <w:rFonts w:asciiTheme="minorHAnsi" w:hAnsiTheme="minorHAnsi" w:cstheme="minorHAnsi"/>
        </w:rPr>
        <w:t>.</w:t>
      </w:r>
    </w:p>
    <w:p w14:paraId="7262C6B8"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1D29C925" w14:textId="004E0A6E" w:rsidR="001D3C34" w:rsidRPr="00CB64EE" w:rsidRDefault="001B0BDF" w:rsidP="00E21748">
      <w:pPr>
        <w:pStyle w:val="ListParagraph"/>
        <w:widowControl/>
        <w:numPr>
          <w:ilvl w:val="1"/>
          <w:numId w:val="32"/>
        </w:numPr>
        <w:autoSpaceDE/>
        <w:autoSpaceDN/>
        <w:adjustRightInd/>
        <w:snapToGrid w:val="0"/>
        <w:rPr>
          <w:rFonts w:asciiTheme="minorHAnsi" w:hAnsiTheme="minorHAnsi" w:cstheme="minorHAnsi"/>
        </w:rPr>
      </w:pPr>
      <w:r w:rsidRPr="00CB64EE">
        <w:rPr>
          <w:rFonts w:asciiTheme="minorHAnsi" w:hAnsiTheme="minorHAnsi" w:cstheme="minorHAnsi"/>
        </w:rPr>
        <w:t xml:space="preserve">In </w:t>
      </w:r>
      <w:r w:rsidR="00EC041E">
        <w:rPr>
          <w:rFonts w:asciiTheme="minorHAnsi" w:hAnsiTheme="minorHAnsi" w:cstheme="minorHAnsi"/>
        </w:rPr>
        <w:t xml:space="preserve">an </w:t>
      </w:r>
      <w:r w:rsidRPr="00CB64EE">
        <w:rPr>
          <w:rFonts w:asciiTheme="minorHAnsi" w:hAnsiTheme="minorHAnsi" w:cstheme="minorHAnsi"/>
        </w:rPr>
        <w:t>animal facility</w:t>
      </w:r>
      <w:r w:rsidR="00EC041E">
        <w:rPr>
          <w:rFonts w:asciiTheme="minorHAnsi" w:hAnsiTheme="minorHAnsi" w:cstheme="minorHAnsi"/>
        </w:rPr>
        <w:t>,</w:t>
      </w:r>
      <w:r w:rsidRPr="00CB64EE">
        <w:rPr>
          <w:rFonts w:asciiTheme="minorHAnsi" w:hAnsiTheme="minorHAnsi" w:cstheme="minorHAnsi"/>
        </w:rPr>
        <w:t xml:space="preserve"> </w:t>
      </w:r>
      <w:r w:rsidR="001D3C34" w:rsidRPr="00CB64EE">
        <w:rPr>
          <w:rFonts w:asciiTheme="minorHAnsi" w:hAnsiTheme="minorHAnsi" w:cstheme="minorHAnsi"/>
        </w:rPr>
        <w:t>4</w:t>
      </w:r>
      <w:r w:rsidR="00E21748">
        <w:rPr>
          <w:rFonts w:asciiTheme="minorHAnsi" w:hAnsiTheme="minorHAnsi" w:cstheme="minorHAnsi"/>
        </w:rPr>
        <w:t>–</w:t>
      </w:r>
      <w:r w:rsidR="001D3C34" w:rsidRPr="00CB64EE">
        <w:rPr>
          <w:rFonts w:asciiTheme="minorHAnsi" w:hAnsiTheme="minorHAnsi" w:cstheme="minorHAnsi"/>
        </w:rPr>
        <w:t xml:space="preserve">6 </w:t>
      </w:r>
      <w:r w:rsidR="00FF1C5F">
        <w:rPr>
          <w:rFonts w:asciiTheme="minorHAnsi" w:hAnsiTheme="minorHAnsi" w:cstheme="minorHAnsi"/>
        </w:rPr>
        <w:t>h</w:t>
      </w:r>
      <w:r w:rsidR="001D3C34" w:rsidRPr="00CB64EE">
        <w:rPr>
          <w:rFonts w:asciiTheme="minorHAnsi" w:hAnsiTheme="minorHAnsi" w:cstheme="minorHAnsi"/>
        </w:rPr>
        <w:t xml:space="preserve"> before </w:t>
      </w:r>
      <w:r w:rsidR="00EC041E">
        <w:rPr>
          <w:rFonts w:asciiTheme="minorHAnsi" w:hAnsiTheme="minorHAnsi" w:cstheme="minorHAnsi"/>
        </w:rPr>
        <w:t xml:space="preserve">the </w:t>
      </w:r>
      <w:r w:rsidR="001D3C34" w:rsidRPr="00CB64EE">
        <w:rPr>
          <w:rFonts w:asciiTheme="minorHAnsi" w:hAnsiTheme="minorHAnsi" w:cstheme="minorHAnsi"/>
        </w:rPr>
        <w:t xml:space="preserve">planned transplantation of </w:t>
      </w:r>
      <w:r w:rsidR="00EC041E">
        <w:rPr>
          <w:rFonts w:asciiTheme="minorHAnsi" w:hAnsiTheme="minorHAnsi" w:cstheme="minorHAnsi"/>
        </w:rPr>
        <w:t xml:space="preserve">the </w:t>
      </w:r>
      <w:r w:rsidR="001D3C34" w:rsidRPr="00CB64EE">
        <w:rPr>
          <w:rFonts w:asciiTheme="minorHAnsi" w:hAnsiTheme="minorHAnsi" w:cstheme="minorHAnsi"/>
        </w:rPr>
        <w:t xml:space="preserve">stem cells, </w:t>
      </w:r>
      <w:r w:rsidR="00E21748">
        <w:rPr>
          <w:rFonts w:asciiTheme="minorHAnsi" w:hAnsiTheme="minorHAnsi" w:cstheme="minorHAnsi"/>
        </w:rPr>
        <w:t xml:space="preserve">irradiate </w:t>
      </w:r>
      <w:r w:rsidR="00980DB6" w:rsidRPr="00CB64EE">
        <w:rPr>
          <w:rFonts w:asciiTheme="minorHAnsi" w:hAnsiTheme="minorHAnsi" w:cstheme="minorHAnsi"/>
        </w:rPr>
        <w:t>6</w:t>
      </w:r>
      <w:r w:rsidR="00980DB6">
        <w:rPr>
          <w:rFonts w:asciiTheme="minorHAnsi" w:hAnsiTheme="minorHAnsi" w:cstheme="minorHAnsi"/>
        </w:rPr>
        <w:t>–</w:t>
      </w:r>
      <w:proofErr w:type="gramStart"/>
      <w:r w:rsidR="00980DB6" w:rsidRPr="00CB64EE">
        <w:rPr>
          <w:rFonts w:asciiTheme="minorHAnsi" w:hAnsiTheme="minorHAnsi" w:cstheme="minorHAnsi"/>
        </w:rPr>
        <w:t>7 week</w:t>
      </w:r>
      <w:r w:rsidR="00980DB6">
        <w:rPr>
          <w:rFonts w:asciiTheme="minorHAnsi" w:hAnsiTheme="minorHAnsi" w:cstheme="minorHAnsi"/>
        </w:rPr>
        <w:t>-old</w:t>
      </w:r>
      <w:proofErr w:type="gramEnd"/>
      <w:r w:rsidR="00980DB6" w:rsidRPr="00CB64EE">
        <w:rPr>
          <w:rFonts w:asciiTheme="minorHAnsi" w:hAnsiTheme="minorHAnsi" w:cstheme="minorHAnsi"/>
        </w:rPr>
        <w:t xml:space="preserve"> </w:t>
      </w:r>
      <w:r w:rsidR="002F7BF7" w:rsidRPr="00CB64EE">
        <w:rPr>
          <w:rFonts w:asciiTheme="minorHAnsi" w:hAnsiTheme="minorHAnsi" w:cstheme="minorHAnsi"/>
        </w:rPr>
        <w:t xml:space="preserve">female </w:t>
      </w:r>
      <w:proofErr w:type="spellStart"/>
      <w:r w:rsidR="001D3C34" w:rsidRPr="00CB64EE">
        <w:rPr>
          <w:rFonts w:asciiTheme="minorHAnsi" w:hAnsiTheme="minorHAnsi" w:cstheme="minorHAnsi"/>
          <w:shd w:val="clear" w:color="auto" w:fill="FFFFFF"/>
        </w:rPr>
        <w:t>NOD.Cg-</w:t>
      </w:r>
      <w:r w:rsidR="001D3C34" w:rsidRPr="00CB64EE">
        <w:rPr>
          <w:rFonts w:asciiTheme="minorHAnsi" w:hAnsiTheme="minorHAnsi" w:cstheme="minorHAnsi"/>
          <w:iCs/>
          <w:shd w:val="clear" w:color="auto" w:fill="FFFFFF"/>
        </w:rPr>
        <w:t>Prkdc</w:t>
      </w:r>
      <w:r w:rsidR="001D3C34" w:rsidRPr="00CB64EE">
        <w:rPr>
          <w:rFonts w:asciiTheme="minorHAnsi" w:hAnsiTheme="minorHAnsi" w:cstheme="minorHAnsi"/>
          <w:iCs/>
          <w:shd w:val="clear" w:color="auto" w:fill="FFFFFF"/>
          <w:vertAlign w:val="superscript"/>
        </w:rPr>
        <w:t>scid</w:t>
      </w:r>
      <w:proofErr w:type="spellEnd"/>
      <w:r w:rsidR="001D3C34" w:rsidRPr="00CB64EE">
        <w:rPr>
          <w:rFonts w:asciiTheme="minorHAnsi" w:hAnsiTheme="minorHAnsi" w:cstheme="minorHAnsi"/>
          <w:iCs/>
          <w:shd w:val="clear" w:color="auto" w:fill="FFFFFF"/>
        </w:rPr>
        <w:t> Il2rg</w:t>
      </w:r>
      <w:r w:rsidR="001D3C34" w:rsidRPr="00CB64EE">
        <w:rPr>
          <w:rFonts w:asciiTheme="minorHAnsi" w:hAnsiTheme="minorHAnsi" w:cstheme="minorHAnsi"/>
          <w:iCs/>
          <w:shd w:val="clear" w:color="auto" w:fill="FFFFFF"/>
          <w:vertAlign w:val="superscript"/>
        </w:rPr>
        <w:t>tm1Sug</w:t>
      </w:r>
      <w:r w:rsidR="001D3C34" w:rsidRPr="00CB64EE">
        <w:rPr>
          <w:rFonts w:asciiTheme="minorHAnsi" w:hAnsiTheme="minorHAnsi" w:cstheme="minorHAnsi"/>
          <w:shd w:val="clear" w:color="auto" w:fill="FFFFFF"/>
        </w:rPr>
        <w:t>/</w:t>
      </w:r>
      <w:proofErr w:type="spellStart"/>
      <w:r w:rsidR="001D3C34" w:rsidRPr="00CB64EE">
        <w:rPr>
          <w:rFonts w:asciiTheme="minorHAnsi" w:hAnsiTheme="minorHAnsi" w:cstheme="minorHAnsi"/>
          <w:shd w:val="clear" w:color="auto" w:fill="FFFFFF"/>
        </w:rPr>
        <w:t>JicTac</w:t>
      </w:r>
      <w:proofErr w:type="spellEnd"/>
      <w:r w:rsidR="001D3C34" w:rsidRPr="00CB64EE">
        <w:rPr>
          <w:rFonts w:asciiTheme="minorHAnsi" w:hAnsiTheme="minorHAnsi" w:cstheme="minorHAnsi"/>
          <w:shd w:val="clear" w:color="auto" w:fill="FFFFFF"/>
        </w:rPr>
        <w:t xml:space="preserve"> (</w:t>
      </w:r>
      <w:r w:rsidR="001D3C34" w:rsidRPr="00CB64EE">
        <w:rPr>
          <w:rFonts w:asciiTheme="minorHAnsi" w:hAnsiTheme="minorHAnsi" w:cstheme="minorHAnsi"/>
        </w:rPr>
        <w:t xml:space="preserve">NOG) mice </w:t>
      </w:r>
      <w:r w:rsidR="000D3624" w:rsidRPr="00CB64EE">
        <w:rPr>
          <w:rFonts w:asciiTheme="minorHAnsi" w:hAnsiTheme="minorHAnsi" w:cstheme="minorHAnsi"/>
        </w:rPr>
        <w:t>(</w:t>
      </w:r>
      <w:r w:rsidR="00E21748" w:rsidRPr="00E21748">
        <w:rPr>
          <w:rFonts w:asciiTheme="minorHAnsi" w:hAnsiTheme="minorHAnsi" w:cstheme="minorHAnsi"/>
          <w:b/>
          <w:bCs/>
        </w:rPr>
        <w:t>Table of Materials</w:t>
      </w:r>
      <w:r w:rsidR="006A6387" w:rsidRPr="00CB64EE">
        <w:rPr>
          <w:rFonts w:asciiTheme="minorHAnsi" w:hAnsiTheme="minorHAnsi" w:cstheme="minorHAnsi"/>
        </w:rPr>
        <w:t xml:space="preserve">) </w:t>
      </w:r>
      <w:r w:rsidR="001D3C34" w:rsidRPr="00CB64EE">
        <w:rPr>
          <w:rFonts w:asciiTheme="minorHAnsi" w:hAnsiTheme="minorHAnsi" w:cstheme="minorHAnsi"/>
        </w:rPr>
        <w:t xml:space="preserve">with 0.75 </w:t>
      </w:r>
      <w:proofErr w:type="spellStart"/>
      <w:r w:rsidR="001D3C34" w:rsidRPr="00CB64EE">
        <w:rPr>
          <w:rFonts w:asciiTheme="minorHAnsi" w:hAnsiTheme="minorHAnsi" w:cstheme="minorHAnsi"/>
        </w:rPr>
        <w:t>Gy</w:t>
      </w:r>
      <w:proofErr w:type="spellEnd"/>
      <w:r w:rsidR="001D3C34" w:rsidRPr="00CB64EE">
        <w:rPr>
          <w:rFonts w:asciiTheme="minorHAnsi" w:hAnsiTheme="minorHAnsi" w:cstheme="minorHAnsi"/>
        </w:rPr>
        <w:t xml:space="preserve"> </w:t>
      </w:r>
      <w:r w:rsidR="00811E49" w:rsidRPr="00CB64EE">
        <w:rPr>
          <w:rFonts w:asciiTheme="minorHAnsi" w:hAnsiTheme="minorHAnsi" w:cstheme="minorHAnsi"/>
        </w:rPr>
        <w:t>with a</w:t>
      </w:r>
      <w:r w:rsidR="00E006C9" w:rsidRPr="00CB64EE">
        <w:rPr>
          <w:rFonts w:asciiTheme="minorHAnsi" w:hAnsiTheme="minorHAnsi" w:cstheme="minorHAnsi"/>
        </w:rPr>
        <w:t xml:space="preserve"> Cs</w:t>
      </w:r>
      <w:r w:rsidR="00E006C9" w:rsidRPr="00CB64EE">
        <w:rPr>
          <w:rFonts w:asciiTheme="minorHAnsi" w:hAnsiTheme="minorHAnsi" w:cstheme="minorHAnsi"/>
          <w:vertAlign w:val="superscript"/>
        </w:rPr>
        <w:t>137</w:t>
      </w:r>
      <w:r w:rsidR="00E006C9" w:rsidRPr="00CB64EE">
        <w:rPr>
          <w:rFonts w:asciiTheme="minorHAnsi" w:hAnsiTheme="minorHAnsi" w:cstheme="minorHAnsi"/>
        </w:rPr>
        <w:t xml:space="preserve"> source</w:t>
      </w:r>
      <w:r w:rsidR="00EC041E">
        <w:rPr>
          <w:rFonts w:asciiTheme="minorHAnsi" w:hAnsiTheme="minorHAnsi" w:cstheme="minorHAnsi"/>
        </w:rPr>
        <w:t>.</w:t>
      </w:r>
      <w:r w:rsidR="00E006C9" w:rsidRPr="00CB64EE">
        <w:rPr>
          <w:rFonts w:asciiTheme="minorHAnsi" w:hAnsiTheme="minorHAnsi" w:cstheme="minorHAnsi"/>
        </w:rPr>
        <w:t xml:space="preserve"> </w:t>
      </w:r>
      <w:r w:rsidR="00EC041E" w:rsidRPr="00CB64EE">
        <w:rPr>
          <w:rFonts w:asciiTheme="minorHAnsi" w:hAnsiTheme="minorHAnsi" w:cstheme="minorHAnsi"/>
        </w:rPr>
        <w:t xml:space="preserve">The </w:t>
      </w:r>
      <w:r w:rsidR="00920F70" w:rsidRPr="00CB64EE">
        <w:rPr>
          <w:rFonts w:asciiTheme="minorHAnsi" w:hAnsiTheme="minorHAnsi" w:cstheme="minorHAnsi"/>
        </w:rPr>
        <w:t xml:space="preserve">best preconditioning </w:t>
      </w:r>
      <w:r w:rsidR="001D3C34" w:rsidRPr="00CB64EE">
        <w:rPr>
          <w:rFonts w:asciiTheme="minorHAnsi" w:hAnsiTheme="minorHAnsi" w:cstheme="minorHAnsi"/>
        </w:rPr>
        <w:t xml:space="preserve">dose </w:t>
      </w:r>
      <w:r w:rsidR="00920F70" w:rsidRPr="00CB64EE">
        <w:rPr>
          <w:rFonts w:asciiTheme="minorHAnsi" w:hAnsiTheme="minorHAnsi" w:cstheme="minorHAnsi"/>
        </w:rPr>
        <w:t xml:space="preserve">may </w:t>
      </w:r>
      <w:r w:rsidR="001D3C34" w:rsidRPr="00CB64EE">
        <w:rPr>
          <w:rFonts w:asciiTheme="minorHAnsi" w:hAnsiTheme="minorHAnsi" w:cstheme="minorHAnsi"/>
        </w:rPr>
        <w:t>vary based on mouse age, source of radiation</w:t>
      </w:r>
      <w:r w:rsidR="00E21748">
        <w:rPr>
          <w:rFonts w:asciiTheme="minorHAnsi" w:hAnsiTheme="minorHAnsi" w:cstheme="minorHAnsi"/>
        </w:rPr>
        <w:t>,</w:t>
      </w:r>
      <w:r w:rsidR="001D3C34" w:rsidRPr="00CB64EE">
        <w:rPr>
          <w:rFonts w:asciiTheme="minorHAnsi" w:hAnsiTheme="minorHAnsi" w:cstheme="minorHAnsi"/>
        </w:rPr>
        <w:t xml:space="preserve"> </w:t>
      </w:r>
      <w:r w:rsidR="00980DB6">
        <w:rPr>
          <w:rFonts w:asciiTheme="minorHAnsi" w:hAnsiTheme="minorHAnsi" w:cstheme="minorHAnsi"/>
        </w:rPr>
        <w:t>and other factors</w:t>
      </w:r>
      <w:r w:rsidR="000D3624" w:rsidRPr="00CB64EE">
        <w:rPr>
          <w:rFonts w:asciiTheme="minorHAnsi" w:hAnsiTheme="minorHAnsi" w:cstheme="minorHAnsi"/>
        </w:rPr>
        <w:t>.</w:t>
      </w:r>
      <w:r w:rsidR="00103398" w:rsidRPr="00CB64EE">
        <w:rPr>
          <w:rFonts w:asciiTheme="minorHAnsi" w:hAnsiTheme="minorHAnsi" w:cstheme="minorHAnsi"/>
        </w:rPr>
        <w:t xml:space="preserve"> </w:t>
      </w:r>
      <w:r w:rsidR="001D3C34" w:rsidRPr="00CB64EE">
        <w:rPr>
          <w:rFonts w:asciiTheme="minorHAnsi" w:hAnsiTheme="minorHAnsi" w:cstheme="minorHAnsi"/>
        </w:rPr>
        <w:t xml:space="preserve">This </w:t>
      </w:r>
      <w:r w:rsidR="00920F70" w:rsidRPr="00CB64EE">
        <w:rPr>
          <w:rFonts w:asciiTheme="minorHAnsi" w:hAnsiTheme="minorHAnsi" w:cstheme="minorHAnsi"/>
        </w:rPr>
        <w:t xml:space="preserve">process </w:t>
      </w:r>
      <w:r w:rsidR="001D3C34" w:rsidRPr="00CB64EE">
        <w:rPr>
          <w:rFonts w:asciiTheme="minorHAnsi" w:hAnsiTheme="minorHAnsi" w:cstheme="minorHAnsi"/>
        </w:rPr>
        <w:t xml:space="preserve">conditions the animals for successful engraftment with human stem cells. </w:t>
      </w:r>
    </w:p>
    <w:p w14:paraId="77A2A6D3"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67165500" w14:textId="4CF2BE2E" w:rsidR="001D3C34" w:rsidRPr="00CB64EE" w:rsidRDefault="001B0BDF" w:rsidP="00E21748">
      <w:pPr>
        <w:pStyle w:val="ListParagraph"/>
        <w:widowControl/>
        <w:numPr>
          <w:ilvl w:val="1"/>
          <w:numId w:val="32"/>
        </w:numPr>
        <w:autoSpaceDE/>
        <w:autoSpaceDN/>
        <w:adjustRightInd/>
        <w:snapToGrid w:val="0"/>
        <w:rPr>
          <w:rFonts w:asciiTheme="minorHAnsi" w:hAnsiTheme="minorHAnsi" w:cstheme="minorHAnsi"/>
        </w:rPr>
      </w:pPr>
      <w:r w:rsidRPr="00CB64EE">
        <w:rPr>
          <w:rFonts w:asciiTheme="minorHAnsi" w:hAnsiTheme="minorHAnsi" w:cstheme="minorHAnsi"/>
        </w:rPr>
        <w:t xml:space="preserve">In </w:t>
      </w:r>
      <w:r w:rsidR="00EC041E">
        <w:rPr>
          <w:rFonts w:asciiTheme="minorHAnsi" w:hAnsiTheme="minorHAnsi" w:cstheme="minorHAnsi"/>
        </w:rPr>
        <w:t xml:space="preserve">an </w:t>
      </w:r>
      <w:r w:rsidRPr="00CB64EE">
        <w:rPr>
          <w:rFonts w:asciiTheme="minorHAnsi" w:hAnsiTheme="minorHAnsi" w:cstheme="minorHAnsi"/>
        </w:rPr>
        <w:t>animal facility</w:t>
      </w:r>
      <w:r w:rsidR="00EC041E">
        <w:rPr>
          <w:rFonts w:asciiTheme="minorHAnsi" w:hAnsiTheme="minorHAnsi" w:cstheme="minorHAnsi"/>
        </w:rPr>
        <w:t>,</w:t>
      </w:r>
      <w:r w:rsidRPr="00CB64EE">
        <w:rPr>
          <w:rFonts w:asciiTheme="minorHAnsi" w:hAnsiTheme="minorHAnsi" w:cstheme="minorHAnsi"/>
        </w:rPr>
        <w:t xml:space="preserve"> </w:t>
      </w:r>
      <w:r w:rsidR="00EC041E" w:rsidRPr="00CB64EE">
        <w:rPr>
          <w:rFonts w:asciiTheme="minorHAnsi" w:hAnsiTheme="minorHAnsi" w:cstheme="minorHAnsi"/>
        </w:rPr>
        <w:t xml:space="preserve">prepare </w:t>
      </w:r>
      <w:r w:rsidR="00EC041E">
        <w:rPr>
          <w:rFonts w:asciiTheme="minorHAnsi" w:hAnsiTheme="minorHAnsi" w:cstheme="minorHAnsi"/>
        </w:rPr>
        <w:t xml:space="preserve">the </w:t>
      </w:r>
      <w:r w:rsidR="001D3C34" w:rsidRPr="00CB64EE">
        <w:rPr>
          <w:rFonts w:asciiTheme="minorHAnsi" w:hAnsiTheme="minorHAnsi" w:cstheme="minorHAnsi"/>
        </w:rPr>
        <w:t xml:space="preserve">flow bench workspace and all reagents before bringing </w:t>
      </w:r>
      <w:r w:rsidR="00EC041E">
        <w:rPr>
          <w:rFonts w:asciiTheme="minorHAnsi" w:hAnsiTheme="minorHAnsi" w:cstheme="minorHAnsi"/>
        </w:rPr>
        <w:t xml:space="preserve">the </w:t>
      </w:r>
      <w:r w:rsidR="001D3C34" w:rsidRPr="00CB64EE">
        <w:rPr>
          <w:rFonts w:asciiTheme="minorHAnsi" w:hAnsiTheme="minorHAnsi" w:cstheme="minorHAnsi"/>
        </w:rPr>
        <w:t>mice or cells into the workspace.</w:t>
      </w:r>
    </w:p>
    <w:p w14:paraId="21A8D644"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5EC7C28E" w14:textId="56842D18" w:rsidR="001D3C34" w:rsidRPr="00CB64EE" w:rsidRDefault="001D3C34" w:rsidP="00E21748">
      <w:pPr>
        <w:pStyle w:val="ListParagraph"/>
        <w:widowControl/>
        <w:numPr>
          <w:ilvl w:val="2"/>
          <w:numId w:val="32"/>
        </w:numPr>
        <w:autoSpaceDE/>
        <w:autoSpaceDN/>
        <w:adjustRightInd/>
        <w:snapToGrid w:val="0"/>
        <w:rPr>
          <w:rFonts w:asciiTheme="minorHAnsi" w:hAnsiTheme="minorHAnsi" w:cstheme="minorHAnsi"/>
        </w:rPr>
      </w:pPr>
      <w:r w:rsidRPr="00CB64EE">
        <w:rPr>
          <w:rFonts w:asciiTheme="minorHAnsi" w:hAnsiTheme="minorHAnsi" w:cstheme="minorHAnsi"/>
        </w:rPr>
        <w:t xml:space="preserve">Place </w:t>
      </w:r>
      <w:r w:rsidR="00EC041E">
        <w:rPr>
          <w:rFonts w:asciiTheme="minorHAnsi" w:hAnsiTheme="minorHAnsi" w:cstheme="minorHAnsi"/>
        </w:rPr>
        <w:t xml:space="preserve">a </w:t>
      </w:r>
      <w:r w:rsidRPr="00CB64EE">
        <w:rPr>
          <w:rFonts w:asciiTheme="minorHAnsi" w:hAnsiTheme="minorHAnsi" w:cstheme="minorHAnsi"/>
        </w:rPr>
        <w:t xml:space="preserve">sterile blue pad to cover </w:t>
      </w:r>
      <w:r w:rsidR="00EC041E">
        <w:rPr>
          <w:rFonts w:asciiTheme="minorHAnsi" w:hAnsiTheme="minorHAnsi" w:cstheme="minorHAnsi"/>
        </w:rPr>
        <w:t xml:space="preserve">the </w:t>
      </w:r>
      <w:r w:rsidRPr="00CB64EE">
        <w:rPr>
          <w:rFonts w:asciiTheme="minorHAnsi" w:hAnsiTheme="minorHAnsi" w:cstheme="minorHAnsi"/>
        </w:rPr>
        <w:t xml:space="preserve">working surface of the flow bench. Prepare sterile gauze and </w:t>
      </w:r>
      <w:r w:rsidR="00EC041E">
        <w:rPr>
          <w:rFonts w:asciiTheme="minorHAnsi" w:hAnsiTheme="minorHAnsi" w:cstheme="minorHAnsi"/>
        </w:rPr>
        <w:t xml:space="preserve">a </w:t>
      </w:r>
      <w:r w:rsidRPr="00CB64EE">
        <w:rPr>
          <w:rFonts w:asciiTheme="minorHAnsi" w:hAnsiTheme="minorHAnsi" w:cstheme="minorHAnsi"/>
        </w:rPr>
        <w:t xml:space="preserve">sharps container. </w:t>
      </w:r>
    </w:p>
    <w:p w14:paraId="0B0DF7D6"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307FAE75" w14:textId="6371426B" w:rsidR="001D3C34" w:rsidRPr="00CB64EE" w:rsidRDefault="001D3C34" w:rsidP="00E21748">
      <w:pPr>
        <w:pStyle w:val="ListParagraph"/>
        <w:widowControl/>
        <w:numPr>
          <w:ilvl w:val="2"/>
          <w:numId w:val="32"/>
        </w:numPr>
        <w:autoSpaceDE/>
        <w:autoSpaceDN/>
        <w:adjustRightInd/>
        <w:snapToGrid w:val="0"/>
        <w:rPr>
          <w:rFonts w:asciiTheme="minorHAnsi" w:hAnsiTheme="minorHAnsi" w:cstheme="minorHAnsi"/>
        </w:rPr>
      </w:pPr>
      <w:r w:rsidRPr="00CB64EE">
        <w:rPr>
          <w:rFonts w:asciiTheme="minorHAnsi" w:hAnsiTheme="minorHAnsi" w:cstheme="minorHAnsi"/>
        </w:rPr>
        <w:t xml:space="preserve">Place </w:t>
      </w:r>
      <w:r w:rsidR="0023022F" w:rsidRPr="00CB64EE">
        <w:rPr>
          <w:rFonts w:asciiTheme="minorHAnsi" w:hAnsiTheme="minorHAnsi" w:cstheme="minorHAnsi"/>
        </w:rPr>
        <w:t xml:space="preserve">a </w:t>
      </w:r>
      <w:r w:rsidRPr="00CB64EE">
        <w:rPr>
          <w:rFonts w:asciiTheme="minorHAnsi" w:hAnsiTheme="minorHAnsi" w:cstheme="minorHAnsi"/>
        </w:rPr>
        <w:t>heating lamp</w:t>
      </w:r>
      <w:r w:rsidR="00A579C9" w:rsidRPr="00CB64EE">
        <w:rPr>
          <w:rFonts w:asciiTheme="minorHAnsi" w:hAnsiTheme="minorHAnsi" w:cstheme="minorHAnsi"/>
        </w:rPr>
        <w:t xml:space="preserve"> disinfected with 70% ethanol</w:t>
      </w:r>
      <w:r w:rsidRPr="00CB64EE">
        <w:rPr>
          <w:rFonts w:asciiTheme="minorHAnsi" w:hAnsiTheme="minorHAnsi" w:cstheme="minorHAnsi"/>
        </w:rPr>
        <w:t xml:space="preserve"> in the flow bench with an empty</w:t>
      </w:r>
      <w:r w:rsidR="0023022F" w:rsidRPr="00CB64EE">
        <w:rPr>
          <w:rFonts w:asciiTheme="minorHAnsi" w:hAnsiTheme="minorHAnsi" w:cstheme="minorHAnsi"/>
        </w:rPr>
        <w:t xml:space="preserve"> sterile mouse cage underneath the heat</w:t>
      </w:r>
      <w:r w:rsidRPr="00CB64EE">
        <w:rPr>
          <w:rFonts w:asciiTheme="minorHAnsi" w:hAnsiTheme="minorHAnsi" w:cstheme="minorHAnsi"/>
        </w:rPr>
        <w:t xml:space="preserve">. </w:t>
      </w:r>
    </w:p>
    <w:p w14:paraId="309AAC7A"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2D54956C" w14:textId="1776C89A" w:rsidR="001D3C34" w:rsidRPr="00CB64EE" w:rsidRDefault="001B0BDF" w:rsidP="00E21748">
      <w:pPr>
        <w:pStyle w:val="ListParagraph"/>
        <w:widowControl/>
        <w:numPr>
          <w:ilvl w:val="1"/>
          <w:numId w:val="32"/>
        </w:numPr>
        <w:autoSpaceDE/>
        <w:autoSpaceDN/>
        <w:adjustRightInd/>
        <w:snapToGrid w:val="0"/>
        <w:rPr>
          <w:rFonts w:asciiTheme="minorHAnsi" w:hAnsiTheme="minorHAnsi" w:cstheme="minorHAnsi"/>
        </w:rPr>
      </w:pPr>
      <w:r w:rsidRPr="00CB64EE">
        <w:rPr>
          <w:rFonts w:asciiTheme="minorHAnsi" w:hAnsiTheme="minorHAnsi" w:cstheme="minorHAnsi"/>
        </w:rPr>
        <w:t xml:space="preserve">In </w:t>
      </w:r>
      <w:r w:rsidR="00EC041E">
        <w:rPr>
          <w:rFonts w:asciiTheme="minorHAnsi" w:hAnsiTheme="minorHAnsi" w:cstheme="minorHAnsi"/>
        </w:rPr>
        <w:t xml:space="preserve">the </w:t>
      </w:r>
      <w:r w:rsidRPr="00CB64EE">
        <w:rPr>
          <w:rFonts w:asciiTheme="minorHAnsi" w:hAnsiTheme="minorHAnsi" w:cstheme="minorHAnsi"/>
        </w:rPr>
        <w:t>laboratory</w:t>
      </w:r>
      <w:r w:rsidR="00EC041E">
        <w:rPr>
          <w:rFonts w:asciiTheme="minorHAnsi" w:hAnsiTheme="minorHAnsi" w:cstheme="minorHAnsi"/>
        </w:rPr>
        <w:t>,</w:t>
      </w:r>
      <w:r w:rsidRPr="00CB64EE">
        <w:rPr>
          <w:rFonts w:asciiTheme="minorHAnsi" w:hAnsiTheme="minorHAnsi" w:cstheme="minorHAnsi"/>
        </w:rPr>
        <w:t xml:space="preserve"> </w:t>
      </w:r>
      <w:r w:rsidR="00EC041E" w:rsidRPr="00CB64EE">
        <w:rPr>
          <w:rFonts w:asciiTheme="minorHAnsi" w:hAnsiTheme="minorHAnsi" w:cstheme="minorHAnsi"/>
        </w:rPr>
        <w:t xml:space="preserve">thaw </w:t>
      </w:r>
      <w:r w:rsidR="001D3C34" w:rsidRPr="00CB64EE">
        <w:rPr>
          <w:rFonts w:asciiTheme="minorHAnsi" w:hAnsiTheme="minorHAnsi" w:cstheme="minorHAnsi"/>
        </w:rPr>
        <w:t xml:space="preserve">isolated CD34+ cells and dilute them in 9 mL of 37 </w:t>
      </w:r>
      <w:r w:rsidR="0023022F" w:rsidRPr="00CB64EE">
        <w:rPr>
          <w:rFonts w:asciiTheme="minorHAnsi" w:hAnsiTheme="minorHAnsi" w:cstheme="minorHAnsi"/>
        </w:rPr>
        <w:t>°</w:t>
      </w:r>
      <w:r w:rsidR="001D3C34" w:rsidRPr="00CB64EE">
        <w:rPr>
          <w:rFonts w:asciiTheme="minorHAnsi" w:hAnsiTheme="minorHAnsi" w:cstheme="minorHAnsi"/>
        </w:rPr>
        <w:t>C plain RPMI</w:t>
      </w:r>
      <w:r w:rsidR="00103398" w:rsidRPr="00CB64EE">
        <w:rPr>
          <w:rFonts w:asciiTheme="minorHAnsi" w:hAnsiTheme="minorHAnsi" w:cstheme="minorHAnsi"/>
        </w:rPr>
        <w:t>.</w:t>
      </w:r>
    </w:p>
    <w:p w14:paraId="4168BB56"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20F51EB0" w14:textId="182C9050" w:rsidR="001D3C34" w:rsidRPr="00CB64EE"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CB64EE">
        <w:rPr>
          <w:rFonts w:asciiTheme="minorHAnsi" w:hAnsiTheme="minorHAnsi" w:cstheme="minorHAnsi"/>
        </w:rPr>
        <w:t xml:space="preserve">Centrifuge </w:t>
      </w:r>
      <w:r w:rsidR="00EC041E">
        <w:rPr>
          <w:rFonts w:asciiTheme="minorHAnsi" w:hAnsiTheme="minorHAnsi" w:cstheme="minorHAnsi"/>
        </w:rPr>
        <w:t xml:space="preserve">the </w:t>
      </w:r>
      <w:r w:rsidRPr="00CB64EE">
        <w:rPr>
          <w:rFonts w:asciiTheme="minorHAnsi" w:hAnsiTheme="minorHAnsi" w:cstheme="minorHAnsi"/>
        </w:rPr>
        <w:t>cells at 350 x</w:t>
      </w:r>
      <w:r w:rsidR="007708BF" w:rsidRPr="007708BF">
        <w:rPr>
          <w:rFonts w:asciiTheme="minorHAnsi" w:hAnsiTheme="minorHAnsi" w:cstheme="minorHAnsi"/>
          <w:i/>
        </w:rPr>
        <w:t xml:space="preserve"> g </w:t>
      </w:r>
      <w:r w:rsidRPr="00CB64EE">
        <w:rPr>
          <w:rFonts w:asciiTheme="minorHAnsi" w:hAnsiTheme="minorHAnsi" w:cstheme="minorHAnsi"/>
        </w:rPr>
        <w:t xml:space="preserve">for 5 </w:t>
      </w:r>
      <w:r w:rsidR="004E079D">
        <w:rPr>
          <w:rFonts w:asciiTheme="minorHAnsi" w:hAnsiTheme="minorHAnsi" w:cstheme="minorHAnsi"/>
        </w:rPr>
        <w:t>min</w:t>
      </w:r>
      <w:r w:rsidRPr="00CB64EE">
        <w:rPr>
          <w:rFonts w:asciiTheme="minorHAnsi" w:hAnsiTheme="minorHAnsi" w:cstheme="minorHAnsi"/>
        </w:rPr>
        <w:t xml:space="preserve"> at RT, discard </w:t>
      </w:r>
      <w:r w:rsidR="00EC041E">
        <w:rPr>
          <w:rFonts w:asciiTheme="minorHAnsi" w:hAnsiTheme="minorHAnsi" w:cstheme="minorHAnsi"/>
        </w:rPr>
        <w:t xml:space="preserve">the </w:t>
      </w:r>
      <w:r w:rsidRPr="00CB64EE">
        <w:rPr>
          <w:rFonts w:asciiTheme="minorHAnsi" w:hAnsiTheme="minorHAnsi" w:cstheme="minorHAnsi"/>
        </w:rPr>
        <w:t>supernatant by aspiration</w:t>
      </w:r>
      <w:r w:rsidR="00EC041E">
        <w:rPr>
          <w:rFonts w:asciiTheme="minorHAnsi" w:hAnsiTheme="minorHAnsi" w:cstheme="minorHAnsi"/>
        </w:rPr>
        <w:t>,</w:t>
      </w:r>
      <w:r w:rsidRPr="00CB64EE">
        <w:rPr>
          <w:rFonts w:asciiTheme="minorHAnsi" w:hAnsiTheme="minorHAnsi" w:cstheme="minorHAnsi"/>
        </w:rPr>
        <w:t xml:space="preserve"> and resuspend </w:t>
      </w:r>
      <w:r w:rsidR="00EC041E">
        <w:rPr>
          <w:rFonts w:asciiTheme="minorHAnsi" w:hAnsiTheme="minorHAnsi" w:cstheme="minorHAnsi"/>
        </w:rPr>
        <w:t xml:space="preserve">the </w:t>
      </w:r>
      <w:r w:rsidRPr="00CB64EE">
        <w:rPr>
          <w:rFonts w:asciiTheme="minorHAnsi" w:hAnsiTheme="minorHAnsi" w:cstheme="minorHAnsi"/>
        </w:rPr>
        <w:t>pell</w:t>
      </w:r>
      <w:r w:rsidR="0023022F" w:rsidRPr="00CB64EE">
        <w:rPr>
          <w:rFonts w:asciiTheme="minorHAnsi" w:hAnsiTheme="minorHAnsi" w:cstheme="minorHAnsi"/>
        </w:rPr>
        <w:t>et in 1 mL of plain RPMI at 37 °</w:t>
      </w:r>
      <w:r w:rsidRPr="00CB64EE">
        <w:rPr>
          <w:rFonts w:asciiTheme="minorHAnsi" w:hAnsiTheme="minorHAnsi" w:cstheme="minorHAnsi"/>
        </w:rPr>
        <w:t>C.</w:t>
      </w:r>
    </w:p>
    <w:p w14:paraId="68416D5A"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76A7003B" w14:textId="32728065" w:rsidR="001D3C34" w:rsidRPr="00CB64EE"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CB64EE">
        <w:rPr>
          <w:rFonts w:asciiTheme="minorHAnsi" w:hAnsiTheme="minorHAnsi" w:cstheme="minorHAnsi"/>
        </w:rPr>
        <w:t xml:space="preserve">Determine </w:t>
      </w:r>
      <w:r w:rsidR="00EC041E">
        <w:rPr>
          <w:rFonts w:asciiTheme="minorHAnsi" w:hAnsiTheme="minorHAnsi" w:cstheme="minorHAnsi"/>
        </w:rPr>
        <w:t xml:space="preserve">the </w:t>
      </w:r>
      <w:r w:rsidRPr="00CB64EE">
        <w:rPr>
          <w:rFonts w:asciiTheme="minorHAnsi" w:hAnsiTheme="minorHAnsi" w:cstheme="minorHAnsi"/>
        </w:rPr>
        <w:t xml:space="preserve">cell count by trypan blue </w:t>
      </w:r>
      <w:proofErr w:type="gramStart"/>
      <w:r w:rsidRPr="00CB64EE">
        <w:rPr>
          <w:rFonts w:asciiTheme="minorHAnsi" w:hAnsiTheme="minorHAnsi" w:cstheme="minorHAnsi"/>
        </w:rPr>
        <w:t>exclusion, and</w:t>
      </w:r>
      <w:proofErr w:type="gramEnd"/>
      <w:r w:rsidRPr="00CB64EE">
        <w:rPr>
          <w:rFonts w:asciiTheme="minorHAnsi" w:hAnsiTheme="minorHAnsi" w:cstheme="minorHAnsi"/>
        </w:rPr>
        <w:t xml:space="preserve"> adjust </w:t>
      </w:r>
      <w:r w:rsidR="00980DB6">
        <w:rPr>
          <w:rFonts w:asciiTheme="minorHAnsi" w:hAnsiTheme="minorHAnsi" w:cstheme="minorHAnsi"/>
        </w:rPr>
        <w:t xml:space="preserve">the </w:t>
      </w:r>
      <w:r w:rsidRPr="00CB64EE">
        <w:rPr>
          <w:rFonts w:asciiTheme="minorHAnsi" w:hAnsiTheme="minorHAnsi" w:cstheme="minorHAnsi"/>
        </w:rPr>
        <w:t xml:space="preserve">volume to 200 µL per mouse. </w:t>
      </w:r>
      <w:r w:rsidR="000D3624" w:rsidRPr="00CB64EE">
        <w:rPr>
          <w:rFonts w:asciiTheme="minorHAnsi" w:hAnsiTheme="minorHAnsi" w:cstheme="minorHAnsi"/>
        </w:rPr>
        <w:t xml:space="preserve">Make extra to </w:t>
      </w:r>
      <w:proofErr w:type="gramStart"/>
      <w:r w:rsidR="000D3624" w:rsidRPr="00CB64EE">
        <w:rPr>
          <w:rFonts w:asciiTheme="minorHAnsi" w:hAnsiTheme="minorHAnsi" w:cstheme="minorHAnsi"/>
        </w:rPr>
        <w:t>t</w:t>
      </w:r>
      <w:r w:rsidRPr="00CB64EE">
        <w:rPr>
          <w:rFonts w:asciiTheme="minorHAnsi" w:hAnsiTheme="minorHAnsi" w:cstheme="minorHAnsi"/>
        </w:rPr>
        <w:t xml:space="preserve">ake </w:t>
      </w:r>
      <w:r w:rsidR="0023022F" w:rsidRPr="00CB64EE">
        <w:rPr>
          <w:rFonts w:asciiTheme="minorHAnsi" w:hAnsiTheme="minorHAnsi" w:cstheme="minorHAnsi"/>
        </w:rPr>
        <w:t>into account</w:t>
      </w:r>
      <w:proofErr w:type="gramEnd"/>
      <w:r w:rsidR="0023022F" w:rsidRPr="00CB64EE">
        <w:rPr>
          <w:rFonts w:asciiTheme="minorHAnsi" w:hAnsiTheme="minorHAnsi" w:cstheme="minorHAnsi"/>
        </w:rPr>
        <w:t xml:space="preserve"> </w:t>
      </w:r>
      <w:r w:rsidRPr="00CB64EE">
        <w:rPr>
          <w:rFonts w:asciiTheme="minorHAnsi" w:hAnsiTheme="minorHAnsi" w:cstheme="minorHAnsi"/>
        </w:rPr>
        <w:t>possible loss due to</w:t>
      </w:r>
      <w:r w:rsidR="000D3624" w:rsidRPr="00CB64EE">
        <w:rPr>
          <w:rFonts w:asciiTheme="minorHAnsi" w:hAnsiTheme="minorHAnsi" w:cstheme="minorHAnsi"/>
        </w:rPr>
        <w:t xml:space="preserve"> </w:t>
      </w:r>
      <w:r w:rsidR="00EC041E">
        <w:rPr>
          <w:rFonts w:asciiTheme="minorHAnsi" w:hAnsiTheme="minorHAnsi" w:cstheme="minorHAnsi"/>
        </w:rPr>
        <w:t xml:space="preserve">the </w:t>
      </w:r>
      <w:r w:rsidR="000D3624" w:rsidRPr="00CB64EE">
        <w:rPr>
          <w:rFonts w:asciiTheme="minorHAnsi" w:hAnsiTheme="minorHAnsi" w:cstheme="minorHAnsi"/>
        </w:rPr>
        <w:t>subsequent</w:t>
      </w:r>
      <w:r w:rsidRPr="00CB64EE">
        <w:rPr>
          <w:rFonts w:asciiTheme="minorHAnsi" w:hAnsiTheme="minorHAnsi" w:cstheme="minorHAnsi"/>
        </w:rPr>
        <w:t xml:space="preserve"> handling steps</w:t>
      </w:r>
      <w:r w:rsidR="00EC041E">
        <w:rPr>
          <w:rFonts w:asciiTheme="minorHAnsi" w:hAnsiTheme="minorHAnsi" w:cstheme="minorHAnsi"/>
        </w:rPr>
        <w:t>.</w:t>
      </w:r>
    </w:p>
    <w:p w14:paraId="27974F9E"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7FC0BD68" w14:textId="3EB00F60" w:rsidR="001D3C34" w:rsidRPr="00CB64EE" w:rsidRDefault="00980DB6" w:rsidP="00E21748">
      <w:pPr>
        <w:pStyle w:val="ListParagraph"/>
        <w:widowControl/>
        <w:numPr>
          <w:ilvl w:val="2"/>
          <w:numId w:val="32"/>
        </w:numPr>
        <w:autoSpaceDE/>
        <w:autoSpaceDN/>
        <w:adjustRightInd/>
        <w:snapToGrid w:val="0"/>
        <w:rPr>
          <w:rFonts w:asciiTheme="minorHAnsi" w:hAnsiTheme="minorHAnsi" w:cstheme="minorHAnsi"/>
        </w:rPr>
      </w:pPr>
      <w:r>
        <w:rPr>
          <w:rFonts w:asciiTheme="minorHAnsi" w:hAnsiTheme="minorHAnsi" w:cstheme="minorHAnsi"/>
        </w:rPr>
        <w:t>Prepare</w:t>
      </w:r>
      <w:r w:rsidRPr="00CB64EE">
        <w:rPr>
          <w:rFonts w:asciiTheme="minorHAnsi" w:hAnsiTheme="minorHAnsi" w:cstheme="minorHAnsi"/>
        </w:rPr>
        <w:t xml:space="preserve"> </w:t>
      </w:r>
      <w:r w:rsidR="001D3C34" w:rsidRPr="00CB64EE">
        <w:rPr>
          <w:rFonts w:asciiTheme="minorHAnsi" w:hAnsiTheme="minorHAnsi" w:cstheme="minorHAnsi"/>
        </w:rPr>
        <w:t xml:space="preserve">to transplant 75,000 CD34+ cells </w:t>
      </w:r>
      <w:r>
        <w:rPr>
          <w:rFonts w:asciiTheme="minorHAnsi" w:hAnsiTheme="minorHAnsi" w:cstheme="minorHAnsi"/>
        </w:rPr>
        <w:t>per</w:t>
      </w:r>
      <w:r w:rsidRPr="00CB64EE">
        <w:rPr>
          <w:rFonts w:asciiTheme="minorHAnsi" w:hAnsiTheme="minorHAnsi" w:cstheme="minorHAnsi"/>
        </w:rPr>
        <w:t xml:space="preserve"> </w:t>
      </w:r>
      <w:r w:rsidR="001B0BDF" w:rsidRPr="00CB64EE">
        <w:rPr>
          <w:rFonts w:asciiTheme="minorHAnsi" w:hAnsiTheme="minorHAnsi" w:cstheme="minorHAnsi"/>
        </w:rPr>
        <w:t xml:space="preserve">200 µL </w:t>
      </w:r>
      <w:r w:rsidR="001D3C34" w:rsidRPr="00CB64EE">
        <w:rPr>
          <w:rFonts w:asciiTheme="minorHAnsi" w:hAnsiTheme="minorHAnsi" w:cstheme="minorHAnsi"/>
        </w:rPr>
        <w:t xml:space="preserve">into each mouse. </w:t>
      </w:r>
    </w:p>
    <w:p w14:paraId="3CADF62A"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202F473A" w14:textId="0985965E" w:rsidR="001D3C34" w:rsidRPr="00CB64EE" w:rsidRDefault="0023022F" w:rsidP="00E21748">
      <w:pPr>
        <w:pStyle w:val="ListParagraph"/>
        <w:widowControl/>
        <w:numPr>
          <w:ilvl w:val="2"/>
          <w:numId w:val="32"/>
        </w:numPr>
        <w:autoSpaceDE/>
        <w:autoSpaceDN/>
        <w:adjustRightInd/>
        <w:snapToGrid w:val="0"/>
        <w:rPr>
          <w:rFonts w:asciiTheme="minorHAnsi" w:hAnsiTheme="minorHAnsi" w:cstheme="minorHAnsi"/>
        </w:rPr>
      </w:pPr>
      <w:r w:rsidRPr="00CB64EE">
        <w:rPr>
          <w:rFonts w:asciiTheme="minorHAnsi" w:hAnsiTheme="minorHAnsi" w:cstheme="minorHAnsi"/>
        </w:rPr>
        <w:t>The cells can be kept at 4 °</w:t>
      </w:r>
      <w:r w:rsidR="001D3C34" w:rsidRPr="00CB64EE">
        <w:rPr>
          <w:rFonts w:asciiTheme="minorHAnsi" w:hAnsiTheme="minorHAnsi" w:cstheme="minorHAnsi"/>
        </w:rPr>
        <w:t xml:space="preserve">C </w:t>
      </w:r>
      <w:r w:rsidR="006A6387" w:rsidRPr="00CB64EE">
        <w:rPr>
          <w:rFonts w:asciiTheme="minorHAnsi" w:hAnsiTheme="minorHAnsi" w:cstheme="minorHAnsi"/>
        </w:rPr>
        <w:t xml:space="preserve">during transport to the animal facility </w:t>
      </w:r>
      <w:r w:rsidR="001D3C34" w:rsidRPr="00CB64EE">
        <w:rPr>
          <w:rFonts w:asciiTheme="minorHAnsi" w:hAnsiTheme="minorHAnsi" w:cstheme="minorHAnsi"/>
        </w:rPr>
        <w:t xml:space="preserve">before </w:t>
      </w:r>
      <w:r w:rsidR="006A6387" w:rsidRPr="00CB64EE">
        <w:rPr>
          <w:rFonts w:asciiTheme="minorHAnsi" w:hAnsiTheme="minorHAnsi" w:cstheme="minorHAnsi"/>
        </w:rPr>
        <w:t xml:space="preserve">the </w:t>
      </w:r>
      <w:r w:rsidR="001D3C34" w:rsidRPr="00CB64EE">
        <w:rPr>
          <w:rFonts w:asciiTheme="minorHAnsi" w:hAnsiTheme="minorHAnsi" w:cstheme="minorHAnsi"/>
        </w:rPr>
        <w:t>transplant. Avoid keeping the cells on ice to r</w:t>
      </w:r>
      <w:r w:rsidRPr="00CB64EE">
        <w:rPr>
          <w:rFonts w:asciiTheme="minorHAnsi" w:hAnsiTheme="minorHAnsi" w:cstheme="minorHAnsi"/>
        </w:rPr>
        <w:t>educe aggregation</w:t>
      </w:r>
      <w:r w:rsidR="00980DB6">
        <w:rPr>
          <w:rFonts w:asciiTheme="minorHAnsi" w:hAnsiTheme="minorHAnsi" w:cstheme="minorHAnsi"/>
        </w:rPr>
        <w:t xml:space="preserve"> or </w:t>
      </w:r>
      <w:r w:rsidRPr="00CB64EE">
        <w:rPr>
          <w:rFonts w:asciiTheme="minorHAnsi" w:hAnsiTheme="minorHAnsi" w:cstheme="minorHAnsi"/>
        </w:rPr>
        <w:t>clumping</w:t>
      </w:r>
      <w:r w:rsidR="00EC041E">
        <w:rPr>
          <w:rFonts w:asciiTheme="minorHAnsi" w:hAnsiTheme="minorHAnsi" w:cstheme="minorHAnsi"/>
        </w:rPr>
        <w:t>.</w:t>
      </w:r>
    </w:p>
    <w:p w14:paraId="39E36598"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50CC4D11" w14:textId="6FB300AB" w:rsidR="001D3C34" w:rsidRPr="00CB64EE" w:rsidRDefault="001B0BDF" w:rsidP="00E21748">
      <w:pPr>
        <w:pStyle w:val="ListParagraph"/>
        <w:widowControl/>
        <w:numPr>
          <w:ilvl w:val="1"/>
          <w:numId w:val="32"/>
        </w:numPr>
        <w:autoSpaceDE/>
        <w:autoSpaceDN/>
        <w:adjustRightInd/>
        <w:snapToGrid w:val="0"/>
        <w:rPr>
          <w:rFonts w:asciiTheme="minorHAnsi" w:hAnsiTheme="minorHAnsi" w:cstheme="minorHAnsi"/>
        </w:rPr>
      </w:pPr>
      <w:r w:rsidRPr="00CB64EE">
        <w:rPr>
          <w:rFonts w:asciiTheme="minorHAnsi" w:hAnsiTheme="minorHAnsi" w:cstheme="minorHAnsi"/>
        </w:rPr>
        <w:t xml:space="preserve">In </w:t>
      </w:r>
      <w:r w:rsidR="00EC041E">
        <w:rPr>
          <w:rFonts w:asciiTheme="minorHAnsi" w:hAnsiTheme="minorHAnsi" w:cstheme="minorHAnsi"/>
        </w:rPr>
        <w:t xml:space="preserve">the </w:t>
      </w:r>
      <w:r w:rsidRPr="00CB64EE">
        <w:rPr>
          <w:rFonts w:asciiTheme="minorHAnsi" w:hAnsiTheme="minorHAnsi" w:cstheme="minorHAnsi"/>
        </w:rPr>
        <w:t>animal facility</w:t>
      </w:r>
      <w:r w:rsidR="00EC041E">
        <w:rPr>
          <w:rFonts w:asciiTheme="minorHAnsi" w:hAnsiTheme="minorHAnsi" w:cstheme="minorHAnsi"/>
        </w:rPr>
        <w:t>,</w:t>
      </w:r>
      <w:r w:rsidRPr="00CB64EE">
        <w:rPr>
          <w:rFonts w:asciiTheme="minorHAnsi" w:hAnsiTheme="minorHAnsi" w:cstheme="minorHAnsi"/>
        </w:rPr>
        <w:t xml:space="preserve"> </w:t>
      </w:r>
      <w:r w:rsidR="00EC041E" w:rsidRPr="00CB64EE">
        <w:rPr>
          <w:rFonts w:asciiTheme="minorHAnsi" w:hAnsiTheme="minorHAnsi" w:cstheme="minorHAnsi"/>
        </w:rPr>
        <w:t xml:space="preserve">bring </w:t>
      </w:r>
      <w:r w:rsidR="00EC041E">
        <w:rPr>
          <w:rFonts w:asciiTheme="minorHAnsi" w:hAnsiTheme="minorHAnsi" w:cstheme="minorHAnsi"/>
        </w:rPr>
        <w:t xml:space="preserve">the </w:t>
      </w:r>
      <w:r w:rsidR="001D3C34" w:rsidRPr="00CB64EE">
        <w:rPr>
          <w:rFonts w:asciiTheme="minorHAnsi" w:hAnsiTheme="minorHAnsi" w:cstheme="minorHAnsi"/>
        </w:rPr>
        <w:t xml:space="preserve">cage with </w:t>
      </w:r>
      <w:r w:rsidR="00EC041E">
        <w:rPr>
          <w:rFonts w:asciiTheme="minorHAnsi" w:hAnsiTheme="minorHAnsi" w:cstheme="minorHAnsi"/>
        </w:rPr>
        <w:t xml:space="preserve">the </w:t>
      </w:r>
      <w:r w:rsidR="001D3C34" w:rsidRPr="00CB64EE">
        <w:rPr>
          <w:rFonts w:asciiTheme="minorHAnsi" w:hAnsiTheme="minorHAnsi" w:cstheme="minorHAnsi"/>
        </w:rPr>
        <w:t xml:space="preserve">mice into the flow bench and transfer </w:t>
      </w:r>
      <w:r w:rsidR="00EC041E">
        <w:rPr>
          <w:rFonts w:asciiTheme="minorHAnsi" w:hAnsiTheme="minorHAnsi" w:cstheme="minorHAnsi"/>
        </w:rPr>
        <w:t xml:space="preserve">the </w:t>
      </w:r>
      <w:r w:rsidR="001D3C34" w:rsidRPr="00CB64EE">
        <w:rPr>
          <w:rFonts w:asciiTheme="minorHAnsi" w:hAnsiTheme="minorHAnsi" w:cstheme="minorHAnsi"/>
        </w:rPr>
        <w:t xml:space="preserve">mice to the cage under the heating lamp to dilate </w:t>
      </w:r>
      <w:r w:rsidR="00EC041E">
        <w:rPr>
          <w:rFonts w:asciiTheme="minorHAnsi" w:hAnsiTheme="minorHAnsi" w:cstheme="minorHAnsi"/>
        </w:rPr>
        <w:t xml:space="preserve">the </w:t>
      </w:r>
      <w:r w:rsidR="009D0A40">
        <w:rPr>
          <w:rFonts w:asciiTheme="minorHAnsi" w:hAnsiTheme="minorHAnsi" w:cstheme="minorHAnsi"/>
        </w:rPr>
        <w:t xml:space="preserve">blood </w:t>
      </w:r>
      <w:r w:rsidR="001D3C34" w:rsidRPr="00CB64EE">
        <w:rPr>
          <w:rFonts w:asciiTheme="minorHAnsi" w:hAnsiTheme="minorHAnsi" w:cstheme="minorHAnsi"/>
        </w:rPr>
        <w:t>vessels.</w:t>
      </w:r>
      <w:r w:rsidRPr="00CB64EE">
        <w:rPr>
          <w:rFonts w:asciiTheme="minorHAnsi" w:hAnsiTheme="minorHAnsi" w:cstheme="minorHAnsi"/>
        </w:rPr>
        <w:t xml:space="preserve"> Leave one end of the cage away from the heat source so that </w:t>
      </w:r>
      <w:r w:rsidR="009D0A40">
        <w:rPr>
          <w:rFonts w:asciiTheme="minorHAnsi" w:hAnsiTheme="minorHAnsi" w:cstheme="minorHAnsi"/>
        </w:rPr>
        <w:t xml:space="preserve">the </w:t>
      </w:r>
      <w:r w:rsidRPr="00CB64EE">
        <w:rPr>
          <w:rFonts w:asciiTheme="minorHAnsi" w:hAnsiTheme="minorHAnsi" w:cstheme="minorHAnsi"/>
        </w:rPr>
        <w:t>mice can move away from the heat upon becoming warm. Mice that have moved to the end of the cage</w:t>
      </w:r>
      <w:r w:rsidR="009D0A40">
        <w:rPr>
          <w:rFonts w:asciiTheme="minorHAnsi" w:hAnsiTheme="minorHAnsi" w:cstheme="minorHAnsi"/>
        </w:rPr>
        <w:t>,</w:t>
      </w:r>
      <w:r w:rsidRPr="00CB64EE">
        <w:rPr>
          <w:rFonts w:asciiTheme="minorHAnsi" w:hAnsiTheme="minorHAnsi" w:cstheme="minorHAnsi"/>
        </w:rPr>
        <w:t xml:space="preserve"> away from the heat source</w:t>
      </w:r>
      <w:r w:rsidR="009D0A40">
        <w:rPr>
          <w:rFonts w:asciiTheme="minorHAnsi" w:hAnsiTheme="minorHAnsi" w:cstheme="minorHAnsi"/>
        </w:rPr>
        <w:t>,</w:t>
      </w:r>
      <w:r w:rsidRPr="00CB64EE">
        <w:rPr>
          <w:rFonts w:asciiTheme="minorHAnsi" w:hAnsiTheme="minorHAnsi" w:cstheme="minorHAnsi"/>
        </w:rPr>
        <w:t xml:space="preserve"> are sufficiently warm for a successful tail vein injection.</w:t>
      </w:r>
    </w:p>
    <w:p w14:paraId="7CCA9F54"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48B56C94" w14:textId="64F1FCDA" w:rsidR="001D3C34" w:rsidRPr="00CB64EE"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CB64EE">
        <w:rPr>
          <w:rFonts w:asciiTheme="minorHAnsi" w:hAnsiTheme="minorHAnsi" w:cstheme="minorHAnsi"/>
        </w:rPr>
        <w:lastRenderedPageBreak/>
        <w:t xml:space="preserve">Load </w:t>
      </w:r>
      <w:r w:rsidR="007708BF">
        <w:rPr>
          <w:rFonts w:asciiTheme="minorHAnsi" w:hAnsiTheme="minorHAnsi" w:cstheme="minorHAnsi"/>
        </w:rPr>
        <w:t xml:space="preserve">a </w:t>
      </w:r>
      <w:r w:rsidRPr="00CB64EE">
        <w:rPr>
          <w:rFonts w:asciiTheme="minorHAnsi" w:hAnsiTheme="minorHAnsi" w:cstheme="minorHAnsi"/>
        </w:rPr>
        <w:t xml:space="preserve">1 mL </w:t>
      </w:r>
      <w:r w:rsidR="005802AE" w:rsidRPr="00CB64EE">
        <w:rPr>
          <w:rFonts w:asciiTheme="minorHAnsi" w:hAnsiTheme="minorHAnsi" w:cstheme="minorHAnsi"/>
        </w:rPr>
        <w:t xml:space="preserve">lubricated </w:t>
      </w:r>
      <w:r w:rsidRPr="00CB64EE">
        <w:rPr>
          <w:rFonts w:asciiTheme="minorHAnsi" w:hAnsiTheme="minorHAnsi" w:cstheme="minorHAnsi"/>
        </w:rPr>
        <w:t>syringe to above the 800 µL mark with suspended CD34+ cells. Using a lubricated 1 mL syringe will dramatically ease the intravenous injection and increase the precision of this technique</w:t>
      </w:r>
      <w:r w:rsidR="001B0BDF" w:rsidRPr="00CB64EE">
        <w:rPr>
          <w:rFonts w:asciiTheme="minorHAnsi" w:hAnsiTheme="minorHAnsi" w:cstheme="minorHAnsi"/>
        </w:rPr>
        <w:t>.</w:t>
      </w:r>
    </w:p>
    <w:p w14:paraId="3C0B7E6B"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731336B7" w14:textId="51917B13" w:rsidR="001D3C34" w:rsidRPr="00CB64EE"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CB64EE">
        <w:rPr>
          <w:rFonts w:asciiTheme="minorHAnsi" w:hAnsiTheme="minorHAnsi" w:cstheme="minorHAnsi"/>
        </w:rPr>
        <w:t xml:space="preserve">Attach </w:t>
      </w:r>
      <w:r w:rsidR="009D0A40">
        <w:rPr>
          <w:rFonts w:asciiTheme="minorHAnsi" w:hAnsiTheme="minorHAnsi" w:cstheme="minorHAnsi"/>
        </w:rPr>
        <w:t xml:space="preserve">a </w:t>
      </w:r>
      <w:r w:rsidR="001B0BDF" w:rsidRPr="00CB64EE">
        <w:rPr>
          <w:rFonts w:asciiTheme="minorHAnsi" w:hAnsiTheme="minorHAnsi" w:cstheme="minorHAnsi"/>
        </w:rPr>
        <w:t>30</w:t>
      </w:r>
      <w:r w:rsidR="009D0A40">
        <w:rPr>
          <w:rFonts w:asciiTheme="minorHAnsi" w:hAnsiTheme="minorHAnsi" w:cstheme="minorHAnsi"/>
        </w:rPr>
        <w:t xml:space="preserve"> G</w:t>
      </w:r>
      <w:r w:rsidR="001B0BDF" w:rsidRPr="00CB64EE">
        <w:rPr>
          <w:rFonts w:asciiTheme="minorHAnsi" w:hAnsiTheme="minorHAnsi" w:cstheme="minorHAnsi"/>
        </w:rPr>
        <w:t xml:space="preserve"> </w:t>
      </w:r>
      <w:r w:rsidRPr="00CB64EE">
        <w:rPr>
          <w:rFonts w:asciiTheme="minorHAnsi" w:hAnsiTheme="minorHAnsi" w:cstheme="minorHAnsi"/>
        </w:rPr>
        <w:t xml:space="preserve">13 mm needle and prepare </w:t>
      </w:r>
      <w:r w:rsidR="009D0A40">
        <w:rPr>
          <w:rFonts w:asciiTheme="minorHAnsi" w:hAnsiTheme="minorHAnsi" w:cstheme="minorHAnsi"/>
        </w:rPr>
        <w:t xml:space="preserve">the </w:t>
      </w:r>
      <w:r w:rsidRPr="00CB64EE">
        <w:rPr>
          <w:rFonts w:asciiTheme="minorHAnsi" w:hAnsiTheme="minorHAnsi" w:cstheme="minorHAnsi"/>
        </w:rPr>
        <w:t xml:space="preserve">needle and syringe for injection. This order of operation allows for the syringe to be loaded </w:t>
      </w:r>
      <w:r w:rsidR="00980DB6">
        <w:rPr>
          <w:rFonts w:asciiTheme="minorHAnsi" w:hAnsiTheme="minorHAnsi" w:cstheme="minorHAnsi"/>
        </w:rPr>
        <w:t>quicker</w:t>
      </w:r>
      <w:r w:rsidRPr="00CB64EE">
        <w:rPr>
          <w:rFonts w:asciiTheme="minorHAnsi" w:hAnsiTheme="minorHAnsi" w:cstheme="minorHAnsi"/>
        </w:rPr>
        <w:t xml:space="preserve"> while protecting the integrity of the cells to be transplanted given the possible damage that can occur during </w:t>
      </w:r>
      <w:r w:rsidR="009D0A40">
        <w:rPr>
          <w:rFonts w:asciiTheme="minorHAnsi" w:hAnsiTheme="minorHAnsi" w:cstheme="minorHAnsi"/>
        </w:rPr>
        <w:t xml:space="preserve">the </w:t>
      </w:r>
      <w:r w:rsidRPr="00CB64EE">
        <w:rPr>
          <w:rFonts w:asciiTheme="minorHAnsi" w:hAnsiTheme="minorHAnsi" w:cstheme="minorHAnsi"/>
        </w:rPr>
        <w:t xml:space="preserve">rapid aspiration of cells through such a small gauge needle. Fill the needle hub with liquid by pressing the plunger and remove liquid down to the 800 µL mark of the needle (800 µL is an appropriate volume for </w:t>
      </w:r>
      <w:r w:rsidR="00980DB6" w:rsidRPr="001E5F8B">
        <w:rPr>
          <w:rFonts w:asciiTheme="minorHAnsi" w:hAnsiTheme="minorHAnsi" w:cstheme="minorHAnsi"/>
        </w:rPr>
        <w:t>one</w:t>
      </w:r>
      <w:r w:rsidR="00980DB6" w:rsidRPr="00CB64EE">
        <w:rPr>
          <w:rFonts w:asciiTheme="minorHAnsi" w:hAnsiTheme="minorHAnsi" w:cstheme="minorHAnsi"/>
        </w:rPr>
        <w:t xml:space="preserve"> </w:t>
      </w:r>
      <w:r w:rsidRPr="00CB64EE">
        <w:rPr>
          <w:rFonts w:asciiTheme="minorHAnsi" w:hAnsiTheme="minorHAnsi" w:cstheme="minorHAnsi"/>
        </w:rPr>
        <w:t>cage hous</w:t>
      </w:r>
      <w:r w:rsidR="009D0A40">
        <w:rPr>
          <w:rFonts w:asciiTheme="minorHAnsi" w:hAnsiTheme="minorHAnsi" w:cstheme="minorHAnsi"/>
        </w:rPr>
        <w:t>ing</w:t>
      </w:r>
      <w:r w:rsidRPr="00CB64EE">
        <w:rPr>
          <w:rFonts w:asciiTheme="minorHAnsi" w:hAnsiTheme="minorHAnsi" w:cstheme="minorHAnsi"/>
        </w:rPr>
        <w:t xml:space="preserve"> </w:t>
      </w:r>
      <w:r w:rsidR="00980DB6" w:rsidRPr="001E5F8B">
        <w:rPr>
          <w:rFonts w:asciiTheme="minorHAnsi" w:hAnsiTheme="minorHAnsi" w:cstheme="minorHAnsi"/>
        </w:rPr>
        <w:t>four</w:t>
      </w:r>
      <w:r w:rsidR="00980DB6" w:rsidRPr="00CB64EE">
        <w:rPr>
          <w:rFonts w:asciiTheme="minorHAnsi" w:hAnsiTheme="minorHAnsi" w:cstheme="minorHAnsi"/>
        </w:rPr>
        <w:t xml:space="preserve"> </w:t>
      </w:r>
      <w:r w:rsidRPr="00CB64EE">
        <w:rPr>
          <w:rFonts w:asciiTheme="minorHAnsi" w:hAnsiTheme="minorHAnsi" w:cstheme="minorHAnsi"/>
        </w:rPr>
        <w:t>animals)</w:t>
      </w:r>
      <w:r w:rsidR="009D0A40">
        <w:rPr>
          <w:rFonts w:asciiTheme="minorHAnsi" w:hAnsiTheme="minorHAnsi" w:cstheme="minorHAnsi"/>
        </w:rPr>
        <w:t>.</w:t>
      </w:r>
    </w:p>
    <w:p w14:paraId="35DF8D74"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4326F93A" w14:textId="6111FF40" w:rsidR="001D3C34" w:rsidRPr="00CB64EE" w:rsidRDefault="001B0BDF" w:rsidP="00E21748">
      <w:pPr>
        <w:pStyle w:val="ListParagraph"/>
        <w:widowControl/>
        <w:numPr>
          <w:ilvl w:val="1"/>
          <w:numId w:val="32"/>
        </w:numPr>
        <w:autoSpaceDE/>
        <w:autoSpaceDN/>
        <w:adjustRightInd/>
        <w:snapToGrid w:val="0"/>
        <w:rPr>
          <w:rFonts w:asciiTheme="minorHAnsi" w:hAnsiTheme="minorHAnsi" w:cstheme="minorHAnsi"/>
        </w:rPr>
      </w:pPr>
      <w:r w:rsidRPr="00CB64EE">
        <w:rPr>
          <w:rFonts w:asciiTheme="minorHAnsi" w:hAnsiTheme="minorHAnsi" w:cstheme="minorHAnsi"/>
        </w:rPr>
        <w:t>Place a</w:t>
      </w:r>
      <w:r w:rsidR="00B4393B" w:rsidRPr="00CB64EE">
        <w:rPr>
          <w:rFonts w:asciiTheme="minorHAnsi" w:hAnsiTheme="minorHAnsi" w:cstheme="minorHAnsi"/>
        </w:rPr>
        <w:t xml:space="preserve"> </w:t>
      </w:r>
      <w:r w:rsidR="0023022F" w:rsidRPr="00CB64EE">
        <w:rPr>
          <w:rFonts w:asciiTheme="minorHAnsi" w:hAnsiTheme="minorHAnsi" w:cstheme="minorHAnsi"/>
        </w:rPr>
        <w:t>heated mous</w:t>
      </w:r>
      <w:r w:rsidR="001D4506" w:rsidRPr="00CB64EE">
        <w:rPr>
          <w:rFonts w:asciiTheme="minorHAnsi" w:hAnsiTheme="minorHAnsi" w:cstheme="minorHAnsi"/>
        </w:rPr>
        <w:t>e</w:t>
      </w:r>
      <w:r w:rsidRPr="00CB64EE">
        <w:rPr>
          <w:rFonts w:asciiTheme="minorHAnsi" w:hAnsiTheme="minorHAnsi" w:cstheme="minorHAnsi"/>
        </w:rPr>
        <w:t xml:space="preserve"> (</w:t>
      </w:r>
      <w:r w:rsidR="009D0A40" w:rsidRPr="00CB64EE">
        <w:rPr>
          <w:rFonts w:asciiTheme="minorHAnsi" w:hAnsiTheme="minorHAnsi" w:cstheme="minorHAnsi"/>
        </w:rPr>
        <w:t xml:space="preserve">step </w:t>
      </w:r>
      <w:r w:rsidRPr="00CB64EE">
        <w:rPr>
          <w:rFonts w:asciiTheme="minorHAnsi" w:hAnsiTheme="minorHAnsi" w:cstheme="minorHAnsi"/>
        </w:rPr>
        <w:t>4.6)</w:t>
      </w:r>
      <w:r w:rsidR="001D4506" w:rsidRPr="00CB64EE">
        <w:rPr>
          <w:rFonts w:asciiTheme="minorHAnsi" w:hAnsiTheme="minorHAnsi" w:cstheme="minorHAnsi"/>
        </w:rPr>
        <w:t xml:space="preserve"> in a restrainer used for giving</w:t>
      </w:r>
      <w:r w:rsidR="0023022F" w:rsidRPr="00CB64EE">
        <w:rPr>
          <w:rFonts w:asciiTheme="minorHAnsi" w:hAnsiTheme="minorHAnsi" w:cstheme="minorHAnsi"/>
        </w:rPr>
        <w:t xml:space="preserve"> IV injections. </w:t>
      </w:r>
      <w:r w:rsidR="001D3C34" w:rsidRPr="00CB64EE">
        <w:rPr>
          <w:rFonts w:asciiTheme="minorHAnsi" w:hAnsiTheme="minorHAnsi" w:cstheme="minorHAnsi"/>
        </w:rPr>
        <w:t xml:space="preserve">Carefully inject 200 µL of </w:t>
      </w:r>
      <w:r w:rsidR="009D0A40">
        <w:rPr>
          <w:rFonts w:asciiTheme="minorHAnsi" w:hAnsiTheme="minorHAnsi" w:cstheme="minorHAnsi"/>
        </w:rPr>
        <w:t xml:space="preserve">the </w:t>
      </w:r>
      <w:r w:rsidR="001D3C34" w:rsidRPr="00CB64EE">
        <w:rPr>
          <w:rFonts w:asciiTheme="minorHAnsi" w:hAnsiTheme="minorHAnsi" w:cstheme="minorHAnsi"/>
        </w:rPr>
        <w:t xml:space="preserve">cell </w:t>
      </w:r>
      <w:r w:rsidR="00FE6595" w:rsidRPr="00CB64EE">
        <w:rPr>
          <w:rFonts w:asciiTheme="minorHAnsi" w:hAnsiTheme="minorHAnsi" w:cstheme="minorHAnsi"/>
        </w:rPr>
        <w:t xml:space="preserve">suspension </w:t>
      </w:r>
      <w:r w:rsidR="001D3C34" w:rsidRPr="00CB64EE">
        <w:rPr>
          <w:rFonts w:asciiTheme="minorHAnsi" w:hAnsiTheme="minorHAnsi" w:cstheme="minorHAnsi"/>
        </w:rPr>
        <w:t xml:space="preserve">into the tail vein of the mouse. Spend 2 </w:t>
      </w:r>
      <w:r w:rsidR="009D0A40" w:rsidRPr="00960CA7">
        <w:rPr>
          <w:rFonts w:asciiTheme="minorHAnsi" w:hAnsiTheme="minorHAnsi" w:cstheme="minorHAnsi"/>
        </w:rPr>
        <w:t>s</w:t>
      </w:r>
      <w:r w:rsidR="009D0A40" w:rsidRPr="00CB64EE">
        <w:rPr>
          <w:rFonts w:asciiTheme="minorHAnsi" w:hAnsiTheme="minorHAnsi" w:cstheme="minorHAnsi"/>
        </w:rPr>
        <w:t xml:space="preserve"> </w:t>
      </w:r>
      <w:r w:rsidR="001D3C34" w:rsidRPr="00CB64EE">
        <w:rPr>
          <w:rFonts w:asciiTheme="minorHAnsi" w:hAnsiTheme="minorHAnsi" w:cstheme="minorHAnsi"/>
        </w:rPr>
        <w:t xml:space="preserve">performing the plunge and keep the needle </w:t>
      </w:r>
      <w:r w:rsidR="00FE6595" w:rsidRPr="00CB64EE">
        <w:rPr>
          <w:rFonts w:asciiTheme="minorHAnsi" w:hAnsiTheme="minorHAnsi" w:cstheme="minorHAnsi"/>
        </w:rPr>
        <w:t xml:space="preserve">inserted </w:t>
      </w:r>
      <w:r w:rsidR="001D3C34" w:rsidRPr="00CB64EE">
        <w:rPr>
          <w:rFonts w:asciiTheme="minorHAnsi" w:hAnsiTheme="minorHAnsi" w:cstheme="minorHAnsi"/>
        </w:rPr>
        <w:t xml:space="preserve">for approximately 2 </w:t>
      </w:r>
      <w:r w:rsidR="009D0A40" w:rsidRPr="00960CA7">
        <w:rPr>
          <w:rFonts w:asciiTheme="minorHAnsi" w:hAnsiTheme="minorHAnsi" w:cstheme="minorHAnsi"/>
        </w:rPr>
        <w:t>s</w:t>
      </w:r>
      <w:r w:rsidR="009D0A40" w:rsidRPr="00CB64EE">
        <w:rPr>
          <w:rFonts w:asciiTheme="minorHAnsi" w:hAnsiTheme="minorHAnsi" w:cstheme="minorHAnsi"/>
        </w:rPr>
        <w:t xml:space="preserve"> </w:t>
      </w:r>
      <w:r w:rsidR="001D3C34" w:rsidRPr="00CB64EE">
        <w:rPr>
          <w:rFonts w:asciiTheme="minorHAnsi" w:hAnsiTheme="minorHAnsi" w:cstheme="minorHAnsi"/>
        </w:rPr>
        <w:t xml:space="preserve">after completion of </w:t>
      </w:r>
      <w:r w:rsidR="009D0A40">
        <w:rPr>
          <w:rFonts w:asciiTheme="minorHAnsi" w:hAnsiTheme="minorHAnsi" w:cstheme="minorHAnsi"/>
        </w:rPr>
        <w:t xml:space="preserve">the </w:t>
      </w:r>
      <w:r w:rsidR="001D3C34" w:rsidRPr="00CB64EE">
        <w:rPr>
          <w:rFonts w:asciiTheme="minorHAnsi" w:hAnsiTheme="minorHAnsi" w:cstheme="minorHAnsi"/>
        </w:rPr>
        <w:t xml:space="preserve">injection. This ensures </w:t>
      </w:r>
      <w:r w:rsidR="009D0A40">
        <w:rPr>
          <w:rFonts w:asciiTheme="minorHAnsi" w:hAnsiTheme="minorHAnsi" w:cstheme="minorHAnsi"/>
        </w:rPr>
        <w:t xml:space="preserve">that the </w:t>
      </w:r>
      <w:r w:rsidR="001D3C34" w:rsidRPr="00CB64EE">
        <w:rPr>
          <w:rFonts w:asciiTheme="minorHAnsi" w:hAnsiTheme="minorHAnsi" w:cstheme="minorHAnsi"/>
        </w:rPr>
        <w:t>cells have migrated adequately far from the injection site</w:t>
      </w:r>
      <w:r w:rsidR="00FE6595" w:rsidRPr="00CB64EE">
        <w:rPr>
          <w:rFonts w:asciiTheme="minorHAnsi" w:hAnsiTheme="minorHAnsi" w:cstheme="minorHAnsi"/>
        </w:rPr>
        <w:t xml:space="preserve"> prior to removal of the needle.</w:t>
      </w:r>
    </w:p>
    <w:p w14:paraId="06F6BCAF"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4933EB87" w14:textId="29B24DD3" w:rsidR="001D3C34" w:rsidRDefault="00FE6595" w:rsidP="00E21748">
      <w:pPr>
        <w:pStyle w:val="ListParagraph"/>
        <w:widowControl/>
        <w:numPr>
          <w:ilvl w:val="1"/>
          <w:numId w:val="32"/>
        </w:numPr>
        <w:autoSpaceDE/>
        <w:autoSpaceDN/>
        <w:adjustRightInd/>
        <w:snapToGrid w:val="0"/>
        <w:rPr>
          <w:rFonts w:asciiTheme="minorHAnsi" w:hAnsiTheme="minorHAnsi" w:cstheme="minorHAnsi"/>
        </w:rPr>
      </w:pPr>
      <w:r w:rsidRPr="00CB64EE">
        <w:rPr>
          <w:rFonts w:asciiTheme="minorHAnsi" w:hAnsiTheme="minorHAnsi" w:cstheme="minorHAnsi"/>
        </w:rPr>
        <w:t>As necessary, w</w:t>
      </w:r>
      <w:r w:rsidR="001D3C34" w:rsidRPr="00CB64EE">
        <w:rPr>
          <w:rFonts w:asciiTheme="minorHAnsi" w:hAnsiTheme="minorHAnsi" w:cstheme="minorHAnsi"/>
        </w:rPr>
        <w:t xml:space="preserve">ipe the mouse tail with sterile gauze to remove any </w:t>
      </w:r>
      <w:r w:rsidRPr="00CB64EE">
        <w:rPr>
          <w:rFonts w:asciiTheme="minorHAnsi" w:hAnsiTheme="minorHAnsi" w:cstheme="minorHAnsi"/>
        </w:rPr>
        <w:t xml:space="preserve">visible </w:t>
      </w:r>
      <w:r w:rsidR="001D3C34" w:rsidRPr="00CB64EE">
        <w:rPr>
          <w:rFonts w:asciiTheme="minorHAnsi" w:hAnsiTheme="minorHAnsi" w:cstheme="minorHAnsi"/>
        </w:rPr>
        <w:t>blood. Put the mouse back in</w:t>
      </w:r>
      <w:r w:rsidRPr="00CB64EE">
        <w:rPr>
          <w:rFonts w:asciiTheme="minorHAnsi" w:hAnsiTheme="minorHAnsi" w:cstheme="minorHAnsi"/>
        </w:rPr>
        <w:t>to</w:t>
      </w:r>
      <w:r w:rsidR="001D3C34" w:rsidRPr="00CB64EE">
        <w:rPr>
          <w:rFonts w:asciiTheme="minorHAnsi" w:hAnsiTheme="minorHAnsi" w:cstheme="minorHAnsi"/>
        </w:rPr>
        <w:t xml:space="preserve"> </w:t>
      </w:r>
      <w:r w:rsidR="009D0A40">
        <w:rPr>
          <w:rFonts w:asciiTheme="minorHAnsi" w:hAnsiTheme="minorHAnsi" w:cstheme="minorHAnsi"/>
        </w:rPr>
        <w:t>its</w:t>
      </w:r>
      <w:r w:rsidR="001D3C34" w:rsidRPr="00CB64EE">
        <w:rPr>
          <w:rFonts w:asciiTheme="minorHAnsi" w:hAnsiTheme="minorHAnsi" w:cstheme="minorHAnsi"/>
        </w:rPr>
        <w:t xml:space="preserve"> non-heated home cage.</w:t>
      </w:r>
    </w:p>
    <w:p w14:paraId="6CA2D085" w14:textId="77777777" w:rsidR="00B761E8" w:rsidRPr="00CB64EE" w:rsidRDefault="00B761E8" w:rsidP="00E21748">
      <w:pPr>
        <w:pStyle w:val="ListParagraph"/>
        <w:widowControl/>
        <w:autoSpaceDE/>
        <w:autoSpaceDN/>
        <w:adjustRightInd/>
        <w:snapToGrid w:val="0"/>
        <w:ind w:left="0"/>
        <w:rPr>
          <w:rFonts w:asciiTheme="minorHAnsi" w:hAnsiTheme="minorHAnsi" w:cstheme="minorHAnsi"/>
        </w:rPr>
      </w:pPr>
    </w:p>
    <w:p w14:paraId="67DF827E" w14:textId="2A6EC5EF" w:rsidR="001D3C34" w:rsidRPr="00CB64EE"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CB64EE">
        <w:rPr>
          <w:rFonts w:asciiTheme="minorHAnsi" w:hAnsiTheme="minorHAnsi" w:cstheme="minorHAnsi"/>
        </w:rPr>
        <w:t xml:space="preserve"> Repeat </w:t>
      </w:r>
      <w:r w:rsidR="009D0A40">
        <w:rPr>
          <w:rFonts w:asciiTheme="minorHAnsi" w:hAnsiTheme="minorHAnsi" w:cstheme="minorHAnsi"/>
        </w:rPr>
        <w:t xml:space="preserve">the </w:t>
      </w:r>
      <w:r w:rsidRPr="00CB64EE">
        <w:rPr>
          <w:rFonts w:asciiTheme="minorHAnsi" w:hAnsiTheme="minorHAnsi" w:cstheme="minorHAnsi"/>
        </w:rPr>
        <w:t>injection procedure with the remaining mice. It is not necessary to change the needle between the different mice unless the needle becomes dull</w:t>
      </w:r>
      <w:r w:rsidR="009D0A40">
        <w:rPr>
          <w:rFonts w:asciiTheme="minorHAnsi" w:hAnsiTheme="minorHAnsi" w:cstheme="minorHAnsi"/>
        </w:rPr>
        <w:t>, which is</w:t>
      </w:r>
      <w:r w:rsidRPr="00CB64EE">
        <w:rPr>
          <w:rFonts w:asciiTheme="minorHAnsi" w:hAnsiTheme="minorHAnsi" w:cstheme="minorHAnsi"/>
        </w:rPr>
        <w:t xml:space="preserve"> possible after 8</w:t>
      </w:r>
      <w:r w:rsidR="009D0A40" w:rsidRPr="00960CA7">
        <w:rPr>
          <w:rFonts w:asciiTheme="minorHAnsi" w:hAnsiTheme="minorHAnsi" w:cstheme="minorHAnsi"/>
        </w:rPr>
        <w:t>–</w:t>
      </w:r>
      <w:r w:rsidRPr="00CB64EE">
        <w:rPr>
          <w:rFonts w:asciiTheme="minorHAnsi" w:hAnsiTheme="minorHAnsi" w:cstheme="minorHAnsi"/>
        </w:rPr>
        <w:t>12 attempted tail</w:t>
      </w:r>
      <w:r w:rsidR="002547DD">
        <w:rPr>
          <w:rFonts w:asciiTheme="minorHAnsi" w:hAnsiTheme="minorHAnsi" w:cstheme="minorHAnsi"/>
        </w:rPr>
        <w:t xml:space="preserve"> </w:t>
      </w:r>
      <w:r w:rsidRPr="00CB64EE">
        <w:rPr>
          <w:rFonts w:asciiTheme="minorHAnsi" w:hAnsiTheme="minorHAnsi" w:cstheme="minorHAnsi"/>
        </w:rPr>
        <w:t>vein injections.</w:t>
      </w:r>
    </w:p>
    <w:p w14:paraId="049DFD8F" w14:textId="77777777" w:rsidR="001D3C34" w:rsidRPr="001B0BDF" w:rsidRDefault="001D3C34" w:rsidP="00E21748">
      <w:pPr>
        <w:pStyle w:val="ListParagraph"/>
        <w:snapToGrid w:val="0"/>
        <w:ind w:left="1080"/>
        <w:rPr>
          <w:rFonts w:asciiTheme="minorHAnsi" w:hAnsiTheme="minorHAnsi" w:cstheme="minorHAnsi"/>
        </w:rPr>
      </w:pPr>
    </w:p>
    <w:p w14:paraId="3C150C00" w14:textId="77777777" w:rsidR="001D3C34" w:rsidRPr="00FE6595" w:rsidRDefault="001D3C34" w:rsidP="00E21748">
      <w:pPr>
        <w:pStyle w:val="ListParagraph"/>
        <w:widowControl/>
        <w:numPr>
          <w:ilvl w:val="0"/>
          <w:numId w:val="32"/>
        </w:numPr>
        <w:autoSpaceDE/>
        <w:autoSpaceDN/>
        <w:adjustRightInd/>
        <w:snapToGrid w:val="0"/>
        <w:rPr>
          <w:rFonts w:asciiTheme="minorHAnsi" w:hAnsiTheme="minorHAnsi" w:cstheme="minorHAnsi"/>
          <w:b/>
        </w:rPr>
      </w:pPr>
      <w:r w:rsidRPr="00FE6595">
        <w:rPr>
          <w:rFonts w:asciiTheme="minorHAnsi" w:hAnsiTheme="minorHAnsi" w:cstheme="minorHAnsi"/>
          <w:b/>
        </w:rPr>
        <w:t>Blood collection and processing for analysis</w:t>
      </w:r>
    </w:p>
    <w:p w14:paraId="04C3B778"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0E7A268F" w14:textId="76AC3D15" w:rsidR="001D3C34" w:rsidRPr="003E1E1C" w:rsidRDefault="00E21748" w:rsidP="00E21748">
      <w:pPr>
        <w:pStyle w:val="ListParagraph"/>
        <w:widowControl/>
        <w:autoSpaceDE/>
        <w:autoSpaceDN/>
        <w:adjustRightInd/>
        <w:snapToGrid w:val="0"/>
        <w:ind w:left="0"/>
        <w:rPr>
          <w:rFonts w:asciiTheme="minorHAnsi" w:hAnsiTheme="minorHAnsi" w:cstheme="minorHAnsi"/>
        </w:rPr>
      </w:pPr>
      <w:r>
        <w:rPr>
          <w:rFonts w:asciiTheme="minorHAnsi" w:hAnsiTheme="minorHAnsi" w:cstheme="minorHAnsi"/>
        </w:rPr>
        <w:t xml:space="preserve">NOTE: </w:t>
      </w:r>
      <w:r w:rsidR="009D0A40" w:rsidRPr="003E1E1C">
        <w:rPr>
          <w:rFonts w:asciiTheme="minorHAnsi" w:hAnsiTheme="minorHAnsi" w:cstheme="minorHAnsi"/>
        </w:rPr>
        <w:t xml:space="preserve">Human cell engraftment in the peripheral blood can be evaluated via flow cytometry </w:t>
      </w:r>
      <w:r w:rsidR="001D3C34" w:rsidRPr="003E1E1C">
        <w:rPr>
          <w:rFonts w:asciiTheme="minorHAnsi" w:hAnsiTheme="minorHAnsi" w:cstheme="minorHAnsi"/>
        </w:rPr>
        <w:t>3</w:t>
      </w:r>
      <w:r>
        <w:rPr>
          <w:rFonts w:asciiTheme="minorHAnsi" w:hAnsiTheme="minorHAnsi" w:cstheme="minorHAnsi"/>
        </w:rPr>
        <w:t>–</w:t>
      </w:r>
      <w:r w:rsidR="001D3C34" w:rsidRPr="003E1E1C">
        <w:rPr>
          <w:rFonts w:asciiTheme="minorHAnsi" w:hAnsiTheme="minorHAnsi" w:cstheme="minorHAnsi"/>
        </w:rPr>
        <w:t>5 month</w:t>
      </w:r>
      <w:r>
        <w:rPr>
          <w:rFonts w:asciiTheme="minorHAnsi" w:hAnsiTheme="minorHAnsi" w:cstheme="minorHAnsi"/>
        </w:rPr>
        <w:t>s</w:t>
      </w:r>
      <w:r w:rsidR="001D3C34" w:rsidRPr="003E1E1C">
        <w:rPr>
          <w:rFonts w:asciiTheme="minorHAnsi" w:hAnsiTheme="minorHAnsi" w:cstheme="minorHAnsi"/>
        </w:rPr>
        <w:t xml:space="preserve"> after human stem cell transplantation.</w:t>
      </w:r>
    </w:p>
    <w:p w14:paraId="288065D5"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7F25E528" w14:textId="103DA8C6" w:rsidR="001D3C34"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E527EE">
        <w:rPr>
          <w:rFonts w:asciiTheme="minorHAnsi" w:hAnsiTheme="minorHAnsi" w:cstheme="minorHAnsi"/>
        </w:rPr>
        <w:t>Draw blood sample</w:t>
      </w:r>
      <w:r w:rsidR="001D4506" w:rsidRPr="00920F70">
        <w:rPr>
          <w:rFonts w:asciiTheme="minorHAnsi" w:hAnsiTheme="minorHAnsi" w:cstheme="minorHAnsi"/>
        </w:rPr>
        <w:t>s</w:t>
      </w:r>
      <w:r w:rsidRPr="00920F70">
        <w:rPr>
          <w:rFonts w:asciiTheme="minorHAnsi" w:hAnsiTheme="minorHAnsi" w:cstheme="minorHAnsi"/>
        </w:rPr>
        <w:t xml:space="preserve"> </w:t>
      </w:r>
      <w:r w:rsidR="00B4393B" w:rsidRPr="00920F70">
        <w:rPr>
          <w:rFonts w:asciiTheme="minorHAnsi" w:hAnsiTheme="minorHAnsi" w:cstheme="minorHAnsi"/>
        </w:rPr>
        <w:t>from the mice using local IACUC-</w:t>
      </w:r>
      <w:r w:rsidRPr="00920F70">
        <w:rPr>
          <w:rFonts w:asciiTheme="minorHAnsi" w:hAnsiTheme="minorHAnsi" w:cstheme="minorHAnsi"/>
        </w:rPr>
        <w:t>approved techniques.</w:t>
      </w:r>
    </w:p>
    <w:p w14:paraId="4A75BA06" w14:textId="77777777" w:rsidR="00B761E8" w:rsidRPr="00920F70" w:rsidRDefault="00B761E8" w:rsidP="00E21748">
      <w:pPr>
        <w:pStyle w:val="ListParagraph"/>
        <w:widowControl/>
        <w:autoSpaceDE/>
        <w:autoSpaceDN/>
        <w:adjustRightInd/>
        <w:snapToGrid w:val="0"/>
        <w:ind w:left="0"/>
        <w:rPr>
          <w:rFonts w:asciiTheme="minorHAnsi" w:hAnsiTheme="minorHAnsi" w:cstheme="minorHAnsi"/>
        </w:rPr>
      </w:pPr>
    </w:p>
    <w:p w14:paraId="6BD52BFC" w14:textId="19F209A5" w:rsidR="001D3C34" w:rsidRPr="00FE6595"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B042FD">
        <w:rPr>
          <w:rFonts w:asciiTheme="minorHAnsi" w:hAnsiTheme="minorHAnsi" w:cstheme="minorHAnsi"/>
        </w:rPr>
        <w:t>Collect a maximum of 70</w:t>
      </w:r>
      <w:r w:rsidR="00E21748">
        <w:rPr>
          <w:rFonts w:asciiTheme="minorHAnsi" w:hAnsiTheme="minorHAnsi" w:cstheme="minorHAnsi"/>
        </w:rPr>
        <w:t>–</w:t>
      </w:r>
      <w:r w:rsidRPr="00B042FD">
        <w:rPr>
          <w:rFonts w:asciiTheme="minorHAnsi" w:hAnsiTheme="minorHAnsi" w:cstheme="minorHAnsi"/>
        </w:rPr>
        <w:t xml:space="preserve">100 µL of total blood into sterile PCR </w:t>
      </w:r>
      <w:r w:rsidR="00345BCA" w:rsidRPr="00FE6595">
        <w:rPr>
          <w:rFonts w:asciiTheme="minorHAnsi" w:hAnsiTheme="minorHAnsi" w:cstheme="minorHAnsi"/>
        </w:rPr>
        <w:t>microcentrifuge</w:t>
      </w:r>
      <w:r w:rsidRPr="00FE6595">
        <w:rPr>
          <w:rFonts w:asciiTheme="minorHAnsi" w:hAnsiTheme="minorHAnsi" w:cstheme="minorHAnsi"/>
        </w:rPr>
        <w:t xml:space="preserve"> tubes containing 10 µL </w:t>
      </w:r>
      <w:r w:rsidR="00E21748">
        <w:rPr>
          <w:rFonts w:asciiTheme="minorHAnsi" w:hAnsiTheme="minorHAnsi" w:cstheme="minorHAnsi"/>
        </w:rPr>
        <w:t xml:space="preserve">of </w:t>
      </w:r>
      <w:r w:rsidRPr="00FE6595">
        <w:rPr>
          <w:rFonts w:asciiTheme="minorHAnsi" w:hAnsiTheme="minorHAnsi" w:cstheme="minorHAnsi"/>
        </w:rPr>
        <w:t xml:space="preserve">0.5 M </w:t>
      </w:r>
      <w:r w:rsidR="00E21748">
        <w:rPr>
          <w:rFonts w:asciiTheme="minorHAnsi" w:hAnsiTheme="minorHAnsi" w:cstheme="minorHAnsi"/>
        </w:rPr>
        <w:t>EDTA</w:t>
      </w:r>
      <w:r w:rsidR="009D0A40">
        <w:rPr>
          <w:rFonts w:asciiTheme="minorHAnsi" w:hAnsiTheme="minorHAnsi" w:cstheme="minorHAnsi"/>
        </w:rPr>
        <w:t xml:space="preserve"> (</w:t>
      </w:r>
      <w:r w:rsidRPr="00FE6595">
        <w:rPr>
          <w:rFonts w:asciiTheme="minorHAnsi" w:hAnsiTheme="minorHAnsi" w:cstheme="minorHAnsi"/>
        </w:rPr>
        <w:t xml:space="preserve">pH </w:t>
      </w:r>
      <w:r w:rsidR="009D0A40">
        <w:rPr>
          <w:rFonts w:asciiTheme="minorHAnsi" w:hAnsiTheme="minorHAnsi" w:cstheme="minorHAnsi"/>
        </w:rPr>
        <w:t xml:space="preserve">= </w:t>
      </w:r>
      <w:r w:rsidRPr="00FE6595">
        <w:rPr>
          <w:rFonts w:asciiTheme="minorHAnsi" w:hAnsiTheme="minorHAnsi" w:cstheme="minorHAnsi"/>
        </w:rPr>
        <w:t>8.0</w:t>
      </w:r>
      <w:r w:rsidR="009D0A40">
        <w:rPr>
          <w:rFonts w:asciiTheme="minorHAnsi" w:hAnsiTheme="minorHAnsi" w:cstheme="minorHAnsi"/>
        </w:rPr>
        <w:t>)</w:t>
      </w:r>
      <w:r w:rsidRPr="00FE6595">
        <w:rPr>
          <w:rFonts w:asciiTheme="minorHAnsi" w:hAnsiTheme="minorHAnsi" w:cstheme="minorHAnsi"/>
        </w:rPr>
        <w:t xml:space="preserve"> to avoid coagulation of blood. </w:t>
      </w:r>
    </w:p>
    <w:p w14:paraId="6C055782" w14:textId="77777777" w:rsidR="001D3C34" w:rsidRPr="00FE6595" w:rsidRDefault="001D3C34" w:rsidP="00E21748">
      <w:pPr>
        <w:pStyle w:val="ListParagraph"/>
        <w:snapToGrid w:val="0"/>
        <w:ind w:left="1080"/>
        <w:rPr>
          <w:rFonts w:asciiTheme="minorHAnsi" w:hAnsiTheme="minorHAnsi" w:cstheme="minorHAnsi"/>
        </w:rPr>
      </w:pPr>
    </w:p>
    <w:p w14:paraId="23FB04E6" w14:textId="77777777" w:rsidR="001D3C34" w:rsidRPr="00FE6595" w:rsidRDefault="001D3C34" w:rsidP="00E21748">
      <w:pPr>
        <w:pStyle w:val="ListParagraph"/>
        <w:widowControl/>
        <w:numPr>
          <w:ilvl w:val="0"/>
          <w:numId w:val="32"/>
        </w:numPr>
        <w:autoSpaceDE/>
        <w:autoSpaceDN/>
        <w:adjustRightInd/>
        <w:snapToGrid w:val="0"/>
        <w:rPr>
          <w:rFonts w:asciiTheme="minorHAnsi" w:hAnsiTheme="minorHAnsi" w:cstheme="minorHAnsi"/>
          <w:b/>
        </w:rPr>
      </w:pPr>
      <w:r w:rsidRPr="00FE6595">
        <w:rPr>
          <w:rFonts w:asciiTheme="minorHAnsi" w:hAnsiTheme="minorHAnsi" w:cstheme="minorHAnsi"/>
          <w:b/>
        </w:rPr>
        <w:t>Evaluation of human engraftment via flow cytometry</w:t>
      </w:r>
    </w:p>
    <w:p w14:paraId="6DC4195F"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6FF7A9F8" w14:textId="59649D33" w:rsidR="001D3C34" w:rsidRPr="00FE6595"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FE6595">
        <w:rPr>
          <w:rFonts w:asciiTheme="minorHAnsi" w:hAnsiTheme="minorHAnsi" w:cstheme="minorHAnsi"/>
        </w:rPr>
        <w:t>Transfer 40</w:t>
      </w:r>
      <w:r w:rsidR="00E21748">
        <w:rPr>
          <w:rFonts w:asciiTheme="minorHAnsi" w:hAnsiTheme="minorHAnsi" w:cstheme="minorHAnsi"/>
        </w:rPr>
        <w:t>–</w:t>
      </w:r>
      <w:r w:rsidRPr="00FE6595">
        <w:rPr>
          <w:rFonts w:asciiTheme="minorHAnsi" w:hAnsiTheme="minorHAnsi" w:cstheme="minorHAnsi"/>
        </w:rPr>
        <w:t>50 µL of blood to FACS tubes</w:t>
      </w:r>
      <w:r w:rsidR="009D0A40">
        <w:rPr>
          <w:rFonts w:asciiTheme="minorHAnsi" w:hAnsiTheme="minorHAnsi" w:cstheme="minorHAnsi"/>
        </w:rPr>
        <w:t>.</w:t>
      </w:r>
    </w:p>
    <w:p w14:paraId="62071C45"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0B4074B3" w14:textId="7568D063" w:rsidR="001D3C34" w:rsidRPr="00FE6595"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FE6595">
        <w:rPr>
          <w:rFonts w:asciiTheme="minorHAnsi" w:hAnsiTheme="minorHAnsi" w:cstheme="minorHAnsi"/>
        </w:rPr>
        <w:t xml:space="preserve">Add 5 µL of </w:t>
      </w:r>
      <w:r w:rsidR="009315C2" w:rsidRPr="00FE6595">
        <w:rPr>
          <w:rFonts w:asciiTheme="minorHAnsi" w:hAnsiTheme="minorHAnsi" w:cstheme="minorHAnsi"/>
        </w:rPr>
        <w:t xml:space="preserve">Fc Receptor blocking solution </w:t>
      </w:r>
      <w:r w:rsidRPr="00FE6595">
        <w:rPr>
          <w:rFonts w:asciiTheme="minorHAnsi" w:hAnsiTheme="minorHAnsi" w:cstheme="minorHAnsi"/>
        </w:rPr>
        <w:t xml:space="preserve">to prevent nonspecific binding of antibodies and leave for 10 min at RT. </w:t>
      </w:r>
    </w:p>
    <w:p w14:paraId="20905FB4"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42C9B631" w14:textId="539C164D" w:rsidR="001D3C34" w:rsidRPr="003E1E1C"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FE6595">
        <w:rPr>
          <w:rFonts w:asciiTheme="minorHAnsi" w:hAnsiTheme="minorHAnsi" w:cstheme="minorHAnsi"/>
        </w:rPr>
        <w:t xml:space="preserve">Add </w:t>
      </w:r>
      <w:r w:rsidR="009D0A40">
        <w:rPr>
          <w:rFonts w:asciiTheme="minorHAnsi" w:hAnsiTheme="minorHAnsi" w:cstheme="minorHAnsi"/>
        </w:rPr>
        <w:t xml:space="preserve">the </w:t>
      </w:r>
      <w:r w:rsidRPr="00FE6595">
        <w:rPr>
          <w:rFonts w:asciiTheme="minorHAnsi" w:hAnsiTheme="minorHAnsi" w:cstheme="minorHAnsi"/>
        </w:rPr>
        <w:t>mouse anti-human antibody mix containing CD4 (clone SK3) BUV 496, C</w:t>
      </w:r>
      <w:r w:rsidRPr="00E21748">
        <w:rPr>
          <w:rFonts w:asciiTheme="minorHAnsi" w:hAnsiTheme="minorHAnsi" w:cstheme="minorHAnsi"/>
        </w:rPr>
        <w:t xml:space="preserve">D8 (clone RPA-T8) BV421, CD3 (clone OKT3) FITC, CD19 (clone sj25c1) PE-Cy7, CD45 (clone 2D1) APC </w:t>
      </w:r>
      <w:r w:rsidR="00F82C52" w:rsidRPr="00E21748">
        <w:rPr>
          <w:rFonts w:asciiTheme="minorHAnsi" w:hAnsiTheme="minorHAnsi" w:cstheme="minorHAnsi"/>
        </w:rPr>
        <w:t>(</w:t>
      </w:r>
      <w:r w:rsidR="00E21748" w:rsidRPr="00E21748">
        <w:rPr>
          <w:rFonts w:asciiTheme="minorHAnsi" w:hAnsiTheme="minorHAnsi" w:cstheme="minorHAnsi"/>
          <w:b/>
        </w:rPr>
        <w:t>Table 4</w:t>
      </w:r>
      <w:r w:rsidR="00F82C52" w:rsidRPr="00E21748">
        <w:rPr>
          <w:rFonts w:asciiTheme="minorHAnsi" w:hAnsiTheme="minorHAnsi" w:cstheme="minorHAnsi"/>
        </w:rPr>
        <w:t>)</w:t>
      </w:r>
      <w:r w:rsidR="00604BD6" w:rsidRPr="00FE6595">
        <w:rPr>
          <w:rFonts w:asciiTheme="minorHAnsi" w:hAnsiTheme="minorHAnsi" w:cstheme="minorHAnsi"/>
        </w:rPr>
        <w:t xml:space="preserve"> </w:t>
      </w:r>
      <w:r w:rsidRPr="00FE6595">
        <w:rPr>
          <w:rFonts w:asciiTheme="minorHAnsi" w:hAnsiTheme="minorHAnsi" w:cstheme="minorHAnsi"/>
        </w:rPr>
        <w:t>and leave to stain in the dark at RT for 30 min.</w:t>
      </w:r>
      <w:r w:rsidR="003E1E1C">
        <w:rPr>
          <w:rFonts w:asciiTheme="minorHAnsi" w:hAnsiTheme="minorHAnsi" w:cstheme="minorHAnsi"/>
        </w:rPr>
        <w:t xml:space="preserve"> </w:t>
      </w:r>
      <w:r w:rsidR="003E1E1C" w:rsidRPr="002D7A19">
        <w:rPr>
          <w:rFonts w:asciiTheme="minorHAnsi" w:hAnsiTheme="minorHAnsi" w:cstheme="minorHAnsi"/>
        </w:rPr>
        <w:t>Fluoro</w:t>
      </w:r>
      <w:r w:rsidR="00E51F34">
        <w:rPr>
          <w:rFonts w:asciiTheme="minorHAnsi" w:hAnsiTheme="minorHAnsi" w:cstheme="minorHAnsi"/>
        </w:rPr>
        <w:t>phores</w:t>
      </w:r>
      <w:r w:rsidR="003E1E1C">
        <w:rPr>
          <w:rFonts w:asciiTheme="minorHAnsi" w:hAnsiTheme="minorHAnsi" w:cstheme="minorHAnsi"/>
        </w:rPr>
        <w:t xml:space="preserve"> must be</w:t>
      </w:r>
      <w:r w:rsidR="003E1E1C" w:rsidRPr="000D3624">
        <w:rPr>
          <w:rFonts w:asciiTheme="minorHAnsi" w:hAnsiTheme="minorHAnsi" w:cstheme="minorHAnsi"/>
        </w:rPr>
        <w:t xml:space="preserve"> chosen based on </w:t>
      </w:r>
      <w:r w:rsidR="003E1E1C" w:rsidRPr="000D3624">
        <w:rPr>
          <w:rFonts w:asciiTheme="minorHAnsi" w:hAnsiTheme="minorHAnsi" w:cstheme="minorHAnsi"/>
        </w:rPr>
        <w:lastRenderedPageBreak/>
        <w:t xml:space="preserve">parameters that can be assessed with the available flow cytometers without requiring </w:t>
      </w:r>
      <w:r w:rsidR="009D0A40">
        <w:rPr>
          <w:rFonts w:asciiTheme="minorHAnsi" w:hAnsiTheme="minorHAnsi" w:cstheme="minorHAnsi"/>
        </w:rPr>
        <w:t xml:space="preserve">a </w:t>
      </w:r>
      <w:r w:rsidR="003E1E1C" w:rsidRPr="000D3624">
        <w:rPr>
          <w:rFonts w:asciiTheme="minorHAnsi" w:hAnsiTheme="minorHAnsi" w:cstheme="minorHAnsi"/>
        </w:rPr>
        <w:t>compensation matrix</w:t>
      </w:r>
      <w:r w:rsidR="009D0A40">
        <w:rPr>
          <w:rFonts w:asciiTheme="minorHAnsi" w:hAnsiTheme="minorHAnsi" w:cstheme="minorHAnsi"/>
        </w:rPr>
        <w:t>.</w:t>
      </w:r>
    </w:p>
    <w:p w14:paraId="41CA50B7"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4F5F545C" w14:textId="7C608C3C" w:rsidR="001D3C34" w:rsidRPr="003E1E1C"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3E1E1C">
        <w:rPr>
          <w:rFonts w:asciiTheme="minorHAnsi" w:hAnsiTheme="minorHAnsi" w:cstheme="minorHAnsi"/>
        </w:rPr>
        <w:t xml:space="preserve">Add 2 mL of </w:t>
      </w:r>
      <w:r w:rsidR="00980DB6">
        <w:rPr>
          <w:rFonts w:asciiTheme="minorHAnsi" w:hAnsiTheme="minorHAnsi" w:cstheme="minorHAnsi"/>
        </w:rPr>
        <w:t xml:space="preserve">an </w:t>
      </w:r>
      <w:r w:rsidR="001D4506" w:rsidRPr="003E1E1C">
        <w:rPr>
          <w:rFonts w:asciiTheme="minorHAnsi" w:hAnsiTheme="minorHAnsi" w:cstheme="minorHAnsi"/>
        </w:rPr>
        <w:t xml:space="preserve">appropriate red blood cell lysing buffer </w:t>
      </w:r>
      <w:r w:rsidRPr="003E1E1C">
        <w:rPr>
          <w:rFonts w:asciiTheme="minorHAnsi" w:hAnsiTheme="minorHAnsi" w:cstheme="minorHAnsi"/>
        </w:rPr>
        <w:t>to each tube</w:t>
      </w:r>
      <w:r w:rsidR="009B479C" w:rsidRPr="003E1E1C">
        <w:rPr>
          <w:rFonts w:asciiTheme="minorHAnsi" w:hAnsiTheme="minorHAnsi" w:cstheme="minorHAnsi"/>
        </w:rPr>
        <w:t xml:space="preserve"> to lyse </w:t>
      </w:r>
      <w:r w:rsidR="009D0A40">
        <w:rPr>
          <w:rFonts w:asciiTheme="minorHAnsi" w:hAnsiTheme="minorHAnsi" w:cstheme="minorHAnsi"/>
        </w:rPr>
        <w:t xml:space="preserve">the </w:t>
      </w:r>
      <w:r w:rsidR="009B479C" w:rsidRPr="003E1E1C">
        <w:rPr>
          <w:rFonts w:asciiTheme="minorHAnsi" w:hAnsiTheme="minorHAnsi" w:cstheme="minorHAnsi"/>
        </w:rPr>
        <w:t>red blood cells</w:t>
      </w:r>
      <w:r w:rsidRPr="003E1E1C">
        <w:rPr>
          <w:rFonts w:asciiTheme="minorHAnsi" w:hAnsiTheme="minorHAnsi" w:cstheme="minorHAnsi"/>
        </w:rPr>
        <w:t>.</w:t>
      </w:r>
      <w:r w:rsidR="003E1E1C">
        <w:rPr>
          <w:rFonts w:asciiTheme="minorHAnsi" w:hAnsiTheme="minorHAnsi" w:cstheme="minorHAnsi"/>
        </w:rPr>
        <w:t xml:space="preserve"> </w:t>
      </w:r>
      <w:r w:rsidR="00AF2FCE">
        <w:rPr>
          <w:rFonts w:asciiTheme="minorHAnsi" w:hAnsiTheme="minorHAnsi" w:cstheme="minorHAnsi"/>
        </w:rPr>
        <w:t>Use a</w:t>
      </w:r>
      <w:r w:rsidR="003E1E1C">
        <w:rPr>
          <w:rFonts w:asciiTheme="minorHAnsi" w:hAnsiTheme="minorHAnsi" w:cstheme="minorHAnsi"/>
        </w:rPr>
        <w:t xml:space="preserve"> lysis buffer specifically formulated for antibody staining prior to red blood cell lysis </w:t>
      </w:r>
      <w:r w:rsidR="003E1E1C" w:rsidRPr="003E1E1C">
        <w:rPr>
          <w:rFonts w:asciiTheme="minorHAnsi" w:hAnsiTheme="minorHAnsi" w:cstheme="minorHAnsi"/>
        </w:rPr>
        <w:t>(</w:t>
      </w:r>
      <w:r w:rsidR="009D0A40">
        <w:rPr>
          <w:rFonts w:asciiTheme="minorHAnsi" w:hAnsiTheme="minorHAnsi" w:cstheme="minorHAnsi"/>
        </w:rPr>
        <w:t xml:space="preserve">a </w:t>
      </w:r>
      <w:r w:rsidR="003E1E1C">
        <w:rPr>
          <w:rFonts w:asciiTheme="minorHAnsi" w:hAnsiTheme="minorHAnsi" w:cstheme="minorHAnsi"/>
        </w:rPr>
        <w:t xml:space="preserve">suitable example is given in the </w:t>
      </w:r>
      <w:r w:rsidR="00E21748" w:rsidRPr="00E21748">
        <w:rPr>
          <w:b/>
        </w:rPr>
        <w:t>Table of Materials</w:t>
      </w:r>
      <w:r w:rsidR="003E1E1C" w:rsidRPr="003E1E1C">
        <w:rPr>
          <w:rFonts w:asciiTheme="minorHAnsi" w:hAnsiTheme="minorHAnsi" w:cstheme="minorHAnsi"/>
        </w:rPr>
        <w:t>)</w:t>
      </w:r>
      <w:r w:rsidR="003E1E1C">
        <w:rPr>
          <w:rFonts w:asciiTheme="minorHAnsi" w:hAnsiTheme="minorHAnsi" w:cstheme="minorHAnsi"/>
        </w:rPr>
        <w:t>.</w:t>
      </w:r>
      <w:r w:rsidRPr="003E1E1C">
        <w:rPr>
          <w:rFonts w:asciiTheme="minorHAnsi" w:hAnsiTheme="minorHAnsi" w:cstheme="minorHAnsi"/>
        </w:rPr>
        <w:t xml:space="preserve"> Vortex briefly to ensure equal distribution of </w:t>
      </w:r>
      <w:r w:rsidR="009D0A40">
        <w:rPr>
          <w:rFonts w:asciiTheme="minorHAnsi" w:hAnsiTheme="minorHAnsi" w:cstheme="minorHAnsi"/>
        </w:rPr>
        <w:t xml:space="preserve">the </w:t>
      </w:r>
      <w:r w:rsidRPr="003E1E1C">
        <w:rPr>
          <w:rFonts w:asciiTheme="minorHAnsi" w:hAnsiTheme="minorHAnsi" w:cstheme="minorHAnsi"/>
        </w:rPr>
        <w:t xml:space="preserve">cells in the lysing solution and leave for 10 min </w:t>
      </w:r>
      <w:r w:rsidR="003E1E1C">
        <w:rPr>
          <w:rFonts w:asciiTheme="minorHAnsi" w:hAnsiTheme="minorHAnsi" w:cstheme="minorHAnsi"/>
        </w:rPr>
        <w:t xml:space="preserve">at </w:t>
      </w:r>
      <w:r w:rsidRPr="003E1E1C">
        <w:rPr>
          <w:rFonts w:asciiTheme="minorHAnsi" w:hAnsiTheme="minorHAnsi" w:cstheme="minorHAnsi"/>
        </w:rPr>
        <w:t>RT.</w:t>
      </w:r>
      <w:r w:rsidR="009D0A40" w:rsidRPr="009D0A40">
        <w:rPr>
          <w:rFonts w:asciiTheme="minorHAnsi" w:hAnsiTheme="minorHAnsi" w:cstheme="minorHAnsi"/>
        </w:rPr>
        <w:t xml:space="preserve"> </w:t>
      </w:r>
      <w:r w:rsidR="009D0A40" w:rsidRPr="003E1E1C">
        <w:rPr>
          <w:rFonts w:asciiTheme="minorHAnsi" w:hAnsiTheme="minorHAnsi" w:cstheme="minorHAnsi"/>
        </w:rPr>
        <w:t xml:space="preserve">Equal distribution of </w:t>
      </w:r>
      <w:r w:rsidR="009D0A40">
        <w:rPr>
          <w:rFonts w:asciiTheme="minorHAnsi" w:hAnsiTheme="minorHAnsi" w:cstheme="minorHAnsi"/>
        </w:rPr>
        <w:t xml:space="preserve">the </w:t>
      </w:r>
      <w:r w:rsidR="009D0A40" w:rsidRPr="003E1E1C">
        <w:rPr>
          <w:rFonts w:asciiTheme="minorHAnsi" w:hAnsiTheme="minorHAnsi" w:cstheme="minorHAnsi"/>
        </w:rPr>
        <w:t>cells</w:t>
      </w:r>
      <w:r w:rsidR="009D0A40">
        <w:rPr>
          <w:rFonts w:asciiTheme="minorHAnsi" w:hAnsiTheme="minorHAnsi" w:cstheme="minorHAnsi"/>
        </w:rPr>
        <w:t xml:space="preserve"> is important.</w:t>
      </w:r>
    </w:p>
    <w:p w14:paraId="3C61E29E"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1734301B" w14:textId="44CBF952" w:rsidR="001D3C34" w:rsidRPr="003E1E1C"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3E1E1C">
        <w:rPr>
          <w:rFonts w:asciiTheme="minorHAnsi" w:hAnsiTheme="minorHAnsi" w:cstheme="minorHAnsi"/>
        </w:rPr>
        <w:t xml:space="preserve">Add 2 mL of FACS buffer to stop </w:t>
      </w:r>
      <w:r w:rsidR="009D0A40">
        <w:rPr>
          <w:rFonts w:asciiTheme="minorHAnsi" w:hAnsiTheme="minorHAnsi" w:cstheme="minorHAnsi"/>
        </w:rPr>
        <w:t xml:space="preserve">the </w:t>
      </w:r>
      <w:r w:rsidR="003E1E1C" w:rsidRPr="003E1E1C">
        <w:rPr>
          <w:rFonts w:asciiTheme="minorHAnsi" w:hAnsiTheme="minorHAnsi" w:cstheme="minorHAnsi"/>
        </w:rPr>
        <w:t>lysi</w:t>
      </w:r>
      <w:r w:rsidR="003E1E1C">
        <w:rPr>
          <w:rFonts w:asciiTheme="minorHAnsi" w:hAnsiTheme="minorHAnsi" w:cstheme="minorHAnsi"/>
        </w:rPr>
        <w:t>s</w:t>
      </w:r>
      <w:r w:rsidR="003E1E1C" w:rsidRPr="003E1E1C">
        <w:rPr>
          <w:rFonts w:asciiTheme="minorHAnsi" w:hAnsiTheme="minorHAnsi" w:cstheme="minorHAnsi"/>
        </w:rPr>
        <w:t xml:space="preserve"> </w:t>
      </w:r>
      <w:r w:rsidRPr="003E1E1C">
        <w:rPr>
          <w:rFonts w:asciiTheme="minorHAnsi" w:hAnsiTheme="minorHAnsi" w:cstheme="minorHAnsi"/>
        </w:rPr>
        <w:t>reaction.</w:t>
      </w:r>
    </w:p>
    <w:p w14:paraId="071F1B15"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482637C0" w14:textId="1EF0D129" w:rsidR="001D3C34" w:rsidRPr="00AF2FCE"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AF2FCE">
        <w:rPr>
          <w:rFonts w:asciiTheme="minorHAnsi" w:hAnsiTheme="minorHAnsi" w:cstheme="minorHAnsi"/>
        </w:rPr>
        <w:t>Centrifuge for 5 min at 300 x</w:t>
      </w:r>
      <w:r w:rsidR="007708BF" w:rsidRPr="007708BF">
        <w:rPr>
          <w:rFonts w:asciiTheme="minorHAnsi" w:hAnsiTheme="minorHAnsi" w:cstheme="minorHAnsi"/>
          <w:i/>
        </w:rPr>
        <w:t xml:space="preserve"> g </w:t>
      </w:r>
      <w:r w:rsidRPr="00AF2FCE">
        <w:rPr>
          <w:rFonts w:asciiTheme="minorHAnsi" w:hAnsiTheme="minorHAnsi" w:cstheme="minorHAnsi"/>
        </w:rPr>
        <w:t>at RT</w:t>
      </w:r>
      <w:r w:rsidR="00604BD6" w:rsidRPr="00AF2FCE">
        <w:rPr>
          <w:rFonts w:asciiTheme="minorHAnsi" w:hAnsiTheme="minorHAnsi" w:cstheme="minorHAnsi"/>
        </w:rPr>
        <w:t xml:space="preserve"> to pellet </w:t>
      </w:r>
      <w:r w:rsidR="009D0A40">
        <w:rPr>
          <w:rFonts w:asciiTheme="minorHAnsi" w:hAnsiTheme="minorHAnsi" w:cstheme="minorHAnsi"/>
        </w:rPr>
        <w:t xml:space="preserve">the </w:t>
      </w:r>
      <w:r w:rsidR="00604BD6" w:rsidRPr="00AF2FCE">
        <w:rPr>
          <w:rFonts w:asciiTheme="minorHAnsi" w:hAnsiTheme="minorHAnsi" w:cstheme="minorHAnsi"/>
        </w:rPr>
        <w:t>cells</w:t>
      </w:r>
      <w:r w:rsidRPr="00AF2FCE">
        <w:rPr>
          <w:rFonts w:asciiTheme="minorHAnsi" w:hAnsiTheme="minorHAnsi" w:cstheme="minorHAnsi"/>
        </w:rPr>
        <w:t xml:space="preserve">. </w:t>
      </w:r>
    </w:p>
    <w:p w14:paraId="07162D55"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7D35A693" w14:textId="43F34BD9" w:rsidR="001D3C34" w:rsidRPr="00B761E8"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B761E8">
        <w:rPr>
          <w:rFonts w:asciiTheme="minorHAnsi" w:hAnsiTheme="minorHAnsi" w:cstheme="minorHAnsi"/>
        </w:rPr>
        <w:t xml:space="preserve">Pour off </w:t>
      </w:r>
      <w:r w:rsidR="009D0A40">
        <w:rPr>
          <w:rFonts w:asciiTheme="minorHAnsi" w:hAnsiTheme="minorHAnsi" w:cstheme="minorHAnsi"/>
        </w:rPr>
        <w:t xml:space="preserve">the </w:t>
      </w:r>
      <w:r w:rsidRPr="00B761E8">
        <w:rPr>
          <w:rFonts w:asciiTheme="minorHAnsi" w:hAnsiTheme="minorHAnsi" w:cstheme="minorHAnsi"/>
        </w:rPr>
        <w:t xml:space="preserve">supernatant and vortex gently until </w:t>
      </w:r>
      <w:r w:rsidR="009D0A40">
        <w:rPr>
          <w:rFonts w:asciiTheme="minorHAnsi" w:hAnsiTheme="minorHAnsi" w:cstheme="minorHAnsi"/>
        </w:rPr>
        <w:t xml:space="preserve">the </w:t>
      </w:r>
      <w:r w:rsidRPr="00B761E8">
        <w:rPr>
          <w:rFonts w:asciiTheme="minorHAnsi" w:hAnsiTheme="minorHAnsi" w:cstheme="minorHAnsi"/>
        </w:rPr>
        <w:t>cells are resuspended.</w:t>
      </w:r>
    </w:p>
    <w:p w14:paraId="4F0378A2"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0E444FD7" w14:textId="436FC7A5" w:rsidR="001D3C34" w:rsidRPr="000D3624"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0D3624">
        <w:rPr>
          <w:rFonts w:asciiTheme="minorHAnsi" w:hAnsiTheme="minorHAnsi" w:cstheme="minorHAnsi"/>
        </w:rPr>
        <w:t>Add 3 mL of FACS buffer</w:t>
      </w:r>
      <w:r w:rsidR="009D0A40">
        <w:rPr>
          <w:rFonts w:asciiTheme="minorHAnsi" w:hAnsiTheme="minorHAnsi" w:cstheme="minorHAnsi"/>
        </w:rPr>
        <w:t xml:space="preserve"> and</w:t>
      </w:r>
      <w:r w:rsidRPr="000D3624">
        <w:rPr>
          <w:rFonts w:asciiTheme="minorHAnsi" w:hAnsiTheme="minorHAnsi" w:cstheme="minorHAnsi"/>
        </w:rPr>
        <w:t xml:space="preserve"> centrifuge for 5 min at 300 x</w:t>
      </w:r>
      <w:r w:rsidR="007708BF" w:rsidRPr="007708BF">
        <w:rPr>
          <w:rFonts w:asciiTheme="minorHAnsi" w:hAnsiTheme="minorHAnsi" w:cstheme="minorHAnsi"/>
          <w:i/>
        </w:rPr>
        <w:t xml:space="preserve"> g </w:t>
      </w:r>
      <w:r w:rsidRPr="000D3624">
        <w:rPr>
          <w:rFonts w:asciiTheme="minorHAnsi" w:hAnsiTheme="minorHAnsi" w:cstheme="minorHAnsi"/>
        </w:rPr>
        <w:t>at RT.</w:t>
      </w:r>
    </w:p>
    <w:p w14:paraId="253630C4"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6DB79716" w14:textId="1CCD7489" w:rsidR="001D3C34" w:rsidRPr="000D3624"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0D3624">
        <w:rPr>
          <w:rFonts w:asciiTheme="minorHAnsi" w:hAnsiTheme="minorHAnsi" w:cstheme="minorHAnsi"/>
        </w:rPr>
        <w:t xml:space="preserve">Pour off </w:t>
      </w:r>
      <w:r w:rsidR="009D0A40">
        <w:rPr>
          <w:rFonts w:asciiTheme="minorHAnsi" w:hAnsiTheme="minorHAnsi" w:cstheme="minorHAnsi"/>
        </w:rPr>
        <w:t xml:space="preserve">the </w:t>
      </w:r>
      <w:r w:rsidRPr="000D3624">
        <w:rPr>
          <w:rFonts w:asciiTheme="minorHAnsi" w:hAnsiTheme="minorHAnsi" w:cstheme="minorHAnsi"/>
        </w:rPr>
        <w:t xml:space="preserve">supernatant and resuspend </w:t>
      </w:r>
      <w:r w:rsidR="009D0A40">
        <w:rPr>
          <w:rFonts w:asciiTheme="minorHAnsi" w:hAnsiTheme="minorHAnsi" w:cstheme="minorHAnsi"/>
        </w:rPr>
        <w:t xml:space="preserve">the </w:t>
      </w:r>
      <w:r w:rsidRPr="000D3624">
        <w:rPr>
          <w:rFonts w:asciiTheme="minorHAnsi" w:hAnsiTheme="minorHAnsi" w:cstheme="minorHAnsi"/>
        </w:rPr>
        <w:t>cells</w:t>
      </w:r>
      <w:r w:rsidR="005C2FC9" w:rsidRPr="000D3624">
        <w:rPr>
          <w:rFonts w:asciiTheme="minorHAnsi" w:hAnsiTheme="minorHAnsi" w:cstheme="minorHAnsi"/>
        </w:rPr>
        <w:t>.</w:t>
      </w:r>
    </w:p>
    <w:p w14:paraId="5FE3F585"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372C18BC" w14:textId="3BF9C0EB"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E21748">
        <w:rPr>
          <w:rFonts w:asciiTheme="minorHAnsi" w:hAnsiTheme="minorHAnsi" w:cstheme="minorHAnsi"/>
        </w:rPr>
        <w:t xml:space="preserve">Record </w:t>
      </w:r>
      <w:r w:rsidR="009D0A40">
        <w:rPr>
          <w:rFonts w:asciiTheme="minorHAnsi" w:hAnsiTheme="minorHAnsi" w:cstheme="minorHAnsi"/>
        </w:rPr>
        <w:t xml:space="preserve">the </w:t>
      </w:r>
      <w:r w:rsidRPr="00E21748">
        <w:rPr>
          <w:rFonts w:asciiTheme="minorHAnsi" w:hAnsiTheme="minorHAnsi" w:cstheme="minorHAnsi"/>
        </w:rPr>
        <w:t>samples</w:t>
      </w:r>
      <w:r w:rsidR="00F77D58" w:rsidRPr="00E21748">
        <w:rPr>
          <w:rFonts w:asciiTheme="minorHAnsi" w:hAnsiTheme="minorHAnsi" w:cstheme="minorHAnsi"/>
        </w:rPr>
        <w:t xml:space="preserve"> on </w:t>
      </w:r>
      <w:r w:rsidR="009D0A40">
        <w:rPr>
          <w:rFonts w:asciiTheme="minorHAnsi" w:hAnsiTheme="minorHAnsi" w:cstheme="minorHAnsi"/>
        </w:rPr>
        <w:t xml:space="preserve">an </w:t>
      </w:r>
      <w:r w:rsidR="00F77D58" w:rsidRPr="00E21748">
        <w:rPr>
          <w:rFonts w:asciiTheme="minorHAnsi" w:hAnsiTheme="minorHAnsi" w:cstheme="minorHAnsi"/>
        </w:rPr>
        <w:t xml:space="preserve">appropriate flow cytometer </w:t>
      </w:r>
      <w:r w:rsidRPr="00E21748">
        <w:rPr>
          <w:rFonts w:asciiTheme="minorHAnsi" w:hAnsiTheme="minorHAnsi" w:cstheme="minorHAnsi"/>
        </w:rPr>
        <w:t xml:space="preserve">and </w:t>
      </w:r>
      <w:r w:rsidR="00421601" w:rsidRPr="00E21748">
        <w:rPr>
          <w:rFonts w:asciiTheme="minorHAnsi" w:hAnsiTheme="minorHAnsi" w:cstheme="minorHAnsi"/>
        </w:rPr>
        <w:t>analyze</w:t>
      </w:r>
      <w:r w:rsidRPr="00E21748">
        <w:rPr>
          <w:rFonts w:asciiTheme="minorHAnsi" w:hAnsiTheme="minorHAnsi" w:cstheme="minorHAnsi"/>
        </w:rPr>
        <w:t xml:space="preserve"> </w:t>
      </w:r>
      <w:r w:rsidR="003E1E1C" w:rsidRPr="00E21748">
        <w:rPr>
          <w:rFonts w:asciiTheme="minorHAnsi" w:hAnsiTheme="minorHAnsi" w:cstheme="minorHAnsi"/>
        </w:rPr>
        <w:t xml:space="preserve">using </w:t>
      </w:r>
      <w:r w:rsidR="00DE4594" w:rsidRPr="00E21748">
        <w:rPr>
          <w:rFonts w:asciiTheme="minorHAnsi" w:hAnsiTheme="minorHAnsi" w:cstheme="minorHAnsi"/>
        </w:rPr>
        <w:t>appropriate software</w:t>
      </w:r>
      <w:r w:rsidRPr="00E21748">
        <w:rPr>
          <w:rFonts w:asciiTheme="minorHAnsi" w:hAnsiTheme="minorHAnsi" w:cstheme="minorHAnsi"/>
        </w:rPr>
        <w:t xml:space="preserve"> </w:t>
      </w:r>
      <w:r w:rsidR="00F77D58" w:rsidRPr="00E21748">
        <w:rPr>
          <w:rFonts w:asciiTheme="minorHAnsi" w:hAnsiTheme="minorHAnsi" w:cstheme="minorHAnsi"/>
        </w:rPr>
        <w:t>(</w:t>
      </w:r>
      <w:r w:rsidR="00E21748" w:rsidRPr="00E21748">
        <w:rPr>
          <w:b/>
          <w:bCs/>
        </w:rPr>
        <w:t>Table of Materials</w:t>
      </w:r>
      <w:r w:rsidR="00F77D58" w:rsidRPr="00E21748">
        <w:rPr>
          <w:rFonts w:asciiTheme="minorHAnsi" w:hAnsiTheme="minorHAnsi" w:cstheme="minorHAnsi"/>
        </w:rPr>
        <w:t>)</w:t>
      </w:r>
      <w:r w:rsidR="00E21748">
        <w:rPr>
          <w:rFonts w:asciiTheme="minorHAnsi" w:hAnsiTheme="minorHAnsi" w:cstheme="minorHAnsi"/>
        </w:rPr>
        <w:t xml:space="preserve">. </w:t>
      </w:r>
      <w:r w:rsidRPr="00E21748">
        <w:rPr>
          <w:rFonts w:asciiTheme="minorHAnsi" w:hAnsiTheme="minorHAnsi" w:cstheme="minorHAnsi"/>
        </w:rPr>
        <w:t xml:space="preserve">Representative analysis and results are depicted in </w:t>
      </w:r>
      <w:r w:rsidR="00E21748" w:rsidRPr="00E21748">
        <w:rPr>
          <w:rFonts w:asciiTheme="minorHAnsi" w:hAnsiTheme="minorHAnsi" w:cstheme="minorHAnsi"/>
          <w:b/>
        </w:rPr>
        <w:t>Figure 2</w:t>
      </w:r>
      <w:r w:rsidRPr="00E21748">
        <w:rPr>
          <w:rFonts w:asciiTheme="minorHAnsi" w:hAnsiTheme="minorHAnsi" w:cstheme="minorHAnsi"/>
        </w:rPr>
        <w:t xml:space="preserve"> and </w:t>
      </w:r>
      <w:r w:rsidR="00E21748" w:rsidRPr="00E21748">
        <w:rPr>
          <w:rFonts w:asciiTheme="minorHAnsi" w:hAnsiTheme="minorHAnsi" w:cstheme="minorHAnsi"/>
          <w:b/>
        </w:rPr>
        <w:t>Figure 3</w:t>
      </w:r>
      <w:r w:rsidR="00E21748">
        <w:rPr>
          <w:rFonts w:asciiTheme="minorHAnsi" w:hAnsiTheme="minorHAnsi" w:cstheme="minorHAnsi"/>
        </w:rPr>
        <w:t>.</w:t>
      </w:r>
    </w:p>
    <w:p w14:paraId="31BDB3F2" w14:textId="77777777" w:rsidR="001D3C34" w:rsidRPr="003E1E1C" w:rsidRDefault="001D3C34" w:rsidP="00E21748">
      <w:pPr>
        <w:pStyle w:val="ListParagraph"/>
        <w:snapToGrid w:val="0"/>
        <w:ind w:left="1080"/>
        <w:rPr>
          <w:rFonts w:asciiTheme="minorHAnsi" w:hAnsiTheme="minorHAnsi" w:cstheme="minorHAnsi"/>
        </w:rPr>
      </w:pPr>
    </w:p>
    <w:p w14:paraId="55AD27F9" w14:textId="77777777" w:rsidR="001D3C34" w:rsidRPr="00CB64EE" w:rsidRDefault="001D3C34" w:rsidP="00E21748">
      <w:pPr>
        <w:pStyle w:val="ListParagraph"/>
        <w:widowControl/>
        <w:numPr>
          <w:ilvl w:val="0"/>
          <w:numId w:val="32"/>
        </w:numPr>
        <w:autoSpaceDE/>
        <w:autoSpaceDN/>
        <w:adjustRightInd/>
        <w:snapToGrid w:val="0"/>
        <w:rPr>
          <w:rFonts w:asciiTheme="minorHAnsi" w:hAnsiTheme="minorHAnsi" w:cstheme="minorHAnsi"/>
          <w:b/>
          <w:highlight w:val="yellow"/>
        </w:rPr>
      </w:pPr>
      <w:r w:rsidRPr="00CB64EE">
        <w:rPr>
          <w:rFonts w:asciiTheme="minorHAnsi" w:hAnsiTheme="minorHAnsi" w:cstheme="minorHAnsi"/>
          <w:b/>
          <w:highlight w:val="yellow"/>
        </w:rPr>
        <w:t>Intravaginal HIV exposure</w:t>
      </w:r>
    </w:p>
    <w:p w14:paraId="6BF0D7F8"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highlight w:val="yellow"/>
        </w:rPr>
      </w:pPr>
    </w:p>
    <w:p w14:paraId="6EE36C39" w14:textId="352C51F5" w:rsidR="001D3C34" w:rsidRPr="00E21748" w:rsidRDefault="00E21748" w:rsidP="00E21748">
      <w:pPr>
        <w:pStyle w:val="ListParagraph"/>
        <w:widowControl/>
        <w:autoSpaceDE/>
        <w:autoSpaceDN/>
        <w:adjustRightInd/>
        <w:snapToGrid w:val="0"/>
        <w:ind w:left="0"/>
        <w:rPr>
          <w:rFonts w:asciiTheme="minorHAnsi" w:hAnsiTheme="minorHAnsi" w:cstheme="minorHAnsi"/>
          <w:highlight w:val="yellow"/>
        </w:rPr>
      </w:pPr>
      <w:r>
        <w:rPr>
          <w:rFonts w:asciiTheme="minorHAnsi" w:hAnsiTheme="minorHAnsi" w:cstheme="minorHAnsi"/>
          <w:highlight w:val="yellow"/>
        </w:rPr>
        <w:t xml:space="preserve">NOTE: </w:t>
      </w:r>
      <w:r w:rsidR="009D0A40">
        <w:rPr>
          <w:rFonts w:asciiTheme="minorHAnsi" w:hAnsiTheme="minorHAnsi" w:cstheme="minorHAnsi"/>
          <w:highlight w:val="yellow"/>
        </w:rPr>
        <w:t xml:space="preserve">The </w:t>
      </w:r>
      <w:r w:rsidR="009D0A40" w:rsidRPr="00E21748">
        <w:rPr>
          <w:rFonts w:asciiTheme="minorHAnsi" w:hAnsiTheme="minorHAnsi" w:cstheme="minorHAnsi"/>
          <w:highlight w:val="yellow"/>
        </w:rPr>
        <w:t xml:space="preserve">virus </w:t>
      </w:r>
      <w:r w:rsidR="001D3C34" w:rsidRPr="00E21748">
        <w:rPr>
          <w:rFonts w:asciiTheme="minorHAnsi" w:hAnsiTheme="minorHAnsi" w:cstheme="minorHAnsi"/>
          <w:highlight w:val="yellow"/>
        </w:rPr>
        <w:t xml:space="preserve">used for intravaginal exposure of </w:t>
      </w:r>
      <w:r w:rsidR="004E079D">
        <w:rPr>
          <w:rFonts w:asciiTheme="minorHAnsi" w:hAnsiTheme="minorHAnsi" w:cstheme="minorHAnsi"/>
          <w:highlight w:val="yellow"/>
        </w:rPr>
        <w:t xml:space="preserve">the </w:t>
      </w:r>
      <w:r w:rsidR="001D3C34" w:rsidRPr="00E21748">
        <w:rPr>
          <w:rFonts w:asciiTheme="minorHAnsi" w:hAnsiTheme="minorHAnsi" w:cstheme="minorHAnsi"/>
          <w:highlight w:val="yellow"/>
        </w:rPr>
        <w:t>mice can be produced using previously published protocols</w:t>
      </w:r>
      <w:r w:rsidR="00A85CC2" w:rsidRPr="00E21748">
        <w:rPr>
          <w:rFonts w:asciiTheme="minorHAnsi" w:hAnsiTheme="minorHAnsi" w:cstheme="minorHAnsi"/>
          <w:noProof/>
          <w:highlight w:val="yellow"/>
          <w:vertAlign w:val="superscript"/>
        </w:rPr>
        <w:t>17</w:t>
      </w:r>
      <w:r w:rsidR="005C2FC9" w:rsidRPr="00E21748">
        <w:rPr>
          <w:rFonts w:asciiTheme="minorHAnsi" w:hAnsiTheme="minorHAnsi" w:cstheme="minorHAnsi"/>
          <w:highlight w:val="yellow"/>
        </w:rPr>
        <w:t xml:space="preserve">. </w:t>
      </w:r>
      <w:r w:rsidR="009D0A40">
        <w:rPr>
          <w:rFonts w:asciiTheme="minorHAnsi" w:hAnsiTheme="minorHAnsi" w:cstheme="minorHAnsi"/>
          <w:highlight w:val="yellow"/>
        </w:rPr>
        <w:t>The v</w:t>
      </w:r>
      <w:r w:rsidR="005C2FC9" w:rsidRPr="00E21748">
        <w:rPr>
          <w:rFonts w:asciiTheme="minorHAnsi" w:hAnsiTheme="minorHAnsi" w:cstheme="minorHAnsi"/>
          <w:highlight w:val="yellow"/>
        </w:rPr>
        <w:t xml:space="preserve">irus is kept at -80 </w:t>
      </w:r>
      <w:r w:rsidR="005C2FC9" w:rsidRPr="00E21748">
        <w:rPr>
          <w:rFonts w:asciiTheme="minorHAnsi" w:hAnsiTheme="minorHAnsi" w:cstheme="minorHAnsi"/>
          <w:color w:val="auto"/>
          <w:highlight w:val="yellow"/>
        </w:rPr>
        <w:t>°</w:t>
      </w:r>
      <w:r w:rsidR="001D3C34" w:rsidRPr="00E21748">
        <w:rPr>
          <w:rFonts w:asciiTheme="minorHAnsi" w:hAnsiTheme="minorHAnsi" w:cstheme="minorHAnsi"/>
          <w:highlight w:val="yellow"/>
        </w:rPr>
        <w:t>C and transported between locations while stored on dry ice following local</w:t>
      </w:r>
      <w:r w:rsidR="00980DB6">
        <w:rPr>
          <w:rFonts w:asciiTheme="minorHAnsi" w:hAnsiTheme="minorHAnsi" w:cstheme="minorHAnsi"/>
          <w:highlight w:val="yellow"/>
        </w:rPr>
        <w:t>ly</w:t>
      </w:r>
      <w:r w:rsidR="001D3C34" w:rsidRPr="00E21748">
        <w:rPr>
          <w:rFonts w:asciiTheme="minorHAnsi" w:hAnsiTheme="minorHAnsi" w:cstheme="minorHAnsi"/>
          <w:highlight w:val="yellow"/>
        </w:rPr>
        <w:t xml:space="preserve"> approved protocols. </w:t>
      </w:r>
      <w:r w:rsidR="004E079D">
        <w:rPr>
          <w:rFonts w:asciiTheme="minorHAnsi" w:hAnsiTheme="minorHAnsi" w:cstheme="minorHAnsi"/>
          <w:highlight w:val="yellow"/>
        </w:rPr>
        <w:t>The v</w:t>
      </w:r>
      <w:r w:rsidR="001D3C34" w:rsidRPr="00E21748">
        <w:rPr>
          <w:rFonts w:asciiTheme="minorHAnsi" w:hAnsiTheme="minorHAnsi" w:cstheme="minorHAnsi"/>
          <w:highlight w:val="yellow"/>
        </w:rPr>
        <w:t>irus is stored on dry ice until immediate</w:t>
      </w:r>
      <w:r w:rsidR="004E079D">
        <w:rPr>
          <w:rFonts w:asciiTheme="minorHAnsi" w:hAnsiTheme="minorHAnsi" w:cstheme="minorHAnsi"/>
          <w:highlight w:val="yellow"/>
        </w:rPr>
        <w:t>ly</w:t>
      </w:r>
      <w:r w:rsidR="001D3C34" w:rsidRPr="00E21748">
        <w:rPr>
          <w:rFonts w:asciiTheme="minorHAnsi" w:hAnsiTheme="minorHAnsi" w:cstheme="minorHAnsi"/>
          <w:highlight w:val="yellow"/>
        </w:rPr>
        <w:t xml:space="preserve"> before </w:t>
      </w:r>
      <w:r w:rsidR="004E079D">
        <w:rPr>
          <w:rFonts w:asciiTheme="minorHAnsi" w:hAnsiTheme="minorHAnsi" w:cstheme="minorHAnsi"/>
          <w:highlight w:val="yellow"/>
        </w:rPr>
        <w:t xml:space="preserve">the </w:t>
      </w:r>
      <w:r w:rsidR="001D3C34" w:rsidRPr="00E21748">
        <w:rPr>
          <w:rFonts w:asciiTheme="minorHAnsi" w:hAnsiTheme="minorHAnsi" w:cstheme="minorHAnsi"/>
          <w:highlight w:val="yellow"/>
        </w:rPr>
        <w:t xml:space="preserve">exposure of the mice. </w:t>
      </w:r>
      <w:r w:rsidR="004E079D">
        <w:rPr>
          <w:rFonts w:asciiTheme="minorHAnsi" w:hAnsiTheme="minorHAnsi" w:cstheme="minorHAnsi"/>
          <w:highlight w:val="yellow"/>
        </w:rPr>
        <w:t>The v</w:t>
      </w:r>
      <w:r w:rsidR="001D3C34" w:rsidRPr="00E21748">
        <w:rPr>
          <w:rFonts w:asciiTheme="minorHAnsi" w:hAnsiTheme="minorHAnsi" w:cstheme="minorHAnsi"/>
          <w:highlight w:val="yellow"/>
        </w:rPr>
        <w:t>irus can be diluted into plain RPMI</w:t>
      </w:r>
      <w:r w:rsidR="003E1E1C" w:rsidRPr="00E21748">
        <w:rPr>
          <w:rFonts w:asciiTheme="minorHAnsi" w:hAnsiTheme="minorHAnsi" w:cstheme="minorHAnsi"/>
          <w:highlight w:val="yellow"/>
        </w:rPr>
        <w:t xml:space="preserve"> (avoid RPMI that has antibiotics or serum additives)</w:t>
      </w:r>
      <w:r w:rsidR="001D3C34" w:rsidRPr="00E21748">
        <w:rPr>
          <w:rFonts w:asciiTheme="minorHAnsi" w:hAnsiTheme="minorHAnsi" w:cstheme="minorHAnsi"/>
          <w:highlight w:val="yellow"/>
        </w:rPr>
        <w:t xml:space="preserve"> to achieve the appropriate concentration immediately prior to exposure</w:t>
      </w:r>
      <w:r w:rsidR="00C34F78" w:rsidRPr="00E21748">
        <w:rPr>
          <w:rFonts w:asciiTheme="minorHAnsi" w:hAnsiTheme="minorHAnsi" w:cstheme="minorHAnsi"/>
          <w:highlight w:val="yellow"/>
        </w:rPr>
        <w:t xml:space="preserve"> (21,400 IUs were used for this IVAG exposure</w:t>
      </w:r>
      <w:r w:rsidR="00980DB6">
        <w:rPr>
          <w:rFonts w:asciiTheme="minorHAnsi" w:hAnsiTheme="minorHAnsi" w:cstheme="minorHAnsi"/>
          <w:highlight w:val="yellow"/>
        </w:rPr>
        <w:t>)</w:t>
      </w:r>
      <w:r w:rsidR="00C34F78" w:rsidRPr="00E21748">
        <w:rPr>
          <w:rFonts w:asciiTheme="minorHAnsi" w:hAnsiTheme="minorHAnsi" w:cstheme="minorHAnsi"/>
          <w:highlight w:val="yellow"/>
        </w:rPr>
        <w:t>.</w:t>
      </w:r>
      <w:r w:rsidR="00622BF7" w:rsidRPr="00E21748">
        <w:rPr>
          <w:rFonts w:asciiTheme="minorHAnsi" w:hAnsiTheme="minorHAnsi" w:cstheme="minorHAnsi"/>
          <w:highlight w:val="yellow"/>
        </w:rPr>
        <w:t xml:space="preserve"> Once generated, keep </w:t>
      </w:r>
      <w:r w:rsidR="004E079D">
        <w:rPr>
          <w:rFonts w:asciiTheme="minorHAnsi" w:hAnsiTheme="minorHAnsi" w:cstheme="minorHAnsi"/>
          <w:highlight w:val="yellow"/>
        </w:rPr>
        <w:t xml:space="preserve">the </w:t>
      </w:r>
      <w:r w:rsidR="00622BF7" w:rsidRPr="00E21748">
        <w:rPr>
          <w:rFonts w:asciiTheme="minorHAnsi" w:hAnsiTheme="minorHAnsi" w:cstheme="minorHAnsi"/>
          <w:highlight w:val="yellow"/>
        </w:rPr>
        <w:t xml:space="preserve">diluted stock on wet ice throughout </w:t>
      </w:r>
      <w:r w:rsidR="004E079D">
        <w:rPr>
          <w:rFonts w:asciiTheme="minorHAnsi" w:hAnsiTheme="minorHAnsi" w:cstheme="minorHAnsi"/>
          <w:highlight w:val="yellow"/>
        </w:rPr>
        <w:t xml:space="preserve">the </w:t>
      </w:r>
      <w:r w:rsidR="00622BF7" w:rsidRPr="00E21748">
        <w:rPr>
          <w:rFonts w:asciiTheme="minorHAnsi" w:hAnsiTheme="minorHAnsi" w:cstheme="minorHAnsi"/>
          <w:highlight w:val="yellow"/>
        </w:rPr>
        <w:t xml:space="preserve">procedure to avoiding freeze-thaw cycles that would occur if </w:t>
      </w:r>
      <w:r w:rsidR="004E079D">
        <w:rPr>
          <w:rFonts w:asciiTheme="minorHAnsi" w:hAnsiTheme="minorHAnsi" w:cstheme="minorHAnsi"/>
          <w:highlight w:val="yellow"/>
        </w:rPr>
        <w:t xml:space="preserve">the </w:t>
      </w:r>
      <w:r w:rsidR="00622BF7" w:rsidRPr="00E21748">
        <w:rPr>
          <w:rFonts w:asciiTheme="minorHAnsi" w:hAnsiTheme="minorHAnsi" w:cstheme="minorHAnsi"/>
          <w:highlight w:val="yellow"/>
        </w:rPr>
        <w:t xml:space="preserve">diluted virus was placed back on dry ice once thawed. </w:t>
      </w:r>
    </w:p>
    <w:p w14:paraId="6E3A3E81" w14:textId="77777777" w:rsidR="00B761E8" w:rsidRPr="005C2511" w:rsidRDefault="00B761E8" w:rsidP="00E21748">
      <w:pPr>
        <w:pStyle w:val="ListParagraph"/>
        <w:widowControl/>
        <w:autoSpaceDE/>
        <w:autoSpaceDN/>
        <w:adjustRightInd/>
        <w:snapToGrid w:val="0"/>
        <w:ind w:left="0"/>
        <w:rPr>
          <w:rFonts w:asciiTheme="minorHAnsi" w:hAnsiTheme="minorHAnsi" w:cstheme="minorHAnsi"/>
          <w:highlight w:val="yellow"/>
        </w:rPr>
      </w:pPr>
    </w:p>
    <w:p w14:paraId="25BBAEB6" w14:textId="0050F5D4"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highlight w:val="yellow"/>
        </w:rPr>
      </w:pPr>
      <w:r w:rsidRPr="005C2511">
        <w:rPr>
          <w:rFonts w:asciiTheme="minorHAnsi" w:hAnsiTheme="minorHAnsi" w:cstheme="minorHAnsi"/>
          <w:highlight w:val="yellow"/>
        </w:rPr>
        <w:t xml:space="preserve">Prepare all </w:t>
      </w:r>
      <w:r w:rsidR="004E079D" w:rsidRPr="005C2511">
        <w:rPr>
          <w:rFonts w:asciiTheme="minorHAnsi" w:hAnsiTheme="minorHAnsi" w:cstheme="minorHAnsi"/>
          <w:highlight w:val="yellow"/>
        </w:rPr>
        <w:t xml:space="preserve">the </w:t>
      </w:r>
      <w:r w:rsidRPr="005C2511">
        <w:rPr>
          <w:rFonts w:asciiTheme="minorHAnsi" w:hAnsiTheme="minorHAnsi" w:cstheme="minorHAnsi"/>
          <w:highlight w:val="yellow"/>
        </w:rPr>
        <w:t xml:space="preserve">equipment and flow bench workspace as presented in </w:t>
      </w:r>
      <w:r w:rsidR="00E21748" w:rsidRPr="005C2511">
        <w:rPr>
          <w:rFonts w:asciiTheme="minorHAnsi" w:hAnsiTheme="minorHAnsi" w:cstheme="minorHAnsi"/>
          <w:b/>
          <w:highlight w:val="yellow"/>
        </w:rPr>
        <w:t>Figure 4</w:t>
      </w:r>
      <w:r w:rsidRPr="005C2511">
        <w:rPr>
          <w:rFonts w:asciiTheme="minorHAnsi" w:hAnsiTheme="minorHAnsi" w:cstheme="minorHAnsi"/>
          <w:highlight w:val="yellow"/>
        </w:rPr>
        <w:t xml:space="preserve"> before bringing </w:t>
      </w:r>
      <w:r w:rsidR="00980DB6" w:rsidRPr="005C2511">
        <w:rPr>
          <w:rFonts w:asciiTheme="minorHAnsi" w:hAnsiTheme="minorHAnsi" w:cstheme="minorHAnsi"/>
          <w:highlight w:val="yellow"/>
        </w:rPr>
        <w:t xml:space="preserve">the </w:t>
      </w:r>
      <w:r w:rsidRPr="005C2511">
        <w:rPr>
          <w:rFonts w:asciiTheme="minorHAnsi" w:hAnsiTheme="minorHAnsi" w:cstheme="minorHAnsi"/>
          <w:highlight w:val="yellow"/>
        </w:rPr>
        <w:t>mice or virus into the flow bench (</w:t>
      </w:r>
      <w:proofErr w:type="gramStart"/>
      <w:r w:rsidRPr="005C2511">
        <w:rPr>
          <w:rFonts w:asciiTheme="minorHAnsi" w:hAnsiTheme="minorHAnsi" w:cstheme="minorHAnsi"/>
          <w:highlight w:val="yellow"/>
        </w:rPr>
        <w:t>similar to</w:t>
      </w:r>
      <w:proofErr w:type="gramEnd"/>
      <w:r w:rsidRPr="005C2511">
        <w:rPr>
          <w:rFonts w:asciiTheme="minorHAnsi" w:hAnsiTheme="minorHAnsi" w:cstheme="minorHAnsi"/>
          <w:highlight w:val="yellow"/>
        </w:rPr>
        <w:t xml:space="preserve"> </w:t>
      </w:r>
      <w:r w:rsidR="005C2FC9" w:rsidRPr="005C2511">
        <w:rPr>
          <w:rFonts w:asciiTheme="minorHAnsi" w:hAnsiTheme="minorHAnsi" w:cstheme="minorHAnsi"/>
          <w:highlight w:val="yellow"/>
        </w:rPr>
        <w:t>step 4.2</w:t>
      </w:r>
      <w:r w:rsidRPr="005C2511">
        <w:rPr>
          <w:rFonts w:asciiTheme="minorHAnsi" w:hAnsiTheme="minorHAnsi" w:cstheme="minorHAnsi"/>
          <w:highlight w:val="yellow"/>
        </w:rPr>
        <w:t>)</w:t>
      </w:r>
      <w:r w:rsidR="00980DB6" w:rsidRPr="005C2511">
        <w:rPr>
          <w:rFonts w:asciiTheme="minorHAnsi" w:hAnsiTheme="minorHAnsi" w:cstheme="minorHAnsi"/>
          <w:highlight w:val="yellow"/>
        </w:rPr>
        <w:t>.</w:t>
      </w:r>
    </w:p>
    <w:p w14:paraId="4B9BE3D1"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highlight w:val="yellow"/>
        </w:rPr>
      </w:pPr>
    </w:p>
    <w:p w14:paraId="2C2A3417" w14:textId="1C8356BB" w:rsidR="001D3C34" w:rsidRPr="00CB64EE" w:rsidRDefault="001D3C34" w:rsidP="00E21748">
      <w:pPr>
        <w:pStyle w:val="ListParagraph"/>
        <w:widowControl/>
        <w:numPr>
          <w:ilvl w:val="2"/>
          <w:numId w:val="32"/>
        </w:numPr>
        <w:autoSpaceDE/>
        <w:autoSpaceDN/>
        <w:adjustRightInd/>
        <w:snapToGrid w:val="0"/>
        <w:rPr>
          <w:rFonts w:asciiTheme="minorHAnsi" w:hAnsiTheme="minorHAnsi" w:cstheme="minorHAnsi"/>
          <w:highlight w:val="yellow"/>
        </w:rPr>
      </w:pPr>
      <w:r w:rsidRPr="00E21748">
        <w:rPr>
          <w:rFonts w:asciiTheme="minorHAnsi" w:hAnsiTheme="minorHAnsi" w:cstheme="minorHAnsi"/>
          <w:highlight w:val="yellow"/>
        </w:rPr>
        <w:t xml:space="preserve">Place </w:t>
      </w:r>
      <w:r w:rsidR="004E079D">
        <w:rPr>
          <w:rFonts w:asciiTheme="minorHAnsi" w:hAnsiTheme="minorHAnsi" w:cstheme="minorHAnsi"/>
          <w:highlight w:val="yellow"/>
        </w:rPr>
        <w:t xml:space="preserve">the </w:t>
      </w:r>
      <w:r w:rsidRPr="00E21748">
        <w:rPr>
          <w:rFonts w:asciiTheme="minorHAnsi" w:hAnsiTheme="minorHAnsi" w:cstheme="minorHAnsi"/>
          <w:highlight w:val="yellow"/>
        </w:rPr>
        <w:t xml:space="preserve">heating lamp focus in the </w:t>
      </w:r>
      <w:r w:rsidR="00421601" w:rsidRPr="00E21748">
        <w:rPr>
          <w:rFonts w:asciiTheme="minorHAnsi" w:hAnsiTheme="minorHAnsi" w:cstheme="minorHAnsi"/>
          <w:highlight w:val="yellow"/>
        </w:rPr>
        <w:t>center</w:t>
      </w:r>
      <w:r w:rsidRPr="00E21748">
        <w:rPr>
          <w:rFonts w:asciiTheme="minorHAnsi" w:hAnsiTheme="minorHAnsi" w:cstheme="minorHAnsi"/>
          <w:highlight w:val="yellow"/>
        </w:rPr>
        <w:t xml:space="preserve"> of the workspace where the mouse will be located during the HIV exposure procedure. </w:t>
      </w:r>
      <w:r w:rsidR="00192D53" w:rsidRPr="00E21748">
        <w:rPr>
          <w:rFonts w:asciiTheme="minorHAnsi" w:hAnsiTheme="minorHAnsi" w:cstheme="minorHAnsi"/>
          <w:highlight w:val="yellow"/>
        </w:rPr>
        <w:t>The heating lam</w:t>
      </w:r>
      <w:r w:rsidR="00192D53" w:rsidRPr="00CB64EE">
        <w:rPr>
          <w:rFonts w:asciiTheme="minorHAnsi" w:hAnsiTheme="minorHAnsi" w:cstheme="minorHAnsi"/>
          <w:highlight w:val="yellow"/>
        </w:rPr>
        <w:t xml:space="preserve">p will ensure no decrease in body temperature of the mice. Other equipment that controls temperature can also be used, </w:t>
      </w:r>
      <w:r w:rsidR="004E079D">
        <w:rPr>
          <w:rFonts w:asciiTheme="minorHAnsi" w:hAnsiTheme="minorHAnsi" w:cstheme="minorHAnsi"/>
          <w:highlight w:val="yellow"/>
        </w:rPr>
        <w:t>(</w:t>
      </w:r>
      <w:r w:rsidR="00192D53" w:rsidRPr="00CB64EE">
        <w:rPr>
          <w:rFonts w:asciiTheme="minorHAnsi" w:hAnsiTheme="minorHAnsi" w:cstheme="minorHAnsi"/>
          <w:highlight w:val="yellow"/>
        </w:rPr>
        <w:t>e.g. a heated gel pad or a circulating</w:t>
      </w:r>
      <w:r w:rsidR="00980DB6">
        <w:rPr>
          <w:rFonts w:asciiTheme="minorHAnsi" w:hAnsiTheme="minorHAnsi" w:cstheme="minorHAnsi"/>
          <w:highlight w:val="yellow"/>
        </w:rPr>
        <w:t xml:space="preserve"> </w:t>
      </w:r>
      <w:r w:rsidR="00192D53" w:rsidRPr="00CB64EE">
        <w:rPr>
          <w:rFonts w:asciiTheme="minorHAnsi" w:hAnsiTheme="minorHAnsi" w:cstheme="minorHAnsi"/>
          <w:highlight w:val="yellow"/>
        </w:rPr>
        <w:t>warm</w:t>
      </w:r>
      <w:r w:rsidR="00980DB6">
        <w:rPr>
          <w:rFonts w:asciiTheme="minorHAnsi" w:hAnsiTheme="minorHAnsi" w:cstheme="minorHAnsi"/>
          <w:highlight w:val="yellow"/>
        </w:rPr>
        <w:t xml:space="preserve"> </w:t>
      </w:r>
      <w:r w:rsidR="00192D53" w:rsidRPr="00CB64EE">
        <w:rPr>
          <w:rFonts w:asciiTheme="minorHAnsi" w:hAnsiTheme="minorHAnsi" w:cstheme="minorHAnsi"/>
          <w:highlight w:val="yellow"/>
        </w:rPr>
        <w:t>water blanket</w:t>
      </w:r>
      <w:r w:rsidR="003E1E1C" w:rsidRPr="00CB64EE">
        <w:rPr>
          <w:rFonts w:asciiTheme="minorHAnsi" w:hAnsiTheme="minorHAnsi" w:cstheme="minorHAnsi"/>
          <w:highlight w:val="yellow"/>
        </w:rPr>
        <w:t>, according to local IACUC regulations</w:t>
      </w:r>
      <w:r w:rsidR="00A85CC2" w:rsidRPr="00A85CC2">
        <w:rPr>
          <w:rFonts w:asciiTheme="minorHAnsi" w:hAnsiTheme="minorHAnsi" w:cstheme="minorHAnsi"/>
          <w:noProof/>
          <w:highlight w:val="yellow"/>
          <w:vertAlign w:val="superscript"/>
        </w:rPr>
        <w:t>18</w:t>
      </w:r>
      <w:r w:rsidR="00192D53" w:rsidRPr="00CB64EE">
        <w:rPr>
          <w:rFonts w:asciiTheme="minorHAnsi" w:hAnsiTheme="minorHAnsi" w:cstheme="minorHAnsi"/>
          <w:highlight w:val="yellow"/>
        </w:rPr>
        <w:t>)</w:t>
      </w:r>
      <w:r w:rsidR="004E079D">
        <w:rPr>
          <w:rFonts w:asciiTheme="minorHAnsi" w:hAnsiTheme="minorHAnsi" w:cstheme="minorHAnsi"/>
          <w:highlight w:val="yellow"/>
        </w:rPr>
        <w:t>.</w:t>
      </w:r>
    </w:p>
    <w:p w14:paraId="59CBE09A" w14:textId="77777777" w:rsidR="00B761E8" w:rsidRDefault="00B761E8" w:rsidP="00E21748">
      <w:pPr>
        <w:pStyle w:val="ListParagraph"/>
        <w:widowControl/>
        <w:autoSpaceDE/>
        <w:autoSpaceDN/>
        <w:adjustRightInd/>
        <w:snapToGrid w:val="0"/>
        <w:ind w:left="0"/>
        <w:rPr>
          <w:rFonts w:asciiTheme="minorHAnsi" w:hAnsiTheme="minorHAnsi" w:cstheme="minorHAnsi"/>
          <w:highlight w:val="yellow"/>
        </w:rPr>
      </w:pPr>
    </w:p>
    <w:p w14:paraId="6A1D2421" w14:textId="7A173927" w:rsidR="001D3C34" w:rsidRPr="005C2511" w:rsidRDefault="001D3C34" w:rsidP="00E21748">
      <w:pPr>
        <w:pStyle w:val="ListParagraph"/>
        <w:widowControl/>
        <w:numPr>
          <w:ilvl w:val="2"/>
          <w:numId w:val="32"/>
        </w:numPr>
        <w:autoSpaceDE/>
        <w:autoSpaceDN/>
        <w:adjustRightInd/>
        <w:snapToGrid w:val="0"/>
        <w:rPr>
          <w:rFonts w:asciiTheme="minorHAnsi" w:hAnsiTheme="minorHAnsi" w:cstheme="minorHAnsi"/>
          <w:highlight w:val="yellow"/>
        </w:rPr>
      </w:pPr>
      <w:r w:rsidRPr="00CB64EE">
        <w:rPr>
          <w:rFonts w:asciiTheme="minorHAnsi" w:hAnsiTheme="minorHAnsi" w:cstheme="minorHAnsi"/>
          <w:highlight w:val="yellow"/>
        </w:rPr>
        <w:lastRenderedPageBreak/>
        <w:t>Bring sterile 20 µL p</w:t>
      </w:r>
      <w:r w:rsidRPr="005C2511">
        <w:rPr>
          <w:rFonts w:asciiTheme="minorHAnsi" w:hAnsiTheme="minorHAnsi" w:cstheme="minorHAnsi"/>
          <w:highlight w:val="yellow"/>
        </w:rPr>
        <w:t xml:space="preserve">ipette tips and </w:t>
      </w:r>
      <w:r w:rsidR="004E079D" w:rsidRPr="005C2511">
        <w:rPr>
          <w:rFonts w:asciiTheme="minorHAnsi" w:hAnsiTheme="minorHAnsi" w:cstheme="minorHAnsi"/>
          <w:highlight w:val="yellow"/>
        </w:rPr>
        <w:t xml:space="preserve">an </w:t>
      </w:r>
      <w:r w:rsidRPr="005C2511">
        <w:rPr>
          <w:rFonts w:asciiTheme="minorHAnsi" w:hAnsiTheme="minorHAnsi" w:cstheme="minorHAnsi"/>
          <w:highlight w:val="yellow"/>
        </w:rPr>
        <w:t xml:space="preserve">appropriate pipette into the bench. Place </w:t>
      </w:r>
      <w:r w:rsidR="008D3FE6" w:rsidRPr="005C2511">
        <w:rPr>
          <w:rFonts w:asciiTheme="minorHAnsi" w:hAnsiTheme="minorHAnsi" w:cstheme="minorHAnsi"/>
          <w:highlight w:val="yellow"/>
        </w:rPr>
        <w:t>a container</w:t>
      </w:r>
      <w:r w:rsidRPr="005C2511">
        <w:rPr>
          <w:rFonts w:asciiTheme="minorHAnsi" w:hAnsiTheme="minorHAnsi" w:cstheme="minorHAnsi"/>
          <w:highlight w:val="yellow"/>
        </w:rPr>
        <w:t xml:space="preserve"> with liquid </w:t>
      </w:r>
      <w:r w:rsidR="00A607E4" w:rsidRPr="005C2511">
        <w:rPr>
          <w:rFonts w:asciiTheme="minorHAnsi" w:hAnsiTheme="minorHAnsi" w:cstheme="minorHAnsi"/>
          <w:highlight w:val="yellow"/>
        </w:rPr>
        <w:t>disinfectant (</w:t>
      </w:r>
      <w:r w:rsidR="00E21748" w:rsidRPr="005C2511">
        <w:rPr>
          <w:b/>
          <w:highlight w:val="yellow"/>
        </w:rPr>
        <w:t>Table of Materials</w:t>
      </w:r>
      <w:r w:rsidR="00A607E4" w:rsidRPr="005C2511">
        <w:rPr>
          <w:rFonts w:asciiTheme="minorHAnsi" w:hAnsiTheme="minorHAnsi" w:cstheme="minorHAnsi"/>
          <w:highlight w:val="yellow"/>
        </w:rPr>
        <w:t>)</w:t>
      </w:r>
      <w:r w:rsidRPr="005C2511">
        <w:rPr>
          <w:rFonts w:asciiTheme="minorHAnsi" w:hAnsiTheme="minorHAnsi" w:cstheme="minorHAnsi"/>
          <w:highlight w:val="yellow"/>
        </w:rPr>
        <w:t xml:space="preserve"> in the bench for immediate inactivation of materials </w:t>
      </w:r>
      <w:r w:rsidR="00A607E4" w:rsidRPr="005C2511">
        <w:rPr>
          <w:rFonts w:asciiTheme="minorHAnsi" w:hAnsiTheme="minorHAnsi" w:cstheme="minorHAnsi"/>
          <w:highlight w:val="yellow"/>
        </w:rPr>
        <w:t xml:space="preserve">and liquids </w:t>
      </w:r>
      <w:r w:rsidRPr="005C2511">
        <w:rPr>
          <w:rFonts w:asciiTheme="minorHAnsi" w:hAnsiTheme="minorHAnsi" w:cstheme="minorHAnsi"/>
          <w:highlight w:val="yellow"/>
        </w:rPr>
        <w:t xml:space="preserve">that have been in contact with </w:t>
      </w:r>
      <w:r w:rsidR="004E079D" w:rsidRPr="005C2511">
        <w:rPr>
          <w:rFonts w:asciiTheme="minorHAnsi" w:hAnsiTheme="minorHAnsi" w:cstheme="minorHAnsi"/>
          <w:highlight w:val="yellow"/>
        </w:rPr>
        <w:t xml:space="preserve">the </w:t>
      </w:r>
      <w:r w:rsidRPr="005C2511">
        <w:rPr>
          <w:rFonts w:asciiTheme="minorHAnsi" w:hAnsiTheme="minorHAnsi" w:cstheme="minorHAnsi"/>
          <w:highlight w:val="yellow"/>
        </w:rPr>
        <w:t xml:space="preserve">virus. </w:t>
      </w:r>
    </w:p>
    <w:p w14:paraId="428949F4"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7AFFF4A7" w14:textId="23E6C9B4" w:rsidR="001D3C34" w:rsidRPr="00A13B86"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A13B86">
        <w:rPr>
          <w:rFonts w:asciiTheme="minorHAnsi" w:hAnsiTheme="minorHAnsi" w:cstheme="minorHAnsi"/>
        </w:rPr>
        <w:t>Place a mouse in</w:t>
      </w:r>
      <w:r w:rsidR="003E1E1C" w:rsidRPr="00A13B86">
        <w:rPr>
          <w:rFonts w:asciiTheme="minorHAnsi" w:hAnsiTheme="minorHAnsi" w:cstheme="minorHAnsi"/>
        </w:rPr>
        <w:t>to</w:t>
      </w:r>
      <w:r w:rsidRPr="00A13B86">
        <w:rPr>
          <w:rFonts w:asciiTheme="minorHAnsi" w:hAnsiTheme="minorHAnsi" w:cstheme="minorHAnsi"/>
        </w:rPr>
        <w:t xml:space="preserve"> a chamber with 3% isoflurane gas and paper towels. This percentage of gas will </w:t>
      </w:r>
      <w:r w:rsidR="00607C57" w:rsidRPr="00A13B86">
        <w:rPr>
          <w:rFonts w:asciiTheme="minorHAnsi" w:hAnsiTheme="minorHAnsi" w:cstheme="minorHAnsi"/>
        </w:rPr>
        <w:t>anesthe</w:t>
      </w:r>
      <w:r w:rsidR="004E079D">
        <w:rPr>
          <w:rFonts w:asciiTheme="minorHAnsi" w:hAnsiTheme="minorHAnsi" w:cstheme="minorHAnsi"/>
        </w:rPr>
        <w:t>t</w:t>
      </w:r>
      <w:r w:rsidR="00607C57" w:rsidRPr="00A13B86">
        <w:rPr>
          <w:rFonts w:asciiTheme="minorHAnsi" w:hAnsiTheme="minorHAnsi" w:cstheme="minorHAnsi"/>
        </w:rPr>
        <w:t>i</w:t>
      </w:r>
      <w:r w:rsidR="004E079D">
        <w:rPr>
          <w:rFonts w:asciiTheme="minorHAnsi" w:hAnsiTheme="minorHAnsi" w:cstheme="minorHAnsi"/>
        </w:rPr>
        <w:t>ze</w:t>
      </w:r>
      <w:r w:rsidRPr="00A13B86">
        <w:rPr>
          <w:rFonts w:asciiTheme="minorHAnsi" w:hAnsiTheme="minorHAnsi" w:cstheme="minorHAnsi"/>
        </w:rPr>
        <w:t xml:space="preserve"> </w:t>
      </w:r>
      <w:r w:rsidR="004E079D" w:rsidRPr="00A13B86">
        <w:rPr>
          <w:rFonts w:asciiTheme="minorHAnsi" w:hAnsiTheme="minorHAnsi" w:cstheme="minorHAnsi"/>
        </w:rPr>
        <w:t xml:space="preserve">the animals </w:t>
      </w:r>
      <w:r w:rsidRPr="00A13B86">
        <w:rPr>
          <w:rFonts w:asciiTheme="minorHAnsi" w:hAnsiTheme="minorHAnsi" w:cstheme="minorHAnsi"/>
        </w:rPr>
        <w:t>within 2</w:t>
      </w:r>
      <w:r w:rsidR="004E079D" w:rsidRPr="00960CA7">
        <w:rPr>
          <w:rFonts w:asciiTheme="minorHAnsi" w:hAnsiTheme="minorHAnsi" w:cstheme="minorHAnsi"/>
        </w:rPr>
        <w:t>–</w:t>
      </w:r>
      <w:r w:rsidRPr="00A13B86">
        <w:rPr>
          <w:rFonts w:asciiTheme="minorHAnsi" w:hAnsiTheme="minorHAnsi" w:cstheme="minorHAnsi"/>
        </w:rPr>
        <w:t xml:space="preserve">4 </w:t>
      </w:r>
      <w:r w:rsidR="004E079D">
        <w:rPr>
          <w:rFonts w:asciiTheme="minorHAnsi" w:hAnsiTheme="minorHAnsi" w:cstheme="minorHAnsi"/>
        </w:rPr>
        <w:t>min</w:t>
      </w:r>
      <w:r w:rsidRPr="00A13B86">
        <w:rPr>
          <w:rFonts w:asciiTheme="minorHAnsi" w:hAnsiTheme="minorHAnsi" w:cstheme="minorHAnsi"/>
        </w:rPr>
        <w:t xml:space="preserve">. </w:t>
      </w:r>
      <w:r w:rsidR="003E1E1C" w:rsidRPr="00A13B86">
        <w:rPr>
          <w:rFonts w:asciiTheme="minorHAnsi" w:hAnsiTheme="minorHAnsi" w:cstheme="minorHAnsi"/>
        </w:rPr>
        <w:t xml:space="preserve">As with all other materials </w:t>
      </w:r>
      <w:r w:rsidR="004E079D">
        <w:rPr>
          <w:rFonts w:asciiTheme="minorHAnsi" w:hAnsiTheme="minorHAnsi" w:cstheme="minorHAnsi"/>
        </w:rPr>
        <w:t>used with</w:t>
      </w:r>
      <w:r w:rsidR="004E079D" w:rsidRPr="00A13B86">
        <w:rPr>
          <w:rFonts w:asciiTheme="minorHAnsi" w:hAnsiTheme="minorHAnsi" w:cstheme="minorHAnsi"/>
        </w:rPr>
        <w:t xml:space="preserve"> </w:t>
      </w:r>
      <w:r w:rsidR="003D0C1F" w:rsidRPr="00A13B86">
        <w:rPr>
          <w:rFonts w:asciiTheme="minorHAnsi" w:hAnsiTheme="minorHAnsi" w:cstheme="minorHAnsi"/>
        </w:rPr>
        <w:t>immunodeficient mice, the anesthesia apparatus must be properly disinfected prior to use.</w:t>
      </w:r>
    </w:p>
    <w:p w14:paraId="221BED74" w14:textId="77777777" w:rsidR="00B761E8" w:rsidRDefault="00B761E8" w:rsidP="00E21748">
      <w:pPr>
        <w:pStyle w:val="ListParagraph"/>
        <w:widowControl/>
        <w:autoSpaceDE/>
        <w:autoSpaceDN/>
        <w:adjustRightInd/>
        <w:snapToGrid w:val="0"/>
        <w:ind w:left="0"/>
        <w:rPr>
          <w:rFonts w:asciiTheme="minorHAnsi" w:hAnsiTheme="minorHAnsi" w:cstheme="minorHAnsi"/>
          <w:highlight w:val="yellow"/>
        </w:rPr>
      </w:pPr>
    </w:p>
    <w:p w14:paraId="4859B5BC" w14:textId="47D4955A" w:rsidR="001D3C34" w:rsidRPr="005C2511" w:rsidRDefault="001D3C34" w:rsidP="00E21748">
      <w:pPr>
        <w:pStyle w:val="ListParagraph"/>
        <w:widowControl/>
        <w:numPr>
          <w:ilvl w:val="1"/>
          <w:numId w:val="32"/>
        </w:numPr>
        <w:autoSpaceDE/>
        <w:autoSpaceDN/>
        <w:adjustRightInd/>
        <w:snapToGrid w:val="0"/>
        <w:rPr>
          <w:rFonts w:asciiTheme="minorHAnsi" w:hAnsiTheme="minorHAnsi" w:cstheme="minorHAnsi"/>
          <w:highlight w:val="yellow"/>
        </w:rPr>
      </w:pPr>
      <w:r w:rsidRPr="00CB64EE">
        <w:rPr>
          <w:rFonts w:asciiTheme="minorHAnsi" w:hAnsiTheme="minorHAnsi" w:cstheme="minorHAnsi"/>
          <w:highlight w:val="yellow"/>
        </w:rPr>
        <w:t>Once anesthetized, transfer the mouse to a sterile blue pad under the heating lamp. Insert the mouse snout into</w:t>
      </w:r>
      <w:r w:rsidRPr="00E21748">
        <w:rPr>
          <w:rFonts w:asciiTheme="minorHAnsi" w:hAnsiTheme="minorHAnsi" w:cstheme="minorHAnsi"/>
          <w:highlight w:val="yellow"/>
        </w:rPr>
        <w:t xml:space="preserve"> a mask supplying continuous 3% isoflurane gas to maintain </w:t>
      </w:r>
      <w:r w:rsidR="00607C57" w:rsidRPr="00E21748">
        <w:rPr>
          <w:rFonts w:asciiTheme="minorHAnsi" w:hAnsiTheme="minorHAnsi" w:cstheme="minorHAnsi"/>
          <w:highlight w:val="yellow"/>
        </w:rPr>
        <w:t>anesthesia</w:t>
      </w:r>
      <w:r w:rsidRPr="00E21748">
        <w:rPr>
          <w:rFonts w:asciiTheme="minorHAnsi" w:hAnsiTheme="minorHAnsi" w:cstheme="minorHAnsi"/>
          <w:highlight w:val="yellow"/>
        </w:rPr>
        <w:t xml:space="preserve">. Hold the mouse </w:t>
      </w:r>
      <w:r w:rsidRPr="005C2511">
        <w:rPr>
          <w:rFonts w:asciiTheme="minorHAnsi" w:hAnsiTheme="minorHAnsi" w:cstheme="minorHAnsi"/>
          <w:highlight w:val="yellow"/>
        </w:rPr>
        <w:t xml:space="preserve">at the base of the tail, stomach facing up, with your hand supporting the mouse back as depicted in </w:t>
      </w:r>
      <w:r w:rsidR="00E21748" w:rsidRPr="005C2511">
        <w:rPr>
          <w:rFonts w:asciiTheme="minorHAnsi" w:hAnsiTheme="minorHAnsi" w:cstheme="minorHAnsi"/>
          <w:b/>
          <w:highlight w:val="yellow"/>
        </w:rPr>
        <w:t>Figure 4</w:t>
      </w:r>
      <w:r w:rsidRPr="005C2511">
        <w:rPr>
          <w:rFonts w:asciiTheme="minorHAnsi" w:hAnsiTheme="minorHAnsi" w:cstheme="minorHAnsi"/>
          <w:highlight w:val="yellow"/>
        </w:rPr>
        <w:t xml:space="preserve">. </w:t>
      </w:r>
    </w:p>
    <w:p w14:paraId="0B87F7C7" w14:textId="77777777" w:rsidR="00B761E8" w:rsidRPr="005C2511" w:rsidRDefault="00B761E8" w:rsidP="00E21748">
      <w:pPr>
        <w:pStyle w:val="ListParagraph"/>
        <w:widowControl/>
        <w:autoSpaceDE/>
        <w:autoSpaceDN/>
        <w:adjustRightInd/>
        <w:snapToGrid w:val="0"/>
        <w:ind w:left="0"/>
        <w:rPr>
          <w:rFonts w:asciiTheme="minorHAnsi" w:hAnsiTheme="minorHAnsi" w:cstheme="minorHAnsi"/>
          <w:highlight w:val="yellow"/>
        </w:rPr>
      </w:pPr>
    </w:p>
    <w:p w14:paraId="349DCBEF" w14:textId="17B2527C" w:rsidR="001D3C34" w:rsidRPr="005C2511" w:rsidRDefault="001D3C34" w:rsidP="00E21748">
      <w:pPr>
        <w:pStyle w:val="ListParagraph"/>
        <w:widowControl/>
        <w:numPr>
          <w:ilvl w:val="1"/>
          <w:numId w:val="32"/>
        </w:numPr>
        <w:autoSpaceDE/>
        <w:autoSpaceDN/>
        <w:adjustRightInd/>
        <w:snapToGrid w:val="0"/>
        <w:rPr>
          <w:rFonts w:asciiTheme="minorHAnsi" w:hAnsiTheme="minorHAnsi" w:cstheme="minorHAnsi"/>
          <w:highlight w:val="yellow"/>
        </w:rPr>
      </w:pPr>
      <w:r w:rsidRPr="005C2511">
        <w:rPr>
          <w:rFonts w:asciiTheme="minorHAnsi" w:hAnsiTheme="minorHAnsi" w:cstheme="minorHAnsi"/>
          <w:highlight w:val="yellow"/>
        </w:rPr>
        <w:t xml:space="preserve">With a sterile pipette tip, stimulate </w:t>
      </w:r>
      <w:r w:rsidR="004E079D" w:rsidRPr="005C2511">
        <w:rPr>
          <w:rFonts w:asciiTheme="minorHAnsi" w:hAnsiTheme="minorHAnsi" w:cstheme="minorHAnsi"/>
          <w:highlight w:val="yellow"/>
        </w:rPr>
        <w:t xml:space="preserve">the </w:t>
      </w:r>
      <w:r w:rsidRPr="005C2511">
        <w:rPr>
          <w:rFonts w:asciiTheme="minorHAnsi" w:hAnsiTheme="minorHAnsi" w:cstheme="minorHAnsi"/>
          <w:highlight w:val="yellow"/>
        </w:rPr>
        <w:t xml:space="preserve">genital area by gently stroking upwards towards the anus to induce emptying of the rectum, relieving pressure on the vagina. </w:t>
      </w:r>
    </w:p>
    <w:p w14:paraId="431C1FE2" w14:textId="77777777" w:rsidR="00B761E8" w:rsidRPr="005C2511" w:rsidRDefault="00B761E8" w:rsidP="00E21748">
      <w:pPr>
        <w:pStyle w:val="ListParagraph"/>
        <w:widowControl/>
        <w:autoSpaceDE/>
        <w:autoSpaceDN/>
        <w:adjustRightInd/>
        <w:snapToGrid w:val="0"/>
        <w:ind w:left="0"/>
        <w:rPr>
          <w:rFonts w:asciiTheme="minorHAnsi" w:hAnsiTheme="minorHAnsi" w:cstheme="minorHAnsi"/>
          <w:highlight w:val="yellow"/>
        </w:rPr>
      </w:pPr>
    </w:p>
    <w:p w14:paraId="24A5531D" w14:textId="6622BE89" w:rsidR="001D3C34" w:rsidRPr="00CB64EE" w:rsidRDefault="001D3C34" w:rsidP="00E21748">
      <w:pPr>
        <w:pStyle w:val="ListParagraph"/>
        <w:widowControl/>
        <w:numPr>
          <w:ilvl w:val="1"/>
          <w:numId w:val="32"/>
        </w:numPr>
        <w:autoSpaceDE/>
        <w:autoSpaceDN/>
        <w:adjustRightInd/>
        <w:snapToGrid w:val="0"/>
        <w:rPr>
          <w:rFonts w:asciiTheme="minorHAnsi" w:hAnsiTheme="minorHAnsi" w:cstheme="minorHAnsi"/>
          <w:highlight w:val="yellow"/>
        </w:rPr>
      </w:pPr>
      <w:r w:rsidRPr="005C2511">
        <w:rPr>
          <w:rFonts w:asciiTheme="minorHAnsi" w:hAnsiTheme="minorHAnsi" w:cstheme="minorHAnsi"/>
          <w:highlight w:val="yellow"/>
        </w:rPr>
        <w:t xml:space="preserve">Carefully bare </w:t>
      </w:r>
      <w:r w:rsidR="004E079D" w:rsidRPr="005C2511">
        <w:rPr>
          <w:rFonts w:asciiTheme="minorHAnsi" w:hAnsiTheme="minorHAnsi" w:cstheme="minorHAnsi"/>
          <w:highlight w:val="yellow"/>
        </w:rPr>
        <w:t xml:space="preserve">the </w:t>
      </w:r>
      <w:r w:rsidRPr="005C2511">
        <w:rPr>
          <w:rFonts w:asciiTheme="minorHAnsi" w:hAnsiTheme="minorHAnsi" w:cstheme="minorHAnsi"/>
          <w:highlight w:val="yellow"/>
        </w:rPr>
        <w:t>vaginal o</w:t>
      </w:r>
      <w:r w:rsidRPr="00CB64EE">
        <w:rPr>
          <w:rFonts w:asciiTheme="minorHAnsi" w:hAnsiTheme="minorHAnsi" w:cstheme="minorHAnsi"/>
          <w:highlight w:val="yellow"/>
        </w:rPr>
        <w:t xml:space="preserve">pening </w:t>
      </w:r>
      <w:r w:rsidR="00D044A7" w:rsidRPr="00CB64EE">
        <w:rPr>
          <w:rFonts w:asciiTheme="minorHAnsi" w:hAnsiTheme="minorHAnsi" w:cstheme="minorHAnsi"/>
          <w:highlight w:val="yellow"/>
        </w:rPr>
        <w:t xml:space="preserve">by wrapping the mouse tail across your fingers such that the vulva naturally opens, perhaps with slight nudging </w:t>
      </w:r>
      <w:r w:rsidR="003D0C1F" w:rsidRPr="00CB64EE">
        <w:rPr>
          <w:rFonts w:asciiTheme="minorHAnsi" w:hAnsiTheme="minorHAnsi" w:cstheme="minorHAnsi"/>
          <w:highlight w:val="yellow"/>
        </w:rPr>
        <w:t>using</w:t>
      </w:r>
      <w:r w:rsidRPr="00CB64EE">
        <w:rPr>
          <w:rFonts w:asciiTheme="minorHAnsi" w:hAnsiTheme="minorHAnsi" w:cstheme="minorHAnsi"/>
          <w:highlight w:val="yellow"/>
        </w:rPr>
        <w:t xml:space="preserve"> a </w:t>
      </w:r>
      <w:r w:rsidR="003D0C1F" w:rsidRPr="00CB64EE">
        <w:rPr>
          <w:rFonts w:asciiTheme="minorHAnsi" w:hAnsiTheme="minorHAnsi" w:cstheme="minorHAnsi"/>
          <w:highlight w:val="yellow"/>
        </w:rPr>
        <w:t xml:space="preserve">sterile </w:t>
      </w:r>
      <w:r w:rsidRPr="00CB64EE">
        <w:rPr>
          <w:rFonts w:asciiTheme="minorHAnsi" w:hAnsiTheme="minorHAnsi" w:cstheme="minorHAnsi"/>
          <w:highlight w:val="yellow"/>
        </w:rPr>
        <w:t>pipette tip.</w:t>
      </w:r>
    </w:p>
    <w:p w14:paraId="6C4B3AF2" w14:textId="77777777" w:rsidR="00B761E8" w:rsidRDefault="00B761E8" w:rsidP="00E21748">
      <w:pPr>
        <w:pStyle w:val="ListParagraph"/>
        <w:widowControl/>
        <w:autoSpaceDE/>
        <w:autoSpaceDN/>
        <w:adjustRightInd/>
        <w:snapToGrid w:val="0"/>
        <w:ind w:left="0"/>
        <w:rPr>
          <w:rFonts w:asciiTheme="minorHAnsi" w:hAnsiTheme="minorHAnsi" w:cstheme="minorHAnsi"/>
          <w:highlight w:val="yellow"/>
        </w:rPr>
      </w:pPr>
    </w:p>
    <w:p w14:paraId="7572375B" w14:textId="698F5310"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highlight w:val="yellow"/>
        </w:rPr>
      </w:pPr>
      <w:r w:rsidRPr="00CB64EE">
        <w:rPr>
          <w:rFonts w:asciiTheme="minorHAnsi" w:hAnsiTheme="minorHAnsi" w:cstheme="minorHAnsi"/>
          <w:highlight w:val="yellow"/>
        </w:rPr>
        <w:t xml:space="preserve">Change </w:t>
      </w:r>
      <w:r w:rsidR="004E079D">
        <w:rPr>
          <w:rFonts w:asciiTheme="minorHAnsi" w:hAnsiTheme="minorHAnsi" w:cstheme="minorHAnsi"/>
          <w:highlight w:val="yellow"/>
        </w:rPr>
        <w:t xml:space="preserve">the </w:t>
      </w:r>
      <w:r w:rsidRPr="00CB64EE">
        <w:rPr>
          <w:rFonts w:asciiTheme="minorHAnsi" w:hAnsiTheme="minorHAnsi" w:cstheme="minorHAnsi"/>
          <w:highlight w:val="yellow"/>
        </w:rPr>
        <w:t xml:space="preserve">pipette tip and pipette 20 µL of virus </w:t>
      </w:r>
      <w:proofErr w:type="spellStart"/>
      <w:r w:rsidRPr="00CB64EE">
        <w:rPr>
          <w:rFonts w:asciiTheme="minorHAnsi" w:hAnsiTheme="minorHAnsi" w:cstheme="minorHAnsi"/>
          <w:highlight w:val="yellow"/>
        </w:rPr>
        <w:t>atraumatically</w:t>
      </w:r>
      <w:proofErr w:type="spellEnd"/>
      <w:r w:rsidRPr="00CB64EE">
        <w:rPr>
          <w:rFonts w:asciiTheme="minorHAnsi" w:hAnsiTheme="minorHAnsi" w:cstheme="minorHAnsi"/>
          <w:highlight w:val="yellow"/>
        </w:rPr>
        <w:t xml:space="preserve"> into the mouse vagina without creating bubbles. </w:t>
      </w:r>
      <w:r w:rsidR="00D044A7" w:rsidRPr="00CB64EE">
        <w:rPr>
          <w:rFonts w:asciiTheme="minorHAnsi" w:hAnsiTheme="minorHAnsi" w:cstheme="minorHAnsi"/>
          <w:highlight w:val="yellow"/>
        </w:rPr>
        <w:t>Do not insert the tip deep into the vagina. Rather, with the vulva opened,</w:t>
      </w:r>
      <w:r w:rsidR="00D0396A" w:rsidRPr="00CB64EE">
        <w:rPr>
          <w:rFonts w:asciiTheme="minorHAnsi" w:hAnsiTheme="minorHAnsi" w:cstheme="minorHAnsi"/>
          <w:highlight w:val="yellow"/>
        </w:rPr>
        <w:t xml:space="preserve"> place</w:t>
      </w:r>
      <w:r w:rsidR="00D044A7" w:rsidRPr="00CB64EE">
        <w:rPr>
          <w:rFonts w:asciiTheme="minorHAnsi" w:hAnsiTheme="minorHAnsi" w:cstheme="minorHAnsi"/>
          <w:highlight w:val="yellow"/>
        </w:rPr>
        <w:t xml:space="preserve"> </w:t>
      </w:r>
      <w:r w:rsidR="00D0396A" w:rsidRPr="00CB64EE">
        <w:rPr>
          <w:rFonts w:asciiTheme="minorHAnsi" w:hAnsiTheme="minorHAnsi" w:cstheme="minorHAnsi"/>
          <w:highlight w:val="yellow"/>
        </w:rPr>
        <w:t>the pipette tip at the level of the vaginal opening</w:t>
      </w:r>
      <w:r w:rsidR="004E079D">
        <w:rPr>
          <w:rFonts w:asciiTheme="minorHAnsi" w:hAnsiTheme="minorHAnsi" w:cstheme="minorHAnsi"/>
          <w:highlight w:val="yellow"/>
        </w:rPr>
        <w:t>,</w:t>
      </w:r>
      <w:r w:rsidR="00D0396A" w:rsidRPr="00CB64EE">
        <w:rPr>
          <w:rFonts w:asciiTheme="minorHAnsi" w:hAnsiTheme="minorHAnsi" w:cstheme="minorHAnsi"/>
          <w:highlight w:val="yellow"/>
        </w:rPr>
        <w:t xml:space="preserve"> avoid go</w:t>
      </w:r>
      <w:r w:rsidR="00D0396A" w:rsidRPr="00E21748">
        <w:rPr>
          <w:rFonts w:asciiTheme="minorHAnsi" w:hAnsiTheme="minorHAnsi" w:cstheme="minorHAnsi"/>
          <w:highlight w:val="yellow"/>
        </w:rPr>
        <w:t xml:space="preserve">ing deeper to eliminate the potential for abrasions during the inoculation process, </w:t>
      </w:r>
      <w:r w:rsidR="00D044A7" w:rsidRPr="00E21748">
        <w:rPr>
          <w:rFonts w:asciiTheme="minorHAnsi" w:hAnsiTheme="minorHAnsi" w:cstheme="minorHAnsi"/>
          <w:highlight w:val="yellow"/>
        </w:rPr>
        <w:t>release the virus</w:t>
      </w:r>
      <w:r w:rsidR="004E079D">
        <w:rPr>
          <w:rFonts w:asciiTheme="minorHAnsi" w:hAnsiTheme="minorHAnsi" w:cstheme="minorHAnsi"/>
          <w:highlight w:val="yellow"/>
        </w:rPr>
        <w:t>,</w:t>
      </w:r>
      <w:r w:rsidR="00D044A7" w:rsidRPr="00E21748">
        <w:rPr>
          <w:rFonts w:asciiTheme="minorHAnsi" w:hAnsiTheme="minorHAnsi" w:cstheme="minorHAnsi"/>
          <w:highlight w:val="yellow"/>
        </w:rPr>
        <w:t xml:space="preserve"> </w:t>
      </w:r>
      <w:r w:rsidR="00D0396A" w:rsidRPr="00E21748">
        <w:rPr>
          <w:rFonts w:asciiTheme="minorHAnsi" w:hAnsiTheme="minorHAnsi" w:cstheme="minorHAnsi"/>
          <w:highlight w:val="yellow"/>
        </w:rPr>
        <w:t>and allow gravity to pull the virus into the vagina</w:t>
      </w:r>
      <w:r w:rsidR="00E21748" w:rsidRPr="00E21748">
        <w:rPr>
          <w:rFonts w:asciiTheme="minorHAnsi" w:hAnsiTheme="minorHAnsi" w:cstheme="minorHAnsi"/>
          <w:highlight w:val="yellow"/>
        </w:rPr>
        <w:t>.</w:t>
      </w:r>
      <w:r w:rsidR="00D044A7" w:rsidRPr="00E21748">
        <w:rPr>
          <w:rFonts w:asciiTheme="minorHAnsi" w:hAnsiTheme="minorHAnsi" w:cstheme="minorHAnsi"/>
          <w:highlight w:val="yellow"/>
        </w:rPr>
        <w:t xml:space="preserve"> </w:t>
      </w:r>
      <w:r w:rsidR="00A47EBE" w:rsidRPr="00E21748">
        <w:rPr>
          <w:rFonts w:asciiTheme="minorHAnsi" w:hAnsiTheme="minorHAnsi" w:cstheme="minorHAnsi"/>
          <w:highlight w:val="yellow"/>
        </w:rPr>
        <w:t>Alternative</w:t>
      </w:r>
      <w:r w:rsidR="00E21748" w:rsidRPr="00E21748">
        <w:rPr>
          <w:rFonts w:asciiTheme="minorHAnsi" w:hAnsiTheme="minorHAnsi" w:cstheme="minorHAnsi"/>
          <w:highlight w:val="yellow"/>
        </w:rPr>
        <w:t>ly,</w:t>
      </w:r>
      <w:r w:rsidR="00A47EBE" w:rsidRPr="00E21748">
        <w:rPr>
          <w:rFonts w:asciiTheme="minorHAnsi" w:hAnsiTheme="minorHAnsi" w:cstheme="minorHAnsi"/>
          <w:highlight w:val="yellow"/>
        </w:rPr>
        <w:t xml:space="preserve"> use a 22</w:t>
      </w:r>
      <w:r w:rsidR="004E079D">
        <w:rPr>
          <w:rFonts w:asciiTheme="minorHAnsi" w:hAnsiTheme="minorHAnsi" w:cstheme="minorHAnsi"/>
          <w:highlight w:val="yellow"/>
        </w:rPr>
        <w:t xml:space="preserve"> </w:t>
      </w:r>
      <w:r w:rsidR="00A47EBE" w:rsidRPr="00E21748">
        <w:rPr>
          <w:rFonts w:asciiTheme="minorHAnsi" w:hAnsiTheme="minorHAnsi" w:cstheme="minorHAnsi"/>
          <w:highlight w:val="yellow"/>
        </w:rPr>
        <w:t>G 1.25 mm blunt-end, straight needle, as described in</w:t>
      </w:r>
      <w:r w:rsidR="00E21748" w:rsidRPr="00E21748">
        <w:rPr>
          <w:rFonts w:asciiTheme="minorHAnsi" w:hAnsiTheme="minorHAnsi" w:cstheme="minorHAnsi"/>
          <w:highlight w:val="yellow"/>
        </w:rPr>
        <w:t xml:space="preserve"> </w:t>
      </w:r>
      <w:r w:rsidR="00E21748" w:rsidRPr="00E21748">
        <w:rPr>
          <w:noProof/>
          <w:highlight w:val="yellow"/>
        </w:rPr>
        <w:t>Veselinovic</w:t>
      </w:r>
      <w:r w:rsidR="00E21748" w:rsidRPr="00E21748">
        <w:rPr>
          <w:rFonts w:asciiTheme="minorHAnsi" w:hAnsiTheme="minorHAnsi" w:cstheme="minorHAnsi"/>
          <w:highlight w:val="yellow"/>
        </w:rPr>
        <w:t xml:space="preserve"> et al.</w:t>
      </w:r>
      <w:r w:rsidR="00A47EBE" w:rsidRPr="00E21748">
        <w:rPr>
          <w:rFonts w:asciiTheme="minorHAnsi" w:hAnsiTheme="minorHAnsi" w:cstheme="minorHAnsi"/>
          <w:noProof/>
          <w:highlight w:val="yellow"/>
          <w:vertAlign w:val="superscript"/>
        </w:rPr>
        <w:t>6</w:t>
      </w:r>
      <w:r w:rsidR="00E21748" w:rsidRPr="00E21748">
        <w:rPr>
          <w:rFonts w:asciiTheme="minorHAnsi" w:hAnsiTheme="minorHAnsi" w:cstheme="minorHAnsi"/>
          <w:highlight w:val="yellow"/>
        </w:rPr>
        <w:t>.</w:t>
      </w:r>
    </w:p>
    <w:p w14:paraId="5755404D"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highlight w:val="yellow"/>
        </w:rPr>
      </w:pPr>
    </w:p>
    <w:p w14:paraId="39C28443" w14:textId="769B9EC4" w:rsidR="001D3C34" w:rsidRPr="00CB64EE" w:rsidRDefault="001D3C34" w:rsidP="00E21748">
      <w:pPr>
        <w:pStyle w:val="ListParagraph"/>
        <w:widowControl/>
        <w:numPr>
          <w:ilvl w:val="1"/>
          <w:numId w:val="32"/>
        </w:numPr>
        <w:autoSpaceDE/>
        <w:autoSpaceDN/>
        <w:adjustRightInd/>
        <w:snapToGrid w:val="0"/>
        <w:rPr>
          <w:rFonts w:asciiTheme="minorHAnsi" w:hAnsiTheme="minorHAnsi" w:cstheme="minorHAnsi"/>
          <w:highlight w:val="yellow"/>
        </w:rPr>
      </w:pPr>
      <w:r w:rsidRPr="00CB64EE">
        <w:rPr>
          <w:rFonts w:asciiTheme="minorHAnsi" w:hAnsiTheme="minorHAnsi" w:cstheme="minorHAnsi"/>
          <w:highlight w:val="yellow"/>
        </w:rPr>
        <w:t xml:space="preserve">Retain the mouse in this position with the vagina facing up for 5 min after exposure to avoid </w:t>
      </w:r>
      <w:r w:rsidR="000E1338" w:rsidRPr="00CB64EE">
        <w:rPr>
          <w:rFonts w:asciiTheme="minorHAnsi" w:hAnsiTheme="minorHAnsi" w:cstheme="minorHAnsi"/>
          <w:highlight w:val="yellow"/>
        </w:rPr>
        <w:t xml:space="preserve">gravity-induced </w:t>
      </w:r>
      <w:r w:rsidRPr="00CB64EE">
        <w:rPr>
          <w:rFonts w:asciiTheme="minorHAnsi" w:hAnsiTheme="minorHAnsi" w:cstheme="minorHAnsi"/>
          <w:highlight w:val="yellow"/>
        </w:rPr>
        <w:t>leakage</w:t>
      </w:r>
      <w:r w:rsidR="000E1338" w:rsidRPr="00CB64EE">
        <w:rPr>
          <w:rFonts w:asciiTheme="minorHAnsi" w:hAnsiTheme="minorHAnsi" w:cstheme="minorHAnsi"/>
          <w:highlight w:val="yellow"/>
        </w:rPr>
        <w:t xml:space="preserve"> </w:t>
      </w:r>
      <w:r w:rsidRPr="00CB64EE">
        <w:rPr>
          <w:rFonts w:asciiTheme="minorHAnsi" w:hAnsiTheme="minorHAnsi" w:cstheme="minorHAnsi"/>
          <w:highlight w:val="yellow"/>
        </w:rPr>
        <w:t xml:space="preserve">of </w:t>
      </w:r>
      <w:r w:rsidR="001E5F8B">
        <w:rPr>
          <w:rFonts w:asciiTheme="minorHAnsi" w:hAnsiTheme="minorHAnsi" w:cstheme="minorHAnsi"/>
          <w:highlight w:val="yellow"/>
        </w:rPr>
        <w:t xml:space="preserve">the </w:t>
      </w:r>
      <w:r w:rsidRPr="00CB64EE">
        <w:rPr>
          <w:rFonts w:asciiTheme="minorHAnsi" w:hAnsiTheme="minorHAnsi" w:cstheme="minorHAnsi"/>
          <w:highlight w:val="yellow"/>
        </w:rPr>
        <w:t xml:space="preserve">virus suspension. </w:t>
      </w:r>
    </w:p>
    <w:p w14:paraId="33C2823D" w14:textId="77777777" w:rsidR="00B761E8" w:rsidRDefault="00B761E8" w:rsidP="00E21748">
      <w:pPr>
        <w:pStyle w:val="ListParagraph"/>
        <w:widowControl/>
        <w:autoSpaceDE/>
        <w:autoSpaceDN/>
        <w:adjustRightInd/>
        <w:snapToGrid w:val="0"/>
        <w:ind w:left="0"/>
        <w:rPr>
          <w:rFonts w:asciiTheme="minorHAnsi" w:hAnsiTheme="minorHAnsi" w:cstheme="minorHAnsi"/>
          <w:highlight w:val="yellow"/>
        </w:rPr>
      </w:pPr>
    </w:p>
    <w:p w14:paraId="7658CEE3" w14:textId="1600B23D" w:rsidR="001D3C34" w:rsidRPr="00CB64EE" w:rsidRDefault="001D3C34" w:rsidP="00E21748">
      <w:pPr>
        <w:pStyle w:val="ListParagraph"/>
        <w:widowControl/>
        <w:numPr>
          <w:ilvl w:val="2"/>
          <w:numId w:val="32"/>
        </w:numPr>
        <w:autoSpaceDE/>
        <w:autoSpaceDN/>
        <w:adjustRightInd/>
        <w:snapToGrid w:val="0"/>
        <w:rPr>
          <w:rFonts w:asciiTheme="minorHAnsi" w:hAnsiTheme="minorHAnsi" w:cstheme="minorHAnsi"/>
          <w:highlight w:val="yellow"/>
        </w:rPr>
      </w:pPr>
      <w:r w:rsidRPr="00CB64EE">
        <w:rPr>
          <w:rFonts w:asciiTheme="minorHAnsi" w:hAnsiTheme="minorHAnsi" w:cstheme="minorHAnsi"/>
          <w:highlight w:val="yellow"/>
        </w:rPr>
        <w:t>Carefully place the mouse into the home cage, taking care to place the mouse on its back.</w:t>
      </w:r>
    </w:p>
    <w:p w14:paraId="4805BE6B" w14:textId="77777777" w:rsidR="001D3C34" w:rsidRPr="001B0BDF" w:rsidRDefault="001D3C34" w:rsidP="00E21748">
      <w:pPr>
        <w:pStyle w:val="ListParagraph"/>
        <w:snapToGrid w:val="0"/>
        <w:ind w:left="1080"/>
        <w:rPr>
          <w:rFonts w:asciiTheme="minorHAnsi" w:hAnsiTheme="minorHAnsi" w:cstheme="minorHAnsi"/>
        </w:rPr>
      </w:pPr>
    </w:p>
    <w:p w14:paraId="1F66F4B3" w14:textId="6D5F979E" w:rsidR="001D3C34" w:rsidRPr="00E21748" w:rsidRDefault="001D3C34" w:rsidP="00E21748">
      <w:pPr>
        <w:pStyle w:val="ListParagraph"/>
        <w:widowControl/>
        <w:numPr>
          <w:ilvl w:val="0"/>
          <w:numId w:val="32"/>
        </w:numPr>
        <w:autoSpaceDE/>
        <w:autoSpaceDN/>
        <w:adjustRightInd/>
        <w:snapToGrid w:val="0"/>
        <w:rPr>
          <w:rFonts w:asciiTheme="minorHAnsi" w:hAnsiTheme="minorHAnsi" w:cstheme="minorHAnsi"/>
          <w:b/>
        </w:rPr>
      </w:pPr>
      <w:r w:rsidRPr="001B0BDF">
        <w:rPr>
          <w:rFonts w:asciiTheme="minorHAnsi" w:hAnsiTheme="minorHAnsi" w:cstheme="minorHAnsi"/>
          <w:b/>
        </w:rPr>
        <w:t xml:space="preserve">Processing of blood samples prior to </w:t>
      </w:r>
      <w:r w:rsidR="005C2FC9" w:rsidRPr="00E21748">
        <w:rPr>
          <w:rFonts w:asciiTheme="minorHAnsi" w:hAnsiTheme="minorHAnsi" w:cstheme="minorHAnsi"/>
          <w:b/>
        </w:rPr>
        <w:t xml:space="preserve">viral load </w:t>
      </w:r>
      <w:r w:rsidRPr="00E21748">
        <w:rPr>
          <w:rFonts w:asciiTheme="minorHAnsi" w:hAnsiTheme="minorHAnsi" w:cstheme="minorHAnsi"/>
          <w:b/>
        </w:rPr>
        <w:t>analysis</w:t>
      </w:r>
    </w:p>
    <w:p w14:paraId="4657917B"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rPr>
      </w:pPr>
    </w:p>
    <w:p w14:paraId="4BC64B19" w14:textId="3A728CA4"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E21748">
        <w:rPr>
          <w:rFonts w:asciiTheme="minorHAnsi" w:hAnsiTheme="minorHAnsi" w:cstheme="minorHAnsi"/>
        </w:rPr>
        <w:t xml:space="preserve">Collect blood as described in </w:t>
      </w:r>
      <w:r w:rsidR="001E5F8B">
        <w:rPr>
          <w:rFonts w:asciiTheme="minorHAnsi" w:hAnsiTheme="minorHAnsi" w:cstheme="minorHAnsi"/>
        </w:rPr>
        <w:t>section</w:t>
      </w:r>
      <w:r w:rsidR="001E5F8B" w:rsidRPr="00E21748">
        <w:rPr>
          <w:rFonts w:asciiTheme="minorHAnsi" w:hAnsiTheme="minorHAnsi" w:cstheme="minorHAnsi"/>
        </w:rPr>
        <w:t xml:space="preserve"> </w:t>
      </w:r>
      <w:r w:rsidRPr="00E21748">
        <w:rPr>
          <w:rFonts w:asciiTheme="minorHAnsi" w:hAnsiTheme="minorHAnsi" w:cstheme="minorHAnsi"/>
        </w:rPr>
        <w:t>5 above.</w:t>
      </w:r>
    </w:p>
    <w:p w14:paraId="1F086D9D"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rPr>
      </w:pPr>
    </w:p>
    <w:p w14:paraId="113BD048" w14:textId="578A44C5"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E21748">
        <w:rPr>
          <w:rFonts w:asciiTheme="minorHAnsi" w:hAnsiTheme="minorHAnsi" w:cstheme="minorHAnsi"/>
        </w:rPr>
        <w:t xml:space="preserve">Centrifuge </w:t>
      </w:r>
      <w:r w:rsidR="004E079D">
        <w:rPr>
          <w:rFonts w:asciiTheme="minorHAnsi" w:hAnsiTheme="minorHAnsi" w:cstheme="minorHAnsi"/>
        </w:rPr>
        <w:t xml:space="preserve">the </w:t>
      </w:r>
      <w:r w:rsidRPr="00E21748">
        <w:rPr>
          <w:rFonts w:asciiTheme="minorHAnsi" w:hAnsiTheme="minorHAnsi" w:cstheme="minorHAnsi"/>
        </w:rPr>
        <w:t xml:space="preserve">blood samples for 5 min </w:t>
      </w:r>
      <w:r w:rsidR="00E21748">
        <w:rPr>
          <w:rFonts w:asciiTheme="minorHAnsi" w:hAnsiTheme="minorHAnsi" w:cstheme="minorHAnsi"/>
        </w:rPr>
        <w:t xml:space="preserve">at </w:t>
      </w:r>
      <w:r w:rsidRPr="00E21748">
        <w:rPr>
          <w:rFonts w:asciiTheme="minorHAnsi" w:hAnsiTheme="minorHAnsi" w:cstheme="minorHAnsi"/>
        </w:rPr>
        <w:t>500 x</w:t>
      </w:r>
      <w:r w:rsidR="007708BF" w:rsidRPr="007708BF">
        <w:rPr>
          <w:rFonts w:asciiTheme="minorHAnsi" w:hAnsiTheme="minorHAnsi" w:cstheme="minorHAnsi"/>
          <w:i/>
        </w:rPr>
        <w:t xml:space="preserve"> g </w:t>
      </w:r>
      <w:r w:rsidRPr="00E21748">
        <w:rPr>
          <w:rFonts w:asciiTheme="minorHAnsi" w:hAnsiTheme="minorHAnsi" w:cstheme="minorHAnsi"/>
        </w:rPr>
        <w:t>at RT</w:t>
      </w:r>
      <w:r w:rsidR="001A0725" w:rsidRPr="00E21748">
        <w:rPr>
          <w:rFonts w:asciiTheme="minorHAnsi" w:hAnsiTheme="minorHAnsi" w:cstheme="minorHAnsi"/>
        </w:rPr>
        <w:t xml:space="preserve"> to separate </w:t>
      </w:r>
      <w:r w:rsidR="004E079D">
        <w:rPr>
          <w:rFonts w:asciiTheme="minorHAnsi" w:hAnsiTheme="minorHAnsi" w:cstheme="minorHAnsi"/>
        </w:rPr>
        <w:t xml:space="preserve">the </w:t>
      </w:r>
      <w:r w:rsidR="001A0725" w:rsidRPr="00E21748">
        <w:rPr>
          <w:rFonts w:asciiTheme="minorHAnsi" w:hAnsiTheme="minorHAnsi" w:cstheme="minorHAnsi"/>
        </w:rPr>
        <w:t>plasma and cells</w:t>
      </w:r>
      <w:r w:rsidRPr="00E21748">
        <w:rPr>
          <w:rFonts w:asciiTheme="minorHAnsi" w:hAnsiTheme="minorHAnsi" w:cstheme="minorHAnsi"/>
        </w:rPr>
        <w:t>.</w:t>
      </w:r>
    </w:p>
    <w:p w14:paraId="5C1BA67B"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3EB21799" w14:textId="0BB3030D" w:rsidR="001D3C34" w:rsidRPr="001B0BDF"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0D3624">
        <w:rPr>
          <w:rFonts w:asciiTheme="minorHAnsi" w:hAnsiTheme="minorHAnsi" w:cstheme="minorHAnsi"/>
        </w:rPr>
        <w:t>Collect 40 µL</w:t>
      </w:r>
      <w:r w:rsidR="00E21748">
        <w:rPr>
          <w:rFonts w:asciiTheme="minorHAnsi" w:hAnsiTheme="minorHAnsi" w:cstheme="minorHAnsi"/>
        </w:rPr>
        <w:t xml:space="preserve"> of</w:t>
      </w:r>
      <w:r w:rsidRPr="000D3624">
        <w:rPr>
          <w:rFonts w:asciiTheme="minorHAnsi" w:hAnsiTheme="minorHAnsi" w:cstheme="minorHAnsi"/>
        </w:rPr>
        <w:t xml:space="preserve"> plasma for viral load mea</w:t>
      </w:r>
      <w:r w:rsidR="00345BCA" w:rsidRPr="000D3624">
        <w:rPr>
          <w:rFonts w:asciiTheme="minorHAnsi" w:hAnsiTheme="minorHAnsi" w:cstheme="minorHAnsi"/>
        </w:rPr>
        <w:t>surement into a new sterile PCR-</w:t>
      </w:r>
      <w:r w:rsidRPr="000D3624">
        <w:rPr>
          <w:rFonts w:asciiTheme="minorHAnsi" w:hAnsiTheme="minorHAnsi" w:cstheme="minorHAnsi"/>
        </w:rPr>
        <w:t xml:space="preserve">approved </w:t>
      </w:r>
      <w:r w:rsidR="00345BCA" w:rsidRPr="000D3624">
        <w:rPr>
          <w:rFonts w:asciiTheme="minorHAnsi" w:hAnsiTheme="minorHAnsi" w:cstheme="minorHAnsi"/>
        </w:rPr>
        <w:t>microcentrifuge</w:t>
      </w:r>
      <w:r w:rsidRPr="000D3624">
        <w:rPr>
          <w:rFonts w:asciiTheme="minorHAnsi" w:hAnsiTheme="minorHAnsi" w:cstheme="minorHAnsi"/>
        </w:rPr>
        <w:t xml:space="preserve"> tube and store at -80 °C for at least 1 h</w:t>
      </w:r>
      <w:r w:rsidR="00E21748">
        <w:rPr>
          <w:rFonts w:asciiTheme="minorHAnsi" w:hAnsiTheme="minorHAnsi" w:cstheme="minorHAnsi"/>
        </w:rPr>
        <w:t xml:space="preserve"> </w:t>
      </w:r>
      <w:r w:rsidRPr="000D3624">
        <w:rPr>
          <w:rFonts w:asciiTheme="minorHAnsi" w:hAnsiTheme="minorHAnsi" w:cstheme="minorHAnsi"/>
        </w:rPr>
        <w:t xml:space="preserve">until further processing. It is important to freeze all samples before RNA extraction </w:t>
      </w:r>
      <w:r w:rsidR="001E5F8B">
        <w:rPr>
          <w:rFonts w:asciiTheme="minorHAnsi" w:hAnsiTheme="minorHAnsi" w:cstheme="minorHAnsi"/>
        </w:rPr>
        <w:t>t</w:t>
      </w:r>
      <w:r w:rsidRPr="000D3624">
        <w:rPr>
          <w:rFonts w:asciiTheme="minorHAnsi" w:hAnsiTheme="minorHAnsi" w:cstheme="minorHAnsi"/>
        </w:rPr>
        <w:t>o avoid the risk of bias from comparing RNA levels in samples that have not been frozen prior to RNA isolation to samples frozen prior to RNA isolati</w:t>
      </w:r>
      <w:r w:rsidRPr="001B0BDF">
        <w:rPr>
          <w:rFonts w:asciiTheme="minorHAnsi" w:hAnsiTheme="minorHAnsi" w:cstheme="minorHAnsi"/>
        </w:rPr>
        <w:t>on.</w:t>
      </w:r>
    </w:p>
    <w:p w14:paraId="0D0A6D58"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51402053" w14:textId="070ED42A"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1B0BDF">
        <w:rPr>
          <w:rFonts w:asciiTheme="minorHAnsi" w:hAnsiTheme="minorHAnsi" w:cstheme="minorHAnsi"/>
        </w:rPr>
        <w:lastRenderedPageBreak/>
        <w:t xml:space="preserve">Adjust the volume of blood back to the original volume by adding 40 µL </w:t>
      </w:r>
      <w:r w:rsidR="00FF1C5F">
        <w:rPr>
          <w:rFonts w:asciiTheme="minorHAnsi" w:hAnsiTheme="minorHAnsi" w:cstheme="minorHAnsi"/>
        </w:rPr>
        <w:t xml:space="preserve">of </w:t>
      </w:r>
      <w:r w:rsidRPr="001B0BDF">
        <w:rPr>
          <w:rFonts w:asciiTheme="minorHAnsi" w:hAnsiTheme="minorHAnsi" w:cstheme="minorHAnsi"/>
        </w:rPr>
        <w:t>suspension media (</w:t>
      </w:r>
      <w:r w:rsidRPr="00FE6595">
        <w:rPr>
          <w:rFonts w:asciiTheme="minorHAnsi" w:hAnsiTheme="minorHAnsi" w:cstheme="minorHAnsi"/>
          <w:lang w:eastAsia="da-DK"/>
        </w:rPr>
        <w:t>PBS with 2.5% bovine s</w:t>
      </w:r>
      <w:r w:rsidRPr="00E21748">
        <w:rPr>
          <w:rFonts w:asciiTheme="minorHAnsi" w:hAnsiTheme="minorHAnsi" w:cstheme="minorHAnsi"/>
          <w:lang w:eastAsia="da-DK"/>
        </w:rPr>
        <w:t>erum albumin, 50 U</w:t>
      </w:r>
      <w:r w:rsidR="00E21748">
        <w:rPr>
          <w:rFonts w:asciiTheme="minorHAnsi" w:hAnsiTheme="minorHAnsi" w:cstheme="minorHAnsi"/>
          <w:lang w:eastAsia="da-DK"/>
        </w:rPr>
        <w:t>/mL</w:t>
      </w:r>
      <w:r w:rsidRPr="00E21748">
        <w:rPr>
          <w:rFonts w:asciiTheme="minorHAnsi" w:hAnsiTheme="minorHAnsi" w:cstheme="minorHAnsi"/>
          <w:lang w:eastAsia="da-DK"/>
        </w:rPr>
        <w:t xml:space="preserve"> penicillin G and streptomycin, and 10 U/mL DNase</w:t>
      </w:r>
      <w:r w:rsidR="001E5F8B">
        <w:rPr>
          <w:rFonts w:asciiTheme="minorHAnsi" w:hAnsiTheme="minorHAnsi" w:cstheme="minorHAnsi"/>
          <w:lang w:eastAsia="da-DK"/>
        </w:rPr>
        <w:t>,</w:t>
      </w:r>
      <w:r w:rsidRPr="00E21748">
        <w:rPr>
          <w:rFonts w:asciiTheme="minorHAnsi" w:hAnsiTheme="minorHAnsi" w:cstheme="minorHAnsi"/>
          <w:lang w:eastAsia="da-DK"/>
        </w:rPr>
        <w:t xml:space="preserve"> </w:t>
      </w:r>
      <w:proofErr w:type="gramStart"/>
      <w:r w:rsidRPr="00E21748">
        <w:rPr>
          <w:rFonts w:asciiTheme="minorHAnsi" w:hAnsiTheme="minorHAnsi" w:cstheme="minorHAnsi"/>
          <w:lang w:eastAsia="da-DK"/>
        </w:rPr>
        <w:t>sterile-filtered</w:t>
      </w:r>
      <w:proofErr w:type="gramEnd"/>
      <w:r w:rsidRPr="00E21748">
        <w:rPr>
          <w:rFonts w:asciiTheme="minorHAnsi" w:hAnsiTheme="minorHAnsi" w:cstheme="minorHAnsi"/>
          <w:lang w:eastAsia="da-DK"/>
        </w:rPr>
        <w:t xml:space="preserve"> at 0.22 µm</w:t>
      </w:r>
      <w:r w:rsidR="00FF1C5F">
        <w:rPr>
          <w:rFonts w:asciiTheme="minorHAnsi" w:hAnsiTheme="minorHAnsi" w:cstheme="minorHAnsi"/>
          <w:lang w:eastAsia="da-DK"/>
        </w:rPr>
        <w:t>)</w:t>
      </w:r>
      <w:r w:rsidRPr="00E21748">
        <w:rPr>
          <w:rFonts w:asciiTheme="minorHAnsi" w:hAnsiTheme="minorHAnsi" w:cstheme="minorHAnsi"/>
          <w:lang w:eastAsia="da-DK"/>
        </w:rPr>
        <w:t>.</w:t>
      </w:r>
    </w:p>
    <w:p w14:paraId="2560A9EC"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rPr>
      </w:pPr>
    </w:p>
    <w:p w14:paraId="2424DE88" w14:textId="51D466F4"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E21748">
        <w:rPr>
          <w:rFonts w:asciiTheme="minorHAnsi" w:hAnsiTheme="minorHAnsi" w:cstheme="minorHAnsi"/>
          <w:lang w:eastAsia="da-DK"/>
        </w:rPr>
        <w:t xml:space="preserve">Transfer 15 </w:t>
      </w:r>
      <w:r w:rsidRPr="00E21748">
        <w:rPr>
          <w:rFonts w:asciiTheme="minorHAnsi" w:hAnsiTheme="minorHAnsi" w:cstheme="minorHAnsi"/>
        </w:rPr>
        <w:t xml:space="preserve">µL of </w:t>
      </w:r>
      <w:r w:rsidR="001E5F8B">
        <w:rPr>
          <w:rFonts w:asciiTheme="minorHAnsi" w:hAnsiTheme="minorHAnsi" w:cstheme="minorHAnsi"/>
        </w:rPr>
        <w:t xml:space="preserve">the </w:t>
      </w:r>
      <w:r w:rsidRPr="00E21748">
        <w:rPr>
          <w:rFonts w:asciiTheme="minorHAnsi" w:hAnsiTheme="minorHAnsi" w:cstheme="minorHAnsi"/>
        </w:rPr>
        <w:t xml:space="preserve">adjusted blood volume to a new PCR-approved </w:t>
      </w:r>
      <w:r w:rsidR="00345BCA" w:rsidRPr="00E21748">
        <w:rPr>
          <w:rFonts w:asciiTheme="minorHAnsi" w:hAnsiTheme="minorHAnsi" w:cstheme="minorHAnsi"/>
        </w:rPr>
        <w:t>microcentrifuge</w:t>
      </w:r>
      <w:r w:rsidR="00C557BE" w:rsidRPr="00E21748">
        <w:rPr>
          <w:rFonts w:asciiTheme="minorHAnsi" w:hAnsiTheme="minorHAnsi" w:cstheme="minorHAnsi"/>
        </w:rPr>
        <w:t xml:space="preserve"> tube.</w:t>
      </w:r>
    </w:p>
    <w:p w14:paraId="79AC438E"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rPr>
      </w:pPr>
    </w:p>
    <w:p w14:paraId="3579BABC" w14:textId="17BFC32D"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E21748">
        <w:rPr>
          <w:rFonts w:asciiTheme="minorHAnsi" w:hAnsiTheme="minorHAnsi" w:cstheme="minorHAnsi"/>
        </w:rPr>
        <w:t>Add 1 mL of 1</w:t>
      </w:r>
      <w:r w:rsidR="00E21748">
        <w:rPr>
          <w:rFonts w:asciiTheme="minorHAnsi" w:hAnsiTheme="minorHAnsi" w:cstheme="minorHAnsi"/>
        </w:rPr>
        <w:t>x</w:t>
      </w:r>
      <w:r w:rsidRPr="00E21748">
        <w:rPr>
          <w:rFonts w:asciiTheme="minorHAnsi" w:hAnsiTheme="minorHAnsi" w:cstheme="minorHAnsi"/>
        </w:rPr>
        <w:t xml:space="preserve"> RBC lysis solution</w:t>
      </w:r>
      <w:r w:rsidR="00F77D58" w:rsidRPr="00E21748">
        <w:rPr>
          <w:rFonts w:asciiTheme="minorHAnsi" w:hAnsiTheme="minorHAnsi" w:cstheme="minorHAnsi"/>
        </w:rPr>
        <w:t xml:space="preserve"> (</w:t>
      </w:r>
      <w:r w:rsidR="00E21748" w:rsidRPr="00E21748">
        <w:rPr>
          <w:b/>
        </w:rPr>
        <w:t>Table of Materials</w:t>
      </w:r>
      <w:r w:rsidR="00F77D58" w:rsidRPr="00E21748">
        <w:rPr>
          <w:rFonts w:asciiTheme="minorHAnsi" w:hAnsiTheme="minorHAnsi" w:cstheme="minorHAnsi"/>
        </w:rPr>
        <w:t>)</w:t>
      </w:r>
      <w:r w:rsidRPr="00E21748">
        <w:rPr>
          <w:rFonts w:asciiTheme="minorHAnsi" w:hAnsiTheme="minorHAnsi" w:cstheme="minorHAnsi"/>
        </w:rPr>
        <w:t>, vortex</w:t>
      </w:r>
      <w:r w:rsidR="00E21748">
        <w:rPr>
          <w:rFonts w:asciiTheme="minorHAnsi" w:hAnsiTheme="minorHAnsi" w:cstheme="minorHAnsi"/>
        </w:rPr>
        <w:t>,</w:t>
      </w:r>
      <w:r w:rsidRPr="00E21748">
        <w:rPr>
          <w:rFonts w:asciiTheme="minorHAnsi" w:hAnsiTheme="minorHAnsi" w:cstheme="minorHAnsi"/>
        </w:rPr>
        <w:t xml:space="preserve"> and incubate for 10 min at RT.</w:t>
      </w:r>
    </w:p>
    <w:p w14:paraId="2A88156F"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rPr>
      </w:pPr>
    </w:p>
    <w:p w14:paraId="19FD8209" w14:textId="69341743"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E21748">
        <w:rPr>
          <w:rFonts w:asciiTheme="minorHAnsi" w:hAnsiTheme="minorHAnsi" w:cstheme="minorHAnsi"/>
        </w:rPr>
        <w:t xml:space="preserve">Centrifuge </w:t>
      </w:r>
      <w:r w:rsidR="00FF1C5F" w:rsidRPr="00E21748">
        <w:rPr>
          <w:rFonts w:asciiTheme="minorHAnsi" w:hAnsiTheme="minorHAnsi" w:cstheme="minorHAnsi"/>
        </w:rPr>
        <w:t xml:space="preserve">for 1 min </w:t>
      </w:r>
      <w:r w:rsidR="00FF1C5F">
        <w:rPr>
          <w:rFonts w:asciiTheme="minorHAnsi" w:hAnsiTheme="minorHAnsi" w:cstheme="minorHAnsi"/>
        </w:rPr>
        <w:t xml:space="preserve">at </w:t>
      </w:r>
      <w:r w:rsidRPr="00E21748">
        <w:rPr>
          <w:rFonts w:asciiTheme="minorHAnsi" w:hAnsiTheme="minorHAnsi" w:cstheme="minorHAnsi"/>
        </w:rPr>
        <w:t>9,600 x</w:t>
      </w:r>
      <w:r w:rsidR="007708BF" w:rsidRPr="007708BF">
        <w:rPr>
          <w:rFonts w:asciiTheme="minorHAnsi" w:hAnsiTheme="minorHAnsi" w:cstheme="minorHAnsi"/>
          <w:i/>
        </w:rPr>
        <w:t xml:space="preserve"> g </w:t>
      </w:r>
      <w:r w:rsidRPr="00E21748">
        <w:rPr>
          <w:rFonts w:asciiTheme="minorHAnsi" w:hAnsiTheme="minorHAnsi" w:cstheme="minorHAnsi"/>
        </w:rPr>
        <w:t>at RT</w:t>
      </w:r>
      <w:r w:rsidR="00604BD6" w:rsidRPr="00E21748">
        <w:rPr>
          <w:rFonts w:asciiTheme="minorHAnsi" w:hAnsiTheme="minorHAnsi" w:cstheme="minorHAnsi"/>
        </w:rPr>
        <w:t xml:space="preserve"> to pellet cells</w:t>
      </w:r>
      <w:r w:rsidRPr="00E21748">
        <w:rPr>
          <w:rFonts w:asciiTheme="minorHAnsi" w:hAnsiTheme="minorHAnsi" w:cstheme="minorHAnsi"/>
        </w:rPr>
        <w:t xml:space="preserve">. </w:t>
      </w:r>
    </w:p>
    <w:p w14:paraId="2E11AC87"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rPr>
      </w:pPr>
    </w:p>
    <w:p w14:paraId="2D724E8A" w14:textId="0E6D64F2"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rPr>
      </w:pPr>
      <w:r w:rsidRPr="00E21748">
        <w:rPr>
          <w:rFonts w:asciiTheme="minorHAnsi" w:hAnsiTheme="minorHAnsi" w:cstheme="minorHAnsi"/>
        </w:rPr>
        <w:t>Aspirate supernatant and leave only the tiny white cell pellet</w:t>
      </w:r>
      <w:r w:rsidR="00FF1C5F">
        <w:rPr>
          <w:rFonts w:asciiTheme="minorHAnsi" w:hAnsiTheme="minorHAnsi" w:cstheme="minorHAnsi"/>
        </w:rPr>
        <w:t>,</w:t>
      </w:r>
      <w:r w:rsidRPr="00E21748">
        <w:rPr>
          <w:rFonts w:asciiTheme="minorHAnsi" w:hAnsiTheme="minorHAnsi" w:cstheme="minorHAnsi"/>
        </w:rPr>
        <w:t xml:space="preserve"> </w:t>
      </w:r>
      <w:r w:rsidR="00FF1C5F" w:rsidRPr="00960CA7">
        <w:rPr>
          <w:rFonts w:asciiTheme="minorHAnsi" w:hAnsiTheme="minorHAnsi" w:cstheme="minorHAnsi"/>
        </w:rPr>
        <w:t>because</w:t>
      </w:r>
      <w:r w:rsidR="00FF1C5F" w:rsidRPr="00E21748">
        <w:rPr>
          <w:rFonts w:asciiTheme="minorHAnsi" w:hAnsiTheme="minorHAnsi" w:cstheme="minorHAnsi"/>
        </w:rPr>
        <w:t xml:space="preserve"> </w:t>
      </w:r>
      <w:r w:rsidRPr="00E21748">
        <w:rPr>
          <w:rFonts w:asciiTheme="minorHAnsi" w:hAnsiTheme="minorHAnsi" w:cstheme="minorHAnsi"/>
        </w:rPr>
        <w:t>red blood cell contamination can inhibit PCR.</w:t>
      </w:r>
    </w:p>
    <w:p w14:paraId="02C8D40F"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rPr>
      </w:pPr>
    </w:p>
    <w:p w14:paraId="153BD19D" w14:textId="17BF38BD" w:rsidR="001D3C34" w:rsidRPr="00E21748" w:rsidRDefault="00B761E8" w:rsidP="00E21748">
      <w:pPr>
        <w:pStyle w:val="ListParagraph"/>
        <w:widowControl/>
        <w:numPr>
          <w:ilvl w:val="1"/>
          <w:numId w:val="32"/>
        </w:numPr>
        <w:autoSpaceDE/>
        <w:autoSpaceDN/>
        <w:adjustRightInd/>
        <w:snapToGrid w:val="0"/>
        <w:rPr>
          <w:rFonts w:asciiTheme="minorHAnsi" w:hAnsiTheme="minorHAnsi" w:cstheme="minorHAnsi"/>
        </w:rPr>
      </w:pPr>
      <w:r w:rsidRPr="00E21748">
        <w:rPr>
          <w:rFonts w:asciiTheme="minorHAnsi" w:hAnsiTheme="minorHAnsi" w:cstheme="minorHAnsi"/>
        </w:rPr>
        <w:t>S</w:t>
      </w:r>
      <w:r w:rsidR="001D3C34" w:rsidRPr="00E21748">
        <w:rPr>
          <w:rFonts w:asciiTheme="minorHAnsi" w:hAnsiTheme="minorHAnsi" w:cstheme="minorHAnsi"/>
        </w:rPr>
        <w:t>tore pelle</w:t>
      </w:r>
      <w:r w:rsidR="009A76C9" w:rsidRPr="00E21748">
        <w:rPr>
          <w:rFonts w:asciiTheme="minorHAnsi" w:hAnsiTheme="minorHAnsi" w:cstheme="minorHAnsi"/>
        </w:rPr>
        <w:t>t at -80 °C for at least 1 h</w:t>
      </w:r>
      <w:r w:rsidR="001D3C34" w:rsidRPr="00E21748">
        <w:rPr>
          <w:rFonts w:asciiTheme="minorHAnsi" w:hAnsiTheme="minorHAnsi" w:cstheme="minorHAnsi"/>
        </w:rPr>
        <w:t xml:space="preserve"> until further processing.</w:t>
      </w:r>
    </w:p>
    <w:p w14:paraId="12C9FD71"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rPr>
      </w:pPr>
    </w:p>
    <w:p w14:paraId="32E52078" w14:textId="6213829C" w:rsidR="001D3C34" w:rsidRPr="00E21748" w:rsidRDefault="00E21748" w:rsidP="00E21748">
      <w:pPr>
        <w:pStyle w:val="ListParagraph"/>
        <w:widowControl/>
        <w:autoSpaceDE/>
        <w:autoSpaceDN/>
        <w:adjustRightInd/>
        <w:snapToGrid w:val="0"/>
        <w:ind w:left="0"/>
        <w:rPr>
          <w:rFonts w:asciiTheme="minorHAnsi" w:hAnsiTheme="minorHAnsi" w:cstheme="minorHAnsi"/>
        </w:rPr>
      </w:pPr>
      <w:r>
        <w:rPr>
          <w:rFonts w:asciiTheme="minorHAnsi" w:hAnsiTheme="minorHAnsi" w:cstheme="minorHAnsi"/>
        </w:rPr>
        <w:t xml:space="preserve">NOTE: </w:t>
      </w:r>
      <w:r w:rsidR="001D3C34" w:rsidRPr="00E21748">
        <w:rPr>
          <w:rFonts w:asciiTheme="minorHAnsi" w:hAnsiTheme="minorHAnsi" w:cstheme="minorHAnsi"/>
        </w:rPr>
        <w:t>Optional</w:t>
      </w:r>
      <w:r>
        <w:rPr>
          <w:rFonts w:asciiTheme="minorHAnsi" w:hAnsiTheme="minorHAnsi" w:cstheme="minorHAnsi"/>
        </w:rPr>
        <w:t>ly,</w:t>
      </w:r>
      <w:r w:rsidR="001D3C34" w:rsidRPr="00E21748">
        <w:rPr>
          <w:rFonts w:asciiTheme="minorHAnsi" w:hAnsiTheme="minorHAnsi" w:cstheme="minorHAnsi"/>
        </w:rPr>
        <w:t xml:space="preserve"> any remaining blood from step 8.4 can be used for flow cytometry analysis, as described above in step 6. </w:t>
      </w:r>
    </w:p>
    <w:p w14:paraId="1B1B6A6C" w14:textId="77777777" w:rsidR="001D3C34" w:rsidRPr="00E21748" w:rsidRDefault="001D3C34" w:rsidP="00E21748">
      <w:pPr>
        <w:pStyle w:val="ListParagraph"/>
        <w:snapToGrid w:val="0"/>
        <w:ind w:left="1080"/>
        <w:rPr>
          <w:rFonts w:asciiTheme="minorHAnsi" w:hAnsiTheme="minorHAnsi" w:cstheme="minorHAnsi"/>
        </w:rPr>
      </w:pPr>
    </w:p>
    <w:p w14:paraId="05CE6803" w14:textId="4E27FE60" w:rsidR="001D3C34" w:rsidRPr="00E21748" w:rsidRDefault="001D3C34" w:rsidP="00E21748">
      <w:pPr>
        <w:pStyle w:val="ListParagraph"/>
        <w:widowControl/>
        <w:numPr>
          <w:ilvl w:val="0"/>
          <w:numId w:val="32"/>
        </w:numPr>
        <w:autoSpaceDE/>
        <w:autoSpaceDN/>
        <w:adjustRightInd/>
        <w:snapToGrid w:val="0"/>
        <w:rPr>
          <w:rFonts w:asciiTheme="minorHAnsi" w:hAnsiTheme="minorHAnsi" w:cstheme="minorHAnsi"/>
          <w:b/>
        </w:rPr>
      </w:pPr>
      <w:r w:rsidRPr="00E21748">
        <w:rPr>
          <w:rFonts w:asciiTheme="minorHAnsi" w:hAnsiTheme="minorHAnsi" w:cstheme="minorHAnsi"/>
          <w:b/>
        </w:rPr>
        <w:t xml:space="preserve">DNA extraction using </w:t>
      </w:r>
      <w:r w:rsidR="005A383A" w:rsidRPr="00E21748">
        <w:rPr>
          <w:rFonts w:asciiTheme="minorHAnsi" w:hAnsiTheme="minorHAnsi" w:cstheme="minorHAnsi"/>
          <w:b/>
        </w:rPr>
        <w:t xml:space="preserve">a </w:t>
      </w:r>
      <w:r w:rsidRPr="00E21748">
        <w:rPr>
          <w:rFonts w:asciiTheme="minorHAnsi" w:hAnsiTheme="minorHAnsi" w:cstheme="minorHAnsi"/>
          <w:b/>
        </w:rPr>
        <w:t>proteinase K extraction method</w:t>
      </w:r>
    </w:p>
    <w:p w14:paraId="6BD4390F"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b/>
        </w:rPr>
      </w:pPr>
    </w:p>
    <w:p w14:paraId="5A78E619" w14:textId="30D34DB2"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b/>
        </w:rPr>
      </w:pPr>
      <w:r w:rsidRPr="00E21748">
        <w:rPr>
          <w:rFonts w:asciiTheme="minorHAnsi" w:hAnsiTheme="minorHAnsi" w:cstheme="minorHAnsi"/>
          <w:lang w:eastAsia="da-DK"/>
        </w:rPr>
        <w:t xml:space="preserve">Extract DNA from peripheral cell pellets </w:t>
      </w:r>
      <w:r w:rsidRPr="00E21748">
        <w:rPr>
          <w:rFonts w:asciiTheme="minorHAnsi" w:hAnsiTheme="minorHAnsi" w:cstheme="minorHAnsi"/>
        </w:rPr>
        <w:t xml:space="preserve">(generated in step 8.8) </w:t>
      </w:r>
      <w:r w:rsidRPr="00E21748">
        <w:rPr>
          <w:rFonts w:asciiTheme="minorHAnsi" w:hAnsiTheme="minorHAnsi" w:cstheme="minorHAnsi"/>
          <w:lang w:eastAsia="da-DK"/>
        </w:rPr>
        <w:t xml:space="preserve">using </w:t>
      </w:r>
      <w:r w:rsidR="005A383A" w:rsidRPr="00E21748">
        <w:rPr>
          <w:rFonts w:asciiTheme="minorHAnsi" w:hAnsiTheme="minorHAnsi" w:cstheme="minorHAnsi"/>
          <w:lang w:eastAsia="da-DK"/>
        </w:rPr>
        <w:t xml:space="preserve">a </w:t>
      </w:r>
      <w:r w:rsidRPr="00E21748">
        <w:rPr>
          <w:rFonts w:asciiTheme="minorHAnsi" w:hAnsiTheme="minorHAnsi" w:cstheme="minorHAnsi"/>
          <w:lang w:eastAsia="da-DK"/>
        </w:rPr>
        <w:t xml:space="preserve">proteinase K extraction method as described below. This method has been demonstrated to </w:t>
      </w:r>
      <w:r w:rsidR="001E5F8B">
        <w:rPr>
          <w:rFonts w:asciiTheme="minorHAnsi" w:hAnsiTheme="minorHAnsi" w:cstheme="minorHAnsi"/>
          <w:lang w:eastAsia="da-DK"/>
        </w:rPr>
        <w:t>extract</w:t>
      </w:r>
      <w:r w:rsidR="001E5F8B" w:rsidRPr="00E21748">
        <w:rPr>
          <w:rFonts w:asciiTheme="minorHAnsi" w:hAnsiTheme="minorHAnsi" w:cstheme="minorHAnsi"/>
          <w:lang w:eastAsia="da-DK"/>
        </w:rPr>
        <w:t xml:space="preserve"> </w:t>
      </w:r>
      <w:r w:rsidRPr="00E21748">
        <w:rPr>
          <w:rFonts w:asciiTheme="minorHAnsi" w:hAnsiTheme="minorHAnsi" w:cstheme="minorHAnsi"/>
          <w:lang w:eastAsia="da-DK"/>
        </w:rPr>
        <w:t xml:space="preserve">the highest DNA yield from a small volume of blood such as </w:t>
      </w:r>
      <w:r w:rsidR="00FF1C5F">
        <w:rPr>
          <w:rFonts w:asciiTheme="minorHAnsi" w:hAnsiTheme="minorHAnsi" w:cstheme="minorHAnsi"/>
          <w:lang w:eastAsia="da-DK"/>
        </w:rPr>
        <w:t>that</w:t>
      </w:r>
      <w:r w:rsidR="00FF1C5F" w:rsidRPr="00E21748">
        <w:rPr>
          <w:rFonts w:asciiTheme="minorHAnsi" w:hAnsiTheme="minorHAnsi" w:cstheme="minorHAnsi"/>
          <w:lang w:eastAsia="da-DK"/>
        </w:rPr>
        <w:t xml:space="preserve"> </w:t>
      </w:r>
      <w:r w:rsidRPr="00E21748">
        <w:rPr>
          <w:rFonts w:asciiTheme="minorHAnsi" w:hAnsiTheme="minorHAnsi" w:cstheme="minorHAnsi"/>
          <w:lang w:eastAsia="da-DK"/>
        </w:rPr>
        <w:t xml:space="preserve">required for </w:t>
      </w:r>
      <w:r w:rsidR="00FF1C5F">
        <w:rPr>
          <w:rFonts w:asciiTheme="minorHAnsi" w:hAnsiTheme="minorHAnsi" w:cstheme="minorHAnsi"/>
          <w:lang w:eastAsia="da-DK"/>
        </w:rPr>
        <w:t xml:space="preserve">the </w:t>
      </w:r>
      <w:r w:rsidRPr="00E21748">
        <w:rPr>
          <w:rFonts w:asciiTheme="minorHAnsi" w:hAnsiTheme="minorHAnsi" w:cstheme="minorHAnsi"/>
          <w:lang w:eastAsia="da-DK"/>
        </w:rPr>
        <w:t xml:space="preserve">serial blood collections utilized </w:t>
      </w:r>
      <w:r w:rsidR="00FF1C5F">
        <w:rPr>
          <w:rFonts w:asciiTheme="minorHAnsi" w:hAnsiTheme="minorHAnsi" w:cstheme="minorHAnsi"/>
          <w:lang w:eastAsia="da-DK"/>
        </w:rPr>
        <w:t>in this study</w:t>
      </w:r>
      <w:r w:rsidR="00A85CC2" w:rsidRPr="00E21748">
        <w:rPr>
          <w:rFonts w:asciiTheme="minorHAnsi" w:hAnsiTheme="minorHAnsi" w:cstheme="minorHAnsi"/>
          <w:noProof/>
          <w:vertAlign w:val="superscript"/>
          <w:lang w:eastAsia="da-DK"/>
        </w:rPr>
        <w:t>19</w:t>
      </w:r>
      <w:r w:rsidRPr="00E21748">
        <w:rPr>
          <w:rFonts w:asciiTheme="minorHAnsi" w:hAnsiTheme="minorHAnsi" w:cstheme="minorHAnsi"/>
          <w:lang w:eastAsia="da-DK"/>
        </w:rPr>
        <w:t xml:space="preserve">. </w:t>
      </w:r>
    </w:p>
    <w:p w14:paraId="437B0F2C"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b/>
        </w:rPr>
      </w:pPr>
    </w:p>
    <w:p w14:paraId="6B2030F6" w14:textId="3558673A"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b/>
        </w:rPr>
      </w:pPr>
      <w:r w:rsidRPr="00E21748">
        <w:rPr>
          <w:rFonts w:asciiTheme="minorHAnsi" w:hAnsiTheme="minorHAnsi" w:cstheme="minorHAnsi"/>
        </w:rPr>
        <w:t>Add 25</w:t>
      </w:r>
      <w:r w:rsidR="00E21748">
        <w:rPr>
          <w:rFonts w:asciiTheme="minorHAnsi" w:hAnsiTheme="minorHAnsi" w:cstheme="minorHAnsi"/>
        </w:rPr>
        <w:t xml:space="preserve"> </w:t>
      </w:r>
      <w:proofErr w:type="spellStart"/>
      <w:r w:rsidR="00E21748">
        <w:rPr>
          <w:rFonts w:asciiTheme="minorHAnsi" w:hAnsiTheme="minorHAnsi" w:cstheme="minorHAnsi"/>
        </w:rPr>
        <w:t>μ</w:t>
      </w:r>
      <w:r w:rsidRPr="00E21748">
        <w:rPr>
          <w:rFonts w:asciiTheme="minorHAnsi" w:hAnsiTheme="minorHAnsi" w:cstheme="minorHAnsi"/>
        </w:rPr>
        <w:t>L</w:t>
      </w:r>
      <w:proofErr w:type="spellEnd"/>
      <w:r w:rsidRPr="00E21748">
        <w:rPr>
          <w:rFonts w:asciiTheme="minorHAnsi" w:hAnsiTheme="minorHAnsi" w:cstheme="minorHAnsi"/>
        </w:rPr>
        <w:t xml:space="preserve"> of proteinase K (20 </w:t>
      </w:r>
      <w:proofErr w:type="spellStart"/>
      <w:r w:rsidR="00E21748">
        <w:rPr>
          <w:rFonts w:asciiTheme="minorHAnsi" w:hAnsiTheme="minorHAnsi" w:cstheme="minorHAnsi"/>
        </w:rPr>
        <w:t>μ</w:t>
      </w:r>
      <w:r w:rsidRPr="00E21748">
        <w:rPr>
          <w:rFonts w:asciiTheme="minorHAnsi" w:hAnsiTheme="minorHAnsi" w:cstheme="minorHAnsi"/>
        </w:rPr>
        <w:t>g</w:t>
      </w:r>
      <w:proofErr w:type="spellEnd"/>
      <w:r w:rsidR="00E21748">
        <w:rPr>
          <w:rFonts w:asciiTheme="minorHAnsi" w:hAnsiTheme="minorHAnsi" w:cstheme="minorHAnsi"/>
        </w:rPr>
        <w:t>/mL</w:t>
      </w:r>
      <w:r w:rsidRPr="00E21748">
        <w:rPr>
          <w:rFonts w:asciiTheme="minorHAnsi" w:hAnsiTheme="minorHAnsi" w:cstheme="minorHAnsi"/>
        </w:rPr>
        <w:t>) to 1</w:t>
      </w:r>
      <w:r w:rsidR="007708BF">
        <w:rPr>
          <w:rFonts w:asciiTheme="minorHAnsi" w:hAnsiTheme="minorHAnsi" w:cstheme="minorHAnsi"/>
        </w:rPr>
        <w:t xml:space="preserve"> mL</w:t>
      </w:r>
      <w:r w:rsidRPr="00E21748">
        <w:rPr>
          <w:rFonts w:asciiTheme="minorHAnsi" w:hAnsiTheme="minorHAnsi" w:cstheme="minorHAnsi"/>
        </w:rPr>
        <w:t xml:space="preserve"> of 0.1M </w:t>
      </w:r>
      <w:r w:rsidR="00FF1C5F" w:rsidRPr="00E21748">
        <w:rPr>
          <w:rFonts w:asciiTheme="minorHAnsi" w:hAnsiTheme="minorHAnsi" w:cstheme="minorHAnsi"/>
        </w:rPr>
        <w:t xml:space="preserve">Tris </w:t>
      </w:r>
      <w:r w:rsidRPr="00E21748">
        <w:rPr>
          <w:rFonts w:asciiTheme="minorHAnsi" w:hAnsiTheme="minorHAnsi" w:cstheme="minorHAnsi"/>
        </w:rPr>
        <w:t>buffer.</w:t>
      </w:r>
    </w:p>
    <w:p w14:paraId="7EA7FE8C"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b/>
        </w:rPr>
      </w:pPr>
    </w:p>
    <w:p w14:paraId="4D032C13" w14:textId="1240DF2B"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b/>
        </w:rPr>
      </w:pPr>
      <w:r w:rsidRPr="00E21748">
        <w:rPr>
          <w:rFonts w:asciiTheme="minorHAnsi" w:hAnsiTheme="minorHAnsi" w:cstheme="minorHAnsi"/>
        </w:rPr>
        <w:t xml:space="preserve">Vortex </w:t>
      </w:r>
      <w:r w:rsidR="00FF1C5F">
        <w:rPr>
          <w:rFonts w:asciiTheme="minorHAnsi" w:hAnsiTheme="minorHAnsi" w:cstheme="minorHAnsi"/>
        </w:rPr>
        <w:t xml:space="preserve">the </w:t>
      </w:r>
      <w:r w:rsidRPr="00E21748">
        <w:rPr>
          <w:rFonts w:asciiTheme="minorHAnsi" w:hAnsiTheme="minorHAnsi" w:cstheme="minorHAnsi"/>
        </w:rPr>
        <w:t>proteinase K solution</w:t>
      </w:r>
      <w:r w:rsidR="009A76C9" w:rsidRPr="00E21748">
        <w:rPr>
          <w:rFonts w:asciiTheme="minorHAnsi" w:hAnsiTheme="minorHAnsi" w:cstheme="minorHAnsi"/>
        </w:rPr>
        <w:t xml:space="preserve"> briefly</w:t>
      </w:r>
      <w:r w:rsidRPr="00E21748">
        <w:rPr>
          <w:rFonts w:asciiTheme="minorHAnsi" w:hAnsiTheme="minorHAnsi" w:cstheme="minorHAnsi"/>
        </w:rPr>
        <w:t>.</w:t>
      </w:r>
    </w:p>
    <w:p w14:paraId="70D36924"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b/>
        </w:rPr>
      </w:pPr>
    </w:p>
    <w:p w14:paraId="0DBEC586" w14:textId="7D7B1BDC"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b/>
        </w:rPr>
      </w:pPr>
      <w:r w:rsidRPr="00E21748">
        <w:rPr>
          <w:rFonts w:asciiTheme="minorHAnsi" w:hAnsiTheme="minorHAnsi" w:cstheme="minorHAnsi"/>
        </w:rPr>
        <w:t xml:space="preserve">Add 50 </w:t>
      </w:r>
      <w:proofErr w:type="spellStart"/>
      <w:r w:rsidR="00E21748">
        <w:rPr>
          <w:rFonts w:asciiTheme="minorHAnsi" w:hAnsiTheme="minorHAnsi" w:cstheme="minorHAnsi"/>
        </w:rPr>
        <w:t>μ</w:t>
      </w:r>
      <w:r w:rsidRPr="00E21748">
        <w:rPr>
          <w:rFonts w:asciiTheme="minorHAnsi" w:hAnsiTheme="minorHAnsi" w:cstheme="minorHAnsi"/>
        </w:rPr>
        <w:t>L</w:t>
      </w:r>
      <w:proofErr w:type="spellEnd"/>
      <w:r w:rsidRPr="00E21748">
        <w:rPr>
          <w:rFonts w:asciiTheme="minorHAnsi" w:hAnsiTheme="minorHAnsi" w:cstheme="minorHAnsi"/>
        </w:rPr>
        <w:t xml:space="preserve"> </w:t>
      </w:r>
      <w:r w:rsidR="00FF1C5F">
        <w:rPr>
          <w:rFonts w:asciiTheme="minorHAnsi" w:hAnsiTheme="minorHAnsi" w:cstheme="minorHAnsi"/>
        </w:rPr>
        <w:t xml:space="preserve">of the </w:t>
      </w:r>
      <w:r w:rsidRPr="00E21748">
        <w:rPr>
          <w:rFonts w:asciiTheme="minorHAnsi" w:hAnsiTheme="minorHAnsi" w:cstheme="minorHAnsi"/>
        </w:rPr>
        <w:t>proteinase K solution to each cell pellet to be digested.</w:t>
      </w:r>
    </w:p>
    <w:p w14:paraId="6A952125"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b/>
        </w:rPr>
      </w:pPr>
    </w:p>
    <w:p w14:paraId="6AAC5961" w14:textId="2393E196"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b/>
        </w:rPr>
      </w:pPr>
      <w:r w:rsidRPr="00E21748">
        <w:rPr>
          <w:rFonts w:asciiTheme="minorHAnsi" w:hAnsiTheme="minorHAnsi" w:cstheme="minorHAnsi"/>
        </w:rPr>
        <w:t>Mix by pipetting up and down</w:t>
      </w:r>
      <w:r w:rsidR="00FF1C5F">
        <w:rPr>
          <w:rFonts w:asciiTheme="minorHAnsi" w:hAnsiTheme="minorHAnsi" w:cstheme="minorHAnsi"/>
        </w:rPr>
        <w:t xml:space="preserve"> and</w:t>
      </w:r>
      <w:r w:rsidRPr="00E21748">
        <w:rPr>
          <w:rFonts w:asciiTheme="minorHAnsi" w:hAnsiTheme="minorHAnsi" w:cstheme="minorHAnsi"/>
        </w:rPr>
        <w:t xml:space="preserve"> </w:t>
      </w:r>
      <w:r w:rsidR="00FF1C5F" w:rsidRPr="00E21748">
        <w:rPr>
          <w:rFonts w:asciiTheme="minorHAnsi" w:hAnsiTheme="minorHAnsi" w:cstheme="minorHAnsi"/>
        </w:rPr>
        <w:t>confirm</w:t>
      </w:r>
      <w:r w:rsidRPr="00E21748">
        <w:rPr>
          <w:rFonts w:asciiTheme="minorHAnsi" w:hAnsiTheme="minorHAnsi" w:cstheme="minorHAnsi"/>
        </w:rPr>
        <w:t xml:space="preserve"> </w:t>
      </w:r>
      <w:r w:rsidR="00FF1C5F">
        <w:rPr>
          <w:rFonts w:asciiTheme="minorHAnsi" w:hAnsiTheme="minorHAnsi" w:cstheme="minorHAnsi"/>
        </w:rPr>
        <w:t xml:space="preserve">the </w:t>
      </w:r>
      <w:r w:rsidRPr="00E21748">
        <w:rPr>
          <w:rFonts w:asciiTheme="minorHAnsi" w:hAnsiTheme="minorHAnsi" w:cstheme="minorHAnsi"/>
        </w:rPr>
        <w:t>resuspension of the cell pellet.</w:t>
      </w:r>
    </w:p>
    <w:p w14:paraId="25526E9C"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b/>
        </w:rPr>
      </w:pPr>
    </w:p>
    <w:p w14:paraId="70EDC4D0" w14:textId="0CD4F9AC" w:rsidR="001D3C34" w:rsidRPr="00E21748" w:rsidRDefault="009835DE" w:rsidP="00E21748">
      <w:pPr>
        <w:pStyle w:val="ListParagraph"/>
        <w:widowControl/>
        <w:numPr>
          <w:ilvl w:val="1"/>
          <w:numId w:val="32"/>
        </w:numPr>
        <w:autoSpaceDE/>
        <w:autoSpaceDN/>
        <w:adjustRightInd/>
        <w:snapToGrid w:val="0"/>
        <w:rPr>
          <w:rFonts w:asciiTheme="minorHAnsi" w:hAnsiTheme="minorHAnsi" w:cstheme="minorHAnsi"/>
          <w:b/>
        </w:rPr>
      </w:pPr>
      <w:r w:rsidRPr="00E21748">
        <w:rPr>
          <w:rFonts w:asciiTheme="minorHAnsi" w:hAnsiTheme="minorHAnsi" w:cstheme="minorHAnsi"/>
        </w:rPr>
        <w:t xml:space="preserve">Shake on a </w:t>
      </w:r>
      <w:proofErr w:type="spellStart"/>
      <w:r w:rsidRPr="00E21748">
        <w:rPr>
          <w:rFonts w:asciiTheme="minorHAnsi" w:hAnsiTheme="minorHAnsi" w:cstheme="minorHAnsi"/>
        </w:rPr>
        <w:t>thermoshaker</w:t>
      </w:r>
      <w:proofErr w:type="spellEnd"/>
      <w:r w:rsidR="00F77D58" w:rsidRPr="00E21748">
        <w:rPr>
          <w:rFonts w:asciiTheme="minorHAnsi" w:hAnsiTheme="minorHAnsi" w:cstheme="minorHAnsi"/>
        </w:rPr>
        <w:t xml:space="preserve"> (</w:t>
      </w:r>
      <w:r w:rsidR="00E21748" w:rsidRPr="00E21748">
        <w:rPr>
          <w:b/>
        </w:rPr>
        <w:t>Table of Materials</w:t>
      </w:r>
      <w:r w:rsidR="00F77D58" w:rsidRPr="00E21748">
        <w:rPr>
          <w:rFonts w:asciiTheme="minorHAnsi" w:hAnsiTheme="minorHAnsi" w:cstheme="minorHAnsi"/>
        </w:rPr>
        <w:t>)</w:t>
      </w:r>
      <w:r w:rsidR="0025748E" w:rsidRPr="00E21748">
        <w:rPr>
          <w:rFonts w:asciiTheme="minorHAnsi" w:hAnsiTheme="minorHAnsi" w:cstheme="minorHAnsi"/>
        </w:rPr>
        <w:t xml:space="preserve"> at 400 rpm (depending on </w:t>
      </w:r>
      <w:r w:rsidR="00FF1C5F">
        <w:rPr>
          <w:rFonts w:asciiTheme="minorHAnsi" w:hAnsiTheme="minorHAnsi" w:cstheme="minorHAnsi"/>
        </w:rPr>
        <w:t xml:space="preserve">the </w:t>
      </w:r>
      <w:r w:rsidR="0025748E" w:rsidRPr="00E21748">
        <w:rPr>
          <w:rFonts w:asciiTheme="minorHAnsi" w:hAnsiTheme="minorHAnsi" w:cstheme="minorHAnsi"/>
        </w:rPr>
        <w:t>instrument</w:t>
      </w:r>
      <w:r w:rsidR="008D3FE6" w:rsidRPr="00E21748">
        <w:rPr>
          <w:rFonts w:asciiTheme="minorHAnsi" w:hAnsiTheme="minorHAnsi" w:cstheme="minorHAnsi"/>
        </w:rPr>
        <w:t>) at</w:t>
      </w:r>
      <w:r w:rsidR="009A76C9" w:rsidRPr="00E21748">
        <w:rPr>
          <w:rFonts w:asciiTheme="minorHAnsi" w:hAnsiTheme="minorHAnsi" w:cstheme="minorHAnsi"/>
        </w:rPr>
        <w:t xml:space="preserve"> 56 </w:t>
      </w:r>
      <w:r w:rsidR="009A76C9" w:rsidRPr="00E21748">
        <w:rPr>
          <w:rFonts w:asciiTheme="minorHAnsi" w:hAnsiTheme="minorHAnsi" w:cstheme="minorHAnsi"/>
          <w:color w:val="auto"/>
        </w:rPr>
        <w:t>°</w:t>
      </w:r>
      <w:r w:rsidR="001D3C34" w:rsidRPr="00E21748">
        <w:rPr>
          <w:rFonts w:asciiTheme="minorHAnsi" w:hAnsiTheme="minorHAnsi" w:cstheme="minorHAnsi"/>
        </w:rPr>
        <w:t xml:space="preserve">C for 1 </w:t>
      </w:r>
      <w:r w:rsidR="00FF1C5F">
        <w:rPr>
          <w:rFonts w:asciiTheme="minorHAnsi" w:hAnsiTheme="minorHAnsi" w:cstheme="minorHAnsi"/>
        </w:rPr>
        <w:t>h</w:t>
      </w:r>
      <w:r w:rsidR="001D3C34" w:rsidRPr="00E21748">
        <w:rPr>
          <w:rFonts w:asciiTheme="minorHAnsi" w:hAnsiTheme="minorHAnsi" w:cstheme="minorHAnsi"/>
        </w:rPr>
        <w:t>. Tape tubes dow</w:t>
      </w:r>
      <w:r w:rsidR="00FA48B4" w:rsidRPr="00E21748">
        <w:rPr>
          <w:rFonts w:asciiTheme="minorHAnsi" w:hAnsiTheme="minorHAnsi" w:cstheme="minorHAnsi"/>
        </w:rPr>
        <w:softHyphen/>
      </w:r>
      <w:r w:rsidR="001D3C34" w:rsidRPr="00E21748">
        <w:rPr>
          <w:rFonts w:asciiTheme="minorHAnsi" w:hAnsiTheme="minorHAnsi" w:cstheme="minorHAnsi"/>
        </w:rPr>
        <w:t>n to hold them in place</w:t>
      </w:r>
      <w:r w:rsidR="005A383A" w:rsidRPr="00E21748">
        <w:rPr>
          <w:rFonts w:asciiTheme="minorHAnsi" w:hAnsiTheme="minorHAnsi" w:cstheme="minorHAnsi"/>
        </w:rPr>
        <w:t>, if necessary</w:t>
      </w:r>
      <w:r w:rsidR="001D3C34" w:rsidRPr="00E21748">
        <w:rPr>
          <w:rFonts w:asciiTheme="minorHAnsi" w:hAnsiTheme="minorHAnsi" w:cstheme="minorHAnsi"/>
        </w:rPr>
        <w:t>.</w:t>
      </w:r>
    </w:p>
    <w:p w14:paraId="79845919"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b/>
        </w:rPr>
      </w:pPr>
    </w:p>
    <w:p w14:paraId="6CA452F3" w14:textId="1F2CDA24"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b/>
        </w:rPr>
      </w:pPr>
      <w:r w:rsidRPr="00E21748">
        <w:rPr>
          <w:rFonts w:asciiTheme="minorHAnsi" w:hAnsiTheme="minorHAnsi" w:cstheme="minorHAnsi"/>
        </w:rPr>
        <w:t>Immediately</w:t>
      </w:r>
      <w:r w:rsidR="005A383A" w:rsidRPr="00E21748">
        <w:rPr>
          <w:rFonts w:asciiTheme="minorHAnsi" w:hAnsiTheme="minorHAnsi" w:cstheme="minorHAnsi"/>
        </w:rPr>
        <w:t xml:space="preserve"> and in the same </w:t>
      </w:r>
      <w:proofErr w:type="spellStart"/>
      <w:r w:rsidR="005A383A" w:rsidRPr="00E21748">
        <w:rPr>
          <w:rFonts w:asciiTheme="minorHAnsi" w:hAnsiTheme="minorHAnsi" w:cstheme="minorHAnsi"/>
        </w:rPr>
        <w:t>thermoshaker</w:t>
      </w:r>
      <w:proofErr w:type="spellEnd"/>
      <w:r w:rsidR="005A383A" w:rsidRPr="00E21748">
        <w:rPr>
          <w:rFonts w:asciiTheme="minorHAnsi" w:hAnsiTheme="minorHAnsi" w:cstheme="minorHAnsi"/>
        </w:rPr>
        <w:t>,</w:t>
      </w:r>
      <w:r w:rsidRPr="00E21748">
        <w:rPr>
          <w:rFonts w:asciiTheme="minorHAnsi" w:hAnsiTheme="minorHAnsi" w:cstheme="minorHAnsi"/>
        </w:rPr>
        <w:t xml:space="preserve"> inactivate protein</w:t>
      </w:r>
      <w:r w:rsidR="009A76C9" w:rsidRPr="00E21748">
        <w:rPr>
          <w:rFonts w:asciiTheme="minorHAnsi" w:hAnsiTheme="minorHAnsi" w:cstheme="minorHAnsi"/>
        </w:rPr>
        <w:t>a</w:t>
      </w:r>
      <w:r w:rsidRPr="00E21748">
        <w:rPr>
          <w:rFonts w:asciiTheme="minorHAnsi" w:hAnsiTheme="minorHAnsi" w:cstheme="minorHAnsi"/>
        </w:rPr>
        <w:t>se K</w:t>
      </w:r>
      <w:r w:rsidR="005A383A" w:rsidRPr="00E21748">
        <w:rPr>
          <w:rFonts w:asciiTheme="minorHAnsi" w:hAnsiTheme="minorHAnsi" w:cstheme="minorHAnsi"/>
        </w:rPr>
        <w:t xml:space="preserve"> with a temperature shift to</w:t>
      </w:r>
      <w:r w:rsidR="009A76C9" w:rsidRPr="00E21748">
        <w:rPr>
          <w:rFonts w:asciiTheme="minorHAnsi" w:hAnsiTheme="minorHAnsi" w:cstheme="minorHAnsi"/>
        </w:rPr>
        <w:t xml:space="preserve"> 95 </w:t>
      </w:r>
      <w:r w:rsidR="009A76C9" w:rsidRPr="00E21748">
        <w:rPr>
          <w:rFonts w:asciiTheme="minorHAnsi" w:hAnsiTheme="minorHAnsi" w:cstheme="minorHAnsi"/>
          <w:color w:val="auto"/>
        </w:rPr>
        <w:t>°</w:t>
      </w:r>
      <w:r w:rsidR="00EB676A" w:rsidRPr="00E21748">
        <w:rPr>
          <w:rFonts w:asciiTheme="minorHAnsi" w:hAnsiTheme="minorHAnsi" w:cstheme="minorHAnsi"/>
        </w:rPr>
        <w:t>C</w:t>
      </w:r>
      <w:r w:rsidR="005A383A" w:rsidRPr="00E21748">
        <w:rPr>
          <w:rFonts w:asciiTheme="minorHAnsi" w:hAnsiTheme="minorHAnsi" w:cstheme="minorHAnsi"/>
        </w:rPr>
        <w:t xml:space="preserve"> </w:t>
      </w:r>
      <w:r w:rsidRPr="00E21748">
        <w:rPr>
          <w:rFonts w:asciiTheme="minorHAnsi" w:hAnsiTheme="minorHAnsi" w:cstheme="minorHAnsi"/>
        </w:rPr>
        <w:t xml:space="preserve">while </w:t>
      </w:r>
      <w:r w:rsidR="00FF1C5F">
        <w:rPr>
          <w:rFonts w:asciiTheme="minorHAnsi" w:hAnsiTheme="minorHAnsi" w:cstheme="minorHAnsi"/>
        </w:rPr>
        <w:t xml:space="preserve">the </w:t>
      </w:r>
      <w:r w:rsidRPr="00E21748">
        <w:rPr>
          <w:rFonts w:asciiTheme="minorHAnsi" w:hAnsiTheme="minorHAnsi" w:cstheme="minorHAnsi"/>
        </w:rPr>
        <w:t>shaking continues</w:t>
      </w:r>
      <w:r w:rsidR="005A383A" w:rsidRPr="00E21748">
        <w:rPr>
          <w:rFonts w:asciiTheme="minorHAnsi" w:hAnsiTheme="minorHAnsi" w:cstheme="minorHAnsi"/>
        </w:rPr>
        <w:t xml:space="preserve"> for an additional 20 min</w:t>
      </w:r>
      <w:r w:rsidRPr="00E21748">
        <w:rPr>
          <w:rFonts w:asciiTheme="minorHAnsi" w:hAnsiTheme="minorHAnsi" w:cstheme="minorHAnsi"/>
        </w:rPr>
        <w:t>.</w:t>
      </w:r>
    </w:p>
    <w:p w14:paraId="59D8B3E2"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b/>
        </w:rPr>
      </w:pPr>
    </w:p>
    <w:p w14:paraId="770F29FD" w14:textId="1BE27615"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b/>
        </w:rPr>
      </w:pPr>
      <w:r w:rsidRPr="00E21748">
        <w:rPr>
          <w:rFonts w:asciiTheme="minorHAnsi" w:hAnsiTheme="minorHAnsi" w:cstheme="minorHAnsi"/>
        </w:rPr>
        <w:t>Vortex each sample.</w:t>
      </w:r>
    </w:p>
    <w:p w14:paraId="6665980C"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b/>
        </w:rPr>
      </w:pPr>
    </w:p>
    <w:p w14:paraId="1BCAB68A" w14:textId="17C7C88D" w:rsidR="001D3C34" w:rsidRPr="00E21748" w:rsidRDefault="009A76C9" w:rsidP="00E21748">
      <w:pPr>
        <w:pStyle w:val="ListParagraph"/>
        <w:widowControl/>
        <w:numPr>
          <w:ilvl w:val="1"/>
          <w:numId w:val="32"/>
        </w:numPr>
        <w:autoSpaceDE/>
        <w:autoSpaceDN/>
        <w:adjustRightInd/>
        <w:snapToGrid w:val="0"/>
        <w:rPr>
          <w:rFonts w:asciiTheme="minorHAnsi" w:hAnsiTheme="minorHAnsi" w:cstheme="minorHAnsi"/>
          <w:b/>
        </w:rPr>
      </w:pPr>
      <w:r w:rsidRPr="00E21748">
        <w:rPr>
          <w:rFonts w:asciiTheme="minorHAnsi" w:hAnsiTheme="minorHAnsi" w:cstheme="minorHAnsi"/>
        </w:rPr>
        <w:t xml:space="preserve">Place each sample at -80 </w:t>
      </w:r>
      <w:r w:rsidRPr="00E21748">
        <w:rPr>
          <w:rFonts w:asciiTheme="minorHAnsi" w:hAnsiTheme="minorHAnsi" w:cstheme="minorHAnsi"/>
          <w:color w:val="auto"/>
        </w:rPr>
        <w:t>°</w:t>
      </w:r>
      <w:r w:rsidR="001D3C34" w:rsidRPr="00E21748">
        <w:rPr>
          <w:rFonts w:asciiTheme="minorHAnsi" w:hAnsiTheme="minorHAnsi" w:cstheme="minorHAnsi"/>
        </w:rPr>
        <w:t>C for a minimum of 30 min.</w:t>
      </w:r>
    </w:p>
    <w:p w14:paraId="71F8FAFE"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b/>
        </w:rPr>
      </w:pPr>
    </w:p>
    <w:p w14:paraId="4AC987B3" w14:textId="46DA4642"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b/>
        </w:rPr>
      </w:pPr>
      <w:r w:rsidRPr="00E21748">
        <w:rPr>
          <w:rFonts w:asciiTheme="minorHAnsi" w:hAnsiTheme="minorHAnsi" w:cstheme="minorHAnsi"/>
        </w:rPr>
        <w:lastRenderedPageBreak/>
        <w:t xml:space="preserve">Thaw, then centrifuge </w:t>
      </w:r>
      <w:r w:rsidR="00FF1C5F">
        <w:rPr>
          <w:rFonts w:asciiTheme="minorHAnsi" w:hAnsiTheme="minorHAnsi" w:cstheme="minorHAnsi"/>
        </w:rPr>
        <w:t xml:space="preserve">the </w:t>
      </w:r>
      <w:r w:rsidRPr="00E21748">
        <w:rPr>
          <w:rFonts w:asciiTheme="minorHAnsi" w:hAnsiTheme="minorHAnsi" w:cstheme="minorHAnsi"/>
        </w:rPr>
        <w:t xml:space="preserve">samples at </w:t>
      </w:r>
      <w:r w:rsidR="00607C57" w:rsidRPr="00E21748">
        <w:rPr>
          <w:rFonts w:asciiTheme="minorHAnsi" w:hAnsiTheme="minorHAnsi" w:cstheme="minorHAnsi"/>
        </w:rPr>
        <w:t>17,000 x</w:t>
      </w:r>
      <w:r w:rsidR="007708BF" w:rsidRPr="007708BF">
        <w:rPr>
          <w:rFonts w:asciiTheme="minorHAnsi" w:hAnsiTheme="minorHAnsi" w:cstheme="minorHAnsi"/>
          <w:i/>
        </w:rPr>
        <w:t xml:space="preserve"> g </w:t>
      </w:r>
      <w:r w:rsidRPr="00E21748">
        <w:rPr>
          <w:rFonts w:asciiTheme="minorHAnsi" w:hAnsiTheme="minorHAnsi" w:cstheme="minorHAnsi"/>
        </w:rPr>
        <w:t>for 1 min at RT</w:t>
      </w:r>
      <w:r w:rsidR="00604BD6" w:rsidRPr="00E21748">
        <w:rPr>
          <w:rFonts w:asciiTheme="minorHAnsi" w:hAnsiTheme="minorHAnsi" w:cstheme="minorHAnsi"/>
        </w:rPr>
        <w:t xml:space="preserve"> to pellet unwanted cellular fragments</w:t>
      </w:r>
      <w:r w:rsidRPr="00E21748">
        <w:rPr>
          <w:rFonts w:asciiTheme="minorHAnsi" w:hAnsiTheme="minorHAnsi" w:cstheme="minorHAnsi"/>
        </w:rPr>
        <w:t>.</w:t>
      </w:r>
    </w:p>
    <w:p w14:paraId="3BCBE699" w14:textId="77777777" w:rsidR="00B761E8" w:rsidRPr="00B761E8" w:rsidRDefault="00B761E8" w:rsidP="00E21748">
      <w:pPr>
        <w:pStyle w:val="ListParagraph"/>
        <w:widowControl/>
        <w:autoSpaceDE/>
        <w:autoSpaceDN/>
        <w:adjustRightInd/>
        <w:snapToGrid w:val="0"/>
        <w:ind w:left="0"/>
        <w:rPr>
          <w:rFonts w:asciiTheme="minorHAnsi" w:hAnsiTheme="minorHAnsi" w:cstheme="minorHAnsi"/>
          <w:b/>
        </w:rPr>
      </w:pPr>
    </w:p>
    <w:p w14:paraId="3067C761" w14:textId="20D23870" w:rsidR="001D3C34" w:rsidRPr="005A383A" w:rsidRDefault="001D3C34" w:rsidP="00E21748">
      <w:pPr>
        <w:pStyle w:val="ListParagraph"/>
        <w:widowControl/>
        <w:numPr>
          <w:ilvl w:val="1"/>
          <w:numId w:val="32"/>
        </w:numPr>
        <w:autoSpaceDE/>
        <w:autoSpaceDN/>
        <w:adjustRightInd/>
        <w:snapToGrid w:val="0"/>
        <w:rPr>
          <w:rFonts w:asciiTheme="minorHAnsi" w:hAnsiTheme="minorHAnsi" w:cstheme="minorHAnsi"/>
          <w:b/>
        </w:rPr>
      </w:pPr>
      <w:r w:rsidRPr="005A383A">
        <w:rPr>
          <w:rFonts w:asciiTheme="minorHAnsi" w:hAnsiTheme="minorHAnsi" w:cstheme="minorHAnsi"/>
        </w:rPr>
        <w:t>Place the DNA-containing supernatant into a new microcentrifuge tube.</w:t>
      </w:r>
    </w:p>
    <w:p w14:paraId="7778FE3A" w14:textId="77777777" w:rsidR="00B761E8" w:rsidRPr="00B761E8" w:rsidRDefault="00B761E8" w:rsidP="00E21748">
      <w:pPr>
        <w:pStyle w:val="ListParagraph"/>
        <w:widowControl/>
        <w:autoSpaceDE/>
        <w:autoSpaceDN/>
        <w:adjustRightInd/>
        <w:snapToGrid w:val="0"/>
        <w:ind w:left="0"/>
        <w:rPr>
          <w:rFonts w:asciiTheme="minorHAnsi" w:hAnsiTheme="minorHAnsi" w:cstheme="minorHAnsi"/>
          <w:b/>
        </w:rPr>
      </w:pPr>
    </w:p>
    <w:p w14:paraId="1858968D" w14:textId="311B181E" w:rsidR="001D3C34" w:rsidRPr="00265FB5" w:rsidRDefault="001D3C34" w:rsidP="00E21748">
      <w:pPr>
        <w:pStyle w:val="ListParagraph"/>
        <w:widowControl/>
        <w:numPr>
          <w:ilvl w:val="1"/>
          <w:numId w:val="32"/>
        </w:numPr>
        <w:autoSpaceDE/>
        <w:autoSpaceDN/>
        <w:adjustRightInd/>
        <w:snapToGrid w:val="0"/>
        <w:rPr>
          <w:rFonts w:asciiTheme="minorHAnsi" w:hAnsiTheme="minorHAnsi" w:cstheme="minorHAnsi"/>
          <w:b/>
        </w:rPr>
      </w:pPr>
      <w:r w:rsidRPr="00E527EE">
        <w:rPr>
          <w:rFonts w:asciiTheme="minorHAnsi" w:hAnsiTheme="minorHAnsi" w:cstheme="minorHAnsi"/>
        </w:rPr>
        <w:t xml:space="preserve">The DNA template is ready for PCR. The DNA </w:t>
      </w:r>
      <w:r w:rsidR="009A76C9" w:rsidRPr="00920F70">
        <w:rPr>
          <w:rFonts w:asciiTheme="minorHAnsi" w:hAnsiTheme="minorHAnsi" w:cstheme="minorHAnsi"/>
        </w:rPr>
        <w:t xml:space="preserve">templates can be stored at -80 </w:t>
      </w:r>
      <w:r w:rsidR="009A76C9" w:rsidRPr="00920F70">
        <w:rPr>
          <w:rFonts w:asciiTheme="minorHAnsi" w:hAnsiTheme="minorHAnsi" w:cstheme="minorHAnsi"/>
          <w:color w:val="auto"/>
        </w:rPr>
        <w:t>°</w:t>
      </w:r>
      <w:r w:rsidRPr="00920F70">
        <w:rPr>
          <w:rFonts w:asciiTheme="minorHAnsi" w:hAnsiTheme="minorHAnsi" w:cstheme="minorHAnsi"/>
        </w:rPr>
        <w:t>C.</w:t>
      </w:r>
    </w:p>
    <w:p w14:paraId="19946F8C" w14:textId="77777777" w:rsidR="001D3C34" w:rsidRPr="00B042FD" w:rsidRDefault="001D3C34" w:rsidP="00E21748">
      <w:pPr>
        <w:pStyle w:val="ListParagraph"/>
        <w:snapToGrid w:val="0"/>
        <w:ind w:left="360"/>
        <w:rPr>
          <w:rFonts w:asciiTheme="minorHAnsi" w:hAnsiTheme="minorHAnsi" w:cstheme="minorHAnsi"/>
        </w:rPr>
      </w:pPr>
    </w:p>
    <w:p w14:paraId="6E881CE8" w14:textId="3EC63C00" w:rsidR="001D3C34" w:rsidRPr="00FE6595" w:rsidRDefault="001D3C34" w:rsidP="00E21748">
      <w:pPr>
        <w:pStyle w:val="ListParagraph"/>
        <w:widowControl/>
        <w:numPr>
          <w:ilvl w:val="0"/>
          <w:numId w:val="32"/>
        </w:numPr>
        <w:autoSpaceDE/>
        <w:autoSpaceDN/>
        <w:adjustRightInd/>
        <w:snapToGrid w:val="0"/>
        <w:rPr>
          <w:rFonts w:asciiTheme="minorHAnsi" w:hAnsiTheme="minorHAnsi" w:cstheme="minorHAnsi"/>
          <w:b/>
          <w:highlight w:val="yellow"/>
        </w:rPr>
      </w:pPr>
      <w:r w:rsidRPr="00FE6595">
        <w:rPr>
          <w:rFonts w:asciiTheme="minorHAnsi" w:hAnsiTheme="minorHAnsi" w:cstheme="minorHAnsi"/>
          <w:b/>
          <w:highlight w:val="yellow"/>
        </w:rPr>
        <w:t>RNA extraction, cDNA synthesis</w:t>
      </w:r>
      <w:r w:rsidR="00FF1C5F">
        <w:rPr>
          <w:rFonts w:asciiTheme="minorHAnsi" w:hAnsiTheme="minorHAnsi" w:cstheme="minorHAnsi"/>
          <w:b/>
          <w:highlight w:val="yellow"/>
        </w:rPr>
        <w:t>,</w:t>
      </w:r>
      <w:r w:rsidRPr="00FE6595">
        <w:rPr>
          <w:rFonts w:asciiTheme="minorHAnsi" w:hAnsiTheme="minorHAnsi" w:cstheme="minorHAnsi"/>
          <w:b/>
          <w:highlight w:val="yellow"/>
        </w:rPr>
        <w:t xml:space="preserve"> and </w:t>
      </w:r>
      <w:proofErr w:type="spellStart"/>
      <w:r w:rsidRPr="00FE6595">
        <w:rPr>
          <w:rFonts w:asciiTheme="minorHAnsi" w:hAnsiTheme="minorHAnsi" w:cstheme="minorHAnsi"/>
          <w:b/>
          <w:highlight w:val="yellow"/>
        </w:rPr>
        <w:t>ddPCR</w:t>
      </w:r>
      <w:proofErr w:type="spellEnd"/>
      <w:r w:rsidRPr="00FE6595">
        <w:rPr>
          <w:rFonts w:asciiTheme="minorHAnsi" w:hAnsiTheme="minorHAnsi" w:cstheme="minorHAnsi"/>
          <w:b/>
          <w:highlight w:val="yellow"/>
        </w:rPr>
        <w:t xml:space="preserve"> quantification of viral RNA</w:t>
      </w:r>
    </w:p>
    <w:p w14:paraId="42B97EB1"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highlight w:val="yellow"/>
        </w:rPr>
      </w:pPr>
    </w:p>
    <w:p w14:paraId="76C9E252" w14:textId="55F8A6AA" w:rsidR="001D3C34" w:rsidRPr="005C2511" w:rsidRDefault="001D3C34" w:rsidP="00E21748">
      <w:pPr>
        <w:pStyle w:val="ListParagraph"/>
        <w:widowControl/>
        <w:numPr>
          <w:ilvl w:val="1"/>
          <w:numId w:val="32"/>
        </w:numPr>
        <w:autoSpaceDE/>
        <w:autoSpaceDN/>
        <w:adjustRightInd/>
        <w:snapToGrid w:val="0"/>
        <w:rPr>
          <w:rFonts w:asciiTheme="minorHAnsi" w:hAnsiTheme="minorHAnsi" w:cstheme="minorHAnsi"/>
          <w:highlight w:val="yellow"/>
        </w:rPr>
      </w:pPr>
      <w:r w:rsidRPr="00E21748">
        <w:rPr>
          <w:rFonts w:asciiTheme="minorHAnsi" w:hAnsiTheme="minorHAnsi" w:cstheme="minorHAnsi"/>
          <w:highlight w:val="yellow"/>
        </w:rPr>
        <w:t>Isolate RNA from th</w:t>
      </w:r>
      <w:r w:rsidRPr="005C2511">
        <w:rPr>
          <w:rFonts w:asciiTheme="minorHAnsi" w:hAnsiTheme="minorHAnsi" w:cstheme="minorHAnsi"/>
          <w:highlight w:val="yellow"/>
        </w:rPr>
        <w:t xml:space="preserve">awed mouse plasma with </w:t>
      </w:r>
      <w:r w:rsidR="00A607E4" w:rsidRPr="005C2511">
        <w:rPr>
          <w:rFonts w:asciiTheme="minorHAnsi" w:hAnsiTheme="minorHAnsi" w:cstheme="minorHAnsi"/>
          <w:highlight w:val="yellow"/>
        </w:rPr>
        <w:t xml:space="preserve">a virus RNA isolation kit </w:t>
      </w:r>
      <w:r w:rsidRPr="005C2511">
        <w:rPr>
          <w:rFonts w:asciiTheme="minorHAnsi" w:hAnsiTheme="minorHAnsi" w:cstheme="minorHAnsi"/>
          <w:highlight w:val="yellow"/>
        </w:rPr>
        <w:t xml:space="preserve">following </w:t>
      </w:r>
      <w:r w:rsidR="00FF1C5F" w:rsidRPr="005C2511">
        <w:rPr>
          <w:rFonts w:asciiTheme="minorHAnsi" w:hAnsiTheme="minorHAnsi" w:cstheme="minorHAnsi"/>
          <w:highlight w:val="yellow"/>
        </w:rPr>
        <w:t xml:space="preserve">the </w:t>
      </w:r>
      <w:r w:rsidRPr="005C2511">
        <w:rPr>
          <w:rFonts w:asciiTheme="minorHAnsi" w:hAnsiTheme="minorHAnsi" w:cstheme="minorHAnsi"/>
          <w:highlight w:val="yellow"/>
        </w:rPr>
        <w:t>manufacturer</w:t>
      </w:r>
      <w:r w:rsidR="00C93B58" w:rsidRPr="005C2511">
        <w:rPr>
          <w:rFonts w:asciiTheme="minorHAnsi" w:hAnsiTheme="minorHAnsi" w:cstheme="minorHAnsi"/>
          <w:highlight w:val="yellow"/>
        </w:rPr>
        <w:t>’s</w:t>
      </w:r>
      <w:r w:rsidRPr="005C2511">
        <w:rPr>
          <w:rFonts w:asciiTheme="minorHAnsi" w:hAnsiTheme="minorHAnsi" w:cstheme="minorHAnsi"/>
          <w:highlight w:val="yellow"/>
        </w:rPr>
        <w:t xml:space="preserve"> protocol</w:t>
      </w:r>
      <w:r w:rsidR="00A607E4" w:rsidRPr="005C2511">
        <w:rPr>
          <w:rFonts w:asciiTheme="minorHAnsi" w:hAnsiTheme="minorHAnsi" w:cstheme="minorHAnsi"/>
          <w:highlight w:val="yellow"/>
        </w:rPr>
        <w:t xml:space="preserve"> (</w:t>
      </w:r>
      <w:r w:rsidR="00E21748" w:rsidRPr="005C2511">
        <w:rPr>
          <w:b/>
          <w:highlight w:val="yellow"/>
        </w:rPr>
        <w:t>Table of Materials</w:t>
      </w:r>
      <w:r w:rsidR="00A607E4" w:rsidRPr="005C2511">
        <w:rPr>
          <w:rFonts w:asciiTheme="minorHAnsi" w:hAnsiTheme="minorHAnsi" w:cstheme="minorHAnsi"/>
          <w:highlight w:val="yellow"/>
        </w:rPr>
        <w:t>)</w:t>
      </w:r>
      <w:r w:rsidRPr="005C2511">
        <w:rPr>
          <w:rFonts w:asciiTheme="minorHAnsi" w:hAnsiTheme="minorHAnsi" w:cstheme="minorHAnsi"/>
          <w:highlight w:val="yellow"/>
        </w:rPr>
        <w:t>.</w:t>
      </w:r>
    </w:p>
    <w:p w14:paraId="7B76B41E" w14:textId="77777777" w:rsidR="00B761E8" w:rsidRPr="005C2511" w:rsidRDefault="00B761E8" w:rsidP="00E21748">
      <w:pPr>
        <w:pStyle w:val="ListParagraph"/>
        <w:widowControl/>
        <w:autoSpaceDE/>
        <w:autoSpaceDN/>
        <w:adjustRightInd/>
        <w:snapToGrid w:val="0"/>
        <w:ind w:left="0"/>
        <w:rPr>
          <w:rFonts w:asciiTheme="minorHAnsi" w:hAnsiTheme="minorHAnsi" w:cstheme="minorHAnsi"/>
          <w:highlight w:val="yellow"/>
        </w:rPr>
      </w:pPr>
    </w:p>
    <w:p w14:paraId="39FC4F50" w14:textId="3026990D"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highlight w:val="yellow"/>
        </w:rPr>
      </w:pPr>
      <w:r w:rsidRPr="005C2511">
        <w:rPr>
          <w:rFonts w:asciiTheme="minorHAnsi" w:hAnsiTheme="minorHAnsi" w:cstheme="minorHAnsi"/>
          <w:highlight w:val="yellow"/>
        </w:rPr>
        <w:t xml:space="preserve">After addition of </w:t>
      </w:r>
      <w:r w:rsidR="00FF1C5F" w:rsidRPr="005C2511">
        <w:rPr>
          <w:rFonts w:asciiTheme="minorHAnsi" w:hAnsiTheme="minorHAnsi" w:cstheme="minorHAnsi"/>
          <w:highlight w:val="yellow"/>
        </w:rPr>
        <w:t xml:space="preserve">the </w:t>
      </w:r>
      <w:r w:rsidRPr="005C2511">
        <w:rPr>
          <w:rFonts w:asciiTheme="minorHAnsi" w:hAnsiTheme="minorHAnsi" w:cstheme="minorHAnsi"/>
          <w:highlight w:val="yellow"/>
        </w:rPr>
        <w:t xml:space="preserve">sample to the column, add an on-column </w:t>
      </w:r>
      <w:r w:rsidR="008D3FE6" w:rsidRPr="005C2511">
        <w:rPr>
          <w:rFonts w:asciiTheme="minorHAnsi" w:hAnsiTheme="minorHAnsi" w:cstheme="minorHAnsi"/>
          <w:highlight w:val="yellow"/>
        </w:rPr>
        <w:t>DNase</w:t>
      </w:r>
      <w:r w:rsidRPr="005C2511">
        <w:rPr>
          <w:rFonts w:asciiTheme="minorHAnsi" w:hAnsiTheme="minorHAnsi" w:cstheme="minorHAnsi"/>
          <w:highlight w:val="yellow"/>
        </w:rPr>
        <w:t xml:space="preserve"> treatment step to ensure removal of all DNA in the plasma sam</w:t>
      </w:r>
      <w:r w:rsidRPr="00E21748">
        <w:rPr>
          <w:rFonts w:asciiTheme="minorHAnsi" w:hAnsiTheme="minorHAnsi" w:cstheme="minorHAnsi"/>
          <w:highlight w:val="yellow"/>
        </w:rPr>
        <w:t>ple.</w:t>
      </w:r>
    </w:p>
    <w:p w14:paraId="14E15138"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highlight w:val="yellow"/>
        </w:rPr>
      </w:pPr>
    </w:p>
    <w:p w14:paraId="5EFDAC44" w14:textId="3F1E995B" w:rsidR="00B761E8" w:rsidRDefault="008D3FE6" w:rsidP="00E21748">
      <w:pPr>
        <w:pStyle w:val="ListParagraph"/>
        <w:widowControl/>
        <w:numPr>
          <w:ilvl w:val="2"/>
          <w:numId w:val="32"/>
        </w:numPr>
        <w:autoSpaceDE/>
        <w:autoSpaceDN/>
        <w:adjustRightInd/>
        <w:snapToGrid w:val="0"/>
        <w:rPr>
          <w:rFonts w:asciiTheme="minorHAnsi" w:hAnsiTheme="minorHAnsi" w:cstheme="minorHAnsi"/>
          <w:highlight w:val="yellow"/>
        </w:rPr>
      </w:pPr>
      <w:r w:rsidRPr="00E21748">
        <w:rPr>
          <w:rFonts w:asciiTheme="minorHAnsi" w:hAnsiTheme="minorHAnsi" w:cstheme="minorHAnsi"/>
          <w:highlight w:val="yellow"/>
        </w:rPr>
        <w:t xml:space="preserve">For each sample, </w:t>
      </w:r>
      <w:r w:rsidR="00FF1C5F">
        <w:rPr>
          <w:rFonts w:asciiTheme="minorHAnsi" w:hAnsiTheme="minorHAnsi" w:cstheme="minorHAnsi"/>
          <w:highlight w:val="yellow"/>
        </w:rPr>
        <w:t xml:space="preserve">add </w:t>
      </w:r>
      <w:r w:rsidRPr="00E21748">
        <w:rPr>
          <w:rFonts w:asciiTheme="minorHAnsi" w:hAnsiTheme="minorHAnsi" w:cstheme="minorHAnsi"/>
          <w:highlight w:val="yellow"/>
        </w:rPr>
        <w:t xml:space="preserve">95 µL of RNase-free DNase </w:t>
      </w:r>
      <w:r w:rsidR="001D3C34" w:rsidRPr="00E21748">
        <w:rPr>
          <w:rFonts w:asciiTheme="minorHAnsi" w:hAnsiTheme="minorHAnsi" w:cstheme="minorHAnsi"/>
          <w:highlight w:val="yellow"/>
        </w:rPr>
        <w:t xml:space="preserve">solution </w:t>
      </w:r>
      <w:r w:rsidR="00E21748" w:rsidRPr="00E21748">
        <w:rPr>
          <w:rFonts w:asciiTheme="minorHAnsi" w:hAnsiTheme="minorHAnsi" w:cstheme="minorHAnsi"/>
          <w:highlight w:val="yellow"/>
        </w:rPr>
        <w:t xml:space="preserve">(mix 2 µL </w:t>
      </w:r>
      <w:proofErr w:type="spellStart"/>
      <w:r w:rsidR="00E21748" w:rsidRPr="00E21748">
        <w:rPr>
          <w:rFonts w:asciiTheme="minorHAnsi" w:hAnsiTheme="minorHAnsi" w:cstheme="minorHAnsi"/>
          <w:highlight w:val="yellow"/>
        </w:rPr>
        <w:t>RNAse</w:t>
      </w:r>
      <w:proofErr w:type="spellEnd"/>
      <w:r w:rsidR="00E21748" w:rsidRPr="00E21748">
        <w:rPr>
          <w:rFonts w:asciiTheme="minorHAnsi" w:hAnsiTheme="minorHAnsi" w:cstheme="minorHAnsi"/>
          <w:highlight w:val="yellow"/>
        </w:rPr>
        <w:t>-free DNase and 98 µL reaction buffer)</w:t>
      </w:r>
      <w:r w:rsidR="00E21748">
        <w:rPr>
          <w:rFonts w:asciiTheme="minorHAnsi" w:hAnsiTheme="minorHAnsi" w:cstheme="minorHAnsi"/>
          <w:highlight w:val="yellow"/>
        </w:rPr>
        <w:t xml:space="preserve"> </w:t>
      </w:r>
      <w:r w:rsidR="001D3C34" w:rsidRPr="00E21748">
        <w:rPr>
          <w:rFonts w:asciiTheme="minorHAnsi" w:hAnsiTheme="minorHAnsi" w:cstheme="minorHAnsi"/>
          <w:highlight w:val="yellow"/>
        </w:rPr>
        <w:t>to the column and incubate f</w:t>
      </w:r>
      <w:r w:rsidR="00EB676A" w:rsidRPr="00E21748">
        <w:rPr>
          <w:rFonts w:asciiTheme="minorHAnsi" w:hAnsiTheme="minorHAnsi" w:cstheme="minorHAnsi"/>
          <w:highlight w:val="yellow"/>
        </w:rPr>
        <w:t>or 15 min at RT.</w:t>
      </w:r>
      <w:r w:rsidR="002547DD">
        <w:rPr>
          <w:rFonts w:asciiTheme="minorHAnsi" w:hAnsiTheme="minorHAnsi" w:cstheme="minorHAnsi"/>
          <w:highlight w:val="yellow"/>
        </w:rPr>
        <w:t xml:space="preserve"> </w:t>
      </w:r>
    </w:p>
    <w:p w14:paraId="48738D96" w14:textId="77777777" w:rsidR="00E21748" w:rsidRPr="00E21748" w:rsidRDefault="00E21748" w:rsidP="00E21748">
      <w:pPr>
        <w:pStyle w:val="ListParagraph"/>
        <w:widowControl/>
        <w:autoSpaceDE/>
        <w:autoSpaceDN/>
        <w:adjustRightInd/>
        <w:snapToGrid w:val="0"/>
        <w:ind w:left="0"/>
        <w:rPr>
          <w:rFonts w:asciiTheme="minorHAnsi" w:hAnsiTheme="minorHAnsi" w:cstheme="minorHAnsi"/>
          <w:highlight w:val="yellow"/>
        </w:rPr>
      </w:pPr>
    </w:p>
    <w:p w14:paraId="5F6C4B59" w14:textId="79DE4104"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highlight w:val="yellow"/>
        </w:rPr>
      </w:pPr>
      <w:r w:rsidRPr="00E21748">
        <w:rPr>
          <w:rFonts w:asciiTheme="minorHAnsi" w:hAnsiTheme="minorHAnsi" w:cstheme="minorHAnsi"/>
          <w:highlight w:val="yellow"/>
        </w:rPr>
        <w:t xml:space="preserve">Store </w:t>
      </w:r>
      <w:r w:rsidR="001E5F8B">
        <w:rPr>
          <w:rFonts w:asciiTheme="minorHAnsi" w:hAnsiTheme="minorHAnsi" w:cstheme="minorHAnsi"/>
          <w:highlight w:val="yellow"/>
        </w:rPr>
        <w:t xml:space="preserve">the </w:t>
      </w:r>
      <w:r w:rsidRPr="00E21748">
        <w:rPr>
          <w:rFonts w:asciiTheme="minorHAnsi" w:hAnsiTheme="minorHAnsi" w:cstheme="minorHAnsi"/>
          <w:highlight w:val="yellow"/>
        </w:rPr>
        <w:t xml:space="preserve">RNA samples at -80 °C for at least 1 </w:t>
      </w:r>
      <w:r w:rsidR="00FF1C5F">
        <w:rPr>
          <w:rFonts w:asciiTheme="minorHAnsi" w:hAnsiTheme="minorHAnsi" w:cstheme="minorHAnsi"/>
          <w:highlight w:val="yellow"/>
        </w:rPr>
        <w:t>h</w:t>
      </w:r>
      <w:r w:rsidRPr="00E21748">
        <w:rPr>
          <w:rFonts w:asciiTheme="minorHAnsi" w:hAnsiTheme="minorHAnsi" w:cstheme="minorHAnsi"/>
          <w:highlight w:val="yellow"/>
        </w:rPr>
        <w:t xml:space="preserve"> before further processing. It is important to freeze all samples after RNA extraction do avoid the risk of bias when comparing samples that have not been frozen to samples that were frozen</w:t>
      </w:r>
      <w:r w:rsidR="00FF1C5F">
        <w:rPr>
          <w:rFonts w:asciiTheme="minorHAnsi" w:hAnsiTheme="minorHAnsi" w:cstheme="minorHAnsi"/>
          <w:highlight w:val="yellow"/>
        </w:rPr>
        <w:t>.</w:t>
      </w:r>
    </w:p>
    <w:p w14:paraId="730C0138"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highlight w:val="yellow"/>
        </w:rPr>
      </w:pPr>
    </w:p>
    <w:p w14:paraId="3041416D" w14:textId="765EA22C" w:rsidR="001D3C34" w:rsidRPr="00E21748" w:rsidRDefault="001D3C34" w:rsidP="00E21748">
      <w:pPr>
        <w:pStyle w:val="ListParagraph"/>
        <w:widowControl/>
        <w:numPr>
          <w:ilvl w:val="1"/>
          <w:numId w:val="32"/>
        </w:numPr>
        <w:autoSpaceDE/>
        <w:autoSpaceDN/>
        <w:adjustRightInd/>
        <w:snapToGrid w:val="0"/>
        <w:rPr>
          <w:rFonts w:asciiTheme="minorHAnsi" w:hAnsiTheme="minorHAnsi" w:cstheme="minorHAnsi"/>
          <w:highlight w:val="yellow"/>
        </w:rPr>
      </w:pPr>
      <w:r w:rsidRPr="00E21748">
        <w:rPr>
          <w:rFonts w:asciiTheme="minorHAnsi" w:hAnsiTheme="minorHAnsi" w:cstheme="minorHAnsi"/>
          <w:highlight w:val="yellow"/>
        </w:rPr>
        <w:t xml:space="preserve">Synthesize cDNA </w:t>
      </w:r>
      <w:r w:rsidR="00B52B21" w:rsidRPr="00E21748">
        <w:rPr>
          <w:rFonts w:asciiTheme="minorHAnsi" w:hAnsiTheme="minorHAnsi" w:cstheme="minorHAnsi"/>
          <w:highlight w:val="yellow"/>
        </w:rPr>
        <w:t xml:space="preserve">using a reverse transcriptase step </w:t>
      </w:r>
      <w:r w:rsidR="00642937" w:rsidRPr="00E21748">
        <w:rPr>
          <w:rFonts w:asciiTheme="minorHAnsi" w:hAnsiTheme="minorHAnsi" w:cstheme="minorHAnsi"/>
          <w:highlight w:val="yellow"/>
        </w:rPr>
        <w:t xml:space="preserve">using reagents </w:t>
      </w:r>
      <w:r w:rsidR="00917D9D" w:rsidRPr="00E21748">
        <w:rPr>
          <w:rFonts w:asciiTheme="minorHAnsi" w:hAnsiTheme="minorHAnsi" w:cstheme="minorHAnsi"/>
          <w:highlight w:val="yellow"/>
        </w:rPr>
        <w:t xml:space="preserve">as </w:t>
      </w:r>
      <w:r w:rsidR="00B52B21" w:rsidRPr="00E21748">
        <w:rPr>
          <w:rFonts w:asciiTheme="minorHAnsi" w:hAnsiTheme="minorHAnsi" w:cstheme="minorHAnsi"/>
          <w:highlight w:val="yellow"/>
        </w:rPr>
        <w:t>described previously</w:t>
      </w:r>
      <w:r w:rsidR="00A85CC2" w:rsidRPr="00E21748">
        <w:rPr>
          <w:rFonts w:asciiTheme="minorHAnsi" w:hAnsiTheme="minorHAnsi" w:cstheme="minorHAnsi"/>
          <w:noProof/>
          <w:highlight w:val="yellow"/>
          <w:vertAlign w:val="superscript"/>
        </w:rPr>
        <w:t>20</w:t>
      </w:r>
      <w:r w:rsidR="00642937" w:rsidRPr="00E21748">
        <w:rPr>
          <w:rFonts w:asciiTheme="minorHAnsi" w:hAnsiTheme="minorHAnsi" w:cstheme="minorHAnsi"/>
          <w:highlight w:val="yellow"/>
        </w:rPr>
        <w:t xml:space="preserve">. </w:t>
      </w:r>
      <w:r w:rsidR="001E5F8B">
        <w:rPr>
          <w:rFonts w:asciiTheme="minorHAnsi" w:hAnsiTheme="minorHAnsi" w:cstheme="minorHAnsi"/>
          <w:highlight w:val="yellow"/>
        </w:rPr>
        <w:t>Make sure to</w:t>
      </w:r>
      <w:r w:rsidR="00B52B21" w:rsidRPr="00E21748">
        <w:rPr>
          <w:rFonts w:asciiTheme="minorHAnsi" w:hAnsiTheme="minorHAnsi" w:cstheme="minorHAnsi"/>
          <w:highlight w:val="yellow"/>
        </w:rPr>
        <w:t xml:space="preserve"> </w:t>
      </w:r>
      <w:r w:rsidR="001E5F8B">
        <w:rPr>
          <w:rFonts w:asciiTheme="minorHAnsi" w:hAnsiTheme="minorHAnsi" w:cstheme="minorHAnsi"/>
          <w:highlight w:val="yellow"/>
        </w:rPr>
        <w:t>a</w:t>
      </w:r>
      <w:r w:rsidRPr="00E21748">
        <w:rPr>
          <w:rFonts w:asciiTheme="minorHAnsi" w:hAnsiTheme="minorHAnsi" w:cstheme="minorHAnsi"/>
          <w:highlight w:val="yellow"/>
        </w:rPr>
        <w:t xml:space="preserve">dd 0.5 µL </w:t>
      </w:r>
      <w:r w:rsidR="00D51341" w:rsidRPr="00E21748">
        <w:rPr>
          <w:rFonts w:asciiTheme="minorHAnsi" w:hAnsiTheme="minorHAnsi" w:cstheme="minorHAnsi"/>
          <w:highlight w:val="yellow"/>
        </w:rPr>
        <w:t xml:space="preserve">of an </w:t>
      </w:r>
      <w:r w:rsidR="005A383A" w:rsidRPr="00E21748">
        <w:rPr>
          <w:rFonts w:asciiTheme="minorHAnsi" w:hAnsiTheme="minorHAnsi" w:cstheme="minorHAnsi"/>
          <w:highlight w:val="yellow"/>
        </w:rPr>
        <w:t xml:space="preserve">RNase </w:t>
      </w:r>
      <w:r w:rsidR="00D51341" w:rsidRPr="00E21748">
        <w:rPr>
          <w:rFonts w:asciiTheme="minorHAnsi" w:hAnsiTheme="minorHAnsi" w:cstheme="minorHAnsi"/>
          <w:highlight w:val="yellow"/>
        </w:rPr>
        <w:t>inhibitor</w:t>
      </w:r>
      <w:r w:rsidRPr="00E21748">
        <w:rPr>
          <w:rFonts w:asciiTheme="minorHAnsi" w:hAnsiTheme="minorHAnsi" w:cstheme="minorHAnsi"/>
          <w:highlight w:val="yellow"/>
        </w:rPr>
        <w:t xml:space="preserve"> to the cDNA reaction</w:t>
      </w:r>
      <w:r w:rsidR="00D51341" w:rsidRPr="00E21748">
        <w:rPr>
          <w:rFonts w:asciiTheme="minorHAnsi" w:hAnsiTheme="minorHAnsi" w:cstheme="minorHAnsi"/>
          <w:highlight w:val="yellow"/>
        </w:rPr>
        <w:t xml:space="preserve"> to avoid degradation of </w:t>
      </w:r>
      <w:r w:rsidR="00FF1C5F">
        <w:rPr>
          <w:rFonts w:asciiTheme="minorHAnsi" w:hAnsiTheme="minorHAnsi" w:cstheme="minorHAnsi"/>
          <w:highlight w:val="yellow"/>
        </w:rPr>
        <w:t xml:space="preserve">the </w:t>
      </w:r>
      <w:r w:rsidR="00D51341" w:rsidRPr="00E21748">
        <w:rPr>
          <w:rFonts w:asciiTheme="minorHAnsi" w:hAnsiTheme="minorHAnsi" w:cstheme="minorHAnsi"/>
          <w:highlight w:val="yellow"/>
        </w:rPr>
        <w:t>RNA</w:t>
      </w:r>
      <w:r w:rsidRPr="00E21748">
        <w:rPr>
          <w:rFonts w:asciiTheme="minorHAnsi" w:hAnsiTheme="minorHAnsi" w:cstheme="minorHAnsi"/>
          <w:highlight w:val="yellow"/>
        </w:rPr>
        <w:t>.</w:t>
      </w:r>
    </w:p>
    <w:p w14:paraId="5E425DB8" w14:textId="77777777" w:rsidR="00B761E8" w:rsidRPr="00E21748" w:rsidRDefault="00B761E8" w:rsidP="00E21748">
      <w:pPr>
        <w:pStyle w:val="ListParagraph"/>
        <w:widowControl/>
        <w:autoSpaceDE/>
        <w:autoSpaceDN/>
        <w:adjustRightInd/>
        <w:snapToGrid w:val="0"/>
        <w:ind w:left="0"/>
        <w:rPr>
          <w:rFonts w:asciiTheme="minorHAnsi" w:hAnsiTheme="minorHAnsi" w:cstheme="minorHAnsi"/>
          <w:highlight w:val="yellow"/>
        </w:rPr>
      </w:pPr>
    </w:p>
    <w:p w14:paraId="5277C458" w14:textId="12CC26D4" w:rsidR="001D3C34" w:rsidRPr="005C2511" w:rsidRDefault="00E03EA8" w:rsidP="00E21748">
      <w:pPr>
        <w:pStyle w:val="ListParagraph"/>
        <w:widowControl/>
        <w:numPr>
          <w:ilvl w:val="2"/>
          <w:numId w:val="32"/>
        </w:numPr>
        <w:autoSpaceDE/>
        <w:autoSpaceDN/>
        <w:adjustRightInd/>
        <w:snapToGrid w:val="0"/>
        <w:rPr>
          <w:rFonts w:asciiTheme="minorHAnsi" w:hAnsiTheme="minorHAnsi" w:cstheme="minorHAnsi"/>
          <w:highlight w:val="yellow"/>
        </w:rPr>
      </w:pPr>
      <w:r w:rsidRPr="00E21748">
        <w:rPr>
          <w:rFonts w:asciiTheme="minorHAnsi" w:hAnsiTheme="minorHAnsi" w:cstheme="minorHAnsi"/>
          <w:highlight w:val="yellow"/>
        </w:rPr>
        <w:t>Perform cDNA synthesis w</w:t>
      </w:r>
      <w:r w:rsidRPr="005C2511">
        <w:rPr>
          <w:rFonts w:asciiTheme="minorHAnsi" w:hAnsiTheme="minorHAnsi" w:cstheme="minorHAnsi"/>
          <w:highlight w:val="yellow"/>
        </w:rPr>
        <w:t xml:space="preserve">ith the program detailed in </w:t>
      </w:r>
      <w:r w:rsidR="00E21748" w:rsidRPr="005C2511">
        <w:rPr>
          <w:rFonts w:asciiTheme="minorHAnsi" w:hAnsiTheme="minorHAnsi" w:cstheme="minorHAnsi"/>
          <w:b/>
          <w:highlight w:val="yellow"/>
        </w:rPr>
        <w:t>Table 5</w:t>
      </w:r>
      <w:r w:rsidR="001D3C34" w:rsidRPr="005C2511">
        <w:rPr>
          <w:rFonts w:asciiTheme="minorHAnsi" w:hAnsiTheme="minorHAnsi" w:cstheme="minorHAnsi"/>
          <w:highlight w:val="yellow"/>
        </w:rPr>
        <w:t>.</w:t>
      </w:r>
    </w:p>
    <w:p w14:paraId="5908B265" w14:textId="77777777" w:rsidR="00B761E8" w:rsidRPr="005C2511" w:rsidRDefault="00B761E8" w:rsidP="00E21748">
      <w:pPr>
        <w:pStyle w:val="ListParagraph"/>
        <w:widowControl/>
        <w:autoSpaceDE/>
        <w:autoSpaceDN/>
        <w:adjustRightInd/>
        <w:snapToGrid w:val="0"/>
        <w:ind w:left="0"/>
        <w:rPr>
          <w:rFonts w:asciiTheme="minorHAnsi" w:hAnsiTheme="minorHAnsi" w:cstheme="minorHAnsi"/>
          <w:highlight w:val="yellow"/>
        </w:rPr>
      </w:pPr>
    </w:p>
    <w:p w14:paraId="57B44453" w14:textId="1C698910" w:rsidR="001D3C34" w:rsidRPr="005C2511" w:rsidRDefault="001D3C34" w:rsidP="00E21748">
      <w:pPr>
        <w:pStyle w:val="ListParagraph"/>
        <w:widowControl/>
        <w:numPr>
          <w:ilvl w:val="1"/>
          <w:numId w:val="32"/>
        </w:numPr>
        <w:autoSpaceDE/>
        <w:autoSpaceDN/>
        <w:adjustRightInd/>
        <w:snapToGrid w:val="0"/>
        <w:rPr>
          <w:rFonts w:asciiTheme="minorHAnsi" w:hAnsiTheme="minorHAnsi" w:cstheme="minorHAnsi"/>
          <w:highlight w:val="yellow"/>
        </w:rPr>
      </w:pPr>
      <w:r w:rsidRPr="005C2511">
        <w:rPr>
          <w:rFonts w:asciiTheme="minorHAnsi" w:hAnsiTheme="minorHAnsi" w:cstheme="minorHAnsi"/>
          <w:highlight w:val="yellow"/>
        </w:rPr>
        <w:t xml:space="preserve">Store </w:t>
      </w:r>
      <w:r w:rsidR="00FF1C5F" w:rsidRPr="005C2511">
        <w:rPr>
          <w:rFonts w:asciiTheme="minorHAnsi" w:hAnsiTheme="minorHAnsi" w:cstheme="minorHAnsi"/>
          <w:highlight w:val="yellow"/>
        </w:rPr>
        <w:t xml:space="preserve">the </w:t>
      </w:r>
      <w:r w:rsidRPr="005C2511">
        <w:rPr>
          <w:rFonts w:asciiTheme="minorHAnsi" w:hAnsiTheme="minorHAnsi" w:cstheme="minorHAnsi"/>
          <w:highlight w:val="yellow"/>
        </w:rPr>
        <w:t xml:space="preserve">cDNA samples at -80 °C for at least 1 </w:t>
      </w:r>
      <w:r w:rsidR="00FF1C5F" w:rsidRPr="005C2511">
        <w:rPr>
          <w:rFonts w:asciiTheme="minorHAnsi" w:hAnsiTheme="minorHAnsi" w:cstheme="minorHAnsi"/>
          <w:highlight w:val="yellow"/>
        </w:rPr>
        <w:t>h</w:t>
      </w:r>
      <w:r w:rsidRPr="005C2511">
        <w:rPr>
          <w:rFonts w:asciiTheme="minorHAnsi" w:hAnsiTheme="minorHAnsi" w:cstheme="minorHAnsi"/>
          <w:highlight w:val="yellow"/>
        </w:rPr>
        <w:t>. It is important to freeze all samples after cDNA synthesis do avoid the risk of bias when comparing samples that have not been frozen to samples that were frozen</w:t>
      </w:r>
      <w:r w:rsidR="00FF1C5F" w:rsidRPr="005C2511">
        <w:rPr>
          <w:rFonts w:asciiTheme="minorHAnsi" w:hAnsiTheme="minorHAnsi" w:cstheme="minorHAnsi"/>
          <w:highlight w:val="yellow"/>
        </w:rPr>
        <w:t>.</w:t>
      </w:r>
    </w:p>
    <w:p w14:paraId="67C1BB1F" w14:textId="77777777" w:rsidR="00B761E8" w:rsidRPr="005C2511" w:rsidRDefault="00B761E8" w:rsidP="00E21748">
      <w:pPr>
        <w:pStyle w:val="ListParagraph"/>
        <w:widowControl/>
        <w:autoSpaceDE/>
        <w:autoSpaceDN/>
        <w:adjustRightInd/>
        <w:snapToGrid w:val="0"/>
        <w:ind w:left="0"/>
        <w:rPr>
          <w:rFonts w:asciiTheme="minorHAnsi" w:hAnsiTheme="minorHAnsi" w:cstheme="minorHAnsi"/>
          <w:highlight w:val="yellow"/>
        </w:rPr>
      </w:pPr>
    </w:p>
    <w:p w14:paraId="39AE149F" w14:textId="4C52BBC2" w:rsidR="001D3C34" w:rsidRPr="005C2511" w:rsidRDefault="001D3C34" w:rsidP="00E21748">
      <w:pPr>
        <w:pStyle w:val="ListParagraph"/>
        <w:widowControl/>
        <w:numPr>
          <w:ilvl w:val="1"/>
          <w:numId w:val="32"/>
        </w:numPr>
        <w:autoSpaceDE/>
        <w:autoSpaceDN/>
        <w:adjustRightInd/>
        <w:snapToGrid w:val="0"/>
        <w:rPr>
          <w:rFonts w:asciiTheme="minorHAnsi" w:hAnsiTheme="minorHAnsi" w:cstheme="minorHAnsi"/>
          <w:highlight w:val="yellow"/>
        </w:rPr>
      </w:pPr>
      <w:r w:rsidRPr="005C2511">
        <w:rPr>
          <w:rFonts w:asciiTheme="minorHAnsi" w:hAnsiTheme="minorHAnsi" w:cstheme="minorHAnsi"/>
          <w:highlight w:val="yellow"/>
        </w:rPr>
        <w:t xml:space="preserve">Prepare samples for </w:t>
      </w:r>
      <w:proofErr w:type="spellStart"/>
      <w:r w:rsidRPr="005C2511">
        <w:rPr>
          <w:rFonts w:asciiTheme="minorHAnsi" w:hAnsiTheme="minorHAnsi" w:cstheme="minorHAnsi"/>
          <w:highlight w:val="yellow"/>
        </w:rPr>
        <w:t>ddPCR</w:t>
      </w:r>
      <w:proofErr w:type="spellEnd"/>
      <w:r w:rsidRPr="005C2511">
        <w:rPr>
          <w:rFonts w:asciiTheme="minorHAnsi" w:hAnsiTheme="minorHAnsi" w:cstheme="minorHAnsi"/>
          <w:highlight w:val="yellow"/>
        </w:rPr>
        <w:t xml:space="preserve"> as follows</w:t>
      </w:r>
      <w:r w:rsidR="00A85CC2" w:rsidRPr="005C2511">
        <w:rPr>
          <w:rFonts w:asciiTheme="minorHAnsi" w:hAnsiTheme="minorHAnsi" w:cstheme="minorHAnsi"/>
          <w:noProof/>
          <w:highlight w:val="yellow"/>
          <w:vertAlign w:val="superscript"/>
        </w:rPr>
        <w:t>20</w:t>
      </w:r>
      <w:r w:rsidR="0043456F" w:rsidRPr="005C2511">
        <w:rPr>
          <w:rFonts w:asciiTheme="minorHAnsi" w:hAnsiTheme="minorHAnsi" w:cstheme="minorHAnsi"/>
          <w:highlight w:val="yellow"/>
        </w:rPr>
        <w:t>:</w:t>
      </w:r>
    </w:p>
    <w:p w14:paraId="1A4C5E6A" w14:textId="77777777" w:rsidR="00B761E8" w:rsidRPr="005C2511" w:rsidRDefault="00B761E8" w:rsidP="00E21748">
      <w:pPr>
        <w:pStyle w:val="ListParagraph"/>
        <w:widowControl/>
        <w:autoSpaceDE/>
        <w:autoSpaceDN/>
        <w:adjustRightInd/>
        <w:snapToGrid w:val="0"/>
        <w:ind w:left="0"/>
        <w:rPr>
          <w:rFonts w:asciiTheme="minorHAnsi" w:hAnsiTheme="minorHAnsi" w:cstheme="minorHAnsi"/>
          <w:highlight w:val="yellow"/>
        </w:rPr>
      </w:pPr>
    </w:p>
    <w:p w14:paraId="6659E3E3" w14:textId="2E6EECB5" w:rsidR="001D3C34" w:rsidRPr="005C2511" w:rsidRDefault="001D3C34" w:rsidP="00E21748">
      <w:pPr>
        <w:pStyle w:val="ListParagraph"/>
        <w:widowControl/>
        <w:numPr>
          <w:ilvl w:val="2"/>
          <w:numId w:val="32"/>
        </w:numPr>
        <w:autoSpaceDE/>
        <w:autoSpaceDN/>
        <w:adjustRightInd/>
        <w:snapToGrid w:val="0"/>
        <w:rPr>
          <w:rFonts w:asciiTheme="minorHAnsi" w:hAnsiTheme="minorHAnsi" w:cstheme="minorHAnsi"/>
          <w:highlight w:val="yellow"/>
        </w:rPr>
      </w:pPr>
      <w:r w:rsidRPr="005C2511">
        <w:rPr>
          <w:rFonts w:asciiTheme="minorHAnsi" w:hAnsiTheme="minorHAnsi" w:cstheme="minorHAnsi"/>
          <w:highlight w:val="yellow"/>
        </w:rPr>
        <w:t xml:space="preserve">Mix 3 µL </w:t>
      </w:r>
      <w:r w:rsidR="00FF1C5F" w:rsidRPr="005C2511">
        <w:rPr>
          <w:rFonts w:asciiTheme="minorHAnsi" w:hAnsiTheme="minorHAnsi" w:cstheme="minorHAnsi"/>
          <w:highlight w:val="yellow"/>
        </w:rPr>
        <w:t xml:space="preserve">of the </w:t>
      </w:r>
      <w:r w:rsidRPr="005C2511">
        <w:rPr>
          <w:rFonts w:asciiTheme="minorHAnsi" w:hAnsiTheme="minorHAnsi" w:cstheme="minorHAnsi"/>
          <w:highlight w:val="yellow"/>
        </w:rPr>
        <w:t>cDNA sample with 11 µL</w:t>
      </w:r>
      <w:r w:rsidR="00FF1C5F" w:rsidRPr="005C2511">
        <w:rPr>
          <w:rFonts w:asciiTheme="minorHAnsi" w:hAnsiTheme="minorHAnsi" w:cstheme="minorHAnsi"/>
          <w:highlight w:val="yellow"/>
        </w:rPr>
        <w:t xml:space="preserve"> of</w:t>
      </w:r>
      <w:r w:rsidRPr="005C2511">
        <w:rPr>
          <w:rFonts w:asciiTheme="minorHAnsi" w:hAnsiTheme="minorHAnsi" w:cstheme="minorHAnsi"/>
          <w:highlight w:val="yellow"/>
        </w:rPr>
        <w:t xml:space="preserve"> </w:t>
      </w:r>
      <w:r w:rsidR="00FF1C5F" w:rsidRPr="005C2511">
        <w:rPr>
          <w:rFonts w:asciiTheme="minorHAnsi" w:hAnsiTheme="minorHAnsi" w:cstheme="minorHAnsi"/>
          <w:highlight w:val="yellow"/>
        </w:rPr>
        <w:t xml:space="preserve">the </w:t>
      </w:r>
      <w:proofErr w:type="spellStart"/>
      <w:r w:rsidRPr="005C2511">
        <w:rPr>
          <w:rFonts w:asciiTheme="minorHAnsi" w:hAnsiTheme="minorHAnsi" w:cstheme="minorHAnsi"/>
          <w:highlight w:val="yellow"/>
        </w:rPr>
        <w:t>ddPCR</w:t>
      </w:r>
      <w:proofErr w:type="spellEnd"/>
      <w:r w:rsidRPr="005C2511">
        <w:rPr>
          <w:rFonts w:asciiTheme="minorHAnsi" w:hAnsiTheme="minorHAnsi" w:cstheme="minorHAnsi"/>
          <w:highlight w:val="yellow"/>
        </w:rPr>
        <w:t xml:space="preserve"> </w:t>
      </w:r>
      <w:r w:rsidR="0080454E" w:rsidRPr="005C2511">
        <w:rPr>
          <w:rFonts w:asciiTheme="minorHAnsi" w:hAnsiTheme="minorHAnsi" w:cstheme="minorHAnsi"/>
          <w:highlight w:val="yellow"/>
        </w:rPr>
        <w:t>probe mixture</w:t>
      </w:r>
      <w:r w:rsidRPr="005C2511">
        <w:rPr>
          <w:rFonts w:asciiTheme="minorHAnsi" w:hAnsiTheme="minorHAnsi" w:cstheme="minorHAnsi"/>
          <w:highlight w:val="yellow"/>
        </w:rPr>
        <w:t xml:space="preserve"> (no </w:t>
      </w:r>
      <w:proofErr w:type="spellStart"/>
      <w:r w:rsidRPr="005C2511">
        <w:rPr>
          <w:rFonts w:asciiTheme="minorHAnsi" w:hAnsiTheme="minorHAnsi" w:cstheme="minorHAnsi"/>
          <w:highlight w:val="yellow"/>
        </w:rPr>
        <w:t>dUTP</w:t>
      </w:r>
      <w:proofErr w:type="spellEnd"/>
      <w:r w:rsidRPr="005C2511">
        <w:rPr>
          <w:rFonts w:asciiTheme="minorHAnsi" w:hAnsiTheme="minorHAnsi" w:cstheme="minorHAnsi"/>
          <w:highlight w:val="yellow"/>
        </w:rPr>
        <w:t>)</w:t>
      </w:r>
      <w:r w:rsidR="00A85CC2" w:rsidRPr="005C2511">
        <w:rPr>
          <w:rFonts w:asciiTheme="minorHAnsi" w:hAnsiTheme="minorHAnsi" w:cstheme="minorHAnsi"/>
          <w:noProof/>
          <w:highlight w:val="yellow"/>
          <w:vertAlign w:val="superscript"/>
        </w:rPr>
        <w:t>20</w:t>
      </w:r>
      <w:r w:rsidRPr="005C2511">
        <w:rPr>
          <w:rFonts w:asciiTheme="minorHAnsi" w:hAnsiTheme="minorHAnsi" w:cstheme="minorHAnsi"/>
          <w:highlight w:val="yellow"/>
        </w:rPr>
        <w:t xml:space="preserve">, 250 </w:t>
      </w:r>
      <w:proofErr w:type="spellStart"/>
      <w:r w:rsidRPr="005C2511">
        <w:rPr>
          <w:rFonts w:asciiTheme="minorHAnsi" w:hAnsiTheme="minorHAnsi" w:cstheme="minorHAnsi"/>
          <w:highlight w:val="yellow"/>
        </w:rPr>
        <w:t>nM</w:t>
      </w:r>
      <w:proofErr w:type="spellEnd"/>
      <w:r w:rsidRPr="005C2511">
        <w:rPr>
          <w:rFonts w:asciiTheme="minorHAnsi" w:hAnsiTheme="minorHAnsi" w:cstheme="minorHAnsi"/>
          <w:highlight w:val="yellow"/>
        </w:rPr>
        <w:t xml:space="preserve"> </w:t>
      </w:r>
      <w:r w:rsidR="00D51341" w:rsidRPr="005C2511">
        <w:rPr>
          <w:rFonts w:asciiTheme="minorHAnsi" w:hAnsiTheme="minorHAnsi" w:cstheme="minorHAnsi"/>
          <w:highlight w:val="yellow"/>
        </w:rPr>
        <w:t>m</w:t>
      </w:r>
      <w:r w:rsidRPr="005C2511">
        <w:rPr>
          <w:rFonts w:asciiTheme="minorHAnsi" w:hAnsiTheme="minorHAnsi" w:cstheme="minorHAnsi"/>
          <w:highlight w:val="yellow"/>
        </w:rPr>
        <w:t xml:space="preserve">inor </w:t>
      </w:r>
      <w:r w:rsidR="00D51341" w:rsidRPr="005C2511">
        <w:rPr>
          <w:rFonts w:asciiTheme="minorHAnsi" w:hAnsiTheme="minorHAnsi" w:cstheme="minorHAnsi"/>
          <w:highlight w:val="yellow"/>
        </w:rPr>
        <w:t>groove-</w:t>
      </w:r>
      <w:r w:rsidRPr="005C2511">
        <w:rPr>
          <w:rFonts w:asciiTheme="minorHAnsi" w:hAnsiTheme="minorHAnsi" w:cstheme="minorHAnsi"/>
          <w:highlight w:val="yellow"/>
        </w:rPr>
        <w:t xml:space="preserve">binding </w:t>
      </w:r>
      <w:r w:rsidR="008D3FE6" w:rsidRPr="005C2511">
        <w:rPr>
          <w:rFonts w:asciiTheme="minorHAnsi" w:hAnsiTheme="minorHAnsi" w:cstheme="minorHAnsi"/>
          <w:highlight w:val="yellow"/>
        </w:rPr>
        <w:t>probe</w:t>
      </w:r>
      <w:r w:rsidR="00FF1C5F" w:rsidRPr="005C2511">
        <w:rPr>
          <w:rFonts w:asciiTheme="minorHAnsi" w:hAnsiTheme="minorHAnsi" w:cstheme="minorHAnsi"/>
          <w:highlight w:val="yellow"/>
        </w:rPr>
        <w:t>,</w:t>
      </w:r>
      <w:r w:rsidR="008D3FE6" w:rsidRPr="005C2511">
        <w:rPr>
          <w:rFonts w:asciiTheme="minorHAnsi" w:hAnsiTheme="minorHAnsi" w:cstheme="minorHAnsi"/>
          <w:highlight w:val="yellow"/>
        </w:rPr>
        <w:t xml:space="preserve"> and</w:t>
      </w:r>
      <w:r w:rsidRPr="005C2511">
        <w:rPr>
          <w:rFonts w:asciiTheme="minorHAnsi" w:hAnsiTheme="minorHAnsi" w:cstheme="minorHAnsi"/>
          <w:highlight w:val="yellow"/>
        </w:rPr>
        <w:t xml:space="preserve"> 900 </w:t>
      </w:r>
      <w:proofErr w:type="spellStart"/>
      <w:r w:rsidRPr="005C2511">
        <w:rPr>
          <w:rFonts w:asciiTheme="minorHAnsi" w:hAnsiTheme="minorHAnsi" w:cstheme="minorHAnsi"/>
          <w:highlight w:val="yellow"/>
        </w:rPr>
        <w:t>nM</w:t>
      </w:r>
      <w:proofErr w:type="spellEnd"/>
      <w:r w:rsidRPr="005C2511">
        <w:rPr>
          <w:rFonts w:asciiTheme="minorHAnsi" w:hAnsiTheme="minorHAnsi" w:cstheme="minorHAnsi"/>
          <w:highlight w:val="yellow"/>
        </w:rPr>
        <w:t xml:space="preserve"> of each of the forward and reverse primers as detailed in </w:t>
      </w:r>
      <w:r w:rsidR="00E21748" w:rsidRPr="005C2511">
        <w:rPr>
          <w:rFonts w:asciiTheme="minorHAnsi" w:hAnsiTheme="minorHAnsi" w:cstheme="minorHAnsi"/>
          <w:b/>
          <w:highlight w:val="yellow"/>
          <w:lang w:eastAsia="da-DK"/>
        </w:rPr>
        <w:t>Table 6</w:t>
      </w:r>
      <w:r w:rsidRPr="005C2511">
        <w:rPr>
          <w:rFonts w:asciiTheme="minorHAnsi" w:hAnsiTheme="minorHAnsi" w:cstheme="minorHAnsi"/>
          <w:highlight w:val="yellow"/>
          <w:lang w:eastAsia="da-DK"/>
        </w:rPr>
        <w:t>.</w:t>
      </w:r>
    </w:p>
    <w:p w14:paraId="29B1732B" w14:textId="77777777" w:rsidR="00B761E8" w:rsidRPr="005C2511" w:rsidRDefault="00B761E8" w:rsidP="00E21748">
      <w:pPr>
        <w:pStyle w:val="ListParagraph"/>
        <w:widowControl/>
        <w:autoSpaceDE/>
        <w:autoSpaceDN/>
        <w:adjustRightInd/>
        <w:snapToGrid w:val="0"/>
        <w:ind w:left="0"/>
        <w:rPr>
          <w:rFonts w:asciiTheme="minorHAnsi" w:hAnsiTheme="minorHAnsi" w:cstheme="minorHAnsi"/>
          <w:highlight w:val="yellow"/>
        </w:rPr>
      </w:pPr>
    </w:p>
    <w:p w14:paraId="21886A49" w14:textId="6055F825" w:rsidR="001D3C34" w:rsidRPr="005C2511" w:rsidRDefault="001D3C34" w:rsidP="00E21748">
      <w:pPr>
        <w:pStyle w:val="ListParagraph"/>
        <w:widowControl/>
        <w:numPr>
          <w:ilvl w:val="2"/>
          <w:numId w:val="32"/>
        </w:numPr>
        <w:autoSpaceDE/>
        <w:autoSpaceDN/>
        <w:adjustRightInd/>
        <w:snapToGrid w:val="0"/>
        <w:rPr>
          <w:rFonts w:asciiTheme="minorHAnsi" w:hAnsiTheme="minorHAnsi" w:cstheme="minorHAnsi"/>
          <w:highlight w:val="yellow"/>
        </w:rPr>
      </w:pPr>
      <w:r w:rsidRPr="005C2511">
        <w:rPr>
          <w:rFonts w:asciiTheme="minorHAnsi" w:hAnsiTheme="minorHAnsi" w:cstheme="minorHAnsi"/>
          <w:highlight w:val="yellow"/>
        </w:rPr>
        <w:t xml:space="preserve">Adjust </w:t>
      </w:r>
      <w:r w:rsidR="00FF1C5F" w:rsidRPr="005C2511">
        <w:rPr>
          <w:rFonts w:asciiTheme="minorHAnsi" w:hAnsiTheme="minorHAnsi" w:cstheme="minorHAnsi"/>
          <w:highlight w:val="yellow"/>
        </w:rPr>
        <w:t xml:space="preserve">the </w:t>
      </w:r>
      <w:r w:rsidRPr="005C2511">
        <w:rPr>
          <w:rFonts w:asciiTheme="minorHAnsi" w:hAnsiTheme="minorHAnsi" w:cstheme="minorHAnsi"/>
          <w:highlight w:val="yellow"/>
        </w:rPr>
        <w:t>total PCR volume to 22 µL with nuclease-free water.</w:t>
      </w:r>
    </w:p>
    <w:p w14:paraId="778B51A3" w14:textId="77777777" w:rsidR="00B761E8" w:rsidRPr="005C2511" w:rsidRDefault="00B761E8" w:rsidP="00E21748">
      <w:pPr>
        <w:pStyle w:val="ListParagraph"/>
        <w:widowControl/>
        <w:autoSpaceDE/>
        <w:autoSpaceDN/>
        <w:adjustRightInd/>
        <w:snapToGrid w:val="0"/>
        <w:ind w:left="0"/>
        <w:rPr>
          <w:rFonts w:asciiTheme="minorHAnsi" w:hAnsiTheme="minorHAnsi" w:cstheme="minorHAnsi"/>
          <w:highlight w:val="yellow"/>
        </w:rPr>
      </w:pPr>
    </w:p>
    <w:p w14:paraId="09623ECD" w14:textId="20C6A677" w:rsidR="001D3C34" w:rsidRPr="005C2511" w:rsidRDefault="001D3C34" w:rsidP="00E21748">
      <w:pPr>
        <w:pStyle w:val="ListParagraph"/>
        <w:widowControl/>
        <w:numPr>
          <w:ilvl w:val="1"/>
          <w:numId w:val="32"/>
        </w:numPr>
        <w:autoSpaceDE/>
        <w:autoSpaceDN/>
        <w:adjustRightInd/>
        <w:snapToGrid w:val="0"/>
        <w:rPr>
          <w:rFonts w:asciiTheme="minorHAnsi" w:hAnsiTheme="minorHAnsi" w:cstheme="minorHAnsi"/>
          <w:highlight w:val="yellow"/>
        </w:rPr>
      </w:pPr>
      <w:r w:rsidRPr="005C2511">
        <w:rPr>
          <w:rFonts w:asciiTheme="minorHAnsi" w:hAnsiTheme="minorHAnsi" w:cstheme="minorHAnsi"/>
          <w:highlight w:val="yellow"/>
        </w:rPr>
        <w:t xml:space="preserve">Emulsify </w:t>
      </w:r>
      <w:r w:rsidR="001E5F8B" w:rsidRPr="005C2511">
        <w:rPr>
          <w:rFonts w:asciiTheme="minorHAnsi" w:hAnsiTheme="minorHAnsi" w:cstheme="minorHAnsi"/>
          <w:highlight w:val="yellow"/>
        </w:rPr>
        <w:t xml:space="preserve">the </w:t>
      </w:r>
      <w:r w:rsidRPr="005C2511">
        <w:rPr>
          <w:rFonts w:asciiTheme="minorHAnsi" w:hAnsiTheme="minorHAnsi" w:cstheme="minorHAnsi"/>
          <w:highlight w:val="yellow"/>
        </w:rPr>
        <w:t xml:space="preserve">PCR mixes with Droplet Generation Oil for Probes on a </w:t>
      </w:r>
      <w:r w:rsidR="007706DA" w:rsidRPr="005C2511">
        <w:rPr>
          <w:rFonts w:asciiTheme="minorHAnsi" w:hAnsiTheme="minorHAnsi" w:cstheme="minorHAnsi"/>
          <w:highlight w:val="yellow"/>
        </w:rPr>
        <w:t>droplet generator</w:t>
      </w:r>
      <w:r w:rsidRPr="005C2511">
        <w:rPr>
          <w:rFonts w:asciiTheme="minorHAnsi" w:hAnsiTheme="minorHAnsi" w:cstheme="minorHAnsi"/>
          <w:highlight w:val="yellow"/>
        </w:rPr>
        <w:t xml:space="preserve"> according to </w:t>
      </w:r>
      <w:r w:rsidR="00FF1C5F" w:rsidRPr="005C2511">
        <w:rPr>
          <w:rFonts w:asciiTheme="minorHAnsi" w:hAnsiTheme="minorHAnsi" w:cstheme="minorHAnsi"/>
          <w:highlight w:val="yellow"/>
        </w:rPr>
        <w:t xml:space="preserve">the </w:t>
      </w:r>
      <w:r w:rsidRPr="005C2511">
        <w:rPr>
          <w:rFonts w:asciiTheme="minorHAnsi" w:hAnsiTheme="minorHAnsi" w:cstheme="minorHAnsi"/>
          <w:highlight w:val="yellow"/>
        </w:rPr>
        <w:t>manufacturer</w:t>
      </w:r>
      <w:r w:rsidR="00C93B58" w:rsidRPr="005C2511">
        <w:rPr>
          <w:rFonts w:asciiTheme="minorHAnsi" w:hAnsiTheme="minorHAnsi" w:cstheme="minorHAnsi"/>
          <w:highlight w:val="yellow"/>
        </w:rPr>
        <w:t>’s</w:t>
      </w:r>
      <w:r w:rsidRPr="005C2511">
        <w:rPr>
          <w:rFonts w:asciiTheme="minorHAnsi" w:hAnsiTheme="minorHAnsi" w:cstheme="minorHAnsi"/>
          <w:highlight w:val="yellow"/>
        </w:rPr>
        <w:t xml:space="preserve"> protocol</w:t>
      </w:r>
      <w:r w:rsidR="007706DA" w:rsidRPr="005C2511">
        <w:rPr>
          <w:rFonts w:asciiTheme="minorHAnsi" w:hAnsiTheme="minorHAnsi" w:cstheme="minorHAnsi"/>
          <w:highlight w:val="yellow"/>
        </w:rPr>
        <w:t xml:space="preserve"> and </w:t>
      </w:r>
      <w:r w:rsidR="00FF1C5F" w:rsidRPr="005C2511">
        <w:rPr>
          <w:rFonts w:asciiTheme="minorHAnsi" w:hAnsiTheme="minorHAnsi" w:cstheme="minorHAnsi"/>
          <w:highlight w:val="yellow"/>
        </w:rPr>
        <w:t xml:space="preserve">previous </w:t>
      </w:r>
      <w:r w:rsidR="007706DA" w:rsidRPr="005C2511">
        <w:rPr>
          <w:rFonts w:asciiTheme="minorHAnsi" w:hAnsiTheme="minorHAnsi" w:cstheme="minorHAnsi"/>
          <w:highlight w:val="yellow"/>
        </w:rPr>
        <w:t>descri</w:t>
      </w:r>
      <w:r w:rsidR="00FF1C5F" w:rsidRPr="005C2511">
        <w:rPr>
          <w:rFonts w:asciiTheme="minorHAnsi" w:hAnsiTheme="minorHAnsi" w:cstheme="minorHAnsi"/>
          <w:highlight w:val="yellow"/>
        </w:rPr>
        <w:t>ptions</w:t>
      </w:r>
      <w:r w:rsidR="00A85CC2" w:rsidRPr="005C2511">
        <w:rPr>
          <w:rFonts w:asciiTheme="minorHAnsi" w:hAnsiTheme="minorHAnsi" w:cstheme="minorHAnsi"/>
          <w:noProof/>
          <w:highlight w:val="yellow"/>
          <w:vertAlign w:val="superscript"/>
        </w:rPr>
        <w:t>20</w:t>
      </w:r>
      <w:r w:rsidRPr="005C2511">
        <w:rPr>
          <w:rFonts w:asciiTheme="minorHAnsi" w:hAnsiTheme="minorHAnsi" w:cstheme="minorHAnsi"/>
          <w:highlight w:val="yellow"/>
        </w:rPr>
        <w:t xml:space="preserve">. </w:t>
      </w:r>
    </w:p>
    <w:p w14:paraId="43EC6D93" w14:textId="77777777" w:rsidR="00B761E8" w:rsidRPr="005C2511" w:rsidRDefault="00B761E8" w:rsidP="00E21748">
      <w:pPr>
        <w:pStyle w:val="ListParagraph"/>
        <w:widowControl/>
        <w:autoSpaceDE/>
        <w:autoSpaceDN/>
        <w:adjustRightInd/>
        <w:snapToGrid w:val="0"/>
        <w:ind w:left="0"/>
        <w:rPr>
          <w:rFonts w:asciiTheme="minorHAnsi" w:hAnsiTheme="minorHAnsi" w:cstheme="minorHAnsi"/>
          <w:highlight w:val="yellow"/>
        </w:rPr>
      </w:pPr>
    </w:p>
    <w:p w14:paraId="6915D832" w14:textId="1F432982" w:rsidR="00E21748" w:rsidRPr="005C2511" w:rsidRDefault="001D3C34" w:rsidP="00E21748">
      <w:pPr>
        <w:pStyle w:val="ListParagraph"/>
        <w:widowControl/>
        <w:numPr>
          <w:ilvl w:val="1"/>
          <w:numId w:val="32"/>
        </w:numPr>
        <w:autoSpaceDE/>
        <w:autoSpaceDN/>
        <w:adjustRightInd/>
        <w:snapToGrid w:val="0"/>
        <w:rPr>
          <w:rFonts w:asciiTheme="minorHAnsi" w:hAnsiTheme="minorHAnsi" w:cstheme="minorHAnsi"/>
          <w:highlight w:val="yellow"/>
        </w:rPr>
      </w:pPr>
      <w:r w:rsidRPr="005C2511">
        <w:rPr>
          <w:rFonts w:asciiTheme="minorHAnsi" w:hAnsiTheme="minorHAnsi" w:cstheme="minorHAnsi"/>
          <w:highlight w:val="yellow"/>
        </w:rPr>
        <w:t xml:space="preserve">Run </w:t>
      </w:r>
      <w:r w:rsidR="00FF1C5F" w:rsidRPr="005C2511">
        <w:rPr>
          <w:rFonts w:asciiTheme="minorHAnsi" w:hAnsiTheme="minorHAnsi" w:cstheme="minorHAnsi"/>
          <w:highlight w:val="yellow"/>
        </w:rPr>
        <w:t xml:space="preserve">the </w:t>
      </w:r>
      <w:r w:rsidRPr="005C2511">
        <w:rPr>
          <w:rFonts w:asciiTheme="minorHAnsi" w:hAnsiTheme="minorHAnsi" w:cstheme="minorHAnsi"/>
          <w:highlight w:val="yellow"/>
        </w:rPr>
        <w:t xml:space="preserve">PCR program as detailed in </w:t>
      </w:r>
      <w:r w:rsidR="00E21748" w:rsidRPr="005C2511">
        <w:rPr>
          <w:rFonts w:asciiTheme="minorHAnsi" w:hAnsiTheme="minorHAnsi" w:cstheme="minorHAnsi"/>
          <w:b/>
          <w:highlight w:val="yellow"/>
        </w:rPr>
        <w:t>Table 7</w:t>
      </w:r>
      <w:r w:rsidRPr="005C2511">
        <w:rPr>
          <w:rFonts w:asciiTheme="minorHAnsi" w:hAnsiTheme="minorHAnsi" w:cstheme="minorHAnsi"/>
          <w:highlight w:val="yellow"/>
        </w:rPr>
        <w:t>.</w:t>
      </w:r>
      <w:r w:rsidR="00917D9D" w:rsidRPr="005C2511">
        <w:rPr>
          <w:rFonts w:asciiTheme="minorHAnsi" w:hAnsiTheme="minorHAnsi" w:cstheme="minorHAnsi"/>
          <w:highlight w:val="yellow"/>
        </w:rPr>
        <w:t xml:space="preserve"> </w:t>
      </w:r>
    </w:p>
    <w:p w14:paraId="22159D53" w14:textId="77777777" w:rsidR="00E21748" w:rsidRDefault="00E21748" w:rsidP="00E21748">
      <w:pPr>
        <w:pStyle w:val="ListParagraph"/>
        <w:rPr>
          <w:rFonts w:asciiTheme="minorHAnsi" w:hAnsiTheme="minorHAnsi" w:cstheme="minorHAnsi"/>
          <w:highlight w:val="yellow"/>
        </w:rPr>
      </w:pPr>
    </w:p>
    <w:p w14:paraId="133D8EE7" w14:textId="4F349B9B" w:rsidR="001D3C34" w:rsidRPr="001B0BDF" w:rsidRDefault="00E21748" w:rsidP="00E21748">
      <w:pPr>
        <w:pStyle w:val="ListParagraph"/>
        <w:widowControl/>
        <w:autoSpaceDE/>
        <w:autoSpaceDN/>
        <w:adjustRightInd/>
        <w:snapToGrid w:val="0"/>
        <w:ind w:left="0"/>
        <w:rPr>
          <w:rFonts w:asciiTheme="minorHAnsi" w:hAnsiTheme="minorHAnsi" w:cstheme="minorHAnsi"/>
          <w:highlight w:val="yellow"/>
        </w:rPr>
      </w:pPr>
      <w:r>
        <w:rPr>
          <w:rFonts w:asciiTheme="minorHAnsi" w:hAnsiTheme="minorHAnsi" w:cstheme="minorHAnsi"/>
          <w:highlight w:val="yellow"/>
        </w:rPr>
        <w:t>NOTE:</w:t>
      </w:r>
      <w:r w:rsidR="001D3C34" w:rsidRPr="00E21748">
        <w:rPr>
          <w:rFonts w:asciiTheme="minorHAnsi" w:hAnsiTheme="minorHAnsi" w:cstheme="minorHAnsi"/>
          <w:highlight w:val="yellow"/>
        </w:rPr>
        <w:t xml:space="preserve"> The primer/probe sequences and PCR programs displayed here have been specifically designed an</w:t>
      </w:r>
      <w:r w:rsidR="001D3C34" w:rsidRPr="001B0BDF">
        <w:rPr>
          <w:rFonts w:asciiTheme="minorHAnsi" w:hAnsiTheme="minorHAnsi" w:cstheme="minorHAnsi"/>
          <w:highlight w:val="yellow"/>
        </w:rPr>
        <w:t xml:space="preserve">d optimized for sensitive detection of the HIV strain RHPA4259. Primer and probe sequences can easily be adjusted to detect any other HIV strain of choice. </w:t>
      </w:r>
    </w:p>
    <w:p w14:paraId="48217F92" w14:textId="77777777" w:rsidR="00B761E8" w:rsidRDefault="00B761E8" w:rsidP="00E21748">
      <w:pPr>
        <w:pStyle w:val="ListParagraph"/>
        <w:widowControl/>
        <w:autoSpaceDE/>
        <w:autoSpaceDN/>
        <w:adjustRightInd/>
        <w:snapToGrid w:val="0"/>
        <w:ind w:left="0"/>
        <w:rPr>
          <w:rFonts w:asciiTheme="minorHAnsi" w:hAnsiTheme="minorHAnsi" w:cstheme="minorHAnsi"/>
        </w:rPr>
      </w:pPr>
    </w:p>
    <w:p w14:paraId="3B9FE4B2" w14:textId="3FE981E7" w:rsidR="001D3C34" w:rsidRPr="00A85CC2" w:rsidRDefault="001A0725" w:rsidP="00E21748">
      <w:pPr>
        <w:pStyle w:val="ListParagraph"/>
        <w:widowControl/>
        <w:numPr>
          <w:ilvl w:val="1"/>
          <w:numId w:val="32"/>
        </w:numPr>
        <w:autoSpaceDE/>
        <w:autoSpaceDN/>
        <w:adjustRightInd/>
        <w:snapToGrid w:val="0"/>
        <w:rPr>
          <w:rFonts w:asciiTheme="minorHAnsi" w:hAnsiTheme="minorHAnsi" w:cstheme="minorHAnsi"/>
        </w:rPr>
      </w:pPr>
      <w:r w:rsidRPr="00A85CC2">
        <w:rPr>
          <w:rFonts w:asciiTheme="minorHAnsi" w:hAnsiTheme="minorHAnsi" w:cstheme="minorHAnsi"/>
        </w:rPr>
        <w:t xml:space="preserve">Detect </w:t>
      </w:r>
      <w:r w:rsidR="00443388">
        <w:rPr>
          <w:rFonts w:asciiTheme="minorHAnsi" w:hAnsiTheme="minorHAnsi" w:cstheme="minorHAnsi"/>
        </w:rPr>
        <w:t xml:space="preserve">droplet fluorescence from </w:t>
      </w:r>
      <w:r w:rsidR="000B21E1">
        <w:rPr>
          <w:rFonts w:asciiTheme="minorHAnsi" w:hAnsiTheme="minorHAnsi" w:cstheme="minorHAnsi"/>
        </w:rPr>
        <w:t xml:space="preserve">the </w:t>
      </w:r>
      <w:r w:rsidRPr="00A85CC2">
        <w:rPr>
          <w:rFonts w:asciiTheme="minorHAnsi" w:hAnsiTheme="minorHAnsi" w:cstheme="minorHAnsi"/>
        </w:rPr>
        <w:t>samples on a d</w:t>
      </w:r>
      <w:r w:rsidR="00190C14" w:rsidRPr="00A85CC2">
        <w:rPr>
          <w:rFonts w:asciiTheme="minorHAnsi" w:hAnsiTheme="minorHAnsi" w:cstheme="minorHAnsi"/>
        </w:rPr>
        <w:t xml:space="preserve">roplet </w:t>
      </w:r>
      <w:proofErr w:type="gramStart"/>
      <w:r w:rsidRPr="00A85CC2">
        <w:rPr>
          <w:rFonts w:asciiTheme="minorHAnsi" w:hAnsiTheme="minorHAnsi" w:cstheme="minorHAnsi"/>
        </w:rPr>
        <w:t>r</w:t>
      </w:r>
      <w:r w:rsidR="00190C14" w:rsidRPr="00A85CC2">
        <w:rPr>
          <w:rFonts w:asciiTheme="minorHAnsi" w:hAnsiTheme="minorHAnsi" w:cstheme="minorHAnsi"/>
        </w:rPr>
        <w:t>eader, and</w:t>
      </w:r>
      <w:proofErr w:type="gramEnd"/>
      <w:r w:rsidR="00190C14" w:rsidRPr="00A85CC2">
        <w:rPr>
          <w:rFonts w:asciiTheme="minorHAnsi" w:hAnsiTheme="minorHAnsi" w:cstheme="minorHAnsi"/>
        </w:rPr>
        <w:t xml:space="preserve"> analyz</w:t>
      </w:r>
      <w:r w:rsidR="001D3C34" w:rsidRPr="00A85CC2">
        <w:rPr>
          <w:rFonts w:asciiTheme="minorHAnsi" w:hAnsiTheme="minorHAnsi" w:cstheme="minorHAnsi"/>
        </w:rPr>
        <w:t xml:space="preserve">e </w:t>
      </w:r>
      <w:r w:rsidR="000B21E1">
        <w:rPr>
          <w:rFonts w:asciiTheme="minorHAnsi" w:hAnsiTheme="minorHAnsi" w:cstheme="minorHAnsi"/>
        </w:rPr>
        <w:t xml:space="preserve">the </w:t>
      </w:r>
      <w:r w:rsidR="001D3C34" w:rsidRPr="00A85CC2">
        <w:rPr>
          <w:rFonts w:asciiTheme="minorHAnsi" w:hAnsiTheme="minorHAnsi" w:cstheme="minorHAnsi"/>
        </w:rPr>
        <w:t xml:space="preserve">results with </w:t>
      </w:r>
      <w:r w:rsidRPr="00A85CC2">
        <w:rPr>
          <w:rFonts w:asciiTheme="minorHAnsi" w:hAnsiTheme="minorHAnsi" w:cstheme="minorHAnsi"/>
        </w:rPr>
        <w:t>appropriate</w:t>
      </w:r>
      <w:r w:rsidR="001D3C34" w:rsidRPr="00A85CC2">
        <w:rPr>
          <w:rFonts w:asciiTheme="minorHAnsi" w:hAnsiTheme="minorHAnsi" w:cstheme="minorHAnsi"/>
        </w:rPr>
        <w:t xml:space="preserve"> software</w:t>
      </w:r>
      <w:r w:rsidR="00A85CC2">
        <w:rPr>
          <w:rFonts w:asciiTheme="minorHAnsi" w:hAnsiTheme="minorHAnsi" w:cstheme="minorHAnsi"/>
        </w:rPr>
        <w:t xml:space="preserve"> according to </w:t>
      </w:r>
      <w:r w:rsidR="000B21E1">
        <w:rPr>
          <w:rFonts w:asciiTheme="minorHAnsi" w:hAnsiTheme="minorHAnsi" w:cstheme="minorHAnsi"/>
        </w:rPr>
        <w:t xml:space="preserve">the </w:t>
      </w:r>
      <w:r w:rsidR="00FD5A49">
        <w:rPr>
          <w:rFonts w:asciiTheme="minorHAnsi" w:hAnsiTheme="minorHAnsi" w:cstheme="minorHAnsi"/>
        </w:rPr>
        <w:t>manufacturer</w:t>
      </w:r>
      <w:r w:rsidR="00C93B58" w:rsidRPr="00C93B58">
        <w:rPr>
          <w:rFonts w:asciiTheme="minorHAnsi" w:hAnsiTheme="minorHAnsi" w:cstheme="minorHAnsi"/>
        </w:rPr>
        <w:t>’s</w:t>
      </w:r>
      <w:r w:rsidR="00A85CC2">
        <w:rPr>
          <w:rFonts w:asciiTheme="minorHAnsi" w:hAnsiTheme="minorHAnsi" w:cstheme="minorHAnsi"/>
        </w:rPr>
        <w:t xml:space="preserve"> protocol</w:t>
      </w:r>
      <w:r w:rsidR="001D3C34" w:rsidRPr="00A85CC2">
        <w:rPr>
          <w:rFonts w:asciiTheme="minorHAnsi" w:hAnsiTheme="minorHAnsi" w:cstheme="minorHAnsi"/>
        </w:rPr>
        <w:t>.</w:t>
      </w:r>
      <w:r w:rsidR="002547DD">
        <w:rPr>
          <w:rFonts w:asciiTheme="minorHAnsi" w:hAnsiTheme="minorHAnsi" w:cstheme="minorHAnsi"/>
        </w:rPr>
        <w:t xml:space="preserve"> </w:t>
      </w:r>
    </w:p>
    <w:p w14:paraId="00156406" w14:textId="77777777" w:rsidR="001D3C34" w:rsidRPr="003E1E1C" w:rsidRDefault="001D3C34" w:rsidP="00E21748">
      <w:pPr>
        <w:pStyle w:val="ListParagraph"/>
        <w:snapToGrid w:val="0"/>
        <w:ind w:left="1080"/>
        <w:rPr>
          <w:rFonts w:asciiTheme="minorHAnsi" w:hAnsiTheme="minorHAnsi" w:cstheme="minorHAnsi"/>
          <w:highlight w:val="yellow"/>
        </w:rPr>
      </w:pPr>
    </w:p>
    <w:p w14:paraId="4FAAE81C" w14:textId="7C295BA6" w:rsidR="001D3C34" w:rsidRPr="003E1E1C" w:rsidRDefault="001D3C34" w:rsidP="00E21748">
      <w:pPr>
        <w:pStyle w:val="ListParagraph"/>
        <w:widowControl/>
        <w:numPr>
          <w:ilvl w:val="0"/>
          <w:numId w:val="32"/>
        </w:numPr>
        <w:autoSpaceDE/>
        <w:autoSpaceDN/>
        <w:adjustRightInd/>
        <w:snapToGrid w:val="0"/>
        <w:rPr>
          <w:rFonts w:asciiTheme="minorHAnsi" w:hAnsiTheme="minorHAnsi" w:cstheme="minorHAnsi"/>
          <w:b/>
          <w:highlight w:val="yellow"/>
        </w:rPr>
      </w:pPr>
      <w:r w:rsidRPr="003E1E1C">
        <w:rPr>
          <w:rFonts w:asciiTheme="minorHAnsi" w:hAnsiTheme="minorHAnsi" w:cstheme="minorHAnsi"/>
          <w:b/>
          <w:highlight w:val="yellow"/>
        </w:rPr>
        <w:t xml:space="preserve">Treatment with </w:t>
      </w:r>
      <w:proofErr w:type="spellStart"/>
      <w:r w:rsidR="00E21748">
        <w:rPr>
          <w:rFonts w:asciiTheme="minorHAnsi" w:hAnsiTheme="minorHAnsi" w:cstheme="minorHAnsi"/>
          <w:b/>
          <w:highlight w:val="yellow"/>
        </w:rPr>
        <w:t>c</w:t>
      </w:r>
      <w:r w:rsidRPr="003E1E1C">
        <w:rPr>
          <w:rFonts w:asciiTheme="minorHAnsi" w:hAnsiTheme="minorHAnsi" w:cstheme="minorHAnsi"/>
          <w:b/>
          <w:highlight w:val="yellow"/>
        </w:rPr>
        <w:t>ART</w:t>
      </w:r>
      <w:proofErr w:type="spellEnd"/>
      <w:r w:rsidR="000B21E1">
        <w:rPr>
          <w:rFonts w:asciiTheme="minorHAnsi" w:hAnsiTheme="minorHAnsi" w:cstheme="minorHAnsi"/>
          <w:b/>
          <w:highlight w:val="yellow"/>
        </w:rPr>
        <w:t>-</w:t>
      </w:r>
      <w:r w:rsidRPr="003E1E1C">
        <w:rPr>
          <w:rFonts w:asciiTheme="minorHAnsi" w:hAnsiTheme="minorHAnsi" w:cstheme="minorHAnsi"/>
          <w:b/>
          <w:highlight w:val="yellow"/>
        </w:rPr>
        <w:t>containing chow</w:t>
      </w:r>
    </w:p>
    <w:p w14:paraId="2225EC11" w14:textId="77777777" w:rsidR="00B761E8" w:rsidRPr="00B761E8" w:rsidRDefault="00B761E8" w:rsidP="00E21748">
      <w:pPr>
        <w:pStyle w:val="ListParagraph"/>
        <w:widowControl/>
        <w:autoSpaceDE/>
        <w:autoSpaceDN/>
        <w:adjustRightInd/>
        <w:snapToGrid w:val="0"/>
        <w:ind w:left="0"/>
        <w:rPr>
          <w:rFonts w:asciiTheme="minorHAnsi" w:hAnsiTheme="minorHAnsi" w:cstheme="minorHAnsi"/>
          <w:b/>
          <w:highlight w:val="yellow"/>
        </w:rPr>
      </w:pPr>
    </w:p>
    <w:p w14:paraId="4C7B9F82" w14:textId="7DE76148" w:rsidR="001D3C34" w:rsidRPr="005C2511" w:rsidRDefault="00E21748" w:rsidP="00E21748">
      <w:pPr>
        <w:pStyle w:val="ListParagraph"/>
        <w:widowControl/>
        <w:numPr>
          <w:ilvl w:val="1"/>
          <w:numId w:val="32"/>
        </w:numPr>
        <w:autoSpaceDE/>
        <w:autoSpaceDN/>
        <w:adjustRightInd/>
        <w:snapToGrid w:val="0"/>
        <w:rPr>
          <w:rFonts w:asciiTheme="minorHAnsi" w:hAnsiTheme="minorHAnsi" w:cstheme="minorHAnsi"/>
          <w:b/>
          <w:highlight w:val="yellow"/>
        </w:rPr>
      </w:pPr>
      <w:r>
        <w:rPr>
          <w:rFonts w:asciiTheme="minorHAnsi" w:hAnsiTheme="minorHAnsi" w:cstheme="minorHAnsi"/>
          <w:highlight w:val="yellow"/>
        </w:rPr>
        <w:t>Feed m</w:t>
      </w:r>
      <w:r w:rsidR="001D3C34" w:rsidRPr="003E1E1C">
        <w:rPr>
          <w:rFonts w:asciiTheme="minorHAnsi" w:hAnsiTheme="minorHAnsi" w:cstheme="minorHAnsi"/>
          <w:highlight w:val="yellow"/>
        </w:rPr>
        <w:t xml:space="preserve">ice </w:t>
      </w:r>
      <w:r w:rsidR="001D3C34" w:rsidRPr="00E21748">
        <w:rPr>
          <w:rFonts w:asciiTheme="minorHAnsi" w:hAnsiTheme="minorHAnsi" w:cstheme="minorHAnsi"/>
          <w:highlight w:val="yellow"/>
        </w:rPr>
        <w:t xml:space="preserve">with pellets containing a standard </w:t>
      </w:r>
      <w:proofErr w:type="spellStart"/>
      <w:r w:rsidR="001D3C34" w:rsidRPr="00E21748">
        <w:rPr>
          <w:rFonts w:asciiTheme="minorHAnsi" w:hAnsiTheme="minorHAnsi" w:cstheme="minorHAnsi"/>
          <w:highlight w:val="yellow"/>
        </w:rPr>
        <w:t>cART</w:t>
      </w:r>
      <w:proofErr w:type="spellEnd"/>
      <w:r w:rsidR="001D3C34" w:rsidRPr="00E21748">
        <w:rPr>
          <w:rFonts w:asciiTheme="minorHAnsi" w:hAnsiTheme="minorHAnsi" w:cstheme="minorHAnsi"/>
          <w:highlight w:val="yellow"/>
        </w:rPr>
        <w:t xml:space="preserve"> regimen containing 4</w:t>
      </w:r>
      <w:r w:rsidR="000B21E1">
        <w:rPr>
          <w:rFonts w:asciiTheme="minorHAnsi" w:hAnsiTheme="minorHAnsi" w:cstheme="minorHAnsi"/>
          <w:highlight w:val="yellow"/>
        </w:rPr>
        <w:t>,</w:t>
      </w:r>
      <w:r w:rsidR="001D3C34" w:rsidRPr="00E21748">
        <w:rPr>
          <w:rFonts w:asciiTheme="minorHAnsi" w:hAnsiTheme="minorHAnsi" w:cstheme="minorHAnsi"/>
          <w:highlight w:val="yellow"/>
        </w:rPr>
        <w:t xml:space="preserve">800 mg/kg </w:t>
      </w:r>
      <w:proofErr w:type="spellStart"/>
      <w:r w:rsidR="001D3C34" w:rsidRPr="00E21748">
        <w:rPr>
          <w:rFonts w:asciiTheme="minorHAnsi" w:hAnsiTheme="minorHAnsi" w:cstheme="minorHAnsi"/>
          <w:highlight w:val="yellow"/>
        </w:rPr>
        <w:t>raltegravir</w:t>
      </w:r>
      <w:proofErr w:type="spellEnd"/>
      <w:r w:rsidR="001D3C34" w:rsidRPr="00E21748">
        <w:rPr>
          <w:rFonts w:asciiTheme="minorHAnsi" w:hAnsiTheme="minorHAnsi" w:cstheme="minorHAnsi"/>
          <w:highlight w:val="yellow"/>
        </w:rPr>
        <w:t xml:space="preserve"> (RAL), 720 mg/kg te</w:t>
      </w:r>
      <w:r w:rsidR="001D3C34" w:rsidRPr="005C2511">
        <w:rPr>
          <w:rFonts w:asciiTheme="minorHAnsi" w:hAnsiTheme="minorHAnsi" w:cstheme="minorHAnsi"/>
          <w:highlight w:val="yellow"/>
        </w:rPr>
        <w:t>nofovir disoproxil fumarate (TDF)</w:t>
      </w:r>
      <w:r w:rsidR="000B21E1" w:rsidRPr="005C2511">
        <w:rPr>
          <w:rFonts w:asciiTheme="minorHAnsi" w:hAnsiTheme="minorHAnsi" w:cstheme="minorHAnsi"/>
          <w:highlight w:val="yellow"/>
        </w:rPr>
        <w:t>,</w:t>
      </w:r>
      <w:r w:rsidR="001D3C34" w:rsidRPr="005C2511">
        <w:rPr>
          <w:rFonts w:asciiTheme="minorHAnsi" w:hAnsiTheme="minorHAnsi" w:cstheme="minorHAnsi"/>
          <w:highlight w:val="yellow"/>
        </w:rPr>
        <w:t xml:space="preserve"> and 520 mg/kg </w:t>
      </w:r>
      <w:r w:rsidR="000B21E1" w:rsidRPr="005C2511">
        <w:rPr>
          <w:rFonts w:asciiTheme="minorHAnsi" w:hAnsiTheme="minorHAnsi" w:cstheme="minorHAnsi"/>
          <w:highlight w:val="yellow"/>
        </w:rPr>
        <w:t xml:space="preserve">emtricitabine </w:t>
      </w:r>
      <w:r w:rsidR="001D3C34" w:rsidRPr="005C2511">
        <w:rPr>
          <w:rFonts w:asciiTheme="minorHAnsi" w:hAnsiTheme="minorHAnsi" w:cstheme="minorHAnsi"/>
          <w:highlight w:val="yellow"/>
        </w:rPr>
        <w:t>(FTC)</w:t>
      </w:r>
      <w:r w:rsidR="00A85CC2" w:rsidRPr="005C2511">
        <w:rPr>
          <w:rFonts w:asciiTheme="minorHAnsi" w:hAnsiTheme="minorHAnsi" w:cstheme="minorHAnsi"/>
          <w:noProof/>
          <w:highlight w:val="yellow"/>
          <w:vertAlign w:val="superscript"/>
        </w:rPr>
        <w:t>21</w:t>
      </w:r>
      <w:r w:rsidR="00642937" w:rsidRPr="005C2511">
        <w:rPr>
          <w:rFonts w:asciiTheme="minorHAnsi" w:hAnsiTheme="minorHAnsi" w:cstheme="minorHAnsi"/>
          <w:highlight w:val="yellow"/>
        </w:rPr>
        <w:t xml:space="preserve"> </w:t>
      </w:r>
      <w:r w:rsidR="00642937" w:rsidRPr="005C2511">
        <w:rPr>
          <w:rFonts w:asciiTheme="minorHAnsi" w:hAnsiTheme="minorHAnsi" w:cstheme="minorHAnsi"/>
          <w:color w:val="auto"/>
          <w:highlight w:val="yellow"/>
        </w:rPr>
        <w:t>(</w:t>
      </w:r>
      <w:r w:rsidRPr="005C2511">
        <w:rPr>
          <w:rFonts w:asciiTheme="minorHAnsi" w:hAnsiTheme="minorHAnsi" w:cstheme="minorHAnsi"/>
          <w:b/>
          <w:color w:val="auto"/>
          <w:highlight w:val="yellow"/>
        </w:rPr>
        <w:t>Table 8</w:t>
      </w:r>
      <w:r w:rsidR="00642937" w:rsidRPr="005C2511">
        <w:rPr>
          <w:rFonts w:asciiTheme="minorHAnsi" w:hAnsiTheme="minorHAnsi" w:cstheme="minorHAnsi"/>
          <w:highlight w:val="yellow"/>
        </w:rPr>
        <w:t>).</w:t>
      </w:r>
      <w:r w:rsidRPr="005C2511">
        <w:rPr>
          <w:rFonts w:asciiTheme="minorHAnsi" w:hAnsiTheme="minorHAnsi" w:cstheme="minorHAnsi"/>
          <w:b/>
          <w:highlight w:val="yellow"/>
        </w:rPr>
        <w:t xml:space="preserve"> </w:t>
      </w:r>
      <w:r w:rsidR="001D3C34" w:rsidRPr="005C2511">
        <w:rPr>
          <w:rFonts w:asciiTheme="minorHAnsi" w:hAnsiTheme="minorHAnsi" w:cstheme="minorHAnsi"/>
          <w:highlight w:val="yellow"/>
        </w:rPr>
        <w:t>The</w:t>
      </w:r>
      <w:r w:rsidRPr="005C2511">
        <w:rPr>
          <w:rFonts w:asciiTheme="minorHAnsi" w:hAnsiTheme="minorHAnsi" w:cstheme="minorHAnsi"/>
          <w:highlight w:val="yellow"/>
        </w:rPr>
        <w:t>se</w:t>
      </w:r>
      <w:r w:rsidR="001D3C34" w:rsidRPr="005C2511">
        <w:rPr>
          <w:rFonts w:asciiTheme="minorHAnsi" w:hAnsiTheme="minorHAnsi" w:cstheme="minorHAnsi"/>
          <w:highlight w:val="yellow"/>
        </w:rPr>
        <w:t xml:space="preserve"> doses were determined assuming that a mouse weighs 25</w:t>
      </w:r>
      <w:r w:rsidR="007708BF" w:rsidRPr="005C2511">
        <w:rPr>
          <w:rFonts w:asciiTheme="minorHAnsi" w:hAnsiTheme="minorHAnsi" w:cstheme="minorHAnsi"/>
          <w:i/>
          <w:highlight w:val="yellow"/>
        </w:rPr>
        <w:t xml:space="preserve"> </w:t>
      </w:r>
      <w:r w:rsidR="007708BF" w:rsidRPr="005C2511">
        <w:rPr>
          <w:rFonts w:asciiTheme="minorHAnsi" w:hAnsiTheme="minorHAnsi" w:cstheme="minorHAnsi"/>
          <w:iCs/>
          <w:highlight w:val="yellow"/>
        </w:rPr>
        <w:t xml:space="preserve">g </w:t>
      </w:r>
      <w:r w:rsidR="001D3C34" w:rsidRPr="005C2511">
        <w:rPr>
          <w:rFonts w:asciiTheme="minorHAnsi" w:hAnsiTheme="minorHAnsi" w:cstheme="minorHAnsi"/>
          <w:iCs/>
          <w:highlight w:val="yellow"/>
        </w:rPr>
        <w:t>and eats 4</w:t>
      </w:r>
      <w:r w:rsidR="007708BF" w:rsidRPr="005C2511">
        <w:rPr>
          <w:rFonts w:asciiTheme="minorHAnsi" w:hAnsiTheme="minorHAnsi" w:cstheme="minorHAnsi"/>
          <w:iCs/>
          <w:highlight w:val="yellow"/>
        </w:rPr>
        <w:t xml:space="preserve"> g</w:t>
      </w:r>
      <w:r w:rsidR="007708BF" w:rsidRPr="005C2511">
        <w:rPr>
          <w:rFonts w:asciiTheme="minorHAnsi" w:hAnsiTheme="minorHAnsi" w:cstheme="minorHAnsi"/>
          <w:i/>
          <w:highlight w:val="yellow"/>
        </w:rPr>
        <w:t xml:space="preserve"> </w:t>
      </w:r>
      <w:r w:rsidR="001D3C34" w:rsidRPr="005C2511">
        <w:rPr>
          <w:rFonts w:asciiTheme="minorHAnsi" w:hAnsiTheme="minorHAnsi" w:cstheme="minorHAnsi"/>
          <w:highlight w:val="yellow"/>
        </w:rPr>
        <w:t>of chow per day. This corresponds to a daily dose of 768 mg/kg RAL, 2.88 mg/kg TDF</w:t>
      </w:r>
      <w:r w:rsidR="000B21E1" w:rsidRPr="005C2511">
        <w:rPr>
          <w:rFonts w:asciiTheme="minorHAnsi" w:hAnsiTheme="minorHAnsi" w:cstheme="minorHAnsi"/>
          <w:highlight w:val="yellow"/>
        </w:rPr>
        <w:t>,</w:t>
      </w:r>
      <w:r w:rsidR="001D3C34" w:rsidRPr="005C2511">
        <w:rPr>
          <w:rFonts w:asciiTheme="minorHAnsi" w:hAnsiTheme="minorHAnsi" w:cstheme="minorHAnsi"/>
          <w:highlight w:val="yellow"/>
        </w:rPr>
        <w:t xml:space="preserve"> and 83 mg/kg FTC</w:t>
      </w:r>
      <w:r w:rsidR="00A85CC2" w:rsidRPr="005C2511">
        <w:rPr>
          <w:rFonts w:asciiTheme="minorHAnsi" w:hAnsiTheme="minorHAnsi" w:cstheme="minorHAnsi"/>
          <w:noProof/>
          <w:highlight w:val="yellow"/>
          <w:vertAlign w:val="superscript"/>
        </w:rPr>
        <w:t>21</w:t>
      </w:r>
      <w:r w:rsidR="001D3C34" w:rsidRPr="005C2511">
        <w:rPr>
          <w:rFonts w:asciiTheme="minorHAnsi" w:hAnsiTheme="minorHAnsi" w:cstheme="minorHAnsi"/>
          <w:highlight w:val="yellow"/>
        </w:rPr>
        <w:t>.</w:t>
      </w:r>
    </w:p>
    <w:p w14:paraId="67C76586" w14:textId="77777777" w:rsidR="00B761E8" w:rsidRPr="005C2511" w:rsidRDefault="00B761E8" w:rsidP="00E21748">
      <w:pPr>
        <w:pStyle w:val="ListParagraph"/>
        <w:widowControl/>
        <w:autoSpaceDE/>
        <w:autoSpaceDN/>
        <w:adjustRightInd/>
        <w:snapToGrid w:val="0"/>
        <w:ind w:left="0"/>
        <w:rPr>
          <w:rFonts w:asciiTheme="minorHAnsi" w:hAnsiTheme="minorHAnsi" w:cstheme="minorHAnsi"/>
          <w:highlight w:val="yellow"/>
        </w:rPr>
      </w:pPr>
    </w:p>
    <w:p w14:paraId="3DA31957" w14:textId="26C77FEC" w:rsidR="001D3C34" w:rsidRPr="005C2511" w:rsidRDefault="00E21748" w:rsidP="00E21748">
      <w:pPr>
        <w:pStyle w:val="ListParagraph"/>
        <w:widowControl/>
        <w:numPr>
          <w:ilvl w:val="1"/>
          <w:numId w:val="32"/>
        </w:numPr>
        <w:autoSpaceDE/>
        <w:autoSpaceDN/>
        <w:adjustRightInd/>
        <w:snapToGrid w:val="0"/>
        <w:rPr>
          <w:rFonts w:asciiTheme="minorHAnsi" w:hAnsiTheme="minorHAnsi" w:cstheme="minorHAnsi"/>
          <w:highlight w:val="yellow"/>
        </w:rPr>
      </w:pPr>
      <w:r w:rsidRPr="005C2511">
        <w:rPr>
          <w:rFonts w:asciiTheme="minorHAnsi" w:hAnsiTheme="minorHAnsi" w:cstheme="minorHAnsi"/>
          <w:highlight w:val="yellow"/>
          <w:lang w:eastAsia="da-DK"/>
        </w:rPr>
        <w:t xml:space="preserve">Use a </w:t>
      </w:r>
      <w:proofErr w:type="spellStart"/>
      <w:r w:rsidR="001D3C34" w:rsidRPr="005C2511">
        <w:rPr>
          <w:rFonts w:asciiTheme="minorHAnsi" w:hAnsiTheme="minorHAnsi" w:cstheme="minorHAnsi"/>
          <w:highlight w:val="yellow"/>
          <w:lang w:eastAsia="da-DK"/>
        </w:rPr>
        <w:t>cART</w:t>
      </w:r>
      <w:proofErr w:type="spellEnd"/>
      <w:r w:rsidR="001D3C34" w:rsidRPr="005C2511">
        <w:rPr>
          <w:rFonts w:asciiTheme="minorHAnsi" w:hAnsiTheme="minorHAnsi" w:cstheme="minorHAnsi"/>
          <w:highlight w:val="yellow"/>
          <w:lang w:eastAsia="da-DK"/>
        </w:rPr>
        <w:t xml:space="preserve"> diet </w:t>
      </w:r>
      <w:r w:rsidRPr="005C2511">
        <w:rPr>
          <w:rFonts w:asciiTheme="minorHAnsi" w:hAnsiTheme="minorHAnsi" w:cstheme="minorHAnsi"/>
          <w:highlight w:val="yellow"/>
          <w:lang w:eastAsia="da-DK"/>
        </w:rPr>
        <w:t xml:space="preserve">that has been </w:t>
      </w:r>
      <w:r w:rsidR="001D3C34" w:rsidRPr="005C2511">
        <w:rPr>
          <w:rFonts w:asciiTheme="minorHAnsi" w:hAnsiTheme="minorHAnsi" w:cstheme="minorHAnsi"/>
          <w:highlight w:val="yellow"/>
          <w:lang w:eastAsia="da-DK"/>
        </w:rPr>
        <w:t>pre</w:t>
      </w:r>
      <w:r w:rsidR="00936C2E" w:rsidRPr="005C2511">
        <w:rPr>
          <w:rFonts w:asciiTheme="minorHAnsi" w:hAnsiTheme="minorHAnsi" w:cstheme="minorHAnsi"/>
          <w:highlight w:val="yellow"/>
          <w:lang w:eastAsia="da-DK"/>
        </w:rPr>
        <w:t xml:space="preserve">pared by </w:t>
      </w:r>
      <w:r w:rsidR="007706DA" w:rsidRPr="005C2511">
        <w:rPr>
          <w:rFonts w:asciiTheme="minorHAnsi" w:hAnsiTheme="minorHAnsi" w:cstheme="minorHAnsi"/>
          <w:highlight w:val="yellow"/>
          <w:lang w:eastAsia="da-DK"/>
        </w:rPr>
        <w:t xml:space="preserve">an external </w:t>
      </w:r>
      <w:r w:rsidR="00CC0544" w:rsidRPr="005C2511">
        <w:rPr>
          <w:rFonts w:asciiTheme="minorHAnsi" w:hAnsiTheme="minorHAnsi" w:cstheme="minorHAnsi"/>
          <w:highlight w:val="yellow"/>
          <w:lang w:eastAsia="da-DK"/>
        </w:rPr>
        <w:t xml:space="preserve">vendor </w:t>
      </w:r>
      <w:r w:rsidR="007706DA" w:rsidRPr="005C2511">
        <w:rPr>
          <w:rFonts w:asciiTheme="minorHAnsi" w:hAnsiTheme="minorHAnsi" w:cstheme="minorHAnsi"/>
          <w:highlight w:val="yellow"/>
          <w:lang w:eastAsia="da-DK"/>
        </w:rPr>
        <w:t xml:space="preserve">(See </w:t>
      </w:r>
      <w:r w:rsidRPr="005C2511">
        <w:rPr>
          <w:b/>
          <w:highlight w:val="yellow"/>
        </w:rPr>
        <w:t>Table of Materials</w:t>
      </w:r>
      <w:r w:rsidR="007706DA" w:rsidRPr="005C2511">
        <w:rPr>
          <w:rFonts w:asciiTheme="minorHAnsi" w:hAnsiTheme="minorHAnsi" w:cstheme="minorHAnsi"/>
          <w:highlight w:val="yellow"/>
          <w:lang w:eastAsia="da-DK"/>
        </w:rPr>
        <w:t xml:space="preserve">) </w:t>
      </w:r>
      <w:r w:rsidR="001E5F8B" w:rsidRPr="005C2511">
        <w:rPr>
          <w:rFonts w:asciiTheme="minorHAnsi" w:hAnsiTheme="minorHAnsi" w:cstheme="minorHAnsi"/>
          <w:highlight w:val="yellow"/>
          <w:lang w:eastAsia="da-DK"/>
        </w:rPr>
        <w:t xml:space="preserve">of </w:t>
      </w:r>
      <w:r w:rsidR="001D3C34" w:rsidRPr="005C2511">
        <w:rPr>
          <w:rFonts w:asciiTheme="minorHAnsi" w:hAnsiTheme="minorHAnsi" w:cstheme="minorHAnsi"/>
          <w:highlight w:val="yellow"/>
          <w:lang w:eastAsia="da-DK"/>
        </w:rPr>
        <w:t>prescription drugs</w:t>
      </w:r>
      <w:r w:rsidR="00CC0544" w:rsidRPr="005C2511">
        <w:rPr>
          <w:rFonts w:asciiTheme="minorHAnsi" w:hAnsiTheme="minorHAnsi" w:cstheme="minorHAnsi"/>
          <w:highlight w:val="yellow"/>
          <w:lang w:eastAsia="da-DK"/>
        </w:rPr>
        <w:t>. O</w:t>
      </w:r>
      <w:r w:rsidR="001D3C34" w:rsidRPr="005C2511">
        <w:rPr>
          <w:rFonts w:asciiTheme="minorHAnsi" w:hAnsiTheme="minorHAnsi" w:cstheme="minorHAnsi"/>
          <w:highlight w:val="yellow"/>
          <w:lang w:eastAsia="da-DK"/>
        </w:rPr>
        <w:t xml:space="preserve">ther companies could potentially also produce this regimen. </w:t>
      </w:r>
      <w:r w:rsidRPr="005C2511">
        <w:rPr>
          <w:rFonts w:asciiTheme="minorHAnsi" w:hAnsiTheme="minorHAnsi" w:cstheme="minorHAnsi"/>
          <w:highlight w:val="yellow"/>
          <w:lang w:eastAsia="da-DK"/>
        </w:rPr>
        <w:t xml:space="preserve">Use a </w:t>
      </w:r>
      <w:proofErr w:type="spellStart"/>
      <w:r w:rsidR="001D3C34" w:rsidRPr="005C2511">
        <w:rPr>
          <w:rFonts w:asciiTheme="minorHAnsi" w:hAnsiTheme="minorHAnsi" w:cstheme="minorHAnsi"/>
          <w:highlight w:val="yellow"/>
          <w:lang w:eastAsia="da-DK"/>
        </w:rPr>
        <w:t>cART</w:t>
      </w:r>
      <w:proofErr w:type="spellEnd"/>
      <w:r w:rsidR="001D3C34" w:rsidRPr="005C2511">
        <w:rPr>
          <w:rFonts w:asciiTheme="minorHAnsi" w:hAnsiTheme="minorHAnsi" w:cstheme="minorHAnsi"/>
          <w:highlight w:val="yellow"/>
          <w:lang w:eastAsia="da-DK"/>
        </w:rPr>
        <w:t xml:space="preserve"> diet </w:t>
      </w:r>
      <w:r w:rsidR="001E5F8B" w:rsidRPr="005C2511">
        <w:rPr>
          <w:rFonts w:asciiTheme="minorHAnsi" w:hAnsiTheme="minorHAnsi" w:cstheme="minorHAnsi"/>
          <w:highlight w:val="yellow"/>
          <w:lang w:eastAsia="da-DK"/>
        </w:rPr>
        <w:t xml:space="preserve">colored </w:t>
      </w:r>
      <w:r w:rsidR="001D3C34" w:rsidRPr="005C2511">
        <w:rPr>
          <w:rFonts w:asciiTheme="minorHAnsi" w:hAnsiTheme="minorHAnsi" w:cstheme="minorHAnsi"/>
          <w:highlight w:val="yellow"/>
          <w:lang w:eastAsia="da-DK"/>
        </w:rPr>
        <w:t xml:space="preserve">red to easily distinguish it from ordinary mouse chow. </w:t>
      </w:r>
    </w:p>
    <w:p w14:paraId="4767AAE1" w14:textId="77777777" w:rsidR="00B761E8" w:rsidRPr="005C2511" w:rsidRDefault="00B761E8" w:rsidP="00E21748">
      <w:pPr>
        <w:pStyle w:val="ListParagraph"/>
        <w:widowControl/>
        <w:autoSpaceDE/>
        <w:autoSpaceDN/>
        <w:adjustRightInd/>
        <w:snapToGrid w:val="0"/>
        <w:ind w:left="0"/>
        <w:jc w:val="left"/>
        <w:rPr>
          <w:highlight w:val="yellow"/>
        </w:rPr>
      </w:pPr>
    </w:p>
    <w:p w14:paraId="350FF3A6" w14:textId="2DD63F76" w:rsidR="001D3C34" w:rsidRPr="003E1E1C" w:rsidRDefault="00E21748" w:rsidP="00E21748">
      <w:pPr>
        <w:pStyle w:val="ListParagraph"/>
        <w:widowControl/>
        <w:numPr>
          <w:ilvl w:val="2"/>
          <w:numId w:val="32"/>
        </w:numPr>
        <w:autoSpaceDE/>
        <w:autoSpaceDN/>
        <w:adjustRightInd/>
        <w:snapToGrid w:val="0"/>
        <w:rPr>
          <w:rFonts w:asciiTheme="minorHAnsi" w:hAnsiTheme="minorHAnsi" w:cstheme="minorHAnsi"/>
          <w:highlight w:val="yellow"/>
        </w:rPr>
      </w:pPr>
      <w:r w:rsidRPr="005C2511">
        <w:rPr>
          <w:rFonts w:asciiTheme="minorHAnsi" w:hAnsiTheme="minorHAnsi" w:cstheme="minorHAnsi"/>
          <w:highlight w:val="yellow"/>
          <w:lang w:eastAsia="da-DK"/>
        </w:rPr>
        <w:t xml:space="preserve">Produce </w:t>
      </w:r>
      <w:r w:rsidR="000B21E1" w:rsidRPr="005C2511">
        <w:rPr>
          <w:rFonts w:asciiTheme="minorHAnsi" w:hAnsiTheme="minorHAnsi" w:cstheme="minorHAnsi"/>
          <w:highlight w:val="yellow"/>
          <w:lang w:eastAsia="da-DK"/>
        </w:rPr>
        <w:t xml:space="preserve">a </w:t>
      </w:r>
      <w:r w:rsidRPr="005C2511">
        <w:rPr>
          <w:rFonts w:asciiTheme="minorHAnsi" w:hAnsiTheme="minorHAnsi" w:cstheme="minorHAnsi"/>
          <w:highlight w:val="yellow"/>
          <w:lang w:eastAsia="da-DK"/>
        </w:rPr>
        <w:t>c</w:t>
      </w:r>
      <w:r w:rsidR="001D3C34" w:rsidRPr="005C2511">
        <w:rPr>
          <w:rFonts w:asciiTheme="minorHAnsi" w:hAnsiTheme="minorHAnsi" w:cstheme="minorHAnsi"/>
          <w:highlight w:val="yellow"/>
          <w:lang w:eastAsia="da-DK"/>
        </w:rPr>
        <w:t xml:space="preserve">ontrol chow diet without </w:t>
      </w:r>
      <w:proofErr w:type="spellStart"/>
      <w:r w:rsidR="001D3C34" w:rsidRPr="005C2511">
        <w:rPr>
          <w:rFonts w:asciiTheme="minorHAnsi" w:hAnsiTheme="minorHAnsi" w:cstheme="minorHAnsi"/>
          <w:highlight w:val="yellow"/>
          <w:lang w:eastAsia="da-DK"/>
        </w:rPr>
        <w:t>cART</w:t>
      </w:r>
      <w:proofErr w:type="spellEnd"/>
      <w:r w:rsidR="001D3C34" w:rsidRPr="005C2511">
        <w:rPr>
          <w:rFonts w:asciiTheme="minorHAnsi" w:hAnsiTheme="minorHAnsi" w:cstheme="minorHAnsi"/>
          <w:highlight w:val="yellow"/>
          <w:lang w:eastAsia="da-DK"/>
        </w:rPr>
        <w:t xml:space="preserve"> in a stan</w:t>
      </w:r>
      <w:r w:rsidR="001D3C34" w:rsidRPr="003E1E1C">
        <w:rPr>
          <w:rFonts w:asciiTheme="minorHAnsi" w:hAnsiTheme="minorHAnsi" w:cstheme="minorHAnsi"/>
          <w:highlight w:val="yellow"/>
          <w:lang w:eastAsia="da-DK"/>
        </w:rPr>
        <w:t>dard brown color for easy distinction.</w:t>
      </w:r>
    </w:p>
    <w:p w14:paraId="7A4187A9" w14:textId="77777777" w:rsidR="00B761E8" w:rsidRDefault="00B761E8" w:rsidP="00E21748">
      <w:pPr>
        <w:pStyle w:val="ListParagraph"/>
        <w:widowControl/>
        <w:autoSpaceDE/>
        <w:autoSpaceDN/>
        <w:adjustRightInd/>
        <w:snapToGrid w:val="0"/>
        <w:ind w:left="0"/>
        <w:rPr>
          <w:rFonts w:asciiTheme="minorHAnsi" w:hAnsiTheme="minorHAnsi" w:cstheme="minorHAnsi"/>
          <w:highlight w:val="yellow"/>
        </w:rPr>
      </w:pPr>
    </w:p>
    <w:p w14:paraId="4003075D" w14:textId="78C1834C" w:rsidR="001D3C34" w:rsidRDefault="001D3C34" w:rsidP="00E21748">
      <w:pPr>
        <w:pStyle w:val="ListParagraph"/>
        <w:widowControl/>
        <w:numPr>
          <w:ilvl w:val="1"/>
          <w:numId w:val="32"/>
        </w:numPr>
        <w:autoSpaceDE/>
        <w:autoSpaceDN/>
        <w:adjustRightInd/>
        <w:snapToGrid w:val="0"/>
        <w:rPr>
          <w:rFonts w:asciiTheme="minorHAnsi" w:hAnsiTheme="minorHAnsi" w:cstheme="minorHAnsi"/>
          <w:highlight w:val="yellow"/>
        </w:rPr>
      </w:pPr>
      <w:r w:rsidRPr="003E1E1C">
        <w:rPr>
          <w:rFonts w:asciiTheme="minorHAnsi" w:hAnsiTheme="minorHAnsi" w:cstheme="minorHAnsi"/>
          <w:highlight w:val="yellow"/>
          <w:lang w:eastAsia="da-DK"/>
        </w:rPr>
        <w:t xml:space="preserve">For initiation of </w:t>
      </w:r>
      <w:proofErr w:type="spellStart"/>
      <w:r w:rsidRPr="003E1E1C">
        <w:rPr>
          <w:rFonts w:asciiTheme="minorHAnsi" w:hAnsiTheme="minorHAnsi" w:cstheme="minorHAnsi"/>
          <w:highlight w:val="yellow"/>
          <w:lang w:eastAsia="da-DK"/>
        </w:rPr>
        <w:t>cART</w:t>
      </w:r>
      <w:proofErr w:type="spellEnd"/>
      <w:r w:rsidRPr="003E1E1C">
        <w:rPr>
          <w:rFonts w:asciiTheme="minorHAnsi" w:hAnsiTheme="minorHAnsi" w:cstheme="minorHAnsi"/>
          <w:highlight w:val="yellow"/>
          <w:lang w:eastAsia="da-DK"/>
        </w:rPr>
        <w:t xml:space="preserve">, </w:t>
      </w:r>
      <w:r w:rsidR="00E21748">
        <w:rPr>
          <w:rFonts w:asciiTheme="minorHAnsi" w:hAnsiTheme="minorHAnsi" w:cstheme="minorHAnsi"/>
          <w:highlight w:val="yellow"/>
          <w:lang w:eastAsia="da-DK"/>
        </w:rPr>
        <w:t xml:space="preserve">prepare </w:t>
      </w:r>
      <w:r w:rsidRPr="003E1E1C">
        <w:rPr>
          <w:rFonts w:asciiTheme="minorHAnsi" w:hAnsiTheme="minorHAnsi" w:cstheme="minorHAnsi"/>
          <w:highlight w:val="yellow"/>
          <w:lang w:eastAsia="da-DK"/>
        </w:rPr>
        <w:t>sterile mouse cages</w:t>
      </w:r>
      <w:r w:rsidR="00CC0544" w:rsidRPr="003E1E1C">
        <w:rPr>
          <w:rFonts w:asciiTheme="minorHAnsi" w:hAnsiTheme="minorHAnsi" w:cstheme="minorHAnsi"/>
          <w:highlight w:val="yellow"/>
          <w:lang w:eastAsia="da-DK"/>
        </w:rPr>
        <w:t xml:space="preserve"> </w:t>
      </w:r>
      <w:r w:rsidRPr="003E1E1C">
        <w:rPr>
          <w:rFonts w:asciiTheme="minorHAnsi" w:hAnsiTheme="minorHAnsi" w:cstheme="minorHAnsi"/>
          <w:highlight w:val="yellow"/>
          <w:lang w:eastAsia="da-DK"/>
        </w:rPr>
        <w:t>with</w:t>
      </w:r>
      <w:r w:rsidR="00CC0544">
        <w:rPr>
          <w:rFonts w:asciiTheme="minorHAnsi" w:hAnsiTheme="minorHAnsi" w:cstheme="minorHAnsi"/>
          <w:highlight w:val="yellow"/>
          <w:lang w:eastAsia="da-DK"/>
        </w:rPr>
        <w:t xml:space="preserve"> the addition of</w:t>
      </w:r>
      <w:r w:rsidRPr="003E1E1C">
        <w:rPr>
          <w:rFonts w:asciiTheme="minorHAnsi" w:hAnsiTheme="minorHAnsi" w:cstheme="minorHAnsi"/>
          <w:highlight w:val="yellow"/>
          <w:lang w:eastAsia="da-DK"/>
        </w:rPr>
        <w:t xml:space="preserve"> </w:t>
      </w:r>
      <w:proofErr w:type="spellStart"/>
      <w:r w:rsidRPr="003E1E1C">
        <w:rPr>
          <w:rFonts w:asciiTheme="minorHAnsi" w:hAnsiTheme="minorHAnsi" w:cstheme="minorHAnsi"/>
          <w:highlight w:val="yellow"/>
          <w:lang w:eastAsia="da-DK"/>
        </w:rPr>
        <w:t>cART</w:t>
      </w:r>
      <w:proofErr w:type="spellEnd"/>
      <w:r w:rsidRPr="003E1E1C">
        <w:rPr>
          <w:rFonts w:asciiTheme="minorHAnsi" w:hAnsiTheme="minorHAnsi" w:cstheme="minorHAnsi"/>
          <w:highlight w:val="yellow"/>
          <w:lang w:eastAsia="da-DK"/>
        </w:rPr>
        <w:t xml:space="preserve">-containing chow diet, and </w:t>
      </w:r>
      <w:r w:rsidR="00CC0544">
        <w:rPr>
          <w:rFonts w:asciiTheme="minorHAnsi" w:hAnsiTheme="minorHAnsi" w:cstheme="minorHAnsi"/>
          <w:highlight w:val="yellow"/>
          <w:lang w:eastAsia="da-DK"/>
        </w:rPr>
        <w:t xml:space="preserve">then </w:t>
      </w:r>
      <w:r w:rsidR="00E21748">
        <w:rPr>
          <w:rFonts w:asciiTheme="minorHAnsi" w:hAnsiTheme="minorHAnsi" w:cstheme="minorHAnsi"/>
          <w:highlight w:val="yellow"/>
          <w:lang w:eastAsia="da-DK"/>
        </w:rPr>
        <w:t xml:space="preserve">transfer </w:t>
      </w:r>
      <w:r w:rsidR="000B21E1">
        <w:rPr>
          <w:rFonts w:asciiTheme="minorHAnsi" w:hAnsiTheme="minorHAnsi" w:cstheme="minorHAnsi"/>
          <w:highlight w:val="yellow"/>
          <w:lang w:eastAsia="da-DK"/>
        </w:rPr>
        <w:t xml:space="preserve">the </w:t>
      </w:r>
      <w:r w:rsidRPr="003E1E1C">
        <w:rPr>
          <w:rFonts w:asciiTheme="minorHAnsi" w:hAnsiTheme="minorHAnsi" w:cstheme="minorHAnsi"/>
          <w:highlight w:val="yellow"/>
          <w:lang w:eastAsia="da-DK"/>
        </w:rPr>
        <w:t xml:space="preserve">mice from the old cage to the new cage. </w:t>
      </w:r>
    </w:p>
    <w:p w14:paraId="54779C2D" w14:textId="77777777" w:rsidR="00B761E8" w:rsidRPr="003E1E1C" w:rsidRDefault="00B761E8" w:rsidP="00E21748">
      <w:pPr>
        <w:pStyle w:val="ListParagraph"/>
        <w:widowControl/>
        <w:autoSpaceDE/>
        <w:autoSpaceDN/>
        <w:adjustRightInd/>
        <w:snapToGrid w:val="0"/>
        <w:ind w:left="0"/>
        <w:rPr>
          <w:rFonts w:asciiTheme="minorHAnsi" w:hAnsiTheme="minorHAnsi" w:cstheme="minorHAnsi"/>
          <w:highlight w:val="yellow"/>
        </w:rPr>
      </w:pPr>
    </w:p>
    <w:p w14:paraId="4F3E4F61" w14:textId="24AF5DBB" w:rsidR="001D3C34" w:rsidRPr="005A383A" w:rsidRDefault="001D3C34" w:rsidP="00E21748">
      <w:pPr>
        <w:pStyle w:val="ListParagraph"/>
        <w:widowControl/>
        <w:numPr>
          <w:ilvl w:val="2"/>
          <w:numId w:val="32"/>
        </w:numPr>
        <w:autoSpaceDE/>
        <w:autoSpaceDN/>
        <w:adjustRightInd/>
        <w:snapToGrid w:val="0"/>
        <w:rPr>
          <w:rFonts w:asciiTheme="minorHAnsi" w:hAnsiTheme="minorHAnsi" w:cstheme="minorHAnsi"/>
          <w:highlight w:val="yellow"/>
        </w:rPr>
      </w:pPr>
      <w:r w:rsidRPr="005A383A">
        <w:rPr>
          <w:rFonts w:asciiTheme="minorHAnsi" w:hAnsiTheme="minorHAnsi" w:cstheme="minorHAnsi"/>
          <w:highlight w:val="yellow"/>
          <w:lang w:eastAsia="da-DK"/>
        </w:rPr>
        <w:t xml:space="preserve">Monitor </w:t>
      </w:r>
      <w:r w:rsidR="000B21E1">
        <w:rPr>
          <w:rFonts w:asciiTheme="minorHAnsi" w:hAnsiTheme="minorHAnsi" w:cstheme="minorHAnsi"/>
          <w:highlight w:val="yellow"/>
          <w:lang w:eastAsia="da-DK"/>
        </w:rPr>
        <w:t xml:space="preserve">the </w:t>
      </w:r>
      <w:r w:rsidRPr="005A383A">
        <w:rPr>
          <w:rFonts w:asciiTheme="minorHAnsi" w:hAnsiTheme="minorHAnsi" w:cstheme="minorHAnsi"/>
          <w:highlight w:val="yellow"/>
          <w:lang w:eastAsia="da-DK"/>
        </w:rPr>
        <w:t xml:space="preserve">weights of the mice and consumption of </w:t>
      </w:r>
      <w:proofErr w:type="spellStart"/>
      <w:r w:rsidRPr="005A383A">
        <w:rPr>
          <w:rFonts w:asciiTheme="minorHAnsi" w:hAnsiTheme="minorHAnsi" w:cstheme="minorHAnsi"/>
          <w:highlight w:val="yellow"/>
          <w:lang w:eastAsia="da-DK"/>
        </w:rPr>
        <w:t>cART</w:t>
      </w:r>
      <w:proofErr w:type="spellEnd"/>
      <w:r w:rsidRPr="005A383A">
        <w:rPr>
          <w:rFonts w:asciiTheme="minorHAnsi" w:hAnsiTheme="minorHAnsi" w:cstheme="minorHAnsi"/>
          <w:highlight w:val="yellow"/>
          <w:lang w:eastAsia="da-DK"/>
        </w:rPr>
        <w:t>-containing chow by visual inspection to ensure that the mice are adjusting to the change.</w:t>
      </w:r>
    </w:p>
    <w:p w14:paraId="673DC43C" w14:textId="3CED97AA" w:rsidR="00D23CF0" w:rsidRPr="005A383A" w:rsidRDefault="00D23CF0" w:rsidP="00E21748">
      <w:pPr>
        <w:snapToGrid w:val="0"/>
        <w:contextualSpacing/>
        <w:rPr>
          <w:rFonts w:asciiTheme="minorHAnsi" w:hAnsiTheme="minorHAnsi" w:cstheme="minorHAnsi"/>
        </w:rPr>
      </w:pPr>
    </w:p>
    <w:p w14:paraId="3E79FCA8" w14:textId="71BD67A5" w:rsidR="006305D7" w:rsidRPr="00D51A26" w:rsidRDefault="006305D7" w:rsidP="00E21748">
      <w:pPr>
        <w:pStyle w:val="NormalWeb"/>
        <w:snapToGrid w:val="0"/>
        <w:spacing w:before="0" w:beforeAutospacing="0" w:after="0" w:afterAutospacing="0"/>
        <w:contextualSpacing/>
        <w:rPr>
          <w:rFonts w:asciiTheme="minorHAnsi" w:hAnsiTheme="minorHAnsi" w:cstheme="minorHAnsi"/>
          <w:color w:val="808080"/>
        </w:rPr>
      </w:pPr>
      <w:r w:rsidRPr="00D51A26">
        <w:rPr>
          <w:rFonts w:asciiTheme="minorHAnsi" w:hAnsiTheme="minorHAnsi" w:cstheme="minorHAnsi"/>
          <w:b/>
        </w:rPr>
        <w:t>REPRESENTATIVE RESULTS</w:t>
      </w:r>
      <w:r w:rsidR="00EF1462" w:rsidRPr="00D51A26">
        <w:rPr>
          <w:rFonts w:asciiTheme="minorHAnsi" w:hAnsiTheme="minorHAnsi" w:cstheme="minorHAnsi"/>
          <w:b/>
        </w:rPr>
        <w:t>:</w:t>
      </w:r>
    </w:p>
    <w:p w14:paraId="7FAA251C" w14:textId="2A18A1BD" w:rsidR="001D3C34" w:rsidRPr="00E21748" w:rsidRDefault="000B21E1" w:rsidP="00E21748">
      <w:pPr>
        <w:snapToGrid w:val="0"/>
        <w:contextualSpacing/>
        <w:rPr>
          <w:rFonts w:asciiTheme="minorHAnsi" w:hAnsiTheme="minorHAnsi" w:cstheme="minorHAnsi"/>
        </w:rPr>
      </w:pPr>
      <w:r>
        <w:rPr>
          <w:rFonts w:asciiTheme="minorHAnsi" w:hAnsiTheme="minorHAnsi" w:cstheme="minorHAnsi"/>
          <w:lang w:eastAsia="da-DK"/>
        </w:rPr>
        <w:t>The g</w:t>
      </w:r>
      <w:r w:rsidR="001D3C34" w:rsidRPr="00E527EE">
        <w:rPr>
          <w:rFonts w:asciiTheme="minorHAnsi" w:hAnsiTheme="minorHAnsi" w:cstheme="minorHAnsi"/>
          <w:lang w:eastAsia="da-DK"/>
        </w:rPr>
        <w:t xml:space="preserve">ating strategy for </w:t>
      </w:r>
      <w:r>
        <w:rPr>
          <w:rFonts w:asciiTheme="minorHAnsi" w:hAnsiTheme="minorHAnsi" w:cstheme="minorHAnsi"/>
          <w:lang w:eastAsia="da-DK"/>
        </w:rPr>
        <w:t xml:space="preserve">the </w:t>
      </w:r>
      <w:r w:rsidR="001D3C34" w:rsidRPr="00E527EE">
        <w:rPr>
          <w:rFonts w:asciiTheme="minorHAnsi" w:hAnsiTheme="minorHAnsi" w:cstheme="minorHAnsi"/>
          <w:lang w:eastAsia="da-DK"/>
        </w:rPr>
        <w:t xml:space="preserve">analysis of </w:t>
      </w:r>
      <w:r w:rsidR="001D3C34" w:rsidRPr="00E21748">
        <w:rPr>
          <w:rFonts w:asciiTheme="minorHAnsi" w:hAnsiTheme="minorHAnsi" w:cstheme="minorHAnsi"/>
          <w:lang w:eastAsia="da-DK"/>
        </w:rPr>
        <w:t xml:space="preserve">stem cell purity is depicted in </w:t>
      </w:r>
      <w:r w:rsidR="00E21748" w:rsidRPr="00E21748">
        <w:rPr>
          <w:rFonts w:asciiTheme="minorHAnsi" w:hAnsiTheme="minorHAnsi" w:cstheme="minorHAnsi"/>
          <w:b/>
          <w:lang w:eastAsia="da-DK"/>
        </w:rPr>
        <w:t>Figure 1</w:t>
      </w:r>
      <w:r w:rsidR="001D3C34" w:rsidRPr="00E21748">
        <w:rPr>
          <w:rFonts w:asciiTheme="minorHAnsi" w:hAnsiTheme="minorHAnsi" w:cstheme="minorHAnsi"/>
          <w:lang w:eastAsia="da-DK"/>
        </w:rPr>
        <w:t xml:space="preserve">. </w:t>
      </w:r>
      <w:r w:rsidR="00E21748" w:rsidRPr="00E21748">
        <w:rPr>
          <w:rFonts w:asciiTheme="minorHAnsi" w:hAnsiTheme="minorHAnsi" w:cstheme="minorHAnsi"/>
          <w:b/>
          <w:lang w:eastAsia="da-DK"/>
        </w:rPr>
        <w:t>Figure 1A</w:t>
      </w:r>
      <w:r w:rsidRPr="005C2511">
        <w:rPr>
          <w:rFonts w:asciiTheme="minorHAnsi" w:hAnsiTheme="minorHAnsi" w:cstheme="minorHAnsi"/>
          <w:lang w:eastAsia="da-DK"/>
        </w:rPr>
        <w:t>–</w:t>
      </w:r>
      <w:r w:rsidR="001D3C34" w:rsidRPr="000F7575">
        <w:rPr>
          <w:rFonts w:asciiTheme="minorHAnsi" w:hAnsiTheme="minorHAnsi" w:cstheme="minorHAnsi"/>
          <w:b/>
          <w:bCs/>
          <w:lang w:eastAsia="da-DK"/>
        </w:rPr>
        <w:t>C</w:t>
      </w:r>
      <w:r w:rsidR="001D3C34" w:rsidRPr="00E21748">
        <w:rPr>
          <w:rFonts w:asciiTheme="minorHAnsi" w:hAnsiTheme="minorHAnsi" w:cstheme="minorHAnsi"/>
          <w:lang w:eastAsia="da-DK"/>
        </w:rPr>
        <w:t xml:space="preserve"> show</w:t>
      </w:r>
      <w:r w:rsidR="005C2511">
        <w:rPr>
          <w:rFonts w:asciiTheme="minorHAnsi" w:hAnsiTheme="minorHAnsi" w:cstheme="minorHAnsi"/>
          <w:lang w:eastAsia="da-DK"/>
        </w:rPr>
        <w:t>s</w:t>
      </w:r>
      <w:bookmarkStart w:id="0" w:name="_GoBack"/>
      <w:bookmarkEnd w:id="0"/>
      <w:r w:rsidR="008507BE">
        <w:rPr>
          <w:rFonts w:asciiTheme="minorHAnsi" w:hAnsiTheme="minorHAnsi" w:cstheme="minorHAnsi"/>
          <w:lang w:eastAsia="da-DK"/>
        </w:rPr>
        <w:t xml:space="preserve"> </w:t>
      </w:r>
      <w:r w:rsidR="001D3C34" w:rsidRPr="00E21748">
        <w:rPr>
          <w:rFonts w:asciiTheme="minorHAnsi" w:hAnsiTheme="minorHAnsi" w:cstheme="minorHAnsi"/>
          <w:lang w:eastAsia="da-DK"/>
        </w:rPr>
        <w:t xml:space="preserve">the purified CD34+ population and </w:t>
      </w:r>
      <w:r w:rsidR="00E21748" w:rsidRPr="00E21748">
        <w:rPr>
          <w:rFonts w:asciiTheme="minorHAnsi" w:hAnsiTheme="minorHAnsi" w:cstheme="minorHAnsi"/>
          <w:b/>
          <w:lang w:eastAsia="da-DK"/>
        </w:rPr>
        <w:t>Figure 1D</w:t>
      </w:r>
      <w:r w:rsidRPr="005C2511">
        <w:rPr>
          <w:rFonts w:asciiTheme="minorHAnsi" w:hAnsiTheme="minorHAnsi" w:cstheme="minorHAnsi"/>
          <w:lang w:eastAsia="da-DK"/>
        </w:rPr>
        <w:t>–</w:t>
      </w:r>
      <w:r w:rsidR="001D3C34" w:rsidRPr="000F7575">
        <w:rPr>
          <w:rFonts w:asciiTheme="minorHAnsi" w:hAnsiTheme="minorHAnsi" w:cstheme="minorHAnsi"/>
          <w:b/>
          <w:bCs/>
          <w:lang w:eastAsia="da-DK"/>
        </w:rPr>
        <w:t>F</w:t>
      </w:r>
      <w:r w:rsidR="001D3C34" w:rsidRPr="00E21748">
        <w:rPr>
          <w:rFonts w:asciiTheme="minorHAnsi" w:hAnsiTheme="minorHAnsi" w:cstheme="minorHAnsi"/>
          <w:lang w:eastAsia="da-DK"/>
        </w:rPr>
        <w:t xml:space="preserve"> the </w:t>
      </w:r>
      <w:r w:rsidR="00083277">
        <w:rPr>
          <w:rFonts w:asciiTheme="minorHAnsi" w:hAnsiTheme="minorHAnsi" w:cstheme="minorHAnsi"/>
          <w:lang w:eastAsia="da-DK"/>
        </w:rPr>
        <w:t>CD34-</w:t>
      </w:r>
      <w:r w:rsidR="001D3C34" w:rsidRPr="00E21748">
        <w:rPr>
          <w:rFonts w:asciiTheme="minorHAnsi" w:hAnsiTheme="minorHAnsi" w:cstheme="minorHAnsi"/>
          <w:lang w:eastAsia="da-DK"/>
        </w:rPr>
        <w:t xml:space="preserve"> flow-through used to illustrate that </w:t>
      </w:r>
      <w:r>
        <w:rPr>
          <w:rFonts w:asciiTheme="minorHAnsi" w:hAnsiTheme="minorHAnsi" w:cstheme="minorHAnsi"/>
          <w:lang w:eastAsia="da-DK"/>
        </w:rPr>
        <w:t xml:space="preserve">the </w:t>
      </w:r>
      <w:r w:rsidR="001D3C34" w:rsidRPr="00E21748">
        <w:rPr>
          <w:rFonts w:asciiTheme="minorHAnsi" w:hAnsiTheme="minorHAnsi" w:cstheme="minorHAnsi"/>
          <w:lang w:eastAsia="da-DK"/>
        </w:rPr>
        <w:t xml:space="preserve">minimal amount of the CD34+ population is lost in the isolation process. </w:t>
      </w:r>
      <w:r>
        <w:rPr>
          <w:rFonts w:asciiTheme="minorHAnsi" w:hAnsiTheme="minorHAnsi" w:cstheme="minorHAnsi"/>
          <w:lang w:eastAsia="da-DK"/>
        </w:rPr>
        <w:t>The p</w:t>
      </w:r>
      <w:r w:rsidR="001D3C34" w:rsidRPr="00E21748">
        <w:rPr>
          <w:rFonts w:asciiTheme="minorHAnsi" w:hAnsiTheme="minorHAnsi" w:cstheme="minorHAnsi"/>
          <w:lang w:eastAsia="da-DK"/>
        </w:rPr>
        <w:t xml:space="preserve">urity of isolated CD34+ stem cells was between </w:t>
      </w:r>
      <w:r w:rsidR="00E21748" w:rsidRPr="00E21748">
        <w:rPr>
          <w:rFonts w:asciiTheme="minorHAnsi" w:hAnsiTheme="minorHAnsi" w:cstheme="minorHAnsi"/>
          <w:lang w:eastAsia="da-DK"/>
        </w:rPr>
        <w:t>85</w:t>
      </w:r>
      <w:r w:rsidR="00E21748">
        <w:rPr>
          <w:rFonts w:asciiTheme="minorHAnsi" w:hAnsiTheme="minorHAnsi" w:cstheme="minorHAnsi"/>
          <w:lang w:eastAsia="da-DK"/>
        </w:rPr>
        <w:t>%–</w:t>
      </w:r>
      <w:r w:rsidR="00E21748" w:rsidRPr="00E21748">
        <w:rPr>
          <w:rFonts w:asciiTheme="minorHAnsi" w:hAnsiTheme="minorHAnsi" w:cstheme="minorHAnsi"/>
          <w:lang w:eastAsia="da-DK"/>
        </w:rPr>
        <w:t>95</w:t>
      </w:r>
      <w:r w:rsidR="00E21748">
        <w:rPr>
          <w:rFonts w:asciiTheme="minorHAnsi" w:hAnsiTheme="minorHAnsi" w:cstheme="minorHAnsi"/>
          <w:lang w:eastAsia="da-DK"/>
        </w:rPr>
        <w:t>%</w:t>
      </w:r>
      <w:r w:rsidR="001D3C34" w:rsidRPr="00E21748">
        <w:rPr>
          <w:rFonts w:asciiTheme="minorHAnsi" w:hAnsiTheme="minorHAnsi" w:cstheme="minorHAnsi"/>
          <w:lang w:eastAsia="da-DK"/>
        </w:rPr>
        <w:t xml:space="preserve"> with less than 1% T-cell contamination. </w:t>
      </w:r>
      <w:r w:rsidR="00E21748" w:rsidRPr="00E21748">
        <w:rPr>
          <w:rFonts w:asciiTheme="minorHAnsi" w:hAnsiTheme="minorHAnsi" w:cstheme="minorHAnsi"/>
          <w:b/>
          <w:lang w:eastAsia="da-DK"/>
        </w:rPr>
        <w:t>Figure 1G</w:t>
      </w:r>
      <w:r w:rsidR="001D3C34" w:rsidRPr="00E21748">
        <w:rPr>
          <w:rFonts w:asciiTheme="minorHAnsi" w:hAnsiTheme="minorHAnsi" w:cstheme="minorHAnsi"/>
          <w:lang w:eastAsia="da-DK"/>
        </w:rPr>
        <w:t xml:space="preserve"> depicts</w:t>
      </w:r>
      <w:r w:rsidR="00622BF7" w:rsidRPr="00E21748">
        <w:rPr>
          <w:rFonts w:asciiTheme="minorHAnsi" w:hAnsiTheme="minorHAnsi" w:cstheme="minorHAnsi"/>
          <w:lang w:eastAsia="da-DK"/>
        </w:rPr>
        <w:t xml:space="preserve"> CCR5 bands from</w:t>
      </w:r>
      <w:r w:rsidR="001D3C34" w:rsidRPr="00E21748">
        <w:rPr>
          <w:rFonts w:asciiTheme="minorHAnsi" w:hAnsiTheme="minorHAnsi" w:cstheme="minorHAnsi"/>
          <w:lang w:eastAsia="da-DK"/>
        </w:rPr>
        <w:t xml:space="preserve"> </w:t>
      </w:r>
      <w:r w:rsidR="00265FB5" w:rsidRPr="00E21748">
        <w:rPr>
          <w:rFonts w:asciiTheme="minorHAnsi" w:hAnsiTheme="minorHAnsi" w:cstheme="minorHAnsi"/>
          <w:lang w:eastAsia="da-DK"/>
        </w:rPr>
        <w:t xml:space="preserve">one </w:t>
      </w:r>
      <w:r w:rsidR="001D3C34" w:rsidRPr="00E21748">
        <w:rPr>
          <w:rFonts w:asciiTheme="minorHAnsi" w:hAnsiTheme="minorHAnsi" w:cstheme="minorHAnsi"/>
          <w:lang w:eastAsia="da-DK"/>
        </w:rPr>
        <w:t xml:space="preserve">adult human control donor with the </w:t>
      </w:r>
      <w:r w:rsidR="001D3C34" w:rsidRPr="00E21748">
        <w:rPr>
          <w:rFonts w:asciiTheme="minorHAnsi" w:hAnsiTheme="minorHAnsi" w:cstheme="minorHAnsi"/>
          <w:i/>
          <w:lang w:eastAsia="da-DK"/>
        </w:rPr>
        <w:t>CCR5</w:t>
      </w:r>
      <w:r w:rsidR="001D3C34" w:rsidRPr="00E21748">
        <w:rPr>
          <w:rFonts w:asciiTheme="minorHAnsi" w:hAnsiTheme="minorHAnsi" w:cstheme="minorHAnsi"/>
          <w:vertAlign w:val="superscript"/>
        </w:rPr>
        <w:t>Δ32/</w:t>
      </w:r>
      <w:proofErr w:type="spellStart"/>
      <w:r w:rsidR="001D3C34" w:rsidRPr="00E21748">
        <w:rPr>
          <w:rFonts w:asciiTheme="minorHAnsi" w:hAnsiTheme="minorHAnsi" w:cstheme="minorHAnsi"/>
          <w:i/>
          <w:vertAlign w:val="superscript"/>
        </w:rPr>
        <w:t>wt</w:t>
      </w:r>
      <w:proofErr w:type="spellEnd"/>
      <w:r w:rsidR="001D3C34" w:rsidRPr="005C2511">
        <w:rPr>
          <w:rFonts w:asciiTheme="minorHAnsi" w:hAnsiTheme="minorHAnsi" w:cstheme="minorHAnsi"/>
          <w:i/>
        </w:rPr>
        <w:t xml:space="preserve"> </w:t>
      </w:r>
      <w:r w:rsidR="001D3C34" w:rsidRPr="00E21748">
        <w:rPr>
          <w:rFonts w:asciiTheme="minorHAnsi" w:hAnsiTheme="minorHAnsi" w:cstheme="minorHAnsi"/>
        </w:rPr>
        <w:t>genotype, followed by</w:t>
      </w:r>
      <w:r w:rsidR="00622BF7" w:rsidRPr="00E21748">
        <w:rPr>
          <w:rFonts w:asciiTheme="minorHAnsi" w:hAnsiTheme="minorHAnsi" w:cstheme="minorHAnsi"/>
        </w:rPr>
        <w:t xml:space="preserve"> bands from</w:t>
      </w:r>
      <w:r w:rsidR="001D3C34" w:rsidRPr="00E21748">
        <w:rPr>
          <w:rFonts w:asciiTheme="minorHAnsi" w:hAnsiTheme="minorHAnsi" w:cstheme="minorHAnsi"/>
        </w:rPr>
        <w:t xml:space="preserve"> two </w:t>
      </w:r>
      <w:r w:rsidR="001D3C34" w:rsidRPr="00E21748">
        <w:rPr>
          <w:rFonts w:asciiTheme="minorHAnsi" w:hAnsiTheme="minorHAnsi" w:cstheme="minorHAnsi"/>
          <w:i/>
          <w:lang w:eastAsia="da-DK"/>
        </w:rPr>
        <w:t>CCR5</w:t>
      </w:r>
      <w:r w:rsidR="001D3C34" w:rsidRPr="00E21748">
        <w:rPr>
          <w:rFonts w:asciiTheme="minorHAnsi" w:hAnsiTheme="minorHAnsi" w:cstheme="minorHAnsi"/>
          <w:i/>
          <w:vertAlign w:val="superscript"/>
        </w:rPr>
        <w:t>wt/</w:t>
      </w:r>
      <w:proofErr w:type="spellStart"/>
      <w:r w:rsidR="001D3C34" w:rsidRPr="00E21748">
        <w:rPr>
          <w:rFonts w:asciiTheme="minorHAnsi" w:hAnsiTheme="minorHAnsi" w:cstheme="minorHAnsi"/>
          <w:i/>
          <w:vertAlign w:val="superscript"/>
        </w:rPr>
        <w:t>wt</w:t>
      </w:r>
      <w:proofErr w:type="spellEnd"/>
      <w:r w:rsidR="001D3C34" w:rsidRPr="00E21748">
        <w:rPr>
          <w:rFonts w:asciiTheme="minorHAnsi" w:hAnsiTheme="minorHAnsi" w:cstheme="minorHAnsi"/>
          <w:i/>
        </w:rPr>
        <w:t xml:space="preserve"> </w:t>
      </w:r>
      <w:r w:rsidR="001D3C34" w:rsidRPr="00E21748">
        <w:rPr>
          <w:rFonts w:asciiTheme="minorHAnsi" w:hAnsiTheme="minorHAnsi" w:cstheme="minorHAnsi"/>
        </w:rPr>
        <w:t>and one</w:t>
      </w:r>
      <w:r w:rsidR="001D3C34" w:rsidRPr="00E21748">
        <w:rPr>
          <w:rFonts w:asciiTheme="minorHAnsi" w:hAnsiTheme="minorHAnsi" w:cstheme="minorHAnsi"/>
          <w:i/>
        </w:rPr>
        <w:t xml:space="preserve"> </w:t>
      </w:r>
      <w:r w:rsidR="001D3C34" w:rsidRPr="00E21748">
        <w:rPr>
          <w:rFonts w:asciiTheme="minorHAnsi" w:hAnsiTheme="minorHAnsi" w:cstheme="minorHAnsi"/>
          <w:i/>
          <w:lang w:eastAsia="da-DK"/>
        </w:rPr>
        <w:t>CCR5</w:t>
      </w:r>
      <w:r w:rsidR="001D3C34" w:rsidRPr="00E21748">
        <w:rPr>
          <w:rFonts w:asciiTheme="minorHAnsi" w:hAnsiTheme="minorHAnsi" w:cstheme="minorHAnsi"/>
          <w:vertAlign w:val="superscript"/>
        </w:rPr>
        <w:t>Δ32/</w:t>
      </w:r>
      <w:proofErr w:type="spellStart"/>
      <w:r w:rsidR="001D3C34" w:rsidRPr="00E21748">
        <w:rPr>
          <w:rFonts w:asciiTheme="minorHAnsi" w:hAnsiTheme="minorHAnsi" w:cstheme="minorHAnsi"/>
          <w:i/>
          <w:vertAlign w:val="superscript"/>
        </w:rPr>
        <w:t>wt</w:t>
      </w:r>
      <w:proofErr w:type="spellEnd"/>
      <w:r w:rsidR="001D3C34" w:rsidRPr="00E21748">
        <w:rPr>
          <w:rFonts w:asciiTheme="minorHAnsi" w:hAnsiTheme="minorHAnsi" w:cstheme="minorHAnsi"/>
          <w:i/>
        </w:rPr>
        <w:t xml:space="preserve"> </w:t>
      </w:r>
      <w:r w:rsidR="001D3C34" w:rsidRPr="00E21748">
        <w:rPr>
          <w:rFonts w:asciiTheme="minorHAnsi" w:hAnsiTheme="minorHAnsi" w:cstheme="minorHAnsi"/>
        </w:rPr>
        <w:t>stem cell donor</w:t>
      </w:r>
      <w:r w:rsidR="00265FB5" w:rsidRPr="00E21748">
        <w:rPr>
          <w:rFonts w:asciiTheme="minorHAnsi" w:hAnsiTheme="minorHAnsi" w:cstheme="minorHAnsi"/>
        </w:rPr>
        <w:t>s</w:t>
      </w:r>
      <w:r w:rsidR="001D3C34" w:rsidRPr="00E21748">
        <w:rPr>
          <w:rFonts w:asciiTheme="minorHAnsi" w:hAnsiTheme="minorHAnsi" w:cstheme="minorHAnsi"/>
        </w:rPr>
        <w:t xml:space="preserve">. </w:t>
      </w:r>
      <w:r w:rsidR="00622BF7" w:rsidRPr="00E21748">
        <w:rPr>
          <w:rFonts w:asciiTheme="minorHAnsi" w:hAnsiTheme="minorHAnsi" w:cstheme="minorHAnsi"/>
        </w:rPr>
        <w:t xml:space="preserve">The frequency </w:t>
      </w:r>
      <w:r w:rsidR="001D3C34" w:rsidRPr="00E21748">
        <w:rPr>
          <w:rFonts w:asciiTheme="minorHAnsi" w:hAnsiTheme="minorHAnsi" w:cstheme="minorHAnsi"/>
        </w:rPr>
        <w:t xml:space="preserve">of the genotype </w:t>
      </w:r>
      <w:r w:rsidR="001D3C34" w:rsidRPr="00E21748">
        <w:rPr>
          <w:rFonts w:asciiTheme="minorHAnsi" w:hAnsiTheme="minorHAnsi" w:cstheme="minorHAnsi"/>
          <w:i/>
          <w:lang w:eastAsia="da-DK"/>
        </w:rPr>
        <w:t>CCR5</w:t>
      </w:r>
      <w:r w:rsidR="001D3C34" w:rsidRPr="00E21748">
        <w:rPr>
          <w:rFonts w:asciiTheme="minorHAnsi" w:hAnsiTheme="minorHAnsi" w:cstheme="minorHAnsi"/>
          <w:vertAlign w:val="superscript"/>
        </w:rPr>
        <w:t>Δ32/</w:t>
      </w:r>
      <w:proofErr w:type="spellStart"/>
      <w:r w:rsidR="001D3C34" w:rsidRPr="00E21748">
        <w:rPr>
          <w:rFonts w:asciiTheme="minorHAnsi" w:hAnsiTheme="minorHAnsi" w:cstheme="minorHAnsi"/>
          <w:i/>
          <w:vertAlign w:val="superscript"/>
        </w:rPr>
        <w:t>wt</w:t>
      </w:r>
      <w:proofErr w:type="spellEnd"/>
      <w:r w:rsidR="001D3C34" w:rsidRPr="00E21748">
        <w:rPr>
          <w:rFonts w:asciiTheme="minorHAnsi" w:hAnsiTheme="minorHAnsi" w:cstheme="minorHAnsi"/>
          <w:i/>
          <w:vertAlign w:val="superscript"/>
        </w:rPr>
        <w:t xml:space="preserve"> </w:t>
      </w:r>
      <w:r w:rsidR="001D3C34" w:rsidRPr="00E21748">
        <w:rPr>
          <w:rFonts w:asciiTheme="minorHAnsi" w:hAnsiTheme="minorHAnsi" w:cstheme="minorHAnsi"/>
        </w:rPr>
        <w:t>in a group of 19 donors was 15.8% (</w:t>
      </w:r>
      <w:r w:rsidR="00E21748" w:rsidRPr="00E21748">
        <w:rPr>
          <w:rFonts w:asciiTheme="minorHAnsi" w:hAnsiTheme="minorHAnsi" w:cstheme="minorHAnsi"/>
          <w:b/>
        </w:rPr>
        <w:t>Figure 1H</w:t>
      </w:r>
      <w:r w:rsidR="001D3C34" w:rsidRPr="00E21748">
        <w:rPr>
          <w:rFonts w:asciiTheme="minorHAnsi" w:hAnsiTheme="minorHAnsi" w:cstheme="minorHAnsi"/>
        </w:rPr>
        <w:t xml:space="preserve">). This </w:t>
      </w:r>
      <w:proofErr w:type="gramStart"/>
      <w:r w:rsidR="001D3C34" w:rsidRPr="00E21748">
        <w:rPr>
          <w:rFonts w:asciiTheme="minorHAnsi" w:hAnsiTheme="minorHAnsi" w:cstheme="minorHAnsi"/>
        </w:rPr>
        <w:t>is in agreement</w:t>
      </w:r>
      <w:proofErr w:type="gramEnd"/>
      <w:r w:rsidR="001D3C34" w:rsidRPr="00E21748">
        <w:rPr>
          <w:rFonts w:asciiTheme="minorHAnsi" w:hAnsiTheme="minorHAnsi" w:cstheme="minorHAnsi"/>
        </w:rPr>
        <w:t xml:space="preserve"> with larger epidemiological studies</w:t>
      </w:r>
      <w:r w:rsidR="00A85CC2" w:rsidRPr="00E21748">
        <w:rPr>
          <w:rFonts w:asciiTheme="minorHAnsi" w:hAnsiTheme="minorHAnsi" w:cstheme="minorHAnsi"/>
          <w:noProof/>
          <w:vertAlign w:val="superscript"/>
        </w:rPr>
        <w:t>14,15</w:t>
      </w:r>
      <w:r w:rsidR="001D3C34" w:rsidRPr="00E21748">
        <w:rPr>
          <w:rFonts w:asciiTheme="minorHAnsi" w:hAnsiTheme="minorHAnsi" w:cstheme="minorHAnsi"/>
        </w:rPr>
        <w:t xml:space="preserve"> reporting the genotype in up to 23.6% of investigated </w:t>
      </w:r>
      <w:r w:rsidR="00622BF7" w:rsidRPr="00E21748">
        <w:rPr>
          <w:rFonts w:asciiTheme="minorHAnsi" w:hAnsiTheme="minorHAnsi" w:cstheme="minorHAnsi"/>
        </w:rPr>
        <w:t>persons</w:t>
      </w:r>
      <w:r w:rsidR="00EB676A" w:rsidRPr="00E21748">
        <w:rPr>
          <w:rFonts w:asciiTheme="minorHAnsi" w:hAnsiTheme="minorHAnsi" w:cstheme="minorHAnsi"/>
        </w:rPr>
        <w:t xml:space="preserve"> </w:t>
      </w:r>
      <w:r w:rsidR="001D3C34" w:rsidRPr="00E21748">
        <w:rPr>
          <w:rFonts w:asciiTheme="minorHAnsi" w:hAnsiTheme="minorHAnsi" w:cstheme="minorHAnsi"/>
        </w:rPr>
        <w:t xml:space="preserve">in Denmark. </w:t>
      </w:r>
    </w:p>
    <w:p w14:paraId="46EE026F" w14:textId="77777777" w:rsidR="002E2F6A" w:rsidRPr="00E21748" w:rsidRDefault="002E2F6A" w:rsidP="00E21748">
      <w:pPr>
        <w:snapToGrid w:val="0"/>
        <w:contextualSpacing/>
        <w:rPr>
          <w:rFonts w:asciiTheme="minorHAnsi" w:hAnsiTheme="minorHAnsi" w:cstheme="minorHAnsi"/>
          <w:lang w:eastAsia="da-DK"/>
        </w:rPr>
      </w:pPr>
    </w:p>
    <w:p w14:paraId="3D5E9EF4" w14:textId="14AFE2A1" w:rsidR="001D3C34" w:rsidRPr="00E21748" w:rsidRDefault="000B21E1" w:rsidP="00E21748">
      <w:pPr>
        <w:snapToGrid w:val="0"/>
        <w:contextualSpacing/>
        <w:rPr>
          <w:rFonts w:asciiTheme="minorHAnsi" w:hAnsiTheme="minorHAnsi" w:cstheme="minorHAnsi"/>
          <w:lang w:eastAsia="da-DK"/>
        </w:rPr>
      </w:pPr>
      <w:r w:rsidRPr="00E21748">
        <w:rPr>
          <w:rFonts w:asciiTheme="minorHAnsi" w:hAnsiTheme="minorHAnsi" w:cstheme="minorHAnsi"/>
          <w:lang w:eastAsia="da-DK"/>
        </w:rPr>
        <w:t xml:space="preserve">Human </w:t>
      </w:r>
      <w:r w:rsidRPr="00E21748">
        <w:rPr>
          <w:rFonts w:asciiTheme="minorHAnsi" w:hAnsiTheme="minorHAnsi" w:cstheme="minorHAnsi"/>
        </w:rPr>
        <w:t xml:space="preserve">CD45+ </w:t>
      </w:r>
      <w:r w:rsidRPr="00960CA7">
        <w:rPr>
          <w:rFonts w:asciiTheme="minorHAnsi" w:hAnsiTheme="minorHAnsi" w:cstheme="minorHAnsi"/>
          <w:lang w:eastAsia="da-DK"/>
        </w:rPr>
        <w:t>levels</w:t>
      </w:r>
      <w:r w:rsidRPr="00E21748">
        <w:rPr>
          <w:rFonts w:asciiTheme="minorHAnsi" w:hAnsiTheme="minorHAnsi" w:cstheme="minorHAnsi"/>
          <w:lang w:eastAsia="da-DK"/>
        </w:rPr>
        <w:t xml:space="preserve"> in </w:t>
      </w:r>
      <w:r>
        <w:rPr>
          <w:rFonts w:asciiTheme="minorHAnsi" w:hAnsiTheme="minorHAnsi" w:cstheme="minorHAnsi"/>
          <w:lang w:eastAsia="da-DK"/>
        </w:rPr>
        <w:t xml:space="preserve">mice </w:t>
      </w:r>
      <w:r w:rsidRPr="00E21748">
        <w:rPr>
          <w:rFonts w:asciiTheme="minorHAnsi" w:hAnsiTheme="minorHAnsi" w:cstheme="minorHAnsi"/>
          <w:lang w:eastAsia="da-DK"/>
        </w:rPr>
        <w:t xml:space="preserve">peripheral blood was assessed via flow cytometry </w:t>
      </w:r>
      <w:r w:rsidR="001D3C34" w:rsidRPr="00E21748">
        <w:rPr>
          <w:rFonts w:asciiTheme="minorHAnsi" w:hAnsiTheme="minorHAnsi" w:cstheme="minorHAnsi"/>
          <w:lang w:eastAsia="da-DK"/>
        </w:rPr>
        <w:t>3</w:t>
      </w:r>
      <w:r w:rsidRPr="00960CA7">
        <w:rPr>
          <w:rFonts w:asciiTheme="minorHAnsi" w:hAnsiTheme="minorHAnsi" w:cstheme="minorHAnsi"/>
          <w:lang w:eastAsia="da-DK"/>
        </w:rPr>
        <w:t>–</w:t>
      </w:r>
      <w:r w:rsidR="001D3C34" w:rsidRPr="00E21748">
        <w:rPr>
          <w:rFonts w:asciiTheme="minorHAnsi" w:hAnsiTheme="minorHAnsi" w:cstheme="minorHAnsi"/>
          <w:lang w:eastAsia="da-DK"/>
        </w:rPr>
        <w:t xml:space="preserve">5 months after transplantation of human CD34+ stem cells. The gating strategy is presented in </w:t>
      </w:r>
      <w:r w:rsidR="00E21748" w:rsidRPr="00E21748">
        <w:rPr>
          <w:rFonts w:asciiTheme="minorHAnsi" w:hAnsiTheme="minorHAnsi" w:cstheme="minorHAnsi"/>
          <w:b/>
          <w:lang w:eastAsia="da-DK"/>
        </w:rPr>
        <w:t>Figure 2A</w:t>
      </w:r>
      <w:r w:rsidRPr="00960CA7">
        <w:rPr>
          <w:rFonts w:asciiTheme="minorHAnsi" w:hAnsiTheme="minorHAnsi" w:cstheme="minorHAnsi"/>
          <w:lang w:eastAsia="da-DK"/>
        </w:rPr>
        <w:t>–</w:t>
      </w:r>
      <w:r w:rsidR="001D3C34" w:rsidRPr="005C2511">
        <w:rPr>
          <w:rFonts w:asciiTheme="minorHAnsi" w:hAnsiTheme="minorHAnsi" w:cstheme="minorHAnsi"/>
          <w:b/>
          <w:bCs/>
          <w:lang w:eastAsia="da-DK"/>
        </w:rPr>
        <w:t>E</w:t>
      </w:r>
      <w:r w:rsidR="001D3C34" w:rsidRPr="00E21748">
        <w:rPr>
          <w:rFonts w:asciiTheme="minorHAnsi" w:hAnsiTheme="minorHAnsi" w:cstheme="minorHAnsi"/>
          <w:lang w:eastAsia="da-DK"/>
        </w:rPr>
        <w:t xml:space="preserve">. </w:t>
      </w:r>
      <w:r w:rsidR="00E21748" w:rsidRPr="00E21748">
        <w:rPr>
          <w:rFonts w:asciiTheme="minorHAnsi" w:hAnsiTheme="minorHAnsi" w:cstheme="minorHAnsi"/>
          <w:b/>
          <w:lang w:eastAsia="da-DK"/>
        </w:rPr>
        <w:t>Figure 3A</w:t>
      </w:r>
      <w:r w:rsidR="001D3C34" w:rsidRPr="00E21748">
        <w:rPr>
          <w:rFonts w:asciiTheme="minorHAnsi" w:hAnsiTheme="minorHAnsi" w:cstheme="minorHAnsi"/>
          <w:lang w:eastAsia="da-DK"/>
        </w:rPr>
        <w:t xml:space="preserve"> and </w:t>
      </w:r>
      <w:r w:rsidR="00E21748" w:rsidRPr="00E21748">
        <w:rPr>
          <w:rFonts w:asciiTheme="minorHAnsi" w:hAnsiTheme="minorHAnsi" w:cstheme="minorHAnsi"/>
          <w:b/>
          <w:lang w:eastAsia="da-DK"/>
        </w:rPr>
        <w:t>Figure 3B</w:t>
      </w:r>
      <w:r w:rsidR="001D3C34" w:rsidRPr="00E21748">
        <w:rPr>
          <w:rFonts w:asciiTheme="minorHAnsi" w:hAnsiTheme="minorHAnsi" w:cstheme="minorHAnsi"/>
          <w:lang w:eastAsia="da-DK"/>
        </w:rPr>
        <w:t xml:space="preserve"> illustrate the variability between 10 and 16 individual mice receiving stem cells from two different donors. Transplantation of </w:t>
      </w:r>
      <w:r w:rsidR="001D3C34" w:rsidRPr="00E21748">
        <w:rPr>
          <w:rFonts w:asciiTheme="minorHAnsi" w:hAnsiTheme="minorHAnsi" w:cstheme="minorHAnsi"/>
        </w:rPr>
        <w:t xml:space="preserve">75,000 hCD34+ cells yielded </w:t>
      </w:r>
      <w:r w:rsidR="00E21748" w:rsidRPr="00E21748">
        <w:rPr>
          <w:rFonts w:asciiTheme="minorHAnsi" w:hAnsiTheme="minorHAnsi" w:cstheme="minorHAnsi"/>
        </w:rPr>
        <w:t>20</w:t>
      </w:r>
      <w:r w:rsidR="00E21748">
        <w:rPr>
          <w:rFonts w:asciiTheme="minorHAnsi" w:hAnsiTheme="minorHAnsi" w:cstheme="minorHAnsi"/>
        </w:rPr>
        <w:t>%–</w:t>
      </w:r>
      <w:r w:rsidR="00E21748" w:rsidRPr="00E21748">
        <w:rPr>
          <w:rFonts w:asciiTheme="minorHAnsi" w:hAnsiTheme="minorHAnsi" w:cstheme="minorHAnsi"/>
        </w:rPr>
        <w:t>50</w:t>
      </w:r>
      <w:r w:rsidR="00E21748">
        <w:rPr>
          <w:rFonts w:asciiTheme="minorHAnsi" w:hAnsiTheme="minorHAnsi" w:cstheme="minorHAnsi"/>
        </w:rPr>
        <w:t>%</w:t>
      </w:r>
      <w:r w:rsidR="001D3C34" w:rsidRPr="00E21748">
        <w:rPr>
          <w:rFonts w:asciiTheme="minorHAnsi" w:hAnsiTheme="minorHAnsi" w:cstheme="minorHAnsi"/>
        </w:rPr>
        <w:t xml:space="preserve"> human CD45+ in the peripheral blood</w:t>
      </w:r>
      <w:r w:rsidR="001D3C34" w:rsidRPr="00E21748">
        <w:rPr>
          <w:rFonts w:asciiTheme="minorHAnsi" w:hAnsiTheme="minorHAnsi" w:cstheme="minorHAnsi"/>
          <w:lang w:eastAsia="da-DK"/>
        </w:rPr>
        <w:t xml:space="preserve">. All mice developed human B and T cells, including both </w:t>
      </w:r>
      <w:r w:rsidR="001D3C34" w:rsidRPr="00E21748">
        <w:rPr>
          <w:rFonts w:asciiTheme="minorHAnsi" w:hAnsiTheme="minorHAnsi" w:cstheme="minorHAnsi"/>
          <w:lang w:eastAsia="da-DK"/>
        </w:rPr>
        <w:lastRenderedPageBreak/>
        <w:t>CD4</w:t>
      </w:r>
      <w:r w:rsidR="00622BF7" w:rsidRPr="00E21748">
        <w:rPr>
          <w:rFonts w:asciiTheme="minorHAnsi" w:hAnsiTheme="minorHAnsi" w:cstheme="minorHAnsi"/>
          <w:lang w:eastAsia="da-DK"/>
        </w:rPr>
        <w:t>-</w:t>
      </w:r>
      <w:r w:rsidR="001D3C34" w:rsidRPr="00E21748">
        <w:rPr>
          <w:rFonts w:asciiTheme="minorHAnsi" w:hAnsiTheme="minorHAnsi" w:cstheme="minorHAnsi"/>
          <w:lang w:eastAsia="da-DK"/>
        </w:rPr>
        <w:t xml:space="preserve"> and CD8</w:t>
      </w:r>
      <w:r w:rsidR="008507BE">
        <w:rPr>
          <w:rFonts w:asciiTheme="minorHAnsi" w:hAnsiTheme="minorHAnsi" w:cstheme="minorHAnsi"/>
          <w:lang w:eastAsia="da-DK"/>
        </w:rPr>
        <w:t>+</w:t>
      </w:r>
      <w:r w:rsidR="001D3C34" w:rsidRPr="00E21748">
        <w:rPr>
          <w:rFonts w:asciiTheme="minorHAnsi" w:hAnsiTheme="minorHAnsi" w:cstheme="minorHAnsi"/>
          <w:lang w:eastAsia="da-DK"/>
        </w:rPr>
        <w:t xml:space="preserve"> T cells. </w:t>
      </w:r>
    </w:p>
    <w:p w14:paraId="19E4D101" w14:textId="77777777" w:rsidR="002E2F6A" w:rsidRPr="00E21748" w:rsidRDefault="002E2F6A" w:rsidP="00E21748">
      <w:pPr>
        <w:snapToGrid w:val="0"/>
        <w:contextualSpacing/>
        <w:rPr>
          <w:rFonts w:asciiTheme="minorHAnsi" w:hAnsiTheme="minorHAnsi" w:cstheme="minorHAnsi"/>
          <w:lang w:eastAsia="da-DK"/>
        </w:rPr>
      </w:pPr>
    </w:p>
    <w:p w14:paraId="7204D32D" w14:textId="3A9602DF" w:rsidR="001D3C34" w:rsidRPr="00E21748" w:rsidRDefault="001D3C34" w:rsidP="00E21748">
      <w:pPr>
        <w:snapToGrid w:val="0"/>
        <w:contextualSpacing/>
        <w:rPr>
          <w:rFonts w:asciiTheme="minorHAnsi" w:hAnsiTheme="minorHAnsi" w:cstheme="minorHAnsi"/>
          <w:lang w:eastAsia="da-DK"/>
        </w:rPr>
      </w:pPr>
      <w:r w:rsidRPr="00E21748">
        <w:rPr>
          <w:rFonts w:asciiTheme="minorHAnsi" w:hAnsiTheme="minorHAnsi" w:cstheme="minorHAnsi"/>
          <w:lang w:eastAsia="da-DK"/>
        </w:rPr>
        <w:t>For atraumatic intravaginal exposures</w:t>
      </w:r>
      <w:r w:rsidR="00622BF7" w:rsidRPr="00E21748">
        <w:rPr>
          <w:rFonts w:asciiTheme="minorHAnsi" w:hAnsiTheme="minorHAnsi" w:cstheme="minorHAnsi"/>
          <w:lang w:eastAsia="da-DK"/>
        </w:rPr>
        <w:t>,</w:t>
      </w:r>
      <w:r w:rsidRPr="00E21748">
        <w:rPr>
          <w:rFonts w:asciiTheme="minorHAnsi" w:hAnsiTheme="minorHAnsi" w:cstheme="minorHAnsi"/>
          <w:lang w:eastAsia="da-DK"/>
        </w:rPr>
        <w:t xml:space="preserve"> the setup depicted in </w:t>
      </w:r>
      <w:r w:rsidR="00E21748" w:rsidRPr="00E21748">
        <w:rPr>
          <w:rFonts w:asciiTheme="minorHAnsi" w:hAnsiTheme="minorHAnsi" w:cstheme="minorHAnsi"/>
          <w:b/>
          <w:lang w:eastAsia="da-DK"/>
        </w:rPr>
        <w:t>Figure 4</w:t>
      </w:r>
      <w:r w:rsidRPr="00E21748">
        <w:rPr>
          <w:rFonts w:asciiTheme="minorHAnsi" w:hAnsiTheme="minorHAnsi" w:cstheme="minorHAnsi"/>
          <w:lang w:eastAsia="da-DK"/>
        </w:rPr>
        <w:t xml:space="preserve"> was used. Mice were anaesthetized in a closed chamber and kept under </w:t>
      </w:r>
      <w:r w:rsidR="0014385A" w:rsidRPr="00E21748">
        <w:rPr>
          <w:rFonts w:asciiTheme="minorHAnsi" w:hAnsiTheme="minorHAnsi" w:cstheme="minorHAnsi"/>
          <w:lang w:eastAsia="da-DK"/>
        </w:rPr>
        <w:t>anesthesia</w:t>
      </w:r>
      <w:r w:rsidRPr="00E21748">
        <w:rPr>
          <w:rFonts w:asciiTheme="minorHAnsi" w:hAnsiTheme="minorHAnsi" w:cstheme="minorHAnsi"/>
          <w:lang w:eastAsia="da-DK"/>
        </w:rPr>
        <w:t xml:space="preserve"> during the exposure. Mice were held </w:t>
      </w:r>
      <w:r w:rsidR="000B21E1">
        <w:rPr>
          <w:rFonts w:asciiTheme="minorHAnsi" w:hAnsiTheme="minorHAnsi" w:cstheme="minorHAnsi"/>
          <w:lang w:eastAsia="da-DK"/>
        </w:rPr>
        <w:t xml:space="preserve">with the </w:t>
      </w:r>
      <w:r w:rsidRPr="00E21748">
        <w:rPr>
          <w:rFonts w:asciiTheme="minorHAnsi" w:hAnsiTheme="minorHAnsi" w:cstheme="minorHAnsi"/>
          <w:lang w:eastAsia="da-DK"/>
        </w:rPr>
        <w:t xml:space="preserve">vagina facing up for 5 </w:t>
      </w:r>
      <w:r w:rsidR="004E079D">
        <w:rPr>
          <w:rFonts w:asciiTheme="minorHAnsi" w:hAnsiTheme="minorHAnsi" w:cstheme="minorHAnsi"/>
          <w:lang w:eastAsia="da-DK"/>
        </w:rPr>
        <w:t>min</w:t>
      </w:r>
      <w:r w:rsidRPr="00E21748">
        <w:rPr>
          <w:rFonts w:asciiTheme="minorHAnsi" w:hAnsiTheme="minorHAnsi" w:cstheme="minorHAnsi"/>
          <w:lang w:eastAsia="da-DK"/>
        </w:rPr>
        <w:t xml:space="preserve"> after exposure to ensure virus solution engagement with mucosal surfaces.</w:t>
      </w:r>
    </w:p>
    <w:p w14:paraId="3D2079C4" w14:textId="77777777" w:rsidR="002E2F6A" w:rsidRPr="00E21748" w:rsidRDefault="002E2F6A" w:rsidP="00E21748">
      <w:pPr>
        <w:snapToGrid w:val="0"/>
        <w:contextualSpacing/>
        <w:rPr>
          <w:rFonts w:asciiTheme="minorHAnsi" w:hAnsiTheme="minorHAnsi" w:cstheme="minorHAnsi"/>
          <w:lang w:eastAsia="da-DK"/>
        </w:rPr>
      </w:pPr>
    </w:p>
    <w:p w14:paraId="3E264BB3" w14:textId="4EC62033" w:rsidR="001D3C34" w:rsidRPr="00E21748" w:rsidRDefault="00E21748" w:rsidP="00E21748">
      <w:pPr>
        <w:snapToGrid w:val="0"/>
        <w:contextualSpacing/>
        <w:rPr>
          <w:rFonts w:asciiTheme="minorHAnsi" w:hAnsiTheme="minorHAnsi" w:cstheme="minorHAnsi"/>
          <w:lang w:eastAsia="da-DK"/>
        </w:rPr>
      </w:pPr>
      <w:r w:rsidRPr="00E21748">
        <w:rPr>
          <w:rFonts w:asciiTheme="minorHAnsi" w:hAnsiTheme="minorHAnsi" w:cstheme="minorHAnsi"/>
          <w:b/>
          <w:lang w:eastAsia="da-DK"/>
        </w:rPr>
        <w:t>Figure 5A</w:t>
      </w:r>
      <w:r w:rsidR="001D3C34" w:rsidRPr="00E21748">
        <w:rPr>
          <w:rFonts w:asciiTheme="minorHAnsi" w:hAnsiTheme="minorHAnsi" w:cstheme="minorHAnsi"/>
          <w:lang w:eastAsia="da-DK"/>
        </w:rPr>
        <w:t xml:space="preserve"> </w:t>
      </w:r>
      <w:r w:rsidR="008507BE">
        <w:rPr>
          <w:rFonts w:asciiTheme="minorHAnsi" w:hAnsiTheme="minorHAnsi" w:cstheme="minorHAnsi"/>
          <w:lang w:eastAsia="da-DK"/>
        </w:rPr>
        <w:t>shows</w:t>
      </w:r>
      <w:r w:rsidR="008507BE" w:rsidRPr="00E21748">
        <w:rPr>
          <w:rFonts w:asciiTheme="minorHAnsi" w:hAnsiTheme="minorHAnsi" w:cstheme="minorHAnsi"/>
          <w:lang w:eastAsia="da-DK"/>
        </w:rPr>
        <w:t xml:space="preserve"> </w:t>
      </w:r>
      <w:r w:rsidR="001D3C34" w:rsidRPr="00E21748">
        <w:rPr>
          <w:rFonts w:asciiTheme="minorHAnsi" w:hAnsiTheme="minorHAnsi" w:cstheme="minorHAnsi"/>
          <w:lang w:eastAsia="da-DK"/>
        </w:rPr>
        <w:t xml:space="preserve">the </w:t>
      </w:r>
      <w:r w:rsidR="00EB676A" w:rsidRPr="00E21748">
        <w:rPr>
          <w:rFonts w:asciiTheme="minorHAnsi" w:hAnsiTheme="minorHAnsi" w:cstheme="minorHAnsi"/>
          <w:lang w:eastAsia="da-DK"/>
        </w:rPr>
        <w:t>64</w:t>
      </w:r>
      <w:r w:rsidR="00486E12" w:rsidRPr="00E21748">
        <w:rPr>
          <w:rFonts w:asciiTheme="minorHAnsi" w:hAnsiTheme="minorHAnsi" w:cstheme="minorHAnsi"/>
          <w:lang w:eastAsia="da-DK"/>
        </w:rPr>
        <w:t xml:space="preserve">% HIV </w:t>
      </w:r>
      <w:r w:rsidR="001D3C34" w:rsidRPr="00E21748">
        <w:rPr>
          <w:rFonts w:asciiTheme="minorHAnsi" w:hAnsiTheme="minorHAnsi" w:cstheme="minorHAnsi"/>
          <w:lang w:eastAsia="da-DK"/>
        </w:rPr>
        <w:t xml:space="preserve">transmission success rate </w:t>
      </w:r>
      <w:r w:rsidR="00486E12" w:rsidRPr="00E21748">
        <w:rPr>
          <w:rFonts w:asciiTheme="minorHAnsi" w:hAnsiTheme="minorHAnsi" w:cstheme="minorHAnsi"/>
          <w:lang w:eastAsia="da-DK"/>
        </w:rPr>
        <w:t>observed using</w:t>
      </w:r>
      <w:r w:rsidR="001D3C34" w:rsidRPr="00E21748">
        <w:rPr>
          <w:rFonts w:asciiTheme="minorHAnsi" w:hAnsiTheme="minorHAnsi" w:cstheme="minorHAnsi"/>
          <w:lang w:eastAsia="da-DK"/>
        </w:rPr>
        <w:t xml:space="preserve"> this model. Mice were challenged with</w:t>
      </w:r>
      <w:r w:rsidR="00A3509D" w:rsidRPr="00E21748">
        <w:rPr>
          <w:rFonts w:asciiTheme="minorHAnsi" w:hAnsiTheme="minorHAnsi" w:cstheme="minorHAnsi"/>
          <w:lang w:eastAsia="da-DK"/>
        </w:rPr>
        <w:t xml:space="preserve"> 21</w:t>
      </w:r>
      <w:r w:rsidR="00486E12" w:rsidRPr="00E21748">
        <w:rPr>
          <w:rFonts w:asciiTheme="minorHAnsi" w:hAnsiTheme="minorHAnsi" w:cstheme="minorHAnsi"/>
          <w:lang w:eastAsia="da-DK"/>
        </w:rPr>
        <w:t>,</w:t>
      </w:r>
      <w:r w:rsidR="00A3509D" w:rsidRPr="00E21748">
        <w:rPr>
          <w:rFonts w:asciiTheme="minorHAnsi" w:hAnsiTheme="minorHAnsi" w:cstheme="minorHAnsi"/>
          <w:lang w:eastAsia="da-DK"/>
        </w:rPr>
        <w:t xml:space="preserve">400 </w:t>
      </w:r>
      <w:r w:rsidR="001D3C34" w:rsidRPr="00E21748">
        <w:rPr>
          <w:rFonts w:asciiTheme="minorHAnsi" w:hAnsiTheme="minorHAnsi" w:cstheme="minorHAnsi"/>
          <w:lang w:eastAsia="da-DK"/>
        </w:rPr>
        <w:t>infectious units</w:t>
      </w:r>
      <w:r w:rsidR="00A3509D" w:rsidRPr="00E21748">
        <w:rPr>
          <w:rFonts w:asciiTheme="minorHAnsi" w:hAnsiTheme="minorHAnsi" w:cstheme="minorHAnsi"/>
          <w:lang w:eastAsia="da-DK"/>
        </w:rPr>
        <w:t xml:space="preserve"> (IU)</w:t>
      </w:r>
      <w:r w:rsidR="001D3C34" w:rsidRPr="00E21748">
        <w:rPr>
          <w:rFonts w:asciiTheme="minorHAnsi" w:hAnsiTheme="minorHAnsi" w:cstheme="minorHAnsi"/>
          <w:lang w:eastAsia="da-DK"/>
        </w:rPr>
        <w:t xml:space="preserve"> of RHPA4259 intravaginally. This dose</w:t>
      </w:r>
      <w:r w:rsidR="00486E12" w:rsidRPr="00E21748">
        <w:rPr>
          <w:rFonts w:asciiTheme="minorHAnsi" w:hAnsiTheme="minorHAnsi" w:cstheme="minorHAnsi"/>
          <w:lang w:eastAsia="da-DK"/>
        </w:rPr>
        <w:t xml:space="preserve"> </w:t>
      </w:r>
      <w:r w:rsidR="001D3C34" w:rsidRPr="00E21748">
        <w:rPr>
          <w:rFonts w:asciiTheme="minorHAnsi" w:hAnsiTheme="minorHAnsi" w:cstheme="minorHAnsi"/>
          <w:lang w:eastAsia="da-DK"/>
        </w:rPr>
        <w:t>resulted in 64% of mice becoming HIV</w:t>
      </w:r>
      <w:r w:rsidR="00486E12" w:rsidRPr="00E21748">
        <w:rPr>
          <w:rFonts w:asciiTheme="minorHAnsi" w:hAnsiTheme="minorHAnsi" w:cstheme="minorHAnsi"/>
          <w:lang w:eastAsia="da-DK"/>
        </w:rPr>
        <w:t xml:space="preserve"> infected following</w:t>
      </w:r>
      <w:r w:rsidR="001D3C34" w:rsidRPr="00E21748">
        <w:rPr>
          <w:rFonts w:asciiTheme="minorHAnsi" w:hAnsiTheme="minorHAnsi" w:cstheme="minorHAnsi"/>
          <w:lang w:eastAsia="da-DK"/>
        </w:rPr>
        <w:t xml:space="preserve"> vaginal exposure. For comparison, data from two different cohorts of mice</w:t>
      </w:r>
      <w:r w:rsidR="000B21E1">
        <w:rPr>
          <w:rFonts w:asciiTheme="minorHAnsi" w:hAnsiTheme="minorHAnsi" w:cstheme="minorHAnsi"/>
          <w:lang w:eastAsia="da-DK"/>
        </w:rPr>
        <w:t xml:space="preserve"> </w:t>
      </w:r>
      <w:r w:rsidR="001D3C34" w:rsidRPr="00E21748">
        <w:rPr>
          <w:rFonts w:asciiTheme="minorHAnsi" w:hAnsiTheme="minorHAnsi" w:cstheme="minorHAnsi"/>
          <w:lang w:eastAsia="da-DK"/>
        </w:rPr>
        <w:t xml:space="preserve">exposed through </w:t>
      </w:r>
      <w:r w:rsidR="000B21E1">
        <w:rPr>
          <w:rFonts w:asciiTheme="minorHAnsi" w:hAnsiTheme="minorHAnsi" w:cstheme="minorHAnsi"/>
          <w:lang w:eastAsia="da-DK"/>
        </w:rPr>
        <w:t xml:space="preserve">an </w:t>
      </w:r>
      <w:r w:rsidR="001D3C34" w:rsidRPr="00E21748">
        <w:rPr>
          <w:rFonts w:asciiTheme="minorHAnsi" w:hAnsiTheme="minorHAnsi" w:cstheme="minorHAnsi"/>
          <w:lang w:eastAsia="da-DK"/>
        </w:rPr>
        <w:t xml:space="preserve">intravenous route are included. As expected, 100% of the mice became HIV+ with similar doses of RHPA and an additional strain </w:t>
      </w:r>
      <w:r w:rsidR="008507BE">
        <w:rPr>
          <w:rFonts w:asciiTheme="minorHAnsi" w:hAnsiTheme="minorHAnsi" w:cstheme="minorHAnsi"/>
          <w:lang w:eastAsia="da-DK"/>
        </w:rPr>
        <w:t>(</w:t>
      </w:r>
      <w:r w:rsidR="001D3C34" w:rsidRPr="00E21748">
        <w:rPr>
          <w:rFonts w:asciiTheme="minorHAnsi" w:hAnsiTheme="minorHAnsi" w:cstheme="minorHAnsi"/>
          <w:lang w:eastAsia="da-DK"/>
        </w:rPr>
        <w:t>YU2</w:t>
      </w:r>
      <w:r w:rsidR="008507BE">
        <w:rPr>
          <w:rFonts w:asciiTheme="minorHAnsi" w:hAnsiTheme="minorHAnsi" w:cstheme="minorHAnsi"/>
          <w:lang w:eastAsia="da-DK"/>
        </w:rPr>
        <w:t>)</w:t>
      </w:r>
      <w:r w:rsidR="001D3C34" w:rsidRPr="00E21748">
        <w:rPr>
          <w:rFonts w:asciiTheme="minorHAnsi" w:hAnsiTheme="minorHAnsi" w:cstheme="minorHAnsi"/>
          <w:lang w:eastAsia="da-DK"/>
        </w:rPr>
        <w:t xml:space="preserve"> using this route.</w:t>
      </w:r>
    </w:p>
    <w:p w14:paraId="4BA893EB" w14:textId="77777777" w:rsidR="002E2F6A" w:rsidRPr="00E21748" w:rsidRDefault="002E2F6A" w:rsidP="00E21748">
      <w:pPr>
        <w:snapToGrid w:val="0"/>
        <w:contextualSpacing/>
        <w:rPr>
          <w:rFonts w:asciiTheme="minorHAnsi" w:hAnsiTheme="minorHAnsi" w:cstheme="minorHAnsi"/>
          <w:lang w:eastAsia="da-DK"/>
        </w:rPr>
      </w:pPr>
    </w:p>
    <w:p w14:paraId="5E32F0A9" w14:textId="2248B5A9" w:rsidR="001D3C34" w:rsidRPr="00E21748" w:rsidRDefault="00E21748" w:rsidP="00E21748">
      <w:pPr>
        <w:snapToGrid w:val="0"/>
        <w:contextualSpacing/>
        <w:rPr>
          <w:rFonts w:asciiTheme="minorHAnsi" w:hAnsiTheme="minorHAnsi" w:cstheme="minorHAnsi"/>
          <w:lang w:eastAsia="da-DK"/>
        </w:rPr>
      </w:pPr>
      <w:r w:rsidRPr="00E21748">
        <w:rPr>
          <w:rFonts w:asciiTheme="minorHAnsi" w:hAnsiTheme="minorHAnsi" w:cstheme="minorHAnsi"/>
          <w:b/>
          <w:lang w:eastAsia="da-DK"/>
        </w:rPr>
        <w:t>Figure 5B</w:t>
      </w:r>
      <w:r w:rsidR="001D3C34" w:rsidRPr="00E21748">
        <w:rPr>
          <w:rFonts w:asciiTheme="minorHAnsi" w:hAnsiTheme="minorHAnsi" w:cstheme="minorHAnsi"/>
          <w:lang w:eastAsia="da-DK"/>
        </w:rPr>
        <w:t xml:space="preserve"> depicts representative results from </w:t>
      </w:r>
      <w:r w:rsidR="000B21E1" w:rsidRPr="00960CA7">
        <w:rPr>
          <w:rFonts w:asciiTheme="minorHAnsi" w:hAnsiTheme="minorHAnsi" w:cstheme="minorHAnsi"/>
          <w:lang w:eastAsia="da-DK"/>
        </w:rPr>
        <w:t>three</w:t>
      </w:r>
      <w:r w:rsidR="000B21E1" w:rsidRPr="00E21748">
        <w:rPr>
          <w:rFonts w:asciiTheme="minorHAnsi" w:hAnsiTheme="minorHAnsi" w:cstheme="minorHAnsi"/>
          <w:lang w:eastAsia="da-DK"/>
        </w:rPr>
        <w:t xml:space="preserve"> </w:t>
      </w:r>
      <w:r w:rsidR="001D3C34" w:rsidRPr="00E21748">
        <w:rPr>
          <w:rFonts w:asciiTheme="minorHAnsi" w:hAnsiTheme="minorHAnsi" w:cstheme="minorHAnsi"/>
          <w:lang w:eastAsia="da-DK"/>
        </w:rPr>
        <w:t xml:space="preserve">mice </w:t>
      </w:r>
      <w:r w:rsidR="000B21E1" w:rsidRPr="00960CA7">
        <w:rPr>
          <w:rFonts w:asciiTheme="minorHAnsi" w:hAnsiTheme="minorHAnsi" w:cstheme="minorHAnsi"/>
          <w:lang w:eastAsia="da-DK"/>
        </w:rPr>
        <w:t>that</w:t>
      </w:r>
      <w:r w:rsidR="000B21E1" w:rsidRPr="00E21748">
        <w:rPr>
          <w:rFonts w:asciiTheme="minorHAnsi" w:hAnsiTheme="minorHAnsi" w:cstheme="minorHAnsi"/>
          <w:lang w:eastAsia="da-DK"/>
        </w:rPr>
        <w:t xml:space="preserve"> </w:t>
      </w:r>
      <w:r w:rsidR="008507BE">
        <w:rPr>
          <w:rFonts w:asciiTheme="minorHAnsi" w:hAnsiTheme="minorHAnsi" w:cstheme="minorHAnsi"/>
          <w:lang w:eastAsia="da-DK"/>
        </w:rPr>
        <w:t>were</w:t>
      </w:r>
      <w:r w:rsidR="001D3C34" w:rsidRPr="00E21748">
        <w:rPr>
          <w:rFonts w:asciiTheme="minorHAnsi" w:hAnsiTheme="minorHAnsi" w:cstheme="minorHAnsi"/>
          <w:lang w:eastAsia="da-DK"/>
        </w:rPr>
        <w:t xml:space="preserve"> infected with HIV and switched to a diet containing standard </w:t>
      </w:r>
      <w:proofErr w:type="spellStart"/>
      <w:r w:rsidR="001D3C34" w:rsidRPr="00E21748">
        <w:rPr>
          <w:rFonts w:asciiTheme="minorHAnsi" w:hAnsiTheme="minorHAnsi" w:cstheme="minorHAnsi"/>
          <w:lang w:eastAsia="da-DK"/>
        </w:rPr>
        <w:t>cART</w:t>
      </w:r>
      <w:proofErr w:type="spellEnd"/>
      <w:r w:rsidR="001D3C34" w:rsidRPr="00E21748">
        <w:rPr>
          <w:rFonts w:asciiTheme="minorHAnsi" w:hAnsiTheme="minorHAnsi" w:cstheme="minorHAnsi"/>
          <w:lang w:eastAsia="da-DK"/>
        </w:rPr>
        <w:t xml:space="preserve">. Mice were switched back to regular mouse chow after 40 days of </w:t>
      </w:r>
      <w:proofErr w:type="spellStart"/>
      <w:r w:rsidR="001D3C34" w:rsidRPr="00E21748">
        <w:rPr>
          <w:rFonts w:asciiTheme="minorHAnsi" w:hAnsiTheme="minorHAnsi" w:cstheme="minorHAnsi"/>
          <w:lang w:eastAsia="da-DK"/>
        </w:rPr>
        <w:t>cART</w:t>
      </w:r>
      <w:proofErr w:type="spellEnd"/>
      <w:r w:rsidR="001D3C34" w:rsidRPr="00E21748">
        <w:rPr>
          <w:rFonts w:asciiTheme="minorHAnsi" w:hAnsiTheme="minorHAnsi" w:cstheme="minorHAnsi"/>
          <w:lang w:eastAsia="da-DK"/>
        </w:rPr>
        <w:t>. In this assay setup, the limit for viral load detection was 725 copies/</w:t>
      </w:r>
      <w:proofErr w:type="spellStart"/>
      <w:r w:rsidR="001D3C34" w:rsidRPr="00E21748">
        <w:rPr>
          <w:rFonts w:asciiTheme="minorHAnsi" w:hAnsiTheme="minorHAnsi" w:cstheme="minorHAnsi"/>
          <w:lang w:eastAsia="da-DK"/>
        </w:rPr>
        <w:t>mL.</w:t>
      </w:r>
      <w:proofErr w:type="spellEnd"/>
      <w:r w:rsidR="001D3C34" w:rsidRPr="00E21748">
        <w:rPr>
          <w:rFonts w:asciiTheme="minorHAnsi" w:hAnsiTheme="minorHAnsi" w:cstheme="minorHAnsi"/>
          <w:lang w:eastAsia="da-DK"/>
        </w:rPr>
        <w:t xml:space="preserve"> Viral loads were all below the detection limit after 4 weeks of </w:t>
      </w:r>
      <w:proofErr w:type="spellStart"/>
      <w:r w:rsidR="001D3C34" w:rsidRPr="00E21748">
        <w:rPr>
          <w:rFonts w:asciiTheme="minorHAnsi" w:hAnsiTheme="minorHAnsi" w:cstheme="minorHAnsi"/>
          <w:lang w:eastAsia="da-DK"/>
        </w:rPr>
        <w:t>cART</w:t>
      </w:r>
      <w:proofErr w:type="spellEnd"/>
      <w:r w:rsidR="001D3C34" w:rsidRPr="00E21748">
        <w:rPr>
          <w:rFonts w:asciiTheme="minorHAnsi" w:hAnsiTheme="minorHAnsi" w:cstheme="minorHAnsi"/>
          <w:lang w:eastAsia="da-DK"/>
        </w:rPr>
        <w:t xml:space="preserve">. After cessation of </w:t>
      </w:r>
      <w:proofErr w:type="spellStart"/>
      <w:r w:rsidR="001D3C34" w:rsidRPr="00E21748">
        <w:rPr>
          <w:rFonts w:asciiTheme="minorHAnsi" w:hAnsiTheme="minorHAnsi" w:cstheme="minorHAnsi"/>
          <w:lang w:eastAsia="da-DK"/>
        </w:rPr>
        <w:t>cART</w:t>
      </w:r>
      <w:proofErr w:type="spellEnd"/>
      <w:r w:rsidR="001D3C34" w:rsidRPr="00E21748">
        <w:rPr>
          <w:rFonts w:asciiTheme="minorHAnsi" w:hAnsiTheme="minorHAnsi" w:cstheme="minorHAnsi"/>
          <w:lang w:eastAsia="da-DK"/>
        </w:rPr>
        <w:t xml:space="preserve">, </w:t>
      </w:r>
      <w:r w:rsidR="008507BE">
        <w:rPr>
          <w:rFonts w:asciiTheme="minorHAnsi" w:hAnsiTheme="minorHAnsi" w:cstheme="minorHAnsi"/>
          <w:lang w:eastAsia="da-DK"/>
        </w:rPr>
        <w:t xml:space="preserve">the </w:t>
      </w:r>
      <w:r w:rsidR="00486E12" w:rsidRPr="00E21748">
        <w:rPr>
          <w:rFonts w:asciiTheme="minorHAnsi" w:hAnsiTheme="minorHAnsi" w:cstheme="minorHAnsi"/>
          <w:lang w:eastAsia="da-DK"/>
        </w:rPr>
        <w:t>vir</w:t>
      </w:r>
      <w:r w:rsidR="000A726F" w:rsidRPr="00E21748">
        <w:rPr>
          <w:rFonts w:asciiTheme="minorHAnsi" w:hAnsiTheme="minorHAnsi" w:cstheme="minorHAnsi"/>
          <w:lang w:eastAsia="da-DK"/>
        </w:rPr>
        <w:t>us</w:t>
      </w:r>
      <w:r w:rsidR="00486E12" w:rsidRPr="00E21748">
        <w:rPr>
          <w:rFonts w:asciiTheme="minorHAnsi" w:hAnsiTheme="minorHAnsi" w:cstheme="minorHAnsi"/>
          <w:lang w:eastAsia="da-DK"/>
        </w:rPr>
        <w:t xml:space="preserve"> </w:t>
      </w:r>
      <w:r w:rsidR="001D3C34" w:rsidRPr="00E21748">
        <w:rPr>
          <w:rFonts w:asciiTheme="minorHAnsi" w:hAnsiTheme="minorHAnsi" w:cstheme="minorHAnsi"/>
          <w:lang w:eastAsia="da-DK"/>
        </w:rPr>
        <w:t>rebounded, mirroring clinical data</w:t>
      </w:r>
      <w:r w:rsidR="00A85CC2" w:rsidRPr="00E21748">
        <w:rPr>
          <w:rFonts w:asciiTheme="minorHAnsi" w:hAnsiTheme="minorHAnsi" w:cstheme="minorHAnsi"/>
          <w:noProof/>
          <w:vertAlign w:val="superscript"/>
          <w:lang w:eastAsia="da-DK"/>
        </w:rPr>
        <w:t>22</w:t>
      </w:r>
      <w:r w:rsidR="001D3C34" w:rsidRPr="00E21748">
        <w:rPr>
          <w:rFonts w:asciiTheme="minorHAnsi" w:hAnsiTheme="minorHAnsi" w:cstheme="minorHAnsi"/>
          <w:lang w:eastAsia="da-DK"/>
        </w:rPr>
        <w:t xml:space="preserve">. Mice on </w:t>
      </w:r>
      <w:proofErr w:type="spellStart"/>
      <w:r w:rsidR="001D3C34" w:rsidRPr="00E21748">
        <w:rPr>
          <w:rFonts w:asciiTheme="minorHAnsi" w:hAnsiTheme="minorHAnsi" w:cstheme="minorHAnsi"/>
          <w:lang w:eastAsia="da-DK"/>
        </w:rPr>
        <w:t>cART</w:t>
      </w:r>
      <w:proofErr w:type="spellEnd"/>
      <w:r w:rsidR="001D3C34" w:rsidRPr="00E21748">
        <w:rPr>
          <w:rFonts w:asciiTheme="minorHAnsi" w:hAnsiTheme="minorHAnsi" w:cstheme="minorHAnsi"/>
          <w:lang w:eastAsia="da-DK"/>
        </w:rPr>
        <w:t xml:space="preserve"> tolerated the change in diet well as indicated in </w:t>
      </w:r>
      <w:r w:rsidRPr="00E21748">
        <w:rPr>
          <w:rFonts w:asciiTheme="minorHAnsi" w:hAnsiTheme="minorHAnsi" w:cstheme="minorHAnsi"/>
          <w:b/>
          <w:lang w:eastAsia="da-DK"/>
        </w:rPr>
        <w:t>Figure 5C</w:t>
      </w:r>
      <w:r w:rsidR="001D3C34" w:rsidRPr="00E21748">
        <w:rPr>
          <w:rFonts w:asciiTheme="minorHAnsi" w:hAnsiTheme="minorHAnsi" w:cstheme="minorHAnsi"/>
          <w:lang w:eastAsia="da-DK"/>
        </w:rPr>
        <w:t>.</w:t>
      </w:r>
    </w:p>
    <w:p w14:paraId="7F5815FC" w14:textId="3133E33C" w:rsidR="004A71E4" w:rsidRPr="00E21748" w:rsidRDefault="004A71E4" w:rsidP="00E21748">
      <w:pPr>
        <w:snapToGrid w:val="0"/>
        <w:contextualSpacing/>
        <w:rPr>
          <w:rFonts w:asciiTheme="minorHAnsi" w:hAnsiTheme="minorHAnsi" w:cstheme="minorHAnsi"/>
          <w:color w:val="808080" w:themeColor="background1" w:themeShade="80"/>
        </w:rPr>
      </w:pPr>
    </w:p>
    <w:p w14:paraId="3C9083F6" w14:textId="7E1478F3" w:rsidR="00B32616" w:rsidRPr="00E21748" w:rsidRDefault="00B32616" w:rsidP="00E21748">
      <w:pPr>
        <w:snapToGrid w:val="0"/>
        <w:contextualSpacing/>
        <w:rPr>
          <w:rFonts w:asciiTheme="minorHAnsi" w:hAnsiTheme="minorHAnsi" w:cstheme="minorHAnsi"/>
          <w:bCs/>
          <w:color w:val="808080"/>
        </w:rPr>
      </w:pPr>
      <w:r w:rsidRPr="00E21748">
        <w:rPr>
          <w:rFonts w:asciiTheme="minorHAnsi" w:hAnsiTheme="minorHAnsi" w:cstheme="minorHAnsi"/>
          <w:b/>
        </w:rPr>
        <w:t xml:space="preserve">FIGURE </w:t>
      </w:r>
      <w:r w:rsidR="0013621E" w:rsidRPr="00E21748">
        <w:rPr>
          <w:rFonts w:asciiTheme="minorHAnsi" w:hAnsiTheme="minorHAnsi" w:cstheme="minorHAnsi"/>
          <w:b/>
        </w:rPr>
        <w:t xml:space="preserve">AND TABLE </w:t>
      </w:r>
      <w:r w:rsidRPr="00E21748">
        <w:rPr>
          <w:rFonts w:asciiTheme="minorHAnsi" w:hAnsiTheme="minorHAnsi" w:cstheme="minorHAnsi"/>
          <w:b/>
        </w:rPr>
        <w:t>LEGENDS:</w:t>
      </w:r>
    </w:p>
    <w:p w14:paraId="200DE9F0" w14:textId="719E9195" w:rsidR="009131F4" w:rsidRPr="00E21748" w:rsidRDefault="00E21748" w:rsidP="00E21748">
      <w:pPr>
        <w:snapToGrid w:val="0"/>
        <w:contextualSpacing/>
        <w:rPr>
          <w:rFonts w:asciiTheme="minorHAnsi" w:hAnsiTheme="minorHAnsi" w:cstheme="minorHAnsi"/>
        </w:rPr>
      </w:pPr>
      <w:r w:rsidRPr="00E21748">
        <w:rPr>
          <w:rFonts w:asciiTheme="minorHAnsi" w:hAnsiTheme="minorHAnsi" w:cstheme="minorHAnsi"/>
          <w:b/>
          <w:lang w:eastAsia="da-DK"/>
        </w:rPr>
        <w:t>Figure 1</w:t>
      </w:r>
      <w:r>
        <w:rPr>
          <w:rFonts w:asciiTheme="minorHAnsi" w:hAnsiTheme="minorHAnsi" w:cstheme="minorHAnsi"/>
          <w:b/>
          <w:lang w:eastAsia="da-DK"/>
        </w:rPr>
        <w:t>:</w:t>
      </w:r>
      <w:r w:rsidR="009131F4" w:rsidRPr="00E21748">
        <w:rPr>
          <w:rFonts w:asciiTheme="minorHAnsi" w:hAnsiTheme="minorHAnsi" w:cstheme="minorHAnsi"/>
          <w:b/>
          <w:lang w:eastAsia="da-DK"/>
        </w:rPr>
        <w:t xml:space="preserve"> Representative flow cytometry gating strategy for validation of stem cell purity and CCR5 donor variant status. </w:t>
      </w:r>
      <w:r w:rsidR="000B21E1" w:rsidRPr="005C2511">
        <w:rPr>
          <w:rFonts w:asciiTheme="minorHAnsi" w:hAnsiTheme="minorHAnsi" w:cstheme="minorHAnsi"/>
          <w:bCs/>
          <w:lang w:eastAsia="da-DK"/>
        </w:rPr>
        <w:t>(</w:t>
      </w:r>
      <w:r w:rsidR="009131F4" w:rsidRPr="005C2511">
        <w:rPr>
          <w:rFonts w:asciiTheme="minorHAnsi" w:hAnsiTheme="minorHAnsi" w:cstheme="minorHAnsi"/>
          <w:b/>
          <w:bCs/>
          <w:lang w:eastAsia="da-DK"/>
        </w:rPr>
        <w:t>A</w:t>
      </w:r>
      <w:r w:rsidR="000B21E1" w:rsidRPr="00960CA7">
        <w:rPr>
          <w:rFonts w:asciiTheme="minorHAnsi" w:hAnsiTheme="minorHAnsi" w:cstheme="minorHAnsi"/>
          <w:lang w:eastAsia="da-DK"/>
        </w:rPr>
        <w:t>–</w:t>
      </w:r>
      <w:r w:rsidR="009131F4" w:rsidRPr="005C2511">
        <w:rPr>
          <w:rFonts w:asciiTheme="minorHAnsi" w:hAnsiTheme="minorHAnsi" w:cstheme="minorHAnsi"/>
          <w:b/>
          <w:bCs/>
          <w:lang w:eastAsia="da-DK"/>
        </w:rPr>
        <w:t>C</w:t>
      </w:r>
      <w:r w:rsidR="000B21E1">
        <w:rPr>
          <w:rFonts w:asciiTheme="minorHAnsi" w:hAnsiTheme="minorHAnsi" w:cstheme="minorHAnsi"/>
          <w:lang w:eastAsia="da-DK"/>
        </w:rPr>
        <w:t>)</w:t>
      </w:r>
      <w:r w:rsidR="009131F4" w:rsidRPr="005C2511">
        <w:rPr>
          <w:rFonts w:asciiTheme="minorHAnsi" w:hAnsiTheme="minorHAnsi" w:cstheme="minorHAnsi"/>
          <w:b/>
          <w:bCs/>
          <w:lang w:eastAsia="da-DK"/>
        </w:rPr>
        <w:t xml:space="preserve"> </w:t>
      </w:r>
      <w:r w:rsidR="00956648" w:rsidRPr="00E21748">
        <w:rPr>
          <w:rFonts w:asciiTheme="minorHAnsi" w:hAnsiTheme="minorHAnsi" w:cstheme="minorHAnsi"/>
          <w:lang w:eastAsia="da-DK"/>
        </w:rPr>
        <w:t xml:space="preserve">The </w:t>
      </w:r>
      <w:r w:rsidR="009131F4" w:rsidRPr="00E21748">
        <w:rPr>
          <w:rFonts w:asciiTheme="minorHAnsi" w:hAnsiTheme="minorHAnsi" w:cstheme="minorHAnsi"/>
          <w:lang w:eastAsia="da-DK"/>
        </w:rPr>
        <w:t xml:space="preserve">gating strategy used for the isolated CD34+ cell population. Doublets and debris are excluded in panel </w:t>
      </w:r>
      <w:r w:rsidR="009131F4" w:rsidRPr="005C2511">
        <w:rPr>
          <w:rFonts w:asciiTheme="minorHAnsi" w:hAnsiTheme="minorHAnsi" w:cstheme="minorHAnsi"/>
          <w:b/>
          <w:bCs/>
          <w:lang w:eastAsia="da-DK"/>
        </w:rPr>
        <w:t>A</w:t>
      </w:r>
      <w:r w:rsidR="009131F4" w:rsidRPr="00E21748">
        <w:rPr>
          <w:rFonts w:asciiTheme="minorHAnsi" w:hAnsiTheme="minorHAnsi" w:cstheme="minorHAnsi"/>
          <w:lang w:eastAsia="da-DK"/>
        </w:rPr>
        <w:t xml:space="preserve"> and </w:t>
      </w:r>
      <w:r w:rsidR="009131F4" w:rsidRPr="005C2511">
        <w:rPr>
          <w:rFonts w:asciiTheme="minorHAnsi" w:hAnsiTheme="minorHAnsi" w:cstheme="minorHAnsi"/>
          <w:b/>
          <w:bCs/>
          <w:lang w:eastAsia="da-DK"/>
        </w:rPr>
        <w:t>B</w:t>
      </w:r>
      <w:r w:rsidR="009131F4" w:rsidRPr="00E21748">
        <w:rPr>
          <w:rFonts w:asciiTheme="minorHAnsi" w:hAnsiTheme="minorHAnsi" w:cstheme="minorHAnsi"/>
          <w:lang w:eastAsia="da-DK"/>
        </w:rPr>
        <w:t xml:space="preserve"> respectively (FSC-A vs</w:t>
      </w:r>
      <w:r w:rsidR="000B21E1">
        <w:rPr>
          <w:rFonts w:asciiTheme="minorHAnsi" w:hAnsiTheme="minorHAnsi" w:cstheme="minorHAnsi"/>
          <w:lang w:eastAsia="da-DK"/>
        </w:rPr>
        <w:t>.</w:t>
      </w:r>
      <w:r w:rsidR="009131F4" w:rsidRPr="00E21748">
        <w:rPr>
          <w:rFonts w:asciiTheme="minorHAnsi" w:hAnsiTheme="minorHAnsi" w:cstheme="minorHAnsi"/>
          <w:lang w:eastAsia="da-DK"/>
        </w:rPr>
        <w:t xml:space="preserve"> FSC-H and FSC-A vs</w:t>
      </w:r>
      <w:r w:rsidR="000B21E1">
        <w:rPr>
          <w:rFonts w:asciiTheme="minorHAnsi" w:hAnsiTheme="minorHAnsi" w:cstheme="minorHAnsi"/>
          <w:lang w:eastAsia="da-DK"/>
        </w:rPr>
        <w:t>.</w:t>
      </w:r>
      <w:r w:rsidR="009131F4" w:rsidRPr="00E21748">
        <w:rPr>
          <w:rFonts w:asciiTheme="minorHAnsi" w:hAnsiTheme="minorHAnsi" w:cstheme="minorHAnsi"/>
          <w:lang w:eastAsia="da-DK"/>
        </w:rPr>
        <w:t xml:space="preserve"> SSC-A). </w:t>
      </w:r>
      <w:r w:rsidR="00956648">
        <w:rPr>
          <w:rFonts w:asciiTheme="minorHAnsi" w:hAnsiTheme="minorHAnsi" w:cstheme="minorHAnsi"/>
          <w:lang w:eastAsia="da-DK"/>
        </w:rPr>
        <w:t>(</w:t>
      </w:r>
      <w:r w:rsidR="009131F4" w:rsidRPr="005C2511">
        <w:rPr>
          <w:rFonts w:asciiTheme="minorHAnsi" w:hAnsiTheme="minorHAnsi" w:cstheme="minorHAnsi"/>
          <w:b/>
          <w:bCs/>
          <w:lang w:eastAsia="da-DK"/>
        </w:rPr>
        <w:t>C</w:t>
      </w:r>
      <w:r w:rsidR="00956648">
        <w:rPr>
          <w:rFonts w:asciiTheme="minorHAnsi" w:hAnsiTheme="minorHAnsi" w:cstheme="minorHAnsi"/>
          <w:lang w:eastAsia="da-DK"/>
        </w:rPr>
        <w:t>)</w:t>
      </w:r>
      <w:r w:rsidR="009131F4" w:rsidRPr="00E21748">
        <w:rPr>
          <w:rFonts w:asciiTheme="minorHAnsi" w:hAnsiTheme="minorHAnsi" w:cstheme="minorHAnsi"/>
          <w:lang w:eastAsia="da-DK"/>
        </w:rPr>
        <w:t xml:space="preserve"> </w:t>
      </w:r>
      <w:r w:rsidR="00956648" w:rsidRPr="00E21748">
        <w:rPr>
          <w:rFonts w:asciiTheme="minorHAnsi" w:hAnsiTheme="minorHAnsi" w:cstheme="minorHAnsi"/>
          <w:lang w:eastAsia="da-DK"/>
        </w:rPr>
        <w:t xml:space="preserve">The </w:t>
      </w:r>
      <w:r w:rsidR="009131F4" w:rsidRPr="00E21748">
        <w:rPr>
          <w:rFonts w:asciiTheme="minorHAnsi" w:hAnsiTheme="minorHAnsi" w:cstheme="minorHAnsi"/>
          <w:lang w:eastAsia="da-DK"/>
        </w:rPr>
        <w:t xml:space="preserve">frequency of CD34+ stem cells and CD3+ T cell contamination. </w:t>
      </w:r>
      <w:r w:rsidR="00956648">
        <w:rPr>
          <w:rFonts w:asciiTheme="minorHAnsi" w:hAnsiTheme="minorHAnsi" w:cstheme="minorHAnsi"/>
          <w:lang w:eastAsia="da-DK"/>
        </w:rPr>
        <w:t>(</w:t>
      </w:r>
      <w:r w:rsidR="00956648" w:rsidRPr="005C2511">
        <w:rPr>
          <w:rFonts w:asciiTheme="minorHAnsi" w:hAnsiTheme="minorHAnsi" w:cstheme="minorHAnsi"/>
          <w:b/>
          <w:bCs/>
          <w:lang w:eastAsia="da-DK"/>
        </w:rPr>
        <w:t>D</w:t>
      </w:r>
      <w:r w:rsidR="00956648" w:rsidRPr="009513DC">
        <w:rPr>
          <w:rFonts w:asciiTheme="minorHAnsi" w:hAnsiTheme="minorHAnsi" w:cstheme="minorHAnsi"/>
          <w:lang w:eastAsia="da-DK"/>
        </w:rPr>
        <w:t>–</w:t>
      </w:r>
      <w:r w:rsidR="00956648" w:rsidRPr="005C2511">
        <w:rPr>
          <w:rFonts w:asciiTheme="minorHAnsi" w:hAnsiTheme="minorHAnsi" w:cstheme="minorHAnsi"/>
          <w:b/>
          <w:bCs/>
          <w:lang w:eastAsia="da-DK"/>
        </w:rPr>
        <w:t>F</w:t>
      </w:r>
      <w:r w:rsidR="00956648">
        <w:rPr>
          <w:rFonts w:asciiTheme="minorHAnsi" w:hAnsiTheme="minorHAnsi" w:cstheme="minorHAnsi"/>
          <w:lang w:eastAsia="da-DK"/>
        </w:rPr>
        <w:t>)</w:t>
      </w:r>
      <w:r w:rsidR="009131F4" w:rsidRPr="00E21748">
        <w:rPr>
          <w:rFonts w:asciiTheme="minorHAnsi" w:hAnsiTheme="minorHAnsi" w:cstheme="minorHAnsi"/>
          <w:lang w:eastAsia="da-DK"/>
        </w:rPr>
        <w:t xml:space="preserve"> </w:t>
      </w:r>
      <w:r w:rsidR="00956648" w:rsidRPr="00E21748">
        <w:rPr>
          <w:rFonts w:asciiTheme="minorHAnsi" w:hAnsiTheme="minorHAnsi" w:cstheme="minorHAnsi"/>
          <w:lang w:eastAsia="da-DK"/>
        </w:rPr>
        <w:t xml:space="preserve">The </w:t>
      </w:r>
      <w:r w:rsidR="00083277">
        <w:rPr>
          <w:rFonts w:asciiTheme="minorHAnsi" w:hAnsiTheme="minorHAnsi" w:cstheme="minorHAnsi"/>
          <w:lang w:eastAsia="da-DK"/>
        </w:rPr>
        <w:t>CD34-</w:t>
      </w:r>
      <w:r w:rsidR="009131F4" w:rsidRPr="00E21748">
        <w:rPr>
          <w:rFonts w:asciiTheme="minorHAnsi" w:hAnsiTheme="minorHAnsi" w:cstheme="minorHAnsi"/>
          <w:lang w:eastAsia="da-DK"/>
        </w:rPr>
        <w:t xml:space="preserve"> flow-through gating strategy. Percentages in gates are calculated as a fraction of the parent</w:t>
      </w:r>
      <w:r w:rsidR="00C060D8" w:rsidRPr="00E21748">
        <w:rPr>
          <w:rFonts w:asciiTheme="minorHAnsi" w:hAnsiTheme="minorHAnsi" w:cstheme="minorHAnsi"/>
          <w:lang w:eastAsia="da-DK"/>
        </w:rPr>
        <w:t xml:space="preserve"> population. </w:t>
      </w:r>
      <w:r w:rsidR="00956648">
        <w:rPr>
          <w:rFonts w:asciiTheme="minorHAnsi" w:hAnsiTheme="minorHAnsi" w:cstheme="minorHAnsi"/>
          <w:lang w:eastAsia="da-DK"/>
        </w:rPr>
        <w:t>(</w:t>
      </w:r>
      <w:r w:rsidR="00956648" w:rsidRPr="005C2511">
        <w:rPr>
          <w:rFonts w:asciiTheme="minorHAnsi" w:hAnsiTheme="minorHAnsi" w:cstheme="minorHAnsi"/>
          <w:b/>
          <w:bCs/>
        </w:rPr>
        <w:t>G</w:t>
      </w:r>
      <w:r w:rsidR="00956648">
        <w:rPr>
          <w:rFonts w:asciiTheme="minorHAnsi" w:hAnsiTheme="minorHAnsi" w:cstheme="minorHAnsi"/>
          <w:lang w:eastAsia="da-DK"/>
        </w:rPr>
        <w:t>)</w:t>
      </w:r>
      <w:r w:rsidR="00956648" w:rsidRPr="00E21748">
        <w:rPr>
          <w:rFonts w:asciiTheme="minorHAnsi" w:hAnsiTheme="minorHAnsi" w:cstheme="minorHAnsi"/>
          <w:lang w:eastAsia="da-DK"/>
        </w:rPr>
        <w:t xml:space="preserve"> </w:t>
      </w:r>
      <w:r w:rsidR="00C060D8" w:rsidRPr="00E21748">
        <w:rPr>
          <w:rFonts w:asciiTheme="minorHAnsi" w:hAnsiTheme="minorHAnsi" w:cstheme="minorHAnsi"/>
          <w:lang w:eastAsia="da-DK"/>
        </w:rPr>
        <w:t xml:space="preserve">The results of </w:t>
      </w:r>
      <w:r w:rsidR="009131F4" w:rsidRPr="00E21748">
        <w:rPr>
          <w:rFonts w:asciiTheme="minorHAnsi" w:hAnsiTheme="minorHAnsi" w:cstheme="minorHAnsi"/>
          <w:lang w:eastAsia="da-DK"/>
        </w:rPr>
        <w:t xml:space="preserve">a </w:t>
      </w:r>
      <w:r w:rsidR="009131F4" w:rsidRPr="00E21748">
        <w:rPr>
          <w:rFonts w:asciiTheme="minorHAnsi" w:hAnsiTheme="minorHAnsi" w:cstheme="minorHAnsi"/>
          <w:i/>
          <w:lang w:eastAsia="da-DK"/>
        </w:rPr>
        <w:t>CCR5</w:t>
      </w:r>
      <w:r w:rsidR="009131F4" w:rsidRPr="00E21748">
        <w:rPr>
          <w:rFonts w:asciiTheme="minorHAnsi" w:hAnsiTheme="minorHAnsi" w:cstheme="minorHAnsi"/>
          <w:vertAlign w:val="superscript"/>
        </w:rPr>
        <w:t>Δ32/</w:t>
      </w:r>
      <w:proofErr w:type="spellStart"/>
      <w:r w:rsidR="009131F4" w:rsidRPr="00E21748">
        <w:rPr>
          <w:rFonts w:asciiTheme="minorHAnsi" w:hAnsiTheme="minorHAnsi" w:cstheme="minorHAnsi"/>
          <w:i/>
          <w:vertAlign w:val="superscript"/>
        </w:rPr>
        <w:t>wt</w:t>
      </w:r>
      <w:proofErr w:type="spellEnd"/>
      <w:r w:rsidR="009131F4" w:rsidRPr="00E21748">
        <w:rPr>
          <w:rFonts w:asciiTheme="minorHAnsi" w:hAnsiTheme="minorHAnsi" w:cstheme="minorHAnsi"/>
        </w:rPr>
        <w:t xml:space="preserve"> PCR </w:t>
      </w:r>
      <w:r w:rsidR="00D478DF" w:rsidRPr="00E21748">
        <w:rPr>
          <w:rFonts w:asciiTheme="minorHAnsi" w:hAnsiTheme="minorHAnsi" w:cstheme="minorHAnsi"/>
        </w:rPr>
        <w:t>analys</w:t>
      </w:r>
      <w:r w:rsidR="00956648">
        <w:rPr>
          <w:rFonts w:asciiTheme="minorHAnsi" w:hAnsiTheme="minorHAnsi" w:cstheme="minorHAnsi"/>
        </w:rPr>
        <w:t>i</w:t>
      </w:r>
      <w:r w:rsidR="00D478DF" w:rsidRPr="00E21748">
        <w:rPr>
          <w:rFonts w:asciiTheme="minorHAnsi" w:hAnsiTheme="minorHAnsi" w:cstheme="minorHAnsi"/>
        </w:rPr>
        <w:t>s</w:t>
      </w:r>
      <w:r w:rsidR="009131F4" w:rsidRPr="00E21748">
        <w:rPr>
          <w:rFonts w:asciiTheme="minorHAnsi" w:hAnsiTheme="minorHAnsi" w:cstheme="minorHAnsi"/>
        </w:rPr>
        <w:t xml:space="preserve">. Lane 1: </w:t>
      </w:r>
      <w:r w:rsidR="009131F4" w:rsidRPr="00E21748">
        <w:rPr>
          <w:rFonts w:asciiTheme="minorHAnsi" w:hAnsiTheme="minorHAnsi" w:cstheme="minorHAnsi"/>
          <w:lang w:eastAsia="da-DK"/>
        </w:rPr>
        <w:t xml:space="preserve">DNA from a human </w:t>
      </w:r>
      <w:r w:rsidR="009131F4" w:rsidRPr="00E21748">
        <w:rPr>
          <w:rFonts w:asciiTheme="minorHAnsi" w:hAnsiTheme="minorHAnsi" w:cstheme="minorHAnsi"/>
          <w:i/>
          <w:lang w:eastAsia="da-DK"/>
        </w:rPr>
        <w:t>CCR5</w:t>
      </w:r>
      <w:r w:rsidR="009131F4" w:rsidRPr="00E21748">
        <w:rPr>
          <w:rFonts w:asciiTheme="minorHAnsi" w:hAnsiTheme="minorHAnsi" w:cstheme="minorHAnsi"/>
          <w:vertAlign w:val="superscript"/>
        </w:rPr>
        <w:t>Δ32/</w:t>
      </w:r>
      <w:proofErr w:type="spellStart"/>
      <w:r w:rsidR="009131F4" w:rsidRPr="00E21748">
        <w:rPr>
          <w:rFonts w:asciiTheme="minorHAnsi" w:hAnsiTheme="minorHAnsi" w:cstheme="minorHAnsi"/>
          <w:i/>
          <w:vertAlign w:val="superscript"/>
        </w:rPr>
        <w:t>wt</w:t>
      </w:r>
      <w:proofErr w:type="spellEnd"/>
      <w:r w:rsidR="009131F4" w:rsidRPr="00E21748">
        <w:rPr>
          <w:rFonts w:asciiTheme="minorHAnsi" w:hAnsiTheme="minorHAnsi" w:cstheme="minorHAnsi"/>
          <w:i/>
          <w:vertAlign w:val="superscript"/>
        </w:rPr>
        <w:t xml:space="preserve"> </w:t>
      </w:r>
      <w:r w:rsidR="009131F4" w:rsidRPr="00E21748">
        <w:rPr>
          <w:rFonts w:asciiTheme="minorHAnsi" w:hAnsiTheme="minorHAnsi" w:cstheme="minorHAnsi"/>
        </w:rPr>
        <w:t>donor, lane</w:t>
      </w:r>
      <w:r w:rsidR="00956648">
        <w:rPr>
          <w:rFonts w:asciiTheme="minorHAnsi" w:hAnsiTheme="minorHAnsi" w:cstheme="minorHAnsi"/>
        </w:rPr>
        <w:t>s</w:t>
      </w:r>
      <w:r w:rsidR="009131F4" w:rsidRPr="00E21748">
        <w:rPr>
          <w:rFonts w:asciiTheme="minorHAnsi" w:hAnsiTheme="minorHAnsi" w:cstheme="minorHAnsi"/>
        </w:rPr>
        <w:t xml:space="preserve"> 2</w:t>
      </w:r>
      <w:r w:rsidR="00956648">
        <w:rPr>
          <w:rFonts w:asciiTheme="minorHAnsi" w:hAnsiTheme="minorHAnsi" w:cstheme="minorHAnsi"/>
        </w:rPr>
        <w:t xml:space="preserve"> and </w:t>
      </w:r>
      <w:r w:rsidR="009131F4" w:rsidRPr="00E21748">
        <w:rPr>
          <w:rFonts w:asciiTheme="minorHAnsi" w:hAnsiTheme="minorHAnsi" w:cstheme="minorHAnsi"/>
        </w:rPr>
        <w:t xml:space="preserve">3: two </w:t>
      </w:r>
      <w:r w:rsidR="009131F4" w:rsidRPr="00E21748">
        <w:rPr>
          <w:rFonts w:asciiTheme="minorHAnsi" w:hAnsiTheme="minorHAnsi" w:cstheme="minorHAnsi"/>
          <w:i/>
          <w:lang w:eastAsia="da-DK"/>
        </w:rPr>
        <w:t>CCR5</w:t>
      </w:r>
      <w:r w:rsidR="009131F4" w:rsidRPr="00E21748">
        <w:rPr>
          <w:rFonts w:asciiTheme="minorHAnsi" w:hAnsiTheme="minorHAnsi" w:cstheme="minorHAnsi"/>
          <w:vertAlign w:val="superscript"/>
        </w:rPr>
        <w:t>wt/</w:t>
      </w:r>
      <w:proofErr w:type="spellStart"/>
      <w:r w:rsidR="009131F4" w:rsidRPr="00E21748">
        <w:rPr>
          <w:rFonts w:asciiTheme="minorHAnsi" w:hAnsiTheme="minorHAnsi" w:cstheme="minorHAnsi"/>
          <w:i/>
          <w:vertAlign w:val="superscript"/>
        </w:rPr>
        <w:t>wt</w:t>
      </w:r>
      <w:proofErr w:type="spellEnd"/>
      <w:r w:rsidR="009131F4" w:rsidRPr="00E21748">
        <w:rPr>
          <w:rFonts w:asciiTheme="minorHAnsi" w:hAnsiTheme="minorHAnsi" w:cstheme="minorHAnsi"/>
        </w:rPr>
        <w:t xml:space="preserve"> human stem cell donors, lane 4: </w:t>
      </w:r>
      <w:r w:rsidR="009131F4" w:rsidRPr="00E21748">
        <w:rPr>
          <w:rFonts w:asciiTheme="minorHAnsi" w:hAnsiTheme="minorHAnsi" w:cstheme="minorHAnsi"/>
          <w:lang w:eastAsia="da-DK"/>
        </w:rPr>
        <w:t xml:space="preserve">A </w:t>
      </w:r>
      <w:r w:rsidR="009131F4" w:rsidRPr="00E21748">
        <w:rPr>
          <w:rFonts w:asciiTheme="minorHAnsi" w:hAnsiTheme="minorHAnsi" w:cstheme="minorHAnsi"/>
          <w:i/>
          <w:lang w:eastAsia="da-DK"/>
        </w:rPr>
        <w:t>CCR5</w:t>
      </w:r>
      <w:r w:rsidR="009131F4" w:rsidRPr="00E21748">
        <w:rPr>
          <w:rFonts w:asciiTheme="minorHAnsi" w:hAnsiTheme="minorHAnsi" w:cstheme="minorHAnsi"/>
          <w:vertAlign w:val="superscript"/>
        </w:rPr>
        <w:t>Δ32/</w:t>
      </w:r>
      <w:proofErr w:type="spellStart"/>
      <w:r w:rsidR="009131F4" w:rsidRPr="00E21748">
        <w:rPr>
          <w:rFonts w:asciiTheme="minorHAnsi" w:hAnsiTheme="minorHAnsi" w:cstheme="minorHAnsi"/>
          <w:i/>
          <w:vertAlign w:val="superscript"/>
        </w:rPr>
        <w:t>wt</w:t>
      </w:r>
      <w:proofErr w:type="spellEnd"/>
      <w:r w:rsidR="009131F4" w:rsidRPr="00E21748">
        <w:rPr>
          <w:rFonts w:asciiTheme="minorHAnsi" w:hAnsiTheme="minorHAnsi" w:cstheme="minorHAnsi"/>
        </w:rPr>
        <w:t xml:space="preserve"> human stem cell donor. </w:t>
      </w:r>
      <w:r w:rsidR="00956648">
        <w:rPr>
          <w:rFonts w:asciiTheme="minorHAnsi" w:hAnsiTheme="minorHAnsi" w:cstheme="minorHAnsi"/>
        </w:rPr>
        <w:t>(</w:t>
      </w:r>
      <w:r w:rsidR="00956648" w:rsidRPr="005C2511">
        <w:rPr>
          <w:rFonts w:asciiTheme="minorHAnsi" w:hAnsiTheme="minorHAnsi" w:cstheme="minorHAnsi"/>
          <w:b/>
          <w:bCs/>
        </w:rPr>
        <w:t>H</w:t>
      </w:r>
      <w:r w:rsidR="00956648">
        <w:rPr>
          <w:rFonts w:asciiTheme="minorHAnsi" w:hAnsiTheme="minorHAnsi" w:cstheme="minorHAnsi"/>
        </w:rPr>
        <w:t>)</w:t>
      </w:r>
      <w:r w:rsidR="00956648" w:rsidRPr="00E21748">
        <w:rPr>
          <w:rFonts w:asciiTheme="minorHAnsi" w:hAnsiTheme="minorHAnsi" w:cstheme="minorHAnsi"/>
        </w:rPr>
        <w:t xml:space="preserve"> </w:t>
      </w:r>
      <w:r w:rsidR="009131F4" w:rsidRPr="00E21748">
        <w:rPr>
          <w:rFonts w:asciiTheme="minorHAnsi" w:hAnsiTheme="minorHAnsi" w:cstheme="minorHAnsi"/>
        </w:rPr>
        <w:t xml:space="preserve">Frequency of the genotype </w:t>
      </w:r>
      <w:r w:rsidR="009131F4" w:rsidRPr="00E21748">
        <w:rPr>
          <w:rFonts w:asciiTheme="minorHAnsi" w:hAnsiTheme="minorHAnsi" w:cstheme="minorHAnsi"/>
          <w:i/>
          <w:lang w:eastAsia="da-DK"/>
        </w:rPr>
        <w:t>CCR5</w:t>
      </w:r>
      <w:r w:rsidR="009131F4" w:rsidRPr="00E21748">
        <w:rPr>
          <w:rFonts w:asciiTheme="minorHAnsi" w:hAnsiTheme="minorHAnsi" w:cstheme="minorHAnsi"/>
          <w:vertAlign w:val="superscript"/>
        </w:rPr>
        <w:t>Δ32/</w:t>
      </w:r>
      <w:proofErr w:type="spellStart"/>
      <w:r w:rsidR="009131F4" w:rsidRPr="00E21748">
        <w:rPr>
          <w:rFonts w:asciiTheme="minorHAnsi" w:hAnsiTheme="minorHAnsi" w:cstheme="minorHAnsi"/>
          <w:i/>
          <w:vertAlign w:val="superscript"/>
        </w:rPr>
        <w:t>wt</w:t>
      </w:r>
      <w:proofErr w:type="spellEnd"/>
      <w:r w:rsidR="009131F4" w:rsidRPr="00E21748">
        <w:rPr>
          <w:rFonts w:asciiTheme="minorHAnsi" w:hAnsiTheme="minorHAnsi" w:cstheme="minorHAnsi"/>
          <w:i/>
          <w:vertAlign w:val="superscript"/>
        </w:rPr>
        <w:t xml:space="preserve"> </w:t>
      </w:r>
      <w:r w:rsidR="009131F4" w:rsidRPr="00E21748">
        <w:rPr>
          <w:rFonts w:asciiTheme="minorHAnsi" w:hAnsiTheme="minorHAnsi" w:cstheme="minorHAnsi"/>
        </w:rPr>
        <w:t>in our group of 19 stem cell samples is 15.8%.</w:t>
      </w:r>
    </w:p>
    <w:p w14:paraId="57424737" w14:textId="77777777" w:rsidR="00E50CBE" w:rsidRPr="00E21748" w:rsidRDefault="00E50CBE" w:rsidP="00E21748">
      <w:pPr>
        <w:snapToGrid w:val="0"/>
        <w:contextualSpacing/>
        <w:rPr>
          <w:rFonts w:asciiTheme="minorHAnsi" w:hAnsiTheme="minorHAnsi" w:cstheme="minorHAnsi"/>
          <w:lang w:eastAsia="da-DK"/>
        </w:rPr>
      </w:pPr>
    </w:p>
    <w:p w14:paraId="489F37D8" w14:textId="2BD23767" w:rsidR="009131F4" w:rsidRPr="00E21748" w:rsidRDefault="00E21748" w:rsidP="00E21748">
      <w:pPr>
        <w:snapToGrid w:val="0"/>
        <w:contextualSpacing/>
        <w:rPr>
          <w:rFonts w:asciiTheme="minorHAnsi" w:hAnsiTheme="minorHAnsi" w:cstheme="minorHAnsi"/>
          <w:lang w:eastAsia="da-DK"/>
        </w:rPr>
      </w:pPr>
      <w:r w:rsidRPr="00E21748">
        <w:rPr>
          <w:rFonts w:asciiTheme="minorHAnsi" w:hAnsiTheme="minorHAnsi" w:cstheme="minorHAnsi"/>
          <w:b/>
          <w:lang w:eastAsia="da-DK"/>
        </w:rPr>
        <w:t>Figure 2</w:t>
      </w:r>
      <w:r>
        <w:rPr>
          <w:rFonts w:asciiTheme="minorHAnsi" w:hAnsiTheme="minorHAnsi" w:cstheme="minorHAnsi"/>
          <w:b/>
          <w:lang w:eastAsia="da-DK"/>
        </w:rPr>
        <w:t>:</w:t>
      </w:r>
      <w:r w:rsidR="009131F4" w:rsidRPr="00E21748">
        <w:rPr>
          <w:rFonts w:asciiTheme="minorHAnsi" w:hAnsiTheme="minorHAnsi" w:cstheme="minorHAnsi"/>
          <w:b/>
          <w:lang w:eastAsia="da-DK"/>
        </w:rPr>
        <w:t xml:space="preserve"> Flow cytometry gating strategy for validation of human cell engraftment and differentiation</w:t>
      </w:r>
      <w:r>
        <w:rPr>
          <w:rFonts w:asciiTheme="minorHAnsi" w:hAnsiTheme="minorHAnsi" w:cstheme="minorHAnsi"/>
          <w:b/>
          <w:lang w:eastAsia="da-DK"/>
        </w:rPr>
        <w:t xml:space="preserve">. </w:t>
      </w:r>
      <w:r w:rsidR="009131F4" w:rsidRPr="00E21748">
        <w:rPr>
          <w:rFonts w:asciiTheme="minorHAnsi" w:hAnsiTheme="minorHAnsi" w:cstheme="minorHAnsi"/>
          <w:lang w:eastAsia="da-DK"/>
        </w:rPr>
        <w:t xml:space="preserve">The total mononuclear cell population from humanized mice </w:t>
      </w:r>
      <w:r w:rsidR="00956648">
        <w:rPr>
          <w:rFonts w:asciiTheme="minorHAnsi" w:hAnsiTheme="minorHAnsi" w:cstheme="minorHAnsi"/>
          <w:lang w:eastAsia="da-DK"/>
        </w:rPr>
        <w:t>was</w:t>
      </w:r>
      <w:r w:rsidR="00956648" w:rsidRPr="00E21748">
        <w:rPr>
          <w:rFonts w:asciiTheme="minorHAnsi" w:hAnsiTheme="minorHAnsi" w:cstheme="minorHAnsi"/>
          <w:lang w:eastAsia="da-DK"/>
        </w:rPr>
        <w:t xml:space="preserve"> </w:t>
      </w:r>
      <w:r w:rsidR="009131F4" w:rsidRPr="00E21748">
        <w:rPr>
          <w:rFonts w:asciiTheme="minorHAnsi" w:hAnsiTheme="minorHAnsi" w:cstheme="minorHAnsi"/>
          <w:lang w:eastAsia="da-DK"/>
        </w:rPr>
        <w:t xml:space="preserve">analyzed via flow cytometry. </w:t>
      </w:r>
      <w:r w:rsidR="00956648">
        <w:rPr>
          <w:rFonts w:asciiTheme="minorHAnsi" w:hAnsiTheme="minorHAnsi" w:cstheme="minorHAnsi"/>
          <w:lang w:eastAsia="da-DK"/>
        </w:rPr>
        <w:t>(</w:t>
      </w:r>
      <w:r w:rsidR="00956648" w:rsidRPr="005C2511">
        <w:rPr>
          <w:rFonts w:asciiTheme="minorHAnsi" w:hAnsiTheme="minorHAnsi" w:cstheme="minorHAnsi"/>
          <w:b/>
          <w:bCs/>
          <w:lang w:eastAsia="da-DK"/>
        </w:rPr>
        <w:t>A</w:t>
      </w:r>
      <w:r w:rsidR="00956648">
        <w:rPr>
          <w:rFonts w:asciiTheme="minorHAnsi" w:hAnsiTheme="minorHAnsi" w:cstheme="minorHAnsi"/>
          <w:lang w:eastAsia="da-DK"/>
        </w:rPr>
        <w:t>)</w:t>
      </w:r>
      <w:r w:rsidR="00956648" w:rsidRPr="00E21748">
        <w:rPr>
          <w:rFonts w:asciiTheme="minorHAnsi" w:hAnsiTheme="minorHAnsi" w:cstheme="minorHAnsi"/>
          <w:lang w:eastAsia="da-DK"/>
        </w:rPr>
        <w:t xml:space="preserve"> </w:t>
      </w:r>
      <w:r w:rsidR="009131F4" w:rsidRPr="00E21748">
        <w:rPr>
          <w:rFonts w:asciiTheme="minorHAnsi" w:hAnsiTheme="minorHAnsi" w:cstheme="minorHAnsi"/>
          <w:lang w:eastAsia="da-DK"/>
        </w:rPr>
        <w:t xml:space="preserve">The percentage of human CD45+ cells </w:t>
      </w:r>
      <w:proofErr w:type="gramStart"/>
      <w:r w:rsidR="009131F4" w:rsidRPr="00E21748">
        <w:rPr>
          <w:rFonts w:asciiTheme="minorHAnsi" w:hAnsiTheme="minorHAnsi" w:cstheme="minorHAnsi"/>
          <w:lang w:eastAsia="da-DK"/>
        </w:rPr>
        <w:t>was</w:t>
      </w:r>
      <w:proofErr w:type="gramEnd"/>
      <w:r w:rsidR="009131F4" w:rsidRPr="00E21748">
        <w:rPr>
          <w:rFonts w:asciiTheme="minorHAnsi" w:hAnsiTheme="minorHAnsi" w:cstheme="minorHAnsi"/>
          <w:lang w:eastAsia="da-DK"/>
        </w:rPr>
        <w:t xml:space="preserve"> determined as a fraction of the total recorded events. </w:t>
      </w:r>
      <w:r w:rsidR="00956648">
        <w:rPr>
          <w:rFonts w:asciiTheme="minorHAnsi" w:hAnsiTheme="minorHAnsi" w:cstheme="minorHAnsi"/>
          <w:lang w:eastAsia="da-DK"/>
        </w:rPr>
        <w:t>(</w:t>
      </w:r>
      <w:r w:rsidR="00956648" w:rsidRPr="005C2511">
        <w:rPr>
          <w:rFonts w:asciiTheme="minorHAnsi" w:hAnsiTheme="minorHAnsi" w:cstheme="minorHAnsi"/>
          <w:b/>
          <w:bCs/>
          <w:lang w:eastAsia="da-DK"/>
        </w:rPr>
        <w:t>B</w:t>
      </w:r>
      <w:r w:rsidR="00956648">
        <w:rPr>
          <w:rFonts w:asciiTheme="minorHAnsi" w:hAnsiTheme="minorHAnsi" w:cstheme="minorHAnsi"/>
          <w:lang w:eastAsia="da-DK"/>
        </w:rPr>
        <w:t>)</w:t>
      </w:r>
      <w:r w:rsidR="00956648" w:rsidRPr="00E21748">
        <w:rPr>
          <w:rFonts w:asciiTheme="minorHAnsi" w:hAnsiTheme="minorHAnsi" w:cstheme="minorHAnsi"/>
          <w:lang w:eastAsia="da-DK"/>
        </w:rPr>
        <w:t xml:space="preserve"> </w:t>
      </w:r>
      <w:r w:rsidR="009131F4" w:rsidRPr="00E21748">
        <w:rPr>
          <w:rFonts w:asciiTheme="minorHAnsi" w:hAnsiTheme="minorHAnsi" w:cstheme="minorHAnsi"/>
          <w:lang w:eastAsia="da-DK"/>
        </w:rPr>
        <w:t xml:space="preserve">Doublets were subsequently excluded based on FSC-A/FSC-H gating. </w:t>
      </w:r>
      <w:r w:rsidR="00956648">
        <w:rPr>
          <w:rFonts w:asciiTheme="minorHAnsi" w:hAnsiTheme="minorHAnsi" w:cstheme="minorHAnsi"/>
          <w:lang w:eastAsia="da-DK"/>
        </w:rPr>
        <w:t>(</w:t>
      </w:r>
      <w:r w:rsidR="00956648" w:rsidRPr="005C2511">
        <w:rPr>
          <w:rFonts w:asciiTheme="minorHAnsi" w:hAnsiTheme="minorHAnsi" w:cstheme="minorHAnsi"/>
          <w:b/>
          <w:bCs/>
          <w:lang w:eastAsia="da-DK"/>
        </w:rPr>
        <w:t>C</w:t>
      </w:r>
      <w:r w:rsidR="00956648">
        <w:rPr>
          <w:rFonts w:asciiTheme="minorHAnsi" w:hAnsiTheme="minorHAnsi" w:cstheme="minorHAnsi"/>
          <w:lang w:eastAsia="da-DK"/>
        </w:rPr>
        <w:t>)</w:t>
      </w:r>
      <w:r w:rsidR="00956648" w:rsidRPr="00E21748">
        <w:rPr>
          <w:rFonts w:asciiTheme="minorHAnsi" w:hAnsiTheme="minorHAnsi" w:cstheme="minorHAnsi"/>
          <w:lang w:eastAsia="da-DK"/>
        </w:rPr>
        <w:t xml:space="preserve"> The </w:t>
      </w:r>
      <w:r w:rsidR="009131F4" w:rsidRPr="00E21748">
        <w:rPr>
          <w:rFonts w:asciiTheme="minorHAnsi" w:hAnsiTheme="minorHAnsi" w:cstheme="minorHAnsi"/>
          <w:lang w:eastAsia="da-DK"/>
        </w:rPr>
        <w:t xml:space="preserve">true lymphocyte population was defined </w:t>
      </w:r>
      <w:r w:rsidR="00956648" w:rsidRPr="00E21748">
        <w:rPr>
          <w:rFonts w:asciiTheme="minorHAnsi" w:hAnsiTheme="minorHAnsi" w:cstheme="minorHAnsi"/>
          <w:lang w:eastAsia="da-DK"/>
        </w:rPr>
        <w:t>based on size and granularity</w:t>
      </w:r>
      <w:r w:rsidR="009131F4" w:rsidRPr="00E21748">
        <w:rPr>
          <w:rFonts w:asciiTheme="minorHAnsi" w:hAnsiTheme="minorHAnsi" w:cstheme="minorHAnsi"/>
          <w:lang w:eastAsia="da-DK"/>
        </w:rPr>
        <w:t xml:space="preserve">. </w:t>
      </w:r>
      <w:r w:rsidR="00956648">
        <w:rPr>
          <w:rFonts w:asciiTheme="minorHAnsi" w:hAnsiTheme="minorHAnsi" w:cstheme="minorHAnsi"/>
          <w:lang w:eastAsia="da-DK"/>
        </w:rPr>
        <w:t>(</w:t>
      </w:r>
      <w:r w:rsidR="00956648" w:rsidRPr="005C2511">
        <w:rPr>
          <w:rFonts w:asciiTheme="minorHAnsi" w:hAnsiTheme="minorHAnsi" w:cstheme="minorHAnsi"/>
          <w:b/>
          <w:bCs/>
          <w:lang w:eastAsia="da-DK"/>
        </w:rPr>
        <w:t>D</w:t>
      </w:r>
      <w:r w:rsidR="00956648">
        <w:rPr>
          <w:rFonts w:asciiTheme="minorHAnsi" w:hAnsiTheme="minorHAnsi" w:cstheme="minorHAnsi"/>
          <w:lang w:eastAsia="da-DK"/>
        </w:rPr>
        <w:t xml:space="preserve">) </w:t>
      </w:r>
      <w:r w:rsidR="009131F4" w:rsidRPr="00E21748">
        <w:rPr>
          <w:rFonts w:asciiTheme="minorHAnsi" w:hAnsiTheme="minorHAnsi" w:cstheme="minorHAnsi"/>
          <w:lang w:eastAsia="da-DK"/>
        </w:rPr>
        <w:t xml:space="preserve">Lymphocytes were then characterized as either CD3+ (T cells) or CD19+ (B cells). </w:t>
      </w:r>
      <w:r w:rsidR="00956648">
        <w:rPr>
          <w:rFonts w:asciiTheme="minorHAnsi" w:hAnsiTheme="minorHAnsi" w:cstheme="minorHAnsi"/>
          <w:lang w:eastAsia="da-DK"/>
        </w:rPr>
        <w:t>(</w:t>
      </w:r>
      <w:r w:rsidR="00956648" w:rsidRPr="005C2511">
        <w:rPr>
          <w:rFonts w:asciiTheme="minorHAnsi" w:hAnsiTheme="minorHAnsi" w:cstheme="minorHAnsi"/>
          <w:b/>
          <w:bCs/>
          <w:lang w:eastAsia="da-DK"/>
        </w:rPr>
        <w:t>E</w:t>
      </w:r>
      <w:r w:rsidR="00956648">
        <w:rPr>
          <w:rFonts w:asciiTheme="minorHAnsi" w:hAnsiTheme="minorHAnsi" w:cstheme="minorHAnsi"/>
          <w:lang w:eastAsia="da-DK"/>
        </w:rPr>
        <w:t xml:space="preserve">) </w:t>
      </w:r>
      <w:r w:rsidR="009131F4" w:rsidRPr="00E21748">
        <w:rPr>
          <w:rFonts w:asciiTheme="minorHAnsi" w:hAnsiTheme="minorHAnsi" w:cstheme="minorHAnsi"/>
          <w:lang w:eastAsia="da-DK"/>
        </w:rPr>
        <w:t>CD3+ T cells were either CD4+ T cells or CD8+ T cells. Percentages in gates were calculated as a fraction of the parent population.</w:t>
      </w:r>
    </w:p>
    <w:p w14:paraId="069257D4" w14:textId="1032D949" w:rsidR="007A4DD6" w:rsidRPr="00E21748" w:rsidRDefault="007A4DD6" w:rsidP="00E21748">
      <w:pPr>
        <w:snapToGrid w:val="0"/>
        <w:contextualSpacing/>
        <w:rPr>
          <w:rFonts w:asciiTheme="minorHAnsi" w:hAnsiTheme="minorHAnsi" w:cstheme="minorHAnsi"/>
          <w:color w:val="808080" w:themeColor="background1" w:themeShade="80"/>
        </w:rPr>
      </w:pPr>
    </w:p>
    <w:p w14:paraId="75182EC3" w14:textId="233BB6BE" w:rsidR="00B32616" w:rsidRPr="00E21748" w:rsidRDefault="00E21748" w:rsidP="00E21748">
      <w:pPr>
        <w:snapToGrid w:val="0"/>
        <w:contextualSpacing/>
        <w:rPr>
          <w:rFonts w:asciiTheme="minorHAnsi" w:hAnsiTheme="minorHAnsi" w:cstheme="minorHAnsi"/>
          <w:lang w:eastAsia="da-DK"/>
        </w:rPr>
      </w:pPr>
      <w:r w:rsidRPr="00E21748">
        <w:rPr>
          <w:rFonts w:asciiTheme="minorHAnsi" w:hAnsiTheme="minorHAnsi" w:cstheme="minorHAnsi"/>
          <w:b/>
          <w:lang w:eastAsia="da-DK"/>
        </w:rPr>
        <w:t>Figure 3</w:t>
      </w:r>
      <w:r>
        <w:rPr>
          <w:rFonts w:asciiTheme="minorHAnsi" w:hAnsiTheme="minorHAnsi" w:cstheme="minorHAnsi"/>
          <w:b/>
          <w:lang w:eastAsia="da-DK"/>
        </w:rPr>
        <w:t>:</w:t>
      </w:r>
      <w:r w:rsidR="009131F4" w:rsidRPr="00E21748">
        <w:rPr>
          <w:rFonts w:asciiTheme="minorHAnsi" w:hAnsiTheme="minorHAnsi" w:cstheme="minorHAnsi"/>
          <w:b/>
          <w:lang w:eastAsia="da-DK"/>
        </w:rPr>
        <w:t xml:space="preserve"> Representative humanization levels 4</w:t>
      </w:r>
      <w:r w:rsidR="00956648" w:rsidRPr="00960CA7">
        <w:rPr>
          <w:rFonts w:asciiTheme="minorHAnsi" w:hAnsiTheme="minorHAnsi" w:cstheme="minorHAnsi"/>
          <w:b/>
          <w:lang w:eastAsia="da-DK"/>
        </w:rPr>
        <w:t>–</w:t>
      </w:r>
      <w:r w:rsidR="009131F4" w:rsidRPr="00E21748">
        <w:rPr>
          <w:rFonts w:asciiTheme="minorHAnsi" w:hAnsiTheme="minorHAnsi" w:cstheme="minorHAnsi"/>
          <w:b/>
          <w:lang w:eastAsia="da-DK"/>
        </w:rPr>
        <w:t>5 months after stem cell transplantation with cell subtype fractions for 10 and 16 mice generated from two different human donors</w:t>
      </w:r>
      <w:r>
        <w:rPr>
          <w:rFonts w:asciiTheme="minorHAnsi" w:hAnsiTheme="minorHAnsi" w:cstheme="minorHAnsi"/>
          <w:b/>
          <w:lang w:eastAsia="da-DK"/>
        </w:rPr>
        <w:t xml:space="preserve">. </w:t>
      </w:r>
      <w:r w:rsidR="00956648" w:rsidRPr="005C2511">
        <w:rPr>
          <w:rFonts w:asciiTheme="minorHAnsi" w:hAnsiTheme="minorHAnsi" w:cstheme="minorHAnsi"/>
          <w:bCs/>
          <w:lang w:eastAsia="da-DK"/>
        </w:rPr>
        <w:t>(</w:t>
      </w:r>
      <w:r w:rsidR="00956648">
        <w:rPr>
          <w:rFonts w:asciiTheme="minorHAnsi" w:hAnsiTheme="minorHAnsi" w:cstheme="minorHAnsi"/>
          <w:b/>
          <w:lang w:eastAsia="da-DK"/>
        </w:rPr>
        <w:t>A</w:t>
      </w:r>
      <w:r w:rsidR="00956648" w:rsidRPr="005C2511">
        <w:rPr>
          <w:rFonts w:asciiTheme="minorHAnsi" w:hAnsiTheme="minorHAnsi" w:cstheme="minorHAnsi"/>
          <w:bCs/>
          <w:lang w:eastAsia="da-DK"/>
        </w:rPr>
        <w:t>)</w:t>
      </w:r>
      <w:r w:rsidR="00956648">
        <w:rPr>
          <w:rFonts w:asciiTheme="minorHAnsi" w:hAnsiTheme="minorHAnsi" w:cstheme="minorHAnsi"/>
          <w:lang w:eastAsia="da-DK"/>
        </w:rPr>
        <w:t xml:space="preserve"> </w:t>
      </w:r>
      <w:r w:rsidR="009131F4" w:rsidRPr="00E21748">
        <w:rPr>
          <w:rFonts w:asciiTheme="minorHAnsi" w:hAnsiTheme="minorHAnsi" w:cstheme="minorHAnsi"/>
          <w:lang w:eastAsia="da-DK"/>
        </w:rPr>
        <w:t xml:space="preserve">The mononuclear cell population (MNC) from 10 and </w:t>
      </w:r>
      <w:r w:rsidR="00956648">
        <w:rPr>
          <w:rFonts w:asciiTheme="minorHAnsi" w:hAnsiTheme="minorHAnsi" w:cstheme="minorHAnsi"/>
          <w:lang w:eastAsia="da-DK"/>
        </w:rPr>
        <w:t>(</w:t>
      </w:r>
      <w:r w:rsidR="00956648" w:rsidRPr="005C2511">
        <w:rPr>
          <w:rFonts w:asciiTheme="minorHAnsi" w:hAnsiTheme="minorHAnsi" w:cstheme="minorHAnsi"/>
          <w:b/>
          <w:bCs/>
          <w:lang w:eastAsia="da-DK"/>
        </w:rPr>
        <w:t>B</w:t>
      </w:r>
      <w:r w:rsidR="00956648">
        <w:rPr>
          <w:rFonts w:asciiTheme="minorHAnsi" w:hAnsiTheme="minorHAnsi" w:cstheme="minorHAnsi"/>
          <w:lang w:eastAsia="da-DK"/>
        </w:rPr>
        <w:t xml:space="preserve">) </w:t>
      </w:r>
      <w:r w:rsidR="009131F4" w:rsidRPr="00E21748">
        <w:rPr>
          <w:rFonts w:asciiTheme="minorHAnsi" w:hAnsiTheme="minorHAnsi" w:cstheme="minorHAnsi"/>
          <w:lang w:eastAsia="da-DK"/>
        </w:rPr>
        <w:t>16</w:t>
      </w:r>
      <w:r w:rsidR="008507BE">
        <w:rPr>
          <w:rFonts w:asciiTheme="minorHAnsi" w:hAnsiTheme="minorHAnsi" w:cstheme="minorHAnsi"/>
          <w:lang w:eastAsia="da-DK"/>
        </w:rPr>
        <w:t xml:space="preserve"> </w:t>
      </w:r>
      <w:r w:rsidR="009131F4" w:rsidRPr="00E21748">
        <w:rPr>
          <w:rFonts w:asciiTheme="minorHAnsi" w:hAnsiTheme="minorHAnsi" w:cstheme="minorHAnsi"/>
          <w:lang w:eastAsia="da-DK"/>
        </w:rPr>
        <w:t xml:space="preserve">humanized mice were analyzed via flow </w:t>
      </w:r>
      <w:r w:rsidR="009131F4" w:rsidRPr="00E21748">
        <w:rPr>
          <w:rFonts w:asciiTheme="minorHAnsi" w:hAnsiTheme="minorHAnsi" w:cstheme="minorHAnsi"/>
          <w:lang w:eastAsia="da-DK"/>
        </w:rPr>
        <w:lastRenderedPageBreak/>
        <w:t xml:space="preserve">cytometry and gated as presented in </w:t>
      </w:r>
      <w:r w:rsidRPr="00E21748">
        <w:rPr>
          <w:rFonts w:asciiTheme="minorHAnsi" w:hAnsiTheme="minorHAnsi" w:cstheme="minorHAnsi"/>
          <w:b/>
          <w:lang w:eastAsia="da-DK"/>
        </w:rPr>
        <w:t>Figure 2</w:t>
      </w:r>
      <w:r w:rsidR="009131F4" w:rsidRPr="00E21748">
        <w:rPr>
          <w:rFonts w:asciiTheme="minorHAnsi" w:hAnsiTheme="minorHAnsi" w:cstheme="minorHAnsi"/>
          <w:lang w:eastAsia="da-DK"/>
        </w:rPr>
        <w:t>. The fraction of human CD45+ cells is presented as</w:t>
      </w:r>
      <w:r w:rsidR="00956648">
        <w:rPr>
          <w:rFonts w:asciiTheme="minorHAnsi" w:hAnsiTheme="minorHAnsi" w:cstheme="minorHAnsi"/>
          <w:lang w:eastAsia="da-DK"/>
        </w:rPr>
        <w:t xml:space="preserve"> </w:t>
      </w:r>
      <w:r>
        <w:rPr>
          <w:rFonts w:asciiTheme="minorHAnsi" w:hAnsiTheme="minorHAnsi" w:cstheme="minorHAnsi"/>
          <w:lang w:eastAsia="da-DK"/>
        </w:rPr>
        <w:t>%</w:t>
      </w:r>
      <w:r w:rsidR="009131F4" w:rsidRPr="00E21748">
        <w:rPr>
          <w:rFonts w:asciiTheme="minorHAnsi" w:hAnsiTheme="minorHAnsi" w:cstheme="minorHAnsi"/>
          <w:lang w:eastAsia="da-DK"/>
        </w:rPr>
        <w:t>hCD45 (of total MNC), and</w:t>
      </w:r>
      <w:r w:rsidR="00956648">
        <w:rPr>
          <w:rFonts w:asciiTheme="minorHAnsi" w:hAnsiTheme="minorHAnsi" w:cstheme="minorHAnsi"/>
          <w:lang w:eastAsia="da-DK"/>
        </w:rPr>
        <w:t xml:space="preserve"> </w:t>
      </w:r>
      <w:r>
        <w:rPr>
          <w:rFonts w:asciiTheme="minorHAnsi" w:hAnsiTheme="minorHAnsi" w:cstheme="minorHAnsi"/>
          <w:lang w:eastAsia="da-DK"/>
        </w:rPr>
        <w:t>%</w:t>
      </w:r>
      <w:r w:rsidR="009131F4" w:rsidRPr="00E21748">
        <w:rPr>
          <w:rFonts w:asciiTheme="minorHAnsi" w:hAnsiTheme="minorHAnsi" w:cstheme="minorHAnsi"/>
          <w:lang w:eastAsia="da-DK"/>
        </w:rPr>
        <w:t>B and</w:t>
      </w:r>
      <w:r w:rsidR="00956648">
        <w:rPr>
          <w:rFonts w:asciiTheme="minorHAnsi" w:hAnsiTheme="minorHAnsi" w:cstheme="minorHAnsi"/>
          <w:lang w:eastAsia="da-DK"/>
        </w:rPr>
        <w:t xml:space="preserve"> </w:t>
      </w:r>
      <w:r>
        <w:rPr>
          <w:rFonts w:asciiTheme="minorHAnsi" w:hAnsiTheme="minorHAnsi" w:cstheme="minorHAnsi"/>
          <w:lang w:eastAsia="da-DK"/>
        </w:rPr>
        <w:t>%</w:t>
      </w:r>
      <w:r w:rsidR="009131F4" w:rsidRPr="00E21748">
        <w:rPr>
          <w:rFonts w:asciiTheme="minorHAnsi" w:hAnsiTheme="minorHAnsi" w:cstheme="minorHAnsi"/>
          <w:lang w:eastAsia="da-DK"/>
        </w:rPr>
        <w:t>T cells as a fraction of hCD45. T cells were subsequently divided into</w:t>
      </w:r>
      <w:r w:rsidR="00956648">
        <w:rPr>
          <w:rFonts w:asciiTheme="minorHAnsi" w:hAnsiTheme="minorHAnsi" w:cstheme="minorHAnsi"/>
          <w:lang w:eastAsia="da-DK"/>
        </w:rPr>
        <w:t xml:space="preserve"> </w:t>
      </w:r>
      <w:r>
        <w:rPr>
          <w:rFonts w:asciiTheme="minorHAnsi" w:hAnsiTheme="minorHAnsi" w:cstheme="minorHAnsi"/>
          <w:lang w:eastAsia="da-DK"/>
        </w:rPr>
        <w:t>%</w:t>
      </w:r>
      <w:r w:rsidR="009131F4" w:rsidRPr="00E21748">
        <w:rPr>
          <w:rFonts w:asciiTheme="minorHAnsi" w:hAnsiTheme="minorHAnsi" w:cstheme="minorHAnsi"/>
          <w:lang w:eastAsia="da-DK"/>
        </w:rPr>
        <w:t>CD4 and</w:t>
      </w:r>
      <w:r w:rsidR="00956648">
        <w:rPr>
          <w:rFonts w:asciiTheme="minorHAnsi" w:hAnsiTheme="minorHAnsi" w:cstheme="minorHAnsi"/>
          <w:lang w:eastAsia="da-DK"/>
        </w:rPr>
        <w:t xml:space="preserve"> </w:t>
      </w:r>
      <w:r>
        <w:rPr>
          <w:rFonts w:asciiTheme="minorHAnsi" w:hAnsiTheme="minorHAnsi" w:cstheme="minorHAnsi"/>
          <w:lang w:eastAsia="da-DK"/>
        </w:rPr>
        <w:t>%</w:t>
      </w:r>
      <w:r w:rsidR="009131F4" w:rsidRPr="00E21748">
        <w:rPr>
          <w:rFonts w:asciiTheme="minorHAnsi" w:hAnsiTheme="minorHAnsi" w:cstheme="minorHAnsi"/>
          <w:lang w:eastAsia="da-DK"/>
        </w:rPr>
        <w:t xml:space="preserve">CD8. Each data point represents one mouse. Data is presented </w:t>
      </w:r>
      <w:r w:rsidR="00956648">
        <w:rPr>
          <w:rFonts w:asciiTheme="minorHAnsi" w:hAnsiTheme="minorHAnsi" w:cstheme="minorHAnsi"/>
          <w:lang w:eastAsia="da-DK"/>
        </w:rPr>
        <w:t>as</w:t>
      </w:r>
      <w:r w:rsidR="00956648" w:rsidRPr="00E21748">
        <w:rPr>
          <w:rFonts w:asciiTheme="minorHAnsi" w:hAnsiTheme="minorHAnsi" w:cstheme="minorHAnsi"/>
          <w:lang w:eastAsia="da-DK"/>
        </w:rPr>
        <w:t xml:space="preserve"> </w:t>
      </w:r>
      <w:r w:rsidR="009131F4" w:rsidRPr="00E21748">
        <w:rPr>
          <w:rFonts w:asciiTheme="minorHAnsi" w:hAnsiTheme="minorHAnsi" w:cstheme="minorHAnsi"/>
          <w:lang w:eastAsia="da-DK"/>
        </w:rPr>
        <w:t>mean</w:t>
      </w:r>
      <w:r w:rsidR="009131F4" w:rsidRPr="00E21748">
        <w:rPr>
          <w:rFonts w:asciiTheme="minorHAnsi" w:hAnsiTheme="minorHAnsi" w:cstheme="minorHAnsi"/>
          <w:lang w:eastAsia="da-DK"/>
        </w:rPr>
        <w:softHyphen/>
      </w:r>
      <w:r w:rsidR="00C060D8" w:rsidRPr="00E21748">
        <w:rPr>
          <w:rFonts w:asciiTheme="minorHAnsi" w:hAnsiTheme="minorHAnsi" w:cstheme="minorHAnsi"/>
          <w:lang w:eastAsia="da-DK"/>
        </w:rPr>
        <w:t xml:space="preserve"> </w:t>
      </w:r>
      <w:r w:rsidR="009131F4" w:rsidRPr="00E21748">
        <w:rPr>
          <w:rFonts w:asciiTheme="minorHAnsi" w:hAnsiTheme="minorHAnsi" w:cstheme="minorHAnsi"/>
          <w:lang w:eastAsia="da-DK"/>
        </w:rPr>
        <w:t>±</w:t>
      </w:r>
      <w:r w:rsidR="00C060D8" w:rsidRPr="00E21748">
        <w:rPr>
          <w:rFonts w:asciiTheme="minorHAnsi" w:hAnsiTheme="minorHAnsi" w:cstheme="minorHAnsi"/>
          <w:lang w:eastAsia="da-DK"/>
        </w:rPr>
        <w:t xml:space="preserve"> </w:t>
      </w:r>
      <w:r w:rsidR="009131F4" w:rsidRPr="00E21748">
        <w:rPr>
          <w:rFonts w:asciiTheme="minorHAnsi" w:hAnsiTheme="minorHAnsi" w:cstheme="minorHAnsi"/>
          <w:lang w:eastAsia="da-DK"/>
        </w:rPr>
        <w:t>SD.</w:t>
      </w:r>
    </w:p>
    <w:p w14:paraId="4D28410A" w14:textId="3D167A1B" w:rsidR="009131F4" w:rsidRPr="00E21748" w:rsidRDefault="009131F4" w:rsidP="00E21748">
      <w:pPr>
        <w:snapToGrid w:val="0"/>
        <w:contextualSpacing/>
        <w:rPr>
          <w:rFonts w:asciiTheme="minorHAnsi" w:hAnsiTheme="minorHAnsi" w:cstheme="minorHAnsi"/>
          <w:lang w:eastAsia="da-DK"/>
        </w:rPr>
      </w:pPr>
    </w:p>
    <w:p w14:paraId="22573F84" w14:textId="44DE5B6F" w:rsidR="009131F4" w:rsidRPr="00E21748" w:rsidRDefault="00E21748" w:rsidP="00E21748">
      <w:pPr>
        <w:snapToGrid w:val="0"/>
        <w:contextualSpacing/>
        <w:rPr>
          <w:rFonts w:asciiTheme="minorHAnsi" w:hAnsiTheme="minorHAnsi" w:cstheme="minorHAnsi"/>
          <w:lang w:eastAsia="da-DK"/>
        </w:rPr>
      </w:pPr>
      <w:r w:rsidRPr="00E21748">
        <w:rPr>
          <w:rFonts w:asciiTheme="minorHAnsi" w:hAnsiTheme="minorHAnsi" w:cstheme="minorHAnsi"/>
          <w:b/>
          <w:lang w:eastAsia="da-DK"/>
        </w:rPr>
        <w:t>Figure 4</w:t>
      </w:r>
      <w:r>
        <w:rPr>
          <w:rFonts w:asciiTheme="minorHAnsi" w:hAnsiTheme="minorHAnsi" w:cstheme="minorHAnsi"/>
          <w:b/>
          <w:lang w:eastAsia="da-DK"/>
        </w:rPr>
        <w:t>:</w:t>
      </w:r>
      <w:r w:rsidR="009131F4" w:rsidRPr="00E21748">
        <w:rPr>
          <w:rFonts w:asciiTheme="minorHAnsi" w:hAnsiTheme="minorHAnsi" w:cstheme="minorHAnsi"/>
          <w:b/>
          <w:lang w:eastAsia="da-DK"/>
        </w:rPr>
        <w:t xml:space="preserve"> Experimental lab bench setup for intravaginal exposure of mice</w:t>
      </w:r>
      <w:r>
        <w:rPr>
          <w:rFonts w:asciiTheme="minorHAnsi" w:hAnsiTheme="minorHAnsi" w:cstheme="minorHAnsi"/>
          <w:b/>
          <w:lang w:eastAsia="da-DK"/>
        </w:rPr>
        <w:t xml:space="preserve">. </w:t>
      </w:r>
      <w:r w:rsidR="009131F4" w:rsidRPr="00E21748">
        <w:rPr>
          <w:rFonts w:asciiTheme="minorHAnsi" w:hAnsiTheme="minorHAnsi" w:cstheme="minorHAnsi"/>
          <w:lang w:eastAsia="da-DK"/>
        </w:rPr>
        <w:t xml:space="preserve">Experimental setup for HIV exposure of humanized mice through the intravaginal route. </w:t>
      </w:r>
      <w:r w:rsidR="00956648">
        <w:rPr>
          <w:rFonts w:asciiTheme="minorHAnsi" w:hAnsiTheme="minorHAnsi" w:cstheme="minorHAnsi"/>
          <w:lang w:eastAsia="da-DK"/>
        </w:rPr>
        <w:t>The p</w:t>
      </w:r>
      <w:r w:rsidR="009131F4" w:rsidRPr="00E21748">
        <w:rPr>
          <w:rFonts w:asciiTheme="minorHAnsi" w:hAnsiTheme="minorHAnsi" w:cstheme="minorHAnsi"/>
          <w:lang w:eastAsia="da-DK"/>
        </w:rPr>
        <w:t>rocedure is performed in a flow bench where all reagents and surfaces have been sterilized prior to use.</w:t>
      </w:r>
    </w:p>
    <w:p w14:paraId="32046DEB" w14:textId="42F2F58D" w:rsidR="009131F4" w:rsidRPr="00E21748" w:rsidRDefault="009131F4" w:rsidP="00E21748">
      <w:pPr>
        <w:snapToGrid w:val="0"/>
        <w:contextualSpacing/>
        <w:rPr>
          <w:rFonts w:asciiTheme="minorHAnsi" w:hAnsiTheme="minorHAnsi" w:cstheme="minorHAnsi"/>
          <w:lang w:eastAsia="da-DK"/>
        </w:rPr>
      </w:pPr>
    </w:p>
    <w:p w14:paraId="562B9745" w14:textId="6D51BD3C" w:rsidR="009131F4" w:rsidRPr="00E21748" w:rsidRDefault="00E21748" w:rsidP="00E21748">
      <w:pPr>
        <w:snapToGrid w:val="0"/>
        <w:contextualSpacing/>
        <w:rPr>
          <w:rFonts w:asciiTheme="minorHAnsi" w:hAnsiTheme="minorHAnsi" w:cstheme="minorHAnsi"/>
        </w:rPr>
      </w:pPr>
      <w:r w:rsidRPr="00E21748">
        <w:rPr>
          <w:rFonts w:asciiTheme="minorHAnsi" w:hAnsiTheme="minorHAnsi" w:cstheme="minorHAnsi"/>
          <w:b/>
        </w:rPr>
        <w:t>Figure 5</w:t>
      </w:r>
      <w:r>
        <w:rPr>
          <w:rFonts w:asciiTheme="minorHAnsi" w:hAnsiTheme="minorHAnsi" w:cstheme="minorHAnsi"/>
          <w:b/>
        </w:rPr>
        <w:t>:</w:t>
      </w:r>
      <w:r w:rsidR="009131F4" w:rsidRPr="00E21748">
        <w:rPr>
          <w:rFonts w:asciiTheme="minorHAnsi" w:hAnsiTheme="minorHAnsi" w:cstheme="minorHAnsi"/>
          <w:b/>
        </w:rPr>
        <w:t xml:space="preserve"> Rate of HIV strain transmission through different exposure routes and efficacy and safety of </w:t>
      </w:r>
      <w:proofErr w:type="spellStart"/>
      <w:r w:rsidR="009131F4" w:rsidRPr="00E21748">
        <w:rPr>
          <w:rFonts w:asciiTheme="minorHAnsi" w:hAnsiTheme="minorHAnsi" w:cstheme="minorHAnsi"/>
          <w:b/>
        </w:rPr>
        <w:t>cART</w:t>
      </w:r>
      <w:proofErr w:type="spellEnd"/>
      <w:r w:rsidR="009131F4" w:rsidRPr="00E21748">
        <w:rPr>
          <w:rFonts w:asciiTheme="minorHAnsi" w:hAnsiTheme="minorHAnsi" w:cstheme="minorHAnsi"/>
          <w:b/>
        </w:rPr>
        <w:t>-containing chow in viral suppression</w:t>
      </w:r>
      <w:r>
        <w:rPr>
          <w:rFonts w:asciiTheme="minorHAnsi" w:hAnsiTheme="minorHAnsi" w:cstheme="minorHAnsi"/>
          <w:b/>
        </w:rPr>
        <w:t xml:space="preserve">. </w:t>
      </w:r>
      <w:r w:rsidR="00956648" w:rsidRPr="005C2511">
        <w:rPr>
          <w:rFonts w:asciiTheme="minorHAnsi" w:hAnsiTheme="minorHAnsi" w:cstheme="minorHAnsi"/>
          <w:bCs/>
        </w:rPr>
        <w:t>(</w:t>
      </w:r>
      <w:r w:rsidR="00956648" w:rsidRPr="005C2511">
        <w:rPr>
          <w:rFonts w:asciiTheme="minorHAnsi" w:hAnsiTheme="minorHAnsi" w:cstheme="minorHAnsi"/>
          <w:b/>
        </w:rPr>
        <w:t>A</w:t>
      </w:r>
      <w:r w:rsidR="00956648" w:rsidRPr="005C2511">
        <w:rPr>
          <w:rFonts w:asciiTheme="minorHAnsi" w:hAnsiTheme="minorHAnsi" w:cstheme="minorHAnsi"/>
          <w:bCs/>
        </w:rPr>
        <w:t>)</w:t>
      </w:r>
      <w:r w:rsidR="00956648">
        <w:rPr>
          <w:rFonts w:asciiTheme="minorHAnsi" w:hAnsiTheme="minorHAnsi" w:cstheme="minorHAnsi"/>
          <w:bCs/>
        </w:rPr>
        <w:t xml:space="preserve"> </w:t>
      </w:r>
      <w:r w:rsidR="009131F4" w:rsidRPr="00E21748">
        <w:rPr>
          <w:rFonts w:asciiTheme="minorHAnsi" w:hAnsiTheme="minorHAnsi" w:cstheme="minorHAnsi"/>
        </w:rPr>
        <w:t>Humanized NOG mice were successfully infected with two different strains of HIV through either the intravaginal or the intravenous route</w:t>
      </w:r>
      <w:r w:rsidR="00956648">
        <w:rPr>
          <w:rFonts w:asciiTheme="minorHAnsi" w:hAnsiTheme="minorHAnsi" w:cstheme="minorHAnsi"/>
        </w:rPr>
        <w:t>.</w:t>
      </w:r>
      <w:r w:rsidR="009131F4" w:rsidRPr="00E21748">
        <w:rPr>
          <w:rFonts w:asciiTheme="minorHAnsi" w:hAnsiTheme="minorHAnsi" w:cstheme="minorHAnsi"/>
        </w:rPr>
        <w:t xml:space="preserve"> </w:t>
      </w:r>
      <w:r w:rsidR="007C6598" w:rsidRPr="00E21748">
        <w:rPr>
          <w:rFonts w:asciiTheme="minorHAnsi" w:hAnsiTheme="minorHAnsi" w:cstheme="minorHAnsi"/>
        </w:rPr>
        <w:t>Mice were exposed with 21</w:t>
      </w:r>
      <w:r w:rsidR="000A1DBD" w:rsidRPr="00E21748">
        <w:rPr>
          <w:rFonts w:asciiTheme="minorHAnsi" w:hAnsiTheme="minorHAnsi" w:cstheme="minorHAnsi"/>
        </w:rPr>
        <w:t>,</w:t>
      </w:r>
      <w:r w:rsidR="007C6598" w:rsidRPr="00E21748">
        <w:rPr>
          <w:rFonts w:asciiTheme="minorHAnsi" w:hAnsiTheme="minorHAnsi" w:cstheme="minorHAnsi"/>
        </w:rPr>
        <w:t>400 IUs of RHPA4259 intravaginally, 5</w:t>
      </w:r>
      <w:r w:rsidR="002547DD">
        <w:rPr>
          <w:rFonts w:asciiTheme="minorHAnsi" w:hAnsiTheme="minorHAnsi" w:cstheme="minorHAnsi"/>
        </w:rPr>
        <w:t>,</w:t>
      </w:r>
      <w:r w:rsidR="007C6598" w:rsidRPr="00E21748">
        <w:rPr>
          <w:rFonts w:asciiTheme="minorHAnsi" w:hAnsiTheme="minorHAnsi" w:cstheme="minorHAnsi"/>
        </w:rPr>
        <w:t>157 IUs IV with RHPA4259</w:t>
      </w:r>
      <w:r w:rsidR="00956648">
        <w:rPr>
          <w:rFonts w:asciiTheme="minorHAnsi" w:hAnsiTheme="minorHAnsi" w:cstheme="minorHAnsi"/>
        </w:rPr>
        <w:t>,</w:t>
      </w:r>
      <w:r w:rsidR="007C6598" w:rsidRPr="00E21748">
        <w:rPr>
          <w:rFonts w:asciiTheme="minorHAnsi" w:hAnsiTheme="minorHAnsi" w:cstheme="minorHAnsi"/>
        </w:rPr>
        <w:t xml:space="preserve"> or 3</w:t>
      </w:r>
      <w:r w:rsidR="002547DD">
        <w:rPr>
          <w:rFonts w:asciiTheme="minorHAnsi" w:hAnsiTheme="minorHAnsi" w:cstheme="minorHAnsi"/>
        </w:rPr>
        <w:t>,</w:t>
      </w:r>
      <w:r w:rsidR="007C6598" w:rsidRPr="00E21748">
        <w:rPr>
          <w:rFonts w:asciiTheme="minorHAnsi" w:hAnsiTheme="minorHAnsi" w:cstheme="minorHAnsi"/>
        </w:rPr>
        <w:t>000 IU</w:t>
      </w:r>
      <w:r w:rsidR="005C61E4" w:rsidRPr="00E21748">
        <w:rPr>
          <w:rFonts w:asciiTheme="minorHAnsi" w:hAnsiTheme="minorHAnsi" w:cstheme="minorHAnsi"/>
        </w:rPr>
        <w:t>s</w:t>
      </w:r>
      <w:r w:rsidR="007C6598" w:rsidRPr="00E21748">
        <w:rPr>
          <w:rFonts w:asciiTheme="minorHAnsi" w:hAnsiTheme="minorHAnsi" w:cstheme="minorHAnsi"/>
        </w:rPr>
        <w:t xml:space="preserve"> IV with YU2</w:t>
      </w:r>
      <w:r w:rsidR="008507BE">
        <w:rPr>
          <w:rFonts w:asciiTheme="minorHAnsi" w:hAnsiTheme="minorHAnsi" w:cstheme="minorHAnsi"/>
        </w:rPr>
        <w:t>.</w:t>
      </w:r>
      <w:r w:rsidR="009131F4" w:rsidRPr="00E21748">
        <w:rPr>
          <w:rFonts w:asciiTheme="minorHAnsi" w:hAnsiTheme="minorHAnsi" w:cstheme="minorHAnsi"/>
        </w:rPr>
        <w:t xml:space="preserve"> </w:t>
      </w:r>
      <w:r w:rsidR="008507BE" w:rsidRPr="00E21748">
        <w:rPr>
          <w:rFonts w:asciiTheme="minorHAnsi" w:hAnsiTheme="minorHAnsi" w:cstheme="minorHAnsi"/>
        </w:rPr>
        <w:t xml:space="preserve">Details </w:t>
      </w:r>
      <w:r w:rsidR="009131F4" w:rsidRPr="00E21748">
        <w:rPr>
          <w:rFonts w:asciiTheme="minorHAnsi" w:hAnsiTheme="minorHAnsi" w:cstheme="minorHAnsi"/>
        </w:rPr>
        <w:t xml:space="preserve">regarding IV exposure of humanized mice are not included in this protocol. HIV infections were successfully treated with a </w:t>
      </w:r>
      <w:proofErr w:type="spellStart"/>
      <w:r w:rsidR="009131F4" w:rsidRPr="00E21748">
        <w:rPr>
          <w:rFonts w:asciiTheme="minorHAnsi" w:hAnsiTheme="minorHAnsi" w:cstheme="minorHAnsi"/>
        </w:rPr>
        <w:t>cART</w:t>
      </w:r>
      <w:proofErr w:type="spellEnd"/>
      <w:r w:rsidR="009131F4" w:rsidRPr="00E21748">
        <w:rPr>
          <w:rFonts w:asciiTheme="minorHAnsi" w:hAnsiTheme="minorHAnsi" w:cstheme="minorHAnsi"/>
        </w:rPr>
        <w:t xml:space="preserve"> regimen delivered through mouse chow. </w:t>
      </w:r>
      <w:r w:rsidR="00956648">
        <w:rPr>
          <w:rFonts w:asciiTheme="minorHAnsi" w:hAnsiTheme="minorHAnsi" w:cstheme="minorHAnsi"/>
        </w:rPr>
        <w:t>(</w:t>
      </w:r>
      <w:r w:rsidR="00956648" w:rsidRPr="005C2511">
        <w:rPr>
          <w:rFonts w:asciiTheme="minorHAnsi" w:hAnsiTheme="minorHAnsi" w:cstheme="minorHAnsi"/>
          <w:b/>
          <w:bCs/>
        </w:rPr>
        <w:t>B</w:t>
      </w:r>
      <w:r w:rsidR="00956648">
        <w:rPr>
          <w:rFonts w:asciiTheme="minorHAnsi" w:hAnsiTheme="minorHAnsi" w:cstheme="minorHAnsi"/>
        </w:rPr>
        <w:t xml:space="preserve">) The </w:t>
      </w:r>
      <w:r w:rsidR="00956648" w:rsidRPr="00E21748">
        <w:rPr>
          <w:rFonts w:asciiTheme="minorHAnsi" w:hAnsiTheme="minorHAnsi" w:cstheme="minorHAnsi"/>
        </w:rPr>
        <w:t xml:space="preserve">viral </w:t>
      </w:r>
      <w:r w:rsidR="009131F4" w:rsidRPr="00E21748">
        <w:rPr>
          <w:rFonts w:asciiTheme="minorHAnsi" w:hAnsiTheme="minorHAnsi" w:cstheme="minorHAnsi"/>
        </w:rPr>
        <w:t xml:space="preserve">load decreased to below detection for all three mice on </w:t>
      </w:r>
      <w:proofErr w:type="spellStart"/>
      <w:r w:rsidR="009131F4" w:rsidRPr="00E21748">
        <w:rPr>
          <w:rFonts w:asciiTheme="minorHAnsi" w:hAnsiTheme="minorHAnsi" w:cstheme="minorHAnsi"/>
        </w:rPr>
        <w:t>cART</w:t>
      </w:r>
      <w:proofErr w:type="spellEnd"/>
      <w:r w:rsidR="009131F4" w:rsidRPr="00E21748">
        <w:rPr>
          <w:rFonts w:asciiTheme="minorHAnsi" w:hAnsiTheme="minorHAnsi" w:cstheme="minorHAnsi"/>
        </w:rPr>
        <w:t xml:space="preserve"> and rebound emerged after </w:t>
      </w:r>
      <w:r w:rsidR="00956648">
        <w:rPr>
          <w:rFonts w:asciiTheme="minorHAnsi" w:hAnsiTheme="minorHAnsi" w:cstheme="minorHAnsi"/>
        </w:rPr>
        <w:t xml:space="preserve">the </w:t>
      </w:r>
      <w:r w:rsidR="009131F4" w:rsidRPr="00E21748">
        <w:rPr>
          <w:rFonts w:asciiTheme="minorHAnsi" w:hAnsiTheme="minorHAnsi" w:cstheme="minorHAnsi"/>
        </w:rPr>
        <w:t xml:space="preserve">cessation of </w:t>
      </w:r>
      <w:proofErr w:type="spellStart"/>
      <w:r w:rsidR="009131F4" w:rsidRPr="00E21748">
        <w:rPr>
          <w:rFonts w:asciiTheme="minorHAnsi" w:hAnsiTheme="minorHAnsi" w:cstheme="minorHAnsi"/>
        </w:rPr>
        <w:t>cART</w:t>
      </w:r>
      <w:proofErr w:type="spellEnd"/>
      <w:r w:rsidR="009131F4" w:rsidRPr="00E21748">
        <w:rPr>
          <w:rFonts w:asciiTheme="minorHAnsi" w:hAnsiTheme="minorHAnsi" w:cstheme="minorHAnsi"/>
        </w:rPr>
        <w:t xml:space="preserve">. </w:t>
      </w:r>
      <w:r w:rsidR="000A1DBD" w:rsidRPr="00E21748">
        <w:rPr>
          <w:rFonts w:asciiTheme="minorHAnsi" w:hAnsiTheme="minorHAnsi" w:cstheme="minorHAnsi"/>
        </w:rPr>
        <w:t xml:space="preserve">The dotted </w:t>
      </w:r>
      <w:r w:rsidR="009131F4" w:rsidRPr="00E21748">
        <w:rPr>
          <w:rFonts w:asciiTheme="minorHAnsi" w:hAnsiTheme="minorHAnsi" w:cstheme="minorHAnsi"/>
        </w:rPr>
        <w:t xml:space="preserve">line </w:t>
      </w:r>
      <w:r w:rsidR="000A1DBD" w:rsidRPr="00E21748">
        <w:rPr>
          <w:rFonts w:asciiTheme="minorHAnsi" w:hAnsiTheme="minorHAnsi" w:cstheme="minorHAnsi"/>
        </w:rPr>
        <w:t xml:space="preserve">indicates </w:t>
      </w:r>
      <w:r w:rsidR="009131F4" w:rsidRPr="00E21748">
        <w:rPr>
          <w:rFonts w:asciiTheme="minorHAnsi" w:hAnsiTheme="minorHAnsi" w:cstheme="minorHAnsi"/>
        </w:rPr>
        <w:t>limit of quantification at 725 copies/</w:t>
      </w:r>
      <w:proofErr w:type="spellStart"/>
      <w:r w:rsidR="009131F4" w:rsidRPr="00E21748">
        <w:rPr>
          <w:rFonts w:asciiTheme="minorHAnsi" w:hAnsiTheme="minorHAnsi" w:cstheme="minorHAnsi"/>
        </w:rPr>
        <w:t>mL.</w:t>
      </w:r>
      <w:proofErr w:type="spellEnd"/>
      <w:r w:rsidR="009131F4" w:rsidRPr="00E21748">
        <w:rPr>
          <w:rFonts w:asciiTheme="minorHAnsi" w:hAnsiTheme="minorHAnsi" w:cstheme="minorHAnsi"/>
        </w:rPr>
        <w:t xml:space="preserve"> Mice fed with </w:t>
      </w:r>
      <w:proofErr w:type="spellStart"/>
      <w:r w:rsidR="009131F4" w:rsidRPr="00E21748">
        <w:rPr>
          <w:rFonts w:asciiTheme="minorHAnsi" w:hAnsiTheme="minorHAnsi" w:cstheme="minorHAnsi"/>
        </w:rPr>
        <w:t>cART</w:t>
      </w:r>
      <w:proofErr w:type="spellEnd"/>
      <w:r w:rsidR="009131F4" w:rsidRPr="00E21748">
        <w:rPr>
          <w:rFonts w:asciiTheme="minorHAnsi" w:hAnsiTheme="minorHAnsi" w:cstheme="minorHAnsi"/>
        </w:rPr>
        <w:t xml:space="preserve"> chow had similar weight development as mice housed on non-</w:t>
      </w:r>
      <w:proofErr w:type="spellStart"/>
      <w:r w:rsidR="009131F4" w:rsidRPr="00E21748">
        <w:rPr>
          <w:rFonts w:asciiTheme="minorHAnsi" w:hAnsiTheme="minorHAnsi" w:cstheme="minorHAnsi"/>
        </w:rPr>
        <w:t>cART</w:t>
      </w:r>
      <w:proofErr w:type="spellEnd"/>
      <w:r w:rsidR="009131F4" w:rsidRPr="00E21748">
        <w:rPr>
          <w:rFonts w:asciiTheme="minorHAnsi" w:hAnsiTheme="minorHAnsi" w:cstheme="minorHAnsi"/>
        </w:rPr>
        <w:t xml:space="preserve"> chow during the same time period, indicating no taste-preference or side effects of the </w:t>
      </w:r>
      <w:proofErr w:type="spellStart"/>
      <w:r w:rsidR="009131F4" w:rsidRPr="00E21748">
        <w:rPr>
          <w:rFonts w:asciiTheme="minorHAnsi" w:hAnsiTheme="minorHAnsi" w:cstheme="minorHAnsi"/>
        </w:rPr>
        <w:t>cART</w:t>
      </w:r>
      <w:proofErr w:type="spellEnd"/>
      <w:r w:rsidR="009131F4" w:rsidRPr="00E21748">
        <w:rPr>
          <w:rFonts w:asciiTheme="minorHAnsi" w:hAnsiTheme="minorHAnsi" w:cstheme="minorHAnsi"/>
        </w:rPr>
        <w:t xml:space="preserve"> diet. </w:t>
      </w:r>
      <w:r w:rsidR="00956648">
        <w:rPr>
          <w:rFonts w:asciiTheme="minorHAnsi" w:hAnsiTheme="minorHAnsi" w:cstheme="minorHAnsi"/>
        </w:rPr>
        <w:t>(</w:t>
      </w:r>
      <w:r w:rsidR="00956648" w:rsidRPr="005C2511">
        <w:rPr>
          <w:rFonts w:asciiTheme="minorHAnsi" w:hAnsiTheme="minorHAnsi" w:cstheme="minorHAnsi"/>
          <w:b/>
          <w:bCs/>
        </w:rPr>
        <w:t>C</w:t>
      </w:r>
      <w:r w:rsidR="00956648">
        <w:rPr>
          <w:rFonts w:asciiTheme="minorHAnsi" w:hAnsiTheme="minorHAnsi" w:cstheme="minorHAnsi"/>
        </w:rPr>
        <w:t xml:space="preserve">) </w:t>
      </w:r>
      <w:r w:rsidR="009131F4" w:rsidRPr="00E21748">
        <w:rPr>
          <w:rFonts w:asciiTheme="minorHAnsi" w:hAnsiTheme="minorHAnsi" w:cstheme="minorHAnsi"/>
        </w:rPr>
        <w:t xml:space="preserve">Weights are presented as fold change compared to </w:t>
      </w:r>
      <w:r w:rsidR="008507BE">
        <w:rPr>
          <w:rFonts w:asciiTheme="minorHAnsi" w:hAnsiTheme="minorHAnsi" w:cstheme="minorHAnsi"/>
        </w:rPr>
        <w:t xml:space="preserve">the </w:t>
      </w:r>
      <w:r w:rsidR="009131F4" w:rsidRPr="00E21748">
        <w:rPr>
          <w:rFonts w:asciiTheme="minorHAnsi" w:hAnsiTheme="minorHAnsi" w:cstheme="minorHAnsi"/>
        </w:rPr>
        <w:t xml:space="preserve">start of </w:t>
      </w:r>
      <w:proofErr w:type="spellStart"/>
      <w:r w:rsidR="009131F4" w:rsidRPr="00E21748">
        <w:rPr>
          <w:rFonts w:asciiTheme="minorHAnsi" w:hAnsiTheme="minorHAnsi" w:cstheme="minorHAnsi"/>
        </w:rPr>
        <w:t>cART</w:t>
      </w:r>
      <w:proofErr w:type="spellEnd"/>
      <w:r w:rsidR="00513569" w:rsidRPr="00E21748">
        <w:rPr>
          <w:rFonts w:asciiTheme="minorHAnsi" w:hAnsiTheme="minorHAnsi" w:cstheme="minorHAnsi"/>
        </w:rPr>
        <w:t xml:space="preserve">. Each data point </w:t>
      </w:r>
      <w:r w:rsidR="00E21C31" w:rsidRPr="00E21748">
        <w:rPr>
          <w:rFonts w:asciiTheme="minorHAnsi" w:hAnsiTheme="minorHAnsi" w:cstheme="minorHAnsi"/>
        </w:rPr>
        <w:t>represents</w:t>
      </w:r>
      <w:r w:rsidR="00513569" w:rsidRPr="00E21748">
        <w:rPr>
          <w:rFonts w:asciiTheme="minorHAnsi" w:hAnsiTheme="minorHAnsi" w:cstheme="minorHAnsi"/>
        </w:rPr>
        <w:t xml:space="preserve"> the mean of three animals ± </w:t>
      </w:r>
      <w:r w:rsidR="008507BE">
        <w:rPr>
          <w:rFonts w:asciiTheme="minorHAnsi" w:hAnsiTheme="minorHAnsi" w:cstheme="minorHAnsi"/>
        </w:rPr>
        <w:t>SD</w:t>
      </w:r>
      <w:r w:rsidR="009131F4" w:rsidRPr="00E21748">
        <w:rPr>
          <w:rFonts w:asciiTheme="minorHAnsi" w:hAnsiTheme="minorHAnsi" w:cstheme="minorHAnsi"/>
        </w:rPr>
        <w:t>.</w:t>
      </w:r>
    </w:p>
    <w:p w14:paraId="19B7F1E6" w14:textId="77777777" w:rsidR="0080454E" w:rsidRPr="00E21748" w:rsidRDefault="0080454E" w:rsidP="00E21748">
      <w:pPr>
        <w:snapToGrid w:val="0"/>
        <w:contextualSpacing/>
        <w:rPr>
          <w:rFonts w:asciiTheme="minorHAnsi" w:hAnsiTheme="minorHAnsi" w:cstheme="minorHAnsi"/>
        </w:rPr>
      </w:pPr>
    </w:p>
    <w:p w14:paraId="7AF0E7B9" w14:textId="29F4F477" w:rsidR="00F82C52" w:rsidRPr="000D3624" w:rsidRDefault="00E21748" w:rsidP="00E21748">
      <w:pPr>
        <w:snapToGrid w:val="0"/>
        <w:contextualSpacing/>
        <w:rPr>
          <w:rFonts w:asciiTheme="minorHAnsi" w:hAnsiTheme="minorHAnsi" w:cstheme="minorHAnsi"/>
          <w:color w:val="auto"/>
        </w:rPr>
      </w:pPr>
      <w:r w:rsidRPr="00E21748">
        <w:rPr>
          <w:rFonts w:asciiTheme="minorHAnsi" w:hAnsiTheme="minorHAnsi" w:cstheme="minorHAnsi"/>
          <w:b/>
          <w:color w:val="auto"/>
        </w:rPr>
        <w:t>Table 1</w:t>
      </w:r>
      <w:r w:rsidR="00F82C52" w:rsidRPr="00E21748">
        <w:rPr>
          <w:rFonts w:asciiTheme="minorHAnsi" w:hAnsiTheme="minorHAnsi" w:cstheme="minorHAnsi"/>
          <w:b/>
          <w:color w:val="auto"/>
        </w:rPr>
        <w:t>: Antibodies used for determination of stem cell</w:t>
      </w:r>
      <w:r w:rsidR="00F82C52" w:rsidRPr="00FE6595">
        <w:rPr>
          <w:rFonts w:asciiTheme="minorHAnsi" w:hAnsiTheme="minorHAnsi" w:cstheme="minorHAnsi"/>
          <w:b/>
          <w:color w:val="auto"/>
        </w:rPr>
        <w:t xml:space="preserve"> purity</w:t>
      </w:r>
      <w:r>
        <w:rPr>
          <w:rFonts w:asciiTheme="minorHAnsi" w:hAnsiTheme="minorHAnsi" w:cstheme="minorHAnsi"/>
          <w:b/>
          <w:color w:val="auto"/>
        </w:rPr>
        <w:t xml:space="preserve">. </w:t>
      </w:r>
      <w:r w:rsidR="00F82C52" w:rsidRPr="00FE6595">
        <w:rPr>
          <w:rFonts w:asciiTheme="minorHAnsi" w:hAnsiTheme="minorHAnsi" w:cstheme="minorHAnsi"/>
          <w:color w:val="auto"/>
        </w:rPr>
        <w:t xml:space="preserve">Suggested multicolor flow cytometry panel for evaluation of </w:t>
      </w:r>
      <w:r w:rsidR="00BB5A8E" w:rsidRPr="00FE6595">
        <w:rPr>
          <w:rFonts w:asciiTheme="minorHAnsi" w:hAnsiTheme="minorHAnsi" w:cstheme="minorHAnsi"/>
          <w:color w:val="auto"/>
        </w:rPr>
        <w:t>stem cell purity</w:t>
      </w:r>
      <w:r w:rsidR="00E334A7" w:rsidRPr="00FE6595">
        <w:rPr>
          <w:rFonts w:asciiTheme="minorHAnsi" w:hAnsiTheme="minorHAnsi" w:cstheme="minorHAnsi"/>
          <w:color w:val="auto"/>
        </w:rPr>
        <w:t xml:space="preserve">. </w:t>
      </w:r>
      <w:r w:rsidR="00BB5A8E" w:rsidRPr="00FE6595">
        <w:rPr>
          <w:rFonts w:asciiTheme="minorHAnsi" w:hAnsiTheme="minorHAnsi" w:cstheme="minorHAnsi"/>
          <w:color w:val="auto"/>
        </w:rPr>
        <w:t>Listed are the antibody targ</w:t>
      </w:r>
      <w:r w:rsidR="00E334A7" w:rsidRPr="00FE6595">
        <w:rPr>
          <w:rFonts w:asciiTheme="minorHAnsi" w:hAnsiTheme="minorHAnsi" w:cstheme="minorHAnsi"/>
          <w:color w:val="auto"/>
        </w:rPr>
        <w:t>et, the clone</w:t>
      </w:r>
      <w:r w:rsidR="00956648">
        <w:rPr>
          <w:rFonts w:asciiTheme="minorHAnsi" w:hAnsiTheme="minorHAnsi" w:cstheme="minorHAnsi"/>
          <w:color w:val="auto"/>
        </w:rPr>
        <w:t>,</w:t>
      </w:r>
      <w:r w:rsidR="00E334A7" w:rsidRPr="00FE6595">
        <w:rPr>
          <w:rFonts w:asciiTheme="minorHAnsi" w:hAnsiTheme="minorHAnsi" w:cstheme="minorHAnsi"/>
          <w:color w:val="auto"/>
        </w:rPr>
        <w:t xml:space="preserve"> and </w:t>
      </w:r>
      <w:r w:rsidR="00956648">
        <w:rPr>
          <w:rFonts w:asciiTheme="minorHAnsi" w:hAnsiTheme="minorHAnsi" w:cstheme="minorHAnsi"/>
          <w:color w:val="auto"/>
        </w:rPr>
        <w:t xml:space="preserve">the </w:t>
      </w:r>
      <w:r w:rsidR="00E334A7" w:rsidRPr="00FE6595">
        <w:rPr>
          <w:rFonts w:asciiTheme="minorHAnsi" w:hAnsiTheme="minorHAnsi" w:cstheme="minorHAnsi"/>
          <w:color w:val="auto"/>
        </w:rPr>
        <w:t>fluoro</w:t>
      </w:r>
      <w:r w:rsidR="00E51F34">
        <w:rPr>
          <w:rFonts w:asciiTheme="minorHAnsi" w:hAnsiTheme="minorHAnsi" w:cstheme="minorHAnsi"/>
          <w:color w:val="auto"/>
        </w:rPr>
        <w:t>phore</w:t>
      </w:r>
      <w:r w:rsidR="00E334A7" w:rsidRPr="000D3624">
        <w:rPr>
          <w:rFonts w:asciiTheme="minorHAnsi" w:hAnsiTheme="minorHAnsi" w:cstheme="minorHAnsi"/>
          <w:color w:val="auto"/>
        </w:rPr>
        <w:t>.</w:t>
      </w:r>
    </w:p>
    <w:p w14:paraId="35326C92" w14:textId="77777777" w:rsidR="00F82C52" w:rsidRPr="000D3624" w:rsidRDefault="00F82C52" w:rsidP="00E21748">
      <w:pPr>
        <w:snapToGrid w:val="0"/>
        <w:contextualSpacing/>
        <w:rPr>
          <w:rFonts w:asciiTheme="minorHAnsi" w:hAnsiTheme="minorHAnsi" w:cstheme="minorHAnsi"/>
          <w:b/>
          <w:color w:val="auto"/>
        </w:rPr>
      </w:pPr>
    </w:p>
    <w:p w14:paraId="3D59836B" w14:textId="52CB0A0D" w:rsidR="00484778" w:rsidRPr="001B0BDF" w:rsidRDefault="00E21748" w:rsidP="00E21748">
      <w:pPr>
        <w:snapToGrid w:val="0"/>
        <w:contextualSpacing/>
        <w:rPr>
          <w:rFonts w:asciiTheme="minorHAnsi" w:hAnsiTheme="minorHAnsi" w:cstheme="minorHAnsi"/>
          <w:color w:val="auto"/>
        </w:rPr>
      </w:pPr>
      <w:r w:rsidRPr="00E21748">
        <w:rPr>
          <w:rFonts w:asciiTheme="minorHAnsi" w:hAnsiTheme="minorHAnsi" w:cstheme="minorHAnsi"/>
          <w:b/>
          <w:color w:val="auto"/>
        </w:rPr>
        <w:t>Table 2</w:t>
      </w:r>
      <w:r w:rsidR="00080866" w:rsidRPr="000D3624">
        <w:rPr>
          <w:rFonts w:asciiTheme="minorHAnsi" w:hAnsiTheme="minorHAnsi" w:cstheme="minorHAnsi"/>
          <w:b/>
          <w:color w:val="auto"/>
        </w:rPr>
        <w:t>: CCR5Δ32 variant detection PCR primers</w:t>
      </w:r>
      <w:r>
        <w:rPr>
          <w:rFonts w:asciiTheme="minorHAnsi" w:hAnsiTheme="minorHAnsi" w:cstheme="minorHAnsi"/>
          <w:b/>
          <w:color w:val="auto"/>
        </w:rPr>
        <w:t xml:space="preserve">. </w:t>
      </w:r>
      <w:r w:rsidR="00F266EA" w:rsidRPr="001B0BDF">
        <w:rPr>
          <w:rFonts w:asciiTheme="minorHAnsi" w:hAnsiTheme="minorHAnsi" w:cstheme="minorHAnsi"/>
          <w:color w:val="auto"/>
        </w:rPr>
        <w:t>Forward and reverse primers used for detection of the 32 bp deletion in the CCR5 gene</w:t>
      </w:r>
      <w:r w:rsidR="005C61E4" w:rsidRPr="001B0BDF">
        <w:rPr>
          <w:rFonts w:asciiTheme="minorHAnsi" w:hAnsiTheme="minorHAnsi" w:cstheme="minorHAnsi"/>
          <w:color w:val="auto"/>
        </w:rPr>
        <w:t>.</w:t>
      </w:r>
    </w:p>
    <w:p w14:paraId="77344E93" w14:textId="77777777" w:rsidR="00484778" w:rsidRPr="001B0BDF" w:rsidRDefault="00484778" w:rsidP="00E21748">
      <w:pPr>
        <w:snapToGrid w:val="0"/>
        <w:contextualSpacing/>
        <w:rPr>
          <w:rFonts w:asciiTheme="minorHAnsi" w:hAnsiTheme="minorHAnsi" w:cstheme="minorHAnsi"/>
          <w:b/>
          <w:color w:val="auto"/>
        </w:rPr>
      </w:pPr>
    </w:p>
    <w:p w14:paraId="6C4CC096" w14:textId="73D592C4" w:rsidR="00484778" w:rsidRPr="003E1E1C" w:rsidRDefault="00E21748" w:rsidP="00E21748">
      <w:pPr>
        <w:snapToGrid w:val="0"/>
        <w:contextualSpacing/>
        <w:rPr>
          <w:rFonts w:asciiTheme="minorHAnsi" w:hAnsiTheme="minorHAnsi" w:cstheme="minorHAnsi"/>
          <w:color w:val="auto"/>
        </w:rPr>
      </w:pPr>
      <w:r w:rsidRPr="00E21748">
        <w:rPr>
          <w:rFonts w:asciiTheme="minorHAnsi" w:hAnsiTheme="minorHAnsi" w:cstheme="minorHAnsi"/>
          <w:b/>
          <w:color w:val="auto"/>
        </w:rPr>
        <w:t>Table 3</w:t>
      </w:r>
      <w:r w:rsidR="00080866" w:rsidRPr="00FE6595">
        <w:rPr>
          <w:rFonts w:asciiTheme="minorHAnsi" w:hAnsiTheme="minorHAnsi" w:cstheme="minorHAnsi"/>
          <w:b/>
          <w:color w:val="auto"/>
        </w:rPr>
        <w:t>: CCR5Δ32 variant detection PCR program</w:t>
      </w:r>
      <w:r>
        <w:rPr>
          <w:rFonts w:asciiTheme="minorHAnsi" w:hAnsiTheme="minorHAnsi" w:cstheme="minorHAnsi"/>
          <w:b/>
          <w:color w:val="auto"/>
        </w:rPr>
        <w:t xml:space="preserve">. </w:t>
      </w:r>
      <w:r w:rsidR="00F266EA" w:rsidRPr="003E1E1C">
        <w:rPr>
          <w:rFonts w:asciiTheme="minorHAnsi" w:hAnsiTheme="minorHAnsi" w:cstheme="minorHAnsi"/>
          <w:color w:val="auto"/>
        </w:rPr>
        <w:t xml:space="preserve">PCR cycling program used for amplification of the CCR5 gene. </w:t>
      </w:r>
    </w:p>
    <w:p w14:paraId="11D95A82" w14:textId="77777777" w:rsidR="00F82C52" w:rsidRPr="003E1E1C" w:rsidRDefault="00F82C52" w:rsidP="00E21748">
      <w:pPr>
        <w:snapToGrid w:val="0"/>
        <w:contextualSpacing/>
        <w:rPr>
          <w:rFonts w:asciiTheme="minorHAnsi" w:hAnsiTheme="minorHAnsi" w:cstheme="minorHAnsi"/>
          <w:b/>
          <w:color w:val="auto"/>
        </w:rPr>
      </w:pPr>
    </w:p>
    <w:p w14:paraId="2442324F" w14:textId="4FBCD395" w:rsidR="00F82C52" w:rsidRPr="005A383A" w:rsidRDefault="00E21748" w:rsidP="00E21748">
      <w:pPr>
        <w:snapToGrid w:val="0"/>
        <w:contextualSpacing/>
        <w:rPr>
          <w:rFonts w:asciiTheme="minorHAnsi" w:hAnsiTheme="minorHAnsi" w:cstheme="minorHAnsi"/>
          <w:color w:val="auto"/>
        </w:rPr>
      </w:pPr>
      <w:r w:rsidRPr="00E21748">
        <w:rPr>
          <w:rFonts w:asciiTheme="minorHAnsi" w:hAnsiTheme="minorHAnsi" w:cstheme="minorHAnsi"/>
          <w:b/>
          <w:color w:val="auto"/>
        </w:rPr>
        <w:t>Table 4</w:t>
      </w:r>
      <w:r w:rsidR="00F82C52" w:rsidRPr="003E1E1C">
        <w:rPr>
          <w:rFonts w:asciiTheme="minorHAnsi" w:hAnsiTheme="minorHAnsi" w:cstheme="minorHAnsi"/>
          <w:b/>
          <w:color w:val="auto"/>
        </w:rPr>
        <w:t>: Antibodies used for determination of mouse humanization</w:t>
      </w:r>
      <w:r>
        <w:rPr>
          <w:rFonts w:asciiTheme="minorHAnsi" w:hAnsiTheme="minorHAnsi" w:cstheme="minorHAnsi"/>
          <w:b/>
          <w:color w:val="auto"/>
        </w:rPr>
        <w:t xml:space="preserve">. </w:t>
      </w:r>
      <w:r w:rsidR="00F82C52" w:rsidRPr="005A383A">
        <w:rPr>
          <w:rFonts w:asciiTheme="minorHAnsi" w:hAnsiTheme="minorHAnsi" w:cstheme="minorHAnsi"/>
          <w:color w:val="auto"/>
        </w:rPr>
        <w:t>Suggested multicolor flow cy</w:t>
      </w:r>
      <w:r w:rsidR="00E334A7" w:rsidRPr="005A383A">
        <w:rPr>
          <w:rFonts w:asciiTheme="minorHAnsi" w:hAnsiTheme="minorHAnsi" w:cstheme="minorHAnsi"/>
          <w:color w:val="auto"/>
        </w:rPr>
        <w:t>tometry panel for humanization. Listed are the antibo</w:t>
      </w:r>
      <w:r w:rsidR="00E51F34">
        <w:rPr>
          <w:rFonts w:asciiTheme="minorHAnsi" w:hAnsiTheme="minorHAnsi" w:cstheme="minorHAnsi"/>
          <w:color w:val="auto"/>
        </w:rPr>
        <w:t>dy target, the clone</w:t>
      </w:r>
      <w:r w:rsidR="00956648">
        <w:rPr>
          <w:rFonts w:asciiTheme="minorHAnsi" w:hAnsiTheme="minorHAnsi" w:cstheme="minorHAnsi"/>
          <w:color w:val="auto"/>
        </w:rPr>
        <w:t>,</w:t>
      </w:r>
      <w:r w:rsidR="00E51F34">
        <w:rPr>
          <w:rFonts w:asciiTheme="minorHAnsi" w:hAnsiTheme="minorHAnsi" w:cstheme="minorHAnsi"/>
          <w:color w:val="auto"/>
        </w:rPr>
        <w:t xml:space="preserve"> and </w:t>
      </w:r>
      <w:r w:rsidR="00956648">
        <w:rPr>
          <w:rFonts w:asciiTheme="minorHAnsi" w:hAnsiTheme="minorHAnsi" w:cstheme="minorHAnsi"/>
          <w:color w:val="auto"/>
        </w:rPr>
        <w:t xml:space="preserve">the </w:t>
      </w:r>
      <w:r w:rsidR="00E51F34">
        <w:rPr>
          <w:rFonts w:asciiTheme="minorHAnsi" w:hAnsiTheme="minorHAnsi" w:cstheme="minorHAnsi"/>
          <w:color w:val="auto"/>
        </w:rPr>
        <w:t>fluorophore</w:t>
      </w:r>
      <w:r w:rsidR="00E334A7" w:rsidRPr="005A383A">
        <w:rPr>
          <w:rFonts w:asciiTheme="minorHAnsi" w:hAnsiTheme="minorHAnsi" w:cstheme="minorHAnsi"/>
          <w:color w:val="auto"/>
        </w:rPr>
        <w:t>.</w:t>
      </w:r>
    </w:p>
    <w:p w14:paraId="477EFF3C" w14:textId="77777777" w:rsidR="00484778" w:rsidRPr="005A383A" w:rsidRDefault="00484778" w:rsidP="00E21748">
      <w:pPr>
        <w:snapToGrid w:val="0"/>
        <w:contextualSpacing/>
        <w:rPr>
          <w:rFonts w:asciiTheme="minorHAnsi" w:hAnsiTheme="minorHAnsi" w:cstheme="minorHAnsi"/>
          <w:b/>
          <w:color w:val="auto"/>
        </w:rPr>
      </w:pPr>
    </w:p>
    <w:p w14:paraId="4FA8AFEA" w14:textId="7FFA9682" w:rsidR="00484778" w:rsidRPr="00CC0544" w:rsidRDefault="00E21748" w:rsidP="00E21748">
      <w:pPr>
        <w:snapToGrid w:val="0"/>
        <w:contextualSpacing/>
        <w:rPr>
          <w:rFonts w:asciiTheme="minorHAnsi" w:hAnsiTheme="minorHAnsi" w:cstheme="minorHAnsi"/>
          <w:color w:val="auto"/>
        </w:rPr>
      </w:pPr>
      <w:r w:rsidRPr="00E21748">
        <w:rPr>
          <w:rFonts w:asciiTheme="minorHAnsi" w:hAnsiTheme="minorHAnsi" w:cstheme="minorHAnsi"/>
          <w:b/>
          <w:color w:val="auto"/>
        </w:rPr>
        <w:t>Table 5</w:t>
      </w:r>
      <w:r w:rsidR="00080866" w:rsidRPr="00D51A26">
        <w:rPr>
          <w:rFonts w:asciiTheme="minorHAnsi" w:hAnsiTheme="minorHAnsi" w:cstheme="minorHAnsi"/>
          <w:b/>
          <w:color w:val="auto"/>
        </w:rPr>
        <w:t>: cDNA amplification program</w:t>
      </w:r>
      <w:r>
        <w:rPr>
          <w:rFonts w:asciiTheme="minorHAnsi" w:hAnsiTheme="minorHAnsi" w:cstheme="minorHAnsi"/>
          <w:b/>
          <w:color w:val="auto"/>
        </w:rPr>
        <w:t xml:space="preserve">. </w:t>
      </w:r>
      <w:r w:rsidR="00940F32" w:rsidRPr="00E527EE">
        <w:rPr>
          <w:rFonts w:asciiTheme="minorHAnsi" w:hAnsiTheme="minorHAnsi" w:cstheme="minorHAnsi"/>
          <w:color w:val="auto"/>
        </w:rPr>
        <w:t>Program</w:t>
      </w:r>
      <w:r w:rsidR="00F266EA" w:rsidRPr="00CC0544">
        <w:rPr>
          <w:rFonts w:asciiTheme="minorHAnsi" w:hAnsiTheme="minorHAnsi" w:cstheme="minorHAnsi"/>
          <w:color w:val="auto"/>
        </w:rPr>
        <w:t xml:space="preserve"> used for ampli</w:t>
      </w:r>
      <w:r w:rsidR="00940F32" w:rsidRPr="00CC0544">
        <w:rPr>
          <w:rFonts w:asciiTheme="minorHAnsi" w:hAnsiTheme="minorHAnsi" w:cstheme="minorHAnsi"/>
          <w:color w:val="auto"/>
        </w:rPr>
        <w:t>fi</w:t>
      </w:r>
      <w:r w:rsidR="00F266EA" w:rsidRPr="00CC0544">
        <w:rPr>
          <w:rFonts w:asciiTheme="minorHAnsi" w:hAnsiTheme="minorHAnsi" w:cstheme="minorHAnsi"/>
          <w:color w:val="auto"/>
        </w:rPr>
        <w:t>cation of complement</w:t>
      </w:r>
      <w:r w:rsidR="00940F32" w:rsidRPr="00CC0544">
        <w:rPr>
          <w:rFonts w:asciiTheme="minorHAnsi" w:hAnsiTheme="minorHAnsi" w:cstheme="minorHAnsi"/>
          <w:color w:val="auto"/>
        </w:rPr>
        <w:t xml:space="preserve">ary strand DNA to the viral RNA. </w:t>
      </w:r>
    </w:p>
    <w:p w14:paraId="4697B840" w14:textId="77777777" w:rsidR="00484778" w:rsidRPr="00CC0544" w:rsidRDefault="00484778" w:rsidP="00E21748">
      <w:pPr>
        <w:snapToGrid w:val="0"/>
        <w:contextualSpacing/>
        <w:rPr>
          <w:rFonts w:asciiTheme="minorHAnsi" w:hAnsiTheme="minorHAnsi" w:cstheme="minorHAnsi"/>
          <w:b/>
          <w:color w:val="auto"/>
        </w:rPr>
      </w:pPr>
    </w:p>
    <w:p w14:paraId="7EEBD106" w14:textId="3771D4F8" w:rsidR="00484778" w:rsidRPr="00486E12" w:rsidRDefault="00E21748" w:rsidP="00E21748">
      <w:pPr>
        <w:snapToGrid w:val="0"/>
        <w:contextualSpacing/>
        <w:rPr>
          <w:rFonts w:asciiTheme="minorHAnsi" w:hAnsiTheme="minorHAnsi" w:cstheme="minorHAnsi"/>
          <w:color w:val="auto"/>
        </w:rPr>
      </w:pPr>
      <w:r w:rsidRPr="00E21748">
        <w:rPr>
          <w:rFonts w:asciiTheme="minorHAnsi" w:hAnsiTheme="minorHAnsi" w:cstheme="minorHAnsi"/>
          <w:b/>
          <w:color w:val="auto"/>
        </w:rPr>
        <w:t>Table 6</w:t>
      </w:r>
      <w:r w:rsidR="00080866" w:rsidRPr="00CC0544">
        <w:rPr>
          <w:rFonts w:asciiTheme="minorHAnsi" w:hAnsiTheme="minorHAnsi" w:cstheme="minorHAnsi"/>
          <w:b/>
          <w:color w:val="auto"/>
        </w:rPr>
        <w:t xml:space="preserve">: HIV </w:t>
      </w:r>
      <w:proofErr w:type="spellStart"/>
      <w:r w:rsidR="00080866" w:rsidRPr="00CC0544">
        <w:rPr>
          <w:rFonts w:asciiTheme="minorHAnsi" w:hAnsiTheme="minorHAnsi" w:cstheme="minorHAnsi"/>
          <w:b/>
          <w:color w:val="auto"/>
        </w:rPr>
        <w:t>ddPCR</w:t>
      </w:r>
      <w:proofErr w:type="spellEnd"/>
      <w:r w:rsidR="00080866" w:rsidRPr="00CC0544">
        <w:rPr>
          <w:rFonts w:asciiTheme="minorHAnsi" w:hAnsiTheme="minorHAnsi" w:cstheme="minorHAnsi"/>
          <w:b/>
          <w:color w:val="auto"/>
        </w:rPr>
        <w:t xml:space="preserve"> primers</w:t>
      </w:r>
      <w:r>
        <w:rPr>
          <w:rFonts w:asciiTheme="minorHAnsi" w:hAnsiTheme="minorHAnsi" w:cstheme="minorHAnsi"/>
          <w:b/>
          <w:color w:val="auto"/>
        </w:rPr>
        <w:t xml:space="preserve">. </w:t>
      </w:r>
      <w:r w:rsidR="00642937" w:rsidRPr="00486E12">
        <w:rPr>
          <w:rFonts w:asciiTheme="minorHAnsi" w:hAnsiTheme="minorHAnsi" w:cstheme="minorHAnsi"/>
          <w:color w:val="auto"/>
        </w:rPr>
        <w:t xml:space="preserve">Primers and probes used for </w:t>
      </w:r>
      <w:proofErr w:type="spellStart"/>
      <w:r w:rsidR="00642937" w:rsidRPr="00486E12">
        <w:rPr>
          <w:rFonts w:asciiTheme="minorHAnsi" w:hAnsiTheme="minorHAnsi" w:cstheme="minorHAnsi"/>
          <w:color w:val="auto"/>
        </w:rPr>
        <w:t>ddPCR</w:t>
      </w:r>
      <w:proofErr w:type="spellEnd"/>
      <w:r w:rsidR="00642937" w:rsidRPr="00486E12">
        <w:rPr>
          <w:rFonts w:asciiTheme="minorHAnsi" w:hAnsiTheme="minorHAnsi" w:cstheme="minorHAnsi"/>
          <w:color w:val="auto"/>
        </w:rPr>
        <w:t xml:space="preserve"> amplification of viral cDNA. </w:t>
      </w:r>
    </w:p>
    <w:p w14:paraId="02CB4128" w14:textId="77777777" w:rsidR="00484778" w:rsidRPr="000A1DBD" w:rsidRDefault="00484778" w:rsidP="00E21748">
      <w:pPr>
        <w:snapToGrid w:val="0"/>
        <w:contextualSpacing/>
        <w:rPr>
          <w:rFonts w:asciiTheme="minorHAnsi" w:hAnsiTheme="minorHAnsi" w:cstheme="minorHAnsi"/>
          <w:b/>
          <w:color w:val="auto"/>
        </w:rPr>
      </w:pPr>
    </w:p>
    <w:p w14:paraId="46AD0BBE" w14:textId="4F4CBC3C" w:rsidR="00CD12ED" w:rsidRPr="00FE6595" w:rsidRDefault="00E21748" w:rsidP="00E21748">
      <w:pPr>
        <w:snapToGrid w:val="0"/>
        <w:contextualSpacing/>
        <w:rPr>
          <w:rFonts w:asciiTheme="minorHAnsi" w:hAnsiTheme="minorHAnsi" w:cstheme="minorHAnsi"/>
          <w:color w:val="auto"/>
        </w:rPr>
      </w:pPr>
      <w:r w:rsidRPr="00E21748">
        <w:rPr>
          <w:rFonts w:asciiTheme="minorHAnsi" w:hAnsiTheme="minorHAnsi" w:cstheme="minorHAnsi"/>
          <w:b/>
          <w:color w:val="auto"/>
        </w:rPr>
        <w:t>Table 7</w:t>
      </w:r>
      <w:r w:rsidR="00A57A10" w:rsidRPr="002E2F6A">
        <w:rPr>
          <w:rFonts w:asciiTheme="minorHAnsi" w:hAnsiTheme="minorHAnsi" w:cstheme="minorHAnsi"/>
          <w:b/>
          <w:color w:val="auto"/>
        </w:rPr>
        <w:t>:</w:t>
      </w:r>
      <w:r w:rsidR="00080866" w:rsidRPr="002E2F6A">
        <w:rPr>
          <w:rFonts w:asciiTheme="minorHAnsi" w:hAnsiTheme="minorHAnsi" w:cstheme="minorHAnsi"/>
          <w:b/>
          <w:color w:val="auto"/>
        </w:rPr>
        <w:t xml:space="preserve"> HIV </w:t>
      </w:r>
      <w:proofErr w:type="spellStart"/>
      <w:r w:rsidR="00080866" w:rsidRPr="002E2F6A">
        <w:rPr>
          <w:rFonts w:asciiTheme="minorHAnsi" w:hAnsiTheme="minorHAnsi" w:cstheme="minorHAnsi"/>
          <w:b/>
          <w:color w:val="auto"/>
        </w:rPr>
        <w:t>ddPCR</w:t>
      </w:r>
      <w:proofErr w:type="spellEnd"/>
      <w:r w:rsidR="00080866" w:rsidRPr="002E2F6A">
        <w:rPr>
          <w:rFonts w:asciiTheme="minorHAnsi" w:hAnsiTheme="minorHAnsi" w:cstheme="minorHAnsi"/>
          <w:b/>
          <w:color w:val="auto"/>
        </w:rPr>
        <w:t xml:space="preserve"> program</w:t>
      </w:r>
      <w:r>
        <w:rPr>
          <w:rFonts w:asciiTheme="minorHAnsi" w:hAnsiTheme="minorHAnsi" w:cstheme="minorHAnsi"/>
          <w:b/>
          <w:color w:val="auto"/>
        </w:rPr>
        <w:t xml:space="preserve">. </w:t>
      </w:r>
      <w:r w:rsidR="00CD12ED" w:rsidRPr="00FE6595">
        <w:rPr>
          <w:rFonts w:asciiTheme="minorHAnsi" w:hAnsiTheme="minorHAnsi" w:cstheme="minorHAnsi"/>
          <w:color w:val="auto"/>
        </w:rPr>
        <w:t>PCR cycling program used for amplification of viral RNA</w:t>
      </w:r>
      <w:r w:rsidR="00685F71" w:rsidRPr="00FE6595">
        <w:rPr>
          <w:rFonts w:asciiTheme="minorHAnsi" w:hAnsiTheme="minorHAnsi" w:cstheme="minorHAnsi"/>
          <w:color w:val="auto"/>
        </w:rPr>
        <w:t>.</w:t>
      </w:r>
      <w:r>
        <w:rPr>
          <w:rFonts w:asciiTheme="minorHAnsi" w:hAnsiTheme="minorHAnsi" w:cstheme="minorHAnsi"/>
          <w:color w:val="auto"/>
        </w:rPr>
        <w:t xml:space="preserve"> </w:t>
      </w:r>
    </w:p>
    <w:p w14:paraId="2440C4AD" w14:textId="39512AF0" w:rsidR="00A57A10" w:rsidRPr="00FE6595" w:rsidRDefault="00A57A10" w:rsidP="00E21748">
      <w:pPr>
        <w:snapToGrid w:val="0"/>
        <w:contextualSpacing/>
        <w:rPr>
          <w:rFonts w:asciiTheme="minorHAnsi" w:hAnsiTheme="minorHAnsi" w:cstheme="minorHAnsi"/>
          <w:color w:val="auto"/>
        </w:rPr>
      </w:pPr>
    </w:p>
    <w:p w14:paraId="597B6D69" w14:textId="237055B8" w:rsidR="002E0419" w:rsidRPr="001B0BDF" w:rsidRDefault="00E21748" w:rsidP="00E21748">
      <w:pPr>
        <w:snapToGrid w:val="0"/>
        <w:contextualSpacing/>
        <w:rPr>
          <w:rFonts w:asciiTheme="minorHAnsi" w:hAnsiTheme="minorHAnsi" w:cstheme="minorHAnsi"/>
        </w:rPr>
      </w:pPr>
      <w:r w:rsidRPr="00E21748">
        <w:rPr>
          <w:rFonts w:asciiTheme="minorHAnsi" w:hAnsiTheme="minorHAnsi" w:cstheme="minorHAnsi"/>
          <w:b/>
          <w:color w:val="auto"/>
        </w:rPr>
        <w:t>Table 8</w:t>
      </w:r>
      <w:r w:rsidR="002E0419" w:rsidRPr="00FE6595">
        <w:rPr>
          <w:rFonts w:asciiTheme="minorHAnsi" w:hAnsiTheme="minorHAnsi" w:cstheme="minorHAnsi"/>
          <w:b/>
          <w:color w:val="auto"/>
        </w:rPr>
        <w:t>:</w:t>
      </w:r>
      <w:r w:rsidR="002E0419" w:rsidRPr="00FE6595">
        <w:rPr>
          <w:rFonts w:asciiTheme="minorHAnsi" w:hAnsiTheme="minorHAnsi" w:cstheme="minorHAnsi"/>
          <w:color w:val="auto"/>
        </w:rPr>
        <w:t xml:space="preserve"> </w:t>
      </w:r>
      <w:r w:rsidR="002E0419" w:rsidRPr="00FE6595">
        <w:rPr>
          <w:rFonts w:asciiTheme="minorHAnsi" w:hAnsiTheme="minorHAnsi" w:cstheme="minorHAnsi"/>
          <w:b/>
          <w:lang w:eastAsia="da-DK"/>
        </w:rPr>
        <w:t xml:space="preserve">Mouse </w:t>
      </w:r>
      <w:proofErr w:type="spellStart"/>
      <w:r w:rsidR="002E0419" w:rsidRPr="00FE6595">
        <w:rPr>
          <w:rFonts w:asciiTheme="minorHAnsi" w:hAnsiTheme="minorHAnsi" w:cstheme="minorHAnsi"/>
          <w:b/>
          <w:lang w:eastAsia="da-DK"/>
        </w:rPr>
        <w:t>cART</w:t>
      </w:r>
      <w:proofErr w:type="spellEnd"/>
      <w:r w:rsidR="002E0419" w:rsidRPr="00FE6595">
        <w:rPr>
          <w:rFonts w:asciiTheme="minorHAnsi" w:hAnsiTheme="minorHAnsi" w:cstheme="minorHAnsi"/>
          <w:b/>
          <w:lang w:eastAsia="da-DK"/>
        </w:rPr>
        <w:t xml:space="preserve"> chow diet</w:t>
      </w:r>
      <w:r>
        <w:rPr>
          <w:rFonts w:asciiTheme="minorHAnsi" w:hAnsiTheme="minorHAnsi" w:cstheme="minorHAnsi"/>
          <w:b/>
          <w:lang w:eastAsia="da-DK"/>
        </w:rPr>
        <w:t xml:space="preserve">. </w:t>
      </w:r>
      <w:r w:rsidR="002E0419" w:rsidRPr="00FE6595">
        <w:rPr>
          <w:rFonts w:asciiTheme="minorHAnsi" w:hAnsiTheme="minorHAnsi" w:cstheme="minorHAnsi"/>
        </w:rPr>
        <w:t>Mouse chow diet was formulated as previously published</w:t>
      </w:r>
      <w:r w:rsidR="00A85CC2" w:rsidRPr="00A85CC2">
        <w:rPr>
          <w:rFonts w:asciiTheme="minorHAnsi" w:hAnsiTheme="minorHAnsi" w:cstheme="minorHAnsi"/>
          <w:noProof/>
          <w:vertAlign w:val="superscript"/>
        </w:rPr>
        <w:t>21</w:t>
      </w:r>
      <w:r w:rsidR="002E0419" w:rsidRPr="000D3624">
        <w:rPr>
          <w:rFonts w:asciiTheme="minorHAnsi" w:hAnsiTheme="minorHAnsi" w:cstheme="minorHAnsi"/>
        </w:rPr>
        <w:t xml:space="preserve">. The chow diet was made on a base </w:t>
      </w:r>
      <w:r w:rsidR="00E334A7" w:rsidRPr="000D3624">
        <w:rPr>
          <w:rFonts w:asciiTheme="minorHAnsi" w:hAnsiTheme="minorHAnsi" w:cstheme="minorHAnsi"/>
        </w:rPr>
        <w:t>of standard mouse chow</w:t>
      </w:r>
      <w:r w:rsidR="002E0419" w:rsidRPr="000D3624">
        <w:rPr>
          <w:rFonts w:asciiTheme="minorHAnsi" w:hAnsiTheme="minorHAnsi" w:cstheme="minorHAnsi"/>
        </w:rPr>
        <w:t>,</w:t>
      </w:r>
      <w:r w:rsidR="00E334A7" w:rsidRPr="000D3624">
        <w:rPr>
          <w:rFonts w:asciiTheme="minorHAnsi" w:hAnsiTheme="minorHAnsi" w:cstheme="minorHAnsi"/>
        </w:rPr>
        <w:t xml:space="preserve"> and after production</w:t>
      </w:r>
      <w:r w:rsidR="00E21C31" w:rsidRPr="000D3624">
        <w:rPr>
          <w:rFonts w:asciiTheme="minorHAnsi" w:hAnsiTheme="minorHAnsi" w:cstheme="minorHAnsi"/>
        </w:rPr>
        <w:t>,</w:t>
      </w:r>
      <w:r w:rsidR="00E334A7" w:rsidRPr="000D3624">
        <w:rPr>
          <w:rFonts w:asciiTheme="minorHAnsi" w:hAnsiTheme="minorHAnsi" w:cstheme="minorHAnsi"/>
        </w:rPr>
        <w:t xml:space="preserve"> the food was</w:t>
      </w:r>
      <w:r w:rsidR="002E0419" w:rsidRPr="000D3624">
        <w:rPr>
          <w:rFonts w:asciiTheme="minorHAnsi" w:hAnsiTheme="minorHAnsi" w:cstheme="minorHAnsi"/>
        </w:rPr>
        <w:t xml:space="preserve"> γ-</w:t>
      </w:r>
      <w:r w:rsidR="002E0419" w:rsidRPr="000D3624">
        <w:rPr>
          <w:rFonts w:asciiTheme="minorHAnsi" w:hAnsiTheme="minorHAnsi" w:cstheme="minorHAnsi"/>
        </w:rPr>
        <w:lastRenderedPageBreak/>
        <w:t xml:space="preserve">irradiated with 25 </w:t>
      </w:r>
      <w:proofErr w:type="spellStart"/>
      <w:r w:rsidR="002E0419" w:rsidRPr="000D3624">
        <w:rPr>
          <w:rFonts w:asciiTheme="minorHAnsi" w:hAnsiTheme="minorHAnsi" w:cstheme="minorHAnsi"/>
        </w:rPr>
        <w:t>kGy</w:t>
      </w:r>
      <w:proofErr w:type="spellEnd"/>
      <w:r w:rsidR="002E0419" w:rsidRPr="000D3624">
        <w:rPr>
          <w:rFonts w:asciiTheme="minorHAnsi" w:hAnsiTheme="minorHAnsi" w:cstheme="minorHAnsi"/>
        </w:rPr>
        <w:t xml:space="preserve"> and double-bagged. The chow was stored at -20 </w:t>
      </w:r>
      <w:r w:rsidR="002E0419" w:rsidRPr="001B0BDF">
        <w:rPr>
          <w:rFonts w:asciiTheme="minorHAnsi" w:hAnsiTheme="minorHAnsi" w:cstheme="minorHAnsi"/>
          <w:color w:val="auto"/>
        </w:rPr>
        <w:t>°</w:t>
      </w:r>
      <w:r w:rsidR="002E0419" w:rsidRPr="001B0BDF">
        <w:rPr>
          <w:rFonts w:asciiTheme="minorHAnsi" w:hAnsiTheme="minorHAnsi" w:cstheme="minorHAnsi"/>
        </w:rPr>
        <w:t xml:space="preserve">C until use. </w:t>
      </w:r>
    </w:p>
    <w:p w14:paraId="3D9D75A9" w14:textId="77777777" w:rsidR="00A57A10" w:rsidRPr="00FE6595" w:rsidRDefault="00A57A10" w:rsidP="00E21748">
      <w:pPr>
        <w:snapToGrid w:val="0"/>
        <w:contextualSpacing/>
        <w:rPr>
          <w:rFonts w:asciiTheme="minorHAnsi" w:hAnsiTheme="minorHAnsi" w:cstheme="minorHAnsi"/>
          <w:color w:val="808080" w:themeColor="background1" w:themeShade="80"/>
        </w:rPr>
      </w:pPr>
    </w:p>
    <w:p w14:paraId="64B8CF78" w14:textId="090ADC93" w:rsidR="006305D7" w:rsidRPr="003E1E1C" w:rsidRDefault="006305D7" w:rsidP="00E21748">
      <w:pPr>
        <w:snapToGrid w:val="0"/>
        <w:contextualSpacing/>
        <w:rPr>
          <w:rFonts w:asciiTheme="minorHAnsi" w:hAnsiTheme="minorHAnsi" w:cstheme="minorHAnsi"/>
          <w:b/>
        </w:rPr>
      </w:pPr>
      <w:r w:rsidRPr="003E1E1C">
        <w:rPr>
          <w:rFonts w:asciiTheme="minorHAnsi" w:hAnsiTheme="minorHAnsi" w:cstheme="minorHAnsi"/>
          <w:b/>
        </w:rPr>
        <w:t>DISCUSSION</w:t>
      </w:r>
      <w:r w:rsidRPr="003E1E1C">
        <w:rPr>
          <w:rFonts w:asciiTheme="minorHAnsi" w:hAnsiTheme="minorHAnsi" w:cstheme="minorHAnsi"/>
          <w:b/>
          <w:bCs/>
        </w:rPr>
        <w:t xml:space="preserve">: </w:t>
      </w:r>
    </w:p>
    <w:p w14:paraId="52F94C4C" w14:textId="0C07AEDF" w:rsidR="001D3C34" w:rsidRDefault="001D3C34" w:rsidP="00E21748">
      <w:pPr>
        <w:snapToGrid w:val="0"/>
        <w:contextualSpacing/>
        <w:rPr>
          <w:rFonts w:asciiTheme="minorHAnsi" w:hAnsiTheme="minorHAnsi" w:cstheme="minorHAnsi"/>
          <w:lang w:eastAsia="da-DK"/>
        </w:rPr>
      </w:pPr>
      <w:r w:rsidRPr="003E1E1C">
        <w:rPr>
          <w:rFonts w:asciiTheme="minorHAnsi" w:hAnsiTheme="minorHAnsi" w:cstheme="minorHAnsi"/>
          <w:lang w:eastAsia="da-DK"/>
        </w:rPr>
        <w:t xml:space="preserve">The severely immunocompromised mouse strain </w:t>
      </w:r>
      <w:proofErr w:type="spellStart"/>
      <w:r w:rsidRPr="003E1E1C">
        <w:rPr>
          <w:rFonts w:asciiTheme="minorHAnsi" w:hAnsiTheme="minorHAnsi" w:cstheme="minorHAnsi"/>
          <w:shd w:val="clear" w:color="auto" w:fill="FFFFFF"/>
        </w:rPr>
        <w:t>NOD.Cg-</w:t>
      </w:r>
      <w:r w:rsidRPr="003D0C1F">
        <w:rPr>
          <w:rFonts w:asciiTheme="minorHAnsi" w:hAnsiTheme="minorHAnsi" w:cstheme="minorHAnsi"/>
          <w:i/>
          <w:iCs/>
          <w:shd w:val="clear" w:color="auto" w:fill="FFFFFF"/>
        </w:rPr>
        <w:t>Prkdc</w:t>
      </w:r>
      <w:r w:rsidRPr="003D0C1F">
        <w:rPr>
          <w:rFonts w:asciiTheme="minorHAnsi" w:hAnsiTheme="minorHAnsi" w:cstheme="minorHAnsi"/>
          <w:i/>
          <w:iCs/>
          <w:shd w:val="clear" w:color="auto" w:fill="FFFFFF"/>
          <w:vertAlign w:val="superscript"/>
        </w:rPr>
        <w:t>scid</w:t>
      </w:r>
      <w:proofErr w:type="spellEnd"/>
      <w:r w:rsidRPr="003D0C1F">
        <w:rPr>
          <w:rFonts w:asciiTheme="minorHAnsi" w:hAnsiTheme="minorHAnsi" w:cstheme="minorHAnsi"/>
          <w:i/>
          <w:iCs/>
          <w:shd w:val="clear" w:color="auto" w:fill="FFFFFF"/>
        </w:rPr>
        <w:t> Il2rg</w:t>
      </w:r>
      <w:r w:rsidRPr="003D0C1F">
        <w:rPr>
          <w:rFonts w:asciiTheme="minorHAnsi" w:hAnsiTheme="minorHAnsi" w:cstheme="minorHAnsi"/>
          <w:i/>
          <w:iCs/>
          <w:shd w:val="clear" w:color="auto" w:fill="FFFFFF"/>
          <w:vertAlign w:val="superscript"/>
        </w:rPr>
        <w:t>tm1Sug</w:t>
      </w:r>
      <w:r w:rsidRPr="000E1338">
        <w:rPr>
          <w:rFonts w:asciiTheme="minorHAnsi" w:hAnsiTheme="minorHAnsi" w:cstheme="minorHAnsi"/>
          <w:shd w:val="clear" w:color="auto" w:fill="FFFFFF"/>
        </w:rPr>
        <w:t>/</w:t>
      </w:r>
      <w:proofErr w:type="spellStart"/>
      <w:r w:rsidRPr="000E1338">
        <w:rPr>
          <w:rFonts w:asciiTheme="minorHAnsi" w:hAnsiTheme="minorHAnsi" w:cstheme="minorHAnsi"/>
          <w:shd w:val="clear" w:color="auto" w:fill="FFFFFF"/>
        </w:rPr>
        <w:t>JicTac</w:t>
      </w:r>
      <w:proofErr w:type="spellEnd"/>
      <w:r w:rsidRPr="000E1338">
        <w:rPr>
          <w:rFonts w:asciiTheme="minorHAnsi" w:hAnsiTheme="minorHAnsi" w:cstheme="minorHAnsi"/>
          <w:shd w:val="clear" w:color="auto" w:fill="FFFFFF"/>
        </w:rPr>
        <w:t xml:space="preserve"> (</w:t>
      </w:r>
      <w:r w:rsidRPr="005A383A">
        <w:rPr>
          <w:rFonts w:asciiTheme="minorHAnsi" w:hAnsiTheme="minorHAnsi" w:cstheme="minorHAnsi"/>
          <w:lang w:eastAsia="da-DK"/>
        </w:rPr>
        <w:t>NOG) is extremely well suited for transplantation of human cells and tissues. Both innate and adaptive immune pathways in these mice are compromised</w:t>
      </w:r>
      <w:r w:rsidR="00FE2894" w:rsidRPr="005A383A">
        <w:rPr>
          <w:rFonts w:asciiTheme="minorHAnsi" w:hAnsiTheme="minorHAnsi" w:cstheme="minorHAnsi"/>
          <w:lang w:eastAsia="da-DK"/>
        </w:rPr>
        <w:t xml:space="preserve">. NOG and NSG </w:t>
      </w:r>
      <w:r w:rsidR="000A1DBD">
        <w:rPr>
          <w:rFonts w:asciiTheme="minorHAnsi" w:hAnsiTheme="minorHAnsi" w:cstheme="minorHAnsi"/>
          <w:lang w:eastAsia="da-DK"/>
        </w:rPr>
        <w:t>mice</w:t>
      </w:r>
      <w:r w:rsidR="000A1DBD" w:rsidRPr="005A383A">
        <w:rPr>
          <w:rFonts w:asciiTheme="minorHAnsi" w:hAnsiTheme="minorHAnsi" w:cstheme="minorHAnsi"/>
          <w:lang w:eastAsia="da-DK"/>
        </w:rPr>
        <w:t xml:space="preserve"> </w:t>
      </w:r>
      <w:r w:rsidR="00FE2894" w:rsidRPr="005A383A">
        <w:rPr>
          <w:rFonts w:asciiTheme="minorHAnsi" w:hAnsiTheme="minorHAnsi" w:cstheme="minorHAnsi"/>
          <w:lang w:eastAsia="da-DK"/>
        </w:rPr>
        <w:t>harbo</w:t>
      </w:r>
      <w:r w:rsidRPr="005A383A">
        <w:rPr>
          <w:rFonts w:asciiTheme="minorHAnsi" w:hAnsiTheme="minorHAnsi" w:cstheme="minorHAnsi"/>
          <w:lang w:eastAsia="da-DK"/>
        </w:rPr>
        <w:t xml:space="preserve">r a </w:t>
      </w:r>
      <w:proofErr w:type="spellStart"/>
      <w:r w:rsidRPr="005A383A">
        <w:rPr>
          <w:rFonts w:asciiTheme="minorHAnsi" w:hAnsiTheme="minorHAnsi" w:cstheme="minorHAnsi"/>
          <w:lang w:eastAsia="da-DK"/>
        </w:rPr>
        <w:t>Prkdc</w:t>
      </w:r>
      <w:r w:rsidRPr="00D51A26">
        <w:rPr>
          <w:rFonts w:asciiTheme="minorHAnsi" w:hAnsiTheme="minorHAnsi" w:cstheme="minorHAnsi"/>
          <w:vertAlign w:val="superscript"/>
          <w:lang w:eastAsia="da-DK"/>
        </w:rPr>
        <w:t>scid</w:t>
      </w:r>
      <w:proofErr w:type="spellEnd"/>
      <w:r w:rsidRPr="00D51A26">
        <w:rPr>
          <w:rFonts w:asciiTheme="minorHAnsi" w:hAnsiTheme="minorHAnsi" w:cstheme="minorHAnsi"/>
          <w:lang w:eastAsia="da-DK"/>
        </w:rPr>
        <w:t xml:space="preserve"> mutation that results in defective T and B cell function. Furthermore, </w:t>
      </w:r>
      <w:r w:rsidR="000A726F">
        <w:rPr>
          <w:rFonts w:asciiTheme="minorHAnsi" w:hAnsiTheme="minorHAnsi" w:cstheme="minorHAnsi"/>
          <w:lang w:eastAsia="da-DK"/>
        </w:rPr>
        <w:t>these mice lack a functio</w:t>
      </w:r>
      <w:r w:rsidR="000A1DBD">
        <w:rPr>
          <w:rFonts w:asciiTheme="minorHAnsi" w:hAnsiTheme="minorHAnsi" w:cstheme="minorHAnsi"/>
          <w:lang w:eastAsia="da-DK"/>
        </w:rPr>
        <w:t>nal</w:t>
      </w:r>
      <w:r w:rsidRPr="00D51A26">
        <w:rPr>
          <w:rFonts w:asciiTheme="minorHAnsi" w:hAnsiTheme="minorHAnsi" w:cstheme="minorHAnsi"/>
          <w:lang w:eastAsia="da-DK"/>
        </w:rPr>
        <w:t xml:space="preserve"> interleukin-2 receptor γ-chain (common gamma </w:t>
      </w:r>
      <w:r w:rsidRPr="00E527EE">
        <w:rPr>
          <w:rFonts w:asciiTheme="minorHAnsi" w:hAnsiTheme="minorHAnsi" w:cstheme="minorHAnsi"/>
          <w:lang w:eastAsia="da-DK"/>
        </w:rPr>
        <w:t>chain, IL2rg) which is indispensable in the binding complexes of many key cytokines such as IL-2, IL-4, IL-7, IL-9, IL-15</w:t>
      </w:r>
      <w:r w:rsidR="005E7CB3">
        <w:rPr>
          <w:rFonts w:asciiTheme="minorHAnsi" w:hAnsiTheme="minorHAnsi" w:cstheme="minorHAnsi"/>
          <w:lang w:eastAsia="da-DK"/>
        </w:rPr>
        <w:t>,</w:t>
      </w:r>
      <w:r w:rsidRPr="00E527EE">
        <w:rPr>
          <w:rFonts w:asciiTheme="minorHAnsi" w:hAnsiTheme="minorHAnsi" w:cstheme="minorHAnsi"/>
          <w:lang w:eastAsia="da-DK"/>
        </w:rPr>
        <w:t xml:space="preserve"> and IL</w:t>
      </w:r>
      <w:r w:rsidR="000A1DBD">
        <w:rPr>
          <w:rFonts w:asciiTheme="minorHAnsi" w:hAnsiTheme="minorHAnsi" w:cstheme="minorHAnsi"/>
          <w:lang w:eastAsia="da-DK"/>
        </w:rPr>
        <w:t>-</w:t>
      </w:r>
      <w:r w:rsidRPr="00E527EE">
        <w:rPr>
          <w:rFonts w:asciiTheme="minorHAnsi" w:hAnsiTheme="minorHAnsi" w:cstheme="minorHAnsi"/>
          <w:lang w:eastAsia="da-DK"/>
        </w:rPr>
        <w:t>21.</w:t>
      </w:r>
      <w:r w:rsidR="000A1DBD">
        <w:rPr>
          <w:rFonts w:asciiTheme="minorHAnsi" w:hAnsiTheme="minorHAnsi" w:cstheme="minorHAnsi"/>
          <w:lang w:eastAsia="da-DK"/>
        </w:rPr>
        <w:t xml:space="preserve"> </w:t>
      </w:r>
      <w:r w:rsidRPr="00E527EE">
        <w:rPr>
          <w:rFonts w:asciiTheme="minorHAnsi" w:hAnsiTheme="minorHAnsi" w:cstheme="minorHAnsi"/>
          <w:lang w:eastAsia="da-DK"/>
        </w:rPr>
        <w:t>Immunodeficient mice</w:t>
      </w:r>
      <w:r w:rsidR="005E7CB3">
        <w:rPr>
          <w:rFonts w:asciiTheme="minorHAnsi" w:hAnsiTheme="minorHAnsi" w:cstheme="minorHAnsi"/>
          <w:lang w:eastAsia="da-DK"/>
        </w:rPr>
        <w:t>,</w:t>
      </w:r>
      <w:r w:rsidRPr="00E527EE">
        <w:rPr>
          <w:rFonts w:asciiTheme="minorHAnsi" w:hAnsiTheme="minorHAnsi" w:cstheme="minorHAnsi"/>
          <w:lang w:eastAsia="da-DK"/>
        </w:rPr>
        <w:t xml:space="preserve"> such as the NOG, transplanted with a human immune system are a powerful tool for the</w:t>
      </w:r>
      <w:r w:rsidRPr="00CC0544">
        <w:rPr>
          <w:rFonts w:asciiTheme="minorHAnsi" w:hAnsiTheme="minorHAnsi" w:cstheme="minorHAnsi"/>
          <w:lang w:eastAsia="da-DK"/>
        </w:rPr>
        <w:t xml:space="preserve"> study of HIV transmission and immunology. Contributions in these fields made using humanized mice have been extensively reviewed</w:t>
      </w:r>
      <w:r w:rsidR="00A85CC2" w:rsidRPr="00A85CC2">
        <w:rPr>
          <w:rFonts w:asciiTheme="minorHAnsi" w:hAnsiTheme="minorHAnsi" w:cstheme="minorHAnsi"/>
          <w:noProof/>
          <w:vertAlign w:val="superscript"/>
          <w:lang w:eastAsia="da-DK"/>
        </w:rPr>
        <w:t>2,23–26</w:t>
      </w:r>
      <w:r w:rsidRPr="000D3624">
        <w:rPr>
          <w:rFonts w:asciiTheme="minorHAnsi" w:hAnsiTheme="minorHAnsi" w:cstheme="minorHAnsi"/>
          <w:lang w:eastAsia="da-DK"/>
        </w:rPr>
        <w:t>. The use of these mice to study human innate immune responses are also gaining increased attention</w:t>
      </w:r>
      <w:r w:rsidR="00A85CC2" w:rsidRPr="00A85CC2">
        <w:rPr>
          <w:rFonts w:asciiTheme="minorHAnsi" w:hAnsiTheme="minorHAnsi" w:cstheme="minorHAnsi"/>
          <w:noProof/>
          <w:vertAlign w:val="superscript"/>
          <w:lang w:eastAsia="da-DK"/>
        </w:rPr>
        <w:t>27,28</w:t>
      </w:r>
      <w:r w:rsidRPr="000D3624">
        <w:rPr>
          <w:rFonts w:asciiTheme="minorHAnsi" w:hAnsiTheme="minorHAnsi" w:cstheme="minorHAnsi"/>
          <w:lang w:eastAsia="da-DK"/>
        </w:rPr>
        <w:t>.</w:t>
      </w:r>
    </w:p>
    <w:p w14:paraId="716E811E" w14:textId="77777777" w:rsidR="002E2F6A" w:rsidRPr="000D3624" w:rsidRDefault="002E2F6A" w:rsidP="00E21748">
      <w:pPr>
        <w:snapToGrid w:val="0"/>
        <w:contextualSpacing/>
        <w:rPr>
          <w:rFonts w:asciiTheme="minorHAnsi" w:hAnsiTheme="minorHAnsi" w:cstheme="minorHAnsi"/>
          <w:lang w:eastAsia="da-DK"/>
        </w:rPr>
      </w:pPr>
    </w:p>
    <w:p w14:paraId="732BFE70" w14:textId="528B5574" w:rsidR="001D3C34" w:rsidRPr="000D3624" w:rsidRDefault="001D3C34" w:rsidP="00E21748">
      <w:pPr>
        <w:snapToGrid w:val="0"/>
        <w:contextualSpacing/>
        <w:rPr>
          <w:rFonts w:asciiTheme="minorHAnsi" w:hAnsiTheme="minorHAnsi" w:cstheme="minorHAnsi"/>
        </w:rPr>
      </w:pPr>
      <w:r w:rsidRPr="000D3624">
        <w:rPr>
          <w:rFonts w:asciiTheme="minorHAnsi" w:hAnsiTheme="minorHAnsi" w:cstheme="minorHAnsi"/>
          <w:lang w:eastAsia="da-DK"/>
        </w:rPr>
        <w:t xml:space="preserve">The aim </w:t>
      </w:r>
      <w:r w:rsidR="005E7CB3">
        <w:rPr>
          <w:rFonts w:asciiTheme="minorHAnsi" w:hAnsiTheme="minorHAnsi" w:cstheme="minorHAnsi"/>
          <w:lang w:eastAsia="da-DK"/>
        </w:rPr>
        <w:t>of</w:t>
      </w:r>
      <w:r w:rsidR="005E7CB3" w:rsidRPr="000D3624">
        <w:rPr>
          <w:rFonts w:asciiTheme="minorHAnsi" w:hAnsiTheme="minorHAnsi" w:cstheme="minorHAnsi"/>
          <w:lang w:eastAsia="da-DK"/>
        </w:rPr>
        <w:t xml:space="preserve"> </w:t>
      </w:r>
      <w:r w:rsidRPr="000D3624">
        <w:rPr>
          <w:rFonts w:asciiTheme="minorHAnsi" w:hAnsiTheme="minorHAnsi" w:cstheme="minorHAnsi"/>
          <w:lang w:eastAsia="da-DK"/>
        </w:rPr>
        <w:t xml:space="preserve">this manuscript </w:t>
      </w:r>
      <w:r w:rsidR="005E7CB3">
        <w:rPr>
          <w:rFonts w:asciiTheme="minorHAnsi" w:hAnsiTheme="minorHAnsi" w:cstheme="minorHAnsi"/>
          <w:lang w:eastAsia="da-DK"/>
        </w:rPr>
        <w:t>is</w:t>
      </w:r>
      <w:r w:rsidR="005E7CB3" w:rsidRPr="000D3624">
        <w:rPr>
          <w:rFonts w:asciiTheme="minorHAnsi" w:hAnsiTheme="minorHAnsi" w:cstheme="minorHAnsi"/>
          <w:lang w:eastAsia="da-DK"/>
        </w:rPr>
        <w:t xml:space="preserve"> </w:t>
      </w:r>
      <w:r w:rsidRPr="000D3624">
        <w:rPr>
          <w:rFonts w:asciiTheme="minorHAnsi" w:hAnsiTheme="minorHAnsi" w:cstheme="minorHAnsi"/>
          <w:lang w:eastAsia="da-DK"/>
        </w:rPr>
        <w:t xml:space="preserve">to supply a comprehensive protocol of mouse and </w:t>
      </w:r>
      <w:proofErr w:type="spellStart"/>
      <w:r w:rsidRPr="000D3624">
        <w:rPr>
          <w:rFonts w:asciiTheme="minorHAnsi" w:hAnsiTheme="minorHAnsi" w:cstheme="minorHAnsi"/>
          <w:lang w:eastAsia="da-DK"/>
        </w:rPr>
        <w:t>ddPCR</w:t>
      </w:r>
      <w:proofErr w:type="spellEnd"/>
      <w:r w:rsidRPr="000D3624">
        <w:rPr>
          <w:rFonts w:asciiTheme="minorHAnsi" w:hAnsiTheme="minorHAnsi" w:cstheme="minorHAnsi"/>
          <w:lang w:eastAsia="da-DK"/>
        </w:rPr>
        <w:t xml:space="preserve"> procedures to go from a </w:t>
      </w:r>
      <w:r w:rsidR="008249E5" w:rsidRPr="000D3624">
        <w:rPr>
          <w:rFonts w:asciiTheme="minorHAnsi" w:hAnsiTheme="minorHAnsi" w:cstheme="minorHAnsi"/>
          <w:lang w:eastAsia="da-DK"/>
        </w:rPr>
        <w:t>na</w:t>
      </w:r>
      <w:r w:rsidR="005E7CB3">
        <w:t>i</w:t>
      </w:r>
      <w:r w:rsidR="008249E5" w:rsidRPr="000D3624">
        <w:t>v</w:t>
      </w:r>
      <w:r w:rsidR="008249E5" w:rsidRPr="000D3624">
        <w:rPr>
          <w:rFonts w:asciiTheme="minorHAnsi" w:hAnsiTheme="minorHAnsi" w:cstheme="minorHAnsi"/>
          <w:lang w:eastAsia="da-DK"/>
        </w:rPr>
        <w:t>e</w:t>
      </w:r>
      <w:r w:rsidRPr="000D3624">
        <w:rPr>
          <w:rFonts w:asciiTheme="minorHAnsi" w:hAnsiTheme="minorHAnsi" w:cstheme="minorHAnsi"/>
          <w:lang w:eastAsia="da-DK"/>
        </w:rPr>
        <w:t xml:space="preserve"> mouse to HIV transmission and treatment data. </w:t>
      </w:r>
      <w:r w:rsidRPr="001B0BDF">
        <w:rPr>
          <w:rFonts w:asciiTheme="minorHAnsi" w:hAnsiTheme="minorHAnsi" w:cstheme="minorHAnsi"/>
        </w:rPr>
        <w:t xml:space="preserve">Our system utilized </w:t>
      </w:r>
      <w:proofErr w:type="spellStart"/>
      <w:r w:rsidRPr="001B0BDF">
        <w:rPr>
          <w:rFonts w:asciiTheme="minorHAnsi" w:hAnsiTheme="minorHAnsi" w:cstheme="minorHAnsi"/>
        </w:rPr>
        <w:t>ddPCR</w:t>
      </w:r>
      <w:proofErr w:type="spellEnd"/>
      <w:r w:rsidRPr="001B0BDF">
        <w:rPr>
          <w:rFonts w:asciiTheme="minorHAnsi" w:hAnsiTheme="minorHAnsi" w:cstheme="minorHAnsi"/>
        </w:rPr>
        <w:t xml:space="preserve"> for quantification of viral RNA and DNA. In a </w:t>
      </w:r>
      <w:proofErr w:type="spellStart"/>
      <w:r w:rsidRPr="001B0BDF">
        <w:rPr>
          <w:rFonts w:asciiTheme="minorHAnsi" w:hAnsiTheme="minorHAnsi" w:cstheme="minorHAnsi"/>
        </w:rPr>
        <w:t>ddPCR</w:t>
      </w:r>
      <w:proofErr w:type="spellEnd"/>
      <w:r w:rsidRPr="001B0BDF">
        <w:rPr>
          <w:rFonts w:asciiTheme="minorHAnsi" w:hAnsiTheme="minorHAnsi" w:cstheme="minorHAnsi"/>
        </w:rPr>
        <w:t xml:space="preserve"> </w:t>
      </w:r>
      <w:r w:rsidR="000A1DBD">
        <w:rPr>
          <w:rFonts w:asciiTheme="minorHAnsi" w:hAnsiTheme="minorHAnsi" w:cstheme="minorHAnsi"/>
        </w:rPr>
        <w:t>reaction</w:t>
      </w:r>
      <w:r w:rsidRPr="001B0BDF">
        <w:rPr>
          <w:rFonts w:asciiTheme="minorHAnsi" w:hAnsiTheme="minorHAnsi" w:cstheme="minorHAnsi"/>
        </w:rPr>
        <w:t xml:space="preserve">, </w:t>
      </w:r>
      <w:r w:rsidR="000A1DBD">
        <w:rPr>
          <w:rFonts w:asciiTheme="minorHAnsi" w:hAnsiTheme="minorHAnsi" w:cstheme="minorHAnsi"/>
        </w:rPr>
        <w:t>the reactants are</w:t>
      </w:r>
      <w:r w:rsidRPr="001B0BDF">
        <w:rPr>
          <w:rFonts w:asciiTheme="minorHAnsi" w:hAnsiTheme="minorHAnsi" w:cstheme="minorHAnsi"/>
        </w:rPr>
        <w:t xml:space="preserve"> partitioned into up to 20,000 droplets, each containing a single, separate micro PCR</w:t>
      </w:r>
      <w:r w:rsidR="000A1DBD">
        <w:rPr>
          <w:rFonts w:asciiTheme="minorHAnsi" w:hAnsiTheme="minorHAnsi" w:cstheme="minorHAnsi"/>
        </w:rPr>
        <w:t xml:space="preserve"> reaction</w:t>
      </w:r>
      <w:r w:rsidRPr="001B0BDF">
        <w:rPr>
          <w:rFonts w:asciiTheme="minorHAnsi" w:hAnsiTheme="minorHAnsi" w:cstheme="minorHAnsi"/>
        </w:rPr>
        <w:t xml:space="preserve">. The amplification of a target inside a droplet leads to a positive fluorescent signal for that droplet. Thus, the readout is binary and by applying Poisson statistical analyses, the number of positive reactions </w:t>
      </w:r>
      <w:r w:rsidRPr="00FE6595">
        <w:rPr>
          <w:rFonts w:asciiTheme="minorHAnsi" w:hAnsiTheme="minorHAnsi" w:cstheme="minorHAnsi"/>
        </w:rPr>
        <w:t xml:space="preserve">can be directly translated to </w:t>
      </w:r>
      <w:proofErr w:type="gramStart"/>
      <w:r w:rsidRPr="00FE6595">
        <w:rPr>
          <w:rFonts w:asciiTheme="minorHAnsi" w:hAnsiTheme="minorHAnsi" w:cstheme="minorHAnsi"/>
        </w:rPr>
        <w:t>a number of</w:t>
      </w:r>
      <w:proofErr w:type="gramEnd"/>
      <w:r w:rsidRPr="00FE6595">
        <w:rPr>
          <w:rFonts w:asciiTheme="minorHAnsi" w:hAnsiTheme="minorHAnsi" w:cstheme="minorHAnsi"/>
        </w:rPr>
        <w:t xml:space="preserve"> template copies in the original sample. The benefit of </w:t>
      </w:r>
      <w:proofErr w:type="spellStart"/>
      <w:r w:rsidRPr="00FE6595">
        <w:rPr>
          <w:rFonts w:asciiTheme="minorHAnsi" w:hAnsiTheme="minorHAnsi" w:cstheme="minorHAnsi"/>
        </w:rPr>
        <w:t>ddPCR</w:t>
      </w:r>
      <w:proofErr w:type="spellEnd"/>
      <w:r w:rsidRPr="00FE6595">
        <w:rPr>
          <w:rFonts w:asciiTheme="minorHAnsi" w:hAnsiTheme="minorHAnsi" w:cstheme="minorHAnsi"/>
        </w:rPr>
        <w:t xml:space="preserve"> lies in its ability to directly quantify a target independent of a standard curve. This is par</w:t>
      </w:r>
      <w:r w:rsidR="00FE2894" w:rsidRPr="00FE6595">
        <w:rPr>
          <w:rFonts w:asciiTheme="minorHAnsi" w:hAnsiTheme="minorHAnsi" w:cstheme="minorHAnsi"/>
        </w:rPr>
        <w:t>ticularly attractive when analyz</w:t>
      </w:r>
      <w:r w:rsidRPr="00FE6595">
        <w:rPr>
          <w:rFonts w:asciiTheme="minorHAnsi" w:hAnsiTheme="minorHAnsi" w:cstheme="minorHAnsi"/>
        </w:rPr>
        <w:t>ing RNA samples</w:t>
      </w:r>
      <w:r w:rsidR="000A1DBD">
        <w:rPr>
          <w:rFonts w:asciiTheme="minorHAnsi" w:hAnsiTheme="minorHAnsi" w:cstheme="minorHAnsi"/>
        </w:rPr>
        <w:t xml:space="preserve"> that are challenging to utilize as PCR standard curves due to their labile nature</w:t>
      </w:r>
      <w:r w:rsidR="00A85CC2" w:rsidRPr="00A85CC2">
        <w:rPr>
          <w:rFonts w:asciiTheme="minorHAnsi" w:hAnsiTheme="minorHAnsi" w:cstheme="minorHAnsi"/>
          <w:noProof/>
          <w:vertAlign w:val="superscript"/>
        </w:rPr>
        <w:t>29</w:t>
      </w:r>
      <w:r w:rsidRPr="000D3624">
        <w:rPr>
          <w:rFonts w:asciiTheme="minorHAnsi" w:hAnsiTheme="minorHAnsi" w:cstheme="minorHAnsi"/>
        </w:rPr>
        <w:t xml:space="preserve">. Moreover, by </w:t>
      </w:r>
      <w:r w:rsidR="00347B89" w:rsidRPr="000D3624">
        <w:rPr>
          <w:rFonts w:asciiTheme="minorHAnsi" w:hAnsiTheme="minorHAnsi" w:cstheme="minorHAnsi"/>
        </w:rPr>
        <w:t>analyzing</w:t>
      </w:r>
      <w:r w:rsidRPr="000D3624">
        <w:rPr>
          <w:rFonts w:asciiTheme="minorHAnsi" w:hAnsiTheme="minorHAnsi" w:cstheme="minorHAnsi"/>
        </w:rPr>
        <w:t xml:space="preserve"> multiple replicas of the same sample and merging the individual data points for the final sample quantification, the binary nature of </w:t>
      </w:r>
      <w:proofErr w:type="spellStart"/>
      <w:r w:rsidRPr="000D3624">
        <w:rPr>
          <w:rFonts w:asciiTheme="minorHAnsi" w:hAnsiTheme="minorHAnsi" w:cstheme="minorHAnsi"/>
        </w:rPr>
        <w:t>ddPCR</w:t>
      </w:r>
      <w:proofErr w:type="spellEnd"/>
      <w:r w:rsidRPr="000D3624">
        <w:rPr>
          <w:rFonts w:asciiTheme="minorHAnsi" w:hAnsiTheme="minorHAnsi" w:cstheme="minorHAnsi"/>
        </w:rPr>
        <w:t xml:space="preserve"> makes it possible to lower the</w:t>
      </w:r>
      <w:r w:rsidR="00347B89" w:rsidRPr="000D3624">
        <w:rPr>
          <w:rFonts w:asciiTheme="minorHAnsi" w:hAnsiTheme="minorHAnsi" w:cstheme="minorHAnsi"/>
        </w:rPr>
        <w:t xml:space="preserve"> detection limit of template co</w:t>
      </w:r>
      <w:r w:rsidRPr="000D3624">
        <w:rPr>
          <w:rFonts w:asciiTheme="minorHAnsi" w:hAnsiTheme="minorHAnsi" w:cstheme="minorHAnsi"/>
        </w:rPr>
        <w:t>pies per mL of sample</w:t>
      </w:r>
      <w:r w:rsidR="00A85CC2" w:rsidRPr="00A85CC2">
        <w:rPr>
          <w:rFonts w:asciiTheme="minorHAnsi" w:hAnsiTheme="minorHAnsi" w:cstheme="minorHAnsi"/>
          <w:noProof/>
          <w:vertAlign w:val="superscript"/>
        </w:rPr>
        <w:t>29</w:t>
      </w:r>
      <w:r w:rsidRPr="000D3624">
        <w:rPr>
          <w:rFonts w:asciiTheme="minorHAnsi" w:hAnsiTheme="minorHAnsi" w:cstheme="minorHAnsi"/>
        </w:rPr>
        <w:t xml:space="preserve">. This is especially important in a humanized mouse setting, where only limited sample material is available and high sensitivity is required. </w:t>
      </w:r>
    </w:p>
    <w:p w14:paraId="79CD01C6" w14:textId="77777777" w:rsidR="001D3C34" w:rsidRPr="000D3624" w:rsidRDefault="001D3C34" w:rsidP="00E21748">
      <w:pPr>
        <w:snapToGrid w:val="0"/>
        <w:contextualSpacing/>
        <w:rPr>
          <w:rFonts w:asciiTheme="minorHAnsi" w:hAnsiTheme="minorHAnsi" w:cstheme="minorHAnsi"/>
        </w:rPr>
      </w:pPr>
    </w:p>
    <w:p w14:paraId="48CA0922" w14:textId="465A12DD" w:rsidR="001D3C34" w:rsidRPr="000D3624" w:rsidRDefault="001D3C34" w:rsidP="00E21748">
      <w:pPr>
        <w:snapToGrid w:val="0"/>
        <w:contextualSpacing/>
        <w:rPr>
          <w:rFonts w:asciiTheme="minorHAnsi" w:hAnsiTheme="minorHAnsi" w:cstheme="minorHAnsi"/>
        </w:rPr>
      </w:pPr>
      <w:r w:rsidRPr="000D3624">
        <w:rPr>
          <w:rFonts w:asciiTheme="minorHAnsi" w:hAnsiTheme="minorHAnsi" w:cstheme="minorHAnsi"/>
          <w:lang w:eastAsia="da-DK"/>
        </w:rPr>
        <w:t xml:space="preserve">Administration of </w:t>
      </w:r>
      <w:proofErr w:type="spellStart"/>
      <w:r w:rsidRPr="000D3624">
        <w:rPr>
          <w:rFonts w:asciiTheme="minorHAnsi" w:hAnsiTheme="minorHAnsi" w:cstheme="minorHAnsi"/>
          <w:lang w:eastAsia="da-DK"/>
        </w:rPr>
        <w:t>cART</w:t>
      </w:r>
      <w:proofErr w:type="spellEnd"/>
      <w:r w:rsidRPr="000D3624">
        <w:rPr>
          <w:rFonts w:asciiTheme="minorHAnsi" w:hAnsiTheme="minorHAnsi" w:cstheme="minorHAnsi"/>
          <w:lang w:eastAsia="da-DK"/>
        </w:rPr>
        <w:t xml:space="preserve"> to humanized mice can be done either </w:t>
      </w:r>
      <w:r w:rsidR="009002E6">
        <w:rPr>
          <w:rFonts w:asciiTheme="minorHAnsi" w:hAnsiTheme="minorHAnsi" w:cstheme="minorHAnsi"/>
          <w:lang w:eastAsia="da-DK"/>
        </w:rPr>
        <w:t xml:space="preserve">by </w:t>
      </w:r>
      <w:r w:rsidRPr="000D3624">
        <w:rPr>
          <w:rFonts w:asciiTheme="minorHAnsi" w:hAnsiTheme="minorHAnsi" w:cstheme="minorHAnsi"/>
          <w:lang w:eastAsia="da-DK"/>
        </w:rPr>
        <w:t>oral gavage or intraperitoneal injections with solutions of cART</w:t>
      </w:r>
      <w:r w:rsidR="00A85CC2" w:rsidRPr="00A85CC2">
        <w:rPr>
          <w:rFonts w:asciiTheme="minorHAnsi" w:hAnsiTheme="minorHAnsi" w:cstheme="minorHAnsi"/>
          <w:noProof/>
          <w:vertAlign w:val="superscript"/>
          <w:lang w:eastAsia="da-DK"/>
        </w:rPr>
        <w:t>30–32</w:t>
      </w:r>
      <w:r w:rsidRPr="000D3624">
        <w:rPr>
          <w:rFonts w:asciiTheme="minorHAnsi" w:hAnsiTheme="minorHAnsi" w:cstheme="minorHAnsi"/>
          <w:lang w:eastAsia="da-DK"/>
        </w:rPr>
        <w:t>, and as shown recently</w:t>
      </w:r>
      <w:r w:rsidR="009002E6">
        <w:rPr>
          <w:rFonts w:asciiTheme="minorHAnsi" w:hAnsiTheme="minorHAnsi" w:cstheme="minorHAnsi"/>
          <w:lang w:eastAsia="da-DK"/>
        </w:rPr>
        <w:t>,</w:t>
      </w:r>
      <w:r w:rsidRPr="000D3624">
        <w:rPr>
          <w:rFonts w:asciiTheme="minorHAnsi" w:hAnsiTheme="minorHAnsi" w:cstheme="minorHAnsi"/>
          <w:lang w:eastAsia="da-DK"/>
        </w:rPr>
        <w:t xml:space="preserve"> by formulation into the diet</w:t>
      </w:r>
      <w:r w:rsidR="00A85CC2" w:rsidRPr="00A85CC2">
        <w:rPr>
          <w:rFonts w:asciiTheme="minorHAnsi" w:hAnsiTheme="minorHAnsi" w:cstheme="minorHAnsi"/>
          <w:noProof/>
          <w:vertAlign w:val="superscript"/>
          <w:lang w:eastAsia="da-DK"/>
        </w:rPr>
        <w:t>21</w:t>
      </w:r>
      <w:r w:rsidRPr="000D3624">
        <w:rPr>
          <w:rFonts w:asciiTheme="minorHAnsi" w:hAnsiTheme="minorHAnsi" w:cstheme="minorHAnsi"/>
          <w:lang w:eastAsia="da-DK"/>
        </w:rPr>
        <w:t xml:space="preserve">. One of our major aims was the implementation of a </w:t>
      </w:r>
      <w:proofErr w:type="spellStart"/>
      <w:r w:rsidRPr="000D3624">
        <w:rPr>
          <w:rFonts w:asciiTheme="minorHAnsi" w:hAnsiTheme="minorHAnsi" w:cstheme="minorHAnsi"/>
          <w:lang w:eastAsia="da-DK"/>
        </w:rPr>
        <w:t>cART</w:t>
      </w:r>
      <w:proofErr w:type="spellEnd"/>
      <w:r w:rsidRPr="000D3624">
        <w:rPr>
          <w:rFonts w:asciiTheme="minorHAnsi" w:hAnsiTheme="minorHAnsi" w:cstheme="minorHAnsi"/>
          <w:lang w:eastAsia="da-DK"/>
        </w:rPr>
        <w:t xml:space="preserve"> regimen in the mouse diet</w:t>
      </w:r>
      <w:r w:rsidR="000A1DBD">
        <w:rPr>
          <w:rFonts w:asciiTheme="minorHAnsi" w:hAnsiTheme="minorHAnsi" w:cstheme="minorHAnsi"/>
          <w:lang w:eastAsia="da-DK"/>
        </w:rPr>
        <w:t xml:space="preserve"> to reduce potential stress on the animals due to </w:t>
      </w:r>
      <w:r w:rsidR="009002E6">
        <w:rPr>
          <w:rFonts w:asciiTheme="minorHAnsi" w:hAnsiTheme="minorHAnsi" w:cstheme="minorHAnsi"/>
          <w:lang w:eastAsia="da-DK"/>
        </w:rPr>
        <w:t xml:space="preserve">the </w:t>
      </w:r>
      <w:r w:rsidR="000A1DBD">
        <w:rPr>
          <w:rFonts w:asciiTheme="minorHAnsi" w:hAnsiTheme="minorHAnsi" w:cstheme="minorHAnsi"/>
          <w:lang w:eastAsia="da-DK"/>
        </w:rPr>
        <w:t>extra handling steps inherent in other drug delivery methods</w:t>
      </w:r>
      <w:r w:rsidRPr="000D3624">
        <w:rPr>
          <w:rFonts w:asciiTheme="minorHAnsi" w:hAnsiTheme="minorHAnsi" w:cstheme="minorHAnsi"/>
          <w:lang w:eastAsia="da-DK"/>
        </w:rPr>
        <w:t xml:space="preserve">. The dose of medicine that a mouse will eat can be accurately estimated based on the average daily food intake of </w:t>
      </w:r>
      <w:r w:rsidR="009002E6">
        <w:rPr>
          <w:rFonts w:asciiTheme="minorHAnsi" w:hAnsiTheme="minorHAnsi" w:cstheme="minorHAnsi"/>
          <w:lang w:eastAsia="da-DK"/>
        </w:rPr>
        <w:t xml:space="preserve">the </w:t>
      </w:r>
      <w:r w:rsidRPr="000D3624">
        <w:rPr>
          <w:rFonts w:asciiTheme="minorHAnsi" w:hAnsiTheme="minorHAnsi" w:cstheme="minorHAnsi"/>
          <w:lang w:eastAsia="da-DK"/>
        </w:rPr>
        <w:t>mice</w:t>
      </w:r>
      <w:r w:rsidR="00A85CC2" w:rsidRPr="00A85CC2">
        <w:rPr>
          <w:rFonts w:asciiTheme="minorHAnsi" w:hAnsiTheme="minorHAnsi" w:cstheme="minorHAnsi"/>
          <w:noProof/>
          <w:vertAlign w:val="superscript"/>
          <w:lang w:eastAsia="da-DK"/>
        </w:rPr>
        <w:t>33</w:t>
      </w:r>
      <w:r w:rsidRPr="000D3624">
        <w:rPr>
          <w:rFonts w:asciiTheme="minorHAnsi" w:hAnsiTheme="minorHAnsi" w:cstheme="minorHAnsi"/>
          <w:lang w:eastAsia="da-DK"/>
        </w:rPr>
        <w:t xml:space="preserve">. Oral delivery through the diet serves as the easiest delivery route with both minimal stress for the animal and minimal workload for the handler. </w:t>
      </w:r>
      <w:r w:rsidR="00B042FD" w:rsidRPr="000D3624">
        <w:rPr>
          <w:rFonts w:asciiTheme="minorHAnsi" w:hAnsiTheme="minorHAnsi" w:cstheme="minorHAnsi"/>
          <w:lang w:eastAsia="da-DK"/>
        </w:rPr>
        <w:t>We based our combination of antiviral drugs on previous published studies</w:t>
      </w:r>
      <w:r w:rsidR="00B042FD">
        <w:rPr>
          <w:rFonts w:asciiTheme="minorHAnsi" w:hAnsiTheme="minorHAnsi" w:cstheme="minorHAnsi"/>
          <w:lang w:eastAsia="da-DK"/>
        </w:rPr>
        <w:t xml:space="preserve"> in humanized mice</w:t>
      </w:r>
      <w:r w:rsidR="00A85CC2" w:rsidRPr="00A85CC2">
        <w:rPr>
          <w:rFonts w:asciiTheme="minorHAnsi" w:hAnsiTheme="minorHAnsi" w:cstheme="minorHAnsi"/>
          <w:noProof/>
          <w:vertAlign w:val="superscript"/>
          <w:lang w:eastAsia="da-DK"/>
        </w:rPr>
        <w:t>21, 30</w:t>
      </w:r>
      <w:r w:rsidR="00B042FD" w:rsidRPr="000D3624">
        <w:rPr>
          <w:rFonts w:asciiTheme="minorHAnsi" w:hAnsiTheme="minorHAnsi" w:cstheme="minorHAnsi"/>
          <w:lang w:eastAsia="da-DK"/>
        </w:rPr>
        <w:t>.</w:t>
      </w:r>
      <w:r w:rsidR="00B042FD">
        <w:rPr>
          <w:rFonts w:asciiTheme="minorHAnsi" w:hAnsiTheme="minorHAnsi" w:cstheme="minorHAnsi"/>
          <w:lang w:eastAsia="da-DK"/>
        </w:rPr>
        <w:t xml:space="preserve"> </w:t>
      </w:r>
      <w:r w:rsidRPr="000D3624">
        <w:rPr>
          <w:rFonts w:asciiTheme="minorHAnsi" w:hAnsiTheme="minorHAnsi" w:cstheme="minorHAnsi"/>
          <w:lang w:eastAsia="da-DK"/>
        </w:rPr>
        <w:t xml:space="preserve">Furthermore, </w:t>
      </w:r>
      <w:r w:rsidR="00B042FD">
        <w:rPr>
          <w:rFonts w:asciiTheme="minorHAnsi" w:hAnsiTheme="minorHAnsi" w:cstheme="minorHAnsi"/>
          <w:lang w:eastAsia="da-DK"/>
        </w:rPr>
        <w:t xml:space="preserve">our </w:t>
      </w:r>
      <w:proofErr w:type="spellStart"/>
      <w:r w:rsidR="00B042FD">
        <w:rPr>
          <w:rFonts w:asciiTheme="minorHAnsi" w:hAnsiTheme="minorHAnsi" w:cstheme="minorHAnsi"/>
          <w:lang w:eastAsia="da-DK"/>
        </w:rPr>
        <w:t>cART</w:t>
      </w:r>
      <w:proofErr w:type="spellEnd"/>
      <w:r w:rsidR="00B042FD">
        <w:rPr>
          <w:rFonts w:asciiTheme="minorHAnsi" w:hAnsiTheme="minorHAnsi" w:cstheme="minorHAnsi"/>
          <w:lang w:eastAsia="da-DK"/>
        </w:rPr>
        <w:t xml:space="preserve"> strategy</w:t>
      </w:r>
      <w:r w:rsidR="00B042FD" w:rsidRPr="000D3624">
        <w:rPr>
          <w:rFonts w:asciiTheme="minorHAnsi" w:hAnsiTheme="minorHAnsi" w:cstheme="minorHAnsi"/>
          <w:lang w:eastAsia="da-DK"/>
        </w:rPr>
        <w:t xml:space="preserve"> </w:t>
      </w:r>
      <w:r w:rsidRPr="000D3624">
        <w:rPr>
          <w:rFonts w:asciiTheme="minorHAnsi" w:hAnsiTheme="minorHAnsi" w:cstheme="minorHAnsi"/>
          <w:lang w:eastAsia="da-DK"/>
        </w:rPr>
        <w:t xml:space="preserve">is clinically relevant </w:t>
      </w:r>
      <w:r w:rsidR="000A1DBD">
        <w:rPr>
          <w:rFonts w:asciiTheme="minorHAnsi" w:hAnsiTheme="minorHAnsi" w:cstheme="minorHAnsi"/>
          <w:lang w:eastAsia="da-DK"/>
        </w:rPr>
        <w:t xml:space="preserve">given that the drug combination utilized </w:t>
      </w:r>
      <w:r w:rsidR="009002E6">
        <w:rPr>
          <w:rFonts w:asciiTheme="minorHAnsi" w:hAnsiTheme="minorHAnsi" w:cstheme="minorHAnsi"/>
          <w:lang w:eastAsia="da-DK"/>
        </w:rPr>
        <w:t xml:space="preserve">clinically </w:t>
      </w:r>
      <w:r w:rsidR="000A1DBD">
        <w:rPr>
          <w:rFonts w:asciiTheme="minorHAnsi" w:hAnsiTheme="minorHAnsi" w:cstheme="minorHAnsi"/>
          <w:lang w:eastAsia="da-DK"/>
        </w:rPr>
        <w:t xml:space="preserve">is </w:t>
      </w:r>
      <w:r w:rsidR="00B042FD">
        <w:rPr>
          <w:rFonts w:asciiTheme="minorHAnsi" w:hAnsiTheme="minorHAnsi" w:cstheme="minorHAnsi"/>
          <w:lang w:eastAsia="da-DK"/>
        </w:rPr>
        <w:t>orally administered</w:t>
      </w:r>
      <w:r w:rsidR="000A1DBD">
        <w:rPr>
          <w:rFonts w:asciiTheme="minorHAnsi" w:hAnsiTheme="minorHAnsi" w:cstheme="minorHAnsi"/>
          <w:lang w:eastAsia="da-DK"/>
        </w:rPr>
        <w:t xml:space="preserve"> by patients around the globe</w:t>
      </w:r>
      <w:r w:rsidRPr="000D3624">
        <w:rPr>
          <w:rFonts w:asciiTheme="minorHAnsi" w:hAnsiTheme="minorHAnsi" w:cstheme="minorHAnsi"/>
          <w:lang w:eastAsia="da-DK"/>
        </w:rPr>
        <w:t xml:space="preserve">. </w:t>
      </w:r>
    </w:p>
    <w:p w14:paraId="09CD2F1A" w14:textId="77777777" w:rsidR="001D3C34" w:rsidRPr="000D3624" w:rsidRDefault="001D3C34" w:rsidP="00E21748">
      <w:pPr>
        <w:snapToGrid w:val="0"/>
        <w:contextualSpacing/>
        <w:rPr>
          <w:rFonts w:asciiTheme="minorHAnsi" w:hAnsiTheme="minorHAnsi" w:cstheme="minorHAnsi"/>
        </w:rPr>
      </w:pPr>
    </w:p>
    <w:p w14:paraId="1F94B271" w14:textId="35205BDA" w:rsidR="001D3C34" w:rsidRDefault="001D3C34" w:rsidP="00E21748">
      <w:pPr>
        <w:snapToGrid w:val="0"/>
        <w:contextualSpacing/>
        <w:rPr>
          <w:rFonts w:asciiTheme="minorHAnsi" w:hAnsiTheme="minorHAnsi" w:cstheme="minorHAnsi"/>
          <w:lang w:eastAsia="da-DK"/>
        </w:rPr>
      </w:pPr>
      <w:r w:rsidRPr="000D3624">
        <w:rPr>
          <w:rFonts w:asciiTheme="minorHAnsi" w:hAnsiTheme="minorHAnsi" w:cstheme="minorHAnsi"/>
          <w:lang w:eastAsia="da-DK"/>
        </w:rPr>
        <w:t xml:space="preserve">Certain limitations are noted regarding the use of NOG mice. Importantly, human T cells in these mice are </w:t>
      </w:r>
      <w:r w:rsidR="002547DD" w:rsidRPr="000D3624">
        <w:rPr>
          <w:rFonts w:asciiTheme="minorHAnsi" w:hAnsiTheme="minorHAnsi" w:cstheme="minorHAnsi"/>
          <w:lang w:eastAsia="da-DK"/>
        </w:rPr>
        <w:t>cultivated</w:t>
      </w:r>
      <w:r w:rsidRPr="000D3624">
        <w:rPr>
          <w:rFonts w:asciiTheme="minorHAnsi" w:hAnsiTheme="minorHAnsi" w:cstheme="minorHAnsi"/>
          <w:lang w:eastAsia="da-DK"/>
        </w:rPr>
        <w:t xml:space="preserve"> in a mouse thymic environment, as opposed to a human environment. </w:t>
      </w:r>
      <w:r w:rsidR="002547DD">
        <w:rPr>
          <w:rFonts w:asciiTheme="minorHAnsi" w:hAnsiTheme="minorHAnsi" w:cstheme="minorHAnsi"/>
          <w:lang w:eastAsia="da-DK"/>
        </w:rPr>
        <w:t>The r</w:t>
      </w:r>
      <w:r w:rsidRPr="000D3624">
        <w:rPr>
          <w:rFonts w:asciiTheme="minorHAnsi" w:hAnsiTheme="minorHAnsi" w:cstheme="minorHAnsi"/>
          <w:lang w:eastAsia="da-DK"/>
        </w:rPr>
        <w:t xml:space="preserve">ecent focus is on generating </w:t>
      </w:r>
      <w:proofErr w:type="spellStart"/>
      <w:r w:rsidRPr="000D3624">
        <w:rPr>
          <w:rFonts w:asciiTheme="minorHAnsi" w:hAnsiTheme="minorHAnsi" w:cstheme="minorHAnsi"/>
          <w:lang w:eastAsia="da-DK"/>
        </w:rPr>
        <w:t>xenorecipient</w:t>
      </w:r>
      <w:proofErr w:type="spellEnd"/>
      <w:r w:rsidRPr="000D3624">
        <w:rPr>
          <w:rFonts w:asciiTheme="minorHAnsi" w:hAnsiTheme="minorHAnsi" w:cstheme="minorHAnsi"/>
          <w:lang w:eastAsia="da-DK"/>
        </w:rPr>
        <w:t xml:space="preserve"> strains that have a </w:t>
      </w:r>
      <w:r w:rsidR="00347B89" w:rsidRPr="001B0BDF">
        <w:rPr>
          <w:rFonts w:asciiTheme="minorHAnsi" w:hAnsiTheme="minorHAnsi" w:cstheme="minorHAnsi"/>
          <w:lang w:eastAsia="da-DK"/>
        </w:rPr>
        <w:t>favorable</w:t>
      </w:r>
      <w:r w:rsidRPr="001B0BDF">
        <w:rPr>
          <w:rFonts w:asciiTheme="minorHAnsi" w:hAnsiTheme="minorHAnsi" w:cstheme="minorHAnsi"/>
          <w:lang w:eastAsia="da-DK"/>
        </w:rPr>
        <w:t xml:space="preserve"> environment for </w:t>
      </w:r>
      <w:r w:rsidR="00B042FD">
        <w:rPr>
          <w:rFonts w:asciiTheme="minorHAnsi" w:hAnsiTheme="minorHAnsi" w:cstheme="minorHAnsi"/>
          <w:lang w:eastAsia="da-DK"/>
        </w:rPr>
        <w:t xml:space="preserve">the </w:t>
      </w:r>
      <w:r w:rsidRPr="001B0BDF">
        <w:rPr>
          <w:rFonts w:asciiTheme="minorHAnsi" w:hAnsiTheme="minorHAnsi" w:cstheme="minorHAnsi"/>
          <w:lang w:eastAsia="da-DK"/>
        </w:rPr>
        <w:t>development of</w:t>
      </w:r>
      <w:r w:rsidR="00B042FD">
        <w:rPr>
          <w:rFonts w:asciiTheme="minorHAnsi" w:hAnsiTheme="minorHAnsi" w:cstheme="minorHAnsi"/>
          <w:lang w:eastAsia="da-DK"/>
        </w:rPr>
        <w:t xml:space="preserve"> </w:t>
      </w:r>
      <w:r w:rsidR="002E2F6A">
        <w:rPr>
          <w:rFonts w:asciiTheme="minorHAnsi" w:hAnsiTheme="minorHAnsi" w:cstheme="minorHAnsi"/>
          <w:lang w:eastAsia="da-DK"/>
        </w:rPr>
        <w:t>robust</w:t>
      </w:r>
      <w:r w:rsidRPr="001B0BDF">
        <w:rPr>
          <w:rFonts w:asciiTheme="minorHAnsi" w:hAnsiTheme="minorHAnsi" w:cstheme="minorHAnsi"/>
          <w:lang w:eastAsia="da-DK"/>
        </w:rPr>
        <w:t xml:space="preserve"> human </w:t>
      </w:r>
      <w:r w:rsidR="002E2F6A">
        <w:rPr>
          <w:rFonts w:asciiTheme="minorHAnsi" w:hAnsiTheme="minorHAnsi" w:cstheme="minorHAnsi"/>
          <w:lang w:eastAsia="da-DK"/>
        </w:rPr>
        <w:t>immune</w:t>
      </w:r>
      <w:r w:rsidR="00347B89" w:rsidRPr="001B0BDF">
        <w:rPr>
          <w:rFonts w:asciiTheme="minorHAnsi" w:hAnsiTheme="minorHAnsi" w:cstheme="minorHAnsi"/>
          <w:lang w:eastAsia="da-DK"/>
        </w:rPr>
        <w:t xml:space="preserve"> responses</w:t>
      </w:r>
      <w:r w:rsidRPr="001B0BDF">
        <w:rPr>
          <w:rFonts w:asciiTheme="minorHAnsi" w:hAnsiTheme="minorHAnsi" w:cstheme="minorHAnsi"/>
          <w:lang w:eastAsia="da-DK"/>
        </w:rPr>
        <w:t xml:space="preserve">. </w:t>
      </w:r>
      <w:r w:rsidR="00B042FD" w:rsidRPr="001B0BDF">
        <w:rPr>
          <w:rFonts w:asciiTheme="minorHAnsi" w:hAnsiTheme="minorHAnsi" w:cstheme="minorHAnsi"/>
          <w:lang w:eastAsia="da-DK"/>
        </w:rPr>
        <w:t>Th</w:t>
      </w:r>
      <w:r w:rsidR="00B042FD">
        <w:rPr>
          <w:rFonts w:asciiTheme="minorHAnsi" w:hAnsiTheme="minorHAnsi" w:cstheme="minorHAnsi"/>
          <w:lang w:eastAsia="da-DK"/>
        </w:rPr>
        <w:t>ese</w:t>
      </w:r>
      <w:r w:rsidR="00B042FD" w:rsidRPr="001B0BDF">
        <w:rPr>
          <w:rFonts w:asciiTheme="minorHAnsi" w:hAnsiTheme="minorHAnsi" w:cstheme="minorHAnsi"/>
          <w:lang w:eastAsia="da-DK"/>
        </w:rPr>
        <w:t xml:space="preserve"> </w:t>
      </w:r>
      <w:r w:rsidR="002E2F6A">
        <w:rPr>
          <w:rFonts w:asciiTheme="minorHAnsi" w:hAnsiTheme="minorHAnsi" w:cstheme="minorHAnsi"/>
          <w:lang w:eastAsia="da-DK"/>
        </w:rPr>
        <w:t xml:space="preserve">new strains </w:t>
      </w:r>
      <w:r w:rsidRPr="001B0BDF">
        <w:rPr>
          <w:rFonts w:asciiTheme="minorHAnsi" w:hAnsiTheme="minorHAnsi" w:cstheme="minorHAnsi"/>
          <w:lang w:eastAsia="da-DK"/>
        </w:rPr>
        <w:t>include immun</w:t>
      </w:r>
      <w:r w:rsidR="009002E6">
        <w:rPr>
          <w:rFonts w:asciiTheme="minorHAnsi" w:hAnsiTheme="minorHAnsi" w:cstheme="minorHAnsi"/>
          <w:lang w:eastAsia="da-DK"/>
        </w:rPr>
        <w:t>o</w:t>
      </w:r>
      <w:r w:rsidRPr="001B0BDF">
        <w:rPr>
          <w:rFonts w:asciiTheme="minorHAnsi" w:hAnsiTheme="minorHAnsi" w:cstheme="minorHAnsi"/>
          <w:lang w:eastAsia="da-DK"/>
        </w:rPr>
        <w:t xml:space="preserve">deficient </w:t>
      </w:r>
      <w:r w:rsidR="00347B89" w:rsidRPr="00FE6595">
        <w:rPr>
          <w:rFonts w:asciiTheme="minorHAnsi" w:hAnsiTheme="minorHAnsi" w:cstheme="minorHAnsi"/>
          <w:lang w:eastAsia="da-DK"/>
        </w:rPr>
        <w:lastRenderedPageBreak/>
        <w:t xml:space="preserve">mice </w:t>
      </w:r>
      <w:r w:rsidR="002547DD" w:rsidRPr="002547DD">
        <w:rPr>
          <w:rFonts w:asciiTheme="minorHAnsi" w:hAnsiTheme="minorHAnsi" w:cstheme="minorHAnsi"/>
          <w:lang w:eastAsia="da-DK"/>
        </w:rPr>
        <w:t>that</w:t>
      </w:r>
      <w:r w:rsidR="002547DD" w:rsidRPr="00FE6595">
        <w:rPr>
          <w:rFonts w:asciiTheme="minorHAnsi" w:hAnsiTheme="minorHAnsi" w:cstheme="minorHAnsi"/>
          <w:lang w:eastAsia="da-DK"/>
        </w:rPr>
        <w:t xml:space="preserve"> </w:t>
      </w:r>
      <w:r w:rsidRPr="00FE6595">
        <w:rPr>
          <w:rFonts w:asciiTheme="minorHAnsi" w:hAnsiTheme="minorHAnsi" w:cstheme="minorHAnsi"/>
          <w:lang w:eastAsia="da-DK"/>
        </w:rPr>
        <w:t>are transgenic for human MHC molecules</w:t>
      </w:r>
      <w:r w:rsidR="002547DD">
        <w:rPr>
          <w:rFonts w:asciiTheme="minorHAnsi" w:hAnsiTheme="minorHAnsi" w:cstheme="minorHAnsi"/>
          <w:lang w:eastAsia="da-DK"/>
        </w:rPr>
        <w:t>,</w:t>
      </w:r>
      <w:r w:rsidRPr="00FE6595">
        <w:rPr>
          <w:rFonts w:asciiTheme="minorHAnsi" w:hAnsiTheme="minorHAnsi" w:cstheme="minorHAnsi"/>
          <w:lang w:eastAsia="da-DK"/>
        </w:rPr>
        <w:t xml:space="preserve"> such as A2. </w:t>
      </w:r>
      <w:r w:rsidR="00B042FD" w:rsidRPr="00FE6595">
        <w:rPr>
          <w:rFonts w:asciiTheme="minorHAnsi" w:hAnsiTheme="minorHAnsi" w:cstheme="minorHAnsi"/>
          <w:lang w:eastAsia="da-DK"/>
        </w:rPr>
        <w:t>Th</w:t>
      </w:r>
      <w:r w:rsidR="00B042FD">
        <w:rPr>
          <w:rFonts w:asciiTheme="minorHAnsi" w:hAnsiTheme="minorHAnsi" w:cstheme="minorHAnsi"/>
          <w:lang w:eastAsia="da-DK"/>
        </w:rPr>
        <w:t>ese</w:t>
      </w:r>
      <w:r w:rsidR="00B042FD" w:rsidRPr="00FE6595">
        <w:rPr>
          <w:rFonts w:asciiTheme="minorHAnsi" w:hAnsiTheme="minorHAnsi" w:cstheme="minorHAnsi"/>
          <w:lang w:eastAsia="da-DK"/>
        </w:rPr>
        <w:t xml:space="preserve"> </w:t>
      </w:r>
      <w:r w:rsidRPr="00FE6595">
        <w:rPr>
          <w:rFonts w:asciiTheme="minorHAnsi" w:hAnsiTheme="minorHAnsi" w:cstheme="minorHAnsi"/>
          <w:lang w:eastAsia="da-DK"/>
        </w:rPr>
        <w:t>model</w:t>
      </w:r>
      <w:r w:rsidR="00B042FD">
        <w:rPr>
          <w:rFonts w:asciiTheme="minorHAnsi" w:hAnsiTheme="minorHAnsi" w:cstheme="minorHAnsi"/>
          <w:lang w:eastAsia="da-DK"/>
        </w:rPr>
        <w:t>s</w:t>
      </w:r>
      <w:r w:rsidRPr="00FE6595">
        <w:rPr>
          <w:rFonts w:asciiTheme="minorHAnsi" w:hAnsiTheme="minorHAnsi" w:cstheme="minorHAnsi"/>
          <w:lang w:eastAsia="da-DK"/>
        </w:rPr>
        <w:t xml:space="preserve"> e</w:t>
      </w:r>
      <w:r w:rsidR="00B64359" w:rsidRPr="003E1E1C">
        <w:rPr>
          <w:rFonts w:asciiTheme="minorHAnsi" w:hAnsiTheme="minorHAnsi" w:cstheme="minorHAnsi"/>
          <w:lang w:eastAsia="da-DK"/>
        </w:rPr>
        <w:t>nable HLA-restricted antigen T-</w:t>
      </w:r>
      <w:r w:rsidRPr="003E1E1C">
        <w:rPr>
          <w:rFonts w:asciiTheme="minorHAnsi" w:hAnsiTheme="minorHAnsi" w:cstheme="minorHAnsi"/>
          <w:lang w:eastAsia="da-DK"/>
        </w:rPr>
        <w:t>cell responses that result in better maturation and effector functions of the adaptive immune system</w:t>
      </w:r>
      <w:r w:rsidR="00A85CC2" w:rsidRPr="00A85CC2">
        <w:rPr>
          <w:rFonts w:asciiTheme="minorHAnsi" w:hAnsiTheme="minorHAnsi" w:cstheme="minorHAnsi"/>
          <w:noProof/>
          <w:vertAlign w:val="superscript"/>
          <w:lang w:eastAsia="da-DK"/>
        </w:rPr>
        <w:t>34</w:t>
      </w:r>
      <w:r w:rsidRPr="000D3624">
        <w:rPr>
          <w:rFonts w:asciiTheme="minorHAnsi" w:hAnsiTheme="minorHAnsi" w:cstheme="minorHAnsi"/>
          <w:lang w:eastAsia="da-DK"/>
        </w:rPr>
        <w:t>. Another approach is to replace mouse genes with key human cytokines for IL-3/GM-CSF</w:t>
      </w:r>
      <w:r w:rsidR="00A85CC2" w:rsidRPr="00A85CC2">
        <w:rPr>
          <w:rFonts w:asciiTheme="minorHAnsi" w:hAnsiTheme="minorHAnsi" w:cstheme="minorHAnsi"/>
          <w:noProof/>
          <w:vertAlign w:val="superscript"/>
          <w:lang w:eastAsia="da-DK"/>
        </w:rPr>
        <w:t>35</w:t>
      </w:r>
      <w:r w:rsidRPr="000D3624">
        <w:rPr>
          <w:rFonts w:asciiTheme="minorHAnsi" w:hAnsiTheme="minorHAnsi" w:cstheme="minorHAnsi"/>
          <w:lang w:eastAsia="da-DK"/>
        </w:rPr>
        <w:t>, IL-6</w:t>
      </w:r>
      <w:r w:rsidR="00A85CC2" w:rsidRPr="00A85CC2">
        <w:rPr>
          <w:rFonts w:asciiTheme="minorHAnsi" w:hAnsiTheme="minorHAnsi" w:cstheme="minorHAnsi"/>
          <w:noProof/>
          <w:vertAlign w:val="superscript"/>
          <w:lang w:eastAsia="da-DK"/>
        </w:rPr>
        <w:t>36</w:t>
      </w:r>
      <w:r w:rsidRPr="000D3624">
        <w:rPr>
          <w:rFonts w:asciiTheme="minorHAnsi" w:hAnsiTheme="minorHAnsi" w:cstheme="minorHAnsi"/>
          <w:lang w:eastAsia="da-DK"/>
        </w:rPr>
        <w:t>, IL-15</w:t>
      </w:r>
      <w:r w:rsidR="00A85CC2" w:rsidRPr="00A85CC2">
        <w:rPr>
          <w:rFonts w:asciiTheme="minorHAnsi" w:hAnsiTheme="minorHAnsi" w:cstheme="minorHAnsi"/>
          <w:noProof/>
          <w:vertAlign w:val="superscript"/>
          <w:lang w:eastAsia="da-DK"/>
        </w:rPr>
        <w:t>37</w:t>
      </w:r>
      <w:r w:rsidRPr="000D3624">
        <w:rPr>
          <w:rFonts w:asciiTheme="minorHAnsi" w:hAnsiTheme="minorHAnsi" w:cstheme="minorHAnsi"/>
          <w:lang w:eastAsia="da-DK"/>
        </w:rPr>
        <w:t>, TPO, M-CSF</w:t>
      </w:r>
      <w:r w:rsidR="00A85CC2" w:rsidRPr="00A85CC2">
        <w:rPr>
          <w:rFonts w:asciiTheme="minorHAnsi" w:hAnsiTheme="minorHAnsi" w:cstheme="minorHAnsi"/>
          <w:noProof/>
          <w:vertAlign w:val="superscript"/>
          <w:lang w:eastAsia="da-DK"/>
        </w:rPr>
        <w:t>38</w:t>
      </w:r>
      <w:r w:rsidR="009002E6">
        <w:rPr>
          <w:rFonts w:asciiTheme="minorHAnsi" w:hAnsiTheme="minorHAnsi" w:cstheme="minorHAnsi"/>
          <w:noProof/>
          <w:lang w:eastAsia="da-DK"/>
        </w:rPr>
        <w:t>,</w:t>
      </w:r>
      <w:r w:rsidRPr="000D3624">
        <w:rPr>
          <w:rFonts w:asciiTheme="minorHAnsi" w:hAnsiTheme="minorHAnsi" w:cstheme="minorHAnsi"/>
          <w:lang w:eastAsia="da-DK"/>
        </w:rPr>
        <w:t xml:space="preserve"> and IL-7/TSLP</w:t>
      </w:r>
      <w:r w:rsidR="00A85CC2" w:rsidRPr="00A85CC2">
        <w:rPr>
          <w:rFonts w:asciiTheme="minorHAnsi" w:hAnsiTheme="minorHAnsi" w:cstheme="minorHAnsi"/>
          <w:noProof/>
          <w:vertAlign w:val="superscript"/>
          <w:lang w:eastAsia="da-DK"/>
        </w:rPr>
        <w:t>31</w:t>
      </w:r>
      <w:r w:rsidRPr="000D3624">
        <w:rPr>
          <w:rFonts w:asciiTheme="minorHAnsi" w:hAnsiTheme="minorHAnsi" w:cstheme="minorHAnsi"/>
          <w:lang w:eastAsia="da-DK"/>
        </w:rPr>
        <w:t xml:space="preserve">. Such models have gained increased attention for their ability to generate better differentiation of innate cell types. Our protocol </w:t>
      </w:r>
      <w:r w:rsidR="009002E6">
        <w:rPr>
          <w:rFonts w:asciiTheme="minorHAnsi" w:hAnsiTheme="minorHAnsi" w:cstheme="minorHAnsi"/>
          <w:lang w:eastAsia="da-DK"/>
        </w:rPr>
        <w:t>is</w:t>
      </w:r>
      <w:r w:rsidRPr="000D3624">
        <w:rPr>
          <w:rFonts w:asciiTheme="minorHAnsi" w:hAnsiTheme="minorHAnsi" w:cstheme="minorHAnsi"/>
          <w:lang w:eastAsia="da-DK"/>
        </w:rPr>
        <w:t xml:space="preserve"> easily adaptable for the humanization and HIV infection of mice </w:t>
      </w:r>
      <w:r w:rsidR="002E2F6A">
        <w:rPr>
          <w:rFonts w:asciiTheme="minorHAnsi" w:hAnsiTheme="minorHAnsi" w:cstheme="minorHAnsi"/>
          <w:lang w:eastAsia="da-DK"/>
        </w:rPr>
        <w:t>using</w:t>
      </w:r>
      <w:r w:rsidR="002E2F6A" w:rsidRPr="000D3624">
        <w:rPr>
          <w:rFonts w:asciiTheme="minorHAnsi" w:hAnsiTheme="minorHAnsi" w:cstheme="minorHAnsi"/>
          <w:lang w:eastAsia="da-DK"/>
        </w:rPr>
        <w:t xml:space="preserve"> </w:t>
      </w:r>
      <w:r w:rsidR="002E2F6A">
        <w:rPr>
          <w:rFonts w:asciiTheme="minorHAnsi" w:hAnsiTheme="minorHAnsi" w:cstheme="minorHAnsi"/>
          <w:lang w:eastAsia="da-DK"/>
        </w:rPr>
        <w:t>any such enhanced</w:t>
      </w:r>
      <w:r w:rsidR="002547DD">
        <w:rPr>
          <w:rFonts w:asciiTheme="minorHAnsi" w:hAnsiTheme="minorHAnsi" w:cstheme="minorHAnsi"/>
          <w:lang w:eastAsia="da-DK"/>
        </w:rPr>
        <w:t xml:space="preserve"> </w:t>
      </w:r>
      <w:r w:rsidRPr="000D3624">
        <w:rPr>
          <w:rFonts w:asciiTheme="minorHAnsi" w:hAnsiTheme="minorHAnsi" w:cstheme="minorHAnsi"/>
          <w:lang w:eastAsia="da-DK"/>
        </w:rPr>
        <w:t>genetic background</w:t>
      </w:r>
      <w:r w:rsidR="002E2F6A">
        <w:rPr>
          <w:rFonts w:asciiTheme="minorHAnsi" w:hAnsiTheme="minorHAnsi" w:cstheme="minorHAnsi"/>
          <w:lang w:eastAsia="da-DK"/>
        </w:rPr>
        <w:t xml:space="preserve"> immunodeficient strain</w:t>
      </w:r>
      <w:r w:rsidRPr="000D3624">
        <w:rPr>
          <w:rFonts w:asciiTheme="minorHAnsi" w:hAnsiTheme="minorHAnsi" w:cstheme="minorHAnsi"/>
          <w:lang w:eastAsia="da-DK"/>
        </w:rPr>
        <w:t>.</w:t>
      </w:r>
    </w:p>
    <w:p w14:paraId="218CADEC" w14:textId="77777777" w:rsidR="002E2F6A" w:rsidRPr="000D3624" w:rsidRDefault="002E2F6A" w:rsidP="00E21748">
      <w:pPr>
        <w:snapToGrid w:val="0"/>
        <w:contextualSpacing/>
        <w:rPr>
          <w:rFonts w:asciiTheme="minorHAnsi" w:hAnsiTheme="minorHAnsi" w:cstheme="minorHAnsi"/>
          <w:lang w:eastAsia="da-DK"/>
        </w:rPr>
      </w:pPr>
    </w:p>
    <w:p w14:paraId="268E6328" w14:textId="35708F51" w:rsidR="001D3C34" w:rsidRPr="001B0BDF" w:rsidRDefault="001D3C34" w:rsidP="005C2511">
      <w:pPr>
        <w:rPr>
          <w:rFonts w:asciiTheme="minorHAnsi" w:hAnsiTheme="minorHAnsi" w:cstheme="minorHAnsi"/>
          <w:lang w:eastAsia="da-DK"/>
        </w:rPr>
      </w:pPr>
      <w:r w:rsidRPr="000D3624">
        <w:rPr>
          <w:rFonts w:asciiTheme="minorHAnsi" w:hAnsiTheme="minorHAnsi" w:cstheme="minorHAnsi"/>
          <w:lang w:eastAsia="da-DK"/>
        </w:rPr>
        <w:t xml:space="preserve">In summary, the ease and utility of the described </w:t>
      </w:r>
      <w:r w:rsidR="002E2F6A">
        <w:rPr>
          <w:rFonts w:asciiTheme="minorHAnsi" w:hAnsiTheme="minorHAnsi" w:cstheme="minorHAnsi"/>
          <w:lang w:eastAsia="da-DK"/>
        </w:rPr>
        <w:t>approach</w:t>
      </w:r>
      <w:r w:rsidR="002E2F6A" w:rsidRPr="000D3624">
        <w:rPr>
          <w:rFonts w:asciiTheme="minorHAnsi" w:hAnsiTheme="minorHAnsi" w:cstheme="minorHAnsi"/>
          <w:lang w:eastAsia="da-DK"/>
        </w:rPr>
        <w:t xml:space="preserve"> </w:t>
      </w:r>
      <w:r w:rsidRPr="000D3624">
        <w:rPr>
          <w:rFonts w:asciiTheme="minorHAnsi" w:hAnsiTheme="minorHAnsi" w:cstheme="minorHAnsi"/>
          <w:lang w:eastAsia="da-DK"/>
        </w:rPr>
        <w:t xml:space="preserve">facilitates research in HIV-related fields </w:t>
      </w:r>
      <w:r w:rsidR="009002E6" w:rsidRPr="00960CA7">
        <w:rPr>
          <w:rFonts w:asciiTheme="minorHAnsi" w:hAnsiTheme="minorHAnsi" w:cstheme="minorHAnsi"/>
          <w:iCs/>
        </w:rPr>
        <w:t>in vivo</w:t>
      </w:r>
      <w:r w:rsidRPr="000D3624">
        <w:rPr>
          <w:rFonts w:asciiTheme="minorHAnsi" w:hAnsiTheme="minorHAnsi" w:cstheme="minorHAnsi"/>
          <w:i/>
          <w:lang w:eastAsia="da-DK"/>
        </w:rPr>
        <w:t xml:space="preserve">. </w:t>
      </w:r>
      <w:r w:rsidRPr="000D3624">
        <w:rPr>
          <w:rFonts w:asciiTheme="minorHAnsi" w:hAnsiTheme="minorHAnsi" w:cstheme="minorHAnsi"/>
          <w:lang w:eastAsia="da-DK"/>
        </w:rPr>
        <w:t>Humanized mice can be a very powerful tool in guiding research towards generating better research hypotheses. Along with the generation of more “human” humanized mice with human transgenes, we believe our standardized protocol will contribute to the streamlining of experimental procedures across different resea</w:t>
      </w:r>
      <w:r w:rsidRPr="001B0BDF">
        <w:rPr>
          <w:rFonts w:asciiTheme="minorHAnsi" w:hAnsiTheme="minorHAnsi" w:cstheme="minorHAnsi"/>
          <w:lang w:eastAsia="da-DK"/>
        </w:rPr>
        <w:t>rch environments.</w:t>
      </w:r>
    </w:p>
    <w:p w14:paraId="78728D18" w14:textId="706614AE" w:rsidR="00014314" w:rsidRPr="001B0BDF" w:rsidRDefault="00014314" w:rsidP="00E21748">
      <w:pPr>
        <w:snapToGrid w:val="0"/>
        <w:contextualSpacing/>
        <w:rPr>
          <w:rFonts w:asciiTheme="minorHAnsi" w:hAnsiTheme="minorHAnsi" w:cstheme="minorHAnsi"/>
          <w:color w:val="auto"/>
        </w:rPr>
      </w:pPr>
    </w:p>
    <w:p w14:paraId="1734505F" w14:textId="1A1E9FCD" w:rsidR="00AA03DF" w:rsidRPr="00FE6595" w:rsidRDefault="00AA03DF" w:rsidP="00E21748">
      <w:pPr>
        <w:pStyle w:val="NormalWeb"/>
        <w:snapToGrid w:val="0"/>
        <w:spacing w:before="0" w:beforeAutospacing="0" w:after="0" w:afterAutospacing="0"/>
        <w:contextualSpacing/>
        <w:rPr>
          <w:rFonts w:asciiTheme="minorHAnsi" w:hAnsiTheme="minorHAnsi" w:cstheme="minorHAnsi"/>
          <w:color w:val="808080"/>
        </w:rPr>
      </w:pPr>
      <w:r w:rsidRPr="00FE6595">
        <w:rPr>
          <w:rFonts w:asciiTheme="minorHAnsi" w:hAnsiTheme="minorHAnsi" w:cstheme="minorHAnsi"/>
          <w:b/>
          <w:bCs/>
        </w:rPr>
        <w:t xml:space="preserve">ACKNOWLEDGMENTS: </w:t>
      </w:r>
    </w:p>
    <w:p w14:paraId="4A2CF5DD" w14:textId="123AC1AE" w:rsidR="001D3C34" w:rsidRPr="003E1E1C" w:rsidRDefault="001D3C34" w:rsidP="00E21748">
      <w:pPr>
        <w:snapToGrid w:val="0"/>
        <w:contextualSpacing/>
        <w:rPr>
          <w:rFonts w:asciiTheme="minorHAnsi" w:hAnsiTheme="minorHAnsi" w:cstheme="minorHAnsi"/>
          <w:lang w:eastAsia="da-DK"/>
        </w:rPr>
      </w:pPr>
      <w:r w:rsidRPr="003E1E1C">
        <w:rPr>
          <w:rFonts w:asciiTheme="minorHAnsi" w:hAnsiTheme="minorHAnsi" w:cstheme="minorHAnsi"/>
          <w:lang w:eastAsia="da-DK"/>
        </w:rPr>
        <w:t xml:space="preserve">The authors would like to thank the Biomedicine Animal Facility staff at Aarhus University, particularly </w:t>
      </w:r>
      <w:r w:rsidR="00347B89" w:rsidRPr="003E1E1C">
        <w:rPr>
          <w:rFonts w:asciiTheme="minorHAnsi" w:hAnsiTheme="minorHAnsi" w:cstheme="minorHAnsi"/>
          <w:lang w:eastAsia="da-DK"/>
        </w:rPr>
        <w:t>Ms.</w:t>
      </w:r>
      <w:r w:rsidRPr="003E1E1C">
        <w:rPr>
          <w:rFonts w:asciiTheme="minorHAnsi" w:hAnsiTheme="minorHAnsi" w:cstheme="minorHAnsi"/>
          <w:lang w:eastAsia="da-DK"/>
        </w:rPr>
        <w:t xml:space="preserve"> Jani </w:t>
      </w:r>
      <w:proofErr w:type="spellStart"/>
      <w:r w:rsidRPr="003E1E1C">
        <w:rPr>
          <w:rFonts w:asciiTheme="minorHAnsi" w:hAnsiTheme="minorHAnsi" w:cstheme="minorHAnsi"/>
          <w:lang w:eastAsia="da-DK"/>
        </w:rPr>
        <w:t>Kær</w:t>
      </w:r>
      <w:proofErr w:type="spellEnd"/>
      <w:r w:rsidR="002A2F4D" w:rsidRPr="003E1E1C">
        <w:rPr>
          <w:rFonts w:asciiTheme="minorHAnsi" w:hAnsiTheme="minorHAnsi" w:cstheme="minorHAnsi"/>
          <w:lang w:eastAsia="da-DK"/>
        </w:rPr>
        <w:t xml:space="preserve"> for</w:t>
      </w:r>
      <w:r w:rsidRPr="003E1E1C">
        <w:rPr>
          <w:rFonts w:asciiTheme="minorHAnsi" w:hAnsiTheme="minorHAnsi" w:cstheme="minorHAnsi"/>
          <w:lang w:eastAsia="da-DK"/>
        </w:rPr>
        <w:t xml:space="preserve"> colony maintenance efforts and for tracking mouse weights. The authors would like to thank Professor Florian Klein for developing </w:t>
      </w:r>
      <w:r w:rsidR="002E2F6A" w:rsidRPr="003E1E1C">
        <w:rPr>
          <w:rFonts w:asciiTheme="minorHAnsi" w:hAnsiTheme="minorHAnsi" w:cstheme="minorHAnsi"/>
          <w:lang w:eastAsia="da-DK"/>
        </w:rPr>
        <w:t>standard</w:t>
      </w:r>
      <w:r w:rsidR="002E2F6A">
        <w:rPr>
          <w:rFonts w:asciiTheme="minorHAnsi" w:hAnsiTheme="minorHAnsi" w:cstheme="minorHAnsi"/>
          <w:lang w:eastAsia="da-DK"/>
        </w:rPr>
        <w:t>-</w:t>
      </w:r>
      <w:r w:rsidR="002E2F6A" w:rsidRPr="003E1E1C">
        <w:rPr>
          <w:rFonts w:asciiTheme="minorHAnsi" w:hAnsiTheme="minorHAnsi" w:cstheme="minorHAnsi"/>
          <w:lang w:eastAsia="da-DK"/>
        </w:rPr>
        <w:t>of</w:t>
      </w:r>
      <w:r w:rsidR="002E2F6A">
        <w:rPr>
          <w:rFonts w:asciiTheme="minorHAnsi" w:hAnsiTheme="minorHAnsi" w:cstheme="minorHAnsi"/>
          <w:lang w:eastAsia="da-DK"/>
        </w:rPr>
        <w:t>-</w:t>
      </w:r>
      <w:r w:rsidRPr="003E1E1C">
        <w:rPr>
          <w:rFonts w:asciiTheme="minorHAnsi" w:hAnsiTheme="minorHAnsi" w:cstheme="minorHAnsi"/>
          <w:lang w:eastAsia="da-DK"/>
        </w:rPr>
        <w:t xml:space="preserve">care </w:t>
      </w:r>
      <w:proofErr w:type="spellStart"/>
      <w:r w:rsidRPr="003E1E1C">
        <w:rPr>
          <w:rFonts w:asciiTheme="minorHAnsi" w:hAnsiTheme="minorHAnsi" w:cstheme="minorHAnsi"/>
          <w:lang w:eastAsia="da-DK"/>
        </w:rPr>
        <w:t>cART</w:t>
      </w:r>
      <w:proofErr w:type="spellEnd"/>
      <w:r w:rsidRPr="003E1E1C">
        <w:rPr>
          <w:rFonts w:asciiTheme="minorHAnsi" w:hAnsiTheme="minorHAnsi" w:cstheme="minorHAnsi"/>
          <w:lang w:eastAsia="da-DK"/>
        </w:rPr>
        <w:t xml:space="preserve"> and</w:t>
      </w:r>
      <w:r w:rsidR="002E2F6A">
        <w:rPr>
          <w:rFonts w:asciiTheme="minorHAnsi" w:hAnsiTheme="minorHAnsi" w:cstheme="minorHAnsi"/>
          <w:lang w:eastAsia="da-DK"/>
        </w:rPr>
        <w:t xml:space="preserve"> for</w:t>
      </w:r>
      <w:r w:rsidRPr="003E1E1C">
        <w:rPr>
          <w:rFonts w:asciiTheme="minorHAnsi" w:hAnsiTheme="minorHAnsi" w:cstheme="minorHAnsi"/>
          <w:lang w:eastAsia="da-DK"/>
        </w:rPr>
        <w:t xml:space="preserve"> guidance. </w:t>
      </w:r>
    </w:p>
    <w:p w14:paraId="2D96E92E" w14:textId="72F287DC" w:rsidR="00AA03DF" w:rsidRPr="005A383A" w:rsidRDefault="00AA03DF" w:rsidP="00E21748">
      <w:pPr>
        <w:snapToGrid w:val="0"/>
        <w:contextualSpacing/>
        <w:rPr>
          <w:rFonts w:asciiTheme="minorHAnsi" w:hAnsiTheme="minorHAnsi" w:cstheme="minorHAnsi"/>
          <w:b/>
          <w:bCs/>
        </w:rPr>
      </w:pPr>
    </w:p>
    <w:p w14:paraId="5D52ED8B" w14:textId="5E544EA6" w:rsidR="00AA03DF" w:rsidRPr="005A383A" w:rsidRDefault="00AA03DF" w:rsidP="00E21748">
      <w:pPr>
        <w:pStyle w:val="NormalWeb"/>
        <w:snapToGrid w:val="0"/>
        <w:spacing w:before="0" w:beforeAutospacing="0" w:after="0" w:afterAutospacing="0"/>
        <w:contextualSpacing/>
        <w:rPr>
          <w:rFonts w:asciiTheme="minorHAnsi" w:hAnsiTheme="minorHAnsi" w:cstheme="minorHAnsi"/>
          <w:color w:val="808080"/>
        </w:rPr>
      </w:pPr>
      <w:r w:rsidRPr="005A383A">
        <w:rPr>
          <w:rFonts w:asciiTheme="minorHAnsi" w:hAnsiTheme="minorHAnsi" w:cstheme="minorHAnsi"/>
          <w:b/>
        </w:rPr>
        <w:t>DISCLOSURES</w:t>
      </w:r>
      <w:r w:rsidRPr="005A383A">
        <w:rPr>
          <w:rFonts w:asciiTheme="minorHAnsi" w:hAnsiTheme="minorHAnsi" w:cstheme="minorHAnsi"/>
          <w:b/>
          <w:bCs/>
        </w:rPr>
        <w:t xml:space="preserve">: </w:t>
      </w:r>
    </w:p>
    <w:p w14:paraId="4E0C3135" w14:textId="0D59ADAF" w:rsidR="007A4DD6" w:rsidRPr="00E527EE" w:rsidRDefault="00FE27D8" w:rsidP="00E21748">
      <w:pPr>
        <w:snapToGrid w:val="0"/>
        <w:contextualSpacing/>
        <w:rPr>
          <w:rFonts w:asciiTheme="minorHAnsi" w:hAnsiTheme="minorHAnsi" w:cstheme="minorHAnsi"/>
          <w:color w:val="auto"/>
        </w:rPr>
      </w:pPr>
      <w:r w:rsidRPr="00D51A26">
        <w:rPr>
          <w:rFonts w:asciiTheme="minorHAnsi" w:hAnsiTheme="minorHAnsi" w:cstheme="minorHAnsi"/>
          <w:color w:val="auto"/>
        </w:rPr>
        <w:t>The authors declare no conflicts of interests</w:t>
      </w:r>
      <w:r w:rsidR="002A2F4D" w:rsidRPr="00D51A26">
        <w:rPr>
          <w:rFonts w:asciiTheme="minorHAnsi" w:hAnsiTheme="minorHAnsi" w:cstheme="minorHAnsi"/>
          <w:color w:val="auto"/>
        </w:rPr>
        <w:t>.</w:t>
      </w:r>
    </w:p>
    <w:p w14:paraId="66030076" w14:textId="77777777" w:rsidR="00AA03DF" w:rsidRPr="00CC0544" w:rsidRDefault="00AA03DF" w:rsidP="00E21748">
      <w:pPr>
        <w:snapToGrid w:val="0"/>
        <w:contextualSpacing/>
        <w:rPr>
          <w:rFonts w:asciiTheme="minorHAnsi" w:hAnsiTheme="minorHAnsi" w:cstheme="minorHAnsi"/>
          <w:color w:val="auto"/>
        </w:rPr>
      </w:pPr>
    </w:p>
    <w:p w14:paraId="6283C04F" w14:textId="3A36D717" w:rsidR="001B6DDA" w:rsidRPr="00CC0544" w:rsidRDefault="009726EE" w:rsidP="00E21748">
      <w:pPr>
        <w:snapToGrid w:val="0"/>
        <w:contextualSpacing/>
        <w:rPr>
          <w:rFonts w:asciiTheme="minorHAnsi" w:hAnsiTheme="minorHAnsi" w:cstheme="minorHAnsi"/>
          <w:b/>
          <w:color w:val="000000" w:themeColor="text1"/>
        </w:rPr>
      </w:pPr>
      <w:r w:rsidRPr="00CC0544">
        <w:rPr>
          <w:rFonts w:asciiTheme="minorHAnsi" w:hAnsiTheme="minorHAnsi" w:cstheme="minorHAnsi"/>
          <w:b/>
          <w:bCs/>
        </w:rPr>
        <w:t>REFERENCES</w:t>
      </w:r>
      <w:r w:rsidR="00D04760" w:rsidRPr="00CC0544">
        <w:rPr>
          <w:rFonts w:asciiTheme="minorHAnsi" w:hAnsiTheme="minorHAnsi" w:cstheme="minorHAnsi"/>
          <w:b/>
          <w:bCs/>
        </w:rPr>
        <w:t>:</w:t>
      </w:r>
      <w:r w:rsidRPr="00CC0544">
        <w:rPr>
          <w:rFonts w:asciiTheme="minorHAnsi" w:hAnsiTheme="minorHAnsi" w:cstheme="minorHAnsi"/>
        </w:rPr>
        <w:t xml:space="preserve"> </w:t>
      </w:r>
    </w:p>
    <w:p w14:paraId="20121C76" w14:textId="638C8787" w:rsidR="00A85CC2" w:rsidRPr="00A85CC2" w:rsidRDefault="00A85CC2" w:rsidP="00E21748">
      <w:pPr>
        <w:ind w:left="640" w:hanging="640"/>
        <w:rPr>
          <w:noProof/>
        </w:rPr>
      </w:pPr>
      <w:r w:rsidRPr="00A85CC2">
        <w:rPr>
          <w:noProof/>
        </w:rPr>
        <w:t>1.</w:t>
      </w:r>
      <w:r w:rsidRPr="00A85CC2">
        <w:rPr>
          <w:noProof/>
        </w:rPr>
        <w:tab/>
        <w:t xml:space="preserve">WHO </w:t>
      </w:r>
      <w:r w:rsidRPr="00A85CC2">
        <w:rPr>
          <w:i/>
          <w:iCs/>
          <w:noProof/>
        </w:rPr>
        <w:t>GHO | By category | Antiretroviral therapy coverage - Data and estimates by WHO region(2018)</w:t>
      </w:r>
      <w:r w:rsidRPr="00A85CC2">
        <w:rPr>
          <w:noProof/>
        </w:rPr>
        <w:t xml:space="preserve">. </w:t>
      </w:r>
      <w:r w:rsidRPr="00A85CC2">
        <w:rPr>
          <w:i/>
          <w:iCs/>
          <w:noProof/>
        </w:rPr>
        <w:t>WHO</w:t>
      </w:r>
      <w:r w:rsidRPr="00A85CC2">
        <w:rPr>
          <w:noProof/>
        </w:rPr>
        <w:t>. at &lt;http://apps.who.int/gho/data/node.main.626&gt;. World Health Organization. (2018).</w:t>
      </w:r>
    </w:p>
    <w:p w14:paraId="71DAA0EC" w14:textId="74AA6B00" w:rsidR="00A85CC2" w:rsidRPr="00A85CC2" w:rsidRDefault="00A85CC2" w:rsidP="00E21748">
      <w:pPr>
        <w:ind w:left="640" w:hanging="640"/>
        <w:rPr>
          <w:noProof/>
        </w:rPr>
      </w:pPr>
      <w:r w:rsidRPr="00A85CC2">
        <w:rPr>
          <w:noProof/>
        </w:rPr>
        <w:t>2.</w:t>
      </w:r>
      <w:r w:rsidRPr="00A85CC2">
        <w:rPr>
          <w:noProof/>
        </w:rPr>
        <w:tab/>
        <w:t>Skelton, J.</w:t>
      </w:r>
      <w:r w:rsidR="009002E6">
        <w:rPr>
          <w:noProof/>
        </w:rPr>
        <w:t xml:space="preserve"> </w:t>
      </w:r>
      <w:r w:rsidRPr="00A85CC2">
        <w:rPr>
          <w:noProof/>
        </w:rPr>
        <w:t>K., Ortega-Prieto, A.</w:t>
      </w:r>
      <w:r w:rsidR="009002E6">
        <w:rPr>
          <w:noProof/>
        </w:rPr>
        <w:t xml:space="preserve"> </w:t>
      </w:r>
      <w:r w:rsidRPr="00A85CC2">
        <w:rPr>
          <w:noProof/>
        </w:rPr>
        <w:t>M., Dorner, M. A Hitchhiker</w:t>
      </w:r>
      <w:r w:rsidR="00C93B58" w:rsidRPr="00C93B58">
        <w:rPr>
          <w:noProof/>
        </w:rPr>
        <w:t>’s</w:t>
      </w:r>
      <w:r w:rsidRPr="00A85CC2">
        <w:rPr>
          <w:noProof/>
        </w:rPr>
        <w:t xml:space="preserve"> guide to humanized mice: new pathways to studying viral infections. </w:t>
      </w:r>
      <w:r w:rsidRPr="00A85CC2">
        <w:rPr>
          <w:i/>
          <w:iCs/>
          <w:noProof/>
        </w:rPr>
        <w:t>Immunology</w:t>
      </w:r>
      <w:r w:rsidRPr="00A85CC2">
        <w:rPr>
          <w:noProof/>
        </w:rPr>
        <w:t xml:space="preserve">. </w:t>
      </w:r>
      <w:r w:rsidRPr="00A85CC2">
        <w:rPr>
          <w:b/>
          <w:bCs/>
          <w:noProof/>
        </w:rPr>
        <w:t>154</w:t>
      </w:r>
      <w:r w:rsidRPr="00A85CC2">
        <w:rPr>
          <w:noProof/>
        </w:rPr>
        <w:t xml:space="preserve"> (1), 50–61 (2018).</w:t>
      </w:r>
    </w:p>
    <w:p w14:paraId="6B5C7791" w14:textId="1603E8D3" w:rsidR="00A85CC2" w:rsidRPr="00A85CC2" w:rsidRDefault="00A85CC2" w:rsidP="00E21748">
      <w:pPr>
        <w:ind w:left="640" w:hanging="640"/>
        <w:rPr>
          <w:noProof/>
        </w:rPr>
      </w:pPr>
      <w:r w:rsidRPr="00A85CC2">
        <w:rPr>
          <w:noProof/>
        </w:rPr>
        <w:t>3.</w:t>
      </w:r>
      <w:r w:rsidRPr="00A85CC2">
        <w:rPr>
          <w:noProof/>
        </w:rPr>
        <w:tab/>
        <w:t>Denton, P</w:t>
      </w:r>
      <w:r w:rsidR="00EF6B55">
        <w:rPr>
          <w:noProof/>
        </w:rPr>
        <w:t xml:space="preserve">. </w:t>
      </w:r>
      <w:r w:rsidRPr="00A85CC2">
        <w:rPr>
          <w:noProof/>
        </w:rPr>
        <w:t>W., Krisko, J</w:t>
      </w:r>
      <w:r w:rsidR="00EF6B55">
        <w:rPr>
          <w:noProof/>
        </w:rPr>
        <w:t xml:space="preserve">. </w:t>
      </w:r>
      <w:r w:rsidRPr="00A85CC2">
        <w:rPr>
          <w:noProof/>
        </w:rPr>
        <w:t>F., Powell, D</w:t>
      </w:r>
      <w:r w:rsidR="00EF6B55">
        <w:rPr>
          <w:noProof/>
        </w:rPr>
        <w:t xml:space="preserve">. </w:t>
      </w:r>
      <w:r w:rsidRPr="00A85CC2">
        <w:rPr>
          <w:noProof/>
        </w:rPr>
        <w:t>A., Mathias, M., Kwak, Y</w:t>
      </w:r>
      <w:r w:rsidR="00EF6B55">
        <w:rPr>
          <w:noProof/>
        </w:rPr>
        <w:t xml:space="preserve">. </w:t>
      </w:r>
      <w:r w:rsidRPr="00A85CC2">
        <w:rPr>
          <w:noProof/>
        </w:rPr>
        <w:t xml:space="preserve">T. Systemic Administration of Antiretrovirals Prior to Exposure Prevents Rectal and Intravenous HIV-1 Transmission in Humanized BLT Mice. </w:t>
      </w:r>
      <w:r w:rsidRPr="00A85CC2">
        <w:rPr>
          <w:i/>
          <w:iCs/>
          <w:noProof/>
        </w:rPr>
        <w:t>PLoS ONE</w:t>
      </w:r>
      <w:r w:rsidRPr="00A85CC2">
        <w:rPr>
          <w:noProof/>
        </w:rPr>
        <w:t xml:space="preserve">. </w:t>
      </w:r>
      <w:r w:rsidRPr="00A85CC2">
        <w:rPr>
          <w:b/>
          <w:bCs/>
          <w:noProof/>
        </w:rPr>
        <w:t>5</w:t>
      </w:r>
      <w:r w:rsidRPr="00A85CC2">
        <w:rPr>
          <w:noProof/>
        </w:rPr>
        <w:t xml:space="preserve"> (1), 8829 (2010).</w:t>
      </w:r>
    </w:p>
    <w:p w14:paraId="5563DD00" w14:textId="5309A624" w:rsidR="00A85CC2" w:rsidRPr="00A85CC2" w:rsidRDefault="00A85CC2" w:rsidP="00E21748">
      <w:pPr>
        <w:ind w:left="640" w:hanging="640"/>
        <w:rPr>
          <w:noProof/>
        </w:rPr>
      </w:pPr>
      <w:r w:rsidRPr="00A85CC2">
        <w:rPr>
          <w:noProof/>
        </w:rPr>
        <w:t>4.</w:t>
      </w:r>
      <w:r w:rsidRPr="00A85CC2">
        <w:rPr>
          <w:noProof/>
        </w:rPr>
        <w:tab/>
        <w:t xml:space="preserve">Zou, W. </w:t>
      </w:r>
      <w:r w:rsidR="009002E6" w:rsidRPr="009002E6">
        <w:rPr>
          <w:iCs/>
          <w:noProof/>
        </w:rPr>
        <w:t>et al.</w:t>
      </w:r>
      <w:r w:rsidRPr="00A85CC2">
        <w:rPr>
          <w:noProof/>
        </w:rPr>
        <w:t xml:space="preserve"> Nef functions in BLT mice to enhance HIV-1 replication and deplete CD4 + CD8 + thymocytes. </w:t>
      </w:r>
      <w:r w:rsidRPr="00A85CC2">
        <w:rPr>
          <w:i/>
          <w:iCs/>
          <w:noProof/>
        </w:rPr>
        <w:t>Retrovirology</w:t>
      </w:r>
      <w:r w:rsidRPr="00A85CC2">
        <w:rPr>
          <w:noProof/>
        </w:rPr>
        <w:t xml:space="preserve">. </w:t>
      </w:r>
      <w:r w:rsidRPr="00A85CC2">
        <w:rPr>
          <w:b/>
          <w:bCs/>
          <w:noProof/>
        </w:rPr>
        <w:t>9</w:t>
      </w:r>
      <w:r w:rsidRPr="00A85CC2">
        <w:rPr>
          <w:noProof/>
        </w:rPr>
        <w:t xml:space="preserve"> (1), 44 (2012).</w:t>
      </w:r>
    </w:p>
    <w:p w14:paraId="7322356B" w14:textId="0FF33E55" w:rsidR="00A85CC2" w:rsidRPr="00A85CC2" w:rsidRDefault="00A85CC2" w:rsidP="00E21748">
      <w:pPr>
        <w:ind w:left="640" w:hanging="640"/>
        <w:rPr>
          <w:noProof/>
        </w:rPr>
      </w:pPr>
      <w:r w:rsidRPr="00A85CC2">
        <w:rPr>
          <w:noProof/>
        </w:rPr>
        <w:t>5.</w:t>
      </w:r>
      <w:r w:rsidRPr="00A85CC2">
        <w:rPr>
          <w:noProof/>
        </w:rPr>
        <w:tab/>
        <w:t>Berges, B</w:t>
      </w:r>
      <w:r w:rsidR="00EF6B55">
        <w:rPr>
          <w:noProof/>
        </w:rPr>
        <w:t xml:space="preserve">. </w:t>
      </w:r>
      <w:r w:rsidRPr="00A85CC2">
        <w:rPr>
          <w:noProof/>
        </w:rPr>
        <w:t>K., Akkina, S</w:t>
      </w:r>
      <w:r w:rsidR="00EF6B55">
        <w:rPr>
          <w:noProof/>
        </w:rPr>
        <w:t xml:space="preserve">. </w:t>
      </w:r>
      <w:r w:rsidRPr="00A85CC2">
        <w:rPr>
          <w:noProof/>
        </w:rPr>
        <w:t>R., Folkvord, J</w:t>
      </w:r>
      <w:r w:rsidR="00EF6B55">
        <w:rPr>
          <w:noProof/>
        </w:rPr>
        <w:t xml:space="preserve">. </w:t>
      </w:r>
      <w:r w:rsidRPr="00A85CC2">
        <w:rPr>
          <w:noProof/>
        </w:rPr>
        <w:t xml:space="preserve">M., Connick, E., Akkina, R. Mucosal transmission of R5 and X4 tropic HIV-1 via vaginal and rectal routes in humanized Rag2 -/- γc -/- (RAG-hu) mice. </w:t>
      </w:r>
      <w:r w:rsidRPr="00A85CC2">
        <w:rPr>
          <w:i/>
          <w:iCs/>
          <w:noProof/>
        </w:rPr>
        <w:t>Virology</w:t>
      </w:r>
      <w:r w:rsidRPr="00A85CC2">
        <w:rPr>
          <w:noProof/>
        </w:rPr>
        <w:t xml:space="preserve">. </w:t>
      </w:r>
      <w:r w:rsidRPr="00A85CC2">
        <w:rPr>
          <w:b/>
          <w:bCs/>
          <w:noProof/>
        </w:rPr>
        <w:t>373</w:t>
      </w:r>
      <w:r w:rsidRPr="00A85CC2">
        <w:rPr>
          <w:noProof/>
        </w:rPr>
        <w:t xml:space="preserve"> (2), 342–351 (2008).</w:t>
      </w:r>
    </w:p>
    <w:p w14:paraId="026843B5" w14:textId="01AAF802" w:rsidR="00A85CC2" w:rsidRPr="00A85CC2" w:rsidRDefault="00A85CC2" w:rsidP="00E21748">
      <w:pPr>
        <w:ind w:left="640" w:hanging="640"/>
        <w:rPr>
          <w:noProof/>
        </w:rPr>
      </w:pPr>
      <w:r w:rsidRPr="00A85CC2">
        <w:rPr>
          <w:noProof/>
        </w:rPr>
        <w:t>6.</w:t>
      </w:r>
      <w:r w:rsidRPr="00A85CC2">
        <w:rPr>
          <w:noProof/>
        </w:rPr>
        <w:tab/>
        <w:t>Veselinovic, M., Charlins, P., Akkina, R. Modeling HIV-1 Mucosal Transmission and Prevention in Humanized Mice. 203–220 (2016).</w:t>
      </w:r>
    </w:p>
    <w:p w14:paraId="74FA37B7" w14:textId="6BE342EB" w:rsidR="00A85CC2" w:rsidRPr="00A85CC2" w:rsidRDefault="00A85CC2" w:rsidP="00E21748">
      <w:pPr>
        <w:ind w:left="640" w:hanging="640"/>
        <w:rPr>
          <w:noProof/>
        </w:rPr>
      </w:pPr>
      <w:r w:rsidRPr="00A85CC2">
        <w:rPr>
          <w:noProof/>
        </w:rPr>
        <w:t>7.</w:t>
      </w:r>
      <w:r w:rsidRPr="00A85CC2">
        <w:rPr>
          <w:noProof/>
        </w:rPr>
        <w:tab/>
        <w:t>Neff, C</w:t>
      </w:r>
      <w:r w:rsidR="00EF6B55">
        <w:rPr>
          <w:noProof/>
        </w:rPr>
        <w:t xml:space="preserve">. </w:t>
      </w:r>
      <w:r w:rsidRPr="00A85CC2">
        <w:rPr>
          <w:noProof/>
        </w:rPr>
        <w:t xml:space="preserve">P., Kurisu, T., Ndolo, T., Fox, K., Akkina, R. A topical microbicide gel formulation of CCR5 antagonist maraviroc prevents HIV-1 vaginal transmission in humanized RAG-hu mice. </w:t>
      </w:r>
      <w:r w:rsidRPr="00A85CC2">
        <w:rPr>
          <w:i/>
          <w:iCs/>
          <w:noProof/>
        </w:rPr>
        <w:t>PLoS ONE</w:t>
      </w:r>
      <w:r w:rsidRPr="00A85CC2">
        <w:rPr>
          <w:noProof/>
        </w:rPr>
        <w:t xml:space="preserve">. </w:t>
      </w:r>
      <w:r w:rsidRPr="00A85CC2">
        <w:rPr>
          <w:b/>
          <w:bCs/>
          <w:noProof/>
        </w:rPr>
        <w:t>6</w:t>
      </w:r>
      <w:r w:rsidRPr="00A85CC2">
        <w:rPr>
          <w:noProof/>
        </w:rPr>
        <w:t xml:space="preserve"> (6), e20209 (2011).</w:t>
      </w:r>
    </w:p>
    <w:p w14:paraId="3E3853D4" w14:textId="5C2B067B" w:rsidR="00A85CC2" w:rsidRPr="00A85CC2" w:rsidRDefault="00A85CC2" w:rsidP="00E21748">
      <w:pPr>
        <w:ind w:left="640" w:hanging="640"/>
        <w:rPr>
          <w:noProof/>
        </w:rPr>
      </w:pPr>
      <w:r w:rsidRPr="00A85CC2">
        <w:rPr>
          <w:noProof/>
        </w:rPr>
        <w:t>8.</w:t>
      </w:r>
      <w:r w:rsidRPr="00A85CC2">
        <w:rPr>
          <w:noProof/>
        </w:rPr>
        <w:tab/>
        <w:t>Neff, P</w:t>
      </w:r>
      <w:r w:rsidR="00EF6B55">
        <w:rPr>
          <w:noProof/>
        </w:rPr>
        <w:t xml:space="preserve">. </w:t>
      </w:r>
      <w:r w:rsidRPr="00A85CC2">
        <w:rPr>
          <w:noProof/>
        </w:rPr>
        <w:t xml:space="preserve">C., Ndolo, T., Tandon, A., Habu, Y., Akkina, R. Oral pre-exposure prophylaxis by anti-retrovirals raltegravir and maraviroc protects against HIV-1 vaginal transmission in a </w:t>
      </w:r>
      <w:r w:rsidRPr="00A85CC2">
        <w:rPr>
          <w:noProof/>
        </w:rPr>
        <w:lastRenderedPageBreak/>
        <w:t xml:space="preserve">humanized mouse model. </w:t>
      </w:r>
      <w:r w:rsidRPr="00A85CC2">
        <w:rPr>
          <w:i/>
          <w:iCs/>
          <w:noProof/>
        </w:rPr>
        <w:t>PLoS ONE</w:t>
      </w:r>
      <w:r w:rsidRPr="00A85CC2">
        <w:rPr>
          <w:noProof/>
        </w:rPr>
        <w:t xml:space="preserve">. </w:t>
      </w:r>
      <w:r w:rsidRPr="00A85CC2">
        <w:rPr>
          <w:b/>
          <w:bCs/>
          <w:noProof/>
        </w:rPr>
        <w:t>5</w:t>
      </w:r>
      <w:r w:rsidRPr="00A85CC2">
        <w:rPr>
          <w:noProof/>
        </w:rPr>
        <w:t xml:space="preserve"> (12), e15257 (2010).</w:t>
      </w:r>
    </w:p>
    <w:p w14:paraId="11F4CF99" w14:textId="358922AC" w:rsidR="00A85CC2" w:rsidRPr="00A85CC2" w:rsidRDefault="00A85CC2" w:rsidP="00E21748">
      <w:pPr>
        <w:ind w:left="640" w:hanging="640"/>
        <w:rPr>
          <w:noProof/>
        </w:rPr>
      </w:pPr>
      <w:r w:rsidRPr="00A85CC2">
        <w:rPr>
          <w:noProof/>
        </w:rPr>
        <w:t>9.</w:t>
      </w:r>
      <w:r w:rsidRPr="00A85CC2">
        <w:rPr>
          <w:noProof/>
        </w:rPr>
        <w:tab/>
        <w:t xml:space="preserve">Veselinovic, M. </w:t>
      </w:r>
      <w:r w:rsidR="009002E6" w:rsidRPr="009002E6">
        <w:rPr>
          <w:iCs/>
          <w:noProof/>
        </w:rPr>
        <w:t>et al.</w:t>
      </w:r>
      <w:r w:rsidRPr="00A85CC2">
        <w:rPr>
          <w:noProof/>
        </w:rPr>
        <w:t xml:space="preserve"> HIV pre-exposure prophylaxis: Mucosal tissue drug distribution of RT inhibitor Tenofovir and entry inhibitor Maraviroc in a humanized mouse model. </w:t>
      </w:r>
      <w:r w:rsidRPr="00A85CC2">
        <w:rPr>
          <w:i/>
          <w:iCs/>
          <w:noProof/>
        </w:rPr>
        <w:t>Virology</w:t>
      </w:r>
      <w:r w:rsidRPr="00A85CC2">
        <w:rPr>
          <w:noProof/>
        </w:rPr>
        <w:t xml:space="preserve">. </w:t>
      </w:r>
      <w:r w:rsidRPr="00A85CC2">
        <w:rPr>
          <w:b/>
          <w:bCs/>
          <w:noProof/>
        </w:rPr>
        <w:t>464</w:t>
      </w:r>
      <w:r w:rsidRPr="00A85CC2">
        <w:rPr>
          <w:noProof/>
        </w:rPr>
        <w:t>–</w:t>
      </w:r>
      <w:r w:rsidRPr="00A85CC2">
        <w:rPr>
          <w:b/>
          <w:bCs/>
          <w:noProof/>
        </w:rPr>
        <w:t>465</w:t>
      </w:r>
      <w:r w:rsidRPr="00A85CC2">
        <w:rPr>
          <w:noProof/>
        </w:rPr>
        <w:t>, 253–263 (2014).</w:t>
      </w:r>
    </w:p>
    <w:p w14:paraId="77CCE36A" w14:textId="56512EB9" w:rsidR="00A85CC2" w:rsidRPr="00A85CC2" w:rsidRDefault="00A85CC2" w:rsidP="00E21748">
      <w:pPr>
        <w:ind w:left="640" w:hanging="640"/>
        <w:rPr>
          <w:noProof/>
        </w:rPr>
      </w:pPr>
      <w:r w:rsidRPr="00A85CC2">
        <w:rPr>
          <w:noProof/>
        </w:rPr>
        <w:t>10.</w:t>
      </w:r>
      <w:r w:rsidRPr="00A85CC2">
        <w:rPr>
          <w:noProof/>
        </w:rPr>
        <w:tab/>
        <w:t xml:space="preserve">Akkina, R. </w:t>
      </w:r>
      <w:r w:rsidR="009002E6" w:rsidRPr="009002E6">
        <w:rPr>
          <w:iCs/>
          <w:noProof/>
        </w:rPr>
        <w:t>et al.</w:t>
      </w:r>
      <w:r w:rsidRPr="00A85CC2">
        <w:rPr>
          <w:noProof/>
        </w:rPr>
        <w:t xml:space="preserve"> Humanized Rag1-/-γc-/- mice support multilineage hematopoiesis and are susceptible to HIV-1 infection via systemic and vaginal routes. </w:t>
      </w:r>
      <w:r w:rsidRPr="00A85CC2">
        <w:rPr>
          <w:i/>
          <w:iCs/>
          <w:noProof/>
        </w:rPr>
        <w:t>PLoS ONE</w:t>
      </w:r>
      <w:r w:rsidRPr="00A85CC2">
        <w:rPr>
          <w:noProof/>
        </w:rPr>
        <w:t xml:space="preserve">. </w:t>
      </w:r>
      <w:r w:rsidRPr="00A85CC2">
        <w:rPr>
          <w:b/>
          <w:bCs/>
          <w:noProof/>
        </w:rPr>
        <w:t>6</w:t>
      </w:r>
      <w:r w:rsidRPr="00A85CC2">
        <w:rPr>
          <w:noProof/>
        </w:rPr>
        <w:t xml:space="preserve"> (6), e20169 (2011).</w:t>
      </w:r>
    </w:p>
    <w:p w14:paraId="0A3D5A9D" w14:textId="0739CD0D" w:rsidR="00A85CC2" w:rsidRPr="00A85CC2" w:rsidRDefault="00A85CC2" w:rsidP="00E21748">
      <w:pPr>
        <w:ind w:left="640" w:hanging="640"/>
        <w:rPr>
          <w:noProof/>
        </w:rPr>
      </w:pPr>
      <w:r w:rsidRPr="00A85CC2">
        <w:rPr>
          <w:noProof/>
        </w:rPr>
        <w:t>11.</w:t>
      </w:r>
      <w:r w:rsidRPr="00A85CC2">
        <w:rPr>
          <w:noProof/>
        </w:rPr>
        <w:tab/>
        <w:t xml:space="preserve">Zhou, J. </w:t>
      </w:r>
      <w:r w:rsidR="009002E6" w:rsidRPr="009002E6">
        <w:rPr>
          <w:iCs/>
          <w:noProof/>
        </w:rPr>
        <w:t>et al.</w:t>
      </w:r>
      <w:r w:rsidRPr="00A85CC2">
        <w:rPr>
          <w:noProof/>
        </w:rPr>
        <w:t xml:space="preserve"> Systemic administration of combinatorial dsiRNAs via nanoparticles efficiently suppresses HIV-1 infection in humanized mice. </w:t>
      </w:r>
      <w:r w:rsidRPr="00A85CC2">
        <w:rPr>
          <w:i/>
          <w:iCs/>
          <w:noProof/>
        </w:rPr>
        <w:t>Molecular Therapy</w:t>
      </w:r>
      <w:r w:rsidRPr="00A85CC2">
        <w:rPr>
          <w:noProof/>
        </w:rPr>
        <w:t xml:space="preserve">. </w:t>
      </w:r>
      <w:r w:rsidRPr="00A85CC2">
        <w:rPr>
          <w:b/>
          <w:bCs/>
          <w:noProof/>
        </w:rPr>
        <w:t>19</w:t>
      </w:r>
      <w:r w:rsidRPr="00A85CC2">
        <w:rPr>
          <w:noProof/>
        </w:rPr>
        <w:t xml:space="preserve"> (12), 2228–2238 (2011).</w:t>
      </w:r>
    </w:p>
    <w:p w14:paraId="6EC9EB4F" w14:textId="66334B4E" w:rsidR="00A85CC2" w:rsidRPr="00A85CC2" w:rsidRDefault="00A85CC2" w:rsidP="00E21748">
      <w:pPr>
        <w:ind w:left="640" w:hanging="640"/>
        <w:rPr>
          <w:noProof/>
        </w:rPr>
      </w:pPr>
      <w:r w:rsidRPr="00A85CC2">
        <w:rPr>
          <w:noProof/>
        </w:rPr>
        <w:t>12.</w:t>
      </w:r>
      <w:r w:rsidRPr="00A85CC2">
        <w:rPr>
          <w:noProof/>
        </w:rPr>
        <w:tab/>
        <w:t>Balcombe, J</w:t>
      </w:r>
      <w:r w:rsidR="00EF6B55">
        <w:rPr>
          <w:noProof/>
        </w:rPr>
        <w:t xml:space="preserve">. </w:t>
      </w:r>
      <w:r w:rsidRPr="00A85CC2">
        <w:rPr>
          <w:noProof/>
        </w:rPr>
        <w:t>P., Barnard, N</w:t>
      </w:r>
      <w:r w:rsidR="00EF6B55">
        <w:rPr>
          <w:noProof/>
        </w:rPr>
        <w:t xml:space="preserve">. </w:t>
      </w:r>
      <w:r w:rsidRPr="00A85CC2">
        <w:rPr>
          <w:noProof/>
        </w:rPr>
        <w:t xml:space="preserve">D., Sandusky, C. Laboratory routines cause animal stress. </w:t>
      </w:r>
      <w:r w:rsidRPr="00A85CC2">
        <w:rPr>
          <w:i/>
          <w:iCs/>
          <w:noProof/>
        </w:rPr>
        <w:t xml:space="preserve">Contemporary </w:t>
      </w:r>
      <w:r w:rsidR="00EF6B55" w:rsidRPr="00A85CC2">
        <w:rPr>
          <w:i/>
          <w:iCs/>
          <w:noProof/>
        </w:rPr>
        <w:t xml:space="preserve">Topics </w:t>
      </w:r>
      <w:r w:rsidRPr="00A85CC2">
        <w:rPr>
          <w:i/>
          <w:iCs/>
          <w:noProof/>
        </w:rPr>
        <w:t xml:space="preserve">in </w:t>
      </w:r>
      <w:r w:rsidR="00EF6B55" w:rsidRPr="00A85CC2">
        <w:rPr>
          <w:i/>
          <w:iCs/>
          <w:noProof/>
        </w:rPr>
        <w:t>Laboratory Animal Science</w:t>
      </w:r>
      <w:r w:rsidRPr="00A85CC2">
        <w:rPr>
          <w:noProof/>
        </w:rPr>
        <w:t xml:space="preserve">. </w:t>
      </w:r>
      <w:r w:rsidRPr="00A85CC2">
        <w:rPr>
          <w:b/>
          <w:bCs/>
          <w:noProof/>
        </w:rPr>
        <w:t>43</w:t>
      </w:r>
      <w:r w:rsidRPr="00A85CC2">
        <w:rPr>
          <w:noProof/>
        </w:rPr>
        <w:t xml:space="preserve"> (6), 42–51, at &lt;http://www.ncbi.nlm.nih.gov/pubmed/15669134&gt; (2004).</w:t>
      </w:r>
    </w:p>
    <w:p w14:paraId="53553154" w14:textId="29EBB452" w:rsidR="00A85CC2" w:rsidRPr="00A85CC2" w:rsidRDefault="00A85CC2" w:rsidP="00E21748">
      <w:pPr>
        <w:ind w:left="640" w:hanging="640"/>
        <w:rPr>
          <w:noProof/>
        </w:rPr>
      </w:pPr>
      <w:r w:rsidRPr="00A85CC2">
        <w:rPr>
          <w:noProof/>
        </w:rPr>
        <w:t>13.</w:t>
      </w:r>
      <w:r w:rsidRPr="00A85CC2">
        <w:rPr>
          <w:noProof/>
        </w:rPr>
        <w:tab/>
        <w:t>Trecarichi, E</w:t>
      </w:r>
      <w:r w:rsidR="00EF6B55">
        <w:rPr>
          <w:noProof/>
        </w:rPr>
        <w:t xml:space="preserve">. </w:t>
      </w:r>
      <w:r w:rsidRPr="00A85CC2">
        <w:rPr>
          <w:noProof/>
        </w:rPr>
        <w:t xml:space="preserve">M. </w:t>
      </w:r>
      <w:r w:rsidR="009002E6" w:rsidRPr="009002E6">
        <w:rPr>
          <w:iCs/>
          <w:noProof/>
        </w:rPr>
        <w:t>et al.</w:t>
      </w:r>
      <w:r w:rsidRPr="00A85CC2">
        <w:rPr>
          <w:noProof/>
        </w:rPr>
        <w:t xml:space="preserve"> Partial protective effect of CCR5-Delta 32 heterozygosity in a cohort of heterosexual Italian HIV-1 exposed uninfected individuals. </w:t>
      </w:r>
      <w:r w:rsidRPr="00A85CC2">
        <w:rPr>
          <w:i/>
          <w:iCs/>
          <w:noProof/>
        </w:rPr>
        <w:t>AIDS Research and Therapy</w:t>
      </w:r>
      <w:r w:rsidRPr="00A85CC2">
        <w:rPr>
          <w:noProof/>
        </w:rPr>
        <w:t xml:space="preserve">. </w:t>
      </w:r>
      <w:r w:rsidRPr="00A85CC2">
        <w:rPr>
          <w:b/>
          <w:bCs/>
          <w:noProof/>
        </w:rPr>
        <w:t>3</w:t>
      </w:r>
      <w:r w:rsidRPr="00A85CC2">
        <w:rPr>
          <w:noProof/>
        </w:rPr>
        <w:t xml:space="preserve"> (1) (2006).</w:t>
      </w:r>
    </w:p>
    <w:p w14:paraId="065258A2" w14:textId="64ACE85A" w:rsidR="00A85CC2" w:rsidRPr="00A85CC2" w:rsidRDefault="00A85CC2" w:rsidP="00E21748">
      <w:pPr>
        <w:ind w:left="640" w:hanging="640"/>
        <w:rPr>
          <w:noProof/>
        </w:rPr>
      </w:pPr>
      <w:r w:rsidRPr="00A85CC2">
        <w:rPr>
          <w:noProof/>
        </w:rPr>
        <w:t>14.</w:t>
      </w:r>
      <w:r w:rsidRPr="00A85CC2">
        <w:rPr>
          <w:noProof/>
        </w:rPr>
        <w:tab/>
        <w:t>Novembre, J., Galvani, A</w:t>
      </w:r>
      <w:r w:rsidR="00EF6B55">
        <w:rPr>
          <w:noProof/>
        </w:rPr>
        <w:t xml:space="preserve">. </w:t>
      </w:r>
      <w:r w:rsidRPr="00A85CC2">
        <w:rPr>
          <w:noProof/>
        </w:rPr>
        <w:t xml:space="preserve">P., Slatkin, M. The geographic spread of the CCR5 Δ32 HIV-resistance allele. </w:t>
      </w:r>
      <w:r w:rsidRPr="00A85CC2">
        <w:rPr>
          <w:i/>
          <w:iCs/>
          <w:noProof/>
        </w:rPr>
        <w:t>PLoS Biology</w:t>
      </w:r>
      <w:r w:rsidRPr="00A85CC2">
        <w:rPr>
          <w:noProof/>
        </w:rPr>
        <w:t xml:space="preserve">. </w:t>
      </w:r>
      <w:r w:rsidRPr="00A85CC2">
        <w:rPr>
          <w:b/>
          <w:bCs/>
          <w:noProof/>
        </w:rPr>
        <w:t>3</w:t>
      </w:r>
      <w:r w:rsidRPr="00A85CC2">
        <w:rPr>
          <w:noProof/>
        </w:rPr>
        <w:t xml:space="preserve"> (11), 1954–1962 (2005).</w:t>
      </w:r>
    </w:p>
    <w:p w14:paraId="201EEEA8" w14:textId="535CD2E5" w:rsidR="00A85CC2" w:rsidRPr="00A85CC2" w:rsidRDefault="00A85CC2" w:rsidP="00E21748">
      <w:pPr>
        <w:ind w:left="640" w:hanging="640"/>
        <w:rPr>
          <w:noProof/>
        </w:rPr>
      </w:pPr>
      <w:r w:rsidRPr="00A85CC2">
        <w:rPr>
          <w:noProof/>
        </w:rPr>
        <w:t>15.</w:t>
      </w:r>
      <w:r w:rsidRPr="00A85CC2">
        <w:rPr>
          <w:noProof/>
        </w:rPr>
        <w:tab/>
        <w:t>Solloch, U. V.</w:t>
      </w:r>
      <w:r w:rsidR="00EF6B55">
        <w:rPr>
          <w:noProof/>
        </w:rPr>
        <w:t xml:space="preserve"> et al.</w:t>
      </w:r>
      <w:r w:rsidRPr="00A85CC2">
        <w:rPr>
          <w:noProof/>
        </w:rPr>
        <w:t xml:space="preserve"> Frequencies of gene variant CCR5-Δ32 in 87 countries based on next-generation sequencing of 1.3 million individuals sampled from 3 national DKMS donor centers. </w:t>
      </w:r>
      <w:r w:rsidRPr="00A85CC2">
        <w:rPr>
          <w:i/>
          <w:iCs/>
          <w:noProof/>
        </w:rPr>
        <w:t>Human Immunology</w:t>
      </w:r>
      <w:r w:rsidRPr="00A85CC2">
        <w:rPr>
          <w:noProof/>
        </w:rPr>
        <w:t xml:space="preserve">. </w:t>
      </w:r>
      <w:r w:rsidRPr="00A85CC2">
        <w:rPr>
          <w:b/>
          <w:bCs/>
          <w:noProof/>
        </w:rPr>
        <w:t>78</w:t>
      </w:r>
      <w:r w:rsidRPr="00A85CC2">
        <w:rPr>
          <w:noProof/>
        </w:rPr>
        <w:t xml:space="preserve"> (11–12), 710–717 (2017).</w:t>
      </w:r>
    </w:p>
    <w:p w14:paraId="5DB67886" w14:textId="24AE6362" w:rsidR="00A85CC2" w:rsidRPr="00A85CC2" w:rsidRDefault="00A85CC2" w:rsidP="00E21748">
      <w:pPr>
        <w:ind w:left="640" w:hanging="640"/>
        <w:rPr>
          <w:noProof/>
        </w:rPr>
      </w:pPr>
      <w:r w:rsidRPr="00A85CC2">
        <w:rPr>
          <w:noProof/>
        </w:rPr>
        <w:t>16.</w:t>
      </w:r>
      <w:r w:rsidRPr="00A85CC2">
        <w:rPr>
          <w:noProof/>
        </w:rPr>
        <w:tab/>
        <w:t xml:space="preserve">Ochsenbauer, C. </w:t>
      </w:r>
      <w:r w:rsidR="009002E6" w:rsidRPr="009002E6">
        <w:rPr>
          <w:iCs/>
          <w:noProof/>
        </w:rPr>
        <w:t>et al.</w:t>
      </w:r>
      <w:r w:rsidRPr="00A85CC2">
        <w:rPr>
          <w:noProof/>
        </w:rPr>
        <w:t xml:space="preserve"> Generation of Transmitted/Founder HIV-1 Infectious Molecular Clones and Characterization of Their Replication Capacity in CD4 T Lymphocytes and Monocyte-Derived Macrophages. </w:t>
      </w:r>
      <w:r w:rsidRPr="00A85CC2">
        <w:rPr>
          <w:i/>
          <w:iCs/>
          <w:noProof/>
        </w:rPr>
        <w:t>Journal of Virology</w:t>
      </w:r>
      <w:r w:rsidRPr="00A85CC2">
        <w:rPr>
          <w:noProof/>
        </w:rPr>
        <w:t xml:space="preserve">. </w:t>
      </w:r>
      <w:r w:rsidRPr="00A85CC2">
        <w:rPr>
          <w:b/>
          <w:bCs/>
          <w:noProof/>
        </w:rPr>
        <w:t>86</w:t>
      </w:r>
      <w:r w:rsidRPr="00A85CC2">
        <w:rPr>
          <w:noProof/>
        </w:rPr>
        <w:t xml:space="preserve"> (5), 2715–2728 (2012).</w:t>
      </w:r>
    </w:p>
    <w:p w14:paraId="3C3A902F" w14:textId="6A8B9ED1" w:rsidR="00A85CC2" w:rsidRPr="00A85CC2" w:rsidRDefault="00A85CC2" w:rsidP="00E21748">
      <w:pPr>
        <w:ind w:left="640" w:hanging="640"/>
        <w:rPr>
          <w:noProof/>
        </w:rPr>
      </w:pPr>
      <w:r w:rsidRPr="00A85CC2">
        <w:rPr>
          <w:noProof/>
        </w:rPr>
        <w:t>17.</w:t>
      </w:r>
      <w:r w:rsidRPr="00A85CC2">
        <w:rPr>
          <w:noProof/>
        </w:rPr>
        <w:tab/>
        <w:t>Andersen, A</w:t>
      </w:r>
      <w:r w:rsidR="00EF6B55">
        <w:rPr>
          <w:noProof/>
        </w:rPr>
        <w:t xml:space="preserve">. </w:t>
      </w:r>
      <w:r w:rsidRPr="00A85CC2">
        <w:rPr>
          <w:noProof/>
        </w:rPr>
        <w:t>H</w:t>
      </w:r>
      <w:r w:rsidR="00EF6B55">
        <w:rPr>
          <w:noProof/>
        </w:rPr>
        <w:t xml:space="preserve">. </w:t>
      </w:r>
      <w:r w:rsidRPr="00A85CC2">
        <w:rPr>
          <w:noProof/>
        </w:rPr>
        <w:t xml:space="preserve">F. </w:t>
      </w:r>
      <w:r w:rsidR="009002E6" w:rsidRPr="009002E6">
        <w:rPr>
          <w:iCs/>
          <w:noProof/>
        </w:rPr>
        <w:t>et al.</w:t>
      </w:r>
      <w:r w:rsidRPr="00A85CC2">
        <w:rPr>
          <w:noProof/>
        </w:rPr>
        <w:t xml:space="preserve"> Long-Acting, Potent Delivery of Combination Antiretroviral Therapy. </w:t>
      </w:r>
      <w:r w:rsidRPr="00A85CC2">
        <w:rPr>
          <w:i/>
          <w:iCs/>
          <w:noProof/>
        </w:rPr>
        <w:t>ACS Macro Letters</w:t>
      </w:r>
      <w:r w:rsidRPr="00A85CC2">
        <w:rPr>
          <w:noProof/>
        </w:rPr>
        <w:t xml:space="preserve">. </w:t>
      </w:r>
      <w:r w:rsidRPr="00A85CC2">
        <w:rPr>
          <w:b/>
          <w:bCs/>
          <w:noProof/>
        </w:rPr>
        <w:t>7</w:t>
      </w:r>
      <w:r w:rsidRPr="00A85CC2">
        <w:rPr>
          <w:noProof/>
        </w:rPr>
        <w:t xml:space="preserve"> (5), 587–591 (2018).</w:t>
      </w:r>
    </w:p>
    <w:p w14:paraId="2DBA3D4F" w14:textId="243FCAE9" w:rsidR="00A85CC2" w:rsidRPr="00A85CC2" w:rsidRDefault="00A85CC2" w:rsidP="00E21748">
      <w:pPr>
        <w:ind w:left="640" w:hanging="640"/>
        <w:rPr>
          <w:noProof/>
        </w:rPr>
      </w:pPr>
      <w:r w:rsidRPr="00A85CC2">
        <w:rPr>
          <w:noProof/>
        </w:rPr>
        <w:t>18.</w:t>
      </w:r>
      <w:r w:rsidRPr="00A85CC2">
        <w:rPr>
          <w:noProof/>
        </w:rPr>
        <w:tab/>
        <w:t>Caro, A</w:t>
      </w:r>
      <w:r w:rsidR="00EF6B55">
        <w:rPr>
          <w:noProof/>
        </w:rPr>
        <w:t xml:space="preserve">. </w:t>
      </w:r>
      <w:r w:rsidRPr="00A85CC2">
        <w:rPr>
          <w:noProof/>
        </w:rPr>
        <w:t>C., Hankenson, F</w:t>
      </w:r>
      <w:r w:rsidR="00EF6B55">
        <w:rPr>
          <w:noProof/>
        </w:rPr>
        <w:t xml:space="preserve">. </w:t>
      </w:r>
      <w:r w:rsidRPr="00A85CC2">
        <w:rPr>
          <w:noProof/>
        </w:rPr>
        <w:t>C., Marx, J</w:t>
      </w:r>
      <w:r w:rsidR="00EF6B55">
        <w:rPr>
          <w:noProof/>
        </w:rPr>
        <w:t xml:space="preserve">. </w:t>
      </w:r>
      <w:r w:rsidRPr="00A85CC2">
        <w:rPr>
          <w:noProof/>
        </w:rPr>
        <w:t xml:space="preserve">O. Comparison of thermoregulatory devices used during anesthesia of C57BL/6 mice and correlations between body temperature and physiologic parameters. </w:t>
      </w:r>
      <w:r w:rsidRPr="00A85CC2">
        <w:rPr>
          <w:i/>
          <w:iCs/>
          <w:noProof/>
        </w:rPr>
        <w:t>Journal of the American Association for Laboratory Animal Science : JAALAS</w:t>
      </w:r>
      <w:r w:rsidRPr="00A85CC2">
        <w:rPr>
          <w:noProof/>
        </w:rPr>
        <w:t xml:space="preserve">. </w:t>
      </w:r>
      <w:r w:rsidRPr="00A85CC2">
        <w:rPr>
          <w:b/>
          <w:bCs/>
          <w:noProof/>
        </w:rPr>
        <w:t>52</w:t>
      </w:r>
      <w:r w:rsidRPr="00A85CC2">
        <w:rPr>
          <w:noProof/>
        </w:rPr>
        <w:t xml:space="preserve"> (5), 577–</w:t>
      </w:r>
      <w:r w:rsidR="009002E6">
        <w:rPr>
          <w:noProof/>
        </w:rPr>
        <w:t>5</w:t>
      </w:r>
      <w:r w:rsidRPr="00A85CC2">
        <w:rPr>
          <w:noProof/>
        </w:rPr>
        <w:t>83, at &lt;http://www.ncbi.nlm.nih.gov/pubmed/24041214&gt; (2013).</w:t>
      </w:r>
    </w:p>
    <w:p w14:paraId="5CCEB832" w14:textId="78E2D4B3" w:rsidR="00A85CC2" w:rsidRPr="00A85CC2" w:rsidRDefault="00A85CC2" w:rsidP="00E21748">
      <w:pPr>
        <w:ind w:left="640" w:hanging="640"/>
        <w:rPr>
          <w:noProof/>
        </w:rPr>
      </w:pPr>
      <w:r w:rsidRPr="00A85CC2">
        <w:rPr>
          <w:noProof/>
        </w:rPr>
        <w:t>19.</w:t>
      </w:r>
      <w:r w:rsidRPr="00A85CC2">
        <w:rPr>
          <w:noProof/>
        </w:rPr>
        <w:tab/>
        <w:t>Gatlin, J., Padgett, A., Melkus, M</w:t>
      </w:r>
      <w:r w:rsidR="00EF6B55">
        <w:rPr>
          <w:noProof/>
        </w:rPr>
        <w:t xml:space="preserve">. </w:t>
      </w:r>
      <w:r w:rsidRPr="00A85CC2">
        <w:rPr>
          <w:noProof/>
        </w:rPr>
        <w:t>W., Kelly, P</w:t>
      </w:r>
      <w:r w:rsidR="00EF6B55">
        <w:rPr>
          <w:noProof/>
        </w:rPr>
        <w:t xml:space="preserve">. </w:t>
      </w:r>
      <w:r w:rsidRPr="00A85CC2">
        <w:rPr>
          <w:noProof/>
        </w:rPr>
        <w:t>F., Garcia, J</w:t>
      </w:r>
      <w:r w:rsidR="00EF6B55">
        <w:rPr>
          <w:noProof/>
        </w:rPr>
        <w:t xml:space="preserve">. </w:t>
      </w:r>
      <w:r w:rsidRPr="00A85CC2">
        <w:rPr>
          <w:noProof/>
        </w:rPr>
        <w:t xml:space="preserve">V. Long-term engraftment of nonobese diabetic/severe combined immunodeficient mice with human CD34+ cells transduced by a self-inactivating human immunodeficiency virus type 1 vector. </w:t>
      </w:r>
      <w:r w:rsidRPr="00A85CC2">
        <w:rPr>
          <w:i/>
          <w:iCs/>
          <w:noProof/>
        </w:rPr>
        <w:t>Human Gene Therapy</w:t>
      </w:r>
      <w:r w:rsidRPr="00A85CC2">
        <w:rPr>
          <w:noProof/>
        </w:rPr>
        <w:t xml:space="preserve">. </w:t>
      </w:r>
      <w:r w:rsidRPr="00A85CC2">
        <w:rPr>
          <w:b/>
          <w:bCs/>
          <w:noProof/>
        </w:rPr>
        <w:t>12</w:t>
      </w:r>
      <w:r w:rsidRPr="00A85CC2">
        <w:rPr>
          <w:noProof/>
        </w:rPr>
        <w:t xml:space="preserve"> (9), 1079–1089 (2001).</w:t>
      </w:r>
    </w:p>
    <w:p w14:paraId="017D2E5C" w14:textId="6F957781" w:rsidR="00A85CC2" w:rsidRPr="00A85CC2" w:rsidRDefault="00A85CC2" w:rsidP="00E21748">
      <w:pPr>
        <w:ind w:left="640" w:hanging="640"/>
        <w:rPr>
          <w:noProof/>
        </w:rPr>
      </w:pPr>
      <w:r w:rsidRPr="00A85CC2">
        <w:rPr>
          <w:noProof/>
        </w:rPr>
        <w:t>20.</w:t>
      </w:r>
      <w:r w:rsidRPr="00A85CC2">
        <w:rPr>
          <w:noProof/>
        </w:rPr>
        <w:tab/>
        <w:t xml:space="preserve">Leth, S. </w:t>
      </w:r>
      <w:r w:rsidR="009002E6" w:rsidRPr="009002E6">
        <w:rPr>
          <w:iCs/>
          <w:noProof/>
        </w:rPr>
        <w:t>et al.</w:t>
      </w:r>
      <w:r w:rsidRPr="00A85CC2">
        <w:rPr>
          <w:noProof/>
        </w:rPr>
        <w:t xml:space="preserve"> HIV-1 transcriptional activity during frequent longitudinal sampling in aviremic patients on antiretroviral therapy. </w:t>
      </w:r>
      <w:r w:rsidRPr="00A85CC2">
        <w:rPr>
          <w:i/>
          <w:iCs/>
          <w:noProof/>
        </w:rPr>
        <w:t>AIDS</w:t>
      </w:r>
      <w:r w:rsidRPr="00A85CC2">
        <w:rPr>
          <w:noProof/>
        </w:rPr>
        <w:t xml:space="preserve">. </w:t>
      </w:r>
      <w:r w:rsidRPr="00A85CC2">
        <w:rPr>
          <w:b/>
          <w:bCs/>
          <w:noProof/>
        </w:rPr>
        <w:t>30</w:t>
      </w:r>
      <w:r w:rsidRPr="00A85CC2">
        <w:rPr>
          <w:noProof/>
        </w:rPr>
        <w:t xml:space="preserve"> (5), 713–721 (2016).</w:t>
      </w:r>
    </w:p>
    <w:p w14:paraId="3A682AE2" w14:textId="7E93A583" w:rsidR="00A85CC2" w:rsidRPr="00A85CC2" w:rsidRDefault="00A85CC2" w:rsidP="00E21748">
      <w:pPr>
        <w:ind w:left="640" w:hanging="640"/>
        <w:rPr>
          <w:noProof/>
        </w:rPr>
      </w:pPr>
      <w:r w:rsidRPr="00A85CC2">
        <w:rPr>
          <w:noProof/>
        </w:rPr>
        <w:t>21.</w:t>
      </w:r>
      <w:r w:rsidRPr="00A85CC2">
        <w:rPr>
          <w:noProof/>
        </w:rPr>
        <w:tab/>
        <w:t xml:space="preserve">Halper-Stromberg, A. </w:t>
      </w:r>
      <w:r w:rsidR="009002E6" w:rsidRPr="009002E6">
        <w:rPr>
          <w:iCs/>
          <w:noProof/>
        </w:rPr>
        <w:t>et al.</w:t>
      </w:r>
      <w:r w:rsidRPr="00A85CC2">
        <w:rPr>
          <w:noProof/>
        </w:rPr>
        <w:t xml:space="preserve"> Broadly neutralizing antibodies and viral inducers decrease rebound from HIV-1 latent reservoirs in humanized mice. </w:t>
      </w:r>
      <w:r w:rsidRPr="00A85CC2">
        <w:rPr>
          <w:i/>
          <w:iCs/>
          <w:noProof/>
        </w:rPr>
        <w:t>Cell</w:t>
      </w:r>
      <w:r w:rsidRPr="00A85CC2">
        <w:rPr>
          <w:noProof/>
        </w:rPr>
        <w:t xml:space="preserve">. </w:t>
      </w:r>
      <w:r w:rsidRPr="00A85CC2">
        <w:rPr>
          <w:b/>
          <w:bCs/>
          <w:noProof/>
        </w:rPr>
        <w:t>158</w:t>
      </w:r>
      <w:r w:rsidRPr="00A85CC2">
        <w:rPr>
          <w:noProof/>
        </w:rPr>
        <w:t xml:space="preserve"> (5), 989–999 (2014).</w:t>
      </w:r>
    </w:p>
    <w:p w14:paraId="4941E111" w14:textId="40628ECB" w:rsidR="00A85CC2" w:rsidRPr="00A85CC2" w:rsidRDefault="00A85CC2" w:rsidP="00E21748">
      <w:pPr>
        <w:ind w:left="640" w:hanging="640"/>
        <w:rPr>
          <w:noProof/>
        </w:rPr>
      </w:pPr>
      <w:r w:rsidRPr="00A85CC2">
        <w:rPr>
          <w:noProof/>
        </w:rPr>
        <w:t>22.</w:t>
      </w:r>
      <w:r w:rsidRPr="00A85CC2">
        <w:rPr>
          <w:noProof/>
        </w:rPr>
        <w:tab/>
        <w:t>Rothenberger, M</w:t>
      </w:r>
      <w:r w:rsidR="00EF6B55">
        <w:rPr>
          <w:noProof/>
        </w:rPr>
        <w:t xml:space="preserve">. </w:t>
      </w:r>
      <w:r w:rsidRPr="00A85CC2">
        <w:rPr>
          <w:noProof/>
        </w:rPr>
        <w:t xml:space="preserve">K. </w:t>
      </w:r>
      <w:r w:rsidR="009002E6" w:rsidRPr="009002E6">
        <w:rPr>
          <w:iCs/>
          <w:noProof/>
        </w:rPr>
        <w:t>et al.</w:t>
      </w:r>
      <w:r w:rsidRPr="00A85CC2">
        <w:rPr>
          <w:noProof/>
        </w:rPr>
        <w:t xml:space="preserve"> Large number of rebounding/founder HIV variants emerge from multifocal infection in lymphatic tissues after treatment interruption. </w:t>
      </w:r>
      <w:r w:rsidRPr="00A85CC2">
        <w:rPr>
          <w:i/>
          <w:iCs/>
          <w:noProof/>
        </w:rPr>
        <w:t>Proceedings of the National Academy of Sciences</w:t>
      </w:r>
      <w:r w:rsidRPr="00A85CC2">
        <w:rPr>
          <w:noProof/>
        </w:rPr>
        <w:t xml:space="preserve">. </w:t>
      </w:r>
      <w:r w:rsidRPr="00A85CC2">
        <w:rPr>
          <w:b/>
          <w:bCs/>
          <w:noProof/>
        </w:rPr>
        <w:t>112</w:t>
      </w:r>
      <w:r w:rsidRPr="00A85CC2">
        <w:rPr>
          <w:noProof/>
        </w:rPr>
        <w:t xml:space="preserve"> (10), E1126–E1134 (2015).</w:t>
      </w:r>
    </w:p>
    <w:p w14:paraId="7F641A9F" w14:textId="2864FA43" w:rsidR="00A85CC2" w:rsidRPr="00A85CC2" w:rsidRDefault="00A85CC2" w:rsidP="00E21748">
      <w:pPr>
        <w:ind w:left="640" w:hanging="640"/>
        <w:rPr>
          <w:noProof/>
        </w:rPr>
      </w:pPr>
      <w:r w:rsidRPr="00A85CC2">
        <w:rPr>
          <w:noProof/>
        </w:rPr>
        <w:t>23.</w:t>
      </w:r>
      <w:r w:rsidRPr="00A85CC2">
        <w:rPr>
          <w:noProof/>
        </w:rPr>
        <w:tab/>
        <w:t xml:space="preserve">Rongvaux, A. </w:t>
      </w:r>
      <w:r w:rsidR="009002E6" w:rsidRPr="009002E6">
        <w:rPr>
          <w:iCs/>
          <w:noProof/>
        </w:rPr>
        <w:t>et al.</w:t>
      </w:r>
      <w:r w:rsidRPr="00A85CC2">
        <w:rPr>
          <w:noProof/>
        </w:rPr>
        <w:t xml:space="preserve"> Human Hemato-Lymphoid System Mice: Current Use and Future Potential for Medicine. </w:t>
      </w:r>
      <w:r w:rsidRPr="00A85CC2">
        <w:rPr>
          <w:i/>
          <w:iCs/>
          <w:noProof/>
        </w:rPr>
        <w:t>Annual Review of Immunology</w:t>
      </w:r>
      <w:r w:rsidRPr="00A85CC2">
        <w:rPr>
          <w:noProof/>
        </w:rPr>
        <w:t xml:space="preserve">. </w:t>
      </w:r>
      <w:r w:rsidRPr="00A85CC2">
        <w:rPr>
          <w:b/>
          <w:bCs/>
          <w:noProof/>
        </w:rPr>
        <w:t>31</w:t>
      </w:r>
      <w:r w:rsidRPr="00A85CC2">
        <w:rPr>
          <w:noProof/>
        </w:rPr>
        <w:t xml:space="preserve"> (1), 635–674 (2013).</w:t>
      </w:r>
    </w:p>
    <w:p w14:paraId="3E5E309C" w14:textId="7352D1BD" w:rsidR="00A85CC2" w:rsidRPr="00A85CC2" w:rsidRDefault="00A85CC2" w:rsidP="00E21748">
      <w:pPr>
        <w:ind w:left="640" w:hanging="640"/>
        <w:rPr>
          <w:noProof/>
        </w:rPr>
      </w:pPr>
      <w:r w:rsidRPr="00A85CC2">
        <w:rPr>
          <w:noProof/>
        </w:rPr>
        <w:lastRenderedPageBreak/>
        <w:t>24.</w:t>
      </w:r>
      <w:r w:rsidRPr="00A85CC2">
        <w:rPr>
          <w:noProof/>
        </w:rPr>
        <w:tab/>
        <w:t>Walsh, N</w:t>
      </w:r>
      <w:r w:rsidR="00EF6B55">
        <w:rPr>
          <w:noProof/>
        </w:rPr>
        <w:t xml:space="preserve">. </w:t>
      </w:r>
      <w:r w:rsidRPr="00A85CC2">
        <w:rPr>
          <w:noProof/>
        </w:rPr>
        <w:t xml:space="preserve">C. </w:t>
      </w:r>
      <w:r w:rsidR="009002E6" w:rsidRPr="009002E6">
        <w:rPr>
          <w:iCs/>
          <w:noProof/>
        </w:rPr>
        <w:t>et al.</w:t>
      </w:r>
      <w:r w:rsidRPr="00A85CC2">
        <w:rPr>
          <w:noProof/>
        </w:rPr>
        <w:t xml:space="preserve"> Humanized Mouse Models of Clinical Disease. </w:t>
      </w:r>
      <w:r w:rsidRPr="00A85CC2">
        <w:rPr>
          <w:i/>
          <w:iCs/>
          <w:noProof/>
        </w:rPr>
        <w:t>Annual Review of Pathology: Mechanisms of Disease</w:t>
      </w:r>
      <w:r w:rsidRPr="00A85CC2">
        <w:rPr>
          <w:noProof/>
        </w:rPr>
        <w:t xml:space="preserve">. </w:t>
      </w:r>
      <w:r w:rsidRPr="00A85CC2">
        <w:rPr>
          <w:b/>
          <w:bCs/>
          <w:noProof/>
        </w:rPr>
        <w:t>12</w:t>
      </w:r>
      <w:r w:rsidRPr="00A85CC2">
        <w:rPr>
          <w:noProof/>
        </w:rPr>
        <w:t xml:space="preserve"> (1), 187–215 (2017).</w:t>
      </w:r>
    </w:p>
    <w:p w14:paraId="3E7BAB69" w14:textId="39FD9B0D" w:rsidR="00A85CC2" w:rsidRPr="00A85CC2" w:rsidRDefault="00A85CC2" w:rsidP="00E21748">
      <w:pPr>
        <w:ind w:left="640" w:hanging="640"/>
        <w:rPr>
          <w:noProof/>
        </w:rPr>
      </w:pPr>
      <w:r w:rsidRPr="00A85CC2">
        <w:rPr>
          <w:noProof/>
        </w:rPr>
        <w:t>25.</w:t>
      </w:r>
      <w:r w:rsidRPr="00A85CC2">
        <w:rPr>
          <w:noProof/>
        </w:rPr>
        <w:tab/>
        <w:t>Denton, P</w:t>
      </w:r>
      <w:r w:rsidR="00EF6B55">
        <w:rPr>
          <w:noProof/>
        </w:rPr>
        <w:t xml:space="preserve">. </w:t>
      </w:r>
      <w:r w:rsidRPr="00A85CC2">
        <w:rPr>
          <w:noProof/>
        </w:rPr>
        <w:t>W., García, J</w:t>
      </w:r>
      <w:r w:rsidR="00EF6B55">
        <w:rPr>
          <w:noProof/>
        </w:rPr>
        <w:t xml:space="preserve">. </w:t>
      </w:r>
      <w:r w:rsidRPr="00A85CC2">
        <w:rPr>
          <w:noProof/>
        </w:rPr>
        <w:t xml:space="preserve">V. Humanized mouse models of HIV infection. </w:t>
      </w:r>
      <w:r w:rsidRPr="00A85CC2">
        <w:rPr>
          <w:i/>
          <w:iCs/>
          <w:noProof/>
        </w:rPr>
        <w:t xml:space="preserve">AIDS </w:t>
      </w:r>
      <w:r w:rsidR="00EF6B55" w:rsidRPr="00A85CC2">
        <w:rPr>
          <w:i/>
          <w:iCs/>
          <w:noProof/>
        </w:rPr>
        <w:t>Reviews</w:t>
      </w:r>
      <w:r w:rsidRPr="00A85CC2">
        <w:rPr>
          <w:noProof/>
        </w:rPr>
        <w:t xml:space="preserve">. </w:t>
      </w:r>
      <w:r w:rsidRPr="00A85CC2">
        <w:rPr>
          <w:b/>
          <w:bCs/>
          <w:noProof/>
        </w:rPr>
        <w:t>13</w:t>
      </w:r>
      <w:r w:rsidRPr="00A85CC2">
        <w:rPr>
          <w:noProof/>
        </w:rPr>
        <w:t xml:space="preserve"> (3), 135–48, at &lt;http://www.ncbi.nlm.nih.gov/pubmed/21799532&gt; (2011).</w:t>
      </w:r>
    </w:p>
    <w:p w14:paraId="296BB3B6" w14:textId="6A7103C5" w:rsidR="00A85CC2" w:rsidRPr="00A85CC2" w:rsidRDefault="00A85CC2" w:rsidP="00E21748">
      <w:pPr>
        <w:ind w:left="640" w:hanging="640"/>
        <w:rPr>
          <w:noProof/>
        </w:rPr>
      </w:pPr>
      <w:r w:rsidRPr="00A85CC2">
        <w:rPr>
          <w:noProof/>
        </w:rPr>
        <w:t>26.</w:t>
      </w:r>
      <w:r w:rsidRPr="00A85CC2">
        <w:rPr>
          <w:noProof/>
        </w:rPr>
        <w:tab/>
        <w:t>Denton, P</w:t>
      </w:r>
      <w:r w:rsidR="00EF6B55">
        <w:rPr>
          <w:noProof/>
        </w:rPr>
        <w:t xml:space="preserve">. </w:t>
      </w:r>
      <w:r w:rsidRPr="00A85CC2">
        <w:rPr>
          <w:noProof/>
        </w:rPr>
        <w:t>W., Søgaard, O</w:t>
      </w:r>
      <w:r w:rsidR="00EF6B55">
        <w:rPr>
          <w:noProof/>
        </w:rPr>
        <w:t xml:space="preserve">. </w:t>
      </w:r>
      <w:r w:rsidRPr="00A85CC2">
        <w:rPr>
          <w:noProof/>
        </w:rPr>
        <w:t xml:space="preserve">S., Tolstrup, M. Using animal models to overcome temporal, spatial and combinatorial challenges in HIV persistence research. </w:t>
      </w:r>
      <w:r w:rsidRPr="00A85CC2">
        <w:rPr>
          <w:i/>
          <w:iCs/>
          <w:noProof/>
        </w:rPr>
        <w:t>Journal of Translational Medicine</w:t>
      </w:r>
      <w:r w:rsidRPr="00A85CC2">
        <w:rPr>
          <w:noProof/>
        </w:rPr>
        <w:t xml:space="preserve">. </w:t>
      </w:r>
      <w:r w:rsidRPr="00A85CC2">
        <w:rPr>
          <w:b/>
          <w:bCs/>
          <w:noProof/>
        </w:rPr>
        <w:t>14</w:t>
      </w:r>
      <w:r w:rsidRPr="00A85CC2">
        <w:rPr>
          <w:noProof/>
        </w:rPr>
        <w:t xml:space="preserve"> (1) (2016).</w:t>
      </w:r>
    </w:p>
    <w:p w14:paraId="23DA1B6B" w14:textId="52866C1C" w:rsidR="00A85CC2" w:rsidRPr="00A85CC2" w:rsidRDefault="00A85CC2" w:rsidP="00E21748">
      <w:pPr>
        <w:ind w:left="640" w:hanging="640"/>
        <w:rPr>
          <w:noProof/>
        </w:rPr>
      </w:pPr>
      <w:r w:rsidRPr="00A85CC2">
        <w:rPr>
          <w:noProof/>
        </w:rPr>
        <w:t>27.</w:t>
      </w:r>
      <w:r w:rsidRPr="00A85CC2">
        <w:rPr>
          <w:noProof/>
        </w:rPr>
        <w:tab/>
        <w:t>Andersen, A</w:t>
      </w:r>
      <w:r w:rsidR="00EF6B55">
        <w:rPr>
          <w:noProof/>
        </w:rPr>
        <w:t xml:space="preserve">. </w:t>
      </w:r>
      <w:r w:rsidRPr="00A85CC2">
        <w:rPr>
          <w:noProof/>
        </w:rPr>
        <w:t>H</w:t>
      </w:r>
      <w:r w:rsidR="00EF6B55">
        <w:rPr>
          <w:noProof/>
        </w:rPr>
        <w:t xml:space="preserve">. </w:t>
      </w:r>
      <w:r w:rsidRPr="00A85CC2">
        <w:rPr>
          <w:noProof/>
        </w:rPr>
        <w:t xml:space="preserve">F. </w:t>
      </w:r>
      <w:r w:rsidR="009002E6" w:rsidRPr="009002E6">
        <w:rPr>
          <w:iCs/>
          <w:noProof/>
        </w:rPr>
        <w:t>et al.</w:t>
      </w:r>
      <w:r w:rsidRPr="00A85CC2">
        <w:rPr>
          <w:noProof/>
        </w:rPr>
        <w:t xml:space="preserve"> cAIMP administration in humanized mice induces a chimerization-level-dependent STING response. </w:t>
      </w:r>
      <w:r w:rsidRPr="00A85CC2">
        <w:rPr>
          <w:i/>
          <w:iCs/>
          <w:noProof/>
        </w:rPr>
        <w:t>Immunology</w:t>
      </w:r>
      <w:r w:rsidRPr="00A85CC2">
        <w:rPr>
          <w:noProof/>
        </w:rPr>
        <w:t xml:space="preserve">. </w:t>
      </w:r>
      <w:r w:rsidRPr="00A85CC2">
        <w:rPr>
          <w:b/>
          <w:bCs/>
          <w:noProof/>
        </w:rPr>
        <w:t>157</w:t>
      </w:r>
      <w:r w:rsidRPr="00A85CC2">
        <w:rPr>
          <w:noProof/>
        </w:rPr>
        <w:t xml:space="preserve"> (2), 163–172 (2019).</w:t>
      </w:r>
    </w:p>
    <w:p w14:paraId="015AAA99" w14:textId="17DCCF47" w:rsidR="00A85CC2" w:rsidRPr="00A85CC2" w:rsidRDefault="00A85CC2" w:rsidP="00E21748">
      <w:pPr>
        <w:ind w:left="640" w:hanging="640"/>
        <w:rPr>
          <w:noProof/>
        </w:rPr>
      </w:pPr>
      <w:r w:rsidRPr="00A85CC2">
        <w:rPr>
          <w:noProof/>
        </w:rPr>
        <w:t>28.</w:t>
      </w:r>
      <w:r w:rsidRPr="00A85CC2">
        <w:rPr>
          <w:noProof/>
        </w:rPr>
        <w:tab/>
        <w:t xml:space="preserve">Tanaka, S. </w:t>
      </w:r>
      <w:r w:rsidR="009002E6" w:rsidRPr="009002E6">
        <w:rPr>
          <w:iCs/>
          <w:noProof/>
        </w:rPr>
        <w:t>et al.</w:t>
      </w:r>
      <w:r w:rsidRPr="00A85CC2">
        <w:rPr>
          <w:noProof/>
        </w:rPr>
        <w:t xml:space="preserve"> Development of Mature and Functional Human Myeloid Subsets in Hematopoietic Stem Cell-Engrafted NOD/SCID/IL2r KO Mice. </w:t>
      </w:r>
      <w:r w:rsidRPr="00A85CC2">
        <w:rPr>
          <w:i/>
          <w:iCs/>
          <w:noProof/>
        </w:rPr>
        <w:t>The Journal of Immunology</w:t>
      </w:r>
      <w:r w:rsidRPr="00A85CC2">
        <w:rPr>
          <w:noProof/>
        </w:rPr>
        <w:t xml:space="preserve">. </w:t>
      </w:r>
      <w:r w:rsidRPr="00A85CC2">
        <w:rPr>
          <w:b/>
          <w:bCs/>
          <w:noProof/>
        </w:rPr>
        <w:t>188</w:t>
      </w:r>
      <w:r w:rsidRPr="00A85CC2">
        <w:rPr>
          <w:noProof/>
        </w:rPr>
        <w:t xml:space="preserve"> (12), 6145–6155 (2012).</w:t>
      </w:r>
    </w:p>
    <w:p w14:paraId="0E4F5114" w14:textId="4BF61E47" w:rsidR="00A85CC2" w:rsidRPr="00A85CC2" w:rsidRDefault="00A85CC2" w:rsidP="00E21748">
      <w:pPr>
        <w:ind w:left="640" w:hanging="640"/>
        <w:rPr>
          <w:noProof/>
        </w:rPr>
      </w:pPr>
      <w:r w:rsidRPr="00A85CC2">
        <w:rPr>
          <w:noProof/>
        </w:rPr>
        <w:t>29.</w:t>
      </w:r>
      <w:r w:rsidRPr="00A85CC2">
        <w:rPr>
          <w:noProof/>
        </w:rPr>
        <w:tab/>
        <w:t>Quan, P</w:t>
      </w:r>
      <w:r w:rsidR="00EF6B55">
        <w:rPr>
          <w:noProof/>
        </w:rPr>
        <w:t xml:space="preserve">. </w:t>
      </w:r>
      <w:r w:rsidRPr="00A85CC2">
        <w:rPr>
          <w:noProof/>
        </w:rPr>
        <w:t xml:space="preserve">L., Sauzade, M., Brouzes, E. DPCR: A technology review. </w:t>
      </w:r>
      <w:r w:rsidRPr="00A85CC2">
        <w:rPr>
          <w:i/>
          <w:iCs/>
          <w:noProof/>
        </w:rPr>
        <w:t>Sensors (Switzerland)</w:t>
      </w:r>
      <w:r w:rsidRPr="00A85CC2">
        <w:rPr>
          <w:noProof/>
        </w:rPr>
        <w:t xml:space="preserve">. </w:t>
      </w:r>
      <w:r w:rsidRPr="00A85CC2">
        <w:rPr>
          <w:b/>
          <w:bCs/>
          <w:noProof/>
        </w:rPr>
        <w:t>18</w:t>
      </w:r>
      <w:r w:rsidRPr="00A85CC2">
        <w:rPr>
          <w:noProof/>
        </w:rPr>
        <w:t xml:space="preserve"> (4) (2018).</w:t>
      </w:r>
    </w:p>
    <w:p w14:paraId="13E6272A" w14:textId="092B0520" w:rsidR="00A85CC2" w:rsidRPr="00A85CC2" w:rsidRDefault="00A85CC2" w:rsidP="00E21748">
      <w:pPr>
        <w:ind w:left="640" w:hanging="640"/>
        <w:rPr>
          <w:noProof/>
        </w:rPr>
      </w:pPr>
      <w:r w:rsidRPr="00A85CC2">
        <w:rPr>
          <w:noProof/>
        </w:rPr>
        <w:t>30.</w:t>
      </w:r>
      <w:r w:rsidRPr="00A85CC2">
        <w:rPr>
          <w:noProof/>
        </w:rPr>
        <w:tab/>
        <w:t>Denton, P</w:t>
      </w:r>
      <w:r w:rsidR="00EF6B55">
        <w:rPr>
          <w:noProof/>
        </w:rPr>
        <w:t xml:space="preserve">. </w:t>
      </w:r>
      <w:r w:rsidRPr="00A85CC2">
        <w:rPr>
          <w:noProof/>
        </w:rPr>
        <w:t xml:space="preserve">W. </w:t>
      </w:r>
      <w:r w:rsidR="009002E6" w:rsidRPr="009002E6">
        <w:rPr>
          <w:iCs/>
          <w:noProof/>
        </w:rPr>
        <w:t>et al.</w:t>
      </w:r>
      <w:r w:rsidRPr="00A85CC2">
        <w:rPr>
          <w:noProof/>
        </w:rPr>
        <w:t xml:space="preserve"> Generation of HIV Latency in Humanized BLT Mice. </w:t>
      </w:r>
      <w:r w:rsidRPr="00A85CC2">
        <w:rPr>
          <w:i/>
          <w:iCs/>
          <w:noProof/>
        </w:rPr>
        <w:t>Journal of Virology</w:t>
      </w:r>
      <w:r w:rsidRPr="00A85CC2">
        <w:rPr>
          <w:noProof/>
        </w:rPr>
        <w:t xml:space="preserve">. </w:t>
      </w:r>
      <w:r w:rsidRPr="00A85CC2">
        <w:rPr>
          <w:b/>
          <w:bCs/>
          <w:noProof/>
        </w:rPr>
        <w:t>86</w:t>
      </w:r>
      <w:r w:rsidRPr="00A85CC2">
        <w:rPr>
          <w:noProof/>
        </w:rPr>
        <w:t xml:space="preserve"> (1), 630–634 (2012).</w:t>
      </w:r>
    </w:p>
    <w:p w14:paraId="7F792C64" w14:textId="375C6289" w:rsidR="00A85CC2" w:rsidRPr="00A85CC2" w:rsidRDefault="00A85CC2" w:rsidP="00E21748">
      <w:pPr>
        <w:ind w:left="640" w:hanging="640"/>
        <w:rPr>
          <w:noProof/>
        </w:rPr>
      </w:pPr>
      <w:r w:rsidRPr="00A85CC2">
        <w:rPr>
          <w:noProof/>
        </w:rPr>
        <w:t>31.</w:t>
      </w:r>
      <w:r w:rsidRPr="00A85CC2">
        <w:rPr>
          <w:noProof/>
        </w:rPr>
        <w:tab/>
        <w:t xml:space="preserve">Li, Y. </w:t>
      </w:r>
      <w:r w:rsidR="009002E6" w:rsidRPr="009002E6">
        <w:rPr>
          <w:iCs/>
          <w:noProof/>
        </w:rPr>
        <w:t>et al.</w:t>
      </w:r>
      <w:r w:rsidRPr="00A85CC2">
        <w:rPr>
          <w:noProof/>
        </w:rPr>
        <w:t xml:space="preserve"> A human immune system mouse model with robust lymph node development. </w:t>
      </w:r>
      <w:r w:rsidRPr="00A85CC2">
        <w:rPr>
          <w:i/>
          <w:iCs/>
          <w:noProof/>
        </w:rPr>
        <w:t>Nature Methods</w:t>
      </w:r>
      <w:r w:rsidRPr="00A85CC2">
        <w:rPr>
          <w:noProof/>
        </w:rPr>
        <w:t xml:space="preserve">. </w:t>
      </w:r>
      <w:r w:rsidRPr="00A85CC2">
        <w:rPr>
          <w:b/>
          <w:bCs/>
          <w:noProof/>
        </w:rPr>
        <w:t>15</w:t>
      </w:r>
      <w:r w:rsidRPr="00A85CC2">
        <w:rPr>
          <w:noProof/>
        </w:rPr>
        <w:t xml:space="preserve"> (8), 623–630 (2018).</w:t>
      </w:r>
    </w:p>
    <w:p w14:paraId="66A8EE60" w14:textId="214DCFB3" w:rsidR="00A85CC2" w:rsidRPr="00A85CC2" w:rsidRDefault="00A85CC2" w:rsidP="00E21748">
      <w:pPr>
        <w:ind w:left="640" w:hanging="640"/>
        <w:rPr>
          <w:noProof/>
        </w:rPr>
      </w:pPr>
      <w:r w:rsidRPr="00A85CC2">
        <w:rPr>
          <w:noProof/>
        </w:rPr>
        <w:t>32.</w:t>
      </w:r>
      <w:r w:rsidRPr="00A85CC2">
        <w:rPr>
          <w:noProof/>
        </w:rPr>
        <w:tab/>
        <w:t xml:space="preserve">Satheesan, S. </w:t>
      </w:r>
      <w:r w:rsidR="009002E6" w:rsidRPr="009002E6">
        <w:rPr>
          <w:iCs/>
          <w:noProof/>
        </w:rPr>
        <w:t>et al.</w:t>
      </w:r>
      <w:r w:rsidRPr="00A85CC2">
        <w:rPr>
          <w:noProof/>
        </w:rPr>
        <w:t xml:space="preserve"> HIV Replication and Latency in a Humanized NSG Mouse Model during Suppressive Oral Combinational Antiretroviral Therapy. </w:t>
      </w:r>
      <w:r w:rsidRPr="00A85CC2">
        <w:rPr>
          <w:i/>
          <w:iCs/>
          <w:noProof/>
        </w:rPr>
        <w:t>Journal of Virology</w:t>
      </w:r>
      <w:r w:rsidRPr="00A85CC2">
        <w:rPr>
          <w:noProof/>
        </w:rPr>
        <w:t xml:space="preserve">. </w:t>
      </w:r>
      <w:r w:rsidRPr="00A85CC2">
        <w:rPr>
          <w:b/>
          <w:bCs/>
          <w:noProof/>
        </w:rPr>
        <w:t>92</w:t>
      </w:r>
      <w:r w:rsidRPr="00A85CC2">
        <w:rPr>
          <w:noProof/>
        </w:rPr>
        <w:t xml:space="preserve"> (7), e02118</w:t>
      </w:r>
      <w:r w:rsidR="00EF6B55" w:rsidRPr="00960CA7">
        <w:rPr>
          <w:noProof/>
        </w:rPr>
        <w:t>–</w:t>
      </w:r>
      <w:r w:rsidRPr="00A85CC2">
        <w:rPr>
          <w:noProof/>
        </w:rPr>
        <w:t>17 (2018).</w:t>
      </w:r>
    </w:p>
    <w:p w14:paraId="79CDCCA3" w14:textId="5C5EC7A3" w:rsidR="00A85CC2" w:rsidRPr="00A85CC2" w:rsidRDefault="00A85CC2" w:rsidP="00E21748">
      <w:pPr>
        <w:ind w:left="640" w:hanging="640"/>
        <w:rPr>
          <w:noProof/>
        </w:rPr>
      </w:pPr>
      <w:r w:rsidRPr="00A85CC2">
        <w:rPr>
          <w:noProof/>
        </w:rPr>
        <w:t>33.</w:t>
      </w:r>
      <w:r w:rsidRPr="00A85CC2">
        <w:rPr>
          <w:noProof/>
        </w:rPr>
        <w:tab/>
        <w:t>Bachmanov, A</w:t>
      </w:r>
      <w:r w:rsidR="00EF6B55">
        <w:rPr>
          <w:noProof/>
        </w:rPr>
        <w:t xml:space="preserve">. </w:t>
      </w:r>
      <w:r w:rsidRPr="00A85CC2">
        <w:rPr>
          <w:noProof/>
        </w:rPr>
        <w:t>A., Reed, D</w:t>
      </w:r>
      <w:r w:rsidR="00EF6B55">
        <w:rPr>
          <w:noProof/>
        </w:rPr>
        <w:t xml:space="preserve">. </w:t>
      </w:r>
      <w:r w:rsidRPr="00A85CC2">
        <w:rPr>
          <w:noProof/>
        </w:rPr>
        <w:t>R., Beauchamp, G</w:t>
      </w:r>
      <w:r w:rsidR="00EF6B55">
        <w:rPr>
          <w:noProof/>
        </w:rPr>
        <w:t xml:space="preserve">. </w:t>
      </w:r>
      <w:r w:rsidRPr="00A85CC2">
        <w:rPr>
          <w:noProof/>
        </w:rPr>
        <w:t>K., Tordoff, M</w:t>
      </w:r>
      <w:r w:rsidR="00EF6B55">
        <w:rPr>
          <w:noProof/>
        </w:rPr>
        <w:t xml:space="preserve">. </w:t>
      </w:r>
      <w:r w:rsidRPr="00A85CC2">
        <w:rPr>
          <w:noProof/>
        </w:rPr>
        <w:t xml:space="preserve">G. Food intake, water intake, and drinking spout side preference of 28 mouse strains. </w:t>
      </w:r>
      <w:r w:rsidRPr="00A85CC2">
        <w:rPr>
          <w:i/>
          <w:iCs/>
          <w:noProof/>
        </w:rPr>
        <w:t xml:space="preserve">Behavior </w:t>
      </w:r>
      <w:r w:rsidR="00EF6B55" w:rsidRPr="00A85CC2">
        <w:rPr>
          <w:i/>
          <w:iCs/>
          <w:noProof/>
        </w:rPr>
        <w:t>Genetics</w:t>
      </w:r>
      <w:r w:rsidRPr="00A85CC2">
        <w:rPr>
          <w:noProof/>
        </w:rPr>
        <w:t xml:space="preserve">. </w:t>
      </w:r>
      <w:r w:rsidRPr="00A85CC2">
        <w:rPr>
          <w:b/>
          <w:bCs/>
          <w:noProof/>
        </w:rPr>
        <w:t>32</w:t>
      </w:r>
      <w:r w:rsidRPr="00A85CC2">
        <w:rPr>
          <w:noProof/>
        </w:rPr>
        <w:t xml:space="preserve"> (6), 435–</w:t>
      </w:r>
      <w:r w:rsidR="009002E6">
        <w:rPr>
          <w:noProof/>
        </w:rPr>
        <w:t>4</w:t>
      </w:r>
      <w:r w:rsidRPr="00A85CC2">
        <w:rPr>
          <w:noProof/>
        </w:rPr>
        <w:t>43, at &lt;http://www.ncbi.nlm.nih.gov/pubmed/12467341&gt; (2002).</w:t>
      </w:r>
    </w:p>
    <w:p w14:paraId="67307B67" w14:textId="613E5DD9" w:rsidR="00A85CC2" w:rsidRPr="00A85CC2" w:rsidRDefault="00A85CC2" w:rsidP="00E21748">
      <w:pPr>
        <w:ind w:left="640" w:hanging="640"/>
        <w:rPr>
          <w:noProof/>
        </w:rPr>
      </w:pPr>
      <w:r w:rsidRPr="00A85CC2">
        <w:rPr>
          <w:noProof/>
        </w:rPr>
        <w:t>34.</w:t>
      </w:r>
      <w:r w:rsidRPr="00A85CC2">
        <w:rPr>
          <w:noProof/>
        </w:rPr>
        <w:tab/>
        <w:t>Shultz, L</w:t>
      </w:r>
      <w:r w:rsidR="00EF6B55">
        <w:rPr>
          <w:noProof/>
        </w:rPr>
        <w:t xml:space="preserve">. </w:t>
      </w:r>
      <w:r w:rsidRPr="00A85CC2">
        <w:rPr>
          <w:noProof/>
        </w:rPr>
        <w:t xml:space="preserve">D. </w:t>
      </w:r>
      <w:r w:rsidR="009002E6" w:rsidRPr="009002E6">
        <w:rPr>
          <w:iCs/>
          <w:noProof/>
        </w:rPr>
        <w:t>et al.</w:t>
      </w:r>
      <w:r w:rsidRPr="00A85CC2">
        <w:rPr>
          <w:noProof/>
        </w:rPr>
        <w:t xml:space="preserve"> Generation of functional human T-cell subsets with HLA-restricted immune responses in HLA class I expressing NOD/SCID/IL2r null humanized mice. </w:t>
      </w:r>
      <w:r w:rsidRPr="00A85CC2">
        <w:rPr>
          <w:i/>
          <w:iCs/>
          <w:noProof/>
        </w:rPr>
        <w:t>Proceedings of the National Academy of Sciences</w:t>
      </w:r>
      <w:r w:rsidRPr="00A85CC2">
        <w:rPr>
          <w:noProof/>
        </w:rPr>
        <w:t xml:space="preserve">. </w:t>
      </w:r>
      <w:r w:rsidRPr="00A85CC2">
        <w:rPr>
          <w:b/>
          <w:bCs/>
          <w:noProof/>
        </w:rPr>
        <w:t>107</w:t>
      </w:r>
      <w:r w:rsidRPr="00A85CC2">
        <w:rPr>
          <w:noProof/>
        </w:rPr>
        <w:t xml:space="preserve"> (29), 13022–13027 (2010).</w:t>
      </w:r>
    </w:p>
    <w:p w14:paraId="49FB17BA" w14:textId="7E1EC430" w:rsidR="00A85CC2" w:rsidRPr="00A85CC2" w:rsidRDefault="00A85CC2" w:rsidP="00E21748">
      <w:pPr>
        <w:ind w:left="640" w:hanging="640"/>
        <w:rPr>
          <w:noProof/>
        </w:rPr>
      </w:pPr>
      <w:r w:rsidRPr="00A85CC2">
        <w:rPr>
          <w:noProof/>
        </w:rPr>
        <w:t>35.</w:t>
      </w:r>
      <w:r w:rsidRPr="00A85CC2">
        <w:rPr>
          <w:noProof/>
        </w:rPr>
        <w:tab/>
        <w:t xml:space="preserve">Willinger, T. </w:t>
      </w:r>
      <w:r w:rsidR="009002E6" w:rsidRPr="009002E6">
        <w:rPr>
          <w:iCs/>
          <w:noProof/>
        </w:rPr>
        <w:t>et al.</w:t>
      </w:r>
      <w:r w:rsidRPr="00A85CC2">
        <w:rPr>
          <w:noProof/>
        </w:rPr>
        <w:t xml:space="preserve"> Human IL-3/GM-CSF knock-in mice support human alveolar macrophage development and human immune responses in the lung. </w:t>
      </w:r>
      <w:r w:rsidRPr="00A85CC2">
        <w:rPr>
          <w:i/>
          <w:iCs/>
          <w:noProof/>
        </w:rPr>
        <w:t>Proceedings of the National Academy of Sciences</w:t>
      </w:r>
      <w:r w:rsidRPr="00A85CC2">
        <w:rPr>
          <w:noProof/>
        </w:rPr>
        <w:t xml:space="preserve">. </w:t>
      </w:r>
      <w:r w:rsidRPr="00A85CC2">
        <w:rPr>
          <w:b/>
          <w:bCs/>
          <w:noProof/>
        </w:rPr>
        <w:t>108</w:t>
      </w:r>
      <w:r w:rsidRPr="00A85CC2">
        <w:rPr>
          <w:noProof/>
        </w:rPr>
        <w:t xml:space="preserve"> (6), 2390–2395 (2011).</w:t>
      </w:r>
    </w:p>
    <w:p w14:paraId="40CA1755" w14:textId="68BCE069" w:rsidR="00A85CC2" w:rsidRPr="00A85CC2" w:rsidRDefault="00A85CC2" w:rsidP="00E21748">
      <w:pPr>
        <w:ind w:left="640" w:hanging="640"/>
        <w:rPr>
          <w:noProof/>
        </w:rPr>
      </w:pPr>
      <w:r w:rsidRPr="00A85CC2">
        <w:rPr>
          <w:noProof/>
        </w:rPr>
        <w:t>36.</w:t>
      </w:r>
      <w:r w:rsidRPr="00A85CC2">
        <w:rPr>
          <w:noProof/>
        </w:rPr>
        <w:tab/>
        <w:t xml:space="preserve">Hanazawa, A. </w:t>
      </w:r>
      <w:r w:rsidR="009002E6" w:rsidRPr="009002E6">
        <w:rPr>
          <w:iCs/>
          <w:noProof/>
        </w:rPr>
        <w:t>et al.</w:t>
      </w:r>
      <w:r w:rsidRPr="00A85CC2">
        <w:rPr>
          <w:noProof/>
        </w:rPr>
        <w:t xml:space="preserve"> Generation of human immunosuppressive myeloid cell populations in human interleukin-6 transgenic NOG mice. </w:t>
      </w:r>
      <w:r w:rsidRPr="00A85CC2">
        <w:rPr>
          <w:i/>
          <w:iCs/>
          <w:noProof/>
        </w:rPr>
        <w:t>Frontiers in Immunology</w:t>
      </w:r>
      <w:r w:rsidRPr="00A85CC2">
        <w:rPr>
          <w:noProof/>
        </w:rPr>
        <w:t xml:space="preserve">. </w:t>
      </w:r>
      <w:r w:rsidRPr="00A85CC2">
        <w:rPr>
          <w:b/>
          <w:bCs/>
          <w:noProof/>
        </w:rPr>
        <w:t>9</w:t>
      </w:r>
      <w:r w:rsidRPr="00A85CC2">
        <w:rPr>
          <w:noProof/>
        </w:rPr>
        <w:t xml:space="preserve"> (FEB</w:t>
      </w:r>
      <w:r w:rsidR="009002E6">
        <w:rPr>
          <w:noProof/>
        </w:rPr>
        <w:t>)</w:t>
      </w:r>
      <w:r w:rsidRPr="00A85CC2">
        <w:rPr>
          <w:noProof/>
        </w:rPr>
        <w:t xml:space="preserve"> (2018).</w:t>
      </w:r>
    </w:p>
    <w:p w14:paraId="23EDECC6" w14:textId="414660E7" w:rsidR="00A85CC2" w:rsidRPr="00A85CC2" w:rsidRDefault="00A85CC2" w:rsidP="00E21748">
      <w:pPr>
        <w:ind w:left="640" w:hanging="640"/>
        <w:rPr>
          <w:noProof/>
        </w:rPr>
      </w:pPr>
      <w:r w:rsidRPr="00A85CC2">
        <w:rPr>
          <w:noProof/>
        </w:rPr>
        <w:t>37.</w:t>
      </w:r>
      <w:r w:rsidRPr="00A85CC2">
        <w:rPr>
          <w:noProof/>
        </w:rPr>
        <w:tab/>
        <w:t>Huntington, N</w:t>
      </w:r>
      <w:r w:rsidR="00EF6B55">
        <w:rPr>
          <w:noProof/>
        </w:rPr>
        <w:t xml:space="preserve">. </w:t>
      </w:r>
      <w:r w:rsidRPr="00A85CC2">
        <w:rPr>
          <w:noProof/>
        </w:rPr>
        <w:t xml:space="preserve">D. </w:t>
      </w:r>
      <w:r w:rsidR="009002E6" w:rsidRPr="009002E6">
        <w:rPr>
          <w:iCs/>
          <w:noProof/>
        </w:rPr>
        <w:t>et al.</w:t>
      </w:r>
      <w:r w:rsidRPr="00A85CC2">
        <w:rPr>
          <w:noProof/>
        </w:rPr>
        <w:t xml:space="preserve"> IL-15 trans-presentation promotes human NK cell development and differentiation in vivo. </w:t>
      </w:r>
      <w:r w:rsidRPr="00A85CC2">
        <w:rPr>
          <w:i/>
          <w:iCs/>
          <w:noProof/>
        </w:rPr>
        <w:t>The Journal of Experimental Medicine</w:t>
      </w:r>
      <w:r w:rsidRPr="00A85CC2">
        <w:rPr>
          <w:noProof/>
        </w:rPr>
        <w:t xml:space="preserve">. </w:t>
      </w:r>
      <w:r w:rsidRPr="00A85CC2">
        <w:rPr>
          <w:b/>
          <w:bCs/>
          <w:noProof/>
        </w:rPr>
        <w:t>206</w:t>
      </w:r>
      <w:r w:rsidRPr="00A85CC2">
        <w:rPr>
          <w:noProof/>
        </w:rPr>
        <w:t xml:space="preserve"> (1), 25–34 (2009).</w:t>
      </w:r>
    </w:p>
    <w:p w14:paraId="79A13A0C" w14:textId="590BC37D" w:rsidR="00A85CC2" w:rsidRPr="00A85CC2" w:rsidRDefault="00A85CC2" w:rsidP="00E21748">
      <w:pPr>
        <w:ind w:left="640" w:hanging="640"/>
        <w:rPr>
          <w:noProof/>
        </w:rPr>
      </w:pPr>
      <w:r w:rsidRPr="00A85CC2">
        <w:rPr>
          <w:noProof/>
        </w:rPr>
        <w:t>38.</w:t>
      </w:r>
      <w:r w:rsidRPr="00A85CC2">
        <w:rPr>
          <w:noProof/>
        </w:rPr>
        <w:tab/>
        <w:t xml:space="preserve">Rongvaux, A. </w:t>
      </w:r>
      <w:r w:rsidR="009002E6" w:rsidRPr="009002E6">
        <w:rPr>
          <w:iCs/>
          <w:noProof/>
        </w:rPr>
        <w:t>et al.</w:t>
      </w:r>
      <w:r w:rsidRPr="00A85CC2">
        <w:rPr>
          <w:noProof/>
        </w:rPr>
        <w:t xml:space="preserve"> Development and function of human innate immune cells in a humanized mouse model. </w:t>
      </w:r>
      <w:r w:rsidRPr="00A85CC2">
        <w:rPr>
          <w:i/>
          <w:iCs/>
          <w:noProof/>
        </w:rPr>
        <w:t>Nature Biotechnology</w:t>
      </w:r>
      <w:r w:rsidRPr="00A85CC2">
        <w:rPr>
          <w:noProof/>
        </w:rPr>
        <w:t xml:space="preserve">. </w:t>
      </w:r>
      <w:r w:rsidRPr="00A85CC2">
        <w:rPr>
          <w:b/>
          <w:bCs/>
          <w:noProof/>
        </w:rPr>
        <w:t>32</w:t>
      </w:r>
      <w:r w:rsidRPr="00A85CC2">
        <w:rPr>
          <w:noProof/>
        </w:rPr>
        <w:t xml:space="preserve"> (4), 364–372 (2014).</w:t>
      </w:r>
    </w:p>
    <w:p w14:paraId="626A41AB" w14:textId="40038EDD" w:rsidR="00C17BFF" w:rsidRPr="000D3624" w:rsidRDefault="00C17BFF" w:rsidP="00E21748">
      <w:pPr>
        <w:snapToGrid w:val="0"/>
        <w:contextualSpacing/>
        <w:rPr>
          <w:rFonts w:asciiTheme="minorHAnsi" w:hAnsiTheme="minorHAnsi" w:cstheme="minorHAnsi"/>
          <w:b/>
          <w:color w:val="808080"/>
        </w:rPr>
      </w:pPr>
    </w:p>
    <w:sectPr w:rsidR="00C17BFF" w:rsidRPr="000D3624" w:rsidSect="00E21748">
      <w:headerReference w:type="default" r:id="rId8"/>
      <w:footerReference w:type="first" r:id="rId9"/>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BD70E" w14:textId="77777777" w:rsidR="008D315C" w:rsidRDefault="008D315C" w:rsidP="00621C4E">
      <w:r>
        <w:separator/>
      </w:r>
    </w:p>
  </w:endnote>
  <w:endnote w:type="continuationSeparator" w:id="0">
    <w:p w14:paraId="7881AC41" w14:textId="77777777" w:rsidR="008D315C" w:rsidRDefault="008D315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8507BE" w:rsidRDefault="008507B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11D19" w14:textId="77777777" w:rsidR="008D315C" w:rsidRDefault="008D315C" w:rsidP="00621C4E">
      <w:r>
        <w:separator/>
      </w:r>
    </w:p>
  </w:footnote>
  <w:footnote w:type="continuationSeparator" w:id="0">
    <w:p w14:paraId="0E4D2107" w14:textId="77777777" w:rsidR="008D315C" w:rsidRDefault="008D315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8507BE" w:rsidRPr="006F06E4" w:rsidRDefault="008507B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A71B3"/>
    <w:multiLevelType w:val="multilevel"/>
    <w:tmpl w:val="02EC999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C0C90"/>
    <w:multiLevelType w:val="multilevel"/>
    <w:tmpl w:val="1F60227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6573F8"/>
    <w:multiLevelType w:val="multilevel"/>
    <w:tmpl w:val="98E4F51C"/>
    <w:lvl w:ilvl="0">
      <w:start w:val="9"/>
      <w:numFmt w:val="decimal"/>
      <w:lvlText w:val="%1"/>
      <w:lvlJc w:val="left"/>
      <w:pPr>
        <w:ind w:left="360" w:hanging="360"/>
      </w:pPr>
      <w:rPr>
        <w:rFonts w:hint="default"/>
        <w:b w:val="0"/>
      </w:rPr>
    </w:lvl>
    <w:lvl w:ilvl="1">
      <w:start w:val="1"/>
      <w:numFmt w:val="decimal"/>
      <w:lvlText w:val="%1.%2"/>
      <w:lvlJc w:val="left"/>
      <w:pPr>
        <w:ind w:left="2345"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CE1AFC"/>
    <w:multiLevelType w:val="multilevel"/>
    <w:tmpl w:val="8BC0CFAA"/>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5"/>
  </w:num>
  <w:num w:numId="4">
    <w:abstractNumId w:val="19"/>
  </w:num>
  <w:num w:numId="5">
    <w:abstractNumId w:val="12"/>
  </w:num>
  <w:num w:numId="6">
    <w:abstractNumId w:val="18"/>
  </w:num>
  <w:num w:numId="7">
    <w:abstractNumId w:val="0"/>
  </w:num>
  <w:num w:numId="8">
    <w:abstractNumId w:val="13"/>
  </w:num>
  <w:num w:numId="9">
    <w:abstractNumId w:val="14"/>
  </w:num>
  <w:num w:numId="10">
    <w:abstractNumId w:val="20"/>
  </w:num>
  <w:num w:numId="11">
    <w:abstractNumId w:val="25"/>
  </w:num>
  <w:num w:numId="12">
    <w:abstractNumId w:val="3"/>
  </w:num>
  <w:num w:numId="13">
    <w:abstractNumId w:val="23"/>
  </w:num>
  <w:num w:numId="14">
    <w:abstractNumId w:val="29"/>
  </w:num>
  <w:num w:numId="15">
    <w:abstractNumId w:val="15"/>
  </w:num>
  <w:num w:numId="16">
    <w:abstractNumId w:val="11"/>
  </w:num>
  <w:num w:numId="17">
    <w:abstractNumId w:val="24"/>
  </w:num>
  <w:num w:numId="18">
    <w:abstractNumId w:val="16"/>
  </w:num>
  <w:num w:numId="19">
    <w:abstractNumId w:val="27"/>
  </w:num>
  <w:num w:numId="20">
    <w:abstractNumId w:val="4"/>
  </w:num>
  <w:num w:numId="21">
    <w:abstractNumId w:val="28"/>
  </w:num>
  <w:num w:numId="22">
    <w:abstractNumId w:val="26"/>
  </w:num>
  <w:num w:numId="23">
    <w:abstractNumId w:val="17"/>
  </w:num>
  <w:num w:numId="24">
    <w:abstractNumId w:val="30"/>
  </w:num>
  <w:num w:numId="25">
    <w:abstractNumId w:val="10"/>
  </w:num>
  <w:num w:numId="26">
    <w:abstractNumId w:val="1"/>
  </w:num>
  <w:num w:numId="27">
    <w:abstractNumId w:val="8"/>
  </w:num>
  <w:num w:numId="28">
    <w:abstractNumId w:val="31"/>
  </w:num>
  <w:num w:numId="29">
    <w:abstractNumId w:val="2"/>
  </w:num>
  <w:num w:numId="30">
    <w:abstractNumId w:val="6"/>
  </w:num>
  <w:num w:numId="31">
    <w:abstractNumId w:val="9"/>
  </w:num>
  <w:num w:numId="32">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da-DK"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51B73"/>
    <w:rsid w:val="000575CF"/>
    <w:rsid w:val="00060ABE"/>
    <w:rsid w:val="00061A50"/>
    <w:rsid w:val="0006361B"/>
    <w:rsid w:val="00064104"/>
    <w:rsid w:val="00064F32"/>
    <w:rsid w:val="000652E3"/>
    <w:rsid w:val="00066025"/>
    <w:rsid w:val="00067A8F"/>
    <w:rsid w:val="000701D1"/>
    <w:rsid w:val="00080866"/>
    <w:rsid w:val="00080A20"/>
    <w:rsid w:val="00082796"/>
    <w:rsid w:val="00082DF4"/>
    <w:rsid w:val="00083277"/>
    <w:rsid w:val="00086FF5"/>
    <w:rsid w:val="00087C0A"/>
    <w:rsid w:val="00091788"/>
    <w:rsid w:val="00093BC4"/>
    <w:rsid w:val="000943E6"/>
    <w:rsid w:val="0009616E"/>
    <w:rsid w:val="00097929"/>
    <w:rsid w:val="000A1DBD"/>
    <w:rsid w:val="000A1E80"/>
    <w:rsid w:val="000A3B70"/>
    <w:rsid w:val="000A5153"/>
    <w:rsid w:val="000A726F"/>
    <w:rsid w:val="000B10AE"/>
    <w:rsid w:val="000B21E1"/>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3624"/>
    <w:rsid w:val="000D76E4"/>
    <w:rsid w:val="000E1338"/>
    <w:rsid w:val="000E3816"/>
    <w:rsid w:val="000E4F77"/>
    <w:rsid w:val="000F265C"/>
    <w:rsid w:val="000F3AFA"/>
    <w:rsid w:val="000F5712"/>
    <w:rsid w:val="000F6611"/>
    <w:rsid w:val="000F7575"/>
    <w:rsid w:val="000F7E22"/>
    <w:rsid w:val="00103398"/>
    <w:rsid w:val="00107554"/>
    <w:rsid w:val="001075E9"/>
    <w:rsid w:val="001104F3"/>
    <w:rsid w:val="00112EEB"/>
    <w:rsid w:val="00115336"/>
    <w:rsid w:val="001173FF"/>
    <w:rsid w:val="0012563A"/>
    <w:rsid w:val="001264DE"/>
    <w:rsid w:val="001313A7"/>
    <w:rsid w:val="0013276F"/>
    <w:rsid w:val="001342B5"/>
    <w:rsid w:val="0013621E"/>
    <w:rsid w:val="0013642E"/>
    <w:rsid w:val="00142EFE"/>
    <w:rsid w:val="0014385A"/>
    <w:rsid w:val="00152A23"/>
    <w:rsid w:val="00156B11"/>
    <w:rsid w:val="00162CB7"/>
    <w:rsid w:val="001665C9"/>
    <w:rsid w:val="00166F32"/>
    <w:rsid w:val="001718C0"/>
    <w:rsid w:val="00171E5B"/>
    <w:rsid w:val="00171F94"/>
    <w:rsid w:val="00175D4E"/>
    <w:rsid w:val="0017668A"/>
    <w:rsid w:val="001766FE"/>
    <w:rsid w:val="001771E7"/>
    <w:rsid w:val="00186F81"/>
    <w:rsid w:val="00190C14"/>
    <w:rsid w:val="001911FF"/>
    <w:rsid w:val="00192006"/>
    <w:rsid w:val="00192D53"/>
    <w:rsid w:val="00193180"/>
    <w:rsid w:val="0019530C"/>
    <w:rsid w:val="00196792"/>
    <w:rsid w:val="001A0725"/>
    <w:rsid w:val="001A5F22"/>
    <w:rsid w:val="001B0BDF"/>
    <w:rsid w:val="001B1519"/>
    <w:rsid w:val="001B2E2D"/>
    <w:rsid w:val="001B5CD2"/>
    <w:rsid w:val="001B6DDA"/>
    <w:rsid w:val="001C0BEE"/>
    <w:rsid w:val="001C1E49"/>
    <w:rsid w:val="001C27C1"/>
    <w:rsid w:val="001C2A98"/>
    <w:rsid w:val="001C3B86"/>
    <w:rsid w:val="001C4D95"/>
    <w:rsid w:val="001C543D"/>
    <w:rsid w:val="001D3C34"/>
    <w:rsid w:val="001D3D7D"/>
    <w:rsid w:val="001D3FFF"/>
    <w:rsid w:val="001D4506"/>
    <w:rsid w:val="001D4997"/>
    <w:rsid w:val="001D625F"/>
    <w:rsid w:val="001D68A4"/>
    <w:rsid w:val="001D6E82"/>
    <w:rsid w:val="001D7576"/>
    <w:rsid w:val="001E0E3F"/>
    <w:rsid w:val="001E14A0"/>
    <w:rsid w:val="001E5F8B"/>
    <w:rsid w:val="001E7376"/>
    <w:rsid w:val="001F023B"/>
    <w:rsid w:val="001F225C"/>
    <w:rsid w:val="001F5AC2"/>
    <w:rsid w:val="001F722D"/>
    <w:rsid w:val="00200792"/>
    <w:rsid w:val="00201CFA"/>
    <w:rsid w:val="0020220D"/>
    <w:rsid w:val="00202448"/>
    <w:rsid w:val="00202D15"/>
    <w:rsid w:val="00205B3F"/>
    <w:rsid w:val="00212EAE"/>
    <w:rsid w:val="00214BEE"/>
    <w:rsid w:val="002205B8"/>
    <w:rsid w:val="00225720"/>
    <w:rsid w:val="002259E5"/>
    <w:rsid w:val="00226140"/>
    <w:rsid w:val="002274F3"/>
    <w:rsid w:val="0023022F"/>
    <w:rsid w:val="0023094C"/>
    <w:rsid w:val="00233484"/>
    <w:rsid w:val="00234303"/>
    <w:rsid w:val="00234BE3"/>
    <w:rsid w:val="00235A90"/>
    <w:rsid w:val="0023624F"/>
    <w:rsid w:val="00241C99"/>
    <w:rsid w:val="00241E48"/>
    <w:rsid w:val="0024214E"/>
    <w:rsid w:val="00242623"/>
    <w:rsid w:val="00250558"/>
    <w:rsid w:val="0025357C"/>
    <w:rsid w:val="002547DD"/>
    <w:rsid w:val="0025748E"/>
    <w:rsid w:val="00257B2C"/>
    <w:rsid w:val="002605D1"/>
    <w:rsid w:val="00260652"/>
    <w:rsid w:val="00261F25"/>
    <w:rsid w:val="002648A9"/>
    <w:rsid w:val="0026536F"/>
    <w:rsid w:val="0026553C"/>
    <w:rsid w:val="00265FB5"/>
    <w:rsid w:val="002661A0"/>
    <w:rsid w:val="0026790A"/>
    <w:rsid w:val="00267DD5"/>
    <w:rsid w:val="00274A0A"/>
    <w:rsid w:val="00277593"/>
    <w:rsid w:val="00280909"/>
    <w:rsid w:val="00280918"/>
    <w:rsid w:val="00282AF6"/>
    <w:rsid w:val="00285403"/>
    <w:rsid w:val="0028596A"/>
    <w:rsid w:val="00287085"/>
    <w:rsid w:val="00287DC0"/>
    <w:rsid w:val="00290AF9"/>
    <w:rsid w:val="00291131"/>
    <w:rsid w:val="002967CF"/>
    <w:rsid w:val="00297788"/>
    <w:rsid w:val="002A2F4D"/>
    <w:rsid w:val="002A3285"/>
    <w:rsid w:val="002A34F9"/>
    <w:rsid w:val="002A484B"/>
    <w:rsid w:val="002A64A6"/>
    <w:rsid w:val="002B03B9"/>
    <w:rsid w:val="002B1FE3"/>
    <w:rsid w:val="002B3301"/>
    <w:rsid w:val="002C1445"/>
    <w:rsid w:val="002C3B57"/>
    <w:rsid w:val="002C47D4"/>
    <w:rsid w:val="002C4ED7"/>
    <w:rsid w:val="002D0F38"/>
    <w:rsid w:val="002D77E3"/>
    <w:rsid w:val="002E0419"/>
    <w:rsid w:val="002E2F6A"/>
    <w:rsid w:val="002F2859"/>
    <w:rsid w:val="002F6D82"/>
    <w:rsid w:val="002F6E3C"/>
    <w:rsid w:val="002F7BF7"/>
    <w:rsid w:val="0030117D"/>
    <w:rsid w:val="00301F30"/>
    <w:rsid w:val="003038FD"/>
    <w:rsid w:val="00303C87"/>
    <w:rsid w:val="003108E5"/>
    <w:rsid w:val="003115A8"/>
    <w:rsid w:val="003120CB"/>
    <w:rsid w:val="0031356B"/>
    <w:rsid w:val="00315479"/>
    <w:rsid w:val="003176B9"/>
    <w:rsid w:val="00320153"/>
    <w:rsid w:val="00320367"/>
    <w:rsid w:val="00322871"/>
    <w:rsid w:val="00326FB3"/>
    <w:rsid w:val="003316D4"/>
    <w:rsid w:val="003321B2"/>
    <w:rsid w:val="00332BBE"/>
    <w:rsid w:val="00333822"/>
    <w:rsid w:val="00336715"/>
    <w:rsid w:val="003401EC"/>
    <w:rsid w:val="00340DFD"/>
    <w:rsid w:val="00344954"/>
    <w:rsid w:val="00345BCA"/>
    <w:rsid w:val="00347B89"/>
    <w:rsid w:val="00350CD7"/>
    <w:rsid w:val="00360C17"/>
    <w:rsid w:val="003621C6"/>
    <w:rsid w:val="003622B8"/>
    <w:rsid w:val="00364075"/>
    <w:rsid w:val="00365A4C"/>
    <w:rsid w:val="00366B76"/>
    <w:rsid w:val="00373051"/>
    <w:rsid w:val="00373B8F"/>
    <w:rsid w:val="00376D95"/>
    <w:rsid w:val="00377FBB"/>
    <w:rsid w:val="00385140"/>
    <w:rsid w:val="0039061E"/>
    <w:rsid w:val="00393CC7"/>
    <w:rsid w:val="00396302"/>
    <w:rsid w:val="003971F7"/>
    <w:rsid w:val="003A16FC"/>
    <w:rsid w:val="003A2C8A"/>
    <w:rsid w:val="003A4FCD"/>
    <w:rsid w:val="003A69D5"/>
    <w:rsid w:val="003B0944"/>
    <w:rsid w:val="003B1593"/>
    <w:rsid w:val="003B4381"/>
    <w:rsid w:val="003C1043"/>
    <w:rsid w:val="003C1A30"/>
    <w:rsid w:val="003C6779"/>
    <w:rsid w:val="003C71BE"/>
    <w:rsid w:val="003D033C"/>
    <w:rsid w:val="003D0C1F"/>
    <w:rsid w:val="003D1576"/>
    <w:rsid w:val="003D2998"/>
    <w:rsid w:val="003D2F0A"/>
    <w:rsid w:val="003D3891"/>
    <w:rsid w:val="003D3FE9"/>
    <w:rsid w:val="003D5D84"/>
    <w:rsid w:val="003E0F4F"/>
    <w:rsid w:val="003E18AC"/>
    <w:rsid w:val="003E1E1C"/>
    <w:rsid w:val="003E210B"/>
    <w:rsid w:val="003E2A12"/>
    <w:rsid w:val="003E3384"/>
    <w:rsid w:val="003E3CA4"/>
    <w:rsid w:val="003E43D9"/>
    <w:rsid w:val="003E548E"/>
    <w:rsid w:val="00407EC8"/>
    <w:rsid w:val="0041110A"/>
    <w:rsid w:val="00411624"/>
    <w:rsid w:val="004148E1"/>
    <w:rsid w:val="00414CFA"/>
    <w:rsid w:val="00415EC0"/>
    <w:rsid w:val="00420BE9"/>
    <w:rsid w:val="00421601"/>
    <w:rsid w:val="00423AD8"/>
    <w:rsid w:val="00423FDD"/>
    <w:rsid w:val="00424C85"/>
    <w:rsid w:val="004260BD"/>
    <w:rsid w:val="0043012F"/>
    <w:rsid w:val="00430F1F"/>
    <w:rsid w:val="004326EA"/>
    <w:rsid w:val="0043456F"/>
    <w:rsid w:val="00434B42"/>
    <w:rsid w:val="00443388"/>
    <w:rsid w:val="0044434C"/>
    <w:rsid w:val="0044456B"/>
    <w:rsid w:val="00447BD1"/>
    <w:rsid w:val="004507F3"/>
    <w:rsid w:val="00450AF4"/>
    <w:rsid w:val="00456A57"/>
    <w:rsid w:val="00460377"/>
    <w:rsid w:val="004607DE"/>
    <w:rsid w:val="00460D45"/>
    <w:rsid w:val="004671C7"/>
    <w:rsid w:val="00472F4D"/>
    <w:rsid w:val="004730BF"/>
    <w:rsid w:val="00474DCB"/>
    <w:rsid w:val="0047535C"/>
    <w:rsid w:val="004762F6"/>
    <w:rsid w:val="00480DA0"/>
    <w:rsid w:val="00484778"/>
    <w:rsid w:val="00485870"/>
    <w:rsid w:val="00485FE8"/>
    <w:rsid w:val="00486E12"/>
    <w:rsid w:val="00492473"/>
    <w:rsid w:val="00492EB5"/>
    <w:rsid w:val="00493377"/>
    <w:rsid w:val="00494F77"/>
    <w:rsid w:val="00497721"/>
    <w:rsid w:val="004A0229"/>
    <w:rsid w:val="004A35D2"/>
    <w:rsid w:val="004A5D8E"/>
    <w:rsid w:val="004A71E4"/>
    <w:rsid w:val="004B2F00"/>
    <w:rsid w:val="004B667A"/>
    <w:rsid w:val="004B6E31"/>
    <w:rsid w:val="004C1D66"/>
    <w:rsid w:val="004C31D7"/>
    <w:rsid w:val="004C4AD2"/>
    <w:rsid w:val="004C6981"/>
    <w:rsid w:val="004D1F21"/>
    <w:rsid w:val="004D268C"/>
    <w:rsid w:val="004D59D8"/>
    <w:rsid w:val="004D5DA1"/>
    <w:rsid w:val="004D7910"/>
    <w:rsid w:val="004E079D"/>
    <w:rsid w:val="004E150F"/>
    <w:rsid w:val="004E1DCA"/>
    <w:rsid w:val="004E23A1"/>
    <w:rsid w:val="004E3489"/>
    <w:rsid w:val="004E358A"/>
    <w:rsid w:val="004E3AFA"/>
    <w:rsid w:val="004E6588"/>
    <w:rsid w:val="004F04FF"/>
    <w:rsid w:val="004F2742"/>
    <w:rsid w:val="00502A0A"/>
    <w:rsid w:val="00507C50"/>
    <w:rsid w:val="005108CE"/>
    <w:rsid w:val="00513569"/>
    <w:rsid w:val="00514D40"/>
    <w:rsid w:val="00517C3A"/>
    <w:rsid w:val="0052377C"/>
    <w:rsid w:val="00527BF4"/>
    <w:rsid w:val="005324BE"/>
    <w:rsid w:val="00534F6C"/>
    <w:rsid w:val="00535994"/>
    <w:rsid w:val="0053646D"/>
    <w:rsid w:val="00536D67"/>
    <w:rsid w:val="00540AAD"/>
    <w:rsid w:val="00543EC1"/>
    <w:rsid w:val="00546458"/>
    <w:rsid w:val="0055087C"/>
    <w:rsid w:val="00553413"/>
    <w:rsid w:val="00555983"/>
    <w:rsid w:val="00560E31"/>
    <w:rsid w:val="00561BDA"/>
    <w:rsid w:val="00564C06"/>
    <w:rsid w:val="00567DBF"/>
    <w:rsid w:val="005802AE"/>
    <w:rsid w:val="00581B23"/>
    <w:rsid w:val="0058219C"/>
    <w:rsid w:val="0058707F"/>
    <w:rsid w:val="00591DBD"/>
    <w:rsid w:val="005931FE"/>
    <w:rsid w:val="005A0028"/>
    <w:rsid w:val="005A0ACC"/>
    <w:rsid w:val="005A2F7A"/>
    <w:rsid w:val="005A383A"/>
    <w:rsid w:val="005B0072"/>
    <w:rsid w:val="005B0732"/>
    <w:rsid w:val="005B38A0"/>
    <w:rsid w:val="005B491C"/>
    <w:rsid w:val="005B4DBF"/>
    <w:rsid w:val="005B5DE2"/>
    <w:rsid w:val="005B674C"/>
    <w:rsid w:val="005C24F2"/>
    <w:rsid w:val="005C2511"/>
    <w:rsid w:val="005C2FC9"/>
    <w:rsid w:val="005C4B02"/>
    <w:rsid w:val="005C61E4"/>
    <w:rsid w:val="005C7561"/>
    <w:rsid w:val="005D1E57"/>
    <w:rsid w:val="005D2F57"/>
    <w:rsid w:val="005D34F6"/>
    <w:rsid w:val="005D4F1A"/>
    <w:rsid w:val="005E1884"/>
    <w:rsid w:val="005E7CB3"/>
    <w:rsid w:val="005F373A"/>
    <w:rsid w:val="005F4F87"/>
    <w:rsid w:val="005F6B0E"/>
    <w:rsid w:val="005F760E"/>
    <w:rsid w:val="005F7B1D"/>
    <w:rsid w:val="006000D0"/>
    <w:rsid w:val="0060222A"/>
    <w:rsid w:val="00604BD6"/>
    <w:rsid w:val="006070C4"/>
    <w:rsid w:val="00607C57"/>
    <w:rsid w:val="00610C21"/>
    <w:rsid w:val="00611907"/>
    <w:rsid w:val="00613116"/>
    <w:rsid w:val="006202A6"/>
    <w:rsid w:val="0062054B"/>
    <w:rsid w:val="00620926"/>
    <w:rsid w:val="00621109"/>
    <w:rsid w:val="00621C4E"/>
    <w:rsid w:val="00622982"/>
    <w:rsid w:val="00622BF7"/>
    <w:rsid w:val="00624EAE"/>
    <w:rsid w:val="00625F06"/>
    <w:rsid w:val="0062719F"/>
    <w:rsid w:val="006305D7"/>
    <w:rsid w:val="00632F63"/>
    <w:rsid w:val="00633A01"/>
    <w:rsid w:val="00633B97"/>
    <w:rsid w:val="006341F7"/>
    <w:rsid w:val="00634585"/>
    <w:rsid w:val="00635014"/>
    <w:rsid w:val="006369CE"/>
    <w:rsid w:val="006411CA"/>
    <w:rsid w:val="00642937"/>
    <w:rsid w:val="006450C9"/>
    <w:rsid w:val="0064605E"/>
    <w:rsid w:val="00657BC4"/>
    <w:rsid w:val="006619C8"/>
    <w:rsid w:val="00671710"/>
    <w:rsid w:val="00673414"/>
    <w:rsid w:val="00676079"/>
    <w:rsid w:val="00676ECD"/>
    <w:rsid w:val="00677D0A"/>
    <w:rsid w:val="0068185F"/>
    <w:rsid w:val="00682562"/>
    <w:rsid w:val="00683409"/>
    <w:rsid w:val="00685F71"/>
    <w:rsid w:val="006A01CF"/>
    <w:rsid w:val="006A60DD"/>
    <w:rsid w:val="006A6387"/>
    <w:rsid w:val="006B0679"/>
    <w:rsid w:val="006B074C"/>
    <w:rsid w:val="006B3B84"/>
    <w:rsid w:val="006B4E7C"/>
    <w:rsid w:val="006B5D8C"/>
    <w:rsid w:val="006B72D4"/>
    <w:rsid w:val="006C11CC"/>
    <w:rsid w:val="006C1AEB"/>
    <w:rsid w:val="006C57FE"/>
    <w:rsid w:val="006C668E"/>
    <w:rsid w:val="006E4B63"/>
    <w:rsid w:val="006F06E4"/>
    <w:rsid w:val="006F4CFA"/>
    <w:rsid w:val="006F7B41"/>
    <w:rsid w:val="00700AC5"/>
    <w:rsid w:val="00702B5D"/>
    <w:rsid w:val="00703ED2"/>
    <w:rsid w:val="00707B8D"/>
    <w:rsid w:val="00713636"/>
    <w:rsid w:val="00714B8C"/>
    <w:rsid w:val="0071675D"/>
    <w:rsid w:val="00717736"/>
    <w:rsid w:val="00732B47"/>
    <w:rsid w:val="00735CF5"/>
    <w:rsid w:val="0074063A"/>
    <w:rsid w:val="00742AA4"/>
    <w:rsid w:val="00743BA1"/>
    <w:rsid w:val="00745F1E"/>
    <w:rsid w:val="007515FE"/>
    <w:rsid w:val="007601D0"/>
    <w:rsid w:val="007603BB"/>
    <w:rsid w:val="0076109D"/>
    <w:rsid w:val="00767107"/>
    <w:rsid w:val="007706DA"/>
    <w:rsid w:val="007708BF"/>
    <w:rsid w:val="00773617"/>
    <w:rsid w:val="00773BFD"/>
    <w:rsid w:val="007743B3"/>
    <w:rsid w:val="00774490"/>
    <w:rsid w:val="0077581E"/>
    <w:rsid w:val="007819FF"/>
    <w:rsid w:val="0078360C"/>
    <w:rsid w:val="00784A4C"/>
    <w:rsid w:val="00784BC6"/>
    <w:rsid w:val="0078523D"/>
    <w:rsid w:val="00787992"/>
    <w:rsid w:val="007931DF"/>
    <w:rsid w:val="007A0172"/>
    <w:rsid w:val="007A1804"/>
    <w:rsid w:val="007A215A"/>
    <w:rsid w:val="007A2511"/>
    <w:rsid w:val="007A260E"/>
    <w:rsid w:val="007A2E4D"/>
    <w:rsid w:val="007A4D4C"/>
    <w:rsid w:val="007A4DD6"/>
    <w:rsid w:val="007A5CB9"/>
    <w:rsid w:val="007A6A38"/>
    <w:rsid w:val="007A6C41"/>
    <w:rsid w:val="007B20AE"/>
    <w:rsid w:val="007B6B07"/>
    <w:rsid w:val="007B6D43"/>
    <w:rsid w:val="007B749A"/>
    <w:rsid w:val="007B7C6E"/>
    <w:rsid w:val="007C6598"/>
    <w:rsid w:val="007D1544"/>
    <w:rsid w:val="007D20B4"/>
    <w:rsid w:val="007D44D7"/>
    <w:rsid w:val="007D621A"/>
    <w:rsid w:val="007E058A"/>
    <w:rsid w:val="007E2887"/>
    <w:rsid w:val="007E5278"/>
    <w:rsid w:val="007E749C"/>
    <w:rsid w:val="007F1B5C"/>
    <w:rsid w:val="007F4B78"/>
    <w:rsid w:val="007F5BD9"/>
    <w:rsid w:val="00801257"/>
    <w:rsid w:val="00803B0A"/>
    <w:rsid w:val="0080435E"/>
    <w:rsid w:val="0080454E"/>
    <w:rsid w:val="00804DED"/>
    <w:rsid w:val="00805B96"/>
    <w:rsid w:val="00810265"/>
    <w:rsid w:val="008105BE"/>
    <w:rsid w:val="008115A5"/>
    <w:rsid w:val="00811D46"/>
    <w:rsid w:val="00811E49"/>
    <w:rsid w:val="0081409F"/>
    <w:rsid w:val="0081415D"/>
    <w:rsid w:val="00820229"/>
    <w:rsid w:val="00822448"/>
    <w:rsid w:val="00822ABE"/>
    <w:rsid w:val="008244D1"/>
    <w:rsid w:val="008249E5"/>
    <w:rsid w:val="00827F51"/>
    <w:rsid w:val="0083104E"/>
    <w:rsid w:val="008343BE"/>
    <w:rsid w:val="00836535"/>
    <w:rsid w:val="00840FB4"/>
    <w:rsid w:val="008410B2"/>
    <w:rsid w:val="00841780"/>
    <w:rsid w:val="008500A0"/>
    <w:rsid w:val="008507BE"/>
    <w:rsid w:val="008524E5"/>
    <w:rsid w:val="0085351C"/>
    <w:rsid w:val="0085435A"/>
    <w:rsid w:val="008549CA"/>
    <w:rsid w:val="008556C3"/>
    <w:rsid w:val="0085687C"/>
    <w:rsid w:val="008576FB"/>
    <w:rsid w:val="008611C1"/>
    <w:rsid w:val="008706C5"/>
    <w:rsid w:val="00873707"/>
    <w:rsid w:val="00874B20"/>
    <w:rsid w:val="008757C6"/>
    <w:rsid w:val="008763E1"/>
    <w:rsid w:val="0087775C"/>
    <w:rsid w:val="00877EC8"/>
    <w:rsid w:val="00880F36"/>
    <w:rsid w:val="00885530"/>
    <w:rsid w:val="008910D1"/>
    <w:rsid w:val="0089296C"/>
    <w:rsid w:val="00896ABD"/>
    <w:rsid w:val="00897AB6"/>
    <w:rsid w:val="00897DA8"/>
    <w:rsid w:val="008A2598"/>
    <w:rsid w:val="008A3380"/>
    <w:rsid w:val="008A7A9C"/>
    <w:rsid w:val="008B5218"/>
    <w:rsid w:val="008B7102"/>
    <w:rsid w:val="008C2F75"/>
    <w:rsid w:val="008C3B7D"/>
    <w:rsid w:val="008D0F90"/>
    <w:rsid w:val="008D315C"/>
    <w:rsid w:val="008D3715"/>
    <w:rsid w:val="008D3FE6"/>
    <w:rsid w:val="008D5465"/>
    <w:rsid w:val="008D5E61"/>
    <w:rsid w:val="008D7EB7"/>
    <w:rsid w:val="008D7EC5"/>
    <w:rsid w:val="008E3684"/>
    <w:rsid w:val="008E57F5"/>
    <w:rsid w:val="008E5C89"/>
    <w:rsid w:val="008E7606"/>
    <w:rsid w:val="008F1DAA"/>
    <w:rsid w:val="008F3EBD"/>
    <w:rsid w:val="008F60B2"/>
    <w:rsid w:val="008F73B2"/>
    <w:rsid w:val="008F7C41"/>
    <w:rsid w:val="009002E6"/>
    <w:rsid w:val="009031E2"/>
    <w:rsid w:val="0091276C"/>
    <w:rsid w:val="009131F4"/>
    <w:rsid w:val="009145BE"/>
    <w:rsid w:val="009165AC"/>
    <w:rsid w:val="00916FFC"/>
    <w:rsid w:val="009173D3"/>
    <w:rsid w:val="00917D9D"/>
    <w:rsid w:val="0092053F"/>
    <w:rsid w:val="00920F70"/>
    <w:rsid w:val="0092340A"/>
    <w:rsid w:val="009313D9"/>
    <w:rsid w:val="009315C2"/>
    <w:rsid w:val="00935B7F"/>
    <w:rsid w:val="00936C2E"/>
    <w:rsid w:val="00940F32"/>
    <w:rsid w:val="00941293"/>
    <w:rsid w:val="00946372"/>
    <w:rsid w:val="00947820"/>
    <w:rsid w:val="0095032B"/>
    <w:rsid w:val="00950B13"/>
    <w:rsid w:val="00950C17"/>
    <w:rsid w:val="00951FAF"/>
    <w:rsid w:val="00954740"/>
    <w:rsid w:val="009557BC"/>
    <w:rsid w:val="00955AE5"/>
    <w:rsid w:val="00956648"/>
    <w:rsid w:val="00960CA7"/>
    <w:rsid w:val="00962E71"/>
    <w:rsid w:val="00963ABC"/>
    <w:rsid w:val="00965D21"/>
    <w:rsid w:val="00967764"/>
    <w:rsid w:val="00970B0E"/>
    <w:rsid w:val="00970BB9"/>
    <w:rsid w:val="009726EE"/>
    <w:rsid w:val="00972CDE"/>
    <w:rsid w:val="009733DD"/>
    <w:rsid w:val="00975573"/>
    <w:rsid w:val="0097633F"/>
    <w:rsid w:val="00976D03"/>
    <w:rsid w:val="00977B30"/>
    <w:rsid w:val="00980DB6"/>
    <w:rsid w:val="00981B66"/>
    <w:rsid w:val="00982F41"/>
    <w:rsid w:val="009835DE"/>
    <w:rsid w:val="00985090"/>
    <w:rsid w:val="00987710"/>
    <w:rsid w:val="009904AB"/>
    <w:rsid w:val="00995688"/>
    <w:rsid w:val="009958A6"/>
    <w:rsid w:val="00996456"/>
    <w:rsid w:val="009A04F5"/>
    <w:rsid w:val="009A15EF"/>
    <w:rsid w:val="009A38A5"/>
    <w:rsid w:val="009A5B73"/>
    <w:rsid w:val="009A76C9"/>
    <w:rsid w:val="009B118B"/>
    <w:rsid w:val="009B1737"/>
    <w:rsid w:val="009B3D4B"/>
    <w:rsid w:val="009B479C"/>
    <w:rsid w:val="009B4E63"/>
    <w:rsid w:val="009B5B99"/>
    <w:rsid w:val="009B6EFC"/>
    <w:rsid w:val="009C128B"/>
    <w:rsid w:val="009C1FD0"/>
    <w:rsid w:val="009C2DF8"/>
    <w:rsid w:val="009C31BF"/>
    <w:rsid w:val="009C68B7"/>
    <w:rsid w:val="009D016A"/>
    <w:rsid w:val="009D0834"/>
    <w:rsid w:val="009D095A"/>
    <w:rsid w:val="009D09D0"/>
    <w:rsid w:val="009D0A1E"/>
    <w:rsid w:val="009D0A40"/>
    <w:rsid w:val="009D2AE3"/>
    <w:rsid w:val="009D52BC"/>
    <w:rsid w:val="009D7D0A"/>
    <w:rsid w:val="009E09D9"/>
    <w:rsid w:val="009E0D34"/>
    <w:rsid w:val="009F01B1"/>
    <w:rsid w:val="009F0DBB"/>
    <w:rsid w:val="009F3887"/>
    <w:rsid w:val="009F40DC"/>
    <w:rsid w:val="009F659A"/>
    <w:rsid w:val="009F732B"/>
    <w:rsid w:val="00A01FE0"/>
    <w:rsid w:val="00A06945"/>
    <w:rsid w:val="00A10656"/>
    <w:rsid w:val="00A113C0"/>
    <w:rsid w:val="00A12FA6"/>
    <w:rsid w:val="00A1339B"/>
    <w:rsid w:val="00A13B86"/>
    <w:rsid w:val="00A14ABA"/>
    <w:rsid w:val="00A24CB6"/>
    <w:rsid w:val="00A25865"/>
    <w:rsid w:val="00A26CD2"/>
    <w:rsid w:val="00A27667"/>
    <w:rsid w:val="00A32979"/>
    <w:rsid w:val="00A34A67"/>
    <w:rsid w:val="00A3509D"/>
    <w:rsid w:val="00A37462"/>
    <w:rsid w:val="00A459E1"/>
    <w:rsid w:val="00A46AC4"/>
    <w:rsid w:val="00A478A5"/>
    <w:rsid w:val="00A47EBE"/>
    <w:rsid w:val="00A52296"/>
    <w:rsid w:val="00A55661"/>
    <w:rsid w:val="00A56CF0"/>
    <w:rsid w:val="00A579C9"/>
    <w:rsid w:val="00A57A10"/>
    <w:rsid w:val="00A607E4"/>
    <w:rsid w:val="00A61B70"/>
    <w:rsid w:val="00A61FA8"/>
    <w:rsid w:val="00A637F4"/>
    <w:rsid w:val="00A64DF2"/>
    <w:rsid w:val="00A65485"/>
    <w:rsid w:val="00A658B0"/>
    <w:rsid w:val="00A66E05"/>
    <w:rsid w:val="00A67655"/>
    <w:rsid w:val="00A70753"/>
    <w:rsid w:val="00A712D2"/>
    <w:rsid w:val="00A82C8A"/>
    <w:rsid w:val="00A8346B"/>
    <w:rsid w:val="00A852FF"/>
    <w:rsid w:val="00A85CC2"/>
    <w:rsid w:val="00A86663"/>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52A5"/>
    <w:rsid w:val="00AC6EFD"/>
    <w:rsid w:val="00AC7151"/>
    <w:rsid w:val="00AD460A"/>
    <w:rsid w:val="00AD47F5"/>
    <w:rsid w:val="00AD6A05"/>
    <w:rsid w:val="00AE118B"/>
    <w:rsid w:val="00AE272B"/>
    <w:rsid w:val="00AE3E3A"/>
    <w:rsid w:val="00AE77B4"/>
    <w:rsid w:val="00AE7C1A"/>
    <w:rsid w:val="00AE7DF8"/>
    <w:rsid w:val="00AF0D9C"/>
    <w:rsid w:val="00AF13AB"/>
    <w:rsid w:val="00AF1D36"/>
    <w:rsid w:val="00AF280B"/>
    <w:rsid w:val="00AF2FCE"/>
    <w:rsid w:val="00AF5F75"/>
    <w:rsid w:val="00AF6001"/>
    <w:rsid w:val="00B01A16"/>
    <w:rsid w:val="00B042FD"/>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EA7"/>
    <w:rsid w:val="00B4393B"/>
    <w:rsid w:val="00B51845"/>
    <w:rsid w:val="00B51923"/>
    <w:rsid w:val="00B52B21"/>
    <w:rsid w:val="00B5337C"/>
    <w:rsid w:val="00B53FDE"/>
    <w:rsid w:val="00B56397"/>
    <w:rsid w:val="00B56D62"/>
    <w:rsid w:val="00B571DA"/>
    <w:rsid w:val="00B6027B"/>
    <w:rsid w:val="00B608E6"/>
    <w:rsid w:val="00B636C8"/>
    <w:rsid w:val="00B64359"/>
    <w:rsid w:val="00B65EDB"/>
    <w:rsid w:val="00B67AFF"/>
    <w:rsid w:val="00B67C41"/>
    <w:rsid w:val="00B70B59"/>
    <w:rsid w:val="00B73657"/>
    <w:rsid w:val="00B739B3"/>
    <w:rsid w:val="00B761E8"/>
    <w:rsid w:val="00B81B15"/>
    <w:rsid w:val="00B915AE"/>
    <w:rsid w:val="00BA1735"/>
    <w:rsid w:val="00BA19FA"/>
    <w:rsid w:val="00BA4288"/>
    <w:rsid w:val="00BB0902"/>
    <w:rsid w:val="00BB1F9C"/>
    <w:rsid w:val="00BB48E5"/>
    <w:rsid w:val="00BB5607"/>
    <w:rsid w:val="00BB5A8E"/>
    <w:rsid w:val="00BB5ACA"/>
    <w:rsid w:val="00BB627F"/>
    <w:rsid w:val="00BC0C17"/>
    <w:rsid w:val="00BC3823"/>
    <w:rsid w:val="00BC5841"/>
    <w:rsid w:val="00BC5E38"/>
    <w:rsid w:val="00BD201A"/>
    <w:rsid w:val="00BD2DC4"/>
    <w:rsid w:val="00BD2EF0"/>
    <w:rsid w:val="00BD60B4"/>
    <w:rsid w:val="00BD796B"/>
    <w:rsid w:val="00BE40C0"/>
    <w:rsid w:val="00BE445C"/>
    <w:rsid w:val="00BE5F4A"/>
    <w:rsid w:val="00BE755E"/>
    <w:rsid w:val="00BE7AEF"/>
    <w:rsid w:val="00BF09B0"/>
    <w:rsid w:val="00BF1544"/>
    <w:rsid w:val="00BF1B53"/>
    <w:rsid w:val="00BF246D"/>
    <w:rsid w:val="00BF2682"/>
    <w:rsid w:val="00C060D8"/>
    <w:rsid w:val="00C06F06"/>
    <w:rsid w:val="00C17BFF"/>
    <w:rsid w:val="00C20FAD"/>
    <w:rsid w:val="00C2375F"/>
    <w:rsid w:val="00C247CB"/>
    <w:rsid w:val="00C32E66"/>
    <w:rsid w:val="00C3355F"/>
    <w:rsid w:val="00C33A04"/>
    <w:rsid w:val="00C34F78"/>
    <w:rsid w:val="00C3569A"/>
    <w:rsid w:val="00C43F48"/>
    <w:rsid w:val="00C442F8"/>
    <w:rsid w:val="00C448FF"/>
    <w:rsid w:val="00C45E57"/>
    <w:rsid w:val="00C52D0E"/>
    <w:rsid w:val="00C52F29"/>
    <w:rsid w:val="00C557BE"/>
    <w:rsid w:val="00C56CE6"/>
    <w:rsid w:val="00C5745F"/>
    <w:rsid w:val="00C60005"/>
    <w:rsid w:val="00C60BFF"/>
    <w:rsid w:val="00C61A98"/>
    <w:rsid w:val="00C63201"/>
    <w:rsid w:val="00C64E62"/>
    <w:rsid w:val="00C651D5"/>
    <w:rsid w:val="00C65CCC"/>
    <w:rsid w:val="00C65DA9"/>
    <w:rsid w:val="00C711A1"/>
    <w:rsid w:val="00C7618F"/>
    <w:rsid w:val="00C765A9"/>
    <w:rsid w:val="00C81157"/>
    <w:rsid w:val="00C8162D"/>
    <w:rsid w:val="00C830BB"/>
    <w:rsid w:val="00C83A0B"/>
    <w:rsid w:val="00C842D0"/>
    <w:rsid w:val="00C84ED1"/>
    <w:rsid w:val="00C85D5A"/>
    <w:rsid w:val="00C863CC"/>
    <w:rsid w:val="00C86BCC"/>
    <w:rsid w:val="00C9038F"/>
    <w:rsid w:val="00C92AAB"/>
    <w:rsid w:val="00C93B58"/>
    <w:rsid w:val="00C95D4C"/>
    <w:rsid w:val="00C9637F"/>
    <w:rsid w:val="00C9708A"/>
    <w:rsid w:val="00CA2435"/>
    <w:rsid w:val="00CA4068"/>
    <w:rsid w:val="00CA67F4"/>
    <w:rsid w:val="00CB37F8"/>
    <w:rsid w:val="00CB63D6"/>
    <w:rsid w:val="00CB64EE"/>
    <w:rsid w:val="00CB7DC3"/>
    <w:rsid w:val="00CC0544"/>
    <w:rsid w:val="00CC5BE1"/>
    <w:rsid w:val="00CC75A2"/>
    <w:rsid w:val="00CC7A18"/>
    <w:rsid w:val="00CD068B"/>
    <w:rsid w:val="00CD0789"/>
    <w:rsid w:val="00CD0E2F"/>
    <w:rsid w:val="00CD12ED"/>
    <w:rsid w:val="00CD1D49"/>
    <w:rsid w:val="00CD2F20"/>
    <w:rsid w:val="00CD6B20"/>
    <w:rsid w:val="00CD6E56"/>
    <w:rsid w:val="00CE1339"/>
    <w:rsid w:val="00CE61CC"/>
    <w:rsid w:val="00CE6E42"/>
    <w:rsid w:val="00CF20B7"/>
    <w:rsid w:val="00CF283B"/>
    <w:rsid w:val="00CF6692"/>
    <w:rsid w:val="00CF7441"/>
    <w:rsid w:val="00D00D16"/>
    <w:rsid w:val="00D0396A"/>
    <w:rsid w:val="00D03C6C"/>
    <w:rsid w:val="00D044A7"/>
    <w:rsid w:val="00D04760"/>
    <w:rsid w:val="00D04A95"/>
    <w:rsid w:val="00D06288"/>
    <w:rsid w:val="00D068C7"/>
    <w:rsid w:val="00D128A4"/>
    <w:rsid w:val="00D147C8"/>
    <w:rsid w:val="00D15131"/>
    <w:rsid w:val="00D16FA2"/>
    <w:rsid w:val="00D20954"/>
    <w:rsid w:val="00D21C39"/>
    <w:rsid w:val="00D21FC6"/>
    <w:rsid w:val="00D2243A"/>
    <w:rsid w:val="00D23CF0"/>
    <w:rsid w:val="00D33393"/>
    <w:rsid w:val="00D33D36"/>
    <w:rsid w:val="00D34D94"/>
    <w:rsid w:val="00D409E2"/>
    <w:rsid w:val="00D427D7"/>
    <w:rsid w:val="00D44E62"/>
    <w:rsid w:val="00D478DF"/>
    <w:rsid w:val="00D51341"/>
    <w:rsid w:val="00D513A1"/>
    <w:rsid w:val="00D51570"/>
    <w:rsid w:val="00D51A26"/>
    <w:rsid w:val="00D556AD"/>
    <w:rsid w:val="00D56FE5"/>
    <w:rsid w:val="00D60381"/>
    <w:rsid w:val="00D616DE"/>
    <w:rsid w:val="00D62201"/>
    <w:rsid w:val="00D651D1"/>
    <w:rsid w:val="00D717BB"/>
    <w:rsid w:val="00D7226B"/>
    <w:rsid w:val="00D72707"/>
    <w:rsid w:val="00D75A9C"/>
    <w:rsid w:val="00D82984"/>
    <w:rsid w:val="00D829C8"/>
    <w:rsid w:val="00D87917"/>
    <w:rsid w:val="00D90871"/>
    <w:rsid w:val="00D9155F"/>
    <w:rsid w:val="00D9403F"/>
    <w:rsid w:val="00D959B4"/>
    <w:rsid w:val="00D97DDF"/>
    <w:rsid w:val="00DA4024"/>
    <w:rsid w:val="00DA44DE"/>
    <w:rsid w:val="00DA4991"/>
    <w:rsid w:val="00DA750B"/>
    <w:rsid w:val="00DB620A"/>
    <w:rsid w:val="00DC3832"/>
    <w:rsid w:val="00DC7A51"/>
    <w:rsid w:val="00DD3B1E"/>
    <w:rsid w:val="00DE06B2"/>
    <w:rsid w:val="00DE4594"/>
    <w:rsid w:val="00DE569E"/>
    <w:rsid w:val="00DE5B5F"/>
    <w:rsid w:val="00DF614E"/>
    <w:rsid w:val="00E00696"/>
    <w:rsid w:val="00E006C9"/>
    <w:rsid w:val="00E03651"/>
    <w:rsid w:val="00E03808"/>
    <w:rsid w:val="00E03EA8"/>
    <w:rsid w:val="00E060C2"/>
    <w:rsid w:val="00E06324"/>
    <w:rsid w:val="00E07809"/>
    <w:rsid w:val="00E078AD"/>
    <w:rsid w:val="00E07B81"/>
    <w:rsid w:val="00E10AFD"/>
    <w:rsid w:val="00E12B11"/>
    <w:rsid w:val="00E12FB0"/>
    <w:rsid w:val="00E14814"/>
    <w:rsid w:val="00E1591B"/>
    <w:rsid w:val="00E16A50"/>
    <w:rsid w:val="00E21748"/>
    <w:rsid w:val="00E21C31"/>
    <w:rsid w:val="00E249D5"/>
    <w:rsid w:val="00E25017"/>
    <w:rsid w:val="00E26F73"/>
    <w:rsid w:val="00E30A34"/>
    <w:rsid w:val="00E334A7"/>
    <w:rsid w:val="00E33C68"/>
    <w:rsid w:val="00E34EEB"/>
    <w:rsid w:val="00E3687C"/>
    <w:rsid w:val="00E44EB9"/>
    <w:rsid w:val="00E45BDC"/>
    <w:rsid w:val="00E460B7"/>
    <w:rsid w:val="00E46358"/>
    <w:rsid w:val="00E471DC"/>
    <w:rsid w:val="00E50CBE"/>
    <w:rsid w:val="00E50EB4"/>
    <w:rsid w:val="00E51F34"/>
    <w:rsid w:val="00E5239B"/>
    <w:rsid w:val="00E527EE"/>
    <w:rsid w:val="00E532FC"/>
    <w:rsid w:val="00E559B4"/>
    <w:rsid w:val="00E55BB0"/>
    <w:rsid w:val="00E609E5"/>
    <w:rsid w:val="00E60F27"/>
    <w:rsid w:val="00E61760"/>
    <w:rsid w:val="00E64D93"/>
    <w:rsid w:val="00E65EDB"/>
    <w:rsid w:val="00E66927"/>
    <w:rsid w:val="00E677B8"/>
    <w:rsid w:val="00E67E9E"/>
    <w:rsid w:val="00E67FA1"/>
    <w:rsid w:val="00E7115E"/>
    <w:rsid w:val="00E7387D"/>
    <w:rsid w:val="00E73D53"/>
    <w:rsid w:val="00E75111"/>
    <w:rsid w:val="00E77296"/>
    <w:rsid w:val="00E87527"/>
    <w:rsid w:val="00E87EF7"/>
    <w:rsid w:val="00E922E1"/>
    <w:rsid w:val="00E93763"/>
    <w:rsid w:val="00E96C4C"/>
    <w:rsid w:val="00EA2AAE"/>
    <w:rsid w:val="00EA2EC0"/>
    <w:rsid w:val="00EA427A"/>
    <w:rsid w:val="00EA723B"/>
    <w:rsid w:val="00EB6350"/>
    <w:rsid w:val="00EB676A"/>
    <w:rsid w:val="00EB687A"/>
    <w:rsid w:val="00EC041E"/>
    <w:rsid w:val="00EC2F62"/>
    <w:rsid w:val="00EC62EB"/>
    <w:rsid w:val="00EC6E9F"/>
    <w:rsid w:val="00ED2A88"/>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EF63E9"/>
    <w:rsid w:val="00EF6B55"/>
    <w:rsid w:val="00F04106"/>
    <w:rsid w:val="00F07F0D"/>
    <w:rsid w:val="00F13112"/>
    <w:rsid w:val="00F16BA2"/>
    <w:rsid w:val="00F16FE6"/>
    <w:rsid w:val="00F238BD"/>
    <w:rsid w:val="00F24992"/>
    <w:rsid w:val="00F266EA"/>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659C7"/>
    <w:rsid w:val="00F71E6D"/>
    <w:rsid w:val="00F766BE"/>
    <w:rsid w:val="00F77D58"/>
    <w:rsid w:val="00F77EB9"/>
    <w:rsid w:val="00F80635"/>
    <w:rsid w:val="00F8115F"/>
    <w:rsid w:val="00F815D1"/>
    <w:rsid w:val="00F81E7E"/>
    <w:rsid w:val="00F81F0F"/>
    <w:rsid w:val="00F825F4"/>
    <w:rsid w:val="00F82C52"/>
    <w:rsid w:val="00F82D79"/>
    <w:rsid w:val="00F838DF"/>
    <w:rsid w:val="00F92AA1"/>
    <w:rsid w:val="00F932DE"/>
    <w:rsid w:val="00F963DD"/>
    <w:rsid w:val="00F9641A"/>
    <w:rsid w:val="00F97004"/>
    <w:rsid w:val="00FA067D"/>
    <w:rsid w:val="00FA2045"/>
    <w:rsid w:val="00FA48B4"/>
    <w:rsid w:val="00FA57A4"/>
    <w:rsid w:val="00FA7A66"/>
    <w:rsid w:val="00FB1AA9"/>
    <w:rsid w:val="00FB4B5A"/>
    <w:rsid w:val="00FB5963"/>
    <w:rsid w:val="00FB5DAA"/>
    <w:rsid w:val="00FC04B9"/>
    <w:rsid w:val="00FC161A"/>
    <w:rsid w:val="00FC23D5"/>
    <w:rsid w:val="00FC4337"/>
    <w:rsid w:val="00FC4C1A"/>
    <w:rsid w:val="00FC628F"/>
    <w:rsid w:val="00FC6468"/>
    <w:rsid w:val="00FC6D49"/>
    <w:rsid w:val="00FD1492"/>
    <w:rsid w:val="00FD4922"/>
    <w:rsid w:val="00FD4BD8"/>
    <w:rsid w:val="00FD5A49"/>
    <w:rsid w:val="00FD6461"/>
    <w:rsid w:val="00FE0281"/>
    <w:rsid w:val="00FE1461"/>
    <w:rsid w:val="00FE27D8"/>
    <w:rsid w:val="00FE2894"/>
    <w:rsid w:val="00FE40A6"/>
    <w:rsid w:val="00FE6595"/>
    <w:rsid w:val="00FE7083"/>
    <w:rsid w:val="00FF019F"/>
    <w:rsid w:val="00FF1B2A"/>
    <w:rsid w:val="00FF1C5F"/>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1D3C34"/>
    <w:rPr>
      <w:rFonts w:asciiTheme="minorHAnsi" w:eastAsiaTheme="minorHAnsi" w:hAnsiTheme="minorHAnsi" w:cstheme="minorBidi"/>
      <w:sz w:val="22"/>
      <w:szCs w:val="22"/>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3C34"/>
    <w:pPr>
      <w:autoSpaceDE w:val="0"/>
      <w:autoSpaceDN w:val="0"/>
      <w:adjustRightInd w:val="0"/>
    </w:pPr>
    <w:rPr>
      <w:rFonts w:ascii="Calibri" w:eastAsiaTheme="minorHAnsi" w:hAnsi="Calibri" w:cs="Calibri"/>
      <w:color w:val="000000"/>
      <w:sz w:val="24"/>
      <w:szCs w:val="24"/>
      <w:lang w:val="da-DK"/>
    </w:rPr>
  </w:style>
  <w:style w:type="character" w:styleId="UnresolvedMention">
    <w:name w:val="Unresolved Mention"/>
    <w:basedOn w:val="DefaultParagraphFont"/>
    <w:uiPriority w:val="99"/>
    <w:semiHidden/>
    <w:unhideWhenUsed/>
    <w:rsid w:val="00EC0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07932-7961-4655-806E-466D8B829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6546</Words>
  <Characters>37318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2019-10-17T18:04:00Z</dcterms:created>
  <dcterms:modified xsi:type="dcterms:W3CDTF">2019-10-17T18:04:00Z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8ea8f9c6-325a-3d3e-b676-7730b2ae94c1</vt:lpwstr>
  </property>
  <property fmtid="{D5CDD505-2E9C-101B-9397-08002B2CF9AE}" pid="24" name="Mendeley Citation Style_1">
    <vt:lpwstr>http://www.zotero.org/styles/journal-of-visualized-experiments</vt:lpwstr>
  </property>
</Properties>
</file>