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Lower Limb Biomechanical Analysis of Healthy Participants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Shayan Bahadori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W. Wainwright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Orthopaedic Research Institute, Bournemouth University, Bournemouth, Dorset,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Shayan Bahadori </w:t>
        <w:tab/>
        <w:tab/>
        <w:t xml:space="preserve">(sbahadori@bournemouth.ac.uk)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 Wainwright</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(twainwright@bournemouth.ac.uk)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Biomechanics, Gait, Kinematic, Kinetic, Spatial-temporal, Isometric, Muscle Strength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introduces a comprehensive experimental methodology on two of the latest technologies available to measure the lower limb biomechanics of individuals.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Biomechanical analysis techniques are useful in the study of human movement. The aim of this study was to introduce a technique for the lower limb biomechanical assessment in healthy participants using commercially available systems. Separate protocols were introduced for the gait analysis and muscle strength testing systems. To ensure maximum accuracy for gait assessment, attention should be given to the marker placements and self-paced treadmill acclimatization time. Similarly, participant positioning, a practice trial, and verbal encouragement are three critical stages in muscle strength testing. The current evidence suggests that the methodology outlined in this article may be effective for the assessment of lower limb biomechanics.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discipline of biomechanics primarily involves the study of stress, strain, loads and motion of biological systems - solid and fluid alike. It also involves the modelling of mechanical effects on the structure, size, shape and movement of the body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many years, developments in this field have improved our understanding of normal and pathologic gait, mechanics of neuromuscular control, and mechanics of growth and form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objective of this article is to present a comprehensive methodology on two of the latest technologies available to measure lower limb biomechanics of individuals. The gait analysis system measures and quantifies gait biomechanics by using a self-paced (SP) treadmill in combination with an augmented reality environment, which integrates a SP algorithm to regulate the treadmill's speed, as described by Sloot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222222"/>
          <w:spacing w:val="3"/>
          <w:position w:val="0"/>
          <w:sz w:val="24"/>
          <w:shd w:fill="FFFFFF" w:val="clear"/>
        </w:rPr>
        <w:t xml:space="preserve">. </w:t>
      </w:r>
      <w:r>
        <w:rPr>
          <w:rFonts w:ascii="Calibri" w:hAnsi="Calibri" w:cs="Calibri" w:eastAsia="Calibri"/>
          <w:color w:val="auto"/>
          <w:spacing w:val="0"/>
          <w:position w:val="0"/>
          <w:sz w:val="24"/>
          <w:shd w:fill="auto" w:val="clear"/>
        </w:rPr>
        <w:t xml:space="preserve">The muscle strength testing equipment is used as an assessment and a treatment tool for upper extremity rehabilitation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device can objectively assess a variety of physiological patterns of movement or job simulation tasks in isometric and isotonic modes. It is currently recognized as the gold standard for upper limb strength measurement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the evidence related specifically to the lower limb remains unclear. This paper explains the detailed protocol for completing an assessment of gait and isometric strength for the lower extremity.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biomechanical analysis, it is useful to combine assessments of functional performance (such as gait analysis) with specific tests of muscular performance. This is because whilst it may be assumed that increased muscle strength improves functional performance, this may not always be apparent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understanding is required for the improved future design of rehabilitation protocols and research strategies to assess these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reported was followed in a study that received ethical approval from the Bournemouth University Research Ethics Committee (Reference 15005).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healthy adults (aged from 23 to 63 years, mean &amp;plusmn; S.D.; 42.0 &amp;plusmn; 13.4, body mass 70.4 &amp;plusmn; 15.3 kg, height 175.5 &amp;plusmn; 9.8 cm; 15 males, 15 females) to participate in the study. Thirty participants were recruited for this study.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there is no self-reported history of dizziness, balance problems or walking difficulties in the participants.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participants did not suffer from any known neuromuscular injury or condition affecting balance or walking.</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Setup and procedures for gait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a gait analysis system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comprised of a dual-belt force plate-instrumented treadmill, a 10-camera motion capture system and a virtual environment that provides optic flow.</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Ensure that the participant is wearing very tight non-reflective clothing such as cycling shorts or leggings.</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double sided adhesive tapes attach 25 passive reflective markers and place according to the lower body configuration of the Human Body Model (HBM)</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as detailed in </w:t>
      </w:r>
      <w:r>
        <w:rPr>
          <w:rFonts w:ascii="Calibri" w:hAnsi="Calibri" w:cs="Calibri" w:eastAsia="Calibri"/>
          <w:b/>
          <w:color w:val="auto"/>
          <w:spacing w:val="0"/>
          <w:position w:val="0"/>
          <w:sz w:val="24"/>
          <w:shd w:fill="FFFF00" w:val="clear"/>
        </w:rPr>
        <w:t xml:space="preserve">Table 1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The information in this document is taken from the HBM Reference Manual</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a joint ruler to take measurements of the required knee and ankle widths for the HBM</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Secure participant to a safety harness that is fastened to an overhead frame.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Start a new session in the database and make sure it is active (highlighted).</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Using the subject tab, create a new participant from the </w:t>
      </w:r>
      <w:r>
        <w:rPr>
          <w:rFonts w:ascii="Calibri" w:hAnsi="Calibri" w:cs="Calibri" w:eastAsia="Calibri"/>
          <w:b/>
          <w:color w:val="auto"/>
          <w:spacing w:val="0"/>
          <w:position w:val="0"/>
          <w:sz w:val="24"/>
          <w:shd w:fill="FFFF00" w:val="clear"/>
        </w:rPr>
        <w:t xml:space="preserve">Labeling Skeleton</w:t>
      </w:r>
      <w:r>
        <w:rPr>
          <w:rFonts w:ascii="Calibri" w:hAnsi="Calibri" w:cs="Calibri" w:eastAsia="Calibri"/>
          <w:color w:val="auto"/>
          <w:spacing w:val="0"/>
          <w:position w:val="0"/>
          <w:sz w:val="24"/>
          <w:shd w:fill="FFFF00" w:val="clear"/>
        </w:rPr>
        <w:t xml:space="preserve"> button.</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Browse to the ‘LowerLimb HBM_N2.vst' file and then enter the name of the participant. The new participant appears in the Subjects pane.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Go to the Tools pane and open the </w:t>
      </w:r>
      <w:r>
        <w:rPr>
          <w:rFonts w:ascii="Calibri" w:hAnsi="Calibri" w:cs="Calibri" w:eastAsia="Calibri"/>
          <w:b/>
          <w:color w:val="auto"/>
          <w:spacing w:val="0"/>
          <w:position w:val="0"/>
          <w:sz w:val="24"/>
          <w:shd w:fill="FFFF00" w:val="clear"/>
        </w:rPr>
        <w:t xml:space="preserve">Subject Preparation</w:t>
      </w:r>
      <w:r>
        <w:rPr>
          <w:rFonts w:ascii="Calibri" w:hAnsi="Calibri" w:cs="Calibri" w:eastAsia="Calibri"/>
          <w:color w:val="auto"/>
          <w:spacing w:val="0"/>
          <w:position w:val="0"/>
          <w:sz w:val="24"/>
          <w:shd w:fill="FFFF00" w:val="clear"/>
        </w:rPr>
        <w:t xml:space="preserve"> tab.</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r>
      <w:r>
        <w:rPr>
          <w:rFonts w:ascii="Calibri" w:hAnsi="Calibri" w:cs="Calibri" w:eastAsia="Calibri"/>
          <w:b/>
          <w:color w:val="auto"/>
          <w:spacing w:val="0"/>
          <w:position w:val="0"/>
          <w:sz w:val="24"/>
          <w:shd w:fill="FFFF00" w:val="clear"/>
        </w:rPr>
        <w:t xml:space="preserve">Zero level</w:t>
      </w:r>
      <w:r>
        <w:rPr>
          <w:rFonts w:ascii="Calibri" w:hAnsi="Calibri" w:cs="Calibri" w:eastAsia="Calibri"/>
          <w:color w:val="auto"/>
          <w:spacing w:val="0"/>
          <w:position w:val="0"/>
          <w:sz w:val="24"/>
          <w:shd w:fill="FFFF00" w:val="clear"/>
        </w:rPr>
        <w:t xml:space="preserve"> the forceplates via the </w:t>
      </w:r>
      <w:r>
        <w:rPr>
          <w:rFonts w:ascii="Calibri" w:hAnsi="Calibri" w:cs="Calibri" w:eastAsia="Calibri"/>
          <w:b/>
          <w:color w:val="auto"/>
          <w:spacing w:val="0"/>
          <w:position w:val="0"/>
          <w:sz w:val="24"/>
          <w:shd w:fill="FFFF00" w:val="clear"/>
        </w:rPr>
        <w:t xml:space="preserve">Hardware</w:t>
      </w:r>
      <w:r>
        <w:rPr>
          <w:rFonts w:ascii="Calibri" w:hAnsi="Calibri" w:cs="Calibri" w:eastAsia="Calibri"/>
          <w:color w:val="auto"/>
          <w:spacing w:val="0"/>
          <w:position w:val="0"/>
          <w:sz w:val="24"/>
          <w:shd w:fill="FFFF00" w:val="clear"/>
        </w:rPr>
        <w:t xml:space="preserve"> tab. Make sure that no weight is exerted on the force plates.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w:t>
        <w:tab/>
        <w:t xml:space="preserve">Prepare the participant for the ROM trial by having them ready in the middle of the treadmill.</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To ensure the participant can accustom themselves to the self-paced treadmill, ask them to walk at a comfortable speed for 5 min at the beginning of the session</w:t>
      </w:r>
      <w:r>
        <w:rPr>
          <w:rFonts w:ascii="Calibri" w:hAnsi="Calibri" w:cs="Calibri" w:eastAsia="Calibri"/>
          <w:color w:val="auto"/>
          <w:spacing w:val="0"/>
          <w:position w:val="0"/>
          <w:sz w:val="24"/>
          <w:shd w:fill="FFFF00" w:val="clear"/>
          <w:vertAlign w:val="superscript"/>
        </w:rPr>
        <w:t xml:space="preserve">9,10</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Following the acclimatization and without any delay time, ask the participant to walk for a minimum of 5 min</w:t>
      </w:r>
      <w:r>
        <w:rPr>
          <w:rFonts w:ascii="Calibri" w:hAnsi="Calibri" w:cs="Calibri" w:eastAsia="Calibri"/>
          <w:color w:val="auto"/>
          <w:spacing w:val="0"/>
          <w:position w:val="0"/>
          <w:sz w:val="24"/>
          <w:shd w:fill="FFFF00" w:val="clear"/>
          <w:vertAlign w:val="superscript"/>
        </w:rPr>
        <w:t xml:space="preserve">10,11</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Ensure participants are blinded to the timing of the recordings.</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Ensure to start the treadmill and start data recordings by clicking the </w:t>
      </w:r>
      <w:r>
        <w:rPr>
          <w:rFonts w:ascii="Calibri" w:hAnsi="Calibri" w:cs="Calibri" w:eastAsia="Calibri"/>
          <w:b/>
          <w:color w:val="auto"/>
          <w:spacing w:val="0"/>
          <w:position w:val="0"/>
          <w:sz w:val="24"/>
          <w:shd w:fill="FFFF00" w:val="clear"/>
        </w:rPr>
        <w:t xml:space="preserve">Start recording</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This can be done with integrated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Stop the recording after acquiring the desired amount of data. It is recommended to collect three sets of 25 cycles.</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Open the processing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remove the high-frequency noise on data, by selecting a low-pass filter to the marker data such as a second order Butterworth filter with a cut-off frequency of 6 Hz.</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Go to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to save as a .csv.</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Determine individual strides from vertical force data and use the foot markers to ascertain gait events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Analyze the gait parameters such as kinematic, kinetic and spatial-temporal data in Matlab R2017a (</w:t>
      </w:r>
      <w:r>
        <w:rPr>
          <w:rFonts w:ascii="Calibri" w:hAnsi="Calibri" w:cs="Calibri" w:eastAsia="Calibri"/>
          <w:b/>
          <w:color w:val="auto"/>
          <w:spacing w:val="0"/>
          <w:position w:val="0"/>
          <w:sz w:val="24"/>
          <w:shd w:fill="FFFF00" w:val="clear"/>
        </w:rPr>
        <w:t xml:space="preserve">Supplementary File</w:t>
      </w:r>
      <w:r>
        <w:rPr>
          <w:rFonts w:ascii="Calibri" w:hAnsi="Calibri" w:cs="Calibri" w:eastAsia="Calibri"/>
          <w:color w:val="auto"/>
          <w:spacing w:val="0"/>
          <w:position w:val="0"/>
          <w:sz w:val="24"/>
          <w:shd w:fill="FFFF00" w:val="clear"/>
        </w:rPr>
        <w:t xml:space="preserve">).</w:t>
      </w:r>
    </w:p>
    <w:p>
      <w:pPr>
        <w:spacing w:before="0" w:after="200" w:line="276"/>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tab/>
        <w:t xml:space="preserve">Setup and procedures for muscle strength test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the muscle strength testing equipment (multimodal dynamometer)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measure participants' muscle strength based on Maximum Voluntary Isometric Contraction (MVIC)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Attach the tool/pad number 701 to the dynamometer exercise head.</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Test participant's right and left knee isometric muscle strength.</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Test participants in a seated position on a chair with a backrest.</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Using the up/down switch, align the dynamometer axis with the knee joint's anatomical axis of rotation. Place the pad of the tool centrally at the lower part of the shin of the tibia.</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Keep the knee at 90&amp;#176; flexion, the hip in neutral rotation and abduction, and the foot in plantar flexion.</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participant's hands on their abdomen and stabilize the trunk, hips, and mid-thigh on the chair with Velcro straps.</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Run a practice trial for participants to get accustomed to the testing maneuver.</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Instruct the participant to extend their knee (exert pressure upwards on the pad) followed by flex (exert pressure downwards on the pad) to exert a maximum contraction on the command </w:t>
      </w:r>
      <w:r>
        <w:rPr>
          <w:rFonts w:ascii="Calibri" w:hAnsi="Calibri" w:cs="Calibri" w:eastAsia="Calibri"/>
          <w:b/>
          <w:color w:val="auto"/>
          <w:spacing w:val="0"/>
          <w:position w:val="0"/>
          <w:sz w:val="24"/>
          <w:shd w:fill="FFFF00" w:val="clear"/>
        </w:rPr>
        <w:t xml:space="preserve">Go</w:t>
      </w:r>
      <w:r>
        <w:rPr>
          <w:rFonts w:ascii="Calibri" w:hAnsi="Calibri" w:cs="Calibri" w:eastAsia="Calibri"/>
          <w:color w:val="auto"/>
          <w:spacing w:val="0"/>
          <w:position w:val="0"/>
          <w:sz w:val="24"/>
          <w:shd w:fill="FFFF00" w:val="clear"/>
        </w:rPr>
        <w:t xml:space="preserve"> for 3 s.</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Provide verbal prompts and encouragement (“Push” for upwards and “Pull” for downwards) during the strength testing.</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Ensure that participants are aware they can stop the test immediately if they experience any unusual pain or discomfort.</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Allow participants to rest for 2 min.</w:t>
      </w:r>
    </w:p>
    <w:p>
      <w:pPr>
        <w:spacing w:before="0" w:after="200" w:line="276"/>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Repeat steps 3.1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3.12, three times for the left leg and right leg and record the data in newtons (N).</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3.14.</w:t>
        <w:tab/>
        <w:t xml:space="preserve">Save all the data and export as a report for the analysis.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and standard deviation of the spatial-temporal, kinematics, and kinetic gait parameters are given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MVIC data for all 30 participants are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typical set of data for the left and right side of one participant showing graphical representation of gait parameters is provided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presented are representative of the results obtained across all participants, and are consistent with textbook reference results obtained for gait and isometric strength testing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Gait analysis system. </w:t>
      </w:r>
      <w:r>
        <w:rPr>
          <w:rFonts w:ascii="Calibri" w:hAnsi="Calibri" w:cs="Calibri" w:eastAsia="Calibri"/>
          <w:color w:val="auto"/>
          <w:spacing w:val="0"/>
          <w:position w:val="0"/>
          <w:sz w:val="24"/>
          <w:shd w:fill="auto" w:val="clear"/>
        </w:rPr>
        <w:t xml:space="preserve">The GRAIL system is used to measure gait parameters. This system consists of a split-belt instrumented treadmill, 160&amp;#176; semi-cylindrical projection screen, force sensors, video cameras and optical infrared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markers used in Human Body Model (HBM). </w:t>
      </w:r>
      <w:r>
        <w:rPr>
          <w:rFonts w:ascii="Calibri" w:hAnsi="Calibri" w:cs="Calibri" w:eastAsia="Calibri"/>
          <w:color w:val="auto"/>
          <w:spacing w:val="0"/>
          <w:position w:val="0"/>
          <w:sz w:val="24"/>
          <w:shd w:fill="auto" w:val="clear"/>
        </w:rPr>
        <w:t xml:space="preserve">This figure shows the exact placements of all markers in the HBM lower body model. Special attention should be paid to the placement of the markers printed in green (bold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these are used during initialization to define the biomechanical skeleton. This figure is adapted from the HBM Reference Manual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muscle strength testing equipment (multimodal dynamometer) used to measure participants lower limb muscle strength. </w:t>
      </w:r>
      <w:r>
        <w:rPr>
          <w:rFonts w:ascii="Calibri" w:hAnsi="Calibri" w:cs="Calibri" w:eastAsia="Calibri"/>
          <w:color w:val="auto"/>
          <w:spacing w:val="0"/>
          <w:position w:val="0"/>
          <w:sz w:val="24"/>
          <w:shd w:fill="auto" w:val="clear"/>
        </w:rPr>
        <w:t xml:space="preserve">This system is used to measure the participants' muscle strength based on Maximum Voluntary Isometric Contraction (MVIC).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sample report produced from offline analysis of the gait assessment using the proposed technique. </w:t>
      </w:r>
      <w:r>
        <w:rPr>
          <w:rFonts w:ascii="Calibri" w:hAnsi="Calibri" w:cs="Calibri" w:eastAsia="Calibri"/>
          <w:color w:val="auto"/>
          <w:spacing w:val="0"/>
          <w:position w:val="0"/>
          <w:sz w:val="24"/>
          <w:shd w:fill="auto" w:val="clear"/>
        </w:rPr>
        <w:t xml:space="preserve">Spatial temporal data and kinematic and kinetic gait cycle for the left side of one participant. Each line represents one gait cycle. The Y-axis represents the joint angles in degrees for the kinematic plots and joint moment in newton meter per kilogram for the kinetic plots. Red lines represent left side gait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sample report produced from offline analysis of the gait assessment using the proposed technique. </w:t>
      </w:r>
      <w:r>
        <w:rPr>
          <w:rFonts w:ascii="Calibri" w:hAnsi="Calibri" w:cs="Calibri" w:eastAsia="Calibri"/>
          <w:color w:val="auto"/>
          <w:spacing w:val="0"/>
          <w:position w:val="0"/>
          <w:sz w:val="24"/>
          <w:shd w:fill="auto" w:val="clear"/>
        </w:rPr>
        <w:t xml:space="preserve">Spatial temporal data and kinematic and kinetic gait cycle for the right side of one participant. Each line represents one gait cycle. The Y-axis represents the joint angles in degrees for the kinematic plots, and joint moment in newton meter per kilogram for the kinetic plots. The Green lines represent right side gait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Markers used in the Human Body Model (HBM). </w:t>
      </w:r>
      <w:r>
        <w:rPr>
          <w:rFonts w:ascii="Calibri" w:hAnsi="Calibri" w:cs="Calibri" w:eastAsia="Calibri"/>
          <w:color w:val="auto"/>
          <w:spacing w:val="0"/>
          <w:position w:val="0"/>
          <w:sz w:val="24"/>
          <w:shd w:fill="auto" w:val="clear"/>
        </w:rPr>
        <w:t xml:space="preserve">This table shows the exact placements of all markers in the HBM lower body model. Special attention should be paid to the placement of the markers written in bold; these are used during initialization to define the biomechanical skeleton. This table is adapted from the HBM Reference Manual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mean and standard deviation of the spatial-temporal, kinematics, kinetic gait parameters for the 30 participants. </w:t>
      </w:r>
      <w:r>
        <w:rPr>
          <w:rFonts w:ascii="Calibri" w:hAnsi="Calibri" w:cs="Calibri" w:eastAsia="Calibri"/>
          <w:color w:val="auto"/>
          <w:spacing w:val="0"/>
          <w:position w:val="0"/>
          <w:sz w:val="24"/>
          <w:shd w:fill="auto" w:val="clear"/>
        </w:rPr>
        <w:t xml:space="preserve">Gait parameters are reported for the left and the right side separately.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The mean and standard deviation of the Maximum Voluntary Isometric Contraction (MVIC) for knee joint using the muscle strength testing equipment for the 30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contribution of this study is to accurately and comprehensively describe within one protocol the techniques for combined gait analysis and muscle strength testing that have not previously been described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accurate results for gait analysis, there are two areas that require maximum attention: 1) marker placements and 2) acclimatization time. The accuracy of the measured data is heavily dependent on the accuracy of the model used. The other key factors that affect accuracy include erroneous marker movement due to superficial skin deformation relative to the underlying skeletal structure, and the resolution of the tracking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exact placements of all markers in the HBM lower body model. Special attention should be given to the placement of the markers printed in green; these are used during initialization to define the biomechanical skeleton. Participants were asked to walk for at least 5 min to adapt to SP treadmill walking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SP mode was chosen in order to allow participants a more natural stride variability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studies have shown that walking speed varies more during SP walking and gait disturbance could occur through acceleration or deceleration of the belt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line with other studies</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to minimize this effect, we recommend at least five minutes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should be allowed for acclimatization.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participants' muscle strength using the muscle test equipment, there are three critical stages: 1) alignment of knee joint with the dynamometer axis, 2) practice trial, and 3) verbal encouragement. Inappropriate alignment between the dynamometer and knee joint axis of rotation can introduce a factor confounding accurate isometric assessment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Throughout the study, all participants were given precise instruction about the system prior to taking part. However, a practice trial and verbal encouragement are two factors that can greatly affect the MVIC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Many of the individuals who underwent the strength test have very limited or no experience in performing strength testing maneuvers. Strength testing has generally been shown to be reliable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but it has been shown that strength scores of novice participants are likely to improve on subsequent testing as they become more comfortable and familiar with the test and the system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Verbal encouragement during exercise testing has been shown to enhance maximal force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rate of force development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muscle activation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muscular endurance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power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maximal oxygen consumption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time to exhaustion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Therefore, we highly recommend adopting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data presented here are representative of textbook reference results for gait and isometric strength testing obtained on other equipment. Therefore, it is proposed that the methodology outlined in this article may be considered effective in the assessment of gait and muscular strength in healthy individuals. Further studies should evaluate the reliability of these systems before they are used in clinical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 T. W., Chang, C. F. Biomechanics of human movement and its clinical applications. </w:t>
      </w:r>
      <w:r>
        <w:rPr>
          <w:rFonts w:ascii="Calibri" w:hAnsi="Calibri" w:cs="Calibri" w:eastAsia="Calibri"/>
          <w:i/>
          <w:color w:val="auto"/>
          <w:spacing w:val="0"/>
          <w:position w:val="0"/>
          <w:sz w:val="24"/>
          <w:shd w:fill="auto" w:val="clear"/>
        </w:rPr>
        <w:t xml:space="preserve">The Kaohsiung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Supplement), S13-S25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Kaufman, K., An, K. in </w:t>
      </w:r>
      <w:r>
        <w:rPr>
          <w:rFonts w:ascii="Calibri" w:hAnsi="Calibri" w:cs="Calibri" w:eastAsia="Calibri"/>
          <w:i/>
          <w:color w:val="auto"/>
          <w:spacing w:val="0"/>
          <w:position w:val="0"/>
          <w:sz w:val="24"/>
          <w:shd w:fill="auto" w:val="clear"/>
        </w:rPr>
        <w:t xml:space="preserve">Kelley and Firestein's Textbook of Rheumatology (Tenth Edition)</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https://doi.org/10.1016/B978-0-323-31696-5.00006-1</w:t>
        </w:r>
      </w:hyperlink>
      <w:r>
        <w:rPr>
          <w:rFonts w:ascii="Calibri" w:hAnsi="Calibri" w:cs="Calibri" w:eastAsia="Calibri"/>
          <w:color w:val="auto"/>
          <w:spacing w:val="0"/>
          <w:position w:val="0"/>
          <w:sz w:val="24"/>
          <w:shd w:fill="auto" w:val="clear"/>
        </w:rPr>
        <w:t xml:space="preserve"> eds Gary S. Firestein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78-89 (Elsevier,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Sloot, L. H., van der Krogt, M. M., Harlaar, J. Self-paced versus fixed speed treadmill walking.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478-484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Beaton, D. E., O'Driscoll, S. W., Richards, R. R. Grip strength testing using the BTE work simulator and the jamar dynamometer: A comparative study.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293-298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Jindal, P., Narayan, A., Ganesan, S., MacDermid, J. C. Muscle strength differences in healthy young adults with and without generalized joint hypermobility: a cross-sectional study. </w:t>
      </w:r>
      <w:r>
        <w:rPr>
          <w:rFonts w:ascii="Calibri" w:hAnsi="Calibri" w:cs="Calibri" w:eastAsia="Calibri"/>
          <w:i/>
          <w:color w:val="auto"/>
          <w:spacing w:val="0"/>
          <w:position w:val="0"/>
          <w:sz w:val="24"/>
          <w:shd w:fill="auto" w:val="clear"/>
        </w:rPr>
        <w:t xml:space="preserve">BMC Sports Science, Medicine &amp;amp;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12-12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Muehlbauer, T., Granacher, U., Borde, R., Hortob&amp;#225;gyi, T. Non-Discriminant Relationships between Leg Muscle Strength, Mass and Gait Performance in Healthy Young and Old Adults. </w:t>
      </w:r>
      <w:r>
        <w:rPr>
          <w:rFonts w:ascii="Calibri" w:hAnsi="Calibri" w:cs="Calibri" w:eastAsia="Calibri"/>
          <w:i/>
          <w:color w:val="auto"/>
          <w:spacing w:val="0"/>
          <w:position w:val="0"/>
          <w:sz w:val="24"/>
          <w:shd w:fill="auto" w:val="clear"/>
        </w:rPr>
        <w:t xml:space="preserve">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11-18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den Bogert, A. J., Geijtenbeek, T., Even-Zohar, O., Steenbrink, F., Hardin, E. C. A real-time system for biomechanical analysis of human movement and muscle function.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1069-1077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HBM2 Reference Manual. Motek Medical B.V., The Netherlands, 9-11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Sloot, L. H., van der Krogt, M. M., Harlaar, J. Effects of adding a virtual reality environment to different modes of treadmill walking. </w:t>
      </w:r>
      <w:r>
        <w:rPr>
          <w:rFonts w:ascii="Calibri" w:hAnsi="Calibri" w:cs="Calibri" w:eastAsia="Calibri"/>
          <w:i/>
          <w:color w:val="auto"/>
          <w:spacing w:val="0"/>
          <w:position w:val="0"/>
          <w:sz w:val="24"/>
          <w:shd w:fill="auto" w:val="clear"/>
        </w:rPr>
        <w:t xml:space="preserve">Gait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939-945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W.-Y.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Reproducibility and Validity of the 6-Minute Walk Test Using the Gait Real-Time Analysis Interactive Lab in Patients with COPD and Healthy Elderly.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e0162444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Herman, T., Mirelman, A., Giladi, N., Schweiger, A., Hausdorff, J. M. Executive Control Deficits as a Prodrome to Falls in Healthy Older Adults: A Prospective Study Linking Thinking, Walking, and Falling. </w:t>
      </w:r>
      <w:r>
        <w:rPr>
          <w:rFonts w:ascii="Calibri" w:hAnsi="Calibri" w:cs="Calibri" w:eastAsia="Calibri"/>
          <w:i/>
          <w:color w:val="auto"/>
          <w:spacing w:val="0"/>
          <w:position w:val="0"/>
          <w:sz w:val="24"/>
          <w:shd w:fill="auto" w:val="clear"/>
        </w:rPr>
        <w:t xml:space="preserve">The Journals of Gerontology: Series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65A</w:t>
      </w:r>
      <w:r>
        <w:rPr>
          <w:rFonts w:ascii="Calibri" w:hAnsi="Calibri" w:cs="Calibri" w:eastAsia="Calibri"/>
          <w:color w:val="auto"/>
          <w:spacing w:val="0"/>
          <w:position w:val="0"/>
          <w:sz w:val="24"/>
          <w:shd w:fill="auto" w:val="clear"/>
        </w:rPr>
        <w:t xml:space="preserve"> (10), 1086-1092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Geijtenbeek, T., Steenbrink, F., Otten, B., Even-Zohar, O. in </w:t>
      </w:r>
      <w:r>
        <w:rPr>
          <w:rFonts w:ascii="Calibri" w:hAnsi="Calibri" w:cs="Calibri" w:eastAsia="Calibri"/>
          <w:i/>
          <w:color w:val="auto"/>
          <w:spacing w:val="0"/>
          <w:position w:val="0"/>
          <w:sz w:val="24"/>
          <w:shd w:fill="auto" w:val="clear"/>
        </w:rPr>
        <w:t xml:space="preserve">Proceedings of the 10th International Conference on Virtual Reality Continuum and Its Applications in Industry</w:t>
      </w:r>
      <w:r>
        <w:rPr>
          <w:rFonts w:ascii="Calibri" w:hAnsi="Calibri" w:cs="Calibri" w:eastAsia="Calibri"/>
          <w:color w:val="auto"/>
          <w:spacing w:val="0"/>
          <w:position w:val="0"/>
          <w:sz w:val="24"/>
          <w:shd w:fill="auto" w:val="clear"/>
        </w:rPr>
        <w:t xml:space="preserve"> 10.1145/2087756.2087785 201-208 (ACM, Hong Kong, China,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Zeni, J. A., Higginson, J. S. Gait parameters and stride-to-stride variability during familiarization to walking on a split-belt treadmill.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383-386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Meldrum, D., Cahalane, E., Conroy, R., Fitzgerald, D., Hardiman, O. Maximum voluntary isometric contraction: reference values and clinical application. </w:t>
      </w:r>
      <w:r>
        <w:rPr>
          <w:rFonts w:ascii="Calibri" w:hAnsi="Calibri" w:cs="Calibri" w:eastAsia="Calibri"/>
          <w:i/>
          <w:color w:val="auto"/>
          <w:spacing w:val="0"/>
          <w:position w:val="0"/>
          <w:sz w:val="24"/>
          <w:shd w:fill="auto" w:val="clear"/>
        </w:rPr>
        <w:t xml:space="preserve">Amyotroph Lateral 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47-55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Ancillao, A. </w:t>
      </w:r>
      <w:r>
        <w:rPr>
          <w:rFonts w:ascii="Calibri" w:hAnsi="Calibri" w:cs="Calibri" w:eastAsia="Calibri"/>
          <w:i/>
          <w:color w:val="auto"/>
          <w:spacing w:val="0"/>
          <w:position w:val="0"/>
          <w:sz w:val="24"/>
          <w:shd w:fill="auto" w:val="clear"/>
        </w:rPr>
        <w:t xml:space="preserve">Modern Functional Evaluation Methods for Muscle Strength and Gait Analysis</w:t>
      </w:r>
      <w:r>
        <w:rPr>
          <w:rFonts w:ascii="Calibri" w:hAnsi="Calibri" w:cs="Calibri" w:eastAsia="Calibri"/>
          <w:color w:val="auto"/>
          <w:spacing w:val="0"/>
          <w:position w:val="0"/>
          <w:sz w:val="24"/>
          <w:shd w:fill="auto" w:val="clear"/>
        </w:rPr>
        <w:t xml:space="preserve">. 133 (Springer,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Mun, J. H. A method for the reduction of skin marker artifacts during walking : Application to the knee. </w:t>
      </w:r>
      <w:r>
        <w:rPr>
          <w:rFonts w:ascii="Calibri" w:hAnsi="Calibri" w:cs="Calibri" w:eastAsia="Calibri"/>
          <w:i/>
          <w:color w:val="auto"/>
          <w:spacing w:val="0"/>
          <w:position w:val="0"/>
          <w:sz w:val="24"/>
          <w:shd w:fill="auto" w:val="clear"/>
        </w:rPr>
        <w:t xml:space="preserve">KSME International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825-835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Liu, P. C., Liu, J. F., Chen, L. Y., Xia, K., Wu, X. Intermittent pneumatic compression devices combined with anticoagulants for prevention of symptomatic deep vein thrombosis after total knee arthroplasty: a pilot study. </w:t>
      </w:r>
      <w:r>
        <w:rPr>
          <w:rFonts w:ascii="Calibri" w:hAnsi="Calibri" w:cs="Calibri" w:eastAsia="Calibri"/>
          <w:i/>
          <w:color w:val="auto"/>
          <w:spacing w:val="0"/>
          <w:position w:val="0"/>
          <w:sz w:val="24"/>
          <w:shd w:fill="auto" w:val="clear"/>
        </w:rPr>
        <w:t xml:space="preserve">Therapeutics and Clinical Risk Management.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179-183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Al-Amri, M., Al Balushi, H., Mashabi, A. Intra-rater repeatability of gait parameters in healthy adults during self-paced treadmill-based virtual reality walking. </w:t>
      </w:r>
      <w:r>
        <w:rPr>
          <w:rFonts w:ascii="Calibri" w:hAnsi="Calibri" w:cs="Calibri" w:eastAsia="Calibri"/>
          <w:i/>
          <w:color w:val="auto"/>
          <w:spacing w:val="0"/>
          <w:position w:val="0"/>
          <w:sz w:val="24"/>
          <w:shd w:fill="auto" w:val="clear"/>
        </w:rPr>
        <w:t xml:space="preserve">Computer Methods in Biomechanics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 1669-1677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Zeni Jr, J., Richards, J., Higginson, J. Two simple methods for determining gait events during treadmill and overground walking using kinematic data.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710-714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Tsaopoulos, D. E., Baltzopoulos, V., Richards, P. J. &amp;amp; Maganaris, C. N. Mechanical correction of dynamometer moment for the effects of segment motion during isometric knee-extension tests. </w:t>
      </w:r>
      <w:r>
        <w:rPr>
          <w:rFonts w:ascii="Calibri" w:hAnsi="Calibri" w:cs="Calibri" w:eastAsia="Calibri"/>
          <w:i/>
          <w:color w:val="auto"/>
          <w:spacing w:val="0"/>
          <w:position w:val="0"/>
          <w:sz w:val="24"/>
          <w:shd w:fill="auto" w:val="clear"/>
        </w:rPr>
        <w:t xml:space="preserve">Journal of Applied Physiology (Bethesda, Md. :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68-74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Abernethy, P., Wilson, G., Logan, P. Strength and power assessment. Issues, controversies and challenges.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401-417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Kroll, W. Reliability of a Selected Measure of Human Strength. </w:t>
      </w:r>
      <w:r>
        <w:rPr>
          <w:rFonts w:ascii="Calibri" w:hAnsi="Calibri" w:cs="Calibri" w:eastAsia="Calibri"/>
          <w:i/>
          <w:color w:val="auto"/>
          <w:spacing w:val="0"/>
          <w:position w:val="0"/>
          <w:sz w:val="24"/>
          <w:shd w:fill="auto" w:val="clear"/>
        </w:rPr>
        <w:t xml:space="preserve">Research Quarterly. American Association for Health, Physical Education and Recreation.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410-417 (1962).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Anzak, A., Tan, H., Pogosyan, A., Brown, P. Doing better than your best: loud auditory stimulation yields improvements in maximal voluntary force.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237-243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Belkhiria, C., De Marco, G., Driss, T. Effects of verbal encouragement on force and electromyographic activations during exercise. </w:t>
      </w:r>
      <w:r>
        <w:rPr>
          <w:rFonts w:ascii="Calibri" w:hAnsi="Calibri" w:cs="Calibri" w:eastAsia="Calibri"/>
          <w:i/>
          <w:color w:val="auto"/>
          <w:spacing w:val="0"/>
          <w:position w:val="0"/>
          <w:sz w:val="24"/>
          <w:shd w:fill="auto" w:val="clear"/>
        </w:rPr>
        <w:t xml:space="preserve">Journal of Sports Medicine and Physical Fitness.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750-757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Bickers, M. J. Does verbal encouragement work? The effect of verbal encouragement on a muscular endurance task. </w:t>
      </w:r>
      <w:r>
        <w:rPr>
          <w:rFonts w:ascii="Calibri" w:hAnsi="Calibri" w:cs="Calibri" w:eastAsia="Calibri"/>
          <w:i/>
          <w:color w:val="auto"/>
          <w:spacing w:val="0"/>
          <w:position w:val="0"/>
          <w:sz w:val="24"/>
          <w:shd w:fill="auto" w:val="clear"/>
        </w:rPr>
        <w:t xml:space="preserve">Clinical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196-200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Karaba-Jakovljevic, D., Popadic-Gacesa, J., Grujic, N., Barak, O., Drapsin, M. Motivation and motoric tests in sports. </w:t>
      </w:r>
      <w:r>
        <w:rPr>
          <w:rFonts w:ascii="Calibri" w:hAnsi="Calibri" w:cs="Calibri" w:eastAsia="Calibri"/>
          <w:i/>
          <w:color w:val="auto"/>
          <w:spacing w:val="0"/>
          <w:position w:val="0"/>
          <w:sz w:val="24"/>
          <w:shd w:fill="auto" w:val="clear"/>
        </w:rPr>
        <w:t xml:space="preserve">Medicinki Pregled.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(5-6), 231-236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Andreacci,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effects of frequency of encouragement on performance during maximal exercise testing. </w:t>
      </w:r>
      <w:r>
        <w:rPr>
          <w:rFonts w:ascii="Calibri" w:hAnsi="Calibri" w:cs="Calibri" w:eastAsia="Calibri"/>
          <w:i/>
          <w:color w:val="auto"/>
          <w:spacing w:val="0"/>
          <w:position w:val="0"/>
          <w:sz w:val="24"/>
          <w:shd w:fill="auto" w:val="clear"/>
        </w:rPr>
        <w:t xml:space="preserve">Journal of Sports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345-352 (2002).</w:t>
      </w:r>
    </w:p>
    <w:p>
      <w:pPr>
        <w:spacing w:before="0" w:after="200" w:line="240"/>
        <w:ind w:right="0" w:left="720" w:hanging="72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Rendos, 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Variations in Verbal Encouragement Modify Isokinetic Performance. </w:t>
      </w:r>
      <w:r>
        <w:rPr>
          <w:rFonts w:ascii="Calibri" w:hAnsi="Calibri" w:cs="Calibri" w:eastAsia="Calibri"/>
          <w:i/>
          <w:color w:val="auto"/>
          <w:spacing w:val="0"/>
          <w:position w:val="0"/>
          <w:sz w:val="24"/>
          <w:shd w:fill="auto" w:val="clear"/>
        </w:rPr>
        <w:t xml:space="preserve">Journal of Strength and Conditioning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708-716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B978-0-323-31696-5.00006-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