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6F383" w14:textId="77777777" w:rsidR="006B34A5" w:rsidRPr="00B46F4B" w:rsidRDefault="006B34A5" w:rsidP="006B34A5">
      <w:pPr>
        <w:rPr>
          <w:rFonts w:asciiTheme="minorHAnsi" w:hAnsiTheme="minorHAnsi" w:cstheme="minorHAnsi"/>
          <w:b/>
          <w:color w:val="000000" w:themeColor="text1"/>
        </w:rPr>
      </w:pPr>
      <w:bookmarkStart w:id="0" w:name="_GoBack"/>
      <w:r w:rsidRPr="00B46F4B">
        <w:rPr>
          <w:rFonts w:asciiTheme="minorHAnsi" w:hAnsiTheme="minorHAnsi" w:cstheme="minorHAnsi"/>
          <w:b/>
          <w:color w:val="000000" w:themeColor="text1"/>
        </w:rPr>
        <w:t>Appendix</w:t>
      </w:r>
      <w:bookmarkEnd w:id="0"/>
    </w:p>
    <w:p w14:paraId="1268D0D1" w14:textId="77777777" w:rsidR="006B34A5" w:rsidRPr="00B46F4B" w:rsidRDefault="006B34A5" w:rsidP="006B34A5">
      <w:pPr>
        <w:rPr>
          <w:rFonts w:asciiTheme="minorHAnsi" w:hAnsiTheme="minorHAnsi" w:cstheme="minorHAnsi"/>
          <w:b/>
          <w:color w:val="000000" w:themeColor="text1"/>
        </w:rPr>
      </w:pPr>
    </w:p>
    <w:p w14:paraId="5A1FAEE0" w14:textId="77777777" w:rsidR="006B34A5" w:rsidRPr="00B46F4B" w:rsidRDefault="006B34A5" w:rsidP="006B34A5">
      <w:pPr>
        <w:rPr>
          <w:rFonts w:asciiTheme="minorHAnsi" w:hAnsiTheme="minorHAnsi" w:cstheme="minorHAnsi"/>
          <w:color w:val="000000" w:themeColor="text1"/>
        </w:rPr>
      </w:pPr>
      <w:r w:rsidRPr="00B46F4B">
        <w:rPr>
          <w:rFonts w:asciiTheme="minorHAnsi" w:hAnsiTheme="minorHAnsi" w:cstheme="minorHAnsi"/>
          <w:b/>
          <w:color w:val="000000" w:themeColor="text1"/>
        </w:rPr>
        <w:t>Stop Signal Task</w:t>
      </w:r>
    </w:p>
    <w:p w14:paraId="0C84B61F" w14:textId="77777777" w:rsidR="006B34A5" w:rsidRPr="00B46F4B" w:rsidRDefault="006B34A5" w:rsidP="006B34A5">
      <w:pPr>
        <w:ind w:firstLine="720"/>
        <w:rPr>
          <w:rFonts w:asciiTheme="minorHAnsi" w:hAnsiTheme="minorHAnsi" w:cstheme="minorHAnsi"/>
          <w:color w:val="000000" w:themeColor="text1"/>
        </w:rPr>
      </w:pPr>
    </w:p>
    <w:p w14:paraId="5A4B8892" w14:textId="77777777" w:rsidR="006B34A5" w:rsidRPr="00B46F4B" w:rsidRDefault="006B34A5" w:rsidP="006B34A5">
      <w:pPr>
        <w:ind w:firstLine="720"/>
        <w:rPr>
          <w:rFonts w:asciiTheme="minorHAnsi" w:hAnsiTheme="minorHAnsi" w:cstheme="minorHAnsi"/>
          <w:color w:val="000000" w:themeColor="text1"/>
        </w:rPr>
      </w:pPr>
      <w:r w:rsidRPr="00B46F4B">
        <w:rPr>
          <w:rFonts w:asciiTheme="minorHAnsi" w:hAnsiTheme="minorHAnsi" w:cstheme="minorHAnsi"/>
          <w:color w:val="000000" w:themeColor="text1"/>
        </w:rPr>
        <w:t>In the SST, the participant is repeatedly exposed to a ‘go’ cue and asked to quickly press a button on a keyboard. Occasionally, a stop signal follows the go cue, indicating that the participant should withhold action. The SST is designed to estimate the stopping process by manipulating specific variables in a performance tracking algorithm. A race ensues between two independent mental processes - a go, and a stop process – and this model provides theoretically justified estimates of the latency of stopping</w:t>
      </w:r>
      <w:r w:rsidRPr="00B46F4B">
        <w:rPr>
          <w:rFonts w:asciiTheme="minorHAnsi" w:hAnsiTheme="minorHAnsi" w:cstheme="minorHAnsi"/>
          <w:color w:val="000000" w:themeColor="text1"/>
          <w:vertAlign w:val="superscript"/>
        </w:rPr>
        <w:t>1</w:t>
      </w:r>
      <w:r w:rsidRPr="00B46F4B">
        <w:rPr>
          <w:rFonts w:asciiTheme="minorHAnsi" w:hAnsiTheme="minorHAnsi" w:cstheme="minorHAnsi"/>
          <w:color w:val="000000" w:themeColor="text1"/>
        </w:rPr>
        <w:t xml:space="preserve">. Such estimation is necessary given the unobservable latency of the stopping process. Our SST program was custom written in </w:t>
      </w:r>
      <w:proofErr w:type="spellStart"/>
      <w:r w:rsidRPr="00B46F4B">
        <w:rPr>
          <w:rFonts w:asciiTheme="minorHAnsi" w:hAnsiTheme="minorHAnsi" w:cstheme="minorHAnsi"/>
          <w:color w:val="000000" w:themeColor="text1"/>
        </w:rPr>
        <w:t>Matlab</w:t>
      </w:r>
      <w:proofErr w:type="spellEnd"/>
      <w:r w:rsidRPr="00B46F4B">
        <w:rPr>
          <w:rFonts w:asciiTheme="minorHAnsi" w:hAnsiTheme="minorHAnsi" w:cstheme="minorHAnsi"/>
          <w:color w:val="000000" w:themeColor="text1"/>
        </w:rPr>
        <w:t xml:space="preserve"> (</w:t>
      </w:r>
      <w:proofErr w:type="spellStart"/>
      <w:r w:rsidRPr="00B46F4B">
        <w:rPr>
          <w:rFonts w:asciiTheme="minorHAnsi" w:hAnsiTheme="minorHAnsi" w:cstheme="minorHAnsi"/>
          <w:color w:val="000000" w:themeColor="text1"/>
        </w:rPr>
        <w:t>Mathworks</w:t>
      </w:r>
      <w:proofErr w:type="spellEnd"/>
      <w:r w:rsidRPr="00B46F4B">
        <w:rPr>
          <w:rFonts w:asciiTheme="minorHAnsi" w:hAnsiTheme="minorHAnsi" w:cstheme="minorHAnsi"/>
          <w:color w:val="000000" w:themeColor="text1"/>
        </w:rPr>
        <w:t>, MA), adapted from a version used by Aron &amp; Poldrack</w:t>
      </w:r>
      <w:r w:rsidRPr="00B46F4B">
        <w:rPr>
          <w:rFonts w:asciiTheme="minorHAnsi" w:hAnsiTheme="minorHAnsi" w:cstheme="minorHAnsi"/>
          <w:color w:val="000000" w:themeColor="text1"/>
          <w:vertAlign w:val="superscript"/>
        </w:rPr>
        <w:t>2</w:t>
      </w:r>
      <w:r w:rsidRPr="00B46F4B">
        <w:rPr>
          <w:rFonts w:asciiTheme="minorHAnsi" w:hAnsiTheme="minorHAnsi" w:cstheme="minorHAnsi"/>
          <w:color w:val="000000" w:themeColor="text1"/>
        </w:rPr>
        <w:t>. This test is completed while participants sit at a desk facing a computer. They will be presented with a go signal (“&lt;” or “&gt;”) and instructed to respond as quickly as possible by pressing the appropriate button on the keyboard (i.e. press “&gt;” if the arrow points right, and “&lt;” if the arrow points left). They will be asked to do this as quickly as possible once the arrow appears, but to refrain from responding if a stop tone is heard. On 25% of the trials, the stop signal follows the go cue at random. The delay between go and stop signals is referred to as the stop-signal delay. The basic idea is that inhibition of the prepotent response is more difficult when the inhibitory stimulus is presented after a longer time interval than a shorter one. When the stop signal is presented close to the go stimulus onset, a response is easier to inhibit however, as the onset of response execution approaches, stopping becomes increasingly difficult. Because the actual latency of the stopping process cannot be directly measured it must be estimated from a stochastic model, and in this way the covert stopping process (SSRT) is estimated. The stop-signal delay is varied to yield a 50% probability of correctly inhibiting a go response after a tone. The delay where participants inhibit their reaction 50% of the time, is used to estimate the SSRT.</w:t>
      </w:r>
    </w:p>
    <w:p w14:paraId="1EC3238E" w14:textId="77777777" w:rsidR="006B34A5" w:rsidRPr="00B46F4B" w:rsidRDefault="006B34A5" w:rsidP="006B34A5">
      <w:pPr>
        <w:ind w:firstLine="720"/>
        <w:rPr>
          <w:rFonts w:asciiTheme="minorHAnsi" w:hAnsiTheme="minorHAnsi" w:cstheme="minorHAnsi"/>
          <w:color w:val="000000" w:themeColor="text1"/>
        </w:rPr>
      </w:pPr>
    </w:p>
    <w:p w14:paraId="3F37C23F" w14:textId="77777777" w:rsidR="006B34A5" w:rsidRPr="00B46F4B" w:rsidRDefault="006B34A5" w:rsidP="006B34A5">
      <w:pPr>
        <w:rPr>
          <w:rFonts w:asciiTheme="minorHAnsi" w:hAnsiTheme="minorHAnsi" w:cstheme="minorHAnsi"/>
          <w:color w:val="000000" w:themeColor="text1"/>
        </w:rPr>
      </w:pPr>
      <w:r w:rsidRPr="00B46F4B">
        <w:rPr>
          <w:rFonts w:asciiTheme="minorHAnsi" w:hAnsiTheme="minorHAnsi" w:cstheme="minorHAnsi"/>
          <w:color w:val="000000" w:themeColor="text1"/>
          <w:u w:val="single"/>
        </w:rPr>
        <w:t>References for Appendix</w:t>
      </w:r>
      <w:r w:rsidRPr="00B46F4B">
        <w:rPr>
          <w:rFonts w:asciiTheme="minorHAnsi" w:hAnsiTheme="minorHAnsi" w:cstheme="minorHAnsi"/>
          <w:color w:val="000000" w:themeColor="text1"/>
        </w:rPr>
        <w:t>:</w:t>
      </w:r>
    </w:p>
    <w:p w14:paraId="5923C58C" w14:textId="77777777" w:rsidR="006B34A5" w:rsidRPr="00B46F4B" w:rsidRDefault="006B34A5" w:rsidP="006B34A5">
      <w:pPr>
        <w:pStyle w:val="ListParagraph"/>
        <w:numPr>
          <w:ilvl w:val="0"/>
          <w:numId w:val="1"/>
        </w:numPr>
        <w:rPr>
          <w:rFonts w:asciiTheme="minorHAnsi" w:hAnsiTheme="minorHAnsi" w:cstheme="minorHAnsi"/>
          <w:color w:val="000000" w:themeColor="text1"/>
        </w:rPr>
      </w:pPr>
      <w:r w:rsidRPr="00B46F4B">
        <w:rPr>
          <w:rFonts w:asciiTheme="minorHAnsi" w:hAnsiTheme="minorHAnsi" w:cstheme="minorHAnsi"/>
          <w:color w:val="000000" w:themeColor="text1"/>
        </w:rPr>
        <w:t xml:space="preserve">F. </w:t>
      </w:r>
      <w:proofErr w:type="spellStart"/>
      <w:r w:rsidRPr="00B46F4B">
        <w:rPr>
          <w:rFonts w:asciiTheme="minorHAnsi" w:hAnsiTheme="minorHAnsi" w:cstheme="minorHAnsi"/>
          <w:color w:val="000000" w:themeColor="text1"/>
        </w:rPr>
        <w:t>Verbruggen</w:t>
      </w:r>
      <w:proofErr w:type="spellEnd"/>
      <w:r w:rsidRPr="00B46F4B">
        <w:rPr>
          <w:rFonts w:asciiTheme="minorHAnsi" w:hAnsiTheme="minorHAnsi" w:cstheme="minorHAnsi"/>
          <w:color w:val="000000" w:themeColor="text1"/>
        </w:rPr>
        <w:t xml:space="preserve">, G.D. Logan, Models of response inhibition in the stop-signal and stop-change paradigms, </w:t>
      </w:r>
      <w:proofErr w:type="spellStart"/>
      <w:r w:rsidRPr="00B46F4B">
        <w:rPr>
          <w:rFonts w:asciiTheme="minorHAnsi" w:hAnsiTheme="minorHAnsi" w:cstheme="minorHAnsi"/>
          <w:color w:val="000000" w:themeColor="text1"/>
        </w:rPr>
        <w:t>Neurosci</w:t>
      </w:r>
      <w:proofErr w:type="spellEnd"/>
      <w:r w:rsidRPr="00B46F4B">
        <w:rPr>
          <w:rFonts w:asciiTheme="minorHAnsi" w:hAnsiTheme="minorHAnsi" w:cstheme="minorHAnsi"/>
          <w:color w:val="000000" w:themeColor="text1"/>
        </w:rPr>
        <w:t xml:space="preserve">. </w:t>
      </w:r>
      <w:proofErr w:type="spellStart"/>
      <w:r w:rsidRPr="00B46F4B">
        <w:rPr>
          <w:rFonts w:asciiTheme="minorHAnsi" w:hAnsiTheme="minorHAnsi" w:cstheme="minorHAnsi"/>
          <w:color w:val="000000" w:themeColor="text1"/>
        </w:rPr>
        <w:t>Biobehav</w:t>
      </w:r>
      <w:proofErr w:type="spellEnd"/>
      <w:r w:rsidRPr="00B46F4B">
        <w:rPr>
          <w:rFonts w:asciiTheme="minorHAnsi" w:hAnsiTheme="minorHAnsi" w:cstheme="minorHAnsi"/>
          <w:color w:val="000000" w:themeColor="text1"/>
        </w:rPr>
        <w:t>. Rev. 33 (2009) 647–661.</w:t>
      </w:r>
    </w:p>
    <w:p w14:paraId="4C5E83D2" w14:textId="77777777" w:rsidR="006B34A5" w:rsidRPr="00B46F4B" w:rsidRDefault="006B34A5" w:rsidP="006B34A5">
      <w:pPr>
        <w:pStyle w:val="ListParagraph"/>
        <w:numPr>
          <w:ilvl w:val="0"/>
          <w:numId w:val="1"/>
        </w:numPr>
        <w:rPr>
          <w:rFonts w:asciiTheme="minorHAnsi" w:hAnsiTheme="minorHAnsi" w:cstheme="minorHAnsi"/>
          <w:color w:val="000000" w:themeColor="text1"/>
        </w:rPr>
      </w:pPr>
      <w:r w:rsidRPr="00B46F4B">
        <w:rPr>
          <w:rFonts w:asciiTheme="minorHAnsi" w:hAnsiTheme="minorHAnsi" w:cstheme="minorHAnsi"/>
          <w:color w:val="000000" w:themeColor="text1"/>
        </w:rPr>
        <w:t xml:space="preserve">A.R. Aron, R.A. </w:t>
      </w:r>
      <w:proofErr w:type="spellStart"/>
      <w:r w:rsidRPr="00B46F4B">
        <w:rPr>
          <w:rFonts w:asciiTheme="minorHAnsi" w:hAnsiTheme="minorHAnsi" w:cstheme="minorHAnsi"/>
          <w:color w:val="000000" w:themeColor="text1"/>
        </w:rPr>
        <w:t>Poldrack</w:t>
      </w:r>
      <w:proofErr w:type="spellEnd"/>
      <w:r w:rsidRPr="00B46F4B">
        <w:rPr>
          <w:rFonts w:asciiTheme="minorHAnsi" w:hAnsiTheme="minorHAnsi" w:cstheme="minorHAnsi"/>
          <w:color w:val="000000" w:themeColor="text1"/>
        </w:rPr>
        <w:t xml:space="preserve">, Cortical and subcortical contributions to Stop signal response inhibition: role of the subthalamic nucleus, J. </w:t>
      </w:r>
      <w:proofErr w:type="spellStart"/>
      <w:r w:rsidRPr="00B46F4B">
        <w:rPr>
          <w:rFonts w:asciiTheme="minorHAnsi" w:hAnsiTheme="minorHAnsi" w:cstheme="minorHAnsi"/>
          <w:color w:val="000000" w:themeColor="text1"/>
        </w:rPr>
        <w:t>Neurosci</w:t>
      </w:r>
      <w:proofErr w:type="spellEnd"/>
      <w:r w:rsidRPr="00B46F4B">
        <w:rPr>
          <w:rFonts w:asciiTheme="minorHAnsi" w:hAnsiTheme="minorHAnsi" w:cstheme="minorHAnsi"/>
          <w:color w:val="000000" w:themeColor="text1"/>
        </w:rPr>
        <w:t>. 26 (2006) 2424–2433.</w:t>
      </w:r>
    </w:p>
    <w:p w14:paraId="56BA03E3" w14:textId="77777777" w:rsidR="002237E0" w:rsidRDefault="002237E0"/>
    <w:sectPr w:rsidR="002237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DA142F"/>
    <w:multiLevelType w:val="hybridMultilevel"/>
    <w:tmpl w:val="653AF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4A5"/>
    <w:rsid w:val="00002EBB"/>
    <w:rsid w:val="00013817"/>
    <w:rsid w:val="00017B55"/>
    <w:rsid w:val="000234D0"/>
    <w:rsid w:val="000256CC"/>
    <w:rsid w:val="00031509"/>
    <w:rsid w:val="00032A9A"/>
    <w:rsid w:val="00044EBD"/>
    <w:rsid w:val="000454F7"/>
    <w:rsid w:val="00054872"/>
    <w:rsid w:val="00057865"/>
    <w:rsid w:val="00061611"/>
    <w:rsid w:val="000627E6"/>
    <w:rsid w:val="00065E6E"/>
    <w:rsid w:val="000A3038"/>
    <w:rsid w:val="000B16BC"/>
    <w:rsid w:val="000D6EDE"/>
    <w:rsid w:val="000E6C38"/>
    <w:rsid w:val="000F0D44"/>
    <w:rsid w:val="000F5201"/>
    <w:rsid w:val="000F55AC"/>
    <w:rsid w:val="00131B4F"/>
    <w:rsid w:val="00144542"/>
    <w:rsid w:val="0017114D"/>
    <w:rsid w:val="001767B7"/>
    <w:rsid w:val="00182B10"/>
    <w:rsid w:val="001833AF"/>
    <w:rsid w:val="00184668"/>
    <w:rsid w:val="001911ED"/>
    <w:rsid w:val="001A39CC"/>
    <w:rsid w:val="001A7720"/>
    <w:rsid w:val="001C1689"/>
    <w:rsid w:val="001C1B19"/>
    <w:rsid w:val="001D2F98"/>
    <w:rsid w:val="001E308D"/>
    <w:rsid w:val="0021648A"/>
    <w:rsid w:val="002237E0"/>
    <w:rsid w:val="00225EE6"/>
    <w:rsid w:val="002416B0"/>
    <w:rsid w:val="0025102A"/>
    <w:rsid w:val="00252D9B"/>
    <w:rsid w:val="0025574C"/>
    <w:rsid w:val="002720FB"/>
    <w:rsid w:val="002739D8"/>
    <w:rsid w:val="00276266"/>
    <w:rsid w:val="002818C2"/>
    <w:rsid w:val="002932A0"/>
    <w:rsid w:val="002945FF"/>
    <w:rsid w:val="00296576"/>
    <w:rsid w:val="002A00CE"/>
    <w:rsid w:val="002A19C7"/>
    <w:rsid w:val="002A46FD"/>
    <w:rsid w:val="002A6183"/>
    <w:rsid w:val="002A6EDC"/>
    <w:rsid w:val="002D1FDC"/>
    <w:rsid w:val="002D6664"/>
    <w:rsid w:val="002E2D18"/>
    <w:rsid w:val="002F2501"/>
    <w:rsid w:val="002F3475"/>
    <w:rsid w:val="0031078E"/>
    <w:rsid w:val="00311C58"/>
    <w:rsid w:val="00312D5F"/>
    <w:rsid w:val="00313A52"/>
    <w:rsid w:val="00314FD4"/>
    <w:rsid w:val="00323F90"/>
    <w:rsid w:val="00332057"/>
    <w:rsid w:val="00351A84"/>
    <w:rsid w:val="00356E35"/>
    <w:rsid w:val="00360658"/>
    <w:rsid w:val="00361D66"/>
    <w:rsid w:val="00364118"/>
    <w:rsid w:val="00376A4C"/>
    <w:rsid w:val="00386A88"/>
    <w:rsid w:val="003975BB"/>
    <w:rsid w:val="00397AE1"/>
    <w:rsid w:val="003A055D"/>
    <w:rsid w:val="003A0786"/>
    <w:rsid w:val="003A3C70"/>
    <w:rsid w:val="003A6EBC"/>
    <w:rsid w:val="003B4C7A"/>
    <w:rsid w:val="003B4E1D"/>
    <w:rsid w:val="003C79D2"/>
    <w:rsid w:val="003E15C6"/>
    <w:rsid w:val="00400067"/>
    <w:rsid w:val="00406FD4"/>
    <w:rsid w:val="004132BA"/>
    <w:rsid w:val="00413888"/>
    <w:rsid w:val="0041503A"/>
    <w:rsid w:val="00422EBD"/>
    <w:rsid w:val="00441374"/>
    <w:rsid w:val="00445964"/>
    <w:rsid w:val="004605C8"/>
    <w:rsid w:val="00463127"/>
    <w:rsid w:val="00463BAD"/>
    <w:rsid w:val="00480863"/>
    <w:rsid w:val="00480CD1"/>
    <w:rsid w:val="00481A36"/>
    <w:rsid w:val="004A402C"/>
    <w:rsid w:val="004A6CAA"/>
    <w:rsid w:val="004D4557"/>
    <w:rsid w:val="004D5C8B"/>
    <w:rsid w:val="004E04CD"/>
    <w:rsid w:val="004F1C0B"/>
    <w:rsid w:val="00522F7E"/>
    <w:rsid w:val="00523082"/>
    <w:rsid w:val="005261CE"/>
    <w:rsid w:val="00545565"/>
    <w:rsid w:val="00547249"/>
    <w:rsid w:val="00586663"/>
    <w:rsid w:val="00590E0D"/>
    <w:rsid w:val="00597873"/>
    <w:rsid w:val="005A39E1"/>
    <w:rsid w:val="005B0A42"/>
    <w:rsid w:val="005B1ACC"/>
    <w:rsid w:val="005B3D4C"/>
    <w:rsid w:val="005C08D0"/>
    <w:rsid w:val="005C1CFA"/>
    <w:rsid w:val="005D101C"/>
    <w:rsid w:val="005D458A"/>
    <w:rsid w:val="005D7524"/>
    <w:rsid w:val="005E6620"/>
    <w:rsid w:val="005F53DF"/>
    <w:rsid w:val="006011D1"/>
    <w:rsid w:val="00615159"/>
    <w:rsid w:val="0061689E"/>
    <w:rsid w:val="0061743B"/>
    <w:rsid w:val="006234CE"/>
    <w:rsid w:val="00623C4A"/>
    <w:rsid w:val="00631856"/>
    <w:rsid w:val="006367AE"/>
    <w:rsid w:val="00640EC2"/>
    <w:rsid w:val="00642D97"/>
    <w:rsid w:val="0064337A"/>
    <w:rsid w:val="00654E0C"/>
    <w:rsid w:val="0066633C"/>
    <w:rsid w:val="00682408"/>
    <w:rsid w:val="006A68DA"/>
    <w:rsid w:val="006B0271"/>
    <w:rsid w:val="006B34A5"/>
    <w:rsid w:val="006C7A55"/>
    <w:rsid w:val="006D2A25"/>
    <w:rsid w:val="006D6183"/>
    <w:rsid w:val="006F263A"/>
    <w:rsid w:val="007020FF"/>
    <w:rsid w:val="007040AE"/>
    <w:rsid w:val="0070657C"/>
    <w:rsid w:val="0070691F"/>
    <w:rsid w:val="00711AEE"/>
    <w:rsid w:val="00720142"/>
    <w:rsid w:val="007456A0"/>
    <w:rsid w:val="00745DD7"/>
    <w:rsid w:val="007564AD"/>
    <w:rsid w:val="00756D2C"/>
    <w:rsid w:val="00770002"/>
    <w:rsid w:val="007829D8"/>
    <w:rsid w:val="007930A3"/>
    <w:rsid w:val="0079323F"/>
    <w:rsid w:val="007B097C"/>
    <w:rsid w:val="007B3C0B"/>
    <w:rsid w:val="007B7A79"/>
    <w:rsid w:val="007D0CD6"/>
    <w:rsid w:val="007D31BF"/>
    <w:rsid w:val="007D42F3"/>
    <w:rsid w:val="007D7963"/>
    <w:rsid w:val="007F1DCD"/>
    <w:rsid w:val="007F6773"/>
    <w:rsid w:val="00801021"/>
    <w:rsid w:val="00805ACC"/>
    <w:rsid w:val="00816A6A"/>
    <w:rsid w:val="00816EDA"/>
    <w:rsid w:val="00820EE5"/>
    <w:rsid w:val="00833A25"/>
    <w:rsid w:val="008342C7"/>
    <w:rsid w:val="008409DD"/>
    <w:rsid w:val="00847099"/>
    <w:rsid w:val="008605A7"/>
    <w:rsid w:val="008774A2"/>
    <w:rsid w:val="008828C2"/>
    <w:rsid w:val="008B3ABA"/>
    <w:rsid w:val="008B6621"/>
    <w:rsid w:val="008C3912"/>
    <w:rsid w:val="008C4315"/>
    <w:rsid w:val="008D611F"/>
    <w:rsid w:val="008E053A"/>
    <w:rsid w:val="008F1359"/>
    <w:rsid w:val="008F4955"/>
    <w:rsid w:val="00901E47"/>
    <w:rsid w:val="00912EB0"/>
    <w:rsid w:val="0091426B"/>
    <w:rsid w:val="00922808"/>
    <w:rsid w:val="00922CA8"/>
    <w:rsid w:val="00922EEF"/>
    <w:rsid w:val="00923B76"/>
    <w:rsid w:val="009248AB"/>
    <w:rsid w:val="00935FDD"/>
    <w:rsid w:val="00944E30"/>
    <w:rsid w:val="00955104"/>
    <w:rsid w:val="00961C33"/>
    <w:rsid w:val="00966857"/>
    <w:rsid w:val="00975FAB"/>
    <w:rsid w:val="00977725"/>
    <w:rsid w:val="00982246"/>
    <w:rsid w:val="00982BFD"/>
    <w:rsid w:val="00986699"/>
    <w:rsid w:val="00993AF7"/>
    <w:rsid w:val="009967BA"/>
    <w:rsid w:val="00997B08"/>
    <w:rsid w:val="009A0801"/>
    <w:rsid w:val="009A0828"/>
    <w:rsid w:val="009A141C"/>
    <w:rsid w:val="009B049C"/>
    <w:rsid w:val="009D57EA"/>
    <w:rsid w:val="009E67B2"/>
    <w:rsid w:val="009F2CFC"/>
    <w:rsid w:val="009F72B3"/>
    <w:rsid w:val="00A13215"/>
    <w:rsid w:val="00A13C13"/>
    <w:rsid w:val="00A14FC7"/>
    <w:rsid w:val="00A21E7B"/>
    <w:rsid w:val="00A250AC"/>
    <w:rsid w:val="00A323D3"/>
    <w:rsid w:val="00A33E47"/>
    <w:rsid w:val="00A4040C"/>
    <w:rsid w:val="00A42D54"/>
    <w:rsid w:val="00A436F2"/>
    <w:rsid w:val="00A45589"/>
    <w:rsid w:val="00A47855"/>
    <w:rsid w:val="00A627CD"/>
    <w:rsid w:val="00A7495E"/>
    <w:rsid w:val="00A83941"/>
    <w:rsid w:val="00A94B58"/>
    <w:rsid w:val="00A96354"/>
    <w:rsid w:val="00A97B70"/>
    <w:rsid w:val="00AA0B5D"/>
    <w:rsid w:val="00AB3A04"/>
    <w:rsid w:val="00AB4B58"/>
    <w:rsid w:val="00AB723A"/>
    <w:rsid w:val="00AC24F6"/>
    <w:rsid w:val="00AD5784"/>
    <w:rsid w:val="00AD6539"/>
    <w:rsid w:val="00AE20A7"/>
    <w:rsid w:val="00AE7302"/>
    <w:rsid w:val="00AF361C"/>
    <w:rsid w:val="00AF4096"/>
    <w:rsid w:val="00B00E9B"/>
    <w:rsid w:val="00B1284D"/>
    <w:rsid w:val="00B145E6"/>
    <w:rsid w:val="00B14F7E"/>
    <w:rsid w:val="00B16347"/>
    <w:rsid w:val="00B20EC7"/>
    <w:rsid w:val="00B21862"/>
    <w:rsid w:val="00B24B51"/>
    <w:rsid w:val="00B25DE5"/>
    <w:rsid w:val="00B36784"/>
    <w:rsid w:val="00B37D2B"/>
    <w:rsid w:val="00B4707C"/>
    <w:rsid w:val="00B53A0B"/>
    <w:rsid w:val="00B56138"/>
    <w:rsid w:val="00B6698C"/>
    <w:rsid w:val="00B7186E"/>
    <w:rsid w:val="00B779A3"/>
    <w:rsid w:val="00B849F0"/>
    <w:rsid w:val="00B90603"/>
    <w:rsid w:val="00B935D3"/>
    <w:rsid w:val="00B94131"/>
    <w:rsid w:val="00BA47E8"/>
    <w:rsid w:val="00BC7728"/>
    <w:rsid w:val="00BD072B"/>
    <w:rsid w:val="00BD1E2C"/>
    <w:rsid w:val="00BD7482"/>
    <w:rsid w:val="00BE1045"/>
    <w:rsid w:val="00BE5267"/>
    <w:rsid w:val="00BF1D6C"/>
    <w:rsid w:val="00BF7D57"/>
    <w:rsid w:val="00C03AC9"/>
    <w:rsid w:val="00C07F63"/>
    <w:rsid w:val="00C11AC4"/>
    <w:rsid w:val="00C123F2"/>
    <w:rsid w:val="00C15CAA"/>
    <w:rsid w:val="00C33561"/>
    <w:rsid w:val="00C42529"/>
    <w:rsid w:val="00C43DF5"/>
    <w:rsid w:val="00C51AB3"/>
    <w:rsid w:val="00C63280"/>
    <w:rsid w:val="00C70B6C"/>
    <w:rsid w:val="00C931DA"/>
    <w:rsid w:val="00CA7392"/>
    <w:rsid w:val="00CA7703"/>
    <w:rsid w:val="00CB5A5A"/>
    <w:rsid w:val="00CB700A"/>
    <w:rsid w:val="00CD1827"/>
    <w:rsid w:val="00CD377C"/>
    <w:rsid w:val="00CD7695"/>
    <w:rsid w:val="00CE60D2"/>
    <w:rsid w:val="00CF3F40"/>
    <w:rsid w:val="00D0703F"/>
    <w:rsid w:val="00D11FD0"/>
    <w:rsid w:val="00D22E8D"/>
    <w:rsid w:val="00D277F8"/>
    <w:rsid w:val="00D3439A"/>
    <w:rsid w:val="00D524AF"/>
    <w:rsid w:val="00D557B8"/>
    <w:rsid w:val="00D677C6"/>
    <w:rsid w:val="00D701F9"/>
    <w:rsid w:val="00D74336"/>
    <w:rsid w:val="00D76854"/>
    <w:rsid w:val="00D865A9"/>
    <w:rsid w:val="00D978BB"/>
    <w:rsid w:val="00DA3A14"/>
    <w:rsid w:val="00DA4D4E"/>
    <w:rsid w:val="00DB3FBF"/>
    <w:rsid w:val="00DC3A22"/>
    <w:rsid w:val="00DC4457"/>
    <w:rsid w:val="00DC5E4D"/>
    <w:rsid w:val="00DD705B"/>
    <w:rsid w:val="00E0185B"/>
    <w:rsid w:val="00E02C31"/>
    <w:rsid w:val="00E310E1"/>
    <w:rsid w:val="00E360E5"/>
    <w:rsid w:val="00E3619F"/>
    <w:rsid w:val="00E5697E"/>
    <w:rsid w:val="00E57944"/>
    <w:rsid w:val="00E6632C"/>
    <w:rsid w:val="00E82B96"/>
    <w:rsid w:val="00E87CE6"/>
    <w:rsid w:val="00E92516"/>
    <w:rsid w:val="00E93CF5"/>
    <w:rsid w:val="00E97DD2"/>
    <w:rsid w:val="00EA3C1E"/>
    <w:rsid w:val="00EB715D"/>
    <w:rsid w:val="00EB7806"/>
    <w:rsid w:val="00EE43A9"/>
    <w:rsid w:val="00EE69B1"/>
    <w:rsid w:val="00EF44FB"/>
    <w:rsid w:val="00EF460C"/>
    <w:rsid w:val="00EF61AA"/>
    <w:rsid w:val="00F12566"/>
    <w:rsid w:val="00F126F2"/>
    <w:rsid w:val="00F13475"/>
    <w:rsid w:val="00F14B09"/>
    <w:rsid w:val="00F17654"/>
    <w:rsid w:val="00F2045C"/>
    <w:rsid w:val="00F24C27"/>
    <w:rsid w:val="00F304F0"/>
    <w:rsid w:val="00F332D4"/>
    <w:rsid w:val="00F35F9D"/>
    <w:rsid w:val="00F4384D"/>
    <w:rsid w:val="00F5336F"/>
    <w:rsid w:val="00F53C66"/>
    <w:rsid w:val="00F61190"/>
    <w:rsid w:val="00F74CB4"/>
    <w:rsid w:val="00F84F1A"/>
    <w:rsid w:val="00F9184E"/>
    <w:rsid w:val="00FA17FF"/>
    <w:rsid w:val="00FA29E1"/>
    <w:rsid w:val="00FC096E"/>
    <w:rsid w:val="00FD261B"/>
    <w:rsid w:val="00FE0A02"/>
    <w:rsid w:val="00FE5AE2"/>
    <w:rsid w:val="00FE70A1"/>
    <w:rsid w:val="00FE7F72"/>
    <w:rsid w:val="00FF5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764D19"/>
  <w15:chartTrackingRefBased/>
  <w15:docId w15:val="{D3DD3652-008B-4799-8A3E-1A52627C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B34A5"/>
    <w:pPr>
      <w:widowControl w:val="0"/>
      <w:autoSpaceDE w:val="0"/>
      <w:autoSpaceDN w:val="0"/>
      <w:adjustRightInd w:val="0"/>
      <w:jc w:val="both"/>
    </w:pPr>
    <w:rPr>
      <w:rFonts w:ascii="Calibri" w:eastAsia="Times New Roman" w:hAnsi="Calibri" w:cs="Calibri"/>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qFormat/>
    <w:rsid w:val="00DA3A14"/>
    <w:rPr>
      <w:rFonts w:ascii="Calibri" w:hAnsi="Calibri"/>
    </w:rPr>
  </w:style>
  <w:style w:type="character" w:styleId="CommentReference">
    <w:name w:val="annotation reference"/>
    <w:rsid w:val="006B34A5"/>
    <w:rPr>
      <w:sz w:val="18"/>
      <w:szCs w:val="18"/>
    </w:rPr>
  </w:style>
  <w:style w:type="paragraph" w:styleId="CommentText">
    <w:name w:val="annotation text"/>
    <w:basedOn w:val="Normal"/>
    <w:link w:val="CommentTextChar"/>
    <w:rsid w:val="006B34A5"/>
  </w:style>
  <w:style w:type="character" w:customStyle="1" w:styleId="CommentTextChar">
    <w:name w:val="Comment Text Char"/>
    <w:basedOn w:val="DefaultParagraphFont"/>
    <w:link w:val="CommentText"/>
    <w:rsid w:val="006B34A5"/>
    <w:rPr>
      <w:rFonts w:ascii="Calibri" w:eastAsia="Times New Roman" w:hAnsi="Calibri" w:cs="Calibri"/>
      <w:color w:val="000000"/>
      <w:sz w:val="24"/>
      <w:szCs w:val="24"/>
    </w:rPr>
  </w:style>
  <w:style w:type="paragraph" w:styleId="ListParagraph">
    <w:name w:val="List Paragraph"/>
    <w:basedOn w:val="Normal"/>
    <w:uiPriority w:val="34"/>
    <w:qFormat/>
    <w:rsid w:val="006B34A5"/>
    <w:pPr>
      <w:ind w:left="720"/>
      <w:contextualSpacing/>
    </w:pPr>
  </w:style>
  <w:style w:type="paragraph" w:styleId="BalloonText">
    <w:name w:val="Balloon Text"/>
    <w:basedOn w:val="Normal"/>
    <w:link w:val="BalloonTextChar"/>
    <w:uiPriority w:val="99"/>
    <w:semiHidden/>
    <w:unhideWhenUsed/>
    <w:rsid w:val="006B34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4A5"/>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2069</Characters>
  <Application>Microsoft Office Word</Application>
  <DocSecurity>0</DocSecurity>
  <Lines>17</Lines>
  <Paragraphs>4</Paragraphs>
  <ScaleCrop>false</ScaleCrop>
  <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Steindel</dc:creator>
  <cp:keywords/>
  <dc:description/>
  <cp:lastModifiedBy>Phillip Steindel</cp:lastModifiedBy>
  <cp:revision>1</cp:revision>
  <dcterms:created xsi:type="dcterms:W3CDTF">2019-10-25T18:17:00Z</dcterms:created>
  <dcterms:modified xsi:type="dcterms:W3CDTF">2019-10-25T18:17:00Z</dcterms:modified>
</cp:coreProperties>
</file>