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307888" w14:textId="77777777" w:rsidR="00056460" w:rsidRPr="00056460" w:rsidRDefault="00056460" w:rsidP="00056460">
      <w:pPr>
        <w:rPr>
          <w:b/>
          <w:color w:val="auto"/>
        </w:rPr>
      </w:pPr>
      <w:r w:rsidRPr="00056460">
        <w:rPr>
          <w:b/>
          <w:color w:val="auto"/>
        </w:rPr>
        <w:t>TITLE:</w:t>
      </w:r>
    </w:p>
    <w:p w14:paraId="2E300B21" w14:textId="2D29E084" w:rsidR="007A4DD6" w:rsidRPr="00056460" w:rsidRDefault="0058473D" w:rsidP="00056460">
      <w:pPr>
        <w:rPr>
          <w:bCs/>
          <w:color w:val="auto"/>
        </w:rPr>
      </w:pPr>
      <w:r w:rsidRPr="00056460">
        <w:rPr>
          <w:bCs/>
          <w:color w:val="auto"/>
        </w:rPr>
        <w:t xml:space="preserve">Stepwise </w:t>
      </w:r>
      <w:r w:rsidR="00EC6599" w:rsidRPr="00056460">
        <w:rPr>
          <w:bCs/>
          <w:color w:val="auto"/>
        </w:rPr>
        <w:t xml:space="preserve">Dosing Protocol </w:t>
      </w:r>
      <w:r w:rsidR="00EC6599">
        <w:rPr>
          <w:bCs/>
          <w:color w:val="auto"/>
        </w:rPr>
        <w:t>f</w:t>
      </w:r>
      <w:r w:rsidR="00EC6599" w:rsidRPr="00056460">
        <w:rPr>
          <w:bCs/>
          <w:color w:val="auto"/>
        </w:rPr>
        <w:t xml:space="preserve">or Increased Throughput </w:t>
      </w:r>
      <w:r w:rsidRPr="00056460">
        <w:rPr>
          <w:bCs/>
          <w:color w:val="auto"/>
        </w:rPr>
        <w:t xml:space="preserve">in </w:t>
      </w:r>
      <w:r w:rsidR="00EC6599" w:rsidRPr="00056460">
        <w:rPr>
          <w:bCs/>
          <w:color w:val="auto"/>
        </w:rPr>
        <w:t xml:space="preserve">Label-Free Impedance-Based </w:t>
      </w:r>
      <w:r w:rsidRPr="00056460">
        <w:rPr>
          <w:bCs/>
          <w:color w:val="auto"/>
        </w:rPr>
        <w:t>GPCR Assays</w:t>
      </w:r>
    </w:p>
    <w:p w14:paraId="0E60FB66" w14:textId="77777777" w:rsidR="009A554A" w:rsidRPr="00056460" w:rsidRDefault="009A554A" w:rsidP="00056460">
      <w:pPr>
        <w:rPr>
          <w:color w:val="auto"/>
        </w:rPr>
      </w:pPr>
    </w:p>
    <w:p w14:paraId="3D080DA3" w14:textId="3AB41DCD" w:rsidR="006305D7" w:rsidRPr="00056460" w:rsidRDefault="006305D7" w:rsidP="00056460">
      <w:pPr>
        <w:rPr>
          <w:color w:val="auto"/>
        </w:rPr>
      </w:pPr>
      <w:r w:rsidRPr="00056460">
        <w:rPr>
          <w:b/>
          <w:bCs/>
          <w:color w:val="auto"/>
        </w:rPr>
        <w:t>AUTHORS</w:t>
      </w:r>
      <w:r w:rsidR="000B662E" w:rsidRPr="00056460">
        <w:rPr>
          <w:b/>
          <w:bCs/>
          <w:color w:val="auto"/>
        </w:rPr>
        <w:t xml:space="preserve"> </w:t>
      </w:r>
      <w:r w:rsidR="00086FF5" w:rsidRPr="00056460">
        <w:rPr>
          <w:b/>
          <w:bCs/>
          <w:color w:val="auto"/>
        </w:rPr>
        <w:t xml:space="preserve">AND </w:t>
      </w:r>
      <w:r w:rsidR="000B662E" w:rsidRPr="00056460">
        <w:rPr>
          <w:b/>
          <w:bCs/>
          <w:color w:val="auto"/>
        </w:rPr>
        <w:t>AFFILIATIONS</w:t>
      </w:r>
      <w:r w:rsidRPr="00056460">
        <w:rPr>
          <w:b/>
          <w:bCs/>
          <w:color w:val="auto"/>
        </w:rPr>
        <w:t>:</w:t>
      </w:r>
    </w:p>
    <w:p w14:paraId="46EE3E92" w14:textId="3191ED5D" w:rsidR="00961B7F" w:rsidRPr="000F17FA" w:rsidRDefault="00961B7F" w:rsidP="00056460">
      <w:pPr>
        <w:rPr>
          <w:bCs/>
          <w:color w:val="auto"/>
          <w:lang w:val="de-DE"/>
        </w:rPr>
      </w:pPr>
      <w:r w:rsidRPr="000F17FA">
        <w:rPr>
          <w:bCs/>
          <w:color w:val="auto"/>
          <w:lang w:val="de-DE"/>
        </w:rPr>
        <w:t>Judith A. Stolwijk</w:t>
      </w:r>
      <w:r w:rsidRPr="000F17FA">
        <w:rPr>
          <w:bCs/>
          <w:color w:val="auto"/>
          <w:vertAlign w:val="superscript"/>
          <w:lang w:val="de-DE"/>
        </w:rPr>
        <w:t>1</w:t>
      </w:r>
      <w:r w:rsidRPr="000F17FA">
        <w:rPr>
          <w:bCs/>
          <w:color w:val="auto"/>
          <w:lang w:val="de-DE"/>
        </w:rPr>
        <w:t xml:space="preserve">, </w:t>
      </w:r>
      <w:r w:rsidR="00BF2C7B" w:rsidRPr="000F17FA">
        <w:rPr>
          <w:bCs/>
          <w:color w:val="auto"/>
          <w:lang w:val="de-DE"/>
        </w:rPr>
        <w:t xml:space="preserve">Anne-Kathrin Mildner, </w:t>
      </w:r>
      <w:r w:rsidRPr="000F17FA">
        <w:rPr>
          <w:bCs/>
          <w:color w:val="auto"/>
          <w:lang w:val="de-DE"/>
        </w:rPr>
        <w:t>Christian Kade</w:t>
      </w:r>
      <w:r w:rsidRPr="000F17FA">
        <w:rPr>
          <w:bCs/>
          <w:color w:val="auto"/>
          <w:vertAlign w:val="superscript"/>
          <w:lang w:val="de-DE"/>
        </w:rPr>
        <w:t>1</w:t>
      </w:r>
      <w:r w:rsidRPr="000F17FA">
        <w:rPr>
          <w:bCs/>
          <w:color w:val="auto"/>
          <w:lang w:val="de-DE"/>
        </w:rPr>
        <w:t>, Michael Skiba</w:t>
      </w:r>
      <w:r w:rsidRPr="000F17FA">
        <w:rPr>
          <w:bCs/>
          <w:color w:val="auto"/>
          <w:vertAlign w:val="superscript"/>
          <w:lang w:val="de-DE"/>
        </w:rPr>
        <w:t>1</w:t>
      </w:r>
      <w:r w:rsidRPr="000F17FA">
        <w:rPr>
          <w:bCs/>
          <w:color w:val="auto"/>
          <w:lang w:val="de-DE"/>
        </w:rPr>
        <w:t>, G</w:t>
      </w:r>
      <w:r w:rsidR="001B6628" w:rsidRPr="000F17FA">
        <w:rPr>
          <w:bCs/>
          <w:color w:val="auto"/>
          <w:lang w:val="de-DE"/>
        </w:rPr>
        <w:t>ue</w:t>
      </w:r>
      <w:r w:rsidRPr="000F17FA">
        <w:rPr>
          <w:bCs/>
          <w:color w:val="auto"/>
          <w:lang w:val="de-DE"/>
        </w:rPr>
        <w:t>nther Bernhardt</w:t>
      </w:r>
      <w:r w:rsidRPr="000F17FA">
        <w:rPr>
          <w:bCs/>
          <w:color w:val="auto"/>
          <w:vertAlign w:val="superscript"/>
          <w:lang w:val="de-DE"/>
        </w:rPr>
        <w:t>2</w:t>
      </w:r>
      <w:r w:rsidRPr="000F17FA">
        <w:rPr>
          <w:bCs/>
          <w:color w:val="auto"/>
          <w:lang w:val="de-DE"/>
        </w:rPr>
        <w:t>, Armin Buschauer</w:t>
      </w:r>
      <w:r w:rsidRPr="000F17FA">
        <w:rPr>
          <w:bCs/>
          <w:color w:val="auto"/>
          <w:vertAlign w:val="superscript"/>
          <w:lang w:val="de-DE"/>
        </w:rPr>
        <w:t>2</w:t>
      </w:r>
      <w:r w:rsidRPr="000F17FA">
        <w:rPr>
          <w:bCs/>
          <w:color w:val="auto"/>
          <w:lang w:val="de-DE"/>
        </w:rPr>
        <w:t>, Harald H</w:t>
      </w:r>
      <w:r w:rsidR="001B6628">
        <w:rPr>
          <w:bCs/>
          <w:color w:val="auto"/>
          <w:lang w:val="de-DE"/>
        </w:rPr>
        <w:t>ue</w:t>
      </w:r>
      <w:r w:rsidRPr="000F17FA">
        <w:rPr>
          <w:bCs/>
          <w:color w:val="auto"/>
          <w:lang w:val="de-DE"/>
        </w:rPr>
        <w:t>bner</w:t>
      </w:r>
      <w:r w:rsidRPr="000F17FA">
        <w:rPr>
          <w:bCs/>
          <w:color w:val="auto"/>
          <w:vertAlign w:val="superscript"/>
          <w:lang w:val="de-DE"/>
        </w:rPr>
        <w:t>3</w:t>
      </w:r>
      <w:r w:rsidRPr="000F17FA">
        <w:rPr>
          <w:bCs/>
          <w:color w:val="auto"/>
          <w:lang w:val="de-DE"/>
        </w:rPr>
        <w:t>, Peter Gmeiner</w:t>
      </w:r>
      <w:r w:rsidRPr="000F17FA">
        <w:rPr>
          <w:bCs/>
          <w:color w:val="auto"/>
          <w:vertAlign w:val="superscript"/>
          <w:lang w:val="de-DE"/>
        </w:rPr>
        <w:t>3</w:t>
      </w:r>
      <w:r w:rsidRPr="000F17FA">
        <w:rPr>
          <w:bCs/>
          <w:color w:val="auto"/>
          <w:lang w:val="de-DE"/>
        </w:rPr>
        <w:t>, Joachim Wegener</w:t>
      </w:r>
      <w:r w:rsidRPr="000F17FA">
        <w:rPr>
          <w:bCs/>
          <w:color w:val="auto"/>
          <w:vertAlign w:val="superscript"/>
          <w:lang w:val="de-DE"/>
        </w:rPr>
        <w:t>1,4</w:t>
      </w:r>
    </w:p>
    <w:p w14:paraId="3CE333B1" w14:textId="77777777" w:rsidR="00961B7F" w:rsidRPr="000F17FA" w:rsidRDefault="00961B7F" w:rsidP="00056460">
      <w:pPr>
        <w:rPr>
          <w:bCs/>
          <w:color w:val="auto"/>
          <w:lang w:val="de-DE"/>
        </w:rPr>
      </w:pPr>
    </w:p>
    <w:p w14:paraId="1C576F87" w14:textId="58BF5F03" w:rsidR="00705738" w:rsidRPr="00056460" w:rsidRDefault="00961B7F" w:rsidP="00056460">
      <w:pPr>
        <w:rPr>
          <w:bCs/>
          <w:color w:val="auto"/>
        </w:rPr>
      </w:pPr>
      <w:r w:rsidRPr="00056460">
        <w:rPr>
          <w:bCs/>
          <w:color w:val="auto"/>
          <w:vertAlign w:val="superscript"/>
        </w:rPr>
        <w:t>1</w:t>
      </w:r>
      <w:r w:rsidR="00705738" w:rsidRPr="00056460">
        <w:rPr>
          <w:bCs/>
          <w:color w:val="auto"/>
        </w:rPr>
        <w:t>Institute of Analytical Chemistry, Chemo- and Biosensors, University of Regensburg, Regensburg, Germany</w:t>
      </w:r>
    </w:p>
    <w:p w14:paraId="679ECDC6" w14:textId="765CA080" w:rsidR="00961B7F" w:rsidRPr="00056460" w:rsidRDefault="00961B7F" w:rsidP="00056460">
      <w:pPr>
        <w:rPr>
          <w:bCs/>
          <w:color w:val="auto"/>
        </w:rPr>
      </w:pPr>
      <w:r w:rsidRPr="00056460">
        <w:rPr>
          <w:bCs/>
          <w:color w:val="auto"/>
          <w:vertAlign w:val="superscript"/>
        </w:rPr>
        <w:t>2</w:t>
      </w:r>
      <w:r w:rsidR="00705738" w:rsidRPr="00056460">
        <w:rPr>
          <w:bCs/>
          <w:color w:val="auto"/>
        </w:rPr>
        <w:t>Institute of Pharmacy, University of Regensburg, Regensburg, Germany</w:t>
      </w:r>
    </w:p>
    <w:p w14:paraId="2068AA66" w14:textId="690B1CBE" w:rsidR="00705738" w:rsidRPr="00056460" w:rsidRDefault="00705738" w:rsidP="00056460">
      <w:pPr>
        <w:rPr>
          <w:bCs/>
          <w:color w:val="auto"/>
        </w:rPr>
      </w:pPr>
      <w:r w:rsidRPr="00056460">
        <w:rPr>
          <w:bCs/>
          <w:color w:val="auto"/>
          <w:vertAlign w:val="superscript"/>
        </w:rPr>
        <w:t>3</w:t>
      </w:r>
      <w:r w:rsidRPr="00056460">
        <w:rPr>
          <w:bCs/>
          <w:color w:val="auto"/>
        </w:rPr>
        <w:t>Department of Chemistry and Pharmacy, Friedrich-Alexander University Erlangen-</w:t>
      </w:r>
      <w:proofErr w:type="spellStart"/>
      <w:r w:rsidRPr="00056460">
        <w:rPr>
          <w:bCs/>
          <w:color w:val="auto"/>
        </w:rPr>
        <w:t>N</w:t>
      </w:r>
      <w:r w:rsidR="001B6628">
        <w:rPr>
          <w:bCs/>
          <w:color w:val="auto"/>
        </w:rPr>
        <w:t>ue</w:t>
      </w:r>
      <w:r w:rsidRPr="00056460">
        <w:rPr>
          <w:bCs/>
          <w:color w:val="auto"/>
        </w:rPr>
        <w:t>rnberg</w:t>
      </w:r>
      <w:proofErr w:type="spellEnd"/>
      <w:r w:rsidRPr="00056460">
        <w:rPr>
          <w:bCs/>
          <w:color w:val="auto"/>
        </w:rPr>
        <w:t>, Erlangen, Germany</w:t>
      </w:r>
    </w:p>
    <w:p w14:paraId="7371F6B9" w14:textId="02AB20B6" w:rsidR="00961B7F" w:rsidRPr="00056460" w:rsidRDefault="00705738" w:rsidP="00056460">
      <w:pPr>
        <w:rPr>
          <w:bCs/>
          <w:color w:val="auto"/>
        </w:rPr>
      </w:pPr>
      <w:r w:rsidRPr="00056460">
        <w:rPr>
          <w:bCs/>
          <w:color w:val="auto"/>
          <w:vertAlign w:val="superscript"/>
        </w:rPr>
        <w:t>4</w:t>
      </w:r>
      <w:r w:rsidRPr="00056460">
        <w:rPr>
          <w:bCs/>
          <w:color w:val="auto"/>
        </w:rPr>
        <w:t xml:space="preserve">Fraunhofer Research Institution for Microsystems and Solid State Technologies EMFT, </w:t>
      </w:r>
      <w:proofErr w:type="spellStart"/>
      <w:r w:rsidR="00A2710B" w:rsidRPr="00056460">
        <w:rPr>
          <w:bCs/>
          <w:color w:val="auto"/>
        </w:rPr>
        <w:t>Muenchen</w:t>
      </w:r>
      <w:proofErr w:type="spellEnd"/>
      <w:r w:rsidRPr="00056460">
        <w:rPr>
          <w:bCs/>
          <w:color w:val="auto"/>
        </w:rPr>
        <w:t>, Germany</w:t>
      </w:r>
    </w:p>
    <w:p w14:paraId="52492462" w14:textId="77777777" w:rsidR="00961B7F" w:rsidRPr="00056460" w:rsidRDefault="00961B7F" w:rsidP="00056460">
      <w:pPr>
        <w:rPr>
          <w:bCs/>
          <w:color w:val="auto"/>
        </w:rPr>
      </w:pPr>
    </w:p>
    <w:p w14:paraId="28A8633D" w14:textId="77777777" w:rsidR="00961B7F" w:rsidRPr="00EC6599" w:rsidRDefault="00961B7F" w:rsidP="00056460">
      <w:pPr>
        <w:rPr>
          <w:b/>
          <w:color w:val="auto"/>
        </w:rPr>
      </w:pPr>
      <w:r w:rsidRPr="00EC6599">
        <w:rPr>
          <w:b/>
          <w:color w:val="auto"/>
        </w:rPr>
        <w:t>Email addresses of co-authors:</w:t>
      </w:r>
    </w:p>
    <w:p w14:paraId="5EF3E3C4" w14:textId="60410202" w:rsidR="00961B7F" w:rsidRPr="00056460" w:rsidRDefault="00961B7F" w:rsidP="00056460">
      <w:pPr>
        <w:pStyle w:val="a3"/>
        <w:spacing w:before="0" w:beforeAutospacing="0" w:after="0" w:afterAutospacing="0"/>
        <w:rPr>
          <w:bCs/>
          <w:color w:val="auto"/>
        </w:rPr>
      </w:pPr>
      <w:r w:rsidRPr="00056460">
        <w:rPr>
          <w:bCs/>
          <w:color w:val="auto"/>
        </w:rPr>
        <w:t xml:space="preserve">Judith A. </w:t>
      </w:r>
      <w:proofErr w:type="spellStart"/>
      <w:r w:rsidRPr="00056460">
        <w:rPr>
          <w:bCs/>
          <w:color w:val="auto"/>
        </w:rPr>
        <w:t>Stolwijk</w:t>
      </w:r>
      <w:proofErr w:type="spellEnd"/>
      <w:r w:rsidRPr="00056460">
        <w:rPr>
          <w:bCs/>
          <w:color w:val="auto"/>
        </w:rPr>
        <w:tab/>
      </w:r>
      <w:r w:rsidRPr="00056460">
        <w:rPr>
          <w:bCs/>
          <w:color w:val="auto"/>
        </w:rPr>
        <w:tab/>
        <w:t>(</w:t>
      </w:r>
      <w:r w:rsidR="00B32D4C" w:rsidRPr="00056460">
        <w:rPr>
          <w:bCs/>
          <w:color w:val="auto"/>
        </w:rPr>
        <w:t>Judith.Stolwijk@u</w:t>
      </w:r>
      <w:r w:rsidR="00B72A97" w:rsidRPr="00056460">
        <w:rPr>
          <w:bCs/>
          <w:color w:val="auto"/>
        </w:rPr>
        <w:t>r</w:t>
      </w:r>
      <w:r w:rsidR="00B32D4C" w:rsidRPr="00056460">
        <w:rPr>
          <w:bCs/>
          <w:color w:val="auto"/>
        </w:rPr>
        <w:t>.de</w:t>
      </w:r>
      <w:r w:rsidRPr="00056460">
        <w:rPr>
          <w:bCs/>
          <w:color w:val="auto"/>
        </w:rPr>
        <w:t>)</w:t>
      </w:r>
    </w:p>
    <w:p w14:paraId="1064294A" w14:textId="60DCF010" w:rsidR="00B32D4C" w:rsidRPr="00056460" w:rsidRDefault="00B32D4C" w:rsidP="00056460">
      <w:pPr>
        <w:pStyle w:val="a3"/>
        <w:spacing w:before="0" w:beforeAutospacing="0" w:after="0" w:afterAutospacing="0"/>
        <w:rPr>
          <w:bCs/>
          <w:color w:val="auto"/>
          <w:lang w:val="de-DE"/>
        </w:rPr>
      </w:pPr>
      <w:r w:rsidRPr="00056460">
        <w:rPr>
          <w:bCs/>
          <w:color w:val="auto"/>
          <w:lang w:val="de-DE"/>
        </w:rPr>
        <w:t>Anne-Kathrin Mildner</w:t>
      </w:r>
      <w:r w:rsidRPr="00056460">
        <w:rPr>
          <w:bCs/>
          <w:color w:val="auto"/>
          <w:lang w:val="de-DE"/>
        </w:rPr>
        <w:tab/>
      </w:r>
      <w:r w:rsidRPr="00056460">
        <w:rPr>
          <w:bCs/>
          <w:color w:val="auto"/>
          <w:lang w:val="de-DE"/>
        </w:rPr>
        <w:tab/>
        <w:t>(Anne-Kathrin.Mildner@stud.uni-regensburg.de)</w:t>
      </w:r>
    </w:p>
    <w:p w14:paraId="4D75BBEB" w14:textId="60F7F5EF" w:rsidR="00961B7F" w:rsidRPr="00056460" w:rsidRDefault="00961B7F" w:rsidP="00056460">
      <w:pPr>
        <w:rPr>
          <w:bCs/>
          <w:color w:val="auto"/>
        </w:rPr>
      </w:pPr>
      <w:r w:rsidRPr="00056460">
        <w:rPr>
          <w:bCs/>
          <w:color w:val="auto"/>
        </w:rPr>
        <w:t>Christia</w:t>
      </w:r>
      <w:r w:rsidR="001B6628">
        <w:rPr>
          <w:bCs/>
          <w:color w:val="auto"/>
        </w:rPr>
        <w:t>n</w:t>
      </w:r>
      <w:r w:rsidRPr="00056460">
        <w:rPr>
          <w:bCs/>
          <w:color w:val="auto"/>
        </w:rPr>
        <w:t xml:space="preserve"> Kade</w:t>
      </w:r>
      <w:r w:rsidRPr="00056460">
        <w:rPr>
          <w:bCs/>
          <w:color w:val="auto"/>
        </w:rPr>
        <w:tab/>
      </w:r>
      <w:r w:rsidRPr="00056460">
        <w:rPr>
          <w:bCs/>
          <w:color w:val="auto"/>
        </w:rPr>
        <w:tab/>
      </w:r>
      <w:r w:rsidRPr="00056460">
        <w:rPr>
          <w:bCs/>
          <w:color w:val="auto"/>
        </w:rPr>
        <w:tab/>
      </w:r>
      <w:r w:rsidR="00AD35F0" w:rsidRPr="00056460">
        <w:rPr>
          <w:color w:val="auto"/>
        </w:rPr>
        <w:t>(Christian.Kade@ur.de)</w:t>
      </w:r>
    </w:p>
    <w:p w14:paraId="5490D20F" w14:textId="0D9B44EF" w:rsidR="00961B7F" w:rsidRPr="00056460" w:rsidRDefault="00961B7F" w:rsidP="00056460">
      <w:pPr>
        <w:rPr>
          <w:bCs/>
          <w:color w:val="auto"/>
          <w:lang w:val="de-DE"/>
        </w:rPr>
      </w:pPr>
      <w:r w:rsidRPr="00056460">
        <w:rPr>
          <w:bCs/>
          <w:color w:val="auto"/>
          <w:lang w:val="de-DE"/>
        </w:rPr>
        <w:t>Michael Skiba</w:t>
      </w:r>
      <w:r w:rsidRPr="00056460">
        <w:rPr>
          <w:bCs/>
          <w:color w:val="auto"/>
          <w:lang w:val="de-DE"/>
        </w:rPr>
        <w:tab/>
      </w:r>
      <w:r w:rsidRPr="00056460">
        <w:rPr>
          <w:bCs/>
          <w:color w:val="auto"/>
          <w:lang w:val="de-DE"/>
        </w:rPr>
        <w:tab/>
      </w:r>
      <w:r w:rsidRPr="00056460">
        <w:rPr>
          <w:bCs/>
          <w:color w:val="auto"/>
          <w:lang w:val="de-DE"/>
        </w:rPr>
        <w:tab/>
        <w:t>(</w:t>
      </w:r>
      <w:r w:rsidR="00AD35F0" w:rsidRPr="00056460">
        <w:rPr>
          <w:color w:val="auto"/>
          <w:lang w:val="de-DE"/>
        </w:rPr>
        <w:t>M</w:t>
      </w:r>
      <w:r w:rsidR="00705738" w:rsidRPr="00056460">
        <w:rPr>
          <w:color w:val="auto"/>
          <w:lang w:val="de-DE"/>
        </w:rPr>
        <w:t>ichael.</w:t>
      </w:r>
      <w:r w:rsidR="00AD35F0" w:rsidRPr="00056460">
        <w:rPr>
          <w:color w:val="auto"/>
          <w:lang w:val="de-DE"/>
        </w:rPr>
        <w:t>S</w:t>
      </w:r>
      <w:r w:rsidR="00705738" w:rsidRPr="00056460">
        <w:rPr>
          <w:color w:val="auto"/>
          <w:lang w:val="de-DE"/>
        </w:rPr>
        <w:t>kiba@u</w:t>
      </w:r>
      <w:r w:rsidR="00B72A97" w:rsidRPr="00056460">
        <w:rPr>
          <w:color w:val="auto"/>
          <w:lang w:val="de-DE"/>
        </w:rPr>
        <w:t>r</w:t>
      </w:r>
      <w:r w:rsidR="00705738" w:rsidRPr="00056460">
        <w:rPr>
          <w:color w:val="auto"/>
          <w:lang w:val="de-DE"/>
        </w:rPr>
        <w:t>.de</w:t>
      </w:r>
      <w:r w:rsidRPr="00056460">
        <w:rPr>
          <w:bCs/>
          <w:color w:val="auto"/>
          <w:lang w:val="de-DE"/>
        </w:rPr>
        <w:t>)</w:t>
      </w:r>
    </w:p>
    <w:p w14:paraId="49B1C060" w14:textId="6A5A90D8" w:rsidR="00961B7F" w:rsidRPr="000F17FA" w:rsidRDefault="00961B7F" w:rsidP="00056460">
      <w:pPr>
        <w:rPr>
          <w:bCs/>
          <w:color w:val="auto"/>
        </w:rPr>
      </w:pPr>
      <w:r w:rsidRPr="000F17FA">
        <w:rPr>
          <w:bCs/>
          <w:color w:val="auto"/>
        </w:rPr>
        <w:t>G</w:t>
      </w:r>
      <w:r w:rsidR="001B6628" w:rsidRPr="000F17FA">
        <w:rPr>
          <w:bCs/>
          <w:color w:val="auto"/>
        </w:rPr>
        <w:t>ue</w:t>
      </w:r>
      <w:r w:rsidRPr="000F17FA">
        <w:rPr>
          <w:bCs/>
          <w:color w:val="auto"/>
        </w:rPr>
        <w:t>nther Bernhardt</w:t>
      </w:r>
      <w:r w:rsidRPr="000F17FA">
        <w:rPr>
          <w:bCs/>
          <w:color w:val="auto"/>
        </w:rPr>
        <w:tab/>
      </w:r>
      <w:r w:rsidRPr="000F17FA">
        <w:rPr>
          <w:bCs/>
          <w:color w:val="auto"/>
        </w:rPr>
        <w:tab/>
        <w:t>(</w:t>
      </w:r>
      <w:r w:rsidR="00AD35F0" w:rsidRPr="000F17FA">
        <w:rPr>
          <w:color w:val="auto"/>
        </w:rPr>
        <w:t>Guenther</w:t>
      </w:r>
      <w:r w:rsidR="00B72A97" w:rsidRPr="000F17FA">
        <w:rPr>
          <w:color w:val="auto"/>
        </w:rPr>
        <w:t>.Bernhardt@ur</w:t>
      </w:r>
      <w:r w:rsidR="00AD35F0" w:rsidRPr="000F17FA">
        <w:rPr>
          <w:color w:val="auto"/>
        </w:rPr>
        <w:t>.de</w:t>
      </w:r>
      <w:r w:rsidRPr="000F17FA">
        <w:rPr>
          <w:bCs/>
          <w:color w:val="auto"/>
        </w:rPr>
        <w:t>)</w:t>
      </w:r>
    </w:p>
    <w:p w14:paraId="713EE2AF" w14:textId="555F4468" w:rsidR="00961B7F" w:rsidRPr="00056460" w:rsidRDefault="00961B7F" w:rsidP="00056460">
      <w:pPr>
        <w:rPr>
          <w:bCs/>
          <w:color w:val="auto"/>
          <w:lang w:val="de-DE"/>
        </w:rPr>
      </w:pPr>
      <w:r w:rsidRPr="00056460">
        <w:rPr>
          <w:bCs/>
          <w:color w:val="auto"/>
          <w:lang w:val="de-DE"/>
        </w:rPr>
        <w:t>Armin Buschauer</w:t>
      </w:r>
      <w:r w:rsidRPr="00056460">
        <w:rPr>
          <w:bCs/>
          <w:color w:val="auto"/>
          <w:lang w:val="de-DE"/>
        </w:rPr>
        <w:tab/>
      </w:r>
      <w:r w:rsidRPr="00056460">
        <w:rPr>
          <w:bCs/>
          <w:color w:val="auto"/>
          <w:lang w:val="de-DE"/>
        </w:rPr>
        <w:tab/>
        <w:t>(</w:t>
      </w:r>
      <w:r w:rsidR="00B32D4C" w:rsidRPr="00056460">
        <w:rPr>
          <w:bCs/>
          <w:color w:val="auto"/>
          <w:lang w:val="de-DE"/>
        </w:rPr>
        <w:t>deceased</w:t>
      </w:r>
      <w:r w:rsidRPr="00056460">
        <w:rPr>
          <w:bCs/>
          <w:color w:val="auto"/>
          <w:lang w:val="de-DE"/>
        </w:rPr>
        <w:t>)</w:t>
      </w:r>
    </w:p>
    <w:p w14:paraId="3054E8CC" w14:textId="00719728" w:rsidR="00961B7F" w:rsidRPr="00056460" w:rsidRDefault="00961B7F" w:rsidP="00056460">
      <w:pPr>
        <w:rPr>
          <w:bCs/>
          <w:color w:val="auto"/>
          <w:vertAlign w:val="superscript"/>
          <w:lang w:val="de-DE"/>
        </w:rPr>
      </w:pPr>
      <w:r w:rsidRPr="00056460">
        <w:rPr>
          <w:bCs/>
          <w:color w:val="auto"/>
          <w:lang w:val="de-DE"/>
        </w:rPr>
        <w:t>Harald H</w:t>
      </w:r>
      <w:r w:rsidR="001B6628">
        <w:rPr>
          <w:bCs/>
          <w:color w:val="auto"/>
          <w:lang w:val="de-DE"/>
        </w:rPr>
        <w:t>ue</w:t>
      </w:r>
      <w:r w:rsidRPr="00056460">
        <w:rPr>
          <w:bCs/>
          <w:color w:val="auto"/>
          <w:lang w:val="de-DE"/>
        </w:rPr>
        <w:t>bner</w:t>
      </w:r>
      <w:r w:rsidRPr="00056460">
        <w:rPr>
          <w:bCs/>
          <w:color w:val="auto"/>
          <w:lang w:val="de-DE"/>
        </w:rPr>
        <w:tab/>
      </w:r>
      <w:r w:rsidRPr="00056460">
        <w:rPr>
          <w:bCs/>
          <w:color w:val="auto"/>
          <w:lang w:val="de-DE"/>
        </w:rPr>
        <w:tab/>
        <w:t>(</w:t>
      </w:r>
      <w:r w:rsidR="00AD35F0" w:rsidRPr="00056460">
        <w:rPr>
          <w:color w:val="auto"/>
          <w:lang w:val="de-DE"/>
        </w:rPr>
        <w:t>harald.huebner@fau.de</w:t>
      </w:r>
      <w:r w:rsidRPr="00056460">
        <w:rPr>
          <w:bCs/>
          <w:color w:val="auto"/>
          <w:lang w:val="de-DE"/>
        </w:rPr>
        <w:t>)</w:t>
      </w:r>
    </w:p>
    <w:p w14:paraId="530D55B1" w14:textId="29649D16" w:rsidR="00961B7F" w:rsidRPr="00056460" w:rsidRDefault="00961B7F" w:rsidP="00056460">
      <w:pPr>
        <w:rPr>
          <w:bCs/>
          <w:color w:val="auto"/>
          <w:lang w:val="de-DE"/>
        </w:rPr>
      </w:pPr>
      <w:r w:rsidRPr="00056460">
        <w:rPr>
          <w:bCs/>
          <w:color w:val="auto"/>
          <w:lang w:val="de-DE"/>
        </w:rPr>
        <w:t>Peter Gmeiner</w:t>
      </w:r>
      <w:r w:rsidRPr="00056460">
        <w:rPr>
          <w:bCs/>
          <w:color w:val="auto"/>
          <w:lang w:val="de-DE"/>
        </w:rPr>
        <w:tab/>
      </w:r>
      <w:r w:rsidRPr="00056460">
        <w:rPr>
          <w:bCs/>
          <w:color w:val="auto"/>
          <w:lang w:val="de-DE"/>
        </w:rPr>
        <w:tab/>
      </w:r>
      <w:r w:rsidRPr="00056460">
        <w:rPr>
          <w:bCs/>
          <w:color w:val="auto"/>
          <w:lang w:val="de-DE"/>
        </w:rPr>
        <w:tab/>
        <w:t>(</w:t>
      </w:r>
      <w:r w:rsidR="00AD35F0" w:rsidRPr="00056460">
        <w:rPr>
          <w:color w:val="auto"/>
          <w:lang w:val="de-DE"/>
        </w:rPr>
        <w:t>peter.gmeiner@fau.de</w:t>
      </w:r>
      <w:r w:rsidRPr="00056460">
        <w:rPr>
          <w:bCs/>
          <w:color w:val="auto"/>
          <w:lang w:val="de-DE"/>
        </w:rPr>
        <w:t>)</w:t>
      </w:r>
    </w:p>
    <w:p w14:paraId="70799E1C" w14:textId="77777777" w:rsidR="00961B7F" w:rsidRPr="00056460" w:rsidRDefault="00961B7F" w:rsidP="00056460">
      <w:pPr>
        <w:rPr>
          <w:bCs/>
          <w:color w:val="auto"/>
          <w:lang w:val="de-DE"/>
        </w:rPr>
      </w:pPr>
    </w:p>
    <w:p w14:paraId="38B70322" w14:textId="77777777" w:rsidR="00961B7F" w:rsidRPr="00EC6599" w:rsidRDefault="00961B7F" w:rsidP="00056460">
      <w:pPr>
        <w:rPr>
          <w:b/>
          <w:color w:val="auto"/>
        </w:rPr>
      </w:pPr>
      <w:r w:rsidRPr="00EC6599">
        <w:rPr>
          <w:b/>
          <w:color w:val="auto"/>
        </w:rPr>
        <w:t xml:space="preserve">Corresponding author: </w:t>
      </w:r>
    </w:p>
    <w:p w14:paraId="0590D14B" w14:textId="04B38282" w:rsidR="00961B7F" w:rsidRPr="00056460" w:rsidRDefault="00961B7F" w:rsidP="00056460">
      <w:pPr>
        <w:rPr>
          <w:bCs/>
          <w:color w:val="auto"/>
        </w:rPr>
      </w:pPr>
      <w:r w:rsidRPr="00056460">
        <w:rPr>
          <w:bCs/>
          <w:color w:val="auto"/>
        </w:rPr>
        <w:t>Joachim Wegener</w:t>
      </w:r>
      <w:r w:rsidRPr="00056460">
        <w:rPr>
          <w:bCs/>
          <w:color w:val="auto"/>
        </w:rPr>
        <w:tab/>
      </w:r>
      <w:r w:rsidRPr="00056460">
        <w:rPr>
          <w:bCs/>
          <w:color w:val="auto"/>
        </w:rPr>
        <w:tab/>
        <w:t>(</w:t>
      </w:r>
      <w:r w:rsidR="00AD35F0" w:rsidRPr="00056460">
        <w:rPr>
          <w:color w:val="auto"/>
        </w:rPr>
        <w:t>Joachim.Wegener@ur.de</w:t>
      </w:r>
      <w:r w:rsidRPr="00056460">
        <w:rPr>
          <w:bCs/>
          <w:color w:val="auto"/>
        </w:rPr>
        <w:t>)</w:t>
      </w:r>
    </w:p>
    <w:p w14:paraId="2B508E6F" w14:textId="77777777" w:rsidR="00F147F2" w:rsidRPr="00056460" w:rsidRDefault="00F147F2" w:rsidP="00056460">
      <w:pPr>
        <w:pStyle w:val="a3"/>
        <w:spacing w:before="0" w:beforeAutospacing="0" w:after="0" w:afterAutospacing="0"/>
        <w:rPr>
          <w:b/>
          <w:bCs/>
          <w:color w:val="auto"/>
        </w:rPr>
      </w:pPr>
    </w:p>
    <w:p w14:paraId="71B79AC9" w14:textId="282EBC35" w:rsidR="006305D7" w:rsidRPr="00056460" w:rsidRDefault="006305D7" w:rsidP="00056460">
      <w:pPr>
        <w:pStyle w:val="a3"/>
        <w:spacing w:before="0" w:beforeAutospacing="0" w:after="0" w:afterAutospacing="0"/>
        <w:rPr>
          <w:color w:val="auto"/>
        </w:rPr>
      </w:pPr>
      <w:r w:rsidRPr="00056460">
        <w:rPr>
          <w:b/>
          <w:bCs/>
          <w:color w:val="auto"/>
        </w:rPr>
        <w:t>KEYWORDS:</w:t>
      </w:r>
      <w:r w:rsidRPr="00056460">
        <w:rPr>
          <w:color w:val="auto"/>
        </w:rPr>
        <w:t xml:space="preserve"> </w:t>
      </w:r>
    </w:p>
    <w:p w14:paraId="6C0B0781" w14:textId="3A70941E" w:rsidR="007A4DD6" w:rsidRPr="00056460" w:rsidRDefault="00C34541" w:rsidP="00056460">
      <w:pPr>
        <w:rPr>
          <w:color w:val="auto"/>
        </w:rPr>
      </w:pPr>
      <w:r w:rsidRPr="00056460">
        <w:rPr>
          <w:color w:val="auto"/>
        </w:rPr>
        <w:t>G-protein coupled receptor (GPCR), impedance, label-free, cell-based assay, concentration-response relationship, agonist, antagonist, histamine</w:t>
      </w:r>
      <w:r w:rsidR="00F14F64" w:rsidRPr="00056460">
        <w:rPr>
          <w:color w:val="auto"/>
        </w:rPr>
        <w:t>.</w:t>
      </w:r>
    </w:p>
    <w:p w14:paraId="7B0863AC" w14:textId="77777777" w:rsidR="00F147F2" w:rsidRPr="00056460" w:rsidRDefault="00F147F2" w:rsidP="00056460">
      <w:pPr>
        <w:rPr>
          <w:b/>
          <w:bCs/>
          <w:color w:val="auto"/>
        </w:rPr>
      </w:pPr>
    </w:p>
    <w:p w14:paraId="628AC4B5" w14:textId="0A116E8A" w:rsidR="006305D7" w:rsidRPr="00056460" w:rsidRDefault="00086FF5" w:rsidP="00056460">
      <w:pPr>
        <w:rPr>
          <w:color w:val="auto"/>
        </w:rPr>
      </w:pPr>
      <w:r w:rsidRPr="00056460">
        <w:rPr>
          <w:b/>
          <w:bCs/>
          <w:color w:val="auto"/>
        </w:rPr>
        <w:t>SUMMARY</w:t>
      </w:r>
      <w:r w:rsidR="006305D7" w:rsidRPr="00056460">
        <w:rPr>
          <w:b/>
          <w:bCs/>
          <w:color w:val="auto"/>
        </w:rPr>
        <w:t>:</w:t>
      </w:r>
      <w:r w:rsidR="006305D7" w:rsidRPr="00056460">
        <w:rPr>
          <w:color w:val="auto"/>
        </w:rPr>
        <w:t xml:space="preserve"> </w:t>
      </w:r>
    </w:p>
    <w:p w14:paraId="183771FF" w14:textId="7FBB5D0B" w:rsidR="00261002" w:rsidRPr="00056460" w:rsidRDefault="00261002" w:rsidP="00056460">
      <w:pPr>
        <w:rPr>
          <w:color w:val="auto"/>
        </w:rPr>
      </w:pPr>
      <w:r w:rsidRPr="00056460">
        <w:rPr>
          <w:color w:val="auto"/>
        </w:rPr>
        <w:t xml:space="preserve">This protocol </w:t>
      </w:r>
      <w:r w:rsidR="00B72A97" w:rsidRPr="00056460">
        <w:rPr>
          <w:color w:val="auto"/>
        </w:rPr>
        <w:t xml:space="preserve">demonstrates real-time </w:t>
      </w:r>
      <w:r w:rsidR="004F4204" w:rsidRPr="00056460">
        <w:rPr>
          <w:color w:val="auto"/>
        </w:rPr>
        <w:t>recording of</w:t>
      </w:r>
      <w:r w:rsidRPr="00056460">
        <w:rPr>
          <w:color w:val="auto"/>
        </w:rPr>
        <w:t xml:space="preserve"> full </w:t>
      </w:r>
      <w:r w:rsidR="00B72A97" w:rsidRPr="00056460">
        <w:rPr>
          <w:color w:val="auto"/>
        </w:rPr>
        <w:t>dose</w:t>
      </w:r>
      <w:r w:rsidRPr="00056460">
        <w:rPr>
          <w:color w:val="auto"/>
        </w:rPr>
        <w:t>-response relationship</w:t>
      </w:r>
      <w:r w:rsidR="0095349F" w:rsidRPr="00056460">
        <w:rPr>
          <w:color w:val="auto"/>
        </w:rPr>
        <w:t>s</w:t>
      </w:r>
      <w:r w:rsidRPr="00056460">
        <w:rPr>
          <w:color w:val="auto"/>
        </w:rPr>
        <w:t xml:space="preserve"> </w:t>
      </w:r>
      <w:r w:rsidR="00B72A97" w:rsidRPr="00056460">
        <w:rPr>
          <w:color w:val="auto"/>
        </w:rPr>
        <w:t>for</w:t>
      </w:r>
      <w:r w:rsidR="004F4204" w:rsidRPr="00056460">
        <w:rPr>
          <w:color w:val="auto"/>
        </w:rPr>
        <w:t xml:space="preserve"> </w:t>
      </w:r>
      <w:r w:rsidRPr="00056460">
        <w:rPr>
          <w:color w:val="auto"/>
        </w:rPr>
        <w:t xml:space="preserve">agonist-induced GPCR activation from a single cell layer </w:t>
      </w:r>
      <w:r w:rsidR="004F4204" w:rsidRPr="00056460">
        <w:rPr>
          <w:color w:val="auto"/>
        </w:rPr>
        <w:t xml:space="preserve">grown </w:t>
      </w:r>
      <w:r w:rsidR="00B85906" w:rsidRPr="00056460">
        <w:rPr>
          <w:color w:val="auto"/>
        </w:rPr>
        <w:t xml:space="preserve">on </w:t>
      </w:r>
      <w:r w:rsidR="004F4204" w:rsidRPr="00056460">
        <w:rPr>
          <w:color w:val="auto"/>
        </w:rPr>
        <w:t xml:space="preserve">a single microelectrode </w:t>
      </w:r>
      <w:r w:rsidR="00B85906" w:rsidRPr="00056460">
        <w:rPr>
          <w:color w:val="auto"/>
        </w:rPr>
        <w:t xml:space="preserve">using </w:t>
      </w:r>
      <w:r w:rsidRPr="00056460">
        <w:rPr>
          <w:color w:val="auto"/>
        </w:rPr>
        <w:t xml:space="preserve">label-free impedance measurements. </w:t>
      </w:r>
      <w:r w:rsidR="00324070">
        <w:rPr>
          <w:color w:val="auto"/>
        </w:rPr>
        <w:t xml:space="preserve">The new dosing scheme </w:t>
      </w:r>
      <w:r w:rsidR="00C15AD4" w:rsidRPr="00056460">
        <w:rPr>
          <w:color w:val="auto"/>
        </w:rPr>
        <w:t>significantly increases throughput without loss in time resolution.</w:t>
      </w:r>
    </w:p>
    <w:p w14:paraId="761028D6" w14:textId="77777777" w:rsidR="006305D7" w:rsidRPr="00056460" w:rsidRDefault="006305D7" w:rsidP="00056460">
      <w:pPr>
        <w:rPr>
          <w:color w:val="auto"/>
        </w:rPr>
      </w:pPr>
    </w:p>
    <w:p w14:paraId="4473AECA" w14:textId="07CFC318" w:rsidR="00AA039B" w:rsidRPr="00056460" w:rsidRDefault="006305D7" w:rsidP="00056460">
      <w:pPr>
        <w:rPr>
          <w:color w:val="auto"/>
        </w:rPr>
      </w:pPr>
      <w:r w:rsidRPr="00056460">
        <w:rPr>
          <w:b/>
          <w:bCs/>
          <w:color w:val="auto"/>
        </w:rPr>
        <w:t>ABSTRACT:</w:t>
      </w:r>
      <w:r w:rsidRPr="00056460">
        <w:rPr>
          <w:color w:val="auto"/>
        </w:rPr>
        <w:t xml:space="preserve"> </w:t>
      </w:r>
    </w:p>
    <w:p w14:paraId="794C54F7" w14:textId="68E57B6A" w:rsidR="006B6DBC" w:rsidRPr="00056460" w:rsidRDefault="00C15AD4" w:rsidP="00056460">
      <w:pPr>
        <w:rPr>
          <w:color w:val="auto"/>
        </w:rPr>
      </w:pPr>
      <w:r w:rsidRPr="00056460">
        <w:rPr>
          <w:color w:val="auto"/>
        </w:rPr>
        <w:t xml:space="preserve">Label-free impedance-based assays </w:t>
      </w:r>
      <w:r w:rsidR="00EF5622" w:rsidRPr="00056460">
        <w:rPr>
          <w:color w:val="auto"/>
        </w:rPr>
        <w:t>are increasingly used</w:t>
      </w:r>
      <w:r w:rsidRPr="00056460">
        <w:rPr>
          <w:color w:val="auto"/>
        </w:rPr>
        <w:t xml:space="preserve"> to </w:t>
      </w:r>
      <w:r w:rsidR="00DF659F" w:rsidRPr="00056460">
        <w:rPr>
          <w:color w:val="auto"/>
        </w:rPr>
        <w:t xml:space="preserve">non-invasively </w:t>
      </w:r>
      <w:r w:rsidRPr="00056460">
        <w:rPr>
          <w:color w:val="auto"/>
        </w:rPr>
        <w:t xml:space="preserve">study </w:t>
      </w:r>
      <w:r w:rsidR="00EF5622" w:rsidRPr="00056460">
        <w:rPr>
          <w:color w:val="auto"/>
        </w:rPr>
        <w:t xml:space="preserve">ligand-induced </w:t>
      </w:r>
      <w:r w:rsidRPr="00056460">
        <w:rPr>
          <w:color w:val="auto"/>
        </w:rPr>
        <w:t>GPCR</w:t>
      </w:r>
      <w:r w:rsidR="00EF5622" w:rsidRPr="00056460">
        <w:rPr>
          <w:color w:val="auto"/>
        </w:rPr>
        <w:t xml:space="preserve"> </w:t>
      </w:r>
      <w:r w:rsidR="00B72A97" w:rsidRPr="00056460">
        <w:rPr>
          <w:color w:val="auto"/>
        </w:rPr>
        <w:t xml:space="preserve">activation </w:t>
      </w:r>
      <w:r w:rsidRPr="00056460">
        <w:rPr>
          <w:color w:val="auto"/>
        </w:rPr>
        <w:t>in cell culture experiments</w:t>
      </w:r>
      <w:r w:rsidR="00B72A97" w:rsidRPr="00056460">
        <w:rPr>
          <w:color w:val="auto"/>
        </w:rPr>
        <w:t xml:space="preserve">. The approach provides </w:t>
      </w:r>
      <w:r w:rsidR="00B85906" w:rsidRPr="00056460">
        <w:rPr>
          <w:color w:val="auto"/>
        </w:rPr>
        <w:t>real-</w:t>
      </w:r>
      <w:r w:rsidRPr="00056460">
        <w:rPr>
          <w:color w:val="auto"/>
        </w:rPr>
        <w:t>time</w:t>
      </w:r>
      <w:r w:rsidR="00B72A97" w:rsidRPr="00056460">
        <w:rPr>
          <w:color w:val="auto"/>
        </w:rPr>
        <w:t xml:space="preserve"> cell monitoring with a device-dependent time resolution down to several tens of milliseconds and it is </w:t>
      </w:r>
      <w:r w:rsidR="00DF659F" w:rsidRPr="00056460">
        <w:rPr>
          <w:color w:val="auto"/>
        </w:rPr>
        <w:t>highly automated</w:t>
      </w:r>
      <w:r w:rsidR="00EF5622" w:rsidRPr="00056460">
        <w:rPr>
          <w:color w:val="auto"/>
        </w:rPr>
        <w:t xml:space="preserve">. </w:t>
      </w:r>
      <w:r w:rsidR="0031543F" w:rsidRPr="00056460">
        <w:rPr>
          <w:color w:val="auto"/>
        </w:rPr>
        <w:t xml:space="preserve">However, </w:t>
      </w:r>
      <w:r w:rsidR="00B72A97" w:rsidRPr="00056460">
        <w:rPr>
          <w:color w:val="auto"/>
        </w:rPr>
        <w:t xml:space="preserve">when </w:t>
      </w:r>
      <w:r w:rsidR="00793C28" w:rsidRPr="00056460">
        <w:rPr>
          <w:color w:val="auto"/>
        </w:rPr>
        <w:t>sample numbers</w:t>
      </w:r>
      <w:r w:rsidR="00B72A97" w:rsidRPr="00056460">
        <w:rPr>
          <w:color w:val="auto"/>
        </w:rPr>
        <w:t xml:space="preserve"> get high</w:t>
      </w:r>
      <w:r w:rsidR="006B6DBC" w:rsidRPr="00056460">
        <w:rPr>
          <w:color w:val="auto"/>
        </w:rPr>
        <w:t xml:space="preserve"> </w:t>
      </w:r>
      <w:r w:rsidR="00B72A97" w:rsidRPr="00056460">
        <w:rPr>
          <w:color w:val="auto"/>
        </w:rPr>
        <w:t>(e.g.</w:t>
      </w:r>
      <w:r w:rsidR="00EC6599">
        <w:rPr>
          <w:color w:val="auto"/>
        </w:rPr>
        <w:t>,</w:t>
      </w:r>
      <w:r w:rsidR="00B72A97" w:rsidRPr="00056460">
        <w:rPr>
          <w:color w:val="auto"/>
        </w:rPr>
        <w:t xml:space="preserve"> dose</w:t>
      </w:r>
      <w:r w:rsidR="00946C81" w:rsidRPr="00056460">
        <w:rPr>
          <w:color w:val="auto"/>
        </w:rPr>
        <w:t xml:space="preserve">-response </w:t>
      </w:r>
      <w:r w:rsidR="00B72A97" w:rsidRPr="00056460">
        <w:rPr>
          <w:color w:val="auto"/>
        </w:rPr>
        <w:t xml:space="preserve">studies </w:t>
      </w:r>
      <w:r w:rsidR="00946C81" w:rsidRPr="00056460">
        <w:rPr>
          <w:color w:val="auto"/>
        </w:rPr>
        <w:t>for</w:t>
      </w:r>
      <w:r w:rsidR="006B6DBC" w:rsidRPr="00056460">
        <w:rPr>
          <w:color w:val="auto"/>
        </w:rPr>
        <w:t xml:space="preserve"> </w:t>
      </w:r>
      <w:proofErr w:type="gramStart"/>
      <w:r w:rsidR="0031543F" w:rsidRPr="00056460">
        <w:rPr>
          <w:color w:val="auto"/>
        </w:rPr>
        <w:t xml:space="preserve">various </w:t>
      </w:r>
      <w:r w:rsidR="006B6DBC" w:rsidRPr="00056460">
        <w:rPr>
          <w:color w:val="auto"/>
        </w:rPr>
        <w:t>different</w:t>
      </w:r>
      <w:proofErr w:type="gramEnd"/>
      <w:r w:rsidR="006B6DBC" w:rsidRPr="00056460">
        <w:rPr>
          <w:color w:val="auto"/>
        </w:rPr>
        <w:t xml:space="preserve"> ligands</w:t>
      </w:r>
      <w:r w:rsidR="00B72A97" w:rsidRPr="00056460">
        <w:rPr>
          <w:color w:val="auto"/>
        </w:rPr>
        <w:t>)</w:t>
      </w:r>
      <w:r w:rsidR="00793C28" w:rsidRPr="00056460">
        <w:rPr>
          <w:color w:val="auto"/>
        </w:rPr>
        <w:t>, the cost for the disposable electrode arrays</w:t>
      </w:r>
      <w:r w:rsidR="006B6DBC" w:rsidRPr="00056460">
        <w:rPr>
          <w:color w:val="auto"/>
        </w:rPr>
        <w:t xml:space="preserve"> as well as the available time </w:t>
      </w:r>
      <w:r w:rsidR="006B6DBC" w:rsidRPr="00056460">
        <w:rPr>
          <w:color w:val="auto"/>
        </w:rPr>
        <w:lastRenderedPageBreak/>
        <w:t xml:space="preserve">resolution </w:t>
      </w:r>
      <w:r w:rsidR="000205CB" w:rsidRPr="00056460">
        <w:rPr>
          <w:color w:val="auto"/>
        </w:rPr>
        <w:t xml:space="preserve">for sequential well-by-well recordings </w:t>
      </w:r>
      <w:r w:rsidR="00793C28" w:rsidRPr="00056460">
        <w:rPr>
          <w:color w:val="auto"/>
        </w:rPr>
        <w:t>may become</w:t>
      </w:r>
      <w:r w:rsidR="006B6DBC" w:rsidRPr="00056460">
        <w:rPr>
          <w:color w:val="auto"/>
        </w:rPr>
        <w:t xml:space="preserve"> limiting.</w:t>
      </w:r>
      <w:r w:rsidR="000205CB" w:rsidRPr="00056460">
        <w:rPr>
          <w:color w:val="auto"/>
        </w:rPr>
        <w:t xml:space="preserve"> </w:t>
      </w:r>
      <w:r w:rsidR="0031543F" w:rsidRPr="00056460">
        <w:rPr>
          <w:color w:val="auto"/>
        </w:rPr>
        <w:t>The</w:t>
      </w:r>
      <w:r w:rsidR="00946C81" w:rsidRPr="00056460">
        <w:rPr>
          <w:color w:val="auto"/>
        </w:rPr>
        <w:t>refore</w:t>
      </w:r>
      <w:r w:rsidR="00EC6599">
        <w:rPr>
          <w:color w:val="auto"/>
        </w:rPr>
        <w:t>,</w:t>
      </w:r>
      <w:r w:rsidR="00946C81" w:rsidRPr="00056460">
        <w:rPr>
          <w:color w:val="auto"/>
        </w:rPr>
        <w:t xml:space="preserve"> we</w:t>
      </w:r>
      <w:r w:rsidR="0031543F" w:rsidRPr="00056460">
        <w:rPr>
          <w:color w:val="auto"/>
        </w:rPr>
        <w:t xml:space="preserve"> here present</w:t>
      </w:r>
      <w:r w:rsidR="00946C81" w:rsidRPr="00056460">
        <w:rPr>
          <w:color w:val="auto"/>
        </w:rPr>
        <w:t xml:space="preserve"> a</w:t>
      </w:r>
      <w:r w:rsidR="0031543F" w:rsidRPr="00056460">
        <w:rPr>
          <w:i/>
          <w:color w:val="auto"/>
        </w:rPr>
        <w:t xml:space="preserve"> serial</w:t>
      </w:r>
      <w:r w:rsidR="0031543F" w:rsidRPr="00056460">
        <w:rPr>
          <w:color w:val="auto"/>
        </w:rPr>
        <w:t xml:space="preserve"> agonist addition protocol </w:t>
      </w:r>
      <w:r w:rsidR="00946C81" w:rsidRPr="00056460">
        <w:rPr>
          <w:color w:val="auto"/>
        </w:rPr>
        <w:t xml:space="preserve">which </w:t>
      </w:r>
      <w:r w:rsidR="0031543F" w:rsidRPr="00056460">
        <w:rPr>
          <w:color w:val="auto"/>
        </w:rPr>
        <w:t>h</w:t>
      </w:r>
      <w:r w:rsidR="000D6CD7" w:rsidRPr="00056460">
        <w:rPr>
          <w:color w:val="auto"/>
        </w:rPr>
        <w:t>as the potential to significantly</w:t>
      </w:r>
      <w:r w:rsidR="0031543F" w:rsidRPr="00056460">
        <w:rPr>
          <w:color w:val="auto"/>
        </w:rPr>
        <w:t xml:space="preserve"> increase the output of label-free GPCR assays.</w:t>
      </w:r>
      <w:r w:rsidR="000D6CD7" w:rsidRPr="00056460">
        <w:rPr>
          <w:color w:val="auto"/>
        </w:rPr>
        <w:t xml:space="preserve"> </w:t>
      </w:r>
      <w:r w:rsidR="00AA039B" w:rsidRPr="00056460">
        <w:rPr>
          <w:color w:val="auto"/>
        </w:rPr>
        <w:t xml:space="preserve">Using </w:t>
      </w:r>
      <w:r w:rsidR="0031543F" w:rsidRPr="00056460">
        <w:rPr>
          <w:color w:val="auto"/>
        </w:rPr>
        <w:t xml:space="preserve">the </w:t>
      </w:r>
      <w:r w:rsidR="00AA039B" w:rsidRPr="00056460">
        <w:rPr>
          <w:i/>
          <w:color w:val="auto"/>
        </w:rPr>
        <w:t>serial</w:t>
      </w:r>
      <w:r w:rsidR="00AA039B" w:rsidRPr="00056460">
        <w:rPr>
          <w:color w:val="auto"/>
        </w:rPr>
        <w:t xml:space="preserve"> </w:t>
      </w:r>
      <w:r w:rsidR="0031543F" w:rsidRPr="00056460">
        <w:rPr>
          <w:color w:val="auto"/>
        </w:rPr>
        <w:t xml:space="preserve">agonist </w:t>
      </w:r>
      <w:r w:rsidR="00AA039B" w:rsidRPr="00056460">
        <w:rPr>
          <w:color w:val="auto"/>
        </w:rPr>
        <w:t xml:space="preserve">addition </w:t>
      </w:r>
      <w:r w:rsidR="0031543F" w:rsidRPr="00056460">
        <w:rPr>
          <w:color w:val="auto"/>
        </w:rPr>
        <w:t>protocol</w:t>
      </w:r>
      <w:r w:rsidR="000F339E">
        <w:rPr>
          <w:color w:val="auto"/>
        </w:rPr>
        <w:t>,</w:t>
      </w:r>
      <w:r w:rsidR="00AA039B" w:rsidRPr="00056460">
        <w:rPr>
          <w:color w:val="auto"/>
        </w:rPr>
        <w:t xml:space="preserve"> </w:t>
      </w:r>
      <w:r w:rsidR="00B85906" w:rsidRPr="00056460">
        <w:rPr>
          <w:color w:val="auto"/>
        </w:rPr>
        <w:t xml:space="preserve">a </w:t>
      </w:r>
      <w:r w:rsidR="00AA039B" w:rsidRPr="00056460">
        <w:rPr>
          <w:color w:val="auto"/>
        </w:rPr>
        <w:t>GPCR agonist</w:t>
      </w:r>
      <w:r w:rsidR="00946C81" w:rsidRPr="00056460">
        <w:rPr>
          <w:color w:val="auto"/>
        </w:rPr>
        <w:t xml:space="preserve"> </w:t>
      </w:r>
      <w:r w:rsidR="00B85906" w:rsidRPr="00056460">
        <w:rPr>
          <w:color w:val="auto"/>
        </w:rPr>
        <w:t xml:space="preserve">is </w:t>
      </w:r>
      <w:r w:rsidR="0031543F" w:rsidRPr="00056460">
        <w:rPr>
          <w:color w:val="auto"/>
        </w:rPr>
        <w:t xml:space="preserve">added </w:t>
      </w:r>
      <w:r w:rsidR="00B85906" w:rsidRPr="00056460">
        <w:rPr>
          <w:color w:val="auto"/>
        </w:rPr>
        <w:t xml:space="preserve">sequentially in increasing concentrations </w:t>
      </w:r>
      <w:r w:rsidR="000D6CD7" w:rsidRPr="00056460">
        <w:rPr>
          <w:color w:val="auto"/>
        </w:rPr>
        <w:t xml:space="preserve">to a single cell layer </w:t>
      </w:r>
      <w:r w:rsidR="00AA039B" w:rsidRPr="00056460">
        <w:rPr>
          <w:color w:val="auto"/>
        </w:rPr>
        <w:t>while continuously monitoring the sample’s impedance</w:t>
      </w:r>
      <w:r w:rsidR="000F339E">
        <w:rPr>
          <w:color w:val="auto"/>
        </w:rPr>
        <w:t xml:space="preserve"> (agonist mode)</w:t>
      </w:r>
      <w:r w:rsidR="00946C81" w:rsidRPr="00056460">
        <w:rPr>
          <w:color w:val="auto"/>
        </w:rPr>
        <w:t>. With this serial approach</w:t>
      </w:r>
      <w:r w:rsidR="000F339E">
        <w:rPr>
          <w:color w:val="auto"/>
        </w:rPr>
        <w:t>,</w:t>
      </w:r>
      <w:r w:rsidR="006B6DBC" w:rsidRPr="00056460">
        <w:rPr>
          <w:color w:val="auto"/>
        </w:rPr>
        <w:t xml:space="preserve"> it is now possible</w:t>
      </w:r>
      <w:r w:rsidR="00AA039B" w:rsidRPr="00056460">
        <w:rPr>
          <w:color w:val="auto"/>
        </w:rPr>
        <w:t xml:space="preserve"> to establish a full </w:t>
      </w:r>
      <w:r w:rsidR="000205CB" w:rsidRPr="00056460">
        <w:rPr>
          <w:color w:val="auto"/>
        </w:rPr>
        <w:t>dose</w:t>
      </w:r>
      <w:r w:rsidR="00AA039B" w:rsidRPr="00056460">
        <w:rPr>
          <w:color w:val="auto"/>
        </w:rPr>
        <w:t xml:space="preserve">-response curve for </w:t>
      </w:r>
      <w:r w:rsidR="000E4027" w:rsidRPr="00056460">
        <w:rPr>
          <w:color w:val="auto"/>
        </w:rPr>
        <w:t xml:space="preserve">a </w:t>
      </w:r>
      <w:r w:rsidR="006B6DBC" w:rsidRPr="00056460">
        <w:rPr>
          <w:color w:val="auto"/>
        </w:rPr>
        <w:t>GPCR agonist</w:t>
      </w:r>
      <w:r w:rsidR="00AA039B" w:rsidRPr="00056460">
        <w:rPr>
          <w:color w:val="auto"/>
        </w:rPr>
        <w:t xml:space="preserve"> </w:t>
      </w:r>
      <w:r w:rsidR="000205CB" w:rsidRPr="00056460">
        <w:rPr>
          <w:color w:val="auto"/>
        </w:rPr>
        <w:t xml:space="preserve">from </w:t>
      </w:r>
      <w:r w:rsidR="000F339E">
        <w:rPr>
          <w:color w:val="auto"/>
        </w:rPr>
        <w:t xml:space="preserve">just </w:t>
      </w:r>
      <w:r w:rsidR="000E4027" w:rsidRPr="00056460">
        <w:rPr>
          <w:color w:val="auto"/>
        </w:rPr>
        <w:t>one</w:t>
      </w:r>
      <w:r w:rsidR="00AA039B" w:rsidRPr="00056460">
        <w:rPr>
          <w:color w:val="auto"/>
        </w:rPr>
        <w:t xml:space="preserve"> single </w:t>
      </w:r>
      <w:r w:rsidR="006B6DBC" w:rsidRPr="00056460">
        <w:rPr>
          <w:color w:val="auto"/>
        </w:rPr>
        <w:t xml:space="preserve">cell </w:t>
      </w:r>
      <w:r w:rsidR="00AA039B" w:rsidRPr="00056460">
        <w:rPr>
          <w:color w:val="auto"/>
        </w:rPr>
        <w:t>layer</w:t>
      </w:r>
      <w:r w:rsidR="006B6DBC" w:rsidRPr="00056460">
        <w:rPr>
          <w:color w:val="auto"/>
        </w:rPr>
        <w:t xml:space="preserve">. </w:t>
      </w:r>
      <w:r w:rsidR="00946C81" w:rsidRPr="00056460">
        <w:rPr>
          <w:color w:val="auto"/>
        </w:rPr>
        <w:t>The serial agonist addition protocol is applicable</w:t>
      </w:r>
      <w:r w:rsidR="006B6DBC" w:rsidRPr="00056460">
        <w:rPr>
          <w:color w:val="auto"/>
        </w:rPr>
        <w:t xml:space="preserve"> </w:t>
      </w:r>
      <w:r w:rsidR="00B85906" w:rsidRPr="00056460">
        <w:rPr>
          <w:color w:val="auto"/>
        </w:rPr>
        <w:t xml:space="preserve">to </w:t>
      </w:r>
      <w:r w:rsidR="006B6DBC" w:rsidRPr="00056460">
        <w:rPr>
          <w:color w:val="auto"/>
        </w:rPr>
        <w:t>different GPCR</w:t>
      </w:r>
      <w:r w:rsidR="00C34541" w:rsidRPr="00056460">
        <w:rPr>
          <w:color w:val="auto"/>
        </w:rPr>
        <w:t xml:space="preserve"> coupling types</w:t>
      </w:r>
      <w:r w:rsidR="006B6DBC" w:rsidRPr="00056460">
        <w:rPr>
          <w:color w:val="auto"/>
        </w:rPr>
        <w:t xml:space="preserve">, </w:t>
      </w:r>
      <w:proofErr w:type="spellStart"/>
      <w:r w:rsidR="006B6DBC" w:rsidRPr="00056460">
        <w:rPr>
          <w:color w:val="auto"/>
        </w:rPr>
        <w:t>G</w:t>
      </w:r>
      <w:r w:rsidR="006B6DBC" w:rsidRPr="00056460">
        <w:rPr>
          <w:color w:val="auto"/>
          <w:vertAlign w:val="subscript"/>
        </w:rPr>
        <w:t>q</w:t>
      </w:r>
      <w:proofErr w:type="spellEnd"/>
      <w:r w:rsidR="006B6DBC" w:rsidRPr="00056460">
        <w:rPr>
          <w:color w:val="auto"/>
        </w:rPr>
        <w:t xml:space="preserve"> G</w:t>
      </w:r>
      <w:r w:rsidR="006B6DBC" w:rsidRPr="00056460">
        <w:rPr>
          <w:color w:val="auto"/>
          <w:vertAlign w:val="subscript"/>
        </w:rPr>
        <w:t xml:space="preserve">i/0 </w:t>
      </w:r>
      <w:r w:rsidR="006B6DBC" w:rsidRPr="00056460">
        <w:rPr>
          <w:color w:val="auto"/>
        </w:rPr>
        <w:t>or G</w:t>
      </w:r>
      <w:r w:rsidR="006B6DBC" w:rsidRPr="00056460">
        <w:rPr>
          <w:color w:val="auto"/>
          <w:vertAlign w:val="subscript"/>
        </w:rPr>
        <w:t>s</w:t>
      </w:r>
      <w:r w:rsidR="000F339E">
        <w:rPr>
          <w:color w:val="auto"/>
        </w:rPr>
        <w:t xml:space="preserve"> and</w:t>
      </w:r>
      <w:r w:rsidR="000F339E">
        <w:rPr>
          <w:color w:val="auto"/>
          <w:vertAlign w:val="subscript"/>
        </w:rPr>
        <w:t xml:space="preserve"> </w:t>
      </w:r>
      <w:r w:rsidR="000F339E" w:rsidRPr="000F17FA">
        <w:rPr>
          <w:color w:val="auto"/>
        </w:rPr>
        <w:t>it is</w:t>
      </w:r>
      <w:r w:rsidR="000F339E">
        <w:rPr>
          <w:color w:val="auto"/>
          <w:vertAlign w:val="subscript"/>
        </w:rPr>
        <w:t xml:space="preserve"> </w:t>
      </w:r>
      <w:r w:rsidR="00B5483A" w:rsidRPr="00056460">
        <w:rPr>
          <w:color w:val="auto"/>
        </w:rPr>
        <w:t xml:space="preserve">compatible with recombinant </w:t>
      </w:r>
      <w:r w:rsidR="00FA0CEC" w:rsidRPr="00056460">
        <w:rPr>
          <w:color w:val="auto"/>
        </w:rPr>
        <w:t>and</w:t>
      </w:r>
      <w:r w:rsidR="00B5483A" w:rsidRPr="00056460">
        <w:rPr>
          <w:color w:val="auto"/>
        </w:rPr>
        <w:t xml:space="preserve"> endogenous expression </w:t>
      </w:r>
      <w:r w:rsidR="00FA0CEC" w:rsidRPr="00056460">
        <w:rPr>
          <w:color w:val="auto"/>
        </w:rPr>
        <w:t xml:space="preserve">levels </w:t>
      </w:r>
      <w:r w:rsidR="00B5483A" w:rsidRPr="00056460">
        <w:rPr>
          <w:color w:val="auto"/>
        </w:rPr>
        <w:t xml:space="preserve">of </w:t>
      </w:r>
      <w:r w:rsidR="00B85906" w:rsidRPr="00056460">
        <w:rPr>
          <w:color w:val="auto"/>
        </w:rPr>
        <w:t xml:space="preserve">the </w:t>
      </w:r>
      <w:r w:rsidR="00B5483A" w:rsidRPr="00056460">
        <w:rPr>
          <w:color w:val="auto"/>
        </w:rPr>
        <w:t>receptor</w:t>
      </w:r>
      <w:r w:rsidR="00B85906" w:rsidRPr="00056460">
        <w:rPr>
          <w:color w:val="auto"/>
        </w:rPr>
        <w:t xml:space="preserve"> under study</w:t>
      </w:r>
      <w:r w:rsidR="00B5483A" w:rsidRPr="00056460">
        <w:rPr>
          <w:color w:val="auto"/>
        </w:rPr>
        <w:t>.</w:t>
      </w:r>
      <w:r w:rsidR="0031543F" w:rsidRPr="00056460">
        <w:rPr>
          <w:color w:val="auto"/>
        </w:rPr>
        <w:t xml:space="preserve"> </w:t>
      </w:r>
      <w:r w:rsidR="000F339E">
        <w:rPr>
          <w:color w:val="auto"/>
        </w:rPr>
        <w:t>Receptor blocking by</w:t>
      </w:r>
      <w:r w:rsidR="0031543F" w:rsidRPr="00056460">
        <w:rPr>
          <w:color w:val="auto"/>
        </w:rPr>
        <w:t xml:space="preserve"> GPCR </w:t>
      </w:r>
      <w:r w:rsidR="000F339E">
        <w:rPr>
          <w:color w:val="auto"/>
        </w:rPr>
        <w:t xml:space="preserve">antagonists </w:t>
      </w:r>
      <w:r w:rsidR="00B85906" w:rsidRPr="00056460">
        <w:rPr>
          <w:color w:val="auto"/>
        </w:rPr>
        <w:t xml:space="preserve">is assessable as well </w:t>
      </w:r>
      <w:r w:rsidR="000F339E">
        <w:rPr>
          <w:color w:val="auto"/>
        </w:rPr>
        <w:t>(</w:t>
      </w:r>
      <w:r w:rsidR="00C34541" w:rsidRPr="00056460">
        <w:rPr>
          <w:color w:val="auto"/>
        </w:rPr>
        <w:t>antagonist mode</w:t>
      </w:r>
      <w:r w:rsidR="000F339E">
        <w:rPr>
          <w:color w:val="auto"/>
        </w:rPr>
        <w:t>)</w:t>
      </w:r>
      <w:r w:rsidR="0031543F" w:rsidRPr="00056460">
        <w:rPr>
          <w:color w:val="auto"/>
        </w:rPr>
        <w:t>.</w:t>
      </w:r>
    </w:p>
    <w:p w14:paraId="7FE5A564" w14:textId="77777777" w:rsidR="00AA039B" w:rsidRPr="00056460" w:rsidRDefault="00AA039B" w:rsidP="00056460">
      <w:pPr>
        <w:rPr>
          <w:color w:val="auto"/>
        </w:rPr>
      </w:pPr>
    </w:p>
    <w:p w14:paraId="79CECBAD" w14:textId="1329E243" w:rsidR="00AA039B" w:rsidRPr="00056460" w:rsidRDefault="006305D7" w:rsidP="00056460">
      <w:pPr>
        <w:rPr>
          <w:color w:val="auto"/>
        </w:rPr>
      </w:pPr>
      <w:r w:rsidRPr="00056460">
        <w:rPr>
          <w:b/>
          <w:color w:val="auto"/>
        </w:rPr>
        <w:t>INTRODUCTION</w:t>
      </w:r>
      <w:r w:rsidRPr="00056460">
        <w:rPr>
          <w:b/>
          <w:bCs/>
          <w:color w:val="auto"/>
        </w:rPr>
        <w:t>:</w:t>
      </w:r>
    </w:p>
    <w:p w14:paraId="311F0686" w14:textId="227B75D4" w:rsidR="002379F0" w:rsidRPr="00056460" w:rsidRDefault="00226364" w:rsidP="00056460">
      <w:pPr>
        <w:rPr>
          <w:color w:val="auto"/>
        </w:rPr>
      </w:pPr>
      <w:r w:rsidRPr="00056460">
        <w:rPr>
          <w:color w:val="auto"/>
        </w:rPr>
        <w:t xml:space="preserve">This report </w:t>
      </w:r>
      <w:r w:rsidR="008E5793" w:rsidRPr="00056460">
        <w:rPr>
          <w:color w:val="auto"/>
        </w:rPr>
        <w:t>present</w:t>
      </w:r>
      <w:r w:rsidRPr="00056460">
        <w:rPr>
          <w:color w:val="auto"/>
        </w:rPr>
        <w:t>s</w:t>
      </w:r>
      <w:r w:rsidR="008E5793" w:rsidRPr="00056460">
        <w:rPr>
          <w:color w:val="auto"/>
        </w:rPr>
        <w:t xml:space="preserve"> a detailed description of a serial addition protocol developed for the quantification of ligand-induced G protein-coupled receptor (GPCR) activation in adherently grown cells by label-free impedance measurements.</w:t>
      </w:r>
      <w:r w:rsidR="00F147F2" w:rsidRPr="00056460">
        <w:rPr>
          <w:color w:val="auto"/>
        </w:rPr>
        <w:t xml:space="preserve"> </w:t>
      </w:r>
      <w:r w:rsidR="00AA039B" w:rsidRPr="00056460">
        <w:rPr>
          <w:color w:val="auto"/>
        </w:rPr>
        <w:t xml:space="preserve">G protein-coupled receptors (GPCRs) </w:t>
      </w:r>
      <w:r w:rsidR="00F342A9" w:rsidRPr="00056460">
        <w:rPr>
          <w:color w:val="auto"/>
        </w:rPr>
        <w:t>are involved</w:t>
      </w:r>
      <w:r w:rsidR="00AA039B" w:rsidRPr="00056460">
        <w:rPr>
          <w:color w:val="auto"/>
        </w:rPr>
        <w:t xml:space="preserve"> in a </w:t>
      </w:r>
      <w:r w:rsidR="00F342A9" w:rsidRPr="00056460">
        <w:rPr>
          <w:color w:val="auto"/>
        </w:rPr>
        <w:t>multitude</w:t>
      </w:r>
      <w:r w:rsidR="00AA039B" w:rsidRPr="00056460">
        <w:rPr>
          <w:color w:val="auto"/>
        </w:rPr>
        <w:t xml:space="preserve"> of </w:t>
      </w:r>
      <w:r w:rsidR="00F61A8D" w:rsidRPr="00056460">
        <w:rPr>
          <w:color w:val="auto"/>
        </w:rPr>
        <w:t xml:space="preserve">physiological </w:t>
      </w:r>
      <w:r w:rsidR="00AA039B" w:rsidRPr="00056460">
        <w:rPr>
          <w:color w:val="auto"/>
        </w:rPr>
        <w:t>functions and human diseases</w:t>
      </w:r>
      <w:hyperlink w:anchor="_ENREF_1" w:tooltip="Rosenbaum, 2009 #40" w:history="1">
        <w:r w:rsidR="00564898" w:rsidRPr="00056460">
          <w:rPr>
            <w:color w:val="auto"/>
          </w:rPr>
          <w:fldChar w:fldCharType="begin"/>
        </w:r>
        <w:r w:rsidR="00564898" w:rsidRPr="00056460">
          <w:rPr>
            <w:color w:val="auto"/>
          </w:rPr>
          <w:instrText xml:space="preserve"> ADDIN EN.CITE &lt;EndNote&gt;&lt;Cite&gt;&lt;Author&gt;Rosenbaum&lt;/Author&gt;&lt;Year&gt;2009&lt;/Year&gt;&lt;RecNum&gt;40&lt;/RecNum&gt;&lt;DisplayText&gt;&lt;style face="superscript"&gt;1&lt;/style&gt;&lt;/DisplayText&gt;&lt;record&gt;&lt;rec-number&gt;40&lt;/rec-number&gt;&lt;foreign-keys&gt;&lt;key app="EN" db-id="dw0r95stcvf9wme0p9v5t9xp5frpsx50e5pe" timestamp="1485347159"&gt;40&lt;/key&gt;&lt;/foreign-keys&gt;&lt;ref-type name="Journal Article"&gt;17&lt;/ref-type&gt;&lt;contributors&gt;&lt;authors&gt;&lt;author&gt;Rosenbaum, D. M.&lt;/author&gt;&lt;author&gt;Rasmussen, S. G.&lt;/author&gt;&lt;author&gt;Kobilka, B. K.&lt;/author&gt;&lt;/authors&gt;&lt;/contributors&gt;&lt;auth-address&gt;Department of Molecular and Cellular Physiology, Stanford University School of Medicine, 279 Campus Drive, Palo Alto, California 94305, USA.&lt;/auth-address&gt;&lt;titles&gt;&lt;title&gt;The structure and function of G-protein-coupled receptors&lt;/title&gt;&lt;secondary-title&gt;Nature&lt;/secondary-title&gt;&lt;alt-title&gt;Nature&lt;/alt-title&gt;&lt;/titles&gt;&lt;periodical&gt;&lt;full-title&gt;Nature&lt;/full-title&gt;&lt;abbr-1&gt;Nature&lt;/abbr-1&gt;&lt;/periodical&gt;&lt;alt-periodical&gt;&lt;full-title&gt;Nature&lt;/full-title&gt;&lt;abbr-1&gt;Nature&lt;/abbr-1&gt;&lt;/alt-periodical&gt;&lt;pages&gt;356-63&lt;/pages&gt;&lt;volume&gt;459&lt;/volume&gt;&lt;number&gt;7245&lt;/number&gt;&lt;keywords&gt;&lt;keyword&gt;Animals&lt;/keyword&gt;&lt;keyword&gt;Conserved Sequence&lt;/keyword&gt;&lt;keyword&gt;Cytoplasm/metabolism&lt;/keyword&gt;&lt;keyword&gt;Humans&lt;/keyword&gt;&lt;keyword&gt;Opsins/chemistry/metabolism&lt;/keyword&gt;&lt;keyword&gt;Protein Conformation&lt;/keyword&gt;&lt;keyword&gt;Receptors, G-Protein-Coupled/*chemistry/*metabolism&lt;/keyword&gt;&lt;keyword&gt;Signal Transduction&lt;/keyword&gt;&lt;/keywords&gt;&lt;dates&gt;&lt;year&gt;2009&lt;/year&gt;&lt;pub-dates&gt;&lt;date&gt;May 21&lt;/date&gt;&lt;/pub-dates&gt;&lt;/dates&gt;&lt;isbn&gt;1476-4687 (Electronic)&amp;#xD;0028-0836 (Linking)&lt;/isbn&gt;&lt;accession-num&gt;19458711&lt;/accession-num&gt;&lt;urls&gt;&lt;related-urls&gt;&lt;url&gt;http://www.ncbi.nlm.nih.gov/pubmed/19458711&lt;/url&gt;&lt;/related-urls&gt;&lt;/urls&gt;&lt;custom2&gt;3967846&lt;/custom2&gt;&lt;electronic-resource-num&gt;10.1038/nature08144&lt;/electronic-resource-num&gt;&lt;/record&gt;&lt;/Cite&gt;&lt;/EndNote&gt;</w:instrText>
        </w:r>
        <w:r w:rsidR="00564898" w:rsidRPr="00056460">
          <w:rPr>
            <w:color w:val="auto"/>
          </w:rPr>
          <w:fldChar w:fldCharType="separate"/>
        </w:r>
        <w:r w:rsidR="00564898" w:rsidRPr="00056460">
          <w:rPr>
            <w:noProof/>
            <w:color w:val="auto"/>
            <w:vertAlign w:val="superscript"/>
          </w:rPr>
          <w:t>1</w:t>
        </w:r>
        <w:r w:rsidR="00564898" w:rsidRPr="00056460">
          <w:rPr>
            <w:color w:val="auto"/>
          </w:rPr>
          <w:fldChar w:fldCharType="end"/>
        </w:r>
      </w:hyperlink>
      <w:r w:rsidR="00AA039B" w:rsidRPr="00056460">
        <w:rPr>
          <w:color w:val="auto"/>
        </w:rPr>
        <w:t>.</w:t>
      </w:r>
      <w:r w:rsidR="00F342A9" w:rsidRPr="00056460">
        <w:rPr>
          <w:color w:val="auto"/>
        </w:rPr>
        <w:t xml:space="preserve"> </w:t>
      </w:r>
      <w:r w:rsidR="00F61A8D" w:rsidRPr="00056460">
        <w:rPr>
          <w:color w:val="auto"/>
        </w:rPr>
        <w:t xml:space="preserve">Because of this and </w:t>
      </w:r>
      <w:r w:rsidR="00F342A9" w:rsidRPr="00056460">
        <w:rPr>
          <w:color w:val="auto"/>
        </w:rPr>
        <w:t xml:space="preserve">their </w:t>
      </w:r>
      <w:r w:rsidR="009C642A" w:rsidRPr="00056460">
        <w:rPr>
          <w:color w:val="auto"/>
        </w:rPr>
        <w:t xml:space="preserve">good </w:t>
      </w:r>
      <w:r w:rsidR="00F342A9" w:rsidRPr="00056460">
        <w:rPr>
          <w:color w:val="auto"/>
        </w:rPr>
        <w:t xml:space="preserve">accessibility </w:t>
      </w:r>
      <w:r w:rsidR="009C642A" w:rsidRPr="00056460">
        <w:rPr>
          <w:color w:val="auto"/>
        </w:rPr>
        <w:t>at the cell surface</w:t>
      </w:r>
      <w:r w:rsidRPr="00056460">
        <w:rPr>
          <w:color w:val="auto"/>
        </w:rPr>
        <w:t>,</w:t>
      </w:r>
      <w:r w:rsidR="009C642A" w:rsidRPr="00056460">
        <w:rPr>
          <w:color w:val="auto"/>
        </w:rPr>
        <w:t xml:space="preserve"> GPCRs are</w:t>
      </w:r>
      <w:r w:rsidR="00F342A9" w:rsidRPr="00056460">
        <w:rPr>
          <w:color w:val="auto"/>
        </w:rPr>
        <w:t xml:space="preserve"> </w:t>
      </w:r>
      <w:r w:rsidR="009C642A" w:rsidRPr="00056460">
        <w:rPr>
          <w:color w:val="auto"/>
        </w:rPr>
        <w:t>one of the</w:t>
      </w:r>
      <w:r w:rsidR="00F342A9" w:rsidRPr="00056460">
        <w:rPr>
          <w:color w:val="auto"/>
        </w:rPr>
        <w:t xml:space="preserve"> most important drug targets</w:t>
      </w:r>
      <w:r w:rsidR="000F339E">
        <w:rPr>
          <w:color w:val="auto"/>
        </w:rPr>
        <w:t>. This assessment is</w:t>
      </w:r>
      <w:r w:rsidRPr="00056460">
        <w:rPr>
          <w:color w:val="auto"/>
        </w:rPr>
        <w:t xml:space="preserve"> </w:t>
      </w:r>
      <w:r w:rsidR="009C642A" w:rsidRPr="00056460">
        <w:rPr>
          <w:color w:val="auto"/>
        </w:rPr>
        <w:t xml:space="preserve">reflected </w:t>
      </w:r>
      <w:r w:rsidRPr="00056460">
        <w:rPr>
          <w:color w:val="auto"/>
        </w:rPr>
        <w:t xml:space="preserve">in </w:t>
      </w:r>
      <w:r w:rsidR="00E04663" w:rsidRPr="00056460">
        <w:rPr>
          <w:color w:val="auto"/>
        </w:rPr>
        <w:t xml:space="preserve">an </w:t>
      </w:r>
      <w:r w:rsidR="002379F0" w:rsidRPr="00056460">
        <w:rPr>
          <w:color w:val="auto"/>
        </w:rPr>
        <w:t>estimated number of ~700 approved drugs targeting GPCRs</w:t>
      </w:r>
      <w:r w:rsidR="00191992">
        <w:rPr>
          <w:color w:val="auto"/>
        </w:rPr>
        <w:t>,</w:t>
      </w:r>
      <w:r w:rsidR="002379F0" w:rsidRPr="00056460">
        <w:rPr>
          <w:color w:val="auto"/>
        </w:rPr>
        <w:t xml:space="preserve"> </w:t>
      </w:r>
      <w:r w:rsidRPr="00056460">
        <w:rPr>
          <w:color w:val="auto"/>
        </w:rPr>
        <w:t xml:space="preserve">equivalent to </w:t>
      </w:r>
      <w:r w:rsidR="00CC39B2" w:rsidRPr="00056460">
        <w:rPr>
          <w:color w:val="auto"/>
        </w:rPr>
        <w:t>a ~</w:t>
      </w:r>
      <w:r w:rsidR="002379F0" w:rsidRPr="00056460">
        <w:rPr>
          <w:color w:val="auto"/>
        </w:rPr>
        <w:t xml:space="preserve">35% </w:t>
      </w:r>
      <w:r w:rsidR="00E04663" w:rsidRPr="00056460">
        <w:rPr>
          <w:color w:val="auto"/>
        </w:rPr>
        <w:t>share on</w:t>
      </w:r>
      <w:r w:rsidR="002379F0" w:rsidRPr="00056460">
        <w:rPr>
          <w:color w:val="auto"/>
        </w:rPr>
        <w:t xml:space="preserve"> all </w:t>
      </w:r>
      <w:r w:rsidR="00E04663" w:rsidRPr="00056460">
        <w:rPr>
          <w:color w:val="auto"/>
        </w:rPr>
        <w:t>marketed drugs</w:t>
      </w:r>
      <w:hyperlink w:anchor="_ENREF_2" w:tooltip="Sriram, 2018 #44" w:history="1">
        <w:r w:rsidR="00564898" w:rsidRPr="00056460">
          <w:rPr>
            <w:color w:val="auto"/>
          </w:rPr>
          <w:fldChar w:fldCharType="begin"/>
        </w:r>
        <w:r w:rsidR="00564898" w:rsidRPr="00056460">
          <w:rPr>
            <w:color w:val="auto"/>
          </w:rPr>
          <w:instrText xml:space="preserve"> ADDIN EN.CITE &lt;EndNote&gt;&lt;Cite&gt;&lt;Author&gt;Sriram&lt;/Author&gt;&lt;Year&gt;2018&lt;/Year&gt;&lt;RecNum&gt;44&lt;/RecNum&gt;&lt;DisplayText&gt;&lt;style face="superscript"&gt;2&lt;/style&gt;&lt;/DisplayText&gt;&lt;record&gt;&lt;rec-number&gt;44&lt;/rec-number&gt;&lt;foreign-keys&gt;&lt;key app="EN" db-id="dw0r95stcvf9wme0p9v5t9xp5frpsx50e5pe" timestamp="1564428756"&gt;44&lt;/key&gt;&lt;/foreign-keys&gt;&lt;ref-type name="Journal Article"&gt;17&lt;/ref-type&gt;&lt;contributors&gt;&lt;authors&gt;&lt;author&gt;Sriram, K.&lt;/author&gt;&lt;author&gt;Insel, P. A.&lt;/author&gt;&lt;/authors&gt;&lt;/contributors&gt;&lt;auth-address&gt;Departments of Pharmacology (K.S., P.A.I.) and Medicine (P.A.I.), University of California San Diego, La Jolla, California.&amp;#xD;Departments of Pharmacology (K.S., P.A.I.) and Medicine (P.A.I.), University of California San Diego, La Jolla, California pinsel@ucsd.edu.&lt;/auth-address&gt;&lt;titles&gt;&lt;title&gt;G Protein-Coupled Receptors as Targets for Approved Drugs: How Many Targets and How Many Drugs?&lt;/title&gt;&lt;secondary-title&gt;Mol Pharmacol&lt;/secondary-title&gt;&lt;alt-title&gt;Molecular pharmacology&lt;/alt-title&gt;&lt;/titles&gt;&lt;periodical&gt;&lt;full-title&gt;Mol Pharmacol&lt;/full-title&gt;&lt;abbr-1&gt;Molecular pharmacology&lt;/abbr-1&gt;&lt;/periodical&gt;&lt;alt-periodical&gt;&lt;full-title&gt;Mol Pharmacol&lt;/full-title&gt;&lt;abbr-1&gt;Molecular pharmacology&lt;/abbr-1&gt;&lt;/alt-periodical&gt;&lt;pages&gt;251-258&lt;/pages&gt;&lt;volume&gt;93&lt;/volume&gt;&lt;number&gt;4&lt;/number&gt;&lt;keywords&gt;&lt;keyword&gt;Animals&lt;/keyword&gt;&lt;keyword&gt;Databases, Factual/trends&lt;/keyword&gt;&lt;keyword&gt;Drug Delivery Systems/methods/*trends&lt;/keyword&gt;&lt;keyword&gt;Humans&lt;/keyword&gt;&lt;keyword&gt;Pharmaceutical Preparations/*administration &amp;amp; dosage/*metabolism&lt;/keyword&gt;&lt;keyword&gt;Receptors, G-Protein-Coupled/*metabolism&lt;/keyword&gt;&lt;/keywords&gt;&lt;dates&gt;&lt;year&gt;2018&lt;/year&gt;&lt;pub-dates&gt;&lt;date&gt;Apr&lt;/date&gt;&lt;/pub-dates&gt;&lt;/dates&gt;&lt;isbn&gt;1521-0111 (Electronic)&amp;#xD;0026-895X (Linking)&lt;/isbn&gt;&lt;accession-num&gt;29298813&lt;/accession-num&gt;&lt;urls&gt;&lt;related-urls&gt;&lt;url&gt;http://www.ncbi.nlm.nih.gov/pubmed/29298813&lt;/url&gt;&lt;/related-urls&gt;&lt;/urls&gt;&lt;custom2&gt;5820538&lt;/custom2&gt;&lt;electronic-resource-num&gt;10.1124/mol.117.111062&lt;/electronic-resource-num&gt;&lt;/record&gt;&lt;/Cite&gt;&lt;/EndNote&gt;</w:instrText>
        </w:r>
        <w:r w:rsidR="00564898" w:rsidRPr="00056460">
          <w:rPr>
            <w:color w:val="auto"/>
          </w:rPr>
          <w:fldChar w:fldCharType="separate"/>
        </w:r>
        <w:r w:rsidR="00564898" w:rsidRPr="00056460">
          <w:rPr>
            <w:noProof/>
            <w:color w:val="auto"/>
            <w:vertAlign w:val="superscript"/>
          </w:rPr>
          <w:t>2</w:t>
        </w:r>
        <w:r w:rsidR="00564898" w:rsidRPr="00056460">
          <w:rPr>
            <w:color w:val="auto"/>
          </w:rPr>
          <w:fldChar w:fldCharType="end"/>
        </w:r>
      </w:hyperlink>
      <w:r w:rsidR="002379F0" w:rsidRPr="00056460">
        <w:rPr>
          <w:color w:val="auto"/>
        </w:rPr>
        <w:t>.</w:t>
      </w:r>
    </w:p>
    <w:p w14:paraId="303146DE" w14:textId="77777777" w:rsidR="00056460" w:rsidRPr="00056460" w:rsidRDefault="00056460" w:rsidP="00056460">
      <w:pPr>
        <w:rPr>
          <w:color w:val="auto"/>
        </w:rPr>
      </w:pPr>
    </w:p>
    <w:p w14:paraId="0B566FE1" w14:textId="2F189C58" w:rsidR="00D51243" w:rsidRPr="00056460" w:rsidRDefault="00E04663" w:rsidP="00056460">
      <w:pPr>
        <w:rPr>
          <w:color w:val="auto"/>
        </w:rPr>
      </w:pPr>
      <w:r w:rsidRPr="00056460">
        <w:rPr>
          <w:color w:val="auto"/>
        </w:rPr>
        <w:t>The development</w:t>
      </w:r>
      <w:r w:rsidR="00CC39B2" w:rsidRPr="00056460">
        <w:rPr>
          <w:color w:val="auto"/>
        </w:rPr>
        <w:t xml:space="preserve"> of </w:t>
      </w:r>
      <w:r w:rsidRPr="00056460">
        <w:rPr>
          <w:color w:val="auto"/>
        </w:rPr>
        <w:t xml:space="preserve">new </w:t>
      </w:r>
      <w:r w:rsidR="00CC39B2" w:rsidRPr="00056460">
        <w:rPr>
          <w:color w:val="auto"/>
        </w:rPr>
        <w:t xml:space="preserve">drugs </w:t>
      </w:r>
      <w:r w:rsidR="00226364" w:rsidRPr="00056460">
        <w:rPr>
          <w:color w:val="auto"/>
        </w:rPr>
        <w:t>comprises two central processes:</w:t>
      </w:r>
      <w:r w:rsidR="00CC39B2" w:rsidRPr="00056460">
        <w:rPr>
          <w:color w:val="auto"/>
        </w:rPr>
        <w:t xml:space="preserve"> (</w:t>
      </w:r>
      <w:proofErr w:type="spellStart"/>
      <w:r w:rsidR="00CC39B2" w:rsidRPr="00056460">
        <w:rPr>
          <w:color w:val="auto"/>
        </w:rPr>
        <w:t>i</w:t>
      </w:r>
      <w:proofErr w:type="spellEnd"/>
      <w:r w:rsidR="00CC39B2" w:rsidRPr="00056460">
        <w:rPr>
          <w:color w:val="auto"/>
        </w:rPr>
        <w:t xml:space="preserve">) </w:t>
      </w:r>
      <w:r w:rsidR="004E7534" w:rsidRPr="00056460">
        <w:rPr>
          <w:color w:val="auto"/>
        </w:rPr>
        <w:t xml:space="preserve">the </w:t>
      </w:r>
      <w:r w:rsidR="00226364" w:rsidRPr="00056460">
        <w:rPr>
          <w:color w:val="auto"/>
        </w:rPr>
        <w:t xml:space="preserve">identification </w:t>
      </w:r>
      <w:r w:rsidR="004E7534" w:rsidRPr="00056460">
        <w:rPr>
          <w:color w:val="auto"/>
        </w:rPr>
        <w:t>and functional characterization of biological target molecules</w:t>
      </w:r>
      <w:r w:rsidRPr="00056460">
        <w:rPr>
          <w:color w:val="auto"/>
        </w:rPr>
        <w:t>,</w:t>
      </w:r>
      <w:r w:rsidR="004E7534" w:rsidRPr="00056460">
        <w:rPr>
          <w:color w:val="auto"/>
        </w:rPr>
        <w:t xml:space="preserve"> and</w:t>
      </w:r>
      <w:r w:rsidRPr="00056460">
        <w:rPr>
          <w:color w:val="auto"/>
        </w:rPr>
        <w:t xml:space="preserve"> </w:t>
      </w:r>
      <w:r w:rsidR="00CC39B2" w:rsidRPr="00056460">
        <w:rPr>
          <w:color w:val="auto"/>
        </w:rPr>
        <w:t xml:space="preserve">(ii) </w:t>
      </w:r>
      <w:r w:rsidR="004E7534" w:rsidRPr="00056460">
        <w:rPr>
          <w:color w:val="auto"/>
        </w:rPr>
        <w:t>the discovery of new lead substances and their development into administrable drugs</w:t>
      </w:r>
      <w:r w:rsidRPr="00056460">
        <w:rPr>
          <w:color w:val="auto"/>
        </w:rPr>
        <w:t xml:space="preserve">. </w:t>
      </w:r>
      <w:r w:rsidR="00CC39B2" w:rsidRPr="00056460">
        <w:rPr>
          <w:color w:val="auto"/>
        </w:rPr>
        <w:t xml:space="preserve">In both processes, efficient methods are required to </w:t>
      </w:r>
      <w:r w:rsidR="004E7534" w:rsidRPr="00056460">
        <w:rPr>
          <w:color w:val="auto"/>
        </w:rPr>
        <w:t xml:space="preserve">quantitatively </w:t>
      </w:r>
      <w:r w:rsidR="00CC39B2" w:rsidRPr="00056460">
        <w:rPr>
          <w:color w:val="auto"/>
        </w:rPr>
        <w:t xml:space="preserve">evaluate </w:t>
      </w:r>
      <w:r w:rsidR="00AA0F09" w:rsidRPr="00056460">
        <w:rPr>
          <w:color w:val="auto"/>
        </w:rPr>
        <w:t>drug-target</w:t>
      </w:r>
      <w:r w:rsidR="004E7534" w:rsidRPr="00056460">
        <w:rPr>
          <w:color w:val="auto"/>
        </w:rPr>
        <w:t xml:space="preserve"> interactions and the subsequent biological downstream response. Different stages of the </w:t>
      </w:r>
      <w:r w:rsidR="00226364" w:rsidRPr="00056460">
        <w:rPr>
          <w:color w:val="auto"/>
        </w:rPr>
        <w:t xml:space="preserve">pre-clinical </w:t>
      </w:r>
      <w:r w:rsidR="004E7534" w:rsidRPr="00056460">
        <w:rPr>
          <w:color w:val="auto"/>
        </w:rPr>
        <w:t xml:space="preserve">drug development process </w:t>
      </w:r>
      <w:r w:rsidR="00F61A8D" w:rsidRPr="00056460">
        <w:rPr>
          <w:color w:val="auto"/>
        </w:rPr>
        <w:t xml:space="preserve">make use of </w:t>
      </w:r>
      <w:r w:rsidR="004E7534" w:rsidRPr="00056460">
        <w:rPr>
          <w:color w:val="auto"/>
        </w:rPr>
        <w:t>different methods</w:t>
      </w:r>
      <w:r w:rsidR="00F61A8D" w:rsidRPr="00056460">
        <w:rPr>
          <w:color w:val="auto"/>
        </w:rPr>
        <w:t xml:space="preserve"> of analysis</w:t>
      </w:r>
      <w:r w:rsidR="004E7534" w:rsidRPr="00056460">
        <w:rPr>
          <w:color w:val="auto"/>
        </w:rPr>
        <w:t xml:space="preserve"> ranging from </w:t>
      </w:r>
      <w:r w:rsidR="00F61A8D" w:rsidRPr="00056460">
        <w:rPr>
          <w:color w:val="auto"/>
        </w:rPr>
        <w:t>biomolecular interaction studies between drug and target</w:t>
      </w:r>
      <w:r w:rsidR="004E7534" w:rsidRPr="00056460">
        <w:rPr>
          <w:color w:val="auto"/>
        </w:rPr>
        <w:t xml:space="preserve">, over </w:t>
      </w:r>
      <w:r w:rsidR="00D51243" w:rsidRPr="00056460">
        <w:rPr>
          <w:color w:val="auto"/>
        </w:rPr>
        <w:t xml:space="preserve">functional studies on </w:t>
      </w:r>
      <w:r w:rsidR="004E7534" w:rsidRPr="00056460">
        <w:rPr>
          <w:color w:val="auto"/>
        </w:rPr>
        <w:t>cell</w:t>
      </w:r>
      <w:r w:rsidR="00D51243" w:rsidRPr="00056460">
        <w:rPr>
          <w:color w:val="auto"/>
        </w:rPr>
        <w:t>s in</w:t>
      </w:r>
      <w:r w:rsidR="00F61B58" w:rsidRPr="00056460">
        <w:rPr>
          <w:color w:val="auto"/>
        </w:rPr>
        <w:t xml:space="preserve"> culture</w:t>
      </w:r>
      <w:r w:rsidR="004E7534" w:rsidRPr="00056460">
        <w:rPr>
          <w:color w:val="auto"/>
        </w:rPr>
        <w:t xml:space="preserve">, to experiments on excised organ material </w:t>
      </w:r>
      <w:r w:rsidR="00F61A8D" w:rsidRPr="00056460">
        <w:rPr>
          <w:color w:val="auto"/>
        </w:rPr>
        <w:t xml:space="preserve">or </w:t>
      </w:r>
      <w:r w:rsidR="004E7534" w:rsidRPr="00056460">
        <w:rPr>
          <w:color w:val="auto"/>
        </w:rPr>
        <w:t>whole animals</w:t>
      </w:r>
      <w:r w:rsidR="00F61A8D" w:rsidRPr="00056460">
        <w:rPr>
          <w:color w:val="auto"/>
        </w:rPr>
        <w:t>. Both,</w:t>
      </w:r>
      <w:r w:rsidR="00F61B58" w:rsidRPr="00056460">
        <w:rPr>
          <w:color w:val="auto"/>
        </w:rPr>
        <w:t xml:space="preserve"> physiological significance and biological complexity </w:t>
      </w:r>
      <w:r w:rsidR="00F61A8D" w:rsidRPr="00056460">
        <w:rPr>
          <w:color w:val="auto"/>
        </w:rPr>
        <w:t xml:space="preserve">increase </w:t>
      </w:r>
      <w:r w:rsidR="00630A44" w:rsidRPr="00056460">
        <w:rPr>
          <w:color w:val="auto"/>
        </w:rPr>
        <w:t>from the former to the latter</w:t>
      </w:r>
      <w:hyperlink w:anchor="_ENREF_3" w:tooltip="Kaitin, 2010 #44" w:history="1">
        <w:r w:rsidR="00564898" w:rsidRPr="00056460">
          <w:rPr>
            <w:color w:val="auto"/>
          </w:rPr>
          <w:fldChar w:fldCharType="begin"/>
        </w:r>
        <w:r w:rsidR="00564898" w:rsidRPr="00056460">
          <w:rPr>
            <w:color w:val="auto"/>
          </w:rPr>
          <w:instrText xml:space="preserve"> ADDIN EN.CITE &lt;EndNote&gt;&lt;Cite&gt;&lt;Author&gt;Kaitin&lt;/Author&gt;&lt;Year&gt;2010&lt;/Year&gt;&lt;RecNum&gt;44&lt;/RecNum&gt;&lt;DisplayText&gt;&lt;style face="superscript"&gt;3&lt;/style&gt;&lt;/DisplayText&gt;&lt;record&gt;&lt;rec-number&gt;44&lt;/rec-number&gt;&lt;foreign-keys&gt;&lt;key app="EN" db-id="dw0r95stcvf9wme0p9v5t9xp5frpsx50e5pe" timestamp="1564656274"&gt;44&lt;/key&gt;&lt;/foreign-keys&gt;&lt;ref-type name="Journal Article"&gt;17&lt;/ref-type&gt;&lt;contributors&gt;&lt;authors&gt;&lt;author&gt;Kaitin, K.I.&lt;/author&gt;&lt;/authors&gt;&lt;/contributors&gt;&lt;titles&gt;&lt;title&gt;Deconstructing the drug development process: The new face of innovation&lt;/title&gt;&lt;secondary-title&gt;Clin Pharmacol Ther&lt;/secondary-title&gt;&lt;alt-title&gt;Clinical Pharmacology and Therapeutics&lt;/alt-title&gt;&lt;/titles&gt;&lt;periodical&gt;&lt;full-title&gt;Clin Pharmacol Ther&lt;/full-title&gt;&lt;/periodical&gt;&lt;pages&gt;6&lt;/pages&gt;&lt;volume&gt;87&lt;/volume&gt;&lt;number&gt;3&lt;/number&gt;&lt;section&gt;356&lt;/section&gt;&lt;dates&gt;&lt;year&gt;2010&lt;/year&gt;&lt;/dates&gt;&lt;urls&gt;&lt;/urls&gt;&lt;/record&gt;&lt;/Cite&gt;&lt;/EndNote&gt;</w:instrText>
        </w:r>
        <w:r w:rsidR="00564898" w:rsidRPr="00056460">
          <w:rPr>
            <w:color w:val="auto"/>
          </w:rPr>
          <w:fldChar w:fldCharType="separate"/>
        </w:r>
        <w:r w:rsidR="00564898" w:rsidRPr="00056460">
          <w:rPr>
            <w:noProof/>
            <w:color w:val="auto"/>
            <w:vertAlign w:val="superscript"/>
          </w:rPr>
          <w:t>3</w:t>
        </w:r>
        <w:r w:rsidR="00564898" w:rsidRPr="00056460">
          <w:rPr>
            <w:color w:val="auto"/>
          </w:rPr>
          <w:fldChar w:fldCharType="end"/>
        </w:r>
      </w:hyperlink>
      <w:r w:rsidR="00F61B58" w:rsidRPr="00056460">
        <w:rPr>
          <w:color w:val="auto"/>
        </w:rPr>
        <w:t>. Although it is the overall goal to minimize animal experiments, p</w:t>
      </w:r>
      <w:r w:rsidR="00AA039B" w:rsidRPr="00056460">
        <w:rPr>
          <w:color w:val="auto"/>
        </w:rPr>
        <w:t xml:space="preserve">harmacological studies </w:t>
      </w:r>
      <w:r w:rsidR="00226364" w:rsidRPr="00056460">
        <w:rPr>
          <w:color w:val="auto"/>
        </w:rPr>
        <w:t xml:space="preserve">using </w:t>
      </w:r>
      <w:r w:rsidR="00AA039B" w:rsidRPr="00056460">
        <w:rPr>
          <w:color w:val="auto"/>
        </w:rPr>
        <w:t>isolated organs from laboratory animals</w:t>
      </w:r>
      <w:r w:rsidR="00D51243" w:rsidRPr="00056460">
        <w:rPr>
          <w:color w:val="auto"/>
        </w:rPr>
        <w:t xml:space="preserve"> or </w:t>
      </w:r>
      <w:r w:rsidR="00630A44" w:rsidRPr="00056460">
        <w:rPr>
          <w:color w:val="auto"/>
        </w:rPr>
        <w:t xml:space="preserve">even </w:t>
      </w:r>
      <w:r w:rsidR="00D51243" w:rsidRPr="00056460">
        <w:rPr>
          <w:color w:val="auto"/>
        </w:rPr>
        <w:t xml:space="preserve">whole </w:t>
      </w:r>
      <w:r w:rsidR="00F61B58" w:rsidRPr="00056460">
        <w:rPr>
          <w:color w:val="auto"/>
        </w:rPr>
        <w:t>animals are regarded inevitable</w:t>
      </w:r>
      <w:r w:rsidR="00AA039B" w:rsidRPr="00056460">
        <w:rPr>
          <w:color w:val="auto"/>
        </w:rPr>
        <w:t xml:space="preserve"> to</w:t>
      </w:r>
      <w:r w:rsidR="00D51243" w:rsidRPr="00056460">
        <w:rPr>
          <w:color w:val="auto"/>
        </w:rPr>
        <w:t xml:space="preserve"> comprehensively</w:t>
      </w:r>
      <w:r w:rsidR="00AA039B" w:rsidRPr="00056460">
        <w:rPr>
          <w:color w:val="auto"/>
        </w:rPr>
        <w:t xml:space="preserve"> characterize </w:t>
      </w:r>
      <w:r w:rsidR="00F61B58" w:rsidRPr="00056460">
        <w:rPr>
          <w:color w:val="auto"/>
        </w:rPr>
        <w:t>new drug candidates</w:t>
      </w:r>
      <w:r w:rsidR="00AA039B" w:rsidRPr="00056460">
        <w:rPr>
          <w:color w:val="auto"/>
        </w:rPr>
        <w:t>.</w:t>
      </w:r>
      <w:r w:rsidR="00D51243" w:rsidRPr="00056460">
        <w:rPr>
          <w:color w:val="auto"/>
        </w:rPr>
        <w:t xml:space="preserve"> </w:t>
      </w:r>
      <w:r w:rsidR="00B125C4" w:rsidRPr="00056460">
        <w:rPr>
          <w:color w:val="auto"/>
        </w:rPr>
        <w:t>In terms of analytical readout</w:t>
      </w:r>
      <w:r w:rsidR="008E5793" w:rsidRPr="00056460">
        <w:rPr>
          <w:color w:val="auto"/>
        </w:rPr>
        <w:t>,</w:t>
      </w:r>
      <w:r w:rsidR="00630A44" w:rsidRPr="00056460">
        <w:rPr>
          <w:color w:val="auto"/>
        </w:rPr>
        <w:t xml:space="preserve"> organ pharmacology</w:t>
      </w:r>
      <w:r w:rsidR="00B125C4" w:rsidRPr="00056460">
        <w:rPr>
          <w:color w:val="auto"/>
        </w:rPr>
        <w:t xml:space="preserve"> studies </w:t>
      </w:r>
      <w:r w:rsidR="00D51243" w:rsidRPr="00056460">
        <w:rPr>
          <w:color w:val="auto"/>
        </w:rPr>
        <w:t xml:space="preserve">provide a distal, integrative “holistic” functional response of highest physiological relevance. </w:t>
      </w:r>
      <w:r w:rsidR="00A35319" w:rsidRPr="00056460">
        <w:rPr>
          <w:color w:val="auto"/>
        </w:rPr>
        <w:t xml:space="preserve">A drawback of such experiments is that they are not </w:t>
      </w:r>
      <w:r w:rsidR="00226364" w:rsidRPr="00056460">
        <w:rPr>
          <w:color w:val="auto"/>
        </w:rPr>
        <w:t xml:space="preserve">compatible with </w:t>
      </w:r>
      <w:r w:rsidR="00A35319" w:rsidRPr="00056460">
        <w:rPr>
          <w:i/>
          <w:color w:val="auto"/>
        </w:rPr>
        <w:t>high throughput screening</w:t>
      </w:r>
      <w:r w:rsidR="00A35319" w:rsidRPr="00056460">
        <w:rPr>
          <w:color w:val="auto"/>
        </w:rPr>
        <w:t xml:space="preserve"> for technical </w:t>
      </w:r>
      <w:r w:rsidR="00226364" w:rsidRPr="00056460">
        <w:rPr>
          <w:color w:val="auto"/>
        </w:rPr>
        <w:t>as well as</w:t>
      </w:r>
      <w:r w:rsidR="00A35319" w:rsidRPr="00056460">
        <w:rPr>
          <w:color w:val="auto"/>
        </w:rPr>
        <w:t xml:space="preserve"> ethical reasons</w:t>
      </w:r>
      <w:r w:rsidR="00F03C2B" w:rsidRPr="00056460">
        <w:rPr>
          <w:color w:val="auto"/>
        </w:rPr>
        <w:t xml:space="preserve"> and have been </w:t>
      </w:r>
      <w:r w:rsidR="00485738" w:rsidRPr="00056460">
        <w:rPr>
          <w:color w:val="auto"/>
        </w:rPr>
        <w:t>largely substituted</w:t>
      </w:r>
      <w:r w:rsidR="00F03C2B" w:rsidRPr="00056460">
        <w:rPr>
          <w:color w:val="auto"/>
        </w:rPr>
        <w:t xml:space="preserve"> by studies based on in vitro cell culture</w:t>
      </w:r>
      <w:hyperlink w:anchor="_ENREF_4" w:tooltip="Kenakin, 2009 #7" w:history="1">
        <w:r w:rsidR="00564898" w:rsidRPr="00056460">
          <w:rPr>
            <w:color w:val="auto"/>
          </w:rPr>
          <w:fldChar w:fldCharType="begin"/>
        </w:r>
        <w:r w:rsidR="00564898" w:rsidRPr="00056460">
          <w:rPr>
            <w:color w:val="auto"/>
          </w:rPr>
          <w:instrText xml:space="preserve"> ADDIN EN.CITE &lt;EndNote&gt;&lt;Cite&gt;&lt;Author&gt;Kenakin&lt;/Author&gt;&lt;Year&gt;2009&lt;/Year&gt;&lt;RecNum&gt;7&lt;/RecNum&gt;&lt;DisplayText&gt;&lt;style face="superscript"&gt;4&lt;/style&gt;&lt;/DisplayText&gt;&lt;record&gt;&lt;rec-number&gt;7&lt;/rec-number&gt;&lt;foreign-keys&gt;&lt;key app="EN" db-id="dw0r95stcvf9wme0p9v5t9xp5frpsx50e5pe" timestamp="1480928880"&gt;7&lt;/key&gt;&lt;/foreign-keys&gt;&lt;ref-type name="Journal Article"&gt;17&lt;/ref-type&gt;&lt;contributors&gt;&lt;authors&gt;&lt;author&gt;Kenakin, T. P.&lt;/author&gt;&lt;/authors&gt;&lt;/contributors&gt;&lt;auth-address&gt;Department of Biological Reagents and Assay Development, GlaxoSmithKline Research and Development, 5 Moore Drive, Research Triangle Park, NC 27709, USA. Terry.P.Kenakin@gsk.com&lt;/auth-address&gt;&lt;titles&gt;&lt;title&gt;Cellular assays as portals to seven-transmembrane receptor-based drug discovery&lt;/title&gt;&lt;secondary-title&gt;Nat Rev Drug Discov&lt;/secondary-title&gt;&lt;alt-title&gt;Nature reviews. Drug discovery&lt;/alt-title&gt;&lt;/titles&gt;&lt;periodical&gt;&lt;full-title&gt;Nat Rev Drug Discov&lt;/full-title&gt;&lt;abbr-1&gt;Nature reviews. Drug discovery&lt;/abbr-1&gt;&lt;/periodical&gt;&lt;alt-periodical&gt;&lt;full-title&gt;Nat Rev Drug Discov&lt;/full-title&gt;&lt;abbr-1&gt;Nature reviews. Drug discovery&lt;/abbr-1&gt;&lt;/alt-periodical&gt;&lt;pages&gt;617-26&lt;/pages&gt;&lt;volume&gt;8&lt;/volume&gt;&lt;number&gt;8&lt;/number&gt;&lt;keywords&gt;&lt;keyword&gt;Animals&lt;/keyword&gt;&lt;keyword&gt;Biological Assay/*methods&lt;/keyword&gt;&lt;keyword&gt;Chemistry, Pharmaceutical/methods&lt;/keyword&gt;&lt;keyword&gt;Drug Discovery/*methods&lt;/keyword&gt;&lt;keyword&gt;Humans&lt;/keyword&gt;&lt;keyword&gt;Ligands&lt;/keyword&gt;&lt;keyword&gt;Receptors, G-Protein-Coupled/*metabolism&lt;/keyword&gt;&lt;keyword&gt;Research Design&lt;/keyword&gt;&lt;/keywords&gt;&lt;dates&gt;&lt;year&gt;2009&lt;/year&gt;&lt;pub-dates&gt;&lt;date&gt;Aug&lt;/date&gt;&lt;/pub-dates&gt;&lt;/dates&gt;&lt;isbn&gt;1474-1784 (Electronic)&amp;#xD;1474-1776 (Linking)&lt;/isbn&gt;&lt;accession-num&gt;19609267&lt;/accession-num&gt;&lt;urls&gt;&lt;related-urls&gt;&lt;url&gt;http://www.ncbi.nlm.nih.gov/pubmed/19609267&lt;/url&gt;&lt;/related-urls&gt;&lt;/urls&gt;&lt;electronic-resource-num&gt;10.1038/nrd2838&lt;/electronic-resource-num&gt;&lt;/record&gt;&lt;/Cite&gt;&lt;/EndNote&gt;</w:instrText>
        </w:r>
        <w:r w:rsidR="00564898" w:rsidRPr="00056460">
          <w:rPr>
            <w:color w:val="auto"/>
          </w:rPr>
          <w:fldChar w:fldCharType="separate"/>
        </w:r>
        <w:r w:rsidR="00564898" w:rsidRPr="00056460">
          <w:rPr>
            <w:noProof/>
            <w:color w:val="auto"/>
            <w:vertAlign w:val="superscript"/>
          </w:rPr>
          <w:t>4</w:t>
        </w:r>
        <w:r w:rsidR="00564898" w:rsidRPr="00056460">
          <w:rPr>
            <w:color w:val="auto"/>
          </w:rPr>
          <w:fldChar w:fldCharType="end"/>
        </w:r>
      </w:hyperlink>
      <w:hyperlink w:anchor="_ENREF_4" w:tooltip="Kenakin, 2009 #7" w:history="1"/>
      <w:r w:rsidR="00AA039B" w:rsidRPr="00056460">
        <w:rPr>
          <w:color w:val="auto"/>
        </w:rPr>
        <w:t xml:space="preserve">. </w:t>
      </w:r>
    </w:p>
    <w:p w14:paraId="5E32A9D1" w14:textId="77777777" w:rsidR="00056460" w:rsidRPr="00056460" w:rsidRDefault="00056460" w:rsidP="00056460">
      <w:pPr>
        <w:rPr>
          <w:color w:val="auto"/>
        </w:rPr>
      </w:pPr>
    </w:p>
    <w:p w14:paraId="39F65E43" w14:textId="245E619C" w:rsidR="0043108A" w:rsidRPr="00056460" w:rsidRDefault="00264832" w:rsidP="00056460">
      <w:pPr>
        <w:rPr>
          <w:color w:val="auto"/>
        </w:rPr>
      </w:pPr>
      <w:r w:rsidRPr="00056460">
        <w:rPr>
          <w:color w:val="auto"/>
        </w:rPr>
        <w:t xml:space="preserve">Methods to quantify GPCR activation </w:t>
      </w:r>
      <w:r w:rsidR="00630A44" w:rsidRPr="00056460">
        <w:rPr>
          <w:color w:val="auto"/>
        </w:rPr>
        <w:t xml:space="preserve">in cell cultures </w:t>
      </w:r>
      <w:r w:rsidRPr="00056460">
        <w:rPr>
          <w:color w:val="auto"/>
        </w:rPr>
        <w:t xml:space="preserve">include different label-based chemical assays, which specifically detect second messengers, </w:t>
      </w:r>
      <w:r w:rsidR="008E5793" w:rsidRPr="00056460">
        <w:rPr>
          <w:color w:val="auto"/>
        </w:rPr>
        <w:t>phosphorylation state</w:t>
      </w:r>
      <w:r w:rsidRPr="00056460">
        <w:rPr>
          <w:color w:val="auto"/>
        </w:rPr>
        <w:t xml:space="preserve"> of downstream signaling proteins</w:t>
      </w:r>
      <w:r w:rsidR="008E5793" w:rsidRPr="00056460">
        <w:rPr>
          <w:color w:val="auto"/>
        </w:rPr>
        <w:t xml:space="preserve">, </w:t>
      </w:r>
      <w:r w:rsidR="00E625F8" w:rsidRPr="00056460">
        <w:rPr>
          <w:color w:val="auto"/>
        </w:rPr>
        <w:t xml:space="preserve">transcriptional activation </w:t>
      </w:r>
      <w:r w:rsidR="008E5793" w:rsidRPr="00056460">
        <w:rPr>
          <w:color w:val="auto"/>
        </w:rPr>
        <w:t xml:space="preserve">via certain </w:t>
      </w:r>
      <w:r w:rsidR="00E625F8" w:rsidRPr="00056460">
        <w:rPr>
          <w:color w:val="auto"/>
        </w:rPr>
        <w:t xml:space="preserve">transcription factors </w:t>
      </w:r>
      <w:r w:rsidRPr="00056460">
        <w:rPr>
          <w:color w:val="auto"/>
        </w:rPr>
        <w:t>or</w:t>
      </w:r>
      <w:r w:rsidR="00E625F8" w:rsidRPr="00056460">
        <w:rPr>
          <w:color w:val="auto"/>
        </w:rPr>
        <w:t xml:space="preserve"> ligand-induced intracellular </w:t>
      </w:r>
      <w:r w:rsidRPr="00056460">
        <w:rPr>
          <w:color w:val="auto"/>
        </w:rPr>
        <w:t>receptor trafficking</w:t>
      </w:r>
      <w:r w:rsidR="00800B10" w:rsidRPr="00056460">
        <w:rPr>
          <w:color w:val="auto"/>
        </w:rPr>
        <w:fldChar w:fldCharType="begin">
          <w:fldData xml:space="preserve">PEVuZE5vdGU+PENpdGU+PEF1dGhvcj5LZW5ha2luPC9BdXRob3I+PFllYXI+MjAwOTwvWWVhcj48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</w:fldData>
        </w:fldChar>
      </w:r>
      <w:r w:rsidR="00800B10" w:rsidRPr="00056460">
        <w:rPr>
          <w:color w:val="auto"/>
        </w:rPr>
        <w:instrText xml:space="preserve"> ADDIN EN.CITE </w:instrText>
      </w:r>
      <w:r w:rsidR="00800B10" w:rsidRPr="00056460">
        <w:rPr>
          <w:color w:val="auto"/>
        </w:rPr>
        <w:fldChar w:fldCharType="begin">
          <w:fldData xml:space="preserve">PEVuZE5vdGU+PENpdGU+PEF1dGhvcj5LZW5ha2luPC9BdXRob3I+PFllYXI+MjAwOTwvWWVhcj48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</w:fldData>
        </w:fldChar>
      </w:r>
      <w:r w:rsidR="00800B10" w:rsidRPr="00056460">
        <w:rPr>
          <w:color w:val="auto"/>
        </w:rPr>
        <w:instrText xml:space="preserve"> ADDIN EN.CITE.DATA </w:instrText>
      </w:r>
      <w:r w:rsidR="00800B10" w:rsidRPr="00056460">
        <w:rPr>
          <w:color w:val="auto"/>
        </w:rPr>
      </w:r>
      <w:r w:rsidR="00800B10" w:rsidRPr="00056460">
        <w:rPr>
          <w:color w:val="auto"/>
        </w:rPr>
        <w:fldChar w:fldCharType="end"/>
      </w:r>
      <w:r w:rsidR="00800B10" w:rsidRPr="00056460">
        <w:rPr>
          <w:color w:val="auto"/>
        </w:rPr>
      </w:r>
      <w:r w:rsidR="00800B10" w:rsidRPr="00056460">
        <w:rPr>
          <w:color w:val="auto"/>
        </w:rPr>
        <w:fldChar w:fldCharType="separate"/>
      </w:r>
      <w:hyperlink w:anchor="_ENREF_4" w:tooltip="Kenakin, 2009 #7" w:history="1">
        <w:r w:rsidR="00564898" w:rsidRPr="00056460">
          <w:rPr>
            <w:noProof/>
            <w:color w:val="auto"/>
            <w:vertAlign w:val="superscript"/>
          </w:rPr>
          <w:t>4</w:t>
        </w:r>
      </w:hyperlink>
      <w:r w:rsidR="00800B10" w:rsidRPr="00056460">
        <w:rPr>
          <w:noProof/>
          <w:color w:val="auto"/>
          <w:vertAlign w:val="superscript"/>
        </w:rPr>
        <w:t>,</w:t>
      </w:r>
      <w:hyperlink w:anchor="_ENREF_5" w:tooltip="Zhang, 2012 #8" w:history="1">
        <w:r w:rsidR="00564898" w:rsidRPr="00056460">
          <w:rPr>
            <w:noProof/>
            <w:color w:val="auto"/>
            <w:vertAlign w:val="superscript"/>
          </w:rPr>
          <w:t>5</w:t>
        </w:r>
      </w:hyperlink>
      <w:r w:rsidR="00800B10" w:rsidRPr="00056460">
        <w:rPr>
          <w:color w:val="auto"/>
        </w:rPr>
        <w:fldChar w:fldCharType="end"/>
      </w:r>
      <w:r w:rsidR="008A4CC0" w:rsidRPr="00056460">
        <w:rPr>
          <w:color w:val="auto"/>
        </w:rPr>
        <w:t xml:space="preserve">. </w:t>
      </w:r>
      <w:r w:rsidR="0043108A" w:rsidRPr="00056460">
        <w:rPr>
          <w:color w:val="auto"/>
        </w:rPr>
        <w:t xml:space="preserve">A drawback of </w:t>
      </w:r>
      <w:r w:rsidR="00630A44" w:rsidRPr="00056460">
        <w:rPr>
          <w:color w:val="auto"/>
        </w:rPr>
        <w:t xml:space="preserve">such </w:t>
      </w:r>
      <w:r w:rsidR="0043108A" w:rsidRPr="00056460">
        <w:rPr>
          <w:color w:val="auto"/>
        </w:rPr>
        <w:t xml:space="preserve">label-based assays is the </w:t>
      </w:r>
      <w:r w:rsidR="00630A44" w:rsidRPr="00056460">
        <w:rPr>
          <w:color w:val="auto"/>
        </w:rPr>
        <w:t xml:space="preserve">necessity to label the </w:t>
      </w:r>
      <w:r w:rsidR="0043108A" w:rsidRPr="00056460">
        <w:rPr>
          <w:color w:val="auto"/>
        </w:rPr>
        <w:t>cells with</w:t>
      </w:r>
      <w:r w:rsidR="00BD03E3" w:rsidRPr="00056460">
        <w:rPr>
          <w:color w:val="auto"/>
        </w:rPr>
        <w:t xml:space="preserve"> </w:t>
      </w:r>
      <w:r w:rsidR="00630A44" w:rsidRPr="00056460">
        <w:rPr>
          <w:color w:val="auto"/>
        </w:rPr>
        <w:t xml:space="preserve">potentially harmful </w:t>
      </w:r>
      <w:r w:rsidR="00BD03E3" w:rsidRPr="00056460">
        <w:rPr>
          <w:color w:val="auto"/>
        </w:rPr>
        <w:t>dyes or radioactive markers</w:t>
      </w:r>
      <w:r w:rsidR="00226364" w:rsidRPr="00056460">
        <w:rPr>
          <w:color w:val="auto"/>
        </w:rPr>
        <w:t xml:space="preserve">. This </w:t>
      </w:r>
      <w:r w:rsidR="00630A44" w:rsidRPr="00056460">
        <w:rPr>
          <w:color w:val="auto"/>
        </w:rPr>
        <w:t xml:space="preserve">often requires running the assay as an </w:t>
      </w:r>
      <w:r w:rsidR="00BD03E3" w:rsidRPr="00056460">
        <w:rPr>
          <w:color w:val="auto"/>
        </w:rPr>
        <w:t>endpoint</w:t>
      </w:r>
      <w:r w:rsidR="00E625F8" w:rsidRPr="00056460">
        <w:rPr>
          <w:color w:val="auto"/>
        </w:rPr>
        <w:t>-determination</w:t>
      </w:r>
      <w:r w:rsidR="00630A44" w:rsidRPr="00056460">
        <w:rPr>
          <w:color w:val="auto"/>
        </w:rPr>
        <w:t xml:space="preserve"> for an exposure time that has to be specified </w:t>
      </w:r>
      <w:r w:rsidR="00630A44" w:rsidRPr="00056460">
        <w:rPr>
          <w:i/>
          <w:color w:val="auto"/>
        </w:rPr>
        <w:t>a priori</w:t>
      </w:r>
      <w:r w:rsidR="00630A44" w:rsidRPr="00056460">
        <w:rPr>
          <w:color w:val="auto"/>
        </w:rPr>
        <w:t xml:space="preserve">. Using label-based endpoint assays </w:t>
      </w:r>
      <w:r w:rsidR="001741D1" w:rsidRPr="00056460">
        <w:rPr>
          <w:color w:val="auto"/>
        </w:rPr>
        <w:t>suffers from this very limited and biased timing of the experiment and the risk that chemical labels and probes may interfere with the regular cell physiology</w:t>
      </w:r>
      <w:r w:rsidR="00226364" w:rsidRPr="00056460">
        <w:rPr>
          <w:color w:val="auto"/>
        </w:rPr>
        <w:t xml:space="preserve"> – potentially </w:t>
      </w:r>
      <w:r w:rsidR="001741D1" w:rsidRPr="00056460">
        <w:rPr>
          <w:color w:val="auto"/>
        </w:rPr>
        <w:t>unnoticed</w:t>
      </w:r>
      <w:r w:rsidR="00226364" w:rsidRPr="00056460">
        <w:rPr>
          <w:color w:val="auto"/>
        </w:rPr>
        <w:t xml:space="preserve"> by the experimenter</w:t>
      </w:r>
      <w:r w:rsidR="001741D1" w:rsidRPr="00056460">
        <w:rPr>
          <w:color w:val="auto"/>
        </w:rPr>
        <w:t xml:space="preserve">. </w:t>
      </w:r>
    </w:p>
    <w:p w14:paraId="53D37483" w14:textId="77777777" w:rsidR="00056460" w:rsidRPr="00056460" w:rsidRDefault="00056460" w:rsidP="00056460">
      <w:pPr>
        <w:rPr>
          <w:color w:val="auto"/>
        </w:rPr>
      </w:pPr>
    </w:p>
    <w:p w14:paraId="50622ADF" w14:textId="6162F123" w:rsidR="00C54BC5" w:rsidRPr="00056460" w:rsidRDefault="008A4CC0" w:rsidP="00056460">
      <w:pPr>
        <w:rPr>
          <w:color w:val="auto"/>
        </w:rPr>
      </w:pPr>
      <w:r w:rsidRPr="00056460">
        <w:rPr>
          <w:color w:val="auto"/>
        </w:rPr>
        <w:t>In recent years</w:t>
      </w:r>
      <w:r w:rsidR="00EC6599">
        <w:rPr>
          <w:color w:val="auto"/>
        </w:rPr>
        <w:t>,</w:t>
      </w:r>
      <w:r w:rsidRPr="00056460">
        <w:rPr>
          <w:color w:val="auto"/>
        </w:rPr>
        <w:t xml:space="preserve"> l</w:t>
      </w:r>
      <w:r w:rsidR="00264832" w:rsidRPr="00056460">
        <w:rPr>
          <w:color w:val="auto"/>
        </w:rPr>
        <w:t>abel-free assays</w:t>
      </w:r>
      <w:r w:rsidR="00AA0F09" w:rsidRPr="00056460">
        <w:rPr>
          <w:color w:val="auto"/>
        </w:rPr>
        <w:t xml:space="preserve"> for monitoring GPCR activation</w:t>
      </w:r>
      <w:r w:rsidR="00264832" w:rsidRPr="00056460">
        <w:rPr>
          <w:color w:val="auto"/>
        </w:rPr>
        <w:t xml:space="preserve"> </w:t>
      </w:r>
      <w:r w:rsidR="0043108A" w:rsidRPr="00056460">
        <w:rPr>
          <w:color w:val="auto"/>
        </w:rPr>
        <w:t>have emerged</w:t>
      </w:r>
      <w:r w:rsidR="00AA0F09" w:rsidRPr="00056460">
        <w:rPr>
          <w:color w:val="auto"/>
        </w:rPr>
        <w:t xml:space="preserve">, like impedance-based </w:t>
      </w:r>
      <w:r w:rsidR="00246D52" w:rsidRPr="00056460">
        <w:rPr>
          <w:color w:val="auto"/>
        </w:rPr>
        <w:t xml:space="preserve">techniques or </w:t>
      </w:r>
      <w:r w:rsidR="00AA0F09" w:rsidRPr="00056460">
        <w:rPr>
          <w:color w:val="auto"/>
        </w:rPr>
        <w:t xml:space="preserve">optical methods </w:t>
      </w:r>
      <w:r w:rsidR="00246D52" w:rsidRPr="00056460">
        <w:rPr>
          <w:color w:val="auto"/>
        </w:rPr>
        <w:t xml:space="preserve">applying </w:t>
      </w:r>
      <w:r w:rsidR="00AA0F09" w:rsidRPr="00056460">
        <w:rPr>
          <w:color w:val="auto"/>
        </w:rPr>
        <w:t>resonant waveguide gratings</w:t>
      </w:r>
      <w:r w:rsidR="00800B10" w:rsidRPr="00056460">
        <w:rPr>
          <w:color w:val="auto"/>
        </w:rPr>
        <w:fldChar w:fldCharType="begin">
          <w:fldData xml:space="preserve">PEVuZE5vdGU+PENpdGU+PEF1dGhvcj5TY290dDwvQXV0aG9yPjxZZWFyPjIwMTA8L1llYXI+PFJl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</w:fldData>
        </w:fldChar>
      </w:r>
      <w:r w:rsidR="00800B10" w:rsidRPr="00056460">
        <w:rPr>
          <w:color w:val="auto"/>
        </w:rPr>
        <w:instrText xml:space="preserve"> ADDIN EN.CITE </w:instrText>
      </w:r>
      <w:r w:rsidR="00800B10" w:rsidRPr="00056460">
        <w:rPr>
          <w:color w:val="auto"/>
        </w:rPr>
        <w:fldChar w:fldCharType="begin">
          <w:fldData xml:space="preserve">PEVuZE5vdGU+PENpdGU+PEF1dGhvcj5TY290dDwvQXV0aG9yPjxZZWFyPjIwMTA8L1llYXI+PFJl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</w:fldData>
        </w:fldChar>
      </w:r>
      <w:r w:rsidR="00800B10" w:rsidRPr="00056460">
        <w:rPr>
          <w:color w:val="auto"/>
        </w:rPr>
        <w:instrText xml:space="preserve"> ADDIN EN.CITE.DATA </w:instrText>
      </w:r>
      <w:r w:rsidR="00800B10" w:rsidRPr="00056460">
        <w:rPr>
          <w:color w:val="auto"/>
        </w:rPr>
      </w:r>
      <w:r w:rsidR="00800B10" w:rsidRPr="00056460">
        <w:rPr>
          <w:color w:val="auto"/>
        </w:rPr>
        <w:fldChar w:fldCharType="end"/>
      </w:r>
      <w:r w:rsidR="00800B10" w:rsidRPr="00056460">
        <w:rPr>
          <w:color w:val="auto"/>
        </w:rPr>
      </w:r>
      <w:r w:rsidR="00800B10" w:rsidRPr="00056460">
        <w:rPr>
          <w:color w:val="auto"/>
        </w:rPr>
        <w:fldChar w:fldCharType="separate"/>
      </w:r>
      <w:hyperlink w:anchor="_ENREF_5" w:tooltip="Zhang, 2012 #8" w:history="1">
        <w:r w:rsidR="00564898" w:rsidRPr="00056460">
          <w:rPr>
            <w:noProof/>
            <w:color w:val="auto"/>
            <w:vertAlign w:val="superscript"/>
          </w:rPr>
          <w:t>5</w:t>
        </w:r>
      </w:hyperlink>
      <w:r w:rsidR="00800B10" w:rsidRPr="00056460">
        <w:rPr>
          <w:noProof/>
          <w:color w:val="auto"/>
          <w:vertAlign w:val="superscript"/>
        </w:rPr>
        <w:t>,</w:t>
      </w:r>
      <w:hyperlink w:anchor="_ENREF_6" w:tooltip="Scott, 2010 #5" w:history="1">
        <w:r w:rsidR="00564898" w:rsidRPr="00056460">
          <w:rPr>
            <w:noProof/>
            <w:color w:val="auto"/>
            <w:vertAlign w:val="superscript"/>
          </w:rPr>
          <w:t>6</w:t>
        </w:r>
      </w:hyperlink>
      <w:r w:rsidR="00800B10" w:rsidRPr="00056460">
        <w:rPr>
          <w:color w:val="auto"/>
        </w:rPr>
        <w:fldChar w:fldCharType="end"/>
      </w:r>
      <w:r w:rsidR="0043108A" w:rsidRPr="00056460">
        <w:rPr>
          <w:color w:val="auto"/>
        </w:rPr>
        <w:t xml:space="preserve">. </w:t>
      </w:r>
      <w:r w:rsidR="003463E5" w:rsidRPr="00056460">
        <w:rPr>
          <w:color w:val="auto"/>
        </w:rPr>
        <w:t>Labe</w:t>
      </w:r>
      <w:r w:rsidR="00800B10" w:rsidRPr="00056460">
        <w:rPr>
          <w:color w:val="auto"/>
        </w:rPr>
        <w:t>l</w:t>
      </w:r>
      <w:r w:rsidR="003463E5" w:rsidRPr="00056460">
        <w:rPr>
          <w:color w:val="auto"/>
        </w:rPr>
        <w:t>ling of the cells is experimentally not required with these approaches</w:t>
      </w:r>
      <w:r w:rsidR="00A409C7" w:rsidRPr="00056460">
        <w:rPr>
          <w:color w:val="auto"/>
        </w:rPr>
        <w:t>.</w:t>
      </w:r>
      <w:r w:rsidR="003463E5" w:rsidRPr="00056460">
        <w:rPr>
          <w:color w:val="auto"/>
        </w:rPr>
        <w:t xml:space="preserve"> </w:t>
      </w:r>
      <w:r w:rsidR="00A409C7" w:rsidRPr="00056460">
        <w:rPr>
          <w:color w:val="auto"/>
        </w:rPr>
        <w:t>As the</w:t>
      </w:r>
      <w:r w:rsidR="001741D1" w:rsidRPr="00056460">
        <w:rPr>
          <w:color w:val="auto"/>
        </w:rPr>
        <w:t>se</w:t>
      </w:r>
      <w:r w:rsidR="00A409C7" w:rsidRPr="00056460">
        <w:rPr>
          <w:color w:val="auto"/>
        </w:rPr>
        <w:t xml:space="preserve"> physical </w:t>
      </w:r>
      <w:r w:rsidR="001741D1" w:rsidRPr="00056460">
        <w:rPr>
          <w:color w:val="auto"/>
        </w:rPr>
        <w:t xml:space="preserve">readouts operate on low amplitude signals, </w:t>
      </w:r>
      <w:r w:rsidR="00A409C7" w:rsidRPr="00056460">
        <w:rPr>
          <w:color w:val="auto"/>
        </w:rPr>
        <w:t>such methods are considered non-invasive</w:t>
      </w:r>
      <w:r w:rsidR="001741D1" w:rsidRPr="00056460">
        <w:rPr>
          <w:color w:val="auto"/>
        </w:rPr>
        <w:t xml:space="preserve">, they </w:t>
      </w:r>
      <w:r w:rsidR="00A409C7" w:rsidRPr="00056460">
        <w:rPr>
          <w:color w:val="auto"/>
        </w:rPr>
        <w:t xml:space="preserve">allow for </w:t>
      </w:r>
      <w:r w:rsidR="001741D1" w:rsidRPr="00056460">
        <w:rPr>
          <w:color w:val="auto"/>
        </w:rPr>
        <w:t xml:space="preserve">continuous cell monitoring potentially in </w:t>
      </w:r>
      <w:r w:rsidR="00A409C7" w:rsidRPr="00056460">
        <w:rPr>
          <w:color w:val="auto"/>
        </w:rPr>
        <w:t>real</w:t>
      </w:r>
      <w:r w:rsidR="001741D1" w:rsidRPr="00056460">
        <w:rPr>
          <w:color w:val="auto"/>
        </w:rPr>
        <w:t xml:space="preserve"> </w:t>
      </w:r>
      <w:r w:rsidR="00A409C7" w:rsidRPr="00056460">
        <w:rPr>
          <w:color w:val="auto"/>
        </w:rPr>
        <w:t xml:space="preserve">time </w:t>
      </w:r>
      <w:r w:rsidR="001741D1" w:rsidRPr="00056460">
        <w:rPr>
          <w:color w:val="auto"/>
        </w:rPr>
        <w:t xml:space="preserve">and the observation time is only limited by the cell culture not by the readout. </w:t>
      </w:r>
      <w:r w:rsidR="00246D52" w:rsidRPr="00056460">
        <w:rPr>
          <w:color w:val="auto"/>
        </w:rPr>
        <w:t>Similar to readouts from whole organs</w:t>
      </w:r>
      <w:r w:rsidR="001741D1" w:rsidRPr="00056460">
        <w:rPr>
          <w:color w:val="auto"/>
        </w:rPr>
        <w:t>,</w:t>
      </w:r>
      <w:r w:rsidR="003463E5" w:rsidRPr="00056460">
        <w:rPr>
          <w:color w:val="auto"/>
        </w:rPr>
        <w:t xml:space="preserve"> label-free </w:t>
      </w:r>
      <w:r w:rsidR="00AA0F09" w:rsidRPr="00056460">
        <w:rPr>
          <w:color w:val="auto"/>
        </w:rPr>
        <w:t xml:space="preserve">approaches </w:t>
      </w:r>
      <w:r w:rsidR="001741D1" w:rsidRPr="00056460">
        <w:rPr>
          <w:color w:val="auto"/>
        </w:rPr>
        <w:t xml:space="preserve">commonly report on </w:t>
      </w:r>
      <w:r w:rsidR="00246D52" w:rsidRPr="00056460">
        <w:rPr>
          <w:i/>
          <w:color w:val="auto"/>
        </w:rPr>
        <w:t>holistic</w:t>
      </w:r>
      <w:r w:rsidR="00F30CE7" w:rsidRPr="00056460">
        <w:rPr>
          <w:color w:val="auto"/>
        </w:rPr>
        <w:t xml:space="preserve"> </w:t>
      </w:r>
      <w:r w:rsidR="003463E5" w:rsidRPr="00056460">
        <w:rPr>
          <w:color w:val="auto"/>
        </w:rPr>
        <w:t>cell responses, far downstream of receptor activation</w:t>
      </w:r>
      <w:r w:rsidR="00A409C7" w:rsidRPr="00056460">
        <w:rPr>
          <w:color w:val="auto"/>
        </w:rPr>
        <w:t xml:space="preserve"> </w:t>
      </w:r>
      <w:r w:rsidR="008A5DD5">
        <w:rPr>
          <w:color w:val="auto"/>
        </w:rPr>
        <w:t>when</w:t>
      </w:r>
      <w:r w:rsidR="00080158" w:rsidRPr="00056460">
        <w:rPr>
          <w:color w:val="auto"/>
        </w:rPr>
        <w:t xml:space="preserve"> integration</w:t>
      </w:r>
      <w:r w:rsidR="003463E5" w:rsidRPr="00056460">
        <w:rPr>
          <w:color w:val="auto"/>
        </w:rPr>
        <w:t xml:space="preserve"> </w:t>
      </w:r>
      <w:r w:rsidR="00080158" w:rsidRPr="00056460">
        <w:rPr>
          <w:color w:val="auto"/>
        </w:rPr>
        <w:t xml:space="preserve">along </w:t>
      </w:r>
      <w:r w:rsidR="003463E5" w:rsidRPr="00056460">
        <w:rPr>
          <w:color w:val="auto"/>
        </w:rPr>
        <w:t xml:space="preserve">the </w:t>
      </w:r>
      <w:r w:rsidR="00080158" w:rsidRPr="00056460">
        <w:rPr>
          <w:color w:val="auto"/>
        </w:rPr>
        <w:t xml:space="preserve">entire </w:t>
      </w:r>
      <w:r w:rsidR="003463E5" w:rsidRPr="00056460">
        <w:rPr>
          <w:color w:val="auto"/>
        </w:rPr>
        <w:t>signaling network</w:t>
      </w:r>
      <w:r w:rsidR="00080158" w:rsidRPr="00056460">
        <w:rPr>
          <w:color w:val="auto"/>
        </w:rPr>
        <w:t xml:space="preserve"> leads to </w:t>
      </w:r>
      <w:r w:rsidR="00246D52" w:rsidRPr="00056460">
        <w:rPr>
          <w:color w:val="auto"/>
        </w:rPr>
        <w:t xml:space="preserve">time-dependent but rather unspecific </w:t>
      </w:r>
      <w:r w:rsidR="00080158" w:rsidRPr="00056460">
        <w:rPr>
          <w:color w:val="auto"/>
        </w:rPr>
        <w:t>changes in cell morphology or mass redistribution</w:t>
      </w:r>
      <w:r w:rsidR="003463E5" w:rsidRPr="00056460">
        <w:rPr>
          <w:color w:val="auto"/>
        </w:rPr>
        <w:t xml:space="preserve">. </w:t>
      </w:r>
      <w:r w:rsidR="00080158" w:rsidRPr="00056460">
        <w:rPr>
          <w:color w:val="auto"/>
        </w:rPr>
        <w:t>Whereas i</w:t>
      </w:r>
      <w:r w:rsidR="00C54BC5" w:rsidRPr="00056460">
        <w:rPr>
          <w:color w:val="auto"/>
        </w:rPr>
        <w:t>mpedance-based assays measure the dielectric signature of changes in cell shape</w:t>
      </w:r>
      <w:r w:rsidR="00C54BC5" w:rsidRPr="00056460">
        <w:rPr>
          <w:color w:val="auto"/>
        </w:rPr>
        <w:fldChar w:fldCharType="begin">
          <w:fldData xml:space="preserve">PEVuZE5vdGU+PENpdGU+PEF1dGhvcj5HaWFldmVyPC9BdXRob3I+PFllYXI+MTk4NDwvWWVhcj48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</w:fldData>
        </w:fldChar>
      </w:r>
      <w:r w:rsidR="00800B10" w:rsidRPr="00056460">
        <w:rPr>
          <w:color w:val="auto"/>
        </w:rPr>
        <w:instrText xml:space="preserve"> ADDIN EN.CITE </w:instrText>
      </w:r>
      <w:r w:rsidR="00800B10" w:rsidRPr="00056460">
        <w:rPr>
          <w:color w:val="auto"/>
        </w:rPr>
        <w:fldChar w:fldCharType="begin">
          <w:fldData xml:space="preserve">PEVuZE5vdGU+PENpdGU+PEF1dGhvcj5HaWFldmVyPC9BdXRob3I+PFllYXI+MTk4NDwvWWVhcj48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</w:fldData>
        </w:fldChar>
      </w:r>
      <w:r w:rsidR="00800B10" w:rsidRPr="00056460">
        <w:rPr>
          <w:color w:val="auto"/>
        </w:rPr>
        <w:instrText xml:space="preserve"> ADDIN EN.CITE.DATA </w:instrText>
      </w:r>
      <w:r w:rsidR="00800B10" w:rsidRPr="00056460">
        <w:rPr>
          <w:color w:val="auto"/>
        </w:rPr>
      </w:r>
      <w:r w:rsidR="00800B10" w:rsidRPr="00056460">
        <w:rPr>
          <w:color w:val="auto"/>
        </w:rPr>
        <w:fldChar w:fldCharType="end"/>
      </w:r>
      <w:r w:rsidR="00C54BC5" w:rsidRPr="00056460">
        <w:rPr>
          <w:color w:val="auto"/>
        </w:rPr>
      </w:r>
      <w:r w:rsidR="00C54BC5" w:rsidRPr="00056460">
        <w:rPr>
          <w:color w:val="auto"/>
        </w:rPr>
        <w:fldChar w:fldCharType="separate"/>
      </w:r>
      <w:hyperlink w:anchor="_ENREF_7" w:tooltip="Giaever, 1984 #1" w:history="1">
        <w:r w:rsidR="00564898" w:rsidRPr="00056460">
          <w:rPr>
            <w:noProof/>
            <w:color w:val="auto"/>
            <w:vertAlign w:val="superscript"/>
          </w:rPr>
          <w:t>7</w:t>
        </w:r>
      </w:hyperlink>
      <w:r w:rsidR="00800B10" w:rsidRPr="00056460">
        <w:rPr>
          <w:noProof/>
          <w:color w:val="auto"/>
          <w:vertAlign w:val="superscript"/>
        </w:rPr>
        <w:t>,</w:t>
      </w:r>
      <w:hyperlink w:anchor="_ENREF_8" w:tooltip="Giaever, 1993 #36" w:history="1">
        <w:r w:rsidR="00564898" w:rsidRPr="00056460">
          <w:rPr>
            <w:noProof/>
            <w:color w:val="auto"/>
            <w:vertAlign w:val="superscript"/>
          </w:rPr>
          <w:t>8</w:t>
        </w:r>
      </w:hyperlink>
      <w:r w:rsidR="00C54BC5" w:rsidRPr="00056460">
        <w:rPr>
          <w:color w:val="auto"/>
        </w:rPr>
        <w:fldChar w:fldCharType="end"/>
      </w:r>
      <w:r w:rsidR="00C54BC5" w:rsidRPr="00056460">
        <w:rPr>
          <w:color w:val="auto"/>
        </w:rPr>
        <w:t xml:space="preserve">, </w:t>
      </w:r>
      <w:r w:rsidR="00246D52" w:rsidRPr="00056460">
        <w:rPr>
          <w:color w:val="auto"/>
        </w:rPr>
        <w:t xml:space="preserve">measurements using </w:t>
      </w:r>
      <w:r w:rsidR="00080158" w:rsidRPr="00056460">
        <w:rPr>
          <w:color w:val="auto"/>
        </w:rPr>
        <w:t>resonant waveguide grating</w:t>
      </w:r>
      <w:r w:rsidR="00246D52" w:rsidRPr="00056460">
        <w:rPr>
          <w:color w:val="auto"/>
        </w:rPr>
        <w:t>s</w:t>
      </w:r>
      <w:r w:rsidR="00080158" w:rsidRPr="00056460">
        <w:rPr>
          <w:color w:val="auto"/>
        </w:rPr>
        <w:t xml:space="preserve"> are sensitive </w:t>
      </w:r>
      <w:r w:rsidR="00246D52" w:rsidRPr="00056460">
        <w:rPr>
          <w:color w:val="auto"/>
        </w:rPr>
        <w:t xml:space="preserve">to </w:t>
      </w:r>
      <w:r w:rsidR="00C54BC5" w:rsidRPr="00056460">
        <w:rPr>
          <w:color w:val="auto"/>
        </w:rPr>
        <w:t xml:space="preserve">changes in refractive index at the cell-substrate interface arising from </w:t>
      </w:r>
      <w:r w:rsidR="00C54BC5" w:rsidRPr="00056460">
        <w:rPr>
          <w:i/>
          <w:color w:val="auto"/>
        </w:rPr>
        <w:t>dynamic mass redistribution</w:t>
      </w:r>
      <w:r w:rsidR="00C54BC5" w:rsidRPr="00056460">
        <w:rPr>
          <w:color w:val="auto"/>
        </w:rPr>
        <w:t xml:space="preserve"> (DMR)</w:t>
      </w:r>
      <w:hyperlink w:anchor="_ENREF_9" w:tooltip="Fang, 2006 #45" w:history="1">
        <w:r w:rsidR="00564898" w:rsidRPr="00056460">
          <w:rPr>
            <w:color w:val="auto"/>
          </w:rPr>
          <w:fldChar w:fldCharType="begin"/>
        </w:r>
        <w:r w:rsidR="00564898" w:rsidRPr="00056460">
          <w:rPr>
            <w:color w:val="auto"/>
          </w:rPr>
          <w:instrText xml:space="preserve"> ADDIN EN.CITE &lt;EndNote&gt;&lt;Cite&gt;&lt;Author&gt;Fang&lt;/Author&gt;&lt;Year&gt;2006&lt;/Year&gt;&lt;RecNum&gt;45&lt;/RecNum&gt;&lt;DisplayText&gt;&lt;style face="superscript"&gt;9&lt;/style&gt;&lt;/DisplayText&gt;&lt;record&gt;&lt;rec-number&gt;45&lt;/rec-number&gt;&lt;foreign-keys&gt;&lt;key app="EN" db-id="dw0r95stcvf9wme0p9v5t9xp5frpsx50e5pe" timestamp="1564668362"&gt;45&lt;/key&gt;&lt;/foreign-keys&gt;&lt;ref-type name="Journal Article"&gt;17&lt;/ref-type&gt;&lt;contributors&gt;&lt;authors&gt;&lt;author&gt;Fang, Y.&lt;/author&gt;&lt;author&gt;Ferrie, A.M.&lt;/author&gt;&lt;author&gt;Fontaine, N.H.&lt;/author&gt;&lt;author&gt;Mauro, J.&lt;/author&gt;&lt;author&gt;Balakrishnan, J.&lt;/author&gt;&lt;/authors&gt;&lt;/contributors&gt;&lt;titles&gt;&lt;title&gt;Resonant waveguide grating biosensor for living cell sensing&lt;/title&gt;&lt;secondary-title&gt;Biophysical Journal&lt;/secondary-title&gt;&lt;/titles&gt;&lt;periodical&gt;&lt;full-title&gt;Biophysical Journal&lt;/full-title&gt;&lt;/periodical&gt;&lt;pages&gt;16&lt;/pages&gt;&lt;volume&gt;91&lt;/volume&gt;&lt;number&gt;5&lt;/number&gt;&lt;section&gt;1925&lt;/section&gt;&lt;dates&gt;&lt;year&gt;2006&lt;/year&gt;&lt;/dates&gt;&lt;urls&gt;&lt;/urls&gt;&lt;/record&gt;&lt;/Cite&gt;&lt;/EndNote&gt;</w:instrText>
        </w:r>
        <w:r w:rsidR="00564898" w:rsidRPr="00056460">
          <w:rPr>
            <w:color w:val="auto"/>
          </w:rPr>
          <w:fldChar w:fldCharType="separate"/>
        </w:r>
        <w:r w:rsidR="00564898" w:rsidRPr="00056460">
          <w:rPr>
            <w:noProof/>
            <w:color w:val="auto"/>
            <w:vertAlign w:val="superscript"/>
          </w:rPr>
          <w:t>9</w:t>
        </w:r>
        <w:r w:rsidR="00564898" w:rsidRPr="00056460">
          <w:rPr>
            <w:color w:val="auto"/>
          </w:rPr>
          <w:fldChar w:fldCharType="end"/>
        </w:r>
      </w:hyperlink>
      <w:r w:rsidR="00C54BC5" w:rsidRPr="00056460">
        <w:rPr>
          <w:color w:val="auto"/>
        </w:rPr>
        <w:t>. The integrative character makes label-free methods extremely sensitive to receptor-mediated events</w:t>
      </w:r>
      <w:r w:rsidR="00AA039B" w:rsidRPr="00056460">
        <w:rPr>
          <w:color w:val="auto"/>
        </w:rPr>
        <w:t xml:space="preserve"> regardless of the type(s) of G protein (</w:t>
      </w:r>
      <w:proofErr w:type="spellStart"/>
      <w:r w:rsidR="00AA039B" w:rsidRPr="00056460">
        <w:rPr>
          <w:color w:val="auto"/>
        </w:rPr>
        <w:t>G</w:t>
      </w:r>
      <w:r w:rsidR="00AA039B" w:rsidRPr="00056460">
        <w:rPr>
          <w:color w:val="auto"/>
          <w:vertAlign w:val="subscript"/>
        </w:rPr>
        <w:t>q</w:t>
      </w:r>
      <w:proofErr w:type="spellEnd"/>
      <w:r w:rsidR="00AA039B" w:rsidRPr="00056460">
        <w:rPr>
          <w:color w:val="auto"/>
        </w:rPr>
        <w:t>, G</w:t>
      </w:r>
      <w:r w:rsidR="00AA039B" w:rsidRPr="00056460">
        <w:rPr>
          <w:color w:val="auto"/>
          <w:vertAlign w:val="subscript"/>
        </w:rPr>
        <w:t>i/0</w:t>
      </w:r>
      <w:r w:rsidR="00AA039B" w:rsidRPr="00056460">
        <w:rPr>
          <w:color w:val="auto"/>
        </w:rPr>
        <w:t>, G</w:t>
      </w:r>
      <w:r w:rsidR="00AA039B" w:rsidRPr="00056460">
        <w:rPr>
          <w:color w:val="auto"/>
          <w:vertAlign w:val="subscript"/>
        </w:rPr>
        <w:t>s</w:t>
      </w:r>
      <w:r w:rsidR="00AA039B" w:rsidRPr="00056460">
        <w:rPr>
          <w:color w:val="auto"/>
        </w:rPr>
        <w:t>, G</w:t>
      </w:r>
      <w:r w:rsidR="00AA039B" w:rsidRPr="00056460">
        <w:rPr>
          <w:color w:val="auto"/>
          <w:vertAlign w:val="subscript"/>
        </w:rPr>
        <w:t>12/13</w:t>
      </w:r>
      <w:r w:rsidR="00AA039B" w:rsidRPr="00056460">
        <w:rPr>
          <w:color w:val="auto"/>
        </w:rPr>
        <w:t xml:space="preserve">) or </w:t>
      </w:r>
      <w:r w:rsidR="00AA039B" w:rsidRPr="00056460">
        <w:rPr>
          <w:color w:val="auto"/>
        </w:rPr>
        <w:sym w:font="Symbol" w:char="F062"/>
      </w:r>
      <w:r w:rsidR="00AA039B" w:rsidRPr="00056460">
        <w:rPr>
          <w:color w:val="auto"/>
        </w:rPr>
        <w:t>-</w:t>
      </w:r>
      <w:proofErr w:type="spellStart"/>
      <w:r w:rsidR="00AA039B" w:rsidRPr="00056460">
        <w:rPr>
          <w:color w:val="auto"/>
        </w:rPr>
        <w:t>arrestin</w:t>
      </w:r>
      <w:proofErr w:type="spellEnd"/>
      <w:r w:rsidR="00AA039B" w:rsidRPr="00056460">
        <w:rPr>
          <w:color w:val="auto"/>
        </w:rPr>
        <w:t xml:space="preserve"> involved in the signaling cascade</w:t>
      </w:r>
      <w:hyperlink w:anchor="_ENREF_6" w:tooltip="Scott, 2010 #5" w:history="1">
        <w:r w:rsidR="00564898" w:rsidRPr="00056460">
          <w:rPr>
            <w:color w:val="auto"/>
          </w:rPr>
          <w:fldChar w:fldCharType="begin"/>
        </w:r>
        <w:r w:rsidR="00564898" w:rsidRPr="00056460">
          <w:rPr>
            <w:color w:val="auto"/>
          </w:rPr>
          <w:instrText xml:space="preserve"> ADDIN EN.CITE &lt;EndNote&gt;&lt;Cite&gt;&lt;Author&gt;Scott&lt;/Author&gt;&lt;Year&gt;2010&lt;/Year&gt;&lt;RecNum&gt;5&lt;/RecNum&gt;&lt;DisplayText&gt;&lt;style face="superscript"&gt;6&lt;/style&gt;&lt;/DisplayText&gt;&lt;record&gt;&lt;rec-number&gt;5&lt;/rec-number&gt;&lt;foreign-keys&gt;&lt;key app="EN" db-id="dw0r95stcvf9wme0p9v5t9xp5frpsx50e5pe" timestamp="1480928826"&gt;5&lt;/key&gt;&lt;/foreign-keys&gt;&lt;ref-type name="Journal Article"&gt;17&lt;/ref-type&gt;&lt;contributors&gt;&lt;authors&gt;&lt;author&gt;Scott, C. W.&lt;/author&gt;&lt;author&gt;Peters, M. F.&lt;/author&gt;&lt;/authors&gt;&lt;/contributors&gt;&lt;auth-address&gt;Lead Generation Department, AstraZeneca Pharmaceuticals LP, Wilmington, DE 19850, USA. clayscott3@gmail.com&lt;/auth-address&gt;&lt;titles&gt;&lt;title&gt;Label-free whole-cell assays: expanding the scope of GPCR screening&lt;/title&gt;&lt;secondary-title&gt;Drug Discov Today&lt;/secondary-title&gt;&lt;alt-title&gt;Drug discovery today&lt;/alt-title&gt;&lt;/titles&gt;&lt;periodical&gt;&lt;full-title&gt;Drug Discov Today&lt;/full-title&gt;&lt;abbr-1&gt;Drug discovery today&lt;/abbr-1&gt;&lt;/periodical&gt;&lt;alt-periodical&gt;&lt;full-title&gt;Drug Discov Today&lt;/full-title&gt;&lt;abbr-1&gt;Drug discovery today&lt;/abbr-1&gt;&lt;/alt-periodical&gt;&lt;pages&gt;704-16&lt;/pages&gt;&lt;volume&gt;15&lt;/volume&gt;&lt;number&gt;17-18&lt;/number&gt;&lt;keywords&gt;&lt;keyword&gt;Animals&lt;/keyword&gt;&lt;keyword&gt;Biological Assay/*instrumentation&lt;/keyword&gt;&lt;keyword&gt;Biosensing Techniques/*instrumentation&lt;/keyword&gt;&lt;keyword&gt;Drug Discovery/*instrumentation/methods&lt;/keyword&gt;&lt;keyword&gt;Humans&lt;/keyword&gt;&lt;keyword&gt;Receptors, G-Protein-Coupled/*drug effects&lt;/keyword&gt;&lt;/keywords&gt;&lt;dates&gt;&lt;year&gt;2010&lt;/year&gt;&lt;pub-dates&gt;&lt;date&gt;Sep&lt;/date&gt;&lt;/pub-dates&gt;&lt;/dates&gt;&lt;isbn&gt;1878-5832 (Electronic)&amp;#xD;1359-6446 (Linking)&lt;/isbn&gt;&lt;accession-num&gt;20601093&lt;/accession-num&gt;&lt;urls&gt;&lt;related-urls&gt;&lt;url&gt;http://www.ncbi.nlm.nih.gov/pubmed/20601093&lt;/url&gt;&lt;/related-urls&gt;&lt;/urls&gt;&lt;electronic-resource-num&gt;10.1016/j.drudis.2010.06.008&lt;/electronic-resource-num&gt;&lt;/record&gt;&lt;/Cite&gt;&lt;/EndNote&gt;</w:instrText>
        </w:r>
        <w:r w:rsidR="00564898" w:rsidRPr="00056460">
          <w:rPr>
            <w:color w:val="auto"/>
          </w:rPr>
          <w:fldChar w:fldCharType="separate"/>
        </w:r>
        <w:r w:rsidR="00564898" w:rsidRPr="00056460">
          <w:rPr>
            <w:noProof/>
            <w:color w:val="auto"/>
            <w:vertAlign w:val="superscript"/>
          </w:rPr>
          <w:t>6</w:t>
        </w:r>
        <w:r w:rsidR="00564898" w:rsidRPr="00056460">
          <w:rPr>
            <w:color w:val="auto"/>
          </w:rPr>
          <w:fldChar w:fldCharType="end"/>
        </w:r>
      </w:hyperlink>
      <w:r w:rsidR="00246D52" w:rsidRPr="00056460">
        <w:rPr>
          <w:color w:val="auto"/>
        </w:rPr>
        <w:t xml:space="preserve"> and well-suited for endogenous expression levels of the receptor.</w:t>
      </w:r>
    </w:p>
    <w:p w14:paraId="7D40BB0A" w14:textId="77777777" w:rsidR="0036718E" w:rsidRPr="00056460" w:rsidRDefault="0036718E" w:rsidP="00056460">
      <w:pPr>
        <w:rPr>
          <w:color w:val="auto"/>
        </w:rPr>
      </w:pPr>
    </w:p>
    <w:p w14:paraId="432B2BBE" w14:textId="24BF1F3E" w:rsidR="009E3AE3" w:rsidRPr="00056460" w:rsidRDefault="0036718E" w:rsidP="00056460">
      <w:pPr>
        <w:rPr>
          <w:color w:val="auto"/>
        </w:rPr>
      </w:pPr>
      <w:r w:rsidRPr="00056460">
        <w:rPr>
          <w:color w:val="auto"/>
        </w:rPr>
        <w:t>In a standard label-free impedance</w:t>
      </w:r>
      <w:r w:rsidR="00343B9A" w:rsidRPr="00056460">
        <w:rPr>
          <w:color w:val="auto"/>
        </w:rPr>
        <w:t>-based</w:t>
      </w:r>
      <w:r w:rsidRPr="00056460">
        <w:rPr>
          <w:color w:val="auto"/>
        </w:rPr>
        <w:t xml:space="preserve"> assay the cells are </w:t>
      </w:r>
      <w:r w:rsidR="00343B9A" w:rsidRPr="00056460">
        <w:rPr>
          <w:color w:val="auto"/>
        </w:rPr>
        <w:t xml:space="preserve">adherently </w:t>
      </w:r>
      <w:r w:rsidRPr="00056460">
        <w:rPr>
          <w:color w:val="auto"/>
        </w:rPr>
        <w:t xml:space="preserve">grown </w:t>
      </w:r>
      <w:r w:rsidR="00343B9A" w:rsidRPr="00056460">
        <w:rPr>
          <w:color w:val="auto"/>
        </w:rPr>
        <w:t xml:space="preserve">in multi-well plates with coplanar gold-film electrodes deposited on the </w:t>
      </w:r>
      <w:r w:rsidRPr="00056460">
        <w:rPr>
          <w:color w:val="auto"/>
        </w:rPr>
        <w:t xml:space="preserve">bottom of </w:t>
      </w:r>
      <w:r w:rsidR="00343B9A" w:rsidRPr="00056460">
        <w:rPr>
          <w:color w:val="auto"/>
        </w:rPr>
        <w:t xml:space="preserve">each </w:t>
      </w:r>
      <w:r w:rsidRPr="00056460">
        <w:rPr>
          <w:color w:val="auto"/>
        </w:rPr>
        <w:t>well</w:t>
      </w:r>
      <w:hyperlink w:anchor="_ENREF_10" w:tooltip="Stolwijk, 2015 #38" w:history="1">
        <w:r w:rsidR="00564898" w:rsidRPr="00056460">
          <w:rPr>
            <w:color w:val="auto"/>
          </w:rPr>
          <w:fldChar w:fldCharType="begin">
            <w:fldData xml:space="preserve">PEVuZE5vdGU+PENpdGU+PEF1dGhvcj5TdG9sd2lqazwvQXV0aG9yPjxZZWFyPjIwMTU8L1llYXI+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</w:fldData>
          </w:fldChar>
        </w:r>
        <w:r w:rsidR="00564898" w:rsidRPr="00056460">
          <w:rPr>
            <w:color w:val="auto"/>
          </w:rPr>
          <w:instrText xml:space="preserve"> ADDIN EN.CITE </w:instrText>
        </w:r>
        <w:r w:rsidR="00564898" w:rsidRPr="00056460">
          <w:rPr>
            <w:color w:val="auto"/>
          </w:rPr>
          <w:fldChar w:fldCharType="begin">
            <w:fldData xml:space="preserve">PEVuZE5vdGU+PENpdGU+PEF1dGhvcj5TdG9sd2lqazwvQXV0aG9yPjxZZWFyPjIwMTU8L1llYXI+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</w:fldData>
          </w:fldChar>
        </w:r>
        <w:r w:rsidR="00564898" w:rsidRPr="00056460">
          <w:rPr>
            <w:color w:val="auto"/>
          </w:rPr>
          <w:instrText xml:space="preserve"> ADDIN EN.CITE.DATA </w:instrText>
        </w:r>
        <w:r w:rsidR="00564898" w:rsidRPr="00056460">
          <w:rPr>
            <w:color w:val="auto"/>
          </w:rPr>
        </w:r>
        <w:r w:rsidR="00564898" w:rsidRPr="00056460">
          <w:rPr>
            <w:color w:val="auto"/>
          </w:rPr>
          <w:fldChar w:fldCharType="end"/>
        </w:r>
        <w:r w:rsidR="00564898" w:rsidRPr="00056460">
          <w:rPr>
            <w:color w:val="auto"/>
          </w:rPr>
        </w:r>
        <w:r w:rsidR="00564898" w:rsidRPr="00056460">
          <w:rPr>
            <w:color w:val="auto"/>
          </w:rPr>
          <w:fldChar w:fldCharType="separate"/>
        </w:r>
        <w:r w:rsidR="00564898" w:rsidRPr="00056460">
          <w:rPr>
            <w:noProof/>
            <w:color w:val="auto"/>
            <w:vertAlign w:val="superscript"/>
          </w:rPr>
          <w:t>10</w:t>
        </w:r>
        <w:r w:rsidR="00564898" w:rsidRPr="00056460">
          <w:rPr>
            <w:color w:val="auto"/>
          </w:rPr>
          <w:fldChar w:fldCharType="end"/>
        </w:r>
      </w:hyperlink>
      <w:r w:rsidRPr="00056460">
        <w:rPr>
          <w:color w:val="auto"/>
        </w:rPr>
        <w:t xml:space="preserve">. </w:t>
      </w:r>
      <w:r w:rsidR="00343B9A" w:rsidRPr="00056460">
        <w:rPr>
          <w:color w:val="auto"/>
        </w:rPr>
        <w:t>These electrode a</w:t>
      </w:r>
      <w:r w:rsidRPr="00056460">
        <w:rPr>
          <w:color w:val="auto"/>
        </w:rPr>
        <w:t>rray</w:t>
      </w:r>
      <w:r w:rsidR="00343B9A" w:rsidRPr="00056460">
        <w:rPr>
          <w:color w:val="auto"/>
        </w:rPr>
        <w:t>s</w:t>
      </w:r>
      <w:r w:rsidRPr="00056460">
        <w:rPr>
          <w:color w:val="auto"/>
        </w:rPr>
        <w:t xml:space="preserve"> are connected to an impedance analyzer and the</w:t>
      </w:r>
      <w:r w:rsidR="00343B9A" w:rsidRPr="00056460">
        <w:rPr>
          <w:color w:val="auto"/>
        </w:rPr>
        <w:t xml:space="preserve"> cell</w:t>
      </w:r>
      <w:r w:rsidRPr="00056460">
        <w:rPr>
          <w:color w:val="auto"/>
        </w:rPr>
        <w:t xml:space="preserve"> responses to a</w:t>
      </w:r>
      <w:r w:rsidR="00343B9A" w:rsidRPr="00056460">
        <w:rPr>
          <w:color w:val="auto"/>
        </w:rPr>
        <w:t xml:space="preserve">n experimental </w:t>
      </w:r>
      <w:r w:rsidRPr="00056460">
        <w:rPr>
          <w:color w:val="auto"/>
        </w:rPr>
        <w:t>stimulus are recorded from individual wells</w:t>
      </w:r>
      <w:r w:rsidR="00343B9A" w:rsidRPr="00056460">
        <w:rPr>
          <w:color w:val="auto"/>
        </w:rPr>
        <w:t xml:space="preserve"> by time-resolved impedance readings</w:t>
      </w:r>
      <w:r w:rsidRPr="00056460">
        <w:rPr>
          <w:color w:val="auto"/>
        </w:rPr>
        <w:t xml:space="preserve">. In a typical GPCR assay a ligand is added in individually different concentrations to each individual well. </w:t>
      </w:r>
      <w:r w:rsidR="0066659E" w:rsidRPr="00056460">
        <w:rPr>
          <w:color w:val="auto"/>
        </w:rPr>
        <w:t xml:space="preserve">The ligand-induced changes in the impedance time course are then analyzed with respect to characteristic curve features such as maximum signal change, area under the curve, signal change </w:t>
      </w:r>
      <w:r w:rsidR="000B76CE" w:rsidRPr="00056460">
        <w:rPr>
          <w:color w:val="auto"/>
        </w:rPr>
        <w:t xml:space="preserve">within a </w:t>
      </w:r>
      <w:r w:rsidR="0066659E" w:rsidRPr="00056460">
        <w:rPr>
          <w:color w:val="auto"/>
        </w:rPr>
        <w:t xml:space="preserve">given time </w:t>
      </w:r>
      <w:r w:rsidR="000B76CE" w:rsidRPr="00056460">
        <w:rPr>
          <w:color w:val="auto"/>
        </w:rPr>
        <w:t xml:space="preserve">interval </w:t>
      </w:r>
      <w:r w:rsidR="0066659E" w:rsidRPr="00056460">
        <w:rPr>
          <w:color w:val="auto"/>
        </w:rPr>
        <w:t xml:space="preserve">or slope of the curve at </w:t>
      </w:r>
      <w:r w:rsidR="00FA0CEC" w:rsidRPr="00056460">
        <w:rPr>
          <w:color w:val="auto"/>
        </w:rPr>
        <w:t xml:space="preserve">a specified </w:t>
      </w:r>
      <w:r w:rsidR="0066659E" w:rsidRPr="00056460">
        <w:rPr>
          <w:color w:val="auto"/>
        </w:rPr>
        <w:t>time</w:t>
      </w:r>
      <w:r w:rsidR="003D1BF5" w:rsidRPr="00056460">
        <w:rPr>
          <w:color w:val="auto"/>
        </w:rPr>
        <w:t xml:space="preserve"> </w:t>
      </w:r>
      <w:r w:rsidR="00FA0CEC" w:rsidRPr="00056460">
        <w:rPr>
          <w:color w:val="auto"/>
        </w:rPr>
        <w:t>point</w:t>
      </w:r>
      <w:r w:rsidR="0066659E" w:rsidRPr="00056460">
        <w:rPr>
          <w:color w:val="auto"/>
        </w:rPr>
        <w:t xml:space="preserve">, in order to </w:t>
      </w:r>
      <w:r w:rsidR="00A9438E" w:rsidRPr="00056460">
        <w:rPr>
          <w:color w:val="auto"/>
        </w:rPr>
        <w:t xml:space="preserve">quantify the </w:t>
      </w:r>
      <w:r w:rsidR="0066659E" w:rsidRPr="00056460">
        <w:rPr>
          <w:color w:val="auto"/>
        </w:rPr>
        <w:t>ligand’s potency and efficacy</w:t>
      </w:r>
      <w:hyperlink w:anchor="_ENREF_11" w:tooltip="Lieb, 2016 #34" w:history="1">
        <w:r w:rsidR="00564898" w:rsidRPr="00056460">
          <w:rPr>
            <w:color w:val="auto"/>
          </w:rPr>
          <w:fldChar w:fldCharType="begin">
            <w:fldData xml:space="preserve">PEVuZE5vdGU+PENpdGU+PEF1dGhvcj5MaWViPC9BdXRob3I+PFllYXI+MjAxNjwvWWVhcj48UmVj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</w:fldData>
          </w:fldChar>
        </w:r>
        <w:r w:rsidR="00564898" w:rsidRPr="00056460">
          <w:rPr>
            <w:color w:val="auto"/>
          </w:rPr>
          <w:instrText xml:space="preserve"> ADDIN EN.CITE </w:instrText>
        </w:r>
        <w:r w:rsidR="00564898" w:rsidRPr="00056460">
          <w:rPr>
            <w:color w:val="auto"/>
          </w:rPr>
          <w:fldChar w:fldCharType="begin">
            <w:fldData xml:space="preserve">PEVuZE5vdGU+PENpdGU+PEF1dGhvcj5MaWViPC9BdXRob3I+PFllYXI+MjAxNjwvWWVhcj48UmVj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</w:fldData>
          </w:fldChar>
        </w:r>
        <w:r w:rsidR="00564898" w:rsidRPr="00056460">
          <w:rPr>
            <w:color w:val="auto"/>
          </w:rPr>
          <w:instrText xml:space="preserve"> ADDIN EN.CITE.DATA </w:instrText>
        </w:r>
        <w:r w:rsidR="00564898" w:rsidRPr="00056460">
          <w:rPr>
            <w:color w:val="auto"/>
          </w:rPr>
        </w:r>
        <w:r w:rsidR="00564898" w:rsidRPr="00056460">
          <w:rPr>
            <w:color w:val="auto"/>
          </w:rPr>
          <w:fldChar w:fldCharType="end"/>
        </w:r>
        <w:r w:rsidR="00564898" w:rsidRPr="00056460">
          <w:rPr>
            <w:color w:val="auto"/>
          </w:rPr>
        </w:r>
        <w:r w:rsidR="00564898" w:rsidRPr="00056460">
          <w:rPr>
            <w:color w:val="auto"/>
          </w:rPr>
          <w:fldChar w:fldCharType="separate"/>
        </w:r>
        <w:r w:rsidR="00564898" w:rsidRPr="00056460">
          <w:rPr>
            <w:noProof/>
            <w:color w:val="auto"/>
            <w:vertAlign w:val="superscript"/>
          </w:rPr>
          <w:t>11</w:t>
        </w:r>
        <w:r w:rsidR="00564898" w:rsidRPr="00056460">
          <w:rPr>
            <w:color w:val="auto"/>
          </w:rPr>
          <w:fldChar w:fldCharType="end"/>
        </w:r>
      </w:hyperlink>
      <w:r w:rsidR="00AA039B" w:rsidRPr="00056460">
        <w:rPr>
          <w:color w:val="auto"/>
        </w:rPr>
        <w:t xml:space="preserve">. </w:t>
      </w:r>
    </w:p>
    <w:p w14:paraId="5E1C91A3" w14:textId="77777777" w:rsidR="009E3AE3" w:rsidRPr="00056460" w:rsidRDefault="009E3AE3" w:rsidP="00056460">
      <w:pPr>
        <w:rPr>
          <w:color w:val="auto"/>
        </w:rPr>
      </w:pPr>
    </w:p>
    <w:p w14:paraId="17AE682B" w14:textId="7B8E72B2" w:rsidR="00AA039B" w:rsidRPr="00056460" w:rsidRDefault="00AA039B" w:rsidP="00056460">
      <w:pPr>
        <w:rPr>
          <w:color w:val="auto"/>
        </w:rPr>
      </w:pPr>
      <w:r w:rsidRPr="00056460">
        <w:rPr>
          <w:color w:val="auto"/>
        </w:rPr>
        <w:t>The cost of the electrode arrays may limit the application of this technique</w:t>
      </w:r>
      <w:r w:rsidR="00343B9A" w:rsidRPr="00056460">
        <w:rPr>
          <w:color w:val="auto"/>
        </w:rPr>
        <w:t xml:space="preserve"> in </w:t>
      </w:r>
      <w:r w:rsidR="00343B9A" w:rsidRPr="00056460">
        <w:rPr>
          <w:i/>
          <w:color w:val="auto"/>
        </w:rPr>
        <w:t>high throughput screening</w:t>
      </w:r>
      <w:r w:rsidR="00343B9A" w:rsidRPr="00056460">
        <w:rPr>
          <w:color w:val="auto"/>
        </w:rPr>
        <w:t xml:space="preserve"> (HTS) campaigns</w:t>
      </w:r>
      <w:r w:rsidRPr="00056460">
        <w:rPr>
          <w:color w:val="auto"/>
        </w:rPr>
        <w:t xml:space="preserve">. Moreover, with increasing numbers of samples to be followed </w:t>
      </w:r>
      <w:r w:rsidR="00343B9A" w:rsidRPr="00056460">
        <w:rPr>
          <w:color w:val="auto"/>
        </w:rPr>
        <w:t>in parallel</w:t>
      </w:r>
      <w:r w:rsidRPr="00056460">
        <w:rPr>
          <w:color w:val="auto"/>
        </w:rPr>
        <w:t xml:space="preserve">, the </w:t>
      </w:r>
      <w:r w:rsidR="00343B9A" w:rsidRPr="00056460">
        <w:rPr>
          <w:color w:val="auto"/>
        </w:rPr>
        <w:t xml:space="preserve">number of individual measurements increases and thereby reduces the available time </w:t>
      </w:r>
      <w:r w:rsidRPr="00056460">
        <w:rPr>
          <w:color w:val="auto"/>
        </w:rPr>
        <w:t>resolution for each well gradually</w:t>
      </w:r>
      <w:r w:rsidR="000B76CE" w:rsidRPr="00056460">
        <w:rPr>
          <w:color w:val="auto"/>
        </w:rPr>
        <w:t xml:space="preserve"> - even for state of the art multichannel recordings</w:t>
      </w:r>
      <w:r w:rsidR="00343B9A" w:rsidRPr="00056460">
        <w:rPr>
          <w:color w:val="auto"/>
        </w:rPr>
        <w:t xml:space="preserve">. Under such conditions </w:t>
      </w:r>
      <w:r w:rsidRPr="00056460">
        <w:rPr>
          <w:color w:val="auto"/>
        </w:rPr>
        <w:t xml:space="preserve">fast and transient cell responses may escape the measurement. </w:t>
      </w:r>
      <w:r w:rsidR="004025C1" w:rsidRPr="00056460">
        <w:rPr>
          <w:color w:val="auto"/>
        </w:rPr>
        <w:t>In addition,</w:t>
      </w:r>
      <w:r w:rsidR="009E3AE3" w:rsidRPr="00056460">
        <w:rPr>
          <w:color w:val="auto"/>
        </w:rPr>
        <w:t xml:space="preserve"> the conventional </w:t>
      </w:r>
      <w:r w:rsidR="009E3AE3" w:rsidRPr="00056460">
        <w:rPr>
          <w:i/>
          <w:color w:val="auto"/>
        </w:rPr>
        <w:t>one well – one concentration</w:t>
      </w:r>
      <w:r w:rsidR="009E3AE3" w:rsidRPr="00056460">
        <w:rPr>
          <w:color w:val="auto"/>
        </w:rPr>
        <w:t xml:space="preserve"> approach imposes a significant time and cost factor on perfused </w:t>
      </w:r>
      <w:r w:rsidR="001301EB" w:rsidRPr="00056460">
        <w:rPr>
          <w:color w:val="auto"/>
        </w:rPr>
        <w:t>organ-on-</w:t>
      </w:r>
      <w:r w:rsidR="009E3AE3" w:rsidRPr="00056460">
        <w:rPr>
          <w:color w:val="auto"/>
        </w:rPr>
        <w:t xml:space="preserve">chip </w:t>
      </w:r>
      <w:r w:rsidR="001301EB" w:rsidRPr="00056460">
        <w:rPr>
          <w:color w:val="auto"/>
        </w:rPr>
        <w:t xml:space="preserve">or body-on-chip </w:t>
      </w:r>
      <w:r w:rsidR="009E3AE3" w:rsidRPr="00056460">
        <w:rPr>
          <w:color w:val="auto"/>
        </w:rPr>
        <w:t>developments with respect to their suitability in ligand-GPCR interaction analysis.</w:t>
      </w:r>
    </w:p>
    <w:p w14:paraId="14CE62EF" w14:textId="77777777" w:rsidR="009E3AE3" w:rsidRPr="00056460" w:rsidRDefault="009E3AE3" w:rsidP="00056460">
      <w:pPr>
        <w:rPr>
          <w:color w:val="auto"/>
        </w:rPr>
      </w:pPr>
    </w:p>
    <w:p w14:paraId="4B98CB5C" w14:textId="4F04C420" w:rsidR="009E3AE3" w:rsidRDefault="009E3AE3" w:rsidP="00056460">
      <w:pPr>
        <w:rPr>
          <w:color w:val="auto"/>
        </w:rPr>
      </w:pPr>
      <w:r w:rsidRPr="00056460">
        <w:rPr>
          <w:color w:val="auto"/>
        </w:rPr>
        <w:t>For this reason</w:t>
      </w:r>
      <w:r w:rsidR="00EC6599">
        <w:rPr>
          <w:color w:val="auto"/>
        </w:rPr>
        <w:t>,</w:t>
      </w:r>
      <w:r w:rsidRPr="00056460">
        <w:rPr>
          <w:color w:val="auto"/>
        </w:rPr>
        <w:t xml:space="preserve"> we developed a </w:t>
      </w:r>
      <w:r w:rsidR="004025C1" w:rsidRPr="00056460">
        <w:rPr>
          <w:color w:val="auto"/>
        </w:rPr>
        <w:t>stepwise dosing protocol that enables recording of</w:t>
      </w:r>
      <w:r w:rsidRPr="00056460">
        <w:rPr>
          <w:color w:val="auto"/>
        </w:rPr>
        <w:t xml:space="preserve"> full </w:t>
      </w:r>
      <w:r w:rsidR="001301EB" w:rsidRPr="00056460">
        <w:rPr>
          <w:color w:val="auto"/>
        </w:rPr>
        <w:t>dose</w:t>
      </w:r>
      <w:r w:rsidRPr="00056460">
        <w:rPr>
          <w:color w:val="auto"/>
        </w:rPr>
        <w:t xml:space="preserve">-response curves </w:t>
      </w:r>
      <w:r w:rsidR="004025C1" w:rsidRPr="00056460">
        <w:rPr>
          <w:color w:val="auto"/>
        </w:rPr>
        <w:t xml:space="preserve">of ligand-induced GPCR activation in cultured </w:t>
      </w:r>
      <w:r w:rsidR="001301EB" w:rsidRPr="00056460">
        <w:rPr>
          <w:color w:val="auto"/>
        </w:rPr>
        <w:t xml:space="preserve">cell </w:t>
      </w:r>
      <w:r w:rsidR="004025C1" w:rsidRPr="00056460">
        <w:rPr>
          <w:color w:val="auto"/>
        </w:rPr>
        <w:t xml:space="preserve">monolayers </w:t>
      </w:r>
      <w:r w:rsidRPr="00056460">
        <w:rPr>
          <w:color w:val="auto"/>
        </w:rPr>
        <w:t>by continuously monitoring the impedance of a single well</w:t>
      </w:r>
      <w:r w:rsidR="001301EB" w:rsidRPr="00056460">
        <w:rPr>
          <w:color w:val="auto"/>
        </w:rPr>
        <w:t xml:space="preserve"> while the agonist concentration is increased stepwise</w:t>
      </w:r>
      <w:r w:rsidRPr="00056460">
        <w:rPr>
          <w:color w:val="auto"/>
        </w:rPr>
        <w:t xml:space="preserve">. </w:t>
      </w:r>
      <w:r w:rsidR="009A4425" w:rsidRPr="00056460">
        <w:rPr>
          <w:color w:val="auto"/>
        </w:rPr>
        <w:t xml:space="preserve">The </w:t>
      </w:r>
      <w:r w:rsidR="009A4425" w:rsidRPr="000F17FA">
        <w:rPr>
          <w:i/>
          <w:color w:val="auto"/>
        </w:rPr>
        <w:t>serial agonist addition</w:t>
      </w:r>
      <w:r w:rsidR="009A4425" w:rsidRPr="00056460">
        <w:rPr>
          <w:color w:val="auto"/>
        </w:rPr>
        <w:t xml:space="preserve"> protocol significantly </w:t>
      </w:r>
      <w:r w:rsidRPr="00056460">
        <w:rPr>
          <w:color w:val="auto"/>
        </w:rPr>
        <w:t xml:space="preserve">increases throughput </w:t>
      </w:r>
      <w:r w:rsidR="009A4425" w:rsidRPr="00056460">
        <w:rPr>
          <w:color w:val="auto"/>
        </w:rPr>
        <w:t xml:space="preserve">per well from one concentration </w:t>
      </w:r>
      <w:r w:rsidR="009F26A8" w:rsidRPr="00056460">
        <w:rPr>
          <w:color w:val="auto"/>
        </w:rPr>
        <w:t xml:space="preserve">to 10 or more concentrations, as </w:t>
      </w:r>
      <w:r w:rsidR="009A4425" w:rsidRPr="00056460">
        <w:rPr>
          <w:color w:val="auto"/>
        </w:rPr>
        <w:t xml:space="preserve">shown </w:t>
      </w:r>
      <w:r w:rsidR="008A5DD5">
        <w:rPr>
          <w:color w:val="auto"/>
        </w:rPr>
        <w:t>on</w:t>
      </w:r>
      <w:r w:rsidR="009A4425" w:rsidRPr="00056460">
        <w:rPr>
          <w:color w:val="auto"/>
        </w:rPr>
        <w:t xml:space="preserve"> the current example </w:t>
      </w:r>
      <w:r w:rsidR="008A5DD5">
        <w:rPr>
          <w:color w:val="auto"/>
        </w:rPr>
        <w:t xml:space="preserve">of human </w:t>
      </w:r>
      <w:r w:rsidR="008A5DD5">
        <w:rPr>
          <w:color w:val="auto"/>
        </w:rPr>
        <w:br/>
      </w:r>
      <w:r w:rsidR="009A4425" w:rsidRPr="00056460">
        <w:rPr>
          <w:color w:val="auto"/>
        </w:rPr>
        <w:t>U-373 MG cells, which endogenously express the histamine 1 receptor (H1R). Thus</w:t>
      </w:r>
      <w:r w:rsidR="000B76CE" w:rsidRPr="00056460">
        <w:rPr>
          <w:color w:val="auto"/>
        </w:rPr>
        <w:t>,</w:t>
      </w:r>
      <w:r w:rsidR="009A4425" w:rsidRPr="00056460">
        <w:rPr>
          <w:color w:val="auto"/>
        </w:rPr>
        <w:t xml:space="preserve"> the method has the potential to significantly </w:t>
      </w:r>
      <w:r w:rsidR="001301EB" w:rsidRPr="00056460">
        <w:rPr>
          <w:color w:val="auto"/>
        </w:rPr>
        <w:t>improve throughput in label-free dose</w:t>
      </w:r>
      <w:r w:rsidR="004025C1" w:rsidRPr="00056460">
        <w:rPr>
          <w:color w:val="auto"/>
        </w:rPr>
        <w:t xml:space="preserve">-response </w:t>
      </w:r>
      <w:r w:rsidR="001301EB" w:rsidRPr="00056460">
        <w:rPr>
          <w:color w:val="auto"/>
        </w:rPr>
        <w:t>studies</w:t>
      </w:r>
      <w:r w:rsidR="004025C1" w:rsidRPr="00056460">
        <w:rPr>
          <w:color w:val="auto"/>
        </w:rPr>
        <w:t>, while</w:t>
      </w:r>
      <w:r w:rsidRPr="00056460">
        <w:rPr>
          <w:color w:val="auto"/>
        </w:rPr>
        <w:t xml:space="preserve"> the time resolution is retained at the instrumental maximum</w:t>
      </w:r>
      <w:r w:rsidR="004025C1" w:rsidRPr="00056460">
        <w:rPr>
          <w:color w:val="auto"/>
        </w:rPr>
        <w:t>.</w:t>
      </w:r>
      <w:r w:rsidR="001301EB" w:rsidRPr="00056460">
        <w:rPr>
          <w:color w:val="auto"/>
        </w:rPr>
        <w:t xml:space="preserve"> </w:t>
      </w:r>
    </w:p>
    <w:p w14:paraId="04E4D400" w14:textId="77777777" w:rsidR="00EC6599" w:rsidRPr="00056460" w:rsidRDefault="00EC6599" w:rsidP="00056460">
      <w:pPr>
        <w:rPr>
          <w:color w:val="auto"/>
        </w:rPr>
      </w:pPr>
    </w:p>
    <w:p w14:paraId="3D4CD2F3" w14:textId="2417AC84" w:rsidR="006305D7" w:rsidRPr="00056460" w:rsidRDefault="006305D7" w:rsidP="00056460">
      <w:pPr>
        <w:rPr>
          <w:color w:val="auto"/>
        </w:rPr>
      </w:pPr>
      <w:r w:rsidRPr="00056460">
        <w:rPr>
          <w:b/>
          <w:color w:val="auto"/>
        </w:rPr>
        <w:t>PROTOCOL:</w:t>
      </w:r>
    </w:p>
    <w:p w14:paraId="6FCB270C" w14:textId="77777777" w:rsidR="00F147F2" w:rsidRPr="00056460" w:rsidRDefault="00F147F2" w:rsidP="00056460">
      <w:pPr>
        <w:rPr>
          <w:b/>
          <w:color w:val="auto"/>
        </w:rPr>
      </w:pPr>
    </w:p>
    <w:p w14:paraId="4C91529B" w14:textId="3B484A4D" w:rsidR="009E0435" w:rsidRPr="00615D37" w:rsidRDefault="009E0435" w:rsidP="00615D37">
      <w:pPr>
        <w:pStyle w:val="af3"/>
        <w:numPr>
          <w:ilvl w:val="0"/>
          <w:numId w:val="30"/>
        </w:numPr>
        <w:rPr>
          <w:b/>
          <w:color w:val="auto"/>
        </w:rPr>
      </w:pPr>
      <w:r w:rsidRPr="00615D37">
        <w:rPr>
          <w:b/>
          <w:color w:val="auto"/>
        </w:rPr>
        <w:t>Cell seeding on electrode arrays</w:t>
      </w:r>
    </w:p>
    <w:p w14:paraId="6990EBD0" w14:textId="77777777" w:rsidR="00865196" w:rsidRPr="00056460" w:rsidRDefault="00865196" w:rsidP="00056460">
      <w:pPr>
        <w:rPr>
          <w:b/>
          <w:color w:val="auto"/>
        </w:rPr>
      </w:pPr>
    </w:p>
    <w:p w14:paraId="7C14D2DF" w14:textId="0FD2DE88" w:rsidR="00597D72" w:rsidRPr="00056460" w:rsidRDefault="00EC6599" w:rsidP="00056460">
      <w:pPr>
        <w:rPr>
          <w:color w:val="auto"/>
        </w:rPr>
      </w:pPr>
      <w:r w:rsidRPr="00056460">
        <w:rPr>
          <w:color w:val="auto"/>
        </w:rPr>
        <w:t xml:space="preserve">NOTE: </w:t>
      </w:r>
      <w:r w:rsidR="00942F18">
        <w:rPr>
          <w:color w:val="auto"/>
        </w:rPr>
        <w:t xml:space="preserve">Selection of </w:t>
      </w:r>
      <w:r w:rsidR="00597D72" w:rsidRPr="00056460">
        <w:rPr>
          <w:color w:val="auto"/>
        </w:rPr>
        <w:t xml:space="preserve">electrode layout </w:t>
      </w:r>
      <w:r w:rsidR="00942F18">
        <w:rPr>
          <w:color w:val="auto"/>
        </w:rPr>
        <w:t xml:space="preserve">is </w:t>
      </w:r>
      <w:r w:rsidR="00597D72" w:rsidRPr="00056460">
        <w:rPr>
          <w:color w:val="auto"/>
        </w:rPr>
        <w:t xml:space="preserve">a trade-off between sensitivity and number of cells </w:t>
      </w:r>
      <w:r w:rsidR="005840F7" w:rsidRPr="00056460">
        <w:rPr>
          <w:color w:val="auto"/>
        </w:rPr>
        <w:t>under study</w:t>
      </w:r>
      <w:r w:rsidR="00597D72" w:rsidRPr="00056460">
        <w:rPr>
          <w:color w:val="auto"/>
        </w:rPr>
        <w:t xml:space="preserve">. The smaller the electrode, the more sensitive is the measurement </w:t>
      </w:r>
      <w:r w:rsidR="005840F7" w:rsidRPr="00056460">
        <w:rPr>
          <w:color w:val="auto"/>
        </w:rPr>
        <w:t xml:space="preserve">but </w:t>
      </w:r>
      <w:r w:rsidR="00597D72" w:rsidRPr="00056460">
        <w:rPr>
          <w:color w:val="auto"/>
        </w:rPr>
        <w:t xml:space="preserve">the smaller is the number of cells under study. </w:t>
      </w:r>
      <w:r w:rsidR="00942F18">
        <w:rPr>
          <w:color w:val="auto"/>
        </w:rPr>
        <w:t>F</w:t>
      </w:r>
      <w:r w:rsidR="00597D72" w:rsidRPr="00056460">
        <w:rPr>
          <w:color w:val="auto"/>
        </w:rPr>
        <w:t>or cell</w:t>
      </w:r>
      <w:r w:rsidR="00942F18">
        <w:rPr>
          <w:color w:val="auto"/>
        </w:rPr>
        <w:t>s</w:t>
      </w:r>
      <w:r w:rsidR="00597D72" w:rsidRPr="00056460">
        <w:rPr>
          <w:color w:val="auto"/>
        </w:rPr>
        <w:t xml:space="preserve"> show</w:t>
      </w:r>
      <w:r w:rsidR="00942F18">
        <w:rPr>
          <w:color w:val="auto"/>
        </w:rPr>
        <w:t>ing</w:t>
      </w:r>
      <w:r w:rsidR="00597D72" w:rsidRPr="00056460">
        <w:rPr>
          <w:color w:val="auto"/>
        </w:rPr>
        <w:t xml:space="preserve"> strong </w:t>
      </w:r>
      <w:r w:rsidR="00942F18">
        <w:rPr>
          <w:color w:val="auto"/>
        </w:rPr>
        <w:t xml:space="preserve">impedance </w:t>
      </w:r>
      <w:r w:rsidR="00597D72" w:rsidRPr="00056460">
        <w:rPr>
          <w:color w:val="auto"/>
        </w:rPr>
        <w:t>fluctuations over time under baseline conditions, bigger or interdigitated electrode</w:t>
      </w:r>
      <w:r w:rsidR="00942F18">
        <w:rPr>
          <w:color w:val="auto"/>
        </w:rPr>
        <w:t>s</w:t>
      </w:r>
      <w:r w:rsidR="00597D72" w:rsidRPr="00056460">
        <w:rPr>
          <w:color w:val="auto"/>
        </w:rPr>
        <w:t xml:space="preserve"> </w:t>
      </w:r>
      <w:r w:rsidR="00C907AC">
        <w:rPr>
          <w:color w:val="auto"/>
        </w:rPr>
        <w:t>are preferable</w:t>
      </w:r>
      <w:r w:rsidR="00597D72" w:rsidRPr="00056460">
        <w:rPr>
          <w:color w:val="auto"/>
        </w:rPr>
        <w:t>.</w:t>
      </w:r>
    </w:p>
    <w:p w14:paraId="2DF61490" w14:textId="77777777" w:rsidR="00597D72" w:rsidRPr="00056460" w:rsidRDefault="00597D72" w:rsidP="00056460">
      <w:pPr>
        <w:rPr>
          <w:color w:val="auto"/>
        </w:rPr>
      </w:pPr>
    </w:p>
    <w:p w14:paraId="2A17A546" w14:textId="2001C185" w:rsidR="009E0435" w:rsidRPr="00615D37" w:rsidRDefault="009E0435" w:rsidP="00615D37">
      <w:pPr>
        <w:pStyle w:val="af3"/>
        <w:numPr>
          <w:ilvl w:val="1"/>
          <w:numId w:val="30"/>
        </w:numPr>
        <w:rPr>
          <w:color w:val="auto"/>
        </w:rPr>
      </w:pPr>
      <w:bookmarkStart w:id="0" w:name="_Hlk21306595"/>
      <w:r w:rsidRPr="00615D37">
        <w:rPr>
          <w:color w:val="auto"/>
        </w:rPr>
        <w:t>Pre</w:t>
      </w:r>
      <w:r w:rsidR="003768E1" w:rsidRPr="00615D37">
        <w:rPr>
          <w:color w:val="auto"/>
        </w:rPr>
        <w:t>-</w:t>
      </w:r>
      <w:r w:rsidRPr="00615D37">
        <w:rPr>
          <w:color w:val="auto"/>
        </w:rPr>
        <w:t>warm all solutions needed for standard cell passaging an</w:t>
      </w:r>
      <w:r w:rsidR="00927163" w:rsidRPr="00615D37">
        <w:rPr>
          <w:color w:val="auto"/>
        </w:rPr>
        <w:t xml:space="preserve">d seeding in a 37 °C water bath. For assays with human </w:t>
      </w:r>
      <w:r w:rsidRPr="00615D37">
        <w:rPr>
          <w:color w:val="auto"/>
        </w:rPr>
        <w:t>U-373 MG cells</w:t>
      </w:r>
      <w:r w:rsidR="00927163" w:rsidRPr="00615D37">
        <w:rPr>
          <w:color w:val="auto"/>
        </w:rPr>
        <w:t xml:space="preserve"> it takes</w:t>
      </w:r>
      <w:r w:rsidRPr="00615D37">
        <w:rPr>
          <w:color w:val="auto"/>
        </w:rPr>
        <w:t>: phosphate buffered saline (PBS) wit</w:t>
      </w:r>
      <w:r w:rsidR="00244416" w:rsidRPr="00615D37">
        <w:rPr>
          <w:color w:val="auto"/>
        </w:rPr>
        <w:t>hout calcium and magnesium, 0.0</w:t>
      </w:r>
      <w:r w:rsidRPr="00615D37">
        <w:rPr>
          <w:color w:val="auto"/>
        </w:rPr>
        <w:t>5%</w:t>
      </w:r>
      <w:r w:rsidR="00244416" w:rsidRPr="00615D37">
        <w:rPr>
          <w:color w:val="auto"/>
        </w:rPr>
        <w:t xml:space="preserve"> (w/v)</w:t>
      </w:r>
      <w:r w:rsidRPr="00615D37">
        <w:rPr>
          <w:color w:val="auto"/>
        </w:rPr>
        <w:t xml:space="preserve"> trypsin, cell culture medium (Eagle’s Minimum Essential Medium (EMEM)</w:t>
      </w:r>
      <w:r w:rsidR="000762C8" w:rsidRPr="00615D37">
        <w:rPr>
          <w:color w:val="auto"/>
        </w:rPr>
        <w:t xml:space="preserve"> supplemented with 5% (v/v) fetal calf serum (FCS), 2</w:t>
      </w:r>
      <w:r w:rsidR="00244416" w:rsidRPr="00615D37">
        <w:rPr>
          <w:color w:val="auto"/>
        </w:rPr>
        <w:t> </w:t>
      </w:r>
      <w:r w:rsidR="000762C8" w:rsidRPr="00615D37">
        <w:rPr>
          <w:color w:val="auto"/>
        </w:rPr>
        <w:t>mM L-glutamine and 100</w:t>
      </w:r>
      <w:r w:rsidR="00244416" w:rsidRPr="00615D37">
        <w:rPr>
          <w:color w:val="auto"/>
        </w:rPr>
        <w:t> </w:t>
      </w:r>
      <w:r w:rsidR="000762C8" w:rsidRPr="00615D37">
        <w:rPr>
          <w:color w:val="auto"/>
        </w:rPr>
        <w:t>µg/m</w:t>
      </w:r>
      <w:r w:rsidR="00EC6599">
        <w:rPr>
          <w:color w:val="auto"/>
        </w:rPr>
        <w:t>L</w:t>
      </w:r>
      <w:r w:rsidR="000762C8" w:rsidRPr="00615D37">
        <w:rPr>
          <w:color w:val="auto"/>
        </w:rPr>
        <w:t xml:space="preserve"> penicillin/streptomycin</w:t>
      </w:r>
      <w:r w:rsidRPr="00615D37">
        <w:rPr>
          <w:color w:val="auto"/>
        </w:rPr>
        <w:t>)</w:t>
      </w:r>
      <w:r w:rsidR="000762C8" w:rsidRPr="00615D37">
        <w:rPr>
          <w:color w:val="auto"/>
        </w:rPr>
        <w:t>.</w:t>
      </w:r>
    </w:p>
    <w:p w14:paraId="4B88A949" w14:textId="77777777" w:rsidR="002538E8" w:rsidRPr="00056460" w:rsidRDefault="002538E8" w:rsidP="00056460">
      <w:pPr>
        <w:rPr>
          <w:color w:val="auto"/>
        </w:rPr>
      </w:pPr>
    </w:p>
    <w:p w14:paraId="67C5D39C" w14:textId="431DC461" w:rsidR="009E0435" w:rsidRPr="00615D37" w:rsidRDefault="003768E1" w:rsidP="00615D37">
      <w:pPr>
        <w:pStyle w:val="af3"/>
        <w:numPr>
          <w:ilvl w:val="1"/>
          <w:numId w:val="30"/>
        </w:numPr>
        <w:rPr>
          <w:color w:val="auto"/>
        </w:rPr>
      </w:pPr>
      <w:r w:rsidRPr="00615D37">
        <w:rPr>
          <w:color w:val="auto"/>
        </w:rPr>
        <w:t>Rinse the cell layer</w:t>
      </w:r>
      <w:r w:rsidR="00244416" w:rsidRPr="00615D37">
        <w:rPr>
          <w:color w:val="auto"/>
        </w:rPr>
        <w:t xml:space="preserve"> </w:t>
      </w:r>
      <w:r w:rsidR="00927163" w:rsidRPr="00615D37">
        <w:rPr>
          <w:color w:val="auto"/>
        </w:rPr>
        <w:t xml:space="preserve">of the stock culture </w:t>
      </w:r>
      <w:r w:rsidRPr="00615D37">
        <w:rPr>
          <w:color w:val="auto"/>
        </w:rPr>
        <w:t xml:space="preserve">grown </w:t>
      </w:r>
      <w:r w:rsidR="00244416" w:rsidRPr="00615D37">
        <w:rPr>
          <w:color w:val="auto"/>
        </w:rPr>
        <w:t>on the bottom of</w:t>
      </w:r>
      <w:r w:rsidRPr="00615D37">
        <w:rPr>
          <w:color w:val="auto"/>
        </w:rPr>
        <w:t xml:space="preserve"> conventional cell culture flasks or dishes with PBS twice.</w:t>
      </w:r>
    </w:p>
    <w:p w14:paraId="0C68AD28" w14:textId="77777777" w:rsidR="002538E8" w:rsidRPr="00056460" w:rsidRDefault="002538E8" w:rsidP="00056460">
      <w:pPr>
        <w:rPr>
          <w:color w:val="auto"/>
        </w:rPr>
      </w:pPr>
    </w:p>
    <w:p w14:paraId="65983673" w14:textId="6CCCCF55" w:rsidR="003768E1" w:rsidRPr="00615D37" w:rsidRDefault="003768E1" w:rsidP="00615D37">
      <w:pPr>
        <w:pStyle w:val="af3"/>
        <w:numPr>
          <w:ilvl w:val="1"/>
          <w:numId w:val="30"/>
        </w:numPr>
        <w:rPr>
          <w:color w:val="auto"/>
        </w:rPr>
      </w:pPr>
      <w:r w:rsidRPr="00615D37">
        <w:rPr>
          <w:color w:val="auto"/>
        </w:rPr>
        <w:t xml:space="preserve">Remove the PBS, add the trypsin </w:t>
      </w:r>
      <w:r w:rsidR="00244416" w:rsidRPr="00615D37">
        <w:rPr>
          <w:color w:val="auto"/>
        </w:rPr>
        <w:t>solution (1</w:t>
      </w:r>
      <w:r w:rsidR="00EC6599">
        <w:rPr>
          <w:color w:val="auto"/>
        </w:rPr>
        <w:t xml:space="preserve"> mL </w:t>
      </w:r>
      <w:r w:rsidRPr="00615D37">
        <w:rPr>
          <w:color w:val="auto"/>
        </w:rPr>
        <w:t>for 25</w:t>
      </w:r>
      <w:r w:rsidR="00244416" w:rsidRPr="00615D37">
        <w:rPr>
          <w:color w:val="auto"/>
        </w:rPr>
        <w:t> </w:t>
      </w:r>
      <w:r w:rsidRPr="00615D37">
        <w:rPr>
          <w:color w:val="auto"/>
        </w:rPr>
        <w:t>cm</w:t>
      </w:r>
      <w:r w:rsidRPr="00615D37">
        <w:rPr>
          <w:color w:val="auto"/>
          <w:vertAlign w:val="superscript"/>
        </w:rPr>
        <w:t>2</w:t>
      </w:r>
      <w:r w:rsidRPr="00615D37">
        <w:rPr>
          <w:color w:val="auto"/>
        </w:rPr>
        <w:t xml:space="preserve">) and let the cells incubate at </w:t>
      </w:r>
      <w:r w:rsidR="005840F7" w:rsidRPr="00615D37">
        <w:rPr>
          <w:color w:val="auto"/>
        </w:rPr>
        <w:t>37 °C for 5 min (applies to</w:t>
      </w:r>
      <w:r w:rsidRPr="00615D37">
        <w:rPr>
          <w:color w:val="auto"/>
        </w:rPr>
        <w:t xml:space="preserve"> U-373 MG cells).</w:t>
      </w:r>
    </w:p>
    <w:p w14:paraId="25A2E40D" w14:textId="77777777" w:rsidR="002538E8" w:rsidRPr="00056460" w:rsidRDefault="002538E8" w:rsidP="00056460">
      <w:pPr>
        <w:rPr>
          <w:color w:val="auto"/>
        </w:rPr>
      </w:pPr>
    </w:p>
    <w:p w14:paraId="70E3A4E1" w14:textId="56A8B948" w:rsidR="003768E1" w:rsidRPr="00615D37" w:rsidRDefault="00927163" w:rsidP="00615D37">
      <w:pPr>
        <w:pStyle w:val="af3"/>
        <w:numPr>
          <w:ilvl w:val="1"/>
          <w:numId w:val="30"/>
        </w:numPr>
        <w:rPr>
          <w:color w:val="auto"/>
        </w:rPr>
      </w:pPr>
      <w:r w:rsidRPr="00615D37">
        <w:rPr>
          <w:color w:val="auto"/>
        </w:rPr>
        <w:t>C</w:t>
      </w:r>
      <w:r w:rsidR="003768E1" w:rsidRPr="00615D37">
        <w:rPr>
          <w:color w:val="auto"/>
        </w:rPr>
        <w:t>ontrol for complete detachment of the cells from the bottom of the growth substrate</w:t>
      </w:r>
      <w:r w:rsidRPr="00615D37">
        <w:rPr>
          <w:color w:val="auto"/>
        </w:rPr>
        <w:t xml:space="preserve"> by microscopy</w:t>
      </w:r>
      <w:r w:rsidR="003768E1" w:rsidRPr="00615D37">
        <w:rPr>
          <w:color w:val="auto"/>
        </w:rPr>
        <w:t>.</w:t>
      </w:r>
    </w:p>
    <w:p w14:paraId="206B1405" w14:textId="77777777" w:rsidR="002538E8" w:rsidRPr="00056460" w:rsidRDefault="002538E8" w:rsidP="00056460">
      <w:pPr>
        <w:rPr>
          <w:color w:val="auto"/>
        </w:rPr>
      </w:pPr>
    </w:p>
    <w:p w14:paraId="4EF2EA43" w14:textId="1DC8328C" w:rsidR="003768E1" w:rsidRPr="00615D37" w:rsidRDefault="00927163" w:rsidP="00615D37">
      <w:pPr>
        <w:pStyle w:val="af3"/>
        <w:numPr>
          <w:ilvl w:val="1"/>
          <w:numId w:val="30"/>
        </w:numPr>
        <w:rPr>
          <w:color w:val="auto"/>
        </w:rPr>
      </w:pPr>
      <w:r w:rsidRPr="00615D37">
        <w:rPr>
          <w:color w:val="auto"/>
        </w:rPr>
        <w:t>Stop the trypsin reaction as soon as</w:t>
      </w:r>
      <w:r w:rsidR="003768E1" w:rsidRPr="00615D37">
        <w:rPr>
          <w:color w:val="auto"/>
        </w:rPr>
        <w:t xml:space="preserve"> </w:t>
      </w:r>
      <w:r w:rsidRPr="00615D37">
        <w:rPr>
          <w:color w:val="auto"/>
        </w:rPr>
        <w:t xml:space="preserve">the cells are completely detached by </w:t>
      </w:r>
      <w:r w:rsidR="003768E1" w:rsidRPr="00615D37">
        <w:rPr>
          <w:color w:val="auto"/>
        </w:rPr>
        <w:t>add</w:t>
      </w:r>
      <w:r w:rsidRPr="00615D37">
        <w:rPr>
          <w:color w:val="auto"/>
        </w:rPr>
        <w:t>ing</w:t>
      </w:r>
      <w:r w:rsidR="003768E1" w:rsidRPr="00615D37">
        <w:rPr>
          <w:color w:val="auto"/>
        </w:rPr>
        <w:t xml:space="preserve"> 9</w:t>
      </w:r>
      <w:r w:rsidR="00EC6599">
        <w:rPr>
          <w:color w:val="auto"/>
        </w:rPr>
        <w:t xml:space="preserve"> mL of</w:t>
      </w:r>
      <w:r w:rsidR="003768E1" w:rsidRPr="00615D37">
        <w:rPr>
          <w:color w:val="auto"/>
        </w:rPr>
        <w:t xml:space="preserve"> cell culture medium per 1</w:t>
      </w:r>
      <w:r w:rsidR="00EC6599">
        <w:rPr>
          <w:color w:val="auto"/>
        </w:rPr>
        <w:t xml:space="preserve"> mL of</w:t>
      </w:r>
      <w:r w:rsidR="003768E1" w:rsidRPr="00615D37">
        <w:rPr>
          <w:color w:val="auto"/>
        </w:rPr>
        <w:t xml:space="preserve"> trypsin to the cell suspension. Carefully rinse remaining cells from the bottom of the cell culture substrate by pipetting the suspension over the substrate.</w:t>
      </w:r>
    </w:p>
    <w:p w14:paraId="01C8CC71" w14:textId="77777777" w:rsidR="002538E8" w:rsidRPr="00056460" w:rsidRDefault="002538E8" w:rsidP="00056460">
      <w:pPr>
        <w:rPr>
          <w:color w:val="auto"/>
        </w:rPr>
      </w:pPr>
    </w:p>
    <w:p w14:paraId="0A322FE8" w14:textId="77C3D90D" w:rsidR="00955469" w:rsidRPr="00615D37" w:rsidRDefault="00955469" w:rsidP="00615D37">
      <w:pPr>
        <w:pStyle w:val="af3"/>
        <w:numPr>
          <w:ilvl w:val="1"/>
          <w:numId w:val="30"/>
        </w:numPr>
        <w:rPr>
          <w:color w:val="auto"/>
        </w:rPr>
      </w:pPr>
      <w:r w:rsidRPr="00615D37">
        <w:rPr>
          <w:color w:val="auto"/>
        </w:rPr>
        <w:t>Collect the cell suspension with a pipet</w:t>
      </w:r>
      <w:r w:rsidR="00F14F64" w:rsidRPr="00615D37">
        <w:rPr>
          <w:color w:val="auto"/>
        </w:rPr>
        <w:t>te</w:t>
      </w:r>
      <w:r w:rsidRPr="00615D37">
        <w:rPr>
          <w:color w:val="auto"/>
        </w:rPr>
        <w:t xml:space="preserve"> and transfer </w:t>
      </w:r>
      <w:r w:rsidR="00927163" w:rsidRPr="00615D37">
        <w:rPr>
          <w:color w:val="auto"/>
        </w:rPr>
        <w:t xml:space="preserve">it </w:t>
      </w:r>
      <w:r w:rsidRPr="00615D37">
        <w:rPr>
          <w:color w:val="auto"/>
        </w:rPr>
        <w:t xml:space="preserve">to a </w:t>
      </w:r>
      <w:r w:rsidR="00927163" w:rsidRPr="00615D37">
        <w:rPr>
          <w:color w:val="auto"/>
        </w:rPr>
        <w:t xml:space="preserve">centrifugation </w:t>
      </w:r>
      <w:r w:rsidRPr="00615D37">
        <w:rPr>
          <w:color w:val="auto"/>
        </w:rPr>
        <w:t>tube (15</w:t>
      </w:r>
      <w:r w:rsidR="00EC6599">
        <w:rPr>
          <w:color w:val="auto"/>
        </w:rPr>
        <w:t xml:space="preserve"> mL </w:t>
      </w:r>
      <w:r w:rsidRPr="00615D37">
        <w:rPr>
          <w:color w:val="auto"/>
        </w:rPr>
        <w:t>or 50</w:t>
      </w:r>
      <w:r w:rsidR="00EC6599">
        <w:rPr>
          <w:color w:val="auto"/>
        </w:rPr>
        <w:t xml:space="preserve"> mL </w:t>
      </w:r>
      <w:r w:rsidRPr="00615D37">
        <w:rPr>
          <w:color w:val="auto"/>
        </w:rPr>
        <w:t>tube).</w:t>
      </w:r>
    </w:p>
    <w:p w14:paraId="0FD6CC5F" w14:textId="77777777" w:rsidR="002538E8" w:rsidRPr="00056460" w:rsidRDefault="002538E8" w:rsidP="00056460">
      <w:pPr>
        <w:rPr>
          <w:color w:val="auto"/>
        </w:rPr>
      </w:pPr>
    </w:p>
    <w:p w14:paraId="50837392" w14:textId="31D50C1E" w:rsidR="00955469" w:rsidRPr="00615D37" w:rsidRDefault="00955469" w:rsidP="00615D37">
      <w:pPr>
        <w:pStyle w:val="af3"/>
        <w:numPr>
          <w:ilvl w:val="1"/>
          <w:numId w:val="30"/>
        </w:numPr>
        <w:rPr>
          <w:color w:val="auto"/>
        </w:rPr>
      </w:pPr>
      <w:r w:rsidRPr="00615D37">
        <w:rPr>
          <w:color w:val="auto"/>
        </w:rPr>
        <w:t>Spin down the cells by centrifugation at 1</w:t>
      </w:r>
      <w:r w:rsidR="00244416" w:rsidRPr="00615D37">
        <w:rPr>
          <w:color w:val="auto"/>
        </w:rPr>
        <w:t>1</w:t>
      </w:r>
      <w:r w:rsidRPr="00615D37">
        <w:rPr>
          <w:color w:val="auto"/>
        </w:rPr>
        <w:t xml:space="preserve">0 x </w:t>
      </w:r>
      <w:r w:rsidRPr="00EC6599">
        <w:rPr>
          <w:i/>
          <w:iCs/>
          <w:color w:val="auto"/>
        </w:rPr>
        <w:t>g</w:t>
      </w:r>
      <w:r w:rsidRPr="00615D37">
        <w:rPr>
          <w:color w:val="auto"/>
        </w:rPr>
        <w:t xml:space="preserve"> for 10 min at room temperature.</w:t>
      </w:r>
    </w:p>
    <w:p w14:paraId="5B0E7985" w14:textId="77777777" w:rsidR="00C836E1" w:rsidRPr="00056460" w:rsidRDefault="00C836E1" w:rsidP="00056460">
      <w:pPr>
        <w:rPr>
          <w:color w:val="auto"/>
        </w:rPr>
      </w:pPr>
    </w:p>
    <w:p w14:paraId="321C9D81" w14:textId="19273D9D" w:rsidR="00C836E1" w:rsidRPr="00615D37" w:rsidRDefault="00955469" w:rsidP="00615D37">
      <w:pPr>
        <w:pStyle w:val="af3"/>
        <w:numPr>
          <w:ilvl w:val="1"/>
          <w:numId w:val="30"/>
        </w:numPr>
        <w:rPr>
          <w:color w:val="auto"/>
        </w:rPr>
      </w:pPr>
      <w:r w:rsidRPr="00615D37">
        <w:rPr>
          <w:color w:val="auto"/>
        </w:rPr>
        <w:t>Carefully</w:t>
      </w:r>
      <w:r w:rsidR="00887F73" w:rsidRPr="00615D37">
        <w:rPr>
          <w:color w:val="auto"/>
        </w:rPr>
        <w:t xml:space="preserve"> remove the supernatant and thoroughly re-suspend the cell pellet in culture medium before counting the cell</w:t>
      </w:r>
      <w:r w:rsidR="009D4249" w:rsidRPr="00615D37">
        <w:rPr>
          <w:color w:val="auto"/>
        </w:rPr>
        <w:t>s</w:t>
      </w:r>
      <w:r w:rsidR="00613440">
        <w:rPr>
          <w:color w:val="auto"/>
        </w:rPr>
        <w:t xml:space="preserve"> (</w:t>
      </w:r>
      <w:r w:rsidR="00887F73" w:rsidRPr="00615D37">
        <w:rPr>
          <w:color w:val="auto"/>
        </w:rPr>
        <w:t xml:space="preserve">e.g. by using a </w:t>
      </w:r>
      <w:proofErr w:type="spellStart"/>
      <w:r w:rsidR="005840F7" w:rsidRPr="00615D37">
        <w:rPr>
          <w:color w:val="auto"/>
        </w:rPr>
        <w:t>hemacytometer</w:t>
      </w:r>
      <w:proofErr w:type="spellEnd"/>
      <w:r w:rsidR="005840F7" w:rsidRPr="00615D37">
        <w:rPr>
          <w:color w:val="auto"/>
        </w:rPr>
        <w:t xml:space="preserve"> </w:t>
      </w:r>
      <w:r w:rsidR="009D4249" w:rsidRPr="00615D37">
        <w:rPr>
          <w:color w:val="auto"/>
        </w:rPr>
        <w:t>for phase contrast microscopes</w:t>
      </w:r>
      <w:r w:rsidR="00887F73" w:rsidRPr="00615D37">
        <w:rPr>
          <w:color w:val="auto"/>
        </w:rPr>
        <w:t xml:space="preserve"> and manual counting</w:t>
      </w:r>
      <w:r w:rsidR="00613440">
        <w:rPr>
          <w:color w:val="auto"/>
        </w:rPr>
        <w:t>)</w:t>
      </w:r>
      <w:r w:rsidR="00887F73" w:rsidRPr="00615D37">
        <w:rPr>
          <w:color w:val="auto"/>
        </w:rPr>
        <w:t xml:space="preserve">. </w:t>
      </w:r>
    </w:p>
    <w:p w14:paraId="274DFEA7" w14:textId="77777777" w:rsidR="00C836E1" w:rsidRPr="00056460" w:rsidRDefault="00C836E1" w:rsidP="00056460">
      <w:pPr>
        <w:rPr>
          <w:color w:val="auto"/>
        </w:rPr>
      </w:pPr>
    </w:p>
    <w:p w14:paraId="38793C8D" w14:textId="5C1E2E60" w:rsidR="00955469" w:rsidRPr="00615D37" w:rsidRDefault="00887F73" w:rsidP="00615D37">
      <w:pPr>
        <w:pStyle w:val="af3"/>
        <w:numPr>
          <w:ilvl w:val="1"/>
          <w:numId w:val="30"/>
        </w:numPr>
        <w:rPr>
          <w:color w:val="auto"/>
        </w:rPr>
      </w:pPr>
      <w:r w:rsidRPr="00615D37">
        <w:rPr>
          <w:color w:val="auto"/>
        </w:rPr>
        <w:t xml:space="preserve">Adjust the cell suspension to the desired cell </w:t>
      </w:r>
      <w:r w:rsidR="009D4249" w:rsidRPr="00615D37">
        <w:rPr>
          <w:color w:val="auto"/>
        </w:rPr>
        <w:t>density</w:t>
      </w:r>
      <w:r w:rsidR="00C836E1" w:rsidRPr="00615D37">
        <w:rPr>
          <w:color w:val="auto"/>
        </w:rPr>
        <w:t>. For experiments with U</w:t>
      </w:r>
      <w:r w:rsidR="004550AE" w:rsidRPr="00615D37">
        <w:rPr>
          <w:color w:val="auto"/>
        </w:rPr>
        <w:t>-373 </w:t>
      </w:r>
      <w:r w:rsidR="00C836E1" w:rsidRPr="00615D37">
        <w:rPr>
          <w:color w:val="auto"/>
        </w:rPr>
        <w:t>MG cells</w:t>
      </w:r>
      <w:r w:rsidR="009D4249" w:rsidRPr="00615D37">
        <w:rPr>
          <w:color w:val="auto"/>
        </w:rPr>
        <w:t>,</w:t>
      </w:r>
      <w:r w:rsidR="00C836E1" w:rsidRPr="00615D37">
        <w:rPr>
          <w:color w:val="auto"/>
        </w:rPr>
        <w:t xml:space="preserve"> </w:t>
      </w:r>
      <w:r w:rsidR="00341CA2" w:rsidRPr="00615D37">
        <w:rPr>
          <w:color w:val="auto"/>
        </w:rPr>
        <w:t xml:space="preserve">use </w:t>
      </w:r>
      <w:r w:rsidR="00C836E1" w:rsidRPr="00615D37">
        <w:rPr>
          <w:color w:val="auto"/>
        </w:rPr>
        <w:t>100 000</w:t>
      </w:r>
      <w:r w:rsidR="009D4249" w:rsidRPr="00615D37">
        <w:rPr>
          <w:color w:val="auto"/>
        </w:rPr>
        <w:t xml:space="preserve"> </w:t>
      </w:r>
      <w:r w:rsidR="00C836E1" w:rsidRPr="00615D37">
        <w:rPr>
          <w:color w:val="auto"/>
        </w:rPr>
        <w:t xml:space="preserve">cells/cm² to grow a confluent cell layer within 48 h. </w:t>
      </w:r>
      <w:r w:rsidR="008A5DD5">
        <w:rPr>
          <w:color w:val="auto"/>
        </w:rPr>
        <w:t xml:space="preserve">This translates to </w:t>
      </w:r>
      <w:r w:rsidR="005840F7" w:rsidRPr="00615D37">
        <w:rPr>
          <w:color w:val="auto"/>
        </w:rPr>
        <w:t>a cell density of 200 000 cells/m</w:t>
      </w:r>
      <w:r w:rsidR="00613440">
        <w:rPr>
          <w:color w:val="auto"/>
        </w:rPr>
        <w:t>L</w:t>
      </w:r>
      <w:r w:rsidR="005840F7" w:rsidRPr="00615D37">
        <w:rPr>
          <w:color w:val="auto"/>
        </w:rPr>
        <w:t xml:space="preserve"> </w:t>
      </w:r>
      <w:r w:rsidR="00341CA2" w:rsidRPr="00615D37">
        <w:rPr>
          <w:color w:val="auto"/>
        </w:rPr>
        <w:t xml:space="preserve">for </w:t>
      </w:r>
      <w:r w:rsidR="00211049" w:rsidRPr="00615D37">
        <w:rPr>
          <w:color w:val="auto"/>
        </w:rPr>
        <w:t xml:space="preserve">8-well </w:t>
      </w:r>
      <w:r w:rsidR="00341CA2" w:rsidRPr="00615D37">
        <w:rPr>
          <w:color w:val="auto"/>
        </w:rPr>
        <w:t xml:space="preserve">electrode arrays with </w:t>
      </w:r>
      <w:r w:rsidR="005840F7" w:rsidRPr="00615D37">
        <w:rPr>
          <w:color w:val="auto"/>
        </w:rPr>
        <w:t>a growth area of ~0.8 cm² and</w:t>
      </w:r>
      <w:r w:rsidR="00341CA2" w:rsidRPr="00615D37">
        <w:rPr>
          <w:color w:val="auto"/>
        </w:rPr>
        <w:t xml:space="preserve"> a well </w:t>
      </w:r>
      <w:r w:rsidR="00C836E1" w:rsidRPr="00615D37">
        <w:rPr>
          <w:color w:val="auto"/>
        </w:rPr>
        <w:t>volume of 400 µ</w:t>
      </w:r>
      <w:r w:rsidR="00613440">
        <w:rPr>
          <w:color w:val="auto"/>
        </w:rPr>
        <w:t>L</w:t>
      </w:r>
      <w:r w:rsidR="00C836E1" w:rsidRPr="00615D37">
        <w:rPr>
          <w:color w:val="auto"/>
        </w:rPr>
        <w:t>.</w:t>
      </w:r>
      <w:r w:rsidR="00232290" w:rsidRPr="00615D37">
        <w:rPr>
          <w:color w:val="auto"/>
        </w:rPr>
        <w:t xml:space="preserve"> </w:t>
      </w:r>
    </w:p>
    <w:p w14:paraId="0711FC45" w14:textId="77777777" w:rsidR="00341CA2" w:rsidRPr="00056460" w:rsidRDefault="00341CA2" w:rsidP="00056460">
      <w:pPr>
        <w:rPr>
          <w:color w:val="auto"/>
        </w:rPr>
      </w:pPr>
    </w:p>
    <w:p w14:paraId="215EEAA4" w14:textId="63253C7B" w:rsidR="00341CA2" w:rsidRPr="00056460" w:rsidRDefault="00613440" w:rsidP="00056460">
      <w:pPr>
        <w:rPr>
          <w:color w:val="auto"/>
        </w:rPr>
      </w:pPr>
      <w:r w:rsidRPr="00056460">
        <w:rPr>
          <w:color w:val="auto"/>
        </w:rPr>
        <w:t xml:space="preserve">NOTE: </w:t>
      </w:r>
      <w:r w:rsidR="00341CA2" w:rsidRPr="00056460">
        <w:rPr>
          <w:color w:val="auto"/>
        </w:rPr>
        <w:t>For reproducible GPCR activation experiment</w:t>
      </w:r>
      <w:r w:rsidR="00942F18">
        <w:rPr>
          <w:color w:val="auto"/>
        </w:rPr>
        <w:t>s</w:t>
      </w:r>
      <w:r w:rsidR="008A5DD5">
        <w:rPr>
          <w:color w:val="auto"/>
        </w:rPr>
        <w:t>,</w:t>
      </w:r>
      <w:r w:rsidR="00341CA2" w:rsidRPr="00056460">
        <w:rPr>
          <w:color w:val="auto"/>
        </w:rPr>
        <w:t xml:space="preserve"> cells </w:t>
      </w:r>
      <w:r w:rsidR="00942F18">
        <w:rPr>
          <w:color w:val="auto"/>
        </w:rPr>
        <w:t xml:space="preserve">should be grown </w:t>
      </w:r>
      <w:r w:rsidR="00341CA2" w:rsidRPr="00056460">
        <w:rPr>
          <w:color w:val="auto"/>
        </w:rPr>
        <w:t>to confluent monolayers on the electrode arrays</w:t>
      </w:r>
      <w:r w:rsidR="008F700F">
        <w:rPr>
          <w:color w:val="auto"/>
        </w:rPr>
        <w:t xml:space="preserve">. To ensure proper receptor expression </w:t>
      </w:r>
      <w:r w:rsidR="008F700F" w:rsidRPr="00056460">
        <w:rPr>
          <w:color w:val="auto"/>
        </w:rPr>
        <w:t>on the cell surface</w:t>
      </w:r>
      <w:r w:rsidR="008F700F">
        <w:rPr>
          <w:color w:val="auto"/>
        </w:rPr>
        <w:t xml:space="preserve">, cells should be seeded at least 36 h </w:t>
      </w:r>
      <w:r w:rsidR="00341CA2" w:rsidRPr="00056460">
        <w:rPr>
          <w:color w:val="auto"/>
        </w:rPr>
        <w:t xml:space="preserve">before performing the experiment. Testing different cell densities for cell seeding </w:t>
      </w:r>
      <w:r w:rsidR="008F700F">
        <w:rPr>
          <w:color w:val="auto"/>
        </w:rPr>
        <w:t xml:space="preserve">is often </w:t>
      </w:r>
      <w:r w:rsidR="00341CA2" w:rsidRPr="00056460">
        <w:rPr>
          <w:color w:val="auto"/>
        </w:rPr>
        <w:t xml:space="preserve">meaningful to identify the </w:t>
      </w:r>
      <w:r w:rsidR="005840F7" w:rsidRPr="00056460">
        <w:rPr>
          <w:color w:val="auto"/>
        </w:rPr>
        <w:t xml:space="preserve">best </w:t>
      </w:r>
      <w:r w:rsidR="008F700F">
        <w:rPr>
          <w:color w:val="auto"/>
        </w:rPr>
        <w:t xml:space="preserve">experimental </w:t>
      </w:r>
      <w:r w:rsidR="00341CA2" w:rsidRPr="00056460">
        <w:rPr>
          <w:color w:val="auto"/>
        </w:rPr>
        <w:t>conditions.</w:t>
      </w:r>
    </w:p>
    <w:p w14:paraId="49E89E42" w14:textId="77777777" w:rsidR="00C836E1" w:rsidRPr="00056460" w:rsidRDefault="00C836E1" w:rsidP="00056460">
      <w:pPr>
        <w:rPr>
          <w:color w:val="auto"/>
        </w:rPr>
      </w:pPr>
    </w:p>
    <w:p w14:paraId="27F1BA5D" w14:textId="646DD890" w:rsidR="00C836E1" w:rsidRPr="00615D37" w:rsidRDefault="00C836E1" w:rsidP="00615D37">
      <w:pPr>
        <w:pStyle w:val="af3"/>
        <w:numPr>
          <w:ilvl w:val="1"/>
          <w:numId w:val="30"/>
        </w:numPr>
        <w:rPr>
          <w:color w:val="auto"/>
        </w:rPr>
      </w:pPr>
      <w:bookmarkStart w:id="1" w:name="_Hlk22454418"/>
      <w:bookmarkStart w:id="2" w:name="_GoBack"/>
      <w:r w:rsidRPr="00615D37">
        <w:rPr>
          <w:color w:val="auto"/>
          <w:highlight w:val="yellow"/>
        </w:rPr>
        <w:t xml:space="preserve">Add the cell suspension to the wells of the electrode array and let the sells settle down at room temperature for 10 – 15 min in order to </w:t>
      </w:r>
      <w:r w:rsidR="003B020D" w:rsidRPr="00615D37">
        <w:rPr>
          <w:color w:val="auto"/>
          <w:highlight w:val="yellow"/>
        </w:rPr>
        <w:t>ensure</w:t>
      </w:r>
      <w:r w:rsidRPr="00615D37">
        <w:rPr>
          <w:color w:val="auto"/>
          <w:highlight w:val="yellow"/>
        </w:rPr>
        <w:t xml:space="preserve"> homogenous distribution of cells on the bottom of the wells.</w:t>
      </w:r>
      <w:r w:rsidRPr="00615D37">
        <w:rPr>
          <w:color w:val="auto"/>
        </w:rPr>
        <w:t xml:space="preserve"> </w:t>
      </w:r>
    </w:p>
    <w:p w14:paraId="7341E09C" w14:textId="77777777" w:rsidR="002D5400" w:rsidRPr="00056460" w:rsidRDefault="002D5400" w:rsidP="00056460">
      <w:pPr>
        <w:rPr>
          <w:color w:val="auto"/>
        </w:rPr>
      </w:pPr>
    </w:p>
    <w:p w14:paraId="03A0F53C" w14:textId="4C72D63D" w:rsidR="002D5400" w:rsidRPr="00615D37" w:rsidRDefault="002D5400" w:rsidP="00615D37">
      <w:pPr>
        <w:pStyle w:val="af3"/>
        <w:numPr>
          <w:ilvl w:val="1"/>
          <w:numId w:val="30"/>
        </w:numPr>
        <w:rPr>
          <w:color w:val="auto"/>
        </w:rPr>
      </w:pPr>
      <w:r w:rsidRPr="00615D37">
        <w:rPr>
          <w:color w:val="auto"/>
        </w:rPr>
        <w:t xml:space="preserve">Grow cells </w:t>
      </w:r>
      <w:r w:rsidRPr="00613440">
        <w:rPr>
          <w:color w:val="auto"/>
        </w:rPr>
        <w:t xml:space="preserve">for </w:t>
      </w:r>
      <w:r w:rsidRPr="00613440">
        <w:rPr>
          <w:b/>
          <w:color w:val="auto"/>
        </w:rPr>
        <w:t>at least</w:t>
      </w:r>
      <w:r w:rsidRPr="00615D37">
        <w:rPr>
          <w:color w:val="auto"/>
        </w:rPr>
        <w:t xml:space="preserve"> 36 h in a standard cell culture incubator with 5% CO</w:t>
      </w:r>
      <w:r w:rsidRPr="00615D37">
        <w:rPr>
          <w:color w:val="auto"/>
          <w:vertAlign w:val="subscript"/>
        </w:rPr>
        <w:t>2</w:t>
      </w:r>
      <w:r w:rsidRPr="00615D37">
        <w:rPr>
          <w:color w:val="auto"/>
        </w:rPr>
        <w:t xml:space="preserve"> </w:t>
      </w:r>
      <w:r w:rsidR="009D4249" w:rsidRPr="00615D37">
        <w:rPr>
          <w:color w:val="auto"/>
        </w:rPr>
        <w:t xml:space="preserve">(dependent on medium type) </w:t>
      </w:r>
      <w:r w:rsidRPr="00615D37">
        <w:rPr>
          <w:color w:val="auto"/>
        </w:rPr>
        <w:t xml:space="preserve">at 37 °C and humidified atmosphere. Change cell culture medium </w:t>
      </w:r>
      <w:r w:rsidR="009D4249" w:rsidRPr="00615D37">
        <w:rPr>
          <w:color w:val="auto"/>
        </w:rPr>
        <w:t xml:space="preserve">24 h prior to </w:t>
      </w:r>
      <w:r w:rsidRPr="00615D37">
        <w:rPr>
          <w:color w:val="auto"/>
        </w:rPr>
        <w:t>the experiment.</w:t>
      </w:r>
    </w:p>
    <w:p w14:paraId="573846D2" w14:textId="77777777" w:rsidR="003041F3" w:rsidRPr="00056460" w:rsidRDefault="003041F3" w:rsidP="00056460">
      <w:pPr>
        <w:rPr>
          <w:color w:val="auto"/>
        </w:rPr>
      </w:pPr>
    </w:p>
    <w:p w14:paraId="2DD96573" w14:textId="631E0C44" w:rsidR="003041F3" w:rsidRPr="00615D37" w:rsidRDefault="003041F3" w:rsidP="00615D37">
      <w:pPr>
        <w:pStyle w:val="af3"/>
        <w:numPr>
          <w:ilvl w:val="1"/>
          <w:numId w:val="30"/>
        </w:numPr>
        <w:rPr>
          <w:color w:val="auto"/>
        </w:rPr>
      </w:pPr>
      <w:r w:rsidRPr="00615D37">
        <w:rPr>
          <w:color w:val="auto"/>
          <w:highlight w:val="yellow"/>
        </w:rPr>
        <w:t>On the day of the experiment</w:t>
      </w:r>
      <w:r w:rsidR="00613440">
        <w:rPr>
          <w:color w:val="auto"/>
          <w:highlight w:val="yellow"/>
        </w:rPr>
        <w:t>,</w:t>
      </w:r>
      <w:r w:rsidRPr="00615D37">
        <w:rPr>
          <w:color w:val="auto"/>
          <w:highlight w:val="yellow"/>
        </w:rPr>
        <w:t xml:space="preserve"> inspect the cell layers on the electrode arrays by (phase contrast) microscopy to ensure complete coverage of electrodes with cells</w:t>
      </w:r>
      <w:r w:rsidR="00F67D8F" w:rsidRPr="00615D37">
        <w:rPr>
          <w:color w:val="auto"/>
        </w:rPr>
        <w:t>.</w:t>
      </w:r>
    </w:p>
    <w:p w14:paraId="697898FC" w14:textId="77777777" w:rsidR="000762C8" w:rsidRPr="00056460" w:rsidRDefault="000762C8" w:rsidP="00056460">
      <w:pPr>
        <w:rPr>
          <w:color w:val="auto"/>
        </w:rPr>
      </w:pPr>
    </w:p>
    <w:p w14:paraId="4909E3B1" w14:textId="486287AC" w:rsidR="009E0435" w:rsidRPr="00615D37" w:rsidRDefault="000762C8" w:rsidP="00615D37">
      <w:pPr>
        <w:pStyle w:val="af3"/>
        <w:numPr>
          <w:ilvl w:val="0"/>
          <w:numId w:val="30"/>
        </w:numPr>
        <w:rPr>
          <w:b/>
          <w:color w:val="auto"/>
        </w:rPr>
      </w:pPr>
      <w:r w:rsidRPr="00615D37">
        <w:rPr>
          <w:b/>
          <w:color w:val="auto"/>
        </w:rPr>
        <w:t>Equilibration of cells in serum-free medium</w:t>
      </w:r>
    </w:p>
    <w:p w14:paraId="22F17F74" w14:textId="77777777" w:rsidR="00865196" w:rsidRPr="00056460" w:rsidRDefault="00865196" w:rsidP="00056460">
      <w:pPr>
        <w:rPr>
          <w:b/>
          <w:color w:val="auto"/>
        </w:rPr>
      </w:pPr>
    </w:p>
    <w:p w14:paraId="1D005634" w14:textId="71F5A4C1" w:rsidR="000762C8" w:rsidRPr="00615D37" w:rsidRDefault="000762C8" w:rsidP="00615D37">
      <w:pPr>
        <w:pStyle w:val="af3"/>
        <w:numPr>
          <w:ilvl w:val="1"/>
          <w:numId w:val="30"/>
        </w:numPr>
        <w:rPr>
          <w:color w:val="auto"/>
        </w:rPr>
      </w:pPr>
      <w:r w:rsidRPr="00615D37">
        <w:rPr>
          <w:color w:val="auto"/>
        </w:rPr>
        <w:t>Pre</w:t>
      </w:r>
      <w:r w:rsidR="00E811F6" w:rsidRPr="00615D37">
        <w:rPr>
          <w:color w:val="auto"/>
        </w:rPr>
        <w:t>-</w:t>
      </w:r>
      <w:r w:rsidRPr="00615D37">
        <w:rPr>
          <w:color w:val="auto"/>
        </w:rPr>
        <w:t>warm serum-f</w:t>
      </w:r>
      <w:r w:rsidR="00485F07" w:rsidRPr="00615D37">
        <w:rPr>
          <w:color w:val="auto"/>
        </w:rPr>
        <w:t xml:space="preserve">ree medium, </w:t>
      </w:r>
      <w:r w:rsidR="009E1E51">
        <w:rPr>
          <w:color w:val="auto"/>
        </w:rPr>
        <w:t>in this study:</w:t>
      </w:r>
      <w:r w:rsidR="00485F07" w:rsidRPr="00615D37">
        <w:rPr>
          <w:color w:val="auto"/>
        </w:rPr>
        <w:t xml:space="preserve"> Leibovitz’s L</w:t>
      </w:r>
      <w:r w:rsidRPr="00615D37">
        <w:rPr>
          <w:color w:val="auto"/>
        </w:rPr>
        <w:t>15 medium</w:t>
      </w:r>
      <w:r w:rsidR="009D4249" w:rsidRPr="00615D37">
        <w:rPr>
          <w:color w:val="auto"/>
        </w:rPr>
        <w:t>.</w:t>
      </w:r>
    </w:p>
    <w:p w14:paraId="47530995" w14:textId="77777777" w:rsidR="002538E8" w:rsidRPr="00056460" w:rsidRDefault="002538E8" w:rsidP="00056460">
      <w:pPr>
        <w:rPr>
          <w:color w:val="auto"/>
        </w:rPr>
      </w:pPr>
    </w:p>
    <w:p w14:paraId="6BA51315" w14:textId="5FC99224" w:rsidR="000762C8" w:rsidRPr="00615D37" w:rsidRDefault="000762C8" w:rsidP="00615D37">
      <w:pPr>
        <w:pStyle w:val="af3"/>
        <w:numPr>
          <w:ilvl w:val="1"/>
          <w:numId w:val="30"/>
        </w:numPr>
        <w:rPr>
          <w:color w:val="auto"/>
        </w:rPr>
      </w:pPr>
      <w:r w:rsidRPr="00615D37">
        <w:rPr>
          <w:color w:val="auto"/>
          <w:highlight w:val="yellow"/>
        </w:rPr>
        <w:t>Remove cell culture medium from cells grown on electrode arrays and replace by pre</w:t>
      </w:r>
      <w:r w:rsidR="002D5400" w:rsidRPr="00615D37">
        <w:rPr>
          <w:color w:val="auto"/>
          <w:highlight w:val="yellow"/>
        </w:rPr>
        <w:t>-</w:t>
      </w:r>
      <w:r w:rsidRPr="00615D37">
        <w:rPr>
          <w:color w:val="auto"/>
          <w:highlight w:val="yellow"/>
        </w:rPr>
        <w:t>warmed serum-free medium</w:t>
      </w:r>
      <w:r w:rsidR="00232290" w:rsidRPr="00615D37">
        <w:rPr>
          <w:color w:val="auto"/>
          <w:highlight w:val="yellow"/>
        </w:rPr>
        <w:t>. Use 200 µL for 8-well format electrode arrays, and 150 µL for 96-well electrode arrays.</w:t>
      </w:r>
    </w:p>
    <w:p w14:paraId="642F773D" w14:textId="77777777" w:rsidR="002538E8" w:rsidRPr="00056460" w:rsidRDefault="002538E8" w:rsidP="00056460">
      <w:pPr>
        <w:rPr>
          <w:color w:val="auto"/>
        </w:rPr>
      </w:pPr>
    </w:p>
    <w:p w14:paraId="1211FF83" w14:textId="3AF4E25D" w:rsidR="00211049" w:rsidRPr="00615D37" w:rsidRDefault="000762C8" w:rsidP="00615D37">
      <w:pPr>
        <w:pStyle w:val="af3"/>
        <w:numPr>
          <w:ilvl w:val="1"/>
          <w:numId w:val="30"/>
        </w:numPr>
        <w:rPr>
          <w:color w:val="auto"/>
        </w:rPr>
      </w:pPr>
      <w:r w:rsidRPr="00615D37">
        <w:rPr>
          <w:color w:val="auto"/>
        </w:rPr>
        <w:t xml:space="preserve">Let </w:t>
      </w:r>
      <w:r w:rsidR="00613440">
        <w:rPr>
          <w:color w:val="auto"/>
        </w:rPr>
        <w:t xml:space="preserve">the </w:t>
      </w:r>
      <w:r w:rsidRPr="00615D37">
        <w:rPr>
          <w:color w:val="auto"/>
        </w:rPr>
        <w:t>cells equilibrate in serum-free medium at 37</w:t>
      </w:r>
      <w:r w:rsidR="003768E1" w:rsidRPr="00615D37">
        <w:rPr>
          <w:color w:val="auto"/>
        </w:rPr>
        <w:t> </w:t>
      </w:r>
      <w:r w:rsidRPr="00615D37">
        <w:rPr>
          <w:color w:val="auto"/>
        </w:rPr>
        <w:t>°C for at least 2</w:t>
      </w:r>
      <w:r w:rsidR="003768E1" w:rsidRPr="00615D37">
        <w:rPr>
          <w:color w:val="auto"/>
        </w:rPr>
        <w:t> </w:t>
      </w:r>
      <w:r w:rsidRPr="00615D37">
        <w:rPr>
          <w:color w:val="auto"/>
        </w:rPr>
        <w:t>h. The equilibration time strongly depends on the cell type. For example, U-373 MG cells need 2</w:t>
      </w:r>
      <w:r w:rsidR="003768E1" w:rsidRPr="00615D37">
        <w:rPr>
          <w:color w:val="auto"/>
        </w:rPr>
        <w:t> </w:t>
      </w:r>
      <w:r w:rsidRPr="00615D37">
        <w:rPr>
          <w:color w:val="auto"/>
        </w:rPr>
        <w:t xml:space="preserve">h, CHO cells need </w:t>
      </w:r>
      <w:r w:rsidR="003768E1" w:rsidRPr="00615D37">
        <w:rPr>
          <w:color w:val="auto"/>
        </w:rPr>
        <w:t>4 </w:t>
      </w:r>
      <w:r w:rsidRPr="00615D37">
        <w:rPr>
          <w:color w:val="auto"/>
        </w:rPr>
        <w:t>h</w:t>
      </w:r>
      <w:r w:rsidR="00C61A33" w:rsidRPr="00615D37">
        <w:rPr>
          <w:color w:val="auto"/>
        </w:rPr>
        <w:t xml:space="preserve">, BAEC </w:t>
      </w:r>
      <w:r w:rsidR="00A17C75" w:rsidRPr="00615D37">
        <w:rPr>
          <w:color w:val="auto"/>
        </w:rPr>
        <w:t xml:space="preserve">may </w:t>
      </w:r>
      <w:r w:rsidR="00232290" w:rsidRPr="00615D37">
        <w:rPr>
          <w:color w:val="auto"/>
        </w:rPr>
        <w:t xml:space="preserve">require </w:t>
      </w:r>
      <w:r w:rsidR="00C61A33" w:rsidRPr="00615D37">
        <w:rPr>
          <w:color w:val="auto"/>
        </w:rPr>
        <w:t>over</w:t>
      </w:r>
      <w:r w:rsidR="003768E1" w:rsidRPr="00615D37">
        <w:rPr>
          <w:color w:val="auto"/>
        </w:rPr>
        <w:t xml:space="preserve">night equilibration in L-15 medium. </w:t>
      </w:r>
    </w:p>
    <w:p w14:paraId="5912A51C" w14:textId="77777777" w:rsidR="00211049" w:rsidRPr="00056460" w:rsidRDefault="00211049" w:rsidP="00056460">
      <w:pPr>
        <w:rPr>
          <w:color w:val="auto"/>
        </w:rPr>
      </w:pPr>
    </w:p>
    <w:p w14:paraId="4CD8983D" w14:textId="3330D97A" w:rsidR="000762C8" w:rsidRPr="00056460" w:rsidRDefault="00211049" w:rsidP="00056460">
      <w:pPr>
        <w:rPr>
          <w:color w:val="auto"/>
        </w:rPr>
      </w:pPr>
      <w:r w:rsidRPr="00056460">
        <w:rPr>
          <w:color w:val="auto"/>
        </w:rPr>
        <w:t xml:space="preserve">NOTE: </w:t>
      </w:r>
      <w:r w:rsidR="000762C8" w:rsidRPr="00056460">
        <w:rPr>
          <w:color w:val="auto"/>
        </w:rPr>
        <w:t xml:space="preserve">L-15 medium </w:t>
      </w:r>
      <w:r w:rsidR="00380D39" w:rsidRPr="00056460">
        <w:rPr>
          <w:color w:val="auto"/>
        </w:rPr>
        <w:t>is CO</w:t>
      </w:r>
      <w:r w:rsidR="00380D39" w:rsidRPr="00056460">
        <w:rPr>
          <w:color w:val="auto"/>
          <w:vertAlign w:val="subscript"/>
        </w:rPr>
        <w:t>2</w:t>
      </w:r>
      <w:r w:rsidR="00380D39" w:rsidRPr="00056460">
        <w:rPr>
          <w:color w:val="auto"/>
        </w:rPr>
        <w:t xml:space="preserve"> independent and requires </w:t>
      </w:r>
      <w:r w:rsidR="000762C8" w:rsidRPr="00056460">
        <w:rPr>
          <w:color w:val="auto"/>
        </w:rPr>
        <w:t>a CO</w:t>
      </w:r>
      <w:r w:rsidR="000762C8" w:rsidRPr="00056460">
        <w:rPr>
          <w:color w:val="auto"/>
          <w:vertAlign w:val="subscript"/>
        </w:rPr>
        <w:t>2</w:t>
      </w:r>
      <w:r w:rsidR="000762C8" w:rsidRPr="00056460">
        <w:rPr>
          <w:color w:val="auto"/>
        </w:rPr>
        <w:t xml:space="preserve">-free atmosphere. For equilibration in L-15 set the incubator </w:t>
      </w:r>
      <w:r w:rsidR="00232290" w:rsidRPr="00056460">
        <w:rPr>
          <w:color w:val="auto"/>
        </w:rPr>
        <w:t>to</w:t>
      </w:r>
      <w:r w:rsidR="000762C8" w:rsidRPr="00056460">
        <w:rPr>
          <w:color w:val="auto"/>
        </w:rPr>
        <w:t xml:space="preserve"> 0</w:t>
      </w:r>
      <w:r w:rsidR="003768E1" w:rsidRPr="00056460">
        <w:rPr>
          <w:color w:val="auto"/>
        </w:rPr>
        <w:t> </w:t>
      </w:r>
      <w:r w:rsidR="000762C8" w:rsidRPr="00056460">
        <w:rPr>
          <w:color w:val="auto"/>
        </w:rPr>
        <w:t>% CO</w:t>
      </w:r>
      <w:r w:rsidR="000762C8" w:rsidRPr="00056460">
        <w:rPr>
          <w:color w:val="auto"/>
          <w:vertAlign w:val="subscript"/>
        </w:rPr>
        <w:t>2</w:t>
      </w:r>
      <w:r w:rsidR="000762C8" w:rsidRPr="00056460">
        <w:rPr>
          <w:color w:val="auto"/>
        </w:rPr>
        <w:t>. Equilibration can be monitored by impedance readings</w:t>
      </w:r>
      <w:r w:rsidR="00232290" w:rsidRPr="00056460">
        <w:rPr>
          <w:color w:val="auto"/>
        </w:rPr>
        <w:t>, which we recommend to do for the first experiment</w:t>
      </w:r>
      <w:r w:rsidR="00A17C75" w:rsidRPr="00056460">
        <w:rPr>
          <w:color w:val="auto"/>
        </w:rPr>
        <w:t>s</w:t>
      </w:r>
      <w:r w:rsidR="00232290" w:rsidRPr="00056460">
        <w:rPr>
          <w:color w:val="auto"/>
        </w:rPr>
        <w:t>.</w:t>
      </w:r>
    </w:p>
    <w:p w14:paraId="02581A8C" w14:textId="77777777" w:rsidR="000762C8" w:rsidRPr="00056460" w:rsidRDefault="000762C8" w:rsidP="00056460">
      <w:pPr>
        <w:rPr>
          <w:color w:val="auto"/>
        </w:rPr>
      </w:pPr>
    </w:p>
    <w:p w14:paraId="4F0642EB" w14:textId="015958F5" w:rsidR="00C61A33" w:rsidRPr="00615D37" w:rsidRDefault="00C61A33" w:rsidP="00615D37">
      <w:pPr>
        <w:pStyle w:val="af3"/>
        <w:numPr>
          <w:ilvl w:val="0"/>
          <w:numId w:val="30"/>
        </w:numPr>
        <w:rPr>
          <w:b/>
          <w:color w:val="auto"/>
          <w:highlight w:val="yellow"/>
        </w:rPr>
      </w:pPr>
      <w:r w:rsidRPr="00615D37">
        <w:rPr>
          <w:b/>
          <w:color w:val="auto"/>
          <w:highlight w:val="yellow"/>
        </w:rPr>
        <w:t>Monitoring cell equilibration with impedance readings</w:t>
      </w:r>
    </w:p>
    <w:p w14:paraId="497C2F01" w14:textId="77777777" w:rsidR="00865196" w:rsidRPr="00056460" w:rsidRDefault="00865196" w:rsidP="00056460">
      <w:pPr>
        <w:rPr>
          <w:b/>
          <w:color w:val="auto"/>
          <w:highlight w:val="yellow"/>
        </w:rPr>
      </w:pPr>
    </w:p>
    <w:p w14:paraId="5AF892F0" w14:textId="3BAF25D0" w:rsidR="00843FC7" w:rsidRPr="00615D37" w:rsidRDefault="00843FC7" w:rsidP="00615D37">
      <w:pPr>
        <w:pStyle w:val="af3"/>
        <w:numPr>
          <w:ilvl w:val="1"/>
          <w:numId w:val="30"/>
        </w:numPr>
        <w:rPr>
          <w:color w:val="auto"/>
          <w:highlight w:val="yellow"/>
        </w:rPr>
      </w:pPr>
      <w:r w:rsidRPr="00615D37">
        <w:rPr>
          <w:color w:val="auto"/>
          <w:highlight w:val="yellow"/>
        </w:rPr>
        <w:t xml:space="preserve">Place the electrode array into the </w:t>
      </w:r>
      <w:r w:rsidR="00A17C75" w:rsidRPr="00615D37">
        <w:rPr>
          <w:color w:val="auto"/>
          <w:highlight w:val="yellow"/>
        </w:rPr>
        <w:t xml:space="preserve">connecting </w:t>
      </w:r>
      <w:r w:rsidRPr="00615D37">
        <w:rPr>
          <w:color w:val="auto"/>
          <w:highlight w:val="yellow"/>
        </w:rPr>
        <w:t xml:space="preserve">array holder of the </w:t>
      </w:r>
      <w:r w:rsidR="00962386" w:rsidRPr="00615D37">
        <w:rPr>
          <w:color w:val="auto"/>
          <w:highlight w:val="yellow"/>
        </w:rPr>
        <w:t xml:space="preserve">impedance </w:t>
      </w:r>
      <w:r w:rsidR="00A17C75" w:rsidRPr="00615D37">
        <w:rPr>
          <w:color w:val="auto"/>
          <w:highlight w:val="yellow"/>
        </w:rPr>
        <w:t>analyzer</w:t>
      </w:r>
      <w:r w:rsidR="00380D39" w:rsidRPr="00615D37">
        <w:rPr>
          <w:color w:val="auto"/>
          <w:highlight w:val="yellow"/>
        </w:rPr>
        <w:t>.</w:t>
      </w:r>
      <w:r w:rsidRPr="00615D37">
        <w:rPr>
          <w:color w:val="auto"/>
          <w:highlight w:val="yellow"/>
        </w:rPr>
        <w:t xml:space="preserve"> </w:t>
      </w:r>
    </w:p>
    <w:p w14:paraId="7AEC39B3" w14:textId="77777777" w:rsidR="002538E8" w:rsidRPr="00056460" w:rsidRDefault="002538E8" w:rsidP="00056460">
      <w:pPr>
        <w:rPr>
          <w:color w:val="auto"/>
          <w:highlight w:val="yellow"/>
        </w:rPr>
      </w:pPr>
    </w:p>
    <w:p w14:paraId="12DB4293" w14:textId="49B29BE5" w:rsidR="00FB1736" w:rsidRPr="00615D37" w:rsidRDefault="00A17C75" w:rsidP="00615D37">
      <w:pPr>
        <w:pStyle w:val="af3"/>
        <w:numPr>
          <w:ilvl w:val="1"/>
          <w:numId w:val="30"/>
        </w:numPr>
        <w:rPr>
          <w:color w:val="auto"/>
          <w:highlight w:val="yellow"/>
        </w:rPr>
      </w:pPr>
      <w:r w:rsidRPr="00615D37">
        <w:rPr>
          <w:color w:val="auto"/>
          <w:highlight w:val="yellow"/>
        </w:rPr>
        <w:t xml:space="preserve">Ensure proper low impedance contact between electrodes and impedance analyzer. This </w:t>
      </w:r>
      <w:r w:rsidR="00E11EDE" w:rsidRPr="00615D37">
        <w:rPr>
          <w:color w:val="auto"/>
          <w:highlight w:val="yellow"/>
        </w:rPr>
        <w:t xml:space="preserve">check </w:t>
      </w:r>
      <w:r w:rsidRPr="00615D37">
        <w:rPr>
          <w:color w:val="auto"/>
          <w:highlight w:val="yellow"/>
        </w:rPr>
        <w:t xml:space="preserve">is individually different for different </w:t>
      </w:r>
      <w:r w:rsidR="00E11EDE" w:rsidRPr="00615D37">
        <w:rPr>
          <w:color w:val="auto"/>
          <w:highlight w:val="yellow"/>
        </w:rPr>
        <w:t>instruments.</w:t>
      </w:r>
    </w:p>
    <w:p w14:paraId="525CD942" w14:textId="77777777" w:rsidR="00FB1736" w:rsidRPr="00056460" w:rsidRDefault="00FB1736" w:rsidP="00056460">
      <w:pPr>
        <w:rPr>
          <w:color w:val="auto"/>
          <w:highlight w:val="yellow"/>
        </w:rPr>
      </w:pPr>
    </w:p>
    <w:p w14:paraId="489A10BC" w14:textId="7CA45AA6" w:rsidR="00C61A33" w:rsidRPr="00056460" w:rsidRDefault="00FB1736" w:rsidP="00056460">
      <w:pPr>
        <w:rPr>
          <w:color w:val="auto"/>
        </w:rPr>
      </w:pPr>
      <w:r w:rsidRPr="00056460">
        <w:rPr>
          <w:color w:val="auto"/>
        </w:rPr>
        <w:t xml:space="preserve">NOTE: </w:t>
      </w:r>
      <w:r w:rsidR="00244416" w:rsidRPr="00056460">
        <w:rPr>
          <w:color w:val="auto"/>
        </w:rPr>
        <w:t xml:space="preserve">If the instrument fails to make connection to </w:t>
      </w:r>
      <w:r w:rsidR="00FE6D01" w:rsidRPr="00056460">
        <w:rPr>
          <w:color w:val="auto"/>
        </w:rPr>
        <w:t xml:space="preserve">the </w:t>
      </w:r>
      <w:r w:rsidR="00244416" w:rsidRPr="00056460">
        <w:rPr>
          <w:color w:val="auto"/>
        </w:rPr>
        <w:t>electrodes</w:t>
      </w:r>
      <w:r w:rsidR="001D201A" w:rsidRPr="00056460">
        <w:rPr>
          <w:color w:val="auto"/>
        </w:rPr>
        <w:t>,</w:t>
      </w:r>
      <w:r w:rsidR="00244416" w:rsidRPr="00056460">
        <w:rPr>
          <w:color w:val="auto"/>
        </w:rPr>
        <w:t xml:space="preserve"> </w:t>
      </w:r>
      <w:r w:rsidR="00380D39" w:rsidRPr="00056460">
        <w:rPr>
          <w:color w:val="auto"/>
        </w:rPr>
        <w:t>open the contact clamp</w:t>
      </w:r>
      <w:r w:rsidR="00B11810" w:rsidRPr="00056460">
        <w:rPr>
          <w:color w:val="auto"/>
        </w:rPr>
        <w:t xml:space="preserve"> </w:t>
      </w:r>
      <w:r w:rsidR="00380D39" w:rsidRPr="00056460">
        <w:rPr>
          <w:color w:val="auto"/>
        </w:rPr>
        <w:t xml:space="preserve">again, </w:t>
      </w:r>
      <w:r w:rsidR="00B11810" w:rsidRPr="00056460">
        <w:rPr>
          <w:color w:val="auto"/>
        </w:rPr>
        <w:t xml:space="preserve">readjust the electrode array for </w:t>
      </w:r>
      <w:r w:rsidR="00380D39" w:rsidRPr="00056460">
        <w:rPr>
          <w:color w:val="auto"/>
        </w:rPr>
        <w:t xml:space="preserve">proper positioning </w:t>
      </w:r>
      <w:r w:rsidR="001D201A" w:rsidRPr="00056460">
        <w:rPr>
          <w:color w:val="auto"/>
        </w:rPr>
        <w:t xml:space="preserve">inside </w:t>
      </w:r>
      <w:r w:rsidR="00380D39" w:rsidRPr="00056460">
        <w:rPr>
          <w:color w:val="auto"/>
        </w:rPr>
        <w:t xml:space="preserve">the holder </w:t>
      </w:r>
      <w:r w:rsidRPr="00056460">
        <w:rPr>
          <w:color w:val="auto"/>
        </w:rPr>
        <w:t xml:space="preserve">and </w:t>
      </w:r>
      <w:r w:rsidR="00E11EDE" w:rsidRPr="00056460">
        <w:rPr>
          <w:color w:val="auto"/>
        </w:rPr>
        <w:t>retry.</w:t>
      </w:r>
    </w:p>
    <w:p w14:paraId="77DA681B" w14:textId="77777777" w:rsidR="002538E8" w:rsidRPr="00056460" w:rsidRDefault="002538E8" w:rsidP="00056460">
      <w:pPr>
        <w:rPr>
          <w:color w:val="auto"/>
          <w:highlight w:val="yellow"/>
        </w:rPr>
      </w:pPr>
    </w:p>
    <w:p w14:paraId="001F8804" w14:textId="21745EBB" w:rsidR="00C61A33" w:rsidRPr="00615D37" w:rsidRDefault="00843FC7" w:rsidP="00615D37">
      <w:pPr>
        <w:pStyle w:val="af3"/>
        <w:numPr>
          <w:ilvl w:val="1"/>
          <w:numId w:val="30"/>
        </w:numPr>
        <w:rPr>
          <w:color w:val="auto"/>
          <w:highlight w:val="yellow"/>
        </w:rPr>
      </w:pPr>
      <w:r w:rsidRPr="00615D37">
        <w:rPr>
          <w:color w:val="auto"/>
          <w:highlight w:val="yellow"/>
        </w:rPr>
        <w:t>Select electrode type</w:t>
      </w:r>
      <w:r w:rsidR="00E11EDE" w:rsidRPr="00615D37">
        <w:rPr>
          <w:color w:val="auto"/>
          <w:highlight w:val="yellow"/>
        </w:rPr>
        <w:t xml:space="preserve"> and/or multi-well format from the user interface of the software.</w:t>
      </w:r>
    </w:p>
    <w:p w14:paraId="1FDB2885" w14:textId="77777777" w:rsidR="00232290" w:rsidRPr="00056460" w:rsidRDefault="00232290" w:rsidP="00056460">
      <w:pPr>
        <w:rPr>
          <w:color w:val="auto"/>
          <w:highlight w:val="yellow"/>
        </w:rPr>
      </w:pPr>
    </w:p>
    <w:p w14:paraId="12777278" w14:textId="6B24416C" w:rsidR="00FB1736" w:rsidRPr="00615D37" w:rsidRDefault="00FE6D01" w:rsidP="00615D37">
      <w:pPr>
        <w:pStyle w:val="af3"/>
        <w:numPr>
          <w:ilvl w:val="1"/>
          <w:numId w:val="30"/>
        </w:numPr>
        <w:rPr>
          <w:color w:val="auto"/>
          <w:highlight w:val="yellow"/>
        </w:rPr>
      </w:pPr>
      <w:r w:rsidRPr="00615D37">
        <w:rPr>
          <w:color w:val="auto"/>
          <w:highlight w:val="yellow"/>
        </w:rPr>
        <w:t>Set up the measurement parameters</w:t>
      </w:r>
      <w:r w:rsidR="00232290" w:rsidRPr="00615D37">
        <w:rPr>
          <w:color w:val="auto"/>
          <w:highlight w:val="yellow"/>
        </w:rPr>
        <w:t xml:space="preserve">. </w:t>
      </w:r>
      <w:r w:rsidR="00FB1736" w:rsidRPr="00615D37">
        <w:rPr>
          <w:color w:val="auto"/>
          <w:highlight w:val="yellow"/>
        </w:rPr>
        <w:t>Different options are available.</w:t>
      </w:r>
    </w:p>
    <w:p w14:paraId="05B0BC72" w14:textId="77777777" w:rsidR="00341CA2" w:rsidRPr="00056460" w:rsidRDefault="00341CA2" w:rsidP="00056460">
      <w:pPr>
        <w:rPr>
          <w:color w:val="auto"/>
          <w:highlight w:val="yellow"/>
        </w:rPr>
      </w:pPr>
    </w:p>
    <w:p w14:paraId="49F96762" w14:textId="07909284" w:rsidR="00341CA2" w:rsidRPr="00056460" w:rsidRDefault="00341CA2" w:rsidP="00056460">
      <w:pPr>
        <w:rPr>
          <w:color w:val="auto"/>
          <w:highlight w:val="yellow"/>
        </w:rPr>
      </w:pPr>
      <w:r w:rsidRPr="00056460">
        <w:rPr>
          <w:color w:val="auto"/>
        </w:rPr>
        <w:t>N</w:t>
      </w:r>
      <w:r w:rsidR="001E4B29" w:rsidRPr="00056460">
        <w:rPr>
          <w:color w:val="auto"/>
        </w:rPr>
        <w:t>OTE</w:t>
      </w:r>
      <w:r w:rsidRPr="00056460">
        <w:rPr>
          <w:color w:val="auto"/>
        </w:rPr>
        <w:t xml:space="preserve">: </w:t>
      </w:r>
      <w:r w:rsidR="008230C3">
        <w:rPr>
          <w:color w:val="auto"/>
        </w:rPr>
        <w:t>T</w:t>
      </w:r>
      <w:r w:rsidRPr="00056460">
        <w:rPr>
          <w:color w:val="auto"/>
        </w:rPr>
        <w:t xml:space="preserve">o select </w:t>
      </w:r>
      <w:r w:rsidR="008230C3">
        <w:rPr>
          <w:color w:val="auto"/>
        </w:rPr>
        <w:t xml:space="preserve">the most sensitive </w:t>
      </w:r>
      <w:r w:rsidRPr="00056460">
        <w:rPr>
          <w:color w:val="auto"/>
        </w:rPr>
        <w:t>AC frequency, we refer to</w:t>
      </w:r>
      <w:r w:rsidR="008230C3">
        <w:rPr>
          <w:color w:val="auto"/>
        </w:rPr>
        <w:t xml:space="preserve"> the</w:t>
      </w:r>
      <w:r w:rsidRPr="00056460">
        <w:rPr>
          <w:color w:val="auto"/>
        </w:rPr>
        <w:t xml:space="preserve"> literature and instrument manuals</w:t>
      </w:r>
      <w:r w:rsidR="008230C3">
        <w:rPr>
          <w:color w:val="auto"/>
        </w:rPr>
        <w:t xml:space="preserve"> as it </w:t>
      </w:r>
      <w:r w:rsidR="008230C3" w:rsidRPr="00056460">
        <w:rPr>
          <w:color w:val="auto"/>
        </w:rPr>
        <w:t xml:space="preserve">depends on electrode layout and cell type under </w:t>
      </w:r>
      <w:r w:rsidR="008230C3">
        <w:rPr>
          <w:color w:val="auto"/>
        </w:rPr>
        <w:t>study</w:t>
      </w:r>
      <w:r w:rsidR="008230C3" w:rsidRPr="00056460">
        <w:rPr>
          <w:color w:val="auto"/>
        </w:rPr>
        <w:t>.</w:t>
      </w:r>
      <w:r w:rsidR="008230C3">
        <w:rPr>
          <w:color w:val="auto"/>
        </w:rPr>
        <w:t xml:space="preserve"> </w:t>
      </w:r>
      <w:r w:rsidRPr="00056460">
        <w:rPr>
          <w:color w:val="auto"/>
        </w:rPr>
        <w:t>Typical</w:t>
      </w:r>
      <w:r w:rsidR="008230C3">
        <w:rPr>
          <w:color w:val="auto"/>
        </w:rPr>
        <w:t>ly,</w:t>
      </w:r>
      <w:r w:rsidRPr="00056460">
        <w:rPr>
          <w:color w:val="auto"/>
        </w:rPr>
        <w:t xml:space="preserve"> </w:t>
      </w:r>
      <w:r w:rsidR="008230C3">
        <w:rPr>
          <w:color w:val="auto"/>
        </w:rPr>
        <w:t xml:space="preserve">the sensing </w:t>
      </w:r>
      <w:r w:rsidRPr="00056460">
        <w:rPr>
          <w:color w:val="auto"/>
        </w:rPr>
        <w:t>frequenc</w:t>
      </w:r>
      <w:r w:rsidR="008230C3">
        <w:rPr>
          <w:color w:val="auto"/>
        </w:rPr>
        <w:t>y</w:t>
      </w:r>
      <w:r w:rsidRPr="00056460">
        <w:rPr>
          <w:color w:val="auto"/>
        </w:rPr>
        <w:t xml:space="preserve"> </w:t>
      </w:r>
      <w:r w:rsidR="008230C3">
        <w:rPr>
          <w:color w:val="auto"/>
        </w:rPr>
        <w:t xml:space="preserve">is </w:t>
      </w:r>
      <w:r w:rsidRPr="00056460">
        <w:rPr>
          <w:color w:val="auto"/>
        </w:rPr>
        <w:t xml:space="preserve">in the range </w:t>
      </w:r>
      <w:r w:rsidR="001B6628">
        <w:rPr>
          <w:color w:val="auto"/>
        </w:rPr>
        <w:t>of</w:t>
      </w:r>
      <w:r w:rsidR="00E11EDE" w:rsidRPr="00056460">
        <w:rPr>
          <w:color w:val="auto"/>
        </w:rPr>
        <w:t xml:space="preserve"> 4 kHz – 5</w:t>
      </w:r>
      <w:r w:rsidRPr="00056460">
        <w:rPr>
          <w:color w:val="auto"/>
        </w:rPr>
        <w:t>0 kHz</w:t>
      </w:r>
      <w:r w:rsidR="008230C3">
        <w:rPr>
          <w:color w:val="auto"/>
        </w:rPr>
        <w:t>.</w:t>
      </w:r>
      <w:r w:rsidRPr="00056460">
        <w:rPr>
          <w:color w:val="auto"/>
        </w:rPr>
        <w:t xml:space="preserve"> </w:t>
      </w:r>
      <w:r w:rsidR="00033675">
        <w:rPr>
          <w:color w:val="auto"/>
        </w:rPr>
        <w:t>Here</w:t>
      </w:r>
      <w:r w:rsidR="00E11EDE" w:rsidRPr="00056460">
        <w:rPr>
          <w:color w:val="auto"/>
        </w:rPr>
        <w:t xml:space="preserve">, </w:t>
      </w:r>
      <w:r w:rsidRPr="00056460">
        <w:rPr>
          <w:color w:val="auto"/>
        </w:rPr>
        <w:t xml:space="preserve">U-373 MG cells </w:t>
      </w:r>
      <w:r w:rsidR="00033675">
        <w:rPr>
          <w:color w:val="auto"/>
        </w:rPr>
        <w:t xml:space="preserve">were </w:t>
      </w:r>
      <w:r w:rsidRPr="00056460">
        <w:rPr>
          <w:color w:val="auto"/>
        </w:rPr>
        <w:t xml:space="preserve">grown on </w:t>
      </w:r>
      <w:r w:rsidR="00033675">
        <w:rPr>
          <w:color w:val="auto"/>
        </w:rPr>
        <w:t xml:space="preserve">circular working </w:t>
      </w:r>
      <w:r w:rsidRPr="00056460">
        <w:rPr>
          <w:color w:val="auto"/>
        </w:rPr>
        <w:t xml:space="preserve">electrodes </w:t>
      </w:r>
      <w:r w:rsidR="00E11EDE" w:rsidRPr="00056460">
        <w:rPr>
          <w:color w:val="auto"/>
        </w:rPr>
        <w:t>of 250 µm diameter</w:t>
      </w:r>
      <w:r w:rsidR="00033675">
        <w:rPr>
          <w:color w:val="auto"/>
        </w:rPr>
        <w:t xml:space="preserve"> and they were monitored at</w:t>
      </w:r>
      <w:r w:rsidR="00E11EDE" w:rsidRPr="00056460">
        <w:rPr>
          <w:color w:val="auto"/>
        </w:rPr>
        <w:t xml:space="preserve"> </w:t>
      </w:r>
      <w:r w:rsidRPr="00056460">
        <w:rPr>
          <w:color w:val="auto"/>
        </w:rPr>
        <w:t>an AC frequency of 12 kHz.</w:t>
      </w:r>
    </w:p>
    <w:p w14:paraId="55328FFB" w14:textId="77777777" w:rsidR="00FB1736" w:rsidRPr="00056460" w:rsidRDefault="00FB1736" w:rsidP="00056460">
      <w:pPr>
        <w:rPr>
          <w:color w:val="auto"/>
          <w:highlight w:val="yellow"/>
        </w:rPr>
      </w:pPr>
    </w:p>
    <w:p w14:paraId="6F86FFC8" w14:textId="344FCAD8" w:rsidR="0000259F" w:rsidRPr="00615D37" w:rsidRDefault="00E11EDE" w:rsidP="00615D37">
      <w:pPr>
        <w:pStyle w:val="af3"/>
        <w:numPr>
          <w:ilvl w:val="2"/>
          <w:numId w:val="30"/>
        </w:numPr>
        <w:rPr>
          <w:color w:val="auto"/>
          <w:highlight w:val="yellow"/>
        </w:rPr>
      </w:pPr>
      <w:r w:rsidRPr="00615D37">
        <w:rPr>
          <w:color w:val="auto"/>
          <w:highlight w:val="yellow"/>
        </w:rPr>
        <w:t xml:space="preserve">If single and multiple frequency data acquisition modes are available, select the </w:t>
      </w:r>
      <w:r w:rsidR="0000259F" w:rsidRPr="00615D37">
        <w:rPr>
          <w:color w:val="auto"/>
          <w:highlight w:val="yellow"/>
        </w:rPr>
        <w:t xml:space="preserve">single frequency </w:t>
      </w:r>
      <w:r w:rsidR="00FB1736" w:rsidRPr="00615D37">
        <w:rPr>
          <w:color w:val="auto"/>
          <w:highlight w:val="yellow"/>
        </w:rPr>
        <w:t xml:space="preserve">mode </w:t>
      </w:r>
      <w:r w:rsidRPr="00615D37">
        <w:rPr>
          <w:color w:val="auto"/>
          <w:highlight w:val="yellow"/>
        </w:rPr>
        <w:t>to ensure maximum time resolution</w:t>
      </w:r>
      <w:r w:rsidR="0000259F" w:rsidRPr="00615D37">
        <w:rPr>
          <w:color w:val="auto"/>
          <w:highlight w:val="yellow"/>
        </w:rPr>
        <w:t xml:space="preserve">. The measurement will be performed at this single frequency. </w:t>
      </w:r>
      <w:r w:rsidR="00304902" w:rsidRPr="00615D37">
        <w:rPr>
          <w:color w:val="auto"/>
          <w:highlight w:val="yellow"/>
        </w:rPr>
        <w:t xml:space="preserve">For the most widely spread instruments, there is </w:t>
      </w:r>
      <w:r w:rsidR="00FE6D01" w:rsidRPr="00615D37">
        <w:rPr>
          <w:color w:val="auto"/>
          <w:highlight w:val="yellow"/>
        </w:rPr>
        <w:t xml:space="preserve">a </w:t>
      </w:r>
      <w:r w:rsidR="00304902" w:rsidRPr="00615D37">
        <w:rPr>
          <w:color w:val="auto"/>
          <w:highlight w:val="yellow"/>
        </w:rPr>
        <w:t xml:space="preserve">number of pre-set </w:t>
      </w:r>
      <w:r w:rsidR="00FE6D01" w:rsidRPr="00615D37">
        <w:rPr>
          <w:color w:val="auto"/>
          <w:highlight w:val="yellow"/>
        </w:rPr>
        <w:t>frequencies along the available frequency window.</w:t>
      </w:r>
    </w:p>
    <w:p w14:paraId="3540C84D" w14:textId="77777777" w:rsidR="0000259F" w:rsidRPr="00056460" w:rsidRDefault="0000259F" w:rsidP="00056460">
      <w:pPr>
        <w:rPr>
          <w:color w:val="auto"/>
          <w:highlight w:val="yellow"/>
        </w:rPr>
      </w:pPr>
    </w:p>
    <w:p w14:paraId="39C0BDAD" w14:textId="64B3C9E2" w:rsidR="002A0172" w:rsidRPr="00615D37" w:rsidRDefault="00304902" w:rsidP="00615D37">
      <w:pPr>
        <w:pStyle w:val="af3"/>
        <w:numPr>
          <w:ilvl w:val="2"/>
          <w:numId w:val="30"/>
        </w:numPr>
        <w:rPr>
          <w:color w:val="auto"/>
          <w:highlight w:val="yellow"/>
        </w:rPr>
      </w:pPr>
      <w:r w:rsidRPr="00615D37">
        <w:rPr>
          <w:color w:val="auto"/>
          <w:highlight w:val="yellow"/>
        </w:rPr>
        <w:t>If the number of wells under study is low or time resolution is not critical, s</w:t>
      </w:r>
      <w:r w:rsidR="0000259F" w:rsidRPr="00615D37">
        <w:rPr>
          <w:color w:val="auto"/>
          <w:highlight w:val="yellow"/>
        </w:rPr>
        <w:t xml:space="preserve">elect multiple frequency </w:t>
      </w:r>
      <w:r w:rsidRPr="00615D37">
        <w:rPr>
          <w:color w:val="auto"/>
          <w:highlight w:val="yellow"/>
        </w:rPr>
        <w:t>recordings instead. Impedance readings at a specified number of frequencies will be recorded for every well for later in-depth analysis.</w:t>
      </w:r>
    </w:p>
    <w:p w14:paraId="7FB61F5C" w14:textId="77777777" w:rsidR="002A0172" w:rsidRPr="00056460" w:rsidRDefault="002A0172" w:rsidP="00056460">
      <w:pPr>
        <w:rPr>
          <w:color w:val="auto"/>
        </w:rPr>
      </w:pPr>
    </w:p>
    <w:p w14:paraId="05165C5E" w14:textId="2F2ADAA7" w:rsidR="009E2348" w:rsidRPr="00056460" w:rsidRDefault="002A0172" w:rsidP="00056460">
      <w:pPr>
        <w:rPr>
          <w:color w:val="auto"/>
        </w:rPr>
      </w:pPr>
      <w:r w:rsidRPr="00056460">
        <w:rPr>
          <w:color w:val="auto"/>
        </w:rPr>
        <w:t>NOTE: T</w:t>
      </w:r>
      <w:r w:rsidR="00FE6D01" w:rsidRPr="00056460">
        <w:rPr>
          <w:color w:val="auto"/>
        </w:rPr>
        <w:t xml:space="preserve">he time resolution decreases with increasing number of frequencies </w:t>
      </w:r>
      <w:r w:rsidR="00033675">
        <w:rPr>
          <w:color w:val="auto"/>
        </w:rPr>
        <w:t xml:space="preserve">recorded </w:t>
      </w:r>
      <w:r w:rsidR="00FE6D01" w:rsidRPr="00056460">
        <w:rPr>
          <w:color w:val="auto"/>
        </w:rPr>
        <w:t>per well and increasing number of wells.</w:t>
      </w:r>
      <w:r w:rsidR="00304902" w:rsidRPr="00056460">
        <w:rPr>
          <w:color w:val="auto"/>
        </w:rPr>
        <w:t xml:space="preserve"> </w:t>
      </w:r>
      <w:r w:rsidR="009E2348" w:rsidRPr="00056460">
        <w:rPr>
          <w:color w:val="auto"/>
        </w:rPr>
        <w:t xml:space="preserve">The options for frequency </w:t>
      </w:r>
      <w:r w:rsidR="00304902" w:rsidRPr="00056460">
        <w:rPr>
          <w:color w:val="auto"/>
        </w:rPr>
        <w:t xml:space="preserve">and data acquisition mode </w:t>
      </w:r>
      <w:r w:rsidR="009E2348" w:rsidRPr="00056460">
        <w:rPr>
          <w:color w:val="auto"/>
        </w:rPr>
        <w:t>selection vary with instrument type and version.</w:t>
      </w:r>
    </w:p>
    <w:p w14:paraId="48B4D308" w14:textId="77777777" w:rsidR="00232290" w:rsidRPr="00056460" w:rsidRDefault="00232290" w:rsidP="00056460">
      <w:pPr>
        <w:rPr>
          <w:color w:val="auto"/>
          <w:highlight w:val="yellow"/>
        </w:rPr>
      </w:pPr>
    </w:p>
    <w:p w14:paraId="44D0F8E5" w14:textId="5D39257E" w:rsidR="00572837" w:rsidRPr="00615D37" w:rsidRDefault="00304902" w:rsidP="00615D37">
      <w:pPr>
        <w:pStyle w:val="af3"/>
        <w:numPr>
          <w:ilvl w:val="1"/>
          <w:numId w:val="30"/>
        </w:numPr>
        <w:rPr>
          <w:color w:val="auto"/>
        </w:rPr>
      </w:pPr>
      <w:r w:rsidRPr="00615D37">
        <w:rPr>
          <w:color w:val="auto"/>
          <w:highlight w:val="yellow"/>
        </w:rPr>
        <w:t xml:space="preserve">Start acquisition of time course data. </w:t>
      </w:r>
    </w:p>
    <w:p w14:paraId="5242C95E" w14:textId="77777777" w:rsidR="00572837" w:rsidRPr="00056460" w:rsidRDefault="00572837" w:rsidP="00056460">
      <w:pPr>
        <w:rPr>
          <w:color w:val="auto"/>
        </w:rPr>
      </w:pPr>
    </w:p>
    <w:p w14:paraId="34653586" w14:textId="424E4C00" w:rsidR="00572837" w:rsidRPr="00615D37" w:rsidRDefault="00572837" w:rsidP="00615D37">
      <w:pPr>
        <w:pStyle w:val="af3"/>
        <w:numPr>
          <w:ilvl w:val="1"/>
          <w:numId w:val="30"/>
        </w:numPr>
        <w:rPr>
          <w:color w:val="auto"/>
        </w:rPr>
      </w:pPr>
      <w:r w:rsidRPr="00615D37">
        <w:rPr>
          <w:color w:val="auto"/>
        </w:rPr>
        <w:t>Follow the cell layer impedance</w:t>
      </w:r>
      <w:r w:rsidR="003041F3" w:rsidRPr="00615D37">
        <w:rPr>
          <w:color w:val="auto"/>
        </w:rPr>
        <w:t xml:space="preserve"> (at least 2 h)</w:t>
      </w:r>
      <w:r w:rsidRPr="00615D37">
        <w:rPr>
          <w:color w:val="auto"/>
        </w:rPr>
        <w:t xml:space="preserve"> until the impedance </w:t>
      </w:r>
      <w:r w:rsidR="003041F3" w:rsidRPr="00615D37">
        <w:rPr>
          <w:color w:val="auto"/>
        </w:rPr>
        <w:t>has</w:t>
      </w:r>
      <w:r w:rsidRPr="00615D37">
        <w:rPr>
          <w:color w:val="auto"/>
        </w:rPr>
        <w:t xml:space="preserve"> stabilized. </w:t>
      </w:r>
      <w:r w:rsidR="003041F3" w:rsidRPr="00615D37">
        <w:rPr>
          <w:color w:val="auto"/>
        </w:rPr>
        <w:t>In the meantime</w:t>
      </w:r>
      <w:r w:rsidR="00613440">
        <w:rPr>
          <w:color w:val="auto"/>
        </w:rPr>
        <w:t>,</w:t>
      </w:r>
      <w:r w:rsidR="003041F3" w:rsidRPr="00615D37">
        <w:rPr>
          <w:color w:val="auto"/>
        </w:rPr>
        <w:t xml:space="preserve"> prepare the agonist solutions</w:t>
      </w:r>
      <w:r w:rsidR="005806F6" w:rsidRPr="00615D37">
        <w:rPr>
          <w:color w:val="auto"/>
        </w:rPr>
        <w:t>.</w:t>
      </w:r>
    </w:p>
    <w:p w14:paraId="13FDC8A5" w14:textId="77777777" w:rsidR="00572837" w:rsidRPr="00056460" w:rsidRDefault="00572837" w:rsidP="00056460">
      <w:pPr>
        <w:rPr>
          <w:color w:val="auto"/>
        </w:rPr>
      </w:pPr>
    </w:p>
    <w:p w14:paraId="0593B48C" w14:textId="64390A75" w:rsidR="003041F3" w:rsidRPr="00615D37" w:rsidRDefault="003041F3" w:rsidP="00615D37">
      <w:pPr>
        <w:pStyle w:val="af3"/>
        <w:numPr>
          <w:ilvl w:val="1"/>
          <w:numId w:val="30"/>
        </w:numPr>
        <w:rPr>
          <w:color w:val="auto"/>
        </w:rPr>
      </w:pPr>
      <w:r w:rsidRPr="00615D37">
        <w:rPr>
          <w:color w:val="auto"/>
        </w:rPr>
        <w:t>When the cell layers have reached a stable impedance level</w:t>
      </w:r>
      <w:r w:rsidR="009E1E51">
        <w:rPr>
          <w:color w:val="auto"/>
        </w:rPr>
        <w:t>,</w:t>
      </w:r>
      <w:r w:rsidRPr="00615D37">
        <w:rPr>
          <w:color w:val="auto"/>
        </w:rPr>
        <w:t xml:space="preserve"> either (</w:t>
      </w:r>
      <w:proofErr w:type="spellStart"/>
      <w:r w:rsidRPr="00615D37">
        <w:rPr>
          <w:color w:val="auto"/>
        </w:rPr>
        <w:t>i</w:t>
      </w:r>
      <w:proofErr w:type="spellEnd"/>
      <w:r w:rsidRPr="00615D37">
        <w:rPr>
          <w:color w:val="auto"/>
        </w:rPr>
        <w:t xml:space="preserve">) proceed to the serial agonist addition within the same experiment or (ii) </w:t>
      </w:r>
      <w:r w:rsidR="00304902" w:rsidRPr="00615D37">
        <w:rPr>
          <w:color w:val="auto"/>
        </w:rPr>
        <w:t xml:space="preserve">terminate data acquisition </w:t>
      </w:r>
      <w:r w:rsidR="000A3114" w:rsidRPr="00615D37">
        <w:rPr>
          <w:color w:val="auto"/>
        </w:rPr>
        <w:t>and start a new dataset for monitoring agonist-induced receptor act</w:t>
      </w:r>
      <w:r w:rsidR="00962386" w:rsidRPr="00615D37">
        <w:rPr>
          <w:color w:val="auto"/>
        </w:rPr>
        <w:t>i</w:t>
      </w:r>
      <w:r w:rsidR="000A3114" w:rsidRPr="00615D37">
        <w:rPr>
          <w:color w:val="auto"/>
        </w:rPr>
        <w:t>vation</w:t>
      </w:r>
      <w:r w:rsidRPr="00615D37">
        <w:rPr>
          <w:color w:val="auto"/>
        </w:rPr>
        <w:t>.</w:t>
      </w:r>
    </w:p>
    <w:p w14:paraId="07B3C85E" w14:textId="77777777" w:rsidR="00843FC7" w:rsidRPr="00056460" w:rsidRDefault="00843FC7" w:rsidP="00056460">
      <w:pPr>
        <w:rPr>
          <w:color w:val="auto"/>
        </w:rPr>
      </w:pPr>
    </w:p>
    <w:p w14:paraId="62C345EE" w14:textId="39F741D5" w:rsidR="000762C8" w:rsidRPr="00615D37" w:rsidRDefault="000762C8" w:rsidP="00615D37">
      <w:pPr>
        <w:pStyle w:val="af3"/>
        <w:numPr>
          <w:ilvl w:val="0"/>
          <w:numId w:val="30"/>
        </w:numPr>
        <w:rPr>
          <w:b/>
          <w:color w:val="auto"/>
        </w:rPr>
      </w:pPr>
      <w:r w:rsidRPr="00615D37">
        <w:rPr>
          <w:b/>
          <w:color w:val="auto"/>
        </w:rPr>
        <w:t>Preparation of agonist solutions</w:t>
      </w:r>
      <w:r w:rsidR="005605E6" w:rsidRPr="00615D37">
        <w:rPr>
          <w:b/>
          <w:color w:val="auto"/>
        </w:rPr>
        <w:t xml:space="preserve"> for experiment</w:t>
      </w:r>
      <w:r w:rsidR="000A3114" w:rsidRPr="00615D37">
        <w:rPr>
          <w:b/>
          <w:color w:val="auto"/>
        </w:rPr>
        <w:t>s</w:t>
      </w:r>
      <w:r w:rsidR="005605E6" w:rsidRPr="00615D37">
        <w:rPr>
          <w:b/>
          <w:color w:val="auto"/>
        </w:rPr>
        <w:t xml:space="preserve"> in agonist mode</w:t>
      </w:r>
    </w:p>
    <w:p w14:paraId="46043EAA" w14:textId="77777777" w:rsidR="001159AE" w:rsidRPr="00056460" w:rsidRDefault="001159AE" w:rsidP="00056460">
      <w:pPr>
        <w:rPr>
          <w:color w:val="auto"/>
        </w:rPr>
      </w:pPr>
    </w:p>
    <w:p w14:paraId="2B08F866" w14:textId="77777777" w:rsidR="007A3D6D" w:rsidRDefault="000A3114" w:rsidP="00615D37">
      <w:pPr>
        <w:pStyle w:val="af3"/>
        <w:numPr>
          <w:ilvl w:val="1"/>
          <w:numId w:val="30"/>
        </w:numPr>
        <w:rPr>
          <w:color w:val="auto"/>
        </w:rPr>
      </w:pPr>
      <w:r w:rsidRPr="00615D37">
        <w:rPr>
          <w:color w:val="auto"/>
        </w:rPr>
        <w:t>C</w:t>
      </w:r>
      <w:r w:rsidR="00A645DD" w:rsidRPr="00615D37">
        <w:rPr>
          <w:color w:val="auto"/>
        </w:rPr>
        <w:t>alculate the concentration of agonist solution</w:t>
      </w:r>
      <w:r w:rsidRPr="00615D37">
        <w:rPr>
          <w:color w:val="auto"/>
        </w:rPr>
        <w:t>s</w:t>
      </w:r>
      <w:r w:rsidR="00A645DD" w:rsidRPr="00615D37">
        <w:rPr>
          <w:color w:val="auto"/>
        </w:rPr>
        <w:t xml:space="preserve"> </w:t>
      </w:r>
      <w:r w:rsidRPr="00615D37">
        <w:rPr>
          <w:color w:val="auto"/>
        </w:rPr>
        <w:t xml:space="preserve">as </w:t>
      </w:r>
      <w:r w:rsidR="00A645DD" w:rsidRPr="00615D37">
        <w:rPr>
          <w:color w:val="auto"/>
        </w:rPr>
        <w:t>needed for each step of serial dosing according to</w:t>
      </w:r>
      <w:r w:rsidR="00C22267">
        <w:rPr>
          <w:color w:val="auto"/>
        </w:rPr>
        <w:t xml:space="preserve"> equation (1)</w:t>
      </w:r>
      <w:r w:rsidR="007A3D6D">
        <w:rPr>
          <w:color w:val="auto"/>
        </w:rPr>
        <w:t xml:space="preserve">. </w:t>
      </w:r>
      <w:r w:rsidR="007A3D6D" w:rsidRPr="00056460">
        <w:rPr>
          <w:color w:val="auto"/>
        </w:rPr>
        <w:t xml:space="preserve">n ranges from 1 to the total number of serial additions </w:t>
      </w:r>
      <w:proofErr w:type="spellStart"/>
      <w:r w:rsidR="007A3D6D" w:rsidRPr="00056460">
        <w:rPr>
          <w:color w:val="auto"/>
        </w:rPr>
        <w:t>i</w:t>
      </w:r>
      <w:proofErr w:type="spellEnd"/>
      <w:r w:rsidR="007A3D6D" w:rsidRPr="00056460">
        <w:rPr>
          <w:color w:val="auto"/>
        </w:rPr>
        <w:t>. x denotes concentration and volume in the well at step n</w:t>
      </w:r>
      <w:r w:rsidR="007A3D6D">
        <w:rPr>
          <w:color w:val="auto"/>
        </w:rPr>
        <w:t>.</w:t>
      </w:r>
      <w:r w:rsidR="007A3D6D" w:rsidRPr="00056460">
        <w:rPr>
          <w:color w:val="auto"/>
        </w:rPr>
        <w:t xml:space="preserve"> y denotes concentration and volume of the "solution-to-be-added" in step n.</w:t>
      </w:r>
    </w:p>
    <w:p w14:paraId="2FFA0EE4" w14:textId="7B530D2E" w:rsidR="005B4D64" w:rsidRPr="00615D37" w:rsidRDefault="005B4D64" w:rsidP="000F17FA">
      <w:pPr>
        <w:pStyle w:val="af3"/>
        <w:ind w:left="0"/>
        <w:rPr>
          <w:color w:val="auto"/>
        </w:rPr>
      </w:pPr>
    </w:p>
    <w:p w14:paraId="6A98D969" w14:textId="05EFA0C1" w:rsidR="00A645DD" w:rsidRPr="00056460" w:rsidRDefault="00FD2380" w:rsidP="000F17FA">
      <w:pPr>
        <w:jc w:val="right"/>
        <w:rPr>
          <w:color w:val="auto"/>
        </w:rPr>
      </w:pPr>
      <m:oMath>
        <m:sSub>
          <m:sSubPr>
            <m:ctrlPr>
              <w:rPr>
                <w:rFonts w:ascii="Cambria Math" w:hAnsi="Cambria Math"/>
                <w:i/>
                <w:color w:val="auto"/>
              </w:rPr>
            </m:ctrlPr>
          </m:sSubPr>
          <m:e>
            <m:r>
              <w:rPr>
                <w:rFonts w:ascii="Cambria Math" w:hAnsi="Cambria Math"/>
                <w:color w:val="auto"/>
              </w:rPr>
              <m:t>c</m:t>
            </m:r>
          </m:e>
          <m:sub>
            <m:r>
              <w:rPr>
                <w:rFonts w:ascii="Cambria Math" w:hAnsi="Cambria Math"/>
                <w:color w:val="auto"/>
              </w:rPr>
              <m:t>yn</m:t>
            </m:r>
          </m:sub>
        </m:sSub>
        <m:r>
          <w:rPr>
            <w:rFonts w:ascii="Cambria Math" w:hAnsi="Cambria Math"/>
            <w:color w:val="auto"/>
          </w:rPr>
          <m:t>=</m:t>
        </m:r>
        <m:f>
          <m:fPr>
            <m:ctrlPr>
              <w:rPr>
                <w:rFonts w:ascii="Cambria Math" w:hAnsi="Cambria Math"/>
                <w:i/>
                <w:color w:val="auto"/>
              </w:rPr>
            </m:ctrlPr>
          </m:fPr>
          <m:num>
            <m:d>
              <m:dPr>
                <m:ctrlPr>
                  <w:rPr>
                    <w:rFonts w:ascii="Cambria Math" w:hAnsi="Cambria Math"/>
                    <w:i/>
                    <w:color w:val="auto"/>
                  </w:rPr>
                </m:ctrlPr>
              </m:dPr>
              <m:e>
                <m:sSub>
                  <m:sSubPr>
                    <m:ctrlPr>
                      <w:rPr>
                        <w:rFonts w:ascii="Cambria Math" w:hAnsi="Cambria Math"/>
                        <w:i/>
                        <w:color w:val="auto"/>
                      </w:rPr>
                    </m:ctrlPr>
                  </m:sSubPr>
                  <m:e>
                    <m:r>
                      <w:rPr>
                        <w:rFonts w:ascii="Cambria Math" w:hAnsi="Cambria Math"/>
                        <w:color w:val="auto"/>
                      </w:rPr>
                      <m:t>c</m:t>
                    </m:r>
                  </m:e>
                  <m:sub>
                    <m:r>
                      <w:rPr>
                        <w:rFonts w:ascii="Cambria Math" w:hAnsi="Cambria Math"/>
                        <w:color w:val="auto"/>
                      </w:rPr>
                      <m:t>xn+yn</m:t>
                    </m:r>
                  </m:sub>
                </m:sSub>
                <m:r>
                  <w:rPr>
                    <w:rFonts w:ascii="Cambria Math" w:hAnsi="Cambria Math"/>
                    <w:color w:val="auto"/>
                  </w:rPr>
                  <m:t>×</m:t>
                </m:r>
                <m:sSub>
                  <m:sSubPr>
                    <m:ctrlPr>
                      <w:rPr>
                        <w:rFonts w:ascii="Cambria Math" w:hAnsi="Cambria Math"/>
                        <w:i/>
                        <w:color w:val="auto"/>
                      </w:rPr>
                    </m:ctrlPr>
                  </m:sSubPr>
                  <m:e>
                    <m:r>
                      <w:rPr>
                        <w:rFonts w:ascii="Cambria Math" w:hAnsi="Cambria Math"/>
                        <w:color w:val="auto"/>
                      </w:rPr>
                      <m:t>V</m:t>
                    </m:r>
                  </m:e>
                  <m:sub>
                    <m:r>
                      <w:rPr>
                        <w:rFonts w:ascii="Cambria Math" w:hAnsi="Cambria Math"/>
                        <w:color w:val="auto"/>
                      </w:rPr>
                      <m:t>xn+yn</m:t>
                    </m:r>
                  </m:sub>
                </m:sSub>
              </m:e>
            </m:d>
            <m:r>
              <w:rPr>
                <w:rFonts w:ascii="Cambria Math" w:hAnsi="Cambria Math"/>
                <w:color w:val="auto"/>
              </w:rPr>
              <m:t>-(</m:t>
            </m:r>
            <m:sSub>
              <m:sSubPr>
                <m:ctrlPr>
                  <w:rPr>
                    <w:rFonts w:ascii="Cambria Math" w:hAnsi="Cambria Math"/>
                    <w:i/>
                    <w:color w:val="auto"/>
                  </w:rPr>
                </m:ctrlPr>
              </m:sSubPr>
              <m:e>
                <m:r>
                  <w:rPr>
                    <w:rFonts w:ascii="Cambria Math" w:hAnsi="Cambria Math"/>
                    <w:color w:val="auto"/>
                  </w:rPr>
                  <m:t>c</m:t>
                </m:r>
              </m:e>
              <m:sub>
                <m:r>
                  <w:rPr>
                    <w:rFonts w:ascii="Cambria Math" w:hAnsi="Cambria Math"/>
                    <w:color w:val="auto"/>
                  </w:rPr>
                  <m:t>xn</m:t>
                </m:r>
              </m:sub>
            </m:sSub>
            <m:r>
              <w:rPr>
                <w:rFonts w:ascii="Cambria Math" w:hAnsi="Cambria Math"/>
                <w:color w:val="auto"/>
              </w:rPr>
              <m:t>×</m:t>
            </m:r>
            <m:sSub>
              <m:sSubPr>
                <m:ctrlPr>
                  <w:rPr>
                    <w:rFonts w:ascii="Cambria Math" w:hAnsi="Cambria Math"/>
                    <w:i/>
                    <w:color w:val="auto"/>
                  </w:rPr>
                </m:ctrlPr>
              </m:sSubPr>
              <m:e>
                <m:r>
                  <w:rPr>
                    <w:rFonts w:ascii="Cambria Math" w:hAnsi="Cambria Math"/>
                    <w:color w:val="auto"/>
                  </w:rPr>
                  <m:t>V</m:t>
                </m:r>
              </m:e>
              <m:sub>
                <m:r>
                  <w:rPr>
                    <w:rFonts w:ascii="Cambria Math" w:hAnsi="Cambria Math"/>
                    <w:color w:val="auto"/>
                  </w:rPr>
                  <m:t>xn</m:t>
                </m:r>
              </m:sub>
            </m:sSub>
            <m:r>
              <w:rPr>
                <w:rFonts w:ascii="Cambria Math" w:hAnsi="Cambria Math"/>
                <w:color w:val="auto"/>
              </w:rPr>
              <m:t>)</m:t>
            </m:r>
          </m:num>
          <m:den>
            <m:sSub>
              <m:sSubPr>
                <m:ctrlPr>
                  <w:rPr>
                    <w:rFonts w:ascii="Cambria Math" w:hAnsi="Cambria Math"/>
                    <w:i/>
                    <w:color w:val="auto"/>
                  </w:rPr>
                </m:ctrlPr>
              </m:sSubPr>
              <m:e>
                <m:r>
                  <w:rPr>
                    <w:rFonts w:ascii="Cambria Math" w:hAnsi="Cambria Math"/>
                    <w:color w:val="auto"/>
                  </w:rPr>
                  <m:t>V</m:t>
                </m:r>
              </m:e>
              <m:sub>
                <m:r>
                  <w:rPr>
                    <w:rFonts w:ascii="Cambria Math" w:hAnsi="Cambria Math"/>
                    <w:color w:val="auto"/>
                  </w:rPr>
                  <m:t>yn</m:t>
                </m:r>
              </m:sub>
            </m:sSub>
          </m:den>
        </m:f>
      </m:oMath>
      <w:r w:rsidR="00C22267">
        <w:rPr>
          <w:color w:val="auto"/>
        </w:rPr>
        <w:tab/>
      </w:r>
      <w:r w:rsidR="00C22267">
        <w:rPr>
          <w:color w:val="auto"/>
        </w:rPr>
        <w:tab/>
      </w:r>
      <w:r w:rsidR="00C22267">
        <w:rPr>
          <w:color w:val="auto"/>
        </w:rPr>
        <w:tab/>
      </w:r>
      <w:r w:rsidR="00C22267">
        <w:rPr>
          <w:color w:val="auto"/>
        </w:rPr>
        <w:tab/>
      </w:r>
      <w:r w:rsidR="00C22267">
        <w:rPr>
          <w:color w:val="auto"/>
        </w:rPr>
        <w:tab/>
        <w:t>(1)</w:t>
      </w:r>
    </w:p>
    <w:p w14:paraId="37BA64F1" w14:textId="77777777" w:rsidR="000065BC" w:rsidRPr="00056460" w:rsidRDefault="000065BC" w:rsidP="00056460">
      <w:pPr>
        <w:rPr>
          <w:color w:val="auto"/>
        </w:rPr>
      </w:pPr>
    </w:p>
    <w:p w14:paraId="7A67DC60" w14:textId="6AC66A9C" w:rsidR="00A645DD" w:rsidRPr="00056460" w:rsidRDefault="00A645DD" w:rsidP="00056460">
      <w:pPr>
        <w:rPr>
          <w:color w:val="auto"/>
        </w:rPr>
      </w:pPr>
    </w:p>
    <w:p w14:paraId="09A0BF07" w14:textId="2ED0FD41" w:rsidR="00341CA2" w:rsidRDefault="00033675" w:rsidP="00056460">
      <w:pPr>
        <w:rPr>
          <w:color w:val="auto"/>
        </w:rPr>
      </w:pPr>
      <w:r>
        <w:rPr>
          <w:color w:val="auto"/>
        </w:rPr>
        <w:t xml:space="preserve">NOTE: </w:t>
      </w:r>
      <w:r w:rsidR="00AE23B5" w:rsidRPr="00056460">
        <w:rPr>
          <w:color w:val="auto"/>
        </w:rPr>
        <w:t xml:space="preserve">Consider the number of replicates and calculate the total </w:t>
      </w:r>
      <w:r w:rsidR="00483F3A" w:rsidRPr="00056460">
        <w:rPr>
          <w:color w:val="auto"/>
        </w:rPr>
        <w:t xml:space="preserve">volume of "solution-to-be-added" </w:t>
      </w:r>
      <w:r w:rsidR="00AE23B5" w:rsidRPr="00056460">
        <w:rPr>
          <w:color w:val="auto"/>
        </w:rPr>
        <w:t>for each concentration</w:t>
      </w:r>
      <w:r w:rsidR="00483F3A" w:rsidRPr="00056460">
        <w:rPr>
          <w:color w:val="auto"/>
        </w:rPr>
        <w:t xml:space="preserve"> step</w:t>
      </w:r>
      <w:r w:rsidR="00AE23B5" w:rsidRPr="00056460">
        <w:rPr>
          <w:color w:val="auto"/>
        </w:rPr>
        <w:t xml:space="preserve">. </w:t>
      </w:r>
      <w:r w:rsidR="009206E6" w:rsidRPr="00056460">
        <w:rPr>
          <w:color w:val="auto"/>
        </w:rPr>
        <w:t xml:space="preserve">Results </w:t>
      </w:r>
      <w:r w:rsidR="00483F3A" w:rsidRPr="00056460">
        <w:rPr>
          <w:color w:val="auto"/>
        </w:rPr>
        <w:t xml:space="preserve">of a typical </w:t>
      </w:r>
      <w:r w:rsidR="009206E6" w:rsidRPr="00056460">
        <w:rPr>
          <w:color w:val="auto"/>
        </w:rPr>
        <w:t xml:space="preserve">calculation are given in </w:t>
      </w:r>
      <w:r w:rsidR="00613440" w:rsidRPr="00613440">
        <w:rPr>
          <w:b/>
          <w:bCs/>
          <w:color w:val="auto"/>
        </w:rPr>
        <w:t>T</w:t>
      </w:r>
      <w:r w:rsidR="009206E6" w:rsidRPr="00613440">
        <w:rPr>
          <w:b/>
          <w:bCs/>
          <w:color w:val="auto"/>
        </w:rPr>
        <w:t>ables 1 – 4</w:t>
      </w:r>
      <w:r w:rsidR="009206E6" w:rsidRPr="00056460">
        <w:rPr>
          <w:color w:val="auto"/>
        </w:rPr>
        <w:t xml:space="preserve">. </w:t>
      </w:r>
      <w:r w:rsidR="00341CA2" w:rsidRPr="00056460">
        <w:rPr>
          <w:color w:val="auto"/>
        </w:rPr>
        <w:t>It takes a general idea about the agonist concentration range to be studied as the range defines the concentrations and number of portions to be administered during serial addition.</w:t>
      </w:r>
      <w:r w:rsidR="005E6A02">
        <w:rPr>
          <w:color w:val="auto"/>
        </w:rPr>
        <w:t xml:space="preserve"> </w:t>
      </w:r>
      <w:r w:rsidR="005E6A02" w:rsidRPr="00056460">
        <w:rPr>
          <w:color w:val="auto"/>
        </w:rPr>
        <w:t xml:space="preserve">Using the serial agonist addition protocol the agonist concentration is increased stepwise. Therefore, the amount of agonist already in the well when the next dose is added has to be taken into account. When the </w:t>
      </w:r>
      <w:r w:rsidR="005E6A02" w:rsidRPr="00056460">
        <w:rPr>
          <w:i/>
          <w:color w:val="auto"/>
        </w:rPr>
        <w:t>number</w:t>
      </w:r>
      <w:r w:rsidR="005E6A02" w:rsidRPr="00056460">
        <w:rPr>
          <w:color w:val="auto"/>
        </w:rPr>
        <w:t xml:space="preserve"> of agonist molecules already present in the well is </w:t>
      </w:r>
      <w:proofErr w:type="spellStart"/>
      <w:r w:rsidR="005E6A02" w:rsidRPr="00056460">
        <w:rPr>
          <w:color w:val="auto"/>
        </w:rPr>
        <w:t>n</w:t>
      </w:r>
      <w:r w:rsidR="005E6A02" w:rsidRPr="00056460">
        <w:rPr>
          <w:color w:val="auto"/>
          <w:vertAlign w:val="subscript"/>
        </w:rPr>
        <w:t>x</w:t>
      </w:r>
      <w:proofErr w:type="spellEnd"/>
      <w:r w:rsidR="005E6A02" w:rsidRPr="00056460">
        <w:rPr>
          <w:color w:val="auto"/>
        </w:rPr>
        <w:t xml:space="preserve"> = c</w:t>
      </w:r>
      <w:r w:rsidR="005E6A02" w:rsidRPr="00056460">
        <w:rPr>
          <w:color w:val="auto"/>
          <w:vertAlign w:val="subscript"/>
        </w:rPr>
        <w:t>x</w:t>
      </w:r>
      <w:r w:rsidR="005E6A02" w:rsidRPr="00056460">
        <w:rPr>
          <w:color w:val="auto"/>
        </w:rPr>
        <w:t xml:space="preserve"> ∙</w:t>
      </w:r>
      <w:proofErr w:type="spellStart"/>
      <w:r w:rsidR="005E6A02" w:rsidRPr="00056460">
        <w:rPr>
          <w:color w:val="auto"/>
        </w:rPr>
        <w:t>V</w:t>
      </w:r>
      <w:r w:rsidR="005E6A02" w:rsidRPr="00056460">
        <w:rPr>
          <w:color w:val="auto"/>
          <w:vertAlign w:val="subscript"/>
        </w:rPr>
        <w:t>x</w:t>
      </w:r>
      <w:proofErr w:type="spellEnd"/>
      <w:r w:rsidR="005E6A02" w:rsidRPr="00056460">
        <w:rPr>
          <w:color w:val="auto"/>
        </w:rPr>
        <w:t xml:space="preserve"> (with the current concentration c</w:t>
      </w:r>
      <w:r w:rsidR="005E6A02" w:rsidRPr="00056460">
        <w:rPr>
          <w:color w:val="auto"/>
          <w:vertAlign w:val="subscript"/>
        </w:rPr>
        <w:t>x</w:t>
      </w:r>
      <w:r w:rsidR="005E6A02" w:rsidRPr="00056460">
        <w:rPr>
          <w:color w:val="auto"/>
        </w:rPr>
        <w:t xml:space="preserve"> and volume </w:t>
      </w:r>
      <w:proofErr w:type="spellStart"/>
      <w:r w:rsidR="005E6A02" w:rsidRPr="00056460">
        <w:rPr>
          <w:color w:val="auto"/>
        </w:rPr>
        <w:t>V</w:t>
      </w:r>
      <w:r w:rsidR="005E6A02" w:rsidRPr="00056460">
        <w:rPr>
          <w:color w:val="auto"/>
          <w:vertAlign w:val="subscript"/>
        </w:rPr>
        <w:t>x</w:t>
      </w:r>
      <w:proofErr w:type="spellEnd"/>
      <w:r w:rsidR="005E6A02" w:rsidRPr="00056460">
        <w:rPr>
          <w:color w:val="auto"/>
        </w:rPr>
        <w:t xml:space="preserve">) and the number of molecules in the well after the next addition is </w:t>
      </w:r>
      <w:proofErr w:type="spellStart"/>
      <w:r w:rsidR="005E6A02" w:rsidRPr="00056460">
        <w:rPr>
          <w:color w:val="auto"/>
        </w:rPr>
        <w:t>n</w:t>
      </w:r>
      <w:r w:rsidR="005E6A02" w:rsidRPr="00056460">
        <w:rPr>
          <w:color w:val="auto"/>
          <w:vertAlign w:val="subscript"/>
        </w:rPr>
        <w:t>x+y</w:t>
      </w:r>
      <w:proofErr w:type="spellEnd"/>
      <w:r w:rsidR="005E6A02" w:rsidRPr="00056460">
        <w:rPr>
          <w:color w:val="auto"/>
        </w:rPr>
        <w:t xml:space="preserve">, the number of molecules to be added </w:t>
      </w:r>
      <w:proofErr w:type="spellStart"/>
      <w:r w:rsidR="005E6A02" w:rsidRPr="00056460">
        <w:rPr>
          <w:color w:val="auto"/>
        </w:rPr>
        <w:t>n</w:t>
      </w:r>
      <w:r w:rsidR="005E6A02" w:rsidRPr="00056460">
        <w:rPr>
          <w:color w:val="auto"/>
          <w:vertAlign w:val="subscript"/>
        </w:rPr>
        <w:t>y</w:t>
      </w:r>
      <w:proofErr w:type="spellEnd"/>
      <w:r w:rsidR="005E6A02" w:rsidRPr="00056460">
        <w:rPr>
          <w:color w:val="auto"/>
        </w:rPr>
        <w:t xml:space="preserve"> is determined by the concentration c</w:t>
      </w:r>
      <w:r w:rsidR="005E6A02" w:rsidRPr="00056460">
        <w:rPr>
          <w:color w:val="auto"/>
          <w:vertAlign w:val="subscript"/>
        </w:rPr>
        <w:t>y</w:t>
      </w:r>
      <w:r w:rsidR="005E6A02" w:rsidRPr="00056460">
        <w:rPr>
          <w:color w:val="auto"/>
        </w:rPr>
        <w:t xml:space="preserve"> and volume </w:t>
      </w:r>
      <w:proofErr w:type="spellStart"/>
      <w:r w:rsidR="005E6A02" w:rsidRPr="00056460">
        <w:rPr>
          <w:color w:val="auto"/>
        </w:rPr>
        <w:t>V</w:t>
      </w:r>
      <w:r w:rsidR="005E6A02" w:rsidRPr="00056460">
        <w:rPr>
          <w:color w:val="auto"/>
          <w:vertAlign w:val="subscript"/>
        </w:rPr>
        <w:t>y</w:t>
      </w:r>
      <w:proofErr w:type="spellEnd"/>
      <w:r w:rsidR="005E6A02" w:rsidRPr="00056460">
        <w:rPr>
          <w:color w:val="auto"/>
        </w:rPr>
        <w:t xml:space="preserve"> of the solution to be applied to the well (</w:t>
      </w:r>
      <w:proofErr w:type="spellStart"/>
      <w:r w:rsidR="005E6A02" w:rsidRPr="00056460">
        <w:rPr>
          <w:color w:val="auto"/>
        </w:rPr>
        <w:t>n</w:t>
      </w:r>
      <w:r w:rsidR="005E6A02" w:rsidRPr="00056460">
        <w:rPr>
          <w:color w:val="auto"/>
          <w:vertAlign w:val="subscript"/>
        </w:rPr>
        <w:t>y</w:t>
      </w:r>
      <w:proofErr w:type="spellEnd"/>
      <w:r w:rsidR="005E6A02" w:rsidRPr="00056460">
        <w:rPr>
          <w:color w:val="auto"/>
        </w:rPr>
        <w:t xml:space="preserve"> = c</w:t>
      </w:r>
      <w:r w:rsidR="005E6A02" w:rsidRPr="00056460">
        <w:rPr>
          <w:color w:val="auto"/>
          <w:vertAlign w:val="subscript"/>
        </w:rPr>
        <w:t>y</w:t>
      </w:r>
      <w:r w:rsidR="005E6A02" w:rsidRPr="00056460">
        <w:rPr>
          <w:color w:val="auto"/>
        </w:rPr>
        <w:t xml:space="preserve"> ∙ </w:t>
      </w:r>
      <w:proofErr w:type="spellStart"/>
      <w:r w:rsidR="005E6A02" w:rsidRPr="00056460">
        <w:rPr>
          <w:color w:val="auto"/>
        </w:rPr>
        <w:t>V</w:t>
      </w:r>
      <w:r w:rsidR="005E6A02" w:rsidRPr="00056460">
        <w:rPr>
          <w:color w:val="auto"/>
          <w:vertAlign w:val="subscript"/>
        </w:rPr>
        <w:t>y</w:t>
      </w:r>
      <w:proofErr w:type="spellEnd"/>
      <w:r w:rsidR="005E6A02" w:rsidRPr="00056460">
        <w:rPr>
          <w:color w:val="auto"/>
        </w:rPr>
        <w:t xml:space="preserve">). After adding a portion of agonist, the new amount of agonist molecules in the well is: </w:t>
      </w:r>
      <w:proofErr w:type="spellStart"/>
      <w:r w:rsidR="005E6A02" w:rsidRPr="00056460">
        <w:rPr>
          <w:color w:val="auto"/>
        </w:rPr>
        <w:t>c</w:t>
      </w:r>
      <w:r w:rsidR="005E6A02" w:rsidRPr="00056460">
        <w:rPr>
          <w:color w:val="auto"/>
          <w:vertAlign w:val="subscript"/>
        </w:rPr>
        <w:t>x+y</w:t>
      </w:r>
      <w:proofErr w:type="spellEnd"/>
      <w:r w:rsidR="005E6A02" w:rsidRPr="00056460">
        <w:rPr>
          <w:color w:val="auto"/>
          <w:vertAlign w:val="subscript"/>
        </w:rPr>
        <w:t xml:space="preserve"> </w:t>
      </w:r>
      <w:r w:rsidR="005E6A02" w:rsidRPr="00056460">
        <w:rPr>
          <w:color w:val="auto"/>
        </w:rPr>
        <w:t xml:space="preserve">∙ </w:t>
      </w:r>
      <w:proofErr w:type="spellStart"/>
      <w:r w:rsidR="005E6A02" w:rsidRPr="00056460">
        <w:rPr>
          <w:color w:val="auto"/>
        </w:rPr>
        <w:t>V</w:t>
      </w:r>
      <w:r w:rsidR="005E6A02" w:rsidRPr="00056460">
        <w:rPr>
          <w:color w:val="auto"/>
          <w:vertAlign w:val="subscript"/>
        </w:rPr>
        <w:t>x+y</w:t>
      </w:r>
      <w:proofErr w:type="spellEnd"/>
      <w:r w:rsidR="005E6A02" w:rsidRPr="00056460">
        <w:rPr>
          <w:color w:val="auto"/>
        </w:rPr>
        <w:t xml:space="preserve"> = c</w:t>
      </w:r>
      <w:r w:rsidR="005E6A02" w:rsidRPr="00056460">
        <w:rPr>
          <w:color w:val="auto"/>
          <w:vertAlign w:val="subscript"/>
        </w:rPr>
        <w:t>x</w:t>
      </w:r>
      <w:r w:rsidR="005E6A02" w:rsidRPr="00056460">
        <w:rPr>
          <w:color w:val="auto"/>
        </w:rPr>
        <w:t xml:space="preserve"> ∙ </w:t>
      </w:r>
      <w:proofErr w:type="spellStart"/>
      <w:r w:rsidR="005E6A02" w:rsidRPr="00056460">
        <w:rPr>
          <w:color w:val="auto"/>
        </w:rPr>
        <w:t>V</w:t>
      </w:r>
      <w:r w:rsidR="005E6A02" w:rsidRPr="00056460">
        <w:rPr>
          <w:color w:val="auto"/>
          <w:vertAlign w:val="subscript"/>
        </w:rPr>
        <w:t>x</w:t>
      </w:r>
      <w:proofErr w:type="spellEnd"/>
      <w:r w:rsidR="005E6A02" w:rsidRPr="00056460">
        <w:rPr>
          <w:color w:val="auto"/>
        </w:rPr>
        <w:t xml:space="preserve"> + c</w:t>
      </w:r>
      <w:r w:rsidR="005E6A02" w:rsidRPr="00056460">
        <w:rPr>
          <w:color w:val="auto"/>
          <w:vertAlign w:val="subscript"/>
        </w:rPr>
        <w:t>y</w:t>
      </w:r>
      <w:r w:rsidR="005E6A02" w:rsidRPr="00056460">
        <w:rPr>
          <w:color w:val="auto"/>
        </w:rPr>
        <w:t xml:space="preserve"> ∙ </w:t>
      </w:r>
      <w:proofErr w:type="spellStart"/>
      <w:r w:rsidR="005E6A02" w:rsidRPr="00056460">
        <w:rPr>
          <w:color w:val="auto"/>
        </w:rPr>
        <w:t>V</w:t>
      </w:r>
      <w:r w:rsidR="005E6A02" w:rsidRPr="00056460">
        <w:rPr>
          <w:color w:val="auto"/>
          <w:vertAlign w:val="subscript"/>
        </w:rPr>
        <w:t>y</w:t>
      </w:r>
      <w:proofErr w:type="spellEnd"/>
      <w:r w:rsidR="005E6A02" w:rsidRPr="00056460">
        <w:rPr>
          <w:color w:val="auto"/>
        </w:rPr>
        <w:t>. This calculation applies for each subsequent step. Because of the interdependence of agonist concentration in the well and the amount of agonist in the portions to be added with each step, it is important to define final concentrations after each step in advance.</w:t>
      </w:r>
    </w:p>
    <w:p w14:paraId="5536CEBC" w14:textId="77777777" w:rsidR="005E6A02" w:rsidRPr="00056460" w:rsidRDefault="005E6A02" w:rsidP="00056460">
      <w:pPr>
        <w:rPr>
          <w:color w:val="auto"/>
        </w:rPr>
      </w:pPr>
    </w:p>
    <w:p w14:paraId="196610B2" w14:textId="17A54C51" w:rsidR="00CF79C0" w:rsidRPr="000F17FA" w:rsidRDefault="0024418E" w:rsidP="00056460">
      <w:pPr>
        <w:rPr>
          <w:b/>
          <w:color w:val="auto"/>
        </w:rPr>
      </w:pPr>
      <w:r w:rsidRPr="000F17FA">
        <w:rPr>
          <w:b/>
          <w:color w:val="auto"/>
        </w:rPr>
        <w:t xml:space="preserve">Mode 1: </w:t>
      </w:r>
      <w:r w:rsidR="00AE23B5" w:rsidRPr="000F17FA">
        <w:rPr>
          <w:color w:val="auto"/>
        </w:rPr>
        <w:t>T</w:t>
      </w:r>
      <w:r w:rsidR="00A645DD" w:rsidRPr="000F17FA">
        <w:rPr>
          <w:color w:val="auto"/>
        </w:rPr>
        <w:t xml:space="preserve">he volume in the well will </w:t>
      </w:r>
      <w:r w:rsidR="00B65C25" w:rsidRPr="000F17FA">
        <w:rPr>
          <w:color w:val="auto"/>
        </w:rPr>
        <w:t xml:space="preserve">increase </w:t>
      </w:r>
      <w:r w:rsidR="00483F3A" w:rsidRPr="000F17FA">
        <w:rPr>
          <w:color w:val="auto"/>
        </w:rPr>
        <w:t xml:space="preserve">with </w:t>
      </w:r>
      <w:r w:rsidR="00B65C25" w:rsidRPr="000F17FA">
        <w:rPr>
          <w:color w:val="auto"/>
        </w:rPr>
        <w:t xml:space="preserve">each </w:t>
      </w:r>
      <w:r w:rsidR="00483F3A" w:rsidRPr="000F17FA">
        <w:rPr>
          <w:color w:val="auto"/>
        </w:rPr>
        <w:t>step</w:t>
      </w:r>
      <w:r>
        <w:rPr>
          <w:color w:val="auto"/>
        </w:rPr>
        <w:t xml:space="preserve"> as liquid is continuously added.</w:t>
      </w:r>
    </w:p>
    <w:p w14:paraId="59269498" w14:textId="016BC358" w:rsidR="00A645DD" w:rsidRPr="00056460" w:rsidRDefault="0024418E" w:rsidP="00056460">
      <w:pPr>
        <w:rPr>
          <w:color w:val="auto"/>
        </w:rPr>
      </w:pPr>
      <w:r>
        <w:rPr>
          <w:color w:val="auto"/>
        </w:rPr>
        <w:t xml:space="preserve">Using this mode and an </w:t>
      </w:r>
      <w:r w:rsidR="00CF79C0" w:rsidRPr="00056460">
        <w:rPr>
          <w:color w:val="auto"/>
        </w:rPr>
        <w:t>8well format</w:t>
      </w:r>
      <w:r>
        <w:rPr>
          <w:color w:val="auto"/>
        </w:rPr>
        <w:t xml:space="preserve">, use </w:t>
      </w:r>
      <w:r w:rsidR="004B10C9" w:rsidRPr="00056460">
        <w:rPr>
          <w:color w:val="auto"/>
        </w:rPr>
        <w:t>V</w:t>
      </w:r>
      <w:r w:rsidR="004B10C9" w:rsidRPr="00056460">
        <w:rPr>
          <w:color w:val="auto"/>
          <w:vertAlign w:val="subscript"/>
        </w:rPr>
        <w:t>x1</w:t>
      </w:r>
      <w:r w:rsidR="004B10C9" w:rsidRPr="00056460">
        <w:rPr>
          <w:color w:val="auto"/>
        </w:rPr>
        <w:t xml:space="preserve"> = 200 µL</w:t>
      </w:r>
      <w:r>
        <w:rPr>
          <w:color w:val="auto"/>
        </w:rPr>
        <w:t xml:space="preserve"> and </w:t>
      </w:r>
      <w:r w:rsidR="004B10C9" w:rsidRPr="00056460">
        <w:rPr>
          <w:color w:val="auto"/>
        </w:rPr>
        <w:t>V</w:t>
      </w:r>
      <w:r w:rsidR="004B10C9" w:rsidRPr="00056460">
        <w:rPr>
          <w:color w:val="auto"/>
          <w:vertAlign w:val="subscript"/>
        </w:rPr>
        <w:t>y1</w:t>
      </w:r>
      <w:r w:rsidR="00522540" w:rsidRPr="00056460">
        <w:rPr>
          <w:color w:val="auto"/>
          <w:vertAlign w:val="subscript"/>
        </w:rPr>
        <w:t xml:space="preserve"> …. </w:t>
      </w:r>
      <w:proofErr w:type="spellStart"/>
      <w:r w:rsidR="00522540" w:rsidRPr="00056460">
        <w:rPr>
          <w:color w:val="auto"/>
        </w:rPr>
        <w:t>V</w:t>
      </w:r>
      <w:r w:rsidR="00522540" w:rsidRPr="00056460">
        <w:rPr>
          <w:color w:val="auto"/>
          <w:vertAlign w:val="subscript"/>
        </w:rPr>
        <w:t>y</w:t>
      </w:r>
      <w:r w:rsidR="004B10C9" w:rsidRPr="00056460">
        <w:rPr>
          <w:color w:val="auto"/>
          <w:vertAlign w:val="subscript"/>
        </w:rPr>
        <w:t>i</w:t>
      </w:r>
      <w:proofErr w:type="spellEnd"/>
      <w:r w:rsidR="004B10C9" w:rsidRPr="00056460">
        <w:rPr>
          <w:color w:val="auto"/>
        </w:rPr>
        <w:t xml:space="preserve"> = 30 µL</w:t>
      </w:r>
      <w:r>
        <w:rPr>
          <w:color w:val="auto"/>
        </w:rPr>
        <w:t>.</w:t>
      </w:r>
    </w:p>
    <w:p w14:paraId="2FBE3BB2" w14:textId="1E31AD7C" w:rsidR="00CF79C0" w:rsidRDefault="00CF79C0" w:rsidP="00056460">
      <w:pPr>
        <w:rPr>
          <w:color w:val="auto"/>
        </w:rPr>
      </w:pPr>
    </w:p>
    <w:p w14:paraId="3D35916D" w14:textId="5EEBD737" w:rsidR="00AE23B5" w:rsidRDefault="0024418E" w:rsidP="00056460">
      <w:pPr>
        <w:rPr>
          <w:color w:val="auto"/>
        </w:rPr>
      </w:pPr>
      <w:r w:rsidRPr="000F17FA">
        <w:rPr>
          <w:b/>
          <w:color w:val="auto"/>
        </w:rPr>
        <w:t>Mode 2:</w:t>
      </w:r>
      <w:r>
        <w:rPr>
          <w:b/>
          <w:color w:val="auto"/>
        </w:rPr>
        <w:t xml:space="preserve"> </w:t>
      </w:r>
      <w:r>
        <w:rPr>
          <w:color w:val="auto"/>
        </w:rPr>
        <w:t>T</w:t>
      </w:r>
      <w:r w:rsidRPr="00A263C6">
        <w:rPr>
          <w:color w:val="auto"/>
        </w:rPr>
        <w:t xml:space="preserve">he volume </w:t>
      </w:r>
      <w:r>
        <w:rPr>
          <w:color w:val="auto"/>
        </w:rPr>
        <w:t xml:space="preserve">in the well is constant as the volume </w:t>
      </w:r>
      <w:r w:rsidRPr="00A263C6">
        <w:rPr>
          <w:color w:val="auto"/>
        </w:rPr>
        <w:t>added with each step is removed just before the subsequent addition</w:t>
      </w:r>
      <w:r>
        <w:rPr>
          <w:color w:val="auto"/>
        </w:rPr>
        <w:t>. Using this mode and a 96</w:t>
      </w:r>
      <w:r w:rsidR="00613440">
        <w:rPr>
          <w:color w:val="auto"/>
        </w:rPr>
        <w:t xml:space="preserve"> </w:t>
      </w:r>
      <w:r>
        <w:rPr>
          <w:color w:val="auto"/>
        </w:rPr>
        <w:t xml:space="preserve">well format, use </w:t>
      </w:r>
      <w:r w:rsidRPr="00056460">
        <w:rPr>
          <w:color w:val="auto"/>
        </w:rPr>
        <w:t>V</w:t>
      </w:r>
      <w:r w:rsidRPr="00056460">
        <w:rPr>
          <w:color w:val="auto"/>
          <w:vertAlign w:val="subscript"/>
        </w:rPr>
        <w:t>x1</w:t>
      </w:r>
      <w:r w:rsidRPr="00056460">
        <w:rPr>
          <w:color w:val="auto"/>
        </w:rPr>
        <w:t xml:space="preserve"> = 150 µL</w:t>
      </w:r>
      <w:r>
        <w:rPr>
          <w:color w:val="auto"/>
        </w:rPr>
        <w:t xml:space="preserve"> and</w:t>
      </w:r>
      <w:r w:rsidRPr="00056460">
        <w:rPr>
          <w:color w:val="auto"/>
        </w:rPr>
        <w:t xml:space="preserve"> V</w:t>
      </w:r>
      <w:r w:rsidRPr="00056460">
        <w:rPr>
          <w:color w:val="auto"/>
          <w:vertAlign w:val="subscript"/>
        </w:rPr>
        <w:t xml:space="preserve">y1 …. </w:t>
      </w:r>
      <w:proofErr w:type="spellStart"/>
      <w:r w:rsidRPr="00056460">
        <w:rPr>
          <w:color w:val="auto"/>
        </w:rPr>
        <w:t>V</w:t>
      </w:r>
      <w:r w:rsidRPr="00056460">
        <w:rPr>
          <w:color w:val="auto"/>
          <w:vertAlign w:val="subscript"/>
        </w:rPr>
        <w:t>yi</w:t>
      </w:r>
      <w:proofErr w:type="spellEnd"/>
      <w:r w:rsidRPr="00056460">
        <w:rPr>
          <w:color w:val="auto"/>
        </w:rPr>
        <w:t xml:space="preserve"> = 75 µL</w:t>
      </w:r>
      <w:r>
        <w:rPr>
          <w:color w:val="auto"/>
        </w:rPr>
        <w:t>.</w:t>
      </w:r>
    </w:p>
    <w:p w14:paraId="5C594485" w14:textId="77777777" w:rsidR="0024418E" w:rsidRPr="00056460" w:rsidRDefault="0024418E" w:rsidP="00056460">
      <w:pPr>
        <w:rPr>
          <w:color w:val="auto"/>
        </w:rPr>
      </w:pPr>
    </w:p>
    <w:p w14:paraId="76D83248" w14:textId="47A64C65" w:rsidR="00B65C25" w:rsidRPr="00615D37" w:rsidRDefault="002A0172" w:rsidP="00615D37">
      <w:pPr>
        <w:pStyle w:val="af3"/>
        <w:numPr>
          <w:ilvl w:val="1"/>
          <w:numId w:val="30"/>
        </w:numPr>
        <w:rPr>
          <w:color w:val="auto"/>
        </w:rPr>
      </w:pPr>
      <w:r w:rsidRPr="00615D37">
        <w:rPr>
          <w:color w:val="auto"/>
        </w:rPr>
        <w:t>P</w:t>
      </w:r>
      <w:r w:rsidR="00AE23B5" w:rsidRPr="00615D37">
        <w:rPr>
          <w:color w:val="auto"/>
        </w:rPr>
        <w:t xml:space="preserve">rint the data sheet </w:t>
      </w:r>
      <w:r w:rsidR="00483F3A" w:rsidRPr="00615D37">
        <w:rPr>
          <w:color w:val="auto"/>
        </w:rPr>
        <w:t xml:space="preserve">with the </w:t>
      </w:r>
      <w:r w:rsidR="00AE23B5" w:rsidRPr="00615D37">
        <w:rPr>
          <w:color w:val="auto"/>
        </w:rPr>
        <w:t>total volume per concentration</w:t>
      </w:r>
      <w:r w:rsidR="00627309" w:rsidRPr="00615D37">
        <w:rPr>
          <w:color w:val="auto"/>
        </w:rPr>
        <w:t xml:space="preserve"> and detailed</w:t>
      </w:r>
      <w:r w:rsidR="00AE23B5" w:rsidRPr="00615D37">
        <w:rPr>
          <w:color w:val="auto"/>
        </w:rPr>
        <w:t xml:space="preserve"> instructions for pipetting.</w:t>
      </w:r>
    </w:p>
    <w:p w14:paraId="27D5678C" w14:textId="77777777" w:rsidR="00AE23B5" w:rsidRPr="00056460" w:rsidRDefault="00AE23B5" w:rsidP="00056460">
      <w:pPr>
        <w:rPr>
          <w:color w:val="auto"/>
        </w:rPr>
      </w:pPr>
    </w:p>
    <w:p w14:paraId="51F645CB" w14:textId="2AB57173" w:rsidR="00B65C25" w:rsidRPr="00615D37" w:rsidRDefault="00AE23B5" w:rsidP="00615D37">
      <w:pPr>
        <w:pStyle w:val="af3"/>
        <w:numPr>
          <w:ilvl w:val="1"/>
          <w:numId w:val="30"/>
        </w:numPr>
        <w:rPr>
          <w:color w:val="auto"/>
        </w:rPr>
      </w:pPr>
      <w:r w:rsidRPr="00615D37">
        <w:rPr>
          <w:color w:val="auto"/>
        </w:rPr>
        <w:t>P</w:t>
      </w:r>
      <w:r w:rsidR="00B65C25" w:rsidRPr="00615D37">
        <w:rPr>
          <w:color w:val="auto"/>
        </w:rPr>
        <w:t>repare all solutions in the required amount. Make all agonist solutions in the same serum-free</w:t>
      </w:r>
      <w:r w:rsidR="00522540" w:rsidRPr="00615D37">
        <w:rPr>
          <w:color w:val="auto"/>
        </w:rPr>
        <w:t xml:space="preserve"> medium</w:t>
      </w:r>
      <w:r w:rsidR="00B65C25" w:rsidRPr="00615D37">
        <w:rPr>
          <w:color w:val="auto"/>
        </w:rPr>
        <w:t xml:space="preserve"> as used for equilibration of the cells</w:t>
      </w:r>
      <w:r w:rsidRPr="00615D37">
        <w:rPr>
          <w:color w:val="auto"/>
        </w:rPr>
        <w:t>.</w:t>
      </w:r>
    </w:p>
    <w:p w14:paraId="5EC8FF92" w14:textId="77777777" w:rsidR="00AE23B5" w:rsidRPr="00056460" w:rsidRDefault="00AE23B5" w:rsidP="00056460">
      <w:pPr>
        <w:rPr>
          <w:color w:val="auto"/>
        </w:rPr>
      </w:pPr>
    </w:p>
    <w:p w14:paraId="650BB19A" w14:textId="035E8F04" w:rsidR="008D5E4E" w:rsidRPr="00056460" w:rsidRDefault="008D5E4E" w:rsidP="00056460">
      <w:pPr>
        <w:rPr>
          <w:color w:val="auto"/>
        </w:rPr>
      </w:pPr>
      <w:r w:rsidRPr="00056460">
        <w:rPr>
          <w:color w:val="auto"/>
        </w:rPr>
        <w:t xml:space="preserve">CAUTION: Histamine </w:t>
      </w:r>
      <w:r w:rsidR="001E16CE" w:rsidRPr="00056460">
        <w:rPr>
          <w:color w:val="auto"/>
        </w:rPr>
        <w:t xml:space="preserve">dihydrochloride is considered hazardous by the 2012 OSHA Hazard Communication Standard (29 CFR 1910.1200). Histamine causes </w:t>
      </w:r>
      <w:r w:rsidR="0068524E" w:rsidRPr="00056460">
        <w:rPr>
          <w:color w:val="auto"/>
        </w:rPr>
        <w:t>skin irritation</w:t>
      </w:r>
      <w:r w:rsidR="001E16CE" w:rsidRPr="00056460">
        <w:rPr>
          <w:color w:val="auto"/>
        </w:rPr>
        <w:t xml:space="preserve">, </w:t>
      </w:r>
      <w:r w:rsidR="0068524E" w:rsidRPr="00056460">
        <w:rPr>
          <w:color w:val="auto"/>
        </w:rPr>
        <w:t>serious eye irritation</w:t>
      </w:r>
      <w:r w:rsidR="001E16CE" w:rsidRPr="00056460">
        <w:rPr>
          <w:color w:val="auto"/>
        </w:rPr>
        <w:t>, m</w:t>
      </w:r>
      <w:r w:rsidR="0068524E" w:rsidRPr="00056460">
        <w:rPr>
          <w:color w:val="auto"/>
        </w:rPr>
        <w:t>ay cause an allergic skin reaction</w:t>
      </w:r>
      <w:r w:rsidR="001E16CE" w:rsidRPr="00056460">
        <w:rPr>
          <w:color w:val="auto"/>
        </w:rPr>
        <w:t>,</w:t>
      </w:r>
      <w:r w:rsidR="0068524E" w:rsidRPr="00056460">
        <w:rPr>
          <w:color w:val="auto"/>
        </w:rPr>
        <w:t xml:space="preserve"> allergy</w:t>
      </w:r>
      <w:r w:rsidR="00483F3A" w:rsidRPr="00056460">
        <w:rPr>
          <w:color w:val="auto"/>
        </w:rPr>
        <w:t xml:space="preserve">, </w:t>
      </w:r>
      <w:r w:rsidR="0068524E" w:rsidRPr="00056460">
        <w:rPr>
          <w:color w:val="auto"/>
        </w:rPr>
        <w:t>asthma symptoms or breathing difficulties if inhaled</w:t>
      </w:r>
      <w:r w:rsidR="001E16CE" w:rsidRPr="00056460">
        <w:rPr>
          <w:color w:val="auto"/>
        </w:rPr>
        <w:t xml:space="preserve"> and m</w:t>
      </w:r>
      <w:r w:rsidR="0068524E" w:rsidRPr="00056460">
        <w:rPr>
          <w:color w:val="auto"/>
        </w:rPr>
        <w:t>ay cause respiratory irritation</w:t>
      </w:r>
      <w:r w:rsidR="001E16CE" w:rsidRPr="00056460">
        <w:rPr>
          <w:color w:val="auto"/>
        </w:rPr>
        <w:t>. Please consider the safety data sheet.</w:t>
      </w:r>
    </w:p>
    <w:p w14:paraId="5E2EA236" w14:textId="77777777" w:rsidR="008D5E4E" w:rsidRPr="00056460" w:rsidRDefault="008D5E4E" w:rsidP="00056460">
      <w:pPr>
        <w:rPr>
          <w:color w:val="auto"/>
        </w:rPr>
      </w:pPr>
    </w:p>
    <w:p w14:paraId="2D0E67F4" w14:textId="5BFC1B37" w:rsidR="004B10C9" w:rsidRPr="00056460" w:rsidRDefault="00593254" w:rsidP="00056460">
      <w:pPr>
        <w:rPr>
          <w:color w:val="auto"/>
        </w:rPr>
      </w:pPr>
      <w:r w:rsidRPr="00056460">
        <w:rPr>
          <w:color w:val="auto"/>
        </w:rPr>
        <w:t xml:space="preserve">NOTE: Make agonist solutions as fresh as possible. Stability of agonists in solution </w:t>
      </w:r>
      <w:r w:rsidR="008C1B9E" w:rsidRPr="00056460">
        <w:rPr>
          <w:color w:val="auto"/>
        </w:rPr>
        <w:t>may</w:t>
      </w:r>
      <w:r w:rsidRPr="00056460">
        <w:rPr>
          <w:color w:val="auto"/>
        </w:rPr>
        <w:t xml:space="preserve"> vary considerably. Store solutions at 4 °C or below until use in the experiment. For some molecules </w:t>
      </w:r>
      <w:r w:rsidR="00FB27AD" w:rsidRPr="00056460">
        <w:rPr>
          <w:color w:val="auto"/>
        </w:rPr>
        <w:t xml:space="preserve">additional </w:t>
      </w:r>
      <w:r w:rsidRPr="00056460">
        <w:rPr>
          <w:color w:val="auto"/>
        </w:rPr>
        <w:t>stabilizing additives, like BSA when using peptide-based or lipid-based molecules, may be considered</w:t>
      </w:r>
      <w:r w:rsidR="00FB27AD" w:rsidRPr="00056460">
        <w:rPr>
          <w:color w:val="auto"/>
        </w:rPr>
        <w:t xml:space="preserve"> to prevent adsorption to the </w:t>
      </w:r>
      <w:r w:rsidR="008C1B9E" w:rsidRPr="00056460">
        <w:rPr>
          <w:color w:val="auto"/>
        </w:rPr>
        <w:t>walls</w:t>
      </w:r>
      <w:r w:rsidR="00FB27AD" w:rsidRPr="00056460">
        <w:rPr>
          <w:color w:val="auto"/>
        </w:rPr>
        <w:t xml:space="preserve"> </w:t>
      </w:r>
      <w:r w:rsidR="008C1B9E" w:rsidRPr="00056460">
        <w:rPr>
          <w:color w:val="auto"/>
        </w:rPr>
        <w:t xml:space="preserve">of </w:t>
      </w:r>
      <w:r w:rsidR="00FB27AD" w:rsidRPr="00056460">
        <w:rPr>
          <w:color w:val="auto"/>
        </w:rPr>
        <w:t>wells and tubes</w:t>
      </w:r>
      <w:r w:rsidRPr="00056460">
        <w:rPr>
          <w:color w:val="auto"/>
        </w:rPr>
        <w:t>.</w:t>
      </w:r>
    </w:p>
    <w:p w14:paraId="1283BAB6" w14:textId="77777777" w:rsidR="00FB27AD" w:rsidRPr="00056460" w:rsidRDefault="00FB27AD" w:rsidP="00056460">
      <w:pPr>
        <w:rPr>
          <w:color w:val="auto"/>
        </w:rPr>
      </w:pPr>
    </w:p>
    <w:p w14:paraId="1508FE9A" w14:textId="7AA04441" w:rsidR="00FB27AD" w:rsidRPr="00615D37" w:rsidRDefault="008C1B9E" w:rsidP="00615D37">
      <w:pPr>
        <w:pStyle w:val="af3"/>
        <w:numPr>
          <w:ilvl w:val="1"/>
          <w:numId w:val="30"/>
        </w:numPr>
        <w:rPr>
          <w:color w:val="auto"/>
        </w:rPr>
      </w:pPr>
      <w:r w:rsidRPr="00615D37">
        <w:rPr>
          <w:color w:val="auto"/>
        </w:rPr>
        <w:t>If performing the experiment i</w:t>
      </w:r>
      <w:r w:rsidR="00FB27AD" w:rsidRPr="00615D37">
        <w:rPr>
          <w:color w:val="auto"/>
        </w:rPr>
        <w:t>n 96-well</w:t>
      </w:r>
      <w:r w:rsidR="006601B2" w:rsidRPr="00615D37">
        <w:rPr>
          <w:color w:val="auto"/>
        </w:rPr>
        <w:t xml:space="preserve"> </w:t>
      </w:r>
      <w:r w:rsidRPr="00615D37">
        <w:rPr>
          <w:color w:val="auto"/>
        </w:rPr>
        <w:t>format</w:t>
      </w:r>
      <w:r w:rsidR="00FB27AD" w:rsidRPr="00615D37">
        <w:rPr>
          <w:color w:val="auto"/>
        </w:rPr>
        <w:t xml:space="preserve">, transfer solutions to </w:t>
      </w:r>
      <w:r w:rsidR="006601B2" w:rsidRPr="00615D37">
        <w:rPr>
          <w:color w:val="auto"/>
        </w:rPr>
        <w:t>a conventional</w:t>
      </w:r>
      <w:r w:rsidR="00FB27AD" w:rsidRPr="00615D37">
        <w:rPr>
          <w:color w:val="auto"/>
        </w:rPr>
        <w:t xml:space="preserve"> 96-well plate </w:t>
      </w:r>
      <w:r w:rsidRPr="00615D37">
        <w:rPr>
          <w:color w:val="auto"/>
        </w:rPr>
        <w:t xml:space="preserve">(no electrodes) and use </w:t>
      </w:r>
      <w:r w:rsidR="006601B2" w:rsidRPr="00615D37">
        <w:rPr>
          <w:color w:val="auto"/>
        </w:rPr>
        <w:t>a</w:t>
      </w:r>
      <w:r w:rsidR="001B6628">
        <w:rPr>
          <w:color w:val="auto"/>
        </w:rPr>
        <w:t>n</w:t>
      </w:r>
      <w:r w:rsidR="00FB27AD" w:rsidRPr="00615D37">
        <w:rPr>
          <w:color w:val="auto"/>
        </w:rPr>
        <w:t xml:space="preserve"> 8- (or 12-) channel pipet</w:t>
      </w:r>
      <w:r w:rsidRPr="00615D37">
        <w:rPr>
          <w:color w:val="auto"/>
        </w:rPr>
        <w:t xml:space="preserve"> for quick liquid </w:t>
      </w:r>
      <w:r w:rsidR="009324DB">
        <w:rPr>
          <w:color w:val="auto"/>
        </w:rPr>
        <w:t>transfer to the electrode array</w:t>
      </w:r>
      <w:r w:rsidR="006601B2" w:rsidRPr="00615D37">
        <w:rPr>
          <w:color w:val="auto"/>
        </w:rPr>
        <w:t>.</w:t>
      </w:r>
    </w:p>
    <w:p w14:paraId="4F7BCC49" w14:textId="77777777" w:rsidR="00FB27AD" w:rsidRPr="00056460" w:rsidRDefault="00FB27AD" w:rsidP="00056460">
      <w:pPr>
        <w:rPr>
          <w:color w:val="auto"/>
        </w:rPr>
      </w:pPr>
    </w:p>
    <w:p w14:paraId="158DB627" w14:textId="012B6AE3" w:rsidR="005605E6" w:rsidRPr="00615D37" w:rsidRDefault="005605E6" w:rsidP="00615D37">
      <w:pPr>
        <w:pStyle w:val="af3"/>
        <w:numPr>
          <w:ilvl w:val="0"/>
          <w:numId w:val="30"/>
        </w:numPr>
        <w:rPr>
          <w:b/>
          <w:color w:val="auto"/>
        </w:rPr>
      </w:pPr>
      <w:r w:rsidRPr="00615D37">
        <w:rPr>
          <w:b/>
          <w:color w:val="auto"/>
        </w:rPr>
        <w:t>Preparation of agonist solutions for experiment in antagonist mode</w:t>
      </w:r>
    </w:p>
    <w:p w14:paraId="240A1EEE" w14:textId="77777777" w:rsidR="00F13D4C" w:rsidRPr="00056460" w:rsidRDefault="00F13D4C" w:rsidP="00056460">
      <w:pPr>
        <w:rPr>
          <w:color w:val="auto"/>
        </w:rPr>
      </w:pPr>
    </w:p>
    <w:p w14:paraId="3D1B1CBF" w14:textId="508054E0" w:rsidR="00F13D4C" w:rsidRPr="00056460" w:rsidRDefault="007A3D6D" w:rsidP="00056460">
      <w:pPr>
        <w:rPr>
          <w:color w:val="auto"/>
        </w:rPr>
      </w:pPr>
      <w:r>
        <w:rPr>
          <w:color w:val="auto"/>
        </w:rPr>
        <w:t xml:space="preserve">NOTE: </w:t>
      </w:r>
      <w:r w:rsidR="00F13D4C" w:rsidRPr="001B6628">
        <w:rPr>
          <w:color w:val="auto"/>
        </w:rPr>
        <w:t xml:space="preserve">Prepare the antagonist solution(s) </w:t>
      </w:r>
      <w:r w:rsidR="00522540" w:rsidRPr="001B6628">
        <w:rPr>
          <w:color w:val="auto"/>
        </w:rPr>
        <w:t xml:space="preserve">with the concentration </w:t>
      </w:r>
      <w:r w:rsidR="00F13D4C" w:rsidRPr="000F339E">
        <w:rPr>
          <w:color w:val="auto"/>
        </w:rPr>
        <w:t>to be applied</w:t>
      </w:r>
      <w:r w:rsidR="009324DB">
        <w:rPr>
          <w:color w:val="auto"/>
        </w:rPr>
        <w:t xml:space="preserve"> throughout</w:t>
      </w:r>
      <w:r w:rsidR="00F13D4C" w:rsidRPr="000F339E">
        <w:rPr>
          <w:color w:val="auto"/>
        </w:rPr>
        <w:t xml:space="preserve">. </w:t>
      </w:r>
      <w:r w:rsidR="008C1B9E" w:rsidRPr="000F17FA">
        <w:rPr>
          <w:color w:val="auto"/>
        </w:rPr>
        <w:t>V</w:t>
      </w:r>
      <w:r w:rsidR="00F13D4C" w:rsidRPr="000F17FA">
        <w:rPr>
          <w:color w:val="auto"/>
        </w:rPr>
        <w:t xml:space="preserve">olume and concentration </w:t>
      </w:r>
      <w:r w:rsidR="008C1B9E" w:rsidRPr="000F17FA">
        <w:rPr>
          <w:color w:val="auto"/>
        </w:rPr>
        <w:t xml:space="preserve">of antagonist solution </w:t>
      </w:r>
      <w:r w:rsidR="00F13D4C" w:rsidRPr="000F17FA">
        <w:rPr>
          <w:color w:val="auto"/>
        </w:rPr>
        <w:t xml:space="preserve">depend on the mode </w:t>
      </w:r>
      <w:r w:rsidR="008C1B9E" w:rsidRPr="000F17FA">
        <w:rPr>
          <w:color w:val="auto"/>
        </w:rPr>
        <w:t xml:space="preserve">of agonist addition </w:t>
      </w:r>
      <w:r w:rsidR="00F13D4C" w:rsidRPr="000F17FA">
        <w:rPr>
          <w:color w:val="auto"/>
        </w:rPr>
        <w:t>(1 or 2)</w:t>
      </w:r>
      <w:r w:rsidRPr="000F17FA">
        <w:rPr>
          <w:color w:val="auto"/>
        </w:rPr>
        <w:t>.</w:t>
      </w:r>
      <w:r w:rsidR="00F13D4C" w:rsidRPr="000F17FA">
        <w:rPr>
          <w:color w:val="auto"/>
        </w:rPr>
        <w:t xml:space="preserve"> Examples for experiments in 8-well or 96-well format </w:t>
      </w:r>
      <w:r w:rsidR="008C1B9E" w:rsidRPr="000F17FA">
        <w:rPr>
          <w:color w:val="auto"/>
        </w:rPr>
        <w:t xml:space="preserve">in </w:t>
      </w:r>
      <w:r w:rsidR="00C67B38" w:rsidRPr="000F17FA">
        <w:rPr>
          <w:color w:val="auto"/>
        </w:rPr>
        <w:t>addition mode 2</w:t>
      </w:r>
      <w:r w:rsidR="00F13D4C" w:rsidRPr="001B6628">
        <w:rPr>
          <w:color w:val="auto"/>
        </w:rPr>
        <w:t>:</w:t>
      </w:r>
      <w:r>
        <w:rPr>
          <w:color w:val="auto"/>
        </w:rPr>
        <w:t xml:space="preserve"> </w:t>
      </w:r>
      <w:r w:rsidR="00F13D4C" w:rsidRPr="00056460">
        <w:rPr>
          <w:color w:val="auto"/>
        </w:rPr>
        <w:t>(A) 8-well format (V</w:t>
      </w:r>
      <w:r w:rsidR="00F13D4C" w:rsidRPr="00056460">
        <w:rPr>
          <w:color w:val="auto"/>
          <w:vertAlign w:val="subscript"/>
        </w:rPr>
        <w:t>x1</w:t>
      </w:r>
      <w:r w:rsidR="00F13D4C" w:rsidRPr="00056460">
        <w:rPr>
          <w:color w:val="auto"/>
        </w:rPr>
        <w:t xml:space="preserve"> = 200 µL, </w:t>
      </w:r>
      <w:proofErr w:type="spellStart"/>
      <w:r w:rsidR="00F13D4C" w:rsidRPr="00056460">
        <w:rPr>
          <w:color w:val="auto"/>
        </w:rPr>
        <w:t>V</w:t>
      </w:r>
      <w:r w:rsidR="00F13D4C" w:rsidRPr="00056460">
        <w:rPr>
          <w:color w:val="auto"/>
          <w:vertAlign w:val="subscript"/>
        </w:rPr>
        <w:t>Antagonist</w:t>
      </w:r>
      <w:proofErr w:type="spellEnd"/>
      <w:r w:rsidR="00F13D4C" w:rsidRPr="00056460">
        <w:rPr>
          <w:color w:val="auto"/>
          <w:vertAlign w:val="subscript"/>
        </w:rPr>
        <w:t xml:space="preserve"> </w:t>
      </w:r>
      <w:r w:rsidR="00F13D4C" w:rsidRPr="00056460">
        <w:rPr>
          <w:color w:val="auto"/>
        </w:rPr>
        <w:t>= 200 µL)</w:t>
      </w:r>
      <w:r>
        <w:rPr>
          <w:color w:val="auto"/>
        </w:rPr>
        <w:t xml:space="preserve">; </w:t>
      </w:r>
      <w:r w:rsidR="00F13D4C" w:rsidRPr="00056460">
        <w:rPr>
          <w:color w:val="auto"/>
        </w:rPr>
        <w:t>(B) 96-well format (V</w:t>
      </w:r>
      <w:r w:rsidR="00F13D4C" w:rsidRPr="00056460">
        <w:rPr>
          <w:color w:val="auto"/>
          <w:vertAlign w:val="subscript"/>
        </w:rPr>
        <w:t>x1</w:t>
      </w:r>
      <w:r w:rsidR="00F13D4C" w:rsidRPr="00056460">
        <w:rPr>
          <w:color w:val="auto"/>
        </w:rPr>
        <w:t xml:space="preserve"> = 150 µL, </w:t>
      </w:r>
      <w:proofErr w:type="spellStart"/>
      <w:r w:rsidR="00F13D4C" w:rsidRPr="00056460">
        <w:rPr>
          <w:color w:val="auto"/>
        </w:rPr>
        <w:t>V</w:t>
      </w:r>
      <w:r w:rsidR="00F13D4C" w:rsidRPr="00056460">
        <w:rPr>
          <w:color w:val="auto"/>
          <w:vertAlign w:val="subscript"/>
        </w:rPr>
        <w:t>Antagonist</w:t>
      </w:r>
      <w:proofErr w:type="spellEnd"/>
      <w:r w:rsidR="00F13D4C" w:rsidRPr="00056460">
        <w:rPr>
          <w:color w:val="auto"/>
        </w:rPr>
        <w:t xml:space="preserve"> = 75 µL)</w:t>
      </w:r>
      <w:r w:rsidR="00C907AC">
        <w:rPr>
          <w:color w:val="auto"/>
        </w:rPr>
        <w:t>.</w:t>
      </w:r>
    </w:p>
    <w:p w14:paraId="72B2F8DE" w14:textId="77777777" w:rsidR="00F13D4C" w:rsidRPr="00056460" w:rsidRDefault="00F13D4C" w:rsidP="00056460">
      <w:pPr>
        <w:rPr>
          <w:color w:val="auto"/>
        </w:rPr>
      </w:pPr>
    </w:p>
    <w:p w14:paraId="683DF50C" w14:textId="38CBFDF2" w:rsidR="00F13D4C" w:rsidRPr="00615D37" w:rsidRDefault="008C1B9E" w:rsidP="00615D37">
      <w:pPr>
        <w:pStyle w:val="af3"/>
        <w:numPr>
          <w:ilvl w:val="1"/>
          <w:numId w:val="30"/>
        </w:numPr>
        <w:rPr>
          <w:color w:val="auto"/>
        </w:rPr>
      </w:pPr>
      <w:r w:rsidRPr="00615D37">
        <w:rPr>
          <w:color w:val="auto"/>
        </w:rPr>
        <w:t>C</w:t>
      </w:r>
      <w:r w:rsidR="00EB56FA" w:rsidRPr="00615D37">
        <w:rPr>
          <w:color w:val="auto"/>
        </w:rPr>
        <w:t>alculate the concentration of each agonist solution needed for each step of se</w:t>
      </w:r>
      <w:r w:rsidRPr="00615D37">
        <w:rPr>
          <w:color w:val="auto"/>
        </w:rPr>
        <w:t xml:space="preserve">rial dosing as described in </w:t>
      </w:r>
      <w:r w:rsidR="00613440">
        <w:rPr>
          <w:color w:val="auto"/>
        </w:rPr>
        <w:t xml:space="preserve">step </w:t>
      </w:r>
      <w:r w:rsidRPr="00615D37">
        <w:rPr>
          <w:color w:val="auto"/>
        </w:rPr>
        <w:t>4.1</w:t>
      </w:r>
      <w:r w:rsidR="009324DB">
        <w:rPr>
          <w:color w:val="auto"/>
        </w:rPr>
        <w:t>.</w:t>
      </w:r>
    </w:p>
    <w:p w14:paraId="2BEECD43" w14:textId="77777777" w:rsidR="00F13D4C" w:rsidRPr="00056460" w:rsidRDefault="00F13D4C" w:rsidP="00056460">
      <w:pPr>
        <w:rPr>
          <w:color w:val="auto"/>
        </w:rPr>
      </w:pPr>
    </w:p>
    <w:p w14:paraId="2DE5AD39" w14:textId="03C2083B" w:rsidR="00EB56FA" w:rsidRPr="00615D37" w:rsidRDefault="00EB56FA" w:rsidP="00615D37">
      <w:pPr>
        <w:pStyle w:val="af3"/>
        <w:numPr>
          <w:ilvl w:val="1"/>
          <w:numId w:val="30"/>
        </w:numPr>
        <w:rPr>
          <w:color w:val="auto"/>
        </w:rPr>
      </w:pPr>
      <w:r w:rsidRPr="00615D37">
        <w:rPr>
          <w:color w:val="auto"/>
        </w:rPr>
        <w:t>Make all agonist soluti</w:t>
      </w:r>
      <w:r w:rsidR="00522540" w:rsidRPr="00615D37">
        <w:rPr>
          <w:color w:val="auto"/>
        </w:rPr>
        <w:t>ons in the same serum-free medium</w:t>
      </w:r>
      <w:r w:rsidRPr="00615D37">
        <w:rPr>
          <w:color w:val="auto"/>
        </w:rPr>
        <w:t xml:space="preserve"> as used for equilibration of the cells and add the antagonist at the same final concentration as </w:t>
      </w:r>
      <w:r w:rsidR="008C1B9E" w:rsidRPr="00615D37">
        <w:rPr>
          <w:color w:val="auto"/>
        </w:rPr>
        <w:t xml:space="preserve">planned </w:t>
      </w:r>
      <w:r w:rsidRPr="00615D37">
        <w:rPr>
          <w:color w:val="auto"/>
        </w:rPr>
        <w:t>for the respective wells in the experiment.</w:t>
      </w:r>
    </w:p>
    <w:p w14:paraId="06DADF6A" w14:textId="77777777" w:rsidR="0012026B" w:rsidRPr="00056460" w:rsidRDefault="0012026B" w:rsidP="00056460">
      <w:pPr>
        <w:rPr>
          <w:color w:val="auto"/>
        </w:rPr>
      </w:pPr>
    </w:p>
    <w:p w14:paraId="6AA8AD76" w14:textId="1A0F46EE" w:rsidR="0012026B" w:rsidRPr="00056460" w:rsidRDefault="00613440" w:rsidP="00056460">
      <w:pPr>
        <w:rPr>
          <w:color w:val="auto"/>
        </w:rPr>
      </w:pPr>
      <w:r w:rsidRPr="00056460">
        <w:rPr>
          <w:color w:val="auto"/>
        </w:rPr>
        <w:t xml:space="preserve">NOTE: </w:t>
      </w:r>
      <w:r w:rsidR="0012026B" w:rsidRPr="00056460">
        <w:rPr>
          <w:color w:val="auto"/>
        </w:rPr>
        <w:t>In this case the histamine stock solution (10 mM) is prepared in L-15 medium. When agonists are dissolved in other solvents (e.g.</w:t>
      </w:r>
      <w:r w:rsidR="005F072B">
        <w:rPr>
          <w:color w:val="auto"/>
        </w:rPr>
        <w:t>,</w:t>
      </w:r>
      <w:r w:rsidR="0012026B" w:rsidRPr="00056460">
        <w:rPr>
          <w:color w:val="auto"/>
        </w:rPr>
        <w:t xml:space="preserve"> dimethyl </w:t>
      </w:r>
      <w:proofErr w:type="spellStart"/>
      <w:r w:rsidR="0012026B" w:rsidRPr="00056460">
        <w:rPr>
          <w:color w:val="auto"/>
        </w:rPr>
        <w:t>sulfoxid</w:t>
      </w:r>
      <w:proofErr w:type="spellEnd"/>
      <w:r w:rsidR="0012026B" w:rsidRPr="00056460">
        <w:rPr>
          <w:color w:val="auto"/>
        </w:rPr>
        <w:t xml:space="preserve"> (DMSO), ethanol) a solvent control should be included to account for the increasing solvent load with each step of addition.</w:t>
      </w:r>
    </w:p>
    <w:p w14:paraId="053892EB" w14:textId="77777777" w:rsidR="005B4D64" w:rsidRPr="00056460" w:rsidRDefault="005B4D64" w:rsidP="00056460">
      <w:pPr>
        <w:rPr>
          <w:color w:val="auto"/>
        </w:rPr>
      </w:pPr>
    </w:p>
    <w:p w14:paraId="184B158E" w14:textId="7FBEB051" w:rsidR="006E4C50" w:rsidRPr="00615D37" w:rsidRDefault="006E4C50" w:rsidP="00615D37">
      <w:pPr>
        <w:pStyle w:val="af3"/>
        <w:numPr>
          <w:ilvl w:val="0"/>
          <w:numId w:val="30"/>
        </w:numPr>
        <w:rPr>
          <w:b/>
          <w:color w:val="auto"/>
          <w:highlight w:val="yellow"/>
        </w:rPr>
      </w:pPr>
      <w:r w:rsidRPr="00615D37">
        <w:rPr>
          <w:b/>
          <w:color w:val="auto"/>
          <w:highlight w:val="yellow"/>
        </w:rPr>
        <w:t>Performing the serial addition protocol in agonist mode</w:t>
      </w:r>
    </w:p>
    <w:p w14:paraId="6257523B" w14:textId="77777777" w:rsidR="00EB56FA" w:rsidRPr="00056460" w:rsidRDefault="00EB56FA" w:rsidP="00056460">
      <w:pPr>
        <w:rPr>
          <w:color w:val="auto"/>
          <w:highlight w:val="yellow"/>
        </w:rPr>
      </w:pPr>
    </w:p>
    <w:p w14:paraId="4F24F26A" w14:textId="2C772113" w:rsidR="00593254" w:rsidRPr="00615D37" w:rsidRDefault="00593254" w:rsidP="00615D37">
      <w:pPr>
        <w:pStyle w:val="af3"/>
        <w:numPr>
          <w:ilvl w:val="1"/>
          <w:numId w:val="30"/>
        </w:numPr>
        <w:rPr>
          <w:color w:val="auto"/>
          <w:highlight w:val="yellow"/>
        </w:rPr>
      </w:pPr>
      <w:r w:rsidRPr="00615D37">
        <w:rPr>
          <w:color w:val="auto"/>
          <w:highlight w:val="yellow"/>
        </w:rPr>
        <w:t xml:space="preserve">Start </w:t>
      </w:r>
      <w:r w:rsidR="001D7F6B" w:rsidRPr="00615D37">
        <w:rPr>
          <w:color w:val="auto"/>
          <w:highlight w:val="yellow"/>
        </w:rPr>
        <w:t xml:space="preserve">data acquisition </w:t>
      </w:r>
      <w:r w:rsidR="00F92F23" w:rsidRPr="00615D37">
        <w:rPr>
          <w:color w:val="auto"/>
          <w:highlight w:val="yellow"/>
        </w:rPr>
        <w:t xml:space="preserve">as described </w:t>
      </w:r>
      <w:r w:rsidR="005F072B">
        <w:rPr>
          <w:color w:val="auto"/>
          <w:highlight w:val="yellow"/>
        </w:rPr>
        <w:t xml:space="preserve">in steps </w:t>
      </w:r>
      <w:r w:rsidR="00F92F23" w:rsidRPr="00615D37">
        <w:rPr>
          <w:color w:val="auto"/>
          <w:highlight w:val="yellow"/>
        </w:rPr>
        <w:t>3.1 – 3.5</w:t>
      </w:r>
      <w:r w:rsidR="0038182D" w:rsidRPr="00615D37">
        <w:rPr>
          <w:color w:val="auto"/>
          <w:highlight w:val="yellow"/>
        </w:rPr>
        <w:t>.</w:t>
      </w:r>
    </w:p>
    <w:p w14:paraId="1F5E4690" w14:textId="77777777" w:rsidR="00593254" w:rsidRPr="00056460" w:rsidRDefault="00593254" w:rsidP="00056460">
      <w:pPr>
        <w:rPr>
          <w:color w:val="auto"/>
          <w:highlight w:val="yellow"/>
        </w:rPr>
      </w:pPr>
    </w:p>
    <w:p w14:paraId="63A348E6" w14:textId="29751867" w:rsidR="00593254" w:rsidRPr="00615D37" w:rsidRDefault="00593254" w:rsidP="00615D37">
      <w:pPr>
        <w:pStyle w:val="af3"/>
        <w:numPr>
          <w:ilvl w:val="1"/>
          <w:numId w:val="30"/>
        </w:numPr>
        <w:rPr>
          <w:color w:val="auto"/>
          <w:highlight w:val="yellow"/>
        </w:rPr>
      </w:pPr>
      <w:r w:rsidRPr="00615D37">
        <w:rPr>
          <w:color w:val="auto"/>
          <w:highlight w:val="yellow"/>
        </w:rPr>
        <w:t xml:space="preserve">Pre-warm the agonist solutions prior to </w:t>
      </w:r>
      <w:r w:rsidR="008C1B9E" w:rsidRPr="00615D37">
        <w:rPr>
          <w:color w:val="auto"/>
          <w:highlight w:val="yellow"/>
        </w:rPr>
        <w:t>use</w:t>
      </w:r>
      <w:r w:rsidRPr="00615D37">
        <w:rPr>
          <w:color w:val="auto"/>
          <w:highlight w:val="yellow"/>
        </w:rPr>
        <w:t xml:space="preserve"> by placing them in the incubator about 10 – 15 min before addition. </w:t>
      </w:r>
    </w:p>
    <w:p w14:paraId="0A308D8E" w14:textId="77777777" w:rsidR="00593254" w:rsidRPr="00056460" w:rsidRDefault="00593254" w:rsidP="00056460">
      <w:pPr>
        <w:rPr>
          <w:color w:val="auto"/>
          <w:highlight w:val="yellow"/>
        </w:rPr>
      </w:pPr>
    </w:p>
    <w:p w14:paraId="03B32694" w14:textId="111E9D46" w:rsidR="00593254" w:rsidRPr="00056460" w:rsidRDefault="00593254" w:rsidP="00056460">
      <w:pPr>
        <w:rPr>
          <w:color w:val="auto"/>
          <w:highlight w:val="yellow"/>
        </w:rPr>
      </w:pPr>
      <w:r w:rsidRPr="00056460">
        <w:rPr>
          <w:color w:val="auto"/>
          <w:highlight w:val="yellow"/>
        </w:rPr>
        <w:t>NOTE: When using thermo-labile substances</w:t>
      </w:r>
      <w:r w:rsidR="007A3D6D">
        <w:rPr>
          <w:color w:val="auto"/>
          <w:highlight w:val="yellow"/>
        </w:rPr>
        <w:t>,</w:t>
      </w:r>
      <w:r w:rsidRPr="00056460">
        <w:rPr>
          <w:color w:val="auto"/>
          <w:highlight w:val="yellow"/>
        </w:rPr>
        <w:t xml:space="preserve"> the solutions should not be kept at 37 °C for too long. If pre-warming for 10 – 15 min is considered critical, bring solutions to 37 °C shortly before addition in a water bath.</w:t>
      </w:r>
    </w:p>
    <w:p w14:paraId="27EE78F4" w14:textId="77777777" w:rsidR="00593254" w:rsidRPr="00056460" w:rsidRDefault="00593254" w:rsidP="00056460">
      <w:pPr>
        <w:rPr>
          <w:color w:val="auto"/>
          <w:highlight w:val="yellow"/>
        </w:rPr>
      </w:pPr>
    </w:p>
    <w:p w14:paraId="22AB22EF" w14:textId="7B40036B" w:rsidR="006E4842" w:rsidRPr="005F072B" w:rsidRDefault="00EE0B1E" w:rsidP="005F072B">
      <w:pPr>
        <w:pStyle w:val="af3"/>
        <w:numPr>
          <w:ilvl w:val="1"/>
          <w:numId w:val="30"/>
        </w:numPr>
        <w:rPr>
          <w:color w:val="auto"/>
        </w:rPr>
      </w:pPr>
      <w:r w:rsidRPr="005F072B">
        <w:rPr>
          <w:color w:val="auto"/>
          <w:highlight w:val="yellow"/>
        </w:rPr>
        <w:t xml:space="preserve">Run the agonist </w:t>
      </w:r>
      <w:r w:rsidR="008C1B9E" w:rsidRPr="005F072B">
        <w:rPr>
          <w:color w:val="auto"/>
          <w:highlight w:val="yellow"/>
        </w:rPr>
        <w:t>serial dosing dependent on the selected addition mode</w:t>
      </w:r>
      <w:r w:rsidRPr="005F072B">
        <w:rPr>
          <w:color w:val="auto"/>
          <w:highlight w:val="yellow"/>
        </w:rPr>
        <w:t xml:space="preserve">. </w:t>
      </w:r>
      <w:r w:rsidR="008C1B9E" w:rsidRPr="005F072B">
        <w:rPr>
          <w:color w:val="auto"/>
          <w:highlight w:val="yellow"/>
        </w:rPr>
        <w:t xml:space="preserve">Following </w:t>
      </w:r>
      <w:r w:rsidR="006E4842" w:rsidRPr="005F072B">
        <w:rPr>
          <w:b/>
          <w:color w:val="auto"/>
          <w:highlight w:val="yellow"/>
        </w:rPr>
        <w:t>mode 1</w:t>
      </w:r>
      <w:r w:rsidR="006E4842" w:rsidRPr="005F072B">
        <w:rPr>
          <w:color w:val="auto"/>
          <w:highlight w:val="yellow"/>
        </w:rPr>
        <w:t xml:space="preserve"> the total volume in the well increases with each addition of the next dose. In </w:t>
      </w:r>
      <w:r w:rsidR="006E4842" w:rsidRPr="005F072B">
        <w:rPr>
          <w:b/>
          <w:color w:val="auto"/>
          <w:highlight w:val="yellow"/>
        </w:rPr>
        <w:t>mode 2</w:t>
      </w:r>
      <w:r w:rsidR="006E4842" w:rsidRPr="005F072B">
        <w:rPr>
          <w:color w:val="auto"/>
          <w:highlight w:val="yellow"/>
        </w:rPr>
        <w:t xml:space="preserve"> the same volume which is added with each step is also removed again just before adding the next higher dose.</w:t>
      </w:r>
      <w:r w:rsidR="00CF79C0" w:rsidRPr="005F072B">
        <w:rPr>
          <w:color w:val="auto"/>
          <w:highlight w:val="yellow"/>
        </w:rPr>
        <w:t xml:space="preserve"> </w:t>
      </w:r>
    </w:p>
    <w:p w14:paraId="52CCBF25" w14:textId="77777777" w:rsidR="00341CA2" w:rsidRPr="00056460" w:rsidRDefault="00341CA2" w:rsidP="00056460">
      <w:pPr>
        <w:rPr>
          <w:color w:val="auto"/>
        </w:rPr>
      </w:pPr>
    </w:p>
    <w:p w14:paraId="50F24E8F" w14:textId="541CC8AF" w:rsidR="00341CA2" w:rsidRPr="00056460" w:rsidRDefault="005F072B" w:rsidP="00056460">
      <w:pPr>
        <w:rPr>
          <w:color w:val="auto"/>
        </w:rPr>
      </w:pPr>
      <w:r w:rsidRPr="00056460">
        <w:rPr>
          <w:color w:val="auto"/>
        </w:rPr>
        <w:t xml:space="preserve">NOTE: </w:t>
      </w:r>
      <w:r w:rsidR="00341CA2" w:rsidRPr="00056460">
        <w:rPr>
          <w:color w:val="auto"/>
        </w:rPr>
        <w:t xml:space="preserve">Time needed for equilibration of the cell layer in between two subsequent agonist doses depends on the </w:t>
      </w:r>
      <w:r w:rsidR="007A3D6D">
        <w:rPr>
          <w:color w:val="auto"/>
        </w:rPr>
        <w:t xml:space="preserve">cells’ </w:t>
      </w:r>
      <w:r w:rsidR="00341CA2" w:rsidRPr="00056460">
        <w:rPr>
          <w:color w:val="auto"/>
        </w:rPr>
        <w:t xml:space="preserve">response </w:t>
      </w:r>
      <w:r w:rsidR="007A3D6D">
        <w:rPr>
          <w:color w:val="auto"/>
        </w:rPr>
        <w:t>time</w:t>
      </w:r>
      <w:r w:rsidR="00341CA2" w:rsidRPr="00056460">
        <w:rPr>
          <w:color w:val="auto"/>
        </w:rPr>
        <w:t xml:space="preserve">. </w:t>
      </w:r>
      <w:r w:rsidR="007A3D6D">
        <w:rPr>
          <w:color w:val="auto"/>
        </w:rPr>
        <w:t xml:space="preserve">An initial </w:t>
      </w:r>
      <w:r w:rsidR="00341CA2" w:rsidRPr="00056460">
        <w:rPr>
          <w:color w:val="auto"/>
        </w:rPr>
        <w:t xml:space="preserve">experiment in parallel mode (one well – one concentration) </w:t>
      </w:r>
      <w:r w:rsidR="007A3D6D">
        <w:rPr>
          <w:color w:val="auto"/>
        </w:rPr>
        <w:t xml:space="preserve">reveals </w:t>
      </w:r>
      <w:r w:rsidR="00341CA2" w:rsidRPr="00056460">
        <w:rPr>
          <w:color w:val="auto"/>
        </w:rPr>
        <w:t>(</w:t>
      </w:r>
      <w:proofErr w:type="spellStart"/>
      <w:r w:rsidR="00341CA2" w:rsidRPr="00056460">
        <w:rPr>
          <w:color w:val="auto"/>
        </w:rPr>
        <w:t>i</w:t>
      </w:r>
      <w:proofErr w:type="spellEnd"/>
      <w:r w:rsidR="00341CA2" w:rsidRPr="00056460">
        <w:rPr>
          <w:color w:val="auto"/>
        </w:rPr>
        <w:t xml:space="preserve">) cell response </w:t>
      </w:r>
      <w:r w:rsidR="007A3D6D">
        <w:rPr>
          <w:color w:val="auto"/>
        </w:rPr>
        <w:t xml:space="preserve">times for </w:t>
      </w:r>
      <w:r w:rsidR="00341CA2" w:rsidRPr="00056460">
        <w:rPr>
          <w:color w:val="auto"/>
        </w:rPr>
        <w:t xml:space="preserve">different agonist concentrations and (ii) </w:t>
      </w:r>
      <w:r w:rsidR="007A3D6D">
        <w:rPr>
          <w:color w:val="auto"/>
        </w:rPr>
        <w:t xml:space="preserve">the most sensitive </w:t>
      </w:r>
      <w:r w:rsidR="00341CA2" w:rsidRPr="00056460">
        <w:rPr>
          <w:color w:val="auto"/>
        </w:rPr>
        <w:t>curve parameter (e.g.</w:t>
      </w:r>
      <w:r>
        <w:rPr>
          <w:color w:val="auto"/>
        </w:rPr>
        <w:t>,</w:t>
      </w:r>
      <w:r w:rsidR="00341CA2" w:rsidRPr="00056460">
        <w:rPr>
          <w:color w:val="auto"/>
        </w:rPr>
        <w:t xml:space="preserve"> impedance maximum, impedance after time x).</w:t>
      </w:r>
    </w:p>
    <w:p w14:paraId="5C1FA069" w14:textId="77777777" w:rsidR="00B65C25" w:rsidRPr="00056460" w:rsidRDefault="00B65C25" w:rsidP="00056460">
      <w:pPr>
        <w:rPr>
          <w:color w:val="auto"/>
        </w:rPr>
      </w:pPr>
    </w:p>
    <w:p w14:paraId="4B115A7E" w14:textId="4D6C3BB9" w:rsidR="00CF79C0" w:rsidRPr="00056460" w:rsidRDefault="00AE23B5" w:rsidP="00056460">
      <w:pPr>
        <w:rPr>
          <w:b/>
          <w:color w:val="auto"/>
          <w:highlight w:val="yellow"/>
        </w:rPr>
      </w:pPr>
      <w:r w:rsidRPr="00056460">
        <w:rPr>
          <w:b/>
          <w:color w:val="auto"/>
          <w:highlight w:val="yellow"/>
        </w:rPr>
        <w:t>A</w:t>
      </w:r>
      <w:r w:rsidR="008C1B9E" w:rsidRPr="00056460">
        <w:rPr>
          <w:b/>
          <w:color w:val="auto"/>
          <w:highlight w:val="yellow"/>
        </w:rPr>
        <w:t>:</w:t>
      </w:r>
      <w:r w:rsidRPr="00056460">
        <w:rPr>
          <w:b/>
          <w:color w:val="auto"/>
          <w:highlight w:val="yellow"/>
        </w:rPr>
        <w:t xml:space="preserve"> </w:t>
      </w:r>
      <w:r w:rsidR="00CF79C0" w:rsidRPr="00056460">
        <w:rPr>
          <w:b/>
          <w:color w:val="auto"/>
          <w:highlight w:val="yellow"/>
        </w:rPr>
        <w:t>Mode 1</w:t>
      </w:r>
      <w:r w:rsidR="00EE0B1E" w:rsidRPr="00056460">
        <w:rPr>
          <w:b/>
          <w:color w:val="auto"/>
          <w:highlight w:val="yellow"/>
        </w:rPr>
        <w:t xml:space="preserve"> /</w:t>
      </w:r>
      <w:r w:rsidR="00CF79C0" w:rsidRPr="00056460">
        <w:rPr>
          <w:b/>
          <w:color w:val="auto"/>
          <w:highlight w:val="yellow"/>
        </w:rPr>
        <w:t xml:space="preserve"> 8-well fo</w:t>
      </w:r>
      <w:r w:rsidR="00593254" w:rsidRPr="00056460">
        <w:rPr>
          <w:b/>
          <w:color w:val="auto"/>
          <w:highlight w:val="yellow"/>
        </w:rPr>
        <w:t>r</w:t>
      </w:r>
      <w:r w:rsidR="00CF79C0" w:rsidRPr="00056460">
        <w:rPr>
          <w:b/>
          <w:color w:val="auto"/>
          <w:highlight w:val="yellow"/>
        </w:rPr>
        <w:t>mat</w:t>
      </w:r>
    </w:p>
    <w:p w14:paraId="5FC52850" w14:textId="77777777" w:rsidR="00CF79C0" w:rsidRPr="00056460" w:rsidRDefault="00CF79C0" w:rsidP="00056460">
      <w:pPr>
        <w:rPr>
          <w:color w:val="auto"/>
          <w:highlight w:val="yellow"/>
        </w:rPr>
      </w:pPr>
    </w:p>
    <w:p w14:paraId="170B599D" w14:textId="4F8B5185" w:rsidR="00EE0B1E" w:rsidRPr="005F072B" w:rsidRDefault="00CF79C0" w:rsidP="005F072B">
      <w:pPr>
        <w:pStyle w:val="af3"/>
        <w:numPr>
          <w:ilvl w:val="2"/>
          <w:numId w:val="30"/>
        </w:numPr>
        <w:rPr>
          <w:color w:val="auto"/>
          <w:highlight w:val="yellow"/>
        </w:rPr>
      </w:pPr>
      <w:r w:rsidRPr="005F072B">
        <w:rPr>
          <w:color w:val="auto"/>
          <w:highlight w:val="yellow"/>
        </w:rPr>
        <w:t xml:space="preserve">Add </w:t>
      </w:r>
      <w:r w:rsidR="00EE0B1E" w:rsidRPr="005F072B">
        <w:rPr>
          <w:color w:val="auto"/>
          <w:highlight w:val="yellow"/>
        </w:rPr>
        <w:t xml:space="preserve">30 µL of </w:t>
      </w:r>
      <w:r w:rsidRPr="005F072B">
        <w:rPr>
          <w:color w:val="auto"/>
          <w:highlight w:val="yellow"/>
        </w:rPr>
        <w:t xml:space="preserve">the first </w:t>
      </w:r>
      <w:r w:rsidR="004B10C9" w:rsidRPr="005F072B">
        <w:rPr>
          <w:color w:val="auto"/>
          <w:highlight w:val="yellow"/>
        </w:rPr>
        <w:t xml:space="preserve">solution with the lowest concentration </w:t>
      </w:r>
      <w:r w:rsidR="0038182D" w:rsidRPr="005F072B">
        <w:rPr>
          <w:color w:val="auto"/>
          <w:highlight w:val="yellow"/>
        </w:rPr>
        <w:t xml:space="preserve">of agonist to the </w:t>
      </w:r>
      <w:r w:rsidR="00EE0B1E" w:rsidRPr="005F072B">
        <w:rPr>
          <w:color w:val="auto"/>
          <w:highlight w:val="yellow"/>
        </w:rPr>
        <w:t xml:space="preserve">cells that were equilibrated in 200 µL </w:t>
      </w:r>
      <w:r w:rsidR="005F072B">
        <w:rPr>
          <w:color w:val="auto"/>
          <w:highlight w:val="yellow"/>
        </w:rPr>
        <w:t xml:space="preserve">of </w:t>
      </w:r>
      <w:r w:rsidR="00EE0B1E" w:rsidRPr="005F072B">
        <w:rPr>
          <w:color w:val="auto"/>
          <w:highlight w:val="yellow"/>
        </w:rPr>
        <w:t>serum-free medium.</w:t>
      </w:r>
    </w:p>
    <w:p w14:paraId="494ABA00" w14:textId="77777777" w:rsidR="00EE0B1E" w:rsidRPr="00056460" w:rsidRDefault="00EE0B1E" w:rsidP="00056460">
      <w:pPr>
        <w:rPr>
          <w:color w:val="auto"/>
          <w:highlight w:val="yellow"/>
        </w:rPr>
      </w:pPr>
    </w:p>
    <w:p w14:paraId="14994753" w14:textId="607C010F" w:rsidR="00EE0B1E" w:rsidRPr="005F072B" w:rsidRDefault="00EE0B1E" w:rsidP="005F072B">
      <w:pPr>
        <w:pStyle w:val="af3"/>
        <w:numPr>
          <w:ilvl w:val="2"/>
          <w:numId w:val="30"/>
        </w:numPr>
        <w:rPr>
          <w:color w:val="auto"/>
          <w:highlight w:val="yellow"/>
        </w:rPr>
      </w:pPr>
      <w:r w:rsidRPr="005F072B">
        <w:rPr>
          <w:color w:val="auto"/>
          <w:highlight w:val="yellow"/>
        </w:rPr>
        <w:t xml:space="preserve">Let </w:t>
      </w:r>
      <w:r w:rsidR="005F072B">
        <w:rPr>
          <w:color w:val="auto"/>
          <w:highlight w:val="yellow"/>
        </w:rPr>
        <w:t xml:space="preserve">the </w:t>
      </w:r>
      <w:r w:rsidRPr="005F072B">
        <w:rPr>
          <w:color w:val="auto"/>
          <w:highlight w:val="yellow"/>
        </w:rPr>
        <w:t xml:space="preserve">cells </w:t>
      </w:r>
      <w:r w:rsidR="001D7F6B" w:rsidRPr="005F072B">
        <w:rPr>
          <w:color w:val="auto"/>
          <w:highlight w:val="yellow"/>
        </w:rPr>
        <w:t xml:space="preserve">respond and </w:t>
      </w:r>
      <w:r w:rsidRPr="005F072B">
        <w:rPr>
          <w:color w:val="auto"/>
          <w:highlight w:val="yellow"/>
        </w:rPr>
        <w:t xml:space="preserve">equilibrate for the </w:t>
      </w:r>
      <w:r w:rsidR="00F352B9" w:rsidRPr="005F072B">
        <w:rPr>
          <w:color w:val="auto"/>
          <w:highlight w:val="yellow"/>
        </w:rPr>
        <w:t>pre-</w:t>
      </w:r>
      <w:r w:rsidRPr="005F072B">
        <w:rPr>
          <w:color w:val="auto"/>
          <w:highlight w:val="yellow"/>
        </w:rPr>
        <w:t xml:space="preserve">defined </w:t>
      </w:r>
      <w:proofErr w:type="gramStart"/>
      <w:r w:rsidRPr="005F072B">
        <w:rPr>
          <w:color w:val="auto"/>
          <w:highlight w:val="yellow"/>
        </w:rPr>
        <w:t>period of time</w:t>
      </w:r>
      <w:proofErr w:type="gramEnd"/>
      <w:r w:rsidRPr="005F072B">
        <w:rPr>
          <w:color w:val="auto"/>
          <w:highlight w:val="yellow"/>
        </w:rPr>
        <w:t xml:space="preserve"> (e.g.</w:t>
      </w:r>
      <w:r w:rsidR="005F072B">
        <w:rPr>
          <w:color w:val="auto"/>
          <w:highlight w:val="yellow"/>
        </w:rPr>
        <w:t>,</w:t>
      </w:r>
      <w:r w:rsidRPr="005F072B">
        <w:rPr>
          <w:color w:val="auto"/>
          <w:highlight w:val="yellow"/>
        </w:rPr>
        <w:t xml:space="preserve"> 15 min)</w:t>
      </w:r>
      <w:r w:rsidR="0038182D" w:rsidRPr="005F072B">
        <w:rPr>
          <w:color w:val="auto"/>
          <w:highlight w:val="yellow"/>
        </w:rPr>
        <w:t>.</w:t>
      </w:r>
    </w:p>
    <w:p w14:paraId="516E5360" w14:textId="77777777" w:rsidR="00EE0B1E" w:rsidRPr="00056460" w:rsidRDefault="00EE0B1E" w:rsidP="00056460">
      <w:pPr>
        <w:rPr>
          <w:color w:val="auto"/>
          <w:highlight w:val="yellow"/>
        </w:rPr>
      </w:pPr>
    </w:p>
    <w:p w14:paraId="5174957D" w14:textId="654F4217" w:rsidR="00EE0B1E" w:rsidRPr="005F072B" w:rsidRDefault="00EE0B1E" w:rsidP="005F072B">
      <w:pPr>
        <w:pStyle w:val="af3"/>
        <w:numPr>
          <w:ilvl w:val="2"/>
          <w:numId w:val="30"/>
        </w:numPr>
        <w:rPr>
          <w:color w:val="auto"/>
          <w:highlight w:val="yellow"/>
        </w:rPr>
      </w:pPr>
      <w:r w:rsidRPr="005F072B">
        <w:rPr>
          <w:color w:val="auto"/>
          <w:highlight w:val="yellow"/>
        </w:rPr>
        <w:t>Add 30 µL of the second solution with the next higher concentration</w:t>
      </w:r>
      <w:r w:rsidR="0038182D" w:rsidRPr="005F072B">
        <w:rPr>
          <w:color w:val="auto"/>
          <w:highlight w:val="yellow"/>
        </w:rPr>
        <w:t>.</w:t>
      </w:r>
    </w:p>
    <w:p w14:paraId="753B543C" w14:textId="77777777" w:rsidR="00EE0B1E" w:rsidRPr="00056460" w:rsidRDefault="00EE0B1E" w:rsidP="00056460">
      <w:pPr>
        <w:rPr>
          <w:color w:val="auto"/>
          <w:highlight w:val="yellow"/>
        </w:rPr>
      </w:pPr>
    </w:p>
    <w:p w14:paraId="154EB284" w14:textId="0E60A7A6" w:rsidR="00EE0B1E" w:rsidRPr="005F072B" w:rsidRDefault="00EE0B1E" w:rsidP="005F072B">
      <w:pPr>
        <w:pStyle w:val="af3"/>
        <w:numPr>
          <w:ilvl w:val="2"/>
          <w:numId w:val="30"/>
        </w:numPr>
        <w:rPr>
          <w:color w:val="auto"/>
          <w:highlight w:val="yellow"/>
        </w:rPr>
      </w:pPr>
      <w:r w:rsidRPr="005F072B">
        <w:rPr>
          <w:color w:val="auto"/>
          <w:highlight w:val="yellow"/>
        </w:rPr>
        <w:t xml:space="preserve">Repeat steps </w:t>
      </w:r>
      <w:r w:rsidR="001D7F6B" w:rsidRPr="005F072B">
        <w:rPr>
          <w:color w:val="auto"/>
          <w:highlight w:val="yellow"/>
        </w:rPr>
        <w:t>6.3.1</w:t>
      </w:r>
      <w:r w:rsidR="005F072B">
        <w:rPr>
          <w:color w:val="auto"/>
          <w:highlight w:val="yellow"/>
        </w:rPr>
        <w:t>-</w:t>
      </w:r>
      <w:r w:rsidR="001D7F6B" w:rsidRPr="005F072B">
        <w:rPr>
          <w:color w:val="auto"/>
          <w:highlight w:val="yellow"/>
        </w:rPr>
        <w:t>6.3.</w:t>
      </w:r>
      <w:r w:rsidRPr="005F072B">
        <w:rPr>
          <w:color w:val="auto"/>
          <w:highlight w:val="yellow"/>
        </w:rPr>
        <w:t>3 with the third, fourth, and so on, agonist solution</w:t>
      </w:r>
      <w:r w:rsidR="0038182D" w:rsidRPr="005F072B">
        <w:rPr>
          <w:color w:val="auto"/>
          <w:highlight w:val="yellow"/>
        </w:rPr>
        <w:t>.</w:t>
      </w:r>
      <w:r w:rsidRPr="005F072B">
        <w:rPr>
          <w:color w:val="auto"/>
          <w:highlight w:val="yellow"/>
        </w:rPr>
        <w:t xml:space="preserve"> </w:t>
      </w:r>
    </w:p>
    <w:p w14:paraId="1E4A05A4" w14:textId="77777777" w:rsidR="00EE0B1E" w:rsidRPr="00056460" w:rsidRDefault="00EE0B1E" w:rsidP="00056460">
      <w:pPr>
        <w:rPr>
          <w:color w:val="auto"/>
          <w:highlight w:val="yellow"/>
        </w:rPr>
      </w:pPr>
    </w:p>
    <w:p w14:paraId="7694F121" w14:textId="289D5A6F" w:rsidR="009764A4" w:rsidRPr="00056460" w:rsidRDefault="009764A4" w:rsidP="00056460">
      <w:pPr>
        <w:rPr>
          <w:color w:val="auto"/>
        </w:rPr>
      </w:pPr>
      <w:r w:rsidRPr="00056460">
        <w:rPr>
          <w:color w:val="auto"/>
        </w:rPr>
        <w:t xml:space="preserve">NOTE: </w:t>
      </w:r>
      <w:r w:rsidR="009324DB">
        <w:rPr>
          <w:color w:val="auto"/>
        </w:rPr>
        <w:t>Working with</w:t>
      </w:r>
      <w:r w:rsidRPr="00056460">
        <w:rPr>
          <w:color w:val="auto"/>
        </w:rPr>
        <w:t xml:space="preserve"> 10 concentration steps will result in a total volume of 500 µL in the end of the experiment, which is just below the maximum applicable volume of these wells </w:t>
      </w:r>
      <w:r w:rsidR="001D7F6B" w:rsidRPr="00056460">
        <w:rPr>
          <w:color w:val="auto"/>
        </w:rPr>
        <w:t xml:space="preserve">of </w:t>
      </w:r>
      <w:r w:rsidRPr="00056460">
        <w:rPr>
          <w:color w:val="auto"/>
        </w:rPr>
        <w:t>~ 550 µL.</w:t>
      </w:r>
    </w:p>
    <w:p w14:paraId="19EB756B" w14:textId="77777777" w:rsidR="00EE0B1E" w:rsidRPr="00056460" w:rsidRDefault="00EE0B1E" w:rsidP="00056460">
      <w:pPr>
        <w:rPr>
          <w:color w:val="auto"/>
          <w:highlight w:val="yellow"/>
        </w:rPr>
      </w:pPr>
    </w:p>
    <w:p w14:paraId="3354A196" w14:textId="276AB336" w:rsidR="00EE0B1E" w:rsidRPr="00056460" w:rsidRDefault="00EE0B1E" w:rsidP="00056460">
      <w:pPr>
        <w:rPr>
          <w:b/>
          <w:color w:val="auto"/>
          <w:highlight w:val="yellow"/>
        </w:rPr>
      </w:pPr>
      <w:r w:rsidRPr="00056460">
        <w:rPr>
          <w:b/>
          <w:color w:val="auto"/>
          <w:highlight w:val="yellow"/>
        </w:rPr>
        <w:t>B</w:t>
      </w:r>
      <w:r w:rsidR="008C1B9E" w:rsidRPr="00056460">
        <w:rPr>
          <w:b/>
          <w:color w:val="auto"/>
          <w:highlight w:val="yellow"/>
        </w:rPr>
        <w:t>:</w:t>
      </w:r>
      <w:r w:rsidRPr="00056460">
        <w:rPr>
          <w:b/>
          <w:color w:val="auto"/>
          <w:highlight w:val="yellow"/>
        </w:rPr>
        <w:t xml:space="preserve"> Mode 2 / 96-well format</w:t>
      </w:r>
    </w:p>
    <w:p w14:paraId="4369DA69" w14:textId="77777777" w:rsidR="00056460" w:rsidRPr="00056460" w:rsidRDefault="00056460" w:rsidP="00056460">
      <w:pPr>
        <w:rPr>
          <w:b/>
          <w:color w:val="auto"/>
          <w:highlight w:val="yellow"/>
        </w:rPr>
      </w:pPr>
    </w:p>
    <w:p w14:paraId="4E51E99A" w14:textId="2956897F" w:rsidR="0038182D" w:rsidRPr="00056460" w:rsidRDefault="00C961CF" w:rsidP="00056460">
      <w:pPr>
        <w:rPr>
          <w:color w:val="auto"/>
          <w:highlight w:val="yellow"/>
        </w:rPr>
      </w:pPr>
      <w:r>
        <w:rPr>
          <w:color w:val="auto"/>
          <w:highlight w:val="yellow"/>
        </w:rPr>
        <w:t xml:space="preserve">NOTE: </w:t>
      </w:r>
      <w:r w:rsidR="001D7F6B" w:rsidRPr="00056460">
        <w:rPr>
          <w:color w:val="auto"/>
          <w:highlight w:val="yellow"/>
        </w:rPr>
        <w:t>P</w:t>
      </w:r>
      <w:r w:rsidR="0038182D" w:rsidRPr="00056460">
        <w:rPr>
          <w:color w:val="auto"/>
          <w:highlight w:val="yellow"/>
        </w:rPr>
        <w:t xml:space="preserve">ause data acquisition during </w:t>
      </w:r>
      <w:r w:rsidR="00F352B9" w:rsidRPr="00056460">
        <w:rPr>
          <w:color w:val="auto"/>
          <w:highlight w:val="yellow"/>
        </w:rPr>
        <w:t xml:space="preserve">each liquid handling step </w:t>
      </w:r>
      <w:r w:rsidR="0038182D" w:rsidRPr="00056460">
        <w:rPr>
          <w:color w:val="auto"/>
          <w:highlight w:val="yellow"/>
        </w:rPr>
        <w:t xml:space="preserve">(addition/removal) </w:t>
      </w:r>
      <w:r w:rsidR="00F352B9" w:rsidRPr="00056460">
        <w:rPr>
          <w:color w:val="auto"/>
          <w:highlight w:val="yellow"/>
        </w:rPr>
        <w:t xml:space="preserve">via the </w:t>
      </w:r>
      <w:r w:rsidR="001E4B29" w:rsidRPr="00056460">
        <w:rPr>
          <w:color w:val="auto"/>
          <w:highlight w:val="yellow"/>
        </w:rPr>
        <w:t xml:space="preserve">impedance instrument’s </w:t>
      </w:r>
      <w:r w:rsidR="0038182D" w:rsidRPr="00056460">
        <w:rPr>
          <w:color w:val="auto"/>
          <w:highlight w:val="yellow"/>
        </w:rPr>
        <w:t>software</w:t>
      </w:r>
      <w:r w:rsidR="001D7F6B" w:rsidRPr="00056460">
        <w:rPr>
          <w:color w:val="auto"/>
          <w:highlight w:val="yellow"/>
        </w:rPr>
        <w:t xml:space="preserve"> when running experiments in 96-well format. The more elaborate liquid handling may </w:t>
      </w:r>
      <w:r w:rsidR="0038182D" w:rsidRPr="00056460">
        <w:rPr>
          <w:color w:val="auto"/>
          <w:highlight w:val="yellow"/>
        </w:rPr>
        <w:t>interfere with data acquisition. Use a multi-channel pipette.</w:t>
      </w:r>
    </w:p>
    <w:p w14:paraId="5A7DBC96" w14:textId="77777777" w:rsidR="0038182D" w:rsidRPr="00056460" w:rsidRDefault="0038182D" w:rsidP="00056460">
      <w:pPr>
        <w:rPr>
          <w:color w:val="auto"/>
          <w:highlight w:val="yellow"/>
        </w:rPr>
      </w:pPr>
    </w:p>
    <w:p w14:paraId="3A4AF8F9" w14:textId="0CC3F0A7" w:rsidR="0038182D" w:rsidRPr="005F072B" w:rsidRDefault="001D7F6B" w:rsidP="005F072B">
      <w:pPr>
        <w:pStyle w:val="af3"/>
        <w:numPr>
          <w:ilvl w:val="2"/>
          <w:numId w:val="30"/>
        </w:numPr>
        <w:rPr>
          <w:color w:val="auto"/>
          <w:highlight w:val="yellow"/>
        </w:rPr>
      </w:pPr>
      <w:r w:rsidRPr="005F072B">
        <w:rPr>
          <w:color w:val="auto"/>
          <w:highlight w:val="yellow"/>
        </w:rPr>
        <w:t>P</w:t>
      </w:r>
      <w:r w:rsidR="0038182D" w:rsidRPr="005F072B">
        <w:rPr>
          <w:color w:val="auto"/>
          <w:highlight w:val="yellow"/>
        </w:rPr>
        <w:t>ause</w:t>
      </w:r>
      <w:r w:rsidRPr="005F072B">
        <w:rPr>
          <w:color w:val="auto"/>
          <w:highlight w:val="yellow"/>
        </w:rPr>
        <w:t xml:space="preserve"> data acquisition</w:t>
      </w:r>
      <w:r w:rsidR="0038182D" w:rsidRPr="005F072B">
        <w:rPr>
          <w:color w:val="auto"/>
          <w:highlight w:val="yellow"/>
        </w:rPr>
        <w:t>.</w:t>
      </w:r>
    </w:p>
    <w:p w14:paraId="5E7B06D9" w14:textId="77777777" w:rsidR="0038182D" w:rsidRPr="00056460" w:rsidRDefault="0038182D" w:rsidP="00056460">
      <w:pPr>
        <w:rPr>
          <w:color w:val="auto"/>
          <w:highlight w:val="yellow"/>
        </w:rPr>
      </w:pPr>
    </w:p>
    <w:p w14:paraId="2A22C9D3" w14:textId="0BF45272" w:rsidR="0038182D" w:rsidRPr="005F072B" w:rsidRDefault="00EE0B1E" w:rsidP="005F072B">
      <w:pPr>
        <w:pStyle w:val="af3"/>
        <w:numPr>
          <w:ilvl w:val="2"/>
          <w:numId w:val="30"/>
        </w:numPr>
        <w:rPr>
          <w:color w:val="auto"/>
          <w:highlight w:val="yellow"/>
        </w:rPr>
      </w:pPr>
      <w:r w:rsidRPr="005F072B">
        <w:rPr>
          <w:color w:val="auto"/>
          <w:highlight w:val="yellow"/>
        </w:rPr>
        <w:t xml:space="preserve">Add 75 µL of the first solution with the lowest concentration of agonist to the cells that were equilibrated in 150 µL </w:t>
      </w:r>
      <w:r w:rsidR="005F072B">
        <w:rPr>
          <w:color w:val="auto"/>
          <w:highlight w:val="yellow"/>
        </w:rPr>
        <w:t xml:space="preserve">of </w:t>
      </w:r>
      <w:r w:rsidRPr="005F072B">
        <w:rPr>
          <w:color w:val="auto"/>
          <w:highlight w:val="yellow"/>
        </w:rPr>
        <w:t>serum-free medium.</w:t>
      </w:r>
      <w:r w:rsidR="0038182D" w:rsidRPr="005F072B">
        <w:rPr>
          <w:color w:val="auto"/>
          <w:highlight w:val="yellow"/>
        </w:rPr>
        <w:t xml:space="preserve"> </w:t>
      </w:r>
    </w:p>
    <w:p w14:paraId="5A7DC369" w14:textId="1714C714" w:rsidR="00EE0B1E" w:rsidRPr="00056460" w:rsidRDefault="0038182D" w:rsidP="00056460">
      <w:pPr>
        <w:rPr>
          <w:color w:val="auto"/>
          <w:highlight w:val="yellow"/>
        </w:rPr>
      </w:pPr>
      <w:r w:rsidRPr="00056460">
        <w:rPr>
          <w:color w:val="auto"/>
          <w:highlight w:val="yellow"/>
        </w:rPr>
        <w:t xml:space="preserve"> </w:t>
      </w:r>
    </w:p>
    <w:p w14:paraId="56E7D64A" w14:textId="45BB9491" w:rsidR="0038182D" w:rsidRPr="005F072B" w:rsidRDefault="001D7F6B" w:rsidP="005F072B">
      <w:pPr>
        <w:pStyle w:val="af3"/>
        <w:numPr>
          <w:ilvl w:val="2"/>
          <w:numId w:val="30"/>
        </w:numPr>
        <w:rPr>
          <w:color w:val="auto"/>
          <w:highlight w:val="yellow"/>
        </w:rPr>
      </w:pPr>
      <w:r w:rsidRPr="005F072B">
        <w:rPr>
          <w:color w:val="auto"/>
          <w:highlight w:val="yellow"/>
        </w:rPr>
        <w:t>Resume</w:t>
      </w:r>
      <w:r w:rsidR="0038182D" w:rsidRPr="005F072B">
        <w:rPr>
          <w:color w:val="auto"/>
          <w:highlight w:val="yellow"/>
        </w:rPr>
        <w:t xml:space="preserve"> </w:t>
      </w:r>
      <w:r w:rsidRPr="005F072B">
        <w:rPr>
          <w:color w:val="auto"/>
          <w:highlight w:val="yellow"/>
        </w:rPr>
        <w:t>data acquisition</w:t>
      </w:r>
      <w:r w:rsidR="0038182D" w:rsidRPr="005F072B">
        <w:rPr>
          <w:color w:val="auto"/>
          <w:highlight w:val="yellow"/>
        </w:rPr>
        <w:t>.</w:t>
      </w:r>
    </w:p>
    <w:p w14:paraId="6A5CB996" w14:textId="401AAD79" w:rsidR="00EE0B1E" w:rsidRPr="00056460" w:rsidRDefault="00EE0B1E" w:rsidP="00056460">
      <w:pPr>
        <w:rPr>
          <w:color w:val="auto"/>
          <w:highlight w:val="yellow"/>
        </w:rPr>
      </w:pPr>
    </w:p>
    <w:p w14:paraId="0248A4D5" w14:textId="450448FC" w:rsidR="00EE0B1E" w:rsidRPr="005F072B" w:rsidRDefault="00EE0B1E" w:rsidP="005F072B">
      <w:pPr>
        <w:pStyle w:val="af3"/>
        <w:numPr>
          <w:ilvl w:val="2"/>
          <w:numId w:val="30"/>
        </w:numPr>
        <w:rPr>
          <w:color w:val="auto"/>
          <w:highlight w:val="yellow"/>
        </w:rPr>
      </w:pPr>
      <w:r w:rsidRPr="005F072B">
        <w:rPr>
          <w:color w:val="auto"/>
          <w:highlight w:val="yellow"/>
        </w:rPr>
        <w:t xml:space="preserve">Let </w:t>
      </w:r>
      <w:r w:rsidR="005F072B">
        <w:rPr>
          <w:color w:val="auto"/>
          <w:highlight w:val="yellow"/>
        </w:rPr>
        <w:t xml:space="preserve">the </w:t>
      </w:r>
      <w:r w:rsidRPr="005F072B">
        <w:rPr>
          <w:color w:val="auto"/>
          <w:highlight w:val="yellow"/>
        </w:rPr>
        <w:t xml:space="preserve">cells </w:t>
      </w:r>
      <w:r w:rsidR="001D7F6B" w:rsidRPr="005F072B">
        <w:rPr>
          <w:color w:val="auto"/>
          <w:highlight w:val="yellow"/>
        </w:rPr>
        <w:t xml:space="preserve">respond and </w:t>
      </w:r>
      <w:r w:rsidRPr="005F072B">
        <w:rPr>
          <w:color w:val="auto"/>
          <w:highlight w:val="yellow"/>
        </w:rPr>
        <w:t xml:space="preserve">equilibrate for the </w:t>
      </w:r>
      <w:r w:rsidR="001D7F6B" w:rsidRPr="005F072B">
        <w:rPr>
          <w:color w:val="auto"/>
          <w:highlight w:val="yellow"/>
        </w:rPr>
        <w:t>pre-</w:t>
      </w:r>
      <w:r w:rsidRPr="005F072B">
        <w:rPr>
          <w:color w:val="auto"/>
          <w:highlight w:val="yellow"/>
        </w:rPr>
        <w:t xml:space="preserve">defined </w:t>
      </w:r>
      <w:proofErr w:type="gramStart"/>
      <w:r w:rsidRPr="005F072B">
        <w:rPr>
          <w:color w:val="auto"/>
          <w:highlight w:val="yellow"/>
        </w:rPr>
        <w:t>period of time</w:t>
      </w:r>
      <w:proofErr w:type="gramEnd"/>
      <w:r w:rsidRPr="005F072B">
        <w:rPr>
          <w:color w:val="auto"/>
          <w:highlight w:val="yellow"/>
        </w:rPr>
        <w:t xml:space="preserve"> (e.g.</w:t>
      </w:r>
      <w:r w:rsidR="005F072B">
        <w:rPr>
          <w:color w:val="auto"/>
          <w:highlight w:val="yellow"/>
        </w:rPr>
        <w:t>,</w:t>
      </w:r>
      <w:r w:rsidRPr="005F072B">
        <w:rPr>
          <w:color w:val="auto"/>
          <w:highlight w:val="yellow"/>
        </w:rPr>
        <w:t xml:space="preserve"> 15 min)</w:t>
      </w:r>
      <w:r w:rsidR="0038182D" w:rsidRPr="005F072B">
        <w:rPr>
          <w:color w:val="auto"/>
          <w:highlight w:val="yellow"/>
        </w:rPr>
        <w:t>.</w:t>
      </w:r>
    </w:p>
    <w:p w14:paraId="5E03D2E9" w14:textId="77777777" w:rsidR="00EE0B1E" w:rsidRPr="00056460" w:rsidRDefault="00EE0B1E" w:rsidP="00056460">
      <w:pPr>
        <w:rPr>
          <w:color w:val="auto"/>
          <w:highlight w:val="yellow"/>
        </w:rPr>
      </w:pPr>
    </w:p>
    <w:p w14:paraId="48A8AB18" w14:textId="6CF75D7C" w:rsidR="00EE0B1E" w:rsidRPr="005F072B" w:rsidRDefault="00EE0B1E" w:rsidP="005F072B">
      <w:pPr>
        <w:pStyle w:val="af3"/>
        <w:numPr>
          <w:ilvl w:val="2"/>
          <w:numId w:val="30"/>
        </w:numPr>
        <w:rPr>
          <w:color w:val="auto"/>
        </w:rPr>
      </w:pPr>
      <w:r w:rsidRPr="005F072B">
        <w:rPr>
          <w:color w:val="auto"/>
          <w:highlight w:val="yellow"/>
        </w:rPr>
        <w:t>About 1 – 2 min before the regular equilibration time ends</w:t>
      </w:r>
      <w:r w:rsidR="0038182D" w:rsidRPr="005F072B">
        <w:rPr>
          <w:color w:val="auto"/>
          <w:highlight w:val="yellow"/>
        </w:rPr>
        <w:t xml:space="preserve">, pause the measurement and </w:t>
      </w:r>
      <w:r w:rsidRPr="005F072B">
        <w:rPr>
          <w:color w:val="auto"/>
          <w:highlight w:val="yellow"/>
        </w:rPr>
        <w:t>remove 75 µL from each well</w:t>
      </w:r>
      <w:r w:rsidR="0038182D" w:rsidRPr="005F072B">
        <w:rPr>
          <w:color w:val="auto"/>
          <w:highlight w:val="yellow"/>
        </w:rPr>
        <w:t>.</w:t>
      </w:r>
    </w:p>
    <w:p w14:paraId="37BB8EAB" w14:textId="77777777" w:rsidR="00EE0B1E" w:rsidRPr="00056460" w:rsidRDefault="00EE0B1E" w:rsidP="00056460">
      <w:pPr>
        <w:rPr>
          <w:color w:val="auto"/>
        </w:rPr>
      </w:pPr>
    </w:p>
    <w:p w14:paraId="0DEE636D" w14:textId="2ABCE04F" w:rsidR="00EE0B1E" w:rsidRPr="00056460" w:rsidRDefault="00EE0B1E" w:rsidP="00056460">
      <w:pPr>
        <w:rPr>
          <w:color w:val="auto"/>
        </w:rPr>
      </w:pPr>
      <w:r w:rsidRPr="00056460">
        <w:rPr>
          <w:color w:val="auto"/>
        </w:rPr>
        <w:t xml:space="preserve">NOTE: The time point at which solution </w:t>
      </w:r>
      <w:r w:rsidR="009764A4" w:rsidRPr="00056460">
        <w:rPr>
          <w:color w:val="auto"/>
        </w:rPr>
        <w:t>should be removed depends on the number of wells monitored in parallel and the pipetting speed. Time needed for removal of the solutions should not exceed the time</w:t>
      </w:r>
      <w:r w:rsidR="004D5F32" w:rsidRPr="00056460">
        <w:rPr>
          <w:color w:val="auto"/>
        </w:rPr>
        <w:t xml:space="preserve"> between subsequent steps</w:t>
      </w:r>
      <w:r w:rsidR="009764A4" w:rsidRPr="00056460">
        <w:rPr>
          <w:color w:val="auto"/>
        </w:rPr>
        <w:t xml:space="preserve">. </w:t>
      </w:r>
    </w:p>
    <w:p w14:paraId="37E84417" w14:textId="77777777" w:rsidR="00EE0B1E" w:rsidRPr="00056460" w:rsidRDefault="00EE0B1E" w:rsidP="00056460">
      <w:pPr>
        <w:rPr>
          <w:color w:val="auto"/>
          <w:highlight w:val="yellow"/>
        </w:rPr>
      </w:pPr>
    </w:p>
    <w:p w14:paraId="6488EF7C" w14:textId="02CC7CCB" w:rsidR="00EE0B1E" w:rsidRPr="005F072B" w:rsidRDefault="00EE0B1E" w:rsidP="005F072B">
      <w:pPr>
        <w:pStyle w:val="af3"/>
        <w:numPr>
          <w:ilvl w:val="2"/>
          <w:numId w:val="30"/>
        </w:numPr>
        <w:rPr>
          <w:color w:val="auto"/>
          <w:highlight w:val="yellow"/>
        </w:rPr>
      </w:pPr>
      <w:r w:rsidRPr="005F072B">
        <w:rPr>
          <w:color w:val="auto"/>
          <w:highlight w:val="yellow"/>
        </w:rPr>
        <w:t xml:space="preserve">Add </w:t>
      </w:r>
      <w:r w:rsidR="009764A4" w:rsidRPr="005F072B">
        <w:rPr>
          <w:color w:val="auto"/>
          <w:highlight w:val="yellow"/>
        </w:rPr>
        <w:t>75</w:t>
      </w:r>
      <w:r w:rsidRPr="005F072B">
        <w:rPr>
          <w:color w:val="auto"/>
          <w:highlight w:val="yellow"/>
        </w:rPr>
        <w:t xml:space="preserve"> µL of the second solution with the next higher concentration</w:t>
      </w:r>
      <w:r w:rsidR="0038182D" w:rsidRPr="005F072B">
        <w:rPr>
          <w:color w:val="auto"/>
          <w:highlight w:val="yellow"/>
        </w:rPr>
        <w:t xml:space="preserve"> and resume the measurement.</w:t>
      </w:r>
    </w:p>
    <w:p w14:paraId="745863AD" w14:textId="77777777" w:rsidR="00EE0B1E" w:rsidRPr="00056460" w:rsidRDefault="00EE0B1E" w:rsidP="00056460">
      <w:pPr>
        <w:rPr>
          <w:color w:val="auto"/>
          <w:highlight w:val="yellow"/>
        </w:rPr>
      </w:pPr>
    </w:p>
    <w:p w14:paraId="7DF4D8CF" w14:textId="40B606E3" w:rsidR="00EE0B1E" w:rsidRPr="005F072B" w:rsidRDefault="00EE0B1E" w:rsidP="005F072B">
      <w:pPr>
        <w:pStyle w:val="af3"/>
        <w:numPr>
          <w:ilvl w:val="2"/>
          <w:numId w:val="30"/>
        </w:numPr>
        <w:rPr>
          <w:color w:val="auto"/>
        </w:rPr>
      </w:pPr>
      <w:r w:rsidRPr="005F072B">
        <w:rPr>
          <w:color w:val="auto"/>
          <w:highlight w:val="yellow"/>
        </w:rPr>
        <w:t xml:space="preserve">Repeat steps </w:t>
      </w:r>
      <w:r w:rsidR="001D7F6B" w:rsidRPr="005F072B">
        <w:rPr>
          <w:color w:val="auto"/>
          <w:highlight w:val="yellow"/>
        </w:rPr>
        <w:t>6.3.</w:t>
      </w:r>
      <w:r w:rsidR="009C14AD" w:rsidRPr="005F072B">
        <w:rPr>
          <w:color w:val="auto"/>
          <w:highlight w:val="yellow"/>
        </w:rPr>
        <w:t>8</w:t>
      </w:r>
      <w:r w:rsidR="005F072B">
        <w:rPr>
          <w:color w:val="auto"/>
          <w:highlight w:val="yellow"/>
        </w:rPr>
        <w:t>-</w:t>
      </w:r>
      <w:r w:rsidR="001D7F6B" w:rsidRPr="005F072B">
        <w:rPr>
          <w:color w:val="auto"/>
          <w:highlight w:val="yellow"/>
        </w:rPr>
        <w:t>6.3.</w:t>
      </w:r>
      <w:r w:rsidR="009C14AD" w:rsidRPr="005F072B">
        <w:rPr>
          <w:color w:val="auto"/>
          <w:highlight w:val="yellow"/>
        </w:rPr>
        <w:t>10</w:t>
      </w:r>
      <w:r w:rsidRPr="005F072B">
        <w:rPr>
          <w:color w:val="auto"/>
          <w:highlight w:val="yellow"/>
        </w:rPr>
        <w:t xml:space="preserve"> with the third, fourth, and so on, agonist solution</w:t>
      </w:r>
      <w:r w:rsidR="0038182D" w:rsidRPr="005F072B">
        <w:rPr>
          <w:color w:val="auto"/>
          <w:highlight w:val="yellow"/>
        </w:rPr>
        <w:t>.</w:t>
      </w:r>
      <w:r w:rsidRPr="005F072B">
        <w:rPr>
          <w:color w:val="auto"/>
        </w:rPr>
        <w:t xml:space="preserve"> </w:t>
      </w:r>
    </w:p>
    <w:p w14:paraId="52E6D78E" w14:textId="77777777" w:rsidR="006E4C50" w:rsidRPr="00056460" w:rsidRDefault="006E4C50" w:rsidP="00056460">
      <w:pPr>
        <w:rPr>
          <w:color w:val="auto"/>
        </w:rPr>
      </w:pPr>
    </w:p>
    <w:p w14:paraId="55BBC67A" w14:textId="622166CF" w:rsidR="00F92F23" w:rsidRPr="00615D37" w:rsidRDefault="00F92F23" w:rsidP="00615D37">
      <w:pPr>
        <w:pStyle w:val="af3"/>
        <w:numPr>
          <w:ilvl w:val="0"/>
          <w:numId w:val="30"/>
        </w:numPr>
        <w:rPr>
          <w:b/>
          <w:color w:val="auto"/>
        </w:rPr>
      </w:pPr>
      <w:r w:rsidRPr="00615D37">
        <w:rPr>
          <w:b/>
          <w:color w:val="auto"/>
        </w:rPr>
        <w:t>Performing the serial addition protocol in antagonist mode</w:t>
      </w:r>
    </w:p>
    <w:p w14:paraId="1FBA0CF1" w14:textId="77777777" w:rsidR="00F92F23" w:rsidRPr="00056460" w:rsidRDefault="00F92F23" w:rsidP="00056460">
      <w:pPr>
        <w:rPr>
          <w:b/>
          <w:color w:val="auto"/>
        </w:rPr>
      </w:pPr>
    </w:p>
    <w:p w14:paraId="359A6496" w14:textId="0DAB485F" w:rsidR="00F92F23" w:rsidRPr="00615D37" w:rsidRDefault="00F92F23" w:rsidP="00615D37">
      <w:pPr>
        <w:pStyle w:val="af3"/>
        <w:numPr>
          <w:ilvl w:val="1"/>
          <w:numId w:val="30"/>
        </w:numPr>
        <w:rPr>
          <w:color w:val="auto"/>
        </w:rPr>
      </w:pPr>
      <w:r w:rsidRPr="00615D37">
        <w:rPr>
          <w:color w:val="auto"/>
        </w:rPr>
        <w:t xml:space="preserve">Start the measurement as described </w:t>
      </w:r>
      <w:r w:rsidR="005F072B">
        <w:rPr>
          <w:color w:val="auto"/>
        </w:rPr>
        <w:t>in steps</w:t>
      </w:r>
      <w:r w:rsidRPr="00615D37">
        <w:rPr>
          <w:color w:val="auto"/>
        </w:rPr>
        <w:t xml:space="preserve"> 3.1 – 3.5</w:t>
      </w:r>
      <w:r w:rsidR="001D7F6B" w:rsidRPr="00615D37">
        <w:rPr>
          <w:color w:val="auto"/>
        </w:rPr>
        <w:t>.</w:t>
      </w:r>
      <w:r w:rsidRPr="00615D37">
        <w:rPr>
          <w:color w:val="auto"/>
        </w:rPr>
        <w:t xml:space="preserve"> </w:t>
      </w:r>
    </w:p>
    <w:p w14:paraId="4BDE6AAB" w14:textId="77777777" w:rsidR="007D3CAA" w:rsidRPr="00056460" w:rsidRDefault="007D3CAA" w:rsidP="00056460">
      <w:pPr>
        <w:rPr>
          <w:color w:val="auto"/>
        </w:rPr>
      </w:pPr>
    </w:p>
    <w:p w14:paraId="6B9C81BC" w14:textId="01F9DFCF" w:rsidR="007D3CAA" w:rsidRPr="00615D37" w:rsidRDefault="004D5F32" w:rsidP="00615D37">
      <w:pPr>
        <w:pStyle w:val="af3"/>
        <w:numPr>
          <w:ilvl w:val="1"/>
          <w:numId w:val="30"/>
        </w:numPr>
        <w:rPr>
          <w:color w:val="auto"/>
        </w:rPr>
      </w:pPr>
      <w:r w:rsidRPr="00615D37">
        <w:rPr>
          <w:color w:val="auto"/>
        </w:rPr>
        <w:t xml:space="preserve">During equilibration of the cell layers, </w:t>
      </w:r>
      <w:r w:rsidR="007D3CAA" w:rsidRPr="00615D37">
        <w:rPr>
          <w:color w:val="auto"/>
        </w:rPr>
        <w:t>prepare antagonist solution</w:t>
      </w:r>
      <w:r w:rsidR="005F072B">
        <w:rPr>
          <w:color w:val="auto"/>
        </w:rPr>
        <w:t xml:space="preserve"> (</w:t>
      </w:r>
      <w:r w:rsidRPr="00615D37">
        <w:rPr>
          <w:color w:val="auto"/>
        </w:rPr>
        <w:t>e</w:t>
      </w:r>
      <w:r w:rsidR="007D3CAA" w:rsidRPr="00615D37">
        <w:rPr>
          <w:color w:val="auto"/>
        </w:rPr>
        <w:t>.</w:t>
      </w:r>
      <w:r w:rsidRPr="00615D37">
        <w:rPr>
          <w:color w:val="auto"/>
        </w:rPr>
        <w:t>g</w:t>
      </w:r>
      <w:r w:rsidR="007D3CAA" w:rsidRPr="00615D37">
        <w:rPr>
          <w:color w:val="auto"/>
        </w:rPr>
        <w:t>.</w:t>
      </w:r>
      <w:r w:rsidR="005F072B">
        <w:rPr>
          <w:color w:val="auto"/>
        </w:rPr>
        <w:t>,</w:t>
      </w:r>
      <w:r w:rsidR="007D3CAA" w:rsidRPr="00615D37">
        <w:rPr>
          <w:color w:val="auto"/>
        </w:rPr>
        <w:t xml:space="preserve"> 200 µL of 1.5 µM diphenhydramine hydrochloride in L15 medium</w:t>
      </w:r>
      <w:r w:rsidR="00507FE6">
        <w:rPr>
          <w:color w:val="auto"/>
        </w:rPr>
        <w:t>)</w:t>
      </w:r>
      <w:r w:rsidR="007D3CAA" w:rsidRPr="00615D37">
        <w:rPr>
          <w:color w:val="auto"/>
        </w:rPr>
        <w:t>.</w:t>
      </w:r>
    </w:p>
    <w:p w14:paraId="5DFDEF87" w14:textId="77777777" w:rsidR="007D3CAA" w:rsidRPr="00056460" w:rsidRDefault="007D3CAA" w:rsidP="00056460">
      <w:pPr>
        <w:rPr>
          <w:color w:val="auto"/>
        </w:rPr>
      </w:pPr>
    </w:p>
    <w:p w14:paraId="5B9F0363" w14:textId="1F43D813" w:rsidR="007D3CAA" w:rsidRPr="00056460" w:rsidRDefault="007D3CAA" w:rsidP="00056460">
      <w:pPr>
        <w:rPr>
          <w:color w:val="auto"/>
        </w:rPr>
      </w:pPr>
      <w:r w:rsidRPr="00056460">
        <w:rPr>
          <w:color w:val="auto"/>
        </w:rPr>
        <w:t>CAUTION: Diphenhydramine hydrochloride has potential acute health effects. It is harmful if swallowed or inhaled, may cause eye and skin irritation. It may cause respiratory and digestive tract irritation. Please consider the safety data sheet.</w:t>
      </w:r>
    </w:p>
    <w:p w14:paraId="7E51C2AE" w14:textId="77777777" w:rsidR="007D3CAA" w:rsidRPr="00056460" w:rsidRDefault="007D3CAA" w:rsidP="00056460">
      <w:pPr>
        <w:rPr>
          <w:color w:val="auto"/>
        </w:rPr>
      </w:pPr>
    </w:p>
    <w:p w14:paraId="01691BB0" w14:textId="05E4C456" w:rsidR="00F92F23" w:rsidRPr="00615D37" w:rsidRDefault="00F92F23" w:rsidP="00615D37">
      <w:pPr>
        <w:pStyle w:val="af3"/>
        <w:numPr>
          <w:ilvl w:val="1"/>
          <w:numId w:val="30"/>
        </w:numPr>
        <w:rPr>
          <w:color w:val="auto"/>
        </w:rPr>
      </w:pPr>
      <w:r w:rsidRPr="00615D37">
        <w:rPr>
          <w:color w:val="auto"/>
        </w:rPr>
        <w:t xml:space="preserve">Pre-warm the antagonist and agonist solutions by placing them in the incubator about 10 – 15 min before addition </w:t>
      </w:r>
      <w:r w:rsidR="00D56885" w:rsidRPr="00615D37">
        <w:rPr>
          <w:color w:val="auto"/>
        </w:rPr>
        <w:t xml:space="preserve">to the cell cultures </w:t>
      </w:r>
      <w:r w:rsidR="004D5F32" w:rsidRPr="00615D37">
        <w:rPr>
          <w:color w:val="auto"/>
        </w:rPr>
        <w:t xml:space="preserve">(cf. </w:t>
      </w:r>
      <w:r w:rsidR="009324DB">
        <w:rPr>
          <w:color w:val="auto"/>
        </w:rPr>
        <w:t>6</w:t>
      </w:r>
      <w:r w:rsidR="004D5F32" w:rsidRPr="00615D37">
        <w:rPr>
          <w:color w:val="auto"/>
        </w:rPr>
        <w:t>.2)</w:t>
      </w:r>
      <w:r w:rsidR="003306A9" w:rsidRPr="00615D37">
        <w:rPr>
          <w:color w:val="auto"/>
        </w:rPr>
        <w:t>.</w:t>
      </w:r>
      <w:r w:rsidR="00C67B38" w:rsidRPr="00615D37">
        <w:rPr>
          <w:color w:val="auto"/>
        </w:rPr>
        <w:t xml:space="preserve"> If antagonist-free wells are </w:t>
      </w:r>
      <w:r w:rsidR="001D7F6B" w:rsidRPr="00615D37">
        <w:rPr>
          <w:color w:val="auto"/>
        </w:rPr>
        <w:t>included in the assay as well</w:t>
      </w:r>
      <w:r w:rsidR="00C67B38" w:rsidRPr="00615D37">
        <w:rPr>
          <w:color w:val="auto"/>
        </w:rPr>
        <w:t xml:space="preserve">, </w:t>
      </w:r>
      <w:r w:rsidR="00727A86" w:rsidRPr="00615D37">
        <w:rPr>
          <w:color w:val="auto"/>
        </w:rPr>
        <w:t xml:space="preserve">also </w:t>
      </w:r>
      <w:r w:rsidR="00C67B38" w:rsidRPr="00615D37">
        <w:rPr>
          <w:color w:val="auto"/>
        </w:rPr>
        <w:t>pre-warm serum-free medium.</w:t>
      </w:r>
    </w:p>
    <w:p w14:paraId="3857D261" w14:textId="77777777" w:rsidR="00F92F23" w:rsidRPr="00056460" w:rsidRDefault="00F92F23" w:rsidP="00056460">
      <w:pPr>
        <w:rPr>
          <w:color w:val="auto"/>
        </w:rPr>
      </w:pPr>
    </w:p>
    <w:p w14:paraId="6C5476F6" w14:textId="7F9A0128" w:rsidR="00C67B38" w:rsidRPr="00615D37" w:rsidRDefault="003306A9" w:rsidP="00615D37">
      <w:pPr>
        <w:pStyle w:val="af3"/>
        <w:numPr>
          <w:ilvl w:val="1"/>
          <w:numId w:val="30"/>
        </w:numPr>
        <w:rPr>
          <w:color w:val="auto"/>
        </w:rPr>
      </w:pPr>
      <w:r w:rsidRPr="00615D37">
        <w:rPr>
          <w:color w:val="auto"/>
        </w:rPr>
        <w:t>Add the antagonist solution to the designated wells.</w:t>
      </w:r>
      <w:r w:rsidR="00EB56FA" w:rsidRPr="00615D37">
        <w:rPr>
          <w:color w:val="auto"/>
        </w:rPr>
        <w:t xml:space="preserve"> Let the cells equilibrate with antagonist for 15 – 20 min</w:t>
      </w:r>
      <w:r w:rsidR="00C67B38" w:rsidRPr="00615D37">
        <w:rPr>
          <w:color w:val="auto"/>
        </w:rPr>
        <w:t xml:space="preserve">. If antagonist-free wells are </w:t>
      </w:r>
      <w:r w:rsidR="00A424F0" w:rsidRPr="00615D37">
        <w:rPr>
          <w:color w:val="auto"/>
        </w:rPr>
        <w:t>included</w:t>
      </w:r>
      <w:r w:rsidR="00C67B38" w:rsidRPr="00615D37">
        <w:rPr>
          <w:color w:val="auto"/>
        </w:rPr>
        <w:t xml:space="preserve">, add </w:t>
      </w:r>
      <w:r w:rsidR="004D5F32" w:rsidRPr="00615D37">
        <w:rPr>
          <w:color w:val="auto"/>
        </w:rPr>
        <w:t xml:space="preserve">the same volume of </w:t>
      </w:r>
      <w:r w:rsidR="00C67B38" w:rsidRPr="00615D37">
        <w:rPr>
          <w:color w:val="auto"/>
        </w:rPr>
        <w:t>serum-free medium to these wells.</w:t>
      </w:r>
    </w:p>
    <w:p w14:paraId="781237B4" w14:textId="77777777" w:rsidR="00C67B38" w:rsidRPr="00056460" w:rsidRDefault="00C67B38" w:rsidP="00056460">
      <w:pPr>
        <w:rPr>
          <w:color w:val="auto"/>
        </w:rPr>
      </w:pPr>
    </w:p>
    <w:p w14:paraId="2DB1EC2B" w14:textId="177FB3EB" w:rsidR="00C67B38" w:rsidRPr="00056460" w:rsidRDefault="00C67B38" w:rsidP="00615D37">
      <w:pPr>
        <w:pStyle w:val="af3"/>
        <w:numPr>
          <w:ilvl w:val="1"/>
          <w:numId w:val="30"/>
        </w:numPr>
        <w:rPr>
          <w:color w:val="auto"/>
        </w:rPr>
      </w:pPr>
      <w:r w:rsidRPr="00056460">
        <w:rPr>
          <w:color w:val="auto"/>
        </w:rPr>
        <w:t xml:space="preserve">According to antagonist addition in </w:t>
      </w:r>
      <w:r w:rsidRPr="00056460">
        <w:rPr>
          <w:b/>
          <w:color w:val="auto"/>
        </w:rPr>
        <w:t>mode 2</w:t>
      </w:r>
      <w:r w:rsidRPr="00056460">
        <w:rPr>
          <w:color w:val="auto"/>
        </w:rPr>
        <w:t xml:space="preserve">, remove solution from the wells </w:t>
      </w:r>
    </w:p>
    <w:p w14:paraId="3ABC9556" w14:textId="63886B24" w:rsidR="00C67B38" w:rsidRPr="00EC6599" w:rsidRDefault="00C67B38" w:rsidP="00056460">
      <w:pPr>
        <w:rPr>
          <w:color w:val="auto"/>
        </w:rPr>
      </w:pPr>
      <w:r w:rsidRPr="00EC6599">
        <w:rPr>
          <w:color w:val="auto"/>
        </w:rPr>
        <w:t xml:space="preserve">(A) </w:t>
      </w:r>
      <w:r w:rsidRPr="00EC6599">
        <w:rPr>
          <w:color w:val="auto"/>
        </w:rPr>
        <w:tab/>
        <w:t>8-well format (200 µL)</w:t>
      </w:r>
    </w:p>
    <w:p w14:paraId="6FB9E892" w14:textId="55A1065A" w:rsidR="00C67B38" w:rsidRPr="00EC6599" w:rsidRDefault="00C67B38" w:rsidP="00056460">
      <w:pPr>
        <w:rPr>
          <w:color w:val="auto"/>
        </w:rPr>
      </w:pPr>
      <w:r w:rsidRPr="00EC6599">
        <w:rPr>
          <w:color w:val="auto"/>
        </w:rPr>
        <w:t xml:space="preserve">(B) </w:t>
      </w:r>
      <w:r w:rsidRPr="00EC6599">
        <w:rPr>
          <w:color w:val="auto"/>
        </w:rPr>
        <w:tab/>
        <w:t>96-well format (75 µL)</w:t>
      </w:r>
    </w:p>
    <w:p w14:paraId="28C813B0" w14:textId="77777777" w:rsidR="003306A9" w:rsidRPr="00EC6599" w:rsidRDefault="003306A9" w:rsidP="00056460">
      <w:pPr>
        <w:rPr>
          <w:color w:val="auto"/>
        </w:rPr>
      </w:pPr>
    </w:p>
    <w:p w14:paraId="77D8C392" w14:textId="23FA869A" w:rsidR="00C67B38" w:rsidRPr="00EC6599" w:rsidRDefault="00F92F23" w:rsidP="00615D37">
      <w:pPr>
        <w:pStyle w:val="af3"/>
        <w:numPr>
          <w:ilvl w:val="1"/>
          <w:numId w:val="30"/>
        </w:numPr>
        <w:rPr>
          <w:color w:val="auto"/>
        </w:rPr>
      </w:pPr>
      <w:r w:rsidRPr="00EC6599">
        <w:rPr>
          <w:color w:val="auto"/>
        </w:rPr>
        <w:t>Run the agonist addition sequence</w:t>
      </w:r>
      <w:r w:rsidR="00EB56FA" w:rsidRPr="00EC6599">
        <w:rPr>
          <w:color w:val="auto"/>
        </w:rPr>
        <w:t xml:space="preserve"> as described in </w:t>
      </w:r>
      <w:r w:rsidR="00507FE6">
        <w:rPr>
          <w:color w:val="auto"/>
        </w:rPr>
        <w:t xml:space="preserve">step </w:t>
      </w:r>
      <w:r w:rsidR="00C67B38" w:rsidRPr="00EC6599">
        <w:rPr>
          <w:color w:val="auto"/>
        </w:rPr>
        <w:t>6.3</w:t>
      </w:r>
      <w:r w:rsidRPr="00EC6599">
        <w:rPr>
          <w:color w:val="auto"/>
        </w:rPr>
        <w:t>.</w:t>
      </w:r>
    </w:p>
    <w:p w14:paraId="5DFDEEC9" w14:textId="77777777" w:rsidR="00727A86" w:rsidRPr="00EC6599" w:rsidRDefault="00727A86" w:rsidP="00056460">
      <w:pPr>
        <w:rPr>
          <w:color w:val="auto"/>
        </w:rPr>
      </w:pPr>
    </w:p>
    <w:p w14:paraId="496AB0B4" w14:textId="5E2B7D07" w:rsidR="001C1E49" w:rsidRPr="00EC6599" w:rsidRDefault="00AC1858" w:rsidP="00615D37">
      <w:pPr>
        <w:pStyle w:val="a3"/>
        <w:numPr>
          <w:ilvl w:val="0"/>
          <w:numId w:val="30"/>
        </w:numPr>
        <w:spacing w:before="0" w:beforeAutospacing="0" w:after="0" w:afterAutospacing="0"/>
        <w:rPr>
          <w:b/>
          <w:color w:val="auto"/>
        </w:rPr>
      </w:pPr>
      <w:r w:rsidRPr="00EC6599">
        <w:rPr>
          <w:b/>
          <w:color w:val="auto"/>
        </w:rPr>
        <w:t>Data</w:t>
      </w:r>
      <w:r w:rsidR="005806F6" w:rsidRPr="00EC6599">
        <w:rPr>
          <w:b/>
          <w:color w:val="auto"/>
        </w:rPr>
        <w:t xml:space="preserve"> </w:t>
      </w:r>
      <w:r w:rsidR="00507FE6" w:rsidRPr="00EC6599">
        <w:rPr>
          <w:b/>
          <w:color w:val="auto"/>
        </w:rPr>
        <w:t>export and analysis</w:t>
      </w:r>
    </w:p>
    <w:p w14:paraId="3A05F305" w14:textId="77777777" w:rsidR="000C3848" w:rsidRPr="00EC6599" w:rsidRDefault="000C3848" w:rsidP="00056460">
      <w:pPr>
        <w:pStyle w:val="a3"/>
        <w:spacing w:before="0" w:beforeAutospacing="0" w:after="0" w:afterAutospacing="0"/>
        <w:rPr>
          <w:color w:val="auto"/>
        </w:rPr>
      </w:pPr>
    </w:p>
    <w:p w14:paraId="0DBADC34" w14:textId="534857C7" w:rsidR="005A56BE" w:rsidRPr="00EC6599" w:rsidRDefault="00104267" w:rsidP="00615D37">
      <w:pPr>
        <w:pStyle w:val="a3"/>
        <w:numPr>
          <w:ilvl w:val="1"/>
          <w:numId w:val="30"/>
        </w:numPr>
        <w:spacing w:before="0" w:beforeAutospacing="0" w:after="0" w:afterAutospacing="0"/>
        <w:rPr>
          <w:color w:val="auto"/>
        </w:rPr>
      </w:pPr>
      <w:r w:rsidRPr="00EC6599">
        <w:rPr>
          <w:color w:val="auto"/>
        </w:rPr>
        <w:t xml:space="preserve">Export data using the </w:t>
      </w:r>
      <w:r w:rsidR="001E4B29" w:rsidRPr="00EC6599">
        <w:rPr>
          <w:color w:val="auto"/>
        </w:rPr>
        <w:t xml:space="preserve">impedance instrument’s </w:t>
      </w:r>
      <w:r w:rsidRPr="00EC6599">
        <w:rPr>
          <w:color w:val="auto"/>
        </w:rPr>
        <w:t xml:space="preserve">software in order to convert all recorded data </w:t>
      </w:r>
      <w:r w:rsidR="0078247E" w:rsidRPr="00EC6599">
        <w:rPr>
          <w:color w:val="auto"/>
        </w:rPr>
        <w:t xml:space="preserve">from proprietary </w:t>
      </w:r>
      <w:r w:rsidRPr="00EC6599">
        <w:rPr>
          <w:color w:val="auto"/>
        </w:rPr>
        <w:t>in</w:t>
      </w:r>
      <w:r w:rsidR="0078247E" w:rsidRPr="00EC6599">
        <w:rPr>
          <w:color w:val="auto"/>
        </w:rPr>
        <w:t>to</w:t>
      </w:r>
      <w:r w:rsidRPr="00EC6599">
        <w:rPr>
          <w:color w:val="auto"/>
        </w:rPr>
        <w:t xml:space="preserve"> </w:t>
      </w:r>
      <w:r w:rsidR="00A424F0" w:rsidRPr="00EC6599">
        <w:rPr>
          <w:color w:val="auto"/>
        </w:rPr>
        <w:t>common data formats</w:t>
      </w:r>
      <w:r w:rsidR="00507FE6">
        <w:rPr>
          <w:color w:val="auto"/>
        </w:rPr>
        <w:t xml:space="preserve"> (e.g.,</w:t>
      </w:r>
      <w:r w:rsidR="00A424F0" w:rsidRPr="00EC6599">
        <w:rPr>
          <w:color w:val="auto"/>
        </w:rPr>
        <w:t xml:space="preserve"> </w:t>
      </w:r>
      <w:r w:rsidRPr="00EC6599">
        <w:rPr>
          <w:color w:val="auto"/>
        </w:rPr>
        <w:t>csv</w:t>
      </w:r>
      <w:r w:rsidR="00507FE6">
        <w:rPr>
          <w:color w:val="auto"/>
        </w:rPr>
        <w:t>)</w:t>
      </w:r>
      <w:r w:rsidRPr="00EC6599">
        <w:rPr>
          <w:color w:val="auto"/>
        </w:rPr>
        <w:t xml:space="preserve">. </w:t>
      </w:r>
      <w:r w:rsidR="0078247E" w:rsidRPr="00EC6599">
        <w:rPr>
          <w:color w:val="auto"/>
        </w:rPr>
        <w:t xml:space="preserve">This step allows for data re-organization and presentation with </w:t>
      </w:r>
      <w:r w:rsidR="009B2E79" w:rsidRPr="00EC6599">
        <w:rPr>
          <w:color w:val="auto"/>
        </w:rPr>
        <w:t xml:space="preserve">other </w:t>
      </w:r>
      <w:r w:rsidR="0078247E" w:rsidRPr="00EC6599">
        <w:rPr>
          <w:color w:val="auto"/>
        </w:rPr>
        <w:t>software packages.</w:t>
      </w:r>
    </w:p>
    <w:p w14:paraId="48A60AF5" w14:textId="77777777" w:rsidR="005A56BE" w:rsidRPr="00EC6599" w:rsidRDefault="005A56BE" w:rsidP="00056460">
      <w:pPr>
        <w:pStyle w:val="a3"/>
        <w:spacing w:before="0" w:beforeAutospacing="0" w:after="0" w:afterAutospacing="0"/>
        <w:rPr>
          <w:color w:val="auto"/>
        </w:rPr>
      </w:pPr>
    </w:p>
    <w:p w14:paraId="43842336" w14:textId="1E1EA44F" w:rsidR="00A424F0" w:rsidRPr="00EC6599" w:rsidRDefault="00A424F0" w:rsidP="00615D37">
      <w:pPr>
        <w:pStyle w:val="a3"/>
        <w:numPr>
          <w:ilvl w:val="1"/>
          <w:numId w:val="30"/>
        </w:numPr>
        <w:spacing w:before="0" w:beforeAutospacing="0" w:after="0" w:afterAutospacing="0"/>
        <w:rPr>
          <w:color w:val="auto"/>
        </w:rPr>
      </w:pPr>
      <w:r w:rsidRPr="00EC6599">
        <w:rPr>
          <w:color w:val="auto"/>
        </w:rPr>
        <w:t>Load the csv-formatted data to scientific data analysis software.</w:t>
      </w:r>
    </w:p>
    <w:p w14:paraId="1088AC74" w14:textId="77777777" w:rsidR="00A424F0" w:rsidRPr="00056460" w:rsidRDefault="00A424F0" w:rsidP="00056460">
      <w:pPr>
        <w:pStyle w:val="a3"/>
        <w:spacing w:before="0" w:beforeAutospacing="0" w:after="0" w:afterAutospacing="0"/>
        <w:rPr>
          <w:color w:val="auto"/>
          <w:highlight w:val="yellow"/>
        </w:rPr>
      </w:pPr>
    </w:p>
    <w:p w14:paraId="66972F99" w14:textId="344CCB9E" w:rsidR="000C3848" w:rsidRPr="00056460" w:rsidRDefault="005A56BE" w:rsidP="00615D37">
      <w:pPr>
        <w:pStyle w:val="a3"/>
        <w:numPr>
          <w:ilvl w:val="1"/>
          <w:numId w:val="30"/>
        </w:numPr>
        <w:spacing w:before="0" w:beforeAutospacing="0" w:after="0" w:afterAutospacing="0"/>
        <w:rPr>
          <w:color w:val="auto"/>
        </w:rPr>
      </w:pPr>
      <w:r w:rsidRPr="00056460">
        <w:rPr>
          <w:color w:val="auto"/>
          <w:highlight w:val="yellow"/>
        </w:rPr>
        <w:t xml:space="preserve">Normalize </w:t>
      </w:r>
      <w:r w:rsidR="00A424F0" w:rsidRPr="00056460">
        <w:rPr>
          <w:color w:val="auto"/>
          <w:highlight w:val="yellow"/>
        </w:rPr>
        <w:t xml:space="preserve">impedance </w:t>
      </w:r>
      <w:r w:rsidRPr="00056460">
        <w:rPr>
          <w:color w:val="auto"/>
          <w:highlight w:val="yellow"/>
        </w:rPr>
        <w:t xml:space="preserve">values </w:t>
      </w:r>
      <w:r w:rsidR="002B73CE">
        <w:rPr>
          <w:color w:val="auto"/>
          <w:highlight w:val="yellow"/>
        </w:rPr>
        <w:t xml:space="preserve">by subtracting </w:t>
      </w:r>
      <w:r w:rsidRPr="00056460">
        <w:rPr>
          <w:color w:val="auto"/>
          <w:highlight w:val="yellow"/>
        </w:rPr>
        <w:t xml:space="preserve">the </w:t>
      </w:r>
      <w:r w:rsidR="002B73CE">
        <w:rPr>
          <w:color w:val="auto"/>
          <w:highlight w:val="yellow"/>
        </w:rPr>
        <w:t xml:space="preserve">impedance of the </w:t>
      </w:r>
      <w:r w:rsidRPr="00056460">
        <w:rPr>
          <w:color w:val="auto"/>
          <w:highlight w:val="yellow"/>
        </w:rPr>
        <w:t xml:space="preserve">last data point before the </w:t>
      </w:r>
      <w:r w:rsidRPr="00056460">
        <w:rPr>
          <w:b/>
          <w:color w:val="auto"/>
          <w:highlight w:val="yellow"/>
        </w:rPr>
        <w:t>first</w:t>
      </w:r>
      <w:r w:rsidRPr="00056460">
        <w:rPr>
          <w:color w:val="auto"/>
          <w:highlight w:val="yellow"/>
        </w:rPr>
        <w:t xml:space="preserve"> addition of agonist solution </w:t>
      </w:r>
      <w:r w:rsidR="002B73CE">
        <w:rPr>
          <w:color w:val="auto"/>
          <w:highlight w:val="yellow"/>
        </w:rPr>
        <w:t xml:space="preserve">and </w:t>
      </w:r>
      <w:r w:rsidRPr="00056460">
        <w:rPr>
          <w:color w:val="auto"/>
          <w:highlight w:val="yellow"/>
        </w:rPr>
        <w:t>by setting the time of addition to t = 0</w:t>
      </w:r>
      <w:r w:rsidR="009B2E79" w:rsidRPr="00056460">
        <w:rPr>
          <w:color w:val="auto"/>
          <w:highlight w:val="yellow"/>
        </w:rPr>
        <w:t xml:space="preserve">. Plot the time course of </w:t>
      </w:r>
      <w:r w:rsidR="009324DB">
        <w:rPr>
          <w:color w:val="auto"/>
          <w:highlight w:val="yellow"/>
        </w:rPr>
        <w:t xml:space="preserve">normalized </w:t>
      </w:r>
      <w:r w:rsidR="009B2E79" w:rsidRPr="00056460">
        <w:rPr>
          <w:color w:val="auto"/>
          <w:highlight w:val="yellow"/>
        </w:rPr>
        <w:t>impedance</w:t>
      </w:r>
      <w:r w:rsidR="002923D9" w:rsidRPr="00056460">
        <w:rPr>
          <w:color w:val="auto"/>
          <w:highlight w:val="yellow"/>
        </w:rPr>
        <w:t>.</w:t>
      </w:r>
    </w:p>
    <w:p w14:paraId="4F5B13A0" w14:textId="77777777" w:rsidR="00104267" w:rsidRPr="00056460" w:rsidRDefault="00104267" w:rsidP="00056460">
      <w:pPr>
        <w:pStyle w:val="a3"/>
        <w:spacing w:before="0" w:beforeAutospacing="0" w:after="0" w:afterAutospacing="0"/>
        <w:rPr>
          <w:color w:val="auto"/>
        </w:rPr>
      </w:pPr>
    </w:p>
    <w:p w14:paraId="1E5CB2F8" w14:textId="58E53FF3" w:rsidR="00104267" w:rsidRPr="00056460" w:rsidRDefault="00104267" w:rsidP="00615D37">
      <w:pPr>
        <w:pStyle w:val="a3"/>
        <w:numPr>
          <w:ilvl w:val="1"/>
          <w:numId w:val="30"/>
        </w:numPr>
        <w:spacing w:before="0" w:beforeAutospacing="0" w:after="0" w:afterAutospacing="0"/>
        <w:rPr>
          <w:color w:val="auto"/>
        </w:rPr>
      </w:pPr>
      <w:r w:rsidRPr="00056460">
        <w:rPr>
          <w:color w:val="auto"/>
          <w:highlight w:val="yellow"/>
        </w:rPr>
        <w:t xml:space="preserve">Plot the individual time courses and identify the maxima in impedance </w:t>
      </w:r>
      <w:r w:rsidR="005A56BE" w:rsidRPr="00056460">
        <w:rPr>
          <w:color w:val="auto"/>
          <w:highlight w:val="yellow"/>
        </w:rPr>
        <w:t>after each addition step. Compose a data sheet with these values.</w:t>
      </w:r>
    </w:p>
    <w:p w14:paraId="0C5D456F" w14:textId="77777777" w:rsidR="005A56BE" w:rsidRPr="00056460" w:rsidRDefault="005A56BE" w:rsidP="00056460">
      <w:pPr>
        <w:pStyle w:val="a3"/>
        <w:spacing w:before="0" w:beforeAutospacing="0" w:after="0" w:afterAutospacing="0"/>
        <w:rPr>
          <w:color w:val="auto"/>
        </w:rPr>
      </w:pPr>
    </w:p>
    <w:p w14:paraId="36FC2DB2" w14:textId="6015C1AB" w:rsidR="005A56BE" w:rsidRPr="00056460" w:rsidRDefault="005A56BE" w:rsidP="00615D37">
      <w:pPr>
        <w:pStyle w:val="a3"/>
        <w:numPr>
          <w:ilvl w:val="1"/>
          <w:numId w:val="30"/>
        </w:numPr>
        <w:spacing w:before="0" w:beforeAutospacing="0" w:after="0" w:afterAutospacing="0"/>
        <w:rPr>
          <w:color w:val="auto"/>
          <w:highlight w:val="yellow"/>
        </w:rPr>
      </w:pPr>
      <w:r w:rsidRPr="00056460">
        <w:rPr>
          <w:color w:val="auto"/>
          <w:highlight w:val="yellow"/>
        </w:rPr>
        <w:t>Plot the values of maximum</w:t>
      </w:r>
      <w:r w:rsidR="002923D9" w:rsidRPr="00056460">
        <w:rPr>
          <w:color w:val="auto"/>
          <w:highlight w:val="yellow"/>
        </w:rPr>
        <w:t xml:space="preserve"> (or minimum, if applicable)</w:t>
      </w:r>
      <w:r w:rsidRPr="00056460">
        <w:rPr>
          <w:color w:val="auto"/>
          <w:highlight w:val="yellow"/>
        </w:rPr>
        <w:t xml:space="preserve"> impedance change</w:t>
      </w:r>
      <w:r w:rsidR="00A424F0" w:rsidRPr="00056460">
        <w:rPr>
          <w:color w:val="auto"/>
          <w:highlight w:val="yellow"/>
        </w:rPr>
        <w:t>s</w:t>
      </w:r>
      <w:r w:rsidRPr="00056460">
        <w:rPr>
          <w:color w:val="auto"/>
          <w:highlight w:val="yellow"/>
        </w:rPr>
        <w:t xml:space="preserve"> as a function of agonist concentration. This can be done for individual wells or for the averages (mean ± SD).</w:t>
      </w:r>
    </w:p>
    <w:p w14:paraId="247F6174" w14:textId="77777777" w:rsidR="005A56BE" w:rsidRPr="00056460" w:rsidRDefault="005A56BE" w:rsidP="00056460">
      <w:pPr>
        <w:pStyle w:val="a3"/>
        <w:spacing w:before="0" w:beforeAutospacing="0" w:after="0" w:afterAutospacing="0"/>
        <w:rPr>
          <w:color w:val="auto"/>
          <w:highlight w:val="yellow"/>
        </w:rPr>
      </w:pPr>
    </w:p>
    <w:p w14:paraId="58F67F3A" w14:textId="520D3FF4" w:rsidR="005A56BE" w:rsidRPr="00056460" w:rsidRDefault="005A56BE" w:rsidP="00615D37">
      <w:pPr>
        <w:pStyle w:val="a3"/>
        <w:numPr>
          <w:ilvl w:val="1"/>
          <w:numId w:val="30"/>
        </w:numPr>
        <w:spacing w:before="0" w:beforeAutospacing="0" w:after="0" w:afterAutospacing="0"/>
        <w:rPr>
          <w:color w:val="auto"/>
        </w:rPr>
      </w:pPr>
      <w:r w:rsidRPr="00056460">
        <w:rPr>
          <w:color w:val="auto"/>
          <w:highlight w:val="yellow"/>
        </w:rPr>
        <w:t xml:space="preserve">Use a data fitting </w:t>
      </w:r>
      <w:r w:rsidR="00A424F0" w:rsidRPr="00056460">
        <w:rPr>
          <w:color w:val="auto"/>
          <w:highlight w:val="yellow"/>
        </w:rPr>
        <w:t xml:space="preserve">routine </w:t>
      </w:r>
      <w:r w:rsidR="0082039C" w:rsidRPr="00056460">
        <w:rPr>
          <w:color w:val="auto"/>
          <w:highlight w:val="yellow"/>
        </w:rPr>
        <w:t>to</w:t>
      </w:r>
      <w:r w:rsidR="009B2E79" w:rsidRPr="00056460">
        <w:rPr>
          <w:color w:val="auto"/>
          <w:highlight w:val="yellow"/>
        </w:rPr>
        <w:t xml:space="preserve"> determine</w:t>
      </w:r>
      <w:r w:rsidR="0082039C" w:rsidRPr="00056460">
        <w:rPr>
          <w:color w:val="auto"/>
          <w:highlight w:val="yellow"/>
        </w:rPr>
        <w:t xml:space="preserve"> </w:t>
      </w:r>
      <w:r w:rsidR="00F669CF" w:rsidRPr="00056460">
        <w:rPr>
          <w:color w:val="auto"/>
          <w:highlight w:val="yellow"/>
        </w:rPr>
        <w:t>half-maximal effective concentrations (EC</w:t>
      </w:r>
      <w:r w:rsidR="00F669CF" w:rsidRPr="00056460">
        <w:rPr>
          <w:color w:val="auto"/>
          <w:highlight w:val="yellow"/>
          <w:vertAlign w:val="subscript"/>
        </w:rPr>
        <w:t>50</w:t>
      </w:r>
      <w:r w:rsidR="00F669CF" w:rsidRPr="00056460">
        <w:rPr>
          <w:color w:val="auto"/>
          <w:highlight w:val="yellow"/>
        </w:rPr>
        <w:t xml:space="preserve">) </w:t>
      </w:r>
      <w:r w:rsidR="0082039C" w:rsidRPr="00056460">
        <w:rPr>
          <w:color w:val="auto"/>
          <w:highlight w:val="yellow"/>
        </w:rPr>
        <w:t xml:space="preserve">and </w:t>
      </w:r>
      <w:r w:rsidR="00F669CF" w:rsidRPr="00056460">
        <w:rPr>
          <w:color w:val="auto"/>
          <w:highlight w:val="yellow"/>
        </w:rPr>
        <w:t>maximum response (</w:t>
      </w:r>
      <w:proofErr w:type="spellStart"/>
      <w:r w:rsidR="0082039C" w:rsidRPr="00056460">
        <w:rPr>
          <w:color w:val="auto"/>
          <w:highlight w:val="yellow"/>
        </w:rPr>
        <w:t>E</w:t>
      </w:r>
      <w:r w:rsidR="0082039C" w:rsidRPr="00056460">
        <w:rPr>
          <w:color w:val="auto"/>
          <w:highlight w:val="yellow"/>
          <w:vertAlign w:val="subscript"/>
        </w:rPr>
        <w:t>Max</w:t>
      </w:r>
      <w:proofErr w:type="spellEnd"/>
      <w:r w:rsidR="00F669CF" w:rsidRPr="00056460">
        <w:rPr>
          <w:color w:val="auto"/>
          <w:highlight w:val="yellow"/>
        </w:rPr>
        <w:t>) by using the four parameter logistic model</w:t>
      </w:r>
      <w:r w:rsidR="00C22267">
        <w:rPr>
          <w:color w:val="auto"/>
          <w:highlight w:val="yellow"/>
        </w:rPr>
        <w:t xml:space="preserve"> (equation 2)</w:t>
      </w:r>
      <w:r w:rsidR="00F669CF" w:rsidRPr="00056460">
        <w:rPr>
          <w:color w:val="auto"/>
          <w:highlight w:val="yellow"/>
        </w:rPr>
        <w:t>:</w:t>
      </w:r>
      <w:r w:rsidR="00F669CF" w:rsidRPr="00056460">
        <w:rPr>
          <w:color w:val="auto"/>
        </w:rPr>
        <w:t xml:space="preserve"> </w:t>
      </w:r>
    </w:p>
    <w:bookmarkEnd w:id="0"/>
    <w:bookmarkEnd w:id="1"/>
    <w:bookmarkEnd w:id="2"/>
    <w:p w14:paraId="460F6961" w14:textId="02D1D5F6" w:rsidR="00F669CF" w:rsidRPr="00056460" w:rsidRDefault="00F669CF" w:rsidP="000F17FA">
      <w:pPr>
        <w:pStyle w:val="a3"/>
        <w:jc w:val="right"/>
        <w:rPr>
          <w:b/>
          <w:color w:val="auto"/>
        </w:rPr>
      </w:pPr>
      <m:oMath>
        <m:r>
          <m:rPr>
            <m:sty m:val="bi"/>
          </m:rPr>
          <w:rPr>
            <w:rFonts w:ascii="Cambria Math" w:hAnsi="Cambria Math"/>
            <w:color w:val="auto"/>
          </w:rPr>
          <m:t>f</m:t>
        </m:r>
        <m:d>
          <m:dPr>
            <m:ctrlPr>
              <w:rPr>
                <w:rFonts w:ascii="Cambria Math" w:hAnsi="Cambria Math"/>
                <w:b/>
                <w:color w:val="auto"/>
              </w:rPr>
            </m:ctrlPr>
          </m:dPr>
          <m:e>
            <m:r>
              <m:rPr>
                <m:sty m:val="bi"/>
              </m:rPr>
              <w:rPr>
                <w:rFonts w:ascii="Cambria Math" w:hAnsi="Cambria Math"/>
                <w:color w:val="auto"/>
              </w:rPr>
              <m:t>c</m:t>
            </m:r>
          </m:e>
        </m:d>
        <m:r>
          <m:rPr>
            <m:sty m:val="b"/>
          </m:rPr>
          <w:rPr>
            <w:rFonts w:ascii="Cambria Math" w:hAnsi="Cambria Math"/>
            <w:color w:val="auto"/>
          </w:rPr>
          <m:t>=</m:t>
        </m:r>
        <m:sSub>
          <m:sSubPr>
            <m:ctrlPr>
              <w:rPr>
                <w:rFonts w:ascii="Cambria Math" w:hAnsi="Cambria Math"/>
                <w:b/>
                <w:color w:val="auto"/>
              </w:rPr>
            </m:ctrlPr>
          </m:sSubPr>
          <m:e>
            <m:r>
              <m:rPr>
                <m:sty m:val="bi"/>
              </m:rPr>
              <w:rPr>
                <w:rFonts w:ascii="Cambria Math" w:hAnsi="Cambria Math"/>
                <w:color w:val="auto"/>
              </w:rPr>
              <m:t>A</m:t>
            </m:r>
          </m:e>
          <m:sub>
            <m:r>
              <m:rPr>
                <m:sty m:val="b"/>
              </m:rPr>
              <w:rPr>
                <w:rFonts w:ascii="Cambria Math" w:hAnsi="Cambria Math"/>
                <w:color w:val="auto"/>
              </w:rPr>
              <m:t>2</m:t>
            </m:r>
          </m:sub>
        </m:sSub>
        <m:r>
          <m:rPr>
            <m:sty m:val="b"/>
          </m:rPr>
          <w:rPr>
            <w:rFonts w:ascii="Cambria Math" w:hAnsi="Cambria Math"/>
            <w:color w:val="auto"/>
          </w:rPr>
          <m:t>+</m:t>
        </m:r>
        <m:f>
          <m:fPr>
            <m:ctrlPr>
              <w:rPr>
                <w:rFonts w:ascii="Cambria Math" w:hAnsi="Cambria Math"/>
                <w:b/>
                <w:color w:val="auto"/>
              </w:rPr>
            </m:ctrlPr>
          </m:fPr>
          <m:num>
            <m:d>
              <m:dPr>
                <m:ctrlPr>
                  <w:rPr>
                    <w:rFonts w:ascii="Cambria Math" w:hAnsi="Cambria Math"/>
                    <w:b/>
                    <w:color w:val="auto"/>
                  </w:rPr>
                </m:ctrlPr>
              </m:dPr>
              <m:e>
                <m:sSub>
                  <m:sSubPr>
                    <m:ctrlPr>
                      <w:rPr>
                        <w:rFonts w:ascii="Cambria Math" w:hAnsi="Cambria Math"/>
                        <w:b/>
                        <w:color w:val="auto"/>
                      </w:rPr>
                    </m:ctrlPr>
                  </m:sSubPr>
                  <m:e>
                    <m:r>
                      <m:rPr>
                        <m:sty m:val="bi"/>
                      </m:rPr>
                      <w:rPr>
                        <w:rFonts w:ascii="Cambria Math" w:hAnsi="Cambria Math"/>
                        <w:color w:val="auto"/>
                      </w:rPr>
                      <m:t>A</m:t>
                    </m:r>
                  </m:e>
                  <m:sub>
                    <m:r>
                      <m:rPr>
                        <m:sty m:val="b"/>
                      </m:rPr>
                      <w:rPr>
                        <w:rFonts w:ascii="Cambria Math" w:hAnsi="Cambria Math"/>
                        <w:color w:val="auto"/>
                      </w:rPr>
                      <m:t>1</m:t>
                    </m:r>
                  </m:sub>
                </m:sSub>
                <m:r>
                  <m:rPr>
                    <m:sty m:val="b"/>
                  </m:rPr>
                  <w:rPr>
                    <w:rFonts w:ascii="Cambria Math" w:hAnsi="Cambria Math"/>
                    <w:color w:val="auto"/>
                  </w:rPr>
                  <m:t>-</m:t>
                </m:r>
                <m:sSub>
                  <m:sSubPr>
                    <m:ctrlPr>
                      <w:rPr>
                        <w:rFonts w:ascii="Cambria Math" w:hAnsi="Cambria Math"/>
                        <w:b/>
                        <w:color w:val="auto"/>
                      </w:rPr>
                    </m:ctrlPr>
                  </m:sSubPr>
                  <m:e>
                    <m:r>
                      <m:rPr>
                        <m:sty m:val="bi"/>
                      </m:rPr>
                      <w:rPr>
                        <w:rFonts w:ascii="Cambria Math" w:hAnsi="Cambria Math"/>
                        <w:color w:val="auto"/>
                      </w:rPr>
                      <m:t>A</m:t>
                    </m:r>
                  </m:e>
                  <m:sub>
                    <m:r>
                      <m:rPr>
                        <m:sty m:val="b"/>
                      </m:rPr>
                      <w:rPr>
                        <w:rFonts w:ascii="Cambria Math" w:hAnsi="Cambria Math"/>
                        <w:color w:val="auto"/>
                      </w:rPr>
                      <m:t>2</m:t>
                    </m:r>
                  </m:sub>
                </m:sSub>
              </m:e>
            </m:d>
          </m:num>
          <m:den>
            <m:r>
              <m:rPr>
                <m:sty m:val="b"/>
              </m:rPr>
              <w:rPr>
                <w:rFonts w:ascii="Cambria Math" w:hAnsi="Cambria Math"/>
                <w:color w:val="auto"/>
              </w:rPr>
              <m:t>(1+</m:t>
            </m:r>
            <m:sSup>
              <m:sSupPr>
                <m:ctrlPr>
                  <w:rPr>
                    <w:rFonts w:ascii="Cambria Math" w:hAnsi="Cambria Math"/>
                    <w:b/>
                    <w:color w:val="auto"/>
                  </w:rPr>
                </m:ctrlPr>
              </m:sSupPr>
              <m:e>
                <m:d>
                  <m:dPr>
                    <m:ctrlPr>
                      <w:rPr>
                        <w:rFonts w:ascii="Cambria Math" w:hAnsi="Cambria Math"/>
                        <w:b/>
                        <w:color w:val="auto"/>
                      </w:rPr>
                    </m:ctrlPr>
                  </m:dPr>
                  <m:e>
                    <m:f>
                      <m:fPr>
                        <m:ctrlPr>
                          <w:rPr>
                            <w:rFonts w:ascii="Cambria Math" w:hAnsi="Cambria Math"/>
                            <w:b/>
                            <w:color w:val="auto"/>
                          </w:rPr>
                        </m:ctrlPr>
                      </m:fPr>
                      <m:num>
                        <m:r>
                          <m:rPr>
                            <m:sty m:val="bi"/>
                          </m:rPr>
                          <w:rPr>
                            <w:rFonts w:ascii="Cambria Math" w:hAnsi="Cambria Math"/>
                            <w:color w:val="auto"/>
                          </w:rPr>
                          <m:t>c</m:t>
                        </m:r>
                      </m:num>
                      <m:den>
                        <m:sSub>
                          <m:sSubPr>
                            <m:ctrlPr>
                              <w:rPr>
                                <w:rFonts w:ascii="Cambria Math" w:hAnsi="Cambria Math"/>
                                <w:b/>
                                <w:color w:val="auto"/>
                              </w:rPr>
                            </m:ctrlPr>
                          </m:sSubPr>
                          <m:e>
                            <m:r>
                              <m:rPr>
                                <m:sty m:val="bi"/>
                              </m:rPr>
                              <w:rPr>
                                <w:rFonts w:ascii="Cambria Math" w:hAnsi="Cambria Math"/>
                                <w:color w:val="auto"/>
                              </w:rPr>
                              <m:t>EC</m:t>
                            </m:r>
                          </m:e>
                          <m:sub>
                            <m:r>
                              <m:rPr>
                                <m:sty m:val="b"/>
                              </m:rPr>
                              <w:rPr>
                                <w:rFonts w:ascii="Cambria Math" w:hAnsi="Cambria Math"/>
                                <w:color w:val="auto"/>
                              </w:rPr>
                              <m:t>50</m:t>
                            </m:r>
                          </m:sub>
                        </m:sSub>
                      </m:den>
                    </m:f>
                  </m:e>
                </m:d>
              </m:e>
              <m:sup>
                <m:r>
                  <m:rPr>
                    <m:sty m:val="bi"/>
                  </m:rPr>
                  <w:rPr>
                    <w:rFonts w:ascii="Cambria Math" w:hAnsi="Cambria Math"/>
                    <w:color w:val="auto"/>
                  </w:rPr>
                  <m:t>n</m:t>
                </m:r>
              </m:sup>
            </m:sSup>
            <m:r>
              <m:rPr>
                <m:sty m:val="b"/>
              </m:rPr>
              <w:rPr>
                <w:rFonts w:ascii="Cambria Math" w:hAnsi="Cambria Math"/>
                <w:color w:val="auto"/>
              </w:rPr>
              <m:t>)</m:t>
            </m:r>
          </m:den>
        </m:f>
      </m:oMath>
      <w:r w:rsidR="00C22267">
        <w:rPr>
          <w:b/>
          <w:color w:val="auto"/>
        </w:rPr>
        <w:tab/>
      </w:r>
      <w:r w:rsidR="00C22267">
        <w:rPr>
          <w:b/>
          <w:color w:val="auto"/>
        </w:rPr>
        <w:tab/>
      </w:r>
      <w:r w:rsidR="00C22267">
        <w:rPr>
          <w:b/>
          <w:color w:val="auto"/>
        </w:rPr>
        <w:tab/>
      </w:r>
      <w:r w:rsidR="00C22267">
        <w:rPr>
          <w:b/>
          <w:color w:val="auto"/>
        </w:rPr>
        <w:tab/>
      </w:r>
      <w:r w:rsidR="00C22267">
        <w:rPr>
          <w:b/>
          <w:color w:val="auto"/>
        </w:rPr>
        <w:tab/>
      </w:r>
      <w:r w:rsidR="00C22267" w:rsidRPr="000F17FA">
        <w:rPr>
          <w:color w:val="auto"/>
        </w:rPr>
        <w:t>(2)</w:t>
      </w:r>
    </w:p>
    <w:p w14:paraId="04ADE1E3" w14:textId="22D1C70D" w:rsidR="00F669CF" w:rsidRPr="00056460" w:rsidRDefault="00F03C2B" w:rsidP="00056460">
      <w:pPr>
        <w:pStyle w:val="a3"/>
        <w:spacing w:before="0" w:beforeAutospacing="0" w:after="0" w:afterAutospacing="0"/>
        <w:rPr>
          <w:color w:val="auto"/>
        </w:rPr>
      </w:pPr>
      <w:r w:rsidRPr="00056460">
        <w:rPr>
          <w:color w:val="auto"/>
        </w:rPr>
        <w:t>N</w:t>
      </w:r>
      <w:r w:rsidR="002A0172" w:rsidRPr="00056460">
        <w:rPr>
          <w:color w:val="auto"/>
        </w:rPr>
        <w:t>OTE</w:t>
      </w:r>
      <w:r w:rsidRPr="00056460">
        <w:rPr>
          <w:color w:val="auto"/>
        </w:rPr>
        <w:t xml:space="preserve">: </w:t>
      </w:r>
      <w:r w:rsidR="009B2E79" w:rsidRPr="00056460">
        <w:rPr>
          <w:color w:val="auto"/>
        </w:rPr>
        <w:t xml:space="preserve"> </w:t>
      </w:r>
      <w:r w:rsidR="00F669CF" w:rsidRPr="00056460">
        <w:rPr>
          <w:i/>
          <w:color w:val="auto"/>
        </w:rPr>
        <w:t>c</w:t>
      </w:r>
      <w:r w:rsidR="00F669CF" w:rsidRPr="00056460">
        <w:rPr>
          <w:color w:val="auto"/>
        </w:rPr>
        <w:t xml:space="preserve"> indicates the agonist concentration, </w:t>
      </w:r>
      <w:r w:rsidR="00F669CF" w:rsidRPr="00056460">
        <w:rPr>
          <w:i/>
          <w:color w:val="auto"/>
        </w:rPr>
        <w:t>A</w:t>
      </w:r>
      <w:r w:rsidR="00F669CF" w:rsidRPr="00056460">
        <w:rPr>
          <w:i/>
          <w:color w:val="auto"/>
          <w:vertAlign w:val="subscript"/>
        </w:rPr>
        <w:t>1</w:t>
      </w:r>
      <w:r w:rsidR="00F669CF" w:rsidRPr="00056460">
        <w:rPr>
          <w:color w:val="auto"/>
        </w:rPr>
        <w:t xml:space="preserve"> </w:t>
      </w:r>
      <w:r w:rsidRPr="00056460">
        <w:rPr>
          <w:color w:val="auto"/>
        </w:rPr>
        <w:t xml:space="preserve">is </w:t>
      </w:r>
      <w:r w:rsidR="00F669CF" w:rsidRPr="00056460">
        <w:rPr>
          <w:color w:val="auto"/>
        </w:rPr>
        <w:t>the m</w:t>
      </w:r>
      <w:r w:rsidR="005D113E">
        <w:rPr>
          <w:color w:val="auto"/>
        </w:rPr>
        <w:t>axim</w:t>
      </w:r>
      <w:r w:rsidR="00F669CF" w:rsidRPr="00056460">
        <w:rPr>
          <w:color w:val="auto"/>
        </w:rPr>
        <w:t>um and</w:t>
      </w:r>
      <w:r w:rsidRPr="00056460">
        <w:rPr>
          <w:color w:val="auto"/>
        </w:rPr>
        <w:t xml:space="preserve"> </w:t>
      </w:r>
      <w:r w:rsidRPr="00056460">
        <w:rPr>
          <w:i/>
          <w:color w:val="auto"/>
        </w:rPr>
        <w:t>A</w:t>
      </w:r>
      <w:r w:rsidRPr="00056460">
        <w:rPr>
          <w:i/>
          <w:color w:val="auto"/>
          <w:vertAlign w:val="subscript"/>
        </w:rPr>
        <w:t>2</w:t>
      </w:r>
      <w:r w:rsidRPr="00056460">
        <w:rPr>
          <w:color w:val="auto"/>
        </w:rPr>
        <w:t xml:space="preserve"> is the </w:t>
      </w:r>
      <w:r w:rsidR="00F669CF" w:rsidRPr="00056460">
        <w:rPr>
          <w:color w:val="auto"/>
        </w:rPr>
        <w:t>m</w:t>
      </w:r>
      <w:r w:rsidR="005D113E">
        <w:rPr>
          <w:color w:val="auto"/>
        </w:rPr>
        <w:t>ini</w:t>
      </w:r>
      <w:r w:rsidR="00F669CF" w:rsidRPr="00056460">
        <w:rPr>
          <w:color w:val="auto"/>
        </w:rPr>
        <w:t xml:space="preserve">mum asymptote of the sigmoidal </w:t>
      </w:r>
      <w:r w:rsidR="009B2E79" w:rsidRPr="00056460">
        <w:rPr>
          <w:color w:val="auto"/>
        </w:rPr>
        <w:t>dose</w:t>
      </w:r>
      <w:r w:rsidR="00F669CF" w:rsidRPr="00056460">
        <w:rPr>
          <w:color w:val="auto"/>
        </w:rPr>
        <w:t>-response curve</w:t>
      </w:r>
      <w:r w:rsidR="00E47AA2" w:rsidRPr="00056460">
        <w:rPr>
          <w:color w:val="auto"/>
        </w:rPr>
        <w:t xml:space="preserve"> (</w:t>
      </w:r>
      <w:r w:rsidR="005D113E" w:rsidRPr="00056460">
        <w:rPr>
          <w:i/>
          <w:color w:val="auto"/>
        </w:rPr>
        <w:t>A</w:t>
      </w:r>
      <w:r w:rsidR="005D113E">
        <w:rPr>
          <w:color w:val="auto"/>
          <w:vertAlign w:val="subscript"/>
        </w:rPr>
        <w:t>1</w:t>
      </w:r>
      <w:r w:rsidR="005D113E" w:rsidRPr="00056460">
        <w:rPr>
          <w:color w:val="auto"/>
        </w:rPr>
        <w:t xml:space="preserve"> </w:t>
      </w:r>
      <w:r w:rsidR="00E47AA2" w:rsidRPr="00056460">
        <w:rPr>
          <w:color w:val="auto"/>
        </w:rPr>
        <w:t xml:space="preserve">= </w:t>
      </w:r>
      <w:proofErr w:type="spellStart"/>
      <w:r w:rsidR="00E47AA2" w:rsidRPr="00056460">
        <w:rPr>
          <w:color w:val="auto"/>
        </w:rPr>
        <w:t>E</w:t>
      </w:r>
      <w:r w:rsidR="00E47AA2" w:rsidRPr="00056460">
        <w:rPr>
          <w:color w:val="auto"/>
          <w:vertAlign w:val="subscript"/>
        </w:rPr>
        <w:t>Max</w:t>
      </w:r>
      <w:proofErr w:type="spellEnd"/>
      <w:r w:rsidR="00E47AA2" w:rsidRPr="00056460">
        <w:rPr>
          <w:color w:val="auto"/>
        </w:rPr>
        <w:t>)</w:t>
      </w:r>
      <w:r w:rsidR="00F669CF" w:rsidRPr="00056460">
        <w:rPr>
          <w:color w:val="auto"/>
        </w:rPr>
        <w:t>. EC</w:t>
      </w:r>
      <w:r w:rsidR="00F669CF" w:rsidRPr="00056460">
        <w:rPr>
          <w:color w:val="auto"/>
          <w:vertAlign w:val="subscript"/>
        </w:rPr>
        <w:t>50</w:t>
      </w:r>
      <w:r w:rsidR="00F669CF" w:rsidRPr="00056460">
        <w:rPr>
          <w:color w:val="auto"/>
        </w:rPr>
        <w:t xml:space="preserve"> </w:t>
      </w:r>
      <w:r w:rsidR="00485738" w:rsidRPr="00056460">
        <w:rPr>
          <w:color w:val="auto"/>
        </w:rPr>
        <w:t xml:space="preserve">is the concentration at </w:t>
      </w:r>
      <w:r w:rsidR="00F669CF" w:rsidRPr="00056460">
        <w:rPr>
          <w:color w:val="auto"/>
        </w:rPr>
        <w:t xml:space="preserve">the inflection point of the curve, and </w:t>
      </w:r>
      <w:r w:rsidR="00F669CF" w:rsidRPr="00056460">
        <w:rPr>
          <w:i/>
          <w:color w:val="auto"/>
        </w:rPr>
        <w:t>n</w:t>
      </w:r>
      <w:r w:rsidR="00F669CF" w:rsidRPr="00056460">
        <w:rPr>
          <w:color w:val="auto"/>
        </w:rPr>
        <w:t xml:space="preserve"> </w:t>
      </w:r>
      <w:r w:rsidR="00485738" w:rsidRPr="00056460">
        <w:rPr>
          <w:color w:val="auto"/>
        </w:rPr>
        <w:t xml:space="preserve">corresponds to </w:t>
      </w:r>
      <w:r w:rsidR="00F669CF" w:rsidRPr="00056460">
        <w:rPr>
          <w:color w:val="auto"/>
        </w:rPr>
        <w:t>the Hill slope.</w:t>
      </w:r>
    </w:p>
    <w:p w14:paraId="3F0A3C87" w14:textId="77777777" w:rsidR="00AC1858" w:rsidRPr="00056460" w:rsidRDefault="00AC1858" w:rsidP="00056460">
      <w:pPr>
        <w:pStyle w:val="a3"/>
        <w:spacing w:before="0" w:beforeAutospacing="0" w:after="0" w:afterAutospacing="0"/>
        <w:rPr>
          <w:b/>
          <w:color w:val="auto"/>
        </w:rPr>
      </w:pPr>
    </w:p>
    <w:p w14:paraId="475C17B5" w14:textId="77777777" w:rsidR="000F17FA" w:rsidRDefault="000F17FA" w:rsidP="00056460">
      <w:pPr>
        <w:pStyle w:val="a3"/>
        <w:spacing w:before="0" w:beforeAutospacing="0" w:after="0" w:afterAutospacing="0"/>
        <w:rPr>
          <w:b/>
          <w:color w:val="auto"/>
        </w:rPr>
      </w:pPr>
    </w:p>
    <w:p w14:paraId="3E79FCA8" w14:textId="6E7DB03F" w:rsidR="006305D7" w:rsidRPr="00056460" w:rsidRDefault="006305D7" w:rsidP="00056460">
      <w:pPr>
        <w:pStyle w:val="a3"/>
        <w:spacing w:before="0" w:beforeAutospacing="0" w:after="0" w:afterAutospacing="0"/>
        <w:rPr>
          <w:color w:val="auto"/>
        </w:rPr>
      </w:pPr>
      <w:r w:rsidRPr="00056460">
        <w:rPr>
          <w:b/>
          <w:color w:val="auto"/>
        </w:rPr>
        <w:t>REPRESENTATIVE RESULTS</w:t>
      </w:r>
      <w:r w:rsidR="00EF1462" w:rsidRPr="00056460">
        <w:rPr>
          <w:b/>
          <w:color w:val="auto"/>
        </w:rPr>
        <w:t xml:space="preserve">: </w:t>
      </w:r>
    </w:p>
    <w:p w14:paraId="4789318A" w14:textId="46C44515" w:rsidR="002923D9" w:rsidRDefault="00E76C29" w:rsidP="00056460">
      <w:pPr>
        <w:pStyle w:val="a3"/>
        <w:spacing w:before="0" w:beforeAutospacing="0" w:after="0" w:afterAutospacing="0"/>
        <w:rPr>
          <w:color w:val="auto"/>
        </w:rPr>
      </w:pPr>
      <w:r w:rsidRPr="00056460">
        <w:rPr>
          <w:color w:val="auto"/>
        </w:rPr>
        <w:t xml:space="preserve">A typical scheme for preparing the </w:t>
      </w:r>
      <w:r w:rsidR="009B2E79" w:rsidRPr="00056460">
        <w:rPr>
          <w:color w:val="auto"/>
        </w:rPr>
        <w:t xml:space="preserve">various </w:t>
      </w:r>
      <w:r w:rsidRPr="00056460">
        <w:rPr>
          <w:color w:val="auto"/>
        </w:rPr>
        <w:t xml:space="preserve">agonist solutions is shown for an experiment </w:t>
      </w:r>
      <w:r w:rsidR="009B2E79" w:rsidRPr="00056460">
        <w:rPr>
          <w:color w:val="auto"/>
        </w:rPr>
        <w:t xml:space="preserve">using </w:t>
      </w:r>
      <w:r w:rsidRPr="00056460">
        <w:rPr>
          <w:color w:val="auto"/>
        </w:rPr>
        <w:t xml:space="preserve">8-well </w:t>
      </w:r>
      <w:r w:rsidR="009B2E79" w:rsidRPr="00056460">
        <w:rPr>
          <w:color w:val="auto"/>
        </w:rPr>
        <w:t xml:space="preserve">electrode </w:t>
      </w:r>
      <w:r w:rsidRPr="00056460">
        <w:rPr>
          <w:color w:val="auto"/>
        </w:rPr>
        <w:t>array</w:t>
      </w:r>
      <w:r w:rsidR="009B2E79" w:rsidRPr="00056460">
        <w:rPr>
          <w:color w:val="auto"/>
        </w:rPr>
        <w:t>s</w:t>
      </w:r>
      <w:r w:rsidRPr="00056460">
        <w:rPr>
          <w:color w:val="auto"/>
        </w:rPr>
        <w:t xml:space="preserve"> with histamine as agonist in </w:t>
      </w:r>
      <w:r w:rsidR="00507FE6">
        <w:rPr>
          <w:b/>
          <w:color w:val="auto"/>
        </w:rPr>
        <w:t>T</w:t>
      </w:r>
      <w:r w:rsidRPr="00056460">
        <w:rPr>
          <w:b/>
          <w:color w:val="auto"/>
        </w:rPr>
        <w:t>ables 1 - 4</w:t>
      </w:r>
      <w:r w:rsidRPr="00056460">
        <w:rPr>
          <w:color w:val="auto"/>
        </w:rPr>
        <w:t>.</w:t>
      </w:r>
      <w:r w:rsidR="002923D9" w:rsidRPr="00056460">
        <w:rPr>
          <w:color w:val="auto"/>
        </w:rPr>
        <w:t xml:space="preserve"> </w:t>
      </w:r>
      <w:r w:rsidRPr="00056460">
        <w:rPr>
          <w:b/>
          <w:color w:val="auto"/>
        </w:rPr>
        <w:t>Table 1</w:t>
      </w:r>
      <w:r w:rsidRPr="00056460">
        <w:rPr>
          <w:color w:val="auto"/>
        </w:rPr>
        <w:t xml:space="preserve"> and </w:t>
      </w:r>
      <w:r w:rsidR="00507FE6" w:rsidRPr="00507FE6">
        <w:rPr>
          <w:b/>
          <w:bCs/>
          <w:color w:val="auto"/>
        </w:rPr>
        <w:t>Table</w:t>
      </w:r>
      <w:r w:rsidR="00507FE6">
        <w:rPr>
          <w:color w:val="auto"/>
        </w:rPr>
        <w:t xml:space="preserve"> </w:t>
      </w:r>
      <w:r w:rsidRPr="00056460">
        <w:rPr>
          <w:b/>
          <w:color w:val="auto"/>
        </w:rPr>
        <w:t>2</w:t>
      </w:r>
      <w:r w:rsidRPr="00056460">
        <w:rPr>
          <w:color w:val="auto"/>
        </w:rPr>
        <w:t xml:space="preserve"> present volumes and concentrations for an experiment </w:t>
      </w:r>
      <w:r w:rsidR="009B2E79" w:rsidRPr="00056460">
        <w:rPr>
          <w:color w:val="auto"/>
        </w:rPr>
        <w:t xml:space="preserve">using </w:t>
      </w:r>
      <w:r w:rsidRPr="00056460">
        <w:rPr>
          <w:color w:val="auto"/>
        </w:rPr>
        <w:t xml:space="preserve">addition </w:t>
      </w:r>
      <w:r w:rsidRPr="00056460">
        <w:rPr>
          <w:b/>
          <w:color w:val="auto"/>
        </w:rPr>
        <w:t>mode 1</w:t>
      </w:r>
      <w:r w:rsidRPr="00056460">
        <w:rPr>
          <w:color w:val="auto"/>
        </w:rPr>
        <w:t xml:space="preserve"> </w:t>
      </w:r>
      <w:r w:rsidRPr="00507FE6">
        <w:rPr>
          <w:bCs/>
          <w:color w:val="auto"/>
        </w:rPr>
        <w:t>(</w:t>
      </w:r>
      <w:r w:rsidR="00AB175F" w:rsidRPr="00507FE6">
        <w:rPr>
          <w:bCs/>
          <w:color w:val="auto"/>
        </w:rPr>
        <w:t>cf.</w:t>
      </w:r>
      <w:r w:rsidR="00507FE6" w:rsidRPr="00507FE6">
        <w:rPr>
          <w:bCs/>
          <w:color w:val="auto"/>
        </w:rPr>
        <w:t>,</w:t>
      </w:r>
      <w:r w:rsidR="00AB175F" w:rsidRPr="00056460">
        <w:rPr>
          <w:b/>
          <w:color w:val="auto"/>
        </w:rPr>
        <w:t xml:space="preserve"> </w:t>
      </w:r>
      <w:r w:rsidR="00507FE6">
        <w:rPr>
          <w:b/>
          <w:color w:val="auto"/>
        </w:rPr>
        <w:t>F</w:t>
      </w:r>
      <w:r w:rsidRPr="00056460">
        <w:rPr>
          <w:b/>
          <w:color w:val="auto"/>
        </w:rPr>
        <w:t>igure 1</w:t>
      </w:r>
      <w:r w:rsidRPr="00507FE6">
        <w:rPr>
          <w:bCs/>
          <w:color w:val="auto"/>
        </w:rPr>
        <w:t>)</w:t>
      </w:r>
      <w:r w:rsidR="002923D9" w:rsidRPr="00507FE6">
        <w:rPr>
          <w:bCs/>
          <w:color w:val="auto"/>
        </w:rPr>
        <w:t>,</w:t>
      </w:r>
      <w:r w:rsidR="002923D9" w:rsidRPr="00056460">
        <w:rPr>
          <w:b/>
          <w:color w:val="auto"/>
        </w:rPr>
        <w:t xml:space="preserve"> </w:t>
      </w:r>
      <w:r w:rsidR="002923D9" w:rsidRPr="00056460">
        <w:rPr>
          <w:color w:val="auto"/>
        </w:rPr>
        <w:t xml:space="preserve">while </w:t>
      </w:r>
      <w:r w:rsidR="00507FE6">
        <w:rPr>
          <w:b/>
          <w:color w:val="auto"/>
        </w:rPr>
        <w:t>T</w:t>
      </w:r>
      <w:r w:rsidR="002923D9" w:rsidRPr="00056460">
        <w:rPr>
          <w:b/>
          <w:color w:val="auto"/>
        </w:rPr>
        <w:t>able 3</w:t>
      </w:r>
      <w:r w:rsidR="002923D9" w:rsidRPr="00056460">
        <w:rPr>
          <w:color w:val="auto"/>
        </w:rPr>
        <w:t xml:space="preserve"> and </w:t>
      </w:r>
      <w:r w:rsidR="00507FE6" w:rsidRPr="00507FE6">
        <w:rPr>
          <w:b/>
          <w:bCs/>
          <w:color w:val="auto"/>
        </w:rPr>
        <w:t>Table</w:t>
      </w:r>
      <w:r w:rsidR="00507FE6">
        <w:rPr>
          <w:color w:val="auto"/>
        </w:rPr>
        <w:t xml:space="preserve"> </w:t>
      </w:r>
      <w:r w:rsidR="002923D9" w:rsidRPr="00056460">
        <w:rPr>
          <w:b/>
          <w:color w:val="auto"/>
        </w:rPr>
        <w:t>4</w:t>
      </w:r>
      <w:r w:rsidR="002923D9" w:rsidRPr="00056460">
        <w:rPr>
          <w:color w:val="auto"/>
        </w:rPr>
        <w:t xml:space="preserve"> present volumes and concentrations for an experiment following addition </w:t>
      </w:r>
      <w:r w:rsidR="002923D9" w:rsidRPr="00056460">
        <w:rPr>
          <w:b/>
          <w:color w:val="auto"/>
        </w:rPr>
        <w:t>mode 2</w:t>
      </w:r>
      <w:r w:rsidR="002923D9" w:rsidRPr="00056460">
        <w:rPr>
          <w:color w:val="auto"/>
        </w:rPr>
        <w:t xml:space="preserve"> </w:t>
      </w:r>
      <w:r w:rsidR="002923D9" w:rsidRPr="00507FE6">
        <w:rPr>
          <w:bCs/>
          <w:color w:val="auto"/>
        </w:rPr>
        <w:t>(</w:t>
      </w:r>
      <w:r w:rsidR="00AB175F" w:rsidRPr="00507FE6">
        <w:rPr>
          <w:bCs/>
          <w:color w:val="auto"/>
        </w:rPr>
        <w:t>cf.</w:t>
      </w:r>
      <w:r w:rsidR="00507FE6" w:rsidRPr="00507FE6">
        <w:rPr>
          <w:bCs/>
          <w:color w:val="auto"/>
        </w:rPr>
        <w:t>,</w:t>
      </w:r>
      <w:r w:rsidR="00AB175F" w:rsidRPr="00056460">
        <w:rPr>
          <w:b/>
          <w:color w:val="auto"/>
        </w:rPr>
        <w:t xml:space="preserve"> </w:t>
      </w:r>
      <w:r w:rsidR="00507FE6">
        <w:rPr>
          <w:b/>
          <w:color w:val="auto"/>
        </w:rPr>
        <w:t>F</w:t>
      </w:r>
      <w:r w:rsidR="002923D9" w:rsidRPr="00056460">
        <w:rPr>
          <w:b/>
          <w:color w:val="auto"/>
        </w:rPr>
        <w:t>igure 1</w:t>
      </w:r>
      <w:r w:rsidR="002923D9" w:rsidRPr="00507FE6">
        <w:rPr>
          <w:bCs/>
          <w:color w:val="auto"/>
        </w:rPr>
        <w:t>).</w:t>
      </w:r>
      <w:r w:rsidR="00C22267">
        <w:rPr>
          <w:color w:val="auto"/>
        </w:rPr>
        <w:t xml:space="preserve"> Data ha</w:t>
      </w:r>
      <w:r w:rsidR="005E6A02">
        <w:rPr>
          <w:color w:val="auto"/>
        </w:rPr>
        <w:t>ve</w:t>
      </w:r>
      <w:r w:rsidR="00C22267">
        <w:rPr>
          <w:color w:val="auto"/>
        </w:rPr>
        <w:t xml:space="preserve"> been calculated using equation (1). </w:t>
      </w:r>
    </w:p>
    <w:p w14:paraId="729B047A" w14:textId="77777777" w:rsidR="00507FE6" w:rsidRPr="00056460" w:rsidRDefault="00507FE6" w:rsidP="00056460">
      <w:pPr>
        <w:pStyle w:val="a3"/>
        <w:spacing w:before="0" w:beforeAutospacing="0" w:after="0" w:afterAutospacing="0"/>
        <w:rPr>
          <w:color w:val="auto"/>
        </w:rPr>
      </w:pPr>
    </w:p>
    <w:p w14:paraId="609B66D4" w14:textId="33A619C6" w:rsidR="0005281D" w:rsidRPr="00056460" w:rsidRDefault="009B2E79" w:rsidP="00056460">
      <w:pPr>
        <w:pStyle w:val="a3"/>
        <w:spacing w:before="0" w:beforeAutospacing="0" w:after="0" w:afterAutospacing="0"/>
        <w:rPr>
          <w:color w:val="auto"/>
        </w:rPr>
      </w:pPr>
      <w:r w:rsidRPr="00056460">
        <w:rPr>
          <w:color w:val="auto"/>
        </w:rPr>
        <w:t>A</w:t>
      </w:r>
      <w:r w:rsidR="002923D9" w:rsidRPr="00056460">
        <w:rPr>
          <w:color w:val="auto"/>
        </w:rPr>
        <w:t xml:space="preserve"> </w:t>
      </w:r>
      <w:r w:rsidRPr="00056460">
        <w:rPr>
          <w:color w:val="auto"/>
        </w:rPr>
        <w:t xml:space="preserve">representative </w:t>
      </w:r>
      <w:r w:rsidR="002923D9" w:rsidRPr="00056460">
        <w:rPr>
          <w:color w:val="auto"/>
        </w:rPr>
        <w:t xml:space="preserve">experiment </w:t>
      </w:r>
      <w:r w:rsidRPr="00056460">
        <w:rPr>
          <w:color w:val="auto"/>
        </w:rPr>
        <w:t xml:space="preserve">is shown in </w:t>
      </w:r>
      <w:r w:rsidR="00507FE6">
        <w:rPr>
          <w:b/>
          <w:color w:val="auto"/>
        </w:rPr>
        <w:t>F</w:t>
      </w:r>
      <w:r w:rsidRPr="00056460">
        <w:rPr>
          <w:b/>
          <w:color w:val="auto"/>
        </w:rPr>
        <w:t xml:space="preserve">igure 2 </w:t>
      </w:r>
      <w:r w:rsidRPr="00056460">
        <w:rPr>
          <w:color w:val="auto"/>
        </w:rPr>
        <w:t>for confluent layers of</w:t>
      </w:r>
      <w:r w:rsidRPr="00056460">
        <w:rPr>
          <w:b/>
          <w:color w:val="auto"/>
        </w:rPr>
        <w:t xml:space="preserve"> </w:t>
      </w:r>
      <w:r w:rsidR="002923D9" w:rsidRPr="00056460">
        <w:rPr>
          <w:color w:val="auto"/>
        </w:rPr>
        <w:t>U-373 MG cells, which endogenously express the histamine 1 receptor, grown on a</w:t>
      </w:r>
      <w:r w:rsidRPr="00056460">
        <w:rPr>
          <w:color w:val="auto"/>
        </w:rPr>
        <w:t>n</w:t>
      </w:r>
      <w:r w:rsidR="002923D9" w:rsidRPr="00056460">
        <w:rPr>
          <w:color w:val="auto"/>
        </w:rPr>
        <w:t xml:space="preserve"> </w:t>
      </w:r>
      <w:r w:rsidR="00962386" w:rsidRPr="00056460">
        <w:rPr>
          <w:color w:val="auto"/>
        </w:rPr>
        <w:t xml:space="preserve">8-well </w:t>
      </w:r>
      <w:r w:rsidRPr="00056460">
        <w:rPr>
          <w:color w:val="auto"/>
        </w:rPr>
        <w:t xml:space="preserve">electrode </w:t>
      </w:r>
      <w:r w:rsidR="002923D9" w:rsidRPr="00056460">
        <w:rPr>
          <w:color w:val="auto"/>
        </w:rPr>
        <w:t>array</w:t>
      </w:r>
      <w:r w:rsidR="004550AE" w:rsidRPr="00056460">
        <w:rPr>
          <w:color w:val="auto"/>
        </w:rPr>
        <w:t xml:space="preserve"> </w:t>
      </w:r>
      <w:r w:rsidR="000834FE" w:rsidRPr="00056460">
        <w:rPr>
          <w:color w:val="auto"/>
        </w:rPr>
        <w:t>with a working electrode of 250 µm diameter</w:t>
      </w:r>
      <w:r w:rsidR="002923D9" w:rsidRPr="00056460">
        <w:rPr>
          <w:color w:val="auto"/>
        </w:rPr>
        <w:t xml:space="preserve"> </w:t>
      </w:r>
      <w:r w:rsidR="004550AE" w:rsidRPr="00056460">
        <w:rPr>
          <w:color w:val="auto"/>
        </w:rPr>
        <w:t>using</w:t>
      </w:r>
      <w:r w:rsidR="002923D9" w:rsidRPr="00056460">
        <w:rPr>
          <w:color w:val="auto"/>
        </w:rPr>
        <w:t xml:space="preserve"> histamine as agonist. </w:t>
      </w:r>
      <w:r w:rsidR="0005281D" w:rsidRPr="00056460">
        <w:rPr>
          <w:color w:val="auto"/>
        </w:rPr>
        <w:t xml:space="preserve">The measurement was performed at a single frequency of 12 kHz. </w:t>
      </w:r>
      <w:r w:rsidRPr="00056460">
        <w:rPr>
          <w:color w:val="auto"/>
        </w:rPr>
        <w:t>A</w:t>
      </w:r>
      <w:r w:rsidR="002923D9" w:rsidRPr="00056460">
        <w:rPr>
          <w:color w:val="auto"/>
        </w:rPr>
        <w:t xml:space="preserve">ddition of the agonist concentration series was performed following </w:t>
      </w:r>
      <w:r w:rsidR="002923D9" w:rsidRPr="00056460">
        <w:rPr>
          <w:b/>
          <w:color w:val="auto"/>
        </w:rPr>
        <w:t>mode 1</w:t>
      </w:r>
      <w:r w:rsidR="002923D9" w:rsidRPr="00056460">
        <w:rPr>
          <w:color w:val="auto"/>
        </w:rPr>
        <w:t>.</w:t>
      </w:r>
      <w:r w:rsidR="004550AE" w:rsidRPr="00056460">
        <w:rPr>
          <w:color w:val="auto"/>
        </w:rPr>
        <w:t xml:space="preserve"> In the </w:t>
      </w:r>
      <w:r w:rsidRPr="00056460">
        <w:rPr>
          <w:color w:val="auto"/>
        </w:rPr>
        <w:t xml:space="preserve">selected </w:t>
      </w:r>
      <w:r w:rsidR="004550AE" w:rsidRPr="00056460">
        <w:rPr>
          <w:color w:val="auto"/>
        </w:rPr>
        <w:t xml:space="preserve">experiment 10 solutions with increasing </w:t>
      </w:r>
      <w:r w:rsidRPr="00056460">
        <w:rPr>
          <w:color w:val="auto"/>
        </w:rPr>
        <w:t xml:space="preserve">histamine </w:t>
      </w:r>
      <w:r w:rsidR="004550AE" w:rsidRPr="00056460">
        <w:rPr>
          <w:color w:val="auto"/>
        </w:rPr>
        <w:t>concentration</w:t>
      </w:r>
      <w:r w:rsidRPr="00056460">
        <w:rPr>
          <w:color w:val="auto"/>
        </w:rPr>
        <w:t xml:space="preserve"> (</w:t>
      </w:r>
      <w:r w:rsidR="004550AE" w:rsidRPr="00056460">
        <w:rPr>
          <w:color w:val="auto"/>
        </w:rPr>
        <w:t>prepared according to step 4</w:t>
      </w:r>
      <w:r w:rsidRPr="00056460">
        <w:rPr>
          <w:color w:val="auto"/>
        </w:rPr>
        <w:t>)</w:t>
      </w:r>
      <w:r w:rsidR="004550AE" w:rsidRPr="00056460">
        <w:rPr>
          <w:color w:val="auto"/>
        </w:rPr>
        <w:t xml:space="preserve"> were added </w:t>
      </w:r>
      <w:r w:rsidR="000834FE" w:rsidRPr="00056460">
        <w:rPr>
          <w:color w:val="auto"/>
        </w:rPr>
        <w:t xml:space="preserve">sequentially </w:t>
      </w:r>
      <w:r w:rsidR="004550AE" w:rsidRPr="00056460">
        <w:rPr>
          <w:color w:val="auto"/>
        </w:rPr>
        <w:t xml:space="preserve">every 15 min </w:t>
      </w:r>
      <w:r w:rsidR="004550AE" w:rsidRPr="00507FE6">
        <w:rPr>
          <w:bCs/>
          <w:color w:val="auto"/>
        </w:rPr>
        <w:t>(</w:t>
      </w:r>
      <w:r w:rsidR="004550AE" w:rsidRPr="00056460">
        <w:rPr>
          <w:b/>
          <w:color w:val="auto"/>
        </w:rPr>
        <w:t>Fig</w:t>
      </w:r>
      <w:r w:rsidR="00507FE6">
        <w:rPr>
          <w:b/>
          <w:color w:val="auto"/>
        </w:rPr>
        <w:t>ure</w:t>
      </w:r>
      <w:r w:rsidR="004550AE" w:rsidRPr="00056460">
        <w:rPr>
          <w:b/>
          <w:color w:val="auto"/>
        </w:rPr>
        <w:t xml:space="preserve"> 2A</w:t>
      </w:r>
      <w:r w:rsidR="004550AE" w:rsidRPr="00507FE6">
        <w:rPr>
          <w:bCs/>
          <w:color w:val="auto"/>
        </w:rPr>
        <w:t>).</w:t>
      </w:r>
      <w:r w:rsidR="004550AE" w:rsidRPr="00056460">
        <w:rPr>
          <w:color w:val="auto"/>
        </w:rPr>
        <w:t xml:space="preserve"> The </w:t>
      </w:r>
      <w:r w:rsidRPr="00056460">
        <w:rPr>
          <w:color w:val="auto"/>
        </w:rPr>
        <w:t xml:space="preserve">serial dosing scheme </w:t>
      </w:r>
      <w:r w:rsidR="004550AE" w:rsidRPr="00056460">
        <w:rPr>
          <w:color w:val="auto"/>
        </w:rPr>
        <w:t xml:space="preserve">was </w:t>
      </w:r>
      <w:r w:rsidRPr="00056460">
        <w:rPr>
          <w:color w:val="auto"/>
        </w:rPr>
        <w:t xml:space="preserve">applied </w:t>
      </w:r>
      <w:r w:rsidR="004550AE" w:rsidRPr="00056460">
        <w:rPr>
          <w:color w:val="auto"/>
        </w:rPr>
        <w:t xml:space="preserve">to </w:t>
      </w:r>
      <w:r w:rsidRPr="00056460">
        <w:rPr>
          <w:color w:val="auto"/>
        </w:rPr>
        <w:t>seven</w:t>
      </w:r>
      <w:r w:rsidR="004550AE" w:rsidRPr="00056460">
        <w:rPr>
          <w:color w:val="auto"/>
        </w:rPr>
        <w:t xml:space="preserve"> of </w:t>
      </w:r>
      <w:r w:rsidRPr="00056460">
        <w:rPr>
          <w:color w:val="auto"/>
        </w:rPr>
        <w:t>eight</w:t>
      </w:r>
      <w:r w:rsidR="004550AE" w:rsidRPr="00056460">
        <w:rPr>
          <w:color w:val="auto"/>
        </w:rPr>
        <w:t xml:space="preserve"> wells. In one well agonist-free medium (L</w:t>
      </w:r>
      <w:r w:rsidR="00E13244" w:rsidRPr="00056460">
        <w:rPr>
          <w:color w:val="auto"/>
        </w:rPr>
        <w:t>-</w:t>
      </w:r>
      <w:r w:rsidR="004550AE" w:rsidRPr="00056460">
        <w:rPr>
          <w:color w:val="auto"/>
        </w:rPr>
        <w:t>15) was added</w:t>
      </w:r>
      <w:r w:rsidRPr="00056460">
        <w:rPr>
          <w:color w:val="auto"/>
        </w:rPr>
        <w:t xml:space="preserve"> sequentially as a negative control</w:t>
      </w:r>
      <w:r w:rsidR="004550AE" w:rsidRPr="00056460">
        <w:rPr>
          <w:color w:val="auto"/>
        </w:rPr>
        <w:t xml:space="preserve"> </w:t>
      </w:r>
      <w:r w:rsidR="000834FE" w:rsidRPr="00056460">
        <w:rPr>
          <w:color w:val="auto"/>
        </w:rPr>
        <w:t xml:space="preserve">in </w:t>
      </w:r>
      <w:r w:rsidR="004550AE" w:rsidRPr="00056460">
        <w:rPr>
          <w:color w:val="auto"/>
        </w:rPr>
        <w:t xml:space="preserve">nine of </w:t>
      </w:r>
      <w:r w:rsidRPr="00056460">
        <w:rPr>
          <w:color w:val="auto"/>
        </w:rPr>
        <w:t>ten</w:t>
      </w:r>
      <w:r w:rsidR="004550AE" w:rsidRPr="00056460">
        <w:rPr>
          <w:color w:val="auto"/>
        </w:rPr>
        <w:t xml:space="preserve"> </w:t>
      </w:r>
      <w:r w:rsidRPr="00056460">
        <w:rPr>
          <w:color w:val="auto"/>
        </w:rPr>
        <w:t>steps</w:t>
      </w:r>
      <w:r w:rsidR="004550AE" w:rsidRPr="00056460">
        <w:rPr>
          <w:color w:val="auto"/>
        </w:rPr>
        <w:t xml:space="preserve">. The last addition to this control was a </w:t>
      </w:r>
      <w:r w:rsidR="0005281D" w:rsidRPr="00056460">
        <w:rPr>
          <w:color w:val="auto"/>
        </w:rPr>
        <w:t xml:space="preserve">histamine </w:t>
      </w:r>
      <w:r w:rsidR="004550AE" w:rsidRPr="00056460">
        <w:rPr>
          <w:color w:val="auto"/>
        </w:rPr>
        <w:t xml:space="preserve">solution </w:t>
      </w:r>
      <w:r w:rsidR="00407989" w:rsidRPr="00056460">
        <w:rPr>
          <w:color w:val="auto"/>
        </w:rPr>
        <w:t xml:space="preserve">providing </w:t>
      </w:r>
      <w:r w:rsidR="00A54B6A" w:rsidRPr="00056460">
        <w:rPr>
          <w:color w:val="auto"/>
        </w:rPr>
        <w:t>a final concentration of 100 </w:t>
      </w:r>
      <w:r w:rsidR="004550AE" w:rsidRPr="00056460">
        <w:rPr>
          <w:color w:val="auto"/>
        </w:rPr>
        <w:t>µM histamine in the well.</w:t>
      </w:r>
      <w:r w:rsidR="0005281D" w:rsidRPr="00056460">
        <w:rPr>
          <w:color w:val="auto"/>
        </w:rPr>
        <w:t xml:space="preserve"> </w:t>
      </w:r>
      <w:r w:rsidR="00407989" w:rsidRPr="00056460">
        <w:rPr>
          <w:color w:val="auto"/>
        </w:rPr>
        <w:t>D</w:t>
      </w:r>
      <w:r w:rsidR="0005281D" w:rsidRPr="00056460">
        <w:rPr>
          <w:color w:val="auto"/>
        </w:rPr>
        <w:t xml:space="preserve">ata </w:t>
      </w:r>
      <w:r w:rsidR="00407989" w:rsidRPr="00056460">
        <w:rPr>
          <w:color w:val="auto"/>
        </w:rPr>
        <w:t xml:space="preserve">has been </w:t>
      </w:r>
      <w:r w:rsidR="0005281D" w:rsidRPr="00056460">
        <w:rPr>
          <w:color w:val="auto"/>
        </w:rPr>
        <w:t xml:space="preserve">plotted with data analysis software and </w:t>
      </w:r>
      <w:r w:rsidR="00407989" w:rsidRPr="00056460">
        <w:rPr>
          <w:color w:val="auto"/>
        </w:rPr>
        <w:t xml:space="preserve">is </w:t>
      </w:r>
      <w:r w:rsidR="0005281D" w:rsidRPr="00056460">
        <w:rPr>
          <w:color w:val="auto"/>
        </w:rPr>
        <w:t xml:space="preserve">shown as impedance </w:t>
      </w:r>
      <w:r w:rsidR="00407989" w:rsidRPr="00056460">
        <w:rPr>
          <w:color w:val="auto"/>
        </w:rPr>
        <w:t xml:space="preserve">change </w:t>
      </w:r>
      <w:r w:rsidR="0005281D" w:rsidRPr="00056460">
        <w:rPr>
          <w:color w:val="auto"/>
        </w:rPr>
        <w:t>Δ|Z|</w:t>
      </w:r>
      <w:r w:rsidR="0005281D" w:rsidRPr="00056460">
        <w:rPr>
          <w:color w:val="auto"/>
          <w:vertAlign w:val="subscript"/>
        </w:rPr>
        <w:t>12 kHz</w:t>
      </w:r>
      <w:r w:rsidR="00407989" w:rsidRPr="00056460">
        <w:rPr>
          <w:color w:val="auto"/>
        </w:rPr>
        <w:t xml:space="preserve"> / kΩ along the experiment</w:t>
      </w:r>
      <w:r w:rsidR="0005281D" w:rsidRPr="00056460">
        <w:rPr>
          <w:color w:val="auto"/>
        </w:rPr>
        <w:t xml:space="preserve">, </w:t>
      </w:r>
      <w:r w:rsidR="002B73CE">
        <w:rPr>
          <w:color w:val="auto"/>
        </w:rPr>
        <w:t xml:space="preserve">with </w:t>
      </w:r>
      <w:r w:rsidR="0005281D" w:rsidRPr="00056460">
        <w:rPr>
          <w:color w:val="auto"/>
        </w:rPr>
        <w:t xml:space="preserve">the </w:t>
      </w:r>
      <w:r w:rsidR="002B73CE">
        <w:rPr>
          <w:color w:val="auto"/>
        </w:rPr>
        <w:t xml:space="preserve">impedance change and the </w:t>
      </w:r>
      <w:r w:rsidR="0005281D" w:rsidRPr="00056460">
        <w:rPr>
          <w:color w:val="auto"/>
        </w:rPr>
        <w:t xml:space="preserve">time point of the first addition </w:t>
      </w:r>
      <w:r w:rsidR="002B73CE">
        <w:rPr>
          <w:color w:val="auto"/>
        </w:rPr>
        <w:t xml:space="preserve">being </w:t>
      </w:r>
      <w:r w:rsidR="0005281D" w:rsidRPr="00056460">
        <w:rPr>
          <w:color w:val="auto"/>
        </w:rPr>
        <w:t xml:space="preserve">set to </w:t>
      </w:r>
      <w:r w:rsidR="002B73CE">
        <w:rPr>
          <w:color w:val="auto"/>
        </w:rPr>
        <w:t>zero</w:t>
      </w:r>
      <w:r w:rsidR="0005281D" w:rsidRPr="00056460">
        <w:rPr>
          <w:color w:val="auto"/>
        </w:rPr>
        <w:t xml:space="preserve">. The </w:t>
      </w:r>
      <w:r w:rsidR="000834FE" w:rsidRPr="00056460">
        <w:rPr>
          <w:color w:val="auto"/>
        </w:rPr>
        <w:t xml:space="preserve">initial </w:t>
      </w:r>
      <w:r w:rsidR="0005281D" w:rsidRPr="00056460">
        <w:rPr>
          <w:color w:val="auto"/>
        </w:rPr>
        <w:t xml:space="preserve">equilibration time </w:t>
      </w:r>
      <w:r w:rsidR="000834FE" w:rsidRPr="00056460">
        <w:rPr>
          <w:color w:val="auto"/>
        </w:rPr>
        <w:t xml:space="preserve">in the experimental buffer </w:t>
      </w:r>
      <w:r w:rsidR="0005281D" w:rsidRPr="00056460">
        <w:rPr>
          <w:color w:val="auto"/>
        </w:rPr>
        <w:t xml:space="preserve">of 2 h is not shown in this plot. The time points of agonist addition are indicated by arrows. </w:t>
      </w:r>
      <w:r w:rsidR="00407989" w:rsidRPr="00056460">
        <w:rPr>
          <w:color w:val="auto"/>
        </w:rPr>
        <w:t xml:space="preserve"> </w:t>
      </w:r>
    </w:p>
    <w:p w14:paraId="3E915185" w14:textId="77777777" w:rsidR="00A54B6A" w:rsidRPr="00056460" w:rsidRDefault="00A54B6A" w:rsidP="00056460">
      <w:pPr>
        <w:pStyle w:val="a3"/>
        <w:spacing w:before="0" w:beforeAutospacing="0" w:after="0" w:afterAutospacing="0"/>
        <w:rPr>
          <w:color w:val="auto"/>
        </w:rPr>
      </w:pPr>
    </w:p>
    <w:p w14:paraId="6CB37F7C" w14:textId="68EF228A" w:rsidR="00E758C0" w:rsidRPr="00056460" w:rsidRDefault="0005281D" w:rsidP="00056460">
      <w:pPr>
        <w:pStyle w:val="a3"/>
        <w:spacing w:before="0" w:beforeAutospacing="0" w:after="0" w:afterAutospacing="0"/>
        <w:rPr>
          <w:color w:val="auto"/>
        </w:rPr>
      </w:pPr>
      <w:r w:rsidRPr="00056460">
        <w:rPr>
          <w:color w:val="auto"/>
        </w:rPr>
        <w:t xml:space="preserve">The change in impedance relative to the baseline after each concentration </w:t>
      </w:r>
      <w:r w:rsidR="00407989" w:rsidRPr="00056460">
        <w:rPr>
          <w:color w:val="auto"/>
        </w:rPr>
        <w:t xml:space="preserve">step </w:t>
      </w:r>
      <w:r w:rsidRPr="00056460">
        <w:rPr>
          <w:color w:val="auto"/>
        </w:rPr>
        <w:t xml:space="preserve">was extracted from the curves using a data cursor. At steps </w:t>
      </w:r>
      <w:r w:rsidR="00407989" w:rsidRPr="00056460">
        <w:rPr>
          <w:color w:val="auto"/>
        </w:rPr>
        <w:t xml:space="preserve">with </w:t>
      </w:r>
      <w:r w:rsidRPr="00056460">
        <w:rPr>
          <w:color w:val="auto"/>
        </w:rPr>
        <w:t>no clear maximum, the last data point before the next addition was used</w:t>
      </w:r>
      <w:r w:rsidR="00407989" w:rsidRPr="00056460">
        <w:rPr>
          <w:color w:val="auto"/>
        </w:rPr>
        <w:t xml:space="preserve"> for analysis</w:t>
      </w:r>
      <w:r w:rsidRPr="00056460">
        <w:rPr>
          <w:color w:val="auto"/>
        </w:rPr>
        <w:t xml:space="preserve">. </w:t>
      </w:r>
      <w:r w:rsidR="00407989" w:rsidRPr="00056460">
        <w:rPr>
          <w:color w:val="auto"/>
        </w:rPr>
        <w:t>Impedance changes Δ|Z|</w:t>
      </w:r>
      <w:r w:rsidR="00407989" w:rsidRPr="00056460">
        <w:rPr>
          <w:color w:val="auto"/>
          <w:vertAlign w:val="subscript"/>
        </w:rPr>
        <w:t>12 kHz</w:t>
      </w:r>
      <w:r w:rsidR="00407989" w:rsidRPr="00056460">
        <w:rPr>
          <w:color w:val="auto"/>
        </w:rPr>
        <w:t xml:space="preserve"> </w:t>
      </w:r>
      <w:proofErr w:type="gramStart"/>
      <w:r w:rsidRPr="00056460">
        <w:rPr>
          <w:color w:val="auto"/>
        </w:rPr>
        <w:t>were</w:t>
      </w:r>
      <w:proofErr w:type="gramEnd"/>
      <w:r w:rsidRPr="00056460">
        <w:rPr>
          <w:color w:val="auto"/>
        </w:rPr>
        <w:t xml:space="preserve"> plotted as a function of histamine concentration (c</w:t>
      </w:r>
      <w:r w:rsidRPr="00056460">
        <w:rPr>
          <w:color w:val="auto"/>
          <w:vertAlign w:val="subscript"/>
        </w:rPr>
        <w:t>x+y</w:t>
      </w:r>
      <w:r w:rsidRPr="00056460">
        <w:rPr>
          <w:color w:val="auto"/>
        </w:rPr>
        <w:t xml:space="preserve">) </w:t>
      </w:r>
      <w:r w:rsidRPr="00507FE6">
        <w:rPr>
          <w:bCs/>
          <w:color w:val="auto"/>
        </w:rPr>
        <w:t>(</w:t>
      </w:r>
      <w:r w:rsidRPr="00056460">
        <w:rPr>
          <w:b/>
          <w:color w:val="auto"/>
        </w:rPr>
        <w:t>Fig</w:t>
      </w:r>
      <w:r w:rsidR="00507FE6">
        <w:rPr>
          <w:b/>
          <w:color w:val="auto"/>
        </w:rPr>
        <w:t>ure</w:t>
      </w:r>
      <w:r w:rsidRPr="00056460">
        <w:rPr>
          <w:b/>
          <w:color w:val="auto"/>
        </w:rPr>
        <w:t xml:space="preserve"> 2B</w:t>
      </w:r>
      <w:r w:rsidR="005041A9" w:rsidRPr="00507FE6">
        <w:rPr>
          <w:bCs/>
          <w:color w:val="auto"/>
        </w:rPr>
        <w:t>, symbols</w:t>
      </w:r>
      <w:r w:rsidRPr="00507FE6">
        <w:rPr>
          <w:bCs/>
          <w:color w:val="auto"/>
        </w:rPr>
        <w:t>).</w:t>
      </w:r>
      <w:r w:rsidRPr="00056460">
        <w:rPr>
          <w:color w:val="auto"/>
        </w:rPr>
        <w:t xml:space="preserve"> </w:t>
      </w:r>
      <w:r w:rsidR="005041A9" w:rsidRPr="00056460">
        <w:rPr>
          <w:color w:val="auto"/>
        </w:rPr>
        <w:t xml:space="preserve">The </w:t>
      </w:r>
      <w:r w:rsidR="00407989" w:rsidRPr="00056460">
        <w:rPr>
          <w:color w:val="auto"/>
        </w:rPr>
        <w:t xml:space="preserve">transfer function of a </w:t>
      </w:r>
      <w:proofErr w:type="gramStart"/>
      <w:r w:rsidR="005041A9" w:rsidRPr="00056460">
        <w:rPr>
          <w:color w:val="auto"/>
        </w:rPr>
        <w:t>four parameter</w:t>
      </w:r>
      <w:proofErr w:type="gramEnd"/>
      <w:r w:rsidR="005041A9" w:rsidRPr="00056460">
        <w:rPr>
          <w:color w:val="auto"/>
        </w:rPr>
        <w:t xml:space="preserve"> logistic model </w:t>
      </w:r>
      <w:r w:rsidR="00407989" w:rsidRPr="00056460">
        <w:rPr>
          <w:color w:val="auto"/>
        </w:rPr>
        <w:t xml:space="preserve">(cf. </w:t>
      </w:r>
      <w:r w:rsidR="00507FE6">
        <w:rPr>
          <w:color w:val="auto"/>
        </w:rPr>
        <w:t xml:space="preserve">step </w:t>
      </w:r>
      <w:r w:rsidR="005041A9" w:rsidRPr="00056460">
        <w:rPr>
          <w:color w:val="auto"/>
        </w:rPr>
        <w:t>8.6</w:t>
      </w:r>
      <w:r w:rsidR="00407989" w:rsidRPr="00056460">
        <w:rPr>
          <w:color w:val="auto"/>
        </w:rPr>
        <w:t>)</w:t>
      </w:r>
      <w:r w:rsidR="005041A9" w:rsidRPr="00056460">
        <w:rPr>
          <w:color w:val="auto"/>
        </w:rPr>
        <w:t xml:space="preserve"> was fit</w:t>
      </w:r>
      <w:r w:rsidR="000834FE" w:rsidRPr="00056460">
        <w:rPr>
          <w:color w:val="auto"/>
        </w:rPr>
        <w:t>ted</w:t>
      </w:r>
      <w:r w:rsidR="005041A9" w:rsidRPr="00056460">
        <w:rPr>
          <w:color w:val="auto"/>
        </w:rPr>
        <w:t xml:space="preserve"> </w:t>
      </w:r>
      <w:r w:rsidR="000834FE" w:rsidRPr="00056460">
        <w:rPr>
          <w:color w:val="auto"/>
        </w:rPr>
        <w:t xml:space="preserve">to </w:t>
      </w:r>
      <w:r w:rsidR="005041A9" w:rsidRPr="00056460">
        <w:rPr>
          <w:color w:val="auto"/>
        </w:rPr>
        <w:t xml:space="preserve">the experimental data points from </w:t>
      </w:r>
      <w:r w:rsidR="00F80DE2" w:rsidRPr="00056460">
        <w:rPr>
          <w:color w:val="auto"/>
        </w:rPr>
        <w:t xml:space="preserve">seven </w:t>
      </w:r>
      <w:r w:rsidR="005041A9" w:rsidRPr="00056460">
        <w:rPr>
          <w:color w:val="auto"/>
        </w:rPr>
        <w:t xml:space="preserve">wells </w:t>
      </w:r>
      <w:r w:rsidR="005041A9" w:rsidRPr="00507FE6">
        <w:rPr>
          <w:bCs/>
          <w:color w:val="auto"/>
        </w:rPr>
        <w:t>(</w:t>
      </w:r>
      <w:r w:rsidR="005041A9" w:rsidRPr="00056460">
        <w:rPr>
          <w:b/>
          <w:color w:val="auto"/>
        </w:rPr>
        <w:t>Fig</w:t>
      </w:r>
      <w:r w:rsidR="00507FE6">
        <w:rPr>
          <w:b/>
          <w:color w:val="auto"/>
        </w:rPr>
        <w:t>ure</w:t>
      </w:r>
      <w:r w:rsidR="005041A9" w:rsidRPr="00056460">
        <w:rPr>
          <w:b/>
          <w:color w:val="auto"/>
        </w:rPr>
        <w:t> 2B</w:t>
      </w:r>
      <w:r w:rsidR="005041A9" w:rsidRPr="00507FE6">
        <w:rPr>
          <w:bCs/>
          <w:color w:val="auto"/>
        </w:rPr>
        <w:t>,</w:t>
      </w:r>
      <w:r w:rsidR="005041A9" w:rsidRPr="00056460">
        <w:rPr>
          <w:b/>
          <w:color w:val="auto"/>
        </w:rPr>
        <w:t xml:space="preserve"> </w:t>
      </w:r>
      <w:r w:rsidR="005041A9" w:rsidRPr="00507FE6">
        <w:rPr>
          <w:bCs/>
          <w:color w:val="auto"/>
        </w:rPr>
        <w:t>lines)</w:t>
      </w:r>
      <w:r w:rsidR="00407989" w:rsidRPr="00507FE6">
        <w:rPr>
          <w:bCs/>
          <w:color w:val="auto"/>
        </w:rPr>
        <w:t>.</w:t>
      </w:r>
      <w:r w:rsidR="00407989" w:rsidRPr="00056460">
        <w:rPr>
          <w:color w:val="auto"/>
        </w:rPr>
        <w:t xml:space="preserve"> The fit</w:t>
      </w:r>
      <w:r w:rsidR="005041A9" w:rsidRPr="00056460">
        <w:rPr>
          <w:color w:val="auto"/>
        </w:rPr>
        <w:t xml:space="preserve"> results are shown in </w:t>
      </w:r>
      <w:r w:rsidR="00507FE6" w:rsidRPr="00507FE6">
        <w:rPr>
          <w:b/>
          <w:bCs/>
          <w:color w:val="auto"/>
        </w:rPr>
        <w:t>T</w:t>
      </w:r>
      <w:r w:rsidR="005041A9" w:rsidRPr="00507FE6">
        <w:rPr>
          <w:b/>
          <w:bCs/>
          <w:color w:val="auto"/>
        </w:rPr>
        <w:t>able</w:t>
      </w:r>
      <w:r w:rsidR="005041A9" w:rsidRPr="00056460">
        <w:rPr>
          <w:color w:val="auto"/>
        </w:rPr>
        <w:t xml:space="preserve"> </w:t>
      </w:r>
      <w:r w:rsidR="005041A9" w:rsidRPr="00507FE6">
        <w:rPr>
          <w:b/>
          <w:bCs/>
          <w:color w:val="auto"/>
        </w:rPr>
        <w:t>5</w:t>
      </w:r>
      <w:r w:rsidR="005041A9" w:rsidRPr="00056460">
        <w:rPr>
          <w:color w:val="auto"/>
        </w:rPr>
        <w:t>.</w:t>
      </w:r>
      <w:r w:rsidR="00E758C0" w:rsidRPr="00056460">
        <w:rPr>
          <w:color w:val="auto"/>
        </w:rPr>
        <w:t xml:space="preserve"> </w:t>
      </w:r>
      <w:r w:rsidR="005041A9" w:rsidRPr="00056460">
        <w:rPr>
          <w:b/>
          <w:color w:val="auto"/>
        </w:rPr>
        <w:t>Figure 2C</w:t>
      </w:r>
      <w:r w:rsidR="005041A9" w:rsidRPr="00056460">
        <w:rPr>
          <w:color w:val="auto"/>
        </w:rPr>
        <w:t xml:space="preserve"> and </w:t>
      </w:r>
      <w:r w:rsidR="00507FE6">
        <w:rPr>
          <w:b/>
          <w:color w:val="auto"/>
        </w:rPr>
        <w:t>F</w:t>
      </w:r>
      <w:r w:rsidR="005041A9" w:rsidRPr="00056460">
        <w:rPr>
          <w:b/>
          <w:color w:val="auto"/>
        </w:rPr>
        <w:t>igure 2D</w:t>
      </w:r>
      <w:r w:rsidR="005041A9" w:rsidRPr="00056460">
        <w:rPr>
          <w:color w:val="auto"/>
        </w:rPr>
        <w:t xml:space="preserve"> show </w:t>
      </w:r>
      <w:r w:rsidR="00407989" w:rsidRPr="00056460">
        <w:rPr>
          <w:color w:val="auto"/>
        </w:rPr>
        <w:t xml:space="preserve">the result of averaging </w:t>
      </w:r>
      <w:r w:rsidR="005041A9" w:rsidRPr="00056460">
        <w:rPr>
          <w:color w:val="auto"/>
        </w:rPr>
        <w:t xml:space="preserve">the data </w:t>
      </w:r>
      <w:r w:rsidR="00407989" w:rsidRPr="00056460">
        <w:rPr>
          <w:color w:val="auto"/>
        </w:rPr>
        <w:t xml:space="preserve">in </w:t>
      </w:r>
      <w:r w:rsidR="00407989" w:rsidRPr="00507FE6">
        <w:rPr>
          <w:b/>
          <w:bCs/>
          <w:color w:val="auto"/>
        </w:rPr>
        <w:t>Fig</w:t>
      </w:r>
      <w:r w:rsidR="00507FE6" w:rsidRPr="00507FE6">
        <w:rPr>
          <w:b/>
          <w:bCs/>
          <w:color w:val="auto"/>
        </w:rPr>
        <w:t>ure</w:t>
      </w:r>
      <w:r w:rsidR="00407989" w:rsidRPr="00507FE6">
        <w:rPr>
          <w:b/>
          <w:bCs/>
          <w:color w:val="auto"/>
        </w:rPr>
        <w:t xml:space="preserve"> 2A</w:t>
      </w:r>
      <w:r w:rsidR="00407989" w:rsidRPr="00056460">
        <w:rPr>
          <w:color w:val="auto"/>
        </w:rPr>
        <w:t xml:space="preserve"> and </w:t>
      </w:r>
      <w:r w:rsidR="00407989" w:rsidRPr="00507FE6">
        <w:rPr>
          <w:b/>
          <w:bCs/>
          <w:color w:val="auto"/>
        </w:rPr>
        <w:t>Fig</w:t>
      </w:r>
      <w:r w:rsidR="00507FE6" w:rsidRPr="00507FE6">
        <w:rPr>
          <w:b/>
          <w:bCs/>
          <w:color w:val="auto"/>
        </w:rPr>
        <w:t>ure</w:t>
      </w:r>
      <w:r w:rsidR="00407989" w:rsidRPr="00507FE6">
        <w:rPr>
          <w:b/>
          <w:bCs/>
          <w:color w:val="auto"/>
        </w:rPr>
        <w:t xml:space="preserve"> 2B</w:t>
      </w:r>
      <w:r w:rsidR="00F80DE2" w:rsidRPr="00056460">
        <w:rPr>
          <w:color w:val="auto"/>
        </w:rPr>
        <w:t>,</w:t>
      </w:r>
      <w:r w:rsidR="00407989" w:rsidRPr="00056460">
        <w:rPr>
          <w:color w:val="auto"/>
        </w:rPr>
        <w:t xml:space="preserve"> presenting </w:t>
      </w:r>
      <w:r w:rsidR="005041A9" w:rsidRPr="00056460">
        <w:rPr>
          <w:color w:val="auto"/>
        </w:rPr>
        <w:t xml:space="preserve">mean ± SD </w:t>
      </w:r>
      <w:r w:rsidR="00407989" w:rsidRPr="00056460">
        <w:rPr>
          <w:color w:val="auto"/>
        </w:rPr>
        <w:t>for</w:t>
      </w:r>
      <w:r w:rsidR="005041A9" w:rsidRPr="00056460">
        <w:rPr>
          <w:color w:val="auto"/>
        </w:rPr>
        <w:t xml:space="preserve"> </w:t>
      </w:r>
      <w:r w:rsidR="00407989" w:rsidRPr="00056460">
        <w:rPr>
          <w:color w:val="auto"/>
        </w:rPr>
        <w:t>seven</w:t>
      </w:r>
      <w:r w:rsidR="005041A9" w:rsidRPr="00056460">
        <w:rPr>
          <w:color w:val="auto"/>
        </w:rPr>
        <w:t xml:space="preserve"> wells</w:t>
      </w:r>
      <w:r w:rsidR="00407989" w:rsidRPr="00056460">
        <w:rPr>
          <w:color w:val="auto"/>
        </w:rPr>
        <w:t xml:space="preserve">. Average time course data is summarized in </w:t>
      </w:r>
      <w:r w:rsidR="00407989" w:rsidRPr="00507FE6">
        <w:rPr>
          <w:b/>
          <w:bCs/>
          <w:color w:val="auto"/>
        </w:rPr>
        <w:t>Fig</w:t>
      </w:r>
      <w:r w:rsidR="00507FE6" w:rsidRPr="00507FE6">
        <w:rPr>
          <w:b/>
          <w:bCs/>
          <w:color w:val="auto"/>
        </w:rPr>
        <w:t>ure</w:t>
      </w:r>
      <w:r w:rsidR="00407989" w:rsidRPr="00507FE6">
        <w:rPr>
          <w:b/>
          <w:bCs/>
          <w:color w:val="auto"/>
        </w:rPr>
        <w:t xml:space="preserve"> 2C</w:t>
      </w:r>
      <w:r w:rsidR="00407989" w:rsidRPr="00056460">
        <w:rPr>
          <w:color w:val="auto"/>
        </w:rPr>
        <w:t xml:space="preserve">, whereas the average dose-response curve is provided in </w:t>
      </w:r>
      <w:r w:rsidR="00407989" w:rsidRPr="00507FE6">
        <w:rPr>
          <w:b/>
          <w:bCs/>
          <w:color w:val="auto"/>
        </w:rPr>
        <w:t>Fig</w:t>
      </w:r>
      <w:r w:rsidR="00507FE6" w:rsidRPr="00507FE6">
        <w:rPr>
          <w:b/>
          <w:bCs/>
          <w:color w:val="auto"/>
        </w:rPr>
        <w:t>ure</w:t>
      </w:r>
      <w:r w:rsidR="00407989" w:rsidRPr="00507FE6">
        <w:rPr>
          <w:b/>
          <w:bCs/>
          <w:color w:val="auto"/>
        </w:rPr>
        <w:t xml:space="preserve"> 2D</w:t>
      </w:r>
      <w:r w:rsidR="00407989" w:rsidRPr="00056460">
        <w:rPr>
          <w:color w:val="auto"/>
        </w:rPr>
        <w:t>.</w:t>
      </w:r>
      <w:r w:rsidR="00E758C0" w:rsidRPr="00056460">
        <w:rPr>
          <w:color w:val="auto"/>
        </w:rPr>
        <w:t xml:space="preserve"> </w:t>
      </w:r>
    </w:p>
    <w:p w14:paraId="4CE10059" w14:textId="77777777" w:rsidR="00A54B6A" w:rsidRPr="00056460" w:rsidRDefault="00A54B6A" w:rsidP="00056460">
      <w:pPr>
        <w:pStyle w:val="a3"/>
        <w:spacing w:before="0" w:beforeAutospacing="0" w:after="0" w:afterAutospacing="0"/>
        <w:rPr>
          <w:color w:val="auto"/>
        </w:rPr>
      </w:pPr>
    </w:p>
    <w:p w14:paraId="27A7FF68" w14:textId="25E1E714" w:rsidR="00E76C29" w:rsidRPr="00056460" w:rsidRDefault="00E758C0" w:rsidP="00056460">
      <w:pPr>
        <w:pStyle w:val="a3"/>
        <w:spacing w:before="0" w:beforeAutospacing="0" w:after="0" w:afterAutospacing="0"/>
        <w:rPr>
          <w:color w:val="auto"/>
        </w:rPr>
      </w:pPr>
      <w:r w:rsidRPr="00056460">
        <w:rPr>
          <w:color w:val="auto"/>
        </w:rPr>
        <w:t xml:space="preserve">In </w:t>
      </w:r>
      <w:r w:rsidR="00407989" w:rsidRPr="00056460">
        <w:rPr>
          <w:color w:val="auto"/>
        </w:rPr>
        <w:t>dose</w:t>
      </w:r>
      <w:r w:rsidRPr="00056460">
        <w:rPr>
          <w:color w:val="auto"/>
        </w:rPr>
        <w:t xml:space="preserve">-response relationships </w:t>
      </w:r>
      <w:r w:rsidR="00407989" w:rsidRPr="00056460">
        <w:rPr>
          <w:color w:val="auto"/>
        </w:rPr>
        <w:t xml:space="preserve">as </w:t>
      </w:r>
      <w:r w:rsidRPr="00056460">
        <w:rPr>
          <w:color w:val="auto"/>
        </w:rPr>
        <w:t xml:space="preserve">shown in </w:t>
      </w:r>
      <w:r w:rsidR="00507FE6">
        <w:rPr>
          <w:b/>
          <w:color w:val="auto"/>
        </w:rPr>
        <w:t>F</w:t>
      </w:r>
      <w:r w:rsidRPr="00056460">
        <w:rPr>
          <w:b/>
          <w:color w:val="auto"/>
        </w:rPr>
        <w:t>igure 2</w:t>
      </w:r>
      <w:proofErr w:type="gramStart"/>
      <w:r w:rsidRPr="00056460">
        <w:rPr>
          <w:b/>
          <w:color w:val="auto"/>
        </w:rPr>
        <w:t>B</w:t>
      </w:r>
      <w:r w:rsidR="00507FE6" w:rsidRPr="00507FE6">
        <w:rPr>
          <w:b/>
          <w:bCs/>
          <w:color w:val="auto"/>
        </w:rPr>
        <w:t>,</w:t>
      </w:r>
      <w:r w:rsidR="00407989" w:rsidRPr="00056460">
        <w:rPr>
          <w:b/>
          <w:color w:val="auto"/>
        </w:rPr>
        <w:t>D</w:t>
      </w:r>
      <w:proofErr w:type="gramEnd"/>
      <w:r w:rsidR="00507FE6" w:rsidRPr="00507FE6">
        <w:rPr>
          <w:bCs/>
          <w:color w:val="auto"/>
        </w:rPr>
        <w:t>,</w:t>
      </w:r>
      <w:r w:rsidRPr="00056460">
        <w:rPr>
          <w:color w:val="auto"/>
        </w:rPr>
        <w:t xml:space="preserve"> the fitting procedure was applied to the entire </w:t>
      </w:r>
      <w:r w:rsidR="002B73CE">
        <w:rPr>
          <w:color w:val="auto"/>
        </w:rPr>
        <w:t>concentration</w:t>
      </w:r>
      <w:r w:rsidR="002B73CE" w:rsidRPr="00056460">
        <w:rPr>
          <w:color w:val="auto"/>
        </w:rPr>
        <w:t xml:space="preserve"> </w:t>
      </w:r>
      <w:r w:rsidRPr="00056460">
        <w:rPr>
          <w:color w:val="auto"/>
        </w:rPr>
        <w:t>range</w:t>
      </w:r>
      <w:r w:rsidR="000834FE" w:rsidRPr="00056460">
        <w:rPr>
          <w:color w:val="auto"/>
        </w:rPr>
        <w:t xml:space="preserve"> returning EC</w:t>
      </w:r>
      <w:r w:rsidR="000834FE" w:rsidRPr="00056460">
        <w:rPr>
          <w:color w:val="auto"/>
          <w:vertAlign w:val="subscript"/>
        </w:rPr>
        <w:t>50</w:t>
      </w:r>
      <w:r w:rsidR="000834FE" w:rsidRPr="00056460">
        <w:rPr>
          <w:color w:val="auto"/>
        </w:rPr>
        <w:t xml:space="preserve">= (0.86 </w:t>
      </w:r>
      <w:r w:rsidR="000834FE" w:rsidRPr="00056460">
        <w:rPr>
          <w:color w:val="auto"/>
        </w:rPr>
        <w:sym w:font="Symbol" w:char="F0B1"/>
      </w:r>
      <w:r w:rsidR="000834FE" w:rsidRPr="00056460">
        <w:rPr>
          <w:color w:val="auto"/>
        </w:rPr>
        <w:t xml:space="preserve"> 0.13) µM</w:t>
      </w:r>
      <w:r w:rsidRPr="00056460">
        <w:rPr>
          <w:color w:val="auto"/>
        </w:rPr>
        <w:t xml:space="preserve">. </w:t>
      </w:r>
      <w:r w:rsidR="00F80DE2" w:rsidRPr="00056460">
        <w:rPr>
          <w:color w:val="auto"/>
        </w:rPr>
        <w:t>T</w:t>
      </w:r>
      <w:r w:rsidR="005041A9" w:rsidRPr="00056460">
        <w:rPr>
          <w:color w:val="auto"/>
        </w:rPr>
        <w:t xml:space="preserve">he impedance </w:t>
      </w:r>
      <w:r w:rsidRPr="00056460">
        <w:rPr>
          <w:color w:val="auto"/>
        </w:rPr>
        <w:t xml:space="preserve">response increases </w:t>
      </w:r>
      <w:r w:rsidR="00F80DE2" w:rsidRPr="00056460">
        <w:rPr>
          <w:color w:val="auto"/>
        </w:rPr>
        <w:t xml:space="preserve">monotonically </w:t>
      </w:r>
      <w:r w:rsidRPr="00056460">
        <w:rPr>
          <w:color w:val="auto"/>
        </w:rPr>
        <w:t xml:space="preserve">with increasing histamine concentration except for the last two </w:t>
      </w:r>
      <w:r w:rsidR="00F80DE2" w:rsidRPr="00056460">
        <w:rPr>
          <w:color w:val="auto"/>
        </w:rPr>
        <w:t xml:space="preserve">concentration steps </w:t>
      </w:r>
      <w:r w:rsidRPr="00056460">
        <w:rPr>
          <w:color w:val="auto"/>
        </w:rPr>
        <w:t>(30 µM, 100 µM final concentration)</w:t>
      </w:r>
      <w:r w:rsidR="00F80DE2" w:rsidRPr="00056460">
        <w:rPr>
          <w:color w:val="auto"/>
        </w:rPr>
        <w:t xml:space="preserve">. This response is </w:t>
      </w:r>
      <w:r w:rsidR="000834FE" w:rsidRPr="00056460">
        <w:rPr>
          <w:color w:val="auto"/>
        </w:rPr>
        <w:t xml:space="preserve">presumably </w:t>
      </w:r>
      <w:r w:rsidRPr="00056460">
        <w:rPr>
          <w:color w:val="auto"/>
        </w:rPr>
        <w:t xml:space="preserve">explained by downregulation of </w:t>
      </w:r>
      <w:r w:rsidR="00F80DE2" w:rsidRPr="00056460">
        <w:rPr>
          <w:color w:val="auto"/>
        </w:rPr>
        <w:t xml:space="preserve">the histamine </w:t>
      </w:r>
      <w:r w:rsidRPr="00056460">
        <w:rPr>
          <w:color w:val="auto"/>
        </w:rPr>
        <w:t>receptor</w:t>
      </w:r>
      <w:r w:rsidR="00F80DE2" w:rsidRPr="00056460">
        <w:rPr>
          <w:color w:val="auto"/>
        </w:rPr>
        <w:t>, desen</w:t>
      </w:r>
      <w:r w:rsidR="001F395C" w:rsidRPr="00056460">
        <w:rPr>
          <w:color w:val="auto"/>
        </w:rPr>
        <w:t>si</w:t>
      </w:r>
      <w:r w:rsidR="00F80DE2" w:rsidRPr="00056460">
        <w:rPr>
          <w:color w:val="auto"/>
        </w:rPr>
        <w:t>tization</w:t>
      </w:r>
      <w:r w:rsidRPr="00056460">
        <w:rPr>
          <w:color w:val="auto"/>
        </w:rPr>
        <w:t xml:space="preserve"> or over-stimulation of the cells (see discussion). To account for this effect</w:t>
      </w:r>
      <w:r w:rsidR="00507FE6">
        <w:rPr>
          <w:color w:val="auto"/>
        </w:rPr>
        <w:t>,</w:t>
      </w:r>
      <w:r w:rsidRPr="00056460">
        <w:rPr>
          <w:color w:val="auto"/>
        </w:rPr>
        <w:t xml:space="preserve"> the data range </w:t>
      </w:r>
      <w:r w:rsidR="00F80DE2" w:rsidRPr="00056460">
        <w:rPr>
          <w:color w:val="auto"/>
        </w:rPr>
        <w:t xml:space="preserve">for analysis has been </w:t>
      </w:r>
      <w:r w:rsidRPr="00056460">
        <w:rPr>
          <w:color w:val="auto"/>
        </w:rPr>
        <w:t xml:space="preserve">reduced, as shown for one </w:t>
      </w:r>
      <w:r w:rsidR="00F80DE2" w:rsidRPr="00056460">
        <w:rPr>
          <w:color w:val="auto"/>
        </w:rPr>
        <w:t>single serial dosing experiment</w:t>
      </w:r>
      <w:r w:rsidR="00A54B6A" w:rsidRPr="00056460">
        <w:rPr>
          <w:color w:val="auto"/>
        </w:rPr>
        <w:t xml:space="preserve"> </w:t>
      </w:r>
      <w:r w:rsidR="00F80DE2" w:rsidRPr="00507FE6">
        <w:rPr>
          <w:bCs/>
          <w:color w:val="auto"/>
        </w:rPr>
        <w:t>(</w:t>
      </w:r>
      <w:r w:rsidR="00F80DE2" w:rsidRPr="00056460">
        <w:rPr>
          <w:b/>
          <w:color w:val="auto"/>
        </w:rPr>
        <w:t>Fig</w:t>
      </w:r>
      <w:r w:rsidR="00507FE6">
        <w:rPr>
          <w:b/>
          <w:color w:val="auto"/>
        </w:rPr>
        <w:t>ure</w:t>
      </w:r>
      <w:r w:rsidR="00F80DE2" w:rsidRPr="00056460">
        <w:rPr>
          <w:b/>
          <w:color w:val="auto"/>
        </w:rPr>
        <w:t xml:space="preserve"> 3</w:t>
      </w:r>
      <w:r w:rsidR="00F80DE2" w:rsidRPr="00507FE6">
        <w:rPr>
          <w:bCs/>
          <w:color w:val="auto"/>
        </w:rPr>
        <w:t>;</w:t>
      </w:r>
      <w:r w:rsidR="00F80DE2" w:rsidRPr="00056460">
        <w:rPr>
          <w:b/>
          <w:color w:val="auto"/>
        </w:rPr>
        <w:t xml:space="preserve"> </w:t>
      </w:r>
      <w:r w:rsidR="00A54B6A" w:rsidRPr="00056460">
        <w:rPr>
          <w:color w:val="auto"/>
        </w:rPr>
        <w:t>well 1)</w:t>
      </w:r>
      <w:r w:rsidRPr="00056460">
        <w:rPr>
          <w:color w:val="auto"/>
        </w:rPr>
        <w:t xml:space="preserve"> selected from the </w:t>
      </w:r>
      <w:r w:rsidR="00F80DE2" w:rsidRPr="00056460">
        <w:rPr>
          <w:color w:val="auto"/>
        </w:rPr>
        <w:t xml:space="preserve">data </w:t>
      </w:r>
      <w:r w:rsidRPr="00056460">
        <w:rPr>
          <w:color w:val="auto"/>
        </w:rPr>
        <w:t xml:space="preserve">shown in </w:t>
      </w:r>
      <w:r w:rsidR="00507FE6" w:rsidRPr="00507FE6">
        <w:rPr>
          <w:b/>
          <w:bCs/>
          <w:color w:val="auto"/>
        </w:rPr>
        <w:t>F</w:t>
      </w:r>
      <w:r w:rsidRPr="00507FE6">
        <w:rPr>
          <w:b/>
          <w:bCs/>
          <w:color w:val="auto"/>
        </w:rPr>
        <w:t>igure 2</w:t>
      </w:r>
      <w:r w:rsidRPr="00056460">
        <w:rPr>
          <w:color w:val="auto"/>
        </w:rPr>
        <w:t>. Moreover</w:t>
      </w:r>
      <w:r w:rsidR="00F80DE2" w:rsidRPr="00056460">
        <w:rPr>
          <w:color w:val="auto"/>
        </w:rPr>
        <w:t>,</w:t>
      </w:r>
      <w:r w:rsidRPr="00056460">
        <w:rPr>
          <w:color w:val="auto"/>
        </w:rPr>
        <w:t xml:space="preserve"> </w:t>
      </w:r>
      <w:r w:rsidR="00CD33C4" w:rsidRPr="00056460">
        <w:rPr>
          <w:color w:val="auto"/>
        </w:rPr>
        <w:t>s</w:t>
      </w:r>
      <w:r w:rsidRPr="00056460">
        <w:rPr>
          <w:color w:val="auto"/>
        </w:rPr>
        <w:t>etting the lower asymptote (</w:t>
      </w:r>
      <w:r w:rsidRPr="00056460">
        <w:rPr>
          <w:i/>
          <w:color w:val="auto"/>
        </w:rPr>
        <w:t>A</w:t>
      </w:r>
      <w:r w:rsidR="002B73CE">
        <w:rPr>
          <w:color w:val="auto"/>
          <w:vertAlign w:val="subscript"/>
        </w:rPr>
        <w:t>2</w:t>
      </w:r>
      <w:r w:rsidRPr="00056460">
        <w:rPr>
          <w:color w:val="auto"/>
        </w:rPr>
        <w:t xml:space="preserve">) to zero </w:t>
      </w:r>
      <w:r w:rsidR="00CD33C4" w:rsidRPr="00056460">
        <w:rPr>
          <w:color w:val="auto"/>
        </w:rPr>
        <w:t xml:space="preserve">during least square optimization </w:t>
      </w:r>
      <w:r w:rsidRPr="00056460">
        <w:rPr>
          <w:color w:val="auto"/>
        </w:rPr>
        <w:t xml:space="preserve">assuming no impedance change </w:t>
      </w:r>
      <w:r w:rsidR="00F80DE2" w:rsidRPr="00056460">
        <w:rPr>
          <w:color w:val="auto"/>
        </w:rPr>
        <w:t xml:space="preserve">in </w:t>
      </w:r>
      <w:r w:rsidRPr="00056460">
        <w:rPr>
          <w:color w:val="auto"/>
        </w:rPr>
        <w:t>response to 0 µM histamine</w:t>
      </w:r>
      <w:r w:rsidR="00F80DE2" w:rsidRPr="00056460">
        <w:rPr>
          <w:color w:val="auto"/>
        </w:rPr>
        <w:t xml:space="preserve"> is well justified</w:t>
      </w:r>
      <w:r w:rsidRPr="00056460">
        <w:rPr>
          <w:color w:val="auto"/>
        </w:rPr>
        <w:t>.</w:t>
      </w:r>
      <w:r w:rsidR="00F80DE2" w:rsidRPr="00056460">
        <w:rPr>
          <w:color w:val="auto"/>
        </w:rPr>
        <w:t xml:space="preserve"> Applying this </w:t>
      </w:r>
      <w:proofErr w:type="gramStart"/>
      <w:r w:rsidR="00F80DE2" w:rsidRPr="00056460">
        <w:rPr>
          <w:color w:val="auto"/>
        </w:rPr>
        <w:t>three parameter</w:t>
      </w:r>
      <w:proofErr w:type="gramEnd"/>
      <w:r w:rsidR="00F80DE2" w:rsidRPr="00056460">
        <w:rPr>
          <w:color w:val="auto"/>
        </w:rPr>
        <w:t xml:space="preserve"> </w:t>
      </w:r>
      <w:r w:rsidR="00CD33C4" w:rsidRPr="00056460">
        <w:rPr>
          <w:color w:val="auto"/>
        </w:rPr>
        <w:t xml:space="preserve">optimization </w:t>
      </w:r>
      <w:r w:rsidR="00F80DE2" w:rsidRPr="00056460">
        <w:rPr>
          <w:color w:val="auto"/>
        </w:rPr>
        <w:t xml:space="preserve">provides </w:t>
      </w:r>
      <w:r w:rsidR="000E0B78" w:rsidRPr="00056460">
        <w:rPr>
          <w:color w:val="auto"/>
        </w:rPr>
        <w:t>an EC</w:t>
      </w:r>
      <w:r w:rsidR="000E0B78" w:rsidRPr="00056460">
        <w:rPr>
          <w:color w:val="auto"/>
          <w:vertAlign w:val="subscript"/>
        </w:rPr>
        <w:t>50</w:t>
      </w:r>
      <w:r w:rsidR="000E0B78" w:rsidRPr="00056460">
        <w:rPr>
          <w:color w:val="auto"/>
        </w:rPr>
        <w:t xml:space="preserve"> of (0.75 </w:t>
      </w:r>
      <w:r w:rsidR="000E0B78" w:rsidRPr="00056460">
        <w:rPr>
          <w:color w:val="auto"/>
        </w:rPr>
        <w:sym w:font="Symbol" w:char="F0B1"/>
      </w:r>
      <w:r w:rsidR="000E0B78" w:rsidRPr="00056460">
        <w:rPr>
          <w:color w:val="auto"/>
        </w:rPr>
        <w:t xml:space="preserve"> 0.12) µM (cf.</w:t>
      </w:r>
      <w:r w:rsidR="00507FE6">
        <w:rPr>
          <w:color w:val="auto"/>
        </w:rPr>
        <w:t>,</w:t>
      </w:r>
      <w:r w:rsidR="000E0B78" w:rsidRPr="00056460">
        <w:rPr>
          <w:color w:val="auto"/>
        </w:rPr>
        <w:t xml:space="preserve"> </w:t>
      </w:r>
      <w:r w:rsidR="000E0B78" w:rsidRPr="00056460">
        <w:rPr>
          <w:b/>
          <w:color w:val="auto"/>
        </w:rPr>
        <w:t>F</w:t>
      </w:r>
      <w:r w:rsidR="00A54B6A" w:rsidRPr="00056460">
        <w:rPr>
          <w:b/>
          <w:color w:val="auto"/>
        </w:rPr>
        <w:t>ig</w:t>
      </w:r>
      <w:r w:rsidR="00507FE6">
        <w:rPr>
          <w:b/>
          <w:color w:val="auto"/>
        </w:rPr>
        <w:t>ure</w:t>
      </w:r>
      <w:r w:rsidR="00A54B6A" w:rsidRPr="00056460">
        <w:rPr>
          <w:b/>
          <w:color w:val="auto"/>
        </w:rPr>
        <w:t xml:space="preserve"> 3B</w:t>
      </w:r>
      <w:r w:rsidR="000E0B78" w:rsidRPr="00056460">
        <w:rPr>
          <w:color w:val="auto"/>
        </w:rPr>
        <w:t>)</w:t>
      </w:r>
      <w:r w:rsidR="00A54B6A" w:rsidRPr="00056460">
        <w:rPr>
          <w:color w:val="auto"/>
        </w:rPr>
        <w:t>.</w:t>
      </w:r>
      <w:r w:rsidR="00CD33C4" w:rsidRPr="00056460">
        <w:rPr>
          <w:color w:val="auto"/>
        </w:rPr>
        <w:t xml:space="preserve"> EC</w:t>
      </w:r>
      <w:r w:rsidR="00CD33C4" w:rsidRPr="00056460">
        <w:rPr>
          <w:color w:val="auto"/>
          <w:vertAlign w:val="subscript"/>
        </w:rPr>
        <w:t>50</w:t>
      </w:r>
      <w:r w:rsidR="00CD33C4" w:rsidRPr="00056460">
        <w:rPr>
          <w:color w:val="auto"/>
        </w:rPr>
        <w:t xml:space="preserve"> values were found to be insensitive for either of the data analysis modes and were not significantly different.  </w:t>
      </w:r>
    </w:p>
    <w:p w14:paraId="1B6690F6" w14:textId="77777777" w:rsidR="00E76C29" w:rsidRPr="00056460" w:rsidRDefault="00E76C29" w:rsidP="00056460">
      <w:pPr>
        <w:pStyle w:val="a3"/>
        <w:spacing w:before="0" w:beforeAutospacing="0" w:after="0" w:afterAutospacing="0"/>
        <w:rPr>
          <w:color w:val="auto"/>
        </w:rPr>
      </w:pPr>
    </w:p>
    <w:p w14:paraId="3346BD99" w14:textId="715C5322" w:rsidR="00A54B6A" w:rsidRPr="00056460" w:rsidRDefault="00432E3A" w:rsidP="00056460">
      <w:pPr>
        <w:pStyle w:val="a3"/>
        <w:spacing w:before="0" w:beforeAutospacing="0" w:after="0" w:afterAutospacing="0"/>
        <w:rPr>
          <w:color w:val="auto"/>
        </w:rPr>
      </w:pPr>
      <w:r w:rsidRPr="00056460">
        <w:rPr>
          <w:color w:val="auto"/>
        </w:rPr>
        <w:t>Typical</w:t>
      </w:r>
      <w:r w:rsidR="00A54B6A" w:rsidRPr="00056460">
        <w:rPr>
          <w:color w:val="auto"/>
        </w:rPr>
        <w:t xml:space="preserve"> results for a 96-well plate </w:t>
      </w:r>
      <w:r w:rsidRPr="00056460">
        <w:rPr>
          <w:color w:val="auto"/>
        </w:rPr>
        <w:t xml:space="preserve">experiment </w:t>
      </w:r>
      <w:r w:rsidR="00A54B6A" w:rsidRPr="00056460">
        <w:rPr>
          <w:color w:val="auto"/>
        </w:rPr>
        <w:t xml:space="preserve">are </w:t>
      </w:r>
      <w:r w:rsidRPr="00056460">
        <w:rPr>
          <w:color w:val="auto"/>
        </w:rPr>
        <w:t xml:space="preserve">summarized </w:t>
      </w:r>
      <w:r w:rsidR="00A54B6A" w:rsidRPr="00056460">
        <w:rPr>
          <w:color w:val="auto"/>
        </w:rPr>
        <w:t xml:space="preserve">in </w:t>
      </w:r>
      <w:r w:rsidR="00FD2380" w:rsidRPr="00FD2380">
        <w:rPr>
          <w:b/>
          <w:bCs/>
          <w:color w:val="auto"/>
        </w:rPr>
        <w:t>F</w:t>
      </w:r>
      <w:r w:rsidR="00A54B6A" w:rsidRPr="00FD2380">
        <w:rPr>
          <w:b/>
          <w:bCs/>
          <w:color w:val="auto"/>
        </w:rPr>
        <w:t>igure 4</w:t>
      </w:r>
      <w:r w:rsidR="00A54B6A" w:rsidRPr="00056460">
        <w:rPr>
          <w:color w:val="auto"/>
        </w:rPr>
        <w:t xml:space="preserve">. U-373 MG cells were grown </w:t>
      </w:r>
      <w:r w:rsidR="002B73CE">
        <w:rPr>
          <w:color w:val="auto"/>
        </w:rPr>
        <w:t>o</w:t>
      </w:r>
      <w:r w:rsidR="00A54B6A" w:rsidRPr="00056460">
        <w:rPr>
          <w:color w:val="auto"/>
        </w:rPr>
        <w:t>n 96</w:t>
      </w:r>
      <w:r w:rsidR="00962386" w:rsidRPr="00056460">
        <w:rPr>
          <w:color w:val="auto"/>
        </w:rPr>
        <w:t>-well</w:t>
      </w:r>
      <w:r w:rsidR="00A54B6A" w:rsidRPr="00056460">
        <w:rPr>
          <w:color w:val="auto"/>
        </w:rPr>
        <w:t xml:space="preserve"> </w:t>
      </w:r>
      <w:r w:rsidR="006864D1" w:rsidRPr="00056460">
        <w:rPr>
          <w:color w:val="auto"/>
        </w:rPr>
        <w:t xml:space="preserve">electrode </w:t>
      </w:r>
      <w:r w:rsidR="00A54B6A" w:rsidRPr="00056460">
        <w:rPr>
          <w:color w:val="auto"/>
        </w:rPr>
        <w:t xml:space="preserve">arrays as described above. 32 wells were included in the measurement. 8 wells served as agonist-free controls, </w:t>
      </w:r>
      <w:r w:rsidR="006864D1" w:rsidRPr="00056460">
        <w:rPr>
          <w:color w:val="auto"/>
        </w:rPr>
        <w:t>exposed to medium only</w:t>
      </w:r>
      <w:r w:rsidR="00A54B6A" w:rsidRPr="00056460">
        <w:rPr>
          <w:color w:val="auto"/>
        </w:rPr>
        <w:t>. 24 wells were subjected to a series of increasing histamine concentrations calculated and prepared for addition mode 2.</w:t>
      </w:r>
      <w:r w:rsidR="000834FE" w:rsidRPr="00056460">
        <w:rPr>
          <w:color w:val="auto"/>
        </w:rPr>
        <w:t xml:space="preserve"> </w:t>
      </w:r>
      <w:r w:rsidR="00A54B6A" w:rsidRPr="00056460">
        <w:rPr>
          <w:color w:val="auto"/>
        </w:rPr>
        <w:t xml:space="preserve">The time course of impedance </w:t>
      </w:r>
      <w:r w:rsidR="006864D1" w:rsidRPr="00056460">
        <w:rPr>
          <w:color w:val="auto"/>
        </w:rPr>
        <w:t xml:space="preserve">change </w:t>
      </w:r>
      <w:r w:rsidR="00A54B6A" w:rsidRPr="00056460">
        <w:rPr>
          <w:color w:val="auto"/>
        </w:rPr>
        <w:t xml:space="preserve">is shown for all 32 individual wells </w:t>
      </w:r>
      <w:r w:rsidR="006864D1" w:rsidRPr="00056460">
        <w:rPr>
          <w:color w:val="auto"/>
        </w:rPr>
        <w:t xml:space="preserve">in </w:t>
      </w:r>
      <w:r w:rsidR="00A54B6A" w:rsidRPr="00056460">
        <w:rPr>
          <w:b/>
          <w:color w:val="auto"/>
        </w:rPr>
        <w:t>Fig</w:t>
      </w:r>
      <w:r w:rsidR="00FD2380">
        <w:rPr>
          <w:b/>
          <w:color w:val="auto"/>
        </w:rPr>
        <w:t>ure</w:t>
      </w:r>
      <w:r w:rsidR="00A54B6A" w:rsidRPr="00056460">
        <w:rPr>
          <w:b/>
          <w:color w:val="auto"/>
        </w:rPr>
        <w:t xml:space="preserve"> 4A</w:t>
      </w:r>
      <w:r w:rsidR="00A54B6A" w:rsidRPr="00056460">
        <w:rPr>
          <w:color w:val="auto"/>
        </w:rPr>
        <w:t>. One of the curve</w:t>
      </w:r>
      <w:r w:rsidR="00C941FC" w:rsidRPr="00056460">
        <w:rPr>
          <w:color w:val="auto"/>
        </w:rPr>
        <w:t>s</w:t>
      </w:r>
      <w:r w:rsidR="00A54B6A" w:rsidRPr="00056460">
        <w:rPr>
          <w:color w:val="auto"/>
        </w:rPr>
        <w:t xml:space="preserve"> (highlighted in red) </w:t>
      </w:r>
      <w:r w:rsidR="002B73CE">
        <w:rPr>
          <w:color w:val="auto"/>
        </w:rPr>
        <w:t>shows</w:t>
      </w:r>
      <w:r w:rsidR="002B73CE" w:rsidRPr="00056460">
        <w:rPr>
          <w:color w:val="auto"/>
        </w:rPr>
        <w:t xml:space="preserve"> </w:t>
      </w:r>
      <w:r w:rsidR="00A54B6A" w:rsidRPr="00056460">
        <w:rPr>
          <w:color w:val="auto"/>
        </w:rPr>
        <w:t xml:space="preserve">an unusual </w:t>
      </w:r>
      <w:r w:rsidR="006864D1" w:rsidRPr="00056460">
        <w:rPr>
          <w:color w:val="auto"/>
        </w:rPr>
        <w:t xml:space="preserve">time </w:t>
      </w:r>
      <w:r w:rsidR="00A54B6A" w:rsidRPr="00056460">
        <w:rPr>
          <w:color w:val="auto"/>
        </w:rPr>
        <w:t xml:space="preserve">course and was excluded from further analysis. Accordingly, data from 23 wells were averaged and plotted as time course of </w:t>
      </w:r>
      <w:r w:rsidR="006864D1" w:rsidRPr="00056460">
        <w:rPr>
          <w:color w:val="auto"/>
        </w:rPr>
        <w:t>average impedance change (</w:t>
      </w:r>
      <w:r w:rsidR="00A54B6A" w:rsidRPr="00056460">
        <w:rPr>
          <w:color w:val="auto"/>
        </w:rPr>
        <w:t>mean ± SD</w:t>
      </w:r>
      <w:r w:rsidR="006864D1" w:rsidRPr="00056460">
        <w:rPr>
          <w:color w:val="auto"/>
        </w:rPr>
        <w:t>)</w:t>
      </w:r>
      <w:r w:rsidR="00A54B6A" w:rsidRPr="00056460">
        <w:rPr>
          <w:color w:val="auto"/>
        </w:rPr>
        <w:t xml:space="preserve"> </w:t>
      </w:r>
      <w:r w:rsidR="006864D1" w:rsidRPr="00056460">
        <w:rPr>
          <w:color w:val="auto"/>
        </w:rPr>
        <w:t xml:space="preserve">in </w:t>
      </w:r>
      <w:r w:rsidR="00A54B6A" w:rsidRPr="00056460">
        <w:rPr>
          <w:b/>
          <w:color w:val="auto"/>
        </w:rPr>
        <w:t>Fig</w:t>
      </w:r>
      <w:r w:rsidR="00FD2380">
        <w:rPr>
          <w:b/>
          <w:color w:val="auto"/>
        </w:rPr>
        <w:t>ure</w:t>
      </w:r>
      <w:r w:rsidR="00A54B6A" w:rsidRPr="00056460">
        <w:rPr>
          <w:b/>
          <w:color w:val="auto"/>
        </w:rPr>
        <w:t xml:space="preserve"> 4B</w:t>
      </w:r>
      <w:r w:rsidR="00A54B6A" w:rsidRPr="00056460">
        <w:rPr>
          <w:color w:val="auto"/>
        </w:rPr>
        <w:t xml:space="preserve">. Each individual curve was analyzed </w:t>
      </w:r>
      <w:r w:rsidR="006864D1" w:rsidRPr="00056460">
        <w:rPr>
          <w:color w:val="auto"/>
        </w:rPr>
        <w:t xml:space="preserve">as described above </w:t>
      </w:r>
      <w:r w:rsidR="00A54B6A" w:rsidRPr="00056460">
        <w:rPr>
          <w:color w:val="auto"/>
        </w:rPr>
        <w:t xml:space="preserve">for </w:t>
      </w:r>
      <w:r w:rsidR="006864D1" w:rsidRPr="00056460">
        <w:rPr>
          <w:color w:val="auto"/>
        </w:rPr>
        <w:t>the dose</w:t>
      </w:r>
      <w:r w:rsidR="00A54B6A" w:rsidRPr="00056460">
        <w:rPr>
          <w:color w:val="auto"/>
        </w:rPr>
        <w:t xml:space="preserve">-response relationship. Data points were averaged and plotted as function of the final histamine concentration </w:t>
      </w:r>
      <w:r w:rsidR="00A54B6A" w:rsidRPr="00FD2380">
        <w:rPr>
          <w:bCs/>
          <w:color w:val="auto"/>
        </w:rPr>
        <w:t>(</w:t>
      </w:r>
      <w:r w:rsidR="00A54B6A" w:rsidRPr="00056460">
        <w:rPr>
          <w:b/>
          <w:color w:val="auto"/>
        </w:rPr>
        <w:t>Fig</w:t>
      </w:r>
      <w:r w:rsidR="00FD2380">
        <w:rPr>
          <w:b/>
          <w:color w:val="auto"/>
        </w:rPr>
        <w:t>ure</w:t>
      </w:r>
      <w:r w:rsidR="00A54B6A" w:rsidRPr="00056460">
        <w:rPr>
          <w:b/>
          <w:color w:val="auto"/>
        </w:rPr>
        <w:t xml:space="preserve"> 4</w:t>
      </w:r>
      <w:r w:rsidR="00C941FC" w:rsidRPr="00056460">
        <w:rPr>
          <w:b/>
          <w:color w:val="auto"/>
        </w:rPr>
        <w:t>C</w:t>
      </w:r>
      <w:r w:rsidR="00A54B6A" w:rsidRPr="00FD2380">
        <w:rPr>
          <w:bCs/>
          <w:color w:val="auto"/>
        </w:rPr>
        <w:t>).</w:t>
      </w:r>
      <w:r w:rsidR="000834FE" w:rsidRPr="00056460">
        <w:rPr>
          <w:color w:val="auto"/>
        </w:rPr>
        <w:t xml:space="preserve"> Dose-response data</w:t>
      </w:r>
      <w:r w:rsidR="005C688C" w:rsidRPr="00056460">
        <w:rPr>
          <w:color w:val="auto"/>
        </w:rPr>
        <w:t xml:space="preserve"> were analyzed </w:t>
      </w:r>
      <w:r w:rsidR="006864D1" w:rsidRPr="00056460">
        <w:rPr>
          <w:color w:val="auto"/>
        </w:rPr>
        <w:t xml:space="preserve">by means of </w:t>
      </w:r>
      <w:r w:rsidR="005C688C" w:rsidRPr="00056460">
        <w:rPr>
          <w:color w:val="auto"/>
        </w:rPr>
        <w:t xml:space="preserve">the </w:t>
      </w:r>
      <w:r w:rsidR="006864D1" w:rsidRPr="00056460">
        <w:rPr>
          <w:color w:val="auto"/>
        </w:rPr>
        <w:t>four parameter</w:t>
      </w:r>
      <w:r w:rsidR="005C688C" w:rsidRPr="00056460">
        <w:rPr>
          <w:color w:val="auto"/>
        </w:rPr>
        <w:t xml:space="preserve"> logistic model, which returned an average EC</w:t>
      </w:r>
      <w:r w:rsidR="005C688C" w:rsidRPr="00056460">
        <w:rPr>
          <w:color w:val="auto"/>
          <w:vertAlign w:val="subscript"/>
        </w:rPr>
        <w:t xml:space="preserve">50 </w:t>
      </w:r>
      <w:r w:rsidR="005C688C" w:rsidRPr="00056460">
        <w:rPr>
          <w:color w:val="auto"/>
        </w:rPr>
        <w:t>value of (1.0 ± 0.3) µM.</w:t>
      </w:r>
    </w:p>
    <w:p w14:paraId="359A3AC0" w14:textId="77777777" w:rsidR="005C688C" w:rsidRPr="00056460" w:rsidRDefault="005C688C" w:rsidP="00056460">
      <w:pPr>
        <w:pStyle w:val="a3"/>
        <w:spacing w:before="0" w:beforeAutospacing="0" w:after="0" w:afterAutospacing="0"/>
        <w:rPr>
          <w:color w:val="auto"/>
        </w:rPr>
      </w:pPr>
    </w:p>
    <w:p w14:paraId="7F5815FC" w14:textId="273399DC" w:rsidR="004A71E4" w:rsidRPr="00056460" w:rsidRDefault="00BB4986" w:rsidP="00056460">
      <w:pPr>
        <w:pStyle w:val="a3"/>
        <w:spacing w:before="0" w:beforeAutospacing="0" w:after="0" w:afterAutospacing="0"/>
        <w:rPr>
          <w:color w:val="auto"/>
        </w:rPr>
      </w:pPr>
      <w:r w:rsidRPr="00056460">
        <w:rPr>
          <w:color w:val="auto"/>
        </w:rPr>
        <w:t xml:space="preserve">A typical </w:t>
      </w:r>
      <w:r w:rsidR="005C688C" w:rsidRPr="00056460">
        <w:rPr>
          <w:color w:val="auto"/>
        </w:rPr>
        <w:t xml:space="preserve">result for the serial agonist addition protocol in </w:t>
      </w:r>
      <w:r w:rsidR="005C688C" w:rsidRPr="00056460">
        <w:rPr>
          <w:b/>
          <w:color w:val="auto"/>
        </w:rPr>
        <w:t>antagonist mode</w:t>
      </w:r>
      <w:r w:rsidR="005C688C" w:rsidRPr="00056460">
        <w:rPr>
          <w:color w:val="auto"/>
        </w:rPr>
        <w:t xml:space="preserve"> is shown in </w:t>
      </w:r>
      <w:r w:rsidR="00FD2380">
        <w:rPr>
          <w:b/>
          <w:color w:val="auto"/>
        </w:rPr>
        <w:t>F</w:t>
      </w:r>
      <w:r w:rsidR="005C688C" w:rsidRPr="00056460">
        <w:rPr>
          <w:b/>
          <w:color w:val="auto"/>
        </w:rPr>
        <w:t>igure 5</w:t>
      </w:r>
      <w:r w:rsidR="005C688C" w:rsidRPr="00056460">
        <w:rPr>
          <w:color w:val="auto"/>
        </w:rPr>
        <w:t xml:space="preserve">. Here, one well was pre-treated with </w:t>
      </w:r>
      <w:r w:rsidRPr="00056460">
        <w:rPr>
          <w:color w:val="auto"/>
        </w:rPr>
        <w:t xml:space="preserve">0.75 µM of </w:t>
      </w:r>
      <w:r w:rsidR="005C688C" w:rsidRPr="00056460">
        <w:rPr>
          <w:color w:val="auto"/>
        </w:rPr>
        <w:t>the histamine receptor antagonist diphenhydramine</w:t>
      </w:r>
      <w:r w:rsidR="00727A86" w:rsidRPr="00056460">
        <w:rPr>
          <w:color w:val="auto"/>
        </w:rPr>
        <w:t xml:space="preserve"> </w:t>
      </w:r>
      <w:r w:rsidRPr="00056460">
        <w:rPr>
          <w:color w:val="auto"/>
        </w:rPr>
        <w:t xml:space="preserve">(red curve) </w:t>
      </w:r>
      <w:r w:rsidR="00727A86" w:rsidRPr="00056460">
        <w:rPr>
          <w:color w:val="auto"/>
        </w:rPr>
        <w:t>20 min before the first histamine was added</w:t>
      </w:r>
      <w:r w:rsidR="00B32D4C" w:rsidRPr="00056460">
        <w:rPr>
          <w:color w:val="auto"/>
        </w:rPr>
        <w:t xml:space="preserve"> </w:t>
      </w:r>
      <w:r w:rsidR="00B32D4C" w:rsidRPr="00FD2380">
        <w:rPr>
          <w:bCs/>
          <w:color w:val="auto"/>
        </w:rPr>
        <w:t>(</w:t>
      </w:r>
      <w:r w:rsidR="00B32D4C" w:rsidRPr="00056460">
        <w:rPr>
          <w:b/>
          <w:color w:val="auto"/>
        </w:rPr>
        <w:t>Fig</w:t>
      </w:r>
      <w:r w:rsidR="00FD2380">
        <w:rPr>
          <w:b/>
          <w:color w:val="auto"/>
        </w:rPr>
        <w:t>ure</w:t>
      </w:r>
      <w:r w:rsidR="00B32D4C" w:rsidRPr="00056460">
        <w:rPr>
          <w:b/>
          <w:color w:val="auto"/>
        </w:rPr>
        <w:t xml:space="preserve"> 5A</w:t>
      </w:r>
      <w:r w:rsidR="00B32D4C" w:rsidRPr="00FD2380">
        <w:rPr>
          <w:bCs/>
          <w:color w:val="auto"/>
        </w:rPr>
        <w:t>)</w:t>
      </w:r>
      <w:r w:rsidR="00727A86" w:rsidRPr="00FD2380">
        <w:rPr>
          <w:bCs/>
          <w:color w:val="auto"/>
        </w:rPr>
        <w:t>.</w:t>
      </w:r>
      <w:r w:rsidR="00727A86" w:rsidRPr="00056460">
        <w:rPr>
          <w:color w:val="auto"/>
        </w:rPr>
        <w:t xml:space="preserve"> The control received antagonist-free medium</w:t>
      </w:r>
      <w:r w:rsidRPr="00056460">
        <w:rPr>
          <w:color w:val="auto"/>
        </w:rPr>
        <w:t xml:space="preserve"> (blue curve)</w:t>
      </w:r>
      <w:r w:rsidR="00727A86" w:rsidRPr="00056460">
        <w:rPr>
          <w:color w:val="auto"/>
        </w:rPr>
        <w:t xml:space="preserve">. </w:t>
      </w:r>
      <w:r w:rsidR="001717E4" w:rsidRPr="00056460">
        <w:rPr>
          <w:color w:val="auto"/>
        </w:rPr>
        <w:t>The a</w:t>
      </w:r>
      <w:r w:rsidR="00727A86" w:rsidRPr="00056460">
        <w:rPr>
          <w:color w:val="auto"/>
        </w:rPr>
        <w:t xml:space="preserve">ntagonist was added following </w:t>
      </w:r>
      <w:r w:rsidR="00727A86" w:rsidRPr="00056460">
        <w:rPr>
          <w:b/>
          <w:color w:val="auto"/>
        </w:rPr>
        <w:t>mode 2</w:t>
      </w:r>
      <w:r w:rsidR="00727A86" w:rsidRPr="00056460">
        <w:rPr>
          <w:color w:val="auto"/>
        </w:rPr>
        <w:t>, which means</w:t>
      </w:r>
      <w:r w:rsidR="00B32D4C" w:rsidRPr="00056460">
        <w:rPr>
          <w:color w:val="auto"/>
        </w:rPr>
        <w:t xml:space="preserve"> that 200 µL of the finally 400 </w:t>
      </w:r>
      <w:r w:rsidR="00727A86" w:rsidRPr="00056460">
        <w:rPr>
          <w:color w:val="auto"/>
        </w:rPr>
        <w:t>µL were removed before the agonist series</w:t>
      </w:r>
      <w:r w:rsidR="00B32D4C" w:rsidRPr="00056460">
        <w:rPr>
          <w:color w:val="auto"/>
        </w:rPr>
        <w:t xml:space="preserve"> was applied</w:t>
      </w:r>
      <w:r w:rsidR="00727A86" w:rsidRPr="00056460">
        <w:rPr>
          <w:color w:val="auto"/>
        </w:rPr>
        <w:t xml:space="preserve">. The agonist (histamine) was added following </w:t>
      </w:r>
      <w:r w:rsidR="001717E4" w:rsidRPr="00056460">
        <w:rPr>
          <w:color w:val="auto"/>
        </w:rPr>
        <w:t xml:space="preserve">serial dosing </w:t>
      </w:r>
      <w:r w:rsidR="00727A86" w:rsidRPr="00056460">
        <w:rPr>
          <w:b/>
          <w:color w:val="auto"/>
        </w:rPr>
        <w:t>mode 1</w:t>
      </w:r>
      <w:r w:rsidR="00727A86" w:rsidRPr="00056460">
        <w:rPr>
          <w:color w:val="auto"/>
        </w:rPr>
        <w:t xml:space="preserve"> as described in the examples above. It is important for experiments in antagonist mode that the antagonist concentration is kept constant over the entire time course of the experiment. </w:t>
      </w:r>
      <w:r w:rsidR="001717E4" w:rsidRPr="00056460">
        <w:rPr>
          <w:color w:val="auto"/>
        </w:rPr>
        <w:t xml:space="preserve">Accordingly, </w:t>
      </w:r>
      <w:r w:rsidR="00727A86" w:rsidRPr="00056460">
        <w:rPr>
          <w:color w:val="auto"/>
        </w:rPr>
        <w:t xml:space="preserve">all </w:t>
      </w:r>
      <w:r w:rsidR="001717E4" w:rsidRPr="00056460">
        <w:rPr>
          <w:color w:val="auto"/>
        </w:rPr>
        <w:t xml:space="preserve">agonist </w:t>
      </w:r>
      <w:r w:rsidR="00727A86" w:rsidRPr="00056460">
        <w:rPr>
          <w:color w:val="auto"/>
        </w:rPr>
        <w:t xml:space="preserve">solutions added to the well </w:t>
      </w:r>
      <w:r w:rsidR="001717E4" w:rsidRPr="00056460">
        <w:rPr>
          <w:color w:val="auto"/>
        </w:rPr>
        <w:t xml:space="preserve">must </w:t>
      </w:r>
      <w:r w:rsidR="00727A86" w:rsidRPr="00056460">
        <w:rPr>
          <w:color w:val="auto"/>
        </w:rPr>
        <w:t xml:space="preserve">also contain the </w:t>
      </w:r>
      <w:r w:rsidR="001717E4" w:rsidRPr="00056460">
        <w:rPr>
          <w:color w:val="auto"/>
        </w:rPr>
        <w:t xml:space="preserve">pre-defined </w:t>
      </w:r>
      <w:r w:rsidR="00727A86" w:rsidRPr="00056460">
        <w:rPr>
          <w:color w:val="auto"/>
        </w:rPr>
        <w:t>antagonist concentration (in this case</w:t>
      </w:r>
      <w:r w:rsidR="00FD2380">
        <w:rPr>
          <w:color w:val="auto"/>
        </w:rPr>
        <w:t>,</w:t>
      </w:r>
      <w:r w:rsidR="00727A86" w:rsidRPr="00056460">
        <w:rPr>
          <w:color w:val="auto"/>
        </w:rPr>
        <w:t xml:space="preserve"> 0.75 µM), while the control remains a</w:t>
      </w:r>
      <w:r w:rsidR="001717E4" w:rsidRPr="00056460">
        <w:rPr>
          <w:color w:val="auto"/>
        </w:rPr>
        <w:t>nta</w:t>
      </w:r>
      <w:r w:rsidR="00727A86" w:rsidRPr="00056460">
        <w:rPr>
          <w:color w:val="auto"/>
        </w:rPr>
        <w:t xml:space="preserve">gonist-free. </w:t>
      </w:r>
      <w:r w:rsidR="001717E4" w:rsidRPr="00056460">
        <w:rPr>
          <w:color w:val="auto"/>
        </w:rPr>
        <w:t>An a</w:t>
      </w:r>
      <w:r w:rsidR="00727A86" w:rsidRPr="00056460">
        <w:rPr>
          <w:color w:val="auto"/>
        </w:rPr>
        <w:t xml:space="preserve">ntagonistic effect becomes apparent by a “delayed” increase of impedance </w:t>
      </w:r>
      <w:r w:rsidR="001717E4" w:rsidRPr="00056460">
        <w:rPr>
          <w:color w:val="auto"/>
        </w:rPr>
        <w:t xml:space="preserve">within the serial dosing scheme </w:t>
      </w:r>
      <w:r w:rsidR="000E0B78" w:rsidRPr="00056460">
        <w:rPr>
          <w:color w:val="auto"/>
        </w:rPr>
        <w:t xml:space="preserve">corresponding to </w:t>
      </w:r>
      <w:r w:rsidR="00727A86" w:rsidRPr="00056460">
        <w:rPr>
          <w:color w:val="auto"/>
        </w:rPr>
        <w:t>higher agonist concentrations</w:t>
      </w:r>
      <w:r w:rsidR="000E0B78" w:rsidRPr="00056460">
        <w:rPr>
          <w:color w:val="auto"/>
        </w:rPr>
        <w:t xml:space="preserve"> needed to induce a cell response</w:t>
      </w:r>
      <w:r w:rsidR="00727A86" w:rsidRPr="00056460">
        <w:rPr>
          <w:color w:val="auto"/>
        </w:rPr>
        <w:t xml:space="preserve">. In the </w:t>
      </w:r>
      <w:r w:rsidR="001717E4" w:rsidRPr="00056460">
        <w:rPr>
          <w:color w:val="auto"/>
        </w:rPr>
        <w:t>dose</w:t>
      </w:r>
      <w:r w:rsidR="00727A86" w:rsidRPr="00056460">
        <w:rPr>
          <w:color w:val="auto"/>
        </w:rPr>
        <w:t xml:space="preserve">-response relationship the effect of the antagonist </w:t>
      </w:r>
      <w:r w:rsidR="001717E4" w:rsidRPr="00056460">
        <w:rPr>
          <w:color w:val="auto"/>
        </w:rPr>
        <w:t xml:space="preserve">is expressed </w:t>
      </w:r>
      <w:r w:rsidR="00727A86" w:rsidRPr="00056460">
        <w:rPr>
          <w:color w:val="auto"/>
        </w:rPr>
        <w:t>as a rightward shift</w:t>
      </w:r>
      <w:r w:rsidR="00B2640A" w:rsidRPr="00056460">
        <w:rPr>
          <w:color w:val="auto"/>
        </w:rPr>
        <w:t xml:space="preserve"> of the curves, </w:t>
      </w:r>
      <w:r w:rsidR="001717E4" w:rsidRPr="00056460">
        <w:rPr>
          <w:color w:val="auto"/>
        </w:rPr>
        <w:t xml:space="preserve">which corresponds to </w:t>
      </w:r>
      <w:r w:rsidR="00B2640A" w:rsidRPr="00056460">
        <w:rPr>
          <w:color w:val="auto"/>
        </w:rPr>
        <w:t xml:space="preserve">an increase </w:t>
      </w:r>
      <w:r w:rsidR="001717E4" w:rsidRPr="00056460">
        <w:rPr>
          <w:color w:val="auto"/>
        </w:rPr>
        <w:t xml:space="preserve">in </w:t>
      </w:r>
      <w:r w:rsidR="00B2640A" w:rsidRPr="00056460">
        <w:rPr>
          <w:color w:val="auto"/>
        </w:rPr>
        <w:t>EC</w:t>
      </w:r>
      <w:r w:rsidR="00B2640A" w:rsidRPr="00056460">
        <w:rPr>
          <w:color w:val="auto"/>
          <w:vertAlign w:val="subscript"/>
        </w:rPr>
        <w:t>50</w:t>
      </w:r>
      <w:r w:rsidR="00B2640A" w:rsidRPr="00056460">
        <w:rPr>
          <w:color w:val="auto"/>
        </w:rPr>
        <w:t xml:space="preserve">, </w:t>
      </w:r>
      <w:r w:rsidR="001717E4" w:rsidRPr="00056460">
        <w:rPr>
          <w:color w:val="auto"/>
        </w:rPr>
        <w:t xml:space="preserve">provided </w:t>
      </w:r>
      <w:r w:rsidR="00B2640A" w:rsidRPr="00056460">
        <w:rPr>
          <w:color w:val="auto"/>
        </w:rPr>
        <w:t>the antagonist is a competitive ligand relative to the agonist</w:t>
      </w:r>
      <w:r w:rsidR="00B32D4C" w:rsidRPr="00056460">
        <w:rPr>
          <w:color w:val="auto"/>
        </w:rPr>
        <w:t xml:space="preserve"> </w:t>
      </w:r>
      <w:r w:rsidR="00B32D4C" w:rsidRPr="00FD2380">
        <w:rPr>
          <w:bCs/>
          <w:color w:val="auto"/>
        </w:rPr>
        <w:t>(</w:t>
      </w:r>
      <w:r w:rsidR="00B32D4C" w:rsidRPr="00056460">
        <w:rPr>
          <w:b/>
          <w:color w:val="auto"/>
        </w:rPr>
        <w:t>Fig</w:t>
      </w:r>
      <w:r w:rsidR="00FD2380">
        <w:rPr>
          <w:b/>
          <w:color w:val="auto"/>
        </w:rPr>
        <w:t>ure</w:t>
      </w:r>
      <w:r w:rsidR="00B32D4C" w:rsidRPr="00056460">
        <w:rPr>
          <w:b/>
          <w:color w:val="auto"/>
        </w:rPr>
        <w:t xml:space="preserve"> 5B</w:t>
      </w:r>
      <w:r w:rsidR="00B32D4C" w:rsidRPr="00FD2380">
        <w:rPr>
          <w:bCs/>
          <w:color w:val="auto"/>
        </w:rPr>
        <w:t>)</w:t>
      </w:r>
      <w:r w:rsidR="00B2640A" w:rsidRPr="00FD2380">
        <w:rPr>
          <w:bCs/>
          <w:color w:val="auto"/>
        </w:rPr>
        <w:t>.</w:t>
      </w:r>
      <w:r w:rsidR="000E0B78" w:rsidRPr="00056460">
        <w:rPr>
          <w:color w:val="auto"/>
        </w:rPr>
        <w:t xml:space="preserve"> The EC</w:t>
      </w:r>
      <w:r w:rsidR="000E0B78" w:rsidRPr="00056460">
        <w:rPr>
          <w:color w:val="auto"/>
          <w:vertAlign w:val="subscript"/>
        </w:rPr>
        <w:t>50</w:t>
      </w:r>
      <w:r w:rsidR="000E0B78" w:rsidRPr="00056460">
        <w:rPr>
          <w:color w:val="auto"/>
        </w:rPr>
        <w:t xml:space="preserve"> was determined to (0.92 </w:t>
      </w:r>
      <w:r w:rsidR="000E0B78" w:rsidRPr="00056460">
        <w:rPr>
          <w:color w:val="auto"/>
        </w:rPr>
        <w:sym w:font="Symbol" w:char="F0B1"/>
      </w:r>
      <w:r w:rsidR="000E0B78" w:rsidRPr="00056460">
        <w:rPr>
          <w:color w:val="auto"/>
        </w:rPr>
        <w:t xml:space="preserve"> 0.05) µM in absence of the antagonist and (14.7 </w:t>
      </w:r>
      <w:r w:rsidR="000E0B78" w:rsidRPr="00056460">
        <w:rPr>
          <w:color w:val="auto"/>
        </w:rPr>
        <w:sym w:font="Symbol" w:char="F0B1"/>
      </w:r>
      <w:r w:rsidR="000E0B78" w:rsidRPr="00056460">
        <w:rPr>
          <w:color w:val="auto"/>
        </w:rPr>
        <w:t xml:space="preserve"> 0.6) µM in its presence.</w:t>
      </w:r>
    </w:p>
    <w:p w14:paraId="7D9B507B" w14:textId="77777777" w:rsidR="00056460" w:rsidRPr="00056460" w:rsidRDefault="00056460" w:rsidP="00056460">
      <w:pPr>
        <w:pStyle w:val="a3"/>
        <w:spacing w:before="0" w:beforeAutospacing="0" w:after="0" w:afterAutospacing="0"/>
        <w:rPr>
          <w:color w:val="auto"/>
        </w:rPr>
      </w:pPr>
    </w:p>
    <w:p w14:paraId="1741232E" w14:textId="268A5FD3" w:rsidR="00056460" w:rsidRPr="00056460" w:rsidRDefault="00056460" w:rsidP="00056460">
      <w:pPr>
        <w:rPr>
          <w:bCs/>
          <w:color w:val="auto"/>
        </w:rPr>
      </w:pPr>
      <w:r w:rsidRPr="00056460">
        <w:rPr>
          <w:b/>
          <w:color w:val="auto"/>
        </w:rPr>
        <w:t>FIGURE AND TABLE LEGENDS:</w:t>
      </w:r>
    </w:p>
    <w:p w14:paraId="38EF49B8" w14:textId="77777777" w:rsidR="00056460" w:rsidRPr="00056460" w:rsidRDefault="00056460" w:rsidP="00056460">
      <w:pPr>
        <w:rPr>
          <w:color w:val="auto"/>
        </w:rPr>
      </w:pPr>
      <w:r w:rsidRPr="00056460">
        <w:rPr>
          <w:b/>
          <w:color w:val="auto"/>
        </w:rPr>
        <w:t>Figure 1: Serial agonist addition modes.</w:t>
      </w:r>
      <w:r w:rsidRPr="00056460">
        <w:rPr>
          <w:color w:val="auto"/>
        </w:rPr>
        <w:t xml:space="preserve"> (</w:t>
      </w:r>
      <w:r w:rsidRPr="00FD2380">
        <w:rPr>
          <w:b/>
          <w:bCs/>
          <w:color w:val="auto"/>
        </w:rPr>
        <w:t>A</w:t>
      </w:r>
      <w:r w:rsidRPr="00056460">
        <w:rPr>
          <w:color w:val="auto"/>
        </w:rPr>
        <w:t>) Schematic illustrating concentration calculations. By adding agonist solution of concentration c</w:t>
      </w:r>
      <w:r w:rsidRPr="00056460">
        <w:rPr>
          <w:color w:val="auto"/>
          <w:vertAlign w:val="subscript"/>
        </w:rPr>
        <w:t>y</w:t>
      </w:r>
      <w:r w:rsidRPr="00056460">
        <w:rPr>
          <w:color w:val="auto"/>
        </w:rPr>
        <w:t xml:space="preserve"> and volume V</w:t>
      </w:r>
      <w:r w:rsidRPr="00056460">
        <w:rPr>
          <w:color w:val="auto"/>
          <w:vertAlign w:val="subscript"/>
        </w:rPr>
        <w:t>y</w:t>
      </w:r>
      <w:r w:rsidRPr="00056460">
        <w:rPr>
          <w:color w:val="auto"/>
        </w:rPr>
        <w:t xml:space="preserve"> to a well with volume V</w:t>
      </w:r>
      <w:r w:rsidRPr="00056460">
        <w:rPr>
          <w:color w:val="auto"/>
          <w:vertAlign w:val="subscript"/>
        </w:rPr>
        <w:t>x</w:t>
      </w:r>
      <w:r w:rsidRPr="00056460">
        <w:rPr>
          <w:color w:val="auto"/>
        </w:rPr>
        <w:t xml:space="preserve"> and agonist concentration c</w:t>
      </w:r>
      <w:r w:rsidRPr="00056460">
        <w:rPr>
          <w:color w:val="auto"/>
          <w:vertAlign w:val="subscript"/>
        </w:rPr>
        <w:t>x</w:t>
      </w:r>
      <w:r w:rsidRPr="00056460">
        <w:rPr>
          <w:color w:val="auto"/>
        </w:rPr>
        <w:t>, the volume increases to V</w:t>
      </w:r>
      <w:r w:rsidRPr="00056460">
        <w:rPr>
          <w:color w:val="auto"/>
          <w:vertAlign w:val="subscript"/>
        </w:rPr>
        <w:t>x+y</w:t>
      </w:r>
      <w:r w:rsidRPr="00056460">
        <w:rPr>
          <w:color w:val="auto"/>
        </w:rPr>
        <w:t xml:space="preserve"> and the concentration increases to c</w:t>
      </w:r>
      <w:r w:rsidRPr="00056460">
        <w:rPr>
          <w:color w:val="auto"/>
          <w:vertAlign w:val="subscript"/>
        </w:rPr>
        <w:t>x+y</w:t>
      </w:r>
      <w:r w:rsidRPr="00056460">
        <w:rPr>
          <w:color w:val="auto"/>
        </w:rPr>
        <w:t>. (</w:t>
      </w:r>
      <w:r w:rsidRPr="00FD2380">
        <w:rPr>
          <w:b/>
          <w:bCs/>
          <w:color w:val="auto"/>
        </w:rPr>
        <w:t>B</w:t>
      </w:r>
      <w:r w:rsidRPr="00056460">
        <w:rPr>
          <w:color w:val="auto"/>
        </w:rPr>
        <w:t>) Two different modes for serial agonist addition. Mode 1: The total volume in the well V</w:t>
      </w:r>
      <w:r w:rsidRPr="00056460">
        <w:rPr>
          <w:color w:val="auto"/>
          <w:vertAlign w:val="subscript"/>
        </w:rPr>
        <w:t xml:space="preserve">x+y </w:t>
      </w:r>
      <w:r w:rsidRPr="00056460">
        <w:rPr>
          <w:color w:val="auto"/>
        </w:rPr>
        <w:t>increases with each addition. Mode 2: The volume added at each concentration step is removed again before the next dose is added, which keeps the total volume in the well constant.</w:t>
      </w:r>
    </w:p>
    <w:p w14:paraId="49EBF78B" w14:textId="77777777" w:rsidR="00056460" w:rsidRPr="00056460" w:rsidRDefault="00056460" w:rsidP="00056460">
      <w:pPr>
        <w:rPr>
          <w:color w:val="auto"/>
        </w:rPr>
      </w:pPr>
    </w:p>
    <w:p w14:paraId="7EB2DAF2" w14:textId="022D5518" w:rsidR="00056460" w:rsidRPr="00056460" w:rsidRDefault="00056460" w:rsidP="00056460">
      <w:pPr>
        <w:rPr>
          <w:color w:val="auto"/>
        </w:rPr>
      </w:pPr>
      <w:r w:rsidRPr="00056460">
        <w:rPr>
          <w:b/>
          <w:color w:val="auto"/>
        </w:rPr>
        <w:t>Figure 2: Results of a typical experiment in 8-well format.</w:t>
      </w:r>
      <w:r w:rsidRPr="00056460">
        <w:rPr>
          <w:color w:val="auto"/>
        </w:rPr>
        <w:t xml:space="preserve"> </w:t>
      </w:r>
      <w:r w:rsidRPr="00056460">
        <w:rPr>
          <w:b/>
          <w:color w:val="auto"/>
        </w:rPr>
        <w:t xml:space="preserve">(A) </w:t>
      </w:r>
      <w:r w:rsidRPr="00056460">
        <w:rPr>
          <w:color w:val="auto"/>
        </w:rPr>
        <w:t xml:space="preserve">Time course of impedance change at 12 kHz for confluent U-373 MG cell layers grown on circular working electrodes of 250 µm diameter. In seven of eight wells serial addition of histamine was applied. One well (grey curve) was sequentially loaded with histamine-free buffer at each step (mode 1), except for the last step when 100 µM histamine were added as a positive control. </w:t>
      </w:r>
      <w:r w:rsidRPr="00056460">
        <w:rPr>
          <w:b/>
          <w:color w:val="auto"/>
        </w:rPr>
        <w:t>(B)</w:t>
      </w:r>
      <w:r w:rsidRPr="00056460">
        <w:rPr>
          <w:color w:val="auto"/>
        </w:rPr>
        <w:t xml:space="preserve"> Dose-response relationships generated from the maximum impedance change relative to the baseline </w:t>
      </w:r>
      <w:r w:rsidR="00B838E9" w:rsidRPr="00056460">
        <w:rPr>
          <w:color w:val="auto"/>
        </w:rPr>
        <w:t xml:space="preserve">for seven individual wells </w:t>
      </w:r>
      <w:r w:rsidRPr="00056460">
        <w:rPr>
          <w:color w:val="auto"/>
        </w:rPr>
        <w:t xml:space="preserve">after each concentration </w:t>
      </w:r>
      <w:r w:rsidR="00B838E9">
        <w:rPr>
          <w:color w:val="auto"/>
        </w:rPr>
        <w:t>step</w:t>
      </w:r>
      <w:r w:rsidRPr="00056460">
        <w:rPr>
          <w:color w:val="auto"/>
        </w:rPr>
        <w:t xml:space="preserve">. </w:t>
      </w:r>
      <w:r w:rsidRPr="00056460">
        <w:rPr>
          <w:b/>
          <w:color w:val="auto"/>
        </w:rPr>
        <w:t>(C)</w:t>
      </w:r>
      <w:r w:rsidRPr="00056460">
        <w:rPr>
          <w:color w:val="auto"/>
        </w:rPr>
        <w:t xml:space="preserve"> Average time course of impedance change (mean ± SD) generated from seven individual wells as shown in (</w:t>
      </w:r>
      <w:r w:rsidRPr="00FD2380">
        <w:rPr>
          <w:b/>
          <w:bCs/>
          <w:color w:val="auto"/>
        </w:rPr>
        <w:t>A</w:t>
      </w:r>
      <w:r w:rsidRPr="00056460">
        <w:rPr>
          <w:color w:val="auto"/>
        </w:rPr>
        <w:t>). (</w:t>
      </w:r>
      <w:r w:rsidRPr="00FD2380">
        <w:rPr>
          <w:b/>
          <w:bCs/>
          <w:color w:val="auto"/>
        </w:rPr>
        <w:t>D</w:t>
      </w:r>
      <w:r w:rsidRPr="00056460">
        <w:rPr>
          <w:color w:val="auto"/>
        </w:rPr>
        <w:t>) Average dose-response relationships generated from individual data sets as shown in (</w:t>
      </w:r>
      <w:r w:rsidRPr="00FD2380">
        <w:rPr>
          <w:b/>
          <w:bCs/>
          <w:color w:val="auto"/>
        </w:rPr>
        <w:t>B</w:t>
      </w:r>
      <w:r w:rsidRPr="00056460">
        <w:rPr>
          <w:color w:val="auto"/>
        </w:rPr>
        <w:t>).</w:t>
      </w:r>
    </w:p>
    <w:p w14:paraId="2E86706C" w14:textId="77777777" w:rsidR="00056460" w:rsidRPr="00056460" w:rsidRDefault="00056460" w:rsidP="00056460">
      <w:pPr>
        <w:rPr>
          <w:color w:val="auto"/>
        </w:rPr>
      </w:pPr>
    </w:p>
    <w:p w14:paraId="7693B879" w14:textId="12DB32D8" w:rsidR="00056460" w:rsidRPr="00056460" w:rsidRDefault="00056460" w:rsidP="00056460">
      <w:pPr>
        <w:rPr>
          <w:color w:val="auto"/>
        </w:rPr>
      </w:pPr>
      <w:r w:rsidRPr="00056460">
        <w:rPr>
          <w:b/>
          <w:color w:val="auto"/>
        </w:rPr>
        <w:t>Figure 3: Adaptation of data analysis mode</w:t>
      </w:r>
      <w:r w:rsidRPr="00056460">
        <w:rPr>
          <w:color w:val="auto"/>
        </w:rPr>
        <w:t xml:space="preserve">s </w:t>
      </w:r>
      <w:r w:rsidRPr="00056460">
        <w:rPr>
          <w:b/>
          <w:color w:val="auto"/>
        </w:rPr>
        <w:t xml:space="preserve">(A) </w:t>
      </w:r>
      <w:r w:rsidRPr="00056460">
        <w:rPr>
          <w:color w:val="auto"/>
        </w:rPr>
        <w:t xml:space="preserve">Typical time course of impedance change at </w:t>
      </w:r>
      <w:r w:rsidRPr="00056460">
        <w:rPr>
          <w:color w:val="auto"/>
        </w:rPr>
        <w:br/>
        <w:t xml:space="preserve">12 kHz for a single confluent U-373 MG cell layer grown on circular working electrodes of 250 µm diameter. </w:t>
      </w:r>
      <w:r w:rsidRPr="00056460">
        <w:rPr>
          <w:b/>
          <w:color w:val="auto"/>
        </w:rPr>
        <w:t>(B)</w:t>
      </w:r>
      <w:r w:rsidRPr="00056460">
        <w:rPr>
          <w:color w:val="auto"/>
        </w:rPr>
        <w:t xml:space="preserve"> Experimental dose-response relationship (filled symbols) generated from the maximum impedance change relative to baseline after each concentration increase. Either the full data set was subjected to the fitting procedure (black and grey curve) or the last data point - indicating the onset of receptor desensitization and/or internalization - was omitted from quantitative analysis (red and magenta curve). All four parameters were adjusted during least square optimization (black and red curve) or the parameter A</w:t>
      </w:r>
      <w:r w:rsidR="00B838E9">
        <w:rPr>
          <w:color w:val="auto"/>
        </w:rPr>
        <w:t>2</w:t>
      </w:r>
      <w:r w:rsidRPr="00056460">
        <w:rPr>
          <w:color w:val="auto"/>
        </w:rPr>
        <w:t>, representing the lower asymptote, was set and fixed to zero (grey and magenta curve). EC</w:t>
      </w:r>
      <w:r w:rsidRPr="00056460">
        <w:rPr>
          <w:color w:val="auto"/>
          <w:vertAlign w:val="subscript"/>
        </w:rPr>
        <w:t>50</w:t>
      </w:r>
      <w:r w:rsidRPr="00056460">
        <w:rPr>
          <w:color w:val="auto"/>
        </w:rPr>
        <w:t xml:space="preserve"> values were not significantly different </w:t>
      </w:r>
      <w:r w:rsidR="00B838E9">
        <w:rPr>
          <w:color w:val="auto"/>
        </w:rPr>
        <w:t>for the two</w:t>
      </w:r>
      <w:r w:rsidRPr="00056460">
        <w:rPr>
          <w:color w:val="auto"/>
        </w:rPr>
        <w:t xml:space="preserve"> data analysis mode</w:t>
      </w:r>
      <w:r w:rsidR="00B838E9">
        <w:rPr>
          <w:color w:val="auto"/>
        </w:rPr>
        <w:t>s</w:t>
      </w:r>
      <w:r w:rsidRPr="00056460">
        <w:rPr>
          <w:color w:val="auto"/>
        </w:rPr>
        <w:t>.</w:t>
      </w:r>
    </w:p>
    <w:p w14:paraId="1C18E09C" w14:textId="77777777" w:rsidR="00056460" w:rsidRPr="00056460" w:rsidRDefault="00056460" w:rsidP="00056460">
      <w:pPr>
        <w:rPr>
          <w:color w:val="auto"/>
        </w:rPr>
      </w:pPr>
    </w:p>
    <w:p w14:paraId="016D94D2" w14:textId="77777777" w:rsidR="00056460" w:rsidRPr="00056460" w:rsidRDefault="00056460" w:rsidP="00056460">
      <w:pPr>
        <w:rPr>
          <w:color w:val="auto"/>
        </w:rPr>
      </w:pPr>
      <w:r w:rsidRPr="00056460">
        <w:rPr>
          <w:b/>
          <w:color w:val="auto"/>
        </w:rPr>
        <w:t>Figure 4: Typical experiment in 96-well format.</w:t>
      </w:r>
      <w:r w:rsidRPr="00056460">
        <w:rPr>
          <w:color w:val="auto"/>
        </w:rPr>
        <w:t xml:space="preserve"> </w:t>
      </w:r>
      <w:r w:rsidRPr="00056460">
        <w:rPr>
          <w:b/>
          <w:color w:val="auto"/>
        </w:rPr>
        <w:t xml:space="preserve">(A) </w:t>
      </w:r>
      <w:r w:rsidRPr="00056460">
        <w:rPr>
          <w:color w:val="auto"/>
        </w:rPr>
        <w:t xml:space="preserve">Time course of impedance change measured at 12 kHz for confluent U-373 MG cell layers grown on a 96-well electrode array. Data are shown for 32 wells. 24 wells were subjected to a series of increasing histamine concentrations added with an equilibration time of 15 min between each step. The curve highlighted in red was excluded from averaging. Eight wells (control) were treated with histamine-free buffer at each time point of addition. </w:t>
      </w:r>
      <w:r w:rsidRPr="00056460">
        <w:rPr>
          <w:b/>
          <w:color w:val="auto"/>
        </w:rPr>
        <w:t>(B)</w:t>
      </w:r>
      <w:r w:rsidRPr="00056460">
        <w:rPr>
          <w:color w:val="auto"/>
        </w:rPr>
        <w:t xml:space="preserve"> Time course of average impedance change for 23 individual wells in response to histamine serial addition and eight control wells as shown in </w:t>
      </w:r>
      <w:r w:rsidRPr="00207B58">
        <w:rPr>
          <w:b/>
          <w:bCs/>
          <w:color w:val="auto"/>
        </w:rPr>
        <w:t>(A)</w:t>
      </w:r>
      <w:r w:rsidRPr="00056460">
        <w:rPr>
          <w:color w:val="auto"/>
        </w:rPr>
        <w:t xml:space="preserve">. </w:t>
      </w:r>
      <w:r w:rsidRPr="00056460">
        <w:rPr>
          <w:b/>
          <w:color w:val="auto"/>
        </w:rPr>
        <w:t xml:space="preserve">(C) </w:t>
      </w:r>
      <w:r w:rsidRPr="00056460">
        <w:rPr>
          <w:color w:val="auto"/>
        </w:rPr>
        <w:t>Average</w:t>
      </w:r>
      <w:r w:rsidRPr="00056460">
        <w:rPr>
          <w:b/>
          <w:color w:val="auto"/>
        </w:rPr>
        <w:t xml:space="preserve"> </w:t>
      </w:r>
      <w:r w:rsidRPr="00056460">
        <w:rPr>
          <w:color w:val="auto"/>
        </w:rPr>
        <w:t xml:space="preserve">dose-response relationship generated from the maximum impedance change relative to the baseline after each concentration increase (mean ± SD). Data were fitted with a four parameter logistic function. </w:t>
      </w:r>
    </w:p>
    <w:p w14:paraId="79CB2509" w14:textId="4E45933A" w:rsidR="00056460" w:rsidRPr="00056460" w:rsidRDefault="00056460" w:rsidP="00056460">
      <w:pPr>
        <w:widowControl/>
        <w:autoSpaceDE/>
        <w:autoSpaceDN/>
        <w:adjustRightInd/>
        <w:jc w:val="left"/>
        <w:rPr>
          <w:b/>
          <w:color w:val="auto"/>
        </w:rPr>
      </w:pPr>
    </w:p>
    <w:p w14:paraId="0158D437" w14:textId="270E1DDC" w:rsidR="00056460" w:rsidRPr="00056460" w:rsidRDefault="00056460" w:rsidP="00056460">
      <w:pPr>
        <w:rPr>
          <w:color w:val="auto"/>
        </w:rPr>
      </w:pPr>
      <w:r w:rsidRPr="00056460">
        <w:rPr>
          <w:b/>
          <w:color w:val="auto"/>
        </w:rPr>
        <w:t>Figure 5: Typical experiment in antagonist mode.</w:t>
      </w:r>
      <w:r w:rsidRPr="00056460">
        <w:rPr>
          <w:color w:val="auto"/>
        </w:rPr>
        <w:t xml:space="preserve"> </w:t>
      </w:r>
      <w:r w:rsidRPr="00056460">
        <w:rPr>
          <w:b/>
          <w:color w:val="auto"/>
        </w:rPr>
        <w:t xml:space="preserve">(A) </w:t>
      </w:r>
      <w:r w:rsidRPr="00056460">
        <w:rPr>
          <w:color w:val="auto"/>
        </w:rPr>
        <w:t xml:space="preserve">Time course of impedance change at </w:t>
      </w:r>
      <w:r w:rsidRPr="00056460">
        <w:rPr>
          <w:color w:val="auto"/>
        </w:rPr>
        <w:br/>
        <w:t xml:space="preserve">12 kHz for confluent U-373 MG cell layers grown on circular working electrodes of 250 µm diameter upon addition of increasing concentrations of histamine with or without presence of histamine receptor antagonist diphenhydramine. Diphenhydramine (0.75 µM) or antagonist-free medium (L15) were added 20 min before the agonist serial dosing started. </w:t>
      </w:r>
      <w:r w:rsidRPr="00056460">
        <w:rPr>
          <w:b/>
          <w:color w:val="auto"/>
        </w:rPr>
        <w:t>(B)</w:t>
      </w:r>
      <w:r w:rsidRPr="00056460">
        <w:rPr>
          <w:color w:val="auto"/>
        </w:rPr>
        <w:t xml:space="preserve"> Dose-response relationships generated from the maximum impedance change relative to the baseline after each concentration increase from </w:t>
      </w:r>
      <w:r w:rsidR="00B838E9">
        <w:rPr>
          <w:color w:val="auto"/>
        </w:rPr>
        <w:t xml:space="preserve">data shown in </w:t>
      </w:r>
      <w:r w:rsidRPr="00056460">
        <w:rPr>
          <w:color w:val="auto"/>
        </w:rPr>
        <w:t>(A). Presence of 0.75 µM Diphenhydramine increased the EC</w:t>
      </w:r>
      <w:r w:rsidRPr="00056460">
        <w:rPr>
          <w:color w:val="auto"/>
          <w:vertAlign w:val="subscript"/>
        </w:rPr>
        <w:t>50</w:t>
      </w:r>
      <w:r w:rsidRPr="00056460">
        <w:rPr>
          <w:color w:val="auto"/>
        </w:rPr>
        <w:t xml:space="preserve"> from (0.92 </w:t>
      </w:r>
      <w:r w:rsidRPr="00056460">
        <w:rPr>
          <w:color w:val="auto"/>
        </w:rPr>
        <w:sym w:font="Symbol" w:char="F0B1"/>
      </w:r>
      <w:r w:rsidRPr="00056460">
        <w:rPr>
          <w:color w:val="auto"/>
        </w:rPr>
        <w:t xml:space="preserve"> 0.05) µM to (14.7 </w:t>
      </w:r>
      <w:r w:rsidRPr="00056460">
        <w:rPr>
          <w:color w:val="auto"/>
        </w:rPr>
        <w:sym w:font="Symbol" w:char="F0B1"/>
      </w:r>
      <w:r w:rsidRPr="00056460">
        <w:rPr>
          <w:color w:val="auto"/>
        </w:rPr>
        <w:t xml:space="preserve"> 0.6) µM. </w:t>
      </w:r>
    </w:p>
    <w:p w14:paraId="5F128089" w14:textId="77777777" w:rsidR="00056460" w:rsidRPr="00056460" w:rsidRDefault="00056460" w:rsidP="00056460">
      <w:pPr>
        <w:rPr>
          <w:color w:val="auto"/>
        </w:rPr>
      </w:pPr>
    </w:p>
    <w:p w14:paraId="63D9E7AD" w14:textId="77777777" w:rsidR="00056460" w:rsidRPr="00056460" w:rsidRDefault="00056460" w:rsidP="00056460">
      <w:pPr>
        <w:rPr>
          <w:color w:val="auto"/>
        </w:rPr>
      </w:pPr>
      <w:r w:rsidRPr="00056460">
        <w:rPr>
          <w:b/>
          <w:color w:val="auto"/>
        </w:rPr>
        <w:t>Table 1: Concentration calculation scheme for experiments using 8-well electrode arrays following addition mode 1.</w:t>
      </w:r>
    </w:p>
    <w:p w14:paraId="3999C4DE" w14:textId="77777777" w:rsidR="00056460" w:rsidRPr="00056460" w:rsidRDefault="00056460" w:rsidP="00056460">
      <w:pPr>
        <w:rPr>
          <w:color w:val="auto"/>
        </w:rPr>
      </w:pPr>
    </w:p>
    <w:p w14:paraId="5B225D80" w14:textId="77777777" w:rsidR="00056460" w:rsidRPr="00056460" w:rsidRDefault="00056460" w:rsidP="00056460">
      <w:pPr>
        <w:rPr>
          <w:color w:val="auto"/>
        </w:rPr>
      </w:pPr>
      <w:r w:rsidRPr="00056460">
        <w:rPr>
          <w:b/>
          <w:color w:val="auto"/>
        </w:rPr>
        <w:t>Table 2: Pipetting scheme for experiments using 8-well electrode arrays following addition mode 1.</w:t>
      </w:r>
      <w:r w:rsidRPr="00056460">
        <w:rPr>
          <w:color w:val="auto"/>
        </w:rPr>
        <w:t xml:space="preserve"> </w:t>
      </w:r>
    </w:p>
    <w:p w14:paraId="5069E412" w14:textId="77777777" w:rsidR="00056460" w:rsidRPr="00056460" w:rsidRDefault="00056460" w:rsidP="00056460">
      <w:pPr>
        <w:rPr>
          <w:color w:val="auto"/>
        </w:rPr>
      </w:pPr>
    </w:p>
    <w:p w14:paraId="095F67F3" w14:textId="77777777" w:rsidR="00056460" w:rsidRPr="00056460" w:rsidRDefault="00056460" w:rsidP="00056460">
      <w:pPr>
        <w:rPr>
          <w:color w:val="auto"/>
        </w:rPr>
      </w:pPr>
      <w:r w:rsidRPr="00056460">
        <w:rPr>
          <w:b/>
          <w:color w:val="auto"/>
        </w:rPr>
        <w:t>Table 3: Concentration calculation scheme for experiments using 8-well electrode arrays following addition mode 2.</w:t>
      </w:r>
    </w:p>
    <w:p w14:paraId="2C238DDA" w14:textId="77777777" w:rsidR="00056460" w:rsidRPr="00056460" w:rsidRDefault="00056460" w:rsidP="00056460">
      <w:pPr>
        <w:rPr>
          <w:color w:val="auto"/>
        </w:rPr>
      </w:pPr>
    </w:p>
    <w:p w14:paraId="6B059CFD" w14:textId="77777777" w:rsidR="00056460" w:rsidRPr="00056460" w:rsidRDefault="00056460" w:rsidP="00056460">
      <w:pPr>
        <w:rPr>
          <w:color w:val="auto"/>
        </w:rPr>
      </w:pPr>
      <w:r w:rsidRPr="00056460">
        <w:rPr>
          <w:b/>
          <w:color w:val="auto"/>
        </w:rPr>
        <w:t>Table 4: Pipetting scheme for experiments using 8-well electrode arrays following addition mode 2.</w:t>
      </w:r>
      <w:r w:rsidRPr="00056460">
        <w:rPr>
          <w:color w:val="auto"/>
        </w:rPr>
        <w:t xml:space="preserve"> </w:t>
      </w:r>
    </w:p>
    <w:p w14:paraId="516489F9" w14:textId="77777777" w:rsidR="00056460" w:rsidRPr="00056460" w:rsidRDefault="00056460" w:rsidP="00056460">
      <w:pPr>
        <w:rPr>
          <w:color w:val="auto"/>
        </w:rPr>
      </w:pPr>
    </w:p>
    <w:p w14:paraId="190DFD3C" w14:textId="01C4B907" w:rsidR="00056460" w:rsidRPr="00056460" w:rsidRDefault="00056460" w:rsidP="00056460">
      <w:pPr>
        <w:rPr>
          <w:color w:val="auto"/>
        </w:rPr>
      </w:pPr>
      <w:r w:rsidRPr="00056460">
        <w:rPr>
          <w:b/>
          <w:color w:val="auto"/>
        </w:rPr>
        <w:t xml:space="preserve">Table 5: Results obtained from four parameter logistic fits applied to typical dose-response data. </w:t>
      </w:r>
      <w:r w:rsidRPr="00056460">
        <w:rPr>
          <w:color w:val="auto"/>
        </w:rPr>
        <w:t xml:space="preserve"> The dose-response data used for analysis is presented in </w:t>
      </w:r>
      <w:r w:rsidRPr="00E4516D">
        <w:rPr>
          <w:b/>
          <w:bCs/>
          <w:color w:val="auto"/>
        </w:rPr>
        <w:t>Fig</w:t>
      </w:r>
      <w:r w:rsidR="00E4516D" w:rsidRPr="00E4516D">
        <w:rPr>
          <w:b/>
          <w:bCs/>
          <w:color w:val="auto"/>
        </w:rPr>
        <w:t>ure</w:t>
      </w:r>
      <w:r w:rsidRPr="00E4516D">
        <w:rPr>
          <w:b/>
          <w:bCs/>
          <w:color w:val="auto"/>
        </w:rPr>
        <w:t xml:space="preserve"> 2</w:t>
      </w:r>
      <w:r w:rsidRPr="00056460">
        <w:rPr>
          <w:color w:val="auto"/>
        </w:rPr>
        <w:t>. The full concentration range was applied to analysis for the individual wells one through seven (</w:t>
      </w:r>
      <w:r w:rsidRPr="00E4516D">
        <w:rPr>
          <w:b/>
          <w:bCs/>
          <w:color w:val="auto"/>
        </w:rPr>
        <w:t>Fig</w:t>
      </w:r>
      <w:r w:rsidR="00E4516D" w:rsidRPr="00E4516D">
        <w:rPr>
          <w:b/>
          <w:bCs/>
          <w:color w:val="auto"/>
        </w:rPr>
        <w:t>ure</w:t>
      </w:r>
      <w:r w:rsidRPr="00E4516D">
        <w:rPr>
          <w:b/>
          <w:bCs/>
          <w:color w:val="auto"/>
        </w:rPr>
        <w:t xml:space="preserve"> 2B</w:t>
      </w:r>
      <w:r w:rsidRPr="00056460">
        <w:rPr>
          <w:color w:val="auto"/>
        </w:rPr>
        <w:t>) and for the average data obtained from wells one to seven (</w:t>
      </w:r>
      <w:r w:rsidRPr="00E4516D">
        <w:rPr>
          <w:b/>
          <w:bCs/>
          <w:color w:val="auto"/>
        </w:rPr>
        <w:t>Fig</w:t>
      </w:r>
      <w:r w:rsidR="00E4516D" w:rsidRPr="00E4516D">
        <w:rPr>
          <w:b/>
          <w:bCs/>
          <w:color w:val="auto"/>
        </w:rPr>
        <w:t>ure</w:t>
      </w:r>
      <w:r w:rsidRPr="00E4516D">
        <w:rPr>
          <w:b/>
          <w:bCs/>
          <w:color w:val="auto"/>
        </w:rPr>
        <w:t xml:space="preserve"> 2D</w:t>
      </w:r>
      <w:r w:rsidRPr="00056460">
        <w:rPr>
          <w:color w:val="auto"/>
        </w:rPr>
        <w:t>). None of the parameters of the logistic function was fixed during least square optimization. Fit results were rounded to the decade of the error, except if the value was smaller than the error.</w:t>
      </w:r>
    </w:p>
    <w:p w14:paraId="70B39288" w14:textId="476BD44B" w:rsidR="001F395C" w:rsidRPr="00056460" w:rsidRDefault="001F395C" w:rsidP="00056460">
      <w:pPr>
        <w:widowControl/>
        <w:autoSpaceDE/>
        <w:autoSpaceDN/>
        <w:adjustRightInd/>
        <w:jc w:val="left"/>
        <w:rPr>
          <w:b/>
          <w:color w:val="auto"/>
        </w:rPr>
      </w:pPr>
    </w:p>
    <w:p w14:paraId="64B8CF78" w14:textId="2D7419D0" w:rsidR="006305D7" w:rsidRPr="00056460" w:rsidRDefault="006305D7" w:rsidP="00056460">
      <w:pPr>
        <w:rPr>
          <w:b/>
          <w:color w:val="auto"/>
        </w:rPr>
      </w:pPr>
      <w:r w:rsidRPr="00056460">
        <w:rPr>
          <w:b/>
          <w:color w:val="auto"/>
        </w:rPr>
        <w:t>DISCUSSION</w:t>
      </w:r>
      <w:r w:rsidRPr="00056460">
        <w:rPr>
          <w:b/>
          <w:bCs/>
          <w:color w:val="auto"/>
        </w:rPr>
        <w:t xml:space="preserve">: </w:t>
      </w:r>
    </w:p>
    <w:p w14:paraId="312A1913" w14:textId="35F5705F" w:rsidR="00B55CE8" w:rsidRPr="00056460" w:rsidRDefault="00414476" w:rsidP="00056460">
      <w:pPr>
        <w:rPr>
          <w:color w:val="auto"/>
        </w:rPr>
      </w:pPr>
      <w:r w:rsidRPr="00056460">
        <w:rPr>
          <w:color w:val="auto"/>
        </w:rPr>
        <w:t>T</w:t>
      </w:r>
      <w:r w:rsidR="00B55CE8" w:rsidRPr="00056460">
        <w:rPr>
          <w:color w:val="auto"/>
        </w:rPr>
        <w:t xml:space="preserve">his protocol </w:t>
      </w:r>
      <w:r w:rsidRPr="00056460">
        <w:rPr>
          <w:color w:val="auto"/>
        </w:rPr>
        <w:t>describes</w:t>
      </w:r>
      <w:r w:rsidR="00B55CE8" w:rsidRPr="00056460">
        <w:rPr>
          <w:color w:val="auto"/>
        </w:rPr>
        <w:t xml:space="preserve"> a method for label-free impedance measurements to determine the </w:t>
      </w:r>
      <w:r w:rsidRPr="00056460">
        <w:rPr>
          <w:color w:val="auto"/>
        </w:rPr>
        <w:t xml:space="preserve">dose-response </w:t>
      </w:r>
      <w:r w:rsidR="00B55CE8" w:rsidRPr="00056460">
        <w:rPr>
          <w:color w:val="auto"/>
        </w:rPr>
        <w:t>relationship of agonist-</w:t>
      </w:r>
      <w:r w:rsidRPr="00056460">
        <w:rPr>
          <w:color w:val="auto"/>
        </w:rPr>
        <w:t xml:space="preserve">induced </w:t>
      </w:r>
      <w:r w:rsidR="00B55CE8" w:rsidRPr="00056460">
        <w:rPr>
          <w:color w:val="auto"/>
        </w:rPr>
        <w:t>GPCR</w:t>
      </w:r>
      <w:r w:rsidRPr="00056460">
        <w:rPr>
          <w:color w:val="auto"/>
        </w:rPr>
        <w:t xml:space="preserve"> activation in absence or presence of specific antagonists for the same receptor</w:t>
      </w:r>
      <w:r w:rsidR="00B55CE8" w:rsidRPr="00056460">
        <w:rPr>
          <w:color w:val="auto"/>
        </w:rPr>
        <w:t xml:space="preserve">. </w:t>
      </w:r>
      <w:r w:rsidR="00B8605E" w:rsidRPr="00056460">
        <w:rPr>
          <w:color w:val="auto"/>
        </w:rPr>
        <w:t xml:space="preserve">The proof of concept of this method was presented in </w:t>
      </w:r>
      <w:r w:rsidRPr="00056460">
        <w:rPr>
          <w:color w:val="auto"/>
        </w:rPr>
        <w:t xml:space="preserve">a </w:t>
      </w:r>
      <w:r w:rsidR="00B8605E" w:rsidRPr="00056460">
        <w:rPr>
          <w:color w:val="auto"/>
        </w:rPr>
        <w:t>recent publication</w:t>
      </w:r>
      <w:hyperlink w:anchor="_ENREF_12" w:tooltip="Stolwijk, 2019 #46" w:history="1">
        <w:r w:rsidR="00564898" w:rsidRPr="00056460">
          <w:rPr>
            <w:color w:val="auto"/>
          </w:rPr>
          <w:fldChar w:fldCharType="begin"/>
        </w:r>
        <w:r w:rsidR="00564898" w:rsidRPr="00056460">
          <w:rPr>
            <w:color w:val="auto"/>
          </w:rPr>
          <w:instrText xml:space="preserve"> ADDIN EN.CITE &lt;EndNote&gt;&lt;Cite&gt;&lt;Author&gt;Stolwijk&lt;/Author&gt;&lt;Year&gt;2019&lt;/Year&gt;&lt;RecNum&gt;46&lt;/RecNum&gt;&lt;DisplayText&gt;&lt;style face="superscript"&gt;12&lt;/style&gt;&lt;/DisplayText&gt;&lt;record&gt;&lt;rec-number&gt;46&lt;/rec-number&gt;&lt;foreign-keys&gt;&lt;key app="EN" db-id="dw0r95stcvf9wme0p9v5t9xp5frpsx50e5pe" timestamp="1564670004"&gt;46&lt;/key&gt;&lt;/foreign-keys&gt;&lt;ref-type name="Journal Article"&gt;17&lt;/ref-type&gt;&lt;contributors&gt;&lt;authors&gt;&lt;author&gt;Stolwijk, J. A.&lt;/author&gt;&lt;author&gt;Skiba, M.&lt;/author&gt;&lt;author&gt;Kade, C.&lt;/author&gt;&lt;author&gt;Bernhardt, G.&lt;/author&gt;&lt;author&gt;Buschauer, A.&lt;/author&gt;&lt;author&gt;Huebner, H.&lt;/author&gt;&lt;author&gt;Gmeiner, P.&lt;/author&gt;&lt;author&gt;Wegener, J.&lt;/author&gt;&lt;/authors&gt;&lt;/contributors&gt;&lt;titles&gt;&lt;title&gt;Increasing the throughput of label-free cell assays to study the activation of G-protein-coupled receptors by using a serial agonist exposure protocol&lt;/title&gt;&lt;secondary-title&gt;Integrative Biology&lt;/secondary-title&gt;&lt;/titles&gt;&lt;periodical&gt;&lt;full-title&gt;Integrative Biology&lt;/full-title&gt;&lt;/periodical&gt;&lt;pages&gt;10&lt;/pages&gt;&lt;volume&gt;11&lt;/volume&gt;&lt;number&gt;3&lt;/number&gt;&lt;section&gt;99&lt;/section&gt;&lt;dates&gt;&lt;year&gt;2019&lt;/year&gt;&lt;/dates&gt;&lt;urls&gt;&lt;/urls&gt;&lt;/record&gt;&lt;/Cite&gt;&lt;/EndNote&gt;</w:instrText>
        </w:r>
        <w:r w:rsidR="00564898" w:rsidRPr="00056460">
          <w:rPr>
            <w:color w:val="auto"/>
          </w:rPr>
          <w:fldChar w:fldCharType="separate"/>
        </w:r>
        <w:r w:rsidR="00564898" w:rsidRPr="00056460">
          <w:rPr>
            <w:noProof/>
            <w:color w:val="auto"/>
            <w:vertAlign w:val="superscript"/>
          </w:rPr>
          <w:t>12</w:t>
        </w:r>
        <w:r w:rsidR="00564898" w:rsidRPr="00056460">
          <w:rPr>
            <w:color w:val="auto"/>
          </w:rPr>
          <w:fldChar w:fldCharType="end"/>
        </w:r>
      </w:hyperlink>
      <w:r w:rsidR="00B8605E" w:rsidRPr="00056460">
        <w:rPr>
          <w:color w:val="auto"/>
        </w:rPr>
        <w:t xml:space="preserve">. To our knowledge it is the first </w:t>
      </w:r>
      <w:r w:rsidRPr="00056460">
        <w:rPr>
          <w:color w:val="auto"/>
        </w:rPr>
        <w:t xml:space="preserve">study describing the establishment of </w:t>
      </w:r>
      <w:r w:rsidR="00B8605E" w:rsidRPr="00056460">
        <w:rPr>
          <w:color w:val="auto"/>
        </w:rPr>
        <w:t xml:space="preserve">a full </w:t>
      </w:r>
      <w:r w:rsidRPr="00056460">
        <w:rPr>
          <w:color w:val="auto"/>
        </w:rPr>
        <w:t>dose</w:t>
      </w:r>
      <w:r w:rsidR="00B8605E" w:rsidRPr="00056460">
        <w:rPr>
          <w:color w:val="auto"/>
        </w:rPr>
        <w:t>-response curve of agonist-mediated GPCR</w:t>
      </w:r>
      <w:r w:rsidR="00B778C4" w:rsidRPr="00056460">
        <w:rPr>
          <w:color w:val="auto"/>
        </w:rPr>
        <w:t xml:space="preserve"> activation</w:t>
      </w:r>
      <w:r w:rsidR="00B8605E" w:rsidRPr="00056460">
        <w:rPr>
          <w:color w:val="auto"/>
        </w:rPr>
        <w:t xml:space="preserve"> using a single cell </w:t>
      </w:r>
      <w:r w:rsidR="00B8605E" w:rsidRPr="00E4516D">
        <w:rPr>
          <w:color w:val="auto"/>
        </w:rPr>
        <w:t>layer in vitro</w:t>
      </w:r>
      <w:r w:rsidRPr="00E4516D">
        <w:rPr>
          <w:color w:val="auto"/>
        </w:rPr>
        <w:t>.</w:t>
      </w:r>
      <w:r w:rsidRPr="00056460">
        <w:rPr>
          <w:color w:val="auto"/>
        </w:rPr>
        <w:t xml:space="preserve"> The approach inevitably requires the use of label-free cell monitoring approaches and will not be applicable to endpoint assays</w:t>
      </w:r>
      <w:r w:rsidR="00B8605E" w:rsidRPr="00056460">
        <w:rPr>
          <w:color w:val="auto"/>
        </w:rPr>
        <w:t>.</w:t>
      </w:r>
    </w:p>
    <w:p w14:paraId="23E4CD9F" w14:textId="77777777" w:rsidR="00056460" w:rsidRPr="00056460" w:rsidRDefault="00056460" w:rsidP="00056460">
      <w:pPr>
        <w:rPr>
          <w:color w:val="auto"/>
        </w:rPr>
      </w:pPr>
    </w:p>
    <w:p w14:paraId="16BA27EA" w14:textId="4E401BB7" w:rsidR="00B01AFD" w:rsidRDefault="00414476" w:rsidP="00056460">
      <w:pPr>
        <w:rPr>
          <w:color w:val="auto"/>
        </w:rPr>
      </w:pPr>
      <w:r w:rsidRPr="00056460">
        <w:rPr>
          <w:color w:val="auto"/>
        </w:rPr>
        <w:t>T</w:t>
      </w:r>
      <w:r w:rsidR="00B55CE8" w:rsidRPr="00056460">
        <w:rPr>
          <w:color w:val="auto"/>
        </w:rPr>
        <w:t xml:space="preserve">he protocol </w:t>
      </w:r>
      <w:r w:rsidR="003E2FB8" w:rsidRPr="00056460">
        <w:rPr>
          <w:color w:val="auto"/>
        </w:rPr>
        <w:t>has been</w:t>
      </w:r>
      <w:r w:rsidR="00B55CE8" w:rsidRPr="00056460">
        <w:rPr>
          <w:color w:val="auto"/>
        </w:rPr>
        <w:t xml:space="preserve"> demonstrated </w:t>
      </w:r>
      <w:r w:rsidRPr="00056460">
        <w:rPr>
          <w:color w:val="auto"/>
        </w:rPr>
        <w:t xml:space="preserve">on the example of </w:t>
      </w:r>
      <w:r w:rsidR="00B55CE8" w:rsidRPr="00056460">
        <w:rPr>
          <w:color w:val="auto"/>
        </w:rPr>
        <w:t>U-373 MG cell</w:t>
      </w:r>
      <w:r w:rsidRPr="00056460">
        <w:rPr>
          <w:color w:val="auto"/>
        </w:rPr>
        <w:t>s</w:t>
      </w:r>
      <w:r w:rsidR="00B55CE8" w:rsidRPr="00056460">
        <w:rPr>
          <w:color w:val="auto"/>
        </w:rPr>
        <w:t xml:space="preserve">, which endogenously express the </w:t>
      </w:r>
      <w:r w:rsidRPr="00056460">
        <w:rPr>
          <w:color w:val="auto"/>
        </w:rPr>
        <w:t xml:space="preserve">human </w:t>
      </w:r>
      <w:r w:rsidR="00B55CE8" w:rsidRPr="00056460">
        <w:rPr>
          <w:color w:val="auto"/>
        </w:rPr>
        <w:t>histamine 1 receptor</w:t>
      </w:r>
      <w:r w:rsidR="00E24C8F" w:rsidRPr="00056460">
        <w:rPr>
          <w:color w:val="auto"/>
        </w:rPr>
        <w:t xml:space="preserve"> </w:t>
      </w:r>
      <w:r w:rsidRPr="00056460">
        <w:rPr>
          <w:color w:val="auto"/>
        </w:rPr>
        <w:t xml:space="preserve">(hHR1) that </w:t>
      </w:r>
      <w:r w:rsidR="00E24C8F" w:rsidRPr="00056460">
        <w:rPr>
          <w:color w:val="auto"/>
        </w:rPr>
        <w:t>is stimulated with a series of increasing concentrations</w:t>
      </w:r>
      <w:r w:rsidRPr="00056460">
        <w:rPr>
          <w:color w:val="auto"/>
        </w:rPr>
        <w:t xml:space="preserve"> of its endogenous agonist histamine while the impedance of the cells is continuously recorded</w:t>
      </w:r>
      <w:r w:rsidR="00B55CE8" w:rsidRPr="00056460">
        <w:rPr>
          <w:color w:val="auto"/>
        </w:rPr>
        <w:t>.</w:t>
      </w:r>
      <w:r w:rsidR="00E24C8F" w:rsidRPr="00056460">
        <w:rPr>
          <w:color w:val="auto"/>
        </w:rPr>
        <w:t xml:space="preserve"> </w:t>
      </w:r>
      <w:r w:rsidR="00B778C4" w:rsidRPr="00056460">
        <w:rPr>
          <w:color w:val="auto"/>
        </w:rPr>
        <w:t xml:space="preserve">To demonstrate the applicability of the protocol to </w:t>
      </w:r>
      <w:r w:rsidR="003E2FB8" w:rsidRPr="00056460">
        <w:rPr>
          <w:color w:val="auto"/>
        </w:rPr>
        <w:t>antagonist studies</w:t>
      </w:r>
      <w:r w:rsidR="00B778C4" w:rsidRPr="00056460">
        <w:rPr>
          <w:color w:val="auto"/>
        </w:rPr>
        <w:t xml:space="preserve">, </w:t>
      </w:r>
      <w:r w:rsidRPr="00056460">
        <w:rPr>
          <w:color w:val="auto"/>
        </w:rPr>
        <w:t xml:space="preserve">the experiments were repeated in presence of one constant concentration of </w:t>
      </w:r>
      <w:r w:rsidR="00E24C8F" w:rsidRPr="00056460">
        <w:rPr>
          <w:color w:val="auto"/>
        </w:rPr>
        <w:t>diphenhydramine</w:t>
      </w:r>
      <w:r w:rsidRPr="00056460">
        <w:rPr>
          <w:color w:val="auto"/>
        </w:rPr>
        <w:t>,</w:t>
      </w:r>
      <w:r w:rsidR="00B778C4" w:rsidRPr="00056460">
        <w:rPr>
          <w:color w:val="auto"/>
        </w:rPr>
        <w:t xml:space="preserve"> </w:t>
      </w:r>
      <w:r w:rsidRPr="00056460">
        <w:rPr>
          <w:color w:val="auto"/>
        </w:rPr>
        <w:t xml:space="preserve">a competitive antagonist to </w:t>
      </w:r>
      <w:r w:rsidR="00B778C4" w:rsidRPr="00056460">
        <w:rPr>
          <w:color w:val="auto"/>
        </w:rPr>
        <w:t xml:space="preserve">the </w:t>
      </w:r>
      <w:r w:rsidRPr="00056460">
        <w:rPr>
          <w:color w:val="auto"/>
        </w:rPr>
        <w:t>h</w:t>
      </w:r>
      <w:r w:rsidR="00B778C4" w:rsidRPr="00056460">
        <w:rPr>
          <w:color w:val="auto"/>
        </w:rPr>
        <w:t>H1R</w:t>
      </w:r>
      <w:r w:rsidR="00E24C8F" w:rsidRPr="00056460">
        <w:rPr>
          <w:color w:val="auto"/>
        </w:rPr>
        <w:t xml:space="preserve">. </w:t>
      </w:r>
      <w:r w:rsidR="00BF0281" w:rsidRPr="00056460">
        <w:rPr>
          <w:color w:val="auto"/>
        </w:rPr>
        <w:t>Impedance recordings have</w:t>
      </w:r>
      <w:r w:rsidR="001667E5" w:rsidRPr="00056460">
        <w:rPr>
          <w:color w:val="auto"/>
        </w:rPr>
        <w:t xml:space="preserve"> also been used successfully to study other H1R agonists (</w:t>
      </w:r>
      <w:r w:rsidR="00EA4C71" w:rsidRPr="00056460">
        <w:rPr>
          <w:color w:val="auto"/>
        </w:rPr>
        <w:t>e.g.</w:t>
      </w:r>
      <w:r w:rsidR="00E4516D">
        <w:rPr>
          <w:color w:val="auto"/>
        </w:rPr>
        <w:t>,</w:t>
      </w:r>
      <w:r w:rsidR="00EA4C71" w:rsidRPr="00056460">
        <w:rPr>
          <w:color w:val="auto"/>
        </w:rPr>
        <w:t xml:space="preserve"> UR-KUM530</w:t>
      </w:r>
      <w:hyperlink w:anchor="_ENREF_11" w:tooltip="Lieb, 2016 #34" w:history="1">
        <w:r w:rsidR="00564898" w:rsidRPr="00056460">
          <w:rPr>
            <w:color w:val="auto"/>
          </w:rPr>
          <w:fldChar w:fldCharType="begin">
            <w:fldData xml:space="preserve">PEVuZE5vdGU+PENpdGU+PEF1dGhvcj5MaWViPC9BdXRob3I+PFllYXI+MjAxNjwvWWVhcj48UmVj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</w:fldData>
          </w:fldChar>
        </w:r>
        <w:r w:rsidR="00564898" w:rsidRPr="00056460">
          <w:rPr>
            <w:color w:val="auto"/>
          </w:rPr>
          <w:instrText xml:space="preserve"> ADDIN EN.CITE </w:instrText>
        </w:r>
        <w:r w:rsidR="00564898" w:rsidRPr="00056460">
          <w:rPr>
            <w:color w:val="auto"/>
          </w:rPr>
          <w:fldChar w:fldCharType="begin">
            <w:fldData xml:space="preserve">PEVuZE5vdGU+PENpdGU+PEF1dGhvcj5MaWViPC9BdXRob3I+PFllYXI+MjAxNjwvWWVhcj48UmVj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</w:fldData>
          </w:fldChar>
        </w:r>
        <w:r w:rsidR="00564898" w:rsidRPr="00056460">
          <w:rPr>
            <w:color w:val="auto"/>
          </w:rPr>
          <w:instrText xml:space="preserve"> ADDIN EN.CITE.DATA </w:instrText>
        </w:r>
        <w:r w:rsidR="00564898" w:rsidRPr="00056460">
          <w:rPr>
            <w:color w:val="auto"/>
          </w:rPr>
        </w:r>
        <w:r w:rsidR="00564898" w:rsidRPr="00056460">
          <w:rPr>
            <w:color w:val="auto"/>
          </w:rPr>
          <w:fldChar w:fldCharType="end"/>
        </w:r>
        <w:r w:rsidR="00564898" w:rsidRPr="00056460">
          <w:rPr>
            <w:color w:val="auto"/>
          </w:rPr>
        </w:r>
        <w:r w:rsidR="00564898" w:rsidRPr="00056460">
          <w:rPr>
            <w:color w:val="auto"/>
          </w:rPr>
          <w:fldChar w:fldCharType="separate"/>
        </w:r>
        <w:r w:rsidR="00564898" w:rsidRPr="00056460">
          <w:rPr>
            <w:noProof/>
            <w:color w:val="auto"/>
            <w:vertAlign w:val="superscript"/>
          </w:rPr>
          <w:t>11</w:t>
        </w:r>
        <w:r w:rsidR="00564898" w:rsidRPr="00056460">
          <w:rPr>
            <w:color w:val="auto"/>
          </w:rPr>
          <w:fldChar w:fldCharType="end"/>
        </w:r>
      </w:hyperlink>
      <w:r w:rsidR="00EA4C71" w:rsidRPr="00056460">
        <w:rPr>
          <w:color w:val="auto"/>
        </w:rPr>
        <w:t xml:space="preserve">, </w:t>
      </w:r>
      <w:r w:rsidR="00BF0281" w:rsidRPr="00056460">
        <w:rPr>
          <w:color w:val="auto"/>
        </w:rPr>
        <w:t xml:space="preserve">individual and </w:t>
      </w:r>
      <w:r w:rsidR="00F72DC1" w:rsidRPr="00056460">
        <w:rPr>
          <w:color w:val="auto"/>
        </w:rPr>
        <w:t>stepwise dosing</w:t>
      </w:r>
      <w:r w:rsidR="001667E5" w:rsidRPr="00056460">
        <w:rPr>
          <w:color w:val="auto"/>
        </w:rPr>
        <w:t>) and antagonists</w:t>
      </w:r>
      <w:r w:rsidR="00EA4C71" w:rsidRPr="00056460">
        <w:rPr>
          <w:color w:val="auto"/>
        </w:rPr>
        <w:t xml:space="preserve"> (e.g.</w:t>
      </w:r>
      <w:r w:rsidR="00E4516D">
        <w:rPr>
          <w:color w:val="auto"/>
        </w:rPr>
        <w:t>,</w:t>
      </w:r>
      <w:r w:rsidR="00EA4C71" w:rsidRPr="00056460">
        <w:rPr>
          <w:color w:val="auto"/>
        </w:rPr>
        <w:t xml:space="preserve"> Mepyramine)</w:t>
      </w:r>
      <w:hyperlink w:anchor="_ENREF_12" w:tooltip="Stolwijk, 2019 #46" w:history="1">
        <w:r w:rsidR="00564898" w:rsidRPr="00056460">
          <w:rPr>
            <w:color w:val="auto"/>
          </w:rPr>
          <w:fldChar w:fldCharType="begin"/>
        </w:r>
        <w:r w:rsidR="00564898" w:rsidRPr="00056460">
          <w:rPr>
            <w:color w:val="auto"/>
          </w:rPr>
          <w:instrText xml:space="preserve"> ADDIN EN.CITE &lt;EndNote&gt;&lt;Cite&gt;&lt;Author&gt;Stolwijk&lt;/Author&gt;&lt;Year&gt;2019&lt;/Year&gt;&lt;RecNum&gt;46&lt;/RecNum&gt;&lt;DisplayText&gt;&lt;style face="superscript"&gt;12&lt;/style&gt;&lt;/DisplayText&gt;&lt;record&gt;&lt;rec-number&gt;46&lt;/rec-number&gt;&lt;foreign-keys&gt;&lt;key app="EN" db-id="dw0r95stcvf9wme0p9v5t9xp5frpsx50e5pe" timestamp="1564670004"&gt;46&lt;/key&gt;&lt;/foreign-keys&gt;&lt;ref-type name="Journal Article"&gt;17&lt;/ref-type&gt;&lt;contributors&gt;&lt;authors&gt;&lt;author&gt;Stolwijk, J. A.&lt;/author&gt;&lt;author&gt;Skiba, M.&lt;/author&gt;&lt;author&gt;Kade, C.&lt;/author&gt;&lt;author&gt;Bernhardt, G.&lt;/author&gt;&lt;author&gt;Buschauer, A.&lt;/author&gt;&lt;author&gt;Huebner, H.&lt;/author&gt;&lt;author&gt;Gmeiner, P.&lt;/author&gt;&lt;author&gt;Wegener, J.&lt;/author&gt;&lt;/authors&gt;&lt;/contributors&gt;&lt;titles&gt;&lt;title&gt;Increasing the throughput of label-free cell assays to study the activation of G-protein-coupled receptors by using a serial agonist exposure protocol&lt;/title&gt;&lt;secondary-title&gt;Integrative Biology&lt;/secondary-title&gt;&lt;/titles&gt;&lt;periodical&gt;&lt;full-title&gt;Integrative Biology&lt;/full-title&gt;&lt;/periodical&gt;&lt;pages&gt;10&lt;/pages&gt;&lt;volume&gt;11&lt;/volume&gt;&lt;number&gt;3&lt;/number&gt;&lt;section&gt;99&lt;/section&gt;&lt;dates&gt;&lt;year&gt;2019&lt;/year&gt;&lt;/dates&gt;&lt;urls&gt;&lt;/urls&gt;&lt;/record&gt;&lt;/Cite&gt;&lt;/EndNote&gt;</w:instrText>
        </w:r>
        <w:r w:rsidR="00564898" w:rsidRPr="00056460">
          <w:rPr>
            <w:color w:val="auto"/>
          </w:rPr>
          <w:fldChar w:fldCharType="separate"/>
        </w:r>
        <w:r w:rsidR="00564898" w:rsidRPr="00056460">
          <w:rPr>
            <w:noProof/>
            <w:color w:val="auto"/>
            <w:vertAlign w:val="superscript"/>
          </w:rPr>
          <w:t>12</w:t>
        </w:r>
        <w:r w:rsidR="00564898" w:rsidRPr="00056460">
          <w:rPr>
            <w:color w:val="auto"/>
          </w:rPr>
          <w:fldChar w:fldCharType="end"/>
        </w:r>
      </w:hyperlink>
      <w:r w:rsidR="001667E5" w:rsidRPr="00056460">
        <w:rPr>
          <w:color w:val="auto"/>
        </w:rPr>
        <w:t xml:space="preserve"> in addition to the examples shown</w:t>
      </w:r>
      <w:r w:rsidR="00BF0281" w:rsidRPr="00056460">
        <w:rPr>
          <w:color w:val="auto"/>
        </w:rPr>
        <w:t xml:space="preserve"> here</w:t>
      </w:r>
      <w:r w:rsidR="001667E5" w:rsidRPr="00056460">
        <w:rPr>
          <w:color w:val="auto"/>
        </w:rPr>
        <w:t>. Moreover, t</w:t>
      </w:r>
      <w:r w:rsidR="00B55CE8" w:rsidRPr="00056460">
        <w:rPr>
          <w:color w:val="auto"/>
        </w:rPr>
        <w:t xml:space="preserve">he protocol </w:t>
      </w:r>
      <w:r w:rsidRPr="00056460">
        <w:rPr>
          <w:color w:val="auto"/>
        </w:rPr>
        <w:t xml:space="preserve">has been applied to </w:t>
      </w:r>
      <w:r w:rsidR="00B55CE8" w:rsidRPr="00056460">
        <w:rPr>
          <w:color w:val="auto"/>
        </w:rPr>
        <w:t xml:space="preserve">other cell lines and receptors as well, e.g. CHO-D2R </w:t>
      </w:r>
      <w:r w:rsidR="00610DBD" w:rsidRPr="00056460">
        <w:rPr>
          <w:color w:val="auto"/>
        </w:rPr>
        <w:t xml:space="preserve">expressing the </w:t>
      </w:r>
      <w:r w:rsidR="00B55CE8" w:rsidRPr="00056460">
        <w:rPr>
          <w:color w:val="auto"/>
        </w:rPr>
        <w:t>dopamine</w:t>
      </w:r>
      <w:r w:rsidR="00BF0281" w:rsidRPr="00056460">
        <w:rPr>
          <w:color w:val="auto"/>
        </w:rPr>
        <w:t xml:space="preserve"> D2 receptor</w:t>
      </w:r>
      <w:r w:rsidR="00E24C8F" w:rsidRPr="00056460">
        <w:rPr>
          <w:color w:val="auto"/>
        </w:rPr>
        <w:t xml:space="preserve"> </w:t>
      </w:r>
      <w:r w:rsidR="00610DBD" w:rsidRPr="00056460">
        <w:rPr>
          <w:color w:val="auto"/>
        </w:rPr>
        <w:t>(D2R) or</w:t>
      </w:r>
      <w:r w:rsidR="00E24C8F" w:rsidRPr="00056460">
        <w:rPr>
          <w:color w:val="auto"/>
        </w:rPr>
        <w:t xml:space="preserve"> </w:t>
      </w:r>
      <w:r w:rsidR="00B55CE8" w:rsidRPr="00056460">
        <w:rPr>
          <w:color w:val="auto"/>
        </w:rPr>
        <w:t xml:space="preserve">BAEC </w:t>
      </w:r>
      <w:r w:rsidR="00610DBD" w:rsidRPr="00056460">
        <w:rPr>
          <w:color w:val="auto"/>
        </w:rPr>
        <w:t xml:space="preserve">expressing the </w:t>
      </w:r>
      <w:r w:rsidR="00BF0281" w:rsidRPr="00056460">
        <w:rPr>
          <w:color w:val="auto"/>
        </w:rPr>
        <w:t>ß</w:t>
      </w:r>
      <w:r w:rsidR="00BF0281" w:rsidRPr="00056460">
        <w:rPr>
          <w:color w:val="auto"/>
          <w:vertAlign w:val="subscript"/>
        </w:rPr>
        <w:t>2</w:t>
      </w:r>
      <w:r w:rsidR="00BF0281" w:rsidRPr="00056460">
        <w:rPr>
          <w:color w:val="auto"/>
        </w:rPr>
        <w:t>-adrenergic receptor</w:t>
      </w:r>
      <w:r w:rsidR="00610DBD" w:rsidRPr="00056460">
        <w:rPr>
          <w:color w:val="auto"/>
        </w:rPr>
        <w:t xml:space="preserve"> (ß</w:t>
      </w:r>
      <w:r w:rsidR="00610DBD" w:rsidRPr="00056460">
        <w:rPr>
          <w:color w:val="auto"/>
          <w:vertAlign w:val="subscript"/>
        </w:rPr>
        <w:t>2</w:t>
      </w:r>
      <w:r w:rsidR="00610DBD" w:rsidRPr="00056460">
        <w:rPr>
          <w:color w:val="auto"/>
        </w:rPr>
        <w:t>AR)</w:t>
      </w:r>
      <w:hyperlink w:anchor="_ENREF_12" w:tooltip="Stolwijk, 2019 #46" w:history="1">
        <w:r w:rsidR="00564898" w:rsidRPr="00056460">
          <w:rPr>
            <w:color w:val="auto"/>
          </w:rPr>
          <w:fldChar w:fldCharType="begin"/>
        </w:r>
        <w:r w:rsidR="00564898" w:rsidRPr="00056460">
          <w:rPr>
            <w:color w:val="auto"/>
          </w:rPr>
          <w:instrText xml:space="preserve"> ADDIN EN.CITE &lt;EndNote&gt;&lt;Cite&gt;&lt;Author&gt;Stolwijk&lt;/Author&gt;&lt;Year&gt;2019&lt;/Year&gt;&lt;RecNum&gt;46&lt;/RecNum&gt;&lt;DisplayText&gt;&lt;style face="superscript"&gt;12&lt;/style&gt;&lt;/DisplayText&gt;&lt;record&gt;&lt;rec-number&gt;46&lt;/rec-number&gt;&lt;foreign-keys&gt;&lt;key app="EN" db-id="dw0r95stcvf9wme0p9v5t9xp5frpsx50e5pe" timestamp="1564670004"&gt;46&lt;/key&gt;&lt;/foreign-keys&gt;&lt;ref-type name="Journal Article"&gt;17&lt;/ref-type&gt;&lt;contributors&gt;&lt;authors&gt;&lt;author&gt;Stolwijk, J. A.&lt;/author&gt;&lt;author&gt;Skiba, M.&lt;/author&gt;&lt;author&gt;Kade, C.&lt;/author&gt;&lt;author&gt;Bernhardt, G.&lt;/author&gt;&lt;author&gt;Buschauer, A.&lt;/author&gt;&lt;author&gt;Huebner, H.&lt;/author&gt;&lt;author&gt;Gmeiner, P.&lt;/author&gt;&lt;author&gt;Wegener, J.&lt;/author&gt;&lt;/authors&gt;&lt;/contributors&gt;&lt;titles&gt;&lt;title&gt;Increasing the throughput of label-free cell assays to study the activation of G-protein-coupled receptors by using a serial agonist exposure protocol&lt;/title&gt;&lt;secondary-title&gt;Integrative Biology&lt;/secondary-title&gt;&lt;/titles&gt;&lt;periodical&gt;&lt;full-title&gt;Integrative Biology&lt;/full-title&gt;&lt;/periodical&gt;&lt;pages&gt;10&lt;/pages&gt;&lt;volume&gt;11&lt;/volume&gt;&lt;number&gt;3&lt;/number&gt;&lt;section&gt;99&lt;/section&gt;&lt;dates&gt;&lt;year&gt;2019&lt;/year&gt;&lt;/dates&gt;&lt;urls&gt;&lt;/urls&gt;&lt;/record&gt;&lt;/Cite&gt;&lt;/EndNote&gt;</w:instrText>
        </w:r>
        <w:r w:rsidR="00564898" w:rsidRPr="00056460">
          <w:rPr>
            <w:color w:val="auto"/>
          </w:rPr>
          <w:fldChar w:fldCharType="separate"/>
        </w:r>
        <w:r w:rsidR="00564898" w:rsidRPr="00056460">
          <w:rPr>
            <w:noProof/>
            <w:color w:val="auto"/>
            <w:vertAlign w:val="superscript"/>
          </w:rPr>
          <w:t>12</w:t>
        </w:r>
        <w:r w:rsidR="00564898" w:rsidRPr="00056460">
          <w:rPr>
            <w:color w:val="auto"/>
          </w:rPr>
          <w:fldChar w:fldCharType="end"/>
        </w:r>
      </w:hyperlink>
      <w:r w:rsidRPr="00056460">
        <w:rPr>
          <w:color w:val="auto"/>
        </w:rPr>
        <w:t xml:space="preserve"> indicating that it presents a general scheme for very efficient generation of dose-response data</w:t>
      </w:r>
      <w:r w:rsidR="00B55CE8" w:rsidRPr="00056460">
        <w:rPr>
          <w:color w:val="auto"/>
        </w:rPr>
        <w:t>.</w:t>
      </w:r>
      <w:r w:rsidR="001667E5" w:rsidRPr="00056460">
        <w:rPr>
          <w:color w:val="auto"/>
        </w:rPr>
        <w:t xml:space="preserve"> </w:t>
      </w:r>
      <w:r w:rsidR="00EA4C71" w:rsidRPr="00056460">
        <w:rPr>
          <w:color w:val="auto"/>
        </w:rPr>
        <w:t>While U373-MG and BAEC cells express the respective receptors H1R and</w:t>
      </w:r>
      <w:r w:rsidR="00BF0281" w:rsidRPr="00056460">
        <w:rPr>
          <w:color w:val="auto"/>
        </w:rPr>
        <w:t xml:space="preserve"> ß</w:t>
      </w:r>
      <w:r w:rsidR="00BF0281" w:rsidRPr="00056460">
        <w:rPr>
          <w:color w:val="auto"/>
          <w:vertAlign w:val="subscript"/>
        </w:rPr>
        <w:t>2</w:t>
      </w:r>
      <w:r w:rsidR="00BF0281" w:rsidRPr="00056460">
        <w:rPr>
          <w:color w:val="auto"/>
        </w:rPr>
        <w:t>AR</w:t>
      </w:r>
      <w:r w:rsidR="00EA4C71" w:rsidRPr="00056460">
        <w:rPr>
          <w:color w:val="auto"/>
        </w:rPr>
        <w:t xml:space="preserve"> at endogenous levels, the CHO-D2R is an example for a recombinant cell model. </w:t>
      </w:r>
      <w:r w:rsidR="00AF0401" w:rsidRPr="00056460">
        <w:rPr>
          <w:color w:val="auto"/>
        </w:rPr>
        <w:t xml:space="preserve">Taken together, the serial protocol is </w:t>
      </w:r>
      <w:r w:rsidR="00633E11" w:rsidRPr="00056460">
        <w:rPr>
          <w:color w:val="auto"/>
        </w:rPr>
        <w:t xml:space="preserve">in general </w:t>
      </w:r>
      <w:r w:rsidR="00AF0401" w:rsidRPr="00056460">
        <w:rPr>
          <w:color w:val="auto"/>
        </w:rPr>
        <w:t xml:space="preserve">applicable </w:t>
      </w:r>
      <w:r w:rsidR="00633E11" w:rsidRPr="00056460">
        <w:rPr>
          <w:color w:val="auto"/>
        </w:rPr>
        <w:t xml:space="preserve">to cell types with </w:t>
      </w:r>
      <w:r w:rsidR="00AF0401" w:rsidRPr="00056460">
        <w:rPr>
          <w:color w:val="auto"/>
        </w:rPr>
        <w:t xml:space="preserve">endogenous </w:t>
      </w:r>
      <w:r w:rsidR="00633E11" w:rsidRPr="00056460">
        <w:rPr>
          <w:color w:val="auto"/>
        </w:rPr>
        <w:t xml:space="preserve">or </w:t>
      </w:r>
      <w:r w:rsidR="00BF0281" w:rsidRPr="00056460">
        <w:rPr>
          <w:color w:val="auto"/>
        </w:rPr>
        <w:t xml:space="preserve">ectopic </w:t>
      </w:r>
      <w:r w:rsidR="00AF0401" w:rsidRPr="00056460">
        <w:rPr>
          <w:color w:val="auto"/>
        </w:rPr>
        <w:t>GPCR</w:t>
      </w:r>
      <w:r w:rsidR="00633E11" w:rsidRPr="00056460">
        <w:rPr>
          <w:color w:val="auto"/>
        </w:rPr>
        <w:t xml:space="preserve"> expression</w:t>
      </w:r>
      <w:r w:rsidR="00AF0401" w:rsidRPr="00056460">
        <w:rPr>
          <w:color w:val="auto"/>
        </w:rPr>
        <w:t xml:space="preserve">, </w:t>
      </w:r>
      <w:r w:rsidR="00633E11" w:rsidRPr="00056460">
        <w:rPr>
          <w:color w:val="auto"/>
        </w:rPr>
        <w:t xml:space="preserve">GPCRs with different coupling types </w:t>
      </w:r>
      <w:proofErr w:type="spellStart"/>
      <w:r w:rsidR="00633E11" w:rsidRPr="00056460">
        <w:rPr>
          <w:color w:val="auto"/>
        </w:rPr>
        <w:t>G</w:t>
      </w:r>
      <w:r w:rsidR="00633E11" w:rsidRPr="000F17FA">
        <w:rPr>
          <w:color w:val="auto"/>
          <w:vertAlign w:val="subscript"/>
        </w:rPr>
        <w:t>q</w:t>
      </w:r>
      <w:proofErr w:type="spellEnd"/>
      <w:r w:rsidR="00633E11" w:rsidRPr="00056460">
        <w:rPr>
          <w:color w:val="auto"/>
        </w:rPr>
        <w:t xml:space="preserve"> (e.g.</w:t>
      </w:r>
      <w:r w:rsidR="00995D6F">
        <w:rPr>
          <w:color w:val="auto"/>
        </w:rPr>
        <w:t>,</w:t>
      </w:r>
      <w:r w:rsidR="00633E11" w:rsidRPr="00056460">
        <w:rPr>
          <w:color w:val="auto"/>
        </w:rPr>
        <w:t xml:space="preserve"> H1R), G</w:t>
      </w:r>
      <w:r w:rsidR="00633E11" w:rsidRPr="000F17FA">
        <w:rPr>
          <w:color w:val="auto"/>
          <w:vertAlign w:val="subscript"/>
        </w:rPr>
        <w:t>s</w:t>
      </w:r>
      <w:r w:rsidR="00633E11" w:rsidRPr="00056460">
        <w:rPr>
          <w:color w:val="auto"/>
        </w:rPr>
        <w:t xml:space="preserve"> (e.g.</w:t>
      </w:r>
      <w:r w:rsidR="00995D6F">
        <w:rPr>
          <w:color w:val="auto"/>
        </w:rPr>
        <w:t>,</w:t>
      </w:r>
      <w:r w:rsidR="00633E11" w:rsidRPr="00056460">
        <w:rPr>
          <w:color w:val="auto"/>
        </w:rPr>
        <w:t xml:space="preserve"> ß</w:t>
      </w:r>
      <w:r w:rsidR="00633E11" w:rsidRPr="00056460">
        <w:rPr>
          <w:color w:val="auto"/>
          <w:vertAlign w:val="subscript"/>
        </w:rPr>
        <w:t>2</w:t>
      </w:r>
      <w:r w:rsidR="00633E11" w:rsidRPr="00056460">
        <w:rPr>
          <w:color w:val="auto"/>
        </w:rPr>
        <w:t>AR), G</w:t>
      </w:r>
      <w:r w:rsidR="00633E11" w:rsidRPr="000F17FA">
        <w:rPr>
          <w:color w:val="auto"/>
          <w:vertAlign w:val="subscript"/>
        </w:rPr>
        <w:t>i</w:t>
      </w:r>
      <w:r w:rsidR="00633E11" w:rsidRPr="00056460">
        <w:rPr>
          <w:color w:val="auto"/>
        </w:rPr>
        <w:t xml:space="preserve"> (e.g.</w:t>
      </w:r>
      <w:r w:rsidR="00995D6F">
        <w:rPr>
          <w:color w:val="auto"/>
        </w:rPr>
        <w:t>,</w:t>
      </w:r>
      <w:r w:rsidR="00633E11" w:rsidRPr="00056460">
        <w:rPr>
          <w:color w:val="auto"/>
        </w:rPr>
        <w:t xml:space="preserve"> D2R) as well as different ligand types (agonist/antagonist). </w:t>
      </w:r>
      <w:r w:rsidR="00370D11" w:rsidRPr="00056460">
        <w:rPr>
          <w:color w:val="auto"/>
        </w:rPr>
        <w:t xml:space="preserve">In </w:t>
      </w:r>
      <w:r w:rsidR="001667E5" w:rsidRPr="00056460">
        <w:rPr>
          <w:color w:val="auto"/>
        </w:rPr>
        <w:t xml:space="preserve">all </w:t>
      </w:r>
      <w:r w:rsidR="00610DBD" w:rsidRPr="00056460">
        <w:rPr>
          <w:color w:val="auto"/>
        </w:rPr>
        <w:t>those cell/receptor types</w:t>
      </w:r>
      <w:r w:rsidR="00370D11" w:rsidRPr="00056460">
        <w:rPr>
          <w:color w:val="auto"/>
        </w:rPr>
        <w:t xml:space="preserve"> </w:t>
      </w:r>
      <w:r w:rsidR="00610DBD" w:rsidRPr="00056460">
        <w:rPr>
          <w:color w:val="auto"/>
        </w:rPr>
        <w:t xml:space="preserve">mentioned above, </w:t>
      </w:r>
      <w:r w:rsidR="00370D11" w:rsidRPr="00056460">
        <w:rPr>
          <w:color w:val="auto"/>
        </w:rPr>
        <w:t xml:space="preserve">the impedance increases with increasing agonist concentration. However, some cells respond to GPCR activation </w:t>
      </w:r>
      <w:r w:rsidR="00610DBD" w:rsidRPr="00056460">
        <w:rPr>
          <w:color w:val="auto"/>
        </w:rPr>
        <w:t xml:space="preserve">by </w:t>
      </w:r>
      <w:r w:rsidR="00370D11" w:rsidRPr="00056460">
        <w:rPr>
          <w:color w:val="auto"/>
        </w:rPr>
        <w:t>an impedance decrease. We tested the protocol for one such case (</w:t>
      </w:r>
      <w:proofErr w:type="spellStart"/>
      <w:r w:rsidR="00370D11" w:rsidRPr="00056460">
        <w:rPr>
          <w:color w:val="auto"/>
        </w:rPr>
        <w:t>HaCaT</w:t>
      </w:r>
      <w:proofErr w:type="spellEnd"/>
      <w:r w:rsidR="00370D11" w:rsidRPr="00056460">
        <w:rPr>
          <w:color w:val="auto"/>
        </w:rPr>
        <w:t>/histamine) and found also a concentration-dependent stepw</w:t>
      </w:r>
      <w:r w:rsidR="00012024" w:rsidRPr="00056460">
        <w:rPr>
          <w:color w:val="auto"/>
        </w:rPr>
        <w:t xml:space="preserve">ise decrease, </w:t>
      </w:r>
      <w:r w:rsidR="001667E5" w:rsidRPr="00056460">
        <w:rPr>
          <w:color w:val="auto"/>
        </w:rPr>
        <w:t xml:space="preserve">supporting the notion of a generally applicable approach that is also compatible with inverse </w:t>
      </w:r>
      <w:r w:rsidR="00012024" w:rsidRPr="00056460">
        <w:rPr>
          <w:color w:val="auto"/>
        </w:rPr>
        <w:t xml:space="preserve">impedance </w:t>
      </w:r>
      <w:r w:rsidR="001667E5" w:rsidRPr="00056460">
        <w:rPr>
          <w:color w:val="auto"/>
        </w:rPr>
        <w:t>changes</w:t>
      </w:r>
      <w:r w:rsidR="00012024" w:rsidRPr="00056460">
        <w:rPr>
          <w:color w:val="auto"/>
        </w:rPr>
        <w:t>.</w:t>
      </w:r>
      <w:r w:rsidR="00610DBD" w:rsidRPr="00056460">
        <w:rPr>
          <w:color w:val="auto"/>
        </w:rPr>
        <w:t xml:space="preserve"> It has been proposed that the detailed time course of impedance data indicates the type of G-protein coupling of a given receptor.</w:t>
      </w:r>
      <w:r w:rsidR="00B778C4" w:rsidRPr="00056460">
        <w:rPr>
          <w:color w:val="auto"/>
        </w:rPr>
        <w:t xml:space="preserve"> </w:t>
      </w:r>
      <w:r w:rsidR="00C4724E" w:rsidRPr="00056460">
        <w:rPr>
          <w:color w:val="auto"/>
        </w:rPr>
        <w:t xml:space="preserve">Even though the concept is attractive, the pool of </w:t>
      </w:r>
      <w:r w:rsidR="00610DBD" w:rsidRPr="00056460">
        <w:rPr>
          <w:color w:val="auto"/>
        </w:rPr>
        <w:t xml:space="preserve">our data </w:t>
      </w:r>
      <w:r w:rsidR="00C4724E" w:rsidRPr="00056460">
        <w:rPr>
          <w:color w:val="auto"/>
        </w:rPr>
        <w:t xml:space="preserve">does not support </w:t>
      </w:r>
      <w:r w:rsidR="00610DBD" w:rsidRPr="00056460">
        <w:rPr>
          <w:color w:val="auto"/>
        </w:rPr>
        <w:t xml:space="preserve">a generally applicable rule that correlates </w:t>
      </w:r>
      <w:r w:rsidR="00C4724E" w:rsidRPr="00056460">
        <w:rPr>
          <w:color w:val="auto"/>
        </w:rPr>
        <w:t xml:space="preserve">the impedance time profile </w:t>
      </w:r>
      <w:r w:rsidR="00610DBD" w:rsidRPr="00056460">
        <w:rPr>
          <w:color w:val="auto"/>
        </w:rPr>
        <w:t xml:space="preserve">to </w:t>
      </w:r>
      <w:r w:rsidR="00C4724E" w:rsidRPr="00056460">
        <w:rPr>
          <w:color w:val="auto"/>
        </w:rPr>
        <w:t xml:space="preserve">G-protein </w:t>
      </w:r>
      <w:r w:rsidR="00610DBD" w:rsidRPr="00056460">
        <w:rPr>
          <w:color w:val="auto"/>
        </w:rPr>
        <w:t xml:space="preserve">coupling of </w:t>
      </w:r>
      <w:r w:rsidR="00C4724E" w:rsidRPr="00056460">
        <w:rPr>
          <w:color w:val="auto"/>
        </w:rPr>
        <w:t xml:space="preserve">a given </w:t>
      </w:r>
      <w:r w:rsidR="00610DBD" w:rsidRPr="00056460">
        <w:rPr>
          <w:color w:val="auto"/>
        </w:rPr>
        <w:t>GPCR</w:t>
      </w:r>
      <w:hyperlink w:anchor="_ENREF_6" w:tooltip="Scott, 2010 #5" w:history="1">
        <w:r w:rsidR="00564898" w:rsidRPr="00056460">
          <w:rPr>
            <w:color w:val="auto"/>
          </w:rPr>
          <w:fldChar w:fldCharType="begin"/>
        </w:r>
        <w:r w:rsidR="00564898" w:rsidRPr="00056460">
          <w:rPr>
            <w:color w:val="auto"/>
          </w:rPr>
          <w:instrText xml:space="preserve"> ADDIN EN.CITE &lt;EndNote&gt;&lt;Cite&gt;&lt;Author&gt;Scott&lt;/Author&gt;&lt;Year&gt;2010&lt;/Year&gt;&lt;RecNum&gt;5&lt;/RecNum&gt;&lt;DisplayText&gt;&lt;style face="superscript"&gt;6&lt;/style&gt;&lt;/DisplayText&gt;&lt;record&gt;&lt;rec-number&gt;5&lt;/rec-number&gt;&lt;foreign-keys&gt;&lt;key app="EN" db-id="dw0r95stcvf9wme0p9v5t9xp5frpsx50e5pe" timestamp="1480928826"&gt;5&lt;/key&gt;&lt;/foreign-keys&gt;&lt;ref-type name="Journal Article"&gt;17&lt;/ref-type&gt;&lt;contributors&gt;&lt;authors&gt;&lt;author&gt;Scott, C. W.&lt;/author&gt;&lt;author&gt;Peters, M. F.&lt;/author&gt;&lt;/authors&gt;&lt;/contributors&gt;&lt;auth-address&gt;Lead Generation Department, AstraZeneca Pharmaceuticals LP, Wilmington, DE 19850, USA. clayscott3@gmail.com&lt;/auth-address&gt;&lt;titles&gt;&lt;title&gt;Label-free whole-cell assays: expanding the scope of GPCR screening&lt;/title&gt;&lt;secondary-title&gt;Drug Discov Today&lt;/secondary-title&gt;&lt;alt-title&gt;Drug discovery today&lt;/alt-title&gt;&lt;/titles&gt;&lt;periodical&gt;&lt;full-title&gt;Drug Discov Today&lt;/full-title&gt;&lt;abbr-1&gt;Drug discovery today&lt;/abbr-1&gt;&lt;/periodical&gt;&lt;alt-periodical&gt;&lt;full-title&gt;Drug Discov Today&lt;/full-title&gt;&lt;abbr-1&gt;Drug discovery today&lt;/abbr-1&gt;&lt;/alt-periodical&gt;&lt;pages&gt;704-16&lt;/pages&gt;&lt;volume&gt;15&lt;/volume&gt;&lt;number&gt;17-18&lt;/number&gt;&lt;keywords&gt;&lt;keyword&gt;Animals&lt;/keyword&gt;&lt;keyword&gt;Biological Assay/*instrumentation&lt;/keyword&gt;&lt;keyword&gt;Biosensing Techniques/*instrumentation&lt;/keyword&gt;&lt;keyword&gt;Drug Discovery/*instrumentation/methods&lt;/keyword&gt;&lt;keyword&gt;Humans&lt;/keyword&gt;&lt;keyword&gt;Receptors, G-Protein-Coupled/*drug effects&lt;/keyword&gt;&lt;/keywords&gt;&lt;dates&gt;&lt;year&gt;2010&lt;/year&gt;&lt;pub-dates&gt;&lt;date&gt;Sep&lt;/date&gt;&lt;/pub-dates&gt;&lt;/dates&gt;&lt;isbn&gt;1878-5832 (Electronic)&amp;#xD;1359-6446 (Linking)&lt;/isbn&gt;&lt;accession-num&gt;20601093&lt;/accession-num&gt;&lt;urls&gt;&lt;related-urls&gt;&lt;url&gt;http://www.ncbi.nlm.nih.gov/pubmed/20601093&lt;/url&gt;&lt;/related-urls&gt;&lt;/urls&gt;&lt;electronic-resource-num&gt;10.1016/j.drudis.2010.06.008&lt;/electronic-resource-num&gt;&lt;/record&gt;&lt;/Cite&gt;&lt;/EndNote&gt;</w:instrText>
        </w:r>
        <w:r w:rsidR="00564898" w:rsidRPr="00056460">
          <w:rPr>
            <w:color w:val="auto"/>
          </w:rPr>
          <w:fldChar w:fldCharType="separate"/>
        </w:r>
        <w:r w:rsidR="00564898" w:rsidRPr="00056460">
          <w:rPr>
            <w:noProof/>
            <w:color w:val="auto"/>
            <w:vertAlign w:val="superscript"/>
          </w:rPr>
          <w:t>6</w:t>
        </w:r>
        <w:r w:rsidR="00564898" w:rsidRPr="00056460">
          <w:rPr>
            <w:color w:val="auto"/>
          </w:rPr>
          <w:fldChar w:fldCharType="end"/>
        </w:r>
      </w:hyperlink>
      <w:r w:rsidR="00610DBD" w:rsidRPr="00056460">
        <w:rPr>
          <w:color w:val="auto"/>
        </w:rPr>
        <w:t xml:space="preserve">. </w:t>
      </w:r>
    </w:p>
    <w:p w14:paraId="116A7339" w14:textId="77777777" w:rsidR="00995D6F" w:rsidRDefault="00995D6F" w:rsidP="00056460">
      <w:pPr>
        <w:rPr>
          <w:color w:val="auto"/>
        </w:rPr>
      </w:pPr>
    </w:p>
    <w:p w14:paraId="140D7221" w14:textId="7E9A0CC7" w:rsidR="00FA191B" w:rsidRPr="00056460" w:rsidRDefault="00FA191B" w:rsidP="00056460">
      <w:pPr>
        <w:rPr>
          <w:color w:val="auto"/>
        </w:rPr>
      </w:pPr>
      <w:r w:rsidRPr="00056460">
        <w:rPr>
          <w:color w:val="auto"/>
        </w:rPr>
        <w:t xml:space="preserve">The </w:t>
      </w:r>
      <w:r w:rsidR="00C4724E" w:rsidRPr="00056460">
        <w:rPr>
          <w:color w:val="auto"/>
        </w:rPr>
        <w:t xml:space="preserve">serial addition </w:t>
      </w:r>
      <w:r w:rsidRPr="00056460">
        <w:rPr>
          <w:color w:val="auto"/>
        </w:rPr>
        <w:t xml:space="preserve">protocol is adaptable to different types of electrode layouts and </w:t>
      </w:r>
      <w:r w:rsidR="001667E5" w:rsidRPr="00056460">
        <w:rPr>
          <w:color w:val="auto"/>
        </w:rPr>
        <w:t>multi-</w:t>
      </w:r>
      <w:r w:rsidRPr="00056460">
        <w:rPr>
          <w:color w:val="auto"/>
        </w:rPr>
        <w:t>well formats</w:t>
      </w:r>
      <w:r w:rsidR="001667E5" w:rsidRPr="00056460">
        <w:rPr>
          <w:color w:val="auto"/>
        </w:rPr>
        <w:t xml:space="preserve">. It </w:t>
      </w:r>
      <w:r w:rsidRPr="00056460">
        <w:rPr>
          <w:color w:val="auto"/>
        </w:rPr>
        <w:t>is applicable to on-chip perfusion systems</w:t>
      </w:r>
      <w:r w:rsidR="00B778C4" w:rsidRPr="00056460">
        <w:rPr>
          <w:color w:val="auto"/>
        </w:rPr>
        <w:t>, which is a significant advantage o</w:t>
      </w:r>
      <w:r w:rsidR="00C4724E" w:rsidRPr="00056460">
        <w:rPr>
          <w:color w:val="auto"/>
        </w:rPr>
        <w:t>ver many label-based approaches</w:t>
      </w:r>
      <w:r w:rsidR="00B778C4" w:rsidRPr="00056460">
        <w:rPr>
          <w:color w:val="auto"/>
        </w:rPr>
        <w:t xml:space="preserve"> </w:t>
      </w:r>
      <w:r w:rsidR="00C4724E" w:rsidRPr="00056460">
        <w:rPr>
          <w:color w:val="auto"/>
        </w:rPr>
        <w:t xml:space="preserve">that </w:t>
      </w:r>
      <w:r w:rsidR="00B778C4" w:rsidRPr="00056460">
        <w:rPr>
          <w:color w:val="auto"/>
        </w:rPr>
        <w:t>often require one cell layer for one concentration</w:t>
      </w:r>
      <w:r w:rsidR="00C4724E" w:rsidRPr="00056460">
        <w:rPr>
          <w:color w:val="auto"/>
        </w:rPr>
        <w:t xml:space="preserve"> to be tested</w:t>
      </w:r>
      <w:r w:rsidR="00B778C4" w:rsidRPr="00056460">
        <w:rPr>
          <w:color w:val="auto"/>
        </w:rPr>
        <w:t>.</w:t>
      </w:r>
      <w:r w:rsidRPr="00056460">
        <w:rPr>
          <w:color w:val="auto"/>
        </w:rPr>
        <w:t xml:space="preserve"> </w:t>
      </w:r>
      <w:r w:rsidR="00C4724E" w:rsidRPr="00056460">
        <w:rPr>
          <w:color w:val="auto"/>
        </w:rPr>
        <w:t>Accordingly, the serial dosing scheme</w:t>
      </w:r>
      <w:r w:rsidR="001667E5" w:rsidRPr="00056460">
        <w:rPr>
          <w:color w:val="auto"/>
        </w:rPr>
        <w:t xml:space="preserve"> </w:t>
      </w:r>
      <w:r w:rsidR="00C4724E" w:rsidRPr="00056460">
        <w:rPr>
          <w:color w:val="auto"/>
        </w:rPr>
        <w:t>may pave the way to dose-response studies in</w:t>
      </w:r>
      <w:r w:rsidR="001667E5" w:rsidRPr="00056460">
        <w:rPr>
          <w:color w:val="auto"/>
        </w:rPr>
        <w:t xml:space="preserve"> more complex biological models like organ-on-a chip or</w:t>
      </w:r>
      <w:r w:rsidR="00C4724E" w:rsidRPr="00056460">
        <w:rPr>
          <w:color w:val="auto"/>
        </w:rPr>
        <w:t xml:space="preserve"> even human-on-a-chip approaches</w:t>
      </w:r>
      <w:r w:rsidR="001667E5" w:rsidRPr="00056460">
        <w:rPr>
          <w:color w:val="auto"/>
        </w:rPr>
        <w:t xml:space="preserve">. </w:t>
      </w:r>
      <w:r w:rsidR="008A035D" w:rsidRPr="00056460">
        <w:rPr>
          <w:color w:val="auto"/>
        </w:rPr>
        <w:t>I</w:t>
      </w:r>
      <w:r w:rsidR="00931140" w:rsidRPr="00056460">
        <w:rPr>
          <w:color w:val="auto"/>
        </w:rPr>
        <w:t>mpedance measurements detect an integrated</w:t>
      </w:r>
      <w:r w:rsidR="001667E5" w:rsidRPr="00056460">
        <w:rPr>
          <w:color w:val="auto"/>
        </w:rPr>
        <w:t>, distal</w:t>
      </w:r>
      <w:r w:rsidR="00931140" w:rsidRPr="00056460">
        <w:rPr>
          <w:color w:val="auto"/>
        </w:rPr>
        <w:t xml:space="preserve"> response </w:t>
      </w:r>
      <w:r w:rsidR="001667E5" w:rsidRPr="00056460">
        <w:rPr>
          <w:color w:val="auto"/>
        </w:rPr>
        <w:t xml:space="preserve">of the cells to receptor activation that ultimately induces </w:t>
      </w:r>
      <w:r w:rsidR="008A035D" w:rsidRPr="00056460">
        <w:rPr>
          <w:color w:val="auto"/>
        </w:rPr>
        <w:t>cell morphology changes</w:t>
      </w:r>
      <w:r w:rsidR="001667E5" w:rsidRPr="00056460">
        <w:rPr>
          <w:color w:val="auto"/>
        </w:rPr>
        <w:t xml:space="preserve">. This rather general and unspecific but also unbiased readout is the basis for its broad applicability that is not restricted to GPCRs but might also work for other classes of cell surface receptors, cytoplasmic receptors or even intracellular proteins as targets. </w:t>
      </w:r>
    </w:p>
    <w:p w14:paraId="22BEDF8F" w14:textId="77777777" w:rsidR="00056460" w:rsidRPr="00056460" w:rsidRDefault="00056460" w:rsidP="00056460">
      <w:pPr>
        <w:rPr>
          <w:color w:val="auto"/>
        </w:rPr>
      </w:pPr>
    </w:p>
    <w:p w14:paraId="1D995FE1" w14:textId="7B5275BD" w:rsidR="003E51AE" w:rsidRPr="00056460" w:rsidRDefault="001667E5" w:rsidP="00056460">
      <w:pPr>
        <w:rPr>
          <w:color w:val="auto"/>
        </w:rPr>
      </w:pPr>
      <w:r w:rsidRPr="00056460">
        <w:rPr>
          <w:color w:val="auto"/>
        </w:rPr>
        <w:t>It is c</w:t>
      </w:r>
      <w:r w:rsidR="00AD4446" w:rsidRPr="00056460">
        <w:rPr>
          <w:color w:val="auto"/>
        </w:rPr>
        <w:t xml:space="preserve">ritical for the stepwise agonist addition protocol </w:t>
      </w:r>
      <w:r w:rsidR="000C762F" w:rsidRPr="00056460">
        <w:rPr>
          <w:color w:val="auto"/>
        </w:rPr>
        <w:t xml:space="preserve">to work with </w:t>
      </w:r>
      <w:r w:rsidR="00370D11" w:rsidRPr="00056460">
        <w:rPr>
          <w:color w:val="auto"/>
        </w:rPr>
        <w:t xml:space="preserve">confluent </w:t>
      </w:r>
      <w:r w:rsidR="000C762F" w:rsidRPr="00056460">
        <w:rPr>
          <w:color w:val="auto"/>
        </w:rPr>
        <w:t xml:space="preserve">cell layers </w:t>
      </w:r>
      <w:r w:rsidR="00370D11" w:rsidRPr="00056460">
        <w:rPr>
          <w:color w:val="auto"/>
        </w:rPr>
        <w:t xml:space="preserve">on the electrodes, as </w:t>
      </w:r>
      <w:r w:rsidR="000C762F" w:rsidRPr="00056460">
        <w:rPr>
          <w:color w:val="auto"/>
        </w:rPr>
        <w:t xml:space="preserve">sparse cultures will interfere with sensitivity, reproducibility and data interpretation. An additional prerequisite for successful monitoring of receptor activation even in confluent cell monolayers is a change in cell shape along the signal transduction cascade. If the cells under study do not change their morphology along the experiment, impedance-based readouts are blind and will not report on </w:t>
      </w:r>
      <w:r w:rsidR="0097641B" w:rsidRPr="00056460">
        <w:rPr>
          <w:color w:val="auto"/>
        </w:rPr>
        <w:t xml:space="preserve">any change in receptor activity. To properly layout the serial addition protocol, initial pre-testing in conventional </w:t>
      </w:r>
      <w:r w:rsidR="0097641B" w:rsidRPr="00056460">
        <w:rPr>
          <w:i/>
          <w:color w:val="auto"/>
        </w:rPr>
        <w:t>one-well-</w:t>
      </w:r>
      <w:r w:rsidR="00566A41" w:rsidRPr="00056460">
        <w:rPr>
          <w:i/>
          <w:color w:val="auto"/>
        </w:rPr>
        <w:t>one-concentration</w:t>
      </w:r>
      <w:r w:rsidR="00566A41" w:rsidRPr="00056460">
        <w:rPr>
          <w:color w:val="auto"/>
        </w:rPr>
        <w:t xml:space="preserve"> mode is recommended</w:t>
      </w:r>
      <w:r w:rsidR="0097641B" w:rsidRPr="00056460">
        <w:rPr>
          <w:color w:val="auto"/>
        </w:rPr>
        <w:t xml:space="preserve"> </w:t>
      </w:r>
      <w:r w:rsidR="00FA191B" w:rsidRPr="00056460">
        <w:rPr>
          <w:color w:val="auto"/>
        </w:rPr>
        <w:t xml:space="preserve">to determine </w:t>
      </w:r>
      <w:r w:rsidR="0097641B" w:rsidRPr="00056460">
        <w:rPr>
          <w:color w:val="auto"/>
        </w:rPr>
        <w:t xml:space="preserve">the </w:t>
      </w:r>
      <w:r w:rsidR="00FA191B" w:rsidRPr="00056460">
        <w:rPr>
          <w:color w:val="auto"/>
        </w:rPr>
        <w:t xml:space="preserve">concentration range of the agonist </w:t>
      </w:r>
      <w:r w:rsidR="0097641B" w:rsidRPr="00056460">
        <w:rPr>
          <w:color w:val="auto"/>
        </w:rPr>
        <w:t xml:space="preserve">roughly and the time interval between subsequent agonist additions. Time intervals between sequential doses of the agonist should be tailored such that </w:t>
      </w:r>
      <w:r w:rsidR="003A3D2A" w:rsidRPr="00056460">
        <w:rPr>
          <w:color w:val="auto"/>
        </w:rPr>
        <w:t xml:space="preserve">the system </w:t>
      </w:r>
      <w:r w:rsidR="0097641B" w:rsidRPr="00056460">
        <w:rPr>
          <w:color w:val="auto"/>
        </w:rPr>
        <w:t>adopt</w:t>
      </w:r>
      <w:r w:rsidR="00C4724E" w:rsidRPr="00056460">
        <w:rPr>
          <w:color w:val="auto"/>
        </w:rPr>
        <w:t>s</w:t>
      </w:r>
      <w:r w:rsidR="0097641B" w:rsidRPr="00056460">
        <w:rPr>
          <w:color w:val="auto"/>
        </w:rPr>
        <w:t xml:space="preserve"> a new equilibrium </w:t>
      </w:r>
      <w:r w:rsidR="003A3D2A" w:rsidRPr="00056460">
        <w:rPr>
          <w:color w:val="auto"/>
        </w:rPr>
        <w:t>before the next</w:t>
      </w:r>
      <w:r w:rsidR="0097641B" w:rsidRPr="00056460">
        <w:rPr>
          <w:color w:val="auto"/>
        </w:rPr>
        <w:t>,</w:t>
      </w:r>
      <w:r w:rsidR="003A3D2A" w:rsidRPr="00056460">
        <w:rPr>
          <w:color w:val="auto"/>
        </w:rPr>
        <w:t xml:space="preserve"> higher dose is added. </w:t>
      </w:r>
      <w:r w:rsidR="0097641B" w:rsidRPr="00056460">
        <w:rPr>
          <w:color w:val="auto"/>
        </w:rPr>
        <w:t xml:space="preserve">Accordingly, </w:t>
      </w:r>
      <w:r w:rsidR="003A3D2A" w:rsidRPr="00056460">
        <w:rPr>
          <w:color w:val="auto"/>
        </w:rPr>
        <w:t xml:space="preserve">the method may be less useful for </w:t>
      </w:r>
      <w:r w:rsidR="0097641B" w:rsidRPr="00056460">
        <w:rPr>
          <w:color w:val="auto"/>
        </w:rPr>
        <w:t>receptors that trigger a very quick and only transient response of the cells</w:t>
      </w:r>
      <w:r w:rsidR="003A3D2A" w:rsidRPr="00056460">
        <w:rPr>
          <w:color w:val="auto"/>
        </w:rPr>
        <w:t xml:space="preserve"> or </w:t>
      </w:r>
      <w:r w:rsidR="0097641B" w:rsidRPr="00056460">
        <w:rPr>
          <w:color w:val="auto"/>
        </w:rPr>
        <w:t xml:space="preserve">a very slow response that may take hours to complete. The latter situation would increase the total time of the experiment and call for parallel addition protocols to cut short on lab time. </w:t>
      </w:r>
      <w:r w:rsidR="00506F40" w:rsidRPr="00056460">
        <w:rPr>
          <w:color w:val="auto"/>
        </w:rPr>
        <w:t xml:space="preserve">In the examples </w:t>
      </w:r>
      <w:r w:rsidR="0097641B" w:rsidRPr="00056460">
        <w:rPr>
          <w:color w:val="auto"/>
        </w:rPr>
        <w:t xml:space="preserve">presented above, the total runtime of the experiment </w:t>
      </w:r>
      <w:r w:rsidR="00506F40" w:rsidRPr="00056460">
        <w:rPr>
          <w:color w:val="auto"/>
        </w:rPr>
        <w:t xml:space="preserve">was 2.5 – 3.5 h, depending on the number of concentrations (8 or 10) and </w:t>
      </w:r>
      <w:r w:rsidR="0097641B" w:rsidRPr="00056460">
        <w:rPr>
          <w:color w:val="auto"/>
        </w:rPr>
        <w:t xml:space="preserve">a potential </w:t>
      </w:r>
      <w:r w:rsidR="00506F40" w:rsidRPr="00056460">
        <w:rPr>
          <w:color w:val="auto"/>
        </w:rPr>
        <w:t xml:space="preserve">pre-incubation with antagonist. The same experiment in conventional parallel </w:t>
      </w:r>
      <w:r w:rsidR="0097641B" w:rsidRPr="00056460">
        <w:rPr>
          <w:color w:val="auto"/>
        </w:rPr>
        <w:t xml:space="preserve">agonist addition </w:t>
      </w:r>
      <w:r w:rsidR="00506F40" w:rsidRPr="00056460">
        <w:rPr>
          <w:color w:val="auto"/>
        </w:rPr>
        <w:t xml:space="preserve">mode </w:t>
      </w:r>
      <w:r w:rsidR="0097641B" w:rsidRPr="00056460">
        <w:rPr>
          <w:color w:val="auto"/>
        </w:rPr>
        <w:t>would only take</w:t>
      </w:r>
      <w:r w:rsidR="00506F40" w:rsidRPr="00056460">
        <w:rPr>
          <w:color w:val="auto"/>
        </w:rPr>
        <w:t xml:space="preserve"> ~ 1 h for the same cell-receptor model</w:t>
      </w:r>
      <w:r w:rsidR="0097641B" w:rsidRPr="00056460">
        <w:rPr>
          <w:color w:val="auto"/>
        </w:rPr>
        <w:t xml:space="preserve"> but with much smaller throughput</w:t>
      </w:r>
      <w:r w:rsidR="00506F40" w:rsidRPr="00056460">
        <w:rPr>
          <w:color w:val="auto"/>
        </w:rPr>
        <w:t xml:space="preserve">. </w:t>
      </w:r>
      <w:r w:rsidR="00931140" w:rsidRPr="00056460">
        <w:rPr>
          <w:color w:val="auto"/>
        </w:rPr>
        <w:t xml:space="preserve">A clear advantage of the serial approach is that the number of concentrations </w:t>
      </w:r>
      <w:r w:rsidR="0097641B" w:rsidRPr="00056460">
        <w:rPr>
          <w:color w:val="auto"/>
        </w:rPr>
        <w:t xml:space="preserve">that need to </w:t>
      </w:r>
      <w:r w:rsidR="00931140" w:rsidRPr="00056460">
        <w:rPr>
          <w:color w:val="auto"/>
        </w:rPr>
        <w:t xml:space="preserve">be tested </w:t>
      </w:r>
      <w:r w:rsidR="0097641B" w:rsidRPr="00056460">
        <w:rPr>
          <w:color w:val="auto"/>
        </w:rPr>
        <w:t xml:space="preserve">for a full dose-response relationship </w:t>
      </w:r>
      <w:r w:rsidR="00931140" w:rsidRPr="00056460">
        <w:rPr>
          <w:color w:val="auto"/>
        </w:rPr>
        <w:t>is not limited by the number of available wells.</w:t>
      </w:r>
      <w:r w:rsidR="0097641B" w:rsidRPr="00056460">
        <w:rPr>
          <w:color w:val="auto"/>
        </w:rPr>
        <w:t xml:space="preserve"> If higher agonist concentrations are needed, the experiment is easily extended and completed without any additional cell culture work. </w:t>
      </w:r>
      <w:r w:rsidR="00290CE9" w:rsidRPr="00056460">
        <w:rPr>
          <w:color w:val="auto"/>
        </w:rPr>
        <w:t>Agonist addition itself should be carried out carefully, as some cells are sensitive to shear stress</w:t>
      </w:r>
      <w:r w:rsidR="00FC7612" w:rsidRPr="00056460">
        <w:rPr>
          <w:color w:val="auto"/>
        </w:rPr>
        <w:t xml:space="preserve"> and respond with considerable impedance changes</w:t>
      </w:r>
      <w:r w:rsidR="00290CE9" w:rsidRPr="00056460">
        <w:rPr>
          <w:color w:val="auto"/>
        </w:rPr>
        <w:t xml:space="preserve"> </w:t>
      </w:r>
      <w:r w:rsidR="003E51AE" w:rsidRPr="00056460">
        <w:rPr>
          <w:color w:val="auto"/>
        </w:rPr>
        <w:t xml:space="preserve">simply due </w:t>
      </w:r>
      <w:r w:rsidR="0048726B" w:rsidRPr="00056460">
        <w:rPr>
          <w:color w:val="auto"/>
        </w:rPr>
        <w:t xml:space="preserve">to </w:t>
      </w:r>
      <w:r w:rsidR="003E51AE" w:rsidRPr="00056460">
        <w:rPr>
          <w:color w:val="auto"/>
        </w:rPr>
        <w:t xml:space="preserve">mechanical stimulation </w:t>
      </w:r>
      <w:r w:rsidR="0048726B" w:rsidRPr="00056460">
        <w:rPr>
          <w:color w:val="auto"/>
        </w:rPr>
        <w:t xml:space="preserve">imposed by </w:t>
      </w:r>
      <w:r w:rsidR="003E51AE" w:rsidRPr="00056460">
        <w:rPr>
          <w:color w:val="auto"/>
        </w:rPr>
        <w:t>liquid handling. The cells might</w:t>
      </w:r>
      <w:r w:rsidR="00FC7612" w:rsidRPr="00056460">
        <w:rPr>
          <w:color w:val="auto"/>
        </w:rPr>
        <w:t xml:space="preserve"> </w:t>
      </w:r>
      <w:r w:rsidR="003E51AE" w:rsidRPr="00056460">
        <w:rPr>
          <w:color w:val="auto"/>
        </w:rPr>
        <w:t xml:space="preserve">even come </w:t>
      </w:r>
      <w:r w:rsidR="00FC7612" w:rsidRPr="00056460">
        <w:rPr>
          <w:color w:val="auto"/>
        </w:rPr>
        <w:t>off the electrode</w:t>
      </w:r>
      <w:r w:rsidR="00290CE9" w:rsidRPr="00056460">
        <w:rPr>
          <w:color w:val="auto"/>
        </w:rPr>
        <w:t xml:space="preserve">. </w:t>
      </w:r>
      <w:r w:rsidR="003E51AE" w:rsidRPr="00056460">
        <w:rPr>
          <w:color w:val="auto"/>
        </w:rPr>
        <w:t xml:space="preserve">This problem is, however, not unique to impedance-based cell monitoring but applies to other techniques as well. </w:t>
      </w:r>
      <w:r w:rsidR="00290CE9" w:rsidRPr="00056460">
        <w:rPr>
          <w:color w:val="auto"/>
        </w:rPr>
        <w:t>For sensitive cells addition mode 1 is recommended</w:t>
      </w:r>
      <w:r w:rsidR="003E51AE" w:rsidRPr="00056460">
        <w:rPr>
          <w:color w:val="auto"/>
        </w:rPr>
        <w:t xml:space="preserve"> due to reduced mechanical load on the cells. However</w:t>
      </w:r>
      <w:r w:rsidR="00290CE9" w:rsidRPr="00056460">
        <w:rPr>
          <w:color w:val="auto"/>
        </w:rPr>
        <w:t xml:space="preserve">, this mode </w:t>
      </w:r>
      <w:r w:rsidR="003E51AE" w:rsidRPr="00056460">
        <w:rPr>
          <w:color w:val="auto"/>
        </w:rPr>
        <w:t xml:space="preserve">operates </w:t>
      </w:r>
      <w:r w:rsidR="00290CE9" w:rsidRPr="00056460">
        <w:rPr>
          <w:color w:val="auto"/>
        </w:rPr>
        <w:t xml:space="preserve">with lower </w:t>
      </w:r>
      <w:r w:rsidR="003E51AE" w:rsidRPr="00056460">
        <w:rPr>
          <w:color w:val="auto"/>
        </w:rPr>
        <w:t xml:space="preserve">liquid </w:t>
      </w:r>
      <w:r w:rsidR="00290CE9" w:rsidRPr="00056460">
        <w:rPr>
          <w:color w:val="auto"/>
        </w:rPr>
        <w:t xml:space="preserve">volumes </w:t>
      </w:r>
      <w:r w:rsidR="003E51AE" w:rsidRPr="00056460">
        <w:rPr>
          <w:color w:val="auto"/>
        </w:rPr>
        <w:t xml:space="preserve">during addition which raises the risk </w:t>
      </w:r>
      <w:r w:rsidR="00290CE9" w:rsidRPr="00056460">
        <w:rPr>
          <w:color w:val="auto"/>
        </w:rPr>
        <w:t xml:space="preserve">of </w:t>
      </w:r>
      <w:r w:rsidR="00B01AFD">
        <w:rPr>
          <w:color w:val="auto"/>
        </w:rPr>
        <w:t xml:space="preserve">incomplete mixing </w:t>
      </w:r>
      <w:r w:rsidR="003E51AE" w:rsidRPr="00056460">
        <w:rPr>
          <w:color w:val="auto"/>
        </w:rPr>
        <w:t xml:space="preserve">since intensive </w:t>
      </w:r>
      <w:r w:rsidR="00B01AFD">
        <w:rPr>
          <w:color w:val="auto"/>
        </w:rPr>
        <w:t xml:space="preserve">agitation </w:t>
      </w:r>
      <w:r w:rsidR="003E51AE" w:rsidRPr="00056460">
        <w:rPr>
          <w:color w:val="auto"/>
        </w:rPr>
        <w:t>is not recommended to avoid unspecific cell responses</w:t>
      </w:r>
      <w:r w:rsidR="00290CE9" w:rsidRPr="00056460">
        <w:rPr>
          <w:color w:val="auto"/>
        </w:rPr>
        <w:t>.</w:t>
      </w:r>
      <w:r w:rsidR="00FC7612" w:rsidRPr="00056460">
        <w:rPr>
          <w:color w:val="auto"/>
        </w:rPr>
        <w:t xml:space="preserve"> </w:t>
      </w:r>
      <w:r w:rsidR="003E51AE" w:rsidRPr="00056460">
        <w:rPr>
          <w:color w:val="auto"/>
        </w:rPr>
        <w:t xml:space="preserve"> </w:t>
      </w:r>
    </w:p>
    <w:p w14:paraId="6CCACC33" w14:textId="77777777" w:rsidR="00056460" w:rsidRPr="00056460" w:rsidRDefault="00056460" w:rsidP="00056460">
      <w:pPr>
        <w:rPr>
          <w:color w:val="auto"/>
        </w:rPr>
      </w:pPr>
    </w:p>
    <w:p w14:paraId="22F74AE3" w14:textId="1CE64D2C" w:rsidR="00931140" w:rsidRPr="00056460" w:rsidRDefault="003E51AE" w:rsidP="00056460">
      <w:pPr>
        <w:rPr>
          <w:color w:val="auto"/>
        </w:rPr>
      </w:pPr>
      <w:r w:rsidRPr="00056460">
        <w:rPr>
          <w:color w:val="auto"/>
        </w:rPr>
        <w:t>A</w:t>
      </w:r>
      <w:r w:rsidR="00B778C4" w:rsidRPr="00056460">
        <w:rPr>
          <w:color w:val="auto"/>
        </w:rPr>
        <w:t>ddition mode 1</w:t>
      </w:r>
      <w:r w:rsidRPr="00056460">
        <w:rPr>
          <w:color w:val="auto"/>
        </w:rPr>
        <w:t xml:space="preserve"> goes along with </w:t>
      </w:r>
      <w:r w:rsidR="00B778C4" w:rsidRPr="00056460">
        <w:rPr>
          <w:color w:val="auto"/>
        </w:rPr>
        <w:t>a stepwise increase of the total volume</w:t>
      </w:r>
      <w:r w:rsidRPr="00056460">
        <w:rPr>
          <w:color w:val="auto"/>
        </w:rPr>
        <w:t xml:space="preserve"> in the well whereas </w:t>
      </w:r>
      <w:r w:rsidR="00B778C4" w:rsidRPr="00056460">
        <w:rPr>
          <w:color w:val="auto"/>
        </w:rPr>
        <w:t xml:space="preserve">mode 2 </w:t>
      </w:r>
      <w:r w:rsidRPr="00056460">
        <w:rPr>
          <w:color w:val="auto"/>
        </w:rPr>
        <w:t xml:space="preserve">keeps the total </w:t>
      </w:r>
      <w:r w:rsidR="00B778C4" w:rsidRPr="00056460">
        <w:rPr>
          <w:color w:val="auto"/>
        </w:rPr>
        <w:t xml:space="preserve">volume constant </w:t>
      </w:r>
      <w:r w:rsidRPr="00056460">
        <w:rPr>
          <w:color w:val="auto"/>
        </w:rPr>
        <w:t xml:space="preserve">since </w:t>
      </w:r>
      <w:r w:rsidR="00B778C4" w:rsidRPr="00056460">
        <w:rPr>
          <w:color w:val="auto"/>
        </w:rPr>
        <w:t xml:space="preserve">equal amounts of solution </w:t>
      </w:r>
      <w:r w:rsidRPr="00056460">
        <w:rPr>
          <w:color w:val="auto"/>
        </w:rPr>
        <w:t>are sequentially removed</w:t>
      </w:r>
      <w:r w:rsidR="00C20AC8" w:rsidRPr="00056460">
        <w:rPr>
          <w:color w:val="auto"/>
        </w:rPr>
        <w:t>.</w:t>
      </w:r>
      <w:r w:rsidRPr="00056460">
        <w:rPr>
          <w:color w:val="auto"/>
        </w:rPr>
        <w:t xml:space="preserve"> These are just the two extreme strategies and might be adapted for special cell types</w:t>
      </w:r>
      <w:r w:rsidR="00322BFE" w:rsidRPr="00056460">
        <w:rPr>
          <w:color w:val="auto"/>
        </w:rPr>
        <w:t>, multi-well formats or electrode layouts</w:t>
      </w:r>
      <w:r w:rsidRPr="00056460">
        <w:rPr>
          <w:color w:val="auto"/>
        </w:rPr>
        <w:t xml:space="preserve"> in any intermediate way</w:t>
      </w:r>
      <w:r w:rsidR="00B778C4" w:rsidRPr="00056460">
        <w:rPr>
          <w:color w:val="auto"/>
        </w:rPr>
        <w:t>.</w:t>
      </w:r>
      <w:r w:rsidR="00322BFE" w:rsidRPr="00056460">
        <w:rPr>
          <w:color w:val="auto"/>
        </w:rPr>
        <w:t xml:space="preserve"> </w:t>
      </w:r>
      <w:r w:rsidR="00EF0F09" w:rsidRPr="00056460">
        <w:rPr>
          <w:color w:val="auto"/>
        </w:rPr>
        <w:t xml:space="preserve">In the case of the U373-MG/H1R model slight </w:t>
      </w:r>
      <w:r w:rsidR="00931140" w:rsidRPr="00056460">
        <w:rPr>
          <w:color w:val="auto"/>
        </w:rPr>
        <w:t>differences in EC</w:t>
      </w:r>
      <w:r w:rsidR="00931140" w:rsidRPr="00056460">
        <w:rPr>
          <w:color w:val="auto"/>
          <w:vertAlign w:val="subscript"/>
        </w:rPr>
        <w:t xml:space="preserve">50 </w:t>
      </w:r>
      <w:r w:rsidR="00931140" w:rsidRPr="00056460">
        <w:rPr>
          <w:color w:val="auto"/>
        </w:rPr>
        <w:t>and E</w:t>
      </w:r>
      <w:r w:rsidR="00931140" w:rsidRPr="00056460">
        <w:rPr>
          <w:color w:val="auto"/>
          <w:vertAlign w:val="subscript"/>
        </w:rPr>
        <w:t>Max</w:t>
      </w:r>
      <w:r w:rsidR="00931140" w:rsidRPr="00056460">
        <w:rPr>
          <w:color w:val="auto"/>
        </w:rPr>
        <w:t xml:space="preserve"> values </w:t>
      </w:r>
      <w:r w:rsidR="00322BFE" w:rsidRPr="00056460">
        <w:rPr>
          <w:color w:val="auto"/>
        </w:rPr>
        <w:t xml:space="preserve">have been observed for </w:t>
      </w:r>
      <w:r w:rsidR="00931140" w:rsidRPr="00056460">
        <w:rPr>
          <w:color w:val="auto"/>
        </w:rPr>
        <w:t xml:space="preserve">the serial addition mode </w:t>
      </w:r>
      <w:r w:rsidR="00322BFE" w:rsidRPr="00056460">
        <w:rPr>
          <w:color w:val="auto"/>
        </w:rPr>
        <w:t xml:space="preserve">compared to the </w:t>
      </w:r>
      <w:r w:rsidR="00931140" w:rsidRPr="00056460">
        <w:rPr>
          <w:color w:val="auto"/>
        </w:rPr>
        <w:t xml:space="preserve">conventional parallel </w:t>
      </w:r>
      <w:r w:rsidR="00322BFE" w:rsidRPr="00056460">
        <w:rPr>
          <w:color w:val="auto"/>
        </w:rPr>
        <w:t>addition mode</w:t>
      </w:r>
      <w:r w:rsidR="009D0C8B" w:rsidRPr="00056460">
        <w:rPr>
          <w:color w:val="auto"/>
        </w:rPr>
        <w:t xml:space="preserve"> (serial</w:t>
      </w:r>
      <w:r w:rsidR="00C716E1" w:rsidRPr="00056460">
        <w:rPr>
          <w:color w:val="auto"/>
        </w:rPr>
        <w:t xml:space="preserve">, </w:t>
      </w:r>
      <w:r w:rsidR="00C716E1" w:rsidRPr="00056460">
        <w:rPr>
          <w:i/>
          <w:color w:val="auto"/>
        </w:rPr>
        <w:t>N</w:t>
      </w:r>
      <w:r w:rsidR="00C716E1" w:rsidRPr="00056460">
        <w:rPr>
          <w:color w:val="auto"/>
        </w:rPr>
        <w:t xml:space="preserve"> = 30:</w:t>
      </w:r>
      <w:r w:rsidR="009D0C8B" w:rsidRPr="00056460">
        <w:rPr>
          <w:color w:val="auto"/>
        </w:rPr>
        <w:t xml:space="preserve"> EC</w:t>
      </w:r>
      <w:r w:rsidR="009D0C8B" w:rsidRPr="00056460">
        <w:rPr>
          <w:color w:val="auto"/>
          <w:vertAlign w:val="subscript"/>
        </w:rPr>
        <w:t>50</w:t>
      </w:r>
      <w:r w:rsidR="009D0C8B" w:rsidRPr="00056460">
        <w:rPr>
          <w:color w:val="auto"/>
        </w:rPr>
        <w:t>: (0.8 ± 0.</w:t>
      </w:r>
      <w:r w:rsidR="00C716E1" w:rsidRPr="00056460">
        <w:rPr>
          <w:color w:val="auto"/>
        </w:rPr>
        <w:t>3</w:t>
      </w:r>
      <w:r w:rsidR="009D0C8B" w:rsidRPr="00056460">
        <w:rPr>
          <w:color w:val="auto"/>
        </w:rPr>
        <w:t>) µM</w:t>
      </w:r>
      <w:r w:rsidR="00C716E1" w:rsidRPr="00056460">
        <w:rPr>
          <w:color w:val="auto"/>
        </w:rPr>
        <w:t>, E</w:t>
      </w:r>
      <w:r w:rsidR="00C716E1" w:rsidRPr="00056460">
        <w:rPr>
          <w:color w:val="auto"/>
          <w:vertAlign w:val="subscript"/>
        </w:rPr>
        <w:t>Max</w:t>
      </w:r>
      <w:r w:rsidR="00C716E1" w:rsidRPr="00056460">
        <w:rPr>
          <w:color w:val="auto"/>
        </w:rPr>
        <w:t>: (1.9 ± 0.2) kΩ;</w:t>
      </w:r>
      <w:r w:rsidR="009D0C8B" w:rsidRPr="00056460">
        <w:rPr>
          <w:color w:val="auto"/>
        </w:rPr>
        <w:t xml:space="preserve"> parallel</w:t>
      </w:r>
      <w:r w:rsidR="00C716E1" w:rsidRPr="00056460">
        <w:rPr>
          <w:color w:val="auto"/>
        </w:rPr>
        <w:t xml:space="preserve">, </w:t>
      </w:r>
      <w:r w:rsidR="00C716E1" w:rsidRPr="00056460">
        <w:rPr>
          <w:i/>
          <w:color w:val="auto"/>
        </w:rPr>
        <w:t>N</w:t>
      </w:r>
      <w:r w:rsidR="00C716E1" w:rsidRPr="00056460">
        <w:rPr>
          <w:color w:val="auto"/>
        </w:rPr>
        <w:t xml:space="preserve"> = 15:</w:t>
      </w:r>
      <w:r w:rsidR="009D0C8B" w:rsidRPr="00056460">
        <w:rPr>
          <w:color w:val="auto"/>
        </w:rPr>
        <w:t xml:space="preserve"> EC</w:t>
      </w:r>
      <w:r w:rsidR="009D0C8B" w:rsidRPr="00056460">
        <w:rPr>
          <w:color w:val="auto"/>
          <w:vertAlign w:val="subscript"/>
        </w:rPr>
        <w:t>50</w:t>
      </w:r>
      <w:r w:rsidR="009D0C8B" w:rsidRPr="00056460">
        <w:rPr>
          <w:color w:val="auto"/>
        </w:rPr>
        <w:t>: (0.</w:t>
      </w:r>
      <w:r w:rsidR="00C716E1" w:rsidRPr="00056460">
        <w:rPr>
          <w:color w:val="auto"/>
        </w:rPr>
        <w:t>5 </w:t>
      </w:r>
      <w:r w:rsidR="009D0C8B" w:rsidRPr="00056460">
        <w:rPr>
          <w:color w:val="auto"/>
        </w:rPr>
        <w:t>±</w:t>
      </w:r>
      <w:r w:rsidR="00C716E1" w:rsidRPr="00056460">
        <w:rPr>
          <w:color w:val="auto"/>
        </w:rPr>
        <w:t> </w:t>
      </w:r>
      <w:r w:rsidR="009D0C8B" w:rsidRPr="00056460">
        <w:rPr>
          <w:color w:val="auto"/>
        </w:rPr>
        <w:t>0.</w:t>
      </w:r>
      <w:r w:rsidR="00C716E1" w:rsidRPr="00056460">
        <w:rPr>
          <w:color w:val="auto"/>
        </w:rPr>
        <w:t>2</w:t>
      </w:r>
      <w:r w:rsidR="009D0C8B" w:rsidRPr="00056460">
        <w:rPr>
          <w:color w:val="auto"/>
        </w:rPr>
        <w:t>) µM</w:t>
      </w:r>
      <w:r w:rsidR="00C716E1" w:rsidRPr="00056460">
        <w:rPr>
          <w:color w:val="auto"/>
        </w:rPr>
        <w:t>, E</w:t>
      </w:r>
      <w:r w:rsidR="00C716E1" w:rsidRPr="00056460">
        <w:rPr>
          <w:color w:val="auto"/>
          <w:vertAlign w:val="subscript"/>
        </w:rPr>
        <w:t>Max</w:t>
      </w:r>
      <w:r w:rsidR="00C716E1" w:rsidRPr="00056460">
        <w:rPr>
          <w:color w:val="auto"/>
        </w:rPr>
        <w:t>: (1.3 ± 0.3) </w:t>
      </w:r>
      <w:proofErr w:type="spellStart"/>
      <w:r w:rsidR="00C716E1" w:rsidRPr="00056460">
        <w:rPr>
          <w:color w:val="auto"/>
        </w:rPr>
        <w:t>kΩ</w:t>
      </w:r>
      <w:proofErr w:type="spellEnd"/>
      <w:r w:rsidR="009D0C8B" w:rsidRPr="00056460">
        <w:rPr>
          <w:color w:val="auto"/>
        </w:rPr>
        <w:t>)</w:t>
      </w:r>
      <w:r w:rsidR="00EF0F09" w:rsidRPr="00056460">
        <w:rPr>
          <w:color w:val="auto"/>
        </w:rPr>
        <w:t>, while other cell/receptor models did not show any differences.</w:t>
      </w:r>
      <w:r w:rsidR="00322BFE" w:rsidRPr="00056460">
        <w:rPr>
          <w:color w:val="auto"/>
        </w:rPr>
        <w:t xml:space="preserve"> </w:t>
      </w:r>
      <w:r w:rsidR="00C716E1" w:rsidRPr="00056460">
        <w:rPr>
          <w:color w:val="auto"/>
        </w:rPr>
        <w:t>S</w:t>
      </w:r>
      <w:r w:rsidR="00EF0F09" w:rsidRPr="00056460">
        <w:rPr>
          <w:color w:val="auto"/>
        </w:rPr>
        <w:t>hifts in EC</w:t>
      </w:r>
      <w:r w:rsidR="00EF0F09" w:rsidRPr="00056460">
        <w:rPr>
          <w:color w:val="auto"/>
          <w:vertAlign w:val="subscript"/>
        </w:rPr>
        <w:t xml:space="preserve">50 </w:t>
      </w:r>
      <w:r w:rsidR="00EF0F09" w:rsidRPr="00056460">
        <w:rPr>
          <w:color w:val="auto"/>
        </w:rPr>
        <w:t>and E</w:t>
      </w:r>
      <w:r w:rsidR="00EF0F09" w:rsidRPr="00056460">
        <w:rPr>
          <w:color w:val="auto"/>
          <w:vertAlign w:val="subscript"/>
        </w:rPr>
        <w:t>Max</w:t>
      </w:r>
      <w:r w:rsidR="00322BFE" w:rsidRPr="00056460">
        <w:rPr>
          <w:color w:val="auto"/>
        </w:rPr>
        <w:t xml:space="preserve"> </w:t>
      </w:r>
      <w:r w:rsidR="00EF0F09" w:rsidRPr="00056460">
        <w:rPr>
          <w:color w:val="auto"/>
        </w:rPr>
        <w:t xml:space="preserve">values could </w:t>
      </w:r>
      <w:r w:rsidR="00322BFE" w:rsidRPr="00056460">
        <w:rPr>
          <w:color w:val="auto"/>
        </w:rPr>
        <w:t xml:space="preserve">originate from </w:t>
      </w:r>
      <w:r w:rsidR="00B01AFD">
        <w:rPr>
          <w:color w:val="auto"/>
        </w:rPr>
        <w:t xml:space="preserve">receptor </w:t>
      </w:r>
      <w:r w:rsidR="00322BFE" w:rsidRPr="00056460">
        <w:rPr>
          <w:color w:val="auto"/>
        </w:rPr>
        <w:t>d</w:t>
      </w:r>
      <w:r w:rsidR="00364869" w:rsidRPr="00056460">
        <w:rPr>
          <w:color w:val="auto"/>
        </w:rPr>
        <w:t xml:space="preserve">esensitization </w:t>
      </w:r>
      <w:r w:rsidR="00322BFE" w:rsidRPr="00056460">
        <w:rPr>
          <w:color w:val="auto"/>
        </w:rPr>
        <w:t xml:space="preserve">that </w:t>
      </w:r>
      <w:r w:rsidR="00B01AFD">
        <w:rPr>
          <w:color w:val="auto"/>
        </w:rPr>
        <w:t xml:space="preserve">is </w:t>
      </w:r>
      <w:r w:rsidR="00322BFE" w:rsidRPr="00056460">
        <w:rPr>
          <w:color w:val="auto"/>
        </w:rPr>
        <w:t>more likely to occur when the receptor</w:t>
      </w:r>
      <w:r w:rsidR="0048726B" w:rsidRPr="00056460">
        <w:rPr>
          <w:color w:val="auto"/>
        </w:rPr>
        <w:t>s are</w:t>
      </w:r>
      <w:r w:rsidR="00322BFE" w:rsidRPr="00056460">
        <w:rPr>
          <w:color w:val="auto"/>
        </w:rPr>
        <w:t xml:space="preserve"> exposed to the agonist for longer times. </w:t>
      </w:r>
      <w:r w:rsidR="00EF0F09" w:rsidRPr="00056460">
        <w:rPr>
          <w:color w:val="auto"/>
        </w:rPr>
        <w:t>The desensitization influence will strongly depend on the receptor and the ligand</w:t>
      </w:r>
      <w:r w:rsidR="0048726B" w:rsidRPr="00056460">
        <w:rPr>
          <w:color w:val="auto"/>
        </w:rPr>
        <w:t xml:space="preserve"> under study</w:t>
      </w:r>
      <w:r w:rsidR="00EF0F09" w:rsidRPr="00056460">
        <w:rPr>
          <w:color w:val="auto"/>
        </w:rPr>
        <w:t xml:space="preserve">. </w:t>
      </w:r>
      <w:r w:rsidR="00322BFE" w:rsidRPr="00056460">
        <w:rPr>
          <w:color w:val="auto"/>
        </w:rPr>
        <w:t xml:space="preserve">It remains to be </w:t>
      </w:r>
      <w:r w:rsidR="009C29D0" w:rsidRPr="00056460">
        <w:rPr>
          <w:color w:val="auto"/>
        </w:rPr>
        <w:t xml:space="preserve">elucidated </w:t>
      </w:r>
      <w:r w:rsidR="00322BFE" w:rsidRPr="00056460">
        <w:rPr>
          <w:color w:val="auto"/>
        </w:rPr>
        <w:t>whether a detailed analysis of serial and parallel agonist addition may provide a new means to study receptor desensitization.</w:t>
      </w:r>
    </w:p>
    <w:p w14:paraId="64253B92" w14:textId="77777777" w:rsidR="00056460" w:rsidRPr="00056460" w:rsidRDefault="00056460" w:rsidP="00056460">
      <w:pPr>
        <w:rPr>
          <w:color w:val="auto"/>
        </w:rPr>
      </w:pPr>
    </w:p>
    <w:p w14:paraId="0FC392A0" w14:textId="7B8DC6AD" w:rsidR="00E13244" w:rsidRPr="00056460" w:rsidRDefault="00E13244" w:rsidP="00056460">
      <w:pPr>
        <w:rPr>
          <w:color w:val="auto"/>
        </w:rPr>
      </w:pPr>
      <w:r w:rsidRPr="00056460">
        <w:rPr>
          <w:color w:val="auto"/>
        </w:rPr>
        <w:t xml:space="preserve">We recommend </w:t>
      </w:r>
      <w:r w:rsidR="00026996" w:rsidRPr="00056460">
        <w:rPr>
          <w:color w:val="auto"/>
        </w:rPr>
        <w:t>performing</w:t>
      </w:r>
      <w:r w:rsidRPr="00056460">
        <w:rPr>
          <w:color w:val="auto"/>
        </w:rPr>
        <w:t xml:space="preserve"> a control experiment with conventional parallel mode agonist addition in order to </w:t>
      </w:r>
      <w:r w:rsidR="0048726B" w:rsidRPr="00056460">
        <w:rPr>
          <w:color w:val="auto"/>
        </w:rPr>
        <w:t xml:space="preserve">test for potential </w:t>
      </w:r>
      <w:r w:rsidRPr="00056460">
        <w:rPr>
          <w:color w:val="auto"/>
        </w:rPr>
        <w:t>shifts in dose-response curves. F</w:t>
      </w:r>
      <w:r w:rsidR="00026996" w:rsidRPr="00056460">
        <w:rPr>
          <w:color w:val="auto"/>
        </w:rPr>
        <w:t>urther control</w:t>
      </w:r>
      <w:r w:rsidR="0048726B" w:rsidRPr="00056460">
        <w:rPr>
          <w:color w:val="auto"/>
        </w:rPr>
        <w:t>s</w:t>
      </w:r>
      <w:r w:rsidRPr="00056460">
        <w:rPr>
          <w:color w:val="auto"/>
        </w:rPr>
        <w:t xml:space="preserve"> </w:t>
      </w:r>
      <w:r w:rsidR="00026996" w:rsidRPr="00056460">
        <w:rPr>
          <w:color w:val="auto"/>
        </w:rPr>
        <w:t xml:space="preserve">should include a sample treated only with medium/solvent </w:t>
      </w:r>
      <w:r w:rsidR="005270C5" w:rsidRPr="00056460">
        <w:rPr>
          <w:color w:val="auto"/>
        </w:rPr>
        <w:t xml:space="preserve">in appropriate doses </w:t>
      </w:r>
      <w:r w:rsidR="00026996" w:rsidRPr="00056460">
        <w:rPr>
          <w:color w:val="auto"/>
        </w:rPr>
        <w:t xml:space="preserve">to </w:t>
      </w:r>
      <w:r w:rsidR="0048726B" w:rsidRPr="00056460">
        <w:rPr>
          <w:color w:val="auto"/>
        </w:rPr>
        <w:t>unravel any effects due to solvent load or mechanical stress upon medium addition. This becomes particularly important if</w:t>
      </w:r>
      <w:r w:rsidR="00026996" w:rsidRPr="00056460">
        <w:rPr>
          <w:color w:val="auto"/>
        </w:rPr>
        <w:t xml:space="preserve"> the stock solution of the ligand is prepared in other solvents than medium (e.g.</w:t>
      </w:r>
      <w:r w:rsidR="00D42409">
        <w:rPr>
          <w:color w:val="auto"/>
        </w:rPr>
        <w:t>,</w:t>
      </w:r>
      <w:r w:rsidR="00026996" w:rsidRPr="00056460">
        <w:rPr>
          <w:color w:val="auto"/>
        </w:rPr>
        <w:t xml:space="preserve"> DMSO, ethanol). When investigating the effect of different ligands a standard agonist should be included</w:t>
      </w:r>
      <w:r w:rsidR="0012026B" w:rsidRPr="00056460">
        <w:rPr>
          <w:color w:val="auto"/>
        </w:rPr>
        <w:t xml:space="preserve"> as reference</w:t>
      </w:r>
      <w:r w:rsidR="00026996" w:rsidRPr="00056460">
        <w:rPr>
          <w:color w:val="auto"/>
        </w:rPr>
        <w:t>.</w:t>
      </w:r>
    </w:p>
    <w:p w14:paraId="0FCEC7AC" w14:textId="77777777" w:rsidR="00056460" w:rsidRPr="00056460" w:rsidRDefault="00056460" w:rsidP="00056460">
      <w:pPr>
        <w:rPr>
          <w:color w:val="auto"/>
        </w:rPr>
      </w:pPr>
    </w:p>
    <w:p w14:paraId="5B1880F2" w14:textId="576B3C64" w:rsidR="00931140" w:rsidRPr="00056460" w:rsidRDefault="00931140" w:rsidP="00056460">
      <w:pPr>
        <w:rPr>
          <w:color w:val="auto"/>
        </w:rPr>
      </w:pPr>
      <w:r w:rsidRPr="00056460">
        <w:rPr>
          <w:color w:val="auto"/>
        </w:rPr>
        <w:t xml:space="preserve">Future directions should involve automatic liquid handling units, which </w:t>
      </w:r>
      <w:r w:rsidR="00322BFE" w:rsidRPr="00056460">
        <w:rPr>
          <w:color w:val="auto"/>
        </w:rPr>
        <w:t xml:space="preserve">might allow for completely automated dosing or titration. Applying </w:t>
      </w:r>
      <w:r w:rsidRPr="00056460">
        <w:rPr>
          <w:color w:val="auto"/>
        </w:rPr>
        <w:t>the serial addition mode in perfusion systems hold</w:t>
      </w:r>
      <w:r w:rsidR="005270C5" w:rsidRPr="00056460">
        <w:rPr>
          <w:color w:val="auto"/>
        </w:rPr>
        <w:t>s</w:t>
      </w:r>
      <w:r w:rsidRPr="00056460">
        <w:rPr>
          <w:color w:val="auto"/>
        </w:rPr>
        <w:t xml:space="preserve"> great potential for lab-on-a chip and organ-on a-chip </w:t>
      </w:r>
      <w:r w:rsidR="00B01AFD">
        <w:rPr>
          <w:color w:val="auto"/>
        </w:rPr>
        <w:t>approaches</w:t>
      </w:r>
      <w:r w:rsidR="008A035D" w:rsidRPr="00056460">
        <w:rPr>
          <w:color w:val="auto"/>
        </w:rPr>
        <w:t xml:space="preserve">, as well as for experiments performed under liquid shear stress. </w:t>
      </w:r>
    </w:p>
    <w:p w14:paraId="3AB367D0" w14:textId="77777777" w:rsidR="00566A41" w:rsidRPr="00056460" w:rsidRDefault="00566A41" w:rsidP="00056460">
      <w:pPr>
        <w:rPr>
          <w:color w:val="auto"/>
        </w:rPr>
      </w:pPr>
    </w:p>
    <w:p w14:paraId="1734505F" w14:textId="0DE149FF" w:rsidR="00AA03DF" w:rsidRPr="00056460" w:rsidRDefault="00AA03DF" w:rsidP="00056460">
      <w:pPr>
        <w:pStyle w:val="a3"/>
        <w:spacing w:before="0" w:beforeAutospacing="0" w:after="0" w:afterAutospacing="0"/>
        <w:rPr>
          <w:color w:val="auto"/>
        </w:rPr>
      </w:pPr>
      <w:r w:rsidRPr="00056460">
        <w:rPr>
          <w:b/>
          <w:bCs/>
          <w:color w:val="auto"/>
        </w:rPr>
        <w:t xml:space="preserve">ACKNOWLEDGMENTS: </w:t>
      </w:r>
    </w:p>
    <w:p w14:paraId="50264704" w14:textId="08A06CBA" w:rsidR="00D22294" w:rsidRPr="00056460" w:rsidRDefault="00D22294" w:rsidP="00056460">
      <w:pPr>
        <w:pStyle w:val="a3"/>
        <w:spacing w:before="0" w:beforeAutospacing="0" w:after="0" w:afterAutospacing="0"/>
        <w:rPr>
          <w:color w:val="auto"/>
        </w:rPr>
      </w:pPr>
      <w:r w:rsidRPr="00056460">
        <w:rPr>
          <w:color w:val="auto"/>
        </w:rPr>
        <w:t xml:space="preserve">We thank Barbara Goricnick and Nadja Hinterreiter for their help with cell culturing and preparation of </w:t>
      </w:r>
      <w:r w:rsidR="00322BFE" w:rsidRPr="00056460">
        <w:rPr>
          <w:color w:val="auto"/>
        </w:rPr>
        <w:t xml:space="preserve">experimental </w:t>
      </w:r>
      <w:r w:rsidRPr="00056460">
        <w:rPr>
          <w:color w:val="auto"/>
        </w:rPr>
        <w:t>solutions.</w:t>
      </w:r>
      <w:r w:rsidR="00E9589D" w:rsidRPr="00056460">
        <w:rPr>
          <w:color w:val="auto"/>
        </w:rPr>
        <w:t xml:space="preserve"> The authors gratefully acknowledge financial support by the Research Training Group 1910 "Medicinal chemistry of selective GPCR ligands" funded by the German Research Foundation (DFG) under grant number 222125149. JAS is particularly grateful for a scholarship granted by the Bavarian Gender Equality Program. </w:t>
      </w:r>
    </w:p>
    <w:p w14:paraId="341AE7F0" w14:textId="77777777" w:rsidR="00D22294" w:rsidRPr="00056460" w:rsidRDefault="00D22294" w:rsidP="00056460">
      <w:pPr>
        <w:pStyle w:val="a3"/>
        <w:spacing w:before="0" w:beforeAutospacing="0" w:after="0" w:afterAutospacing="0"/>
        <w:rPr>
          <w:b/>
          <w:color w:val="auto"/>
        </w:rPr>
      </w:pPr>
    </w:p>
    <w:p w14:paraId="5D52ED8B" w14:textId="48D7B9A6" w:rsidR="00AA03DF" w:rsidRPr="00056460" w:rsidRDefault="00AA03DF" w:rsidP="00056460">
      <w:pPr>
        <w:pStyle w:val="a3"/>
        <w:spacing w:before="0" w:beforeAutospacing="0" w:after="0" w:afterAutospacing="0"/>
        <w:rPr>
          <w:color w:val="auto"/>
        </w:rPr>
      </w:pPr>
      <w:r w:rsidRPr="00056460">
        <w:rPr>
          <w:b/>
          <w:color w:val="auto"/>
        </w:rPr>
        <w:t>DISCLOSURES</w:t>
      </w:r>
      <w:r w:rsidRPr="00056460">
        <w:rPr>
          <w:b/>
          <w:bCs/>
          <w:color w:val="auto"/>
        </w:rPr>
        <w:t xml:space="preserve">: </w:t>
      </w:r>
    </w:p>
    <w:p w14:paraId="30517124" w14:textId="08F24488" w:rsidR="008C169D" w:rsidRPr="00056460" w:rsidRDefault="00D22294" w:rsidP="00056460">
      <w:pPr>
        <w:rPr>
          <w:color w:val="auto"/>
        </w:rPr>
      </w:pPr>
      <w:r w:rsidRPr="00056460">
        <w:rPr>
          <w:color w:val="auto"/>
        </w:rPr>
        <w:t>The authors have nothing to disclose.</w:t>
      </w:r>
    </w:p>
    <w:p w14:paraId="66030076" w14:textId="77777777" w:rsidR="00AA03DF" w:rsidRPr="00056460" w:rsidRDefault="00AA03DF" w:rsidP="00056460">
      <w:pPr>
        <w:rPr>
          <w:color w:val="auto"/>
        </w:rPr>
      </w:pPr>
    </w:p>
    <w:p w14:paraId="5FC93EA6" w14:textId="01840CD5" w:rsidR="001217B9" w:rsidRPr="00056460" w:rsidRDefault="009726EE" w:rsidP="00056460">
      <w:pPr>
        <w:rPr>
          <w:b/>
          <w:color w:val="auto"/>
        </w:rPr>
      </w:pPr>
      <w:r w:rsidRPr="00056460">
        <w:rPr>
          <w:b/>
          <w:bCs/>
          <w:color w:val="auto"/>
        </w:rPr>
        <w:t>REFERENCES</w:t>
      </w:r>
      <w:r w:rsidR="00D04760" w:rsidRPr="00056460">
        <w:rPr>
          <w:b/>
          <w:bCs/>
          <w:color w:val="auto"/>
        </w:rPr>
        <w:t>:</w:t>
      </w:r>
      <w:r w:rsidRPr="00056460">
        <w:rPr>
          <w:color w:val="auto"/>
        </w:rPr>
        <w:t xml:space="preserve"> </w:t>
      </w:r>
    </w:p>
    <w:p w14:paraId="4284FE17" w14:textId="77777777" w:rsidR="00564898" w:rsidRPr="00056460" w:rsidRDefault="001217B9" w:rsidP="00056460">
      <w:pPr>
        <w:pStyle w:val="EndNoteBibliography"/>
        <w:rPr>
          <w:color w:val="auto"/>
        </w:rPr>
      </w:pPr>
      <w:r w:rsidRPr="00056460">
        <w:rPr>
          <w:color w:val="auto"/>
        </w:rPr>
        <w:fldChar w:fldCharType="begin"/>
      </w:r>
      <w:r w:rsidRPr="00056460">
        <w:rPr>
          <w:color w:val="auto"/>
        </w:rPr>
        <w:instrText xml:space="preserve"> ADDIN EN.REFLIST </w:instrText>
      </w:r>
      <w:r w:rsidRPr="00056460">
        <w:rPr>
          <w:color w:val="auto"/>
        </w:rPr>
        <w:fldChar w:fldCharType="separate"/>
      </w:r>
      <w:bookmarkStart w:id="3" w:name="_ENREF_1"/>
      <w:r w:rsidR="00564898" w:rsidRPr="00056460">
        <w:rPr>
          <w:color w:val="auto"/>
        </w:rPr>
        <w:t>1</w:t>
      </w:r>
      <w:r w:rsidR="00564898" w:rsidRPr="00056460">
        <w:rPr>
          <w:color w:val="auto"/>
        </w:rPr>
        <w:tab/>
        <w:t xml:space="preserve">Rosenbaum, D. M., Rasmussen, S. G. &amp; Kobilka, B. K. The structure and function of G-protein-coupled receptors. </w:t>
      </w:r>
      <w:r w:rsidR="00564898" w:rsidRPr="00056460">
        <w:rPr>
          <w:i/>
          <w:color w:val="auto"/>
        </w:rPr>
        <w:t>Nature</w:t>
      </w:r>
      <w:r w:rsidR="00564898" w:rsidRPr="00056460">
        <w:rPr>
          <w:color w:val="auto"/>
        </w:rPr>
        <w:t xml:space="preserve"> </w:t>
      </w:r>
      <w:r w:rsidR="00564898" w:rsidRPr="00056460">
        <w:rPr>
          <w:b/>
          <w:color w:val="auto"/>
        </w:rPr>
        <w:t>459</w:t>
      </w:r>
      <w:r w:rsidR="00564898" w:rsidRPr="00056460">
        <w:rPr>
          <w:color w:val="auto"/>
        </w:rPr>
        <w:t>, 356-363, doi:10.1038/nature08144 (2009).</w:t>
      </w:r>
      <w:bookmarkEnd w:id="3"/>
    </w:p>
    <w:p w14:paraId="552F84D4" w14:textId="3334DE52" w:rsidR="00564898" w:rsidRPr="00056460" w:rsidRDefault="00564898" w:rsidP="00056460">
      <w:pPr>
        <w:pStyle w:val="EndNoteBibliography"/>
        <w:rPr>
          <w:color w:val="auto"/>
        </w:rPr>
      </w:pPr>
      <w:bookmarkStart w:id="4" w:name="_ENREF_2"/>
      <w:r w:rsidRPr="00056460">
        <w:rPr>
          <w:color w:val="auto"/>
        </w:rPr>
        <w:t>2</w:t>
      </w:r>
      <w:r w:rsidRPr="00056460">
        <w:rPr>
          <w:color w:val="auto"/>
        </w:rPr>
        <w:tab/>
        <w:t xml:space="preserve">Sriram, K. &amp; Insel, P. A. G Protein-Coupled Receptors as Targets for Approved Drugs: How Many Targets and How Many Drugs? </w:t>
      </w:r>
      <w:r w:rsidRPr="00056460">
        <w:rPr>
          <w:i/>
          <w:color w:val="auto"/>
        </w:rPr>
        <w:t>Molecular Pharmacology</w:t>
      </w:r>
      <w:r w:rsidRPr="00056460">
        <w:rPr>
          <w:color w:val="auto"/>
        </w:rPr>
        <w:t xml:space="preserve"> </w:t>
      </w:r>
      <w:r w:rsidRPr="00056460">
        <w:rPr>
          <w:b/>
          <w:color w:val="auto"/>
        </w:rPr>
        <w:t>93</w:t>
      </w:r>
      <w:r w:rsidRPr="00056460">
        <w:rPr>
          <w:color w:val="auto"/>
        </w:rPr>
        <w:t>, 251-258, doi:10.1124/mol.117.111062 (2018).</w:t>
      </w:r>
      <w:bookmarkEnd w:id="4"/>
    </w:p>
    <w:p w14:paraId="103463B8" w14:textId="1E01E750" w:rsidR="00564898" w:rsidRPr="00056460" w:rsidRDefault="00564898" w:rsidP="00056460">
      <w:pPr>
        <w:pStyle w:val="EndNoteBibliography"/>
        <w:rPr>
          <w:color w:val="auto"/>
        </w:rPr>
      </w:pPr>
      <w:bookmarkStart w:id="5" w:name="_ENREF_3"/>
      <w:r w:rsidRPr="00056460">
        <w:rPr>
          <w:color w:val="auto"/>
        </w:rPr>
        <w:t>3</w:t>
      </w:r>
      <w:r w:rsidRPr="00056460">
        <w:rPr>
          <w:color w:val="auto"/>
        </w:rPr>
        <w:tab/>
        <w:t xml:space="preserve">Kaitin, K. I. Deconstructing the drug development process: The new face of innovation. </w:t>
      </w:r>
      <w:r w:rsidRPr="00056460">
        <w:rPr>
          <w:i/>
          <w:color w:val="auto"/>
        </w:rPr>
        <w:t>Clinical Pharmacoly and Therapeutics</w:t>
      </w:r>
      <w:r w:rsidRPr="00056460">
        <w:rPr>
          <w:color w:val="auto"/>
        </w:rPr>
        <w:t xml:space="preserve"> </w:t>
      </w:r>
      <w:r w:rsidRPr="00056460">
        <w:rPr>
          <w:b/>
          <w:color w:val="auto"/>
        </w:rPr>
        <w:t>87</w:t>
      </w:r>
      <w:r w:rsidRPr="00056460">
        <w:rPr>
          <w:color w:val="auto"/>
        </w:rPr>
        <w:t>, 6 (2010).</w:t>
      </w:r>
      <w:bookmarkEnd w:id="5"/>
    </w:p>
    <w:p w14:paraId="5E275DF0" w14:textId="77777777" w:rsidR="00564898" w:rsidRPr="00056460" w:rsidRDefault="00564898" w:rsidP="00056460">
      <w:pPr>
        <w:pStyle w:val="EndNoteBibliography"/>
        <w:rPr>
          <w:color w:val="auto"/>
        </w:rPr>
      </w:pPr>
      <w:bookmarkStart w:id="6" w:name="_ENREF_4"/>
      <w:r w:rsidRPr="00056460">
        <w:rPr>
          <w:color w:val="auto"/>
        </w:rPr>
        <w:t>4</w:t>
      </w:r>
      <w:r w:rsidRPr="00056460">
        <w:rPr>
          <w:color w:val="auto"/>
        </w:rPr>
        <w:tab/>
        <w:t xml:space="preserve">Kenakin, T. P. Cellular assays as portals to seven-transmembrane receptor-based drug discovery. </w:t>
      </w:r>
      <w:r w:rsidRPr="00056460">
        <w:rPr>
          <w:i/>
          <w:color w:val="auto"/>
        </w:rPr>
        <w:t>Nature reviews. Drug discovery</w:t>
      </w:r>
      <w:r w:rsidRPr="00056460">
        <w:rPr>
          <w:color w:val="auto"/>
        </w:rPr>
        <w:t xml:space="preserve"> </w:t>
      </w:r>
      <w:r w:rsidRPr="00056460">
        <w:rPr>
          <w:b/>
          <w:color w:val="auto"/>
        </w:rPr>
        <w:t>8</w:t>
      </w:r>
      <w:r w:rsidRPr="00056460">
        <w:rPr>
          <w:color w:val="auto"/>
        </w:rPr>
        <w:t>, 617-626, doi:10.1038/nrd2838 (2009).</w:t>
      </w:r>
      <w:bookmarkEnd w:id="6"/>
    </w:p>
    <w:p w14:paraId="0708A2B1" w14:textId="558458B1" w:rsidR="00564898" w:rsidRPr="00056460" w:rsidRDefault="00564898" w:rsidP="00056460">
      <w:pPr>
        <w:pStyle w:val="EndNoteBibliography"/>
        <w:rPr>
          <w:color w:val="auto"/>
        </w:rPr>
      </w:pPr>
      <w:bookmarkStart w:id="7" w:name="_ENREF_5"/>
      <w:r w:rsidRPr="00056460">
        <w:rPr>
          <w:color w:val="auto"/>
        </w:rPr>
        <w:t>5</w:t>
      </w:r>
      <w:r w:rsidRPr="00056460">
        <w:rPr>
          <w:color w:val="auto"/>
        </w:rPr>
        <w:tab/>
        <w:t xml:space="preserve">Zhang, R. &amp; Xie, X. Tools for GPCR drug discovery. </w:t>
      </w:r>
      <w:r w:rsidRPr="00056460">
        <w:rPr>
          <w:i/>
          <w:color w:val="auto"/>
        </w:rPr>
        <w:t>Acta Pharmacologica Sinica</w:t>
      </w:r>
      <w:r w:rsidRPr="00056460">
        <w:rPr>
          <w:color w:val="auto"/>
        </w:rPr>
        <w:t xml:space="preserve"> </w:t>
      </w:r>
      <w:r w:rsidRPr="00056460">
        <w:rPr>
          <w:b/>
          <w:color w:val="auto"/>
        </w:rPr>
        <w:t>33</w:t>
      </w:r>
      <w:r w:rsidRPr="00056460">
        <w:rPr>
          <w:color w:val="auto"/>
        </w:rPr>
        <w:t>, 372-384, doi:10.1038/aps.2011.173 (2012).</w:t>
      </w:r>
      <w:bookmarkEnd w:id="7"/>
    </w:p>
    <w:p w14:paraId="0D477638" w14:textId="248E75F9" w:rsidR="00564898" w:rsidRPr="00056460" w:rsidRDefault="00564898" w:rsidP="00056460">
      <w:pPr>
        <w:pStyle w:val="EndNoteBibliography"/>
        <w:rPr>
          <w:color w:val="auto"/>
        </w:rPr>
      </w:pPr>
      <w:bookmarkStart w:id="8" w:name="_ENREF_6"/>
      <w:r w:rsidRPr="00056460">
        <w:rPr>
          <w:color w:val="auto"/>
        </w:rPr>
        <w:t>6</w:t>
      </w:r>
      <w:r w:rsidRPr="00056460">
        <w:rPr>
          <w:color w:val="auto"/>
        </w:rPr>
        <w:tab/>
        <w:t xml:space="preserve">Scott, C. W. &amp; Peters, M. F. Label-free whole-cell assays: expanding the scope of GPCR screening. </w:t>
      </w:r>
      <w:r w:rsidRPr="00056460">
        <w:rPr>
          <w:i/>
          <w:color w:val="auto"/>
        </w:rPr>
        <w:t>Drug Discovery Today</w:t>
      </w:r>
      <w:r w:rsidRPr="00056460">
        <w:rPr>
          <w:color w:val="auto"/>
        </w:rPr>
        <w:t xml:space="preserve"> </w:t>
      </w:r>
      <w:r w:rsidRPr="00056460">
        <w:rPr>
          <w:b/>
          <w:color w:val="auto"/>
        </w:rPr>
        <w:t>15</w:t>
      </w:r>
      <w:r w:rsidRPr="00056460">
        <w:rPr>
          <w:color w:val="auto"/>
        </w:rPr>
        <w:t>, 704-716, doi:10.1016/j.drudis.2010.06.008 (2010).</w:t>
      </w:r>
      <w:bookmarkEnd w:id="8"/>
    </w:p>
    <w:p w14:paraId="7B8CBDF3" w14:textId="77777777" w:rsidR="00564898" w:rsidRPr="00056460" w:rsidRDefault="00564898" w:rsidP="00056460">
      <w:pPr>
        <w:pStyle w:val="EndNoteBibliography"/>
        <w:rPr>
          <w:color w:val="auto"/>
        </w:rPr>
      </w:pPr>
      <w:bookmarkStart w:id="9" w:name="_ENREF_7"/>
      <w:r w:rsidRPr="00056460">
        <w:rPr>
          <w:color w:val="auto"/>
        </w:rPr>
        <w:t>7</w:t>
      </w:r>
      <w:r w:rsidRPr="00056460">
        <w:rPr>
          <w:color w:val="auto"/>
        </w:rPr>
        <w:tab/>
        <w:t xml:space="preserve">Giaever, I. &amp; Keese, C. R. Monitoring fibroblast behavior in tissue culture with an applied electric field. </w:t>
      </w:r>
      <w:r w:rsidRPr="00056460">
        <w:rPr>
          <w:i/>
          <w:color w:val="auto"/>
        </w:rPr>
        <w:t>Proceedings of the National Academy of Sciences of the United States of America</w:t>
      </w:r>
      <w:r w:rsidRPr="00056460">
        <w:rPr>
          <w:color w:val="auto"/>
        </w:rPr>
        <w:t xml:space="preserve"> </w:t>
      </w:r>
      <w:r w:rsidRPr="00056460">
        <w:rPr>
          <w:b/>
          <w:color w:val="auto"/>
        </w:rPr>
        <w:t>81</w:t>
      </w:r>
      <w:r w:rsidRPr="00056460">
        <w:rPr>
          <w:color w:val="auto"/>
        </w:rPr>
        <w:t>, 3761-3764, doi:10.1073/pnas.81.12.3761 (1984).</w:t>
      </w:r>
      <w:bookmarkEnd w:id="9"/>
    </w:p>
    <w:p w14:paraId="3EACB454" w14:textId="77777777" w:rsidR="00564898" w:rsidRPr="00056460" w:rsidRDefault="00564898" w:rsidP="00056460">
      <w:pPr>
        <w:pStyle w:val="EndNoteBibliography"/>
        <w:rPr>
          <w:color w:val="auto"/>
        </w:rPr>
      </w:pPr>
      <w:bookmarkStart w:id="10" w:name="_ENREF_8"/>
      <w:r w:rsidRPr="00056460">
        <w:rPr>
          <w:color w:val="auto"/>
        </w:rPr>
        <w:t>8</w:t>
      </w:r>
      <w:r w:rsidRPr="00056460">
        <w:rPr>
          <w:color w:val="auto"/>
        </w:rPr>
        <w:tab/>
        <w:t xml:space="preserve">Giaever, I. &amp; Keese, C. R. A morphological biosensor for mammalian cells. </w:t>
      </w:r>
      <w:r w:rsidRPr="00056460">
        <w:rPr>
          <w:i/>
          <w:color w:val="auto"/>
        </w:rPr>
        <w:t>Nature</w:t>
      </w:r>
      <w:r w:rsidRPr="00056460">
        <w:rPr>
          <w:color w:val="auto"/>
        </w:rPr>
        <w:t xml:space="preserve"> </w:t>
      </w:r>
      <w:r w:rsidRPr="00056460">
        <w:rPr>
          <w:b/>
          <w:color w:val="auto"/>
        </w:rPr>
        <w:t>366</w:t>
      </w:r>
      <w:r w:rsidRPr="00056460">
        <w:rPr>
          <w:color w:val="auto"/>
        </w:rPr>
        <w:t>, 591-592, doi:10.1038/366591a0 (1993).</w:t>
      </w:r>
      <w:bookmarkEnd w:id="10"/>
    </w:p>
    <w:p w14:paraId="3A0E5468" w14:textId="77777777" w:rsidR="00564898" w:rsidRPr="00056460" w:rsidRDefault="00564898" w:rsidP="00056460">
      <w:pPr>
        <w:pStyle w:val="EndNoteBibliography"/>
        <w:rPr>
          <w:color w:val="auto"/>
        </w:rPr>
      </w:pPr>
      <w:bookmarkStart w:id="11" w:name="_ENREF_9"/>
      <w:r w:rsidRPr="00056460">
        <w:rPr>
          <w:color w:val="auto"/>
        </w:rPr>
        <w:t>9</w:t>
      </w:r>
      <w:r w:rsidRPr="00056460">
        <w:rPr>
          <w:color w:val="auto"/>
        </w:rPr>
        <w:tab/>
        <w:t xml:space="preserve">Fang, Y., Ferrie, A. M., Fontaine, N. H., Mauro, J. &amp; Balakrishnan, J. Resonant waveguide grating biosensor for living cell sensing. </w:t>
      </w:r>
      <w:r w:rsidRPr="00056460">
        <w:rPr>
          <w:i/>
          <w:color w:val="auto"/>
        </w:rPr>
        <w:t>Biophysical Journal</w:t>
      </w:r>
      <w:r w:rsidRPr="00056460">
        <w:rPr>
          <w:color w:val="auto"/>
        </w:rPr>
        <w:t xml:space="preserve"> </w:t>
      </w:r>
      <w:r w:rsidRPr="00056460">
        <w:rPr>
          <w:b/>
          <w:color w:val="auto"/>
        </w:rPr>
        <w:t>91</w:t>
      </w:r>
      <w:r w:rsidRPr="00056460">
        <w:rPr>
          <w:color w:val="auto"/>
        </w:rPr>
        <w:t>, 16 (2006).</w:t>
      </w:r>
      <w:bookmarkEnd w:id="11"/>
    </w:p>
    <w:p w14:paraId="49586FB5" w14:textId="5EB7FF90" w:rsidR="00564898" w:rsidRPr="00056460" w:rsidRDefault="00564898" w:rsidP="00056460">
      <w:pPr>
        <w:pStyle w:val="EndNoteBibliography"/>
        <w:rPr>
          <w:color w:val="auto"/>
        </w:rPr>
      </w:pPr>
      <w:bookmarkStart w:id="12" w:name="_ENREF_10"/>
      <w:r w:rsidRPr="00056460">
        <w:rPr>
          <w:color w:val="auto"/>
        </w:rPr>
        <w:t>10</w:t>
      </w:r>
      <w:r w:rsidRPr="00056460">
        <w:rPr>
          <w:color w:val="auto"/>
        </w:rPr>
        <w:tab/>
        <w:t xml:space="preserve">Stolwijk, J. A., Matrougui, K., Renken, C. W. &amp; Trebak, M. Impedance analysis of GPCR-mediated changes in endothelial barrier function: overview and fundamental considerations for stable and reproducible measurements. </w:t>
      </w:r>
      <w:r w:rsidRPr="00056460">
        <w:rPr>
          <w:i/>
          <w:color w:val="auto"/>
        </w:rPr>
        <w:t>Pflugers Archiv : European Journal of Physiology</w:t>
      </w:r>
      <w:r w:rsidRPr="00056460">
        <w:rPr>
          <w:color w:val="auto"/>
        </w:rPr>
        <w:t xml:space="preserve"> </w:t>
      </w:r>
      <w:r w:rsidRPr="00056460">
        <w:rPr>
          <w:b/>
          <w:color w:val="auto"/>
        </w:rPr>
        <w:t>467</w:t>
      </w:r>
      <w:r w:rsidRPr="00056460">
        <w:rPr>
          <w:color w:val="auto"/>
        </w:rPr>
        <w:t>, 2193-2218, doi:10.1007/s00424-014-1674-0 (2015).</w:t>
      </w:r>
      <w:bookmarkEnd w:id="12"/>
    </w:p>
    <w:p w14:paraId="1AE9DEE8" w14:textId="234D0899" w:rsidR="00564898" w:rsidRPr="00056460" w:rsidRDefault="00564898" w:rsidP="00056460">
      <w:pPr>
        <w:pStyle w:val="EndNoteBibliography"/>
        <w:rPr>
          <w:color w:val="auto"/>
        </w:rPr>
      </w:pPr>
      <w:bookmarkStart w:id="13" w:name="_ENREF_11"/>
      <w:r w:rsidRPr="00056460">
        <w:rPr>
          <w:color w:val="auto"/>
        </w:rPr>
        <w:t>11</w:t>
      </w:r>
      <w:r w:rsidRPr="00056460">
        <w:rPr>
          <w:color w:val="auto"/>
        </w:rPr>
        <w:tab/>
        <w:t>Lieb, S.</w:t>
      </w:r>
      <w:r w:rsidRPr="00056460">
        <w:rPr>
          <w:i/>
          <w:color w:val="auto"/>
        </w:rPr>
        <w:t xml:space="preserve"> et al.</w:t>
      </w:r>
      <w:r w:rsidRPr="00056460">
        <w:rPr>
          <w:color w:val="auto"/>
        </w:rPr>
        <w:t xml:space="preserve"> Label-free versus conventional cellular assays: Functional investigations on the human histamine H1 receptor. </w:t>
      </w:r>
      <w:r w:rsidRPr="00056460">
        <w:rPr>
          <w:i/>
          <w:color w:val="auto"/>
        </w:rPr>
        <w:t>Pharmacological Research</w:t>
      </w:r>
      <w:r w:rsidRPr="00056460">
        <w:rPr>
          <w:color w:val="auto"/>
        </w:rPr>
        <w:t xml:space="preserve"> </w:t>
      </w:r>
      <w:r w:rsidRPr="00056460">
        <w:rPr>
          <w:b/>
          <w:color w:val="auto"/>
        </w:rPr>
        <w:t>114</w:t>
      </w:r>
      <w:r w:rsidRPr="00056460">
        <w:rPr>
          <w:color w:val="auto"/>
        </w:rPr>
        <w:t>, 13-26, doi:10.1016/j.phrs.2016.10.010 (2016).</w:t>
      </w:r>
      <w:bookmarkEnd w:id="13"/>
    </w:p>
    <w:p w14:paraId="51950385" w14:textId="77777777" w:rsidR="00564898" w:rsidRPr="00056460" w:rsidRDefault="00564898" w:rsidP="00056460">
      <w:pPr>
        <w:pStyle w:val="EndNoteBibliography"/>
        <w:rPr>
          <w:color w:val="auto"/>
        </w:rPr>
      </w:pPr>
      <w:bookmarkStart w:id="14" w:name="_ENREF_12"/>
      <w:r w:rsidRPr="00056460">
        <w:rPr>
          <w:color w:val="auto"/>
        </w:rPr>
        <w:t>12</w:t>
      </w:r>
      <w:r w:rsidRPr="00056460">
        <w:rPr>
          <w:color w:val="auto"/>
        </w:rPr>
        <w:tab/>
        <w:t>Stolwijk, J. A.</w:t>
      </w:r>
      <w:r w:rsidRPr="00056460">
        <w:rPr>
          <w:i/>
          <w:color w:val="auto"/>
        </w:rPr>
        <w:t xml:space="preserve"> et al.</w:t>
      </w:r>
      <w:r w:rsidRPr="00056460">
        <w:rPr>
          <w:color w:val="auto"/>
        </w:rPr>
        <w:t xml:space="preserve"> Increasing the throughput of label-free cell assays to study the activation of G-protein-coupled receptors by using a serial agonist exposure protocol. </w:t>
      </w:r>
      <w:r w:rsidRPr="00056460">
        <w:rPr>
          <w:i/>
          <w:color w:val="auto"/>
        </w:rPr>
        <w:t>Integrative Biology</w:t>
      </w:r>
      <w:r w:rsidRPr="00056460">
        <w:rPr>
          <w:color w:val="auto"/>
        </w:rPr>
        <w:t xml:space="preserve"> </w:t>
      </w:r>
      <w:r w:rsidRPr="00056460">
        <w:rPr>
          <w:b/>
          <w:color w:val="auto"/>
        </w:rPr>
        <w:t>11</w:t>
      </w:r>
      <w:r w:rsidRPr="00056460">
        <w:rPr>
          <w:color w:val="auto"/>
        </w:rPr>
        <w:t>, 10 (2019).</w:t>
      </w:r>
      <w:bookmarkEnd w:id="14"/>
    </w:p>
    <w:p w14:paraId="16425407" w14:textId="1B0BEBB1" w:rsidR="005270C5" w:rsidRPr="00056460" w:rsidRDefault="001217B9" w:rsidP="00056460">
      <w:pPr>
        <w:rPr>
          <w:color w:val="auto"/>
        </w:rPr>
      </w:pPr>
      <w:r w:rsidRPr="00056460">
        <w:rPr>
          <w:color w:val="auto"/>
        </w:rPr>
        <w:fldChar w:fldCharType="end"/>
      </w:r>
    </w:p>
    <w:sectPr w:rsidR="005270C5" w:rsidRPr="00056460" w:rsidSect="00BA70A3">
      <w:headerReference w:type="default" r:id="rId7"/>
      <w:headerReference w:type="first" r:id="rId8"/>
      <w:footerReference w:type="first" r:id="rId9"/>
      <w:pgSz w:w="12240" w:h="15840" w:code="1"/>
      <w:pgMar w:top="1440" w:right="1440" w:bottom="1440" w:left="1418" w:header="720" w:footer="605" w:gutter="0"/>
      <w:lnNumType w:countBy="1" w:restart="continuous"/>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623B5E" w14:textId="77777777" w:rsidR="00A42019" w:rsidRDefault="00A42019" w:rsidP="00621C4E">
      <w:r>
        <w:separator/>
      </w:r>
    </w:p>
  </w:endnote>
  <w:endnote w:type="continuationSeparator" w:id="0">
    <w:p w14:paraId="0BEC3DB9" w14:textId="77777777" w:rsidR="00A42019" w:rsidRDefault="00A42019"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FD2380" w:rsidRDefault="00FD2380"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E41A26" w14:textId="77777777" w:rsidR="00A42019" w:rsidRDefault="00A42019" w:rsidP="00621C4E">
      <w:r>
        <w:separator/>
      </w:r>
    </w:p>
  </w:footnote>
  <w:footnote w:type="continuationSeparator" w:id="0">
    <w:p w14:paraId="02AFAF97" w14:textId="77777777" w:rsidR="00A42019" w:rsidRDefault="00A42019"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FD2380" w:rsidRPr="006F06E4" w:rsidRDefault="00FD2380" w:rsidP="00B81B15">
    <w:pPr>
      <w:pStyle w:val="a5"/>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FDB2F" w14:textId="68843018" w:rsidR="00FD2380" w:rsidRPr="006F06E4" w:rsidRDefault="00FD2380" w:rsidP="006F06E4">
    <w:pPr>
      <w:pStyle w:val="a5"/>
      <w:jc w:val="right"/>
      <w:rPr>
        <w:b/>
        <w:color w:val="1F497D"/>
        <w:sz w:val="32"/>
        <w:szCs w:val="32"/>
      </w:rPr>
    </w:pPr>
    <w:r>
      <w:rPr>
        <w:b/>
        <w:noProof/>
        <w:color w:val="1F497D"/>
        <w:sz w:val="32"/>
        <w:szCs w:val="32"/>
      </w:rPr>
      <w:drawing>
        <wp:anchor distT="0" distB="0" distL="114300" distR="114300" simplePos="0" relativeHeight="251657216" behindDoc="1" locked="0" layoutInCell="1" allowOverlap="1" wp14:anchorId="4072EC3F" wp14:editId="7AE1AA44">
          <wp:simplePos x="0" y="0"/>
          <wp:positionH relativeFrom="margin">
            <wp:align>left</wp:align>
          </wp:positionH>
          <wp:positionV relativeFrom="paragraph">
            <wp:posOffset>-428625</wp:posOffset>
          </wp:positionV>
          <wp:extent cx="2843586" cy="93408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etterhead_new"/>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843586" cy="934085"/>
                  </a:xfrm>
                  <a:prstGeom prst="rect">
                    <a:avLst/>
                  </a:prstGeom>
                  <a:noFill/>
                </pic:spPr>
              </pic:pic>
            </a:graphicData>
          </a:graphic>
          <wp14:sizeRelH relativeFrom="margin">
            <wp14:pctWidth>0</wp14:pctWidth>
          </wp14:sizeRelH>
        </wp:anchor>
      </w:drawing>
    </w:r>
    <w:r>
      <w:rPr>
        <w:b/>
        <w:color w:val="1F497D"/>
        <w:sz w:val="32"/>
        <w:szCs w:val="32"/>
      </w:rPr>
      <w:t>Standard Manuscript Template</w:t>
    </w:r>
    <w:r>
      <w:rPr>
        <w:b/>
        <w:color w:val="1F497D"/>
        <w:sz w:val="32"/>
        <w:szCs w:val="32"/>
      </w:rPr>
      <w:br/>
    </w:r>
    <w:r w:rsidRPr="0087775C">
      <w:rPr>
        <w:b/>
        <w:color w:val="1F497D"/>
        <w:szCs w:val="32"/>
      </w:rPr>
      <w:t>Remove all gr</w:t>
    </w:r>
    <w:r>
      <w:rPr>
        <w:b/>
        <w:color w:val="1F497D"/>
        <w:szCs w:val="32"/>
      </w:rPr>
      <w:t>a</w:t>
    </w:r>
    <w:r w:rsidRPr="0087775C">
      <w:rPr>
        <w:b/>
        <w:color w:val="1F497D"/>
        <w:szCs w:val="32"/>
      </w:rPr>
      <w:t>y text before submitting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3"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4"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5"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56300C"/>
    <w:multiLevelType w:val="multilevel"/>
    <w:tmpl w:val="37E228BE"/>
    <w:lvl w:ilvl="0">
      <w:start w:val="1"/>
      <w:numFmt w:val="decimal"/>
      <w:lvlText w:val="%1."/>
      <w:lvlJc w:val="left"/>
      <w:pPr>
        <w:ind w:left="0" w:firstLine="0"/>
      </w:pPr>
      <w:rPr>
        <w:rFonts w:hint="default"/>
      </w:rPr>
    </w:lvl>
    <w:lvl w:ilvl="1">
      <w:start w:val="1"/>
      <w:numFmt w:val="decimal"/>
      <w:isLgl/>
      <w:lvlText w:val="%1.%2."/>
      <w:lvlJc w:val="left"/>
      <w:pPr>
        <w:ind w:left="0" w:firstLine="0"/>
      </w:pPr>
      <w:rPr>
        <w:rFonts w:hint="default"/>
      </w:rPr>
    </w:lvl>
    <w:lvl w:ilvl="2">
      <w:start w:val="1"/>
      <w:numFmt w:val="decimal"/>
      <w:isLgl/>
      <w:lvlText w:val="%1.%2.%3."/>
      <w:lvlJc w:val="left"/>
      <w:pPr>
        <w:ind w:left="0" w:firstLine="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1"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2"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8" w15:restartNumberingAfterBreak="0">
    <w:nsid w:val="7DC838E8"/>
    <w:multiLevelType w:val="hybridMultilevel"/>
    <w:tmpl w:val="D0ACF3B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
  </w:num>
  <w:num w:numId="2">
    <w:abstractNumId w:val="18"/>
  </w:num>
  <w:num w:numId="3">
    <w:abstractNumId w:val="4"/>
  </w:num>
  <w:num w:numId="4">
    <w:abstractNumId w:val="16"/>
  </w:num>
  <w:num w:numId="5">
    <w:abstractNumId w:val="9"/>
  </w:num>
  <w:num w:numId="6">
    <w:abstractNumId w:val="15"/>
  </w:num>
  <w:num w:numId="7">
    <w:abstractNumId w:val="0"/>
  </w:num>
  <w:num w:numId="8">
    <w:abstractNumId w:val="10"/>
  </w:num>
  <w:num w:numId="9">
    <w:abstractNumId w:val="11"/>
  </w:num>
  <w:num w:numId="10">
    <w:abstractNumId w:val="17"/>
  </w:num>
  <w:num w:numId="11">
    <w:abstractNumId w:val="22"/>
  </w:num>
  <w:num w:numId="12">
    <w:abstractNumId w:val="2"/>
  </w:num>
  <w:num w:numId="13">
    <w:abstractNumId w:val="19"/>
  </w:num>
  <w:num w:numId="14">
    <w:abstractNumId w:val="26"/>
  </w:num>
  <w:num w:numId="15">
    <w:abstractNumId w:val="12"/>
  </w:num>
  <w:num w:numId="16">
    <w:abstractNumId w:val="8"/>
  </w:num>
  <w:num w:numId="17">
    <w:abstractNumId w:val="21"/>
  </w:num>
  <w:num w:numId="18">
    <w:abstractNumId w:val="13"/>
  </w:num>
  <w:num w:numId="19">
    <w:abstractNumId w:val="24"/>
  </w:num>
  <w:num w:numId="20">
    <w:abstractNumId w:val="3"/>
  </w:num>
  <w:num w:numId="21">
    <w:abstractNumId w:val="25"/>
  </w:num>
  <w:num w:numId="22">
    <w:abstractNumId w:val="23"/>
  </w:num>
  <w:num w:numId="23">
    <w:abstractNumId w:val="14"/>
  </w:num>
  <w:num w:numId="24">
    <w:abstractNumId w:val="27"/>
  </w:num>
  <w:num w:numId="25">
    <w:abstractNumId w:val="7"/>
  </w:num>
  <w:num w:numId="26">
    <w:abstractNumId w:val="1"/>
  </w:num>
  <w:num w:numId="27">
    <w:abstractNumId w:val="6"/>
  </w:num>
  <w:num w:numId="28">
    <w:abstractNumId w:val="29"/>
  </w:num>
  <w:num w:numId="29">
    <w:abstractNumId w:val="28"/>
  </w:num>
  <w:num w:numId="30">
    <w:abstractNumId w:val="2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0&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dw0r95stcvf9wme0p9v5t9xp5frpsx50e5pe&quot;&gt;Stufen JoVE&lt;record-ids&gt;&lt;item&gt;1&lt;/item&gt;&lt;item&gt;5&lt;/item&gt;&lt;item&gt;7&lt;/item&gt;&lt;item&gt;8&lt;/item&gt;&lt;item&gt;34&lt;/item&gt;&lt;item&gt;38&lt;/item&gt;&lt;item&gt;40&lt;/item&gt;&lt;item&gt;44&lt;/item&gt;&lt;item&gt;45&lt;/item&gt;&lt;item&gt;46&lt;/item&gt;&lt;/record-ids&gt;&lt;/item&gt;&lt;/Libraries&gt;"/>
  </w:docVars>
  <w:rsids>
    <w:rsidRoot w:val="00EE705F"/>
    <w:rsid w:val="00001169"/>
    <w:rsid w:val="00001806"/>
    <w:rsid w:val="00001E82"/>
    <w:rsid w:val="0000259F"/>
    <w:rsid w:val="00005815"/>
    <w:rsid w:val="000065BC"/>
    <w:rsid w:val="00006E68"/>
    <w:rsid w:val="00007DBC"/>
    <w:rsid w:val="00007EA1"/>
    <w:rsid w:val="000100F0"/>
    <w:rsid w:val="00012024"/>
    <w:rsid w:val="000129B2"/>
    <w:rsid w:val="00012FF9"/>
    <w:rsid w:val="0001389C"/>
    <w:rsid w:val="00014314"/>
    <w:rsid w:val="000205CB"/>
    <w:rsid w:val="000212AE"/>
    <w:rsid w:val="00021434"/>
    <w:rsid w:val="00021774"/>
    <w:rsid w:val="00021DF3"/>
    <w:rsid w:val="00022C1A"/>
    <w:rsid w:val="00023869"/>
    <w:rsid w:val="00024598"/>
    <w:rsid w:val="00026996"/>
    <w:rsid w:val="000279B0"/>
    <w:rsid w:val="00032769"/>
    <w:rsid w:val="0003311E"/>
    <w:rsid w:val="00033675"/>
    <w:rsid w:val="00037B58"/>
    <w:rsid w:val="00051B73"/>
    <w:rsid w:val="0005281D"/>
    <w:rsid w:val="000535AB"/>
    <w:rsid w:val="00056460"/>
    <w:rsid w:val="000575CF"/>
    <w:rsid w:val="00060ABE"/>
    <w:rsid w:val="00061A50"/>
    <w:rsid w:val="0006361B"/>
    <w:rsid w:val="00064104"/>
    <w:rsid w:val="00064F32"/>
    <w:rsid w:val="000652E3"/>
    <w:rsid w:val="00065CE1"/>
    <w:rsid w:val="00066025"/>
    <w:rsid w:val="00066CD6"/>
    <w:rsid w:val="00067A8F"/>
    <w:rsid w:val="000701D1"/>
    <w:rsid w:val="00073D96"/>
    <w:rsid w:val="0007446E"/>
    <w:rsid w:val="000757DB"/>
    <w:rsid w:val="000762C8"/>
    <w:rsid w:val="00080158"/>
    <w:rsid w:val="00080A20"/>
    <w:rsid w:val="00082796"/>
    <w:rsid w:val="00082DF4"/>
    <w:rsid w:val="000834FE"/>
    <w:rsid w:val="00086FF5"/>
    <w:rsid w:val="00087C0A"/>
    <w:rsid w:val="00091788"/>
    <w:rsid w:val="00093BC4"/>
    <w:rsid w:val="000943E6"/>
    <w:rsid w:val="000948E9"/>
    <w:rsid w:val="00097929"/>
    <w:rsid w:val="000A1E80"/>
    <w:rsid w:val="000A3114"/>
    <w:rsid w:val="000A3B70"/>
    <w:rsid w:val="000A5153"/>
    <w:rsid w:val="000B10AE"/>
    <w:rsid w:val="000B30BF"/>
    <w:rsid w:val="000B3BBA"/>
    <w:rsid w:val="000B566B"/>
    <w:rsid w:val="000B595C"/>
    <w:rsid w:val="000B662E"/>
    <w:rsid w:val="000B7294"/>
    <w:rsid w:val="000B75D0"/>
    <w:rsid w:val="000B76CE"/>
    <w:rsid w:val="000C1CF8"/>
    <w:rsid w:val="000C3848"/>
    <w:rsid w:val="000C49CF"/>
    <w:rsid w:val="000C52E9"/>
    <w:rsid w:val="000C5B8B"/>
    <w:rsid w:val="000C5CDC"/>
    <w:rsid w:val="000C65DC"/>
    <w:rsid w:val="000C66F3"/>
    <w:rsid w:val="000C6900"/>
    <w:rsid w:val="000C6CA4"/>
    <w:rsid w:val="000C762F"/>
    <w:rsid w:val="000D28BF"/>
    <w:rsid w:val="000D31E8"/>
    <w:rsid w:val="000D6CD7"/>
    <w:rsid w:val="000D76E4"/>
    <w:rsid w:val="000E0B78"/>
    <w:rsid w:val="000E2C24"/>
    <w:rsid w:val="000E3816"/>
    <w:rsid w:val="000E4027"/>
    <w:rsid w:val="000E4F77"/>
    <w:rsid w:val="000F17FA"/>
    <w:rsid w:val="000F265C"/>
    <w:rsid w:val="000F339E"/>
    <w:rsid w:val="000F3AFA"/>
    <w:rsid w:val="000F5712"/>
    <w:rsid w:val="000F6611"/>
    <w:rsid w:val="000F7E22"/>
    <w:rsid w:val="00104267"/>
    <w:rsid w:val="00107554"/>
    <w:rsid w:val="001075E9"/>
    <w:rsid w:val="001104F3"/>
    <w:rsid w:val="00112A34"/>
    <w:rsid w:val="00112EEB"/>
    <w:rsid w:val="001159AE"/>
    <w:rsid w:val="001173FF"/>
    <w:rsid w:val="0012026B"/>
    <w:rsid w:val="001217B9"/>
    <w:rsid w:val="0012563A"/>
    <w:rsid w:val="001264DE"/>
    <w:rsid w:val="001301EB"/>
    <w:rsid w:val="001313A7"/>
    <w:rsid w:val="0013276F"/>
    <w:rsid w:val="001340C4"/>
    <w:rsid w:val="001342B5"/>
    <w:rsid w:val="0013621E"/>
    <w:rsid w:val="0013642E"/>
    <w:rsid w:val="00142EFE"/>
    <w:rsid w:val="00143575"/>
    <w:rsid w:val="00152A23"/>
    <w:rsid w:val="00156B11"/>
    <w:rsid w:val="001608F7"/>
    <w:rsid w:val="00162CB7"/>
    <w:rsid w:val="001665C9"/>
    <w:rsid w:val="001667E5"/>
    <w:rsid w:val="00166F32"/>
    <w:rsid w:val="001717E4"/>
    <w:rsid w:val="001718C0"/>
    <w:rsid w:val="00171E5B"/>
    <w:rsid w:val="00171F94"/>
    <w:rsid w:val="001741D1"/>
    <w:rsid w:val="00175D4E"/>
    <w:rsid w:val="0017668A"/>
    <w:rsid w:val="001766FE"/>
    <w:rsid w:val="001771E7"/>
    <w:rsid w:val="001911FF"/>
    <w:rsid w:val="00191992"/>
    <w:rsid w:val="00192006"/>
    <w:rsid w:val="00193180"/>
    <w:rsid w:val="0019530C"/>
    <w:rsid w:val="00196792"/>
    <w:rsid w:val="001B1519"/>
    <w:rsid w:val="001B2E2D"/>
    <w:rsid w:val="001B5CD2"/>
    <w:rsid w:val="001B6628"/>
    <w:rsid w:val="001C0BEE"/>
    <w:rsid w:val="001C1E49"/>
    <w:rsid w:val="001C27C1"/>
    <w:rsid w:val="001C2A98"/>
    <w:rsid w:val="001C3B86"/>
    <w:rsid w:val="001C4D95"/>
    <w:rsid w:val="001D08F8"/>
    <w:rsid w:val="001D201A"/>
    <w:rsid w:val="001D3D7D"/>
    <w:rsid w:val="001D3FFF"/>
    <w:rsid w:val="001D4997"/>
    <w:rsid w:val="001D4C10"/>
    <w:rsid w:val="001D625F"/>
    <w:rsid w:val="001D68A4"/>
    <w:rsid w:val="001D7576"/>
    <w:rsid w:val="001D7F6B"/>
    <w:rsid w:val="001E0E3F"/>
    <w:rsid w:val="001E14A0"/>
    <w:rsid w:val="001E16CE"/>
    <w:rsid w:val="001E4B29"/>
    <w:rsid w:val="001E55A5"/>
    <w:rsid w:val="001E7376"/>
    <w:rsid w:val="001F225C"/>
    <w:rsid w:val="001F395C"/>
    <w:rsid w:val="001F7245"/>
    <w:rsid w:val="00200792"/>
    <w:rsid w:val="00201CFA"/>
    <w:rsid w:val="0020220D"/>
    <w:rsid w:val="00202448"/>
    <w:rsid w:val="00202D15"/>
    <w:rsid w:val="00205B3F"/>
    <w:rsid w:val="00207B58"/>
    <w:rsid w:val="00211049"/>
    <w:rsid w:val="00212EAE"/>
    <w:rsid w:val="00214BEE"/>
    <w:rsid w:val="00215E6E"/>
    <w:rsid w:val="00217499"/>
    <w:rsid w:val="002205B8"/>
    <w:rsid w:val="00225720"/>
    <w:rsid w:val="002259E5"/>
    <w:rsid w:val="00226140"/>
    <w:rsid w:val="00226364"/>
    <w:rsid w:val="002274F3"/>
    <w:rsid w:val="0023094C"/>
    <w:rsid w:val="00232290"/>
    <w:rsid w:val="00232F21"/>
    <w:rsid w:val="00233484"/>
    <w:rsid w:val="00234303"/>
    <w:rsid w:val="00234BE3"/>
    <w:rsid w:val="002356BE"/>
    <w:rsid w:val="00235A90"/>
    <w:rsid w:val="0023624F"/>
    <w:rsid w:val="002379F0"/>
    <w:rsid w:val="00240FDB"/>
    <w:rsid w:val="00241E48"/>
    <w:rsid w:val="0024214E"/>
    <w:rsid w:val="00242623"/>
    <w:rsid w:val="0024418E"/>
    <w:rsid w:val="00244416"/>
    <w:rsid w:val="00246D52"/>
    <w:rsid w:val="00250558"/>
    <w:rsid w:val="0025357C"/>
    <w:rsid w:val="002538E8"/>
    <w:rsid w:val="0025788D"/>
    <w:rsid w:val="002605D1"/>
    <w:rsid w:val="00260652"/>
    <w:rsid w:val="00261002"/>
    <w:rsid w:val="00261F25"/>
    <w:rsid w:val="00264832"/>
    <w:rsid w:val="002648A9"/>
    <w:rsid w:val="0026536F"/>
    <w:rsid w:val="0026553C"/>
    <w:rsid w:val="002661A0"/>
    <w:rsid w:val="0026790A"/>
    <w:rsid w:val="00267DD5"/>
    <w:rsid w:val="00274A0A"/>
    <w:rsid w:val="00277593"/>
    <w:rsid w:val="00280909"/>
    <w:rsid w:val="00280918"/>
    <w:rsid w:val="00280AB9"/>
    <w:rsid w:val="00282AF6"/>
    <w:rsid w:val="00282EFE"/>
    <w:rsid w:val="0028596A"/>
    <w:rsid w:val="00287085"/>
    <w:rsid w:val="00287DC0"/>
    <w:rsid w:val="00290AF9"/>
    <w:rsid w:val="00290CE9"/>
    <w:rsid w:val="00291131"/>
    <w:rsid w:val="00291C51"/>
    <w:rsid w:val="002923D9"/>
    <w:rsid w:val="002967CF"/>
    <w:rsid w:val="00297788"/>
    <w:rsid w:val="002A0172"/>
    <w:rsid w:val="002A3285"/>
    <w:rsid w:val="002A34F9"/>
    <w:rsid w:val="002A484B"/>
    <w:rsid w:val="002A64A6"/>
    <w:rsid w:val="002B1FE3"/>
    <w:rsid w:val="002B3301"/>
    <w:rsid w:val="002B73CE"/>
    <w:rsid w:val="002C1445"/>
    <w:rsid w:val="002C14DA"/>
    <w:rsid w:val="002C47D4"/>
    <w:rsid w:val="002D0F38"/>
    <w:rsid w:val="002D5400"/>
    <w:rsid w:val="002D6F52"/>
    <w:rsid w:val="002D77E3"/>
    <w:rsid w:val="002F2859"/>
    <w:rsid w:val="002F6E3C"/>
    <w:rsid w:val="0030117D"/>
    <w:rsid w:val="00301F30"/>
    <w:rsid w:val="003038FD"/>
    <w:rsid w:val="00303C87"/>
    <w:rsid w:val="003041F3"/>
    <w:rsid w:val="00304902"/>
    <w:rsid w:val="003108E5"/>
    <w:rsid w:val="003115A8"/>
    <w:rsid w:val="003120CB"/>
    <w:rsid w:val="0031543F"/>
    <w:rsid w:val="003176B9"/>
    <w:rsid w:val="00320153"/>
    <w:rsid w:val="00320367"/>
    <w:rsid w:val="00322871"/>
    <w:rsid w:val="00322BFE"/>
    <w:rsid w:val="00324070"/>
    <w:rsid w:val="00326FB3"/>
    <w:rsid w:val="003306A9"/>
    <w:rsid w:val="003316D4"/>
    <w:rsid w:val="003321B2"/>
    <w:rsid w:val="00332BBE"/>
    <w:rsid w:val="00333822"/>
    <w:rsid w:val="00336715"/>
    <w:rsid w:val="003373CE"/>
    <w:rsid w:val="003401EC"/>
    <w:rsid w:val="00340DFD"/>
    <w:rsid w:val="00341CA2"/>
    <w:rsid w:val="00343B9A"/>
    <w:rsid w:val="00344954"/>
    <w:rsid w:val="003463E5"/>
    <w:rsid w:val="00350CD7"/>
    <w:rsid w:val="0035232F"/>
    <w:rsid w:val="00360C17"/>
    <w:rsid w:val="003621C6"/>
    <w:rsid w:val="003622B8"/>
    <w:rsid w:val="003641F3"/>
    <w:rsid w:val="00364869"/>
    <w:rsid w:val="00366B76"/>
    <w:rsid w:val="0036718E"/>
    <w:rsid w:val="00370D11"/>
    <w:rsid w:val="00373051"/>
    <w:rsid w:val="00373B8F"/>
    <w:rsid w:val="003768E1"/>
    <w:rsid w:val="00376D53"/>
    <w:rsid w:val="00376D95"/>
    <w:rsid w:val="00377FBB"/>
    <w:rsid w:val="00380D39"/>
    <w:rsid w:val="0038182D"/>
    <w:rsid w:val="0038432C"/>
    <w:rsid w:val="00385140"/>
    <w:rsid w:val="00390953"/>
    <w:rsid w:val="00393CC7"/>
    <w:rsid w:val="00396302"/>
    <w:rsid w:val="003971F7"/>
    <w:rsid w:val="003A16FC"/>
    <w:rsid w:val="003A2C8A"/>
    <w:rsid w:val="003A3D2A"/>
    <w:rsid w:val="003A3DA5"/>
    <w:rsid w:val="003A4FCD"/>
    <w:rsid w:val="003B020D"/>
    <w:rsid w:val="003B0944"/>
    <w:rsid w:val="003B1593"/>
    <w:rsid w:val="003B4381"/>
    <w:rsid w:val="003B74B2"/>
    <w:rsid w:val="003C1043"/>
    <w:rsid w:val="003C1A30"/>
    <w:rsid w:val="003C6779"/>
    <w:rsid w:val="003C71BE"/>
    <w:rsid w:val="003D033C"/>
    <w:rsid w:val="003D1BF5"/>
    <w:rsid w:val="003D2998"/>
    <w:rsid w:val="003D2F0A"/>
    <w:rsid w:val="003D3891"/>
    <w:rsid w:val="003D3EB7"/>
    <w:rsid w:val="003D3FE9"/>
    <w:rsid w:val="003D54FF"/>
    <w:rsid w:val="003D5D84"/>
    <w:rsid w:val="003E0F4F"/>
    <w:rsid w:val="003E18AC"/>
    <w:rsid w:val="003E210B"/>
    <w:rsid w:val="003E2A12"/>
    <w:rsid w:val="003E2FB8"/>
    <w:rsid w:val="003E3384"/>
    <w:rsid w:val="003E3CA4"/>
    <w:rsid w:val="003E51AE"/>
    <w:rsid w:val="003E548E"/>
    <w:rsid w:val="004025C1"/>
    <w:rsid w:val="00407989"/>
    <w:rsid w:val="00407EC8"/>
    <w:rsid w:val="0041110A"/>
    <w:rsid w:val="00411624"/>
    <w:rsid w:val="00414476"/>
    <w:rsid w:val="004148E1"/>
    <w:rsid w:val="00414CFA"/>
    <w:rsid w:val="00415EC0"/>
    <w:rsid w:val="00420BE9"/>
    <w:rsid w:val="00422337"/>
    <w:rsid w:val="00423AD8"/>
    <w:rsid w:val="00423FDD"/>
    <w:rsid w:val="00424C85"/>
    <w:rsid w:val="004260BD"/>
    <w:rsid w:val="0043012F"/>
    <w:rsid w:val="00430F1F"/>
    <w:rsid w:val="0043108A"/>
    <w:rsid w:val="004326EA"/>
    <w:rsid w:val="00432E3A"/>
    <w:rsid w:val="0044434C"/>
    <w:rsid w:val="0044456B"/>
    <w:rsid w:val="00445FB9"/>
    <w:rsid w:val="00446B74"/>
    <w:rsid w:val="00446F31"/>
    <w:rsid w:val="00447BD1"/>
    <w:rsid w:val="004507F3"/>
    <w:rsid w:val="00450AF4"/>
    <w:rsid w:val="004550AE"/>
    <w:rsid w:val="00456A57"/>
    <w:rsid w:val="00460377"/>
    <w:rsid w:val="004607DE"/>
    <w:rsid w:val="00462D37"/>
    <w:rsid w:val="004671C7"/>
    <w:rsid w:val="00472F4D"/>
    <w:rsid w:val="004730BF"/>
    <w:rsid w:val="00474DCB"/>
    <w:rsid w:val="0047535C"/>
    <w:rsid w:val="004762F6"/>
    <w:rsid w:val="00483F3A"/>
    <w:rsid w:val="00485738"/>
    <w:rsid w:val="00485870"/>
    <w:rsid w:val="00485F07"/>
    <w:rsid w:val="00485FE8"/>
    <w:rsid w:val="0048726B"/>
    <w:rsid w:val="00492473"/>
    <w:rsid w:val="00492EB5"/>
    <w:rsid w:val="00494F77"/>
    <w:rsid w:val="004954DE"/>
    <w:rsid w:val="00497721"/>
    <w:rsid w:val="004A0229"/>
    <w:rsid w:val="004A35D2"/>
    <w:rsid w:val="004A5D8E"/>
    <w:rsid w:val="004A71E4"/>
    <w:rsid w:val="004B0BA7"/>
    <w:rsid w:val="004B10C9"/>
    <w:rsid w:val="004B2F00"/>
    <w:rsid w:val="004B667A"/>
    <w:rsid w:val="004B6E31"/>
    <w:rsid w:val="004C1D66"/>
    <w:rsid w:val="004C31D7"/>
    <w:rsid w:val="004C4AD2"/>
    <w:rsid w:val="004C6981"/>
    <w:rsid w:val="004D1F21"/>
    <w:rsid w:val="004D268C"/>
    <w:rsid w:val="004D59D8"/>
    <w:rsid w:val="004D5DA1"/>
    <w:rsid w:val="004D5F32"/>
    <w:rsid w:val="004D7910"/>
    <w:rsid w:val="004E0977"/>
    <w:rsid w:val="004E150F"/>
    <w:rsid w:val="004E1DCA"/>
    <w:rsid w:val="004E23A1"/>
    <w:rsid w:val="004E3489"/>
    <w:rsid w:val="004E358A"/>
    <w:rsid w:val="004E3AFA"/>
    <w:rsid w:val="004E6588"/>
    <w:rsid w:val="004E65E9"/>
    <w:rsid w:val="004E7534"/>
    <w:rsid w:val="004F2742"/>
    <w:rsid w:val="004F4204"/>
    <w:rsid w:val="004F4A48"/>
    <w:rsid w:val="00502A0A"/>
    <w:rsid w:val="005041A9"/>
    <w:rsid w:val="00506F40"/>
    <w:rsid w:val="00507C50"/>
    <w:rsid w:val="00507FE6"/>
    <w:rsid w:val="00513982"/>
    <w:rsid w:val="00514D40"/>
    <w:rsid w:val="00517C3A"/>
    <w:rsid w:val="00522540"/>
    <w:rsid w:val="005270C5"/>
    <w:rsid w:val="00527BF4"/>
    <w:rsid w:val="005324BE"/>
    <w:rsid w:val="00534F6C"/>
    <w:rsid w:val="00535994"/>
    <w:rsid w:val="0053646D"/>
    <w:rsid w:val="0053656A"/>
    <w:rsid w:val="00536D67"/>
    <w:rsid w:val="00540AAD"/>
    <w:rsid w:val="00543EC1"/>
    <w:rsid w:val="00546458"/>
    <w:rsid w:val="0055087C"/>
    <w:rsid w:val="00553413"/>
    <w:rsid w:val="00555983"/>
    <w:rsid w:val="005605E6"/>
    <w:rsid w:val="00560E31"/>
    <w:rsid w:val="00561265"/>
    <w:rsid w:val="00561BDA"/>
    <w:rsid w:val="0056380D"/>
    <w:rsid w:val="005641DA"/>
    <w:rsid w:val="00564898"/>
    <w:rsid w:val="00566A41"/>
    <w:rsid w:val="00566BB2"/>
    <w:rsid w:val="00567DBF"/>
    <w:rsid w:val="00572837"/>
    <w:rsid w:val="005806B6"/>
    <w:rsid w:val="005806F6"/>
    <w:rsid w:val="00581B23"/>
    <w:rsid w:val="0058219C"/>
    <w:rsid w:val="005840F7"/>
    <w:rsid w:val="0058473D"/>
    <w:rsid w:val="0058707F"/>
    <w:rsid w:val="00591503"/>
    <w:rsid w:val="00591DBD"/>
    <w:rsid w:val="005931FE"/>
    <w:rsid w:val="00593254"/>
    <w:rsid w:val="00597D72"/>
    <w:rsid w:val="005A0028"/>
    <w:rsid w:val="005A0ACC"/>
    <w:rsid w:val="005A2F7A"/>
    <w:rsid w:val="005A56BE"/>
    <w:rsid w:val="005B0072"/>
    <w:rsid w:val="005B0732"/>
    <w:rsid w:val="005B38A0"/>
    <w:rsid w:val="005B491C"/>
    <w:rsid w:val="005B4D64"/>
    <w:rsid w:val="005B4DBF"/>
    <w:rsid w:val="005B5DE2"/>
    <w:rsid w:val="005B674C"/>
    <w:rsid w:val="005C10B5"/>
    <w:rsid w:val="005C1BA7"/>
    <w:rsid w:val="005C24F2"/>
    <w:rsid w:val="005C688C"/>
    <w:rsid w:val="005C7561"/>
    <w:rsid w:val="005D113E"/>
    <w:rsid w:val="005D1E57"/>
    <w:rsid w:val="005D2F57"/>
    <w:rsid w:val="005D34F6"/>
    <w:rsid w:val="005D4F1A"/>
    <w:rsid w:val="005E11FB"/>
    <w:rsid w:val="005E1884"/>
    <w:rsid w:val="005E5789"/>
    <w:rsid w:val="005E6A02"/>
    <w:rsid w:val="005F072B"/>
    <w:rsid w:val="005F373A"/>
    <w:rsid w:val="005F4F87"/>
    <w:rsid w:val="005F6B0E"/>
    <w:rsid w:val="005F760E"/>
    <w:rsid w:val="005F7B1D"/>
    <w:rsid w:val="0060222A"/>
    <w:rsid w:val="006070C4"/>
    <w:rsid w:val="00610C21"/>
    <w:rsid w:val="00610DBD"/>
    <w:rsid w:val="00611907"/>
    <w:rsid w:val="00613116"/>
    <w:rsid w:val="00613440"/>
    <w:rsid w:val="00615D37"/>
    <w:rsid w:val="006202A6"/>
    <w:rsid w:val="0062054B"/>
    <w:rsid w:val="00620926"/>
    <w:rsid w:val="00621C4E"/>
    <w:rsid w:val="00624EAE"/>
    <w:rsid w:val="00627309"/>
    <w:rsid w:val="006305D7"/>
    <w:rsid w:val="00630A44"/>
    <w:rsid w:val="00630FC6"/>
    <w:rsid w:val="00632F63"/>
    <w:rsid w:val="00633A01"/>
    <w:rsid w:val="00633B97"/>
    <w:rsid w:val="00633E11"/>
    <w:rsid w:val="006341F7"/>
    <w:rsid w:val="00634585"/>
    <w:rsid w:val="00634901"/>
    <w:rsid w:val="00635014"/>
    <w:rsid w:val="006369CE"/>
    <w:rsid w:val="006408B0"/>
    <w:rsid w:val="006411CA"/>
    <w:rsid w:val="006450C9"/>
    <w:rsid w:val="0064605E"/>
    <w:rsid w:val="00652585"/>
    <w:rsid w:val="006537B8"/>
    <w:rsid w:val="00657BC4"/>
    <w:rsid w:val="006601B2"/>
    <w:rsid w:val="006619C8"/>
    <w:rsid w:val="0066659E"/>
    <w:rsid w:val="00671710"/>
    <w:rsid w:val="00673414"/>
    <w:rsid w:val="00674D2B"/>
    <w:rsid w:val="00676079"/>
    <w:rsid w:val="00676ECD"/>
    <w:rsid w:val="00677D0A"/>
    <w:rsid w:val="0068185F"/>
    <w:rsid w:val="0068524E"/>
    <w:rsid w:val="006864D1"/>
    <w:rsid w:val="006A01CF"/>
    <w:rsid w:val="006A60DD"/>
    <w:rsid w:val="006B0679"/>
    <w:rsid w:val="006B074C"/>
    <w:rsid w:val="006B0A6C"/>
    <w:rsid w:val="006B1C76"/>
    <w:rsid w:val="006B3B84"/>
    <w:rsid w:val="006B4E7C"/>
    <w:rsid w:val="006B56EF"/>
    <w:rsid w:val="006B5D8C"/>
    <w:rsid w:val="006B6DBC"/>
    <w:rsid w:val="006B72D4"/>
    <w:rsid w:val="006B7B84"/>
    <w:rsid w:val="006C11CC"/>
    <w:rsid w:val="006C1AEB"/>
    <w:rsid w:val="006C57FE"/>
    <w:rsid w:val="006C668E"/>
    <w:rsid w:val="006E4842"/>
    <w:rsid w:val="006E4B63"/>
    <w:rsid w:val="006E4C50"/>
    <w:rsid w:val="006E51AF"/>
    <w:rsid w:val="006F06E4"/>
    <w:rsid w:val="006F1FC6"/>
    <w:rsid w:val="006F7B41"/>
    <w:rsid w:val="00702B5D"/>
    <w:rsid w:val="00703ED2"/>
    <w:rsid w:val="00704F69"/>
    <w:rsid w:val="00705738"/>
    <w:rsid w:val="00707B8D"/>
    <w:rsid w:val="00713636"/>
    <w:rsid w:val="00714037"/>
    <w:rsid w:val="00714B8C"/>
    <w:rsid w:val="0071675D"/>
    <w:rsid w:val="00717736"/>
    <w:rsid w:val="00727A86"/>
    <w:rsid w:val="00732B47"/>
    <w:rsid w:val="00735CF5"/>
    <w:rsid w:val="0074063A"/>
    <w:rsid w:val="00742AA4"/>
    <w:rsid w:val="00743BA1"/>
    <w:rsid w:val="00745F1E"/>
    <w:rsid w:val="007515FE"/>
    <w:rsid w:val="007601D0"/>
    <w:rsid w:val="007603BB"/>
    <w:rsid w:val="0076109D"/>
    <w:rsid w:val="00767107"/>
    <w:rsid w:val="00773617"/>
    <w:rsid w:val="00773BFD"/>
    <w:rsid w:val="007743B3"/>
    <w:rsid w:val="00774490"/>
    <w:rsid w:val="0077581E"/>
    <w:rsid w:val="007819FF"/>
    <w:rsid w:val="0078247E"/>
    <w:rsid w:val="0078360C"/>
    <w:rsid w:val="00784A4C"/>
    <w:rsid w:val="00784BC6"/>
    <w:rsid w:val="0078523D"/>
    <w:rsid w:val="007931DF"/>
    <w:rsid w:val="00793C28"/>
    <w:rsid w:val="00797F2E"/>
    <w:rsid w:val="007A0172"/>
    <w:rsid w:val="007A1804"/>
    <w:rsid w:val="007A215A"/>
    <w:rsid w:val="007A2511"/>
    <w:rsid w:val="007A260E"/>
    <w:rsid w:val="007A3D6D"/>
    <w:rsid w:val="007A4D4C"/>
    <w:rsid w:val="007A4DD6"/>
    <w:rsid w:val="007A5CB9"/>
    <w:rsid w:val="007B20AE"/>
    <w:rsid w:val="007B6B07"/>
    <w:rsid w:val="007B6D43"/>
    <w:rsid w:val="007B749A"/>
    <w:rsid w:val="007B7C6E"/>
    <w:rsid w:val="007C7E35"/>
    <w:rsid w:val="007D20B4"/>
    <w:rsid w:val="007D3CAA"/>
    <w:rsid w:val="007D44D7"/>
    <w:rsid w:val="007D621A"/>
    <w:rsid w:val="007E058A"/>
    <w:rsid w:val="007E11FC"/>
    <w:rsid w:val="007E2887"/>
    <w:rsid w:val="007E414F"/>
    <w:rsid w:val="007E5278"/>
    <w:rsid w:val="007E749C"/>
    <w:rsid w:val="007F1B5C"/>
    <w:rsid w:val="007F7C0F"/>
    <w:rsid w:val="00800B10"/>
    <w:rsid w:val="00801257"/>
    <w:rsid w:val="00803B0A"/>
    <w:rsid w:val="00804DED"/>
    <w:rsid w:val="00805B96"/>
    <w:rsid w:val="00810265"/>
    <w:rsid w:val="008105BE"/>
    <w:rsid w:val="008115A5"/>
    <w:rsid w:val="00811D46"/>
    <w:rsid w:val="0081415D"/>
    <w:rsid w:val="00820229"/>
    <w:rsid w:val="0082039C"/>
    <w:rsid w:val="00821BC5"/>
    <w:rsid w:val="00822448"/>
    <w:rsid w:val="00822ABE"/>
    <w:rsid w:val="008230C3"/>
    <w:rsid w:val="008244D1"/>
    <w:rsid w:val="008255FC"/>
    <w:rsid w:val="00827F51"/>
    <w:rsid w:val="0083104E"/>
    <w:rsid w:val="008343BE"/>
    <w:rsid w:val="00836535"/>
    <w:rsid w:val="00840FB4"/>
    <w:rsid w:val="008410B2"/>
    <w:rsid w:val="00841780"/>
    <w:rsid w:val="00843FC7"/>
    <w:rsid w:val="008500A0"/>
    <w:rsid w:val="008524E5"/>
    <w:rsid w:val="0085351C"/>
    <w:rsid w:val="0085435A"/>
    <w:rsid w:val="008549CA"/>
    <w:rsid w:val="008556C3"/>
    <w:rsid w:val="0085687C"/>
    <w:rsid w:val="008611C1"/>
    <w:rsid w:val="00865196"/>
    <w:rsid w:val="0086653B"/>
    <w:rsid w:val="008706C5"/>
    <w:rsid w:val="00873707"/>
    <w:rsid w:val="00874B20"/>
    <w:rsid w:val="008757C6"/>
    <w:rsid w:val="008763E1"/>
    <w:rsid w:val="0087775C"/>
    <w:rsid w:val="00877EC8"/>
    <w:rsid w:val="00880F36"/>
    <w:rsid w:val="00881B25"/>
    <w:rsid w:val="00885530"/>
    <w:rsid w:val="00887F73"/>
    <w:rsid w:val="008910D1"/>
    <w:rsid w:val="0089296C"/>
    <w:rsid w:val="00896ABD"/>
    <w:rsid w:val="00897AB6"/>
    <w:rsid w:val="00897DA8"/>
    <w:rsid w:val="008A035D"/>
    <w:rsid w:val="008A3380"/>
    <w:rsid w:val="008A4448"/>
    <w:rsid w:val="008A4CC0"/>
    <w:rsid w:val="008A5DD5"/>
    <w:rsid w:val="008A7A9C"/>
    <w:rsid w:val="008B2843"/>
    <w:rsid w:val="008B5218"/>
    <w:rsid w:val="008B7102"/>
    <w:rsid w:val="008C169D"/>
    <w:rsid w:val="008C1B9E"/>
    <w:rsid w:val="008C3B7D"/>
    <w:rsid w:val="008D0F90"/>
    <w:rsid w:val="008D3715"/>
    <w:rsid w:val="008D5465"/>
    <w:rsid w:val="008D5E4E"/>
    <w:rsid w:val="008D5E61"/>
    <w:rsid w:val="008D7EB7"/>
    <w:rsid w:val="008D7EC5"/>
    <w:rsid w:val="008E3684"/>
    <w:rsid w:val="008E5793"/>
    <w:rsid w:val="008E57F5"/>
    <w:rsid w:val="008E7606"/>
    <w:rsid w:val="008F1DAA"/>
    <w:rsid w:val="008F3EBD"/>
    <w:rsid w:val="008F60B2"/>
    <w:rsid w:val="008F700F"/>
    <w:rsid w:val="008F7C41"/>
    <w:rsid w:val="009031E2"/>
    <w:rsid w:val="0091276C"/>
    <w:rsid w:val="009145BE"/>
    <w:rsid w:val="009165AC"/>
    <w:rsid w:val="00916FFC"/>
    <w:rsid w:val="0092053F"/>
    <w:rsid w:val="009206E6"/>
    <w:rsid w:val="0092340A"/>
    <w:rsid w:val="00923EB8"/>
    <w:rsid w:val="00927163"/>
    <w:rsid w:val="00931140"/>
    <w:rsid w:val="009313D9"/>
    <w:rsid w:val="009324DB"/>
    <w:rsid w:val="00935B7F"/>
    <w:rsid w:val="00941293"/>
    <w:rsid w:val="00942F18"/>
    <w:rsid w:val="00946372"/>
    <w:rsid w:val="00946C81"/>
    <w:rsid w:val="0095032B"/>
    <w:rsid w:val="00950B13"/>
    <w:rsid w:val="00950C17"/>
    <w:rsid w:val="00951FAF"/>
    <w:rsid w:val="0095349F"/>
    <w:rsid w:val="00954740"/>
    <w:rsid w:val="00955469"/>
    <w:rsid w:val="009557BC"/>
    <w:rsid w:val="00955AE5"/>
    <w:rsid w:val="00961B7F"/>
    <w:rsid w:val="00962386"/>
    <w:rsid w:val="00962E71"/>
    <w:rsid w:val="00963ABC"/>
    <w:rsid w:val="00965D21"/>
    <w:rsid w:val="00967764"/>
    <w:rsid w:val="00970B0E"/>
    <w:rsid w:val="00970BB9"/>
    <w:rsid w:val="009726EE"/>
    <w:rsid w:val="00972CDE"/>
    <w:rsid w:val="009733DD"/>
    <w:rsid w:val="00975573"/>
    <w:rsid w:val="0097641B"/>
    <w:rsid w:val="009764A4"/>
    <w:rsid w:val="00976D03"/>
    <w:rsid w:val="00977B30"/>
    <w:rsid w:val="0098261C"/>
    <w:rsid w:val="00982F41"/>
    <w:rsid w:val="00985090"/>
    <w:rsid w:val="00986877"/>
    <w:rsid w:val="00987710"/>
    <w:rsid w:val="009904AB"/>
    <w:rsid w:val="00995688"/>
    <w:rsid w:val="009958A6"/>
    <w:rsid w:val="00995D6F"/>
    <w:rsid w:val="00996456"/>
    <w:rsid w:val="009978D9"/>
    <w:rsid w:val="009A04F5"/>
    <w:rsid w:val="009A15EF"/>
    <w:rsid w:val="009A38A5"/>
    <w:rsid w:val="009A4425"/>
    <w:rsid w:val="009A554A"/>
    <w:rsid w:val="009A5B73"/>
    <w:rsid w:val="009B03ED"/>
    <w:rsid w:val="009B118B"/>
    <w:rsid w:val="009B1737"/>
    <w:rsid w:val="009B2E79"/>
    <w:rsid w:val="009B3D4B"/>
    <w:rsid w:val="009B4E63"/>
    <w:rsid w:val="009B5B99"/>
    <w:rsid w:val="009B6EFC"/>
    <w:rsid w:val="009C14AD"/>
    <w:rsid w:val="009C1FD0"/>
    <w:rsid w:val="009C29D0"/>
    <w:rsid w:val="009C2DF8"/>
    <w:rsid w:val="009C31BF"/>
    <w:rsid w:val="009C642A"/>
    <w:rsid w:val="009C68B7"/>
    <w:rsid w:val="009C740F"/>
    <w:rsid w:val="009D0834"/>
    <w:rsid w:val="009D095A"/>
    <w:rsid w:val="009D0A1E"/>
    <w:rsid w:val="009D0C8B"/>
    <w:rsid w:val="009D2AE3"/>
    <w:rsid w:val="009D4249"/>
    <w:rsid w:val="009D52BC"/>
    <w:rsid w:val="009D7D0A"/>
    <w:rsid w:val="009E0435"/>
    <w:rsid w:val="009E09D9"/>
    <w:rsid w:val="009E1E51"/>
    <w:rsid w:val="009E2348"/>
    <w:rsid w:val="009E3AE3"/>
    <w:rsid w:val="009E442C"/>
    <w:rsid w:val="009F01B1"/>
    <w:rsid w:val="009F0DBB"/>
    <w:rsid w:val="009F26A8"/>
    <w:rsid w:val="009F3887"/>
    <w:rsid w:val="009F40DC"/>
    <w:rsid w:val="009F659A"/>
    <w:rsid w:val="009F6E25"/>
    <w:rsid w:val="009F732B"/>
    <w:rsid w:val="009F76F2"/>
    <w:rsid w:val="00A01FE0"/>
    <w:rsid w:val="00A06945"/>
    <w:rsid w:val="00A10656"/>
    <w:rsid w:val="00A11219"/>
    <w:rsid w:val="00A113C0"/>
    <w:rsid w:val="00A12FA6"/>
    <w:rsid w:val="00A1339B"/>
    <w:rsid w:val="00A13B36"/>
    <w:rsid w:val="00A14ABA"/>
    <w:rsid w:val="00A17C75"/>
    <w:rsid w:val="00A17DD3"/>
    <w:rsid w:val="00A24CB6"/>
    <w:rsid w:val="00A25150"/>
    <w:rsid w:val="00A25865"/>
    <w:rsid w:val="00A26CD2"/>
    <w:rsid w:val="00A2710B"/>
    <w:rsid w:val="00A27667"/>
    <w:rsid w:val="00A32979"/>
    <w:rsid w:val="00A34A67"/>
    <w:rsid w:val="00A35319"/>
    <w:rsid w:val="00A37462"/>
    <w:rsid w:val="00A409C7"/>
    <w:rsid w:val="00A42019"/>
    <w:rsid w:val="00A424F0"/>
    <w:rsid w:val="00A459E1"/>
    <w:rsid w:val="00A46AC4"/>
    <w:rsid w:val="00A478A5"/>
    <w:rsid w:val="00A52296"/>
    <w:rsid w:val="00A54B6A"/>
    <w:rsid w:val="00A55661"/>
    <w:rsid w:val="00A61B70"/>
    <w:rsid w:val="00A61FA8"/>
    <w:rsid w:val="00A637F4"/>
    <w:rsid w:val="00A645DD"/>
    <w:rsid w:val="00A64DF2"/>
    <w:rsid w:val="00A65485"/>
    <w:rsid w:val="00A66E05"/>
    <w:rsid w:val="00A67655"/>
    <w:rsid w:val="00A70753"/>
    <w:rsid w:val="00A712D2"/>
    <w:rsid w:val="00A72900"/>
    <w:rsid w:val="00A817B1"/>
    <w:rsid w:val="00A82C8A"/>
    <w:rsid w:val="00A8346B"/>
    <w:rsid w:val="00A852FF"/>
    <w:rsid w:val="00A87337"/>
    <w:rsid w:val="00A90C97"/>
    <w:rsid w:val="00A92DDC"/>
    <w:rsid w:val="00A9438E"/>
    <w:rsid w:val="00A960C8"/>
    <w:rsid w:val="00A96604"/>
    <w:rsid w:val="00AA039B"/>
    <w:rsid w:val="00AA03DF"/>
    <w:rsid w:val="00AA0F09"/>
    <w:rsid w:val="00AA1B4F"/>
    <w:rsid w:val="00AA21D8"/>
    <w:rsid w:val="00AA271A"/>
    <w:rsid w:val="00AA3270"/>
    <w:rsid w:val="00AA375A"/>
    <w:rsid w:val="00AA54F3"/>
    <w:rsid w:val="00AA6B43"/>
    <w:rsid w:val="00AA720D"/>
    <w:rsid w:val="00AA7B1F"/>
    <w:rsid w:val="00AB175F"/>
    <w:rsid w:val="00AB3145"/>
    <w:rsid w:val="00AB367A"/>
    <w:rsid w:val="00AB7BF8"/>
    <w:rsid w:val="00AC01D1"/>
    <w:rsid w:val="00AC0AB2"/>
    <w:rsid w:val="00AC0DCB"/>
    <w:rsid w:val="00AC0E9F"/>
    <w:rsid w:val="00AC1858"/>
    <w:rsid w:val="00AC52A5"/>
    <w:rsid w:val="00AC6EFD"/>
    <w:rsid w:val="00AC7151"/>
    <w:rsid w:val="00AD35F0"/>
    <w:rsid w:val="00AD4446"/>
    <w:rsid w:val="00AD460A"/>
    <w:rsid w:val="00AD4F29"/>
    <w:rsid w:val="00AD6A05"/>
    <w:rsid w:val="00AE118B"/>
    <w:rsid w:val="00AE23B5"/>
    <w:rsid w:val="00AE272B"/>
    <w:rsid w:val="00AE3E3A"/>
    <w:rsid w:val="00AE77B4"/>
    <w:rsid w:val="00AE7C1A"/>
    <w:rsid w:val="00AE7DF8"/>
    <w:rsid w:val="00AF0401"/>
    <w:rsid w:val="00AF04DB"/>
    <w:rsid w:val="00AF0D9C"/>
    <w:rsid w:val="00AF13AB"/>
    <w:rsid w:val="00AF1D36"/>
    <w:rsid w:val="00AF253B"/>
    <w:rsid w:val="00AF280B"/>
    <w:rsid w:val="00AF5490"/>
    <w:rsid w:val="00AF5F75"/>
    <w:rsid w:val="00AF6001"/>
    <w:rsid w:val="00B01A16"/>
    <w:rsid w:val="00B01AFD"/>
    <w:rsid w:val="00B07F45"/>
    <w:rsid w:val="00B1021A"/>
    <w:rsid w:val="00B10271"/>
    <w:rsid w:val="00B11810"/>
    <w:rsid w:val="00B125C4"/>
    <w:rsid w:val="00B140D9"/>
    <w:rsid w:val="00B1481A"/>
    <w:rsid w:val="00B15A1F"/>
    <w:rsid w:val="00B15FE9"/>
    <w:rsid w:val="00B2148A"/>
    <w:rsid w:val="00B220C2"/>
    <w:rsid w:val="00B2276E"/>
    <w:rsid w:val="00B25B32"/>
    <w:rsid w:val="00B2640A"/>
    <w:rsid w:val="00B32616"/>
    <w:rsid w:val="00B32D4C"/>
    <w:rsid w:val="00B36AF0"/>
    <w:rsid w:val="00B36C42"/>
    <w:rsid w:val="00B42EA7"/>
    <w:rsid w:val="00B51845"/>
    <w:rsid w:val="00B51923"/>
    <w:rsid w:val="00B5337C"/>
    <w:rsid w:val="00B53FDE"/>
    <w:rsid w:val="00B5483A"/>
    <w:rsid w:val="00B55CE8"/>
    <w:rsid w:val="00B56397"/>
    <w:rsid w:val="00B571DA"/>
    <w:rsid w:val="00B6027B"/>
    <w:rsid w:val="00B60C0B"/>
    <w:rsid w:val="00B636C8"/>
    <w:rsid w:val="00B65C25"/>
    <w:rsid w:val="00B65EDB"/>
    <w:rsid w:val="00B67AFF"/>
    <w:rsid w:val="00B67C41"/>
    <w:rsid w:val="00B70B59"/>
    <w:rsid w:val="00B72A97"/>
    <w:rsid w:val="00B73657"/>
    <w:rsid w:val="00B739B3"/>
    <w:rsid w:val="00B778C4"/>
    <w:rsid w:val="00B81B15"/>
    <w:rsid w:val="00B838E9"/>
    <w:rsid w:val="00B85906"/>
    <w:rsid w:val="00B8605E"/>
    <w:rsid w:val="00B915AE"/>
    <w:rsid w:val="00BA1735"/>
    <w:rsid w:val="00BA19FA"/>
    <w:rsid w:val="00BA4288"/>
    <w:rsid w:val="00BA70A3"/>
    <w:rsid w:val="00BB0902"/>
    <w:rsid w:val="00BB1F9C"/>
    <w:rsid w:val="00BB48E5"/>
    <w:rsid w:val="00BB4986"/>
    <w:rsid w:val="00BB5607"/>
    <w:rsid w:val="00BB5ACA"/>
    <w:rsid w:val="00BB627F"/>
    <w:rsid w:val="00BC0C17"/>
    <w:rsid w:val="00BC3823"/>
    <w:rsid w:val="00BC5841"/>
    <w:rsid w:val="00BC5E38"/>
    <w:rsid w:val="00BD03E3"/>
    <w:rsid w:val="00BD201A"/>
    <w:rsid w:val="00BD2DC4"/>
    <w:rsid w:val="00BD2EF0"/>
    <w:rsid w:val="00BD58F1"/>
    <w:rsid w:val="00BD60B4"/>
    <w:rsid w:val="00BD796B"/>
    <w:rsid w:val="00BE40C0"/>
    <w:rsid w:val="00BE445C"/>
    <w:rsid w:val="00BE5F4A"/>
    <w:rsid w:val="00BE7AEF"/>
    <w:rsid w:val="00BF0281"/>
    <w:rsid w:val="00BF09B0"/>
    <w:rsid w:val="00BF1544"/>
    <w:rsid w:val="00BF1B53"/>
    <w:rsid w:val="00BF246D"/>
    <w:rsid w:val="00BF2682"/>
    <w:rsid w:val="00BF2C7B"/>
    <w:rsid w:val="00C018A0"/>
    <w:rsid w:val="00C06F06"/>
    <w:rsid w:val="00C15695"/>
    <w:rsid w:val="00C15AD4"/>
    <w:rsid w:val="00C17BFF"/>
    <w:rsid w:val="00C20AC8"/>
    <w:rsid w:val="00C20FAD"/>
    <w:rsid w:val="00C22267"/>
    <w:rsid w:val="00C2375F"/>
    <w:rsid w:val="00C23E09"/>
    <w:rsid w:val="00C247CB"/>
    <w:rsid w:val="00C32E66"/>
    <w:rsid w:val="00C3355F"/>
    <w:rsid w:val="00C33A04"/>
    <w:rsid w:val="00C34541"/>
    <w:rsid w:val="00C3569A"/>
    <w:rsid w:val="00C43F48"/>
    <w:rsid w:val="00C4418A"/>
    <w:rsid w:val="00C448FF"/>
    <w:rsid w:val="00C45E57"/>
    <w:rsid w:val="00C4724E"/>
    <w:rsid w:val="00C52F29"/>
    <w:rsid w:val="00C54BC5"/>
    <w:rsid w:val="00C56CE6"/>
    <w:rsid w:val="00C5745F"/>
    <w:rsid w:val="00C60005"/>
    <w:rsid w:val="00C60BFF"/>
    <w:rsid w:val="00C61A33"/>
    <w:rsid w:val="00C61A98"/>
    <w:rsid w:val="00C63201"/>
    <w:rsid w:val="00C63C04"/>
    <w:rsid w:val="00C64E62"/>
    <w:rsid w:val="00C651D5"/>
    <w:rsid w:val="00C65CCC"/>
    <w:rsid w:val="00C65DA9"/>
    <w:rsid w:val="00C67B38"/>
    <w:rsid w:val="00C716E1"/>
    <w:rsid w:val="00C7618F"/>
    <w:rsid w:val="00C765A9"/>
    <w:rsid w:val="00C81157"/>
    <w:rsid w:val="00C8162D"/>
    <w:rsid w:val="00C830BB"/>
    <w:rsid w:val="00C836E1"/>
    <w:rsid w:val="00C83A0B"/>
    <w:rsid w:val="00C842D0"/>
    <w:rsid w:val="00C84ED1"/>
    <w:rsid w:val="00C863CC"/>
    <w:rsid w:val="00C86BCC"/>
    <w:rsid w:val="00C87A2D"/>
    <w:rsid w:val="00C9038F"/>
    <w:rsid w:val="00C907AC"/>
    <w:rsid w:val="00C92AAB"/>
    <w:rsid w:val="00C941FC"/>
    <w:rsid w:val="00C95D4C"/>
    <w:rsid w:val="00C961CF"/>
    <w:rsid w:val="00C9637F"/>
    <w:rsid w:val="00C96BF0"/>
    <w:rsid w:val="00C9708A"/>
    <w:rsid w:val="00CA2435"/>
    <w:rsid w:val="00CA4068"/>
    <w:rsid w:val="00CA67F4"/>
    <w:rsid w:val="00CA773E"/>
    <w:rsid w:val="00CB1516"/>
    <w:rsid w:val="00CB37F8"/>
    <w:rsid w:val="00CB56CD"/>
    <w:rsid w:val="00CB683F"/>
    <w:rsid w:val="00CB7DC3"/>
    <w:rsid w:val="00CC39B2"/>
    <w:rsid w:val="00CC5BE1"/>
    <w:rsid w:val="00CC75A2"/>
    <w:rsid w:val="00CC7A18"/>
    <w:rsid w:val="00CD0E2F"/>
    <w:rsid w:val="00CD1D49"/>
    <w:rsid w:val="00CD2B78"/>
    <w:rsid w:val="00CD2F20"/>
    <w:rsid w:val="00CD33C4"/>
    <w:rsid w:val="00CD6B20"/>
    <w:rsid w:val="00CE0A83"/>
    <w:rsid w:val="00CE1339"/>
    <w:rsid w:val="00CE16FD"/>
    <w:rsid w:val="00CE61CC"/>
    <w:rsid w:val="00CE6E42"/>
    <w:rsid w:val="00CF20B7"/>
    <w:rsid w:val="00CF283B"/>
    <w:rsid w:val="00CF6692"/>
    <w:rsid w:val="00CF7441"/>
    <w:rsid w:val="00CF79C0"/>
    <w:rsid w:val="00D00296"/>
    <w:rsid w:val="00D00D16"/>
    <w:rsid w:val="00D03C6C"/>
    <w:rsid w:val="00D04760"/>
    <w:rsid w:val="00D04A95"/>
    <w:rsid w:val="00D06288"/>
    <w:rsid w:val="00D068C7"/>
    <w:rsid w:val="00D07174"/>
    <w:rsid w:val="00D128A4"/>
    <w:rsid w:val="00D147C8"/>
    <w:rsid w:val="00D15131"/>
    <w:rsid w:val="00D16FA2"/>
    <w:rsid w:val="00D20954"/>
    <w:rsid w:val="00D21C39"/>
    <w:rsid w:val="00D21FC6"/>
    <w:rsid w:val="00D22294"/>
    <w:rsid w:val="00D2243A"/>
    <w:rsid w:val="00D256F2"/>
    <w:rsid w:val="00D31019"/>
    <w:rsid w:val="00D33393"/>
    <w:rsid w:val="00D33D36"/>
    <w:rsid w:val="00D34D94"/>
    <w:rsid w:val="00D409E2"/>
    <w:rsid w:val="00D42409"/>
    <w:rsid w:val="00D427D7"/>
    <w:rsid w:val="00D44451"/>
    <w:rsid w:val="00D44E62"/>
    <w:rsid w:val="00D51243"/>
    <w:rsid w:val="00D51570"/>
    <w:rsid w:val="00D556AD"/>
    <w:rsid w:val="00D56885"/>
    <w:rsid w:val="00D60381"/>
    <w:rsid w:val="00D616DE"/>
    <w:rsid w:val="00D62201"/>
    <w:rsid w:val="00D651D1"/>
    <w:rsid w:val="00D70D63"/>
    <w:rsid w:val="00D717BB"/>
    <w:rsid w:val="00D7226B"/>
    <w:rsid w:val="00D72707"/>
    <w:rsid w:val="00D75A9C"/>
    <w:rsid w:val="00D7656B"/>
    <w:rsid w:val="00D829C8"/>
    <w:rsid w:val="00D8672B"/>
    <w:rsid w:val="00D86DA3"/>
    <w:rsid w:val="00D87917"/>
    <w:rsid w:val="00D90871"/>
    <w:rsid w:val="00D9155F"/>
    <w:rsid w:val="00D9403F"/>
    <w:rsid w:val="00D959B4"/>
    <w:rsid w:val="00D97DDF"/>
    <w:rsid w:val="00DA44DE"/>
    <w:rsid w:val="00DA5E64"/>
    <w:rsid w:val="00DA750B"/>
    <w:rsid w:val="00DA7705"/>
    <w:rsid w:val="00DB19C2"/>
    <w:rsid w:val="00DB620A"/>
    <w:rsid w:val="00DC02F6"/>
    <w:rsid w:val="00DC3832"/>
    <w:rsid w:val="00DC7A51"/>
    <w:rsid w:val="00DD3B1E"/>
    <w:rsid w:val="00DE06B2"/>
    <w:rsid w:val="00DE5B5F"/>
    <w:rsid w:val="00DF2320"/>
    <w:rsid w:val="00DF30CE"/>
    <w:rsid w:val="00DF3F30"/>
    <w:rsid w:val="00DF614E"/>
    <w:rsid w:val="00DF659F"/>
    <w:rsid w:val="00DF782D"/>
    <w:rsid w:val="00E00696"/>
    <w:rsid w:val="00E03651"/>
    <w:rsid w:val="00E03808"/>
    <w:rsid w:val="00E04663"/>
    <w:rsid w:val="00E060C2"/>
    <w:rsid w:val="00E06324"/>
    <w:rsid w:val="00E07B81"/>
    <w:rsid w:val="00E10AFD"/>
    <w:rsid w:val="00E11EDE"/>
    <w:rsid w:val="00E12B11"/>
    <w:rsid w:val="00E12FB0"/>
    <w:rsid w:val="00E13244"/>
    <w:rsid w:val="00E14814"/>
    <w:rsid w:val="00E1591B"/>
    <w:rsid w:val="00E16A50"/>
    <w:rsid w:val="00E249D5"/>
    <w:rsid w:val="00E24C8F"/>
    <w:rsid w:val="00E25017"/>
    <w:rsid w:val="00E26F73"/>
    <w:rsid w:val="00E30A34"/>
    <w:rsid w:val="00E30D72"/>
    <w:rsid w:val="00E33C68"/>
    <w:rsid w:val="00E33F48"/>
    <w:rsid w:val="00E34EEB"/>
    <w:rsid w:val="00E3687C"/>
    <w:rsid w:val="00E42439"/>
    <w:rsid w:val="00E44EB9"/>
    <w:rsid w:val="00E4516D"/>
    <w:rsid w:val="00E45BDC"/>
    <w:rsid w:val="00E460B7"/>
    <w:rsid w:val="00E46358"/>
    <w:rsid w:val="00E471DC"/>
    <w:rsid w:val="00E47AA2"/>
    <w:rsid w:val="00E50EB4"/>
    <w:rsid w:val="00E5239B"/>
    <w:rsid w:val="00E532FC"/>
    <w:rsid w:val="00E549EB"/>
    <w:rsid w:val="00E559B4"/>
    <w:rsid w:val="00E55BB0"/>
    <w:rsid w:val="00E609E5"/>
    <w:rsid w:val="00E60F27"/>
    <w:rsid w:val="00E625F8"/>
    <w:rsid w:val="00E64D93"/>
    <w:rsid w:val="00E65EDB"/>
    <w:rsid w:val="00E66927"/>
    <w:rsid w:val="00E677B8"/>
    <w:rsid w:val="00E67E9E"/>
    <w:rsid w:val="00E67FA1"/>
    <w:rsid w:val="00E7115E"/>
    <w:rsid w:val="00E71C24"/>
    <w:rsid w:val="00E7387D"/>
    <w:rsid w:val="00E73D53"/>
    <w:rsid w:val="00E75111"/>
    <w:rsid w:val="00E75621"/>
    <w:rsid w:val="00E758C0"/>
    <w:rsid w:val="00E76C29"/>
    <w:rsid w:val="00E77296"/>
    <w:rsid w:val="00E811F6"/>
    <w:rsid w:val="00E840F6"/>
    <w:rsid w:val="00E84AAA"/>
    <w:rsid w:val="00E87527"/>
    <w:rsid w:val="00E87EF7"/>
    <w:rsid w:val="00E93763"/>
    <w:rsid w:val="00E9589D"/>
    <w:rsid w:val="00E96C4C"/>
    <w:rsid w:val="00EA1165"/>
    <w:rsid w:val="00EA2AAE"/>
    <w:rsid w:val="00EA2EC0"/>
    <w:rsid w:val="00EA427A"/>
    <w:rsid w:val="00EA4C71"/>
    <w:rsid w:val="00EA723B"/>
    <w:rsid w:val="00EB56FA"/>
    <w:rsid w:val="00EB6350"/>
    <w:rsid w:val="00EB687A"/>
    <w:rsid w:val="00EC2F62"/>
    <w:rsid w:val="00EC3D94"/>
    <w:rsid w:val="00EC62EB"/>
    <w:rsid w:val="00EC6599"/>
    <w:rsid w:val="00EC6E9F"/>
    <w:rsid w:val="00ED44F0"/>
    <w:rsid w:val="00ED4B33"/>
    <w:rsid w:val="00ED5993"/>
    <w:rsid w:val="00ED7DD6"/>
    <w:rsid w:val="00EE060B"/>
    <w:rsid w:val="00EE0B1E"/>
    <w:rsid w:val="00EE15A1"/>
    <w:rsid w:val="00EE2A7C"/>
    <w:rsid w:val="00EE2C42"/>
    <w:rsid w:val="00EE341B"/>
    <w:rsid w:val="00EE4453"/>
    <w:rsid w:val="00EE5FCE"/>
    <w:rsid w:val="00EE6BBD"/>
    <w:rsid w:val="00EE6E1E"/>
    <w:rsid w:val="00EE705F"/>
    <w:rsid w:val="00EF0988"/>
    <w:rsid w:val="00EF0F09"/>
    <w:rsid w:val="00EF1462"/>
    <w:rsid w:val="00EF33D0"/>
    <w:rsid w:val="00EF54FD"/>
    <w:rsid w:val="00EF5622"/>
    <w:rsid w:val="00F02C62"/>
    <w:rsid w:val="00F03C2B"/>
    <w:rsid w:val="00F07F0D"/>
    <w:rsid w:val="00F13112"/>
    <w:rsid w:val="00F13D4C"/>
    <w:rsid w:val="00F147F2"/>
    <w:rsid w:val="00F14F64"/>
    <w:rsid w:val="00F16FE6"/>
    <w:rsid w:val="00F238BD"/>
    <w:rsid w:val="00F24992"/>
    <w:rsid w:val="00F2777D"/>
    <w:rsid w:val="00F30CE7"/>
    <w:rsid w:val="00F32F2F"/>
    <w:rsid w:val="00F33F3F"/>
    <w:rsid w:val="00F342A9"/>
    <w:rsid w:val="00F352B9"/>
    <w:rsid w:val="00F35BDD"/>
    <w:rsid w:val="00F35EF0"/>
    <w:rsid w:val="00F3781F"/>
    <w:rsid w:val="00F403FD"/>
    <w:rsid w:val="00F41E72"/>
    <w:rsid w:val="00F45BDF"/>
    <w:rsid w:val="00F47877"/>
    <w:rsid w:val="00F50300"/>
    <w:rsid w:val="00F5414B"/>
    <w:rsid w:val="00F56E39"/>
    <w:rsid w:val="00F61A8D"/>
    <w:rsid w:val="00F61B58"/>
    <w:rsid w:val="00F623E9"/>
    <w:rsid w:val="00F6291D"/>
    <w:rsid w:val="00F63951"/>
    <w:rsid w:val="00F63C86"/>
    <w:rsid w:val="00F669CF"/>
    <w:rsid w:val="00F67D8F"/>
    <w:rsid w:val="00F72DC1"/>
    <w:rsid w:val="00F766BE"/>
    <w:rsid w:val="00F77EB9"/>
    <w:rsid w:val="00F80635"/>
    <w:rsid w:val="00F80DE2"/>
    <w:rsid w:val="00F8115F"/>
    <w:rsid w:val="00F815D1"/>
    <w:rsid w:val="00F81E7E"/>
    <w:rsid w:val="00F81F0F"/>
    <w:rsid w:val="00F825F4"/>
    <w:rsid w:val="00F82B52"/>
    <w:rsid w:val="00F838DF"/>
    <w:rsid w:val="00F84FB7"/>
    <w:rsid w:val="00F855DA"/>
    <w:rsid w:val="00F85FCF"/>
    <w:rsid w:val="00F87B21"/>
    <w:rsid w:val="00F92AA1"/>
    <w:rsid w:val="00F92F23"/>
    <w:rsid w:val="00F932DE"/>
    <w:rsid w:val="00F963DD"/>
    <w:rsid w:val="00F9641A"/>
    <w:rsid w:val="00F97004"/>
    <w:rsid w:val="00FA067D"/>
    <w:rsid w:val="00FA0CEC"/>
    <w:rsid w:val="00FA191B"/>
    <w:rsid w:val="00FA2045"/>
    <w:rsid w:val="00FA7A66"/>
    <w:rsid w:val="00FB1736"/>
    <w:rsid w:val="00FB1AA9"/>
    <w:rsid w:val="00FB27AD"/>
    <w:rsid w:val="00FB4B5A"/>
    <w:rsid w:val="00FB5963"/>
    <w:rsid w:val="00FB5DAA"/>
    <w:rsid w:val="00FC04B9"/>
    <w:rsid w:val="00FC1490"/>
    <w:rsid w:val="00FC161A"/>
    <w:rsid w:val="00FC23D5"/>
    <w:rsid w:val="00FC24A3"/>
    <w:rsid w:val="00FC4337"/>
    <w:rsid w:val="00FC4C1A"/>
    <w:rsid w:val="00FC628F"/>
    <w:rsid w:val="00FC6468"/>
    <w:rsid w:val="00FC6D49"/>
    <w:rsid w:val="00FC7612"/>
    <w:rsid w:val="00FD2380"/>
    <w:rsid w:val="00FD4922"/>
    <w:rsid w:val="00FD6461"/>
    <w:rsid w:val="00FD6AD8"/>
    <w:rsid w:val="00FE0281"/>
    <w:rsid w:val="00FE6D01"/>
    <w:rsid w:val="00FE7083"/>
    <w:rsid w:val="00FF019F"/>
    <w:rsid w:val="00FF1B2A"/>
    <w:rsid w:val="00FF2160"/>
    <w:rsid w:val="00FF2E31"/>
    <w:rsid w:val="00FF30DE"/>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1">
    <w:name w:val="heading 1"/>
    <w:basedOn w:val="a"/>
    <w:next w:val="a"/>
    <w:link w:val="10"/>
    <w:qFormat/>
    <w:rsid w:val="008D3715"/>
    <w:pPr>
      <w:keepNext/>
      <w:spacing w:before="240" w:after="60"/>
      <w:outlineLvl w:val="0"/>
    </w:pPr>
    <w:rPr>
      <w:rFonts w:cs="Times New Roman"/>
      <w:b/>
      <w:bCs/>
      <w:kern w:val="32"/>
      <w:sz w:val="28"/>
      <w:szCs w:val="32"/>
    </w:rPr>
  </w:style>
  <w:style w:type="paragraph" w:styleId="2">
    <w:name w:val="heading 2"/>
    <w:basedOn w:val="a"/>
    <w:next w:val="a"/>
    <w:link w:val="20"/>
    <w:qFormat/>
    <w:rsid w:val="007A4D4C"/>
    <w:pPr>
      <w:keepNext/>
      <w:outlineLvl w:val="1"/>
    </w:pPr>
    <w:rPr>
      <w:rFonts w:cs="Times New Roman"/>
      <w:b/>
      <w:bCs/>
      <w:iCs/>
      <w:szCs w:val="28"/>
    </w:rPr>
  </w:style>
  <w:style w:type="paragraph" w:styleId="3">
    <w:name w:val="heading 3"/>
    <w:basedOn w:val="a"/>
    <w:next w:val="a"/>
    <w:link w:val="30"/>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EE705F"/>
    <w:pPr>
      <w:spacing w:before="100" w:beforeAutospacing="1" w:after="100" w:afterAutospacing="1"/>
    </w:pPr>
  </w:style>
  <w:style w:type="character" w:styleId="a4">
    <w:name w:val="Hyperlink"/>
    <w:uiPriority w:val="99"/>
    <w:rsid w:val="00EE705F"/>
    <w:rPr>
      <w:color w:val="0000FF"/>
      <w:u w:val="single"/>
    </w:rPr>
  </w:style>
  <w:style w:type="paragraph" w:styleId="a5">
    <w:name w:val="header"/>
    <w:basedOn w:val="a"/>
    <w:link w:val="a6"/>
    <w:rsid w:val="00157BE6"/>
    <w:pPr>
      <w:tabs>
        <w:tab w:val="center" w:pos="4680"/>
        <w:tab w:val="right" w:pos="9360"/>
      </w:tabs>
    </w:pPr>
  </w:style>
  <w:style w:type="character" w:customStyle="1" w:styleId="a6">
    <w:name w:val="页眉 字符"/>
    <w:link w:val="a5"/>
    <w:rsid w:val="00157BE6"/>
    <w:rPr>
      <w:sz w:val="24"/>
      <w:szCs w:val="24"/>
    </w:rPr>
  </w:style>
  <w:style w:type="paragraph" w:styleId="a7">
    <w:name w:val="footer"/>
    <w:basedOn w:val="a"/>
    <w:link w:val="a8"/>
    <w:uiPriority w:val="99"/>
    <w:rsid w:val="00157BE6"/>
    <w:pPr>
      <w:tabs>
        <w:tab w:val="center" w:pos="4680"/>
        <w:tab w:val="right" w:pos="9360"/>
      </w:tabs>
    </w:pPr>
  </w:style>
  <w:style w:type="character" w:customStyle="1" w:styleId="a8">
    <w:name w:val="页脚 字符"/>
    <w:link w:val="a7"/>
    <w:uiPriority w:val="99"/>
    <w:rsid w:val="00157BE6"/>
    <w:rPr>
      <w:sz w:val="24"/>
      <w:szCs w:val="24"/>
    </w:rPr>
  </w:style>
  <w:style w:type="character" w:styleId="a9">
    <w:name w:val="annotation reference"/>
    <w:rsid w:val="0084610C"/>
    <w:rPr>
      <w:sz w:val="18"/>
      <w:szCs w:val="18"/>
    </w:rPr>
  </w:style>
  <w:style w:type="paragraph" w:styleId="aa">
    <w:name w:val="annotation text"/>
    <w:basedOn w:val="a"/>
    <w:link w:val="ab"/>
    <w:rsid w:val="0084610C"/>
  </w:style>
  <w:style w:type="character" w:customStyle="1" w:styleId="ab">
    <w:name w:val="批注文字 字符"/>
    <w:link w:val="aa"/>
    <w:rsid w:val="0084610C"/>
    <w:rPr>
      <w:sz w:val="24"/>
      <w:szCs w:val="24"/>
      <w:lang w:val="en-US"/>
    </w:rPr>
  </w:style>
  <w:style w:type="paragraph" w:styleId="ac">
    <w:name w:val="annotation subject"/>
    <w:basedOn w:val="aa"/>
    <w:next w:val="aa"/>
    <w:link w:val="ad"/>
    <w:rsid w:val="0084610C"/>
    <w:rPr>
      <w:b/>
      <w:bCs/>
      <w:sz w:val="20"/>
      <w:szCs w:val="20"/>
    </w:rPr>
  </w:style>
  <w:style w:type="character" w:customStyle="1" w:styleId="ad">
    <w:name w:val="批注主题 字符"/>
    <w:link w:val="ac"/>
    <w:rsid w:val="0084610C"/>
    <w:rPr>
      <w:b/>
      <w:bCs/>
      <w:sz w:val="24"/>
      <w:szCs w:val="24"/>
      <w:lang w:val="en-US"/>
    </w:rPr>
  </w:style>
  <w:style w:type="paragraph" w:styleId="ae">
    <w:name w:val="Balloon Text"/>
    <w:basedOn w:val="a"/>
    <w:link w:val="af"/>
    <w:rsid w:val="0084610C"/>
    <w:rPr>
      <w:rFonts w:ascii="Lucida Grande" w:hAnsi="Lucida Grande"/>
      <w:sz w:val="18"/>
      <w:szCs w:val="18"/>
    </w:rPr>
  </w:style>
  <w:style w:type="character" w:customStyle="1" w:styleId="af">
    <w:name w:val="批注框文本 字符"/>
    <w:link w:val="ae"/>
    <w:rsid w:val="0084610C"/>
    <w:rPr>
      <w:rFonts w:ascii="Lucida Grande" w:hAnsi="Lucida Grande"/>
      <w:sz w:val="18"/>
      <w:szCs w:val="18"/>
      <w:lang w:val="en-US"/>
    </w:rPr>
  </w:style>
  <w:style w:type="character" w:styleId="af0">
    <w:name w:val="page number"/>
    <w:basedOn w:val="a0"/>
    <w:rsid w:val="00C83836"/>
  </w:style>
  <w:style w:type="character" w:styleId="af1">
    <w:name w:val="FollowedHyperlink"/>
    <w:rsid w:val="00D9403F"/>
    <w:rPr>
      <w:color w:val="800080"/>
      <w:u w:val="single"/>
    </w:rPr>
  </w:style>
  <w:style w:type="character" w:customStyle="1" w:styleId="apple-converted-space">
    <w:name w:val="apple-converted-space"/>
    <w:basedOn w:val="a0"/>
    <w:rsid w:val="008D3715"/>
  </w:style>
  <w:style w:type="character" w:customStyle="1" w:styleId="10">
    <w:name w:val="标题 1 字符"/>
    <w:link w:val="1"/>
    <w:rsid w:val="008D3715"/>
    <w:rPr>
      <w:rFonts w:ascii="Calibri" w:eastAsia="Times New Roman" w:hAnsi="Calibri" w:cs="Times New Roman"/>
      <w:b/>
      <w:bCs/>
      <w:kern w:val="32"/>
      <w:sz w:val="28"/>
      <w:szCs w:val="32"/>
    </w:rPr>
  </w:style>
  <w:style w:type="character" w:styleId="af2">
    <w:name w:val="Intense Emphasis"/>
    <w:qFormat/>
    <w:rsid w:val="00703ED2"/>
    <w:rPr>
      <w:b/>
      <w:bCs/>
      <w:i/>
      <w:iCs/>
      <w:color w:val="4F81BD"/>
    </w:rPr>
  </w:style>
  <w:style w:type="character" w:customStyle="1" w:styleId="20">
    <w:name w:val="标题 2 字符"/>
    <w:link w:val="2"/>
    <w:rsid w:val="007A4D4C"/>
    <w:rPr>
      <w:rFonts w:ascii="Calibri" w:eastAsia="Times New Roman" w:hAnsi="Calibri" w:cs="Times New Roman"/>
      <w:b/>
      <w:bCs/>
      <w:iCs/>
      <w:sz w:val="24"/>
      <w:szCs w:val="28"/>
    </w:rPr>
  </w:style>
  <w:style w:type="paragraph" w:customStyle="1" w:styleId="Exampletext">
    <w:name w:val="Example text"/>
    <w:basedOn w:val="a"/>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af3">
    <w:name w:val="List Paragraph"/>
    <w:basedOn w:val="a"/>
    <w:uiPriority w:val="34"/>
    <w:qFormat/>
    <w:rsid w:val="00A34A67"/>
    <w:pPr>
      <w:ind w:left="720"/>
      <w:contextualSpacing/>
    </w:pPr>
  </w:style>
  <w:style w:type="character" w:customStyle="1" w:styleId="30">
    <w:name w:val="标题 3 字符"/>
    <w:basedOn w:val="a0"/>
    <w:link w:val="3"/>
    <w:uiPriority w:val="9"/>
    <w:rsid w:val="00366B76"/>
    <w:rPr>
      <w:rFonts w:asciiTheme="majorHAnsi" w:eastAsiaTheme="majorEastAsia" w:hAnsiTheme="majorHAnsi" w:cstheme="majorBidi"/>
      <w:b/>
      <w:bCs/>
      <w:color w:val="4F81BD" w:themeColor="accent1"/>
      <w:sz w:val="24"/>
      <w:szCs w:val="24"/>
    </w:rPr>
  </w:style>
  <w:style w:type="paragraph" w:styleId="af4">
    <w:name w:val="Revision"/>
    <w:hidden/>
    <w:uiPriority w:val="99"/>
    <w:semiHidden/>
    <w:rsid w:val="0091276C"/>
    <w:rPr>
      <w:rFonts w:ascii="Calibri" w:hAnsi="Calibri" w:cs="Calibri"/>
      <w:color w:val="000000"/>
      <w:sz w:val="24"/>
      <w:szCs w:val="24"/>
    </w:rPr>
  </w:style>
  <w:style w:type="paragraph" w:styleId="af5">
    <w:name w:val="Body Text"/>
    <w:basedOn w:val="a"/>
    <w:link w:val="af6"/>
    <w:uiPriority w:val="1"/>
    <w:qFormat/>
    <w:rsid w:val="00AF280B"/>
    <w:pPr>
      <w:autoSpaceDE/>
      <w:autoSpaceDN/>
      <w:adjustRightInd/>
      <w:jc w:val="left"/>
    </w:pPr>
    <w:rPr>
      <w:rFonts w:eastAsia="Calibri"/>
      <w:color w:val="auto"/>
    </w:rPr>
  </w:style>
  <w:style w:type="character" w:customStyle="1" w:styleId="af6">
    <w:name w:val="正文文本 字符"/>
    <w:basedOn w:val="a0"/>
    <w:link w:val="af5"/>
    <w:uiPriority w:val="1"/>
    <w:rsid w:val="00AF280B"/>
    <w:rPr>
      <w:rFonts w:ascii="Calibri" w:eastAsia="Calibri" w:hAnsi="Calibri" w:cs="Calibri"/>
      <w:sz w:val="24"/>
      <w:szCs w:val="24"/>
    </w:rPr>
  </w:style>
  <w:style w:type="character" w:styleId="af7">
    <w:name w:val="Strong"/>
    <w:basedOn w:val="a0"/>
    <w:uiPriority w:val="22"/>
    <w:qFormat/>
    <w:rsid w:val="007E058A"/>
    <w:rPr>
      <w:b/>
      <w:bCs/>
    </w:rPr>
  </w:style>
  <w:style w:type="character" w:styleId="af8">
    <w:name w:val="Emphasis"/>
    <w:basedOn w:val="a0"/>
    <w:uiPriority w:val="20"/>
    <w:qFormat/>
    <w:rsid w:val="00225720"/>
    <w:rPr>
      <w:i/>
      <w:iCs/>
    </w:rPr>
  </w:style>
  <w:style w:type="character" w:styleId="af9">
    <w:name w:val="line number"/>
    <w:basedOn w:val="a0"/>
    <w:uiPriority w:val="99"/>
    <w:semiHidden/>
    <w:unhideWhenUsed/>
    <w:rsid w:val="00205B3F"/>
  </w:style>
  <w:style w:type="character" w:customStyle="1" w:styleId="11">
    <w:name w:val="未处理的提及1"/>
    <w:basedOn w:val="a0"/>
    <w:uiPriority w:val="99"/>
    <w:semiHidden/>
    <w:unhideWhenUsed/>
    <w:rsid w:val="008D5E61"/>
    <w:rPr>
      <w:color w:val="808080"/>
      <w:shd w:val="clear" w:color="auto" w:fill="E6E6E6"/>
    </w:rPr>
  </w:style>
  <w:style w:type="character" w:customStyle="1" w:styleId="al-author-name-more">
    <w:name w:val="al-author-name-more"/>
    <w:basedOn w:val="a0"/>
    <w:rsid w:val="00961B7F"/>
  </w:style>
  <w:style w:type="table" w:styleId="afa">
    <w:name w:val="Table Grid"/>
    <w:basedOn w:val="a1"/>
    <w:uiPriority w:val="59"/>
    <w:rsid w:val="00E76C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a"/>
    <w:link w:val="EndNoteBibliographyTitleChar"/>
    <w:rsid w:val="001217B9"/>
    <w:pPr>
      <w:jc w:val="center"/>
    </w:pPr>
    <w:rPr>
      <w:noProof/>
    </w:rPr>
  </w:style>
  <w:style w:type="character" w:customStyle="1" w:styleId="EndNoteBibliographyTitleChar">
    <w:name w:val="EndNote Bibliography Title Char"/>
    <w:basedOn w:val="a0"/>
    <w:link w:val="EndNoteBibliographyTitle"/>
    <w:rsid w:val="001217B9"/>
    <w:rPr>
      <w:rFonts w:ascii="Calibri" w:hAnsi="Calibri" w:cs="Calibri"/>
      <w:noProof/>
      <w:color w:val="000000"/>
      <w:sz w:val="24"/>
      <w:szCs w:val="24"/>
    </w:rPr>
  </w:style>
  <w:style w:type="paragraph" w:customStyle="1" w:styleId="EndNoteBibliography">
    <w:name w:val="EndNote Bibliography"/>
    <w:basedOn w:val="a"/>
    <w:link w:val="EndNoteBibliographyChar"/>
    <w:rsid w:val="001217B9"/>
    <w:rPr>
      <w:noProof/>
    </w:rPr>
  </w:style>
  <w:style w:type="character" w:customStyle="1" w:styleId="EndNoteBibliographyChar">
    <w:name w:val="EndNote Bibliography Char"/>
    <w:basedOn w:val="a0"/>
    <w:link w:val="EndNoteBibliography"/>
    <w:rsid w:val="001217B9"/>
    <w:rPr>
      <w:rFonts w:ascii="Calibri" w:hAnsi="Calibri" w:cs="Calibri"/>
      <w:noProof/>
      <w:color w:val="000000"/>
      <w:sz w:val="24"/>
      <w:szCs w:val="24"/>
    </w:rPr>
  </w:style>
  <w:style w:type="character" w:styleId="afb">
    <w:name w:val="Placeholder Text"/>
    <w:basedOn w:val="a0"/>
    <w:uiPriority w:val="99"/>
    <w:semiHidden/>
    <w:rsid w:val="005E578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7418637">
      <w:bodyDiv w:val="1"/>
      <w:marLeft w:val="0"/>
      <w:marRight w:val="0"/>
      <w:marTop w:val="0"/>
      <w:marBottom w:val="0"/>
      <w:divBdr>
        <w:top w:val="none" w:sz="0" w:space="0" w:color="auto"/>
        <w:left w:val="none" w:sz="0" w:space="0" w:color="auto"/>
        <w:bottom w:val="none" w:sz="0" w:space="0" w:color="auto"/>
        <w:right w:val="none" w:sz="0" w:space="0" w:color="auto"/>
      </w:divBdr>
    </w:div>
    <w:div w:id="324750874">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266574446">
      <w:bodyDiv w:val="1"/>
      <w:marLeft w:val="0"/>
      <w:marRight w:val="0"/>
      <w:marTop w:val="0"/>
      <w:marBottom w:val="0"/>
      <w:divBdr>
        <w:top w:val="none" w:sz="0" w:space="0" w:color="auto"/>
        <w:left w:val="none" w:sz="0" w:space="0" w:color="auto"/>
        <w:bottom w:val="none" w:sz="0" w:space="0" w:color="auto"/>
        <w:right w:val="none" w:sz="0" w:space="0" w:color="auto"/>
      </w:divBdr>
    </w:div>
    <w:div w:id="1451314699">
      <w:bodyDiv w:val="1"/>
      <w:marLeft w:val="0"/>
      <w:marRight w:val="0"/>
      <w:marTop w:val="0"/>
      <w:marBottom w:val="0"/>
      <w:divBdr>
        <w:top w:val="none" w:sz="0" w:space="0" w:color="auto"/>
        <w:left w:val="none" w:sz="0" w:space="0" w:color="auto"/>
        <w:bottom w:val="none" w:sz="0" w:space="0" w:color="auto"/>
        <w:right w:val="none" w:sz="0" w:space="0" w:color="auto"/>
      </w:divBdr>
    </w:div>
    <w:div w:id="1586181232">
      <w:bodyDiv w:val="1"/>
      <w:marLeft w:val="0"/>
      <w:marRight w:val="0"/>
      <w:marTop w:val="0"/>
      <w:marBottom w:val="0"/>
      <w:divBdr>
        <w:top w:val="none" w:sz="0" w:space="0" w:color="auto"/>
        <w:left w:val="none" w:sz="0" w:space="0" w:color="auto"/>
        <w:bottom w:val="none" w:sz="0" w:space="0" w:color="auto"/>
        <w:right w:val="none" w:sz="0" w:space="0" w:color="auto"/>
      </w:divBdr>
    </w:div>
    <w:div w:id="1596554826">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880622628">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9275</Words>
  <Characters>52869</Characters>
  <Application>Microsoft Office Word</Application>
  <DocSecurity>0</DocSecurity>
  <Lines>440</Lines>
  <Paragraphs>124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LinksUpToDate>false</LinksUpToDate>
  <CharactersWithSpaces>62020</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2019-10-20T06:34:00Z</dcterms:created>
  <dcterms:modified xsi:type="dcterms:W3CDTF">2019-10-20T13:00:00Z</dcterms:modified>
</cp:coreProperties>
</file>