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3E0" w:rsidRPr="003843E0" w:rsidRDefault="003843E0" w:rsidP="00715BF1">
      <w:pPr>
        <w:spacing w:after="0"/>
        <w:rPr>
          <w:rStyle w:val="Strong"/>
          <w:u w:val="single"/>
        </w:rPr>
      </w:pPr>
      <w:r w:rsidRPr="003843E0">
        <w:rPr>
          <w:rStyle w:val="Strong"/>
          <w:u w:val="single"/>
        </w:rPr>
        <w:t>Response to reviewer and editorial comments</w:t>
      </w:r>
    </w:p>
    <w:p w:rsidR="003843E0" w:rsidRDefault="003843E0" w:rsidP="00715BF1">
      <w:pPr>
        <w:spacing w:after="0"/>
        <w:rPr>
          <w:rStyle w:val="Strong"/>
        </w:rPr>
      </w:pPr>
    </w:p>
    <w:p w:rsidR="00D45950" w:rsidRDefault="00905E45" w:rsidP="00715BF1">
      <w:pPr>
        <w:spacing w:after="0"/>
      </w:pPr>
      <w:r>
        <w:rPr>
          <w:rStyle w:val="Strong"/>
        </w:rPr>
        <w:t>Editorial Comments</w:t>
      </w:r>
      <w:proofErr w:type="gramStart"/>
      <w:r>
        <w:rPr>
          <w:rStyle w:val="Strong"/>
        </w:rPr>
        <w:t>:</w:t>
      </w:r>
      <w:proofErr w:type="gramEnd"/>
      <w:r>
        <w:br/>
      </w:r>
      <w:r>
        <w:br/>
        <w:t>• Please take this opportunity to thoroughly proofread the manuscript to ensure that there are no spelling or gramma</w:t>
      </w:r>
      <w:bookmarkStart w:id="0" w:name="_GoBack"/>
      <w:bookmarkEnd w:id="0"/>
      <w:r>
        <w:t>tical errors.</w:t>
      </w:r>
    </w:p>
    <w:p w:rsidR="00B608E6" w:rsidRDefault="00D45950" w:rsidP="00715BF1">
      <w:pPr>
        <w:spacing w:after="0"/>
      </w:pPr>
      <w:r w:rsidRPr="00D45950">
        <w:rPr>
          <w:i/>
          <w:iCs/>
        </w:rPr>
        <w:t>Response</w:t>
      </w:r>
      <w:r>
        <w:t xml:space="preserve">: </w:t>
      </w:r>
      <w:r w:rsidR="008C05AF">
        <w:t>T</w:t>
      </w:r>
      <w:r>
        <w:t>hank you we have proof-read the manuscript carefully</w:t>
      </w:r>
      <w:r w:rsidR="008C05AF">
        <w:t>.</w:t>
      </w:r>
      <w:r w:rsidR="00905E45">
        <w:br/>
      </w:r>
      <w:r w:rsidR="00905E45">
        <w:br/>
        <w:t xml:space="preserve">• Introduction: Please use a superscripted citation in place of </w:t>
      </w:r>
      <w:hyperlink r:id="rId5" w:tgtFrame="_blank" w:history="1">
        <w:r w:rsidR="00905E45">
          <w:rPr>
            <w:rStyle w:val="Hyperlink"/>
          </w:rPr>
          <w:t>www.presto.auckland.ac.nz</w:t>
        </w:r>
      </w:hyperlink>
    </w:p>
    <w:p w:rsidR="00B608E6" w:rsidRDefault="00B608E6" w:rsidP="0091545C">
      <w:pPr>
        <w:spacing w:after="0"/>
      </w:pPr>
      <w:r w:rsidRPr="00715BF1">
        <w:rPr>
          <w:i/>
          <w:iCs/>
        </w:rPr>
        <w:t>Respons</w:t>
      </w:r>
      <w:r w:rsidRPr="00961A1D">
        <w:rPr>
          <w:i/>
          <w:iCs/>
        </w:rPr>
        <w:t>e</w:t>
      </w:r>
      <w:r w:rsidRPr="00961A1D">
        <w:t>:</w:t>
      </w:r>
      <w:r>
        <w:t xml:space="preserve"> We have made this change</w:t>
      </w:r>
      <w:r w:rsidR="008C05AF">
        <w:t>.</w:t>
      </w:r>
    </w:p>
    <w:p w:rsidR="0091545C" w:rsidRDefault="0091545C" w:rsidP="0091545C">
      <w:pPr>
        <w:spacing w:after="0"/>
      </w:pPr>
    </w:p>
    <w:p w:rsidR="00B608E6" w:rsidRDefault="00905E45">
      <w:r>
        <w:t xml:space="preserve">• Protocol Language: The </w:t>
      </w:r>
      <w:proofErr w:type="spellStart"/>
      <w:r>
        <w:t>JoVE</w:t>
      </w:r>
      <w:proofErr w:type="spellEnd"/>
      <w:r>
        <w:t xml:space="preserve"> protocol should be almost entirely composed of numbered short steps (2-3 related actions each) written in the imperative voice/tense (as if you are telling someone how to do the technique, i.e. "Do this", "Measure that" etc.). Any text that cannot be written in the imperative tense may be added as a brief “Note” at the end of the step (please limit notes). Please re-write your ENTIRE protocol section 1 accordingly. Descriptive sections of the protocol can be moved to Representative Results or Discussion. The </w:t>
      </w:r>
      <w:proofErr w:type="spellStart"/>
      <w:r>
        <w:t>JoVE</w:t>
      </w:r>
      <w:proofErr w:type="spellEnd"/>
      <w:r>
        <w:t xml:space="preserve"> protocol should be a set of instructions rather a report of a study. Any reporting should be moved into the representative results</w:t>
      </w:r>
      <w:r>
        <w:br/>
        <w:t>1) Additional Examples NOT in imperative voice: 2.1, 2.2, 2.7, 2.10, 2.11</w:t>
      </w:r>
      <w:proofErr w:type="gramStart"/>
      <w:r>
        <w:t>,2.12</w:t>
      </w:r>
      <w:proofErr w:type="gramEnd"/>
      <w:r>
        <w:t>, 3.1, 3.2, 4.1, 4.3, 4.4, 4.6, 4.6.1, 4.9.1, 4.9.2, 4.10.6, 4.10.7</w:t>
      </w:r>
      <w:r>
        <w:br/>
      </w:r>
      <w:r w:rsidR="00B608E6" w:rsidRPr="00B608E6">
        <w:rPr>
          <w:i/>
          <w:iCs/>
        </w:rPr>
        <w:t>Response</w:t>
      </w:r>
      <w:r w:rsidR="00B608E6">
        <w:t xml:space="preserve">: </w:t>
      </w:r>
      <w:r w:rsidR="00961A1D">
        <w:t xml:space="preserve">Thank you for clarifying these instructions, </w:t>
      </w:r>
      <w:r w:rsidR="00B608E6">
        <w:t>we have adjust</w:t>
      </w:r>
      <w:r w:rsidR="00961A1D">
        <w:t>ed</w:t>
      </w:r>
      <w:r w:rsidR="00B608E6">
        <w:t xml:space="preserve"> the language throughout the protocol to ensure it is in the imperative voice</w:t>
      </w:r>
      <w:r w:rsidR="008C05AF">
        <w:t>.</w:t>
      </w:r>
    </w:p>
    <w:p w:rsidR="00B608E6" w:rsidRDefault="00905E45">
      <w:r>
        <w:br/>
        <w:t>• Protocol Detail: Please note that your protocol will be used to generate the script for the video, and must contain everything that you would like shown in the video. Please add more specific details to your protocol steps. There should be enough detail in each step to supplement the actions seen in the video so that viewers can easily replicate the protocol. Examples</w:t>
      </w:r>
      <w:proofErr w:type="gramStart"/>
      <w:r>
        <w:t>:</w:t>
      </w:r>
      <w:proofErr w:type="gramEnd"/>
      <w:r>
        <w:br/>
        <w:t>1) 4.3: Please elaborate.</w:t>
      </w:r>
      <w:r>
        <w:br/>
      </w:r>
      <w:r w:rsidR="00B608E6" w:rsidRPr="00B608E6">
        <w:rPr>
          <w:i/>
          <w:iCs/>
        </w:rPr>
        <w:t>Response</w:t>
      </w:r>
      <w:r w:rsidR="00B608E6">
        <w:t xml:space="preserve">: We have included more detail in the protocol to ensure the reader is able to follow the instructions. In response to Reviewer 1 comments, we have also added additional detail to the protocol which is specific to working with a patient in the acute hospital setting. (See steps </w:t>
      </w:r>
      <w:r w:rsidR="00153AAE">
        <w:t>3.</w:t>
      </w:r>
      <w:r w:rsidR="00B034FB">
        <w:t>1</w:t>
      </w:r>
      <w:r w:rsidR="00153AAE">
        <w:t>-3</w:t>
      </w:r>
      <w:r w:rsidR="00B608E6">
        <w:t xml:space="preserve">.7). </w:t>
      </w:r>
    </w:p>
    <w:p w:rsidR="0006076D" w:rsidRDefault="0006076D">
      <w:r>
        <w:t xml:space="preserve">We </w:t>
      </w:r>
      <w:r w:rsidR="00961A1D">
        <w:t xml:space="preserve">have </w:t>
      </w:r>
      <w:r>
        <w:t>also addressed the point 4.3 with more detail in the representative results section as follows:</w:t>
      </w:r>
    </w:p>
    <w:p w:rsidR="0006076D" w:rsidRPr="0006076D" w:rsidRDefault="0006076D">
      <w:pPr>
        <w:rPr>
          <w:color w:val="FF0000"/>
        </w:rPr>
      </w:pPr>
      <w:r w:rsidRPr="0006076D">
        <w:rPr>
          <w:rFonts w:cstheme="minorHAnsi"/>
          <w:color w:val="FF0000"/>
        </w:rPr>
        <w:t>“</w:t>
      </w:r>
      <w:r w:rsidR="00C33415" w:rsidRPr="006C24BE">
        <w:rPr>
          <w:rFonts w:cstheme="minorHAnsi"/>
          <w:color w:val="FF0000"/>
        </w:rPr>
        <w:t xml:space="preserve">Patients must be assessed for suitability for the procedure. This includes completing a safety checklist, which is subsequently </w:t>
      </w:r>
      <w:r w:rsidR="00C33415">
        <w:rPr>
          <w:rFonts w:cstheme="minorHAnsi"/>
          <w:color w:val="FF0000"/>
        </w:rPr>
        <w:t xml:space="preserve">reviewed and </w:t>
      </w:r>
      <w:r w:rsidR="00C33415" w:rsidRPr="006C24BE">
        <w:rPr>
          <w:rFonts w:cstheme="minorHAnsi"/>
          <w:color w:val="FF0000"/>
        </w:rPr>
        <w:t xml:space="preserve">approved by the </w:t>
      </w:r>
      <w:r w:rsidR="00C33415" w:rsidRPr="006C24BE">
        <w:rPr>
          <w:rFonts w:cstheme="minorHAnsi"/>
          <w:color w:val="FF0000"/>
        </w:rPr>
        <w:lastRenderedPageBreak/>
        <w:t xml:space="preserve">treating physician. The purpose of </w:t>
      </w:r>
      <w:proofErr w:type="gramStart"/>
      <w:r w:rsidR="00C33415" w:rsidRPr="006C24BE">
        <w:rPr>
          <w:rFonts w:cstheme="minorHAnsi"/>
          <w:color w:val="FF0000"/>
        </w:rPr>
        <w:t>the</w:t>
      </w:r>
      <w:proofErr w:type="gramEnd"/>
      <w:r w:rsidR="00C33415" w:rsidRPr="006C24BE">
        <w:rPr>
          <w:rFonts w:cstheme="minorHAnsi"/>
          <w:color w:val="FF0000"/>
        </w:rPr>
        <w:t xml:space="preserve"> checklist is to identify any contraindications or precautions for using TMS such as the presence of a </w:t>
      </w:r>
      <w:r w:rsidR="00C33415">
        <w:rPr>
          <w:rFonts w:cstheme="minorHAnsi"/>
          <w:color w:val="FF0000"/>
        </w:rPr>
        <w:t xml:space="preserve">cardiac </w:t>
      </w:r>
      <w:r w:rsidR="00C33415" w:rsidRPr="006C24BE">
        <w:rPr>
          <w:rFonts w:cstheme="minorHAnsi"/>
          <w:color w:val="FF0000"/>
        </w:rPr>
        <w:t>pacemaker, seizures, brain surgery, and head injuries. Contraindications and precautions for TMS are well established and previously described in detail</w:t>
      </w:r>
      <w:r w:rsidRPr="0006076D">
        <w:rPr>
          <w:rFonts w:cstheme="minorHAnsi"/>
          <w:color w:val="FF0000"/>
        </w:rPr>
        <w:t>.</w:t>
      </w:r>
      <w:hyperlink w:anchor="_ENREF_23" w:tooltip="Rossi, 2009 #1334" w:history="1">
        <w:r w:rsidRPr="0006076D">
          <w:rPr>
            <w:rFonts w:cstheme="minorHAnsi"/>
            <w:color w:val="FF0000"/>
          </w:rPr>
          <w:fldChar w:fldCharType="begin"/>
        </w:r>
        <w:r w:rsidRPr="0006076D">
          <w:rPr>
            <w:rFonts w:cstheme="minorHAnsi"/>
            <w:color w:val="FF0000"/>
          </w:rPr>
          <w:instrText xml:space="preserve"> ADDIN EN.CITE &lt;EndNote&gt;&lt;Cite&gt;&lt;Author&gt;Rossi&lt;/Author&gt;&lt;Year&gt;2009&lt;/Year&gt;&lt;RecNum&gt;1334&lt;/RecNum&gt;&lt;DisplayText&gt;&lt;style face="superscript"&gt;23&lt;/style&gt;&lt;/DisplayText&gt;&lt;record&gt;&lt;rec-number&gt;1334&lt;/rec-number&gt;&lt;foreign-keys&gt;&lt;key app="EN" db-id="zs5ae2x22s22x3e2vfivv2szsefrte2vs9pf"&gt;1334&lt;/key&gt;&lt;/foreign-keys&gt;&lt;ref-type name="Journal Article"&gt;17&lt;/ref-type&gt;&lt;contributors&gt;&lt;authors&gt;&lt;author&gt;Rossi, S.&lt;/author&gt;&lt;author&gt;Hallett, M.&lt;/author&gt;&lt;author&gt;Rossini, P. M.&lt;/author&gt;&lt;author&gt;Pascual-Leone, A.&lt;/author&gt;&lt;author&gt;Safety of, T. M. S. Consensus Group&lt;/author&gt;&lt;/authors&gt;&lt;/contributors&gt;&lt;auth-address&gt;Dipartimento di Neuroscienze, Sezione Neurologia, Universita di Siena, Italy. rossisimo@unisi.it&lt;/auth-address&gt;&lt;titles&gt;&lt;title&gt;Safety, ethical considerations, and application guidelines for the use of transcranial magnetic stimulation in clinical practice and research&lt;/title&gt;&lt;secondary-title&gt;Clin Neurophysiol&lt;/secondary-title&gt;&lt;/titles&gt;&lt;periodical&gt;&lt;full-title&gt;Clin Neurophysiol&lt;/full-title&gt;&lt;/periodical&gt;&lt;pages&gt;2008-39&lt;/pages&gt;&lt;volume&gt;120&lt;/volume&gt;&lt;number&gt;12&lt;/number&gt;&lt;keywords&gt;&lt;keyword&gt;Biomedical Research/*ethics/standards&lt;/keyword&gt;&lt;keyword&gt;Hot Temperature/adverse effects&lt;/keyword&gt;&lt;keyword&gt;Humans&lt;/keyword&gt;&lt;keyword&gt;Italy&lt;/keyword&gt;&lt;keyword&gt;Nervous System Diseases/diagnosis/therapy&lt;/keyword&gt;&lt;keyword&gt;*Practice Guidelines as Topic/standards&lt;/keyword&gt;&lt;keyword&gt;Risk Factors&lt;/keyword&gt;&lt;keyword&gt;Transcranial Magnetic Stimulation/*adverse effects/*ethics/standards&lt;/keyword&gt;&lt;/keywords&gt;&lt;dates&gt;&lt;year&gt;2009&lt;/year&gt;&lt;pub-dates&gt;&lt;date&gt;Dec&lt;/date&gt;&lt;/pub-dates&gt;&lt;/dates&gt;&lt;isbn&gt;1872-8952 (Electronic)&amp;#xD;1388-2457 (Linking)&lt;/isbn&gt;&lt;accession-num&gt;19833552&lt;/accession-num&gt;&lt;urls&gt;&lt;related-urls&gt;&lt;url&gt;http://www.ncbi.nlm.nih.gov/pubmed/19833552&lt;/url&gt;&lt;/related-urls&gt;&lt;/urls&gt;&lt;custom2&gt;PMC3260536&lt;/custom2&gt;&lt;electronic-resource-num&gt;10.1016/j.clinph.2009.08.016&lt;/electronic-resource-num&gt;&lt;/record&gt;&lt;/Cite&gt;&lt;/EndNote&gt;</w:instrText>
        </w:r>
        <w:r w:rsidRPr="0006076D">
          <w:rPr>
            <w:rFonts w:cstheme="minorHAnsi"/>
            <w:color w:val="FF0000"/>
          </w:rPr>
          <w:fldChar w:fldCharType="separate"/>
        </w:r>
        <w:r w:rsidRPr="0006076D">
          <w:rPr>
            <w:rFonts w:cstheme="minorHAnsi"/>
            <w:noProof/>
            <w:color w:val="FF0000"/>
            <w:vertAlign w:val="superscript"/>
          </w:rPr>
          <w:t>23</w:t>
        </w:r>
        <w:r w:rsidRPr="0006076D">
          <w:rPr>
            <w:rFonts w:cstheme="minorHAnsi"/>
            <w:color w:val="FF0000"/>
          </w:rPr>
          <w:fldChar w:fldCharType="end"/>
        </w:r>
      </w:hyperlink>
      <w:r w:rsidRPr="0006076D">
        <w:rPr>
          <w:rFonts w:cstheme="minorHAnsi"/>
          <w:color w:val="FF0000"/>
        </w:rPr>
        <w:t>”</w:t>
      </w:r>
    </w:p>
    <w:p w:rsidR="008B0337" w:rsidRDefault="00905E45">
      <w:r>
        <w:t xml:space="preserve">• Discussion: </w:t>
      </w:r>
      <w:proofErr w:type="spellStart"/>
      <w:r>
        <w:t>JoVE</w:t>
      </w:r>
      <w:proofErr w:type="spellEnd"/>
      <w: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br/>
      </w:r>
      <w:r w:rsidR="008B0337" w:rsidRPr="006F4722">
        <w:rPr>
          <w:i/>
          <w:iCs/>
        </w:rPr>
        <w:t>Response</w:t>
      </w:r>
      <w:r w:rsidR="008B0337" w:rsidRPr="006F4722">
        <w:t>:</w:t>
      </w:r>
      <w:r w:rsidR="00715BF1">
        <w:t xml:space="preserve"> Thank you, the discussion has been updated accordingly with more detail on trouble shooting and protocol modifications.</w:t>
      </w:r>
    </w:p>
    <w:p w:rsidR="008B0337" w:rsidRDefault="00C927C9">
      <w:r>
        <w:t xml:space="preserve"> </w:t>
      </w:r>
      <w:r w:rsidR="00905E45">
        <w:t>• References: Please spell out journal names.</w:t>
      </w:r>
      <w:r w:rsidR="00905E45">
        <w:br/>
      </w:r>
      <w:r w:rsidR="008B0337" w:rsidRPr="00F40182">
        <w:rPr>
          <w:i/>
          <w:iCs/>
        </w:rPr>
        <w:t>Response</w:t>
      </w:r>
      <w:r w:rsidR="008B0337" w:rsidRPr="00F40182">
        <w:t>:</w:t>
      </w:r>
      <w:r w:rsidR="008B0337">
        <w:t xml:space="preserve"> Journal names have been included in full</w:t>
      </w:r>
      <w:r w:rsidR="008C05AF">
        <w:t>.</w:t>
      </w:r>
    </w:p>
    <w:p w:rsidR="008B0337" w:rsidRPr="00605160" w:rsidRDefault="00905E45" w:rsidP="008B0337">
      <w:pPr>
        <w:rPr>
          <w:rFonts w:cs="Arial"/>
          <w:lang w:val="en-NZ"/>
        </w:rPr>
      </w:pPr>
      <w: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t>JoVE</w:t>
      </w:r>
      <w:proofErr w:type="spellEnd"/>
      <w:r>
        <w:t>)" section. Please also cite the figure appropriately in the figure legend, i.e. "This figure has been modified from [citation]."</w:t>
      </w:r>
      <w:r>
        <w:br/>
      </w:r>
      <w:r w:rsidR="008B0337" w:rsidRPr="008B0337">
        <w:rPr>
          <w:i/>
          <w:iCs/>
        </w:rPr>
        <w:t>Response</w:t>
      </w:r>
      <w:r w:rsidR="008B0337">
        <w:t xml:space="preserve">: Figure 1 is published in open access journal. This is cited in the </w:t>
      </w:r>
      <w:r w:rsidR="00961A1D">
        <w:t>figure legend</w:t>
      </w:r>
      <w:r w:rsidR="008B0337">
        <w:t xml:space="preserve"> as follows: “</w:t>
      </w:r>
      <w:r w:rsidR="008B0337">
        <w:rPr>
          <w:rFonts w:cs="Arial"/>
          <w:lang w:val="en-NZ"/>
        </w:rPr>
        <w:t xml:space="preserve">Figure reproduced from Stinear et al. </w:t>
      </w:r>
      <w:hyperlink w:anchor="_ENREF_17" w:tooltip="Stinear, 2017 #6351" w:history="1">
        <w:r w:rsidR="008B0337">
          <w:rPr>
            <w:rFonts w:cs="Arial"/>
            <w:lang w:val="en-NZ"/>
          </w:rPr>
          <w:fldChar w:fldCharType="begin"/>
        </w:r>
        <w:r w:rsidR="008B0337">
          <w:rPr>
            <w:rFonts w:cs="Arial"/>
            <w:lang w:val="en-NZ"/>
          </w:rPr>
          <w:instrText xml:space="preserve"> ADDIN EN.CITE &lt;EndNote&gt;&lt;Cite&gt;&lt;Author&gt;Stinear&lt;/Author&gt;&lt;Year&gt;2017&lt;/Year&gt;&lt;RecNum&gt;6351&lt;/RecNum&gt;&lt;DisplayText&gt;&lt;style face="superscript"&gt;17&lt;/style&gt;&lt;/DisplayText&gt;&lt;record&gt;&lt;rec-number&gt;6351&lt;/rec-number&gt;&lt;foreign-keys&gt;&lt;key app="EN" db-id="zs5ae2x22s22x3e2vfivv2szsefrte2vs9pf"&gt;6351&lt;/key&gt;&lt;/foreign-keys&gt;&lt;ref-type name="Journal Article"&gt;17&lt;/ref-type&gt;&lt;contributors&gt;&lt;authors&gt;&lt;author&gt;Stinear, C. M.&lt;/author&gt;&lt;author&gt;Byblow, W. D.&lt;/author&gt;&lt;author&gt;Ackerley, S. J.&lt;/author&gt;&lt;author&gt;Smith, M. C.&lt;/author&gt;&lt;author&gt;Borges, V. M.&lt;/author&gt;&lt;author&gt;Barber, P. A.&lt;/author&gt;&lt;/authors&gt;&lt;/contributors&gt;&lt;auth-address&gt;Department of MedicineUniversity of AucklandPrivate Bag 92019Auckland1142New Zealand.&amp;#xD;Centre for Brain ResearchUniversity of AucklandPrivate Bag 92019Auckland1142New Zealand.&amp;#xD;Department of Exercise SciencesUniversity of AucklandPrivate Bag 92019Auckland1142New Zealand.&amp;#xD;NeurologyAuckland District Health Board2 Park Rd, GraftonAuckland1023New Zealand.&lt;/auth-address&gt;&lt;titles&gt;&lt;title&gt;PREP2: A biomarker-based algorithm for predicting upper limb function after stroke&lt;/title&gt;&lt;secondary-title&gt;Ann Clin Transl Neurol&lt;/secondary-title&gt;&lt;/titles&gt;&lt;periodical&gt;&lt;full-title&gt;Ann Clin Transl Neurol&lt;/full-title&gt;&lt;/periodical&gt;&lt;pages&gt;811-820&lt;/pages&gt;&lt;volume&gt;4&lt;/volume&gt;&lt;number&gt;11&lt;/number&gt;&lt;dates&gt;&lt;year&gt;2017&lt;/year&gt;&lt;pub-dates&gt;&lt;date&gt;Nov&lt;/date&gt;&lt;/pub-dates&gt;&lt;/dates&gt;&lt;isbn&gt;2328-9503 (Print)&amp;#xD;2328-9503 (Linking)&lt;/isbn&gt;&lt;accession-num&gt;29159193&lt;/accession-num&gt;&lt;urls&gt;&lt;related-urls&gt;&lt;url&gt;https://www.ncbi.nlm.nih.gov/pubmed/29159193&lt;/url&gt;&lt;/related-urls&gt;&lt;/urls&gt;&lt;custom2&gt;PMC5682112&lt;/custom2&gt;&lt;electronic-resource-num&gt;10.1002/acn3.488&lt;/electronic-resource-num&gt;&lt;/record&gt;&lt;/Cite&gt;&lt;/EndNote&gt;</w:instrText>
        </w:r>
        <w:r w:rsidR="008B0337">
          <w:rPr>
            <w:rFonts w:cs="Arial"/>
            <w:lang w:val="en-NZ"/>
          </w:rPr>
          <w:fldChar w:fldCharType="separate"/>
        </w:r>
        <w:r w:rsidR="008B0337" w:rsidRPr="00935209">
          <w:rPr>
            <w:rFonts w:cs="Arial"/>
            <w:noProof/>
            <w:vertAlign w:val="superscript"/>
            <w:lang w:val="en-NZ"/>
          </w:rPr>
          <w:t>17</w:t>
        </w:r>
        <w:r w:rsidR="008B0337">
          <w:rPr>
            <w:rFonts w:cs="Arial"/>
            <w:lang w:val="en-NZ"/>
          </w:rPr>
          <w:fldChar w:fldCharType="end"/>
        </w:r>
      </w:hyperlink>
      <w:r w:rsidR="008B0337">
        <w:rPr>
          <w:rFonts w:cs="Arial"/>
          <w:lang w:val="en-NZ"/>
        </w:rPr>
        <w:t xml:space="preserve"> under Creative Commons License CC BY-NC-ND.” We have uploaded a copy of the re-print permission as requested.</w:t>
      </w:r>
    </w:p>
    <w:p w:rsidR="000F447D" w:rsidRDefault="00905E45">
      <w:r>
        <w:br/>
      </w:r>
      <w:r>
        <w:rPr>
          <w:rStyle w:val="Strong"/>
        </w:rPr>
        <w:t>Comments from Peer-Reviewers</w:t>
      </w:r>
      <w:proofErr w:type="gramStart"/>
      <w:r>
        <w:rPr>
          <w:rStyle w:val="Strong"/>
        </w:rPr>
        <w:t>:</w:t>
      </w:r>
      <w:proofErr w:type="gramEnd"/>
      <w:r>
        <w:br/>
      </w:r>
      <w:r>
        <w:br/>
        <w:t>Reviewer #1:</w:t>
      </w:r>
      <w:r>
        <w:br/>
      </w:r>
      <w:r>
        <w:br/>
        <w:t>Manuscript Summary:</w:t>
      </w:r>
      <w:r>
        <w:br/>
        <w:t>This manuscript detailed assessments used in PREP2 algorithm to measure strength and to determine functionality of corticospinal tract within one-week post stroke. Methodology of patient screening, SAFE score, NIHSS, and TMS were discussed.</w:t>
      </w:r>
      <w:r>
        <w:br/>
      </w:r>
      <w:r>
        <w:br/>
        <w:t>Major Concerns:</w:t>
      </w:r>
      <w:r>
        <w:br/>
      </w:r>
      <w:r>
        <w:br/>
      </w:r>
      <w:r w:rsidR="00A308DD">
        <w:lastRenderedPageBreak/>
        <w:t xml:space="preserve">1. </w:t>
      </w:r>
      <w:r>
        <w:t>While the novelty of this manuscript is not supposed to be a review criteria there is some concern that as outlined, the video would add nothing to the literature. TMS MEP testing has been extensively described for decades. The potential usefulness is descriptions of managing the unique aspects of TMS in an acute setting. This is currently not indicated that it will be addressed. For example, there are numerous issues associated with a patient that can't transfer or has limited bed mobility and problems associated with getting the correct head positioning of the coil. It would be useful to see several different options of how to prop the patient and where to position the TMS devices in relation to all the other equipment in a hospital room.</w:t>
      </w:r>
    </w:p>
    <w:p w:rsidR="00224719" w:rsidRDefault="000F447D">
      <w:r w:rsidRPr="000F447D">
        <w:rPr>
          <w:i/>
          <w:iCs/>
        </w:rPr>
        <w:t>Response</w:t>
      </w:r>
      <w:r>
        <w:t xml:space="preserve">: Thank you for your comments and suggestions. We agree that TMS itself is well established and the usefulness of this protocol lies in </w:t>
      </w:r>
      <w:r w:rsidR="00961A1D">
        <w:t xml:space="preserve">describing </w:t>
      </w:r>
      <w:r>
        <w:t xml:space="preserve">how to conduct TMS within an acute hospital setting. </w:t>
      </w:r>
      <w:r w:rsidR="00961A1D">
        <w:t>We</w:t>
      </w:r>
      <w:r>
        <w:t xml:space="preserve"> have substantially modified the protocol to reflect this </w:t>
      </w:r>
      <w:r w:rsidR="00961A1D">
        <w:t>(</w:t>
      </w:r>
      <w:r>
        <w:t xml:space="preserve">steps </w:t>
      </w:r>
      <w:r w:rsidR="00153AAE">
        <w:t>3.</w:t>
      </w:r>
      <w:r w:rsidR="008A0A56">
        <w:t>1</w:t>
      </w:r>
      <w:r w:rsidR="00153AAE">
        <w:t xml:space="preserve"> – 3</w:t>
      </w:r>
      <w:r>
        <w:t>.7</w:t>
      </w:r>
      <w:r w:rsidR="00961A1D">
        <w:t>)</w:t>
      </w:r>
      <w:r>
        <w:t xml:space="preserve">. We have also included more detail in the representative results and discussion sections to identify areas where the protocol may need to be adjusted depending on the specific patient and environmental set up. </w:t>
      </w:r>
    </w:p>
    <w:p w:rsidR="00012C1A" w:rsidRDefault="00012C1A">
      <w:r>
        <w:t>We have identified the aim of the protocol at the end of the introduction as follows:</w:t>
      </w:r>
    </w:p>
    <w:p w:rsidR="00012C1A" w:rsidRDefault="00012C1A" w:rsidP="00012C1A">
      <w:pPr>
        <w:rPr>
          <w:rFonts w:cstheme="minorHAnsi"/>
        </w:rPr>
      </w:pPr>
      <w:r>
        <w:rPr>
          <w:rFonts w:cstheme="minorHAnsi"/>
        </w:rPr>
        <w:t xml:space="preserve">“Despite the mounting evidence for the use of TMS as a biomarker for UL recovery, lack of familiarity with TMS protocols in hospital settings with sub-acute stroke patients may be a barrier to its use in research. Therefore, this protocol aims to demonstrate how to use the SAFE score and TMS to evaluate CST function in patients </w:t>
      </w:r>
      <w:r w:rsidRPr="00012C1A">
        <w:rPr>
          <w:rFonts w:cstheme="minorHAnsi"/>
          <w:color w:val="FF0000"/>
        </w:rPr>
        <w:t xml:space="preserve">in a hospital setting </w:t>
      </w:r>
      <w:r>
        <w:rPr>
          <w:rFonts w:cstheme="minorHAnsi"/>
        </w:rPr>
        <w:t>early after stroke.”</w:t>
      </w:r>
    </w:p>
    <w:p w:rsidR="000F447D" w:rsidRDefault="000F447D">
      <w:r>
        <w:t xml:space="preserve">We </w:t>
      </w:r>
      <w:r w:rsidR="00224719">
        <w:t xml:space="preserve">also </w:t>
      </w:r>
      <w:r>
        <w:t xml:space="preserve">acknowledge that patients with significant mobility issues are more difficult to manage in terms of bed mobility and transfers. </w:t>
      </w:r>
      <w:r w:rsidR="00224719">
        <w:t xml:space="preserve">For these reasons we have provided the option of testing the patient in the bed or in a chair. </w:t>
      </w:r>
      <w:r>
        <w:t>Our recommendation is that only people trained in moving and handling a patient with stroke should be responsible for patient positioning.</w:t>
      </w:r>
      <w:r w:rsidR="00AB3F26">
        <w:t xml:space="preserve"> Teaching people how to move a patient is outside the scope of this protocol.</w:t>
      </w:r>
      <w:r>
        <w:t xml:space="preserve"> This has now been clarified in step </w:t>
      </w:r>
      <w:r w:rsidR="008A0A56">
        <w:t>3</w:t>
      </w:r>
      <w:r>
        <w:t xml:space="preserve">.4.2: </w:t>
      </w:r>
    </w:p>
    <w:p w:rsidR="000F447D" w:rsidRPr="000F447D" w:rsidRDefault="000F447D" w:rsidP="000F447D">
      <w:pPr>
        <w:pStyle w:val="ListParagraph"/>
        <w:ind w:left="0"/>
        <w:rPr>
          <w:rFonts w:asciiTheme="minorHAnsi" w:hAnsiTheme="minorHAnsi" w:cstheme="minorHAnsi"/>
          <w:bCs/>
          <w:color w:val="auto"/>
          <w:sz w:val="22"/>
          <w:szCs w:val="22"/>
          <w:highlight w:val="yellow"/>
        </w:rPr>
      </w:pPr>
      <w:r w:rsidRPr="000F447D">
        <w:rPr>
          <w:rFonts w:asciiTheme="minorHAnsi" w:hAnsiTheme="minorHAnsi" w:cstheme="minorHAnsi"/>
          <w:bCs/>
          <w:color w:val="auto"/>
          <w:sz w:val="22"/>
          <w:szCs w:val="22"/>
        </w:rPr>
        <w:t>“</w:t>
      </w:r>
      <w:r w:rsidRPr="000F447D">
        <w:rPr>
          <w:rFonts w:asciiTheme="minorHAnsi" w:hAnsiTheme="minorHAnsi" w:cstheme="minorHAnsi"/>
          <w:bCs/>
          <w:color w:val="FF0000"/>
          <w:sz w:val="22"/>
          <w:szCs w:val="22"/>
        </w:rPr>
        <w:t>Note: The patient should only be moved by trained staff</w:t>
      </w:r>
      <w:r>
        <w:rPr>
          <w:rFonts w:asciiTheme="minorHAnsi" w:hAnsiTheme="minorHAnsi" w:cstheme="minorHAnsi"/>
          <w:bCs/>
          <w:color w:val="FF0000"/>
          <w:sz w:val="22"/>
          <w:szCs w:val="22"/>
        </w:rPr>
        <w:t>”</w:t>
      </w:r>
    </w:p>
    <w:p w:rsidR="00A308DD" w:rsidRDefault="00905E45">
      <w:r>
        <w:br/>
      </w:r>
      <w:r w:rsidR="00A308DD">
        <w:t xml:space="preserve">2. </w:t>
      </w:r>
      <w:r>
        <w:t>There are several times that the authors indicate that something should be done, but provide no justification and mislead the reader into thinking that the stated method is an agreed upon method. This is beyond the scope of a protocol and suggests an inappropriate bias. A protocol should just describe how YOU do it, not how everyone should necessarily do it, given that there is no known justification. Some examples that need to be modified</w:t>
      </w:r>
      <w:proofErr w:type="gramStart"/>
      <w:r>
        <w:t>:</w:t>
      </w:r>
      <w:proofErr w:type="gramEnd"/>
      <w:r>
        <w:br/>
      </w:r>
      <w:r w:rsidR="00A308DD" w:rsidRPr="00A308DD">
        <w:rPr>
          <w:i/>
          <w:iCs/>
        </w:rPr>
        <w:t>Response</w:t>
      </w:r>
      <w:r w:rsidR="00A308DD">
        <w:t xml:space="preserve">: Thank you for this comment. The </w:t>
      </w:r>
      <w:r w:rsidR="00F274FD">
        <w:t>journal requires</w:t>
      </w:r>
      <w:r w:rsidR="00A308DD">
        <w:t xml:space="preserve"> that all protocol </w:t>
      </w:r>
      <w:r w:rsidR="00A308DD">
        <w:lastRenderedPageBreak/>
        <w:t>steps are written in the imperative tense. This can create challenges in differentiating between what “must” be done and</w:t>
      </w:r>
      <w:r w:rsidR="007B5473">
        <w:t xml:space="preserve"> what the authors do. </w:t>
      </w:r>
      <w:r w:rsidR="00A308DD">
        <w:t xml:space="preserve">We </w:t>
      </w:r>
      <w:r w:rsidR="007B5473">
        <w:t>do, however,</w:t>
      </w:r>
      <w:r w:rsidR="00A308DD">
        <w:t xml:space="preserve"> </w:t>
      </w:r>
      <w:r w:rsidR="007B5473">
        <w:t xml:space="preserve">agree with the reviewer that keeping the protocol as neutral as possible is preferable. As such, we have </w:t>
      </w:r>
      <w:r w:rsidR="00A308DD">
        <w:t>pulled out any steps which are not essential as the reviewer suggest</w:t>
      </w:r>
      <w:r w:rsidR="007B5473">
        <w:t>s, and instead included the specifics of how to use SAFE score and TMS within the PREP2 context in the r</w:t>
      </w:r>
      <w:r w:rsidR="00A308DD">
        <w:t>epresentative results and discussion sections</w:t>
      </w:r>
      <w:r w:rsidR="00F274FD">
        <w:t>.</w:t>
      </w:r>
      <w:r w:rsidR="007B5473">
        <w:t xml:space="preserve"> </w:t>
      </w:r>
    </w:p>
    <w:p w:rsidR="00A308DD" w:rsidRDefault="00A308DD" w:rsidP="00A308DD">
      <w:pPr>
        <w:spacing w:after="0"/>
      </w:pPr>
      <w:r>
        <w:t xml:space="preserve"> </w:t>
      </w:r>
      <w:r w:rsidR="004378C2">
        <w:t xml:space="preserve">2a </w:t>
      </w:r>
      <w:r w:rsidR="00905E45">
        <w:t xml:space="preserve">* TMS between 4-7 is </w:t>
      </w:r>
      <w:proofErr w:type="gramStart"/>
      <w:r w:rsidR="00905E45">
        <w:t>a</w:t>
      </w:r>
      <w:proofErr w:type="gramEnd"/>
      <w:r w:rsidR="00905E45">
        <w:t xml:space="preserve"> arbitrary restriction and should be rephrased. What is wrong with doing it on Day 8?</w:t>
      </w:r>
    </w:p>
    <w:p w:rsidR="00A308DD" w:rsidRDefault="00A308DD">
      <w:r w:rsidRPr="00A308DD">
        <w:rPr>
          <w:i/>
          <w:iCs/>
        </w:rPr>
        <w:t>Response</w:t>
      </w:r>
      <w:r>
        <w:t>: The time frame corresponds to the use of TMS within the PREP2 algorithm. The protocol is designed to assist researchers in identifying MEP status using a com</w:t>
      </w:r>
      <w:r w:rsidR="00715BF1">
        <w:t xml:space="preserve">bination of SAFE score and TMS with a specific aim of providing predictions within 1 week of stroke. We have updated the </w:t>
      </w:r>
      <w:r w:rsidR="00987C98">
        <w:t>first</w:t>
      </w:r>
      <w:r w:rsidR="00715BF1">
        <w:t xml:space="preserve"> paragraph in the discussion to </w:t>
      </w:r>
      <w:r w:rsidR="00B82047">
        <w:t>reflect this</w:t>
      </w:r>
      <w:r w:rsidR="00715BF1">
        <w:t>:</w:t>
      </w:r>
    </w:p>
    <w:p w:rsidR="00715BF1" w:rsidRDefault="00715BF1" w:rsidP="00987C98">
      <w:pPr>
        <w:rPr>
          <w:rFonts w:cstheme="minorHAnsi"/>
        </w:rPr>
      </w:pPr>
      <w:r>
        <w:rPr>
          <w:rFonts w:cstheme="minorHAnsi"/>
        </w:rPr>
        <w:t>“</w:t>
      </w:r>
      <w:r w:rsidR="00987C98" w:rsidRPr="00576488">
        <w:rPr>
          <w:rFonts w:cstheme="minorHAnsi"/>
          <w:color w:val="FF0000"/>
        </w:rPr>
        <w:t>CST function evaluated with MEP status is a key prognostic biomarker for</w:t>
      </w:r>
      <w:r w:rsidR="00987C98">
        <w:rPr>
          <w:rFonts w:cstheme="minorHAnsi"/>
        </w:rPr>
        <w:t xml:space="preserve"> UL recovery and outcome after stroke. 95% of patients with a functional CST </w:t>
      </w:r>
      <w:r w:rsidR="00987C98" w:rsidRPr="006C24BE">
        <w:rPr>
          <w:rFonts w:cstheme="minorHAnsi"/>
          <w:color w:val="FF0000"/>
        </w:rPr>
        <w:t xml:space="preserve">at 1 week post stroke </w:t>
      </w:r>
      <w:r w:rsidR="00987C98">
        <w:rPr>
          <w:rFonts w:cstheme="minorHAnsi"/>
        </w:rPr>
        <w:t>achieve an Action Research Arm Test (ARAT) score of at least 34 out of 57 by 3 months post-stroke.</w:t>
      </w:r>
      <w:hyperlink w:anchor="_ENREF_17" w:tooltip="Stinear, 2017 #6351" w:history="1">
        <w:r w:rsidR="00987C98">
          <w:rPr>
            <w:rFonts w:cstheme="minorHAnsi"/>
          </w:rPr>
          <w:fldChar w:fldCharType="begin"/>
        </w:r>
        <w:r w:rsidR="00987C98">
          <w:rPr>
            <w:rFonts w:cstheme="minorHAnsi"/>
          </w:rPr>
          <w:instrText xml:space="preserve"> ADDIN EN.CITE &lt;EndNote&gt;&lt;Cite&gt;&lt;Author&gt;Stinear&lt;/Author&gt;&lt;Year&gt;2017&lt;/Year&gt;&lt;RecNum&gt;6351&lt;/RecNum&gt;&lt;DisplayText&gt;&lt;style face="superscript"&gt;17&lt;/style&gt;&lt;/DisplayText&gt;&lt;record&gt;&lt;rec-number&gt;6351&lt;/rec-number&gt;&lt;foreign-keys&gt;&lt;key app="EN" db-id="zs5ae2x22s22x3e2vfivv2szsefrte2vs9pf" timestamp="1527416126"&gt;6351&lt;/key&gt;&lt;/foreign-keys&gt;&lt;ref-type name="Journal Article"&gt;17&lt;/ref-type&gt;&lt;contributors&gt;&lt;authors&gt;&lt;author&gt;Stinear, C. M.&lt;/author&gt;&lt;author&gt;Byblow, W. D.&lt;/author&gt;&lt;author&gt;Ackerley, S. J.&lt;/author&gt;&lt;author&gt;Smith, M. C.&lt;/author&gt;&lt;author&gt;Borges, V. M.&lt;/author&gt;&lt;author&gt;Barber, P. A.&lt;/author&gt;&lt;/authors&gt;&lt;/contributors&gt;&lt;auth-address&gt;Department of MedicineUniversity of AucklandPrivate Bag 92019Auckland1142New Zealand.&amp;#xD;Centre for Brain ResearchUniversity of AucklandPrivate Bag 92019Auckland1142New Zealand.&amp;#xD;Department of Exercise SciencesUniversity of AucklandPrivate Bag 92019Auckland1142New Zealand.&amp;#xD;NeurologyAuckland District Health Board2 Park Rd, GraftonAuckland1023New Zealand.&lt;/auth-address&gt;&lt;titles&gt;&lt;title&gt;PREP2: A biomarker-based algorithm for predicting upper limb function after stroke&lt;/title&gt;&lt;secondary-title&gt;Ann Clin Transl Neurol&lt;/secondary-title&gt;&lt;/titles&gt;&lt;periodical&gt;&lt;full-title&gt;Ann Clin Transl Neurol&lt;/full-title&gt;&lt;/periodical&gt;&lt;pages&gt;811-820&lt;/pages&gt;&lt;volume&gt;4&lt;/volume&gt;&lt;number&gt;11&lt;/number&gt;&lt;dates&gt;&lt;year&gt;2017&lt;/year&gt;&lt;pub-dates&gt;&lt;date&gt;Nov&lt;/date&gt;&lt;/pub-dates&gt;&lt;/dates&gt;&lt;isbn&gt;2328-9503 (Print)&amp;#xD;2328-9503 (Linking)&lt;/isbn&gt;&lt;accession-num&gt;29159193&lt;/accession-num&gt;&lt;urls&gt;&lt;related-urls&gt;&lt;url&gt;https://www.ncbi.nlm.nih.gov/pubmed/29159193&lt;/url&gt;&lt;/related-urls&gt;&lt;/urls&gt;&lt;custom2&gt;PMC5682112&lt;/custom2&gt;&lt;electronic-resource-num&gt;10.1002/acn3.488&lt;/electronic-resource-num&gt;&lt;/record&gt;&lt;/Cite&gt;&lt;/EndNote&gt;</w:instrText>
        </w:r>
        <w:r w:rsidR="00987C98">
          <w:rPr>
            <w:rFonts w:cstheme="minorHAnsi"/>
          </w:rPr>
          <w:fldChar w:fldCharType="separate"/>
        </w:r>
        <w:r w:rsidR="00987C98" w:rsidRPr="00DE6BCA">
          <w:rPr>
            <w:rFonts w:cstheme="minorHAnsi"/>
            <w:noProof/>
            <w:vertAlign w:val="superscript"/>
          </w:rPr>
          <w:t>17</w:t>
        </w:r>
        <w:r w:rsidR="00987C98">
          <w:rPr>
            <w:rFonts w:cstheme="minorHAnsi"/>
          </w:rPr>
          <w:fldChar w:fldCharType="end"/>
        </w:r>
      </w:hyperlink>
      <w:r w:rsidR="00987C98">
        <w:rPr>
          <w:rFonts w:cstheme="minorHAnsi"/>
        </w:rPr>
        <w:t xml:space="preserve"> Conversely, 100% of patients without a functional CST </w:t>
      </w:r>
      <w:r w:rsidR="00987C98" w:rsidRPr="006C24BE">
        <w:rPr>
          <w:rFonts w:cstheme="minorHAnsi"/>
          <w:color w:val="FF0000"/>
        </w:rPr>
        <w:t xml:space="preserve">at 1 week post-stroke </w:t>
      </w:r>
      <w:r w:rsidR="00987C98">
        <w:rPr>
          <w:rFonts w:cstheme="minorHAnsi"/>
        </w:rPr>
        <w:t>achieve an ARAT score less than 34 by 3 months post-stroke.</w:t>
      </w:r>
      <w:hyperlink w:anchor="_ENREF_17" w:tooltip="Stinear, 2017 #6351" w:history="1">
        <w:r w:rsidR="00987C98">
          <w:rPr>
            <w:rFonts w:cstheme="minorHAnsi"/>
          </w:rPr>
          <w:fldChar w:fldCharType="begin"/>
        </w:r>
        <w:r w:rsidR="00987C98">
          <w:rPr>
            <w:rFonts w:cstheme="minorHAnsi"/>
          </w:rPr>
          <w:instrText xml:space="preserve"> ADDIN EN.CITE &lt;EndNote&gt;&lt;Cite&gt;&lt;Author&gt;Stinear&lt;/Author&gt;&lt;Year&gt;2017&lt;/Year&gt;&lt;RecNum&gt;6351&lt;/RecNum&gt;&lt;DisplayText&gt;&lt;style face="superscript"&gt;17&lt;/style&gt;&lt;/DisplayText&gt;&lt;record&gt;&lt;rec-number&gt;6351&lt;/rec-number&gt;&lt;foreign-keys&gt;&lt;key app="EN" db-id="zs5ae2x22s22x3e2vfivv2szsefrte2vs9pf" timestamp="1527416126"&gt;6351&lt;/key&gt;&lt;/foreign-keys&gt;&lt;ref-type name="Journal Article"&gt;17&lt;/ref-type&gt;&lt;contributors&gt;&lt;authors&gt;&lt;author&gt;Stinear, C. M.&lt;/author&gt;&lt;author&gt;Byblow, W. D.&lt;/author&gt;&lt;author&gt;Ackerley, S. J.&lt;/author&gt;&lt;author&gt;Smith, M. C.&lt;/author&gt;&lt;author&gt;Borges, V. M.&lt;/author&gt;&lt;author&gt;Barber, P. A.&lt;/author&gt;&lt;/authors&gt;&lt;/contributors&gt;&lt;auth-address&gt;Department of MedicineUniversity of AucklandPrivate Bag 92019Auckland1142New Zealand.&amp;#xD;Centre for Brain ResearchUniversity of AucklandPrivate Bag 92019Auckland1142New Zealand.&amp;#xD;Department of Exercise SciencesUniversity of AucklandPrivate Bag 92019Auckland1142New Zealand.&amp;#xD;NeurologyAuckland District Health Board2 Park Rd, GraftonAuckland1023New Zealand.&lt;/auth-address&gt;&lt;titles&gt;&lt;title&gt;PREP2: A biomarker-based algorithm for predicting upper limb function after stroke&lt;/title&gt;&lt;secondary-title&gt;Ann Clin Transl Neurol&lt;/secondary-title&gt;&lt;/titles&gt;&lt;periodical&gt;&lt;full-title&gt;Ann Clin Transl Neurol&lt;/full-title&gt;&lt;/periodical&gt;&lt;pages&gt;811-820&lt;/pages&gt;&lt;volume&gt;4&lt;/volume&gt;&lt;number&gt;11&lt;/number&gt;&lt;dates&gt;&lt;year&gt;2017&lt;/year&gt;&lt;pub-dates&gt;&lt;date&gt;Nov&lt;/date&gt;&lt;/pub-dates&gt;&lt;/dates&gt;&lt;isbn&gt;2328-9503 (Print)&amp;#xD;2328-9503 (Linking)&lt;/isbn&gt;&lt;accession-num&gt;29159193&lt;/accession-num&gt;&lt;urls&gt;&lt;related-urls&gt;&lt;url&gt;https://www.ncbi.nlm.nih.gov/pubmed/29159193&lt;/url&gt;&lt;/related-urls&gt;&lt;/urls&gt;&lt;custom2&gt;PMC5682112&lt;/custom2&gt;&lt;electronic-resource-num&gt;10.1002/acn3.488&lt;/electronic-resource-num&gt;&lt;/record&gt;&lt;/Cite&gt;&lt;/EndNote&gt;</w:instrText>
        </w:r>
        <w:r w:rsidR="00987C98">
          <w:rPr>
            <w:rFonts w:cstheme="minorHAnsi"/>
          </w:rPr>
          <w:fldChar w:fldCharType="separate"/>
        </w:r>
        <w:r w:rsidR="00987C98" w:rsidRPr="00DE6BCA">
          <w:rPr>
            <w:rFonts w:cstheme="minorHAnsi"/>
            <w:noProof/>
            <w:vertAlign w:val="superscript"/>
          </w:rPr>
          <w:t>17</w:t>
        </w:r>
        <w:r w:rsidR="00987C98">
          <w:rPr>
            <w:rFonts w:cstheme="minorHAnsi"/>
          </w:rPr>
          <w:fldChar w:fldCharType="end"/>
        </w:r>
      </w:hyperlink>
      <w:r w:rsidR="00987C98">
        <w:rPr>
          <w:rFonts w:cstheme="minorHAnsi"/>
        </w:rPr>
        <w:t xml:space="preserve"> Evaluating CST function within a week post-stroke </w:t>
      </w:r>
      <w:r w:rsidR="00987C98" w:rsidRPr="006C24BE">
        <w:rPr>
          <w:rFonts w:cstheme="minorHAnsi"/>
          <w:color w:val="FF0000"/>
        </w:rPr>
        <w:t xml:space="preserve">may </w:t>
      </w:r>
      <w:r w:rsidR="00987C98">
        <w:rPr>
          <w:rFonts w:cstheme="minorHAnsi"/>
        </w:rPr>
        <w:t>improve patient selection and stratification in trials aimed at improving UL recovery and outcomes after stroke.</w:t>
      </w:r>
      <w:r>
        <w:rPr>
          <w:rFonts w:cstheme="minorHAnsi"/>
        </w:rPr>
        <w:t>”</w:t>
      </w:r>
    </w:p>
    <w:p w:rsidR="00647BCF" w:rsidRDefault="004378C2" w:rsidP="004378C2">
      <w:pPr>
        <w:spacing w:after="0"/>
      </w:pPr>
      <w:r>
        <w:t xml:space="preserve">2b </w:t>
      </w:r>
      <w:r w:rsidR="00905E45">
        <w:t>* Electrode placement for FDI not standard, why dorsum of the hand?</w:t>
      </w:r>
    </w:p>
    <w:p w:rsidR="00416FA3" w:rsidRDefault="00416FA3" w:rsidP="00416FA3">
      <w:pPr>
        <w:rPr>
          <w:rFonts w:cstheme="minorHAnsi"/>
        </w:rPr>
      </w:pPr>
      <w:r w:rsidRPr="006F4722">
        <w:rPr>
          <w:rFonts w:cstheme="minorHAnsi"/>
          <w:i/>
        </w:rPr>
        <w:t>Response</w:t>
      </w:r>
      <w:r>
        <w:rPr>
          <w:rFonts w:cstheme="minorHAnsi"/>
        </w:rPr>
        <w:t>: We acknowledge that the FDI electrode placement is not standard. However we have found that in patients with smaller hands, when using larger electrodes</w:t>
      </w:r>
      <w:r w:rsidR="004011F3">
        <w:rPr>
          <w:rFonts w:cstheme="minorHAnsi"/>
        </w:rPr>
        <w:t>,</w:t>
      </w:r>
      <w:r>
        <w:rPr>
          <w:rFonts w:cstheme="minorHAnsi"/>
        </w:rPr>
        <w:t xml:space="preserve"> or when a patient has a tendency to perspire, the placement of the “tendon” electrode of the belly-tendon montage over the dorsum of the hand instead of the lateral aspect of the second metacarpophalangeal joint improves the quality of the EMG trace. This has been explained as follows in the discussion, paragraph </w:t>
      </w:r>
      <w:r w:rsidR="007952E5">
        <w:rPr>
          <w:rFonts w:cstheme="minorHAnsi"/>
        </w:rPr>
        <w:t>4</w:t>
      </w:r>
      <w:r>
        <w:rPr>
          <w:rFonts w:cstheme="minorHAnsi"/>
        </w:rPr>
        <w:t>:</w:t>
      </w:r>
    </w:p>
    <w:p w:rsidR="00416FA3" w:rsidRDefault="00416FA3" w:rsidP="00416FA3">
      <w:pPr>
        <w:rPr>
          <w:rFonts w:cstheme="minorHAnsi"/>
        </w:rPr>
      </w:pPr>
      <w:bookmarkStart w:id="1" w:name="_Hlk19644244"/>
      <w:r>
        <w:rPr>
          <w:rFonts w:cstheme="minorHAnsi"/>
        </w:rPr>
        <w:t>“</w:t>
      </w:r>
      <w:r w:rsidRPr="00416FA3">
        <w:rPr>
          <w:rFonts w:cstheme="minorHAnsi"/>
          <w:color w:val="FF0000"/>
        </w:rPr>
        <w:t xml:space="preserve">Similarly electrode placement may vary depending on the length of electrode leads, or issues with placement due to skin lesions, IV </w:t>
      </w:r>
      <w:r w:rsidR="004011F3">
        <w:rPr>
          <w:rFonts w:cstheme="minorHAnsi"/>
          <w:color w:val="FF0000"/>
        </w:rPr>
        <w:t>cannula</w:t>
      </w:r>
      <w:r w:rsidR="00F274FD" w:rsidRPr="00416FA3">
        <w:rPr>
          <w:rFonts w:cstheme="minorHAnsi"/>
          <w:color w:val="FF0000"/>
        </w:rPr>
        <w:t xml:space="preserve"> </w:t>
      </w:r>
      <w:r w:rsidRPr="00416FA3">
        <w:rPr>
          <w:rFonts w:cstheme="minorHAnsi"/>
          <w:color w:val="FF0000"/>
        </w:rPr>
        <w:t xml:space="preserve">and dressings. Typical FDI placement </w:t>
      </w:r>
      <w:r w:rsidR="00F274FD">
        <w:rPr>
          <w:rFonts w:cstheme="minorHAnsi"/>
          <w:color w:val="FF0000"/>
        </w:rPr>
        <w:t>involves</w:t>
      </w:r>
      <w:r w:rsidR="00F274FD" w:rsidRPr="00416FA3">
        <w:rPr>
          <w:rFonts w:cstheme="minorHAnsi"/>
          <w:color w:val="FF0000"/>
        </w:rPr>
        <w:t xml:space="preserve"> </w:t>
      </w:r>
      <w:r w:rsidRPr="00416FA3">
        <w:rPr>
          <w:rFonts w:cstheme="minorHAnsi"/>
          <w:color w:val="FF0000"/>
        </w:rPr>
        <w:t xml:space="preserve">one electrode over the FDI muscle belly, and one over the lateral aspect of the second metacarpophalangeal joint. </w:t>
      </w:r>
      <w:r w:rsidR="00F274FD" w:rsidRPr="00416FA3">
        <w:rPr>
          <w:rFonts w:cstheme="minorHAnsi"/>
          <w:color w:val="FF0000"/>
        </w:rPr>
        <w:t xml:space="preserve">This protocol describes a belly-tendon montage for FDI electrode positioning, with the second electrode placed on the dorsum of the hand. </w:t>
      </w:r>
      <w:r w:rsidR="00F274FD">
        <w:rPr>
          <w:rFonts w:cstheme="minorHAnsi"/>
          <w:color w:val="FF0000"/>
        </w:rPr>
        <w:t>P</w:t>
      </w:r>
      <w:r w:rsidRPr="00416FA3">
        <w:rPr>
          <w:rFonts w:cstheme="minorHAnsi"/>
          <w:color w:val="FF0000"/>
        </w:rPr>
        <w:t xml:space="preserve">lacing the second electrode over the dorsum of the hand is advantageous if the patient is perspiring, or the electrodes themselves are too large to fit </w:t>
      </w:r>
      <w:r w:rsidR="00F274FD">
        <w:rPr>
          <w:rFonts w:cstheme="minorHAnsi"/>
          <w:color w:val="FF0000"/>
        </w:rPr>
        <w:t>in</w:t>
      </w:r>
      <w:r w:rsidR="00F274FD" w:rsidRPr="00416FA3">
        <w:rPr>
          <w:rFonts w:cstheme="minorHAnsi"/>
          <w:color w:val="FF0000"/>
        </w:rPr>
        <w:t xml:space="preserve"> </w:t>
      </w:r>
      <w:r w:rsidRPr="00416FA3">
        <w:rPr>
          <w:rFonts w:cstheme="minorHAnsi"/>
          <w:color w:val="FF0000"/>
        </w:rPr>
        <w:t>the standard configuration.”</w:t>
      </w:r>
    </w:p>
    <w:bookmarkEnd w:id="1"/>
    <w:p w:rsidR="00647BCF" w:rsidRDefault="004378C2" w:rsidP="004378C2">
      <w:pPr>
        <w:spacing w:after="0"/>
      </w:pPr>
      <w:r>
        <w:t xml:space="preserve">2c </w:t>
      </w:r>
      <w:r w:rsidR="00905E45">
        <w:t>* TMS coil - why figure 8? Address difficulty of positioning with bed and handle. What about branding iron?</w:t>
      </w:r>
    </w:p>
    <w:p w:rsidR="00647BCF" w:rsidRDefault="00647BCF" w:rsidP="004378C2">
      <w:pPr>
        <w:spacing w:after="0"/>
      </w:pPr>
      <w:r w:rsidRPr="00647BCF">
        <w:rPr>
          <w:i/>
        </w:rPr>
        <w:lastRenderedPageBreak/>
        <w:t>Response</w:t>
      </w:r>
      <w:r>
        <w:t xml:space="preserve">: Thank you for pointing this out. We have now clarified that the use of a figure 8 coil is the preference of the authors but that the coil type can vary depending on the TMS set-up available in the discussion </w:t>
      </w:r>
      <w:r w:rsidR="00416FA3">
        <w:t xml:space="preserve">paragraph </w:t>
      </w:r>
      <w:r w:rsidR="007952E5">
        <w:t>4</w:t>
      </w:r>
      <w:r w:rsidR="00416FA3">
        <w:t xml:space="preserve"> </w:t>
      </w:r>
      <w:r>
        <w:t>as follows:</w:t>
      </w:r>
    </w:p>
    <w:p w:rsidR="00647BCF" w:rsidRDefault="00647BCF" w:rsidP="004378C2">
      <w:pPr>
        <w:spacing w:after="0"/>
        <w:rPr>
          <w:rFonts w:cstheme="minorHAnsi"/>
        </w:rPr>
      </w:pPr>
      <w:r>
        <w:rPr>
          <w:rFonts w:cstheme="minorHAnsi"/>
        </w:rPr>
        <w:t>“</w:t>
      </w:r>
      <w:r w:rsidRPr="00647BCF">
        <w:rPr>
          <w:rFonts w:cstheme="minorHAnsi"/>
          <w:color w:val="FF0000"/>
        </w:rPr>
        <w:t>The TMS set-up described in this protocol may vary in other institutions based on the TMS equipment available and patient factors. A flat figure-8 coil was used here, but could be substituted with a figure-8 branding coil or circular coil</w:t>
      </w:r>
      <w:r>
        <w:rPr>
          <w:rFonts w:cstheme="minorHAnsi"/>
        </w:rPr>
        <w:t>.”</w:t>
      </w:r>
    </w:p>
    <w:p w:rsidR="00647BCF" w:rsidRDefault="00647BCF" w:rsidP="004378C2">
      <w:pPr>
        <w:spacing w:after="0"/>
        <w:rPr>
          <w:rFonts w:cstheme="minorHAnsi"/>
        </w:rPr>
      </w:pPr>
    </w:p>
    <w:p w:rsidR="00647BCF" w:rsidRDefault="00647BCF" w:rsidP="004378C2">
      <w:pPr>
        <w:spacing w:after="0"/>
        <w:rPr>
          <w:rFonts w:cstheme="minorHAnsi"/>
        </w:rPr>
      </w:pPr>
      <w:r>
        <w:rPr>
          <w:rFonts w:cstheme="minorHAnsi"/>
        </w:rPr>
        <w:t>We also included this in the protocol as a note under step 3.7.4:</w:t>
      </w:r>
    </w:p>
    <w:p w:rsidR="00647BCF" w:rsidRPr="004011F3" w:rsidRDefault="00647BCF" w:rsidP="00647BCF">
      <w:pPr>
        <w:pStyle w:val="ListParagraph"/>
        <w:ind w:left="0"/>
        <w:rPr>
          <w:rFonts w:asciiTheme="minorHAnsi" w:hAnsiTheme="minorHAnsi" w:cstheme="minorHAnsi"/>
          <w:bCs/>
          <w:color w:val="FF0000"/>
          <w:sz w:val="22"/>
          <w:szCs w:val="22"/>
        </w:rPr>
      </w:pPr>
      <w:r w:rsidRPr="004011F3">
        <w:rPr>
          <w:rFonts w:asciiTheme="minorHAnsi" w:hAnsiTheme="minorHAnsi" w:cstheme="minorHAnsi"/>
          <w:bCs/>
          <w:color w:val="FF0000"/>
          <w:sz w:val="22"/>
          <w:szCs w:val="22"/>
        </w:rPr>
        <w:t>“Note: the coil used in this protocol is a flat figure-eight coil but a branding coil or circular coil could also be used”</w:t>
      </w:r>
    </w:p>
    <w:p w:rsidR="00973DEF" w:rsidRDefault="00905E45" w:rsidP="004378C2">
      <w:pPr>
        <w:spacing w:after="0"/>
      </w:pPr>
      <w:r>
        <w:br/>
      </w:r>
      <w:r w:rsidR="004378C2">
        <w:t xml:space="preserve">3. </w:t>
      </w:r>
      <w:r>
        <w:t>The authors should Discuss TMS machine variability in energy output - single or dual? What about overheating?</w:t>
      </w:r>
      <w:r>
        <w:br/>
      </w:r>
      <w:r w:rsidR="00973DEF" w:rsidRPr="00973DEF">
        <w:rPr>
          <w:i/>
        </w:rPr>
        <w:t>Response</w:t>
      </w:r>
      <w:r w:rsidR="00973DEF">
        <w:t>: As the reviewer points out earlier, TMS protocol</w:t>
      </w:r>
      <w:r w:rsidR="00F274FD">
        <w:t>s</w:t>
      </w:r>
      <w:r w:rsidR="00973DEF">
        <w:t xml:space="preserve"> for establishing MEP status is well established using a single pulse TMS set up. There is no reason here to use a dual-pulse set up. Energy output varies between different units, and different coil types by different manufacturers. However for a blunt measure such as MEP status (no requirement for identifying motor threshold or intracortical inhibition measures), small variations in energy output should have little effect. The TMS unit has been described in the protocol in a note below step 3.2.5:</w:t>
      </w:r>
    </w:p>
    <w:p w:rsidR="00973DEF" w:rsidRDefault="00973DEF" w:rsidP="004378C2">
      <w:pPr>
        <w:spacing w:after="0"/>
      </w:pPr>
    </w:p>
    <w:p w:rsidR="00973DEF" w:rsidRPr="00973DEF" w:rsidRDefault="00973DEF" w:rsidP="00973DEF">
      <w:pPr>
        <w:rPr>
          <w:rFonts w:cstheme="minorHAnsi"/>
          <w:b/>
          <w:bCs/>
          <w:color w:val="FF0000"/>
        </w:rPr>
      </w:pPr>
      <w:r>
        <w:rPr>
          <w:rFonts w:cstheme="minorHAnsi"/>
          <w:bCs/>
          <w:color w:val="FF0000"/>
        </w:rPr>
        <w:t>“</w:t>
      </w:r>
      <w:r w:rsidRPr="00973DEF">
        <w:rPr>
          <w:rFonts w:cstheme="minorHAnsi"/>
          <w:bCs/>
          <w:color w:val="FF0000"/>
        </w:rPr>
        <w:t xml:space="preserve">Note: This protocol </w:t>
      </w:r>
      <w:r w:rsidR="003915C6">
        <w:rPr>
          <w:rFonts w:cstheme="minorHAnsi"/>
          <w:bCs/>
          <w:color w:val="FF0000"/>
        </w:rPr>
        <w:t>uses</w:t>
      </w:r>
      <w:r w:rsidRPr="00973DEF">
        <w:rPr>
          <w:rFonts w:cstheme="minorHAnsi"/>
          <w:bCs/>
          <w:color w:val="FF0000"/>
        </w:rPr>
        <w:t xml:space="preserve"> a single-pulse TMS unit. The </w:t>
      </w:r>
      <w:r w:rsidR="003915C6">
        <w:rPr>
          <w:rFonts w:cstheme="minorHAnsi"/>
          <w:bCs/>
          <w:color w:val="FF0000"/>
        </w:rPr>
        <w:t xml:space="preserve">EMG </w:t>
      </w:r>
      <w:r w:rsidRPr="00973DEF">
        <w:rPr>
          <w:rFonts w:cstheme="minorHAnsi"/>
          <w:bCs/>
          <w:color w:val="FF0000"/>
        </w:rPr>
        <w:t>signal can be sampled at 2 kHz and filtered with 10 Hz high-pass and 1000 Hz low-pass filters. The EMG equipment needs to be triggered by the TMS unit, such that the EMG trace begins at least 50 ms prior to the TMS stimulus, and ends at least 50 ms after the TMS stimulus.</w:t>
      </w:r>
      <w:r>
        <w:rPr>
          <w:rFonts w:cstheme="minorHAnsi"/>
          <w:bCs/>
          <w:color w:val="FF0000"/>
        </w:rPr>
        <w:t>”</w:t>
      </w:r>
    </w:p>
    <w:p w:rsidR="00973DEF" w:rsidRDefault="00973DEF" w:rsidP="004378C2">
      <w:pPr>
        <w:spacing w:after="0"/>
      </w:pPr>
      <w:r>
        <w:t xml:space="preserve">As the protocol is very short, there have never been issues with the unit overheating. Overheating is more typical for protocols requiring </w:t>
      </w:r>
      <w:r w:rsidR="003915C6">
        <w:t xml:space="preserve">repeated stimulation </w:t>
      </w:r>
      <w:r>
        <w:t>at high intensities over a long</w:t>
      </w:r>
      <w:r w:rsidR="003915C6">
        <w:t>er time</w:t>
      </w:r>
      <w:r>
        <w:t xml:space="preserve"> period.</w:t>
      </w:r>
    </w:p>
    <w:p w:rsidR="00973DEF" w:rsidRDefault="00905E45" w:rsidP="004378C2">
      <w:pPr>
        <w:spacing w:after="0"/>
      </w:pPr>
      <w:r>
        <w:br/>
      </w:r>
      <w:r w:rsidR="004378C2">
        <w:t xml:space="preserve">4. </w:t>
      </w:r>
      <w:r>
        <w:t>What is the meaning if MEP is only achieved with active contraction?</w:t>
      </w:r>
    </w:p>
    <w:p w:rsidR="004378C2" w:rsidRDefault="00973DEF" w:rsidP="004378C2">
      <w:pPr>
        <w:spacing w:after="0"/>
      </w:pPr>
      <w:r w:rsidRPr="00973DEF">
        <w:rPr>
          <w:i/>
        </w:rPr>
        <w:t>Response</w:t>
      </w:r>
      <w:r>
        <w:t xml:space="preserve">: Thank you for this question. There is no attempt within PREP2 to distinguish meaning between those who required active contraction to elicit a MEP and those </w:t>
      </w:r>
      <w:r w:rsidR="003915C6">
        <w:t xml:space="preserve">in whom a MEP could be elicited </w:t>
      </w:r>
      <w:r>
        <w:t xml:space="preserve">at rest. The presence of a MEP is the most important </w:t>
      </w:r>
      <w:r w:rsidR="00184449">
        <w:t>indicator of CST integrity</w:t>
      </w:r>
      <w:r>
        <w:t xml:space="preserve"> regardless of stimulus intensity</w:t>
      </w:r>
      <w:r w:rsidR="00184449">
        <w:t xml:space="preserve"> or activation</w:t>
      </w:r>
      <w:r>
        <w:t xml:space="preserve">. </w:t>
      </w:r>
      <w:r w:rsidR="00184449">
        <w:t>It is most important to make every effort to facilitate a MEP if possible. This identifies those patients who still have some function in their CST from those with no function in their CST. This reduces the likelihood of false negative predictions for patients.</w:t>
      </w:r>
      <w:r w:rsidR="00905E45">
        <w:br/>
      </w:r>
      <w:r w:rsidR="00905E45">
        <w:br/>
      </w:r>
      <w:r w:rsidR="004378C2">
        <w:t xml:space="preserve">5. </w:t>
      </w:r>
      <w:r w:rsidR="00905E45">
        <w:t>Recommend filming a patient with a good MEP and one without one.</w:t>
      </w:r>
      <w:r w:rsidR="00905E45">
        <w:br/>
      </w:r>
      <w:r w:rsidR="004378C2" w:rsidRPr="004378C2">
        <w:rPr>
          <w:i/>
        </w:rPr>
        <w:t>Response</w:t>
      </w:r>
      <w:r w:rsidR="004378C2">
        <w:t xml:space="preserve">: </w:t>
      </w:r>
      <w:r w:rsidR="00184449">
        <w:t>T</w:t>
      </w:r>
      <w:r w:rsidR="004378C2">
        <w:t>hank you for this suggesti</w:t>
      </w:r>
      <w:r w:rsidR="00184449">
        <w:t>on</w:t>
      </w:r>
      <w:r w:rsidR="004378C2">
        <w:t xml:space="preserve">, we will take </w:t>
      </w:r>
      <w:r w:rsidR="00184449">
        <w:t>this into consideration</w:t>
      </w:r>
      <w:r w:rsidR="003915C6">
        <w:t>.</w:t>
      </w:r>
    </w:p>
    <w:p w:rsidR="00184449" w:rsidRDefault="00905E45" w:rsidP="004378C2">
      <w:pPr>
        <w:spacing w:after="0"/>
      </w:pPr>
      <w:r>
        <w:lastRenderedPageBreak/>
        <w:br/>
      </w:r>
      <w:r w:rsidR="004378C2">
        <w:t xml:space="preserve">6. </w:t>
      </w:r>
      <w:r>
        <w:t>What is the benefit of doing both FDI and EDR?</w:t>
      </w:r>
      <w:r>
        <w:br/>
      </w:r>
      <w:r w:rsidR="00184449" w:rsidRPr="00184449">
        <w:rPr>
          <w:i/>
        </w:rPr>
        <w:t>Response</w:t>
      </w:r>
      <w:r w:rsidR="00184449">
        <w:t xml:space="preserve">: Thank you for this question. The use of both FDI and ECR is well established for MEP status in the UL. Both of these muscles can individually provide information about the functional integrity of the CST and are predictive for the return of UL function after stroke. However, it is also possible to have a MEP in one, but not both muscles. For similar reasons as discussed in response to question 4, every attempt is made to </w:t>
      </w:r>
      <w:r w:rsidR="003915C6">
        <w:t xml:space="preserve">detect </w:t>
      </w:r>
      <w:r w:rsidR="00184449">
        <w:t xml:space="preserve">a MEP if possible. </w:t>
      </w:r>
      <w:r w:rsidR="003915C6">
        <w:t>Placing</w:t>
      </w:r>
      <w:r w:rsidR="00184449">
        <w:t xml:space="preserve"> electrodes on both muscles may increase the likelihood of </w:t>
      </w:r>
      <w:r w:rsidR="003915C6">
        <w:t xml:space="preserve">detecting </w:t>
      </w:r>
      <w:r w:rsidR="00184449">
        <w:t>a MEP and identifying the patient as MEP positive.</w:t>
      </w:r>
    </w:p>
    <w:p w:rsidR="004419B9" w:rsidRDefault="00905E45" w:rsidP="004378C2">
      <w:pPr>
        <w:spacing w:after="0"/>
      </w:pPr>
      <w:r>
        <w:br/>
      </w:r>
      <w:r w:rsidR="004378C2">
        <w:t xml:space="preserve">7. </w:t>
      </w:r>
      <w:r>
        <w:t xml:space="preserve">No </w:t>
      </w:r>
      <w:proofErr w:type="spellStart"/>
      <w:r>
        <w:t>neuronavigation</w:t>
      </w:r>
      <w:proofErr w:type="spellEnd"/>
      <w:r>
        <w:t xml:space="preserve"> is used which has advantages and disadvantages, this should be discussed. It is also not clear how the 1 cm movement happens. It appears to be rather haphazard. It would be useful to see what investigators do for a patient with no MEP, how long do they search? How do they know they have exhausted the viable areas?</w:t>
      </w:r>
    </w:p>
    <w:p w:rsidR="004419B9" w:rsidRDefault="004419B9" w:rsidP="004378C2">
      <w:pPr>
        <w:spacing w:after="0"/>
      </w:pPr>
      <w:r>
        <w:t xml:space="preserve">Response: Thank you for this comment, we have updated the discussion to address this (see below). </w:t>
      </w:r>
      <w:proofErr w:type="spellStart"/>
      <w:r>
        <w:t>Neuronavigation</w:t>
      </w:r>
      <w:proofErr w:type="spellEnd"/>
      <w:r>
        <w:t xml:space="preserve"> in this context is not required for establishing MEP status. For most patients, the location of the upper limb primary motor cortex is easily identifiable using anatomical landmarks. Again, the presence </w:t>
      </w:r>
      <w:r w:rsidR="003915C6">
        <w:t xml:space="preserve">or </w:t>
      </w:r>
      <w:r>
        <w:t xml:space="preserve">absence of MEP is important, rather than finding the optimal location for identifying motor threshold. For those patients who do not </w:t>
      </w:r>
      <w:r w:rsidR="003915C6">
        <w:t xml:space="preserve">produce </w:t>
      </w:r>
      <w:r>
        <w:t>a MEP at low intensities, as the stimulus intensity increases, so does the size and depth of the magnetic field produced by the coil. Thus, stimulating at 100%, the field is not particularly focal, but more widespread. This increase in size of the magnetic field, combined with patient facilitation, and systematic movement of the coil in approximately 1</w:t>
      </w:r>
      <w:r w:rsidR="003915C6">
        <w:t xml:space="preserve"> </w:t>
      </w:r>
      <w:r>
        <w:t xml:space="preserve">cm </w:t>
      </w:r>
      <w:r w:rsidR="003915C6">
        <w:t xml:space="preserve">steps </w:t>
      </w:r>
      <w:r>
        <w:t>means it is very unlikely that a MEP is missed. The accuracy of predictions for patients in PREP2 is highest for those who are determined to be MEP- (Stinear et al, 2017).</w:t>
      </w:r>
    </w:p>
    <w:p w:rsidR="004419B9" w:rsidRDefault="004419B9" w:rsidP="004378C2">
      <w:pPr>
        <w:spacing w:after="0"/>
      </w:pPr>
    </w:p>
    <w:p w:rsidR="004419B9" w:rsidRDefault="004419B9" w:rsidP="004378C2">
      <w:pPr>
        <w:spacing w:after="0"/>
      </w:pPr>
      <w:r>
        <w:t>In the video we will clearly demonstrate the technique for systematic movement of the coil when searching at high stimulus intensities.</w:t>
      </w:r>
    </w:p>
    <w:p w:rsidR="004419B9" w:rsidRDefault="00905E45" w:rsidP="004378C2">
      <w:pPr>
        <w:spacing w:after="0"/>
        <w:rPr>
          <w:rFonts w:cstheme="minorHAnsi"/>
        </w:rPr>
      </w:pPr>
      <w:r>
        <w:br/>
      </w:r>
      <w:r w:rsidR="004419B9">
        <w:rPr>
          <w:rFonts w:cstheme="minorHAnsi"/>
          <w:color w:val="FF0000"/>
        </w:rPr>
        <w:t>“</w:t>
      </w:r>
      <w:r w:rsidR="004419B9" w:rsidRPr="004419B9">
        <w:rPr>
          <w:rFonts w:cstheme="minorHAnsi"/>
          <w:color w:val="FF0000"/>
        </w:rPr>
        <w:t xml:space="preserve">The technique described in this protocol does not use </w:t>
      </w:r>
      <w:proofErr w:type="spellStart"/>
      <w:r w:rsidR="004419B9" w:rsidRPr="004419B9">
        <w:rPr>
          <w:rFonts w:cstheme="minorHAnsi"/>
          <w:color w:val="FF0000"/>
        </w:rPr>
        <w:t>neuronavigation</w:t>
      </w:r>
      <w:proofErr w:type="spellEnd"/>
      <w:r w:rsidR="004419B9" w:rsidRPr="004419B9">
        <w:rPr>
          <w:rFonts w:cstheme="minorHAnsi"/>
          <w:color w:val="FF0000"/>
        </w:rPr>
        <w:t xml:space="preserve"> to identify the hotspot for the TMS coil. </w:t>
      </w:r>
      <w:bookmarkStart w:id="2" w:name="_Hlk19644651"/>
      <w:r w:rsidR="004419B9" w:rsidRPr="004419B9">
        <w:rPr>
          <w:rFonts w:cstheme="minorHAnsi"/>
          <w:color w:val="FF0000"/>
        </w:rPr>
        <w:t xml:space="preserve">This </w:t>
      </w:r>
      <w:r w:rsidR="003915C6">
        <w:rPr>
          <w:rFonts w:cstheme="minorHAnsi"/>
          <w:color w:val="FF0000"/>
        </w:rPr>
        <w:t>removes the need for an MRI scan</w:t>
      </w:r>
      <w:r w:rsidR="004419B9" w:rsidRPr="004419B9">
        <w:rPr>
          <w:rFonts w:cstheme="minorHAnsi"/>
          <w:color w:val="FF0000"/>
        </w:rPr>
        <w:t xml:space="preserve"> and reduces the length of the session</w:t>
      </w:r>
      <w:bookmarkEnd w:id="2"/>
      <w:r w:rsidR="004419B9" w:rsidRPr="004419B9">
        <w:rPr>
          <w:rFonts w:cstheme="minorHAnsi"/>
          <w:color w:val="FF0000"/>
        </w:rPr>
        <w:t>. However</w:t>
      </w:r>
      <w:r w:rsidR="004419B9">
        <w:rPr>
          <w:rFonts w:cstheme="minorHAnsi"/>
        </w:rPr>
        <w:t xml:space="preserve">, </w:t>
      </w:r>
      <w:r w:rsidR="004419B9" w:rsidRPr="004419B9">
        <w:rPr>
          <w:rFonts w:cstheme="minorHAnsi"/>
          <w:color w:val="FF0000"/>
        </w:rPr>
        <w:t xml:space="preserve">this also means that </w:t>
      </w:r>
      <w:r w:rsidR="004419B9">
        <w:rPr>
          <w:rFonts w:cstheme="minorHAnsi"/>
        </w:rPr>
        <w:t xml:space="preserve">movement of the coil while searching for the optimal stimulation location </w:t>
      </w:r>
      <w:r w:rsidR="004419B9" w:rsidRPr="004419B9">
        <w:rPr>
          <w:rFonts w:cstheme="minorHAnsi"/>
          <w:color w:val="FF0000"/>
        </w:rPr>
        <w:t xml:space="preserve">must be systematic and thorough </w:t>
      </w:r>
      <w:r w:rsidR="004419B9">
        <w:rPr>
          <w:rFonts w:cstheme="minorHAnsi"/>
        </w:rPr>
        <w:t>to ensure all efforts have been made to elicit a MEP.”</w:t>
      </w:r>
    </w:p>
    <w:p w:rsidR="006F4722" w:rsidRDefault="00905E45" w:rsidP="004378C2">
      <w:pPr>
        <w:spacing w:after="0"/>
      </w:pPr>
      <w:r>
        <w:br/>
      </w:r>
      <w:r w:rsidR="004378C2">
        <w:t xml:space="preserve">8. </w:t>
      </w:r>
      <w:r>
        <w:t>The example traces are very useful, but should be zoomed in more to see the nuances.</w:t>
      </w:r>
      <w:r>
        <w:br/>
      </w:r>
      <w:r w:rsidR="006F4722" w:rsidRPr="006F4722">
        <w:rPr>
          <w:i/>
        </w:rPr>
        <w:t>Response</w:t>
      </w:r>
      <w:r w:rsidR="006F4722">
        <w:t>: Thank you, we have rectified this.</w:t>
      </w:r>
    </w:p>
    <w:p w:rsidR="006F4722" w:rsidRDefault="00905E45" w:rsidP="004378C2">
      <w:pPr>
        <w:spacing w:after="0"/>
      </w:pPr>
      <w:r>
        <w:lastRenderedPageBreak/>
        <w:br/>
      </w:r>
      <w:r w:rsidR="004378C2">
        <w:t xml:space="preserve">9. </w:t>
      </w:r>
      <w:r>
        <w:t>In figure 4 - needs a line to indicate onset of MEP, as the timing looks odd in A - like FDI is sooner than ECR, which doesn't make sense.</w:t>
      </w:r>
      <w:r>
        <w:br/>
      </w:r>
      <w:r w:rsidR="006F4722" w:rsidRPr="006F4722">
        <w:rPr>
          <w:i/>
        </w:rPr>
        <w:t>Response</w:t>
      </w:r>
      <w:r w:rsidR="006F4722">
        <w:t>: Thank you, we have rectified this.</w:t>
      </w:r>
    </w:p>
    <w:p w:rsidR="004378C2" w:rsidRDefault="00905E45" w:rsidP="004378C2">
      <w:pPr>
        <w:spacing w:after="0"/>
      </w:pPr>
      <w:r>
        <w:br/>
      </w:r>
      <w:r w:rsidR="004378C2">
        <w:t xml:space="preserve">10. </w:t>
      </w:r>
      <w:r>
        <w:t>In the intro and discussion the authors divert from protocol stating "MEP status should be used to stratify patients' but this is a complex issue that deserves a different venue and more investigation and discussion (</w:t>
      </w:r>
      <w:proofErr w:type="spellStart"/>
      <w:r>
        <w:t>eg</w:t>
      </w:r>
      <w:proofErr w:type="spellEnd"/>
      <w:r>
        <w:t>, do you stratify by FM-UE as well as MEP status as well as hemisphere, as well as cortical vs sub?). This should be removed and rephrased to a very vague: 'MEP status may be useful to help stratify patients'.</w:t>
      </w:r>
      <w:r>
        <w:br/>
      </w:r>
      <w:r w:rsidR="00A92AD7" w:rsidRPr="00A92AD7">
        <w:rPr>
          <w:i/>
        </w:rPr>
        <w:t>Response</w:t>
      </w:r>
      <w:r w:rsidR="00A92AD7">
        <w:t>: Thank you</w:t>
      </w:r>
      <w:r w:rsidR="00E73C64">
        <w:t xml:space="preserve">, we agree that detailed discussion around the use of MEP status for stratification in trials is outside the scope of this methods paper. </w:t>
      </w:r>
      <w:r w:rsidR="00A92AD7">
        <w:t xml:space="preserve">We have </w:t>
      </w:r>
      <w:r w:rsidR="00E73C64">
        <w:t>carefully checked the manuscript to ensure that the phrase “can be used to stratify” is used.</w:t>
      </w:r>
      <w:r>
        <w:br/>
      </w:r>
      <w:r>
        <w:br/>
      </w:r>
      <w:r>
        <w:br/>
        <w:t>Reviewer #2:</w:t>
      </w:r>
      <w:r>
        <w:br/>
      </w:r>
      <w:r w:rsidR="00625B5A">
        <w:t xml:space="preserve"> </w:t>
      </w:r>
      <w:r>
        <w:br/>
        <w:t>Manuscript Summary</w:t>
      </w:r>
      <w:proofErr w:type="gramStart"/>
      <w:r>
        <w:t>:</w:t>
      </w:r>
      <w:proofErr w:type="gramEnd"/>
      <w:r>
        <w:br/>
        <w:t>This is a well-written manuscript that presents the protocol for the SAFE and TMS components of the PREP2 algorithm. The authors provide a detailed overview of the administration procedures along with valuable information related to the timing of each assessment. This paper is a valuable contribution to the field and should benefit both clinicians and researchers who intend to implement the PREP2 algorithm in practice.</w:t>
      </w:r>
      <w:r>
        <w:br/>
      </w:r>
      <w:r w:rsidR="00A308DD" w:rsidRPr="00A308DD">
        <w:rPr>
          <w:i/>
          <w:iCs/>
        </w:rPr>
        <w:t>Response</w:t>
      </w:r>
      <w:r w:rsidR="00A308DD">
        <w:t>: Thank you for your comments</w:t>
      </w:r>
      <w:r>
        <w:br/>
      </w:r>
    </w:p>
    <w:p w:rsidR="00832E47" w:rsidRDefault="00905E45">
      <w:r>
        <w:t>Major Concerns</w:t>
      </w:r>
      <w:proofErr w:type="gramStart"/>
      <w:r>
        <w:t>:</w:t>
      </w:r>
      <w:proofErr w:type="gramEnd"/>
      <w:r>
        <w:br/>
        <w:t>No major concerns.</w:t>
      </w:r>
      <w:r>
        <w:br/>
      </w:r>
      <w:r>
        <w:br/>
        <w:t>Minor Concerns</w:t>
      </w:r>
      <w:proofErr w:type="gramStart"/>
      <w:r>
        <w:t>:</w:t>
      </w:r>
      <w:proofErr w:type="gramEnd"/>
      <w:r>
        <w:br/>
        <w:t>No minor concerns</w:t>
      </w:r>
    </w:p>
    <w:sectPr w:rsidR="00832E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F56A2F"/>
    <w:multiLevelType w:val="multilevel"/>
    <w:tmpl w:val="E08AAE9C"/>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E45"/>
    <w:rsid w:val="00012C1A"/>
    <w:rsid w:val="0006076D"/>
    <w:rsid w:val="0007081A"/>
    <w:rsid w:val="000B7A21"/>
    <w:rsid w:val="000F447D"/>
    <w:rsid w:val="00153AAE"/>
    <w:rsid w:val="00161799"/>
    <w:rsid w:val="00184449"/>
    <w:rsid w:val="00224719"/>
    <w:rsid w:val="00232A9A"/>
    <w:rsid w:val="00237EEF"/>
    <w:rsid w:val="00356C0C"/>
    <w:rsid w:val="003843E0"/>
    <w:rsid w:val="003915C6"/>
    <w:rsid w:val="0039263F"/>
    <w:rsid w:val="003C6AC4"/>
    <w:rsid w:val="003E56D3"/>
    <w:rsid w:val="003E749E"/>
    <w:rsid w:val="004011F3"/>
    <w:rsid w:val="00416FA3"/>
    <w:rsid w:val="00421917"/>
    <w:rsid w:val="004378C2"/>
    <w:rsid w:val="004419B9"/>
    <w:rsid w:val="004517D5"/>
    <w:rsid w:val="004812F3"/>
    <w:rsid w:val="0053624B"/>
    <w:rsid w:val="00557B6B"/>
    <w:rsid w:val="00562E34"/>
    <w:rsid w:val="005B09EA"/>
    <w:rsid w:val="00625B5A"/>
    <w:rsid w:val="00647BCF"/>
    <w:rsid w:val="006C643F"/>
    <w:rsid w:val="006F4722"/>
    <w:rsid w:val="00715BF1"/>
    <w:rsid w:val="007952E5"/>
    <w:rsid w:val="007B5473"/>
    <w:rsid w:val="00832E47"/>
    <w:rsid w:val="008953FA"/>
    <w:rsid w:val="00895AC7"/>
    <w:rsid w:val="008A0A56"/>
    <w:rsid w:val="008B0337"/>
    <w:rsid w:val="008C05AF"/>
    <w:rsid w:val="00905E45"/>
    <w:rsid w:val="0091545C"/>
    <w:rsid w:val="009234DF"/>
    <w:rsid w:val="009510FD"/>
    <w:rsid w:val="00961A1D"/>
    <w:rsid w:val="00973DEF"/>
    <w:rsid w:val="00987C98"/>
    <w:rsid w:val="009A3B57"/>
    <w:rsid w:val="009A4FDA"/>
    <w:rsid w:val="009C191F"/>
    <w:rsid w:val="00A308DD"/>
    <w:rsid w:val="00A92AD7"/>
    <w:rsid w:val="00AB3F26"/>
    <w:rsid w:val="00AC3FDF"/>
    <w:rsid w:val="00AD1EF2"/>
    <w:rsid w:val="00AD2B4E"/>
    <w:rsid w:val="00AE37FE"/>
    <w:rsid w:val="00B034FB"/>
    <w:rsid w:val="00B608E6"/>
    <w:rsid w:val="00B82047"/>
    <w:rsid w:val="00C33415"/>
    <w:rsid w:val="00C72B53"/>
    <w:rsid w:val="00C927C9"/>
    <w:rsid w:val="00D45950"/>
    <w:rsid w:val="00DF41D1"/>
    <w:rsid w:val="00E1442C"/>
    <w:rsid w:val="00E73C64"/>
    <w:rsid w:val="00E821BF"/>
    <w:rsid w:val="00EB4406"/>
    <w:rsid w:val="00EE1DF5"/>
    <w:rsid w:val="00F274FD"/>
    <w:rsid w:val="00F40182"/>
    <w:rsid w:val="00FF7B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2CD36-F49E-4E6F-B99C-A8654399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05E45"/>
    <w:rPr>
      <w:b/>
      <w:bCs/>
    </w:rPr>
  </w:style>
  <w:style w:type="character" w:styleId="Hyperlink">
    <w:name w:val="Hyperlink"/>
    <w:basedOn w:val="DefaultParagraphFont"/>
    <w:uiPriority w:val="99"/>
    <w:semiHidden/>
    <w:unhideWhenUsed/>
    <w:rsid w:val="00905E45"/>
    <w:rPr>
      <w:color w:val="0000FF"/>
      <w:u w:val="single"/>
    </w:rPr>
  </w:style>
  <w:style w:type="paragraph" w:styleId="BalloonText">
    <w:name w:val="Balloon Text"/>
    <w:basedOn w:val="Normal"/>
    <w:link w:val="BalloonTextChar"/>
    <w:uiPriority w:val="99"/>
    <w:semiHidden/>
    <w:unhideWhenUsed/>
    <w:rsid w:val="00B60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8E6"/>
    <w:rPr>
      <w:rFonts w:ascii="Segoe UI" w:hAnsi="Segoe UI" w:cs="Segoe UI"/>
      <w:sz w:val="18"/>
      <w:szCs w:val="18"/>
    </w:rPr>
  </w:style>
  <w:style w:type="paragraph" w:styleId="ListParagraph">
    <w:name w:val="List Paragraph"/>
    <w:basedOn w:val="Normal"/>
    <w:uiPriority w:val="34"/>
    <w:qFormat/>
    <w:rsid w:val="000F447D"/>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 w:type="character" w:styleId="CommentReference">
    <w:name w:val="annotation reference"/>
    <w:basedOn w:val="DefaultParagraphFont"/>
    <w:uiPriority w:val="99"/>
    <w:semiHidden/>
    <w:unhideWhenUsed/>
    <w:rsid w:val="00AC3FDF"/>
    <w:rPr>
      <w:sz w:val="16"/>
      <w:szCs w:val="16"/>
    </w:rPr>
  </w:style>
  <w:style w:type="paragraph" w:styleId="CommentText">
    <w:name w:val="annotation text"/>
    <w:basedOn w:val="Normal"/>
    <w:link w:val="CommentTextChar"/>
    <w:uiPriority w:val="99"/>
    <w:semiHidden/>
    <w:unhideWhenUsed/>
    <w:rsid w:val="00AC3FDF"/>
    <w:pPr>
      <w:spacing w:line="240" w:lineRule="auto"/>
    </w:pPr>
    <w:rPr>
      <w:sz w:val="20"/>
      <w:szCs w:val="20"/>
    </w:rPr>
  </w:style>
  <w:style w:type="character" w:customStyle="1" w:styleId="CommentTextChar">
    <w:name w:val="Comment Text Char"/>
    <w:basedOn w:val="DefaultParagraphFont"/>
    <w:link w:val="CommentText"/>
    <w:uiPriority w:val="99"/>
    <w:semiHidden/>
    <w:rsid w:val="00AC3FDF"/>
    <w:rPr>
      <w:sz w:val="20"/>
      <w:szCs w:val="20"/>
    </w:rPr>
  </w:style>
  <w:style w:type="paragraph" w:styleId="CommentSubject">
    <w:name w:val="annotation subject"/>
    <w:basedOn w:val="CommentText"/>
    <w:next w:val="CommentText"/>
    <w:link w:val="CommentSubjectChar"/>
    <w:uiPriority w:val="99"/>
    <w:semiHidden/>
    <w:unhideWhenUsed/>
    <w:rsid w:val="00AC3FDF"/>
    <w:rPr>
      <w:b/>
      <w:bCs/>
    </w:rPr>
  </w:style>
  <w:style w:type="character" w:customStyle="1" w:styleId="CommentSubjectChar">
    <w:name w:val="Comment Subject Char"/>
    <w:basedOn w:val="CommentTextChar"/>
    <w:link w:val="CommentSubject"/>
    <w:uiPriority w:val="99"/>
    <w:semiHidden/>
    <w:rsid w:val="00AC3FDF"/>
    <w:rPr>
      <w:b/>
      <w:bCs/>
      <w:sz w:val="20"/>
      <w:szCs w:val="20"/>
    </w:rPr>
  </w:style>
  <w:style w:type="paragraph" w:styleId="Footer">
    <w:name w:val="footer"/>
    <w:basedOn w:val="Normal"/>
    <w:link w:val="FooterChar"/>
    <w:uiPriority w:val="99"/>
    <w:rsid w:val="00895AC7"/>
    <w:pPr>
      <w:widowControl w:val="0"/>
      <w:tabs>
        <w:tab w:val="center" w:pos="4680"/>
        <w:tab w:val="right" w:pos="9360"/>
      </w:tabs>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customStyle="1" w:styleId="FooterChar">
    <w:name w:val="Footer Char"/>
    <w:basedOn w:val="DefaultParagraphFont"/>
    <w:link w:val="Footer"/>
    <w:uiPriority w:val="99"/>
    <w:rsid w:val="00895AC7"/>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esto.auckland.ac.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3592</Words>
  <Characters>20480</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Marie-Claire Smith</dc:creator>
  <cp:keywords/>
  <dc:description/>
  <cp:lastModifiedBy>Marie-Claire Smith</cp:lastModifiedBy>
  <cp:revision>2</cp:revision>
  <dcterms:created xsi:type="dcterms:W3CDTF">2019-09-17T22:26:00Z</dcterms:created>
  <dcterms:modified xsi:type="dcterms:W3CDTF">2019-09-17T22:26:00Z</dcterms:modified>
</cp:coreProperties>
</file>