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9542" w14:textId="77777777" w:rsidR="00B02FAB" w:rsidRPr="00ED093B" w:rsidRDefault="00B02FAB" w:rsidP="00725D44">
      <w:pPr>
        <w:pStyle w:val="NormalWeb"/>
        <w:spacing w:before="0" w:beforeAutospacing="0" w:after="0" w:afterAutospacing="0"/>
        <w:rPr>
          <w:color w:val="auto"/>
        </w:rPr>
      </w:pPr>
      <w:bookmarkStart w:id="0" w:name="_Hlk19714209"/>
      <w:r w:rsidRPr="00ED093B">
        <w:rPr>
          <w:b/>
          <w:bCs/>
          <w:color w:val="auto"/>
        </w:rPr>
        <w:t>TITLE:</w:t>
      </w:r>
      <w:r w:rsidRPr="00ED093B">
        <w:rPr>
          <w:color w:val="auto"/>
        </w:rPr>
        <w:t xml:space="preserve"> </w:t>
      </w:r>
    </w:p>
    <w:p w14:paraId="7B0DD3F3" w14:textId="2D05C0BF" w:rsidR="00B02FAB" w:rsidRPr="00ED093B" w:rsidRDefault="003E6B0F" w:rsidP="00725D44">
      <w:pPr>
        <w:rPr>
          <w:b/>
          <w:bCs/>
          <w:color w:val="auto"/>
        </w:rPr>
      </w:pPr>
      <w:r w:rsidRPr="00ED093B">
        <w:rPr>
          <w:b/>
          <w:bCs/>
          <w:color w:val="auto"/>
        </w:rPr>
        <w:t>D</w:t>
      </w:r>
      <w:r w:rsidR="00B02FAB" w:rsidRPr="00ED093B">
        <w:rPr>
          <w:b/>
          <w:bCs/>
          <w:color w:val="auto"/>
        </w:rPr>
        <w:t xml:space="preserve">etermining </w:t>
      </w:r>
      <w:r w:rsidRPr="00ED093B">
        <w:rPr>
          <w:b/>
          <w:bCs/>
          <w:color w:val="auto"/>
        </w:rPr>
        <w:t>the Functional Status of the Corticospinal Tract Within One Week of Stroke</w:t>
      </w:r>
    </w:p>
    <w:p w14:paraId="5C88FC59" w14:textId="77777777" w:rsidR="00B02FAB" w:rsidRPr="00ED093B" w:rsidRDefault="00B02FAB" w:rsidP="00725D44">
      <w:pPr>
        <w:rPr>
          <w:b/>
          <w:bCs/>
          <w:color w:val="auto"/>
        </w:rPr>
      </w:pPr>
    </w:p>
    <w:p w14:paraId="0E45D1E7" w14:textId="77777777" w:rsidR="00B02FAB" w:rsidRPr="00ED093B" w:rsidRDefault="00B02FAB" w:rsidP="00725D44">
      <w:pPr>
        <w:rPr>
          <w:color w:val="auto"/>
        </w:rPr>
      </w:pPr>
      <w:r w:rsidRPr="00ED093B">
        <w:rPr>
          <w:b/>
          <w:bCs/>
          <w:color w:val="auto"/>
        </w:rPr>
        <w:t xml:space="preserve">AUTHORS AND AFFILIATIONS: </w:t>
      </w:r>
    </w:p>
    <w:p w14:paraId="27925027" w14:textId="77777777" w:rsidR="00B02FAB" w:rsidRPr="00ED093B" w:rsidRDefault="00B02FAB" w:rsidP="00725D44">
      <w:pPr>
        <w:rPr>
          <w:color w:val="auto"/>
          <w:vertAlign w:val="superscript"/>
        </w:rPr>
      </w:pPr>
      <w:r w:rsidRPr="00ED093B">
        <w:rPr>
          <w:color w:val="auto"/>
        </w:rPr>
        <w:t>Marie-Claire Smith</w:t>
      </w:r>
      <w:r w:rsidRPr="00ED093B">
        <w:rPr>
          <w:color w:val="auto"/>
          <w:vertAlign w:val="superscript"/>
        </w:rPr>
        <w:t>1,2,3</w:t>
      </w:r>
      <w:r w:rsidRPr="00ED093B">
        <w:rPr>
          <w:color w:val="auto"/>
        </w:rPr>
        <w:t>, Suzanne J. Ackerley</w:t>
      </w:r>
      <w:r w:rsidRPr="00ED093B">
        <w:rPr>
          <w:color w:val="auto"/>
          <w:vertAlign w:val="superscript"/>
        </w:rPr>
        <w:t>1,2</w:t>
      </w:r>
      <w:r w:rsidRPr="00ED093B">
        <w:rPr>
          <w:color w:val="auto"/>
        </w:rPr>
        <w:t>, Emma J. Monigatti</w:t>
      </w:r>
      <w:r w:rsidRPr="00ED093B">
        <w:rPr>
          <w:color w:val="auto"/>
          <w:vertAlign w:val="superscript"/>
        </w:rPr>
        <w:t>3</w:t>
      </w:r>
      <w:r w:rsidRPr="00ED093B">
        <w:rPr>
          <w:color w:val="auto"/>
        </w:rPr>
        <w:t>, Benjamin J. Scrivener</w:t>
      </w:r>
      <w:r w:rsidRPr="00ED093B">
        <w:rPr>
          <w:color w:val="auto"/>
          <w:vertAlign w:val="superscript"/>
        </w:rPr>
        <w:t>3</w:t>
      </w:r>
      <w:r w:rsidRPr="00ED093B">
        <w:rPr>
          <w:color w:val="auto"/>
        </w:rPr>
        <w:t>, Cathy M. Stinear</w:t>
      </w:r>
      <w:r w:rsidRPr="00ED093B">
        <w:rPr>
          <w:color w:val="auto"/>
          <w:vertAlign w:val="superscript"/>
        </w:rPr>
        <w:t>1,2</w:t>
      </w:r>
    </w:p>
    <w:p w14:paraId="3319BBB7" w14:textId="77777777" w:rsidR="00B02FAB" w:rsidRPr="00ED093B" w:rsidRDefault="00B02FAB" w:rsidP="00725D44">
      <w:pPr>
        <w:rPr>
          <w:color w:val="auto"/>
        </w:rPr>
      </w:pPr>
    </w:p>
    <w:p w14:paraId="7D432342" w14:textId="77777777" w:rsidR="00B02FAB" w:rsidRPr="00ED093B" w:rsidRDefault="00B02FAB" w:rsidP="00725D44">
      <w:pPr>
        <w:rPr>
          <w:color w:val="auto"/>
        </w:rPr>
      </w:pPr>
      <w:r w:rsidRPr="00ED093B">
        <w:rPr>
          <w:color w:val="auto"/>
          <w:vertAlign w:val="superscript"/>
        </w:rPr>
        <w:t>1</w:t>
      </w:r>
      <w:r w:rsidRPr="00ED093B">
        <w:rPr>
          <w:color w:val="auto"/>
        </w:rPr>
        <w:t>Department of Medicine, University of Auckland, Auckland, New Zealand</w:t>
      </w:r>
    </w:p>
    <w:p w14:paraId="13AC9BA2" w14:textId="77777777" w:rsidR="00B02FAB" w:rsidRPr="00ED093B" w:rsidRDefault="00B02FAB" w:rsidP="00725D44">
      <w:pPr>
        <w:rPr>
          <w:color w:val="auto"/>
        </w:rPr>
      </w:pPr>
      <w:r w:rsidRPr="00ED093B">
        <w:rPr>
          <w:color w:val="auto"/>
          <w:vertAlign w:val="superscript"/>
        </w:rPr>
        <w:t>2</w:t>
      </w:r>
      <w:r w:rsidRPr="00ED093B">
        <w:rPr>
          <w:color w:val="auto"/>
        </w:rPr>
        <w:t xml:space="preserve">Centre for Brain Research, University of Auckland, Auckland, New Zealand </w:t>
      </w:r>
    </w:p>
    <w:p w14:paraId="5FDB44AE" w14:textId="77777777" w:rsidR="00B02FAB" w:rsidRPr="00ED093B" w:rsidRDefault="00B02FAB" w:rsidP="00725D44">
      <w:pPr>
        <w:rPr>
          <w:color w:val="auto"/>
        </w:rPr>
      </w:pPr>
      <w:r w:rsidRPr="00ED093B">
        <w:rPr>
          <w:color w:val="auto"/>
          <w:vertAlign w:val="superscript"/>
        </w:rPr>
        <w:t>3</w:t>
      </w:r>
      <w:r w:rsidRPr="00ED093B">
        <w:rPr>
          <w:color w:val="auto"/>
        </w:rPr>
        <w:t>Allied Health, Auckland District Health Board, Auckland, New Zealand</w:t>
      </w:r>
    </w:p>
    <w:p w14:paraId="79E6B534" w14:textId="77777777" w:rsidR="00B02FAB" w:rsidRPr="00ED093B" w:rsidRDefault="00B02FAB" w:rsidP="00725D44">
      <w:pPr>
        <w:rPr>
          <w:color w:val="auto"/>
        </w:rPr>
      </w:pPr>
    </w:p>
    <w:p w14:paraId="22C27E9C" w14:textId="77777777" w:rsidR="00B02FAB" w:rsidRPr="00ED093B" w:rsidRDefault="00B02FAB" w:rsidP="00725D44">
      <w:pPr>
        <w:rPr>
          <w:b/>
          <w:bCs/>
          <w:color w:val="auto"/>
        </w:rPr>
      </w:pPr>
      <w:r w:rsidRPr="00ED093B">
        <w:rPr>
          <w:b/>
          <w:bCs/>
          <w:color w:val="auto"/>
        </w:rPr>
        <w:t>Corresponding Author:</w:t>
      </w:r>
    </w:p>
    <w:p w14:paraId="1A7FDDBF" w14:textId="50C037BA" w:rsidR="00B02FAB" w:rsidRPr="00ED093B" w:rsidRDefault="00B02FAB" w:rsidP="00725D44">
      <w:pPr>
        <w:rPr>
          <w:color w:val="auto"/>
        </w:rPr>
      </w:pPr>
      <w:r w:rsidRPr="00ED093B">
        <w:rPr>
          <w:color w:val="auto"/>
        </w:rPr>
        <w:t>Cathy M</w:t>
      </w:r>
      <w:r w:rsidR="00725D44" w:rsidRPr="00ED093B">
        <w:rPr>
          <w:color w:val="auto"/>
        </w:rPr>
        <w:t>.</w:t>
      </w:r>
      <w:r w:rsidRPr="00ED093B">
        <w:rPr>
          <w:color w:val="auto"/>
        </w:rPr>
        <w:t xml:space="preserve"> </w:t>
      </w:r>
      <w:proofErr w:type="spellStart"/>
      <w:r w:rsidRPr="00ED093B">
        <w:rPr>
          <w:color w:val="auto"/>
        </w:rPr>
        <w:t>Stinear</w:t>
      </w:r>
      <w:proofErr w:type="spellEnd"/>
      <w:r w:rsidRPr="00ED093B">
        <w:rPr>
          <w:color w:val="auto"/>
        </w:rPr>
        <w:t xml:space="preserve"> </w:t>
      </w:r>
      <w:r w:rsidR="00057FFC" w:rsidRPr="00ED093B">
        <w:rPr>
          <w:color w:val="auto"/>
        </w:rPr>
        <w:tab/>
      </w:r>
      <w:r w:rsidRPr="00ED093B">
        <w:rPr>
          <w:color w:val="auto"/>
        </w:rPr>
        <w:t>(c.stinear@auckland.ac.nz)</w:t>
      </w:r>
    </w:p>
    <w:p w14:paraId="366AAF45" w14:textId="77777777" w:rsidR="00B02FAB" w:rsidRPr="00ED093B" w:rsidRDefault="00B02FAB" w:rsidP="00725D44">
      <w:pPr>
        <w:rPr>
          <w:color w:val="auto"/>
        </w:rPr>
      </w:pPr>
    </w:p>
    <w:p w14:paraId="35D2BD76" w14:textId="77777777" w:rsidR="00B02FAB" w:rsidRPr="00ED093B" w:rsidRDefault="00B02FAB" w:rsidP="00725D44">
      <w:pPr>
        <w:rPr>
          <w:b/>
          <w:bCs/>
          <w:color w:val="auto"/>
        </w:rPr>
      </w:pPr>
      <w:r w:rsidRPr="00ED093B">
        <w:rPr>
          <w:b/>
          <w:bCs/>
          <w:color w:val="auto"/>
        </w:rPr>
        <w:t>Other Authors:</w:t>
      </w:r>
    </w:p>
    <w:p w14:paraId="70BB3813" w14:textId="377B65C1" w:rsidR="00B02FAB" w:rsidRPr="00ED093B" w:rsidRDefault="00B02FAB" w:rsidP="00725D44">
      <w:pPr>
        <w:rPr>
          <w:color w:val="auto"/>
        </w:rPr>
      </w:pPr>
      <w:r w:rsidRPr="00ED093B">
        <w:rPr>
          <w:color w:val="auto"/>
        </w:rPr>
        <w:t xml:space="preserve">Marie-Claire Smith </w:t>
      </w:r>
      <w:r w:rsidR="00057FFC" w:rsidRPr="00ED093B">
        <w:rPr>
          <w:color w:val="auto"/>
        </w:rPr>
        <w:tab/>
      </w:r>
      <w:r w:rsidRPr="00ED093B">
        <w:rPr>
          <w:color w:val="auto"/>
        </w:rPr>
        <w:t>(m-c.smith@auckland.ac.nz)</w:t>
      </w:r>
    </w:p>
    <w:p w14:paraId="5963136F" w14:textId="15E70C07" w:rsidR="00B02FAB" w:rsidRPr="00ED093B" w:rsidRDefault="00B02FAB" w:rsidP="00725D44">
      <w:pPr>
        <w:rPr>
          <w:color w:val="auto"/>
        </w:rPr>
      </w:pPr>
      <w:r w:rsidRPr="00ED093B">
        <w:rPr>
          <w:color w:val="auto"/>
        </w:rPr>
        <w:t xml:space="preserve">Suzanne </w:t>
      </w:r>
      <w:proofErr w:type="spellStart"/>
      <w:r w:rsidRPr="00ED093B">
        <w:rPr>
          <w:color w:val="auto"/>
        </w:rPr>
        <w:t>Ackerley</w:t>
      </w:r>
      <w:proofErr w:type="spellEnd"/>
      <w:r w:rsidRPr="00ED093B">
        <w:rPr>
          <w:color w:val="auto"/>
        </w:rPr>
        <w:t xml:space="preserve"> </w:t>
      </w:r>
      <w:r w:rsidR="00057FFC" w:rsidRPr="00ED093B">
        <w:rPr>
          <w:color w:val="auto"/>
        </w:rPr>
        <w:tab/>
      </w:r>
      <w:r w:rsidRPr="00ED093B">
        <w:rPr>
          <w:color w:val="auto"/>
        </w:rPr>
        <w:t>(s.ackerley@</w:t>
      </w:r>
      <w:r w:rsidRPr="00ED093B">
        <w:rPr>
          <w:rStyle w:val="Hyperlink"/>
          <w:color w:val="auto"/>
        </w:rPr>
        <w:t>auckland.ac.nz</w:t>
      </w:r>
      <w:r w:rsidRPr="00ED093B">
        <w:rPr>
          <w:color w:val="auto"/>
        </w:rPr>
        <w:t>)</w:t>
      </w:r>
    </w:p>
    <w:p w14:paraId="48ED5DC5" w14:textId="33353B9C" w:rsidR="00B02FAB" w:rsidRPr="00ED093B" w:rsidRDefault="00B02FAB" w:rsidP="00725D44">
      <w:pPr>
        <w:rPr>
          <w:color w:val="auto"/>
        </w:rPr>
      </w:pPr>
      <w:r w:rsidRPr="00ED093B">
        <w:rPr>
          <w:color w:val="auto"/>
        </w:rPr>
        <w:t xml:space="preserve">Emma </w:t>
      </w:r>
      <w:proofErr w:type="spellStart"/>
      <w:r w:rsidRPr="00ED093B">
        <w:rPr>
          <w:color w:val="auto"/>
        </w:rPr>
        <w:t>Monigatti</w:t>
      </w:r>
      <w:proofErr w:type="spellEnd"/>
      <w:r w:rsidRPr="00ED093B">
        <w:rPr>
          <w:color w:val="auto"/>
        </w:rPr>
        <w:t xml:space="preserve"> </w:t>
      </w:r>
      <w:r w:rsidR="00057FFC" w:rsidRPr="00ED093B">
        <w:rPr>
          <w:color w:val="auto"/>
        </w:rPr>
        <w:tab/>
      </w:r>
      <w:r w:rsidRPr="00ED093B">
        <w:rPr>
          <w:color w:val="auto"/>
        </w:rPr>
        <w:t>(EMonigatti@adhb.govt.nz)</w:t>
      </w:r>
    </w:p>
    <w:p w14:paraId="55331D3D" w14:textId="16A58D79" w:rsidR="00B02FAB" w:rsidRPr="00ED093B" w:rsidRDefault="00B02FAB" w:rsidP="00725D44">
      <w:pPr>
        <w:rPr>
          <w:color w:val="auto"/>
        </w:rPr>
      </w:pPr>
      <w:r w:rsidRPr="00ED093B">
        <w:rPr>
          <w:color w:val="auto"/>
        </w:rPr>
        <w:t xml:space="preserve">Benjamin Scrivener </w:t>
      </w:r>
      <w:r w:rsidR="00057FFC" w:rsidRPr="00ED093B">
        <w:rPr>
          <w:color w:val="auto"/>
        </w:rPr>
        <w:tab/>
      </w:r>
      <w:r w:rsidRPr="00ED093B">
        <w:rPr>
          <w:color w:val="auto"/>
        </w:rPr>
        <w:t>(bscrivener@adhb.govt.nz)</w:t>
      </w:r>
    </w:p>
    <w:p w14:paraId="24F5A2BA" w14:textId="77777777" w:rsidR="00B02FAB" w:rsidRPr="00ED093B" w:rsidRDefault="00B02FAB" w:rsidP="00725D44">
      <w:pPr>
        <w:rPr>
          <w:color w:val="auto"/>
        </w:rPr>
      </w:pPr>
    </w:p>
    <w:p w14:paraId="3A0B976B" w14:textId="77777777" w:rsidR="00B02FAB" w:rsidRPr="00ED093B" w:rsidRDefault="00B02FAB" w:rsidP="00725D44">
      <w:pPr>
        <w:pStyle w:val="NormalWeb"/>
        <w:spacing w:before="0" w:beforeAutospacing="0" w:after="0" w:afterAutospacing="0"/>
        <w:rPr>
          <w:color w:val="auto"/>
        </w:rPr>
      </w:pPr>
      <w:r w:rsidRPr="00ED093B">
        <w:rPr>
          <w:b/>
          <w:bCs/>
          <w:color w:val="auto"/>
        </w:rPr>
        <w:t>KEYWORDS:</w:t>
      </w:r>
      <w:r w:rsidRPr="00ED093B">
        <w:rPr>
          <w:color w:val="auto"/>
        </w:rPr>
        <w:t xml:space="preserve"> </w:t>
      </w:r>
    </w:p>
    <w:p w14:paraId="69BCC9B2" w14:textId="096DC612" w:rsidR="00B02FAB" w:rsidRPr="00ED093B" w:rsidRDefault="002C27EE" w:rsidP="00725D44">
      <w:pPr>
        <w:pStyle w:val="NormalWeb"/>
        <w:spacing w:before="0" w:beforeAutospacing="0" w:after="0" w:afterAutospacing="0"/>
        <w:rPr>
          <w:color w:val="auto"/>
        </w:rPr>
      </w:pPr>
      <w:r w:rsidRPr="00ED093B">
        <w:rPr>
          <w:color w:val="auto"/>
        </w:rPr>
        <w:t>corticospinal</w:t>
      </w:r>
      <w:r w:rsidR="003E6B0F" w:rsidRPr="00ED093B">
        <w:rPr>
          <w:color w:val="auto"/>
        </w:rPr>
        <w:t>,</w:t>
      </w:r>
      <w:r w:rsidR="00B02FAB" w:rsidRPr="00ED093B">
        <w:rPr>
          <w:color w:val="auto"/>
        </w:rPr>
        <w:t xml:space="preserve"> TMS</w:t>
      </w:r>
      <w:r w:rsidR="003E6B0F" w:rsidRPr="00ED093B">
        <w:rPr>
          <w:color w:val="auto"/>
        </w:rPr>
        <w:t>,</w:t>
      </w:r>
      <w:r w:rsidR="00B02FAB" w:rsidRPr="00ED093B">
        <w:rPr>
          <w:color w:val="auto"/>
        </w:rPr>
        <w:t xml:space="preserve"> biomarker</w:t>
      </w:r>
      <w:r w:rsidR="003E6B0F" w:rsidRPr="00ED093B">
        <w:rPr>
          <w:color w:val="auto"/>
        </w:rPr>
        <w:t>,</w:t>
      </w:r>
      <w:r w:rsidR="00B02FAB" w:rsidRPr="00ED093B">
        <w:rPr>
          <w:color w:val="auto"/>
        </w:rPr>
        <w:t xml:space="preserve"> upper limb</w:t>
      </w:r>
      <w:r w:rsidR="003E6B0F" w:rsidRPr="00ED093B">
        <w:rPr>
          <w:color w:val="auto"/>
        </w:rPr>
        <w:t>,</w:t>
      </w:r>
      <w:r w:rsidR="00B02FAB" w:rsidRPr="00ED093B">
        <w:rPr>
          <w:color w:val="auto"/>
        </w:rPr>
        <w:t xml:space="preserve"> stroke</w:t>
      </w:r>
      <w:r w:rsidR="003E6B0F" w:rsidRPr="00ED093B">
        <w:rPr>
          <w:color w:val="auto"/>
        </w:rPr>
        <w:t>,</w:t>
      </w:r>
      <w:r w:rsidR="00B02FAB" w:rsidRPr="00ED093B">
        <w:rPr>
          <w:color w:val="auto"/>
        </w:rPr>
        <w:t xml:space="preserve"> prediction</w:t>
      </w:r>
      <w:r w:rsidR="003E6B0F" w:rsidRPr="00ED093B">
        <w:rPr>
          <w:color w:val="auto"/>
        </w:rPr>
        <w:t>,</w:t>
      </w:r>
      <w:r w:rsidR="00B02FAB" w:rsidRPr="00ED093B">
        <w:rPr>
          <w:color w:val="auto"/>
        </w:rPr>
        <w:t xml:space="preserve"> PREP2</w:t>
      </w:r>
    </w:p>
    <w:p w14:paraId="0A92AC1A" w14:textId="77777777" w:rsidR="00B02FAB" w:rsidRPr="00ED093B" w:rsidRDefault="00B02FAB" w:rsidP="00725D44">
      <w:pPr>
        <w:pStyle w:val="NormalWeb"/>
        <w:spacing w:before="0" w:beforeAutospacing="0" w:after="0" w:afterAutospacing="0"/>
        <w:rPr>
          <w:color w:val="auto"/>
        </w:rPr>
      </w:pPr>
    </w:p>
    <w:p w14:paraId="37E10D47" w14:textId="77777777" w:rsidR="00B02FAB" w:rsidRPr="00ED093B" w:rsidRDefault="00B02FAB" w:rsidP="00725D44">
      <w:pPr>
        <w:rPr>
          <w:color w:val="auto"/>
        </w:rPr>
      </w:pPr>
      <w:r w:rsidRPr="00ED093B">
        <w:rPr>
          <w:b/>
          <w:bCs/>
          <w:color w:val="auto"/>
        </w:rPr>
        <w:t>SUMMARY:</w:t>
      </w:r>
      <w:r w:rsidRPr="00ED093B">
        <w:rPr>
          <w:color w:val="auto"/>
        </w:rPr>
        <w:t xml:space="preserve"> </w:t>
      </w:r>
    </w:p>
    <w:p w14:paraId="4FC74099" w14:textId="64A974D0" w:rsidR="00B02FAB" w:rsidRPr="00ED093B" w:rsidRDefault="00B02FAB" w:rsidP="00725D44">
      <w:pPr>
        <w:pStyle w:val="CommentText"/>
        <w:rPr>
          <w:color w:val="auto"/>
        </w:rPr>
      </w:pPr>
      <w:r w:rsidRPr="00ED093B">
        <w:rPr>
          <w:color w:val="auto"/>
        </w:rPr>
        <w:t xml:space="preserve">This protocol is for evaluating corticospinal tract function within </w:t>
      </w:r>
      <w:r w:rsidR="00CA3DFA" w:rsidRPr="00ED093B">
        <w:rPr>
          <w:color w:val="auto"/>
        </w:rPr>
        <w:t>1 week</w:t>
      </w:r>
      <w:r w:rsidRPr="00ED093B">
        <w:rPr>
          <w:color w:val="auto"/>
        </w:rPr>
        <w:t xml:space="preserve"> of stroke. It can be used to select and stratify patients in trials of interventions designed to improve upper limb motor recovery and outcomes and in clinical practice for predicting upper limb functional outcomes 3 months after stroke.</w:t>
      </w:r>
    </w:p>
    <w:p w14:paraId="2A060553" w14:textId="77777777" w:rsidR="00B02FAB" w:rsidRPr="00ED093B" w:rsidRDefault="00B02FAB" w:rsidP="00725D44">
      <w:pPr>
        <w:rPr>
          <w:color w:val="auto"/>
        </w:rPr>
      </w:pPr>
    </w:p>
    <w:p w14:paraId="44070F87" w14:textId="77777777" w:rsidR="00B02FAB" w:rsidRPr="00ED093B" w:rsidRDefault="00B02FAB" w:rsidP="00725D44">
      <w:pPr>
        <w:rPr>
          <w:color w:val="auto"/>
        </w:rPr>
      </w:pPr>
      <w:r w:rsidRPr="00ED093B">
        <w:rPr>
          <w:b/>
          <w:bCs/>
          <w:color w:val="auto"/>
        </w:rPr>
        <w:t>ABSTRACT:</w:t>
      </w:r>
      <w:r w:rsidRPr="00ED093B">
        <w:rPr>
          <w:color w:val="auto"/>
        </w:rPr>
        <w:t xml:space="preserve"> </w:t>
      </w:r>
    </w:p>
    <w:p w14:paraId="5DEB87BB" w14:textId="09AE5CD9" w:rsidR="00B02FAB" w:rsidRPr="00ED093B" w:rsidRDefault="00B02FAB" w:rsidP="00725D44">
      <w:pPr>
        <w:pStyle w:val="CommentText"/>
        <w:rPr>
          <w:color w:val="auto"/>
        </w:rPr>
      </w:pPr>
      <w:r w:rsidRPr="00ED093B">
        <w:rPr>
          <w:color w:val="auto"/>
        </w:rPr>
        <w:t xml:space="preserve">High interindividual variability in the recovery of upper limb </w:t>
      </w:r>
      <w:r w:rsidR="00CA3DFA" w:rsidRPr="00ED093B">
        <w:rPr>
          <w:color w:val="auto"/>
        </w:rPr>
        <w:t xml:space="preserve">(UL) </w:t>
      </w:r>
      <w:r w:rsidRPr="00ED093B">
        <w:rPr>
          <w:color w:val="auto"/>
        </w:rPr>
        <w:t xml:space="preserve">function after stroke means it is difficult to predict </w:t>
      </w:r>
      <w:r w:rsidR="000B5126" w:rsidRPr="00ED093B">
        <w:rPr>
          <w:color w:val="auto"/>
        </w:rPr>
        <w:t xml:space="preserve">an individual's </w:t>
      </w:r>
      <w:r w:rsidRPr="00ED093B">
        <w:rPr>
          <w:color w:val="auto"/>
        </w:rPr>
        <w:t xml:space="preserve">potential for recovery based on clinical assessments alone. The functional integrity of the corticospinal tract is an important prognostic biomarker for recovery of </w:t>
      </w:r>
      <w:r w:rsidR="00CA3DFA" w:rsidRPr="00ED093B">
        <w:rPr>
          <w:color w:val="auto"/>
        </w:rPr>
        <w:t xml:space="preserve">UL </w:t>
      </w:r>
      <w:r w:rsidRPr="00ED093B">
        <w:rPr>
          <w:color w:val="auto"/>
        </w:rPr>
        <w:t xml:space="preserve">function, particularly for those with severe initial </w:t>
      </w:r>
      <w:r w:rsidR="00CA3DFA" w:rsidRPr="00ED093B">
        <w:rPr>
          <w:color w:val="auto"/>
        </w:rPr>
        <w:t>UL</w:t>
      </w:r>
      <w:r w:rsidRPr="00ED093B">
        <w:rPr>
          <w:color w:val="auto"/>
        </w:rPr>
        <w:t xml:space="preserve"> impairment. This article presents a protocol for evaluating corticospinal tract function within </w:t>
      </w:r>
      <w:r w:rsidR="00CA3DFA" w:rsidRPr="00ED093B">
        <w:rPr>
          <w:color w:val="auto"/>
        </w:rPr>
        <w:t>1 week</w:t>
      </w:r>
      <w:r w:rsidRPr="00ED093B">
        <w:rPr>
          <w:color w:val="auto"/>
        </w:rPr>
        <w:t xml:space="preserve"> of stroke. This protocol can be used to select and stratify patients in trials of interventions designed to improve </w:t>
      </w:r>
      <w:r w:rsidR="00CA3DFA" w:rsidRPr="00ED093B">
        <w:rPr>
          <w:color w:val="auto"/>
        </w:rPr>
        <w:t>UL</w:t>
      </w:r>
      <w:r w:rsidRPr="00ED093B">
        <w:rPr>
          <w:color w:val="auto"/>
        </w:rPr>
        <w:t xml:space="preserve"> motor recovery and outcomes after stroke. The protocol also forms part of the PREP2 algorithm, which predicts </w:t>
      </w:r>
      <w:r w:rsidR="00CA3DFA" w:rsidRPr="00ED093B">
        <w:rPr>
          <w:color w:val="auto"/>
        </w:rPr>
        <w:t>UL</w:t>
      </w:r>
      <w:r w:rsidRPr="00ED093B">
        <w:rPr>
          <w:color w:val="auto"/>
        </w:rPr>
        <w:t xml:space="preserve"> function for individual patients 3 months poststroke. The algorithm sequentially combines a </w:t>
      </w:r>
      <w:r w:rsidR="00CA3DFA" w:rsidRPr="00ED093B">
        <w:rPr>
          <w:color w:val="auto"/>
        </w:rPr>
        <w:t>UL</w:t>
      </w:r>
      <w:r w:rsidRPr="00ED093B">
        <w:rPr>
          <w:color w:val="auto"/>
        </w:rPr>
        <w:t xml:space="preserve"> strength assessment, age, transcranial magnetic stimulation, and stroke severity, within a few days of </w:t>
      </w:r>
      <w:r w:rsidR="000B5126" w:rsidRPr="00ED093B">
        <w:rPr>
          <w:color w:val="auto"/>
        </w:rPr>
        <w:t xml:space="preserve">the </w:t>
      </w:r>
      <w:r w:rsidRPr="00ED093B">
        <w:rPr>
          <w:color w:val="auto"/>
        </w:rPr>
        <w:t xml:space="preserve">stroke. The benefits of using PREP2 in clinical practice are described elsewhere. This article focuses on the use of a </w:t>
      </w:r>
      <w:r w:rsidR="00CA3DFA" w:rsidRPr="00ED093B">
        <w:rPr>
          <w:color w:val="auto"/>
        </w:rPr>
        <w:t>UL</w:t>
      </w:r>
      <w:r w:rsidRPr="00ED093B">
        <w:rPr>
          <w:color w:val="auto"/>
        </w:rPr>
        <w:t xml:space="preserve"> strength assessment and transcranial magnetic stimulation to evaluate corticospinal tract function.</w:t>
      </w:r>
    </w:p>
    <w:p w14:paraId="3E9CD29C" w14:textId="77777777" w:rsidR="00A66082" w:rsidRPr="00ED093B" w:rsidRDefault="00A66082" w:rsidP="00725D44">
      <w:pPr>
        <w:rPr>
          <w:b/>
          <w:color w:val="auto"/>
        </w:rPr>
      </w:pPr>
    </w:p>
    <w:p w14:paraId="7502336A" w14:textId="7D6DC25D" w:rsidR="00B02FAB" w:rsidRPr="00ED093B" w:rsidRDefault="00B02FAB" w:rsidP="00725D44">
      <w:pPr>
        <w:rPr>
          <w:color w:val="auto"/>
        </w:rPr>
      </w:pPr>
      <w:r w:rsidRPr="00ED093B">
        <w:rPr>
          <w:b/>
          <w:color w:val="auto"/>
        </w:rPr>
        <w:t>INTRODUCTION</w:t>
      </w:r>
      <w:r w:rsidRPr="00ED093B">
        <w:rPr>
          <w:b/>
          <w:bCs/>
          <w:color w:val="auto"/>
        </w:rPr>
        <w:t>:</w:t>
      </w:r>
      <w:r w:rsidRPr="00ED093B">
        <w:rPr>
          <w:color w:val="auto"/>
        </w:rPr>
        <w:t xml:space="preserve"> </w:t>
      </w:r>
    </w:p>
    <w:p w14:paraId="707B6D01" w14:textId="33BE76B7" w:rsidR="00B02FAB" w:rsidRPr="00ED093B" w:rsidRDefault="00B02FAB" w:rsidP="00725D44">
      <w:pPr>
        <w:rPr>
          <w:color w:val="auto"/>
        </w:rPr>
      </w:pPr>
      <w:r w:rsidRPr="00ED093B">
        <w:rPr>
          <w:color w:val="auto"/>
        </w:rPr>
        <w:lastRenderedPageBreak/>
        <w:t xml:space="preserve">Upper limb function is commonly impaired after stroke, and recovery of </w:t>
      </w:r>
      <w:r w:rsidR="006B2E5D" w:rsidRPr="00ED093B">
        <w:rPr>
          <w:color w:val="auto"/>
        </w:rPr>
        <w:t xml:space="preserve">UL </w:t>
      </w:r>
      <w:r w:rsidRPr="00ED093B">
        <w:rPr>
          <w:color w:val="auto"/>
        </w:rPr>
        <w:t>function is important for regaining independence in daily living</w:t>
      </w:r>
      <w:r w:rsidR="00FF038C" w:rsidRPr="00ED093B">
        <w:rPr>
          <w:color w:val="auto"/>
        </w:rPr>
        <w:t xml:space="preserve"> activities</w:t>
      </w:r>
      <w:r w:rsidRPr="00ED093B">
        <w:rPr>
          <w:noProof/>
          <w:color w:val="auto"/>
          <w:vertAlign w:val="superscript"/>
        </w:rPr>
        <w:t>1</w:t>
      </w:r>
      <w:r w:rsidR="00FF038C" w:rsidRPr="00ED093B">
        <w:rPr>
          <w:noProof/>
          <w:color w:val="auto"/>
        </w:rPr>
        <w:t>.</w:t>
      </w:r>
      <w:r w:rsidR="00057FFC" w:rsidRPr="00ED093B">
        <w:rPr>
          <w:color w:val="auto"/>
        </w:rPr>
        <w:t xml:space="preserve"> </w:t>
      </w:r>
      <w:r w:rsidRPr="00ED093B">
        <w:rPr>
          <w:color w:val="auto"/>
        </w:rPr>
        <w:t xml:space="preserve">Stroke rehabilitation trials are often aimed at improving </w:t>
      </w:r>
      <w:r w:rsidR="006B2E5D" w:rsidRPr="00ED093B">
        <w:rPr>
          <w:color w:val="auto"/>
        </w:rPr>
        <w:t>UL</w:t>
      </w:r>
      <w:r w:rsidRPr="00ED093B">
        <w:rPr>
          <w:color w:val="auto"/>
        </w:rPr>
        <w:t xml:space="preserve"> recovery and outcomes after stroke. The majority of stroke rehabilitation research is conducted with patients at the chronic stage (&gt;6 months </w:t>
      </w:r>
      <w:r w:rsidR="00FF038C" w:rsidRPr="00ED093B">
        <w:rPr>
          <w:color w:val="auto"/>
        </w:rPr>
        <w:t>poststroke</w:t>
      </w:r>
      <w:r w:rsidRPr="00ED093B">
        <w:rPr>
          <w:color w:val="auto"/>
        </w:rPr>
        <w:t>), yet most rehabilitation occurs early after stroke</w:t>
      </w:r>
      <w:r w:rsidRPr="00ED093B">
        <w:rPr>
          <w:noProof/>
          <w:color w:val="auto"/>
          <w:vertAlign w:val="superscript"/>
        </w:rPr>
        <w:t>2,3</w:t>
      </w:r>
      <w:r w:rsidR="00FF038C" w:rsidRPr="00ED093B">
        <w:rPr>
          <w:noProof/>
          <w:color w:val="auto"/>
        </w:rPr>
        <w:t>.</w:t>
      </w:r>
      <w:r w:rsidRPr="00ED093B">
        <w:rPr>
          <w:color w:val="auto"/>
        </w:rPr>
        <w:t xml:space="preserve"> More research needs to be conducted with patients </w:t>
      </w:r>
      <w:r w:rsidR="00FF038C" w:rsidRPr="00ED093B">
        <w:rPr>
          <w:color w:val="auto"/>
        </w:rPr>
        <w:t xml:space="preserve">soon </w:t>
      </w:r>
      <w:r w:rsidRPr="00ED093B">
        <w:rPr>
          <w:color w:val="auto"/>
        </w:rPr>
        <w:t xml:space="preserve">after </w:t>
      </w:r>
      <w:r w:rsidR="00FF038C" w:rsidRPr="00ED093B">
        <w:rPr>
          <w:color w:val="auto"/>
        </w:rPr>
        <w:t xml:space="preserve">a </w:t>
      </w:r>
      <w:r w:rsidRPr="00ED093B">
        <w:rPr>
          <w:color w:val="auto"/>
        </w:rPr>
        <w:t>stroke to build an evidence base for rehabilitation practice.</w:t>
      </w:r>
    </w:p>
    <w:p w14:paraId="4A11B72C" w14:textId="77777777" w:rsidR="00B02FAB" w:rsidRPr="00ED093B" w:rsidRDefault="00B02FAB" w:rsidP="00725D44">
      <w:pPr>
        <w:rPr>
          <w:color w:val="auto"/>
        </w:rPr>
      </w:pPr>
    </w:p>
    <w:p w14:paraId="24ACFDE9" w14:textId="29BF743C" w:rsidR="00B02FAB" w:rsidRPr="00ED093B" w:rsidRDefault="00B02FAB" w:rsidP="00725D44">
      <w:pPr>
        <w:rPr>
          <w:color w:val="auto"/>
        </w:rPr>
      </w:pPr>
      <w:r w:rsidRPr="00ED093B">
        <w:rPr>
          <w:color w:val="auto"/>
        </w:rPr>
        <w:t xml:space="preserve">One of the greatest challenges when conducting research </w:t>
      </w:r>
      <w:r w:rsidR="00FF038C" w:rsidRPr="00ED093B">
        <w:rPr>
          <w:color w:val="auto"/>
        </w:rPr>
        <w:t xml:space="preserve">soon </w:t>
      </w:r>
      <w:r w:rsidRPr="00ED093B">
        <w:rPr>
          <w:color w:val="auto"/>
        </w:rPr>
        <w:t xml:space="preserve">after </w:t>
      </w:r>
      <w:r w:rsidR="00897A83" w:rsidRPr="00ED093B">
        <w:rPr>
          <w:color w:val="auto"/>
        </w:rPr>
        <w:t xml:space="preserve">the </w:t>
      </w:r>
      <w:r w:rsidRPr="00ED093B">
        <w:rPr>
          <w:color w:val="auto"/>
        </w:rPr>
        <w:t xml:space="preserve">stroke is detecting the effects of the intervention against the background of recovery occurring during the initial weeks and months after </w:t>
      </w:r>
      <w:r w:rsidR="00897A83" w:rsidRPr="00ED093B">
        <w:rPr>
          <w:color w:val="auto"/>
        </w:rPr>
        <w:t xml:space="preserve">the </w:t>
      </w:r>
      <w:r w:rsidRPr="00ED093B">
        <w:rPr>
          <w:color w:val="auto"/>
        </w:rPr>
        <w:t xml:space="preserve">stroke. High </w:t>
      </w:r>
      <w:proofErr w:type="spellStart"/>
      <w:r w:rsidRPr="00ED093B">
        <w:rPr>
          <w:color w:val="auto"/>
        </w:rPr>
        <w:t>intersubject</w:t>
      </w:r>
      <w:proofErr w:type="spellEnd"/>
      <w:r w:rsidRPr="00ED093B">
        <w:rPr>
          <w:color w:val="auto"/>
        </w:rPr>
        <w:t xml:space="preserve"> variability in clinical presentation and recovery creates noise that can obscure </w:t>
      </w:r>
      <w:r w:rsidR="00897A83" w:rsidRPr="00ED093B">
        <w:rPr>
          <w:color w:val="auto"/>
        </w:rPr>
        <w:t xml:space="preserve">the </w:t>
      </w:r>
      <w:r w:rsidRPr="00ED093B">
        <w:rPr>
          <w:color w:val="auto"/>
        </w:rPr>
        <w:t>beneficial effects of interventions. Intervention and control groups are typically balanced on clinical measures of initial neurological impairment. However, these measures are often poor predictors of the patient</w:t>
      </w:r>
      <w:r w:rsidR="003E6B0F" w:rsidRPr="00ED093B">
        <w:rPr>
          <w:color w:val="auto"/>
        </w:rPr>
        <w:t>’s</w:t>
      </w:r>
      <w:r w:rsidRPr="00ED093B">
        <w:rPr>
          <w:color w:val="auto"/>
        </w:rPr>
        <w:t xml:space="preserve"> potential for subsequent recovery, particularly those with severe </w:t>
      </w:r>
      <w:r w:rsidR="00897A83" w:rsidRPr="00ED093B">
        <w:rPr>
          <w:color w:val="auto"/>
        </w:rPr>
        <w:t xml:space="preserve">initial </w:t>
      </w:r>
      <w:r w:rsidRPr="00ED093B">
        <w:rPr>
          <w:color w:val="auto"/>
        </w:rPr>
        <w:t>impairment</w:t>
      </w:r>
      <w:r w:rsidRPr="00ED093B">
        <w:rPr>
          <w:noProof/>
          <w:color w:val="auto"/>
          <w:vertAlign w:val="superscript"/>
        </w:rPr>
        <w:t>4,5</w:t>
      </w:r>
      <w:r w:rsidR="00897A83" w:rsidRPr="00ED093B">
        <w:rPr>
          <w:noProof/>
          <w:color w:val="auto"/>
        </w:rPr>
        <w:t>.</w:t>
      </w:r>
      <w:r w:rsidRPr="00ED093B">
        <w:rPr>
          <w:color w:val="auto"/>
        </w:rPr>
        <w:t xml:space="preserve"> This means that groups can be matched for baseline clinical measures and not matched for their recovery potential, which makes it more difficult to ascertain the intervention</w:t>
      </w:r>
      <w:r w:rsidR="003E6B0F" w:rsidRPr="00ED093B">
        <w:rPr>
          <w:color w:val="auto"/>
        </w:rPr>
        <w:t>’s</w:t>
      </w:r>
      <w:r w:rsidRPr="00ED093B">
        <w:rPr>
          <w:color w:val="auto"/>
        </w:rPr>
        <w:t xml:space="preserve"> effects. Biomarkers can address this challenge by identifying </w:t>
      </w:r>
      <w:r w:rsidR="00897A83" w:rsidRPr="00ED093B">
        <w:rPr>
          <w:color w:val="auto"/>
        </w:rPr>
        <w:t xml:space="preserve">an </w:t>
      </w:r>
      <w:r w:rsidRPr="00ED093B">
        <w:rPr>
          <w:color w:val="auto"/>
        </w:rPr>
        <w:t>individual patient</w:t>
      </w:r>
      <w:r w:rsidR="00897A83" w:rsidRPr="00ED093B">
        <w:rPr>
          <w:color w:val="auto"/>
        </w:rPr>
        <w:t>'</w:t>
      </w:r>
      <w:r w:rsidRPr="00ED093B">
        <w:rPr>
          <w:color w:val="auto"/>
        </w:rPr>
        <w:t>s potential for motor recovery, so that groups can be accurately matched and stratified</w:t>
      </w:r>
      <w:r w:rsidRPr="00ED093B">
        <w:rPr>
          <w:noProof/>
          <w:color w:val="auto"/>
          <w:vertAlign w:val="superscript"/>
        </w:rPr>
        <w:t>6-8</w:t>
      </w:r>
      <w:r w:rsidR="00897A83" w:rsidRPr="00ED093B">
        <w:rPr>
          <w:noProof/>
          <w:color w:val="auto"/>
        </w:rPr>
        <w:t>.</w:t>
      </w:r>
      <w:r w:rsidRPr="00ED093B">
        <w:rPr>
          <w:color w:val="auto"/>
        </w:rPr>
        <w:t xml:space="preserve"> Biomarkers can also be used to select patients who are most likely to respond to the intervention</w:t>
      </w:r>
      <w:r w:rsidR="003E6B0F" w:rsidRPr="00ED093B">
        <w:rPr>
          <w:color w:val="auto"/>
        </w:rPr>
        <w:t>’s</w:t>
      </w:r>
      <w:r w:rsidRPr="00ED093B">
        <w:rPr>
          <w:color w:val="auto"/>
        </w:rPr>
        <w:t xml:space="preserve"> known or hypothesized mechanisms of action</w:t>
      </w:r>
      <w:r w:rsidRPr="00ED093B">
        <w:rPr>
          <w:noProof/>
          <w:color w:val="auto"/>
          <w:vertAlign w:val="superscript"/>
        </w:rPr>
        <w:t>6</w:t>
      </w:r>
      <w:r w:rsidR="00897A83" w:rsidRPr="00ED093B">
        <w:rPr>
          <w:noProof/>
          <w:color w:val="auto"/>
        </w:rPr>
        <w:t>.</w:t>
      </w:r>
      <w:r w:rsidRPr="00ED093B">
        <w:rPr>
          <w:color w:val="auto"/>
        </w:rPr>
        <w:t xml:space="preserve"> </w:t>
      </w:r>
    </w:p>
    <w:p w14:paraId="1B958ED7" w14:textId="77777777" w:rsidR="00B02FAB" w:rsidRPr="00ED093B" w:rsidRDefault="00B02FAB" w:rsidP="00725D44">
      <w:pPr>
        <w:rPr>
          <w:color w:val="auto"/>
        </w:rPr>
      </w:pPr>
    </w:p>
    <w:p w14:paraId="5395949D" w14:textId="7852474D" w:rsidR="00B02FAB" w:rsidRPr="00ED093B" w:rsidRDefault="00B02FAB" w:rsidP="00725D44">
      <w:pPr>
        <w:rPr>
          <w:color w:val="auto"/>
        </w:rPr>
      </w:pPr>
      <w:r w:rsidRPr="00ED093B">
        <w:rPr>
          <w:color w:val="auto"/>
        </w:rPr>
        <w:t xml:space="preserve">The functional integrity of the corticospinal tract (CST) is a key biomarker that predicts recovery of </w:t>
      </w:r>
      <w:r w:rsidR="006B2E5D" w:rsidRPr="00ED093B">
        <w:rPr>
          <w:color w:val="auto"/>
        </w:rPr>
        <w:t>UL</w:t>
      </w:r>
      <w:r w:rsidRPr="00ED093B">
        <w:rPr>
          <w:color w:val="auto"/>
        </w:rPr>
        <w:t xml:space="preserve"> function after stroke</w:t>
      </w:r>
      <w:r w:rsidRPr="00ED093B">
        <w:rPr>
          <w:noProof/>
          <w:color w:val="auto"/>
          <w:vertAlign w:val="superscript"/>
        </w:rPr>
        <w:t>5,8-12</w:t>
      </w:r>
      <w:r w:rsidR="00897A83" w:rsidRPr="00ED093B">
        <w:rPr>
          <w:color w:val="auto"/>
        </w:rPr>
        <w:t>.</w:t>
      </w:r>
      <w:r w:rsidRPr="00ED093B">
        <w:rPr>
          <w:color w:val="auto"/>
        </w:rPr>
        <w:t xml:space="preserve"> The CST conveys descending motor output from the primary motor cortex to the spinal cord and is essential for coordination and fine motor control. Patients with a functional CST after stroke are more likely to regain strength, coordination, and dexterity than patients without. A clinical assessment can be </w:t>
      </w:r>
      <w:proofErr w:type="gramStart"/>
      <w:r w:rsidRPr="00ED093B">
        <w:rPr>
          <w:color w:val="auto"/>
        </w:rPr>
        <w:t>sufficient</w:t>
      </w:r>
      <w:proofErr w:type="gramEnd"/>
      <w:r w:rsidRPr="00ED093B">
        <w:rPr>
          <w:color w:val="auto"/>
        </w:rPr>
        <w:t xml:space="preserve"> to confirm that the CST is functional in mildly impaired patients</w:t>
      </w:r>
      <w:r w:rsidRPr="00ED093B">
        <w:rPr>
          <w:noProof/>
          <w:color w:val="auto"/>
          <w:vertAlign w:val="superscript"/>
        </w:rPr>
        <w:t>13-15</w:t>
      </w:r>
      <w:r w:rsidR="00897A83" w:rsidRPr="00ED093B">
        <w:rPr>
          <w:color w:val="auto"/>
        </w:rPr>
        <w:t>.</w:t>
      </w:r>
      <w:r w:rsidRPr="00ED093B">
        <w:rPr>
          <w:color w:val="auto"/>
        </w:rPr>
        <w:t xml:space="preserve"> However, patients with more severe </w:t>
      </w:r>
      <w:r w:rsidR="00A76A40" w:rsidRPr="00ED093B">
        <w:rPr>
          <w:color w:val="auto"/>
        </w:rPr>
        <w:t xml:space="preserve">initial </w:t>
      </w:r>
      <w:r w:rsidRPr="00ED093B">
        <w:rPr>
          <w:color w:val="auto"/>
        </w:rPr>
        <w:t>impairment may or may not have a functional CST, and a neurophysiological assessment using transcranial magnetic stimulation (TMS) is needed</w:t>
      </w:r>
      <w:r w:rsidRPr="00ED093B">
        <w:rPr>
          <w:noProof/>
          <w:color w:val="auto"/>
          <w:vertAlign w:val="superscript"/>
        </w:rPr>
        <w:t>9-11,16,17</w:t>
      </w:r>
      <w:r w:rsidR="00897A83" w:rsidRPr="00ED093B">
        <w:rPr>
          <w:color w:val="auto"/>
        </w:rPr>
        <w:t>.</w:t>
      </w:r>
    </w:p>
    <w:p w14:paraId="2C7321F4" w14:textId="77777777" w:rsidR="00B02FAB" w:rsidRPr="00ED093B" w:rsidRDefault="00B02FAB" w:rsidP="00725D44">
      <w:pPr>
        <w:rPr>
          <w:color w:val="auto"/>
        </w:rPr>
      </w:pPr>
    </w:p>
    <w:p w14:paraId="57EA5C17" w14:textId="2BABD6D8" w:rsidR="00B02FAB" w:rsidRPr="00ED093B" w:rsidRDefault="00B02FAB" w:rsidP="00725D44">
      <w:pPr>
        <w:rPr>
          <w:color w:val="auto"/>
        </w:rPr>
      </w:pPr>
      <w:r w:rsidRPr="00ED093B">
        <w:rPr>
          <w:color w:val="auto"/>
        </w:rPr>
        <w:t xml:space="preserve">TMS is a noninvasive and painless technique </w:t>
      </w:r>
      <w:r w:rsidR="000622E8" w:rsidRPr="00ED093B">
        <w:rPr>
          <w:color w:val="auto"/>
        </w:rPr>
        <w:t xml:space="preserve">that </w:t>
      </w:r>
      <w:r w:rsidRPr="00ED093B">
        <w:rPr>
          <w:color w:val="auto"/>
        </w:rPr>
        <w:t>can be used to test CST function</w:t>
      </w:r>
      <w:r w:rsidRPr="00ED093B">
        <w:rPr>
          <w:noProof/>
          <w:color w:val="auto"/>
          <w:vertAlign w:val="superscript"/>
        </w:rPr>
        <w:t>18</w:t>
      </w:r>
      <w:r w:rsidR="00897A83" w:rsidRPr="00ED093B">
        <w:rPr>
          <w:color w:val="auto"/>
        </w:rPr>
        <w:t>.</w:t>
      </w:r>
      <w:r w:rsidRPr="00ED093B">
        <w:rPr>
          <w:color w:val="auto"/>
        </w:rPr>
        <w:t xml:space="preserve"> The TMS coil delivers a magnetic stimulus over the primary motor cortex </w:t>
      </w:r>
      <w:r w:rsidR="00A76A40" w:rsidRPr="00ED093B">
        <w:rPr>
          <w:color w:val="auto"/>
        </w:rPr>
        <w:t xml:space="preserve">that </w:t>
      </w:r>
      <w:r w:rsidRPr="00ED093B">
        <w:rPr>
          <w:color w:val="auto"/>
        </w:rPr>
        <w:t>generates a descending volley in the CST, eliciting a motor-evoked potential (MEP) in the muscles of the contralateral limb</w:t>
      </w:r>
      <w:r w:rsidRPr="00ED093B">
        <w:rPr>
          <w:noProof/>
          <w:color w:val="auto"/>
          <w:vertAlign w:val="superscript"/>
        </w:rPr>
        <w:t>19</w:t>
      </w:r>
      <w:r w:rsidR="00897A83" w:rsidRPr="00ED093B">
        <w:rPr>
          <w:color w:val="auto"/>
        </w:rPr>
        <w:t>.</w:t>
      </w:r>
      <w:r w:rsidRPr="00ED093B">
        <w:rPr>
          <w:color w:val="auto"/>
        </w:rPr>
        <w:t xml:space="preserve"> The presence of a MEP in the paretic arm or hand (MEP+) indicates a functional CST and is associated with greater potential for recovery of UL function. Patients who are MEP- are most likely to have worse UL recovery, with no return of coordinated and dexterous hand function</w:t>
      </w:r>
      <w:r w:rsidRPr="00ED093B">
        <w:rPr>
          <w:noProof/>
          <w:color w:val="auto"/>
          <w:vertAlign w:val="superscript"/>
        </w:rPr>
        <w:t>4,6,9,12,16</w:t>
      </w:r>
      <w:r w:rsidR="00897A83" w:rsidRPr="00ED093B">
        <w:rPr>
          <w:color w:val="auto"/>
        </w:rPr>
        <w:t>.</w:t>
      </w:r>
    </w:p>
    <w:p w14:paraId="54DBBF03" w14:textId="77777777" w:rsidR="00B02FAB" w:rsidRPr="00ED093B" w:rsidRDefault="00B02FAB" w:rsidP="00725D44">
      <w:pPr>
        <w:rPr>
          <w:color w:val="auto"/>
        </w:rPr>
      </w:pPr>
    </w:p>
    <w:p w14:paraId="0D3BBC12" w14:textId="26165EBB" w:rsidR="00B02FAB" w:rsidRPr="00ED093B" w:rsidRDefault="00B02FAB" w:rsidP="00725D44">
      <w:pPr>
        <w:rPr>
          <w:color w:val="auto"/>
        </w:rPr>
      </w:pPr>
      <w:r w:rsidRPr="00ED093B">
        <w:rPr>
          <w:color w:val="auto"/>
        </w:rPr>
        <w:t>Testing all patients with TMS is impractical and unnecessary, as those with mild initial impairment most likely have a functional CST</w:t>
      </w:r>
      <w:r w:rsidRPr="00ED093B">
        <w:rPr>
          <w:noProof/>
          <w:color w:val="auto"/>
          <w:vertAlign w:val="superscript"/>
        </w:rPr>
        <w:t>17</w:t>
      </w:r>
      <w:r w:rsidR="00897A83" w:rsidRPr="00ED093B">
        <w:rPr>
          <w:color w:val="auto"/>
        </w:rPr>
        <w:t>.</w:t>
      </w:r>
      <w:r w:rsidRPr="00ED093B">
        <w:rPr>
          <w:color w:val="auto"/>
        </w:rPr>
        <w:t xml:space="preserve"> Therefore, a hierarchical approach is needed so that TMS is only used for patients with more severe initial impairment. The PREP2 algorithm was developed using a combination of clinical measures and TMS to evaluate CST function and predict likely UL outcome at 3 months </w:t>
      </w:r>
      <w:r w:rsidR="00FF038C" w:rsidRPr="00ED093B">
        <w:rPr>
          <w:color w:val="auto"/>
        </w:rPr>
        <w:t>poststroke</w:t>
      </w:r>
      <w:r w:rsidRPr="00ED093B">
        <w:rPr>
          <w:color w:val="auto"/>
        </w:rPr>
        <w:t xml:space="preserve"> (</w:t>
      </w:r>
      <w:r w:rsidRPr="00ED093B">
        <w:rPr>
          <w:b/>
          <w:bCs/>
          <w:color w:val="auto"/>
        </w:rPr>
        <w:t>Figure 1</w:t>
      </w:r>
      <w:r w:rsidRPr="00ED093B">
        <w:rPr>
          <w:color w:val="auto"/>
        </w:rPr>
        <w:t>)</w:t>
      </w:r>
      <w:r w:rsidRPr="00ED093B">
        <w:rPr>
          <w:noProof/>
          <w:color w:val="auto"/>
          <w:vertAlign w:val="superscript"/>
        </w:rPr>
        <w:t>17</w:t>
      </w:r>
      <w:r w:rsidR="00897A83" w:rsidRPr="00ED093B">
        <w:rPr>
          <w:color w:val="auto"/>
        </w:rPr>
        <w:t>.</w:t>
      </w:r>
      <w:r w:rsidRPr="00ED093B">
        <w:rPr>
          <w:color w:val="auto"/>
        </w:rPr>
        <w:t xml:space="preserve"> PREP2 starts at day 3 </w:t>
      </w:r>
      <w:r w:rsidR="00FF038C" w:rsidRPr="00ED093B">
        <w:rPr>
          <w:color w:val="auto"/>
        </w:rPr>
        <w:t>poststroke</w:t>
      </w:r>
      <w:r w:rsidRPr="00ED093B">
        <w:rPr>
          <w:color w:val="auto"/>
        </w:rPr>
        <w:t xml:space="preserve"> by testing the strength of shoulder abduction and finger extension in the paretic arm (SAFE score), using Medical Research Council grades. If the sum of these grades is 5 or more out of 10, it is “safe” to </w:t>
      </w:r>
      <w:r w:rsidRPr="00ED093B">
        <w:rPr>
          <w:color w:val="auto"/>
        </w:rPr>
        <w:lastRenderedPageBreak/>
        <w:t>assume the patient is MEP+. The</w:t>
      </w:r>
      <w:r w:rsidR="000622E8" w:rsidRPr="00ED093B">
        <w:rPr>
          <w:color w:val="auto"/>
        </w:rPr>
        <w:t>se patients</w:t>
      </w:r>
      <w:r w:rsidRPr="00ED093B">
        <w:rPr>
          <w:color w:val="auto"/>
        </w:rPr>
        <w:t xml:space="preserve"> are expected to have a good or excellent UL outcome by 3 months </w:t>
      </w:r>
      <w:r w:rsidR="00FF038C" w:rsidRPr="00ED093B">
        <w:rPr>
          <w:color w:val="auto"/>
        </w:rPr>
        <w:t>poststroke</w:t>
      </w:r>
      <w:r w:rsidRPr="00ED093B">
        <w:rPr>
          <w:color w:val="auto"/>
        </w:rPr>
        <w:t>, depending on their age</w:t>
      </w:r>
      <w:r w:rsidRPr="00ED093B">
        <w:rPr>
          <w:noProof/>
          <w:color w:val="auto"/>
          <w:vertAlign w:val="superscript"/>
        </w:rPr>
        <w:t>17</w:t>
      </w:r>
      <w:r w:rsidR="00897A83" w:rsidRPr="00ED093B">
        <w:rPr>
          <w:color w:val="auto"/>
        </w:rPr>
        <w:t>.</w:t>
      </w:r>
      <w:r w:rsidRPr="00ED093B">
        <w:rPr>
          <w:color w:val="auto"/>
        </w:rPr>
        <w:t xml:space="preserve"> These patients do not need TMS to determine MEP status, minimizing cost and unnecessary testing for the patient.</w:t>
      </w:r>
    </w:p>
    <w:p w14:paraId="47AABA2F" w14:textId="77777777" w:rsidR="00B02FAB" w:rsidRPr="00ED093B" w:rsidRDefault="00B02FAB" w:rsidP="00725D44">
      <w:pPr>
        <w:rPr>
          <w:color w:val="auto"/>
        </w:rPr>
      </w:pPr>
    </w:p>
    <w:p w14:paraId="7BB56706" w14:textId="72EE6FDC" w:rsidR="00B02FAB" w:rsidRPr="00ED093B" w:rsidRDefault="00B02FAB" w:rsidP="00725D44">
      <w:pPr>
        <w:rPr>
          <w:color w:val="auto"/>
        </w:rPr>
      </w:pPr>
      <w:r w:rsidRPr="00ED093B">
        <w:rPr>
          <w:color w:val="auto"/>
        </w:rPr>
        <w:t>Patients with a SAFE score</w:t>
      </w:r>
      <w:r w:rsidR="00A76A40" w:rsidRPr="00ED093B">
        <w:rPr>
          <w:color w:val="auto"/>
        </w:rPr>
        <w:t xml:space="preserve"> of</w:t>
      </w:r>
      <w:r w:rsidRPr="00ED093B">
        <w:rPr>
          <w:color w:val="auto"/>
        </w:rPr>
        <w:t xml:space="preserve"> less than 5 on day 3 </w:t>
      </w:r>
      <w:r w:rsidR="00FF038C" w:rsidRPr="00ED093B">
        <w:rPr>
          <w:color w:val="auto"/>
        </w:rPr>
        <w:t>poststroke</w:t>
      </w:r>
      <w:r w:rsidRPr="00ED093B">
        <w:rPr>
          <w:color w:val="auto"/>
        </w:rPr>
        <w:t xml:space="preserve"> require TMS to determine the functional integrity of their CST. If a MEP can be elicited from the paretic extensor carpi radialis (ECR) or first dorsal interosseus (FDI) muscles, the patient is MEP+ and is expected to recover fine motor control of the hand by 3 months </w:t>
      </w:r>
      <w:r w:rsidR="00FF038C" w:rsidRPr="00ED093B">
        <w:rPr>
          <w:color w:val="auto"/>
        </w:rPr>
        <w:t>poststroke</w:t>
      </w:r>
      <w:r w:rsidRPr="00ED093B">
        <w:rPr>
          <w:color w:val="auto"/>
        </w:rPr>
        <w:t xml:space="preserve">. Approximately half of patients with a SAFE score less than 5 on day 3 </w:t>
      </w:r>
      <w:r w:rsidR="00FF038C" w:rsidRPr="00ED093B">
        <w:rPr>
          <w:color w:val="auto"/>
        </w:rPr>
        <w:t>poststroke</w:t>
      </w:r>
      <w:r w:rsidRPr="00ED093B">
        <w:rPr>
          <w:color w:val="auto"/>
        </w:rPr>
        <w:t xml:space="preserve"> are MEP+. Importantly, patients can have a SAFE score as low as zero and be MEP+. This illustrates the need for TMS in this subgroup of patients, as clinical assessment alone cannot distinguish between patients with and without a functional CST. Patients who are MEP- have significant CST damage. These patients are expected to have a limited or poor UL functional outcome depending on their overall stroke severity, measured with the National Institute of Health Stroke Scale (NIHSS) (</w:t>
      </w:r>
      <w:r w:rsidRPr="00ED093B">
        <w:rPr>
          <w:b/>
          <w:bCs/>
          <w:color w:val="auto"/>
        </w:rPr>
        <w:t>Figure 1</w:t>
      </w:r>
      <w:r w:rsidRPr="00ED093B">
        <w:rPr>
          <w:color w:val="auto"/>
        </w:rPr>
        <w:t>)</w:t>
      </w:r>
      <w:r w:rsidRPr="00ED093B">
        <w:rPr>
          <w:noProof/>
          <w:color w:val="auto"/>
          <w:vertAlign w:val="superscript"/>
        </w:rPr>
        <w:t>17</w:t>
      </w:r>
      <w:r w:rsidR="00A76A40" w:rsidRPr="00ED093B">
        <w:rPr>
          <w:color w:val="auto"/>
        </w:rPr>
        <w:t>.</w:t>
      </w:r>
      <w:r w:rsidRPr="00ED093B">
        <w:rPr>
          <w:color w:val="auto"/>
        </w:rPr>
        <w:t xml:space="preserve"> These MEP- patients are not expected to regain coordinated and dexterous finger control and can be grouped together</w:t>
      </w:r>
      <w:r w:rsidR="008F2097" w:rsidRPr="00ED093B">
        <w:rPr>
          <w:color w:val="auto"/>
        </w:rPr>
        <w:t xml:space="preserve"> for research purposes</w:t>
      </w:r>
      <w:r w:rsidRPr="00ED093B">
        <w:rPr>
          <w:color w:val="auto"/>
        </w:rPr>
        <w:t>.</w:t>
      </w:r>
    </w:p>
    <w:p w14:paraId="793E5C18" w14:textId="77777777" w:rsidR="00B02FAB" w:rsidRPr="00ED093B" w:rsidRDefault="00B02FAB" w:rsidP="00725D44">
      <w:pPr>
        <w:rPr>
          <w:color w:val="auto"/>
        </w:rPr>
      </w:pPr>
    </w:p>
    <w:p w14:paraId="685FFBED" w14:textId="77777777" w:rsidR="00B02FAB" w:rsidRPr="00ED093B" w:rsidRDefault="00B02FAB" w:rsidP="00725D44">
      <w:pPr>
        <w:rPr>
          <w:color w:val="auto"/>
        </w:rPr>
      </w:pPr>
      <w:r w:rsidRPr="00ED093B">
        <w:rPr>
          <w:color w:val="auto"/>
        </w:rPr>
        <w:t>(Insert Figure 1 here)</w:t>
      </w:r>
    </w:p>
    <w:p w14:paraId="4550B300" w14:textId="77777777" w:rsidR="00B02FAB" w:rsidRPr="00ED093B" w:rsidRDefault="00B02FAB" w:rsidP="00725D44">
      <w:pPr>
        <w:rPr>
          <w:color w:val="auto"/>
        </w:rPr>
      </w:pPr>
    </w:p>
    <w:p w14:paraId="43EFE329" w14:textId="46F0C9FA" w:rsidR="00B02FAB" w:rsidRPr="00ED093B" w:rsidRDefault="00B02FAB" w:rsidP="00725D44">
      <w:pPr>
        <w:rPr>
          <w:color w:val="auto"/>
        </w:rPr>
      </w:pPr>
      <w:r w:rsidRPr="00ED093B">
        <w:rPr>
          <w:color w:val="auto"/>
        </w:rPr>
        <w:t>In clinical practice, PREP2 predicts one of four outcome categories that can be used to tailor rehabilitation for individual patients and help patients and families to understand what they can expect for their UL recovery. To date, PREP2 is the only externally validated UL prediction tool that combines clinical assessment and biomarker information in a decision tree</w:t>
      </w:r>
      <w:r w:rsidRPr="00ED093B">
        <w:rPr>
          <w:noProof/>
          <w:color w:val="auto"/>
          <w:vertAlign w:val="superscript"/>
        </w:rPr>
        <w:t>17</w:t>
      </w:r>
      <w:r w:rsidR="00897A83" w:rsidRPr="00ED093B">
        <w:rPr>
          <w:color w:val="auto"/>
        </w:rPr>
        <w:t>.</w:t>
      </w:r>
      <w:r w:rsidRPr="00ED093B">
        <w:rPr>
          <w:color w:val="auto"/>
        </w:rPr>
        <w:t xml:space="preserve"> It is also the only UL prediction tool with research on the effects of implementation in clinical practice</w:t>
      </w:r>
      <w:r w:rsidRPr="00ED093B">
        <w:rPr>
          <w:noProof/>
          <w:color w:val="auto"/>
          <w:vertAlign w:val="superscript"/>
        </w:rPr>
        <w:t>20,21</w:t>
      </w:r>
      <w:r w:rsidR="00897A83" w:rsidRPr="00ED093B">
        <w:rPr>
          <w:color w:val="auto"/>
        </w:rPr>
        <w:t>.</w:t>
      </w:r>
      <w:r w:rsidRPr="00ED093B">
        <w:rPr>
          <w:color w:val="auto"/>
        </w:rPr>
        <w:t xml:space="preserve"> PREP2 predictions are accurate for about 75% of patients, too optimistic for 17% and too pessimistic for 8% of patients at 3 months </w:t>
      </w:r>
      <w:r w:rsidR="00FF038C" w:rsidRPr="00ED093B">
        <w:rPr>
          <w:color w:val="auto"/>
        </w:rPr>
        <w:t>poststroke</w:t>
      </w:r>
      <w:r w:rsidRPr="00ED093B">
        <w:rPr>
          <w:noProof/>
          <w:color w:val="auto"/>
          <w:vertAlign w:val="superscript"/>
        </w:rPr>
        <w:t>17</w:t>
      </w:r>
      <w:r w:rsidR="00897A83" w:rsidRPr="00ED093B">
        <w:rPr>
          <w:color w:val="auto"/>
        </w:rPr>
        <w:t>.</w:t>
      </w:r>
      <w:r w:rsidRPr="00ED093B">
        <w:rPr>
          <w:color w:val="auto"/>
        </w:rPr>
        <w:t xml:space="preserve"> Accuracy is highest for MEP- patients (accurate for 90% of MEP- patients), highlighting the value of using TMS to identify these patients with severe damage to the descending motor pathways</w:t>
      </w:r>
      <w:r w:rsidRPr="00ED093B">
        <w:rPr>
          <w:noProof/>
          <w:color w:val="auto"/>
          <w:vertAlign w:val="superscript"/>
        </w:rPr>
        <w:t>17</w:t>
      </w:r>
      <w:r w:rsidR="00897A83" w:rsidRPr="00ED093B">
        <w:rPr>
          <w:color w:val="auto"/>
        </w:rPr>
        <w:t>.</w:t>
      </w:r>
      <w:r w:rsidRPr="00ED093B">
        <w:rPr>
          <w:color w:val="auto"/>
        </w:rPr>
        <w:t xml:space="preserve"> PREP2 remains correct for around 80% of patients at 2 years </w:t>
      </w:r>
      <w:r w:rsidR="00FF038C" w:rsidRPr="00ED093B">
        <w:rPr>
          <w:color w:val="auto"/>
        </w:rPr>
        <w:t>poststroke</w:t>
      </w:r>
      <w:r w:rsidRPr="00ED093B">
        <w:rPr>
          <w:noProof/>
          <w:color w:val="auto"/>
          <w:vertAlign w:val="superscript"/>
        </w:rPr>
        <w:t>22</w:t>
      </w:r>
      <w:r w:rsidR="00897A83" w:rsidRPr="00ED093B">
        <w:rPr>
          <w:color w:val="auto"/>
        </w:rPr>
        <w:t>.</w:t>
      </w:r>
      <w:r w:rsidRPr="00ED093B">
        <w:rPr>
          <w:color w:val="auto"/>
        </w:rPr>
        <w:t xml:space="preserve"> This supports the use of PREP2 to predict UL functional motor outcomes at 3 months and longer term. Information about delivering PREP2 predictions and using them in clinical practice is outside the scope of this methods paper, but detailed resources are available online</w:t>
      </w:r>
      <w:r w:rsidRPr="00ED093B">
        <w:rPr>
          <w:noProof/>
          <w:color w:val="auto"/>
          <w:vertAlign w:val="superscript"/>
        </w:rPr>
        <w:t>23</w:t>
      </w:r>
      <w:r w:rsidR="00897A83" w:rsidRPr="00ED093B">
        <w:rPr>
          <w:color w:val="auto"/>
        </w:rPr>
        <w:t>.</w:t>
      </w:r>
      <w:r w:rsidRPr="00ED093B">
        <w:rPr>
          <w:color w:val="auto"/>
        </w:rPr>
        <w:t xml:space="preserve"> </w:t>
      </w:r>
    </w:p>
    <w:p w14:paraId="64EA85C4" w14:textId="77777777" w:rsidR="00B02FAB" w:rsidRPr="00ED093B" w:rsidRDefault="00B02FAB" w:rsidP="00725D44">
      <w:pPr>
        <w:rPr>
          <w:color w:val="auto"/>
        </w:rPr>
      </w:pPr>
    </w:p>
    <w:p w14:paraId="141AA34C" w14:textId="1E815DD4" w:rsidR="00B02FAB" w:rsidRPr="00ED093B" w:rsidRDefault="00B02FAB" w:rsidP="00725D44">
      <w:pPr>
        <w:rPr>
          <w:color w:val="auto"/>
        </w:rPr>
      </w:pPr>
      <w:r w:rsidRPr="00ED093B">
        <w:rPr>
          <w:color w:val="auto"/>
        </w:rPr>
        <w:t xml:space="preserve">PREP2 provides researchers with a tool to select and stratify patients for clinical trials. This allows patients to be grouped not only according to baseline clinical characteristics, but also their neurobiological potential for UL recovery. Despite the mounting evidence for the use of TMS as a prognostic biomarker for UL recovery, lack of familiarity with TMS protocols in hospital settings with subacute stroke patients may be a barrier to its use in research. Therefore, this protocol aims to demonstrate how to use the SAFE score and TMS to evaluate CST function in patients in a hospital setting early after stroke. </w:t>
      </w:r>
    </w:p>
    <w:p w14:paraId="167B73AB" w14:textId="77777777" w:rsidR="00B02FAB" w:rsidRPr="00ED093B" w:rsidRDefault="00B02FAB" w:rsidP="00725D44">
      <w:pPr>
        <w:rPr>
          <w:bCs/>
          <w:color w:val="auto"/>
        </w:rPr>
      </w:pPr>
    </w:p>
    <w:p w14:paraId="19111A26" w14:textId="77777777" w:rsidR="00B02FAB" w:rsidRPr="00ED093B" w:rsidRDefault="00B02FAB" w:rsidP="00725D44">
      <w:pPr>
        <w:rPr>
          <w:color w:val="auto"/>
        </w:rPr>
      </w:pPr>
      <w:r w:rsidRPr="00ED093B">
        <w:rPr>
          <w:b/>
          <w:color w:val="auto"/>
        </w:rPr>
        <w:t>PROTOCOL:</w:t>
      </w:r>
      <w:r w:rsidRPr="00ED093B">
        <w:rPr>
          <w:color w:val="auto"/>
        </w:rPr>
        <w:t xml:space="preserve"> </w:t>
      </w:r>
    </w:p>
    <w:p w14:paraId="4024F208" w14:textId="77777777" w:rsidR="00B02FAB" w:rsidRPr="00ED093B" w:rsidRDefault="00B02FAB" w:rsidP="00725D44">
      <w:pPr>
        <w:rPr>
          <w:color w:val="auto"/>
        </w:rPr>
      </w:pPr>
      <w:r w:rsidRPr="00ED093B">
        <w:rPr>
          <w:color w:val="auto"/>
        </w:rPr>
        <w:t xml:space="preserve">All research conducted with human participants must have human ethics approval by the appropriate institutional ethics committee and the study must be conducted in accordance with </w:t>
      </w:r>
      <w:r w:rsidRPr="00ED093B">
        <w:rPr>
          <w:color w:val="auto"/>
        </w:rPr>
        <w:lastRenderedPageBreak/>
        <w:t>the declaration of Helsinki.</w:t>
      </w:r>
    </w:p>
    <w:p w14:paraId="6465E8A8" w14:textId="77777777" w:rsidR="00B02FAB" w:rsidRPr="00ED093B" w:rsidRDefault="00B02FAB" w:rsidP="00725D44">
      <w:pPr>
        <w:rPr>
          <w:color w:val="auto"/>
        </w:rPr>
      </w:pPr>
    </w:p>
    <w:p w14:paraId="349B675F" w14:textId="30CD7CF2" w:rsidR="00B02FAB" w:rsidRPr="00ED093B" w:rsidRDefault="00B02FAB" w:rsidP="00725D44">
      <w:pPr>
        <w:pStyle w:val="ListParagraph"/>
        <w:numPr>
          <w:ilvl w:val="0"/>
          <w:numId w:val="30"/>
        </w:numPr>
        <w:rPr>
          <w:b/>
          <w:bCs/>
          <w:color w:val="auto"/>
        </w:rPr>
      </w:pPr>
      <w:bookmarkStart w:id="1" w:name="_Hlk19699973"/>
      <w:r w:rsidRPr="00ED093B">
        <w:rPr>
          <w:b/>
          <w:bCs/>
          <w:color w:val="auto"/>
        </w:rPr>
        <w:t xml:space="preserve">Patient </w:t>
      </w:r>
      <w:r w:rsidR="00A76A40" w:rsidRPr="00ED093B">
        <w:rPr>
          <w:b/>
          <w:bCs/>
          <w:color w:val="auto"/>
        </w:rPr>
        <w:t>screening</w:t>
      </w:r>
    </w:p>
    <w:p w14:paraId="6D532E64" w14:textId="77777777" w:rsidR="00D423F0" w:rsidRPr="00ED093B" w:rsidRDefault="00D423F0" w:rsidP="00D423F0">
      <w:pPr>
        <w:pStyle w:val="ListParagraph"/>
        <w:ind w:left="0"/>
        <w:rPr>
          <w:b/>
          <w:bCs/>
          <w:color w:val="auto"/>
        </w:rPr>
      </w:pPr>
    </w:p>
    <w:p w14:paraId="48D98865" w14:textId="77777777" w:rsidR="00B02FAB" w:rsidRPr="00ED093B" w:rsidRDefault="00B02FAB" w:rsidP="00725D44">
      <w:pPr>
        <w:pStyle w:val="ListParagraph"/>
        <w:numPr>
          <w:ilvl w:val="1"/>
          <w:numId w:val="30"/>
        </w:numPr>
        <w:rPr>
          <w:color w:val="auto"/>
        </w:rPr>
      </w:pPr>
      <w:r w:rsidRPr="00ED093B">
        <w:rPr>
          <w:color w:val="auto"/>
        </w:rPr>
        <w:t xml:space="preserve"> Screen all patients for PREP2 suitability within 72 hours of stroke onset. </w:t>
      </w:r>
    </w:p>
    <w:p w14:paraId="5C525F36" w14:textId="77777777" w:rsidR="00B02FAB" w:rsidRPr="00ED093B" w:rsidRDefault="00B02FAB" w:rsidP="00725D44">
      <w:pPr>
        <w:pStyle w:val="ListParagraph"/>
        <w:ind w:left="0"/>
        <w:rPr>
          <w:color w:val="auto"/>
        </w:rPr>
      </w:pPr>
    </w:p>
    <w:p w14:paraId="5F1B7042" w14:textId="63F957F8" w:rsidR="00B02FAB" w:rsidRPr="00ED093B" w:rsidRDefault="00A76A40" w:rsidP="00725D44">
      <w:pPr>
        <w:pStyle w:val="ListParagraph"/>
        <w:ind w:left="0"/>
        <w:rPr>
          <w:color w:val="auto"/>
        </w:rPr>
      </w:pPr>
      <w:r w:rsidRPr="00ED093B">
        <w:rPr>
          <w:color w:val="auto"/>
        </w:rPr>
        <w:t>NOTE</w:t>
      </w:r>
      <w:r w:rsidR="00B02FAB" w:rsidRPr="00ED093B">
        <w:rPr>
          <w:color w:val="auto"/>
        </w:rPr>
        <w:t xml:space="preserve">: Patients are suitable if they have had a unilateral ischemic or hemorrhagic stroke within the last 72 hours, have new </w:t>
      </w:r>
      <w:r w:rsidR="006B2E5D" w:rsidRPr="00ED093B">
        <w:rPr>
          <w:color w:val="auto"/>
        </w:rPr>
        <w:t>UL</w:t>
      </w:r>
      <w:r w:rsidR="00B02FAB" w:rsidRPr="00ED093B">
        <w:rPr>
          <w:color w:val="auto"/>
        </w:rPr>
        <w:t xml:space="preserve"> weakness, and are 18 years or older. </w:t>
      </w:r>
    </w:p>
    <w:p w14:paraId="3AAE856B" w14:textId="77777777" w:rsidR="00B02FAB" w:rsidRPr="00ED093B" w:rsidRDefault="00B02FAB" w:rsidP="00725D44">
      <w:pPr>
        <w:pStyle w:val="ListParagraph"/>
        <w:ind w:left="0"/>
        <w:rPr>
          <w:color w:val="auto"/>
        </w:rPr>
      </w:pPr>
      <w:bookmarkStart w:id="2" w:name="_Hlk19700143"/>
    </w:p>
    <w:p w14:paraId="544133DC" w14:textId="31F9F683" w:rsidR="00B02FAB" w:rsidRPr="00ED093B" w:rsidRDefault="00B02FAB" w:rsidP="00725D44">
      <w:pPr>
        <w:pStyle w:val="ListParagraph"/>
        <w:numPr>
          <w:ilvl w:val="0"/>
          <w:numId w:val="30"/>
        </w:numPr>
        <w:rPr>
          <w:b/>
          <w:bCs/>
          <w:color w:val="auto"/>
          <w:highlight w:val="yellow"/>
        </w:rPr>
      </w:pPr>
      <w:r w:rsidRPr="00ED093B">
        <w:rPr>
          <w:b/>
          <w:bCs/>
          <w:color w:val="auto"/>
          <w:highlight w:val="yellow"/>
        </w:rPr>
        <w:t>SAFE score</w:t>
      </w:r>
    </w:p>
    <w:p w14:paraId="5D72D23C" w14:textId="77777777" w:rsidR="00D423F0" w:rsidRPr="00ED093B" w:rsidRDefault="00D423F0" w:rsidP="00D423F0">
      <w:pPr>
        <w:pStyle w:val="ListParagraph"/>
        <w:ind w:left="0"/>
        <w:rPr>
          <w:b/>
          <w:bCs/>
          <w:color w:val="auto"/>
          <w:highlight w:val="yellow"/>
        </w:rPr>
      </w:pPr>
    </w:p>
    <w:p w14:paraId="646F5E87" w14:textId="0F42D12C" w:rsidR="00B02FAB" w:rsidRPr="00ED093B" w:rsidRDefault="00A76A40" w:rsidP="00725D44">
      <w:pPr>
        <w:pStyle w:val="ListParagraph"/>
        <w:ind w:left="0"/>
        <w:rPr>
          <w:color w:val="auto"/>
        </w:rPr>
      </w:pPr>
      <w:r w:rsidRPr="00ED093B">
        <w:rPr>
          <w:color w:val="auto"/>
        </w:rPr>
        <w:t>NOTE</w:t>
      </w:r>
      <w:r w:rsidR="00B02FAB" w:rsidRPr="00ED093B">
        <w:rPr>
          <w:color w:val="auto"/>
        </w:rPr>
        <w:t>: Ensure that patients with inattention or fatigue are focused on the arm to enable an accurate assessment of strength.</w:t>
      </w:r>
    </w:p>
    <w:p w14:paraId="1F8A588E" w14:textId="77777777" w:rsidR="00B02FAB" w:rsidRPr="00ED093B" w:rsidRDefault="00B02FAB" w:rsidP="00725D44">
      <w:pPr>
        <w:pStyle w:val="ListParagraph"/>
        <w:ind w:left="0"/>
        <w:rPr>
          <w:b/>
          <w:bCs/>
          <w:color w:val="auto"/>
          <w:highlight w:val="yellow"/>
        </w:rPr>
      </w:pPr>
    </w:p>
    <w:p w14:paraId="19740E90" w14:textId="77777777" w:rsidR="00B02FAB" w:rsidRPr="00ED093B" w:rsidRDefault="00B02FAB" w:rsidP="00725D44">
      <w:pPr>
        <w:pStyle w:val="ListParagraph"/>
        <w:numPr>
          <w:ilvl w:val="1"/>
          <w:numId w:val="30"/>
        </w:numPr>
        <w:rPr>
          <w:color w:val="auto"/>
          <w:highlight w:val="yellow"/>
        </w:rPr>
      </w:pPr>
      <w:r w:rsidRPr="00ED093B">
        <w:rPr>
          <w:color w:val="auto"/>
          <w:highlight w:val="yellow"/>
        </w:rPr>
        <w:t>Position the patient with their back fully supported and upright either in bed or in a chair and their paretic arm by their side with the elbow in extension.</w:t>
      </w:r>
    </w:p>
    <w:p w14:paraId="145F6F06" w14:textId="77777777" w:rsidR="00B02FAB" w:rsidRPr="00ED093B" w:rsidRDefault="00B02FAB" w:rsidP="00725D44">
      <w:pPr>
        <w:pStyle w:val="ListParagraph"/>
        <w:ind w:left="0"/>
        <w:rPr>
          <w:color w:val="auto"/>
          <w:highlight w:val="yellow"/>
        </w:rPr>
      </w:pPr>
    </w:p>
    <w:p w14:paraId="57B23D91" w14:textId="68029AD7" w:rsidR="00B02FAB" w:rsidRPr="00ED093B" w:rsidRDefault="00B02FAB" w:rsidP="00D423F0">
      <w:pPr>
        <w:pStyle w:val="ListParagraph"/>
        <w:numPr>
          <w:ilvl w:val="1"/>
          <w:numId w:val="30"/>
        </w:numPr>
        <w:rPr>
          <w:color w:val="auto"/>
          <w:highlight w:val="yellow"/>
        </w:rPr>
      </w:pPr>
      <w:r w:rsidRPr="00ED093B">
        <w:rPr>
          <w:color w:val="auto"/>
          <w:highlight w:val="yellow"/>
        </w:rPr>
        <w:t>Demonstrate shoulder abduction.</w:t>
      </w:r>
      <w:r w:rsidR="00D423F0" w:rsidRPr="00ED093B">
        <w:rPr>
          <w:color w:val="auto"/>
          <w:highlight w:val="yellow"/>
        </w:rPr>
        <w:t xml:space="preserve"> </w:t>
      </w:r>
      <w:r w:rsidRPr="00ED093B">
        <w:rPr>
          <w:color w:val="auto"/>
          <w:highlight w:val="yellow"/>
        </w:rPr>
        <w:t>Ask the patient to lift their arm sideways and up towards their ear.</w:t>
      </w:r>
      <w:r w:rsidR="00D423F0" w:rsidRPr="00ED093B">
        <w:rPr>
          <w:color w:val="auto"/>
          <w:highlight w:val="yellow"/>
        </w:rPr>
        <w:t xml:space="preserve"> </w:t>
      </w:r>
      <w:r w:rsidRPr="00ED093B">
        <w:rPr>
          <w:color w:val="auto"/>
          <w:highlight w:val="yellow"/>
        </w:rPr>
        <w:t>Use the Medical Research Council (MRC) grades to score shoulder abduction strength.</w:t>
      </w:r>
    </w:p>
    <w:p w14:paraId="19544C44" w14:textId="77777777" w:rsidR="00D423F0" w:rsidRPr="00ED093B" w:rsidRDefault="00D423F0" w:rsidP="00725D44">
      <w:pPr>
        <w:pStyle w:val="ListParagraph"/>
        <w:ind w:left="0"/>
        <w:rPr>
          <w:bCs/>
          <w:color w:val="auto"/>
        </w:rPr>
      </w:pPr>
    </w:p>
    <w:p w14:paraId="203E909E" w14:textId="78B09EA3" w:rsidR="00B02FAB" w:rsidRPr="00ED093B" w:rsidRDefault="00897A83" w:rsidP="00725D44">
      <w:pPr>
        <w:pStyle w:val="ListParagraph"/>
        <w:ind w:left="0"/>
        <w:rPr>
          <w:bCs/>
          <w:color w:val="auto"/>
        </w:rPr>
      </w:pPr>
      <w:r w:rsidRPr="00ED093B">
        <w:rPr>
          <w:bCs/>
          <w:color w:val="auto"/>
        </w:rPr>
        <w:t>NOTE</w:t>
      </w:r>
      <w:r w:rsidR="00B02FAB" w:rsidRPr="00ED093B">
        <w:rPr>
          <w:bCs/>
          <w:color w:val="auto"/>
        </w:rPr>
        <w:t>: MRC grades are described as follows:</w:t>
      </w:r>
      <w:r w:rsidR="00D423F0" w:rsidRPr="00ED093B">
        <w:rPr>
          <w:bCs/>
          <w:color w:val="auto"/>
        </w:rPr>
        <w:t xml:space="preserve"> </w:t>
      </w:r>
      <w:r w:rsidR="00B02FAB" w:rsidRPr="00ED093B">
        <w:rPr>
          <w:bCs/>
          <w:color w:val="auto"/>
        </w:rPr>
        <w:t>0 = no palpable muscle activity</w:t>
      </w:r>
      <w:r w:rsidR="00D423F0" w:rsidRPr="00ED093B">
        <w:rPr>
          <w:bCs/>
          <w:color w:val="auto"/>
        </w:rPr>
        <w:t xml:space="preserve">; </w:t>
      </w:r>
      <w:r w:rsidR="00B02FAB" w:rsidRPr="00ED093B">
        <w:rPr>
          <w:bCs/>
          <w:color w:val="auto"/>
        </w:rPr>
        <w:t>1 = palpable muscle activity but no movement</w:t>
      </w:r>
      <w:r w:rsidR="00D423F0" w:rsidRPr="00ED093B">
        <w:rPr>
          <w:bCs/>
          <w:color w:val="auto"/>
        </w:rPr>
        <w:t xml:space="preserve">; </w:t>
      </w:r>
      <w:r w:rsidR="00B02FAB" w:rsidRPr="00ED093B">
        <w:rPr>
          <w:bCs/>
          <w:color w:val="auto"/>
        </w:rPr>
        <w:t>2 = limited range of movement without gravity</w:t>
      </w:r>
      <w:r w:rsidR="00D423F0" w:rsidRPr="00ED093B">
        <w:rPr>
          <w:bCs/>
          <w:color w:val="auto"/>
        </w:rPr>
        <w:t xml:space="preserve">; </w:t>
      </w:r>
      <w:r w:rsidR="00B02FAB" w:rsidRPr="00ED093B">
        <w:rPr>
          <w:bCs/>
          <w:color w:val="auto"/>
        </w:rPr>
        <w:t>3 = full range of motion against gravity but no resistance</w:t>
      </w:r>
      <w:r w:rsidR="00D423F0" w:rsidRPr="00ED093B">
        <w:rPr>
          <w:bCs/>
          <w:color w:val="auto"/>
        </w:rPr>
        <w:t xml:space="preserve">; </w:t>
      </w:r>
      <w:r w:rsidR="00B02FAB" w:rsidRPr="00ED093B">
        <w:rPr>
          <w:bCs/>
          <w:color w:val="auto"/>
        </w:rPr>
        <w:t>4 = full range of motion against gravity and resistance but weaker than the other side</w:t>
      </w:r>
      <w:r w:rsidR="00D423F0" w:rsidRPr="00ED093B">
        <w:rPr>
          <w:bCs/>
          <w:color w:val="auto"/>
        </w:rPr>
        <w:t xml:space="preserve">; </w:t>
      </w:r>
      <w:r w:rsidR="00B02FAB" w:rsidRPr="00ED093B">
        <w:rPr>
          <w:bCs/>
          <w:color w:val="auto"/>
        </w:rPr>
        <w:t>5 = normal power</w:t>
      </w:r>
      <w:r w:rsidRPr="00ED093B">
        <w:rPr>
          <w:color w:val="auto"/>
        </w:rPr>
        <w:t>.</w:t>
      </w:r>
    </w:p>
    <w:p w14:paraId="1B3EBDB1" w14:textId="77777777" w:rsidR="00B02FAB" w:rsidRPr="00ED093B" w:rsidRDefault="00B02FAB" w:rsidP="00725D44">
      <w:pPr>
        <w:pStyle w:val="ListParagraph"/>
        <w:ind w:left="0"/>
        <w:rPr>
          <w:bCs/>
          <w:color w:val="auto"/>
        </w:rPr>
      </w:pPr>
    </w:p>
    <w:p w14:paraId="50FFDCEE" w14:textId="34E8F22F" w:rsidR="00B02FAB" w:rsidRPr="00ED093B" w:rsidRDefault="00B02FAB" w:rsidP="00725D44">
      <w:pPr>
        <w:pStyle w:val="ListParagraph"/>
        <w:numPr>
          <w:ilvl w:val="1"/>
          <w:numId w:val="30"/>
        </w:numPr>
        <w:rPr>
          <w:b/>
          <w:bCs/>
          <w:color w:val="auto"/>
          <w:highlight w:val="yellow"/>
        </w:rPr>
      </w:pPr>
      <w:r w:rsidRPr="00ED093B">
        <w:rPr>
          <w:bCs/>
          <w:color w:val="auto"/>
          <w:highlight w:val="yellow"/>
        </w:rPr>
        <w:t>To score shoulder abduction grades 4 or 5, place your hand over the patient</w:t>
      </w:r>
      <w:r w:rsidR="003E6B0F" w:rsidRPr="00ED093B">
        <w:rPr>
          <w:bCs/>
          <w:color w:val="auto"/>
        </w:rPr>
        <w:t>’s</w:t>
      </w:r>
      <w:r w:rsidRPr="00ED093B">
        <w:rPr>
          <w:bCs/>
          <w:color w:val="auto"/>
          <w:highlight w:val="yellow"/>
        </w:rPr>
        <w:t xml:space="preserve"> arm, proximal to the elbow and apply resistance. </w:t>
      </w:r>
    </w:p>
    <w:p w14:paraId="02CB880E" w14:textId="77777777" w:rsidR="00B02FAB" w:rsidRPr="00ED093B" w:rsidRDefault="00B02FAB" w:rsidP="00725D44">
      <w:pPr>
        <w:pStyle w:val="ListParagraph"/>
        <w:ind w:left="0"/>
        <w:rPr>
          <w:bCs/>
          <w:color w:val="auto"/>
        </w:rPr>
      </w:pPr>
    </w:p>
    <w:p w14:paraId="552F42A6" w14:textId="1C849A10" w:rsidR="00B02FAB" w:rsidRPr="00ED093B" w:rsidRDefault="00A76A40" w:rsidP="00725D44">
      <w:pPr>
        <w:pStyle w:val="ListParagraph"/>
        <w:ind w:left="0"/>
        <w:rPr>
          <w:b/>
          <w:bCs/>
          <w:color w:val="auto"/>
          <w:highlight w:val="yellow"/>
        </w:rPr>
      </w:pPr>
      <w:r w:rsidRPr="00ED093B">
        <w:rPr>
          <w:bCs/>
          <w:color w:val="auto"/>
        </w:rPr>
        <w:t>NOTE</w:t>
      </w:r>
      <w:r w:rsidR="00B02FAB" w:rsidRPr="00ED093B">
        <w:rPr>
          <w:bCs/>
          <w:color w:val="auto"/>
        </w:rPr>
        <w:t xml:space="preserve">: The patient must be able to achieve </w:t>
      </w:r>
      <w:r w:rsidR="00B02FAB" w:rsidRPr="00ED093B">
        <w:rPr>
          <w:bCs/>
          <w:i/>
          <w:color w:val="auto"/>
        </w:rPr>
        <w:t>full</w:t>
      </w:r>
      <w:r w:rsidR="00B02FAB" w:rsidRPr="00ED093B">
        <w:rPr>
          <w:bCs/>
          <w:color w:val="auto"/>
        </w:rPr>
        <w:t xml:space="preserve"> range of motion against resistance to be awarded a score of 4 or higher. </w:t>
      </w:r>
    </w:p>
    <w:p w14:paraId="111CB1AD" w14:textId="77777777" w:rsidR="00B02FAB" w:rsidRPr="00ED093B" w:rsidRDefault="00B02FAB" w:rsidP="00725D44">
      <w:pPr>
        <w:pStyle w:val="ListParagraph"/>
        <w:ind w:left="0"/>
        <w:rPr>
          <w:b/>
          <w:bCs/>
          <w:color w:val="auto"/>
          <w:highlight w:val="yellow"/>
        </w:rPr>
      </w:pPr>
    </w:p>
    <w:p w14:paraId="14D8FC63" w14:textId="77777777" w:rsidR="00B02FAB" w:rsidRPr="00ED093B" w:rsidRDefault="00B02FAB" w:rsidP="00725D44">
      <w:pPr>
        <w:pStyle w:val="ListParagraph"/>
        <w:numPr>
          <w:ilvl w:val="1"/>
          <w:numId w:val="30"/>
        </w:numPr>
        <w:rPr>
          <w:b/>
          <w:bCs/>
          <w:color w:val="auto"/>
          <w:highlight w:val="yellow"/>
        </w:rPr>
      </w:pPr>
      <w:r w:rsidRPr="00ED093B">
        <w:rPr>
          <w:bCs/>
          <w:color w:val="auto"/>
          <w:highlight w:val="yellow"/>
        </w:rPr>
        <w:t>Place the paretic forearm in pronation with the fingers fully flexed and provide support under the wrist.</w:t>
      </w:r>
      <w:r w:rsidRPr="00ED093B">
        <w:rPr>
          <w:bCs/>
          <w:color w:val="auto"/>
        </w:rPr>
        <w:t xml:space="preserve"> </w:t>
      </w:r>
    </w:p>
    <w:p w14:paraId="635720D4" w14:textId="77777777" w:rsidR="00B02FAB" w:rsidRPr="00ED093B" w:rsidRDefault="00B02FAB" w:rsidP="00725D44">
      <w:pPr>
        <w:pStyle w:val="ListParagraph"/>
        <w:ind w:left="0"/>
        <w:rPr>
          <w:bCs/>
          <w:color w:val="auto"/>
          <w:highlight w:val="yellow"/>
        </w:rPr>
      </w:pPr>
    </w:p>
    <w:p w14:paraId="3D138DA1" w14:textId="15638CD8" w:rsidR="00B02FAB" w:rsidRPr="00ED093B" w:rsidRDefault="00B02FAB" w:rsidP="00D423F0">
      <w:pPr>
        <w:pStyle w:val="ListParagraph"/>
        <w:numPr>
          <w:ilvl w:val="1"/>
          <w:numId w:val="30"/>
        </w:numPr>
        <w:rPr>
          <w:b/>
          <w:bCs/>
          <w:color w:val="auto"/>
          <w:highlight w:val="yellow"/>
        </w:rPr>
      </w:pPr>
      <w:r w:rsidRPr="00ED093B">
        <w:rPr>
          <w:bCs/>
          <w:color w:val="auto"/>
          <w:highlight w:val="yellow"/>
        </w:rPr>
        <w:t>Demonstrate finger extension.</w:t>
      </w:r>
      <w:r w:rsidR="00D423F0" w:rsidRPr="00ED093B">
        <w:rPr>
          <w:b/>
          <w:bCs/>
          <w:color w:val="auto"/>
          <w:highlight w:val="yellow"/>
        </w:rPr>
        <w:t xml:space="preserve"> </w:t>
      </w:r>
      <w:r w:rsidRPr="00ED093B">
        <w:rPr>
          <w:bCs/>
          <w:color w:val="auto"/>
          <w:highlight w:val="yellow"/>
        </w:rPr>
        <w:t>Ask the patient to straighten their fingers and use the Medical Research Council grades to score finger extension strength.</w:t>
      </w:r>
    </w:p>
    <w:p w14:paraId="322D270A" w14:textId="77777777" w:rsidR="00B02FAB" w:rsidRPr="00ED093B" w:rsidRDefault="00B02FAB" w:rsidP="00725D44">
      <w:pPr>
        <w:pStyle w:val="ListParagraph"/>
        <w:ind w:left="0"/>
        <w:rPr>
          <w:b/>
          <w:bCs/>
          <w:color w:val="auto"/>
          <w:highlight w:val="yellow"/>
        </w:rPr>
      </w:pPr>
    </w:p>
    <w:p w14:paraId="093F8467" w14:textId="0702BD33" w:rsidR="00B02FAB" w:rsidRPr="00ED093B" w:rsidRDefault="00B02FAB" w:rsidP="00725D44">
      <w:pPr>
        <w:pStyle w:val="ListParagraph"/>
        <w:numPr>
          <w:ilvl w:val="1"/>
          <w:numId w:val="30"/>
        </w:numPr>
        <w:rPr>
          <w:b/>
          <w:bCs/>
          <w:color w:val="auto"/>
        </w:rPr>
      </w:pPr>
      <w:r w:rsidRPr="00ED093B">
        <w:rPr>
          <w:color w:val="auto"/>
          <w:highlight w:val="yellow"/>
        </w:rPr>
        <w:t xml:space="preserve">To score finger extension grades 4 or 5, apply resistance over the dorsum of </w:t>
      </w:r>
      <w:r w:rsidR="00601C67" w:rsidRPr="00ED093B">
        <w:rPr>
          <w:color w:val="auto"/>
          <w:highlight w:val="yellow"/>
        </w:rPr>
        <w:t xml:space="preserve">the </w:t>
      </w:r>
      <w:r w:rsidRPr="00ED093B">
        <w:rPr>
          <w:color w:val="auto"/>
          <w:highlight w:val="yellow"/>
        </w:rPr>
        <w:t xml:space="preserve">fingers, distal to the metacarpophalangeal joints, throughout the movement. </w:t>
      </w:r>
    </w:p>
    <w:p w14:paraId="64C707C2" w14:textId="77777777" w:rsidR="00B02FAB" w:rsidRPr="00ED093B" w:rsidRDefault="00B02FAB" w:rsidP="00725D44">
      <w:pPr>
        <w:pStyle w:val="ListParagraph"/>
        <w:ind w:left="0"/>
        <w:rPr>
          <w:color w:val="auto"/>
        </w:rPr>
      </w:pPr>
    </w:p>
    <w:p w14:paraId="42817AFD" w14:textId="36A83D9B" w:rsidR="00B02FAB" w:rsidRPr="00ED093B" w:rsidRDefault="0029415A" w:rsidP="00725D44">
      <w:pPr>
        <w:pStyle w:val="ListParagraph"/>
        <w:ind w:left="0"/>
        <w:rPr>
          <w:b/>
          <w:bCs/>
          <w:color w:val="auto"/>
        </w:rPr>
      </w:pPr>
      <w:r w:rsidRPr="00ED093B">
        <w:rPr>
          <w:color w:val="auto"/>
        </w:rPr>
        <w:t>NOTE</w:t>
      </w:r>
      <w:r w:rsidR="00B02FAB" w:rsidRPr="00ED093B">
        <w:rPr>
          <w:color w:val="auto"/>
        </w:rPr>
        <w:t xml:space="preserve">: The patient must be able to achieve </w:t>
      </w:r>
      <w:r w:rsidR="00B02FAB" w:rsidRPr="00ED093B">
        <w:rPr>
          <w:i/>
          <w:color w:val="auto"/>
        </w:rPr>
        <w:t>full</w:t>
      </w:r>
      <w:r w:rsidR="00B02FAB" w:rsidRPr="00ED093B">
        <w:rPr>
          <w:color w:val="auto"/>
        </w:rPr>
        <w:t xml:space="preserve"> extension against resistance to be awarded a score of 4 or higher.</w:t>
      </w:r>
    </w:p>
    <w:p w14:paraId="7C5809C2" w14:textId="77777777" w:rsidR="00B02FAB" w:rsidRPr="00ED093B" w:rsidRDefault="00B02FAB" w:rsidP="00725D44">
      <w:pPr>
        <w:pStyle w:val="ListParagraph"/>
        <w:ind w:left="0"/>
        <w:rPr>
          <w:b/>
          <w:bCs/>
          <w:color w:val="auto"/>
          <w:highlight w:val="yellow"/>
        </w:rPr>
      </w:pPr>
    </w:p>
    <w:p w14:paraId="587B4D1D" w14:textId="77777777" w:rsidR="00B02FAB" w:rsidRPr="00ED093B" w:rsidRDefault="00B02FAB" w:rsidP="00725D44">
      <w:pPr>
        <w:pStyle w:val="ListParagraph"/>
        <w:numPr>
          <w:ilvl w:val="1"/>
          <w:numId w:val="30"/>
        </w:numPr>
        <w:rPr>
          <w:b/>
          <w:bCs/>
          <w:color w:val="auto"/>
          <w:highlight w:val="yellow"/>
        </w:rPr>
      </w:pPr>
      <w:r w:rsidRPr="00ED093B">
        <w:rPr>
          <w:color w:val="auto"/>
          <w:highlight w:val="yellow"/>
        </w:rPr>
        <w:t xml:space="preserve">To score fingers with unequal strength, use the majority rule. If three fingers have the same </w:t>
      </w:r>
      <w:r w:rsidRPr="00ED093B">
        <w:rPr>
          <w:color w:val="auto"/>
          <w:highlight w:val="yellow"/>
        </w:rPr>
        <w:lastRenderedPageBreak/>
        <w:t>score, use this score. If two fingers have a lower score than the other two fingers, use the lower score.</w:t>
      </w:r>
    </w:p>
    <w:p w14:paraId="0D4A3245" w14:textId="77777777" w:rsidR="00B02FAB" w:rsidRPr="00ED093B" w:rsidRDefault="00B02FAB" w:rsidP="00725D44">
      <w:pPr>
        <w:pStyle w:val="ListParagraph"/>
        <w:ind w:left="0"/>
        <w:rPr>
          <w:b/>
          <w:bCs/>
          <w:color w:val="auto"/>
        </w:rPr>
      </w:pPr>
    </w:p>
    <w:p w14:paraId="727747A5" w14:textId="0B6BBB23" w:rsidR="00B02FAB" w:rsidRPr="00ED093B" w:rsidRDefault="00B02FAB" w:rsidP="00725D44">
      <w:pPr>
        <w:pStyle w:val="ListParagraph"/>
        <w:numPr>
          <w:ilvl w:val="1"/>
          <w:numId w:val="30"/>
        </w:numPr>
        <w:rPr>
          <w:b/>
          <w:bCs/>
          <w:color w:val="auto"/>
          <w:highlight w:val="yellow"/>
        </w:rPr>
      </w:pPr>
      <w:r w:rsidRPr="00ED093B">
        <w:rPr>
          <w:color w:val="auto"/>
          <w:highlight w:val="yellow"/>
        </w:rPr>
        <w:t xml:space="preserve">Add the MRC grades for shoulder abduction and finger extension together for a SAFE score out of 10. </w:t>
      </w:r>
      <w:r w:rsidR="00A66082" w:rsidRPr="00ED093B">
        <w:rPr>
          <w:color w:val="auto"/>
          <w:highlight w:val="yellow"/>
        </w:rPr>
        <w:t xml:space="preserve">If the patient has a SAFE score of 5 or more on day 3 </w:t>
      </w:r>
      <w:r w:rsidR="00FF038C" w:rsidRPr="00ED093B">
        <w:rPr>
          <w:color w:val="auto"/>
          <w:highlight w:val="yellow"/>
        </w:rPr>
        <w:t>poststroke</w:t>
      </w:r>
      <w:r w:rsidR="00A66082" w:rsidRPr="00ED093B">
        <w:rPr>
          <w:color w:val="auto"/>
          <w:highlight w:val="yellow"/>
        </w:rPr>
        <w:t xml:space="preserve"> they can be assumed to have a functional corticospinal tract and TMS is not required. </w:t>
      </w:r>
      <w:r w:rsidRPr="00ED093B">
        <w:rPr>
          <w:color w:val="auto"/>
          <w:highlight w:val="yellow"/>
        </w:rPr>
        <w:t xml:space="preserve">If the patient has a SAFE score less than 5 on day 3 </w:t>
      </w:r>
      <w:r w:rsidR="00FF038C" w:rsidRPr="00ED093B">
        <w:rPr>
          <w:color w:val="auto"/>
          <w:highlight w:val="yellow"/>
        </w:rPr>
        <w:t>poststroke</w:t>
      </w:r>
      <w:r w:rsidRPr="00ED093B">
        <w:rPr>
          <w:color w:val="auto"/>
          <w:highlight w:val="yellow"/>
        </w:rPr>
        <w:t xml:space="preserve">, </w:t>
      </w:r>
      <w:r w:rsidR="00601C67" w:rsidRPr="00ED093B">
        <w:rPr>
          <w:color w:val="auto"/>
          <w:highlight w:val="yellow"/>
        </w:rPr>
        <w:t>TMS</w:t>
      </w:r>
      <w:r w:rsidRPr="00ED093B">
        <w:rPr>
          <w:color w:val="auto"/>
          <w:highlight w:val="yellow"/>
        </w:rPr>
        <w:t xml:space="preserve"> </w:t>
      </w:r>
      <w:r w:rsidR="00601C67" w:rsidRPr="00ED093B">
        <w:rPr>
          <w:color w:val="auto"/>
          <w:highlight w:val="yellow"/>
        </w:rPr>
        <w:t xml:space="preserve">is required </w:t>
      </w:r>
      <w:r w:rsidRPr="00ED093B">
        <w:rPr>
          <w:color w:val="auto"/>
          <w:highlight w:val="yellow"/>
        </w:rPr>
        <w:t xml:space="preserve">to determine </w:t>
      </w:r>
      <w:r w:rsidR="0029415A" w:rsidRPr="00ED093B">
        <w:rPr>
          <w:color w:val="auto"/>
          <w:highlight w:val="yellow"/>
        </w:rPr>
        <w:t xml:space="preserve">their </w:t>
      </w:r>
      <w:r w:rsidRPr="00ED093B">
        <w:rPr>
          <w:color w:val="auto"/>
          <w:highlight w:val="yellow"/>
        </w:rPr>
        <w:t xml:space="preserve">MEP status. </w:t>
      </w:r>
    </w:p>
    <w:p w14:paraId="65048930" w14:textId="77777777" w:rsidR="00B02FAB" w:rsidRPr="00ED093B" w:rsidRDefault="00B02FAB" w:rsidP="00725D44">
      <w:pPr>
        <w:pStyle w:val="ListParagraph"/>
        <w:ind w:left="0"/>
        <w:rPr>
          <w:b/>
          <w:bCs/>
          <w:color w:val="auto"/>
        </w:rPr>
      </w:pPr>
    </w:p>
    <w:p w14:paraId="7A0FE734" w14:textId="426DBD72" w:rsidR="00B02FAB" w:rsidRPr="00ED093B" w:rsidRDefault="00B02FAB" w:rsidP="00725D44">
      <w:pPr>
        <w:pStyle w:val="ListParagraph"/>
        <w:numPr>
          <w:ilvl w:val="0"/>
          <w:numId w:val="30"/>
        </w:numPr>
        <w:rPr>
          <w:b/>
          <w:bCs/>
          <w:color w:val="auto"/>
        </w:rPr>
      </w:pPr>
      <w:r w:rsidRPr="00ED093B">
        <w:rPr>
          <w:b/>
          <w:bCs/>
          <w:color w:val="auto"/>
        </w:rPr>
        <w:t xml:space="preserve">Transcranial </w:t>
      </w:r>
      <w:r w:rsidR="0029415A" w:rsidRPr="00ED093B">
        <w:rPr>
          <w:b/>
          <w:bCs/>
          <w:color w:val="auto"/>
        </w:rPr>
        <w:t xml:space="preserve">magnetic stimulation </w:t>
      </w:r>
      <w:r w:rsidRPr="00ED093B">
        <w:rPr>
          <w:b/>
          <w:bCs/>
          <w:color w:val="auto"/>
        </w:rPr>
        <w:t>(TMS)</w:t>
      </w:r>
    </w:p>
    <w:p w14:paraId="4F259DE4" w14:textId="77777777" w:rsidR="00B02FAB" w:rsidRPr="00ED093B" w:rsidRDefault="00B02FAB" w:rsidP="00725D44">
      <w:pPr>
        <w:pStyle w:val="ListParagraph"/>
        <w:ind w:left="0"/>
        <w:rPr>
          <w:b/>
          <w:bCs/>
          <w:color w:val="auto"/>
        </w:rPr>
      </w:pPr>
    </w:p>
    <w:p w14:paraId="71271229" w14:textId="77777777" w:rsidR="00B02FAB" w:rsidRPr="00ED093B" w:rsidRDefault="00A66082" w:rsidP="00725D44">
      <w:pPr>
        <w:pStyle w:val="ListParagraph"/>
        <w:numPr>
          <w:ilvl w:val="1"/>
          <w:numId w:val="30"/>
        </w:numPr>
        <w:rPr>
          <w:b/>
          <w:bCs/>
          <w:color w:val="auto"/>
        </w:rPr>
      </w:pPr>
      <w:r w:rsidRPr="00ED093B">
        <w:rPr>
          <w:color w:val="auto"/>
        </w:rPr>
        <w:t xml:space="preserve">Evaluate </w:t>
      </w:r>
      <w:r w:rsidR="00B02FAB" w:rsidRPr="00ED093B">
        <w:rPr>
          <w:color w:val="auto"/>
        </w:rPr>
        <w:t>patient suitability for TMS.</w:t>
      </w:r>
    </w:p>
    <w:p w14:paraId="02F0A30A" w14:textId="77777777" w:rsidR="00B02FAB" w:rsidRPr="00ED093B" w:rsidRDefault="00B02FAB" w:rsidP="00725D44">
      <w:pPr>
        <w:pStyle w:val="ListParagraph"/>
        <w:ind w:left="0"/>
        <w:rPr>
          <w:b/>
          <w:bCs/>
          <w:color w:val="auto"/>
        </w:rPr>
      </w:pPr>
    </w:p>
    <w:p w14:paraId="64AB58B9" w14:textId="3EF6F07A" w:rsidR="00B02FAB" w:rsidRPr="00ED093B" w:rsidRDefault="00B02FAB" w:rsidP="00725D44">
      <w:pPr>
        <w:pStyle w:val="ListParagraph"/>
        <w:numPr>
          <w:ilvl w:val="2"/>
          <w:numId w:val="30"/>
        </w:numPr>
        <w:rPr>
          <w:b/>
          <w:bCs/>
          <w:color w:val="auto"/>
        </w:rPr>
      </w:pPr>
      <w:r w:rsidRPr="00ED093B">
        <w:rPr>
          <w:color w:val="auto"/>
        </w:rPr>
        <w:t>Complete a TMS safety checklist</w:t>
      </w:r>
      <w:r w:rsidR="005714D8" w:rsidRPr="00ED093B">
        <w:rPr>
          <w:color w:val="auto"/>
        </w:rPr>
        <w:t xml:space="preserve"> with the patient</w:t>
      </w:r>
      <w:r w:rsidRPr="00ED093B">
        <w:rPr>
          <w:color w:val="auto"/>
        </w:rPr>
        <w:t xml:space="preserve"> to identify absolute and relative contraindications to TMS</w:t>
      </w:r>
      <w:r w:rsidRPr="00ED093B">
        <w:rPr>
          <w:noProof/>
          <w:color w:val="auto"/>
          <w:vertAlign w:val="superscript"/>
        </w:rPr>
        <w:t>24</w:t>
      </w:r>
      <w:r w:rsidR="0029415A" w:rsidRPr="00ED093B">
        <w:rPr>
          <w:color w:val="auto"/>
        </w:rPr>
        <w:t>.</w:t>
      </w:r>
      <w:r w:rsidRPr="00ED093B">
        <w:rPr>
          <w:color w:val="auto"/>
        </w:rPr>
        <w:t xml:space="preserve"> </w:t>
      </w:r>
    </w:p>
    <w:p w14:paraId="1C77A3DA" w14:textId="77777777" w:rsidR="00B02FAB" w:rsidRPr="00ED093B" w:rsidRDefault="00B02FAB" w:rsidP="00725D44">
      <w:pPr>
        <w:pStyle w:val="ListParagraph"/>
        <w:ind w:left="0"/>
        <w:rPr>
          <w:b/>
          <w:bCs/>
          <w:color w:val="auto"/>
        </w:rPr>
      </w:pPr>
    </w:p>
    <w:p w14:paraId="34D5A93A" w14:textId="1AD5592F" w:rsidR="00B02FAB" w:rsidRPr="00ED093B" w:rsidRDefault="0029415A" w:rsidP="00725D44">
      <w:pPr>
        <w:pStyle w:val="ListParagraph"/>
        <w:ind w:left="0"/>
        <w:rPr>
          <w:b/>
          <w:bCs/>
          <w:color w:val="auto"/>
        </w:rPr>
      </w:pPr>
      <w:r w:rsidRPr="00ED093B">
        <w:rPr>
          <w:color w:val="auto"/>
        </w:rPr>
        <w:t>NOTE</w:t>
      </w:r>
      <w:r w:rsidR="00B02FAB" w:rsidRPr="00ED093B">
        <w:rPr>
          <w:color w:val="auto"/>
        </w:rPr>
        <w:t>: This information should be gathered through patient and family interview and from the medical records. See representative results section for more detail.</w:t>
      </w:r>
    </w:p>
    <w:p w14:paraId="03C9F768" w14:textId="77777777" w:rsidR="00B02FAB" w:rsidRPr="00ED093B" w:rsidRDefault="00B02FAB" w:rsidP="00725D44">
      <w:pPr>
        <w:pStyle w:val="ListParagraph"/>
        <w:ind w:left="0"/>
        <w:rPr>
          <w:b/>
          <w:bCs/>
          <w:color w:val="auto"/>
        </w:rPr>
      </w:pPr>
    </w:p>
    <w:p w14:paraId="76250261" w14:textId="349BF9B3" w:rsidR="00B02FAB" w:rsidRPr="00ED093B" w:rsidRDefault="00B02FAB" w:rsidP="00725D44">
      <w:pPr>
        <w:pStyle w:val="ListParagraph"/>
        <w:numPr>
          <w:ilvl w:val="2"/>
          <w:numId w:val="30"/>
        </w:numPr>
        <w:rPr>
          <w:b/>
          <w:bCs/>
          <w:color w:val="auto"/>
        </w:rPr>
      </w:pPr>
      <w:r w:rsidRPr="00ED093B">
        <w:rPr>
          <w:color w:val="auto"/>
        </w:rPr>
        <w:t>Ask the patient</w:t>
      </w:r>
      <w:r w:rsidR="003E6B0F" w:rsidRPr="00ED093B">
        <w:rPr>
          <w:color w:val="auto"/>
        </w:rPr>
        <w:t>’s</w:t>
      </w:r>
      <w:r w:rsidRPr="00ED093B">
        <w:rPr>
          <w:color w:val="auto"/>
        </w:rPr>
        <w:t xml:space="preserve"> physician to review the TMS checklist and approve</w:t>
      </w:r>
      <w:r w:rsidR="00601C67" w:rsidRPr="00ED093B">
        <w:rPr>
          <w:color w:val="auto"/>
        </w:rPr>
        <w:t xml:space="preserve"> it</w:t>
      </w:r>
      <w:r w:rsidRPr="00ED093B">
        <w:rPr>
          <w:color w:val="auto"/>
        </w:rPr>
        <w:t xml:space="preserve"> if appropriate.</w:t>
      </w:r>
    </w:p>
    <w:p w14:paraId="04D94CE3" w14:textId="77777777" w:rsidR="00B02FAB" w:rsidRPr="00ED093B" w:rsidRDefault="00B02FAB" w:rsidP="00725D44">
      <w:pPr>
        <w:pStyle w:val="ListParagraph"/>
        <w:ind w:left="0"/>
        <w:rPr>
          <w:b/>
          <w:bCs/>
          <w:color w:val="auto"/>
        </w:rPr>
      </w:pPr>
    </w:p>
    <w:p w14:paraId="1F674781" w14:textId="22744C18" w:rsidR="00B02FAB" w:rsidRPr="00ED093B" w:rsidRDefault="00B02FAB" w:rsidP="00725D44">
      <w:pPr>
        <w:pStyle w:val="ListParagraph"/>
        <w:numPr>
          <w:ilvl w:val="2"/>
          <w:numId w:val="30"/>
        </w:numPr>
        <w:rPr>
          <w:b/>
          <w:bCs/>
          <w:color w:val="auto"/>
        </w:rPr>
      </w:pPr>
      <w:r w:rsidRPr="00ED093B">
        <w:rPr>
          <w:color w:val="auto"/>
        </w:rPr>
        <w:t>On the day of the TMS test, review the patient</w:t>
      </w:r>
      <w:r w:rsidR="003E6B0F" w:rsidRPr="00ED093B">
        <w:rPr>
          <w:color w:val="auto"/>
        </w:rPr>
        <w:t>’s</w:t>
      </w:r>
      <w:r w:rsidRPr="00ED093B">
        <w:rPr>
          <w:color w:val="auto"/>
        </w:rPr>
        <w:t xml:space="preserve"> medical status with the clinical team and the patient to ensure there </w:t>
      </w:r>
      <w:r w:rsidR="005714D8" w:rsidRPr="00ED093B">
        <w:rPr>
          <w:color w:val="auto"/>
        </w:rPr>
        <w:t xml:space="preserve">have been </w:t>
      </w:r>
      <w:r w:rsidRPr="00ED093B">
        <w:rPr>
          <w:color w:val="auto"/>
        </w:rPr>
        <w:t>no change</w:t>
      </w:r>
      <w:r w:rsidR="005714D8" w:rsidRPr="00ED093B">
        <w:rPr>
          <w:color w:val="auto"/>
        </w:rPr>
        <w:t>s</w:t>
      </w:r>
      <w:r w:rsidRPr="00ED093B">
        <w:rPr>
          <w:color w:val="auto"/>
        </w:rPr>
        <w:t xml:space="preserve"> since the checklist was signed. </w:t>
      </w:r>
    </w:p>
    <w:p w14:paraId="582EEBB1" w14:textId="77777777" w:rsidR="00B02FAB" w:rsidRPr="00ED093B" w:rsidRDefault="00B02FAB" w:rsidP="00725D44">
      <w:pPr>
        <w:pStyle w:val="ListParagraph"/>
        <w:ind w:left="0"/>
        <w:rPr>
          <w:color w:val="auto"/>
        </w:rPr>
      </w:pPr>
    </w:p>
    <w:p w14:paraId="1B14B840" w14:textId="7920D2EB" w:rsidR="00B02FAB" w:rsidRPr="00ED093B" w:rsidRDefault="0029415A" w:rsidP="00725D44">
      <w:pPr>
        <w:pStyle w:val="ListParagraph"/>
        <w:ind w:left="0"/>
        <w:rPr>
          <w:b/>
          <w:bCs/>
          <w:color w:val="auto"/>
        </w:rPr>
      </w:pPr>
      <w:r w:rsidRPr="00ED093B">
        <w:rPr>
          <w:color w:val="auto"/>
        </w:rPr>
        <w:t>NOTE</w:t>
      </w:r>
      <w:r w:rsidR="00B02FAB" w:rsidRPr="00ED093B">
        <w:rPr>
          <w:color w:val="auto"/>
        </w:rPr>
        <w:t>: Events to consider include fall with head injury, seizure</w:t>
      </w:r>
      <w:r w:rsidRPr="00ED093B">
        <w:rPr>
          <w:color w:val="auto"/>
        </w:rPr>
        <w:t>,</w:t>
      </w:r>
      <w:r w:rsidR="00B02FAB" w:rsidRPr="00ED093B">
        <w:rPr>
          <w:color w:val="auto"/>
        </w:rPr>
        <w:t xml:space="preserve"> </w:t>
      </w:r>
      <w:r w:rsidRPr="00ED093B">
        <w:rPr>
          <w:color w:val="auto"/>
        </w:rPr>
        <w:t xml:space="preserve">if the </w:t>
      </w:r>
      <w:r w:rsidR="00B02FAB" w:rsidRPr="00ED093B">
        <w:rPr>
          <w:color w:val="auto"/>
        </w:rPr>
        <w:t>patient has become medically unwell, is hypoglycemic</w:t>
      </w:r>
      <w:r w:rsidRPr="00ED093B">
        <w:rPr>
          <w:color w:val="auto"/>
        </w:rPr>
        <w:t>,</w:t>
      </w:r>
      <w:r w:rsidR="00B02FAB" w:rsidRPr="00ED093B">
        <w:rPr>
          <w:color w:val="auto"/>
        </w:rPr>
        <w:t xml:space="preserve"> or has unstable blood pressure. Ensure </w:t>
      </w:r>
      <w:r w:rsidRPr="00ED093B">
        <w:rPr>
          <w:color w:val="auto"/>
        </w:rPr>
        <w:t xml:space="preserve">the </w:t>
      </w:r>
      <w:r w:rsidR="00B02FAB" w:rsidRPr="00ED093B">
        <w:rPr>
          <w:color w:val="auto"/>
        </w:rPr>
        <w:t xml:space="preserve">patient has </w:t>
      </w:r>
      <w:r w:rsidRPr="00ED093B">
        <w:rPr>
          <w:color w:val="auto"/>
        </w:rPr>
        <w:t xml:space="preserve">taken </w:t>
      </w:r>
      <w:r w:rsidR="00B02FAB" w:rsidRPr="00ED093B">
        <w:rPr>
          <w:color w:val="auto"/>
        </w:rPr>
        <w:t>all prescribed medication prior to the test.</w:t>
      </w:r>
    </w:p>
    <w:p w14:paraId="04ED25A7" w14:textId="77777777" w:rsidR="00B02FAB" w:rsidRPr="00ED093B" w:rsidRDefault="00B02FAB" w:rsidP="00725D44">
      <w:pPr>
        <w:pStyle w:val="ListParagraph"/>
        <w:ind w:left="0"/>
        <w:rPr>
          <w:b/>
          <w:bCs/>
          <w:color w:val="auto"/>
          <w:highlight w:val="yellow"/>
        </w:rPr>
      </w:pPr>
    </w:p>
    <w:p w14:paraId="18CA2633" w14:textId="43D20360" w:rsidR="00B02FAB" w:rsidRPr="00ED093B" w:rsidRDefault="00B02FAB" w:rsidP="00725D44">
      <w:pPr>
        <w:pStyle w:val="ListParagraph"/>
        <w:numPr>
          <w:ilvl w:val="1"/>
          <w:numId w:val="30"/>
        </w:numPr>
        <w:rPr>
          <w:b/>
          <w:bCs/>
          <w:color w:val="auto"/>
          <w:highlight w:val="yellow"/>
        </w:rPr>
      </w:pPr>
      <w:bookmarkStart w:id="3" w:name="_Hlk19260385"/>
      <w:r w:rsidRPr="00ED093B">
        <w:rPr>
          <w:color w:val="auto"/>
          <w:highlight w:val="yellow"/>
        </w:rPr>
        <w:t xml:space="preserve"> </w:t>
      </w:r>
      <w:bookmarkEnd w:id="3"/>
      <w:r w:rsidRPr="00ED093B">
        <w:rPr>
          <w:color w:val="auto"/>
          <w:highlight w:val="yellow"/>
        </w:rPr>
        <w:t>Prepare the environment</w:t>
      </w:r>
      <w:r w:rsidR="0029415A" w:rsidRPr="00ED093B">
        <w:rPr>
          <w:color w:val="auto"/>
          <w:highlight w:val="yellow"/>
        </w:rPr>
        <w:t>.</w:t>
      </w:r>
    </w:p>
    <w:p w14:paraId="1E2844A7" w14:textId="77777777" w:rsidR="00B02FAB" w:rsidRPr="00ED093B" w:rsidRDefault="00B02FAB" w:rsidP="00725D44">
      <w:pPr>
        <w:pStyle w:val="ListParagraph"/>
        <w:ind w:left="0"/>
        <w:rPr>
          <w:b/>
          <w:bCs/>
          <w:color w:val="auto"/>
          <w:highlight w:val="yellow"/>
        </w:rPr>
      </w:pPr>
    </w:p>
    <w:p w14:paraId="6E65E48C" w14:textId="7D512DAA" w:rsidR="00B02FAB" w:rsidRPr="00ED093B" w:rsidRDefault="00B02FAB" w:rsidP="00D423F0">
      <w:pPr>
        <w:pStyle w:val="ListParagraph"/>
        <w:numPr>
          <w:ilvl w:val="2"/>
          <w:numId w:val="30"/>
        </w:numPr>
        <w:rPr>
          <w:b/>
          <w:bCs/>
          <w:color w:val="auto"/>
          <w:highlight w:val="yellow"/>
        </w:rPr>
      </w:pPr>
      <w:r w:rsidRPr="00ED093B">
        <w:rPr>
          <w:color w:val="auto"/>
          <w:highlight w:val="yellow"/>
        </w:rPr>
        <w:t>Remov</w:t>
      </w:r>
      <w:r w:rsidR="003B49C9" w:rsidRPr="00ED093B">
        <w:rPr>
          <w:color w:val="auto"/>
          <w:highlight w:val="yellow"/>
        </w:rPr>
        <w:t>e furniture from around the bed</w:t>
      </w:r>
      <w:r w:rsidR="00D423F0" w:rsidRPr="00ED093B">
        <w:rPr>
          <w:b/>
          <w:bCs/>
          <w:color w:val="auto"/>
          <w:highlight w:val="yellow"/>
        </w:rPr>
        <w:t xml:space="preserve">. </w:t>
      </w:r>
      <w:r w:rsidRPr="00ED093B">
        <w:rPr>
          <w:color w:val="auto"/>
          <w:highlight w:val="yellow"/>
        </w:rPr>
        <w:t>Move the bed away from the wall to allow space for the TMS unit</w:t>
      </w:r>
      <w:r w:rsidR="0029415A" w:rsidRPr="00ED093B">
        <w:rPr>
          <w:color w:val="auto"/>
          <w:highlight w:val="yellow"/>
        </w:rPr>
        <w:t>.</w:t>
      </w:r>
    </w:p>
    <w:p w14:paraId="55FDD26F" w14:textId="77777777" w:rsidR="00B02FAB" w:rsidRPr="00ED093B" w:rsidRDefault="00B02FAB" w:rsidP="00725D44">
      <w:pPr>
        <w:pStyle w:val="ListParagraph"/>
        <w:ind w:left="0"/>
        <w:rPr>
          <w:b/>
          <w:bCs/>
          <w:color w:val="auto"/>
          <w:highlight w:val="yellow"/>
        </w:rPr>
      </w:pPr>
    </w:p>
    <w:p w14:paraId="4C80E009" w14:textId="2866B490" w:rsidR="00B02FAB" w:rsidRPr="00ED093B" w:rsidRDefault="00B02FAB" w:rsidP="00D423F0">
      <w:pPr>
        <w:pStyle w:val="ListParagraph"/>
        <w:numPr>
          <w:ilvl w:val="2"/>
          <w:numId w:val="30"/>
        </w:numPr>
        <w:rPr>
          <w:color w:val="auto"/>
          <w:highlight w:val="yellow"/>
        </w:rPr>
      </w:pPr>
      <w:r w:rsidRPr="00ED093B">
        <w:rPr>
          <w:color w:val="auto"/>
          <w:highlight w:val="yellow"/>
        </w:rPr>
        <w:t>Place the TMS unit at the head of the bed towards the side opposite the paretic limb.</w:t>
      </w:r>
      <w:r w:rsidR="00D423F0" w:rsidRPr="00ED093B">
        <w:rPr>
          <w:color w:val="auto"/>
          <w:highlight w:val="yellow"/>
        </w:rPr>
        <w:t xml:space="preserve"> </w:t>
      </w:r>
      <w:r w:rsidRPr="00ED093B">
        <w:rPr>
          <w:color w:val="auto"/>
          <w:highlight w:val="yellow"/>
        </w:rPr>
        <w:t>Angle the TMS unit so that the person delivering TMS can easily see the screen.</w:t>
      </w:r>
    </w:p>
    <w:p w14:paraId="071FA672" w14:textId="77777777" w:rsidR="00B02FAB" w:rsidRPr="00ED093B" w:rsidRDefault="00B02FAB" w:rsidP="00725D44">
      <w:pPr>
        <w:pStyle w:val="ListParagraph"/>
        <w:ind w:left="0"/>
        <w:rPr>
          <w:b/>
          <w:bCs/>
          <w:color w:val="auto"/>
          <w:highlight w:val="yellow"/>
        </w:rPr>
      </w:pPr>
    </w:p>
    <w:p w14:paraId="6441097A" w14:textId="7B487DF9" w:rsidR="00B02FAB" w:rsidRPr="00ED093B" w:rsidRDefault="00B02FAB" w:rsidP="00725D44">
      <w:pPr>
        <w:pStyle w:val="ListParagraph"/>
        <w:numPr>
          <w:ilvl w:val="2"/>
          <w:numId w:val="30"/>
        </w:numPr>
        <w:rPr>
          <w:b/>
          <w:bCs/>
          <w:color w:val="auto"/>
        </w:rPr>
      </w:pPr>
      <w:r w:rsidRPr="00ED093B">
        <w:rPr>
          <w:color w:val="auto"/>
        </w:rPr>
        <w:t>Test the TMS setup to check it is working appropriately</w:t>
      </w:r>
      <w:r w:rsidR="0029415A" w:rsidRPr="00ED093B">
        <w:rPr>
          <w:color w:val="auto"/>
        </w:rPr>
        <w:t>.</w:t>
      </w:r>
    </w:p>
    <w:p w14:paraId="2E1571A7" w14:textId="77777777" w:rsidR="00B02FAB" w:rsidRPr="00ED093B" w:rsidRDefault="00B02FAB" w:rsidP="00725D44">
      <w:pPr>
        <w:pStyle w:val="ListParagraph"/>
        <w:ind w:left="0"/>
        <w:rPr>
          <w:b/>
          <w:bCs/>
          <w:color w:val="auto"/>
        </w:rPr>
      </w:pPr>
    </w:p>
    <w:p w14:paraId="07B5CF77" w14:textId="07E7D57D" w:rsidR="00B02FAB" w:rsidRPr="00ED093B" w:rsidRDefault="0029415A" w:rsidP="00725D44">
      <w:pPr>
        <w:rPr>
          <w:b/>
          <w:bCs/>
          <w:color w:val="auto"/>
        </w:rPr>
      </w:pPr>
      <w:r w:rsidRPr="00ED093B">
        <w:rPr>
          <w:bCs/>
          <w:color w:val="auto"/>
        </w:rPr>
        <w:t>NOTE</w:t>
      </w:r>
      <w:r w:rsidR="00B02FAB" w:rsidRPr="00ED093B">
        <w:rPr>
          <w:bCs/>
          <w:color w:val="auto"/>
        </w:rPr>
        <w:t xml:space="preserve">: This protocol uses a single-pulse TMS unit. The </w:t>
      </w:r>
      <w:r w:rsidR="00601C67" w:rsidRPr="00ED093B">
        <w:rPr>
          <w:color w:val="auto"/>
        </w:rPr>
        <w:t>electromyography (</w:t>
      </w:r>
      <w:r w:rsidR="00B02FAB" w:rsidRPr="00ED093B">
        <w:rPr>
          <w:bCs/>
          <w:color w:val="auto"/>
        </w:rPr>
        <w:t>EMG</w:t>
      </w:r>
      <w:r w:rsidR="00601C67" w:rsidRPr="00ED093B">
        <w:rPr>
          <w:bCs/>
          <w:color w:val="auto"/>
        </w:rPr>
        <w:t>)</w:t>
      </w:r>
      <w:r w:rsidR="00B02FAB" w:rsidRPr="00ED093B">
        <w:rPr>
          <w:bCs/>
          <w:color w:val="auto"/>
        </w:rPr>
        <w:t xml:space="preserve"> signal can be sampled at 2 kHz and filtered with 10 Hz high-pass and 1</w:t>
      </w:r>
      <w:r w:rsidRPr="00ED093B">
        <w:rPr>
          <w:bCs/>
          <w:color w:val="auto"/>
        </w:rPr>
        <w:t>,</w:t>
      </w:r>
      <w:r w:rsidR="00B02FAB" w:rsidRPr="00ED093B">
        <w:rPr>
          <w:bCs/>
          <w:color w:val="auto"/>
        </w:rPr>
        <w:t xml:space="preserve">000 Hz low-pass filters. The EMG equipment needs to be triggered by the TMS unit such that the EMG trace begins at least 50 </w:t>
      </w:r>
      <w:proofErr w:type="spellStart"/>
      <w:r w:rsidR="00B02FAB" w:rsidRPr="00ED093B">
        <w:rPr>
          <w:bCs/>
          <w:color w:val="auto"/>
        </w:rPr>
        <w:t>ms</w:t>
      </w:r>
      <w:proofErr w:type="spellEnd"/>
      <w:r w:rsidR="00B02FAB" w:rsidRPr="00ED093B">
        <w:rPr>
          <w:bCs/>
          <w:color w:val="auto"/>
        </w:rPr>
        <w:t xml:space="preserve"> prior to the TMS stimulus and ends at least 50 </w:t>
      </w:r>
      <w:proofErr w:type="spellStart"/>
      <w:r w:rsidR="00B02FAB" w:rsidRPr="00ED093B">
        <w:rPr>
          <w:bCs/>
          <w:color w:val="auto"/>
        </w:rPr>
        <w:t>ms</w:t>
      </w:r>
      <w:proofErr w:type="spellEnd"/>
      <w:r w:rsidR="00B02FAB" w:rsidRPr="00ED093B">
        <w:rPr>
          <w:bCs/>
          <w:color w:val="auto"/>
        </w:rPr>
        <w:t xml:space="preserve"> after the TMS stimulus.</w:t>
      </w:r>
    </w:p>
    <w:p w14:paraId="64E4B9C2" w14:textId="77777777" w:rsidR="00B02FAB" w:rsidRPr="00ED093B" w:rsidRDefault="00B02FAB" w:rsidP="00725D44">
      <w:pPr>
        <w:pStyle w:val="ListParagraph"/>
        <w:ind w:left="0"/>
        <w:rPr>
          <w:b/>
          <w:bCs/>
          <w:color w:val="auto"/>
        </w:rPr>
      </w:pPr>
    </w:p>
    <w:p w14:paraId="35B723CA" w14:textId="63F5DB7F" w:rsidR="00B02FAB" w:rsidRPr="00ED093B" w:rsidRDefault="00B02FAB" w:rsidP="00725D44">
      <w:pPr>
        <w:pStyle w:val="ListParagraph"/>
        <w:numPr>
          <w:ilvl w:val="2"/>
          <w:numId w:val="30"/>
        </w:numPr>
        <w:rPr>
          <w:b/>
          <w:bCs/>
          <w:color w:val="auto"/>
        </w:rPr>
      </w:pPr>
      <w:r w:rsidRPr="00ED093B">
        <w:rPr>
          <w:color w:val="auto"/>
        </w:rPr>
        <w:t xml:space="preserve">Ensure familiarity with the protocol </w:t>
      </w:r>
      <w:r w:rsidR="00BC1191" w:rsidRPr="00ED093B">
        <w:rPr>
          <w:color w:val="auto"/>
        </w:rPr>
        <w:t xml:space="preserve">in case </w:t>
      </w:r>
      <w:r w:rsidRPr="00ED093B">
        <w:rPr>
          <w:color w:val="auto"/>
        </w:rPr>
        <w:t>summoning emergency assistance in the TMS assessment room</w:t>
      </w:r>
      <w:r w:rsidR="00BC1191" w:rsidRPr="00ED093B">
        <w:rPr>
          <w:color w:val="auto"/>
        </w:rPr>
        <w:t xml:space="preserve"> is required</w:t>
      </w:r>
      <w:r w:rsidRPr="00ED093B">
        <w:rPr>
          <w:color w:val="auto"/>
        </w:rPr>
        <w:t>.</w:t>
      </w:r>
    </w:p>
    <w:p w14:paraId="4DE4CDD4" w14:textId="77777777" w:rsidR="00B02FAB" w:rsidRPr="00ED093B" w:rsidRDefault="00B02FAB" w:rsidP="00725D44">
      <w:pPr>
        <w:pStyle w:val="ListParagraph"/>
        <w:ind w:left="0"/>
        <w:rPr>
          <w:b/>
          <w:bCs/>
          <w:color w:val="auto"/>
          <w:highlight w:val="yellow"/>
        </w:rPr>
      </w:pPr>
    </w:p>
    <w:p w14:paraId="5DB928DD" w14:textId="1338E291" w:rsidR="00B02FAB" w:rsidRPr="00ED093B" w:rsidRDefault="00B02FAB" w:rsidP="00725D44">
      <w:pPr>
        <w:pStyle w:val="ListParagraph"/>
        <w:numPr>
          <w:ilvl w:val="1"/>
          <w:numId w:val="30"/>
        </w:numPr>
        <w:rPr>
          <w:color w:val="auto"/>
          <w:highlight w:val="yellow"/>
        </w:rPr>
      </w:pPr>
      <w:r w:rsidRPr="00ED093B">
        <w:rPr>
          <w:color w:val="auto"/>
          <w:highlight w:val="yellow"/>
        </w:rPr>
        <w:t>Prepare the patient</w:t>
      </w:r>
      <w:r w:rsidR="0029415A" w:rsidRPr="00ED093B">
        <w:rPr>
          <w:color w:val="auto"/>
        </w:rPr>
        <w:t>.</w:t>
      </w:r>
    </w:p>
    <w:p w14:paraId="236180E0" w14:textId="77777777" w:rsidR="00B02FAB" w:rsidRPr="00ED093B" w:rsidRDefault="00B02FAB" w:rsidP="00725D44">
      <w:pPr>
        <w:pStyle w:val="ListParagraph"/>
        <w:ind w:left="0"/>
        <w:rPr>
          <w:color w:val="auto"/>
          <w:highlight w:val="yellow"/>
        </w:rPr>
      </w:pPr>
    </w:p>
    <w:p w14:paraId="6E99DC00" w14:textId="7666F486" w:rsidR="00B02FAB" w:rsidRPr="00ED093B" w:rsidRDefault="00B02FAB" w:rsidP="00725D44">
      <w:pPr>
        <w:pStyle w:val="ListParagraph"/>
        <w:ind w:left="0"/>
        <w:rPr>
          <w:color w:val="auto"/>
        </w:rPr>
      </w:pPr>
      <w:r w:rsidRPr="00ED093B">
        <w:rPr>
          <w:color w:val="auto"/>
        </w:rPr>
        <w:t xml:space="preserve">Note: Patients with intravenous (IV) lines, nasogastric feeding, or low concentrations of supplementary oxygen via </w:t>
      </w:r>
      <w:r w:rsidR="0029415A" w:rsidRPr="00ED093B">
        <w:rPr>
          <w:color w:val="auto"/>
        </w:rPr>
        <w:t xml:space="preserve">a </w:t>
      </w:r>
      <w:r w:rsidRPr="00ED093B">
        <w:rPr>
          <w:color w:val="auto"/>
        </w:rPr>
        <w:t xml:space="preserve">nasal cannula can be tested with TMS </w:t>
      </w:r>
      <w:proofErr w:type="gramStart"/>
      <w:r w:rsidRPr="00ED093B">
        <w:rPr>
          <w:color w:val="auto"/>
        </w:rPr>
        <w:t xml:space="preserve">provided </w:t>
      </w:r>
      <w:r w:rsidR="0029415A" w:rsidRPr="00ED093B">
        <w:rPr>
          <w:color w:val="auto"/>
        </w:rPr>
        <w:t>that</w:t>
      </w:r>
      <w:proofErr w:type="gramEnd"/>
      <w:r w:rsidR="0029415A" w:rsidRPr="00ED093B">
        <w:rPr>
          <w:color w:val="auto"/>
        </w:rPr>
        <w:t xml:space="preserve"> </w:t>
      </w:r>
      <w:r w:rsidRPr="00ED093B">
        <w:rPr>
          <w:color w:val="auto"/>
        </w:rPr>
        <w:t>they are considered medically stable by the treating physician. Supplemental oxygen should continue throughout the TMS session. Suspending and disconnecting nasogastric feeding and non-essential fluids through IV lines will make it easier to conduct the TMS assessment.</w:t>
      </w:r>
    </w:p>
    <w:p w14:paraId="1F99E8E8" w14:textId="77777777" w:rsidR="00B02FAB" w:rsidRPr="00ED093B" w:rsidRDefault="00B02FAB" w:rsidP="00725D44">
      <w:pPr>
        <w:pStyle w:val="ListParagraph"/>
        <w:ind w:left="0"/>
        <w:rPr>
          <w:color w:val="auto"/>
          <w:highlight w:val="yellow"/>
        </w:rPr>
      </w:pPr>
    </w:p>
    <w:p w14:paraId="30BC19BC" w14:textId="0EE78D91" w:rsidR="00B02FAB" w:rsidRPr="00ED093B" w:rsidRDefault="00B02FAB" w:rsidP="00D423F0">
      <w:pPr>
        <w:pStyle w:val="ListParagraph"/>
        <w:numPr>
          <w:ilvl w:val="2"/>
          <w:numId w:val="30"/>
        </w:numPr>
        <w:rPr>
          <w:color w:val="auto"/>
          <w:highlight w:val="yellow"/>
        </w:rPr>
      </w:pPr>
      <w:r w:rsidRPr="00ED093B">
        <w:rPr>
          <w:color w:val="auto"/>
          <w:highlight w:val="yellow"/>
        </w:rPr>
        <w:t>Remove any clothing covering the arms.</w:t>
      </w:r>
      <w:r w:rsidR="00D423F0" w:rsidRPr="00ED093B">
        <w:rPr>
          <w:color w:val="auto"/>
          <w:highlight w:val="yellow"/>
        </w:rPr>
        <w:t xml:space="preserve"> </w:t>
      </w:r>
      <w:r w:rsidRPr="00ED093B">
        <w:rPr>
          <w:color w:val="auto"/>
          <w:highlight w:val="yellow"/>
        </w:rPr>
        <w:t xml:space="preserve">Remove any items covering the paretic wrist such as a watch or identification bracelet to enable </w:t>
      </w:r>
      <w:r w:rsidR="0029415A" w:rsidRPr="00ED093B">
        <w:rPr>
          <w:color w:val="auto"/>
          <w:highlight w:val="yellow"/>
        </w:rPr>
        <w:t xml:space="preserve">the </w:t>
      </w:r>
      <w:r w:rsidRPr="00ED093B">
        <w:rPr>
          <w:color w:val="auto"/>
          <w:highlight w:val="yellow"/>
        </w:rPr>
        <w:t xml:space="preserve">EMG electrode placement. </w:t>
      </w:r>
    </w:p>
    <w:p w14:paraId="3B341CDC" w14:textId="77777777" w:rsidR="00B02FAB" w:rsidRPr="00ED093B" w:rsidRDefault="00B02FAB" w:rsidP="00725D44">
      <w:pPr>
        <w:pStyle w:val="ListParagraph"/>
        <w:ind w:left="0"/>
        <w:rPr>
          <w:color w:val="auto"/>
        </w:rPr>
      </w:pPr>
    </w:p>
    <w:p w14:paraId="5943FC69" w14:textId="77777777" w:rsidR="00B02FAB" w:rsidRPr="00ED093B" w:rsidRDefault="00B02FAB" w:rsidP="00725D44">
      <w:pPr>
        <w:pStyle w:val="ListParagraph"/>
        <w:numPr>
          <w:ilvl w:val="2"/>
          <w:numId w:val="30"/>
        </w:numPr>
        <w:rPr>
          <w:color w:val="auto"/>
          <w:highlight w:val="yellow"/>
        </w:rPr>
      </w:pPr>
      <w:r w:rsidRPr="00ED093B">
        <w:rPr>
          <w:bCs/>
          <w:color w:val="auto"/>
          <w:highlight w:val="yellow"/>
        </w:rPr>
        <w:t>Position the paretic arm on a pillow with the forearm pronated and fully supported from the elbow to the hand.</w:t>
      </w:r>
    </w:p>
    <w:p w14:paraId="203735D8" w14:textId="77777777" w:rsidR="00B02FAB" w:rsidRPr="00ED093B" w:rsidRDefault="00B02FAB" w:rsidP="00725D44">
      <w:pPr>
        <w:pStyle w:val="ListParagraph"/>
        <w:ind w:left="0"/>
        <w:rPr>
          <w:color w:val="auto"/>
          <w:highlight w:val="yellow"/>
        </w:rPr>
      </w:pPr>
    </w:p>
    <w:p w14:paraId="4680CB42" w14:textId="4FB13276" w:rsidR="00B02FAB" w:rsidRPr="00ED093B" w:rsidRDefault="00B02FAB" w:rsidP="00D423F0">
      <w:pPr>
        <w:pStyle w:val="ListParagraph"/>
        <w:numPr>
          <w:ilvl w:val="2"/>
          <w:numId w:val="30"/>
        </w:numPr>
        <w:rPr>
          <w:color w:val="auto"/>
        </w:rPr>
      </w:pPr>
      <w:r w:rsidRPr="00ED093B">
        <w:rPr>
          <w:color w:val="auto"/>
          <w:highlight w:val="yellow"/>
        </w:rPr>
        <w:t xml:space="preserve">Palpate the paretic forearm to locate the muscle belly for </w:t>
      </w:r>
      <w:r w:rsidR="0029415A" w:rsidRPr="00ED093B">
        <w:rPr>
          <w:color w:val="auto"/>
          <w:highlight w:val="yellow"/>
        </w:rPr>
        <w:t xml:space="preserve">the </w:t>
      </w:r>
      <w:r w:rsidR="00BC1191" w:rsidRPr="00ED093B">
        <w:rPr>
          <w:color w:val="auto"/>
          <w:highlight w:val="yellow"/>
        </w:rPr>
        <w:t xml:space="preserve">extensor </w:t>
      </w:r>
      <w:r w:rsidRPr="00ED093B">
        <w:rPr>
          <w:color w:val="auto"/>
          <w:highlight w:val="yellow"/>
        </w:rPr>
        <w:t>carpi radial</w:t>
      </w:r>
      <w:r w:rsidR="0029415A" w:rsidRPr="00ED093B">
        <w:rPr>
          <w:color w:val="auto"/>
          <w:highlight w:val="yellow"/>
        </w:rPr>
        <w:t>i</w:t>
      </w:r>
      <w:r w:rsidRPr="00ED093B">
        <w:rPr>
          <w:color w:val="auto"/>
          <w:highlight w:val="yellow"/>
        </w:rPr>
        <w:t>s (ECR) muscle.</w:t>
      </w:r>
      <w:bookmarkStart w:id="4" w:name="_Hlk19268434"/>
      <w:r w:rsidR="00057FFC" w:rsidRPr="00ED093B">
        <w:rPr>
          <w:color w:val="auto"/>
          <w:highlight w:val="yellow"/>
        </w:rPr>
        <w:t xml:space="preserve"> </w:t>
      </w:r>
      <w:r w:rsidRPr="00ED093B">
        <w:rPr>
          <w:color w:val="auto"/>
          <w:highlight w:val="yellow"/>
        </w:rPr>
        <w:t>Identify positions for two surface EMG electrodes over the muscle belly, allowing for factors such as the position of IV cannula or dressings.</w:t>
      </w:r>
      <w:bookmarkEnd w:id="4"/>
      <w:r w:rsidR="00057FFC" w:rsidRPr="00ED093B">
        <w:rPr>
          <w:color w:val="auto"/>
        </w:rPr>
        <w:t xml:space="preserve"> </w:t>
      </w:r>
    </w:p>
    <w:p w14:paraId="56026DAE" w14:textId="77777777" w:rsidR="00B02FAB" w:rsidRPr="00ED093B" w:rsidRDefault="00B02FAB" w:rsidP="00725D44">
      <w:pPr>
        <w:pStyle w:val="ListParagraph"/>
        <w:ind w:left="0"/>
        <w:rPr>
          <w:color w:val="auto"/>
        </w:rPr>
      </w:pPr>
    </w:p>
    <w:p w14:paraId="363689B9" w14:textId="37549B8B" w:rsidR="00B02FAB" w:rsidRPr="00ED093B" w:rsidRDefault="00BC1191" w:rsidP="00725D44">
      <w:pPr>
        <w:pStyle w:val="ListParagraph"/>
        <w:ind w:left="0"/>
        <w:rPr>
          <w:color w:val="auto"/>
        </w:rPr>
      </w:pPr>
      <w:r w:rsidRPr="00ED093B">
        <w:rPr>
          <w:color w:val="auto"/>
        </w:rPr>
        <w:t>NOTE</w:t>
      </w:r>
      <w:r w:rsidR="00B02FAB" w:rsidRPr="00ED093B">
        <w:rPr>
          <w:color w:val="auto"/>
        </w:rPr>
        <w:t xml:space="preserve">: </w:t>
      </w:r>
      <w:r w:rsidR="0029415A" w:rsidRPr="00ED093B">
        <w:rPr>
          <w:color w:val="auto"/>
        </w:rPr>
        <w:t xml:space="preserve">It </w:t>
      </w:r>
      <w:r w:rsidR="00B02FAB" w:rsidRPr="00ED093B">
        <w:rPr>
          <w:color w:val="auto"/>
        </w:rPr>
        <w:t xml:space="preserve">is essential that at least one electrode is positioned over the muscle belly. This may require discussion with </w:t>
      </w:r>
      <w:r w:rsidR="00231FCB" w:rsidRPr="00ED093B">
        <w:rPr>
          <w:color w:val="auto"/>
        </w:rPr>
        <w:t xml:space="preserve">the </w:t>
      </w:r>
      <w:r w:rsidR="00B02FAB" w:rsidRPr="00ED093B">
        <w:rPr>
          <w:color w:val="auto"/>
        </w:rPr>
        <w:t>nursing staff about repositioning dressings before the test if possible.</w:t>
      </w:r>
    </w:p>
    <w:p w14:paraId="654E4C0E" w14:textId="77777777" w:rsidR="00B02FAB" w:rsidRPr="00ED093B" w:rsidRDefault="00B02FAB" w:rsidP="00725D44">
      <w:pPr>
        <w:pStyle w:val="ListParagraph"/>
        <w:ind w:left="0"/>
        <w:rPr>
          <w:color w:val="auto"/>
        </w:rPr>
      </w:pPr>
    </w:p>
    <w:p w14:paraId="53CA7715" w14:textId="5BE9C237" w:rsidR="00B02FAB" w:rsidRPr="00ED093B" w:rsidRDefault="00B02FAB" w:rsidP="00D423F0">
      <w:pPr>
        <w:pStyle w:val="ListParagraph"/>
        <w:numPr>
          <w:ilvl w:val="2"/>
          <w:numId w:val="30"/>
        </w:numPr>
        <w:rPr>
          <w:color w:val="auto"/>
          <w:highlight w:val="yellow"/>
        </w:rPr>
      </w:pPr>
      <w:r w:rsidRPr="00ED093B">
        <w:rPr>
          <w:color w:val="auto"/>
          <w:highlight w:val="yellow"/>
        </w:rPr>
        <w:t>Clean the skin at each electrode site with an alcohol skin-cleansing wipe.</w:t>
      </w:r>
      <w:r w:rsidR="00D423F0" w:rsidRPr="00ED093B">
        <w:rPr>
          <w:color w:val="auto"/>
          <w:highlight w:val="yellow"/>
        </w:rPr>
        <w:t xml:space="preserve"> </w:t>
      </w:r>
      <w:r w:rsidRPr="00ED093B">
        <w:rPr>
          <w:color w:val="auto"/>
          <w:highlight w:val="yellow"/>
        </w:rPr>
        <w:t>Shave each electrode site to remove any hair.</w:t>
      </w:r>
      <w:r w:rsidR="00D423F0" w:rsidRPr="00ED093B">
        <w:rPr>
          <w:color w:val="auto"/>
          <w:highlight w:val="yellow"/>
        </w:rPr>
        <w:t xml:space="preserve"> </w:t>
      </w:r>
      <w:r w:rsidRPr="00ED093B">
        <w:rPr>
          <w:color w:val="auto"/>
          <w:highlight w:val="yellow"/>
        </w:rPr>
        <w:t>Lightly abrade the electrode sites with an abrasive cream or tape. Take care with patients who have fragile skin and avoid any areas of broken skin</w:t>
      </w:r>
      <w:r w:rsidRPr="00ED093B">
        <w:rPr>
          <w:color w:val="auto"/>
        </w:rPr>
        <w:t>.</w:t>
      </w:r>
    </w:p>
    <w:p w14:paraId="194748B5" w14:textId="77777777" w:rsidR="00B02FAB" w:rsidRPr="00ED093B" w:rsidRDefault="00B02FAB" w:rsidP="00725D44">
      <w:pPr>
        <w:pStyle w:val="ListParagraph"/>
        <w:ind w:left="0"/>
        <w:rPr>
          <w:color w:val="auto"/>
        </w:rPr>
      </w:pPr>
    </w:p>
    <w:p w14:paraId="5EBD06B1" w14:textId="77777777" w:rsidR="00B02FAB" w:rsidRPr="00ED093B" w:rsidRDefault="00B02FAB" w:rsidP="00725D44">
      <w:pPr>
        <w:pStyle w:val="ListParagraph"/>
        <w:numPr>
          <w:ilvl w:val="2"/>
          <w:numId w:val="30"/>
        </w:numPr>
        <w:rPr>
          <w:bCs/>
          <w:color w:val="auto"/>
          <w:highlight w:val="yellow"/>
        </w:rPr>
      </w:pPr>
      <w:r w:rsidRPr="00ED093B">
        <w:rPr>
          <w:bCs/>
          <w:color w:val="auto"/>
          <w:highlight w:val="yellow"/>
        </w:rPr>
        <w:t xml:space="preserve">Securely apply self-adhesive disposable recording electrodes to each site. </w:t>
      </w:r>
    </w:p>
    <w:p w14:paraId="14B6A452" w14:textId="77777777" w:rsidR="00B02FAB" w:rsidRPr="00ED093B" w:rsidRDefault="00B02FAB" w:rsidP="00725D44">
      <w:pPr>
        <w:pStyle w:val="ListParagraph"/>
        <w:ind w:left="0"/>
        <w:rPr>
          <w:bCs/>
          <w:color w:val="auto"/>
          <w:highlight w:val="yellow"/>
        </w:rPr>
      </w:pPr>
    </w:p>
    <w:p w14:paraId="3DCAA678" w14:textId="77777777" w:rsidR="00B02FAB" w:rsidRPr="00ED093B" w:rsidRDefault="00B02FAB" w:rsidP="00725D44">
      <w:pPr>
        <w:pStyle w:val="ListParagraph"/>
        <w:numPr>
          <w:ilvl w:val="2"/>
          <w:numId w:val="30"/>
        </w:numPr>
        <w:rPr>
          <w:color w:val="auto"/>
          <w:highlight w:val="yellow"/>
        </w:rPr>
      </w:pPr>
      <w:r w:rsidRPr="00ED093B">
        <w:rPr>
          <w:color w:val="auto"/>
          <w:highlight w:val="yellow"/>
        </w:rPr>
        <w:t>Locate the electrode sites for the first dorsal interosseus muscle (FDI). One electrode will be placed on the FDI muscle belly and one on the dorsum of the hand.</w:t>
      </w:r>
      <w:r w:rsidRPr="00ED093B">
        <w:rPr>
          <w:bCs/>
          <w:color w:val="auto"/>
        </w:rPr>
        <w:t xml:space="preserve"> </w:t>
      </w:r>
    </w:p>
    <w:p w14:paraId="22612AC7" w14:textId="77777777" w:rsidR="00B02FAB" w:rsidRPr="00ED093B" w:rsidRDefault="00B02FAB" w:rsidP="00725D44">
      <w:pPr>
        <w:pStyle w:val="ListParagraph"/>
        <w:ind w:left="0"/>
        <w:rPr>
          <w:bCs/>
          <w:color w:val="auto"/>
        </w:rPr>
      </w:pPr>
    </w:p>
    <w:p w14:paraId="04B2DE53" w14:textId="1CF24E50" w:rsidR="00B02FAB" w:rsidRPr="00ED093B" w:rsidRDefault="008D283E" w:rsidP="00725D44">
      <w:pPr>
        <w:pStyle w:val="ListParagraph"/>
        <w:ind w:left="0"/>
        <w:rPr>
          <w:color w:val="auto"/>
          <w:highlight w:val="yellow"/>
        </w:rPr>
      </w:pPr>
      <w:r w:rsidRPr="00ED093B">
        <w:rPr>
          <w:bCs/>
          <w:color w:val="auto"/>
        </w:rPr>
        <w:t>NOTE</w:t>
      </w:r>
      <w:r w:rsidR="00B02FAB" w:rsidRPr="00ED093B">
        <w:rPr>
          <w:bCs/>
          <w:color w:val="auto"/>
        </w:rPr>
        <w:t xml:space="preserve">: </w:t>
      </w:r>
      <w:r w:rsidR="00B02FAB" w:rsidRPr="00ED093B">
        <w:rPr>
          <w:color w:val="auto"/>
        </w:rPr>
        <w:t xml:space="preserve">Electrode placement may vary depending on patient factors such as the position of </w:t>
      </w:r>
      <w:r w:rsidR="00467041" w:rsidRPr="00ED093B">
        <w:rPr>
          <w:color w:val="auto"/>
        </w:rPr>
        <w:t xml:space="preserve">an </w:t>
      </w:r>
      <w:r w:rsidR="00B02FAB" w:rsidRPr="00ED093B">
        <w:rPr>
          <w:color w:val="auto"/>
        </w:rPr>
        <w:t xml:space="preserve">IV cannula or dressings. </w:t>
      </w:r>
    </w:p>
    <w:p w14:paraId="5D07DB4F" w14:textId="77777777" w:rsidR="00B02FAB" w:rsidRPr="00ED093B" w:rsidRDefault="00B02FAB" w:rsidP="00725D44">
      <w:pPr>
        <w:pStyle w:val="ListParagraph"/>
        <w:ind w:left="0"/>
        <w:rPr>
          <w:color w:val="auto"/>
          <w:highlight w:val="yellow"/>
        </w:rPr>
      </w:pPr>
    </w:p>
    <w:p w14:paraId="02E6E39A" w14:textId="1E72B05D" w:rsidR="00B02FAB" w:rsidRPr="00ED093B" w:rsidRDefault="00B02FAB" w:rsidP="00D423F0">
      <w:pPr>
        <w:pStyle w:val="ListParagraph"/>
        <w:numPr>
          <w:ilvl w:val="2"/>
          <w:numId w:val="30"/>
        </w:numPr>
        <w:rPr>
          <w:color w:val="auto"/>
          <w:highlight w:val="yellow"/>
        </w:rPr>
      </w:pPr>
      <w:r w:rsidRPr="00ED093B">
        <w:rPr>
          <w:color w:val="auto"/>
          <w:highlight w:val="yellow"/>
        </w:rPr>
        <w:t>Prepare the skin and apply the self-adhesive recording electrodes as previously described</w:t>
      </w:r>
      <w:r w:rsidR="001C53F5" w:rsidRPr="00ED093B">
        <w:rPr>
          <w:color w:val="auto"/>
          <w:highlight w:val="yellow"/>
        </w:rPr>
        <w:t>.</w:t>
      </w:r>
      <w:r w:rsidRPr="00ED093B">
        <w:rPr>
          <w:color w:val="auto"/>
          <w:highlight w:val="yellow"/>
        </w:rPr>
        <w:t xml:space="preserve"> Place the reference electrode strap around the arm just proximal to the elbow. Alternatively, prepare the skin and place a self-adhesive reference electrode over the lateral epicondyle of the </w:t>
      </w:r>
      <w:proofErr w:type="spellStart"/>
      <w:r w:rsidRPr="00ED093B">
        <w:rPr>
          <w:color w:val="auto"/>
          <w:highlight w:val="yellow"/>
        </w:rPr>
        <w:t>humerus</w:t>
      </w:r>
      <w:proofErr w:type="spellEnd"/>
      <w:r w:rsidRPr="00ED093B">
        <w:rPr>
          <w:color w:val="auto"/>
          <w:highlight w:val="yellow"/>
        </w:rPr>
        <w:t>.</w:t>
      </w:r>
    </w:p>
    <w:p w14:paraId="6EB63D38" w14:textId="77777777" w:rsidR="00B02FAB" w:rsidRPr="00ED093B" w:rsidRDefault="00B02FAB" w:rsidP="00725D44">
      <w:pPr>
        <w:pStyle w:val="ListParagraph"/>
        <w:ind w:left="0"/>
        <w:rPr>
          <w:b/>
          <w:bCs/>
          <w:color w:val="auto"/>
          <w:highlight w:val="yellow"/>
        </w:rPr>
      </w:pPr>
    </w:p>
    <w:p w14:paraId="770D7175" w14:textId="31CCA0A8" w:rsidR="00D423F0" w:rsidRPr="00ED093B" w:rsidRDefault="00B02FAB" w:rsidP="00D423F0">
      <w:pPr>
        <w:pStyle w:val="ListParagraph"/>
        <w:numPr>
          <w:ilvl w:val="1"/>
          <w:numId w:val="30"/>
        </w:numPr>
        <w:rPr>
          <w:bCs/>
          <w:color w:val="auto"/>
          <w:highlight w:val="yellow"/>
        </w:rPr>
      </w:pPr>
      <w:r w:rsidRPr="00ED093B">
        <w:rPr>
          <w:bCs/>
          <w:color w:val="auto"/>
          <w:highlight w:val="yellow"/>
        </w:rPr>
        <w:t>Position the patient in bed for the test</w:t>
      </w:r>
      <w:r w:rsidR="001C53F5" w:rsidRPr="00ED093B">
        <w:rPr>
          <w:bCs/>
          <w:color w:val="auto"/>
          <w:highlight w:val="yellow"/>
        </w:rPr>
        <w:t>.</w:t>
      </w:r>
      <w:r w:rsidR="00D423F0" w:rsidRPr="00ED093B">
        <w:rPr>
          <w:bCs/>
          <w:color w:val="auto"/>
          <w:highlight w:val="yellow"/>
        </w:rPr>
        <w:t xml:space="preserve"> </w:t>
      </w:r>
    </w:p>
    <w:p w14:paraId="1C11EC65" w14:textId="77777777" w:rsidR="00D423F0" w:rsidRPr="00ED093B" w:rsidRDefault="00D423F0" w:rsidP="00D423F0">
      <w:pPr>
        <w:pStyle w:val="ListParagraph"/>
        <w:ind w:left="0"/>
        <w:rPr>
          <w:bCs/>
          <w:color w:val="auto"/>
          <w:highlight w:val="yellow"/>
        </w:rPr>
      </w:pPr>
    </w:p>
    <w:p w14:paraId="7CBF5EEF" w14:textId="4032C71D" w:rsidR="00B02FAB" w:rsidRPr="00ED093B" w:rsidRDefault="00B02FAB" w:rsidP="00D423F0">
      <w:pPr>
        <w:pStyle w:val="ListParagraph"/>
        <w:numPr>
          <w:ilvl w:val="2"/>
          <w:numId w:val="30"/>
        </w:numPr>
        <w:rPr>
          <w:bCs/>
          <w:color w:val="auto"/>
          <w:highlight w:val="yellow"/>
        </w:rPr>
      </w:pPr>
      <w:r w:rsidRPr="00ED093B">
        <w:rPr>
          <w:bCs/>
          <w:color w:val="auto"/>
          <w:highlight w:val="yellow"/>
        </w:rPr>
        <w:t>Lower the bed rails.</w:t>
      </w:r>
      <w:r w:rsidR="00D423F0" w:rsidRPr="00ED093B">
        <w:rPr>
          <w:bCs/>
          <w:color w:val="auto"/>
          <w:highlight w:val="yellow"/>
        </w:rPr>
        <w:t xml:space="preserve"> </w:t>
      </w:r>
      <w:r w:rsidRPr="00ED093B">
        <w:rPr>
          <w:bCs/>
          <w:color w:val="auto"/>
          <w:highlight w:val="yellow"/>
        </w:rPr>
        <w:t xml:space="preserve">Move the patient as high up the bed as possible and towards the edge of the bed on the non-paretic side. </w:t>
      </w:r>
    </w:p>
    <w:p w14:paraId="54A9FBF9" w14:textId="77777777" w:rsidR="00B02FAB" w:rsidRPr="00ED093B" w:rsidRDefault="00B02FAB" w:rsidP="00725D44">
      <w:pPr>
        <w:pStyle w:val="ListParagraph"/>
        <w:ind w:left="0"/>
        <w:rPr>
          <w:bCs/>
          <w:color w:val="auto"/>
        </w:rPr>
      </w:pPr>
    </w:p>
    <w:p w14:paraId="183450C2" w14:textId="420D4617" w:rsidR="00B02FAB" w:rsidRPr="00ED093B" w:rsidRDefault="008765DB" w:rsidP="00725D44">
      <w:pPr>
        <w:pStyle w:val="ListParagraph"/>
        <w:ind w:left="0"/>
        <w:rPr>
          <w:bCs/>
          <w:color w:val="auto"/>
          <w:highlight w:val="yellow"/>
        </w:rPr>
      </w:pPr>
      <w:r w:rsidRPr="00ED093B">
        <w:rPr>
          <w:bCs/>
          <w:color w:val="auto"/>
        </w:rPr>
        <w:lastRenderedPageBreak/>
        <w:t>NOTE</w:t>
      </w:r>
      <w:r w:rsidR="00B02FAB" w:rsidRPr="00ED093B">
        <w:rPr>
          <w:bCs/>
          <w:color w:val="auto"/>
        </w:rPr>
        <w:t>: The patient should only be moved by trained staff.</w:t>
      </w:r>
    </w:p>
    <w:p w14:paraId="2A0AD907" w14:textId="77777777" w:rsidR="00B02FAB" w:rsidRPr="00ED093B" w:rsidRDefault="00B02FAB" w:rsidP="00725D44">
      <w:pPr>
        <w:pStyle w:val="ListParagraph"/>
        <w:ind w:left="0"/>
        <w:rPr>
          <w:bCs/>
          <w:color w:val="auto"/>
          <w:highlight w:val="yellow"/>
        </w:rPr>
      </w:pPr>
    </w:p>
    <w:p w14:paraId="6EDEE1D4" w14:textId="123C1D5C" w:rsidR="00B02FAB" w:rsidRPr="00ED093B" w:rsidRDefault="00B02FAB" w:rsidP="00D423F0">
      <w:pPr>
        <w:pStyle w:val="ListParagraph"/>
        <w:numPr>
          <w:ilvl w:val="2"/>
          <w:numId w:val="30"/>
        </w:numPr>
        <w:rPr>
          <w:bCs/>
          <w:color w:val="auto"/>
          <w:highlight w:val="yellow"/>
        </w:rPr>
      </w:pPr>
      <w:r w:rsidRPr="00ED093B">
        <w:rPr>
          <w:bCs/>
          <w:color w:val="auto"/>
          <w:highlight w:val="yellow"/>
        </w:rPr>
        <w:t>Put the bed rail back up on the paretic side for safety.</w:t>
      </w:r>
      <w:r w:rsidR="00D423F0" w:rsidRPr="00ED093B">
        <w:rPr>
          <w:bCs/>
          <w:color w:val="auto"/>
          <w:highlight w:val="yellow"/>
        </w:rPr>
        <w:t xml:space="preserve"> </w:t>
      </w:r>
      <w:r w:rsidRPr="00ED093B">
        <w:rPr>
          <w:bCs/>
          <w:color w:val="auto"/>
          <w:highlight w:val="yellow"/>
        </w:rPr>
        <w:t xml:space="preserve">Remove the headboard of the bed if possible and remove any unused IV poles attached to the bed </w:t>
      </w:r>
      <w:r w:rsidR="008765DB" w:rsidRPr="00ED093B">
        <w:rPr>
          <w:bCs/>
          <w:color w:val="auto"/>
          <w:highlight w:val="yellow"/>
        </w:rPr>
        <w:t xml:space="preserve">that </w:t>
      </w:r>
      <w:r w:rsidRPr="00ED093B">
        <w:rPr>
          <w:bCs/>
          <w:color w:val="auto"/>
          <w:highlight w:val="yellow"/>
        </w:rPr>
        <w:t>may obstruct the coil position.</w:t>
      </w:r>
    </w:p>
    <w:p w14:paraId="778A64C5" w14:textId="77777777" w:rsidR="00B02FAB" w:rsidRPr="00ED093B" w:rsidRDefault="00B02FAB" w:rsidP="00725D44">
      <w:pPr>
        <w:pStyle w:val="ListParagraph"/>
        <w:ind w:left="0"/>
        <w:rPr>
          <w:bCs/>
          <w:color w:val="auto"/>
          <w:highlight w:val="yellow"/>
        </w:rPr>
      </w:pPr>
    </w:p>
    <w:p w14:paraId="65D8EB8E" w14:textId="7F771214" w:rsidR="00B02FAB" w:rsidRPr="00ED093B" w:rsidRDefault="00B02FAB" w:rsidP="00D423F0">
      <w:pPr>
        <w:pStyle w:val="ListParagraph"/>
        <w:numPr>
          <w:ilvl w:val="2"/>
          <w:numId w:val="30"/>
        </w:numPr>
        <w:rPr>
          <w:bCs/>
          <w:color w:val="auto"/>
          <w:highlight w:val="yellow"/>
        </w:rPr>
      </w:pPr>
      <w:r w:rsidRPr="00ED093B">
        <w:rPr>
          <w:bCs/>
          <w:color w:val="auto"/>
          <w:highlight w:val="yellow"/>
        </w:rPr>
        <w:t>Raise the head of the bed as high as possible.</w:t>
      </w:r>
      <w:r w:rsidR="00D423F0" w:rsidRPr="00ED093B">
        <w:rPr>
          <w:bCs/>
          <w:color w:val="auto"/>
          <w:highlight w:val="yellow"/>
        </w:rPr>
        <w:t xml:space="preserve"> </w:t>
      </w:r>
      <w:r w:rsidRPr="00ED093B">
        <w:rPr>
          <w:bCs/>
          <w:color w:val="auto"/>
          <w:highlight w:val="yellow"/>
        </w:rPr>
        <w:t>Position pillows behind the patient</w:t>
      </w:r>
      <w:r w:rsidR="003E6B0F" w:rsidRPr="00ED093B">
        <w:rPr>
          <w:bCs/>
          <w:color w:val="auto"/>
        </w:rPr>
        <w:t>’s</w:t>
      </w:r>
      <w:r w:rsidRPr="00ED093B">
        <w:rPr>
          <w:bCs/>
          <w:color w:val="auto"/>
          <w:highlight w:val="yellow"/>
        </w:rPr>
        <w:t xml:space="preserve"> back to bring them into </w:t>
      </w:r>
      <w:r w:rsidR="008765DB" w:rsidRPr="00ED093B">
        <w:rPr>
          <w:bCs/>
          <w:color w:val="auto"/>
          <w:highlight w:val="yellow"/>
        </w:rPr>
        <w:t xml:space="preserve">an </w:t>
      </w:r>
      <w:r w:rsidRPr="00ED093B">
        <w:rPr>
          <w:bCs/>
          <w:color w:val="auto"/>
          <w:highlight w:val="yellow"/>
        </w:rPr>
        <w:t xml:space="preserve">upright sitting </w:t>
      </w:r>
      <w:r w:rsidR="008765DB" w:rsidRPr="00ED093B">
        <w:rPr>
          <w:bCs/>
          <w:color w:val="auto"/>
          <w:highlight w:val="yellow"/>
        </w:rPr>
        <w:t xml:space="preserve">position </w:t>
      </w:r>
      <w:r w:rsidRPr="00ED093B">
        <w:rPr>
          <w:bCs/>
          <w:color w:val="auto"/>
          <w:highlight w:val="yellow"/>
        </w:rPr>
        <w:t>without their head contacting the bed. Do not put a pillow behind the head.</w:t>
      </w:r>
      <w:r w:rsidR="00D423F0" w:rsidRPr="00ED093B">
        <w:rPr>
          <w:bCs/>
          <w:color w:val="auto"/>
          <w:highlight w:val="yellow"/>
        </w:rPr>
        <w:t xml:space="preserve"> </w:t>
      </w:r>
      <w:r w:rsidRPr="00ED093B">
        <w:rPr>
          <w:bCs/>
          <w:color w:val="auto"/>
          <w:highlight w:val="yellow"/>
        </w:rPr>
        <w:t xml:space="preserve">If possible, raise the knees to prevent the patient </w:t>
      </w:r>
      <w:r w:rsidR="00336E5D" w:rsidRPr="00ED093B">
        <w:rPr>
          <w:bCs/>
          <w:color w:val="auto"/>
          <w:highlight w:val="yellow"/>
        </w:rPr>
        <w:t xml:space="preserve">from </w:t>
      </w:r>
      <w:r w:rsidRPr="00ED093B">
        <w:rPr>
          <w:bCs/>
          <w:color w:val="auto"/>
          <w:highlight w:val="yellow"/>
        </w:rPr>
        <w:t>slipping down the bed during testing.</w:t>
      </w:r>
    </w:p>
    <w:p w14:paraId="4DD1A032" w14:textId="77777777" w:rsidR="00B02FAB" w:rsidRPr="00ED093B" w:rsidRDefault="00B02FAB" w:rsidP="00725D44">
      <w:pPr>
        <w:pStyle w:val="ListParagraph"/>
        <w:ind w:left="0"/>
        <w:rPr>
          <w:bCs/>
          <w:color w:val="auto"/>
          <w:highlight w:val="yellow"/>
        </w:rPr>
      </w:pPr>
    </w:p>
    <w:p w14:paraId="73D5BBC6" w14:textId="273EFB1C" w:rsidR="00B02FAB" w:rsidRPr="00ED093B" w:rsidRDefault="00B02FAB" w:rsidP="00D423F0">
      <w:pPr>
        <w:pStyle w:val="ListParagraph"/>
        <w:numPr>
          <w:ilvl w:val="2"/>
          <w:numId w:val="30"/>
        </w:numPr>
        <w:rPr>
          <w:bCs/>
          <w:color w:val="auto"/>
          <w:highlight w:val="yellow"/>
        </w:rPr>
      </w:pPr>
      <w:r w:rsidRPr="00ED093B">
        <w:rPr>
          <w:bCs/>
          <w:color w:val="auto"/>
          <w:highlight w:val="yellow"/>
        </w:rPr>
        <w:t>Ensure the paretic forearm is in pronation and fully supported by a pillow from the elbow to the wrist.</w:t>
      </w:r>
      <w:r w:rsidR="00D423F0" w:rsidRPr="00ED093B">
        <w:rPr>
          <w:bCs/>
          <w:color w:val="auto"/>
          <w:highlight w:val="yellow"/>
        </w:rPr>
        <w:t xml:space="preserve"> </w:t>
      </w:r>
      <w:r w:rsidRPr="00ED093B">
        <w:rPr>
          <w:bCs/>
          <w:color w:val="auto"/>
          <w:highlight w:val="yellow"/>
        </w:rPr>
        <w:t>Check for adequate TMS coil access by holding the TMS coil against the patient</w:t>
      </w:r>
      <w:r w:rsidR="003E6B0F" w:rsidRPr="00ED093B">
        <w:rPr>
          <w:bCs/>
          <w:color w:val="auto"/>
        </w:rPr>
        <w:t>’s</w:t>
      </w:r>
      <w:r w:rsidRPr="00ED093B">
        <w:rPr>
          <w:bCs/>
          <w:color w:val="auto"/>
          <w:highlight w:val="yellow"/>
        </w:rPr>
        <w:t xml:space="preserve"> head. </w:t>
      </w:r>
      <w:proofErr w:type="gramStart"/>
      <w:r w:rsidRPr="00ED093B">
        <w:rPr>
          <w:bCs/>
          <w:color w:val="auto"/>
          <w:highlight w:val="yellow"/>
        </w:rPr>
        <w:t>Make adjustments to</w:t>
      </w:r>
      <w:proofErr w:type="gramEnd"/>
      <w:r w:rsidRPr="00ED093B">
        <w:rPr>
          <w:bCs/>
          <w:color w:val="auto"/>
          <w:highlight w:val="yellow"/>
        </w:rPr>
        <w:t xml:space="preserve"> the patient</w:t>
      </w:r>
      <w:r w:rsidR="003E6B0F" w:rsidRPr="00ED093B">
        <w:rPr>
          <w:bCs/>
          <w:color w:val="auto"/>
        </w:rPr>
        <w:t>’s</w:t>
      </w:r>
      <w:r w:rsidRPr="00ED093B">
        <w:rPr>
          <w:bCs/>
          <w:color w:val="auto"/>
          <w:highlight w:val="yellow"/>
        </w:rPr>
        <w:t xml:space="preserve"> position as required.</w:t>
      </w:r>
    </w:p>
    <w:p w14:paraId="69919702" w14:textId="77777777" w:rsidR="00B02FAB" w:rsidRPr="00ED093B" w:rsidRDefault="00B02FAB" w:rsidP="00725D44">
      <w:pPr>
        <w:pStyle w:val="ListParagraph"/>
        <w:ind w:left="0"/>
        <w:rPr>
          <w:bCs/>
          <w:color w:val="auto"/>
          <w:highlight w:val="yellow"/>
        </w:rPr>
      </w:pPr>
    </w:p>
    <w:p w14:paraId="115B2024" w14:textId="36342CDA" w:rsidR="00B02FAB" w:rsidRPr="00ED093B" w:rsidRDefault="00B02FAB" w:rsidP="00725D44">
      <w:pPr>
        <w:pStyle w:val="ListParagraph"/>
        <w:numPr>
          <w:ilvl w:val="1"/>
          <w:numId w:val="30"/>
        </w:numPr>
        <w:rPr>
          <w:bCs/>
          <w:color w:val="auto"/>
          <w:highlight w:val="yellow"/>
        </w:rPr>
      </w:pPr>
      <w:r w:rsidRPr="00ED093B">
        <w:rPr>
          <w:bCs/>
          <w:color w:val="auto"/>
          <w:highlight w:val="yellow"/>
        </w:rPr>
        <w:t>Position the patient in a chair or wheelchair for the test (alternative option)</w:t>
      </w:r>
      <w:r w:rsidR="00336E5D" w:rsidRPr="00ED093B">
        <w:rPr>
          <w:bCs/>
          <w:color w:val="auto"/>
          <w:highlight w:val="yellow"/>
        </w:rPr>
        <w:t>.</w:t>
      </w:r>
    </w:p>
    <w:p w14:paraId="6FECB494" w14:textId="77777777" w:rsidR="00B02FAB" w:rsidRPr="00ED093B" w:rsidRDefault="00B02FAB" w:rsidP="00725D44">
      <w:pPr>
        <w:pStyle w:val="ListParagraph"/>
        <w:ind w:left="0"/>
        <w:rPr>
          <w:bCs/>
          <w:color w:val="auto"/>
          <w:highlight w:val="yellow"/>
        </w:rPr>
      </w:pPr>
    </w:p>
    <w:p w14:paraId="57AF8EA0" w14:textId="0F4064C4" w:rsidR="00B02FAB" w:rsidRPr="00ED093B" w:rsidRDefault="00B02FAB" w:rsidP="00D423F0">
      <w:pPr>
        <w:pStyle w:val="ListParagraph"/>
        <w:numPr>
          <w:ilvl w:val="2"/>
          <w:numId w:val="30"/>
        </w:numPr>
        <w:rPr>
          <w:bCs/>
          <w:color w:val="auto"/>
          <w:highlight w:val="yellow"/>
        </w:rPr>
      </w:pPr>
      <w:r w:rsidRPr="00ED093B">
        <w:rPr>
          <w:bCs/>
          <w:color w:val="auto"/>
          <w:highlight w:val="yellow"/>
        </w:rPr>
        <w:t>Ensure the patient is sitting upright and comfortably in the chair.</w:t>
      </w:r>
      <w:r w:rsidR="00D423F0" w:rsidRPr="00ED093B">
        <w:rPr>
          <w:bCs/>
          <w:color w:val="auto"/>
          <w:highlight w:val="yellow"/>
        </w:rPr>
        <w:t xml:space="preserve"> </w:t>
      </w:r>
      <w:r w:rsidRPr="00ED093B">
        <w:rPr>
          <w:bCs/>
          <w:color w:val="auto"/>
          <w:highlight w:val="yellow"/>
        </w:rPr>
        <w:t>Place a pillow under each arm. Ensure the paretic forearm is pronated and fully supported by the pillow.</w:t>
      </w:r>
    </w:p>
    <w:p w14:paraId="04FF7D73" w14:textId="77777777" w:rsidR="00B02FAB" w:rsidRPr="00ED093B" w:rsidRDefault="00B02FAB" w:rsidP="00725D44">
      <w:pPr>
        <w:pStyle w:val="ListParagraph"/>
        <w:ind w:left="0"/>
        <w:rPr>
          <w:bCs/>
          <w:color w:val="auto"/>
          <w:highlight w:val="yellow"/>
        </w:rPr>
      </w:pPr>
    </w:p>
    <w:p w14:paraId="54606659" w14:textId="76CD6C24" w:rsidR="00B02FAB" w:rsidRPr="00ED093B" w:rsidRDefault="00B02FAB" w:rsidP="00D423F0">
      <w:pPr>
        <w:pStyle w:val="ListParagraph"/>
        <w:numPr>
          <w:ilvl w:val="1"/>
          <w:numId w:val="30"/>
        </w:numPr>
        <w:rPr>
          <w:bCs/>
          <w:color w:val="auto"/>
          <w:highlight w:val="yellow"/>
        </w:rPr>
      </w:pPr>
      <w:r w:rsidRPr="00ED093B">
        <w:rPr>
          <w:bCs/>
          <w:color w:val="auto"/>
          <w:highlight w:val="yellow"/>
        </w:rPr>
        <w:t xml:space="preserve">Check </w:t>
      </w:r>
      <w:r w:rsidR="00336E5D" w:rsidRPr="00ED093B">
        <w:rPr>
          <w:bCs/>
          <w:color w:val="auto"/>
          <w:highlight w:val="yellow"/>
        </w:rPr>
        <w:t xml:space="preserve">the </w:t>
      </w:r>
      <w:r w:rsidRPr="00ED093B">
        <w:rPr>
          <w:bCs/>
          <w:color w:val="auto"/>
          <w:highlight w:val="yellow"/>
        </w:rPr>
        <w:t xml:space="preserve">EMG trace: Connect </w:t>
      </w:r>
      <w:r w:rsidR="002623DC" w:rsidRPr="00ED093B">
        <w:rPr>
          <w:bCs/>
          <w:color w:val="auto"/>
          <w:highlight w:val="yellow"/>
        </w:rPr>
        <w:t xml:space="preserve">the </w:t>
      </w:r>
      <w:r w:rsidRPr="00ED093B">
        <w:rPr>
          <w:bCs/>
          <w:color w:val="auto"/>
          <w:highlight w:val="yellow"/>
        </w:rPr>
        <w:t xml:space="preserve">cables between the patient and </w:t>
      </w:r>
      <w:r w:rsidR="00336E5D" w:rsidRPr="00ED093B">
        <w:rPr>
          <w:bCs/>
          <w:color w:val="auto"/>
          <w:highlight w:val="yellow"/>
        </w:rPr>
        <w:t xml:space="preserve">the </w:t>
      </w:r>
      <w:r w:rsidRPr="00ED093B">
        <w:rPr>
          <w:bCs/>
          <w:color w:val="auto"/>
          <w:highlight w:val="yellow"/>
        </w:rPr>
        <w:t>EMG unit.</w:t>
      </w:r>
      <w:r w:rsidR="00D423F0" w:rsidRPr="00ED093B">
        <w:rPr>
          <w:bCs/>
          <w:color w:val="auto"/>
          <w:highlight w:val="yellow"/>
        </w:rPr>
        <w:t xml:space="preserve"> </w:t>
      </w:r>
      <w:r w:rsidRPr="00ED093B">
        <w:rPr>
          <w:bCs/>
          <w:color w:val="auto"/>
          <w:highlight w:val="yellow"/>
        </w:rPr>
        <w:t>Check to make sure the EMG signal is free from any electrical noise.</w:t>
      </w:r>
    </w:p>
    <w:p w14:paraId="11433987" w14:textId="77777777" w:rsidR="00B02FAB" w:rsidRPr="00ED093B" w:rsidRDefault="00B02FAB" w:rsidP="00725D44">
      <w:pPr>
        <w:pStyle w:val="ListParagraph"/>
        <w:ind w:left="0"/>
        <w:rPr>
          <w:bCs/>
          <w:color w:val="auto"/>
          <w:highlight w:val="yellow"/>
        </w:rPr>
      </w:pPr>
    </w:p>
    <w:p w14:paraId="5B02B7AC" w14:textId="0AA96C35" w:rsidR="00B02FAB" w:rsidRPr="00ED093B" w:rsidRDefault="00B02FAB" w:rsidP="00725D44">
      <w:pPr>
        <w:pStyle w:val="ListParagraph"/>
        <w:numPr>
          <w:ilvl w:val="1"/>
          <w:numId w:val="30"/>
        </w:numPr>
        <w:rPr>
          <w:b/>
          <w:bCs/>
          <w:color w:val="auto"/>
          <w:highlight w:val="yellow"/>
        </w:rPr>
      </w:pPr>
      <w:r w:rsidRPr="00ED093B">
        <w:rPr>
          <w:bCs/>
          <w:color w:val="auto"/>
          <w:highlight w:val="yellow"/>
        </w:rPr>
        <w:t>Deliver TMS</w:t>
      </w:r>
      <w:r w:rsidR="00336E5D" w:rsidRPr="00ED093B">
        <w:rPr>
          <w:bCs/>
          <w:color w:val="auto"/>
          <w:highlight w:val="yellow"/>
        </w:rPr>
        <w:t>.</w:t>
      </w:r>
      <w:r w:rsidRPr="00ED093B">
        <w:rPr>
          <w:bCs/>
          <w:color w:val="auto"/>
          <w:highlight w:val="yellow"/>
        </w:rPr>
        <w:t xml:space="preserve"> </w:t>
      </w:r>
    </w:p>
    <w:p w14:paraId="124D3434" w14:textId="77777777" w:rsidR="00B02FAB" w:rsidRPr="00ED093B" w:rsidRDefault="00B02FAB" w:rsidP="00725D44">
      <w:pPr>
        <w:pStyle w:val="ListParagraph"/>
        <w:ind w:left="0"/>
        <w:rPr>
          <w:b/>
          <w:bCs/>
          <w:color w:val="auto"/>
          <w:highlight w:val="yellow"/>
        </w:rPr>
      </w:pPr>
    </w:p>
    <w:p w14:paraId="1F689F8B" w14:textId="1763C622" w:rsidR="00B02FAB" w:rsidRPr="00ED093B" w:rsidRDefault="00B02FAB" w:rsidP="00D423F0">
      <w:pPr>
        <w:pStyle w:val="ListParagraph"/>
        <w:numPr>
          <w:ilvl w:val="2"/>
          <w:numId w:val="30"/>
        </w:numPr>
        <w:rPr>
          <w:color w:val="auto"/>
          <w:highlight w:val="yellow"/>
        </w:rPr>
      </w:pPr>
      <w:r w:rsidRPr="00ED093B">
        <w:rPr>
          <w:color w:val="auto"/>
          <w:highlight w:val="yellow"/>
        </w:rPr>
        <w:t>Two trained staff should be present for the TMS test.</w:t>
      </w:r>
      <w:r w:rsidR="00D423F0" w:rsidRPr="00ED093B">
        <w:rPr>
          <w:color w:val="auto"/>
          <w:highlight w:val="yellow"/>
        </w:rPr>
        <w:t xml:space="preserve"> </w:t>
      </w:r>
      <w:r w:rsidRPr="00ED093B">
        <w:rPr>
          <w:color w:val="auto"/>
          <w:highlight w:val="yellow"/>
        </w:rPr>
        <w:t>Instruct the patient to look straight ahead, keeping their head still and eyes open.</w:t>
      </w:r>
    </w:p>
    <w:p w14:paraId="0BBD50F8" w14:textId="77777777" w:rsidR="00B02FAB" w:rsidRPr="00ED093B" w:rsidRDefault="00B02FAB" w:rsidP="00725D44">
      <w:pPr>
        <w:pStyle w:val="ListParagraph"/>
        <w:ind w:left="0"/>
        <w:rPr>
          <w:b/>
          <w:bCs/>
          <w:color w:val="auto"/>
          <w:highlight w:val="yellow"/>
        </w:rPr>
      </w:pPr>
    </w:p>
    <w:p w14:paraId="78D7F9C8" w14:textId="20A8EBE5" w:rsidR="00B02FAB" w:rsidRPr="00ED093B" w:rsidRDefault="00B02FAB" w:rsidP="00725D44">
      <w:pPr>
        <w:pStyle w:val="ListParagraph"/>
        <w:numPr>
          <w:ilvl w:val="2"/>
          <w:numId w:val="30"/>
        </w:numPr>
        <w:rPr>
          <w:b/>
          <w:bCs/>
          <w:color w:val="auto"/>
          <w:highlight w:val="yellow"/>
        </w:rPr>
      </w:pPr>
      <w:r w:rsidRPr="00ED093B">
        <w:rPr>
          <w:bCs/>
          <w:color w:val="auto"/>
          <w:highlight w:val="yellow"/>
        </w:rPr>
        <w:t>The person holding the coil should stand next to the patient</w:t>
      </w:r>
      <w:r w:rsidR="003E6B0F" w:rsidRPr="00ED093B">
        <w:rPr>
          <w:bCs/>
          <w:color w:val="auto"/>
        </w:rPr>
        <w:t>’s</w:t>
      </w:r>
      <w:r w:rsidRPr="00ED093B">
        <w:rPr>
          <w:bCs/>
          <w:color w:val="auto"/>
          <w:highlight w:val="yellow"/>
        </w:rPr>
        <w:t xml:space="preserve"> head on their non-paretic side and position the center of the coil over the location of the primary motor cortex of the stroke-affected hemisphere. This is approximately 4 cm lateral from the vertex on the interaural line.</w:t>
      </w:r>
    </w:p>
    <w:p w14:paraId="109656A2" w14:textId="77777777" w:rsidR="00B02FAB" w:rsidRPr="00ED093B" w:rsidRDefault="00B02FAB" w:rsidP="00725D44">
      <w:pPr>
        <w:pStyle w:val="ListParagraph"/>
        <w:ind w:left="0"/>
        <w:rPr>
          <w:bCs/>
          <w:color w:val="auto"/>
          <w:highlight w:val="yellow"/>
        </w:rPr>
      </w:pPr>
    </w:p>
    <w:p w14:paraId="72864AC2" w14:textId="30471938" w:rsidR="00B02FAB" w:rsidRPr="00ED093B" w:rsidRDefault="00336E5D" w:rsidP="00725D44">
      <w:pPr>
        <w:pStyle w:val="ListParagraph"/>
        <w:ind w:left="0"/>
        <w:rPr>
          <w:b/>
          <w:bCs/>
          <w:color w:val="auto"/>
        </w:rPr>
      </w:pPr>
      <w:r w:rsidRPr="00ED093B">
        <w:rPr>
          <w:bCs/>
          <w:color w:val="auto"/>
        </w:rPr>
        <w:t>NOTE</w:t>
      </w:r>
      <w:r w:rsidR="00B02FAB" w:rsidRPr="00ED093B">
        <w:rPr>
          <w:bCs/>
          <w:color w:val="auto"/>
        </w:rPr>
        <w:t>: Another way to identify the starting coil position is to measure approximately a third of the distance from the vertex to the front of the ear.</w:t>
      </w:r>
    </w:p>
    <w:p w14:paraId="24EEE060" w14:textId="77777777" w:rsidR="00B02FAB" w:rsidRPr="00ED093B" w:rsidRDefault="00B02FAB" w:rsidP="00725D44">
      <w:pPr>
        <w:pStyle w:val="ListParagraph"/>
        <w:ind w:left="0"/>
        <w:rPr>
          <w:b/>
          <w:bCs/>
          <w:color w:val="auto"/>
          <w:highlight w:val="yellow"/>
        </w:rPr>
      </w:pPr>
    </w:p>
    <w:p w14:paraId="7B228BED" w14:textId="52976577" w:rsidR="00B02FAB" w:rsidRPr="00ED093B" w:rsidRDefault="00B02FAB" w:rsidP="00725D44">
      <w:pPr>
        <w:pStyle w:val="ListParagraph"/>
        <w:numPr>
          <w:ilvl w:val="2"/>
          <w:numId w:val="30"/>
        </w:numPr>
        <w:rPr>
          <w:b/>
          <w:bCs/>
          <w:color w:val="auto"/>
          <w:highlight w:val="yellow"/>
        </w:rPr>
      </w:pPr>
      <w:r w:rsidRPr="00ED093B">
        <w:rPr>
          <w:bCs/>
          <w:color w:val="auto"/>
          <w:highlight w:val="yellow"/>
        </w:rPr>
        <w:t>Orient the coil with the handle pointing backwards, at an approximately 45</w:t>
      </w:r>
      <w:r w:rsidR="00FF61A9" w:rsidRPr="00ED093B">
        <w:rPr>
          <w:bCs/>
          <w:color w:val="auto"/>
          <w:highlight w:val="yellow"/>
        </w:rPr>
        <w:t>°</w:t>
      </w:r>
      <w:r w:rsidRPr="00ED093B">
        <w:rPr>
          <w:bCs/>
          <w:color w:val="auto"/>
          <w:highlight w:val="yellow"/>
        </w:rPr>
        <w:t xml:space="preserve"> angle in the midsagittal plane to produce a posterior-to-anterior current in the underlying tissue. </w:t>
      </w:r>
    </w:p>
    <w:p w14:paraId="775F071E" w14:textId="77777777" w:rsidR="00B02FAB" w:rsidRPr="00ED093B" w:rsidRDefault="00B02FAB" w:rsidP="00725D44">
      <w:pPr>
        <w:pStyle w:val="ListParagraph"/>
        <w:ind w:left="0"/>
        <w:rPr>
          <w:bCs/>
          <w:color w:val="auto"/>
        </w:rPr>
      </w:pPr>
    </w:p>
    <w:p w14:paraId="13A10C34" w14:textId="151C5E59" w:rsidR="00B02FAB" w:rsidRPr="00ED093B" w:rsidRDefault="00FF61A9" w:rsidP="00725D44">
      <w:pPr>
        <w:pStyle w:val="ListParagraph"/>
        <w:ind w:left="0"/>
        <w:rPr>
          <w:bCs/>
          <w:color w:val="auto"/>
        </w:rPr>
      </w:pPr>
      <w:r w:rsidRPr="00ED093B">
        <w:rPr>
          <w:bCs/>
          <w:color w:val="auto"/>
        </w:rPr>
        <w:t>NOTE</w:t>
      </w:r>
      <w:r w:rsidR="00B02FAB" w:rsidRPr="00ED093B">
        <w:rPr>
          <w:bCs/>
          <w:color w:val="auto"/>
        </w:rPr>
        <w:t xml:space="preserve">: </w:t>
      </w:r>
      <w:r w:rsidR="004F5331" w:rsidRPr="00ED093B">
        <w:rPr>
          <w:bCs/>
          <w:color w:val="auto"/>
        </w:rPr>
        <w:t>T</w:t>
      </w:r>
      <w:r w:rsidR="00B02FAB" w:rsidRPr="00ED093B">
        <w:rPr>
          <w:bCs/>
          <w:color w:val="auto"/>
        </w:rPr>
        <w:t>he coil used in this protocol is a flat figure-eight coil</w:t>
      </w:r>
      <w:r w:rsidRPr="00ED093B">
        <w:rPr>
          <w:bCs/>
          <w:color w:val="auto"/>
        </w:rPr>
        <w:t>,</w:t>
      </w:r>
      <w:r w:rsidR="00B02FAB" w:rsidRPr="00ED093B">
        <w:rPr>
          <w:bCs/>
          <w:color w:val="auto"/>
        </w:rPr>
        <w:t xml:space="preserve"> but a branding coil or circular coil </w:t>
      </w:r>
      <w:r w:rsidR="00CA7C2A" w:rsidRPr="00ED093B">
        <w:rPr>
          <w:bCs/>
          <w:color w:val="auto"/>
        </w:rPr>
        <w:t xml:space="preserve">can </w:t>
      </w:r>
      <w:r w:rsidR="00B02FAB" w:rsidRPr="00ED093B">
        <w:rPr>
          <w:bCs/>
          <w:color w:val="auto"/>
        </w:rPr>
        <w:t>also be used.</w:t>
      </w:r>
    </w:p>
    <w:p w14:paraId="245DD593" w14:textId="77777777" w:rsidR="00B02FAB" w:rsidRPr="00ED093B" w:rsidRDefault="00B02FAB" w:rsidP="00725D44">
      <w:pPr>
        <w:pStyle w:val="ListParagraph"/>
        <w:ind w:left="0"/>
        <w:rPr>
          <w:bCs/>
          <w:color w:val="auto"/>
          <w:highlight w:val="yellow"/>
        </w:rPr>
      </w:pPr>
    </w:p>
    <w:p w14:paraId="6F01E275" w14:textId="25C3F771" w:rsidR="00B02FAB" w:rsidRPr="00ED093B" w:rsidRDefault="00B02FAB" w:rsidP="00D423F0">
      <w:pPr>
        <w:pStyle w:val="ListParagraph"/>
        <w:numPr>
          <w:ilvl w:val="2"/>
          <w:numId w:val="30"/>
        </w:numPr>
        <w:rPr>
          <w:b/>
          <w:bCs/>
          <w:color w:val="auto"/>
          <w:highlight w:val="yellow"/>
        </w:rPr>
      </w:pPr>
      <w:r w:rsidRPr="00ED093B">
        <w:rPr>
          <w:color w:val="auto"/>
          <w:highlight w:val="yellow"/>
        </w:rPr>
        <w:t xml:space="preserve">Adjust the bed height for </w:t>
      </w:r>
      <w:r w:rsidR="00CA7C2A" w:rsidRPr="00ED093B">
        <w:rPr>
          <w:color w:val="auto"/>
          <w:highlight w:val="yellow"/>
        </w:rPr>
        <w:t xml:space="preserve">the </w:t>
      </w:r>
      <w:r w:rsidRPr="00ED093B">
        <w:rPr>
          <w:color w:val="auto"/>
          <w:highlight w:val="yellow"/>
        </w:rPr>
        <w:t>coil holder</w:t>
      </w:r>
      <w:r w:rsidR="00CA7C2A" w:rsidRPr="00ED093B">
        <w:rPr>
          <w:color w:val="auto"/>
          <w:highlight w:val="yellow"/>
        </w:rPr>
        <w:t>'s</w:t>
      </w:r>
      <w:r w:rsidRPr="00ED093B">
        <w:rPr>
          <w:color w:val="auto"/>
          <w:highlight w:val="yellow"/>
        </w:rPr>
        <w:t xml:space="preserve"> comfort. Use a step if necessary.</w:t>
      </w:r>
      <w:r w:rsidR="00D423F0" w:rsidRPr="00ED093B">
        <w:rPr>
          <w:b/>
          <w:bCs/>
          <w:color w:val="auto"/>
          <w:highlight w:val="yellow"/>
        </w:rPr>
        <w:t xml:space="preserve"> </w:t>
      </w:r>
      <w:r w:rsidRPr="00ED093B">
        <w:rPr>
          <w:color w:val="auto"/>
          <w:highlight w:val="yellow"/>
        </w:rPr>
        <w:t xml:space="preserve">The second person (not the coil holder) is responsible for monitoring patient comfort throughout the TMS </w:t>
      </w:r>
      <w:r w:rsidRPr="00ED093B">
        <w:rPr>
          <w:color w:val="auto"/>
          <w:highlight w:val="yellow"/>
        </w:rPr>
        <w:lastRenderedPageBreak/>
        <w:t xml:space="preserve">session. They may stand at the foot of the bed to monitor the patient and ensure the patient maintains a neutral head position or monitor the patient from </w:t>
      </w:r>
      <w:r w:rsidR="00CA7C2A" w:rsidRPr="00ED093B">
        <w:rPr>
          <w:color w:val="auto"/>
          <w:highlight w:val="yellow"/>
        </w:rPr>
        <w:t xml:space="preserve">the </w:t>
      </w:r>
      <w:r w:rsidRPr="00ED093B">
        <w:rPr>
          <w:color w:val="auto"/>
          <w:highlight w:val="yellow"/>
        </w:rPr>
        <w:t xml:space="preserve">bedside while adjusting </w:t>
      </w:r>
      <w:r w:rsidR="00FF61A9" w:rsidRPr="00ED093B">
        <w:rPr>
          <w:color w:val="auto"/>
          <w:highlight w:val="yellow"/>
        </w:rPr>
        <w:t xml:space="preserve">the </w:t>
      </w:r>
      <w:r w:rsidRPr="00ED093B">
        <w:rPr>
          <w:color w:val="auto"/>
          <w:highlight w:val="yellow"/>
        </w:rPr>
        <w:t xml:space="preserve">TMS unit controls as necessary. </w:t>
      </w:r>
    </w:p>
    <w:p w14:paraId="36598FD3" w14:textId="77777777" w:rsidR="00B02FAB" w:rsidRPr="00ED093B" w:rsidRDefault="00B02FAB" w:rsidP="00725D44">
      <w:pPr>
        <w:pStyle w:val="ListParagraph"/>
        <w:ind w:left="0"/>
        <w:rPr>
          <w:color w:val="auto"/>
        </w:rPr>
      </w:pPr>
    </w:p>
    <w:p w14:paraId="24EF6C18" w14:textId="69F861B8" w:rsidR="00B02FAB" w:rsidRPr="00ED093B" w:rsidRDefault="00FF61A9" w:rsidP="00725D44">
      <w:pPr>
        <w:pStyle w:val="ListParagraph"/>
        <w:ind w:left="0"/>
        <w:rPr>
          <w:b/>
          <w:bCs/>
          <w:color w:val="auto"/>
          <w:highlight w:val="yellow"/>
        </w:rPr>
      </w:pPr>
      <w:r w:rsidRPr="00ED093B">
        <w:rPr>
          <w:color w:val="auto"/>
        </w:rPr>
        <w:t>NOTE</w:t>
      </w:r>
      <w:r w:rsidR="00B02FAB" w:rsidRPr="00ED093B">
        <w:rPr>
          <w:color w:val="auto"/>
        </w:rPr>
        <w:t>: This will depend on the individual TMS setup used. The patient should be monitored for comfort levels, alertness, and any adverse effects such as vasovagal responses to the TMS.</w:t>
      </w:r>
    </w:p>
    <w:p w14:paraId="1012916A" w14:textId="77777777" w:rsidR="00B02FAB" w:rsidRPr="00ED093B" w:rsidRDefault="00B02FAB" w:rsidP="00725D44">
      <w:pPr>
        <w:pStyle w:val="ListParagraph"/>
        <w:ind w:left="0"/>
        <w:rPr>
          <w:b/>
          <w:bCs/>
          <w:color w:val="auto"/>
          <w:highlight w:val="yellow"/>
        </w:rPr>
      </w:pPr>
    </w:p>
    <w:p w14:paraId="336147EE" w14:textId="7102D0BF" w:rsidR="00B02FAB" w:rsidRPr="00ED093B" w:rsidRDefault="00B02FAB" w:rsidP="00725D44">
      <w:pPr>
        <w:pStyle w:val="ListParagraph"/>
        <w:numPr>
          <w:ilvl w:val="2"/>
          <w:numId w:val="30"/>
        </w:numPr>
        <w:rPr>
          <w:b/>
          <w:bCs/>
          <w:color w:val="auto"/>
          <w:highlight w:val="yellow"/>
        </w:rPr>
      </w:pPr>
      <w:r w:rsidRPr="00ED093B">
        <w:rPr>
          <w:bCs/>
          <w:color w:val="auto"/>
          <w:highlight w:val="yellow"/>
        </w:rPr>
        <w:t xml:space="preserve">Begin with a stimulus intensity of 30% maximum stimulator output (MSO). Increase intensity in 10% MSO steps with </w:t>
      </w:r>
      <w:r w:rsidR="00FF61A9" w:rsidRPr="00ED093B">
        <w:rPr>
          <w:bCs/>
          <w:color w:val="auto"/>
          <w:highlight w:val="yellow"/>
        </w:rPr>
        <w:t xml:space="preserve">three </w:t>
      </w:r>
      <w:r w:rsidRPr="00ED093B">
        <w:rPr>
          <w:bCs/>
          <w:color w:val="auto"/>
          <w:highlight w:val="yellow"/>
        </w:rPr>
        <w:t xml:space="preserve">to </w:t>
      </w:r>
      <w:r w:rsidR="00FF61A9" w:rsidRPr="00ED093B">
        <w:rPr>
          <w:bCs/>
          <w:color w:val="auto"/>
          <w:highlight w:val="yellow"/>
        </w:rPr>
        <w:t xml:space="preserve">five </w:t>
      </w:r>
      <w:r w:rsidRPr="00ED093B">
        <w:rPr>
          <w:bCs/>
          <w:color w:val="auto"/>
          <w:highlight w:val="yellow"/>
        </w:rPr>
        <w:t>stimuli at each intensity and scalp location.</w:t>
      </w:r>
    </w:p>
    <w:p w14:paraId="361146AF" w14:textId="77777777" w:rsidR="00B02FAB" w:rsidRPr="00ED093B" w:rsidRDefault="00B02FAB" w:rsidP="00725D44">
      <w:pPr>
        <w:pStyle w:val="ListParagraph"/>
        <w:ind w:left="0"/>
        <w:rPr>
          <w:b/>
          <w:bCs/>
          <w:color w:val="auto"/>
          <w:highlight w:val="yellow"/>
        </w:rPr>
      </w:pPr>
    </w:p>
    <w:p w14:paraId="4FD17D84" w14:textId="140E5266" w:rsidR="00B02FAB" w:rsidRPr="00ED093B" w:rsidRDefault="00B02FAB" w:rsidP="00725D44">
      <w:pPr>
        <w:pStyle w:val="ListParagraph"/>
        <w:numPr>
          <w:ilvl w:val="2"/>
          <w:numId w:val="30"/>
        </w:numPr>
        <w:rPr>
          <w:b/>
          <w:bCs/>
          <w:color w:val="auto"/>
          <w:highlight w:val="yellow"/>
        </w:rPr>
      </w:pPr>
      <w:r w:rsidRPr="00ED093B">
        <w:rPr>
          <w:bCs/>
          <w:color w:val="auto"/>
          <w:highlight w:val="yellow"/>
        </w:rPr>
        <w:t xml:space="preserve">Move the coil systematically in 1 cm steps in each direction (anterior, posterior, medial, lateral) to find the optimal location for producing MEPs in the recorded muscles. Small adjustments to </w:t>
      </w:r>
      <w:r w:rsidR="00FF61A9" w:rsidRPr="00ED093B">
        <w:rPr>
          <w:bCs/>
          <w:color w:val="auto"/>
          <w:highlight w:val="yellow"/>
        </w:rPr>
        <w:t xml:space="preserve">the </w:t>
      </w:r>
      <w:r w:rsidRPr="00ED093B">
        <w:rPr>
          <w:bCs/>
          <w:color w:val="auto"/>
          <w:highlight w:val="yellow"/>
        </w:rPr>
        <w:t>coil rotation may also be necessary.</w:t>
      </w:r>
    </w:p>
    <w:p w14:paraId="32C917E8" w14:textId="77777777" w:rsidR="00B02FAB" w:rsidRPr="00ED093B" w:rsidRDefault="00B02FAB" w:rsidP="00725D44">
      <w:pPr>
        <w:pStyle w:val="ListParagraph"/>
        <w:ind w:left="0"/>
        <w:rPr>
          <w:b/>
          <w:bCs/>
          <w:color w:val="auto"/>
          <w:highlight w:val="yellow"/>
        </w:rPr>
      </w:pPr>
    </w:p>
    <w:p w14:paraId="67A6E8C9" w14:textId="140F12AB" w:rsidR="00B02FAB" w:rsidRPr="00ED093B" w:rsidRDefault="00B02FAB" w:rsidP="00725D44">
      <w:pPr>
        <w:pStyle w:val="ListParagraph"/>
        <w:numPr>
          <w:ilvl w:val="2"/>
          <w:numId w:val="30"/>
        </w:numPr>
        <w:rPr>
          <w:b/>
          <w:bCs/>
          <w:color w:val="auto"/>
          <w:highlight w:val="yellow"/>
        </w:rPr>
      </w:pPr>
      <w:r w:rsidRPr="00ED093B">
        <w:rPr>
          <w:bCs/>
          <w:color w:val="auto"/>
          <w:highlight w:val="yellow"/>
        </w:rPr>
        <w:t xml:space="preserve">Continue increasing the stimulus intensity and moving the coil until </w:t>
      </w:r>
      <w:r w:rsidR="00A02CCF" w:rsidRPr="00ED093B">
        <w:rPr>
          <w:bCs/>
          <w:color w:val="auto"/>
          <w:highlight w:val="yellow"/>
        </w:rPr>
        <w:t xml:space="preserve">the </w:t>
      </w:r>
      <w:r w:rsidRPr="00ED093B">
        <w:rPr>
          <w:bCs/>
          <w:color w:val="auto"/>
          <w:highlight w:val="yellow"/>
        </w:rPr>
        <w:t xml:space="preserve">MEPs are consistently observed in one or both muscles </w:t>
      </w:r>
      <w:proofErr w:type="gramStart"/>
      <w:r w:rsidRPr="00ED093B">
        <w:rPr>
          <w:bCs/>
          <w:color w:val="auto"/>
          <w:highlight w:val="yellow"/>
        </w:rPr>
        <w:t>or</w:t>
      </w:r>
      <w:proofErr w:type="gramEnd"/>
      <w:r w:rsidRPr="00ED093B">
        <w:rPr>
          <w:bCs/>
          <w:color w:val="auto"/>
          <w:highlight w:val="yellow"/>
        </w:rPr>
        <w:t xml:space="preserve"> until 100% MSO is reached.</w:t>
      </w:r>
    </w:p>
    <w:p w14:paraId="093D4821" w14:textId="77777777" w:rsidR="00B02FAB" w:rsidRPr="00ED093B" w:rsidRDefault="00B02FAB" w:rsidP="00725D44">
      <w:pPr>
        <w:pStyle w:val="ListParagraph"/>
        <w:ind w:left="0"/>
        <w:rPr>
          <w:b/>
          <w:bCs/>
          <w:color w:val="auto"/>
          <w:highlight w:val="yellow"/>
        </w:rPr>
      </w:pPr>
    </w:p>
    <w:p w14:paraId="0F04DD0D" w14:textId="3F8646C4" w:rsidR="00B02FAB" w:rsidRPr="00ED093B" w:rsidRDefault="00B02FAB" w:rsidP="00725D44">
      <w:pPr>
        <w:pStyle w:val="ListParagraph"/>
        <w:numPr>
          <w:ilvl w:val="2"/>
          <w:numId w:val="30"/>
        </w:numPr>
        <w:rPr>
          <w:b/>
          <w:bCs/>
          <w:color w:val="auto"/>
          <w:highlight w:val="yellow"/>
        </w:rPr>
      </w:pPr>
      <w:r w:rsidRPr="00ED093B">
        <w:rPr>
          <w:bCs/>
          <w:color w:val="auto"/>
          <w:highlight w:val="yellow"/>
        </w:rPr>
        <w:t>If 100% MSO is reached with no MEPs observed, use active facilitation to increase corticomotor excitability and the likelihood of eliciting a MEP. Ask the patient to hug a pillow to their chest with both arms, attempting to activate their paretic UL as much as possible. For patients with no distal UL activity, ask them to elevate and retract at the shoulder girdle while hugging the pillow.</w:t>
      </w:r>
    </w:p>
    <w:p w14:paraId="48A10501" w14:textId="77777777" w:rsidR="00B02FAB" w:rsidRPr="00ED093B" w:rsidRDefault="00B02FAB" w:rsidP="00725D44">
      <w:pPr>
        <w:pStyle w:val="ListParagraph"/>
        <w:ind w:left="0"/>
        <w:rPr>
          <w:b/>
          <w:bCs/>
          <w:color w:val="auto"/>
          <w:highlight w:val="yellow"/>
        </w:rPr>
      </w:pPr>
    </w:p>
    <w:p w14:paraId="6449C390" w14:textId="214BF786" w:rsidR="00B02FAB" w:rsidRPr="00ED093B" w:rsidRDefault="00B02FAB" w:rsidP="00725D44">
      <w:pPr>
        <w:pStyle w:val="ListParagraph"/>
        <w:numPr>
          <w:ilvl w:val="1"/>
          <w:numId w:val="30"/>
        </w:numPr>
        <w:rPr>
          <w:b/>
          <w:bCs/>
          <w:color w:val="auto"/>
          <w:highlight w:val="yellow"/>
        </w:rPr>
      </w:pPr>
      <w:r w:rsidRPr="00ED093B">
        <w:rPr>
          <w:bCs/>
          <w:color w:val="auto"/>
          <w:highlight w:val="yellow"/>
        </w:rPr>
        <w:t xml:space="preserve">Classify </w:t>
      </w:r>
      <w:r w:rsidR="00DB0A4E" w:rsidRPr="00ED093B">
        <w:rPr>
          <w:bCs/>
          <w:color w:val="auto"/>
          <w:highlight w:val="yellow"/>
        </w:rPr>
        <w:t xml:space="preserve">the </w:t>
      </w:r>
      <w:r w:rsidRPr="00ED093B">
        <w:rPr>
          <w:bCs/>
          <w:color w:val="auto"/>
          <w:highlight w:val="yellow"/>
        </w:rPr>
        <w:t>MEP status of the patient</w:t>
      </w:r>
      <w:r w:rsidR="006B2E5D" w:rsidRPr="00ED093B">
        <w:rPr>
          <w:bCs/>
          <w:color w:val="auto"/>
          <w:highlight w:val="yellow"/>
        </w:rPr>
        <w:t>.</w:t>
      </w:r>
    </w:p>
    <w:p w14:paraId="7CE06119" w14:textId="77777777" w:rsidR="00B02FAB" w:rsidRPr="00ED093B" w:rsidRDefault="00B02FAB" w:rsidP="00725D44">
      <w:pPr>
        <w:pStyle w:val="ListParagraph"/>
        <w:ind w:left="0"/>
        <w:rPr>
          <w:b/>
          <w:bCs/>
          <w:color w:val="auto"/>
          <w:highlight w:val="yellow"/>
        </w:rPr>
      </w:pPr>
    </w:p>
    <w:p w14:paraId="46F9EA9A" w14:textId="26CF4F2C" w:rsidR="00B02FAB" w:rsidRPr="00ED093B" w:rsidRDefault="00B02FAB" w:rsidP="00725D44">
      <w:pPr>
        <w:pStyle w:val="ListParagraph"/>
        <w:numPr>
          <w:ilvl w:val="2"/>
          <w:numId w:val="30"/>
        </w:numPr>
        <w:rPr>
          <w:b/>
          <w:bCs/>
          <w:color w:val="auto"/>
          <w:highlight w:val="yellow"/>
        </w:rPr>
      </w:pPr>
      <w:r w:rsidRPr="00ED093B">
        <w:rPr>
          <w:bCs/>
          <w:color w:val="auto"/>
          <w:highlight w:val="yellow"/>
        </w:rPr>
        <w:t xml:space="preserve">Classify the patient as MEP+ if MEPs </w:t>
      </w:r>
      <w:r w:rsidRPr="00ED093B">
        <w:rPr>
          <w:bCs/>
          <w:i/>
          <w:color w:val="auto"/>
          <w:highlight w:val="yellow"/>
        </w:rPr>
        <w:t>of any amplitude</w:t>
      </w:r>
      <w:r w:rsidRPr="00ED093B">
        <w:rPr>
          <w:bCs/>
          <w:color w:val="auto"/>
          <w:highlight w:val="yellow"/>
        </w:rPr>
        <w:t xml:space="preserve"> are observed with a consistent latency in response to at least </w:t>
      </w:r>
      <w:r w:rsidR="006B2E5D" w:rsidRPr="00ED093B">
        <w:rPr>
          <w:bCs/>
          <w:color w:val="auto"/>
          <w:highlight w:val="yellow"/>
        </w:rPr>
        <w:t xml:space="preserve">five </w:t>
      </w:r>
      <w:r w:rsidRPr="00ED093B">
        <w:rPr>
          <w:bCs/>
          <w:color w:val="auto"/>
          <w:highlight w:val="yellow"/>
        </w:rPr>
        <w:t xml:space="preserve">stimuli. This can be either at rest or during voluntary facilitation. FDI latencies are typically 20–30 </w:t>
      </w:r>
      <w:proofErr w:type="spellStart"/>
      <w:r w:rsidRPr="00ED093B">
        <w:rPr>
          <w:bCs/>
          <w:color w:val="auto"/>
          <w:highlight w:val="yellow"/>
        </w:rPr>
        <w:t>ms</w:t>
      </w:r>
      <w:proofErr w:type="spellEnd"/>
      <w:r w:rsidRPr="00ED093B">
        <w:rPr>
          <w:bCs/>
          <w:color w:val="auto"/>
          <w:highlight w:val="yellow"/>
        </w:rPr>
        <w:t xml:space="preserve"> while ECR latencies are typically 15–25 </w:t>
      </w:r>
      <w:proofErr w:type="spellStart"/>
      <w:r w:rsidRPr="00ED093B">
        <w:rPr>
          <w:bCs/>
          <w:color w:val="auto"/>
          <w:highlight w:val="yellow"/>
        </w:rPr>
        <w:t>ms.</w:t>
      </w:r>
      <w:proofErr w:type="spellEnd"/>
      <w:r w:rsidRPr="00ED093B">
        <w:rPr>
          <w:bCs/>
          <w:color w:val="auto"/>
          <w:highlight w:val="yellow"/>
        </w:rPr>
        <w:t xml:space="preserve"> MEPs do not have to exceed a peak-to-peak amplitude of 50 µV.</w:t>
      </w:r>
    </w:p>
    <w:p w14:paraId="7CA9ECC9" w14:textId="77777777" w:rsidR="00B02FAB" w:rsidRPr="00ED093B" w:rsidRDefault="00B02FAB" w:rsidP="00725D44">
      <w:pPr>
        <w:pStyle w:val="ListParagraph"/>
        <w:ind w:left="0"/>
        <w:rPr>
          <w:b/>
          <w:bCs/>
          <w:color w:val="auto"/>
          <w:highlight w:val="yellow"/>
        </w:rPr>
      </w:pPr>
    </w:p>
    <w:p w14:paraId="1DEDC8DE" w14:textId="77777777" w:rsidR="00B02FAB" w:rsidRPr="00ED093B" w:rsidRDefault="00B02FAB" w:rsidP="00725D44">
      <w:pPr>
        <w:pStyle w:val="ListParagraph"/>
        <w:numPr>
          <w:ilvl w:val="2"/>
          <w:numId w:val="30"/>
        </w:numPr>
        <w:rPr>
          <w:b/>
          <w:bCs/>
          <w:color w:val="auto"/>
          <w:highlight w:val="yellow"/>
        </w:rPr>
      </w:pPr>
      <w:r w:rsidRPr="00ED093B">
        <w:rPr>
          <w:bCs/>
          <w:color w:val="auto"/>
          <w:highlight w:val="yellow"/>
        </w:rPr>
        <w:t>Classify the patient as MEP- if a MEP cannot be elicited at 100% MSO either at rest or while attempting voluntary facilitation.</w:t>
      </w:r>
    </w:p>
    <w:p w14:paraId="463FAB37" w14:textId="77777777" w:rsidR="00B02FAB" w:rsidRPr="00ED093B" w:rsidRDefault="00B02FAB" w:rsidP="00725D44">
      <w:pPr>
        <w:pStyle w:val="ListParagraph"/>
        <w:ind w:left="0"/>
        <w:rPr>
          <w:b/>
          <w:bCs/>
          <w:color w:val="auto"/>
          <w:highlight w:val="yellow"/>
        </w:rPr>
      </w:pPr>
    </w:p>
    <w:p w14:paraId="13982A29" w14:textId="77777777" w:rsidR="00B02FAB" w:rsidRPr="00ED093B" w:rsidRDefault="00B02FAB" w:rsidP="00725D44">
      <w:pPr>
        <w:pStyle w:val="ListParagraph"/>
        <w:numPr>
          <w:ilvl w:val="1"/>
          <w:numId w:val="30"/>
        </w:numPr>
        <w:rPr>
          <w:bCs/>
          <w:color w:val="auto"/>
        </w:rPr>
      </w:pPr>
      <w:r w:rsidRPr="00ED093B">
        <w:rPr>
          <w:bCs/>
          <w:color w:val="auto"/>
        </w:rPr>
        <w:t xml:space="preserve">Remove electrodes and wipe the skin with an alcohol wipe. The skin may be slightly </w:t>
      </w:r>
      <w:proofErr w:type="gramStart"/>
      <w:r w:rsidRPr="00ED093B">
        <w:rPr>
          <w:bCs/>
          <w:color w:val="auto"/>
        </w:rPr>
        <w:t>red</w:t>
      </w:r>
      <w:proofErr w:type="gramEnd"/>
      <w:r w:rsidRPr="00ED093B">
        <w:rPr>
          <w:bCs/>
          <w:color w:val="auto"/>
        </w:rPr>
        <w:t xml:space="preserve"> but this usually resolves without any treatment.</w:t>
      </w:r>
    </w:p>
    <w:bookmarkEnd w:id="1"/>
    <w:bookmarkEnd w:id="2"/>
    <w:p w14:paraId="4F961DD1" w14:textId="77777777" w:rsidR="00B02FAB" w:rsidRPr="00ED093B" w:rsidRDefault="00B02FAB" w:rsidP="00725D44">
      <w:pPr>
        <w:pStyle w:val="NormalWeb"/>
        <w:spacing w:before="0" w:beforeAutospacing="0" w:after="0" w:afterAutospacing="0"/>
        <w:rPr>
          <w:b/>
          <w:color w:val="auto"/>
        </w:rPr>
      </w:pPr>
    </w:p>
    <w:p w14:paraId="4D02BA3C" w14:textId="77777777" w:rsidR="00B02FAB" w:rsidRPr="00ED093B" w:rsidRDefault="00B02FAB" w:rsidP="00725D44">
      <w:pPr>
        <w:pStyle w:val="NormalWeb"/>
        <w:spacing w:before="0" w:beforeAutospacing="0" w:after="0" w:afterAutospacing="0"/>
        <w:rPr>
          <w:b/>
          <w:color w:val="auto"/>
        </w:rPr>
      </w:pPr>
      <w:r w:rsidRPr="00ED093B">
        <w:rPr>
          <w:b/>
          <w:color w:val="auto"/>
        </w:rPr>
        <w:t>REPRESENTATIVE RESULTS:</w:t>
      </w:r>
    </w:p>
    <w:p w14:paraId="70B960C8" w14:textId="77777777" w:rsidR="00B02FAB" w:rsidRPr="00ED093B" w:rsidRDefault="00B02FAB" w:rsidP="00725D44">
      <w:pPr>
        <w:rPr>
          <w:color w:val="auto"/>
        </w:rPr>
      </w:pPr>
      <w:r w:rsidRPr="00ED093B">
        <w:rPr>
          <w:color w:val="auto"/>
        </w:rPr>
        <w:t xml:space="preserve">The SAFE score and TMS can be used to ascertain the functional status of the CST within one week of stroke. Patients who have a SAFE score of at least 5 on day 3, or are MEP+ when tested with TMS, have a functional CST and are expected to regain at least some coordination and dexterity. Patients who are MEP- do not have a functional CST and therefore are likely to be limited to improvements in proximal arm movements and gross movements of the hand. The functional status of the CST can therefore be used to select patients for trials based on their capacity to recover dexterous hand function. </w:t>
      </w:r>
    </w:p>
    <w:p w14:paraId="12C2C262" w14:textId="77777777" w:rsidR="00B02FAB" w:rsidRPr="00ED093B" w:rsidRDefault="00B02FAB" w:rsidP="00725D44">
      <w:pPr>
        <w:rPr>
          <w:color w:val="auto"/>
        </w:rPr>
      </w:pPr>
    </w:p>
    <w:p w14:paraId="0B93C4F6" w14:textId="30D2BC4F" w:rsidR="00B02FAB" w:rsidRPr="00ED093B" w:rsidRDefault="00AF0156" w:rsidP="00725D44">
      <w:pPr>
        <w:rPr>
          <w:color w:val="auto"/>
        </w:rPr>
      </w:pPr>
      <w:r w:rsidRPr="00ED093B">
        <w:rPr>
          <w:color w:val="auto"/>
        </w:rPr>
        <w:t xml:space="preserve">The PREP2 algorithm predicts UL functional outcomes by obtaining the SAFE score and MEP status using this protocol. The PREP2 algorithm has been developed and validated in patients aged 18 years or older, with ischemic or hemorrhagic stroke and new </w:t>
      </w:r>
      <w:r w:rsidR="006B2E5D" w:rsidRPr="00ED093B">
        <w:rPr>
          <w:color w:val="auto"/>
        </w:rPr>
        <w:t>UL</w:t>
      </w:r>
      <w:r w:rsidRPr="00ED093B">
        <w:rPr>
          <w:color w:val="auto"/>
        </w:rPr>
        <w:t xml:space="preserve"> weakness, as described in detail elsewhere</w:t>
      </w:r>
      <w:r w:rsidR="003A69EA" w:rsidRPr="00ED093B">
        <w:rPr>
          <w:color w:val="auto"/>
          <w:vertAlign w:val="superscript"/>
        </w:rPr>
        <w:t>16,17,20</w:t>
      </w:r>
      <w:r w:rsidR="00897A83" w:rsidRPr="00ED093B">
        <w:rPr>
          <w:color w:val="auto"/>
        </w:rPr>
        <w:t>.</w:t>
      </w:r>
      <w:r w:rsidRPr="00ED093B">
        <w:rPr>
          <w:color w:val="auto"/>
        </w:rPr>
        <w:t xml:space="preserve"> </w:t>
      </w:r>
      <w:r w:rsidR="00B02FAB" w:rsidRPr="00ED093B">
        <w:rPr>
          <w:color w:val="auto"/>
        </w:rPr>
        <w:t xml:space="preserve">An important component of the PREP2 algorithm is determining MEP status with TMS for patients with a SAFE score less than 5. </w:t>
      </w:r>
      <w:bookmarkStart w:id="5" w:name="_Hlk19640728"/>
      <w:r w:rsidR="00B02FAB" w:rsidRPr="00ED093B">
        <w:rPr>
          <w:color w:val="auto"/>
        </w:rPr>
        <w:t xml:space="preserve">Patients must be assessed for suitability for the procedure. This includes completing a safety checklist </w:t>
      </w:r>
      <w:r w:rsidR="00DB0A4E" w:rsidRPr="00ED093B">
        <w:rPr>
          <w:color w:val="auto"/>
        </w:rPr>
        <w:t xml:space="preserve">that </w:t>
      </w:r>
      <w:r w:rsidR="00B02FAB" w:rsidRPr="00ED093B">
        <w:rPr>
          <w:color w:val="auto"/>
        </w:rPr>
        <w:t>is subsequently reviewed and approved by the treating physician. The purpose of the checklist is to identify any contraindications or precautions for using TMS such as the presence of a cardiac pacemaker, seizures, brain surgery, and head injuries. Contraindications and precautions for TMS are well established and previously described in detail</w:t>
      </w:r>
      <w:bookmarkEnd w:id="5"/>
      <w:r w:rsidR="00B02FAB" w:rsidRPr="00ED093B">
        <w:rPr>
          <w:noProof/>
          <w:color w:val="auto"/>
          <w:vertAlign w:val="superscript"/>
        </w:rPr>
        <w:t>24</w:t>
      </w:r>
      <w:r w:rsidR="00897A83" w:rsidRPr="00ED093B">
        <w:rPr>
          <w:color w:val="auto"/>
        </w:rPr>
        <w:t>.</w:t>
      </w:r>
      <w:r w:rsidR="00057FFC" w:rsidRPr="00ED093B">
        <w:rPr>
          <w:color w:val="auto"/>
        </w:rPr>
        <w:t xml:space="preserve"> </w:t>
      </w:r>
    </w:p>
    <w:p w14:paraId="3EF7CBD0" w14:textId="77777777" w:rsidR="00B02FAB" w:rsidRPr="00ED093B" w:rsidRDefault="00B02FAB" w:rsidP="00725D44">
      <w:pPr>
        <w:rPr>
          <w:color w:val="auto"/>
        </w:rPr>
      </w:pPr>
    </w:p>
    <w:p w14:paraId="4352B81D" w14:textId="573E645B" w:rsidR="00B02FAB" w:rsidRPr="00ED093B" w:rsidRDefault="00B02FAB" w:rsidP="00725D44">
      <w:pPr>
        <w:rPr>
          <w:color w:val="auto"/>
        </w:rPr>
      </w:pPr>
      <w:r w:rsidRPr="00ED093B">
        <w:rPr>
          <w:color w:val="auto"/>
        </w:rPr>
        <w:t xml:space="preserve">A patient </w:t>
      </w:r>
      <w:proofErr w:type="gramStart"/>
      <w:r w:rsidRPr="00ED093B">
        <w:rPr>
          <w:color w:val="auto"/>
        </w:rPr>
        <w:t>is considered to be</w:t>
      </w:r>
      <w:proofErr w:type="gramEnd"/>
      <w:r w:rsidRPr="00ED093B">
        <w:rPr>
          <w:color w:val="auto"/>
        </w:rPr>
        <w:t xml:space="preserve"> MEP+ if a MEP is consistently present at an appropriate latency (20–30 </w:t>
      </w:r>
      <w:proofErr w:type="spellStart"/>
      <w:r w:rsidRPr="00ED093B">
        <w:rPr>
          <w:color w:val="auto"/>
        </w:rPr>
        <w:t>ms</w:t>
      </w:r>
      <w:proofErr w:type="spellEnd"/>
      <w:r w:rsidRPr="00ED093B">
        <w:rPr>
          <w:color w:val="auto"/>
        </w:rPr>
        <w:t xml:space="preserve"> for FDI, 15–25 </w:t>
      </w:r>
      <w:proofErr w:type="spellStart"/>
      <w:r w:rsidRPr="00ED093B">
        <w:rPr>
          <w:color w:val="auto"/>
        </w:rPr>
        <w:t>ms</w:t>
      </w:r>
      <w:proofErr w:type="spellEnd"/>
      <w:r w:rsidRPr="00ED093B">
        <w:rPr>
          <w:color w:val="auto"/>
        </w:rPr>
        <w:t xml:space="preserve"> for ECR) and with any peak-to-peak amplitude. The patient is MEP+ whether a MEP is elicited at rest or while attempting voluntary UL facilitation. The MEP only needs to be present in one muscle for the patient to be considered MEP+. This protocol differs from other protocols </w:t>
      </w:r>
      <w:r w:rsidR="00DB0A4E" w:rsidRPr="00ED093B">
        <w:rPr>
          <w:color w:val="auto"/>
        </w:rPr>
        <w:t xml:space="preserve">that </w:t>
      </w:r>
      <w:r w:rsidRPr="00ED093B">
        <w:rPr>
          <w:color w:val="auto"/>
        </w:rPr>
        <w:t>may require a MEP to exceed 50 µV in peak</w:t>
      </w:r>
      <w:r w:rsidR="00DB0A4E" w:rsidRPr="00ED093B">
        <w:rPr>
          <w:color w:val="auto"/>
        </w:rPr>
        <w:t>-</w:t>
      </w:r>
      <w:r w:rsidRPr="00ED093B">
        <w:rPr>
          <w:color w:val="auto"/>
        </w:rPr>
        <w:t>to</w:t>
      </w:r>
      <w:r w:rsidR="00DB0A4E" w:rsidRPr="00ED093B">
        <w:rPr>
          <w:color w:val="auto"/>
        </w:rPr>
        <w:t>-</w:t>
      </w:r>
      <w:r w:rsidRPr="00ED093B">
        <w:rPr>
          <w:color w:val="auto"/>
        </w:rPr>
        <w:t xml:space="preserve">peak amplitude for at least 5 out of 10 traces. </w:t>
      </w:r>
      <w:r w:rsidR="0098541D" w:rsidRPr="00ED093B">
        <w:rPr>
          <w:color w:val="auto"/>
        </w:rPr>
        <w:t xml:space="preserve">These </w:t>
      </w:r>
      <w:r w:rsidRPr="00ED093B">
        <w:rPr>
          <w:color w:val="auto"/>
        </w:rPr>
        <w:t>other protocols are designed to establish the patient</w:t>
      </w:r>
      <w:r w:rsidR="003E6B0F" w:rsidRPr="00ED093B">
        <w:rPr>
          <w:color w:val="auto"/>
        </w:rPr>
        <w:t>’s</w:t>
      </w:r>
      <w:r w:rsidRPr="00ED093B">
        <w:rPr>
          <w:color w:val="auto"/>
        </w:rPr>
        <w:t xml:space="preserve"> rest motor threshold as a basis for further neurophysiological assessment. For prediction of UL recovery, the simple presence or absence of a MEP is a stronger predictor than MEP amplitude and identifying the rest motor threshold is not required</w:t>
      </w:r>
      <w:r w:rsidR="001C6569" w:rsidRPr="00ED093B">
        <w:rPr>
          <w:color w:val="auto"/>
          <w:vertAlign w:val="superscript"/>
        </w:rPr>
        <w:t>8,</w:t>
      </w:r>
      <w:r w:rsidRPr="00ED093B">
        <w:rPr>
          <w:noProof/>
          <w:color w:val="auto"/>
          <w:vertAlign w:val="superscript"/>
        </w:rPr>
        <w:t>9,</w:t>
      </w:r>
      <w:r w:rsidR="00F4563B" w:rsidRPr="00ED093B">
        <w:rPr>
          <w:noProof/>
          <w:color w:val="auto"/>
          <w:vertAlign w:val="superscript"/>
        </w:rPr>
        <w:t>16,</w:t>
      </w:r>
      <w:r w:rsidRPr="00ED093B">
        <w:rPr>
          <w:noProof/>
          <w:color w:val="auto"/>
          <w:vertAlign w:val="superscript"/>
        </w:rPr>
        <w:t>25</w:t>
      </w:r>
      <w:r w:rsidR="00897A83" w:rsidRPr="00ED093B">
        <w:rPr>
          <w:color w:val="auto"/>
        </w:rPr>
        <w:t>.</w:t>
      </w:r>
    </w:p>
    <w:p w14:paraId="576E0A4C" w14:textId="77777777" w:rsidR="00B02FAB" w:rsidRPr="00ED093B" w:rsidRDefault="00B02FAB" w:rsidP="00725D44">
      <w:pPr>
        <w:rPr>
          <w:color w:val="auto"/>
        </w:rPr>
      </w:pPr>
    </w:p>
    <w:p w14:paraId="338DF6AD" w14:textId="664D02F6" w:rsidR="00B02FAB" w:rsidRPr="00ED093B" w:rsidRDefault="00ED093B" w:rsidP="00725D44">
      <w:pPr>
        <w:rPr>
          <w:color w:val="auto"/>
        </w:rPr>
      </w:pPr>
      <w:r w:rsidRPr="00ED093B">
        <w:rPr>
          <w:b/>
          <w:bCs/>
          <w:color w:val="auto"/>
        </w:rPr>
        <w:t>Figure 2</w:t>
      </w:r>
      <w:r>
        <w:rPr>
          <w:color w:val="auto"/>
        </w:rPr>
        <w:t xml:space="preserve">, </w:t>
      </w:r>
      <w:r w:rsidRPr="00ED093B">
        <w:rPr>
          <w:b/>
          <w:bCs/>
          <w:color w:val="auto"/>
        </w:rPr>
        <w:t>Figure 3</w:t>
      </w:r>
      <w:r>
        <w:rPr>
          <w:color w:val="auto"/>
        </w:rPr>
        <w:t xml:space="preserve">, and </w:t>
      </w:r>
      <w:bookmarkStart w:id="6" w:name="_GoBack"/>
      <w:r w:rsidRPr="00ED093B">
        <w:rPr>
          <w:b/>
          <w:bCs/>
          <w:color w:val="auto"/>
        </w:rPr>
        <w:t>Figure 4</w:t>
      </w:r>
      <w:r w:rsidR="00B02FAB" w:rsidRPr="00ED093B">
        <w:rPr>
          <w:color w:val="auto"/>
        </w:rPr>
        <w:t xml:space="preserve"> </w:t>
      </w:r>
      <w:bookmarkEnd w:id="6"/>
      <w:r w:rsidR="00B02FAB" w:rsidRPr="00ED093B">
        <w:rPr>
          <w:color w:val="auto"/>
        </w:rPr>
        <w:t>provide examples of EMG recordings from patients tested with TMS within 1 week of stroke.</w:t>
      </w:r>
    </w:p>
    <w:p w14:paraId="683D285B" w14:textId="77777777" w:rsidR="00B02FAB" w:rsidRPr="00ED093B" w:rsidRDefault="00B02FAB" w:rsidP="00725D44">
      <w:pPr>
        <w:rPr>
          <w:color w:val="auto"/>
        </w:rPr>
      </w:pPr>
    </w:p>
    <w:p w14:paraId="0D421F47" w14:textId="77777777" w:rsidR="00B02FAB" w:rsidRPr="00ED093B" w:rsidRDefault="00B02FAB" w:rsidP="00725D44">
      <w:pPr>
        <w:rPr>
          <w:color w:val="auto"/>
        </w:rPr>
      </w:pPr>
      <w:r w:rsidRPr="00ED093B">
        <w:rPr>
          <w:color w:val="auto"/>
        </w:rPr>
        <w:t>(Insert Figure 2 here)</w:t>
      </w:r>
      <w:r w:rsidRPr="00ED093B">
        <w:rPr>
          <w:noProof/>
          <w:color w:val="auto"/>
          <w:lang w:eastAsia="en-NZ"/>
        </w:rPr>
        <w:t xml:space="preserve"> </w:t>
      </w:r>
    </w:p>
    <w:p w14:paraId="3CB68FB4" w14:textId="77777777" w:rsidR="00B02FAB" w:rsidRPr="00ED093B" w:rsidRDefault="00B02FAB" w:rsidP="00725D44">
      <w:pPr>
        <w:rPr>
          <w:color w:val="auto"/>
        </w:rPr>
      </w:pPr>
    </w:p>
    <w:p w14:paraId="42B3CCF9" w14:textId="77777777" w:rsidR="00B02FAB" w:rsidRPr="00ED093B" w:rsidRDefault="00B02FAB" w:rsidP="00725D44">
      <w:pPr>
        <w:rPr>
          <w:color w:val="auto"/>
        </w:rPr>
      </w:pPr>
      <w:r w:rsidRPr="00ED093B">
        <w:rPr>
          <w:color w:val="auto"/>
        </w:rPr>
        <w:t>(Insert Figure 3 here)</w:t>
      </w:r>
    </w:p>
    <w:p w14:paraId="06CB4B78" w14:textId="77777777" w:rsidR="00B02FAB" w:rsidRPr="00ED093B" w:rsidRDefault="00B02FAB" w:rsidP="00725D44">
      <w:pPr>
        <w:rPr>
          <w:color w:val="auto"/>
        </w:rPr>
      </w:pPr>
    </w:p>
    <w:p w14:paraId="401AFA5C" w14:textId="77777777" w:rsidR="00B02FAB" w:rsidRPr="00ED093B" w:rsidRDefault="00B02FAB" w:rsidP="00725D44">
      <w:pPr>
        <w:rPr>
          <w:color w:val="auto"/>
        </w:rPr>
      </w:pPr>
      <w:r w:rsidRPr="00ED093B">
        <w:rPr>
          <w:color w:val="auto"/>
        </w:rPr>
        <w:t>(Insert Figure 4 here)</w:t>
      </w:r>
    </w:p>
    <w:p w14:paraId="66036500" w14:textId="77777777" w:rsidR="00B02FAB" w:rsidRPr="00ED093B" w:rsidRDefault="00B02FAB" w:rsidP="00725D44">
      <w:pPr>
        <w:rPr>
          <w:color w:val="auto"/>
        </w:rPr>
      </w:pPr>
    </w:p>
    <w:p w14:paraId="74712DFE" w14:textId="751132C2" w:rsidR="00ED093B" w:rsidRDefault="00B02FAB" w:rsidP="00725D44">
      <w:pPr>
        <w:rPr>
          <w:color w:val="auto"/>
        </w:rPr>
      </w:pPr>
      <w:r w:rsidRPr="00ED093B">
        <w:rPr>
          <w:b/>
          <w:color w:val="auto"/>
        </w:rPr>
        <w:t>FIGURE AND TABLE LEGENDS:</w:t>
      </w:r>
      <w:r w:rsidRPr="00ED093B">
        <w:rPr>
          <w:color w:val="auto"/>
        </w:rPr>
        <w:t xml:space="preserve"> </w:t>
      </w:r>
    </w:p>
    <w:p w14:paraId="2FD52B4C" w14:textId="77777777" w:rsidR="00ED093B" w:rsidRPr="00ED093B" w:rsidRDefault="00ED093B" w:rsidP="00725D44">
      <w:pPr>
        <w:rPr>
          <w:color w:val="auto"/>
        </w:rPr>
      </w:pPr>
    </w:p>
    <w:p w14:paraId="0663E1EA" w14:textId="5B4DC1D1" w:rsidR="00B02FAB" w:rsidRPr="00ED093B" w:rsidRDefault="00B02FAB" w:rsidP="00725D44">
      <w:pPr>
        <w:rPr>
          <w:color w:val="auto"/>
        </w:rPr>
      </w:pPr>
      <w:r w:rsidRPr="00ED093B">
        <w:rPr>
          <w:b/>
          <w:bCs/>
          <w:color w:val="auto"/>
        </w:rPr>
        <w:t>Figure 1</w:t>
      </w:r>
      <w:r w:rsidR="00DB0A4E" w:rsidRPr="00ED093B">
        <w:rPr>
          <w:b/>
          <w:bCs/>
          <w:color w:val="auto"/>
        </w:rPr>
        <w:t>:</w:t>
      </w:r>
      <w:r w:rsidRPr="00ED093B">
        <w:rPr>
          <w:b/>
          <w:bCs/>
          <w:color w:val="auto"/>
        </w:rPr>
        <w:t xml:space="preserve"> The PREP2 algorithm</w:t>
      </w:r>
      <w:r w:rsidR="00897A83" w:rsidRPr="00ED093B">
        <w:rPr>
          <w:color w:val="auto"/>
        </w:rPr>
        <w:t>.</w:t>
      </w:r>
      <w:r w:rsidRPr="00ED093B">
        <w:rPr>
          <w:color w:val="auto"/>
        </w:rPr>
        <w:t xml:space="preserve"> SAFE = Shoulder Abduction, Finger Extension score, which is the sum of the Medical Research Council grades for each of these movements out of 5, for a total SAFE score out of 10. MEP+ = Motor Evoked Potentials can be elicited from the paretic extensor carpi radialis (ECR) and/or first dorsal interosseous (FDI) muscles of the paretic UL using transcranial magnetic stimulation. NIHSS = National Institutes of Health Stroke Scale. The algorithm predicts one of four possible </w:t>
      </w:r>
      <w:r w:rsidR="006B2E5D" w:rsidRPr="00ED093B">
        <w:rPr>
          <w:color w:val="auto"/>
        </w:rPr>
        <w:t>UL</w:t>
      </w:r>
      <w:r w:rsidRPr="00ED093B">
        <w:rPr>
          <w:color w:val="auto"/>
        </w:rPr>
        <w:t xml:space="preserve"> functional outcomes at 3 months </w:t>
      </w:r>
      <w:r w:rsidR="00FF038C" w:rsidRPr="00ED093B">
        <w:rPr>
          <w:color w:val="auto"/>
        </w:rPr>
        <w:t>poststroke</w:t>
      </w:r>
      <w:r w:rsidRPr="00ED093B">
        <w:rPr>
          <w:color w:val="auto"/>
        </w:rPr>
        <w:t xml:space="preserve">. Each prediction category is associated with a rehabilitation focus that can be used to tailor </w:t>
      </w:r>
      <w:r w:rsidR="006B2E5D" w:rsidRPr="00ED093B">
        <w:rPr>
          <w:color w:val="auto"/>
        </w:rPr>
        <w:t>UL</w:t>
      </w:r>
      <w:r w:rsidRPr="00ED093B">
        <w:rPr>
          <w:color w:val="auto"/>
        </w:rPr>
        <w:t xml:space="preserve"> therapy</w:t>
      </w:r>
      <w:r w:rsidRPr="00ED093B">
        <w:rPr>
          <w:color w:val="auto"/>
          <w:vertAlign w:val="superscript"/>
        </w:rPr>
        <w:t>2</w:t>
      </w:r>
      <w:r w:rsidR="00897A83" w:rsidRPr="00ED093B">
        <w:rPr>
          <w:color w:val="auto"/>
        </w:rPr>
        <w:t>.</w:t>
      </w:r>
      <w:r w:rsidRPr="00ED093B">
        <w:rPr>
          <w:color w:val="auto"/>
        </w:rPr>
        <w:t xml:space="preserve"> The colored dots represent, proportionally, PREP2 algorithm accuracy. The dots are color</w:t>
      </w:r>
      <w:r w:rsidR="003E6B0F" w:rsidRPr="00ED093B">
        <w:rPr>
          <w:color w:val="auto"/>
        </w:rPr>
        <w:t>-</w:t>
      </w:r>
      <w:r w:rsidRPr="00ED093B">
        <w:rPr>
          <w:color w:val="auto"/>
        </w:rPr>
        <w:t xml:space="preserve">coded based on the outcome category </w:t>
      </w:r>
      <w:proofErr w:type="gramStart"/>
      <w:r w:rsidRPr="00ED093B">
        <w:rPr>
          <w:color w:val="auto"/>
        </w:rPr>
        <w:t>actually achieved</w:t>
      </w:r>
      <w:proofErr w:type="gramEnd"/>
      <w:r w:rsidRPr="00ED093B">
        <w:rPr>
          <w:color w:val="auto"/>
        </w:rPr>
        <w:t xml:space="preserve"> 3 months </w:t>
      </w:r>
      <w:r w:rsidR="00FF038C" w:rsidRPr="00ED093B">
        <w:rPr>
          <w:color w:val="auto"/>
        </w:rPr>
        <w:t>poststroke</w:t>
      </w:r>
      <w:r w:rsidRPr="00ED093B">
        <w:rPr>
          <w:color w:val="auto"/>
        </w:rPr>
        <w:t xml:space="preserve"> (Green = Excellent</w:t>
      </w:r>
      <w:r w:rsidR="00DB0A4E" w:rsidRPr="00ED093B">
        <w:rPr>
          <w:color w:val="auto"/>
        </w:rPr>
        <w:t>;</w:t>
      </w:r>
      <w:r w:rsidRPr="00ED093B">
        <w:rPr>
          <w:color w:val="auto"/>
        </w:rPr>
        <w:t xml:space="preserve"> Blue = Good</w:t>
      </w:r>
      <w:r w:rsidR="00DB0A4E" w:rsidRPr="00ED093B">
        <w:rPr>
          <w:color w:val="auto"/>
        </w:rPr>
        <w:t>;</w:t>
      </w:r>
      <w:r w:rsidRPr="00ED093B">
        <w:rPr>
          <w:color w:val="auto"/>
        </w:rPr>
        <w:t xml:space="preserve"> Orange = Limited</w:t>
      </w:r>
      <w:r w:rsidR="00DB0A4E" w:rsidRPr="00ED093B">
        <w:rPr>
          <w:color w:val="auto"/>
        </w:rPr>
        <w:t>;</w:t>
      </w:r>
      <w:r w:rsidRPr="00ED093B">
        <w:rPr>
          <w:color w:val="auto"/>
        </w:rPr>
        <w:t xml:space="preserve"> Red = Poor). Figure reproduced from </w:t>
      </w:r>
      <w:proofErr w:type="spellStart"/>
      <w:r w:rsidRPr="00ED093B">
        <w:rPr>
          <w:color w:val="auto"/>
        </w:rPr>
        <w:t>Stinear</w:t>
      </w:r>
      <w:proofErr w:type="spellEnd"/>
      <w:r w:rsidRPr="00ED093B">
        <w:rPr>
          <w:color w:val="auto"/>
        </w:rPr>
        <w:t xml:space="preserve"> et al.</w:t>
      </w:r>
      <w:r w:rsidRPr="00ED093B">
        <w:rPr>
          <w:noProof/>
          <w:color w:val="auto"/>
          <w:vertAlign w:val="superscript"/>
        </w:rPr>
        <w:t>17</w:t>
      </w:r>
      <w:r w:rsidR="0098541D" w:rsidRPr="00ED093B">
        <w:rPr>
          <w:noProof/>
          <w:color w:val="auto"/>
        </w:rPr>
        <w:t>.</w:t>
      </w:r>
    </w:p>
    <w:p w14:paraId="40DE7053" w14:textId="77777777" w:rsidR="00B02FAB" w:rsidRPr="00ED093B" w:rsidRDefault="00B02FAB" w:rsidP="00725D44">
      <w:pPr>
        <w:rPr>
          <w:color w:val="auto"/>
        </w:rPr>
      </w:pPr>
    </w:p>
    <w:p w14:paraId="30880156" w14:textId="734CD822" w:rsidR="00B02FAB" w:rsidRPr="00ED093B" w:rsidRDefault="00B02FAB" w:rsidP="00725D44">
      <w:pPr>
        <w:rPr>
          <w:color w:val="auto"/>
        </w:rPr>
      </w:pPr>
      <w:r w:rsidRPr="00ED093B">
        <w:rPr>
          <w:b/>
          <w:bCs/>
          <w:color w:val="auto"/>
        </w:rPr>
        <w:lastRenderedPageBreak/>
        <w:t>Figure 2</w:t>
      </w:r>
      <w:r w:rsidR="00DB0A4E" w:rsidRPr="00ED093B">
        <w:rPr>
          <w:b/>
          <w:bCs/>
          <w:color w:val="auto"/>
        </w:rPr>
        <w:t>:</w:t>
      </w:r>
      <w:r w:rsidRPr="00ED093B">
        <w:rPr>
          <w:b/>
          <w:bCs/>
          <w:color w:val="auto"/>
        </w:rPr>
        <w:t xml:space="preserve"> Examples of </w:t>
      </w:r>
      <w:r w:rsidR="00DB0A4E" w:rsidRPr="00ED093B">
        <w:rPr>
          <w:b/>
          <w:bCs/>
          <w:color w:val="auto"/>
        </w:rPr>
        <w:t xml:space="preserve">MEP+ </w:t>
      </w:r>
      <w:r w:rsidRPr="00ED093B">
        <w:rPr>
          <w:b/>
          <w:bCs/>
          <w:color w:val="auto"/>
        </w:rPr>
        <w:t>patients.</w:t>
      </w:r>
      <w:r w:rsidRPr="00ED093B">
        <w:rPr>
          <w:color w:val="auto"/>
        </w:rPr>
        <w:t xml:space="preserve"> </w:t>
      </w:r>
      <w:r w:rsidR="00DB0A4E" w:rsidRPr="00ED093B">
        <w:rPr>
          <w:color w:val="auto"/>
        </w:rPr>
        <w:t>(</w:t>
      </w:r>
      <w:r w:rsidRPr="00ED093B">
        <w:rPr>
          <w:b/>
          <w:bCs/>
          <w:color w:val="auto"/>
        </w:rPr>
        <w:t>A</w:t>
      </w:r>
      <w:r w:rsidR="00DB0A4E" w:rsidRPr="00ED093B">
        <w:rPr>
          <w:color w:val="auto"/>
        </w:rPr>
        <w:t>)</w:t>
      </w:r>
      <w:r w:rsidRPr="00ED093B">
        <w:rPr>
          <w:color w:val="auto"/>
        </w:rPr>
        <w:t xml:space="preserve"> This patient ha</w:t>
      </w:r>
      <w:r w:rsidR="0098541D" w:rsidRPr="00ED093B">
        <w:rPr>
          <w:color w:val="auto"/>
        </w:rPr>
        <w:t>d</w:t>
      </w:r>
      <w:r w:rsidRPr="00ED093B">
        <w:rPr>
          <w:color w:val="auto"/>
        </w:rPr>
        <w:t xml:space="preserve"> MEPs in </w:t>
      </w:r>
      <w:r w:rsidR="00DB0A4E" w:rsidRPr="00ED093B">
        <w:rPr>
          <w:color w:val="auto"/>
        </w:rPr>
        <w:t xml:space="preserve">the </w:t>
      </w:r>
      <w:r w:rsidRPr="00ED093B">
        <w:rPr>
          <w:color w:val="auto"/>
        </w:rPr>
        <w:t xml:space="preserve">paretic FDI (top trace) and ECR muscles (bottom trace). The FDI MEP latency (25 </w:t>
      </w:r>
      <w:proofErr w:type="spellStart"/>
      <w:r w:rsidRPr="00ED093B">
        <w:rPr>
          <w:color w:val="auto"/>
        </w:rPr>
        <w:t>ms</w:t>
      </w:r>
      <w:proofErr w:type="spellEnd"/>
      <w:r w:rsidRPr="00ED093B">
        <w:rPr>
          <w:color w:val="auto"/>
        </w:rPr>
        <w:t xml:space="preserve">) </w:t>
      </w:r>
      <w:r w:rsidR="0098541D" w:rsidRPr="00ED093B">
        <w:rPr>
          <w:color w:val="auto"/>
        </w:rPr>
        <w:t xml:space="preserve">was </w:t>
      </w:r>
      <w:r w:rsidRPr="00ED093B">
        <w:rPr>
          <w:color w:val="auto"/>
        </w:rPr>
        <w:t xml:space="preserve">slightly longer than ECR (21 </w:t>
      </w:r>
      <w:proofErr w:type="spellStart"/>
      <w:r w:rsidRPr="00ED093B">
        <w:rPr>
          <w:color w:val="auto"/>
        </w:rPr>
        <w:t>ms</w:t>
      </w:r>
      <w:proofErr w:type="spellEnd"/>
      <w:r w:rsidRPr="00ED093B">
        <w:rPr>
          <w:color w:val="auto"/>
        </w:rPr>
        <w:t xml:space="preserve">), as expected. </w:t>
      </w:r>
      <w:r w:rsidR="00DB0A4E" w:rsidRPr="00ED093B">
        <w:rPr>
          <w:color w:val="auto"/>
        </w:rPr>
        <w:t>(</w:t>
      </w:r>
      <w:r w:rsidRPr="00ED093B">
        <w:rPr>
          <w:b/>
          <w:bCs/>
          <w:color w:val="auto"/>
        </w:rPr>
        <w:t>B</w:t>
      </w:r>
      <w:r w:rsidR="00DB0A4E" w:rsidRPr="00ED093B">
        <w:rPr>
          <w:color w:val="auto"/>
        </w:rPr>
        <w:t>)</w:t>
      </w:r>
      <w:r w:rsidRPr="00ED093B">
        <w:rPr>
          <w:color w:val="auto"/>
        </w:rPr>
        <w:t xml:space="preserve"> This patient ha</w:t>
      </w:r>
      <w:r w:rsidR="0098541D" w:rsidRPr="00ED093B">
        <w:rPr>
          <w:color w:val="auto"/>
        </w:rPr>
        <w:t>d</w:t>
      </w:r>
      <w:r w:rsidRPr="00ED093B">
        <w:rPr>
          <w:color w:val="auto"/>
        </w:rPr>
        <w:t xml:space="preserve"> MEPs in the FDI and ECR muscles. The ECR MEP amplitude </w:t>
      </w:r>
      <w:r w:rsidR="0098541D" w:rsidRPr="00ED093B">
        <w:rPr>
          <w:color w:val="auto"/>
        </w:rPr>
        <w:t xml:space="preserve">was </w:t>
      </w:r>
      <w:r w:rsidRPr="00ED093B">
        <w:rPr>
          <w:color w:val="auto"/>
        </w:rPr>
        <w:t xml:space="preserve">small (40 µV) but </w:t>
      </w:r>
      <w:r w:rsidR="00ED093B" w:rsidRPr="00ED093B">
        <w:rPr>
          <w:color w:val="auto"/>
        </w:rPr>
        <w:t>occurred</w:t>
      </w:r>
      <w:r w:rsidRPr="00ED093B">
        <w:rPr>
          <w:color w:val="auto"/>
        </w:rPr>
        <w:t xml:space="preserve"> at an appropriate latency. While this patient clearly ha</w:t>
      </w:r>
      <w:r w:rsidR="0098541D" w:rsidRPr="00ED093B">
        <w:rPr>
          <w:color w:val="auto"/>
        </w:rPr>
        <w:t>d</w:t>
      </w:r>
      <w:r w:rsidRPr="00ED093B">
        <w:rPr>
          <w:color w:val="auto"/>
        </w:rPr>
        <w:t xml:space="preserve"> a large FDI MEP, they would be considered MEP+ based on the ECR trace alone. </w:t>
      </w:r>
      <w:r w:rsidR="001A39BC" w:rsidRPr="00ED093B">
        <w:rPr>
          <w:color w:val="auto"/>
        </w:rPr>
        <w:t>(</w:t>
      </w:r>
      <w:r w:rsidRPr="00ED093B">
        <w:rPr>
          <w:b/>
          <w:bCs/>
          <w:color w:val="auto"/>
        </w:rPr>
        <w:t>C</w:t>
      </w:r>
      <w:r w:rsidR="001A39BC" w:rsidRPr="00ED093B">
        <w:rPr>
          <w:color w:val="auto"/>
        </w:rPr>
        <w:t>)</w:t>
      </w:r>
      <w:r w:rsidRPr="00ED093B">
        <w:rPr>
          <w:color w:val="auto"/>
        </w:rPr>
        <w:t xml:space="preserve"> This patient ha</w:t>
      </w:r>
      <w:r w:rsidR="0098541D" w:rsidRPr="00ED093B">
        <w:rPr>
          <w:color w:val="auto"/>
        </w:rPr>
        <w:t>d</w:t>
      </w:r>
      <w:r w:rsidRPr="00ED093B">
        <w:rPr>
          <w:color w:val="auto"/>
        </w:rPr>
        <w:t xml:space="preserve"> a small MEP in the FDI muscle (40 µV) and no MEP in the ECR muscle. The MEP </w:t>
      </w:r>
      <w:r w:rsidR="00ED093B" w:rsidRPr="00ED093B">
        <w:rPr>
          <w:color w:val="auto"/>
        </w:rPr>
        <w:t>occurred</w:t>
      </w:r>
      <w:r w:rsidRPr="00ED093B">
        <w:rPr>
          <w:color w:val="auto"/>
        </w:rPr>
        <w:t xml:space="preserve"> at an appropriate latency (27.5 </w:t>
      </w:r>
      <w:proofErr w:type="spellStart"/>
      <w:r w:rsidRPr="00ED093B">
        <w:rPr>
          <w:color w:val="auto"/>
        </w:rPr>
        <w:t>ms</w:t>
      </w:r>
      <w:proofErr w:type="spellEnd"/>
      <w:r w:rsidRPr="00ED093B">
        <w:rPr>
          <w:color w:val="auto"/>
        </w:rPr>
        <w:t>)</w:t>
      </w:r>
      <w:r w:rsidR="0098541D" w:rsidRPr="00ED093B">
        <w:rPr>
          <w:color w:val="auto"/>
        </w:rPr>
        <w:t>.</w:t>
      </w:r>
      <w:r w:rsidRPr="00ED093B">
        <w:rPr>
          <w:color w:val="auto"/>
        </w:rPr>
        <w:t xml:space="preserve"> </w:t>
      </w:r>
      <w:r w:rsidR="0098541D" w:rsidRPr="00ED093B">
        <w:rPr>
          <w:color w:val="auto"/>
        </w:rPr>
        <w:t xml:space="preserve">This </w:t>
      </w:r>
      <w:r w:rsidRPr="00ED093B">
        <w:rPr>
          <w:color w:val="auto"/>
        </w:rPr>
        <w:t xml:space="preserve">patient can be considered MEP+ </w:t>
      </w:r>
      <w:r w:rsidR="0098541D" w:rsidRPr="00ED093B">
        <w:rPr>
          <w:color w:val="auto"/>
        </w:rPr>
        <w:t xml:space="preserve">because </w:t>
      </w:r>
      <w:r w:rsidRPr="00ED093B">
        <w:rPr>
          <w:color w:val="auto"/>
        </w:rPr>
        <w:t xml:space="preserve">the MEP was observed on at least </w:t>
      </w:r>
      <w:r w:rsidR="002A5A24" w:rsidRPr="00ED093B">
        <w:rPr>
          <w:color w:val="auto"/>
        </w:rPr>
        <w:t xml:space="preserve">five </w:t>
      </w:r>
      <w:r w:rsidRPr="00ED093B">
        <w:rPr>
          <w:color w:val="auto"/>
        </w:rPr>
        <w:t>traces (see step 3.8.1 in protocol).</w:t>
      </w:r>
    </w:p>
    <w:p w14:paraId="6CA80A45" w14:textId="77777777" w:rsidR="00B02FAB" w:rsidRPr="00ED093B" w:rsidRDefault="00B02FAB" w:rsidP="00725D44">
      <w:pPr>
        <w:rPr>
          <w:color w:val="auto"/>
        </w:rPr>
      </w:pPr>
    </w:p>
    <w:p w14:paraId="059EE498" w14:textId="39628958" w:rsidR="00B02FAB" w:rsidRPr="00ED093B" w:rsidRDefault="00B02FAB" w:rsidP="00725D44">
      <w:pPr>
        <w:rPr>
          <w:color w:val="auto"/>
        </w:rPr>
      </w:pPr>
      <w:r w:rsidRPr="00ED093B">
        <w:rPr>
          <w:b/>
          <w:bCs/>
          <w:color w:val="auto"/>
        </w:rPr>
        <w:t>Figure 3</w:t>
      </w:r>
      <w:r w:rsidR="002A5A24" w:rsidRPr="00ED093B">
        <w:rPr>
          <w:b/>
          <w:bCs/>
          <w:color w:val="auto"/>
        </w:rPr>
        <w:t>:</w:t>
      </w:r>
      <w:r w:rsidRPr="00ED093B">
        <w:rPr>
          <w:b/>
          <w:bCs/>
          <w:color w:val="auto"/>
        </w:rPr>
        <w:t xml:space="preserve"> Examples of patients who are MEP-.</w:t>
      </w:r>
      <w:r w:rsidRPr="00ED093B">
        <w:rPr>
          <w:color w:val="auto"/>
        </w:rPr>
        <w:t xml:space="preserve"> These patients failed to demonstrate MEPs at 100% MSO while at rest and attempting active bilateral facilitation to increase the likelihood of eliciting a MEP. The EMG traces do not show muscle activity during facilitation due to severe paresis. </w:t>
      </w:r>
      <w:r w:rsidR="002A5A24" w:rsidRPr="00ED093B">
        <w:rPr>
          <w:color w:val="auto"/>
        </w:rPr>
        <w:t>(</w:t>
      </w:r>
      <w:r w:rsidRPr="00ED093B">
        <w:rPr>
          <w:b/>
          <w:bCs/>
          <w:color w:val="auto"/>
        </w:rPr>
        <w:t>A</w:t>
      </w:r>
      <w:r w:rsidR="002A5A24" w:rsidRPr="00ED093B">
        <w:rPr>
          <w:color w:val="auto"/>
        </w:rPr>
        <w:t>)</w:t>
      </w:r>
      <w:r w:rsidRPr="00ED093B">
        <w:rPr>
          <w:color w:val="auto"/>
        </w:rPr>
        <w:t xml:space="preserve"> This patient ha</w:t>
      </w:r>
      <w:r w:rsidR="0098541D" w:rsidRPr="00ED093B">
        <w:rPr>
          <w:color w:val="auto"/>
        </w:rPr>
        <w:t>d</w:t>
      </w:r>
      <w:r w:rsidRPr="00ED093B">
        <w:rPr>
          <w:color w:val="auto"/>
        </w:rPr>
        <w:t xml:space="preserve"> no MEP of any amplitude in either muscle despite all efforts to elicit one. </w:t>
      </w:r>
      <w:r w:rsidR="002A5A24" w:rsidRPr="00ED093B">
        <w:rPr>
          <w:color w:val="auto"/>
        </w:rPr>
        <w:t>(</w:t>
      </w:r>
      <w:r w:rsidRPr="00ED093B">
        <w:rPr>
          <w:b/>
          <w:bCs/>
          <w:color w:val="auto"/>
        </w:rPr>
        <w:t>B</w:t>
      </w:r>
      <w:r w:rsidR="002A5A24" w:rsidRPr="00ED093B">
        <w:rPr>
          <w:color w:val="auto"/>
        </w:rPr>
        <w:t>)</w:t>
      </w:r>
      <w:r w:rsidRPr="00ED093B">
        <w:rPr>
          <w:color w:val="auto"/>
        </w:rPr>
        <w:t xml:space="preserve"> This patient ha</w:t>
      </w:r>
      <w:r w:rsidR="0098541D" w:rsidRPr="00ED093B">
        <w:rPr>
          <w:color w:val="auto"/>
        </w:rPr>
        <w:t>d</w:t>
      </w:r>
      <w:r w:rsidRPr="00ED093B">
        <w:rPr>
          <w:color w:val="auto"/>
        </w:rPr>
        <w:t xml:space="preserve"> no MEP in the FDI muscle (top trace). The bottom trace (ECR) contains an elongated tail of the stimulus artifact. When this is present during the latency window for either muscle, identification of a MEP can be difficult. See </w:t>
      </w:r>
      <w:r w:rsidRPr="00ED093B">
        <w:rPr>
          <w:b/>
          <w:bCs/>
          <w:color w:val="auto"/>
        </w:rPr>
        <w:t>Figure 4</w:t>
      </w:r>
      <w:r w:rsidRPr="00ED093B">
        <w:rPr>
          <w:color w:val="auto"/>
        </w:rPr>
        <w:t xml:space="preserve"> for advice on troubleshooting EMG noise issues. If the problem cannot be solved, the result of the FDI trace is used, which</w:t>
      </w:r>
      <w:r w:rsidR="0098541D" w:rsidRPr="00ED093B">
        <w:rPr>
          <w:color w:val="auto"/>
        </w:rPr>
        <w:t xml:space="preserve"> in this case</w:t>
      </w:r>
      <w:r w:rsidRPr="00ED093B">
        <w:rPr>
          <w:color w:val="auto"/>
        </w:rPr>
        <w:t xml:space="preserve"> is MEP-. </w:t>
      </w:r>
      <w:r w:rsidR="002A5A24" w:rsidRPr="00ED093B">
        <w:rPr>
          <w:color w:val="auto"/>
        </w:rPr>
        <w:t>(</w:t>
      </w:r>
      <w:r w:rsidRPr="00ED093B">
        <w:rPr>
          <w:b/>
          <w:bCs/>
          <w:color w:val="auto"/>
        </w:rPr>
        <w:t>C</w:t>
      </w:r>
      <w:r w:rsidR="002A5A24" w:rsidRPr="00ED093B">
        <w:rPr>
          <w:color w:val="auto"/>
        </w:rPr>
        <w:t>)</w:t>
      </w:r>
      <w:r w:rsidRPr="00ED093B">
        <w:rPr>
          <w:color w:val="auto"/>
        </w:rPr>
        <w:t xml:space="preserve"> The fluctuation seen in the ECR muscle EMG trace is not a MEP. This is a motor unit firing sporadically. These can be identified due to their uniform shape and appearance at latencies </w:t>
      </w:r>
      <w:r w:rsidR="002A5A24" w:rsidRPr="00ED093B">
        <w:rPr>
          <w:color w:val="auto"/>
        </w:rPr>
        <w:t xml:space="preserve">that </w:t>
      </w:r>
      <w:r w:rsidRPr="00ED093B">
        <w:rPr>
          <w:color w:val="auto"/>
        </w:rPr>
        <w:t>do not correspond with the expected latency for ECR. In this case the motor unit also fires prior to delivery of the TMS stimulus.</w:t>
      </w:r>
    </w:p>
    <w:p w14:paraId="3BB44182" w14:textId="77777777" w:rsidR="00B02FAB" w:rsidRPr="00ED093B" w:rsidRDefault="00B02FAB" w:rsidP="00725D44">
      <w:pPr>
        <w:rPr>
          <w:color w:val="auto"/>
        </w:rPr>
      </w:pPr>
    </w:p>
    <w:p w14:paraId="0D41EB1A" w14:textId="562A1C1A" w:rsidR="00B02FAB" w:rsidRPr="00ED093B" w:rsidRDefault="00B02FAB" w:rsidP="00725D44">
      <w:pPr>
        <w:rPr>
          <w:color w:val="auto"/>
        </w:rPr>
      </w:pPr>
      <w:r w:rsidRPr="00ED093B">
        <w:rPr>
          <w:b/>
          <w:bCs/>
          <w:color w:val="auto"/>
        </w:rPr>
        <w:t>Figure 4</w:t>
      </w:r>
      <w:r w:rsidR="002A5A24" w:rsidRPr="00ED093B">
        <w:rPr>
          <w:b/>
          <w:bCs/>
          <w:color w:val="auto"/>
        </w:rPr>
        <w:t>:</w:t>
      </w:r>
      <w:r w:rsidRPr="00ED093B">
        <w:rPr>
          <w:b/>
          <w:bCs/>
          <w:color w:val="auto"/>
        </w:rPr>
        <w:t xml:space="preserve"> Examples of EMG traces contaminated by electrical noise.</w:t>
      </w:r>
      <w:r w:rsidRPr="00ED093B">
        <w:rPr>
          <w:color w:val="auto"/>
        </w:rPr>
        <w:t xml:space="preserve"> </w:t>
      </w:r>
      <w:r w:rsidR="002A5A24" w:rsidRPr="00ED093B">
        <w:rPr>
          <w:color w:val="auto"/>
        </w:rPr>
        <w:t>(</w:t>
      </w:r>
      <w:r w:rsidR="00ED093B" w:rsidRPr="00ED093B">
        <w:rPr>
          <w:b/>
          <w:bCs/>
          <w:color w:val="auto"/>
        </w:rPr>
        <w:t>A</w:t>
      </w:r>
      <w:r w:rsidR="002A5A24" w:rsidRPr="00ED093B">
        <w:rPr>
          <w:color w:val="auto"/>
        </w:rPr>
        <w:t>)</w:t>
      </w:r>
      <w:r w:rsidRPr="00ED093B">
        <w:rPr>
          <w:color w:val="auto"/>
        </w:rPr>
        <w:t xml:space="preserve"> This patient ha</w:t>
      </w:r>
      <w:r w:rsidR="0098541D" w:rsidRPr="00ED093B">
        <w:rPr>
          <w:color w:val="auto"/>
        </w:rPr>
        <w:t>d</w:t>
      </w:r>
      <w:r w:rsidRPr="00ED093B">
        <w:rPr>
          <w:color w:val="auto"/>
        </w:rPr>
        <w:t xml:space="preserve"> MEPs in both muscles </w:t>
      </w:r>
      <w:r w:rsidR="002A5A24" w:rsidRPr="00ED093B">
        <w:rPr>
          <w:color w:val="auto"/>
        </w:rPr>
        <w:t xml:space="preserve">that </w:t>
      </w:r>
      <w:r w:rsidRPr="00ED093B">
        <w:rPr>
          <w:color w:val="auto"/>
        </w:rPr>
        <w:t xml:space="preserve">are clearly identifiable despite the electrical noise in the FDI trace. </w:t>
      </w:r>
      <w:r w:rsidR="002A5A24" w:rsidRPr="00ED093B">
        <w:rPr>
          <w:color w:val="auto"/>
        </w:rPr>
        <w:t>(</w:t>
      </w:r>
      <w:r w:rsidRPr="00ED093B">
        <w:rPr>
          <w:b/>
          <w:bCs/>
          <w:color w:val="auto"/>
        </w:rPr>
        <w:t>B</w:t>
      </w:r>
      <w:r w:rsidR="002A5A24" w:rsidRPr="00ED093B">
        <w:rPr>
          <w:color w:val="auto"/>
        </w:rPr>
        <w:t>)</w:t>
      </w:r>
      <w:r w:rsidRPr="00ED093B">
        <w:rPr>
          <w:color w:val="auto"/>
        </w:rPr>
        <w:t xml:space="preserve"> This patient ha</w:t>
      </w:r>
      <w:r w:rsidR="0098541D" w:rsidRPr="00ED093B">
        <w:rPr>
          <w:color w:val="auto"/>
        </w:rPr>
        <w:t>d</w:t>
      </w:r>
      <w:r w:rsidRPr="00ED093B">
        <w:rPr>
          <w:color w:val="auto"/>
        </w:rPr>
        <w:t xml:space="preserve"> MEPs only in </w:t>
      </w:r>
      <w:r w:rsidR="002A5A24" w:rsidRPr="00ED093B">
        <w:rPr>
          <w:color w:val="auto"/>
        </w:rPr>
        <w:t xml:space="preserve">the </w:t>
      </w:r>
      <w:r w:rsidRPr="00ED093B">
        <w:rPr>
          <w:color w:val="auto"/>
        </w:rPr>
        <w:t xml:space="preserve">ECR. Noisy signals can be a common problem during EMG recording. The researcher needs to consider whether the noise is environmental (due to issues with electrical noise in the room, or in the EMG setup) or biological (underlying muscle activity from the patient). Troubleshooting suggestions include but are not limited to checking </w:t>
      </w:r>
      <w:r w:rsidR="0098541D" w:rsidRPr="00ED093B">
        <w:rPr>
          <w:color w:val="auto"/>
        </w:rPr>
        <w:t xml:space="preserve">whether </w:t>
      </w:r>
      <w:r w:rsidRPr="00ED093B">
        <w:rPr>
          <w:color w:val="auto"/>
        </w:rPr>
        <w:t>skin preparation was adequate</w:t>
      </w:r>
      <w:r w:rsidR="0015099B" w:rsidRPr="00ED093B">
        <w:rPr>
          <w:color w:val="auto"/>
        </w:rPr>
        <w:t>,</w:t>
      </w:r>
      <w:r w:rsidRPr="00ED093B">
        <w:rPr>
          <w:color w:val="auto"/>
        </w:rPr>
        <w:t xml:space="preserve"> the electrode has lost contact with the skin (this is particularly common with FDI if a patient has perspiration on their hands)</w:t>
      </w:r>
      <w:r w:rsidR="0015099B" w:rsidRPr="00ED093B">
        <w:rPr>
          <w:color w:val="auto"/>
        </w:rPr>
        <w:t>,</w:t>
      </w:r>
      <w:r w:rsidRPr="00ED093B">
        <w:rPr>
          <w:color w:val="auto"/>
        </w:rPr>
        <w:t xml:space="preserve"> </w:t>
      </w:r>
      <w:r w:rsidR="0098541D" w:rsidRPr="00ED093B">
        <w:rPr>
          <w:color w:val="auto"/>
        </w:rPr>
        <w:t xml:space="preserve">issues with </w:t>
      </w:r>
      <w:r w:rsidRPr="00ED093B">
        <w:rPr>
          <w:color w:val="auto"/>
        </w:rPr>
        <w:t>the grounding strap or electrode</w:t>
      </w:r>
      <w:r w:rsidR="0015099B" w:rsidRPr="00ED093B">
        <w:rPr>
          <w:color w:val="auto"/>
        </w:rPr>
        <w:t>,</w:t>
      </w:r>
      <w:r w:rsidRPr="00ED093B">
        <w:rPr>
          <w:color w:val="auto"/>
        </w:rPr>
        <w:t xml:space="preserve"> cables are firmly attached </w:t>
      </w:r>
      <w:r w:rsidR="0098541D" w:rsidRPr="00ED093B">
        <w:rPr>
          <w:color w:val="auto"/>
        </w:rPr>
        <w:t xml:space="preserve">to </w:t>
      </w:r>
      <w:r w:rsidRPr="00ED093B">
        <w:rPr>
          <w:color w:val="auto"/>
        </w:rPr>
        <w:t>the patient and the EMG unit</w:t>
      </w:r>
      <w:r w:rsidR="0015099B" w:rsidRPr="00ED093B">
        <w:rPr>
          <w:color w:val="auto"/>
        </w:rPr>
        <w:t>,</w:t>
      </w:r>
      <w:r w:rsidRPr="00ED093B">
        <w:rPr>
          <w:color w:val="auto"/>
        </w:rPr>
        <w:t xml:space="preserve"> anyone is touching the patient or the TMS trolley during the test</w:t>
      </w:r>
      <w:r w:rsidR="0015099B" w:rsidRPr="00ED093B">
        <w:rPr>
          <w:color w:val="auto"/>
        </w:rPr>
        <w:t>,</w:t>
      </w:r>
      <w:r w:rsidRPr="00ED093B">
        <w:rPr>
          <w:color w:val="auto"/>
        </w:rPr>
        <w:t xml:space="preserve"> unplugging the bed from its electrical power supply</w:t>
      </w:r>
      <w:r w:rsidR="0015099B" w:rsidRPr="00ED093B">
        <w:rPr>
          <w:color w:val="auto"/>
        </w:rPr>
        <w:t>,</w:t>
      </w:r>
      <w:r w:rsidRPr="00ED093B">
        <w:rPr>
          <w:color w:val="auto"/>
        </w:rPr>
        <w:t xml:space="preserve"> adjusting lighting (turn</w:t>
      </w:r>
      <w:r w:rsidR="0098541D" w:rsidRPr="00ED093B">
        <w:rPr>
          <w:color w:val="auto"/>
        </w:rPr>
        <w:t>ing</w:t>
      </w:r>
      <w:r w:rsidRPr="00ED093B">
        <w:rPr>
          <w:color w:val="auto"/>
        </w:rPr>
        <w:t xml:space="preserve"> off fluorescent lighting)</w:t>
      </w:r>
      <w:r w:rsidR="0015099B" w:rsidRPr="00ED093B">
        <w:rPr>
          <w:color w:val="auto"/>
        </w:rPr>
        <w:t>,</w:t>
      </w:r>
      <w:r w:rsidRPr="00ED093B">
        <w:rPr>
          <w:color w:val="auto"/>
        </w:rPr>
        <w:t xml:space="preserve"> and adjusting the patient position so that they are able to relax with their ULs fully supported on pillows. In </w:t>
      </w:r>
      <w:proofErr w:type="gramStart"/>
      <w:r w:rsidRPr="00ED093B">
        <w:rPr>
          <w:color w:val="auto"/>
        </w:rPr>
        <w:t>both of these</w:t>
      </w:r>
      <w:proofErr w:type="gramEnd"/>
      <w:r w:rsidRPr="00ED093B">
        <w:rPr>
          <w:color w:val="auto"/>
        </w:rPr>
        <w:t xml:space="preserve"> traces, the background noise </w:t>
      </w:r>
      <w:r w:rsidR="0098541D" w:rsidRPr="00ED093B">
        <w:rPr>
          <w:color w:val="auto"/>
        </w:rPr>
        <w:t xml:space="preserve">was </w:t>
      </w:r>
      <w:r w:rsidRPr="00ED093B">
        <w:rPr>
          <w:color w:val="auto"/>
        </w:rPr>
        <w:t xml:space="preserve">only present in one muscle. This suggests that noise issues </w:t>
      </w:r>
      <w:r w:rsidR="0098541D" w:rsidRPr="00ED093B">
        <w:rPr>
          <w:color w:val="auto"/>
        </w:rPr>
        <w:t xml:space="preserve">were </w:t>
      </w:r>
      <w:r w:rsidRPr="00ED093B">
        <w:rPr>
          <w:color w:val="auto"/>
        </w:rPr>
        <w:t>specific to the setup for that muscle</w:t>
      </w:r>
      <w:r w:rsidR="0015099B" w:rsidRPr="00ED093B">
        <w:rPr>
          <w:color w:val="auto"/>
        </w:rPr>
        <w:t xml:space="preserve"> (e.g.,</w:t>
      </w:r>
      <w:r w:rsidRPr="00ED093B">
        <w:rPr>
          <w:color w:val="auto"/>
        </w:rPr>
        <w:t xml:space="preserve"> a loose cable, poor electrode conduction due to </w:t>
      </w:r>
      <w:r w:rsidR="0015099B" w:rsidRPr="00ED093B">
        <w:rPr>
          <w:color w:val="auto"/>
        </w:rPr>
        <w:t xml:space="preserve">a </w:t>
      </w:r>
      <w:r w:rsidRPr="00ED093B">
        <w:rPr>
          <w:color w:val="auto"/>
        </w:rPr>
        <w:t xml:space="preserve">lack of contact with </w:t>
      </w:r>
      <w:r w:rsidR="0015099B" w:rsidRPr="00ED093B">
        <w:rPr>
          <w:color w:val="auto"/>
        </w:rPr>
        <w:t xml:space="preserve">the </w:t>
      </w:r>
      <w:r w:rsidRPr="00ED093B">
        <w:rPr>
          <w:color w:val="auto"/>
        </w:rPr>
        <w:t>skin, or a faulty electrode</w:t>
      </w:r>
      <w:r w:rsidR="0015099B" w:rsidRPr="00ED093B">
        <w:rPr>
          <w:color w:val="auto"/>
        </w:rPr>
        <w:t>)</w:t>
      </w:r>
      <w:r w:rsidRPr="00ED093B">
        <w:rPr>
          <w:color w:val="auto"/>
        </w:rPr>
        <w:t>. Noise that is present in the traces for both muscles indicates issues with the grounding electrode or strap or electrical noise in the environment.</w:t>
      </w:r>
    </w:p>
    <w:p w14:paraId="34E4F3E0" w14:textId="77777777" w:rsidR="00B02FAB" w:rsidRPr="00ED093B" w:rsidRDefault="00B02FAB" w:rsidP="00725D44">
      <w:pPr>
        <w:rPr>
          <w:color w:val="auto"/>
        </w:rPr>
      </w:pPr>
    </w:p>
    <w:p w14:paraId="4E6CB164" w14:textId="77777777" w:rsidR="00B02FAB" w:rsidRPr="00ED093B" w:rsidRDefault="00B02FAB" w:rsidP="00725D44">
      <w:pPr>
        <w:rPr>
          <w:b/>
          <w:color w:val="auto"/>
        </w:rPr>
      </w:pPr>
      <w:r w:rsidRPr="00ED093B">
        <w:rPr>
          <w:b/>
          <w:color w:val="auto"/>
        </w:rPr>
        <w:t>DISCUSSION</w:t>
      </w:r>
      <w:r w:rsidRPr="00ED093B">
        <w:rPr>
          <w:b/>
          <w:bCs/>
          <w:color w:val="auto"/>
        </w:rPr>
        <w:t>:</w:t>
      </w:r>
    </w:p>
    <w:p w14:paraId="75C18842" w14:textId="1F85E3A2" w:rsidR="00B02FAB" w:rsidRPr="00ED093B" w:rsidRDefault="00B02FAB" w:rsidP="00725D44">
      <w:pPr>
        <w:rPr>
          <w:color w:val="auto"/>
        </w:rPr>
      </w:pPr>
      <w:bookmarkStart w:id="7" w:name="_Hlk19643996"/>
      <w:r w:rsidRPr="00ED093B">
        <w:rPr>
          <w:color w:val="auto"/>
        </w:rPr>
        <w:t xml:space="preserve">CST function evaluated with MEP status is a key prognostic biomarker for UL recovery and outcome after stroke. </w:t>
      </w:r>
      <w:r w:rsidR="005714D8" w:rsidRPr="00ED093B">
        <w:rPr>
          <w:color w:val="auto"/>
        </w:rPr>
        <w:t xml:space="preserve">A total of </w:t>
      </w:r>
      <w:r w:rsidRPr="00ED093B">
        <w:rPr>
          <w:color w:val="auto"/>
        </w:rPr>
        <w:t xml:space="preserve">95% of patients with a functional CST at </w:t>
      </w:r>
      <w:proofErr w:type="gramStart"/>
      <w:r w:rsidRPr="00ED093B">
        <w:rPr>
          <w:color w:val="auto"/>
        </w:rPr>
        <w:t>1 week</w:t>
      </w:r>
      <w:proofErr w:type="gramEnd"/>
      <w:r w:rsidRPr="00ED093B">
        <w:rPr>
          <w:color w:val="auto"/>
        </w:rPr>
        <w:t xml:space="preserve"> post stroke achieve an Action Research Arm Test (ARAT) score of at least 34 out of 57 by 3 months </w:t>
      </w:r>
      <w:r w:rsidR="00FF038C" w:rsidRPr="00ED093B">
        <w:rPr>
          <w:color w:val="auto"/>
        </w:rPr>
        <w:t>poststroke</w:t>
      </w:r>
      <w:r w:rsidRPr="00ED093B">
        <w:rPr>
          <w:noProof/>
          <w:color w:val="auto"/>
          <w:vertAlign w:val="superscript"/>
        </w:rPr>
        <w:t>17</w:t>
      </w:r>
      <w:r w:rsidR="00897A83" w:rsidRPr="00ED093B">
        <w:rPr>
          <w:color w:val="auto"/>
        </w:rPr>
        <w:t>.</w:t>
      </w:r>
      <w:r w:rsidRPr="00ED093B">
        <w:rPr>
          <w:color w:val="auto"/>
        </w:rPr>
        <w:t xml:space="preserve"> Conversely, 100% of patients without a functional CST at </w:t>
      </w:r>
      <w:proofErr w:type="gramStart"/>
      <w:r w:rsidRPr="00ED093B">
        <w:rPr>
          <w:color w:val="auto"/>
        </w:rPr>
        <w:t>1 week</w:t>
      </w:r>
      <w:proofErr w:type="gramEnd"/>
      <w:r w:rsidRPr="00ED093B">
        <w:rPr>
          <w:color w:val="auto"/>
        </w:rPr>
        <w:t xml:space="preserve"> </w:t>
      </w:r>
      <w:r w:rsidR="00FF038C" w:rsidRPr="00ED093B">
        <w:rPr>
          <w:color w:val="auto"/>
        </w:rPr>
        <w:t>poststroke</w:t>
      </w:r>
      <w:r w:rsidRPr="00ED093B">
        <w:rPr>
          <w:color w:val="auto"/>
        </w:rPr>
        <w:t xml:space="preserve"> achieve </w:t>
      </w:r>
      <w:r w:rsidRPr="00ED093B">
        <w:rPr>
          <w:color w:val="auto"/>
        </w:rPr>
        <w:lastRenderedPageBreak/>
        <w:t xml:space="preserve">an ARAT score </w:t>
      </w:r>
      <w:r w:rsidR="005714D8" w:rsidRPr="00ED093B">
        <w:rPr>
          <w:color w:val="auto"/>
        </w:rPr>
        <w:t xml:space="preserve">of </w:t>
      </w:r>
      <w:r w:rsidRPr="00ED093B">
        <w:rPr>
          <w:color w:val="auto"/>
        </w:rPr>
        <w:t xml:space="preserve">less than 34 by 3 months </w:t>
      </w:r>
      <w:r w:rsidR="00FF038C" w:rsidRPr="00ED093B">
        <w:rPr>
          <w:color w:val="auto"/>
        </w:rPr>
        <w:t>poststroke</w:t>
      </w:r>
      <w:r w:rsidRPr="00ED093B">
        <w:rPr>
          <w:noProof/>
          <w:color w:val="auto"/>
          <w:vertAlign w:val="superscript"/>
        </w:rPr>
        <w:t>17</w:t>
      </w:r>
      <w:r w:rsidR="00897A83" w:rsidRPr="00ED093B">
        <w:rPr>
          <w:color w:val="auto"/>
        </w:rPr>
        <w:t>.</w:t>
      </w:r>
      <w:r w:rsidRPr="00ED093B">
        <w:rPr>
          <w:color w:val="auto"/>
        </w:rPr>
        <w:t xml:space="preserve"> Evaluating CST function within a week </w:t>
      </w:r>
      <w:r w:rsidR="00FF038C" w:rsidRPr="00ED093B">
        <w:rPr>
          <w:color w:val="auto"/>
        </w:rPr>
        <w:t>poststroke</w:t>
      </w:r>
      <w:r w:rsidRPr="00ED093B">
        <w:rPr>
          <w:color w:val="auto"/>
        </w:rPr>
        <w:t xml:space="preserve"> may improve patient selection and stratification in trials aimed at improving UL recovery and outcomes after stroke. </w:t>
      </w:r>
    </w:p>
    <w:bookmarkEnd w:id="7"/>
    <w:p w14:paraId="1C953C72" w14:textId="77777777" w:rsidR="00B02FAB" w:rsidRPr="00ED093B" w:rsidRDefault="00B02FAB" w:rsidP="00725D44">
      <w:pPr>
        <w:rPr>
          <w:color w:val="auto"/>
        </w:rPr>
      </w:pPr>
    </w:p>
    <w:p w14:paraId="243CAD9E" w14:textId="5A10F7D6" w:rsidR="00B02FAB" w:rsidRPr="00ED093B" w:rsidRDefault="00B02FAB" w:rsidP="00725D44">
      <w:pPr>
        <w:rPr>
          <w:color w:val="auto"/>
        </w:rPr>
      </w:pPr>
      <w:r w:rsidRPr="00ED093B">
        <w:rPr>
          <w:color w:val="auto"/>
        </w:rPr>
        <w:t xml:space="preserve">The first consideration for the TMS assessment is patient safety. The TMS safety checklist should be reviewed and signed by a physician prior to </w:t>
      </w:r>
      <w:r w:rsidR="005714D8" w:rsidRPr="00ED093B">
        <w:rPr>
          <w:color w:val="auto"/>
        </w:rPr>
        <w:t xml:space="preserve">the </w:t>
      </w:r>
      <w:r w:rsidRPr="00ED093B">
        <w:rPr>
          <w:color w:val="auto"/>
        </w:rPr>
        <w:t xml:space="preserve">TMS assessment. The checklist also needs to be reviewed with the patient on the day of </w:t>
      </w:r>
      <w:r w:rsidR="005714D8" w:rsidRPr="00ED093B">
        <w:rPr>
          <w:color w:val="auto"/>
        </w:rPr>
        <w:t xml:space="preserve">the </w:t>
      </w:r>
      <w:r w:rsidRPr="00ED093B">
        <w:rPr>
          <w:color w:val="auto"/>
        </w:rPr>
        <w:t xml:space="preserve">TMS assessment, to confirm that there have been no changes to their </w:t>
      </w:r>
      <w:r w:rsidR="005714D8" w:rsidRPr="00ED093B">
        <w:rPr>
          <w:color w:val="auto"/>
        </w:rPr>
        <w:t xml:space="preserve">checklist </w:t>
      </w:r>
      <w:r w:rsidRPr="00ED093B">
        <w:rPr>
          <w:color w:val="auto"/>
        </w:rPr>
        <w:t>answers.</w:t>
      </w:r>
      <w:r w:rsidR="00057FFC" w:rsidRPr="00ED093B">
        <w:rPr>
          <w:color w:val="auto"/>
        </w:rPr>
        <w:t xml:space="preserve"> </w:t>
      </w:r>
      <w:r w:rsidRPr="00ED093B">
        <w:rPr>
          <w:color w:val="auto"/>
        </w:rPr>
        <w:t>It may be more appropriate to conduct the TMS test in a separate procedure room rather than in the patient</w:t>
      </w:r>
      <w:r w:rsidR="003E6B0F" w:rsidRPr="00ED093B">
        <w:rPr>
          <w:color w:val="auto"/>
        </w:rPr>
        <w:t>’s</w:t>
      </w:r>
      <w:r w:rsidRPr="00ED093B">
        <w:rPr>
          <w:color w:val="auto"/>
        </w:rPr>
        <w:t xml:space="preserve"> bed-space. In this situation, </w:t>
      </w:r>
      <w:r w:rsidR="005714D8" w:rsidRPr="00ED093B">
        <w:rPr>
          <w:color w:val="auto"/>
        </w:rPr>
        <w:t xml:space="preserve">the </w:t>
      </w:r>
      <w:r w:rsidRPr="00ED093B">
        <w:rPr>
          <w:color w:val="auto"/>
        </w:rPr>
        <w:t>skin preparation and electrode placement for surface EMG can take place within the patient</w:t>
      </w:r>
      <w:r w:rsidR="003E6B0F" w:rsidRPr="00ED093B">
        <w:rPr>
          <w:color w:val="auto"/>
        </w:rPr>
        <w:t>’s</w:t>
      </w:r>
      <w:r w:rsidRPr="00ED093B">
        <w:rPr>
          <w:color w:val="auto"/>
        </w:rPr>
        <w:t xml:space="preserve"> bed-space before transporting to the procedure room for TMS testing. Preparing the patient at the bed-space minimizes the time for the procedure</w:t>
      </w:r>
      <w:r w:rsidR="005714D8" w:rsidRPr="00ED093B">
        <w:rPr>
          <w:color w:val="auto"/>
        </w:rPr>
        <w:t>,</w:t>
      </w:r>
      <w:r w:rsidRPr="00ED093B">
        <w:rPr>
          <w:color w:val="auto"/>
        </w:rPr>
        <w:t xml:space="preserve"> which may be more tolerable for some patients. If the patient is transported to a procedure room for testing</w:t>
      </w:r>
      <w:r w:rsidR="0041461E" w:rsidRPr="00ED093B">
        <w:rPr>
          <w:color w:val="auto"/>
        </w:rPr>
        <w:t>,</w:t>
      </w:r>
      <w:r w:rsidRPr="00ED093B">
        <w:rPr>
          <w:color w:val="auto"/>
        </w:rPr>
        <w:t xml:space="preserve"> it is important to ensure all supplemental medical devices (</w:t>
      </w:r>
      <w:r w:rsidR="005714D8" w:rsidRPr="00ED093B">
        <w:rPr>
          <w:color w:val="auto"/>
        </w:rPr>
        <w:t xml:space="preserve">e.g., </w:t>
      </w:r>
      <w:r w:rsidRPr="00ED093B">
        <w:rPr>
          <w:color w:val="auto"/>
        </w:rPr>
        <w:t xml:space="preserve">oxygen therapy, IV lines, catheter, inflatable mattress) are functioning appropriately during and after transportation. </w:t>
      </w:r>
    </w:p>
    <w:p w14:paraId="46DD55D3" w14:textId="77777777" w:rsidR="00B02FAB" w:rsidRPr="00ED093B" w:rsidRDefault="00B02FAB" w:rsidP="00725D44">
      <w:pPr>
        <w:rPr>
          <w:color w:val="auto"/>
        </w:rPr>
      </w:pPr>
    </w:p>
    <w:p w14:paraId="343247CF" w14:textId="3ED267F9" w:rsidR="00B02FAB" w:rsidRPr="00ED093B" w:rsidRDefault="00B02FAB" w:rsidP="00725D44">
      <w:pPr>
        <w:rPr>
          <w:color w:val="auto"/>
        </w:rPr>
      </w:pPr>
      <w:r w:rsidRPr="00ED093B">
        <w:rPr>
          <w:color w:val="auto"/>
        </w:rPr>
        <w:t xml:space="preserve">Patient positioning is also an important consideration. A patient who is very fatigued </w:t>
      </w:r>
      <w:r w:rsidR="00FF038C" w:rsidRPr="00ED093B">
        <w:rPr>
          <w:color w:val="auto"/>
        </w:rPr>
        <w:t>poststroke</w:t>
      </w:r>
      <w:r w:rsidRPr="00ED093B">
        <w:rPr>
          <w:color w:val="auto"/>
        </w:rPr>
        <w:t xml:space="preserve"> is likely to be more comfortable if tested in their bed rather than a chair. Testing a patient in the bed can be more challenging, but with careful patient positioning it is possible to position the TMS coil appropriately over the UL representation of the motor cortex with the correct coil orientation. Testing the patient in </w:t>
      </w:r>
      <w:r w:rsidR="0041461E" w:rsidRPr="00ED093B">
        <w:rPr>
          <w:color w:val="auto"/>
        </w:rPr>
        <w:t xml:space="preserve">a </w:t>
      </w:r>
      <w:r w:rsidRPr="00ED093B">
        <w:rPr>
          <w:color w:val="auto"/>
        </w:rPr>
        <w:t>chair provides easier access to the head with the TMS coil but provides greater challenges with patient transfers.</w:t>
      </w:r>
    </w:p>
    <w:p w14:paraId="07F9A6F8" w14:textId="77777777" w:rsidR="00B02FAB" w:rsidRPr="00ED093B" w:rsidRDefault="00B02FAB" w:rsidP="00725D44">
      <w:pPr>
        <w:rPr>
          <w:color w:val="auto"/>
        </w:rPr>
      </w:pPr>
    </w:p>
    <w:p w14:paraId="0F87389C" w14:textId="34F13749" w:rsidR="00B02FAB" w:rsidRPr="00ED093B" w:rsidRDefault="00B02FAB" w:rsidP="00725D44">
      <w:pPr>
        <w:rPr>
          <w:color w:val="auto"/>
        </w:rPr>
      </w:pPr>
      <w:r w:rsidRPr="00ED093B">
        <w:rPr>
          <w:color w:val="auto"/>
        </w:rPr>
        <w:t>The TMS setup described in this protocol may vary based on the TMS equipment available and patient factors. A flat figure-</w:t>
      </w:r>
      <w:r w:rsidR="00A00146" w:rsidRPr="00ED093B">
        <w:rPr>
          <w:color w:val="auto"/>
        </w:rPr>
        <w:t xml:space="preserve">eight </w:t>
      </w:r>
      <w:r w:rsidRPr="00ED093B">
        <w:rPr>
          <w:color w:val="auto"/>
        </w:rPr>
        <w:t>coil was used here but could be substituted with a figure-</w:t>
      </w:r>
      <w:r w:rsidR="00A00146" w:rsidRPr="00ED093B">
        <w:rPr>
          <w:color w:val="auto"/>
        </w:rPr>
        <w:t xml:space="preserve">eight </w:t>
      </w:r>
      <w:r w:rsidRPr="00ED093B">
        <w:rPr>
          <w:color w:val="auto"/>
        </w:rPr>
        <w:t xml:space="preserve">branding coil or circular coil. Similarly, electrode placement may vary depending on the length of </w:t>
      </w:r>
      <w:r w:rsidR="001D305A" w:rsidRPr="00ED093B">
        <w:rPr>
          <w:color w:val="auto"/>
        </w:rPr>
        <w:t xml:space="preserve">the </w:t>
      </w:r>
      <w:r w:rsidRPr="00ED093B">
        <w:rPr>
          <w:color w:val="auto"/>
        </w:rPr>
        <w:t>electrode leads, or issues with placement due to skin lesions, IV cannula</w:t>
      </w:r>
      <w:r w:rsidR="001D305A" w:rsidRPr="00ED093B">
        <w:rPr>
          <w:color w:val="auto"/>
        </w:rPr>
        <w:t>,</w:t>
      </w:r>
      <w:r w:rsidRPr="00ED093B">
        <w:rPr>
          <w:color w:val="auto"/>
        </w:rPr>
        <w:t xml:space="preserve"> and dressings. Typical FDI placement involves one electrode over the FDI muscle belly and one over the lateral aspect of the second metacarpophalangeal joint. This protocol describes a belly-tendon montage for FDI electrode positioning, with the second electrode placed on the dorsum of the hand. Placing the second electrode over the dorsum of the hand is </w:t>
      </w:r>
      <w:r w:rsidR="0041461E" w:rsidRPr="00ED093B">
        <w:rPr>
          <w:color w:val="auto"/>
        </w:rPr>
        <w:t>helpful</w:t>
      </w:r>
      <w:r w:rsidRPr="00ED093B">
        <w:rPr>
          <w:color w:val="auto"/>
        </w:rPr>
        <w:t xml:space="preserve"> if the patient is perspiring or the electrodes themselves are too large to fit in the standard configuration.</w:t>
      </w:r>
    </w:p>
    <w:p w14:paraId="51937B35" w14:textId="77777777" w:rsidR="00B02FAB" w:rsidRPr="00ED093B" w:rsidRDefault="00B02FAB" w:rsidP="00725D44">
      <w:pPr>
        <w:rPr>
          <w:color w:val="auto"/>
        </w:rPr>
      </w:pPr>
    </w:p>
    <w:p w14:paraId="21EA857C" w14:textId="2AC2CBB5" w:rsidR="00B02FAB" w:rsidRPr="00ED093B" w:rsidRDefault="00B02FAB" w:rsidP="00725D44">
      <w:pPr>
        <w:rPr>
          <w:color w:val="auto"/>
        </w:rPr>
      </w:pPr>
      <w:r w:rsidRPr="00ED093B">
        <w:rPr>
          <w:color w:val="auto"/>
        </w:rPr>
        <w:t xml:space="preserve">It is essential to complete the TMS assessment accurately, particularly when determining that a patient is MEP-. All efforts need to be made to elicit a MEP if possible, including providing stimulus at up to 100% MSO, ensuring the patient is awake with eyes open during the test, and facilitation of muscle activation in one or both arms. The technique described in this protocol does not use </w:t>
      </w:r>
      <w:proofErr w:type="spellStart"/>
      <w:r w:rsidRPr="00ED093B">
        <w:rPr>
          <w:color w:val="auto"/>
        </w:rPr>
        <w:t>neuronavigation</w:t>
      </w:r>
      <w:proofErr w:type="spellEnd"/>
      <w:r w:rsidRPr="00ED093B">
        <w:rPr>
          <w:color w:val="auto"/>
        </w:rPr>
        <w:t xml:space="preserve"> to identify the hotspot for the TMS coil. </w:t>
      </w:r>
      <w:bookmarkStart w:id="8" w:name="_Hlk19644651"/>
      <w:r w:rsidRPr="00ED093B">
        <w:rPr>
          <w:color w:val="auto"/>
        </w:rPr>
        <w:t xml:space="preserve">This removes the need for a </w:t>
      </w:r>
      <w:r w:rsidR="006C24E6" w:rsidRPr="00ED093B">
        <w:rPr>
          <w:color w:val="auto"/>
        </w:rPr>
        <w:t xml:space="preserve">magnetic resonance imaging (MRI) </w:t>
      </w:r>
      <w:r w:rsidRPr="00ED093B">
        <w:rPr>
          <w:color w:val="auto"/>
        </w:rPr>
        <w:t>scan and reduces the length of the session</w:t>
      </w:r>
      <w:bookmarkEnd w:id="8"/>
      <w:r w:rsidRPr="00ED093B">
        <w:rPr>
          <w:color w:val="auto"/>
        </w:rPr>
        <w:t xml:space="preserve">. However, this also means that movement of the coil while searching for the optimal stimulation location must be systematic and thorough to ensure all efforts have been made to elicit a MEP. </w:t>
      </w:r>
    </w:p>
    <w:p w14:paraId="3D0FA8BC" w14:textId="77777777" w:rsidR="00B02FAB" w:rsidRPr="00ED093B" w:rsidRDefault="00B02FAB" w:rsidP="00725D44">
      <w:pPr>
        <w:rPr>
          <w:color w:val="auto"/>
        </w:rPr>
      </w:pPr>
    </w:p>
    <w:p w14:paraId="1CC9011A" w14:textId="27369C98" w:rsidR="00B02FAB" w:rsidRPr="00ED093B" w:rsidRDefault="00B02FAB" w:rsidP="00725D44">
      <w:pPr>
        <w:rPr>
          <w:color w:val="auto"/>
        </w:rPr>
      </w:pPr>
      <w:r w:rsidRPr="00ED093B">
        <w:rPr>
          <w:color w:val="auto"/>
        </w:rPr>
        <w:t xml:space="preserve">TMS is only required for patients with a SAFE score less than 5. This means TMS is only needed for approximately </w:t>
      </w:r>
      <w:r w:rsidR="00A562AA" w:rsidRPr="00ED093B">
        <w:rPr>
          <w:color w:val="auto"/>
        </w:rPr>
        <w:t>a third</w:t>
      </w:r>
      <w:r w:rsidRPr="00ED093B">
        <w:rPr>
          <w:color w:val="auto"/>
        </w:rPr>
        <w:t xml:space="preserve"> of patients, which reduces cost and improves accessibility. If TMS is </w:t>
      </w:r>
      <w:r w:rsidRPr="00ED093B">
        <w:rPr>
          <w:color w:val="auto"/>
        </w:rPr>
        <w:lastRenderedPageBreak/>
        <w:t xml:space="preserve">unavailable, </w:t>
      </w:r>
      <w:r w:rsidR="006C24E6" w:rsidRPr="00ED093B">
        <w:rPr>
          <w:color w:val="auto"/>
        </w:rPr>
        <w:t xml:space="preserve">the </w:t>
      </w:r>
      <w:r w:rsidRPr="00ED093B">
        <w:rPr>
          <w:color w:val="auto"/>
        </w:rPr>
        <w:t>accuracy of predictions for patients with a SAFE score less than 5 drops to 55%, even when MRI biomarkers are available</w:t>
      </w:r>
      <w:r w:rsidRPr="00ED093B">
        <w:rPr>
          <w:noProof/>
          <w:color w:val="auto"/>
          <w:vertAlign w:val="superscript"/>
        </w:rPr>
        <w:t>17</w:t>
      </w:r>
      <w:r w:rsidR="00897A83" w:rsidRPr="00ED093B">
        <w:rPr>
          <w:color w:val="auto"/>
        </w:rPr>
        <w:t>.</w:t>
      </w:r>
      <w:r w:rsidRPr="00ED093B">
        <w:rPr>
          <w:color w:val="auto"/>
        </w:rPr>
        <w:t xml:space="preserve"> Research and clinical sites without access to TMS can still complete the </w:t>
      </w:r>
      <w:r w:rsidR="00CA776B" w:rsidRPr="00ED093B">
        <w:rPr>
          <w:color w:val="auto"/>
        </w:rPr>
        <w:t xml:space="preserve">first </w:t>
      </w:r>
      <w:r w:rsidRPr="00ED093B">
        <w:rPr>
          <w:color w:val="auto"/>
        </w:rPr>
        <w:t xml:space="preserve">half of the PREP2 algorithm for patients who have a SAFE score of 5 or more. However, this would limit </w:t>
      </w:r>
      <w:r w:rsidR="00CA776B" w:rsidRPr="00ED093B">
        <w:rPr>
          <w:color w:val="auto"/>
        </w:rPr>
        <w:t xml:space="preserve">the </w:t>
      </w:r>
      <w:r w:rsidRPr="00ED093B">
        <w:rPr>
          <w:color w:val="auto"/>
        </w:rPr>
        <w:t>selection of patients for research trials to those who have mild to moderate UL weakness.</w:t>
      </w:r>
    </w:p>
    <w:p w14:paraId="663BFCE3" w14:textId="77777777" w:rsidR="00B02FAB" w:rsidRPr="00ED093B" w:rsidRDefault="00B02FAB" w:rsidP="00725D44">
      <w:pPr>
        <w:rPr>
          <w:color w:val="auto"/>
        </w:rPr>
      </w:pPr>
    </w:p>
    <w:p w14:paraId="26618461" w14:textId="62D9A9C7" w:rsidR="00B02FAB" w:rsidRPr="00ED093B" w:rsidRDefault="00B02FAB" w:rsidP="00725D44">
      <w:pPr>
        <w:rPr>
          <w:color w:val="auto"/>
        </w:rPr>
      </w:pPr>
      <w:r w:rsidRPr="00ED093B">
        <w:rPr>
          <w:color w:val="auto"/>
        </w:rPr>
        <w:t xml:space="preserve">The SAFE score and TMS </w:t>
      </w:r>
      <w:r w:rsidR="004550D0" w:rsidRPr="00ED093B">
        <w:rPr>
          <w:color w:val="auto"/>
        </w:rPr>
        <w:t xml:space="preserve">are useful in clinical practice and </w:t>
      </w:r>
      <w:r w:rsidRPr="00ED093B">
        <w:rPr>
          <w:color w:val="auto"/>
        </w:rPr>
        <w:t>provide researchers with a principled method to select and stratify patients for clinical trials based on CST function and the patient</w:t>
      </w:r>
      <w:r w:rsidR="003E6B0F" w:rsidRPr="00ED093B">
        <w:rPr>
          <w:color w:val="auto"/>
        </w:rPr>
        <w:t>’s</w:t>
      </w:r>
      <w:r w:rsidRPr="00ED093B">
        <w:rPr>
          <w:color w:val="auto"/>
        </w:rPr>
        <w:t xml:space="preserve"> neurobiological capacity for UL recovery.</w:t>
      </w:r>
    </w:p>
    <w:p w14:paraId="06205702" w14:textId="77777777" w:rsidR="00B02FAB" w:rsidRPr="00ED093B" w:rsidRDefault="00B02FAB" w:rsidP="00725D44">
      <w:pPr>
        <w:pStyle w:val="ListParagraph"/>
        <w:ind w:left="0"/>
        <w:rPr>
          <w:color w:val="auto"/>
        </w:rPr>
      </w:pPr>
    </w:p>
    <w:p w14:paraId="21B68C12" w14:textId="75222D0F" w:rsidR="00B02FAB" w:rsidRPr="00ED093B" w:rsidRDefault="00B02FAB" w:rsidP="00725D44">
      <w:pPr>
        <w:pStyle w:val="NormalWeb"/>
        <w:spacing w:before="0" w:beforeAutospacing="0" w:after="0" w:afterAutospacing="0"/>
        <w:rPr>
          <w:color w:val="auto"/>
        </w:rPr>
      </w:pPr>
      <w:r w:rsidRPr="00ED093B">
        <w:rPr>
          <w:b/>
          <w:bCs/>
          <w:color w:val="auto"/>
        </w:rPr>
        <w:t>ACKNOWLEDGMENTS:</w:t>
      </w:r>
      <w:r w:rsidR="00057FFC" w:rsidRPr="00ED093B">
        <w:rPr>
          <w:b/>
          <w:bCs/>
          <w:color w:val="auto"/>
        </w:rPr>
        <w:t xml:space="preserve"> </w:t>
      </w:r>
    </w:p>
    <w:p w14:paraId="732845AF" w14:textId="77777777" w:rsidR="00B02FAB" w:rsidRPr="00ED093B" w:rsidRDefault="00B02FAB" w:rsidP="00725D44">
      <w:pPr>
        <w:rPr>
          <w:color w:val="auto"/>
        </w:rPr>
      </w:pPr>
      <w:r w:rsidRPr="00ED093B">
        <w:rPr>
          <w:color w:val="auto"/>
        </w:rPr>
        <w:t xml:space="preserve">The authors thank Professor Winston </w:t>
      </w:r>
      <w:proofErr w:type="spellStart"/>
      <w:r w:rsidRPr="00ED093B">
        <w:rPr>
          <w:color w:val="auto"/>
        </w:rPr>
        <w:t>Byblow</w:t>
      </w:r>
      <w:proofErr w:type="spellEnd"/>
      <w:r w:rsidRPr="00ED093B">
        <w:rPr>
          <w:color w:val="auto"/>
        </w:rPr>
        <w:t xml:space="preserve"> and Harry Jordan for their valuable contribution to this work. This work was funded by the Health Research Council of New Zealand.</w:t>
      </w:r>
    </w:p>
    <w:p w14:paraId="6B063EC9" w14:textId="77777777" w:rsidR="00B02FAB" w:rsidRPr="00ED093B" w:rsidRDefault="00B02FAB" w:rsidP="00725D44">
      <w:pPr>
        <w:rPr>
          <w:color w:val="auto"/>
        </w:rPr>
      </w:pPr>
    </w:p>
    <w:p w14:paraId="69A39ABB" w14:textId="3B27A158" w:rsidR="00B02FAB" w:rsidRPr="00ED093B" w:rsidRDefault="00B02FAB" w:rsidP="00725D44">
      <w:pPr>
        <w:rPr>
          <w:color w:val="auto"/>
        </w:rPr>
      </w:pPr>
      <w:r w:rsidRPr="00ED093B">
        <w:rPr>
          <w:b/>
          <w:color w:val="auto"/>
        </w:rPr>
        <w:t>DISCLOSURES</w:t>
      </w:r>
      <w:r w:rsidRPr="00ED093B">
        <w:rPr>
          <w:b/>
          <w:bCs/>
          <w:color w:val="auto"/>
        </w:rPr>
        <w:t>:</w:t>
      </w:r>
    </w:p>
    <w:p w14:paraId="4473DF8F" w14:textId="7A658169" w:rsidR="00B02FAB" w:rsidRPr="00ED093B" w:rsidRDefault="00767BCC" w:rsidP="00725D44">
      <w:pPr>
        <w:rPr>
          <w:color w:val="auto"/>
        </w:rPr>
      </w:pPr>
      <w:r w:rsidRPr="00ED093B">
        <w:rPr>
          <w:color w:val="auto"/>
        </w:rPr>
        <w:t>The authors have nothing to disclose.</w:t>
      </w:r>
    </w:p>
    <w:p w14:paraId="2C5452CF" w14:textId="77777777" w:rsidR="00B02FAB" w:rsidRPr="00ED093B" w:rsidRDefault="00B02FAB" w:rsidP="00725D44">
      <w:pPr>
        <w:rPr>
          <w:color w:val="auto"/>
        </w:rPr>
      </w:pPr>
    </w:p>
    <w:p w14:paraId="39F98B38" w14:textId="60FA7EC2" w:rsidR="00B02FAB" w:rsidRPr="00ED093B" w:rsidRDefault="00B02FAB" w:rsidP="00725D44">
      <w:pPr>
        <w:rPr>
          <w:b/>
          <w:bCs/>
          <w:color w:val="auto"/>
        </w:rPr>
      </w:pPr>
      <w:r w:rsidRPr="00ED093B">
        <w:rPr>
          <w:b/>
          <w:bCs/>
          <w:color w:val="auto"/>
        </w:rPr>
        <w:t>REFERENCES:</w:t>
      </w:r>
    </w:p>
    <w:p w14:paraId="5B4E53B1" w14:textId="4E9C448C" w:rsidR="007A032F" w:rsidRPr="00ED093B" w:rsidRDefault="00B02FAB" w:rsidP="00ED093B">
      <w:pPr>
        <w:pStyle w:val="ListParagraph"/>
        <w:numPr>
          <w:ilvl w:val="0"/>
          <w:numId w:val="43"/>
        </w:numPr>
        <w:ind w:left="0" w:firstLine="0"/>
        <w:rPr>
          <w:color w:val="auto"/>
        </w:rPr>
      </w:pPr>
      <w:bookmarkStart w:id="9" w:name="_ENREF_1"/>
      <w:proofErr w:type="spellStart"/>
      <w:r w:rsidRPr="00ED093B">
        <w:rPr>
          <w:color w:val="auto"/>
        </w:rPr>
        <w:t>Veerbeek</w:t>
      </w:r>
      <w:proofErr w:type="spellEnd"/>
      <w:r w:rsidRPr="00ED093B">
        <w:rPr>
          <w:color w:val="auto"/>
        </w:rPr>
        <w:t xml:space="preserve">, J. M., </w:t>
      </w:r>
      <w:proofErr w:type="spellStart"/>
      <w:r w:rsidRPr="00ED093B">
        <w:rPr>
          <w:color w:val="auto"/>
        </w:rPr>
        <w:t>Kwakkel</w:t>
      </w:r>
      <w:proofErr w:type="spellEnd"/>
      <w:r w:rsidRPr="00ED093B">
        <w:rPr>
          <w:color w:val="auto"/>
        </w:rPr>
        <w:t xml:space="preserve">, G., van </w:t>
      </w:r>
      <w:proofErr w:type="spellStart"/>
      <w:r w:rsidRPr="00ED093B">
        <w:rPr>
          <w:color w:val="auto"/>
        </w:rPr>
        <w:t>Wegen</w:t>
      </w:r>
      <w:proofErr w:type="spellEnd"/>
      <w:r w:rsidRPr="00ED093B">
        <w:rPr>
          <w:color w:val="auto"/>
        </w:rPr>
        <w:t xml:space="preserve">, E. E., </w:t>
      </w:r>
      <w:proofErr w:type="spellStart"/>
      <w:r w:rsidRPr="00ED093B">
        <w:rPr>
          <w:color w:val="auto"/>
        </w:rPr>
        <w:t>Ket</w:t>
      </w:r>
      <w:proofErr w:type="spellEnd"/>
      <w:r w:rsidRPr="00ED093B">
        <w:rPr>
          <w:color w:val="auto"/>
        </w:rPr>
        <w:t>, J. C.</w:t>
      </w:r>
      <w:r w:rsidR="003E6B0F" w:rsidRPr="00ED093B">
        <w:rPr>
          <w:color w:val="auto"/>
        </w:rPr>
        <w:t>,</w:t>
      </w:r>
      <w:r w:rsidRPr="00ED093B">
        <w:rPr>
          <w:color w:val="auto"/>
        </w:rPr>
        <w:t xml:space="preserve"> Heymans, M. W. Early prediction of outcome of activities of daily living after stroke: a systematic review. </w:t>
      </w:r>
      <w:r w:rsidRPr="00ED093B">
        <w:rPr>
          <w:i/>
          <w:color w:val="auto"/>
        </w:rPr>
        <w:t>Stroke.</w:t>
      </w:r>
      <w:r w:rsidRPr="00ED093B">
        <w:rPr>
          <w:color w:val="auto"/>
        </w:rPr>
        <w:t xml:space="preserve"> 42 (5), 1482</w:t>
      </w:r>
      <w:r w:rsidR="0041461E" w:rsidRPr="00ED093B">
        <w:rPr>
          <w:color w:val="auto"/>
        </w:rPr>
        <w:t>–</w:t>
      </w:r>
      <w:r w:rsidRPr="00ED093B">
        <w:rPr>
          <w:color w:val="auto"/>
        </w:rPr>
        <w:t>1488</w:t>
      </w:r>
      <w:r w:rsidR="003E6B0F" w:rsidRPr="00ED093B">
        <w:rPr>
          <w:color w:val="auto"/>
        </w:rPr>
        <w:t xml:space="preserve"> (</w:t>
      </w:r>
      <w:r w:rsidRPr="00ED093B">
        <w:rPr>
          <w:color w:val="auto"/>
        </w:rPr>
        <w:t>2011).</w:t>
      </w:r>
      <w:bookmarkEnd w:id="9"/>
    </w:p>
    <w:p w14:paraId="305B8101" w14:textId="6A7F338D" w:rsidR="00B02FAB" w:rsidRPr="00ED093B" w:rsidRDefault="00B02FAB" w:rsidP="00ED093B">
      <w:pPr>
        <w:pStyle w:val="ListParagraph"/>
        <w:numPr>
          <w:ilvl w:val="0"/>
          <w:numId w:val="43"/>
        </w:numPr>
        <w:ind w:left="0" w:firstLine="0"/>
        <w:rPr>
          <w:color w:val="auto"/>
        </w:rPr>
      </w:pPr>
      <w:bookmarkStart w:id="10" w:name="_ENREF_2"/>
      <w:r w:rsidRPr="00ED093B">
        <w:rPr>
          <w:color w:val="auto"/>
        </w:rPr>
        <w:t>Lohse, K. R., Schaefer, S. Y., Raikes, A. C., Boyd, L. A.</w:t>
      </w:r>
      <w:r w:rsidR="003E6B0F" w:rsidRPr="00ED093B">
        <w:rPr>
          <w:color w:val="auto"/>
        </w:rPr>
        <w:t>,</w:t>
      </w:r>
      <w:r w:rsidRPr="00ED093B">
        <w:rPr>
          <w:color w:val="auto"/>
        </w:rPr>
        <w:t xml:space="preserve"> Lang, C. E. Asking New Questions with Old Data: The Centralized Open-Access Rehabilitation Database for Stroke. </w:t>
      </w:r>
      <w:r w:rsidRPr="00ED093B">
        <w:rPr>
          <w:i/>
          <w:color w:val="auto"/>
        </w:rPr>
        <w:t>Front</w:t>
      </w:r>
      <w:r w:rsidR="001C6569" w:rsidRPr="00ED093B">
        <w:rPr>
          <w:i/>
          <w:color w:val="auto"/>
        </w:rPr>
        <w:t xml:space="preserve">iers in </w:t>
      </w:r>
      <w:r w:rsidRPr="00ED093B">
        <w:rPr>
          <w:i/>
          <w:color w:val="auto"/>
        </w:rPr>
        <w:t>Neurol</w:t>
      </w:r>
      <w:r w:rsidR="001C6569" w:rsidRPr="00ED093B">
        <w:rPr>
          <w:i/>
          <w:color w:val="auto"/>
        </w:rPr>
        <w:t>ogy</w:t>
      </w:r>
      <w:r w:rsidRPr="00ED093B">
        <w:rPr>
          <w:i/>
          <w:color w:val="auto"/>
        </w:rPr>
        <w:t>.</w:t>
      </w:r>
      <w:r w:rsidRPr="00ED093B">
        <w:rPr>
          <w:color w:val="auto"/>
        </w:rPr>
        <w:t xml:space="preserve"> </w:t>
      </w:r>
      <w:r w:rsidRPr="00ED093B">
        <w:rPr>
          <w:b/>
          <w:color w:val="auto"/>
        </w:rPr>
        <w:t>7</w:t>
      </w:r>
      <w:r w:rsidRPr="00ED093B">
        <w:rPr>
          <w:color w:val="auto"/>
        </w:rPr>
        <w:t xml:space="preserve"> 153</w:t>
      </w:r>
      <w:r w:rsidR="003E6B0F" w:rsidRPr="00ED093B">
        <w:rPr>
          <w:color w:val="auto"/>
        </w:rPr>
        <w:t xml:space="preserve"> (</w:t>
      </w:r>
      <w:r w:rsidRPr="00ED093B">
        <w:rPr>
          <w:color w:val="auto"/>
        </w:rPr>
        <w:t>2016).</w:t>
      </w:r>
      <w:bookmarkEnd w:id="10"/>
    </w:p>
    <w:p w14:paraId="4170C680" w14:textId="4B01AB2F" w:rsidR="00B02FAB" w:rsidRPr="00ED093B" w:rsidRDefault="00B02FAB" w:rsidP="00ED093B">
      <w:pPr>
        <w:pStyle w:val="ListParagraph"/>
        <w:numPr>
          <w:ilvl w:val="0"/>
          <w:numId w:val="43"/>
        </w:numPr>
        <w:ind w:left="0" w:firstLine="0"/>
        <w:rPr>
          <w:color w:val="auto"/>
        </w:rPr>
      </w:pPr>
      <w:bookmarkStart w:id="11" w:name="_ENREF_3"/>
      <w:proofErr w:type="spellStart"/>
      <w:r w:rsidRPr="00ED093B">
        <w:rPr>
          <w:color w:val="auto"/>
        </w:rPr>
        <w:t>Stinear</w:t>
      </w:r>
      <w:proofErr w:type="spellEnd"/>
      <w:r w:rsidRPr="00ED093B">
        <w:rPr>
          <w:color w:val="auto"/>
        </w:rPr>
        <w:t xml:space="preserve">, C., </w:t>
      </w:r>
      <w:proofErr w:type="spellStart"/>
      <w:r w:rsidRPr="00ED093B">
        <w:rPr>
          <w:color w:val="auto"/>
        </w:rPr>
        <w:t>Ackerley</w:t>
      </w:r>
      <w:proofErr w:type="spellEnd"/>
      <w:r w:rsidRPr="00ED093B">
        <w:rPr>
          <w:color w:val="auto"/>
        </w:rPr>
        <w:t>, S.</w:t>
      </w:r>
      <w:r w:rsidR="003E6B0F" w:rsidRPr="00ED093B">
        <w:rPr>
          <w:color w:val="auto"/>
        </w:rPr>
        <w:t xml:space="preserve">, </w:t>
      </w:r>
      <w:proofErr w:type="spellStart"/>
      <w:r w:rsidRPr="00ED093B">
        <w:rPr>
          <w:color w:val="auto"/>
        </w:rPr>
        <w:t>Byblow</w:t>
      </w:r>
      <w:proofErr w:type="spellEnd"/>
      <w:r w:rsidRPr="00ED093B">
        <w:rPr>
          <w:color w:val="auto"/>
        </w:rPr>
        <w:t xml:space="preserve">, W. Rehabilitation is initiated early after stroke, but most motor rehabilitation trials are not: a systematic review. </w:t>
      </w:r>
      <w:r w:rsidRPr="00ED093B">
        <w:rPr>
          <w:i/>
          <w:color w:val="auto"/>
        </w:rPr>
        <w:t>Stroke.</w:t>
      </w:r>
      <w:r w:rsidRPr="00ED093B">
        <w:rPr>
          <w:color w:val="auto"/>
        </w:rPr>
        <w:t xml:space="preserve"> </w:t>
      </w:r>
      <w:r w:rsidRPr="00ED093B">
        <w:rPr>
          <w:b/>
          <w:color w:val="auto"/>
        </w:rPr>
        <w:t>44</w:t>
      </w:r>
      <w:r w:rsidRPr="00ED093B">
        <w:rPr>
          <w:color w:val="auto"/>
        </w:rPr>
        <w:t xml:space="preserve"> (7), 2039</w:t>
      </w:r>
      <w:r w:rsidR="0041461E" w:rsidRPr="00ED093B">
        <w:rPr>
          <w:color w:val="auto"/>
        </w:rPr>
        <w:t>–</w:t>
      </w:r>
      <w:r w:rsidRPr="00ED093B">
        <w:rPr>
          <w:color w:val="auto"/>
        </w:rPr>
        <w:t>2045</w:t>
      </w:r>
      <w:r w:rsidR="003E6B0F" w:rsidRPr="00ED093B">
        <w:rPr>
          <w:color w:val="auto"/>
        </w:rPr>
        <w:t xml:space="preserve"> (</w:t>
      </w:r>
      <w:r w:rsidRPr="00ED093B">
        <w:rPr>
          <w:color w:val="auto"/>
        </w:rPr>
        <w:t>2013).</w:t>
      </w:r>
      <w:bookmarkEnd w:id="11"/>
    </w:p>
    <w:p w14:paraId="1E7BECC0" w14:textId="3CF69CA2" w:rsidR="00B02FAB" w:rsidRPr="00ED093B" w:rsidRDefault="00B02FAB" w:rsidP="00ED093B">
      <w:pPr>
        <w:pStyle w:val="ListParagraph"/>
        <w:numPr>
          <w:ilvl w:val="0"/>
          <w:numId w:val="43"/>
        </w:numPr>
        <w:ind w:left="0" w:firstLine="0"/>
        <w:rPr>
          <w:color w:val="auto"/>
        </w:rPr>
      </w:pPr>
      <w:bookmarkStart w:id="12" w:name="_ENREF_4"/>
      <w:proofErr w:type="spellStart"/>
      <w:r w:rsidRPr="00ED093B">
        <w:rPr>
          <w:color w:val="auto"/>
        </w:rPr>
        <w:t>Stinear</w:t>
      </w:r>
      <w:proofErr w:type="spellEnd"/>
      <w:r w:rsidRPr="00ED093B">
        <w:rPr>
          <w:color w:val="auto"/>
        </w:rPr>
        <w:t xml:space="preserve">, C. M. Prediction of recovery of motor function after stroke. </w:t>
      </w:r>
      <w:r w:rsidRPr="00ED093B">
        <w:rPr>
          <w:i/>
          <w:color w:val="auto"/>
        </w:rPr>
        <w:t>Lancet Neurol</w:t>
      </w:r>
      <w:r w:rsidR="001C6569" w:rsidRPr="00ED093B">
        <w:rPr>
          <w:i/>
          <w:color w:val="auto"/>
        </w:rPr>
        <w:t>ogy</w:t>
      </w:r>
      <w:r w:rsidRPr="00ED093B">
        <w:rPr>
          <w:i/>
          <w:color w:val="auto"/>
        </w:rPr>
        <w:t>.</w:t>
      </w:r>
      <w:r w:rsidRPr="00ED093B">
        <w:rPr>
          <w:color w:val="auto"/>
        </w:rPr>
        <w:t xml:space="preserve"> </w:t>
      </w:r>
      <w:r w:rsidRPr="00ED093B">
        <w:rPr>
          <w:b/>
          <w:color w:val="auto"/>
        </w:rPr>
        <w:t>9</w:t>
      </w:r>
      <w:r w:rsidRPr="00ED093B">
        <w:rPr>
          <w:color w:val="auto"/>
        </w:rPr>
        <w:t xml:space="preserve"> (12), 1228</w:t>
      </w:r>
      <w:r w:rsidR="0041461E" w:rsidRPr="00ED093B">
        <w:rPr>
          <w:color w:val="auto"/>
        </w:rPr>
        <w:t>–</w:t>
      </w:r>
      <w:r w:rsidRPr="00ED093B">
        <w:rPr>
          <w:color w:val="auto"/>
        </w:rPr>
        <w:t>1232</w:t>
      </w:r>
      <w:r w:rsidR="003E6B0F" w:rsidRPr="00ED093B">
        <w:rPr>
          <w:color w:val="auto"/>
        </w:rPr>
        <w:t xml:space="preserve"> (</w:t>
      </w:r>
      <w:r w:rsidRPr="00ED093B">
        <w:rPr>
          <w:color w:val="auto"/>
        </w:rPr>
        <w:t>2010).</w:t>
      </w:r>
      <w:bookmarkEnd w:id="12"/>
    </w:p>
    <w:p w14:paraId="133649D6" w14:textId="64E57417" w:rsidR="00B02FAB" w:rsidRPr="00ED093B" w:rsidRDefault="00B02FAB" w:rsidP="00ED093B">
      <w:pPr>
        <w:pStyle w:val="ListParagraph"/>
        <w:numPr>
          <w:ilvl w:val="0"/>
          <w:numId w:val="43"/>
        </w:numPr>
        <w:ind w:left="0" w:firstLine="0"/>
        <w:rPr>
          <w:color w:val="auto"/>
        </w:rPr>
      </w:pPr>
      <w:bookmarkStart w:id="13" w:name="_ENREF_5"/>
      <w:proofErr w:type="spellStart"/>
      <w:r w:rsidRPr="00ED093B">
        <w:rPr>
          <w:color w:val="auto"/>
        </w:rPr>
        <w:t>Byblow</w:t>
      </w:r>
      <w:proofErr w:type="spellEnd"/>
      <w:r w:rsidRPr="00ED093B">
        <w:rPr>
          <w:color w:val="auto"/>
        </w:rPr>
        <w:t xml:space="preserve">, W. D., </w:t>
      </w:r>
      <w:proofErr w:type="spellStart"/>
      <w:r w:rsidRPr="00ED093B">
        <w:rPr>
          <w:color w:val="auto"/>
        </w:rPr>
        <w:t>Stinear</w:t>
      </w:r>
      <w:proofErr w:type="spellEnd"/>
      <w:r w:rsidRPr="00ED093B">
        <w:rPr>
          <w:color w:val="auto"/>
        </w:rPr>
        <w:t xml:space="preserve">, C. M., Barber, P. A., </w:t>
      </w:r>
      <w:proofErr w:type="spellStart"/>
      <w:r w:rsidRPr="00ED093B">
        <w:rPr>
          <w:color w:val="auto"/>
        </w:rPr>
        <w:t>Petoe</w:t>
      </w:r>
      <w:proofErr w:type="spellEnd"/>
      <w:r w:rsidRPr="00ED093B">
        <w:rPr>
          <w:color w:val="auto"/>
        </w:rPr>
        <w:t>, M. A.</w:t>
      </w:r>
      <w:r w:rsidR="003E6B0F" w:rsidRPr="00ED093B">
        <w:rPr>
          <w:color w:val="auto"/>
        </w:rPr>
        <w:t>,</w:t>
      </w:r>
      <w:r w:rsidRPr="00ED093B">
        <w:rPr>
          <w:color w:val="auto"/>
        </w:rPr>
        <w:t xml:space="preserve"> </w:t>
      </w:r>
      <w:proofErr w:type="spellStart"/>
      <w:r w:rsidRPr="00ED093B">
        <w:rPr>
          <w:color w:val="auto"/>
        </w:rPr>
        <w:t>Ackerley</w:t>
      </w:r>
      <w:proofErr w:type="spellEnd"/>
      <w:r w:rsidRPr="00ED093B">
        <w:rPr>
          <w:color w:val="auto"/>
        </w:rPr>
        <w:t xml:space="preserve">, S. J. Proportional recovery after stroke depends on corticomotor integrity. </w:t>
      </w:r>
      <w:r w:rsidRPr="00ED093B">
        <w:rPr>
          <w:i/>
          <w:color w:val="auto"/>
        </w:rPr>
        <w:t>Annals of Neurology.</w:t>
      </w:r>
      <w:r w:rsidRPr="00ED093B">
        <w:rPr>
          <w:color w:val="auto"/>
        </w:rPr>
        <w:t xml:space="preserve"> </w:t>
      </w:r>
      <w:r w:rsidRPr="00ED093B">
        <w:rPr>
          <w:b/>
          <w:color w:val="auto"/>
        </w:rPr>
        <w:t>78</w:t>
      </w:r>
      <w:r w:rsidRPr="00ED093B">
        <w:rPr>
          <w:color w:val="auto"/>
        </w:rPr>
        <w:t xml:space="preserve"> (6), 848</w:t>
      </w:r>
      <w:r w:rsidR="0041461E" w:rsidRPr="00ED093B">
        <w:rPr>
          <w:color w:val="auto"/>
        </w:rPr>
        <w:t>–</w:t>
      </w:r>
      <w:r w:rsidRPr="00ED093B">
        <w:rPr>
          <w:color w:val="auto"/>
        </w:rPr>
        <w:t>859</w:t>
      </w:r>
      <w:r w:rsidR="003E6B0F" w:rsidRPr="00ED093B">
        <w:rPr>
          <w:color w:val="auto"/>
        </w:rPr>
        <w:t xml:space="preserve"> (</w:t>
      </w:r>
      <w:r w:rsidRPr="00ED093B">
        <w:rPr>
          <w:color w:val="auto"/>
        </w:rPr>
        <w:t>2015).</w:t>
      </w:r>
      <w:bookmarkEnd w:id="13"/>
    </w:p>
    <w:p w14:paraId="24BB402E" w14:textId="5F228947" w:rsidR="00B02FAB" w:rsidRPr="00ED093B" w:rsidRDefault="00B02FAB" w:rsidP="00ED093B">
      <w:pPr>
        <w:pStyle w:val="ListParagraph"/>
        <w:numPr>
          <w:ilvl w:val="0"/>
          <w:numId w:val="43"/>
        </w:numPr>
        <w:ind w:left="0" w:firstLine="0"/>
        <w:rPr>
          <w:color w:val="auto"/>
        </w:rPr>
      </w:pPr>
      <w:bookmarkStart w:id="14" w:name="_ENREF_6"/>
      <w:proofErr w:type="spellStart"/>
      <w:r w:rsidRPr="00ED093B">
        <w:rPr>
          <w:color w:val="auto"/>
        </w:rPr>
        <w:t>Stinear</w:t>
      </w:r>
      <w:proofErr w:type="spellEnd"/>
      <w:r w:rsidRPr="00ED093B">
        <w:rPr>
          <w:color w:val="auto"/>
        </w:rPr>
        <w:t xml:space="preserve">, C. M. Prediction of motor recovery after stroke: advances in biomarkers. </w:t>
      </w:r>
      <w:r w:rsidRPr="00ED093B">
        <w:rPr>
          <w:i/>
          <w:color w:val="auto"/>
        </w:rPr>
        <w:t>Lancet Neurol</w:t>
      </w:r>
      <w:r w:rsidR="001C6569" w:rsidRPr="00ED093B">
        <w:rPr>
          <w:i/>
          <w:color w:val="auto"/>
        </w:rPr>
        <w:t>ogy</w:t>
      </w:r>
      <w:r w:rsidRPr="00ED093B">
        <w:rPr>
          <w:i/>
          <w:color w:val="auto"/>
        </w:rPr>
        <w:t>.</w:t>
      </w:r>
      <w:r w:rsidRPr="00ED093B">
        <w:rPr>
          <w:color w:val="auto"/>
        </w:rPr>
        <w:t xml:space="preserve"> </w:t>
      </w:r>
      <w:r w:rsidRPr="00ED093B">
        <w:rPr>
          <w:b/>
          <w:color w:val="auto"/>
        </w:rPr>
        <w:t>16</w:t>
      </w:r>
      <w:r w:rsidRPr="00ED093B">
        <w:rPr>
          <w:color w:val="auto"/>
        </w:rPr>
        <w:t xml:space="preserve"> (10), 826</w:t>
      </w:r>
      <w:r w:rsidR="0041461E" w:rsidRPr="00ED093B">
        <w:rPr>
          <w:color w:val="auto"/>
        </w:rPr>
        <w:t>–</w:t>
      </w:r>
      <w:r w:rsidRPr="00ED093B">
        <w:rPr>
          <w:color w:val="auto"/>
        </w:rPr>
        <w:t>836</w:t>
      </w:r>
      <w:r w:rsidR="003E6B0F" w:rsidRPr="00ED093B">
        <w:rPr>
          <w:color w:val="auto"/>
        </w:rPr>
        <w:t xml:space="preserve"> (</w:t>
      </w:r>
      <w:r w:rsidRPr="00ED093B">
        <w:rPr>
          <w:color w:val="auto"/>
        </w:rPr>
        <w:t>2017).</w:t>
      </w:r>
      <w:bookmarkEnd w:id="14"/>
    </w:p>
    <w:p w14:paraId="3E99E958" w14:textId="306B3DDB" w:rsidR="00B02FAB" w:rsidRPr="00ED093B" w:rsidRDefault="00B02FAB" w:rsidP="00ED093B">
      <w:pPr>
        <w:pStyle w:val="ListParagraph"/>
        <w:numPr>
          <w:ilvl w:val="0"/>
          <w:numId w:val="43"/>
        </w:numPr>
        <w:ind w:left="0" w:firstLine="0"/>
        <w:rPr>
          <w:color w:val="auto"/>
        </w:rPr>
      </w:pPr>
      <w:bookmarkStart w:id="15" w:name="_ENREF_7"/>
      <w:r w:rsidRPr="00ED093B">
        <w:rPr>
          <w:color w:val="auto"/>
        </w:rPr>
        <w:t>Kim, B.</w:t>
      </w:r>
      <w:r w:rsidR="003E6B0F" w:rsidRPr="00ED093B">
        <w:rPr>
          <w:color w:val="auto"/>
        </w:rPr>
        <w:t>,</w:t>
      </w:r>
      <w:r w:rsidRPr="00ED093B">
        <w:rPr>
          <w:color w:val="auto"/>
        </w:rPr>
        <w:t xml:space="preserve"> </w:t>
      </w:r>
      <w:proofErr w:type="spellStart"/>
      <w:r w:rsidRPr="00ED093B">
        <w:rPr>
          <w:color w:val="auto"/>
        </w:rPr>
        <w:t>Winstein</w:t>
      </w:r>
      <w:proofErr w:type="spellEnd"/>
      <w:r w:rsidRPr="00ED093B">
        <w:rPr>
          <w:color w:val="auto"/>
        </w:rPr>
        <w:t xml:space="preserve">, C. Can Neurological Biomarkers of Brain Impairment Be Used to Predict Poststroke Motor Recovery? A Systematic Review. </w:t>
      </w:r>
      <w:r w:rsidRPr="00ED093B">
        <w:rPr>
          <w:i/>
          <w:color w:val="auto"/>
        </w:rPr>
        <w:t>Neurorehabilitation and Neural Repair.</w:t>
      </w:r>
      <w:r w:rsidRPr="00ED093B">
        <w:rPr>
          <w:color w:val="auto"/>
        </w:rPr>
        <w:t xml:space="preserve"> </w:t>
      </w:r>
      <w:r w:rsidRPr="00ED093B">
        <w:rPr>
          <w:b/>
          <w:color w:val="auto"/>
        </w:rPr>
        <w:t>31</w:t>
      </w:r>
      <w:r w:rsidRPr="00ED093B">
        <w:rPr>
          <w:color w:val="auto"/>
        </w:rPr>
        <w:t xml:space="preserve"> (1), 3</w:t>
      </w:r>
      <w:r w:rsidR="0041461E" w:rsidRPr="00ED093B">
        <w:rPr>
          <w:color w:val="auto"/>
        </w:rPr>
        <w:t>–</w:t>
      </w:r>
      <w:r w:rsidRPr="00ED093B">
        <w:rPr>
          <w:color w:val="auto"/>
        </w:rPr>
        <w:t>24</w:t>
      </w:r>
      <w:r w:rsidR="003E6B0F" w:rsidRPr="00ED093B">
        <w:rPr>
          <w:color w:val="auto"/>
        </w:rPr>
        <w:t xml:space="preserve"> (</w:t>
      </w:r>
      <w:r w:rsidRPr="00ED093B">
        <w:rPr>
          <w:color w:val="auto"/>
        </w:rPr>
        <w:t>2016).</w:t>
      </w:r>
      <w:bookmarkEnd w:id="15"/>
    </w:p>
    <w:p w14:paraId="3199BD7F" w14:textId="0267F992" w:rsidR="00B02FAB" w:rsidRPr="00ED093B" w:rsidRDefault="00B02FAB" w:rsidP="00ED093B">
      <w:pPr>
        <w:pStyle w:val="ListParagraph"/>
        <w:numPr>
          <w:ilvl w:val="0"/>
          <w:numId w:val="43"/>
        </w:numPr>
        <w:ind w:left="0" w:firstLine="0"/>
        <w:rPr>
          <w:color w:val="auto"/>
        </w:rPr>
      </w:pPr>
      <w:bookmarkStart w:id="16" w:name="_ENREF_8"/>
      <w:r w:rsidRPr="00ED093B">
        <w:rPr>
          <w:color w:val="auto"/>
        </w:rPr>
        <w:t>Boyd, L. A.</w:t>
      </w:r>
      <w:r w:rsidRPr="00ED093B">
        <w:rPr>
          <w:i/>
          <w:color w:val="auto"/>
        </w:rPr>
        <w:t xml:space="preserve"> </w:t>
      </w:r>
      <w:r w:rsidRPr="00ED093B">
        <w:rPr>
          <w:iCs/>
          <w:color w:val="auto"/>
        </w:rPr>
        <w:t xml:space="preserve">et al. </w:t>
      </w:r>
      <w:r w:rsidRPr="00ED093B">
        <w:rPr>
          <w:color w:val="auto"/>
        </w:rPr>
        <w:t xml:space="preserve">Biomarkers of stroke recovery: Consensus-based core recommendations from the Stroke Recovery and Rehabilitation Roundtable. </w:t>
      </w:r>
      <w:r w:rsidRPr="00ED093B">
        <w:rPr>
          <w:i/>
          <w:color w:val="auto"/>
        </w:rPr>
        <w:t>Int</w:t>
      </w:r>
      <w:r w:rsidR="001C6569" w:rsidRPr="00ED093B">
        <w:rPr>
          <w:i/>
          <w:color w:val="auto"/>
        </w:rPr>
        <w:t>ernational</w:t>
      </w:r>
      <w:r w:rsidRPr="00ED093B">
        <w:rPr>
          <w:i/>
          <w:color w:val="auto"/>
        </w:rPr>
        <w:t xml:space="preserve"> J</w:t>
      </w:r>
      <w:r w:rsidR="001C6569" w:rsidRPr="00ED093B">
        <w:rPr>
          <w:i/>
          <w:color w:val="auto"/>
        </w:rPr>
        <w:t>ournal of</w:t>
      </w:r>
      <w:r w:rsidRPr="00ED093B">
        <w:rPr>
          <w:i/>
          <w:color w:val="auto"/>
        </w:rPr>
        <w:t xml:space="preserve"> Stroke.</w:t>
      </w:r>
      <w:r w:rsidRPr="00ED093B">
        <w:rPr>
          <w:color w:val="auto"/>
        </w:rPr>
        <w:t xml:space="preserve"> </w:t>
      </w:r>
      <w:r w:rsidRPr="00ED093B">
        <w:rPr>
          <w:b/>
          <w:color w:val="auto"/>
        </w:rPr>
        <w:t>12</w:t>
      </w:r>
      <w:r w:rsidRPr="00ED093B">
        <w:rPr>
          <w:color w:val="auto"/>
        </w:rPr>
        <w:t xml:space="preserve"> (5), 480</w:t>
      </w:r>
      <w:r w:rsidR="0041461E" w:rsidRPr="00ED093B">
        <w:rPr>
          <w:color w:val="auto"/>
        </w:rPr>
        <w:t>–</w:t>
      </w:r>
      <w:r w:rsidRPr="00ED093B">
        <w:rPr>
          <w:color w:val="auto"/>
        </w:rPr>
        <w:t>493</w:t>
      </w:r>
      <w:r w:rsidR="003E6B0F" w:rsidRPr="00ED093B">
        <w:rPr>
          <w:color w:val="auto"/>
        </w:rPr>
        <w:t xml:space="preserve"> (</w:t>
      </w:r>
      <w:r w:rsidRPr="00ED093B">
        <w:rPr>
          <w:color w:val="auto"/>
        </w:rPr>
        <w:t>2017).</w:t>
      </w:r>
      <w:bookmarkEnd w:id="16"/>
    </w:p>
    <w:p w14:paraId="72077385" w14:textId="1684B584" w:rsidR="00B02FAB" w:rsidRPr="00ED093B" w:rsidRDefault="00B02FAB" w:rsidP="00ED093B">
      <w:pPr>
        <w:pStyle w:val="ListParagraph"/>
        <w:numPr>
          <w:ilvl w:val="0"/>
          <w:numId w:val="43"/>
        </w:numPr>
        <w:ind w:left="0" w:firstLine="0"/>
        <w:rPr>
          <w:color w:val="auto"/>
        </w:rPr>
      </w:pPr>
      <w:bookmarkStart w:id="17" w:name="_ENREF_9"/>
      <w:r w:rsidRPr="00ED093B">
        <w:rPr>
          <w:color w:val="auto"/>
        </w:rPr>
        <w:t>Escudero, J. V., Sancho, J., Bautista, D., Escudero, M.</w:t>
      </w:r>
      <w:r w:rsidR="003E6B0F" w:rsidRPr="00ED093B">
        <w:rPr>
          <w:color w:val="auto"/>
        </w:rPr>
        <w:t xml:space="preserve">, </w:t>
      </w:r>
      <w:r w:rsidRPr="00ED093B">
        <w:rPr>
          <w:color w:val="auto"/>
        </w:rPr>
        <w:t>Lopez-</w:t>
      </w:r>
      <w:proofErr w:type="spellStart"/>
      <w:r w:rsidRPr="00ED093B">
        <w:rPr>
          <w:color w:val="auto"/>
        </w:rPr>
        <w:t>Trigo</w:t>
      </w:r>
      <w:proofErr w:type="spellEnd"/>
      <w:r w:rsidRPr="00ED093B">
        <w:rPr>
          <w:color w:val="auto"/>
        </w:rPr>
        <w:t xml:space="preserve">, J. Prognostic value of motor evoked potential obtained by transcranial magnetic brain stimulation in motor function recovery in patients with acute ischemic stroke. </w:t>
      </w:r>
      <w:r w:rsidRPr="00ED093B">
        <w:rPr>
          <w:i/>
          <w:color w:val="auto"/>
        </w:rPr>
        <w:t>Stroke.</w:t>
      </w:r>
      <w:r w:rsidRPr="00ED093B">
        <w:rPr>
          <w:color w:val="auto"/>
        </w:rPr>
        <w:t xml:space="preserve"> </w:t>
      </w:r>
      <w:r w:rsidRPr="00ED093B">
        <w:rPr>
          <w:b/>
          <w:color w:val="auto"/>
        </w:rPr>
        <w:t>29</w:t>
      </w:r>
      <w:r w:rsidRPr="00ED093B">
        <w:rPr>
          <w:color w:val="auto"/>
        </w:rPr>
        <w:t xml:space="preserve"> (9), 1854</w:t>
      </w:r>
      <w:r w:rsidR="0041461E" w:rsidRPr="00ED093B">
        <w:rPr>
          <w:color w:val="auto"/>
        </w:rPr>
        <w:t>–</w:t>
      </w:r>
      <w:r w:rsidRPr="00ED093B">
        <w:rPr>
          <w:color w:val="auto"/>
        </w:rPr>
        <w:t>1859</w:t>
      </w:r>
      <w:r w:rsidR="003E6B0F" w:rsidRPr="00ED093B">
        <w:rPr>
          <w:color w:val="auto"/>
        </w:rPr>
        <w:t xml:space="preserve"> (</w:t>
      </w:r>
      <w:r w:rsidRPr="00ED093B">
        <w:rPr>
          <w:color w:val="auto"/>
        </w:rPr>
        <w:t>1998).</w:t>
      </w:r>
      <w:bookmarkEnd w:id="17"/>
    </w:p>
    <w:p w14:paraId="22E7B2F9" w14:textId="6451A2D7" w:rsidR="00B02FAB" w:rsidRPr="00ED093B" w:rsidRDefault="00B02FAB" w:rsidP="00ED093B">
      <w:pPr>
        <w:pStyle w:val="ListParagraph"/>
        <w:numPr>
          <w:ilvl w:val="0"/>
          <w:numId w:val="43"/>
        </w:numPr>
        <w:ind w:left="0" w:firstLine="0"/>
        <w:rPr>
          <w:color w:val="auto"/>
        </w:rPr>
      </w:pPr>
      <w:bookmarkStart w:id="18" w:name="_ENREF_10"/>
      <w:proofErr w:type="spellStart"/>
      <w:r w:rsidRPr="00ED093B">
        <w:rPr>
          <w:color w:val="auto"/>
        </w:rPr>
        <w:t>Pennisi</w:t>
      </w:r>
      <w:proofErr w:type="spellEnd"/>
      <w:r w:rsidRPr="00ED093B">
        <w:rPr>
          <w:color w:val="auto"/>
        </w:rPr>
        <w:t>, G.</w:t>
      </w:r>
      <w:r w:rsidRPr="00ED093B">
        <w:rPr>
          <w:i/>
          <w:color w:val="auto"/>
        </w:rPr>
        <w:t xml:space="preserve"> </w:t>
      </w:r>
      <w:r w:rsidR="003E6B0F" w:rsidRPr="00ED093B">
        <w:rPr>
          <w:color w:val="auto"/>
        </w:rPr>
        <w:t>et al.</w:t>
      </w:r>
      <w:r w:rsidRPr="00ED093B">
        <w:rPr>
          <w:color w:val="auto"/>
        </w:rPr>
        <w:t xml:space="preserve"> Absence of response to early transcranial magnetic stimulation in ischemic stroke patients: prognostic value for hand motor recovery. </w:t>
      </w:r>
      <w:r w:rsidRPr="00ED093B">
        <w:rPr>
          <w:i/>
          <w:color w:val="auto"/>
        </w:rPr>
        <w:t>Stroke.</w:t>
      </w:r>
      <w:r w:rsidRPr="00ED093B">
        <w:rPr>
          <w:color w:val="auto"/>
        </w:rPr>
        <w:t xml:space="preserve"> </w:t>
      </w:r>
      <w:r w:rsidRPr="00ED093B">
        <w:rPr>
          <w:b/>
          <w:color w:val="auto"/>
        </w:rPr>
        <w:t>30</w:t>
      </w:r>
      <w:r w:rsidRPr="00ED093B">
        <w:rPr>
          <w:color w:val="auto"/>
        </w:rPr>
        <w:t xml:space="preserve"> (12), 2666</w:t>
      </w:r>
      <w:r w:rsidR="0041461E" w:rsidRPr="00ED093B">
        <w:rPr>
          <w:color w:val="auto"/>
        </w:rPr>
        <w:t>–</w:t>
      </w:r>
      <w:r w:rsidRPr="00ED093B">
        <w:rPr>
          <w:color w:val="auto"/>
        </w:rPr>
        <w:t>2670</w:t>
      </w:r>
      <w:r w:rsidR="003E6B0F" w:rsidRPr="00ED093B">
        <w:rPr>
          <w:color w:val="auto"/>
        </w:rPr>
        <w:t xml:space="preserve"> </w:t>
      </w:r>
      <w:r w:rsidR="003E6B0F" w:rsidRPr="00ED093B">
        <w:rPr>
          <w:color w:val="auto"/>
        </w:rPr>
        <w:lastRenderedPageBreak/>
        <w:t>(</w:t>
      </w:r>
      <w:r w:rsidRPr="00ED093B">
        <w:rPr>
          <w:color w:val="auto"/>
        </w:rPr>
        <w:t>1999).</w:t>
      </w:r>
      <w:bookmarkEnd w:id="18"/>
    </w:p>
    <w:p w14:paraId="2DC9C576" w14:textId="7DF02AD1" w:rsidR="00B02FAB" w:rsidRPr="00ED093B" w:rsidRDefault="00B02FAB" w:rsidP="00ED093B">
      <w:pPr>
        <w:pStyle w:val="ListParagraph"/>
        <w:numPr>
          <w:ilvl w:val="0"/>
          <w:numId w:val="43"/>
        </w:numPr>
        <w:ind w:left="0" w:firstLine="0"/>
        <w:rPr>
          <w:color w:val="auto"/>
        </w:rPr>
      </w:pPr>
      <w:bookmarkStart w:id="19" w:name="_ENREF_11"/>
      <w:proofErr w:type="spellStart"/>
      <w:r w:rsidRPr="00ED093B">
        <w:rPr>
          <w:color w:val="auto"/>
        </w:rPr>
        <w:t>Rapisarda</w:t>
      </w:r>
      <w:proofErr w:type="spellEnd"/>
      <w:r w:rsidRPr="00ED093B">
        <w:rPr>
          <w:color w:val="auto"/>
        </w:rPr>
        <w:t xml:space="preserve">, G., Bastings, E., de </w:t>
      </w:r>
      <w:proofErr w:type="spellStart"/>
      <w:r w:rsidRPr="00ED093B">
        <w:rPr>
          <w:color w:val="auto"/>
        </w:rPr>
        <w:t>Noordhout</w:t>
      </w:r>
      <w:proofErr w:type="spellEnd"/>
      <w:r w:rsidRPr="00ED093B">
        <w:rPr>
          <w:color w:val="auto"/>
        </w:rPr>
        <w:t xml:space="preserve">, A. M., </w:t>
      </w:r>
      <w:proofErr w:type="spellStart"/>
      <w:r w:rsidRPr="00ED093B">
        <w:rPr>
          <w:color w:val="auto"/>
        </w:rPr>
        <w:t>Pennisi</w:t>
      </w:r>
      <w:proofErr w:type="spellEnd"/>
      <w:r w:rsidRPr="00ED093B">
        <w:rPr>
          <w:color w:val="auto"/>
        </w:rPr>
        <w:t>, G.</w:t>
      </w:r>
      <w:r w:rsidR="003E6B0F" w:rsidRPr="00ED093B">
        <w:rPr>
          <w:color w:val="auto"/>
        </w:rPr>
        <w:t xml:space="preserve">, </w:t>
      </w:r>
      <w:proofErr w:type="spellStart"/>
      <w:r w:rsidRPr="00ED093B">
        <w:rPr>
          <w:color w:val="auto"/>
        </w:rPr>
        <w:t>Delwaide</w:t>
      </w:r>
      <w:proofErr w:type="spellEnd"/>
      <w:r w:rsidRPr="00ED093B">
        <w:rPr>
          <w:color w:val="auto"/>
        </w:rPr>
        <w:t xml:space="preserve">, P. J. Can motor recovery in stroke patients be predicted by early transcranial magnetic stimulation? </w:t>
      </w:r>
      <w:r w:rsidRPr="00ED093B">
        <w:rPr>
          <w:i/>
          <w:color w:val="auto"/>
        </w:rPr>
        <w:t>Stroke.</w:t>
      </w:r>
      <w:r w:rsidRPr="00ED093B">
        <w:rPr>
          <w:color w:val="auto"/>
        </w:rPr>
        <w:t xml:space="preserve"> </w:t>
      </w:r>
      <w:r w:rsidRPr="00ED093B">
        <w:rPr>
          <w:b/>
          <w:color w:val="auto"/>
        </w:rPr>
        <w:t>27</w:t>
      </w:r>
      <w:r w:rsidRPr="00ED093B">
        <w:rPr>
          <w:color w:val="auto"/>
        </w:rPr>
        <w:t xml:space="preserve"> (12), 2191</w:t>
      </w:r>
      <w:r w:rsidR="0041461E" w:rsidRPr="00ED093B">
        <w:rPr>
          <w:color w:val="auto"/>
        </w:rPr>
        <w:t>–</w:t>
      </w:r>
      <w:r w:rsidRPr="00ED093B">
        <w:rPr>
          <w:color w:val="auto"/>
        </w:rPr>
        <w:t>2196</w:t>
      </w:r>
      <w:r w:rsidR="003E6B0F" w:rsidRPr="00ED093B">
        <w:rPr>
          <w:color w:val="auto"/>
        </w:rPr>
        <w:t xml:space="preserve"> (</w:t>
      </w:r>
      <w:r w:rsidRPr="00ED093B">
        <w:rPr>
          <w:color w:val="auto"/>
        </w:rPr>
        <w:t>1996).</w:t>
      </w:r>
      <w:bookmarkEnd w:id="19"/>
    </w:p>
    <w:p w14:paraId="30A912E4" w14:textId="1CADD65A" w:rsidR="00B02FAB" w:rsidRPr="00ED093B" w:rsidRDefault="00B02FAB" w:rsidP="00ED093B">
      <w:pPr>
        <w:pStyle w:val="ListParagraph"/>
        <w:numPr>
          <w:ilvl w:val="0"/>
          <w:numId w:val="43"/>
        </w:numPr>
        <w:ind w:left="0" w:firstLine="0"/>
        <w:rPr>
          <w:color w:val="auto"/>
        </w:rPr>
      </w:pPr>
      <w:bookmarkStart w:id="20" w:name="_ENREF_12"/>
      <w:proofErr w:type="spellStart"/>
      <w:r w:rsidRPr="00ED093B">
        <w:rPr>
          <w:color w:val="auto"/>
        </w:rPr>
        <w:t>Bembenek</w:t>
      </w:r>
      <w:proofErr w:type="spellEnd"/>
      <w:r w:rsidRPr="00ED093B">
        <w:rPr>
          <w:color w:val="auto"/>
        </w:rPr>
        <w:t xml:space="preserve">, J. P., </w:t>
      </w:r>
      <w:proofErr w:type="spellStart"/>
      <w:r w:rsidRPr="00ED093B">
        <w:rPr>
          <w:color w:val="auto"/>
        </w:rPr>
        <w:t>Kurczych</w:t>
      </w:r>
      <w:proofErr w:type="spellEnd"/>
      <w:r w:rsidRPr="00ED093B">
        <w:rPr>
          <w:color w:val="auto"/>
        </w:rPr>
        <w:t xml:space="preserve">, K., Karli </w:t>
      </w:r>
      <w:proofErr w:type="spellStart"/>
      <w:r w:rsidRPr="00ED093B">
        <w:rPr>
          <w:color w:val="auto"/>
        </w:rPr>
        <w:t>Nski</w:t>
      </w:r>
      <w:proofErr w:type="spellEnd"/>
      <w:r w:rsidRPr="00ED093B">
        <w:rPr>
          <w:color w:val="auto"/>
        </w:rPr>
        <w:t>, M.</w:t>
      </w:r>
      <w:r w:rsidR="003E6B0F" w:rsidRPr="00ED093B">
        <w:rPr>
          <w:color w:val="auto"/>
        </w:rPr>
        <w:t xml:space="preserve">, </w:t>
      </w:r>
      <w:proofErr w:type="spellStart"/>
      <w:r w:rsidRPr="00ED093B">
        <w:rPr>
          <w:color w:val="auto"/>
        </w:rPr>
        <w:t>Czlonkowska</w:t>
      </w:r>
      <w:proofErr w:type="spellEnd"/>
      <w:r w:rsidRPr="00ED093B">
        <w:rPr>
          <w:color w:val="auto"/>
        </w:rPr>
        <w:t xml:space="preserve">, A. The prognostic value of motor-evoked potentials in motor recovery and functional outcome after stroke - a systematic review of the literature. </w:t>
      </w:r>
      <w:r w:rsidRPr="00ED093B">
        <w:rPr>
          <w:i/>
          <w:color w:val="auto"/>
        </w:rPr>
        <w:t>Funct</w:t>
      </w:r>
      <w:r w:rsidR="001C6569" w:rsidRPr="00ED093B">
        <w:rPr>
          <w:i/>
          <w:color w:val="auto"/>
        </w:rPr>
        <w:t>ional</w:t>
      </w:r>
      <w:r w:rsidRPr="00ED093B">
        <w:rPr>
          <w:i/>
          <w:color w:val="auto"/>
        </w:rPr>
        <w:t xml:space="preserve"> Neurol</w:t>
      </w:r>
      <w:r w:rsidR="001C6569" w:rsidRPr="00ED093B">
        <w:rPr>
          <w:i/>
          <w:color w:val="auto"/>
        </w:rPr>
        <w:t>ogy</w:t>
      </w:r>
      <w:r w:rsidRPr="00ED093B">
        <w:rPr>
          <w:i/>
          <w:color w:val="auto"/>
        </w:rPr>
        <w:t>.</w:t>
      </w:r>
      <w:r w:rsidRPr="00ED093B">
        <w:rPr>
          <w:color w:val="auto"/>
        </w:rPr>
        <w:t xml:space="preserve"> </w:t>
      </w:r>
      <w:r w:rsidRPr="00ED093B">
        <w:rPr>
          <w:b/>
          <w:color w:val="auto"/>
        </w:rPr>
        <w:t>27</w:t>
      </w:r>
      <w:r w:rsidRPr="00ED093B">
        <w:rPr>
          <w:color w:val="auto"/>
        </w:rPr>
        <w:t xml:space="preserve"> (2), 79</w:t>
      </w:r>
      <w:r w:rsidR="0041461E" w:rsidRPr="00ED093B">
        <w:rPr>
          <w:color w:val="auto"/>
        </w:rPr>
        <w:t>–</w:t>
      </w:r>
      <w:r w:rsidRPr="00ED093B">
        <w:rPr>
          <w:color w:val="auto"/>
        </w:rPr>
        <w:t>84</w:t>
      </w:r>
      <w:r w:rsidR="003E6B0F" w:rsidRPr="00ED093B">
        <w:rPr>
          <w:color w:val="auto"/>
        </w:rPr>
        <w:t xml:space="preserve"> (</w:t>
      </w:r>
      <w:r w:rsidRPr="00ED093B">
        <w:rPr>
          <w:color w:val="auto"/>
        </w:rPr>
        <w:t>2012).</w:t>
      </w:r>
      <w:bookmarkEnd w:id="20"/>
    </w:p>
    <w:p w14:paraId="61467231" w14:textId="380B69C9" w:rsidR="00B02FAB" w:rsidRPr="00ED093B" w:rsidRDefault="00B02FAB" w:rsidP="00ED093B">
      <w:pPr>
        <w:pStyle w:val="ListParagraph"/>
        <w:numPr>
          <w:ilvl w:val="0"/>
          <w:numId w:val="43"/>
        </w:numPr>
        <w:ind w:left="0" w:firstLine="0"/>
        <w:rPr>
          <w:color w:val="auto"/>
        </w:rPr>
      </w:pPr>
      <w:bookmarkStart w:id="21" w:name="_ENREF_13"/>
      <w:proofErr w:type="spellStart"/>
      <w:r w:rsidRPr="00ED093B">
        <w:rPr>
          <w:color w:val="auto"/>
        </w:rPr>
        <w:t>Smania</w:t>
      </w:r>
      <w:proofErr w:type="spellEnd"/>
      <w:r w:rsidRPr="00ED093B">
        <w:rPr>
          <w:color w:val="auto"/>
        </w:rPr>
        <w:t>, N.</w:t>
      </w:r>
      <w:r w:rsidRPr="00ED093B">
        <w:rPr>
          <w:i/>
          <w:color w:val="auto"/>
        </w:rPr>
        <w:t xml:space="preserve"> </w:t>
      </w:r>
      <w:r w:rsidR="003E6B0F" w:rsidRPr="00ED093B">
        <w:rPr>
          <w:color w:val="auto"/>
        </w:rPr>
        <w:t>et al.</w:t>
      </w:r>
      <w:r w:rsidRPr="00ED093B">
        <w:rPr>
          <w:color w:val="auto"/>
        </w:rPr>
        <w:t xml:space="preserve"> Active finger extension: a simple movement predicting recovery of arm function in patients with acute stroke. </w:t>
      </w:r>
      <w:r w:rsidRPr="00ED093B">
        <w:rPr>
          <w:i/>
          <w:color w:val="auto"/>
        </w:rPr>
        <w:t>Stroke.</w:t>
      </w:r>
      <w:r w:rsidRPr="00ED093B">
        <w:rPr>
          <w:color w:val="auto"/>
        </w:rPr>
        <w:t xml:space="preserve"> </w:t>
      </w:r>
      <w:r w:rsidRPr="00ED093B">
        <w:rPr>
          <w:b/>
          <w:color w:val="auto"/>
        </w:rPr>
        <w:t>38</w:t>
      </w:r>
      <w:r w:rsidRPr="00ED093B">
        <w:rPr>
          <w:color w:val="auto"/>
        </w:rPr>
        <w:t xml:space="preserve"> (3), 1088</w:t>
      </w:r>
      <w:r w:rsidR="0041461E" w:rsidRPr="00ED093B">
        <w:rPr>
          <w:color w:val="auto"/>
        </w:rPr>
        <w:t>–</w:t>
      </w:r>
      <w:r w:rsidRPr="00ED093B">
        <w:rPr>
          <w:color w:val="auto"/>
        </w:rPr>
        <w:t>1090</w:t>
      </w:r>
      <w:r w:rsidR="003E6B0F" w:rsidRPr="00ED093B">
        <w:rPr>
          <w:color w:val="auto"/>
        </w:rPr>
        <w:t xml:space="preserve"> (</w:t>
      </w:r>
      <w:r w:rsidRPr="00ED093B">
        <w:rPr>
          <w:color w:val="auto"/>
        </w:rPr>
        <w:t>2007).</w:t>
      </w:r>
      <w:bookmarkEnd w:id="21"/>
    </w:p>
    <w:p w14:paraId="6697B8EF" w14:textId="54F2E675" w:rsidR="00B02FAB" w:rsidRPr="00ED093B" w:rsidRDefault="00B02FAB" w:rsidP="00ED093B">
      <w:pPr>
        <w:pStyle w:val="ListParagraph"/>
        <w:numPr>
          <w:ilvl w:val="0"/>
          <w:numId w:val="43"/>
        </w:numPr>
        <w:ind w:left="0" w:firstLine="0"/>
        <w:rPr>
          <w:color w:val="auto"/>
        </w:rPr>
      </w:pPr>
      <w:bookmarkStart w:id="22" w:name="_ENREF_14"/>
      <w:proofErr w:type="spellStart"/>
      <w:r w:rsidRPr="00ED093B">
        <w:rPr>
          <w:color w:val="auto"/>
        </w:rPr>
        <w:t>Nijland</w:t>
      </w:r>
      <w:proofErr w:type="spellEnd"/>
      <w:r w:rsidRPr="00ED093B">
        <w:rPr>
          <w:color w:val="auto"/>
        </w:rPr>
        <w:t xml:space="preserve">, R. H., van </w:t>
      </w:r>
      <w:proofErr w:type="spellStart"/>
      <w:r w:rsidRPr="00ED093B">
        <w:rPr>
          <w:color w:val="auto"/>
        </w:rPr>
        <w:t>Wegen</w:t>
      </w:r>
      <w:proofErr w:type="spellEnd"/>
      <w:r w:rsidRPr="00ED093B">
        <w:rPr>
          <w:color w:val="auto"/>
        </w:rPr>
        <w:t xml:space="preserve">, E. E., Harmeling-van der </w:t>
      </w:r>
      <w:proofErr w:type="spellStart"/>
      <w:r w:rsidRPr="00ED093B">
        <w:rPr>
          <w:color w:val="auto"/>
        </w:rPr>
        <w:t>Wel</w:t>
      </w:r>
      <w:proofErr w:type="spellEnd"/>
      <w:r w:rsidRPr="00ED093B">
        <w:rPr>
          <w:color w:val="auto"/>
        </w:rPr>
        <w:t xml:space="preserve">, B. C., </w:t>
      </w:r>
      <w:proofErr w:type="spellStart"/>
      <w:r w:rsidRPr="00ED093B">
        <w:rPr>
          <w:color w:val="auto"/>
        </w:rPr>
        <w:t>Kwakkel</w:t>
      </w:r>
      <w:proofErr w:type="spellEnd"/>
      <w:r w:rsidRPr="00ED093B">
        <w:rPr>
          <w:color w:val="auto"/>
        </w:rPr>
        <w:t>, G.</w:t>
      </w:r>
      <w:r w:rsidR="003E6B0F" w:rsidRPr="00ED093B">
        <w:rPr>
          <w:color w:val="auto"/>
        </w:rPr>
        <w:t xml:space="preserve">, </w:t>
      </w:r>
      <w:r w:rsidR="002C27EE" w:rsidRPr="00ED093B">
        <w:rPr>
          <w:color w:val="auto"/>
        </w:rPr>
        <w:t xml:space="preserve">EPOS </w:t>
      </w:r>
      <w:r w:rsidRPr="00ED093B">
        <w:rPr>
          <w:color w:val="auto"/>
        </w:rPr>
        <w:t xml:space="preserve">Investigators. Presence of finger extension and shoulder abduction within 72 hours after stroke predicts functional recovery: early prediction of functional outcome after stroke: the EPOS cohort study. </w:t>
      </w:r>
      <w:r w:rsidRPr="00ED093B">
        <w:rPr>
          <w:i/>
          <w:color w:val="auto"/>
        </w:rPr>
        <w:t>Stroke.</w:t>
      </w:r>
      <w:r w:rsidRPr="00ED093B">
        <w:rPr>
          <w:color w:val="auto"/>
        </w:rPr>
        <w:t xml:space="preserve"> </w:t>
      </w:r>
      <w:r w:rsidRPr="00ED093B">
        <w:rPr>
          <w:b/>
          <w:color w:val="auto"/>
        </w:rPr>
        <w:t>41</w:t>
      </w:r>
      <w:r w:rsidRPr="00ED093B">
        <w:rPr>
          <w:color w:val="auto"/>
        </w:rPr>
        <w:t xml:space="preserve"> (4), 745</w:t>
      </w:r>
      <w:r w:rsidR="0041461E" w:rsidRPr="00ED093B">
        <w:rPr>
          <w:color w:val="auto"/>
        </w:rPr>
        <w:t>–</w:t>
      </w:r>
      <w:r w:rsidRPr="00ED093B">
        <w:rPr>
          <w:color w:val="auto"/>
        </w:rPr>
        <w:t>750</w:t>
      </w:r>
      <w:r w:rsidR="003E6B0F" w:rsidRPr="00ED093B">
        <w:rPr>
          <w:color w:val="auto"/>
        </w:rPr>
        <w:t xml:space="preserve"> (</w:t>
      </w:r>
      <w:r w:rsidRPr="00ED093B">
        <w:rPr>
          <w:color w:val="auto"/>
        </w:rPr>
        <w:t>2010).</w:t>
      </w:r>
      <w:bookmarkEnd w:id="22"/>
    </w:p>
    <w:p w14:paraId="659EA1AE" w14:textId="7A945D69" w:rsidR="00B02FAB" w:rsidRPr="00ED093B" w:rsidRDefault="00B02FAB" w:rsidP="00ED093B">
      <w:pPr>
        <w:pStyle w:val="ListParagraph"/>
        <w:numPr>
          <w:ilvl w:val="0"/>
          <w:numId w:val="43"/>
        </w:numPr>
        <w:ind w:left="0" w:firstLine="0"/>
        <w:rPr>
          <w:color w:val="auto"/>
        </w:rPr>
      </w:pPr>
      <w:bookmarkStart w:id="23" w:name="_ENREF_15"/>
      <w:proofErr w:type="spellStart"/>
      <w:r w:rsidRPr="00ED093B">
        <w:rPr>
          <w:color w:val="auto"/>
        </w:rPr>
        <w:t>Katrak</w:t>
      </w:r>
      <w:proofErr w:type="spellEnd"/>
      <w:r w:rsidRPr="00ED093B">
        <w:rPr>
          <w:color w:val="auto"/>
        </w:rPr>
        <w:t>, P.</w:t>
      </w:r>
      <w:r w:rsidRPr="00ED093B">
        <w:rPr>
          <w:i/>
          <w:color w:val="auto"/>
        </w:rPr>
        <w:t xml:space="preserve"> </w:t>
      </w:r>
      <w:r w:rsidR="003E6B0F" w:rsidRPr="00ED093B">
        <w:rPr>
          <w:color w:val="auto"/>
        </w:rPr>
        <w:t>et al.</w:t>
      </w:r>
      <w:r w:rsidRPr="00ED093B">
        <w:rPr>
          <w:color w:val="auto"/>
        </w:rPr>
        <w:t xml:space="preserve"> Predicting upper limb recovery after stroke: the place of early shoulder and hand movement. </w:t>
      </w:r>
      <w:r w:rsidRPr="00ED093B">
        <w:rPr>
          <w:i/>
          <w:color w:val="auto"/>
        </w:rPr>
        <w:t>Arch</w:t>
      </w:r>
      <w:r w:rsidR="001C6569" w:rsidRPr="00ED093B">
        <w:rPr>
          <w:i/>
          <w:color w:val="auto"/>
        </w:rPr>
        <w:t>ives of</w:t>
      </w:r>
      <w:r w:rsidRPr="00ED093B">
        <w:rPr>
          <w:i/>
          <w:color w:val="auto"/>
        </w:rPr>
        <w:t xml:space="preserve"> Phys</w:t>
      </w:r>
      <w:r w:rsidR="001C6569" w:rsidRPr="00ED093B">
        <w:rPr>
          <w:i/>
          <w:color w:val="auto"/>
        </w:rPr>
        <w:t xml:space="preserve">ical </w:t>
      </w:r>
      <w:r w:rsidRPr="00ED093B">
        <w:rPr>
          <w:i/>
          <w:color w:val="auto"/>
        </w:rPr>
        <w:t>Med</w:t>
      </w:r>
      <w:r w:rsidR="001C6569" w:rsidRPr="00ED093B">
        <w:rPr>
          <w:i/>
          <w:color w:val="auto"/>
        </w:rPr>
        <w:t>icine and</w:t>
      </w:r>
      <w:r w:rsidRPr="00ED093B">
        <w:rPr>
          <w:i/>
          <w:color w:val="auto"/>
        </w:rPr>
        <w:t xml:space="preserve"> Rehabil</w:t>
      </w:r>
      <w:r w:rsidR="001C6569" w:rsidRPr="00ED093B">
        <w:rPr>
          <w:i/>
          <w:color w:val="auto"/>
        </w:rPr>
        <w:t>itation</w:t>
      </w:r>
      <w:r w:rsidRPr="00ED093B">
        <w:rPr>
          <w:i/>
          <w:color w:val="auto"/>
        </w:rPr>
        <w:t>.</w:t>
      </w:r>
      <w:r w:rsidRPr="00ED093B">
        <w:rPr>
          <w:color w:val="auto"/>
        </w:rPr>
        <w:t xml:space="preserve"> </w:t>
      </w:r>
      <w:r w:rsidRPr="00ED093B">
        <w:rPr>
          <w:b/>
          <w:color w:val="auto"/>
        </w:rPr>
        <w:t>79</w:t>
      </w:r>
      <w:r w:rsidRPr="00ED093B">
        <w:rPr>
          <w:color w:val="auto"/>
        </w:rPr>
        <w:t xml:space="preserve"> (7), 758</w:t>
      </w:r>
      <w:r w:rsidR="0041461E" w:rsidRPr="00ED093B">
        <w:rPr>
          <w:color w:val="auto"/>
        </w:rPr>
        <w:t>–</w:t>
      </w:r>
      <w:r w:rsidRPr="00ED093B">
        <w:rPr>
          <w:color w:val="auto"/>
        </w:rPr>
        <w:t>761</w:t>
      </w:r>
      <w:r w:rsidR="003E6B0F" w:rsidRPr="00ED093B">
        <w:rPr>
          <w:color w:val="auto"/>
        </w:rPr>
        <w:t xml:space="preserve"> (</w:t>
      </w:r>
      <w:r w:rsidRPr="00ED093B">
        <w:rPr>
          <w:color w:val="auto"/>
        </w:rPr>
        <w:t>1998).</w:t>
      </w:r>
      <w:bookmarkEnd w:id="23"/>
    </w:p>
    <w:p w14:paraId="11AD8FE4" w14:textId="3CF39BC2" w:rsidR="00B02FAB" w:rsidRPr="00ED093B" w:rsidRDefault="00B02FAB" w:rsidP="00ED093B">
      <w:pPr>
        <w:pStyle w:val="ListParagraph"/>
        <w:numPr>
          <w:ilvl w:val="0"/>
          <w:numId w:val="43"/>
        </w:numPr>
        <w:ind w:left="0" w:firstLine="0"/>
        <w:rPr>
          <w:color w:val="auto"/>
        </w:rPr>
      </w:pPr>
      <w:bookmarkStart w:id="24" w:name="_ENREF_16"/>
      <w:proofErr w:type="spellStart"/>
      <w:r w:rsidRPr="00ED093B">
        <w:rPr>
          <w:color w:val="auto"/>
        </w:rPr>
        <w:t>Stinear</w:t>
      </w:r>
      <w:proofErr w:type="spellEnd"/>
      <w:r w:rsidRPr="00ED093B">
        <w:rPr>
          <w:color w:val="auto"/>
        </w:rPr>
        <w:t xml:space="preserve">, C. M., Barber, P. A., </w:t>
      </w:r>
      <w:proofErr w:type="spellStart"/>
      <w:r w:rsidRPr="00ED093B">
        <w:rPr>
          <w:color w:val="auto"/>
        </w:rPr>
        <w:t>Petoe</w:t>
      </w:r>
      <w:proofErr w:type="spellEnd"/>
      <w:r w:rsidRPr="00ED093B">
        <w:rPr>
          <w:color w:val="auto"/>
        </w:rPr>
        <w:t>, M., Anwar, S.</w:t>
      </w:r>
      <w:r w:rsidR="003E6B0F" w:rsidRPr="00ED093B">
        <w:rPr>
          <w:color w:val="auto"/>
        </w:rPr>
        <w:t xml:space="preserve">, </w:t>
      </w:r>
      <w:proofErr w:type="spellStart"/>
      <w:r w:rsidRPr="00ED093B">
        <w:rPr>
          <w:color w:val="auto"/>
        </w:rPr>
        <w:t>Byblow</w:t>
      </w:r>
      <w:proofErr w:type="spellEnd"/>
      <w:r w:rsidRPr="00ED093B">
        <w:rPr>
          <w:color w:val="auto"/>
        </w:rPr>
        <w:t xml:space="preserve">, W. D. The PREP algorithm predicts potential for upper limb recovery after stroke. </w:t>
      </w:r>
      <w:r w:rsidRPr="00ED093B">
        <w:rPr>
          <w:i/>
          <w:color w:val="auto"/>
        </w:rPr>
        <w:t>Brain.</w:t>
      </w:r>
      <w:r w:rsidRPr="00ED093B">
        <w:rPr>
          <w:color w:val="auto"/>
        </w:rPr>
        <w:t xml:space="preserve"> </w:t>
      </w:r>
      <w:r w:rsidRPr="00ED093B">
        <w:rPr>
          <w:b/>
          <w:color w:val="auto"/>
        </w:rPr>
        <w:t>135</w:t>
      </w:r>
      <w:r w:rsidRPr="00ED093B">
        <w:rPr>
          <w:color w:val="auto"/>
        </w:rPr>
        <w:t xml:space="preserve"> (Pt 8), 2527</w:t>
      </w:r>
      <w:r w:rsidR="0041461E" w:rsidRPr="00ED093B">
        <w:rPr>
          <w:color w:val="auto"/>
        </w:rPr>
        <w:t>–</w:t>
      </w:r>
      <w:r w:rsidRPr="00ED093B">
        <w:rPr>
          <w:color w:val="auto"/>
        </w:rPr>
        <w:t>2535</w:t>
      </w:r>
      <w:r w:rsidR="003E6B0F" w:rsidRPr="00ED093B">
        <w:rPr>
          <w:color w:val="auto"/>
        </w:rPr>
        <w:t xml:space="preserve"> (</w:t>
      </w:r>
      <w:r w:rsidRPr="00ED093B">
        <w:rPr>
          <w:color w:val="auto"/>
        </w:rPr>
        <w:t>2012).</w:t>
      </w:r>
      <w:bookmarkEnd w:id="24"/>
    </w:p>
    <w:p w14:paraId="4A75E516" w14:textId="04953AAA" w:rsidR="00B02FAB" w:rsidRPr="00ED093B" w:rsidRDefault="00B02FAB" w:rsidP="00ED093B">
      <w:pPr>
        <w:pStyle w:val="ListParagraph"/>
        <w:numPr>
          <w:ilvl w:val="0"/>
          <w:numId w:val="43"/>
        </w:numPr>
        <w:ind w:left="0" w:firstLine="0"/>
        <w:rPr>
          <w:color w:val="auto"/>
        </w:rPr>
      </w:pPr>
      <w:bookmarkStart w:id="25" w:name="_ENREF_17"/>
      <w:proofErr w:type="spellStart"/>
      <w:r w:rsidRPr="00ED093B">
        <w:rPr>
          <w:color w:val="auto"/>
        </w:rPr>
        <w:t>Stinear</w:t>
      </w:r>
      <w:proofErr w:type="spellEnd"/>
      <w:r w:rsidRPr="00ED093B">
        <w:rPr>
          <w:color w:val="auto"/>
        </w:rPr>
        <w:t>, C. M.</w:t>
      </w:r>
      <w:r w:rsidRPr="00ED093B">
        <w:rPr>
          <w:i/>
          <w:color w:val="auto"/>
        </w:rPr>
        <w:t xml:space="preserve"> </w:t>
      </w:r>
      <w:r w:rsidR="003E6B0F" w:rsidRPr="00ED093B">
        <w:rPr>
          <w:color w:val="auto"/>
        </w:rPr>
        <w:t>et al.</w:t>
      </w:r>
      <w:r w:rsidRPr="00ED093B">
        <w:rPr>
          <w:color w:val="auto"/>
        </w:rPr>
        <w:t xml:space="preserve"> PREP2: A biomarker-based algorithm for predicting upper limb function after stroke. </w:t>
      </w:r>
      <w:r w:rsidRPr="00ED093B">
        <w:rPr>
          <w:i/>
          <w:color w:val="auto"/>
        </w:rPr>
        <w:t>Ann</w:t>
      </w:r>
      <w:r w:rsidR="001C6569" w:rsidRPr="00ED093B">
        <w:rPr>
          <w:i/>
          <w:color w:val="auto"/>
        </w:rPr>
        <w:t>als of</w:t>
      </w:r>
      <w:r w:rsidRPr="00ED093B">
        <w:rPr>
          <w:i/>
          <w:color w:val="auto"/>
        </w:rPr>
        <w:t xml:space="preserve"> Clin</w:t>
      </w:r>
      <w:r w:rsidR="001C6569" w:rsidRPr="00ED093B">
        <w:rPr>
          <w:i/>
          <w:color w:val="auto"/>
        </w:rPr>
        <w:t>ical and</w:t>
      </w:r>
      <w:r w:rsidRPr="00ED093B">
        <w:rPr>
          <w:i/>
          <w:color w:val="auto"/>
        </w:rPr>
        <w:t xml:space="preserve"> Transl</w:t>
      </w:r>
      <w:r w:rsidR="001C6569" w:rsidRPr="00ED093B">
        <w:rPr>
          <w:i/>
          <w:color w:val="auto"/>
        </w:rPr>
        <w:t>ational</w:t>
      </w:r>
      <w:r w:rsidRPr="00ED093B">
        <w:rPr>
          <w:i/>
          <w:color w:val="auto"/>
        </w:rPr>
        <w:t xml:space="preserve"> Neurol</w:t>
      </w:r>
      <w:r w:rsidR="001C6569" w:rsidRPr="00ED093B">
        <w:rPr>
          <w:i/>
          <w:color w:val="auto"/>
        </w:rPr>
        <w:t>ogy</w:t>
      </w:r>
      <w:r w:rsidRPr="00ED093B">
        <w:rPr>
          <w:i/>
          <w:color w:val="auto"/>
        </w:rPr>
        <w:t>.</w:t>
      </w:r>
      <w:r w:rsidRPr="00ED093B">
        <w:rPr>
          <w:color w:val="auto"/>
        </w:rPr>
        <w:t xml:space="preserve"> </w:t>
      </w:r>
      <w:r w:rsidRPr="00ED093B">
        <w:rPr>
          <w:b/>
          <w:color w:val="auto"/>
        </w:rPr>
        <w:t>4</w:t>
      </w:r>
      <w:r w:rsidRPr="00ED093B">
        <w:rPr>
          <w:color w:val="auto"/>
        </w:rPr>
        <w:t xml:space="preserve"> (11), 811</w:t>
      </w:r>
      <w:r w:rsidR="0041461E" w:rsidRPr="00ED093B">
        <w:rPr>
          <w:color w:val="auto"/>
        </w:rPr>
        <w:t>–</w:t>
      </w:r>
      <w:r w:rsidRPr="00ED093B">
        <w:rPr>
          <w:color w:val="auto"/>
        </w:rPr>
        <w:t>820</w:t>
      </w:r>
      <w:r w:rsidR="003E6B0F" w:rsidRPr="00ED093B">
        <w:rPr>
          <w:color w:val="auto"/>
        </w:rPr>
        <w:t xml:space="preserve"> (</w:t>
      </w:r>
      <w:r w:rsidRPr="00ED093B">
        <w:rPr>
          <w:color w:val="auto"/>
        </w:rPr>
        <w:t>2017).</w:t>
      </w:r>
      <w:bookmarkEnd w:id="25"/>
    </w:p>
    <w:p w14:paraId="27E24CDE" w14:textId="297B1982" w:rsidR="00B02FAB" w:rsidRPr="00ED093B" w:rsidRDefault="00B02FAB" w:rsidP="00ED093B">
      <w:pPr>
        <w:pStyle w:val="ListParagraph"/>
        <w:numPr>
          <w:ilvl w:val="0"/>
          <w:numId w:val="43"/>
        </w:numPr>
        <w:ind w:left="0" w:firstLine="0"/>
        <w:rPr>
          <w:color w:val="auto"/>
        </w:rPr>
      </w:pPr>
      <w:bookmarkStart w:id="26" w:name="_ENREF_18"/>
      <w:proofErr w:type="spellStart"/>
      <w:r w:rsidRPr="00ED093B">
        <w:rPr>
          <w:color w:val="auto"/>
        </w:rPr>
        <w:t>Groppa</w:t>
      </w:r>
      <w:proofErr w:type="spellEnd"/>
      <w:r w:rsidRPr="00ED093B">
        <w:rPr>
          <w:color w:val="auto"/>
        </w:rPr>
        <w:t>, S.</w:t>
      </w:r>
      <w:r w:rsidRPr="00ED093B">
        <w:rPr>
          <w:i/>
          <w:color w:val="auto"/>
        </w:rPr>
        <w:t xml:space="preserve"> </w:t>
      </w:r>
      <w:r w:rsidR="003E6B0F" w:rsidRPr="00ED093B">
        <w:rPr>
          <w:color w:val="auto"/>
        </w:rPr>
        <w:t>et al.</w:t>
      </w:r>
      <w:r w:rsidRPr="00ED093B">
        <w:rPr>
          <w:color w:val="auto"/>
        </w:rPr>
        <w:t xml:space="preserve"> A practical guide to diagnostic transcranial magnetic stimulation: report of an IFCN committee. </w:t>
      </w:r>
      <w:r w:rsidRPr="00ED093B">
        <w:rPr>
          <w:i/>
          <w:color w:val="auto"/>
        </w:rPr>
        <w:t>Clin</w:t>
      </w:r>
      <w:r w:rsidR="001C6569" w:rsidRPr="00ED093B">
        <w:rPr>
          <w:i/>
          <w:color w:val="auto"/>
        </w:rPr>
        <w:t>ical</w:t>
      </w:r>
      <w:r w:rsidRPr="00ED093B">
        <w:rPr>
          <w:i/>
          <w:color w:val="auto"/>
        </w:rPr>
        <w:t xml:space="preserve"> Neurophysiol</w:t>
      </w:r>
      <w:r w:rsidR="001C6569" w:rsidRPr="00ED093B">
        <w:rPr>
          <w:i/>
          <w:color w:val="auto"/>
        </w:rPr>
        <w:t>ogy</w:t>
      </w:r>
      <w:r w:rsidRPr="00ED093B">
        <w:rPr>
          <w:i/>
          <w:color w:val="auto"/>
        </w:rPr>
        <w:t>.</w:t>
      </w:r>
      <w:r w:rsidRPr="00ED093B">
        <w:rPr>
          <w:color w:val="auto"/>
        </w:rPr>
        <w:t xml:space="preserve"> </w:t>
      </w:r>
      <w:r w:rsidRPr="00ED093B">
        <w:rPr>
          <w:b/>
          <w:color w:val="auto"/>
        </w:rPr>
        <w:t>123</w:t>
      </w:r>
      <w:r w:rsidRPr="00ED093B">
        <w:rPr>
          <w:color w:val="auto"/>
        </w:rPr>
        <w:t xml:space="preserve"> (5), 858</w:t>
      </w:r>
      <w:r w:rsidR="0041461E" w:rsidRPr="00ED093B">
        <w:rPr>
          <w:color w:val="auto"/>
        </w:rPr>
        <w:t>–</w:t>
      </w:r>
      <w:r w:rsidRPr="00ED093B">
        <w:rPr>
          <w:color w:val="auto"/>
        </w:rPr>
        <w:t>882</w:t>
      </w:r>
      <w:r w:rsidR="003E6B0F" w:rsidRPr="00ED093B">
        <w:rPr>
          <w:color w:val="auto"/>
        </w:rPr>
        <w:t xml:space="preserve"> (</w:t>
      </w:r>
      <w:r w:rsidRPr="00ED093B">
        <w:rPr>
          <w:color w:val="auto"/>
        </w:rPr>
        <w:t>2012).</w:t>
      </w:r>
      <w:bookmarkEnd w:id="26"/>
    </w:p>
    <w:p w14:paraId="2FABAC41" w14:textId="2E9C7C97" w:rsidR="00B02FAB" w:rsidRPr="00ED093B" w:rsidRDefault="00B02FAB" w:rsidP="00ED093B">
      <w:pPr>
        <w:pStyle w:val="ListParagraph"/>
        <w:numPr>
          <w:ilvl w:val="0"/>
          <w:numId w:val="43"/>
        </w:numPr>
        <w:ind w:left="0" w:firstLine="0"/>
        <w:rPr>
          <w:color w:val="auto"/>
        </w:rPr>
      </w:pPr>
      <w:bookmarkStart w:id="27" w:name="_ENREF_19"/>
      <w:r w:rsidRPr="00ED093B">
        <w:rPr>
          <w:color w:val="auto"/>
        </w:rPr>
        <w:t xml:space="preserve">Barker, A. T., </w:t>
      </w:r>
      <w:proofErr w:type="spellStart"/>
      <w:r w:rsidRPr="00ED093B">
        <w:rPr>
          <w:color w:val="auto"/>
        </w:rPr>
        <w:t>Jalinous</w:t>
      </w:r>
      <w:proofErr w:type="spellEnd"/>
      <w:r w:rsidRPr="00ED093B">
        <w:rPr>
          <w:color w:val="auto"/>
        </w:rPr>
        <w:t>, R.</w:t>
      </w:r>
      <w:r w:rsidR="003E6B0F" w:rsidRPr="00ED093B">
        <w:rPr>
          <w:color w:val="auto"/>
        </w:rPr>
        <w:t xml:space="preserve">, </w:t>
      </w:r>
      <w:proofErr w:type="spellStart"/>
      <w:r w:rsidRPr="00ED093B">
        <w:rPr>
          <w:color w:val="auto"/>
        </w:rPr>
        <w:t>Freeston</w:t>
      </w:r>
      <w:proofErr w:type="spellEnd"/>
      <w:r w:rsidRPr="00ED093B">
        <w:rPr>
          <w:color w:val="auto"/>
        </w:rPr>
        <w:t xml:space="preserve">, I. L. Non-invasive magnetic stimulation of human motor cortex. </w:t>
      </w:r>
      <w:r w:rsidRPr="00ED093B">
        <w:rPr>
          <w:i/>
          <w:color w:val="auto"/>
        </w:rPr>
        <w:t>Lancet.</w:t>
      </w:r>
      <w:r w:rsidRPr="00ED093B">
        <w:rPr>
          <w:color w:val="auto"/>
        </w:rPr>
        <w:t xml:space="preserve"> </w:t>
      </w:r>
      <w:r w:rsidRPr="00ED093B">
        <w:rPr>
          <w:b/>
          <w:color w:val="auto"/>
        </w:rPr>
        <w:t>1</w:t>
      </w:r>
      <w:r w:rsidRPr="00ED093B">
        <w:rPr>
          <w:color w:val="auto"/>
        </w:rPr>
        <w:t xml:space="preserve"> (8437), 1106</w:t>
      </w:r>
      <w:r w:rsidR="0041461E" w:rsidRPr="00ED093B">
        <w:rPr>
          <w:color w:val="auto"/>
        </w:rPr>
        <w:t>–</w:t>
      </w:r>
      <w:r w:rsidRPr="00ED093B">
        <w:rPr>
          <w:color w:val="auto"/>
        </w:rPr>
        <w:t>1107</w:t>
      </w:r>
      <w:r w:rsidR="003E6B0F" w:rsidRPr="00ED093B">
        <w:rPr>
          <w:color w:val="auto"/>
        </w:rPr>
        <w:t xml:space="preserve"> (</w:t>
      </w:r>
      <w:r w:rsidRPr="00ED093B">
        <w:rPr>
          <w:color w:val="auto"/>
        </w:rPr>
        <w:t>1985).</w:t>
      </w:r>
      <w:bookmarkEnd w:id="27"/>
    </w:p>
    <w:p w14:paraId="67FBF7A7" w14:textId="08AAB277" w:rsidR="00B02FAB" w:rsidRPr="00ED093B" w:rsidRDefault="00B02FAB" w:rsidP="00ED093B">
      <w:pPr>
        <w:pStyle w:val="ListParagraph"/>
        <w:numPr>
          <w:ilvl w:val="0"/>
          <w:numId w:val="43"/>
        </w:numPr>
        <w:ind w:left="0" w:firstLine="0"/>
        <w:rPr>
          <w:color w:val="auto"/>
        </w:rPr>
      </w:pPr>
      <w:bookmarkStart w:id="28" w:name="_ENREF_20"/>
      <w:proofErr w:type="spellStart"/>
      <w:r w:rsidRPr="00ED093B">
        <w:rPr>
          <w:color w:val="auto"/>
        </w:rPr>
        <w:t>Stinear</w:t>
      </w:r>
      <w:proofErr w:type="spellEnd"/>
      <w:r w:rsidRPr="00ED093B">
        <w:rPr>
          <w:color w:val="auto"/>
        </w:rPr>
        <w:t xml:space="preserve">, C. M., </w:t>
      </w:r>
      <w:proofErr w:type="spellStart"/>
      <w:r w:rsidRPr="00ED093B">
        <w:rPr>
          <w:color w:val="auto"/>
        </w:rPr>
        <w:t>Byblow</w:t>
      </w:r>
      <w:proofErr w:type="spellEnd"/>
      <w:r w:rsidRPr="00ED093B">
        <w:rPr>
          <w:color w:val="auto"/>
        </w:rPr>
        <w:t xml:space="preserve">, W. D., </w:t>
      </w:r>
      <w:proofErr w:type="spellStart"/>
      <w:r w:rsidRPr="00ED093B">
        <w:rPr>
          <w:color w:val="auto"/>
        </w:rPr>
        <w:t>Ackerley</w:t>
      </w:r>
      <w:proofErr w:type="spellEnd"/>
      <w:r w:rsidRPr="00ED093B">
        <w:rPr>
          <w:color w:val="auto"/>
        </w:rPr>
        <w:t>, S. J., Barber, P. A.</w:t>
      </w:r>
      <w:r w:rsidR="003E6B0F" w:rsidRPr="00ED093B">
        <w:rPr>
          <w:color w:val="auto"/>
        </w:rPr>
        <w:t xml:space="preserve">, </w:t>
      </w:r>
      <w:r w:rsidRPr="00ED093B">
        <w:rPr>
          <w:color w:val="auto"/>
        </w:rPr>
        <w:t xml:space="preserve">Smith, M. C. Predicting Recovery Potential for Individual Stroke Patients Increases Rehabilitation Efficiency. </w:t>
      </w:r>
      <w:r w:rsidRPr="00ED093B">
        <w:rPr>
          <w:i/>
          <w:color w:val="auto"/>
        </w:rPr>
        <w:t>Stroke.</w:t>
      </w:r>
      <w:r w:rsidRPr="00ED093B">
        <w:rPr>
          <w:color w:val="auto"/>
        </w:rPr>
        <w:t xml:space="preserve"> </w:t>
      </w:r>
      <w:r w:rsidRPr="00ED093B">
        <w:rPr>
          <w:b/>
          <w:color w:val="auto"/>
        </w:rPr>
        <w:t>48</w:t>
      </w:r>
      <w:r w:rsidRPr="00ED093B">
        <w:rPr>
          <w:color w:val="auto"/>
        </w:rPr>
        <w:t xml:space="preserve"> (4), 1011</w:t>
      </w:r>
      <w:r w:rsidR="0041461E" w:rsidRPr="00ED093B">
        <w:rPr>
          <w:color w:val="auto"/>
        </w:rPr>
        <w:t>–</w:t>
      </w:r>
      <w:r w:rsidRPr="00ED093B">
        <w:rPr>
          <w:color w:val="auto"/>
        </w:rPr>
        <w:t>1019</w:t>
      </w:r>
      <w:r w:rsidR="003E6B0F" w:rsidRPr="00ED093B">
        <w:rPr>
          <w:color w:val="auto"/>
        </w:rPr>
        <w:t xml:space="preserve"> (</w:t>
      </w:r>
      <w:r w:rsidRPr="00ED093B">
        <w:rPr>
          <w:color w:val="auto"/>
        </w:rPr>
        <w:t>2017).</w:t>
      </w:r>
      <w:bookmarkEnd w:id="28"/>
    </w:p>
    <w:p w14:paraId="4858AACB" w14:textId="72A3C7E5" w:rsidR="00B02FAB" w:rsidRPr="00ED093B" w:rsidRDefault="00B02FAB" w:rsidP="00ED093B">
      <w:pPr>
        <w:pStyle w:val="ListParagraph"/>
        <w:numPr>
          <w:ilvl w:val="0"/>
          <w:numId w:val="43"/>
        </w:numPr>
        <w:ind w:left="0" w:firstLine="0"/>
        <w:rPr>
          <w:color w:val="auto"/>
        </w:rPr>
      </w:pPr>
      <w:bookmarkStart w:id="29" w:name="_ENREF_21"/>
      <w:r w:rsidRPr="00ED093B">
        <w:rPr>
          <w:color w:val="auto"/>
        </w:rPr>
        <w:t xml:space="preserve">Connell, L. A., Smith, M. C., </w:t>
      </w:r>
      <w:proofErr w:type="spellStart"/>
      <w:r w:rsidRPr="00ED093B">
        <w:rPr>
          <w:color w:val="auto"/>
        </w:rPr>
        <w:t>Byblow</w:t>
      </w:r>
      <w:proofErr w:type="spellEnd"/>
      <w:r w:rsidRPr="00ED093B">
        <w:rPr>
          <w:color w:val="auto"/>
        </w:rPr>
        <w:t>, W. D.</w:t>
      </w:r>
      <w:r w:rsidR="003E6B0F" w:rsidRPr="00ED093B">
        <w:rPr>
          <w:color w:val="auto"/>
        </w:rPr>
        <w:t xml:space="preserve">, </w:t>
      </w:r>
      <w:proofErr w:type="spellStart"/>
      <w:r w:rsidRPr="00ED093B">
        <w:rPr>
          <w:color w:val="auto"/>
        </w:rPr>
        <w:t>Stinear</w:t>
      </w:r>
      <w:proofErr w:type="spellEnd"/>
      <w:r w:rsidRPr="00ED093B">
        <w:rPr>
          <w:color w:val="auto"/>
        </w:rPr>
        <w:t xml:space="preserve">, C. M. Implementing biomarkers to predict motor recovery after stroke. </w:t>
      </w:r>
      <w:proofErr w:type="spellStart"/>
      <w:r w:rsidRPr="00ED093B">
        <w:rPr>
          <w:i/>
          <w:color w:val="auto"/>
        </w:rPr>
        <w:t>NeuroRehabilitation</w:t>
      </w:r>
      <w:proofErr w:type="spellEnd"/>
      <w:r w:rsidRPr="00ED093B">
        <w:rPr>
          <w:i/>
          <w:color w:val="auto"/>
        </w:rPr>
        <w:t>.</w:t>
      </w:r>
      <w:r w:rsidRPr="00ED093B">
        <w:rPr>
          <w:color w:val="auto"/>
        </w:rPr>
        <w:t xml:space="preserve"> </w:t>
      </w:r>
      <w:r w:rsidRPr="00ED093B">
        <w:rPr>
          <w:b/>
          <w:color w:val="auto"/>
        </w:rPr>
        <w:t>43</w:t>
      </w:r>
      <w:r w:rsidRPr="00ED093B">
        <w:rPr>
          <w:color w:val="auto"/>
        </w:rPr>
        <w:t xml:space="preserve"> (1), 41</w:t>
      </w:r>
      <w:r w:rsidR="0041461E" w:rsidRPr="00ED093B">
        <w:rPr>
          <w:color w:val="auto"/>
        </w:rPr>
        <w:t>–</w:t>
      </w:r>
      <w:r w:rsidRPr="00ED093B">
        <w:rPr>
          <w:color w:val="auto"/>
        </w:rPr>
        <w:t>50</w:t>
      </w:r>
      <w:r w:rsidR="003E6B0F" w:rsidRPr="00ED093B">
        <w:rPr>
          <w:color w:val="auto"/>
        </w:rPr>
        <w:t xml:space="preserve"> (</w:t>
      </w:r>
      <w:r w:rsidRPr="00ED093B">
        <w:rPr>
          <w:color w:val="auto"/>
        </w:rPr>
        <w:t>2018).</w:t>
      </w:r>
      <w:bookmarkEnd w:id="29"/>
    </w:p>
    <w:p w14:paraId="0C9D0185" w14:textId="035AF42B" w:rsidR="00B02FAB" w:rsidRPr="00ED093B" w:rsidRDefault="00B02FAB" w:rsidP="00ED093B">
      <w:pPr>
        <w:pStyle w:val="ListParagraph"/>
        <w:numPr>
          <w:ilvl w:val="0"/>
          <w:numId w:val="43"/>
        </w:numPr>
        <w:ind w:left="0" w:firstLine="0"/>
        <w:rPr>
          <w:color w:val="auto"/>
        </w:rPr>
      </w:pPr>
      <w:bookmarkStart w:id="30" w:name="_ENREF_22"/>
      <w:r w:rsidRPr="00ED093B">
        <w:rPr>
          <w:color w:val="auto"/>
        </w:rPr>
        <w:t xml:space="preserve">Smith, M. C., </w:t>
      </w:r>
      <w:proofErr w:type="spellStart"/>
      <w:r w:rsidRPr="00ED093B">
        <w:rPr>
          <w:color w:val="auto"/>
        </w:rPr>
        <w:t>Ackerley</w:t>
      </w:r>
      <w:proofErr w:type="spellEnd"/>
      <w:r w:rsidRPr="00ED093B">
        <w:rPr>
          <w:color w:val="auto"/>
        </w:rPr>
        <w:t xml:space="preserve">, S. J., Barber, P. A., </w:t>
      </w:r>
      <w:proofErr w:type="spellStart"/>
      <w:r w:rsidRPr="00ED093B">
        <w:rPr>
          <w:color w:val="auto"/>
        </w:rPr>
        <w:t>Byblow</w:t>
      </w:r>
      <w:proofErr w:type="spellEnd"/>
      <w:r w:rsidRPr="00ED093B">
        <w:rPr>
          <w:color w:val="auto"/>
        </w:rPr>
        <w:t>, W. D.</w:t>
      </w:r>
      <w:r w:rsidR="003E6B0F" w:rsidRPr="00ED093B">
        <w:rPr>
          <w:color w:val="auto"/>
        </w:rPr>
        <w:t xml:space="preserve">, </w:t>
      </w:r>
      <w:proofErr w:type="spellStart"/>
      <w:r w:rsidRPr="00ED093B">
        <w:rPr>
          <w:color w:val="auto"/>
        </w:rPr>
        <w:t>Stinear</w:t>
      </w:r>
      <w:proofErr w:type="spellEnd"/>
      <w:r w:rsidRPr="00ED093B">
        <w:rPr>
          <w:color w:val="auto"/>
        </w:rPr>
        <w:t xml:space="preserve">, C. M. PREP2 Algorithm Predictions Are Correct at 2 Years Poststroke for Most Patients. </w:t>
      </w:r>
      <w:r w:rsidRPr="00ED093B">
        <w:rPr>
          <w:i/>
          <w:color w:val="auto"/>
        </w:rPr>
        <w:t>Neurorehabil</w:t>
      </w:r>
      <w:r w:rsidR="001C6569" w:rsidRPr="00ED093B">
        <w:rPr>
          <w:i/>
          <w:color w:val="auto"/>
        </w:rPr>
        <w:t>itation and</w:t>
      </w:r>
      <w:r w:rsidRPr="00ED093B">
        <w:rPr>
          <w:i/>
          <w:color w:val="auto"/>
        </w:rPr>
        <w:t xml:space="preserve"> Neural Repair.</w:t>
      </w:r>
      <w:r w:rsidRPr="00ED093B">
        <w:rPr>
          <w:color w:val="auto"/>
        </w:rPr>
        <w:t xml:space="preserve"> </w:t>
      </w:r>
      <w:r w:rsidRPr="00ED093B">
        <w:rPr>
          <w:b/>
          <w:color w:val="auto"/>
        </w:rPr>
        <w:t>33</w:t>
      </w:r>
      <w:r w:rsidRPr="00ED093B">
        <w:rPr>
          <w:color w:val="auto"/>
        </w:rPr>
        <w:t xml:space="preserve"> (8), 635</w:t>
      </w:r>
      <w:r w:rsidR="0041461E" w:rsidRPr="00ED093B">
        <w:rPr>
          <w:color w:val="auto"/>
        </w:rPr>
        <w:t>–</w:t>
      </w:r>
      <w:r w:rsidRPr="00ED093B">
        <w:rPr>
          <w:color w:val="auto"/>
        </w:rPr>
        <w:t>642</w:t>
      </w:r>
      <w:r w:rsidR="003E6B0F" w:rsidRPr="00ED093B">
        <w:rPr>
          <w:color w:val="auto"/>
        </w:rPr>
        <w:t xml:space="preserve"> (</w:t>
      </w:r>
      <w:r w:rsidRPr="00ED093B">
        <w:rPr>
          <w:color w:val="auto"/>
        </w:rPr>
        <w:t>2019).</w:t>
      </w:r>
      <w:bookmarkEnd w:id="30"/>
    </w:p>
    <w:p w14:paraId="7E5001A3" w14:textId="1C45C2C8" w:rsidR="00B02FAB" w:rsidRPr="00ED093B" w:rsidRDefault="00B02FAB" w:rsidP="00ED093B">
      <w:pPr>
        <w:pStyle w:val="ListParagraph"/>
        <w:numPr>
          <w:ilvl w:val="0"/>
          <w:numId w:val="43"/>
        </w:numPr>
        <w:ind w:left="0" w:firstLine="0"/>
        <w:rPr>
          <w:color w:val="auto"/>
        </w:rPr>
      </w:pPr>
      <w:bookmarkStart w:id="31" w:name="_ENREF_23"/>
      <w:proofErr w:type="spellStart"/>
      <w:r w:rsidRPr="00ED093B">
        <w:rPr>
          <w:color w:val="auto"/>
        </w:rPr>
        <w:t>Stinear</w:t>
      </w:r>
      <w:proofErr w:type="spellEnd"/>
      <w:r w:rsidRPr="00ED093B">
        <w:rPr>
          <w:color w:val="auto"/>
        </w:rPr>
        <w:t xml:space="preserve">, C., </w:t>
      </w:r>
      <w:proofErr w:type="spellStart"/>
      <w:r w:rsidRPr="00ED093B">
        <w:rPr>
          <w:color w:val="auto"/>
        </w:rPr>
        <w:t>Byblow</w:t>
      </w:r>
      <w:proofErr w:type="spellEnd"/>
      <w:r w:rsidRPr="00ED093B">
        <w:rPr>
          <w:color w:val="auto"/>
        </w:rPr>
        <w:t xml:space="preserve">, W., </w:t>
      </w:r>
      <w:proofErr w:type="spellStart"/>
      <w:r w:rsidRPr="00ED093B">
        <w:rPr>
          <w:color w:val="auto"/>
        </w:rPr>
        <w:t>Ackerley</w:t>
      </w:r>
      <w:proofErr w:type="spellEnd"/>
      <w:r w:rsidRPr="00ED093B">
        <w:rPr>
          <w:color w:val="auto"/>
        </w:rPr>
        <w:t>, S.</w:t>
      </w:r>
      <w:r w:rsidR="003E6B0F" w:rsidRPr="00ED093B">
        <w:rPr>
          <w:color w:val="auto"/>
        </w:rPr>
        <w:t xml:space="preserve">, </w:t>
      </w:r>
      <w:r w:rsidRPr="00ED093B">
        <w:rPr>
          <w:color w:val="auto"/>
        </w:rPr>
        <w:t xml:space="preserve">Smith, M.-C. </w:t>
      </w:r>
      <w:r w:rsidRPr="00ED093B">
        <w:rPr>
          <w:i/>
          <w:color w:val="auto"/>
        </w:rPr>
        <w:t>PRESTO: predict stroke outcomes</w:t>
      </w:r>
      <w:r w:rsidRPr="00ED093B">
        <w:rPr>
          <w:color w:val="auto"/>
        </w:rPr>
        <w:t>, &lt;www.presto.auckland.ac.nz&gt; (2019).</w:t>
      </w:r>
      <w:bookmarkEnd w:id="31"/>
    </w:p>
    <w:p w14:paraId="5E5BBE81" w14:textId="14E4956F" w:rsidR="00B02FAB" w:rsidRPr="00ED093B" w:rsidRDefault="00B02FAB" w:rsidP="00ED093B">
      <w:pPr>
        <w:pStyle w:val="ListParagraph"/>
        <w:numPr>
          <w:ilvl w:val="0"/>
          <w:numId w:val="43"/>
        </w:numPr>
        <w:ind w:left="0" w:firstLine="0"/>
        <w:rPr>
          <w:color w:val="auto"/>
        </w:rPr>
      </w:pPr>
      <w:bookmarkStart w:id="32" w:name="_ENREF_24"/>
      <w:r w:rsidRPr="00ED093B">
        <w:rPr>
          <w:color w:val="auto"/>
        </w:rPr>
        <w:t>Rossi, S., Hallett, M., Rossini, P. M., Pascual-Leone, A.</w:t>
      </w:r>
      <w:r w:rsidR="003E6B0F" w:rsidRPr="00ED093B">
        <w:rPr>
          <w:color w:val="auto"/>
        </w:rPr>
        <w:t xml:space="preserve">, </w:t>
      </w:r>
      <w:r w:rsidRPr="00ED093B">
        <w:rPr>
          <w:color w:val="auto"/>
        </w:rPr>
        <w:t xml:space="preserve">Safety of, T. M. S. C. G. Safety, ethical considerations, and application guidelines for the use of transcranial magnetic stimulation in clinical practice and research. </w:t>
      </w:r>
      <w:r w:rsidRPr="00ED093B">
        <w:rPr>
          <w:i/>
          <w:color w:val="auto"/>
        </w:rPr>
        <w:t>Clin</w:t>
      </w:r>
      <w:r w:rsidR="001C6569" w:rsidRPr="00ED093B">
        <w:rPr>
          <w:i/>
          <w:color w:val="auto"/>
        </w:rPr>
        <w:t>ical</w:t>
      </w:r>
      <w:r w:rsidRPr="00ED093B">
        <w:rPr>
          <w:i/>
          <w:color w:val="auto"/>
        </w:rPr>
        <w:t xml:space="preserve"> Neurophysiol</w:t>
      </w:r>
      <w:r w:rsidR="001C6569" w:rsidRPr="00ED093B">
        <w:rPr>
          <w:i/>
          <w:color w:val="auto"/>
        </w:rPr>
        <w:t>ogy</w:t>
      </w:r>
      <w:r w:rsidRPr="00ED093B">
        <w:rPr>
          <w:i/>
          <w:color w:val="auto"/>
        </w:rPr>
        <w:t>.</w:t>
      </w:r>
      <w:r w:rsidRPr="00ED093B">
        <w:rPr>
          <w:color w:val="auto"/>
        </w:rPr>
        <w:t xml:space="preserve"> </w:t>
      </w:r>
      <w:r w:rsidRPr="00ED093B">
        <w:rPr>
          <w:b/>
          <w:color w:val="auto"/>
        </w:rPr>
        <w:t>120</w:t>
      </w:r>
      <w:r w:rsidRPr="00ED093B">
        <w:rPr>
          <w:color w:val="auto"/>
        </w:rPr>
        <w:t xml:space="preserve"> (12), 2008</w:t>
      </w:r>
      <w:r w:rsidR="0041461E" w:rsidRPr="00ED093B">
        <w:rPr>
          <w:color w:val="auto"/>
        </w:rPr>
        <w:t>–</w:t>
      </w:r>
      <w:r w:rsidRPr="00ED093B">
        <w:rPr>
          <w:color w:val="auto"/>
        </w:rPr>
        <w:t>2039</w:t>
      </w:r>
      <w:r w:rsidR="003E6B0F" w:rsidRPr="00ED093B">
        <w:rPr>
          <w:color w:val="auto"/>
        </w:rPr>
        <w:t xml:space="preserve"> (</w:t>
      </w:r>
      <w:r w:rsidRPr="00ED093B">
        <w:rPr>
          <w:color w:val="auto"/>
        </w:rPr>
        <w:t>2009).</w:t>
      </w:r>
      <w:bookmarkEnd w:id="32"/>
    </w:p>
    <w:p w14:paraId="04AFE4DA" w14:textId="3623E847" w:rsidR="00F165B4" w:rsidRPr="00ED093B" w:rsidRDefault="00B02FAB" w:rsidP="00ED093B">
      <w:pPr>
        <w:pStyle w:val="ListParagraph"/>
        <w:numPr>
          <w:ilvl w:val="0"/>
          <w:numId w:val="43"/>
        </w:numPr>
        <w:ind w:left="0" w:firstLine="0"/>
        <w:rPr>
          <w:color w:val="auto"/>
        </w:rPr>
      </w:pPr>
      <w:bookmarkStart w:id="33" w:name="_ENREF_25"/>
      <w:proofErr w:type="spellStart"/>
      <w:r w:rsidRPr="00ED093B">
        <w:rPr>
          <w:color w:val="auto"/>
        </w:rPr>
        <w:t>Talelli</w:t>
      </w:r>
      <w:proofErr w:type="spellEnd"/>
      <w:r w:rsidRPr="00ED093B">
        <w:rPr>
          <w:color w:val="auto"/>
        </w:rPr>
        <w:t>, P., Greenwood, R. J.</w:t>
      </w:r>
      <w:r w:rsidR="003E6B0F" w:rsidRPr="00ED093B">
        <w:rPr>
          <w:color w:val="auto"/>
        </w:rPr>
        <w:t xml:space="preserve">, </w:t>
      </w:r>
      <w:r w:rsidRPr="00ED093B">
        <w:rPr>
          <w:color w:val="auto"/>
        </w:rPr>
        <w:t xml:space="preserve">Rothwell, J. C. Arm function after stroke: neurophysiological correlates and recovery mechanisms assessed by transcranial magnetic stimulation. </w:t>
      </w:r>
      <w:r w:rsidRPr="00ED093B">
        <w:rPr>
          <w:i/>
          <w:iCs/>
          <w:color w:val="auto"/>
        </w:rPr>
        <w:t>Clin</w:t>
      </w:r>
      <w:r w:rsidR="001C6569" w:rsidRPr="00ED093B">
        <w:rPr>
          <w:i/>
          <w:iCs/>
          <w:color w:val="auto"/>
        </w:rPr>
        <w:t>ical</w:t>
      </w:r>
      <w:r w:rsidRPr="00ED093B">
        <w:rPr>
          <w:i/>
          <w:iCs/>
          <w:color w:val="auto"/>
        </w:rPr>
        <w:t xml:space="preserve"> Neurophysiol</w:t>
      </w:r>
      <w:r w:rsidR="001C6569" w:rsidRPr="00ED093B">
        <w:rPr>
          <w:i/>
          <w:iCs/>
          <w:color w:val="auto"/>
        </w:rPr>
        <w:t>ogy</w:t>
      </w:r>
      <w:r w:rsidRPr="00ED093B">
        <w:rPr>
          <w:color w:val="auto"/>
        </w:rPr>
        <w:t>. 117 (8), 1641</w:t>
      </w:r>
      <w:r w:rsidR="0041461E" w:rsidRPr="00ED093B">
        <w:rPr>
          <w:color w:val="auto"/>
        </w:rPr>
        <w:t>–</w:t>
      </w:r>
      <w:r w:rsidRPr="00ED093B">
        <w:rPr>
          <w:color w:val="auto"/>
        </w:rPr>
        <w:t>1659</w:t>
      </w:r>
      <w:r w:rsidR="003E6B0F" w:rsidRPr="00ED093B">
        <w:rPr>
          <w:color w:val="auto"/>
        </w:rPr>
        <w:t xml:space="preserve"> (</w:t>
      </w:r>
      <w:r w:rsidRPr="00ED093B">
        <w:rPr>
          <w:color w:val="auto"/>
        </w:rPr>
        <w:t>2006).</w:t>
      </w:r>
      <w:bookmarkEnd w:id="0"/>
      <w:bookmarkEnd w:id="33"/>
    </w:p>
    <w:sectPr w:rsidR="00F165B4" w:rsidRPr="00ED093B" w:rsidSect="00725D44">
      <w:headerReference w:type="default" r:id="rId8"/>
      <w:headerReference w:type="firs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D466F" w14:textId="77777777" w:rsidR="00535311" w:rsidRDefault="00535311">
      <w:r>
        <w:separator/>
      </w:r>
    </w:p>
  </w:endnote>
  <w:endnote w:type="continuationSeparator" w:id="0">
    <w:p w14:paraId="2A68C197" w14:textId="77777777" w:rsidR="00535311" w:rsidRDefault="0053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5EEC" w14:textId="77777777" w:rsidR="00535311" w:rsidRDefault="00535311">
      <w:r>
        <w:separator/>
      </w:r>
    </w:p>
  </w:footnote>
  <w:footnote w:type="continuationSeparator" w:id="0">
    <w:p w14:paraId="3A941766" w14:textId="77777777" w:rsidR="00535311" w:rsidRDefault="0053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0D1E6" w14:textId="77777777" w:rsidR="00CA7C2A" w:rsidRPr="006F06E4" w:rsidRDefault="00CA7C2A" w:rsidP="00A76A40">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49BC" w14:textId="77777777" w:rsidR="00CA7C2A" w:rsidRPr="006F06E4" w:rsidRDefault="00CA7C2A" w:rsidP="00A76A40">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F0CAF"/>
    <w:multiLevelType w:val="hybridMultilevel"/>
    <w:tmpl w:val="46F44DBA"/>
    <w:lvl w:ilvl="0" w:tplc="8578DFD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A6ECB"/>
    <w:multiLevelType w:val="hybridMultilevel"/>
    <w:tmpl w:val="4D402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E4852"/>
    <w:multiLevelType w:val="hybridMultilevel"/>
    <w:tmpl w:val="81ECE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A34A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69F2F8F"/>
    <w:multiLevelType w:val="hybridMultilevel"/>
    <w:tmpl w:val="67A83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56F5"/>
    <w:multiLevelType w:val="hybridMultilevel"/>
    <w:tmpl w:val="87986D3E"/>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70C6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1F060F9"/>
    <w:multiLevelType w:val="hybridMultilevel"/>
    <w:tmpl w:val="DB96B35C"/>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E62AE"/>
    <w:multiLevelType w:val="hybridMultilevel"/>
    <w:tmpl w:val="12269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D17677"/>
    <w:multiLevelType w:val="hybridMultilevel"/>
    <w:tmpl w:val="E732200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1DA651F"/>
    <w:multiLevelType w:val="hybridMultilevel"/>
    <w:tmpl w:val="EF843218"/>
    <w:lvl w:ilvl="0" w:tplc="C89CC37C">
      <w:start w:val="1"/>
      <w:numFmt w:val="decimal"/>
      <w:lvlText w:val="%1."/>
      <w:lvlJc w:val="left"/>
      <w:pPr>
        <w:ind w:left="720" w:hanging="360"/>
      </w:pPr>
      <w:rPr>
        <w:rFonts w:hint="default"/>
        <w:color w:val="80808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56A2F"/>
    <w:multiLevelType w:val="multilevel"/>
    <w:tmpl w:val="43B25A9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E1B33"/>
    <w:multiLevelType w:val="hybridMultilevel"/>
    <w:tmpl w:val="84AA12BE"/>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264B93"/>
    <w:multiLevelType w:val="hybridMultilevel"/>
    <w:tmpl w:val="D0CA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0C1094"/>
    <w:multiLevelType w:val="hybridMultilevel"/>
    <w:tmpl w:val="8FDECBD4"/>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D0B5116"/>
    <w:multiLevelType w:val="hybridMultilevel"/>
    <w:tmpl w:val="176CCA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0"/>
  </w:num>
  <w:num w:numId="3">
    <w:abstractNumId w:val="5"/>
  </w:num>
  <w:num w:numId="4">
    <w:abstractNumId w:val="28"/>
  </w:num>
  <w:num w:numId="5">
    <w:abstractNumId w:val="14"/>
  </w:num>
  <w:num w:numId="6">
    <w:abstractNumId w:val="26"/>
  </w:num>
  <w:num w:numId="7">
    <w:abstractNumId w:val="0"/>
  </w:num>
  <w:num w:numId="8">
    <w:abstractNumId w:val="16"/>
  </w:num>
  <w:num w:numId="9">
    <w:abstractNumId w:val="19"/>
  </w:num>
  <w:num w:numId="10">
    <w:abstractNumId w:val="29"/>
  </w:num>
  <w:num w:numId="11">
    <w:abstractNumId w:val="34"/>
  </w:num>
  <w:num w:numId="12">
    <w:abstractNumId w:val="2"/>
  </w:num>
  <w:num w:numId="13">
    <w:abstractNumId w:val="31"/>
  </w:num>
  <w:num w:numId="14">
    <w:abstractNumId w:val="40"/>
  </w:num>
  <w:num w:numId="15">
    <w:abstractNumId w:val="21"/>
  </w:num>
  <w:num w:numId="16">
    <w:abstractNumId w:val="13"/>
  </w:num>
  <w:num w:numId="17">
    <w:abstractNumId w:val="33"/>
  </w:num>
  <w:num w:numId="18">
    <w:abstractNumId w:val="22"/>
  </w:num>
  <w:num w:numId="19">
    <w:abstractNumId w:val="36"/>
  </w:num>
  <w:num w:numId="20">
    <w:abstractNumId w:val="3"/>
  </w:num>
  <w:num w:numId="21">
    <w:abstractNumId w:val="37"/>
  </w:num>
  <w:num w:numId="22">
    <w:abstractNumId w:val="35"/>
  </w:num>
  <w:num w:numId="23">
    <w:abstractNumId w:val="23"/>
  </w:num>
  <w:num w:numId="24">
    <w:abstractNumId w:val="41"/>
  </w:num>
  <w:num w:numId="25">
    <w:abstractNumId w:val="11"/>
  </w:num>
  <w:num w:numId="26">
    <w:abstractNumId w:val="1"/>
  </w:num>
  <w:num w:numId="27">
    <w:abstractNumId w:val="9"/>
  </w:num>
  <w:num w:numId="28">
    <w:abstractNumId w:val="43"/>
  </w:num>
  <w:num w:numId="29">
    <w:abstractNumId w:val="25"/>
  </w:num>
  <w:num w:numId="30">
    <w:abstractNumId w:val="27"/>
  </w:num>
  <w:num w:numId="31">
    <w:abstractNumId w:val="10"/>
  </w:num>
  <w:num w:numId="32">
    <w:abstractNumId w:val="17"/>
  </w:num>
  <w:num w:numId="33">
    <w:abstractNumId w:val="38"/>
  </w:num>
  <w:num w:numId="34">
    <w:abstractNumId w:val="20"/>
  </w:num>
  <w:num w:numId="35">
    <w:abstractNumId w:val="42"/>
  </w:num>
  <w:num w:numId="36">
    <w:abstractNumId w:val="8"/>
  </w:num>
  <w:num w:numId="37">
    <w:abstractNumId w:val="24"/>
  </w:num>
  <w:num w:numId="38">
    <w:abstractNumId w:val="18"/>
  </w:num>
  <w:num w:numId="39">
    <w:abstractNumId w:val="32"/>
  </w:num>
  <w:num w:numId="40">
    <w:abstractNumId w:val="6"/>
  </w:num>
  <w:num w:numId="41">
    <w:abstractNumId w:val="12"/>
  </w:num>
  <w:num w:numId="42">
    <w:abstractNumId w:val="39"/>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02FAB"/>
    <w:rsid w:val="00057FFC"/>
    <w:rsid w:val="000622E8"/>
    <w:rsid w:val="000B5126"/>
    <w:rsid w:val="000D6CEA"/>
    <w:rsid w:val="0015099B"/>
    <w:rsid w:val="00187A7E"/>
    <w:rsid w:val="0019693A"/>
    <w:rsid w:val="001A39BC"/>
    <w:rsid w:val="001C53F5"/>
    <w:rsid w:val="001C6569"/>
    <w:rsid w:val="001D305A"/>
    <w:rsid w:val="00231FCB"/>
    <w:rsid w:val="002623DC"/>
    <w:rsid w:val="0029415A"/>
    <w:rsid w:val="00295798"/>
    <w:rsid w:val="002A5A24"/>
    <w:rsid w:val="002C27EE"/>
    <w:rsid w:val="00336E5D"/>
    <w:rsid w:val="003A69EA"/>
    <w:rsid w:val="003B49C9"/>
    <w:rsid w:val="003D4066"/>
    <w:rsid w:val="003E6B0F"/>
    <w:rsid w:val="0041461E"/>
    <w:rsid w:val="004550D0"/>
    <w:rsid w:val="00467041"/>
    <w:rsid w:val="004B7954"/>
    <w:rsid w:val="004C1E77"/>
    <w:rsid w:val="004F5331"/>
    <w:rsid w:val="00535311"/>
    <w:rsid w:val="005714D8"/>
    <w:rsid w:val="00601C67"/>
    <w:rsid w:val="00681A8B"/>
    <w:rsid w:val="006B2E5D"/>
    <w:rsid w:val="006C24E6"/>
    <w:rsid w:val="006E60AE"/>
    <w:rsid w:val="00725D44"/>
    <w:rsid w:val="00767BCC"/>
    <w:rsid w:val="007A032F"/>
    <w:rsid w:val="0085742C"/>
    <w:rsid w:val="008765DB"/>
    <w:rsid w:val="00897A83"/>
    <w:rsid w:val="008D283E"/>
    <w:rsid w:val="008F2097"/>
    <w:rsid w:val="00907908"/>
    <w:rsid w:val="00962216"/>
    <w:rsid w:val="0098541D"/>
    <w:rsid w:val="00A00146"/>
    <w:rsid w:val="00A02CCF"/>
    <w:rsid w:val="00A4774A"/>
    <w:rsid w:val="00A562AA"/>
    <w:rsid w:val="00A66082"/>
    <w:rsid w:val="00A76A40"/>
    <w:rsid w:val="00AC4B84"/>
    <w:rsid w:val="00AF0156"/>
    <w:rsid w:val="00B02FAB"/>
    <w:rsid w:val="00B42D7C"/>
    <w:rsid w:val="00B72B16"/>
    <w:rsid w:val="00BC1191"/>
    <w:rsid w:val="00BD0240"/>
    <w:rsid w:val="00CA3DFA"/>
    <w:rsid w:val="00CA776B"/>
    <w:rsid w:val="00CA7C2A"/>
    <w:rsid w:val="00D423F0"/>
    <w:rsid w:val="00D97A6D"/>
    <w:rsid w:val="00DB0A4E"/>
    <w:rsid w:val="00ED093B"/>
    <w:rsid w:val="00F165B4"/>
    <w:rsid w:val="00F4563B"/>
    <w:rsid w:val="00F6308F"/>
    <w:rsid w:val="00FF038C"/>
    <w:rsid w:val="00FF61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8125"/>
  <w15:chartTrackingRefBased/>
  <w15:docId w15:val="{DD2CC491-058E-45B3-85D9-4F003A4F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2FAB"/>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B02FA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B02FA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B02FA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FAB"/>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B02FAB"/>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B02FAB"/>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B02FAB"/>
    <w:pPr>
      <w:spacing w:before="100" w:beforeAutospacing="1" w:after="100" w:afterAutospacing="1"/>
    </w:pPr>
  </w:style>
  <w:style w:type="character" w:styleId="Hyperlink">
    <w:name w:val="Hyperlink"/>
    <w:uiPriority w:val="99"/>
    <w:rsid w:val="00B02FAB"/>
    <w:rPr>
      <w:color w:val="0000FF"/>
      <w:u w:val="single"/>
    </w:rPr>
  </w:style>
  <w:style w:type="paragraph" w:styleId="Header">
    <w:name w:val="header"/>
    <w:basedOn w:val="Normal"/>
    <w:link w:val="HeaderChar"/>
    <w:rsid w:val="00B02FAB"/>
    <w:pPr>
      <w:tabs>
        <w:tab w:val="center" w:pos="4680"/>
        <w:tab w:val="right" w:pos="9360"/>
      </w:tabs>
    </w:pPr>
  </w:style>
  <w:style w:type="character" w:customStyle="1" w:styleId="HeaderChar">
    <w:name w:val="Header Char"/>
    <w:link w:val="Header"/>
    <w:rsid w:val="00B02FAB"/>
    <w:rPr>
      <w:rFonts w:ascii="Calibri" w:eastAsia="Times New Roman" w:hAnsi="Calibri" w:cs="Calibri"/>
      <w:color w:val="000000"/>
      <w:sz w:val="24"/>
      <w:szCs w:val="24"/>
      <w:lang w:val="en-US"/>
    </w:rPr>
  </w:style>
  <w:style w:type="paragraph" w:styleId="Footer">
    <w:name w:val="footer"/>
    <w:basedOn w:val="Normal"/>
    <w:link w:val="FooterChar"/>
    <w:uiPriority w:val="99"/>
    <w:rsid w:val="00B02FAB"/>
    <w:pPr>
      <w:tabs>
        <w:tab w:val="center" w:pos="4680"/>
        <w:tab w:val="right" w:pos="9360"/>
      </w:tabs>
    </w:pPr>
  </w:style>
  <w:style w:type="character" w:customStyle="1" w:styleId="FooterChar">
    <w:name w:val="Footer Char"/>
    <w:link w:val="Footer"/>
    <w:uiPriority w:val="99"/>
    <w:rsid w:val="00B02FAB"/>
    <w:rPr>
      <w:rFonts w:ascii="Calibri" w:eastAsia="Times New Roman" w:hAnsi="Calibri" w:cs="Calibri"/>
      <w:color w:val="000000"/>
      <w:sz w:val="24"/>
      <w:szCs w:val="24"/>
      <w:lang w:val="en-US"/>
    </w:rPr>
  </w:style>
  <w:style w:type="character" w:styleId="CommentReference">
    <w:name w:val="annotation reference"/>
    <w:uiPriority w:val="99"/>
    <w:rsid w:val="00B02FAB"/>
    <w:rPr>
      <w:sz w:val="18"/>
      <w:szCs w:val="18"/>
    </w:rPr>
  </w:style>
  <w:style w:type="paragraph" w:styleId="CommentText">
    <w:name w:val="annotation text"/>
    <w:basedOn w:val="Normal"/>
    <w:link w:val="CommentTextChar"/>
    <w:uiPriority w:val="99"/>
    <w:rsid w:val="00B02FAB"/>
  </w:style>
  <w:style w:type="character" w:customStyle="1" w:styleId="CommentTextChar">
    <w:name w:val="Comment Text Char"/>
    <w:link w:val="CommentText"/>
    <w:uiPriority w:val="99"/>
    <w:rsid w:val="00B02FAB"/>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B02FAB"/>
    <w:rPr>
      <w:b/>
      <w:bCs/>
      <w:sz w:val="20"/>
      <w:szCs w:val="20"/>
    </w:rPr>
  </w:style>
  <w:style w:type="character" w:customStyle="1" w:styleId="CommentSubjectChar">
    <w:name w:val="Comment Subject Char"/>
    <w:link w:val="CommentSubject"/>
    <w:rsid w:val="00B02FAB"/>
    <w:rPr>
      <w:rFonts w:ascii="Calibri" w:eastAsia="Times New Roman" w:hAnsi="Calibri" w:cs="Calibri"/>
      <w:b/>
      <w:bCs/>
      <w:color w:val="000000"/>
      <w:sz w:val="20"/>
      <w:szCs w:val="20"/>
      <w:lang w:val="en-US"/>
    </w:rPr>
  </w:style>
  <w:style w:type="paragraph" w:styleId="BalloonText">
    <w:name w:val="Balloon Text"/>
    <w:basedOn w:val="Normal"/>
    <w:link w:val="BalloonTextChar"/>
    <w:rsid w:val="00B02FAB"/>
    <w:rPr>
      <w:rFonts w:ascii="Lucida Grande" w:hAnsi="Lucida Grande"/>
      <w:sz w:val="18"/>
      <w:szCs w:val="18"/>
    </w:rPr>
  </w:style>
  <w:style w:type="character" w:customStyle="1" w:styleId="BalloonTextChar">
    <w:name w:val="Balloon Text Char"/>
    <w:link w:val="BalloonText"/>
    <w:rsid w:val="00B02FAB"/>
    <w:rPr>
      <w:rFonts w:ascii="Lucida Grande" w:eastAsia="Times New Roman" w:hAnsi="Lucida Grande" w:cs="Calibri"/>
      <w:color w:val="000000"/>
      <w:sz w:val="18"/>
      <w:szCs w:val="18"/>
      <w:lang w:val="en-US"/>
    </w:rPr>
  </w:style>
  <w:style w:type="character" w:styleId="PageNumber">
    <w:name w:val="page number"/>
    <w:basedOn w:val="DefaultParagraphFont"/>
    <w:rsid w:val="00B02FAB"/>
  </w:style>
  <w:style w:type="character" w:styleId="FollowedHyperlink">
    <w:name w:val="FollowedHyperlink"/>
    <w:rsid w:val="00B02FAB"/>
    <w:rPr>
      <w:color w:val="800080"/>
      <w:u w:val="single"/>
    </w:rPr>
  </w:style>
  <w:style w:type="character" w:customStyle="1" w:styleId="apple-converted-space">
    <w:name w:val="apple-converted-space"/>
    <w:basedOn w:val="DefaultParagraphFont"/>
    <w:rsid w:val="00B02FAB"/>
  </w:style>
  <w:style w:type="character" w:styleId="IntenseEmphasis">
    <w:name w:val="Intense Emphasis"/>
    <w:qFormat/>
    <w:rsid w:val="00B02FAB"/>
    <w:rPr>
      <w:b/>
      <w:bCs/>
      <w:i/>
      <w:iCs/>
      <w:color w:val="4F81BD"/>
    </w:rPr>
  </w:style>
  <w:style w:type="paragraph" w:customStyle="1" w:styleId="Exampletext">
    <w:name w:val="Example text"/>
    <w:basedOn w:val="Normal"/>
    <w:link w:val="ExampletextChar"/>
    <w:qFormat/>
    <w:rsid w:val="00B02FAB"/>
    <w:pPr>
      <w:spacing w:after="240"/>
    </w:pPr>
    <w:rPr>
      <w:color w:val="7F7F7F"/>
    </w:rPr>
  </w:style>
  <w:style w:type="character" w:customStyle="1" w:styleId="ExampletextChar">
    <w:name w:val="Example text Char"/>
    <w:link w:val="Exampletext"/>
    <w:rsid w:val="00B02FAB"/>
    <w:rPr>
      <w:rFonts w:ascii="Calibri" w:eastAsia="Times New Roman" w:hAnsi="Calibri" w:cs="Calibri"/>
      <w:color w:val="7F7F7F"/>
      <w:sz w:val="24"/>
      <w:szCs w:val="24"/>
      <w:lang w:val="en-US"/>
    </w:rPr>
  </w:style>
  <w:style w:type="paragraph" w:styleId="ListParagraph">
    <w:name w:val="List Paragraph"/>
    <w:basedOn w:val="Normal"/>
    <w:uiPriority w:val="34"/>
    <w:qFormat/>
    <w:rsid w:val="00B02FAB"/>
    <w:pPr>
      <w:ind w:left="720"/>
      <w:contextualSpacing/>
    </w:pPr>
  </w:style>
  <w:style w:type="paragraph" w:styleId="Revision">
    <w:name w:val="Revision"/>
    <w:hidden/>
    <w:uiPriority w:val="99"/>
    <w:semiHidden/>
    <w:rsid w:val="00B02FAB"/>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B02FA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B02FAB"/>
    <w:rPr>
      <w:rFonts w:ascii="Calibri" w:eastAsia="Calibri" w:hAnsi="Calibri" w:cs="Calibri"/>
      <w:sz w:val="24"/>
      <w:szCs w:val="24"/>
      <w:lang w:val="en-US"/>
    </w:rPr>
  </w:style>
  <w:style w:type="character" w:styleId="Strong">
    <w:name w:val="Strong"/>
    <w:basedOn w:val="DefaultParagraphFont"/>
    <w:uiPriority w:val="22"/>
    <w:qFormat/>
    <w:rsid w:val="00B02FAB"/>
    <w:rPr>
      <w:b/>
      <w:bCs/>
    </w:rPr>
  </w:style>
  <w:style w:type="character" w:styleId="Emphasis">
    <w:name w:val="Emphasis"/>
    <w:basedOn w:val="DefaultParagraphFont"/>
    <w:uiPriority w:val="20"/>
    <w:qFormat/>
    <w:rsid w:val="00B02FAB"/>
    <w:rPr>
      <w:i/>
      <w:iCs/>
    </w:rPr>
  </w:style>
  <w:style w:type="character" w:styleId="LineNumber">
    <w:name w:val="line number"/>
    <w:basedOn w:val="DefaultParagraphFont"/>
    <w:uiPriority w:val="99"/>
    <w:semiHidden/>
    <w:unhideWhenUsed/>
    <w:rsid w:val="00B02FAB"/>
  </w:style>
  <w:style w:type="character" w:customStyle="1" w:styleId="UnresolvedMention1">
    <w:name w:val="Unresolved Mention1"/>
    <w:basedOn w:val="DefaultParagraphFont"/>
    <w:uiPriority w:val="99"/>
    <w:semiHidden/>
    <w:unhideWhenUsed/>
    <w:rsid w:val="00B02FAB"/>
    <w:rPr>
      <w:color w:val="808080"/>
      <w:shd w:val="clear" w:color="auto" w:fill="E6E6E6"/>
    </w:rPr>
  </w:style>
  <w:style w:type="table" w:styleId="TableGrid">
    <w:name w:val="Table Grid"/>
    <w:basedOn w:val="TableNormal"/>
    <w:uiPriority w:val="39"/>
    <w:rsid w:val="00B02FAB"/>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02FAB"/>
    <w:rPr>
      <w:color w:val="605E5C"/>
      <w:shd w:val="clear" w:color="auto" w:fill="E1DFDD"/>
    </w:rPr>
  </w:style>
  <w:style w:type="paragraph" w:customStyle="1" w:styleId="EndNoteBibliographyTitle">
    <w:name w:val="EndNote Bibliography Title"/>
    <w:basedOn w:val="Normal"/>
    <w:link w:val="EndNoteBibliographyTitleChar"/>
    <w:rsid w:val="00B02FAB"/>
    <w:pPr>
      <w:jc w:val="center"/>
    </w:pPr>
    <w:rPr>
      <w:noProof/>
    </w:rPr>
  </w:style>
  <w:style w:type="character" w:customStyle="1" w:styleId="EndNoteBibliographyTitleChar">
    <w:name w:val="EndNote Bibliography Title Char"/>
    <w:basedOn w:val="DefaultParagraphFont"/>
    <w:link w:val="EndNoteBibliographyTitle"/>
    <w:rsid w:val="00B02FAB"/>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B02FAB"/>
    <w:rPr>
      <w:noProof/>
    </w:rPr>
  </w:style>
  <w:style w:type="character" w:customStyle="1" w:styleId="EndNoteBibliographyChar">
    <w:name w:val="EndNote Bibliography Char"/>
    <w:basedOn w:val="DefaultParagraphFont"/>
    <w:link w:val="EndNoteBibliography"/>
    <w:rsid w:val="00B02FAB"/>
    <w:rPr>
      <w:rFonts w:ascii="Calibri" w:eastAsia="Times New Roman" w:hAnsi="Calibri" w:cs="Calibri"/>
      <w:noProof/>
      <w:color w:val="000000"/>
      <w:sz w:val="24"/>
      <w:szCs w:val="24"/>
      <w:lang w:val="en-US"/>
    </w:rPr>
  </w:style>
  <w:style w:type="character" w:customStyle="1" w:styleId="UnresolvedMention3">
    <w:name w:val="Unresolved Mention3"/>
    <w:basedOn w:val="DefaultParagraphFont"/>
    <w:uiPriority w:val="99"/>
    <w:semiHidden/>
    <w:unhideWhenUsed/>
    <w:rsid w:val="00B02FAB"/>
    <w:rPr>
      <w:color w:val="605E5C"/>
      <w:shd w:val="clear" w:color="auto" w:fill="E1DFDD"/>
    </w:rPr>
  </w:style>
  <w:style w:type="character" w:customStyle="1" w:styleId="UnresolvedMention4">
    <w:name w:val="Unresolved Mention4"/>
    <w:basedOn w:val="DefaultParagraphFont"/>
    <w:uiPriority w:val="99"/>
    <w:semiHidden/>
    <w:unhideWhenUsed/>
    <w:rsid w:val="00B02FAB"/>
    <w:rPr>
      <w:color w:val="605E5C"/>
      <w:shd w:val="clear" w:color="auto" w:fill="E1DFDD"/>
    </w:rPr>
  </w:style>
  <w:style w:type="character" w:customStyle="1" w:styleId="UnresolvedMention5">
    <w:name w:val="Unresolved Mention5"/>
    <w:basedOn w:val="DefaultParagraphFont"/>
    <w:uiPriority w:val="99"/>
    <w:semiHidden/>
    <w:unhideWhenUsed/>
    <w:rsid w:val="00B02FAB"/>
    <w:rPr>
      <w:color w:val="605E5C"/>
      <w:shd w:val="clear" w:color="auto" w:fill="E1DFDD"/>
    </w:rPr>
  </w:style>
  <w:style w:type="character" w:styleId="UnresolvedMention">
    <w:name w:val="Unresolved Mention"/>
    <w:basedOn w:val="DefaultParagraphFont"/>
    <w:uiPriority w:val="99"/>
    <w:semiHidden/>
    <w:unhideWhenUsed/>
    <w:rsid w:val="002C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AA3841E-A869-49BD-A1ED-82E26836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13</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Smith</dc:creator>
  <cp:keywords/>
  <dc:description/>
  <cp:lastModifiedBy>editor</cp:lastModifiedBy>
  <cp:revision>40</cp:revision>
  <dcterms:created xsi:type="dcterms:W3CDTF">2019-09-18T19:46:00Z</dcterms:created>
  <dcterms:modified xsi:type="dcterms:W3CDTF">2019-09-22T05:34:00Z</dcterms:modified>
</cp:coreProperties>
</file>