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C1D23" w14:textId="6659E7BC" w:rsidR="0066547F" w:rsidRPr="00AF43F7" w:rsidRDefault="0066547F" w:rsidP="0066547F">
      <w:pPr>
        <w:rPr>
          <w:rFonts w:asciiTheme="minorHAnsi" w:hAnsiTheme="minorHAnsi"/>
        </w:rPr>
      </w:pPr>
      <w:r w:rsidRPr="00AF43F7">
        <w:rPr>
          <w:rFonts w:asciiTheme="minorHAnsi" w:hAnsiTheme="minorHAnsi"/>
        </w:rPr>
        <w:t>We thank the reviewers for their useful and constructive comments. Based on th</w:t>
      </w:r>
      <w:r>
        <w:rPr>
          <w:rFonts w:asciiTheme="minorHAnsi" w:hAnsiTheme="minorHAnsi"/>
        </w:rPr>
        <w:t>e</w:t>
      </w:r>
      <w:r w:rsidRPr="00AF43F7">
        <w:rPr>
          <w:rFonts w:asciiTheme="minorHAnsi" w:hAnsiTheme="minorHAnsi"/>
        </w:rPr>
        <w:t>se comments, we revised the manuscript according to their recommendations. You will find below a detailed response to your comments</w:t>
      </w:r>
      <w:r>
        <w:rPr>
          <w:rFonts w:asciiTheme="minorHAnsi" w:hAnsiTheme="minorHAnsi"/>
        </w:rPr>
        <w:t xml:space="preserve"> that</w:t>
      </w:r>
      <w:r w:rsidRPr="00AF43F7">
        <w:rPr>
          <w:rFonts w:asciiTheme="minorHAnsi" w:hAnsiTheme="minorHAnsi"/>
        </w:rPr>
        <w:t xml:space="preserve"> </w:t>
      </w:r>
      <w:r>
        <w:rPr>
          <w:rFonts w:asciiTheme="minorHAnsi" w:hAnsiTheme="minorHAnsi"/>
        </w:rPr>
        <w:t>includes</w:t>
      </w:r>
      <w:r w:rsidRPr="00AF43F7">
        <w:rPr>
          <w:rFonts w:asciiTheme="minorHAnsi" w:hAnsiTheme="minorHAnsi"/>
        </w:rPr>
        <w:t xml:space="preserve"> a description of the corrections that were made to the manuscript.</w:t>
      </w:r>
    </w:p>
    <w:p w14:paraId="23A6BC9B" w14:textId="77777777" w:rsidR="0066547F" w:rsidRPr="00AF43F7" w:rsidRDefault="0066547F" w:rsidP="0066547F">
      <w:pPr>
        <w:rPr>
          <w:rFonts w:asciiTheme="minorHAnsi" w:hAnsiTheme="minorHAnsi"/>
          <w:b/>
          <w:bCs/>
        </w:rPr>
      </w:pPr>
      <w:r w:rsidRPr="00AF43F7">
        <w:rPr>
          <w:rFonts w:asciiTheme="minorHAnsi" w:hAnsiTheme="minorHAnsi"/>
          <w:b/>
          <w:bCs/>
        </w:rPr>
        <w:t>Editorial comments:</w:t>
      </w:r>
    </w:p>
    <w:p w14:paraId="4E9E4792"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General:</w:t>
      </w:r>
    </w:p>
    <w:p w14:paraId="292C8DE6"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1. Please take this opportunity to thoroughly proofread the manuscript to ensure that there are no spelling or grammar issues.</w:t>
      </w:r>
    </w:p>
    <w:p w14:paraId="2D4C6C93" w14:textId="2AC41AEA" w:rsidR="0066547F" w:rsidRPr="00AF43F7" w:rsidRDefault="0066547F" w:rsidP="0066547F">
      <w:pPr>
        <w:rPr>
          <w:rFonts w:asciiTheme="minorHAnsi" w:hAnsiTheme="minorHAnsi"/>
        </w:rPr>
      </w:pPr>
      <w:r w:rsidRPr="00AF43F7">
        <w:rPr>
          <w:rFonts w:asciiTheme="minorHAnsi" w:hAnsiTheme="minorHAnsi"/>
        </w:rPr>
        <w:t xml:space="preserve">All </w:t>
      </w:r>
      <w:r>
        <w:rPr>
          <w:rFonts w:asciiTheme="minorHAnsi" w:hAnsiTheme="minorHAnsi"/>
        </w:rPr>
        <w:t xml:space="preserve">necessary </w:t>
      </w:r>
      <w:r w:rsidRPr="00AF43F7">
        <w:rPr>
          <w:rFonts w:asciiTheme="minorHAnsi" w:hAnsiTheme="minorHAnsi"/>
        </w:rPr>
        <w:t xml:space="preserve">typographical/grammatical corrections </w:t>
      </w:r>
      <w:r w:rsidRPr="00AF43F7">
        <w:t xml:space="preserve">were </w:t>
      </w:r>
      <w:r>
        <w:rPr>
          <w:rFonts w:asciiTheme="minorHAnsi" w:hAnsiTheme="minorHAnsi"/>
        </w:rPr>
        <w:t>made</w:t>
      </w:r>
      <w:r w:rsidRPr="00AF43F7">
        <w:rPr>
          <w:rFonts w:asciiTheme="minorHAnsi" w:hAnsiTheme="minorHAnsi"/>
        </w:rPr>
        <w:t>.</w:t>
      </w:r>
    </w:p>
    <w:p w14:paraId="67EE09D5"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2.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p>
    <w:p w14:paraId="31FC26B1"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For example: Neon Transfection System</w:t>
      </w:r>
    </w:p>
    <w:p w14:paraId="316526DF" w14:textId="71C357AB" w:rsidR="0066547F" w:rsidRPr="00AF43F7" w:rsidRDefault="0066547F" w:rsidP="0066547F">
      <w:pPr>
        <w:rPr>
          <w:rFonts w:asciiTheme="minorHAnsi" w:hAnsiTheme="minorHAnsi"/>
        </w:rPr>
      </w:pPr>
      <w:r w:rsidRPr="00AF43F7">
        <w:rPr>
          <w:rFonts w:asciiTheme="minorHAnsi" w:hAnsiTheme="minorHAnsi"/>
        </w:rPr>
        <w:t xml:space="preserve">All commercial </w:t>
      </w:r>
      <w:r>
        <w:t>terms</w:t>
      </w:r>
      <w:r w:rsidRPr="00AF43F7">
        <w:t>,</w:t>
      </w:r>
      <w:r w:rsidRPr="00AF43F7">
        <w:rPr>
          <w:rFonts w:asciiTheme="minorHAnsi" w:hAnsiTheme="minorHAnsi"/>
        </w:rPr>
        <w:t xml:space="preserve"> including </w:t>
      </w:r>
      <w:r>
        <w:t>“</w:t>
      </w:r>
      <w:r w:rsidRPr="00AF43F7">
        <w:rPr>
          <w:rFonts w:asciiTheme="minorHAnsi" w:hAnsiTheme="minorHAnsi"/>
        </w:rPr>
        <w:t>N</w:t>
      </w:r>
      <w:r>
        <w:rPr>
          <w:rFonts w:asciiTheme="minorHAnsi" w:hAnsiTheme="minorHAnsi"/>
        </w:rPr>
        <w:t>EON</w:t>
      </w:r>
      <w:r w:rsidRPr="00AF43F7">
        <w:rPr>
          <w:rFonts w:asciiTheme="minorHAnsi" w:hAnsiTheme="minorHAnsi"/>
        </w:rPr>
        <w:t xml:space="preserve"> Transfection System</w:t>
      </w:r>
      <w:r>
        <w:rPr>
          <w:rFonts w:asciiTheme="minorHAnsi" w:hAnsiTheme="minorHAnsi"/>
        </w:rPr>
        <w:t>”</w:t>
      </w:r>
      <w:r w:rsidRPr="00AF43F7">
        <w:t>, have</w:t>
      </w:r>
      <w:r w:rsidRPr="00AF43F7">
        <w:rPr>
          <w:rFonts w:asciiTheme="minorHAnsi" w:hAnsiTheme="minorHAnsi"/>
        </w:rPr>
        <w:t xml:space="preserve"> been </w:t>
      </w:r>
      <w:r w:rsidRPr="00AF43F7">
        <w:t>removed</w:t>
      </w:r>
      <w:r w:rsidRPr="00AF43F7">
        <w:rPr>
          <w:rFonts w:asciiTheme="minorHAnsi" w:hAnsiTheme="minorHAnsi"/>
        </w:rPr>
        <w:t xml:space="preserve"> from the manuscript and replaced by generic terms.</w:t>
      </w:r>
    </w:p>
    <w:p w14:paraId="1091194C"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Protocol:</w:t>
      </w:r>
    </w:p>
    <w:p w14:paraId="29843BBF"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 xml:space="preserve">1. For each protocol step/substep, please ensure you answer the “how” question, </w:t>
      </w:r>
      <w:r w:rsidRPr="001D65F8">
        <w:rPr>
          <w:rFonts w:asciiTheme="minorHAnsi" w:hAnsiTheme="minorHAnsi"/>
          <w:color w:val="FF0000"/>
        </w:rPr>
        <w:t>i.e</w:t>
      </w:r>
      <w:r w:rsidRPr="00AF43F7">
        <w:rPr>
          <w:rFonts w:asciiTheme="minorHAnsi" w:hAnsiTheme="minorHAnsi"/>
          <w:color w:val="FF0000"/>
        </w:rPr>
        <w:t>., how is the step performed? Alternatively, add references to published material specifying how to perform the protocol action. If revisions cause a step to have more than 2-3 actions and 4 sentences per step, please split into separate steps or substeps.</w:t>
      </w:r>
    </w:p>
    <w:p w14:paraId="50F4DEA2" w14:textId="26D601FC" w:rsidR="0066547F" w:rsidRPr="00AF43F7" w:rsidRDefault="0066547F" w:rsidP="0066547F">
      <w:pPr>
        <w:rPr>
          <w:rFonts w:asciiTheme="minorHAnsi" w:hAnsiTheme="minorHAnsi"/>
          <w:color w:val="FF0000"/>
        </w:rPr>
      </w:pPr>
      <w:r w:rsidRPr="00AF43F7">
        <w:rPr>
          <w:rFonts w:asciiTheme="minorHAnsi" w:hAnsiTheme="minorHAnsi"/>
        </w:rPr>
        <w:t xml:space="preserve">The protocol has been reviewed to answer the “how” question. A reference </w:t>
      </w:r>
      <w:r>
        <w:rPr>
          <w:rFonts w:asciiTheme="minorHAnsi" w:hAnsiTheme="minorHAnsi"/>
        </w:rPr>
        <w:t xml:space="preserve">that </w:t>
      </w:r>
      <w:r w:rsidRPr="00AF43F7">
        <w:rPr>
          <w:rFonts w:asciiTheme="minorHAnsi" w:hAnsiTheme="minorHAnsi"/>
        </w:rPr>
        <w:t>well describ</w:t>
      </w:r>
      <w:r>
        <w:rPr>
          <w:rFonts w:asciiTheme="minorHAnsi" w:hAnsiTheme="minorHAnsi"/>
        </w:rPr>
        <w:t>es</w:t>
      </w:r>
      <w:r w:rsidRPr="00AF43F7">
        <w:rPr>
          <w:rFonts w:asciiTheme="minorHAnsi" w:hAnsiTheme="minorHAnsi"/>
        </w:rPr>
        <w:t xml:space="preserve"> the cell isolation process has been added (line 15</w:t>
      </w:r>
      <w:r w:rsidR="001F6642">
        <w:rPr>
          <w:rFonts w:asciiTheme="minorHAnsi" w:hAnsiTheme="minorHAnsi"/>
        </w:rPr>
        <w:t>4</w:t>
      </w:r>
      <w:r w:rsidRPr="00AF43F7">
        <w:rPr>
          <w:rFonts w:asciiTheme="minorHAnsi" w:hAnsiTheme="minorHAnsi"/>
        </w:rPr>
        <w:t>).</w:t>
      </w:r>
    </w:p>
    <w:p w14:paraId="5D0DDB4B"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Specific Protocol steps:</w:t>
      </w:r>
    </w:p>
    <w:p w14:paraId="77A2C268"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1. 1, 4.3, 4.6: The highlighted portion in these sections are mainly vague design and analysis steps, which we likely cannot film.</w:t>
      </w:r>
    </w:p>
    <w:p w14:paraId="3A08FAC8" w14:textId="77777777" w:rsidR="0066547F" w:rsidRPr="00AF43F7" w:rsidRDefault="0066547F" w:rsidP="0066547F">
      <w:pPr>
        <w:rPr>
          <w:rFonts w:asciiTheme="minorHAnsi" w:hAnsiTheme="minorHAnsi"/>
        </w:rPr>
      </w:pPr>
      <w:r w:rsidRPr="00AF43F7">
        <w:rPr>
          <w:rFonts w:asciiTheme="minorHAnsi" w:hAnsiTheme="minorHAnsi"/>
        </w:rPr>
        <w:t xml:space="preserve">The highlighted </w:t>
      </w:r>
      <w:r>
        <w:rPr>
          <w:rFonts w:asciiTheme="minorHAnsi" w:hAnsiTheme="minorHAnsi"/>
        </w:rPr>
        <w:t xml:space="preserve">portion in </w:t>
      </w:r>
      <w:r w:rsidRPr="00AF43F7">
        <w:rPr>
          <w:rFonts w:asciiTheme="minorHAnsi" w:hAnsiTheme="minorHAnsi"/>
        </w:rPr>
        <w:t xml:space="preserve">section 1.1 has been removed. The highlighted </w:t>
      </w:r>
      <w:r>
        <w:rPr>
          <w:rFonts w:asciiTheme="minorHAnsi" w:hAnsiTheme="minorHAnsi"/>
        </w:rPr>
        <w:t xml:space="preserve">portion in </w:t>
      </w:r>
      <w:r w:rsidRPr="00AF43F7">
        <w:rPr>
          <w:rFonts w:asciiTheme="minorHAnsi" w:hAnsiTheme="minorHAnsi"/>
        </w:rPr>
        <w:t xml:space="preserve">section 4.3 has been removed and replaced by a modification in section 4.5. The highlighted </w:t>
      </w:r>
      <w:r>
        <w:rPr>
          <w:rFonts w:asciiTheme="minorHAnsi" w:hAnsiTheme="minorHAnsi"/>
        </w:rPr>
        <w:t xml:space="preserve">portion in </w:t>
      </w:r>
      <w:r w:rsidRPr="00AF43F7">
        <w:rPr>
          <w:rFonts w:asciiTheme="minorHAnsi" w:hAnsiTheme="minorHAnsi"/>
        </w:rPr>
        <w:t>section 4.6 has also been removed.</w:t>
      </w:r>
    </w:p>
    <w:p w14:paraId="05898CD2" w14:textId="77777777" w:rsidR="0066547F" w:rsidRPr="00AF43F7" w:rsidRDefault="0066547F" w:rsidP="0066547F">
      <w:pPr>
        <w:rPr>
          <w:rFonts w:asciiTheme="minorHAnsi" w:hAnsiTheme="minorHAnsi"/>
          <w:color w:val="FF0000"/>
        </w:rPr>
      </w:pPr>
    </w:p>
    <w:p w14:paraId="08EC16AE"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Figures:</w:t>
      </w:r>
    </w:p>
    <w:p w14:paraId="642EC223" w14:textId="77777777" w:rsidR="0066547F" w:rsidRPr="00AF43F7" w:rsidRDefault="0066547F" w:rsidP="0066547F">
      <w:pPr>
        <w:rPr>
          <w:rFonts w:asciiTheme="minorHAnsi" w:hAnsiTheme="minorHAnsi"/>
          <w:color w:val="FF0000"/>
        </w:rPr>
      </w:pPr>
      <w:r w:rsidRPr="00AF43F7">
        <w:rPr>
          <w:rFonts w:asciiTheme="minorHAnsi" w:hAnsiTheme="minorHAnsi"/>
          <w:color w:val="FF0000"/>
        </w:rPr>
        <w:lastRenderedPageBreak/>
        <w:t>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p>
    <w:p w14:paraId="70DAAA01" w14:textId="44416885" w:rsidR="0066547F" w:rsidRPr="00AF43F7" w:rsidRDefault="0066547F" w:rsidP="0066547F">
      <w:pPr>
        <w:rPr>
          <w:rFonts w:asciiTheme="minorHAnsi" w:hAnsiTheme="minorHAnsi"/>
        </w:rPr>
      </w:pPr>
      <w:r w:rsidRPr="00AF43F7">
        <w:rPr>
          <w:rFonts w:asciiTheme="minorHAnsi" w:hAnsiTheme="minorHAnsi"/>
        </w:rPr>
        <w:t xml:space="preserve">A copy of the Open Access Policy </w:t>
      </w:r>
      <w:r>
        <w:rPr>
          <w:rFonts w:asciiTheme="minorHAnsi" w:hAnsiTheme="minorHAnsi"/>
        </w:rPr>
        <w:t>for</w:t>
      </w:r>
      <w:r w:rsidRPr="00AF43F7">
        <w:rPr>
          <w:rFonts w:asciiTheme="minorHAnsi" w:hAnsiTheme="minorHAnsi"/>
        </w:rPr>
        <w:t xml:space="preserve"> Cellular Physiology &amp; Biochemistry</w:t>
      </w:r>
      <w:r>
        <w:rPr>
          <w:rFonts w:asciiTheme="minorHAnsi" w:hAnsiTheme="minorHAnsi"/>
        </w:rPr>
        <w:t>,</w:t>
      </w:r>
      <w:r w:rsidRPr="00AF43F7">
        <w:rPr>
          <w:rFonts w:asciiTheme="minorHAnsi" w:hAnsiTheme="minorHAnsi"/>
        </w:rPr>
        <w:t xml:space="preserve"> from which the figures were </w:t>
      </w:r>
      <w:r>
        <w:rPr>
          <w:rFonts w:asciiTheme="minorHAnsi" w:hAnsiTheme="minorHAnsi"/>
        </w:rPr>
        <w:t>obtained,</w:t>
      </w:r>
      <w:r w:rsidRPr="00AF43F7">
        <w:rPr>
          <w:rFonts w:asciiTheme="minorHAnsi" w:hAnsiTheme="minorHAnsi"/>
        </w:rPr>
        <w:t xml:space="preserve"> has been added to the Editorial Manager account.</w:t>
      </w:r>
    </w:p>
    <w:p w14:paraId="0FB8DAC8"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2. Figure 2: Please use ‘1 h’ instead of ‘1h’, etc. (</w:t>
      </w:r>
      <w:r w:rsidRPr="001D65F8">
        <w:rPr>
          <w:rFonts w:asciiTheme="minorHAnsi" w:hAnsiTheme="minorHAnsi"/>
          <w:color w:val="FF0000"/>
        </w:rPr>
        <w:t>i.e</w:t>
      </w:r>
      <w:r w:rsidRPr="00AF43F7">
        <w:rPr>
          <w:rFonts w:asciiTheme="minorHAnsi" w:hAnsiTheme="minorHAnsi"/>
          <w:color w:val="FF0000"/>
        </w:rPr>
        <w:t>., with a space).</w:t>
      </w:r>
    </w:p>
    <w:p w14:paraId="41ADEC38" w14:textId="432F036C" w:rsidR="0066547F" w:rsidRPr="00AF43F7" w:rsidRDefault="0066547F" w:rsidP="0066547F">
      <w:pPr>
        <w:rPr>
          <w:rFonts w:asciiTheme="minorHAnsi" w:hAnsiTheme="minorHAnsi"/>
        </w:rPr>
      </w:pPr>
      <w:r>
        <w:rPr>
          <w:rFonts w:asciiTheme="minorHAnsi" w:hAnsiTheme="minorHAnsi"/>
        </w:rPr>
        <w:t>This c</w:t>
      </w:r>
      <w:r w:rsidRPr="00AF43F7">
        <w:rPr>
          <w:rFonts w:asciiTheme="minorHAnsi" w:hAnsiTheme="minorHAnsi"/>
        </w:rPr>
        <w:t>orrection</w:t>
      </w:r>
      <w:r>
        <w:rPr>
          <w:rFonts w:asciiTheme="minorHAnsi" w:hAnsiTheme="minorHAnsi"/>
        </w:rPr>
        <w:t xml:space="preserve"> has</w:t>
      </w:r>
      <w:r w:rsidRPr="00AF43F7">
        <w:rPr>
          <w:rFonts w:asciiTheme="minorHAnsi" w:hAnsiTheme="minorHAnsi"/>
        </w:rPr>
        <w:t xml:space="preserve"> been </w:t>
      </w:r>
      <w:r w:rsidRPr="00AF43F7">
        <w:t>made</w:t>
      </w:r>
      <w:r w:rsidRPr="00AF43F7">
        <w:rPr>
          <w:rFonts w:asciiTheme="minorHAnsi" w:hAnsiTheme="minorHAnsi"/>
        </w:rPr>
        <w:t>.</w:t>
      </w:r>
    </w:p>
    <w:p w14:paraId="484BF7B6"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References:</w:t>
      </w:r>
    </w:p>
    <w:p w14:paraId="256AD304"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1. Please do not abbreviate journal titles.</w:t>
      </w:r>
    </w:p>
    <w:p w14:paraId="0E2E0863" w14:textId="77777777" w:rsidR="0066547F" w:rsidRPr="00AF43F7" w:rsidRDefault="0066547F" w:rsidP="0066547F">
      <w:pPr>
        <w:rPr>
          <w:rFonts w:asciiTheme="minorHAnsi" w:hAnsiTheme="minorHAnsi"/>
        </w:rPr>
      </w:pPr>
      <w:r w:rsidRPr="00AF43F7">
        <w:rPr>
          <w:rFonts w:asciiTheme="minorHAnsi" w:hAnsiTheme="minorHAnsi"/>
        </w:rPr>
        <w:t>All the references have been corrected accordingly.</w:t>
      </w:r>
    </w:p>
    <w:p w14:paraId="17047FD4"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Table of Materials:</w:t>
      </w:r>
    </w:p>
    <w:p w14:paraId="22A8B4E5"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1. Please ensure the Table of Materials has information on all materials and equipment used, especially those mentioned in the Protocol.</w:t>
      </w:r>
    </w:p>
    <w:p w14:paraId="3D30769B" w14:textId="7714FEEF" w:rsidR="0066547F" w:rsidRPr="00AF43F7" w:rsidRDefault="0066547F" w:rsidP="0066547F">
      <w:pPr>
        <w:rPr>
          <w:rFonts w:asciiTheme="minorHAnsi" w:hAnsiTheme="minorHAnsi"/>
        </w:rPr>
      </w:pPr>
      <w:r w:rsidRPr="00AF43F7">
        <w:rPr>
          <w:rFonts w:asciiTheme="minorHAnsi" w:hAnsiTheme="minorHAnsi"/>
        </w:rPr>
        <w:t>The Table of Materials has been verified and presents all information on all materials and equipment used.</w:t>
      </w:r>
    </w:p>
    <w:p w14:paraId="0742E1BE"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Reviewers' comments:</w:t>
      </w:r>
    </w:p>
    <w:p w14:paraId="2BDAE9CD"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Reviewer #1:</w:t>
      </w:r>
    </w:p>
    <w:p w14:paraId="084824A9"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Major Concerns:</w:t>
      </w:r>
    </w:p>
    <w:p w14:paraId="52B309F0"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1. The emphasis initially seems to be specifically on 3'UTR by making this the first paragraph of the introduction, which is somewhat distracting. Although the authors describe an detailed analysis of 3'UTR role in representative results, I think this should be placed later in the introduction. The key element here is the approach which overcomes actinomycin D and amanitin drawbacks should be the focus of the introduction.</w:t>
      </w:r>
    </w:p>
    <w:p w14:paraId="39910BE9" w14:textId="7B84FCF3" w:rsidR="0066547F" w:rsidRPr="00AF43F7" w:rsidRDefault="0066547F" w:rsidP="0066547F">
      <w:pPr>
        <w:rPr>
          <w:rFonts w:asciiTheme="minorHAnsi" w:hAnsiTheme="minorHAnsi"/>
        </w:rPr>
      </w:pPr>
      <w:r w:rsidRPr="00AF43F7">
        <w:rPr>
          <w:rFonts w:asciiTheme="minorHAnsi" w:hAnsiTheme="minorHAnsi"/>
        </w:rPr>
        <w:t xml:space="preserve">We agree with the reviewer that the </w:t>
      </w:r>
      <w:r w:rsidRPr="00AF43F7">
        <w:t>transcriptionally controlled plasmid expression system should be the focus of the introduction. Thus, we placed the first paragraph later in the introduction as suggested.</w:t>
      </w:r>
    </w:p>
    <w:p w14:paraId="0C82CDAD"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2. In protocol section 1.2, authors indicate to analyze the sequence of the GOI in order to identify useful restriction sites present on either side of the gene. This seems to conflict with section 1.6 below</w:t>
      </w:r>
      <w:r w:rsidRPr="00AF43F7">
        <w:rPr>
          <w:color w:val="FF0000"/>
        </w:rPr>
        <w:t>,</w:t>
      </w:r>
      <w:r w:rsidRPr="00AF43F7">
        <w:rPr>
          <w:rFonts w:asciiTheme="minorHAnsi" w:hAnsiTheme="minorHAnsi"/>
          <w:color w:val="FF0000"/>
        </w:rPr>
        <w:t xml:space="preserve"> in which restriction sites are added by PCR. Do the authors mean that they analyze the GOI sequence to be sure the restriction site from the MCS you plan to use is not </w:t>
      </w:r>
      <w:r w:rsidRPr="00AF43F7">
        <w:rPr>
          <w:rFonts w:asciiTheme="minorHAnsi" w:hAnsiTheme="minorHAnsi"/>
          <w:color w:val="FF0000"/>
        </w:rPr>
        <w:lastRenderedPageBreak/>
        <w:t>present internally in the GOI? Or to indicate alternative approaches to the cloning strategy? This needs to be clarified.</w:t>
      </w:r>
    </w:p>
    <w:p w14:paraId="11192C22" w14:textId="77777777" w:rsidR="0066547F" w:rsidRPr="00AF43F7" w:rsidRDefault="0066547F" w:rsidP="0066547F">
      <w:pPr>
        <w:rPr>
          <w:rFonts w:asciiTheme="minorHAnsi" w:hAnsiTheme="minorHAnsi"/>
        </w:rPr>
      </w:pPr>
      <w:r w:rsidRPr="00AF43F7">
        <w:rPr>
          <w:rFonts w:asciiTheme="minorHAnsi" w:hAnsiTheme="minorHAnsi"/>
        </w:rPr>
        <w:t xml:space="preserve">Section 1.2 has been clarified to indicate that the GOI does not contain </w:t>
      </w:r>
      <w:r>
        <w:rPr>
          <w:rFonts w:asciiTheme="minorHAnsi" w:hAnsiTheme="minorHAnsi"/>
        </w:rPr>
        <w:t xml:space="preserve">the </w:t>
      </w:r>
      <w:r w:rsidRPr="00AF43F7">
        <w:rPr>
          <w:rFonts w:asciiTheme="minorHAnsi" w:hAnsiTheme="minorHAnsi"/>
        </w:rPr>
        <w:t>restriction sites used for the cloning strategy.</w:t>
      </w:r>
    </w:p>
    <w:p w14:paraId="0DBED65E"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3. Step 2.17 - There needs to be an indication that this step is dependent on an additional (optional) transfection with a different plasmid, specify an example plasmid here.</w:t>
      </w:r>
    </w:p>
    <w:p w14:paraId="6D328899" w14:textId="7CD7BA5D" w:rsidR="0066547F" w:rsidRPr="00AF43F7" w:rsidRDefault="0066547F" w:rsidP="0066547F">
      <w:pPr>
        <w:rPr>
          <w:rFonts w:asciiTheme="minorHAnsi" w:hAnsiTheme="minorHAnsi"/>
        </w:rPr>
      </w:pPr>
      <w:r w:rsidRPr="00AF43F7">
        <w:rPr>
          <w:rFonts w:asciiTheme="minorHAnsi" w:hAnsiTheme="minorHAnsi"/>
        </w:rPr>
        <w:t xml:space="preserve">A </w:t>
      </w:r>
      <w:r>
        <w:rPr>
          <w:rFonts w:asciiTheme="minorHAnsi" w:hAnsiTheme="minorHAnsi"/>
        </w:rPr>
        <w:t xml:space="preserve">clarification </w:t>
      </w:r>
      <w:r w:rsidRPr="00AF43F7">
        <w:rPr>
          <w:rFonts w:asciiTheme="minorHAnsi" w:hAnsiTheme="minorHAnsi"/>
        </w:rPr>
        <w:t>has been added below step 2.17.</w:t>
      </w:r>
    </w:p>
    <w:p w14:paraId="46AF351E"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Minor Concerns:</w:t>
      </w:r>
    </w:p>
    <w:p w14:paraId="4A958A27"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1. In step 1.4 and 1.5, the authors direct to purify the GOI by standard RNA extraction and transcribe the GOI by reverse transcriptase. There is no specificity for the GOI at these steps (occurs in step 1.6 via specific primers). It will be more accurate to say purify and transcribe total RNA (or mRNA if using oligodT approaches)</w:t>
      </w:r>
    </w:p>
    <w:p w14:paraId="65E1D43B" w14:textId="7B1569EF" w:rsidR="0066547F" w:rsidRPr="00AF43F7" w:rsidRDefault="0066547F" w:rsidP="0066547F">
      <w:pPr>
        <w:rPr>
          <w:rFonts w:asciiTheme="minorHAnsi" w:hAnsiTheme="minorHAnsi"/>
        </w:rPr>
      </w:pPr>
      <w:r w:rsidRPr="00AF43F7">
        <w:t xml:space="preserve">Steps </w:t>
      </w:r>
      <w:r w:rsidRPr="00AF43F7">
        <w:rPr>
          <w:rFonts w:asciiTheme="minorHAnsi" w:hAnsiTheme="minorHAnsi"/>
        </w:rPr>
        <w:t>1.4 and 1.5 have been modified accordingly.</w:t>
      </w:r>
    </w:p>
    <w:p w14:paraId="2397C203"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2. Step 1.12, "using a molar ratio of 1:3 vector to increase the probability" - do you mean 1:3 vector to insert?</w:t>
      </w:r>
    </w:p>
    <w:p w14:paraId="0FFABA1F" w14:textId="7F8DE23E" w:rsidR="0066547F" w:rsidRPr="00AF43F7" w:rsidRDefault="0066547F" w:rsidP="0066547F">
      <w:pPr>
        <w:rPr>
          <w:rFonts w:asciiTheme="minorHAnsi" w:hAnsiTheme="minorHAnsi"/>
        </w:rPr>
      </w:pPr>
      <w:r w:rsidRPr="00AF43F7">
        <w:rPr>
          <w:rFonts w:asciiTheme="minorHAnsi" w:hAnsiTheme="minorHAnsi"/>
        </w:rPr>
        <w:t>Th</w:t>
      </w:r>
      <w:r>
        <w:rPr>
          <w:rFonts w:asciiTheme="minorHAnsi" w:hAnsiTheme="minorHAnsi"/>
        </w:rPr>
        <w:t>is</w:t>
      </w:r>
      <w:r w:rsidRPr="00AF43F7">
        <w:rPr>
          <w:rFonts w:asciiTheme="minorHAnsi" w:hAnsiTheme="minorHAnsi"/>
        </w:rPr>
        <w:t xml:space="preserve"> sentence has been corrected to reflect a vector:insert molar ratio of 1:3.</w:t>
      </w:r>
    </w:p>
    <w:p w14:paraId="20C2E040"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3. Step 1.14, sequence analysis is needed not just to confirm the presence and orientation of the insert, but also that RT-PCR has not introduced any mutations.</w:t>
      </w:r>
    </w:p>
    <w:p w14:paraId="6F21B86F" w14:textId="012D5E70" w:rsidR="0066547F" w:rsidRPr="00AF43F7" w:rsidRDefault="0066547F" w:rsidP="0066547F">
      <w:pPr>
        <w:rPr>
          <w:rFonts w:asciiTheme="minorHAnsi" w:hAnsiTheme="minorHAnsi"/>
        </w:rPr>
      </w:pPr>
      <w:r w:rsidRPr="00AF43F7">
        <w:rPr>
          <w:rFonts w:asciiTheme="minorHAnsi" w:hAnsiTheme="minorHAnsi"/>
        </w:rPr>
        <w:t>Th</w:t>
      </w:r>
      <w:r>
        <w:rPr>
          <w:rFonts w:asciiTheme="minorHAnsi" w:hAnsiTheme="minorHAnsi"/>
        </w:rPr>
        <w:t>is</w:t>
      </w:r>
      <w:r w:rsidRPr="00AF43F7">
        <w:rPr>
          <w:rFonts w:asciiTheme="minorHAnsi" w:hAnsiTheme="minorHAnsi"/>
        </w:rPr>
        <w:t xml:space="preserve"> step has been corrected.</w:t>
      </w:r>
    </w:p>
    <w:p w14:paraId="7BAD7B92" w14:textId="448C902E" w:rsidR="0066547F" w:rsidRPr="00AF43F7" w:rsidRDefault="0066547F" w:rsidP="0066547F">
      <w:pPr>
        <w:rPr>
          <w:rFonts w:asciiTheme="minorHAnsi" w:hAnsiTheme="minorHAnsi"/>
          <w:color w:val="FF0000"/>
        </w:rPr>
      </w:pPr>
      <w:r w:rsidRPr="00AF43F7">
        <w:rPr>
          <w:rFonts w:asciiTheme="minorHAnsi" w:hAnsiTheme="minorHAnsi"/>
          <w:color w:val="FF0000"/>
        </w:rPr>
        <w:t>4. Step 2.2, indicate the pH of the HEPES supplementing the MEM.</w:t>
      </w:r>
    </w:p>
    <w:p w14:paraId="496A9CFB" w14:textId="77777777" w:rsidR="0066547F" w:rsidRPr="00AF43F7" w:rsidRDefault="0066547F" w:rsidP="0066547F">
      <w:pPr>
        <w:rPr>
          <w:rFonts w:asciiTheme="minorHAnsi" w:hAnsiTheme="minorHAnsi"/>
        </w:rPr>
      </w:pPr>
      <w:r w:rsidRPr="00AF43F7">
        <w:rPr>
          <w:rFonts w:asciiTheme="minorHAnsi" w:hAnsiTheme="minorHAnsi"/>
        </w:rPr>
        <w:t xml:space="preserve">The HEPES pH </w:t>
      </w:r>
      <w:r>
        <w:rPr>
          <w:rFonts w:asciiTheme="minorHAnsi" w:hAnsiTheme="minorHAnsi"/>
        </w:rPr>
        <w:t>(</w:t>
      </w:r>
      <w:r w:rsidRPr="00AF43F7">
        <w:rPr>
          <w:rFonts w:asciiTheme="minorHAnsi" w:hAnsiTheme="minorHAnsi"/>
        </w:rPr>
        <w:t>7.3</w:t>
      </w:r>
      <w:r>
        <w:rPr>
          <w:rFonts w:asciiTheme="minorHAnsi" w:hAnsiTheme="minorHAnsi"/>
        </w:rPr>
        <w:t>)</w:t>
      </w:r>
      <w:r w:rsidRPr="00AF43F7">
        <w:rPr>
          <w:rFonts w:asciiTheme="minorHAnsi" w:hAnsiTheme="minorHAnsi"/>
        </w:rPr>
        <w:t xml:space="preserve"> is now indicated in the text.</w:t>
      </w:r>
    </w:p>
    <w:p w14:paraId="1A15164A" w14:textId="77777777" w:rsidR="0066547F" w:rsidRPr="00AF43F7" w:rsidRDefault="0066547F" w:rsidP="0066547F">
      <w:pPr>
        <w:rPr>
          <w:rFonts w:asciiTheme="minorHAnsi" w:hAnsiTheme="minorHAnsi"/>
        </w:rPr>
      </w:pPr>
      <w:r w:rsidRPr="00AF43F7">
        <w:rPr>
          <w:rFonts w:asciiTheme="minorHAnsi" w:hAnsiTheme="minorHAnsi"/>
          <w:color w:val="FF0000"/>
        </w:rPr>
        <w:t>5. The protocol sometimes uses the terminology "response vector" and other times "inducible vector" - I think in both cases to refer to pTREtight construct. Please keep 1 consistent terminology.</w:t>
      </w:r>
    </w:p>
    <w:p w14:paraId="3604C4D6" w14:textId="5F8415F8" w:rsidR="0066547F" w:rsidRPr="00AF43F7" w:rsidRDefault="0066547F" w:rsidP="0066547F">
      <w:pPr>
        <w:rPr>
          <w:rFonts w:asciiTheme="minorHAnsi" w:hAnsiTheme="minorHAnsi"/>
        </w:rPr>
      </w:pPr>
      <w:r>
        <w:rPr>
          <w:rFonts w:asciiTheme="minorHAnsi" w:hAnsiTheme="minorHAnsi"/>
        </w:rPr>
        <w:t>“</w:t>
      </w:r>
      <w:r w:rsidRPr="00AF43F7">
        <w:rPr>
          <w:rFonts w:asciiTheme="minorHAnsi" w:hAnsiTheme="minorHAnsi"/>
        </w:rPr>
        <w:t>Inducible vector</w:t>
      </w:r>
      <w:r>
        <w:rPr>
          <w:rFonts w:asciiTheme="minorHAnsi" w:hAnsiTheme="minorHAnsi"/>
        </w:rPr>
        <w:t>”</w:t>
      </w:r>
      <w:r w:rsidRPr="00AF43F7">
        <w:rPr>
          <w:rFonts w:asciiTheme="minorHAnsi" w:hAnsiTheme="minorHAnsi"/>
        </w:rPr>
        <w:t xml:space="preserve"> </w:t>
      </w:r>
      <w:r>
        <w:rPr>
          <w:rFonts w:asciiTheme="minorHAnsi" w:hAnsiTheme="minorHAnsi"/>
        </w:rPr>
        <w:t>is now used consistently</w:t>
      </w:r>
      <w:r w:rsidRPr="00AF43F7">
        <w:rPr>
          <w:rFonts w:asciiTheme="minorHAnsi" w:hAnsiTheme="minorHAnsi"/>
        </w:rPr>
        <w:t xml:space="preserve"> in the manuscript.</w:t>
      </w:r>
    </w:p>
    <w:p w14:paraId="7000292B"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6. Step 3.1 NOTE: - please indicate in the text that this is the endogenous GOI here, not the exogenous construct. Please explain rationale for examining effects on endogenous GOI mRNA since your assay is specific to the V5-epitope tagged exogenous GOI mRNA.</w:t>
      </w:r>
    </w:p>
    <w:p w14:paraId="5138583F" w14:textId="1667D1F9" w:rsidR="0066547F" w:rsidRPr="00AF43F7" w:rsidRDefault="0066547F" w:rsidP="0066547F">
      <w:pPr>
        <w:rPr>
          <w:rFonts w:asciiTheme="minorHAnsi" w:hAnsiTheme="minorHAnsi"/>
        </w:rPr>
      </w:pPr>
      <w:r>
        <w:rPr>
          <w:rFonts w:asciiTheme="minorHAnsi" w:hAnsiTheme="minorHAnsi"/>
        </w:rPr>
        <w:t>A</w:t>
      </w:r>
      <w:r w:rsidRPr="00AF43F7">
        <w:rPr>
          <w:rFonts w:asciiTheme="minorHAnsi" w:hAnsiTheme="minorHAnsi"/>
        </w:rPr>
        <w:t xml:space="preserve"> distinction has been made between the endogenous GOI and the exogenous GOI in the text.</w:t>
      </w:r>
    </w:p>
    <w:p w14:paraId="799E4C03" w14:textId="04D7FB8D" w:rsidR="0066547F" w:rsidRPr="00AF43F7" w:rsidRDefault="0066547F" w:rsidP="0066547F">
      <w:pPr>
        <w:rPr>
          <w:rFonts w:asciiTheme="minorHAnsi" w:hAnsiTheme="minorHAnsi"/>
        </w:rPr>
      </w:pPr>
      <w:r w:rsidRPr="00AF43F7">
        <w:rPr>
          <w:rFonts w:asciiTheme="minorHAnsi" w:hAnsiTheme="minorHAnsi"/>
        </w:rPr>
        <w:t xml:space="preserve">The reviewer raises a good point about the usefulness of examining the effects of doxycycline on </w:t>
      </w:r>
      <w:r>
        <w:rPr>
          <w:rFonts w:asciiTheme="minorHAnsi" w:hAnsiTheme="minorHAnsi"/>
        </w:rPr>
        <w:t xml:space="preserve">the </w:t>
      </w:r>
      <w:r w:rsidRPr="00AF43F7">
        <w:rPr>
          <w:rFonts w:asciiTheme="minorHAnsi" w:hAnsiTheme="minorHAnsi"/>
        </w:rPr>
        <w:t xml:space="preserve">endogenous mRNA expression </w:t>
      </w:r>
      <w:r>
        <w:rPr>
          <w:rFonts w:asciiTheme="minorHAnsi" w:hAnsiTheme="minorHAnsi"/>
        </w:rPr>
        <w:t xml:space="preserve">of the </w:t>
      </w:r>
      <w:r w:rsidRPr="00AF43F7">
        <w:rPr>
          <w:rFonts w:asciiTheme="minorHAnsi" w:hAnsiTheme="minorHAnsi"/>
        </w:rPr>
        <w:t xml:space="preserve">GOI . Doxycycline has been reported to have an impact </w:t>
      </w:r>
      <w:r w:rsidRPr="00AF43F7">
        <w:rPr>
          <w:rFonts w:asciiTheme="minorHAnsi" w:hAnsiTheme="minorHAnsi"/>
        </w:rPr>
        <w:lastRenderedPageBreak/>
        <w:t>on cell metabolism and the modulation of</w:t>
      </w:r>
      <w:r w:rsidRPr="00AF43F7">
        <w:t xml:space="preserve"> the inflammatory</w:t>
      </w:r>
      <w:r w:rsidRPr="00AF43F7">
        <w:rPr>
          <w:rFonts w:asciiTheme="minorHAnsi" w:hAnsiTheme="minorHAnsi"/>
        </w:rPr>
        <w:t xml:space="preserve"> response. Therefore, the use of this drug could have an unspecific effect on mRNA stability</w:t>
      </w:r>
      <w:r>
        <w:rPr>
          <w:rFonts w:asciiTheme="minorHAnsi" w:hAnsiTheme="minorHAnsi"/>
        </w:rPr>
        <w:t xml:space="preserve"> for</w:t>
      </w:r>
      <w:r w:rsidRPr="00AF43F7">
        <w:rPr>
          <w:rFonts w:asciiTheme="minorHAnsi" w:hAnsiTheme="minorHAnsi"/>
        </w:rPr>
        <w:t xml:space="preserve"> either </w:t>
      </w:r>
      <w:r>
        <w:rPr>
          <w:rFonts w:asciiTheme="minorHAnsi" w:hAnsiTheme="minorHAnsi"/>
        </w:rPr>
        <w:t>the</w:t>
      </w:r>
      <w:r w:rsidRPr="00AF43F7">
        <w:rPr>
          <w:rFonts w:asciiTheme="minorHAnsi" w:hAnsiTheme="minorHAnsi"/>
        </w:rPr>
        <w:t xml:space="preserve"> endogenous or exogenous GOI mRNA. To rule out this possibility, cells were treated with doxycycline</w:t>
      </w:r>
      <w:r w:rsidRPr="00AF43F7">
        <w:t>,</w:t>
      </w:r>
      <w:r w:rsidRPr="00AF43F7">
        <w:rPr>
          <w:rFonts w:asciiTheme="minorHAnsi" w:hAnsiTheme="minorHAnsi"/>
        </w:rPr>
        <w:t xml:space="preserve"> and</w:t>
      </w:r>
      <w:r>
        <w:rPr>
          <w:rFonts w:asciiTheme="minorHAnsi" w:hAnsiTheme="minorHAnsi"/>
        </w:rPr>
        <w:t xml:space="preserve"> the</w:t>
      </w:r>
      <w:r w:rsidRPr="00AF43F7">
        <w:rPr>
          <w:rFonts w:asciiTheme="minorHAnsi" w:hAnsiTheme="minorHAnsi"/>
        </w:rPr>
        <w:t xml:space="preserve"> endogenous mRNA expression</w:t>
      </w:r>
      <w:r>
        <w:rPr>
          <w:rFonts w:asciiTheme="minorHAnsi" w:hAnsiTheme="minorHAnsi"/>
        </w:rPr>
        <w:t xml:space="preserve"> of the</w:t>
      </w:r>
      <w:r w:rsidRPr="00AF43F7">
        <w:rPr>
          <w:rFonts w:asciiTheme="minorHAnsi" w:hAnsiTheme="minorHAnsi"/>
        </w:rPr>
        <w:t xml:space="preserve"> GOI was assessed</w:t>
      </w:r>
      <w:r>
        <w:rPr>
          <w:rFonts w:asciiTheme="minorHAnsi" w:hAnsiTheme="minorHAnsi"/>
        </w:rPr>
        <w:t>,</w:t>
      </w:r>
      <w:r w:rsidRPr="00AF43F7">
        <w:rPr>
          <w:rFonts w:asciiTheme="minorHAnsi" w:hAnsiTheme="minorHAnsi"/>
        </w:rPr>
        <w:t xml:space="preserve"> since the exogenous GOI mRNA is directly under the control of doxycycline. This issue was </w:t>
      </w:r>
      <w:r>
        <w:rPr>
          <w:rFonts w:asciiTheme="minorHAnsi" w:hAnsiTheme="minorHAnsi"/>
        </w:rPr>
        <w:t>previously</w:t>
      </w:r>
      <w:r w:rsidRPr="00AF43F7">
        <w:rPr>
          <w:rFonts w:asciiTheme="minorHAnsi" w:hAnsiTheme="minorHAnsi"/>
        </w:rPr>
        <w:t xml:space="preserve"> discussed in the fourth paragraph of the discussion and has been clarified.</w:t>
      </w:r>
    </w:p>
    <w:p w14:paraId="48D71B35"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7. Step 4.1.1. The activity of the DNAse should be specified, in addition to or instead of the volume.</w:t>
      </w:r>
    </w:p>
    <w:p w14:paraId="7F3B8D80" w14:textId="77777777" w:rsidR="0066547F" w:rsidRPr="00AF43F7" w:rsidRDefault="0066547F" w:rsidP="0066547F">
      <w:pPr>
        <w:rPr>
          <w:rFonts w:asciiTheme="minorHAnsi" w:hAnsiTheme="minorHAnsi"/>
        </w:rPr>
      </w:pPr>
      <w:r w:rsidRPr="00AF43F7">
        <w:rPr>
          <w:rFonts w:asciiTheme="minorHAnsi" w:hAnsiTheme="minorHAnsi"/>
        </w:rPr>
        <w:t>The number of units has been added to the protocol.</w:t>
      </w:r>
    </w:p>
    <w:p w14:paraId="2AB0721E"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Reviewer #2:</w:t>
      </w:r>
    </w:p>
    <w:p w14:paraId="4E16C43C"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Major Concerns:</w:t>
      </w:r>
    </w:p>
    <w:p w14:paraId="5A731BBF"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The results in Fig. 6 do not show increasing instability as the 3' region is truncated. In fact, the removal of all of the 3' region resulted in a very stable transcript. This unexpected result is not addressed but should be. There is no Discussion section, probably because this work has been published. Here, the goal is to present the method in a manner that could be easily reproduced. The authors appear to have succeeded completely in that goal.</w:t>
      </w:r>
    </w:p>
    <w:p w14:paraId="0CFC4216" w14:textId="6A236BD5" w:rsidR="0066547F" w:rsidRPr="00AF43F7" w:rsidRDefault="0066547F" w:rsidP="0066547F">
      <w:pPr>
        <w:rPr>
          <w:rFonts w:asciiTheme="minorHAnsi" w:hAnsiTheme="minorHAnsi"/>
        </w:rPr>
      </w:pPr>
      <w:r w:rsidRPr="00AF43F7">
        <w:rPr>
          <w:rFonts w:asciiTheme="minorHAnsi" w:hAnsiTheme="minorHAnsi"/>
        </w:rPr>
        <w:t xml:space="preserve">The reviewer raised an interesting question concerning the increasing stability of the truncated </w:t>
      </w:r>
      <w:r w:rsidRPr="00DB731E">
        <w:rPr>
          <w:rFonts w:asciiTheme="minorHAnsi" w:hAnsiTheme="minorHAnsi" w:cstheme="minorHAnsi"/>
        </w:rPr>
        <w:t>3</w:t>
      </w:r>
      <w:r>
        <w:rPr>
          <w:rFonts w:asciiTheme="minorHAnsi" w:hAnsiTheme="minorHAnsi" w:cstheme="minorHAnsi"/>
        </w:rPr>
        <w:t>’ UTR</w:t>
      </w:r>
      <w:r w:rsidRPr="00AF43F7">
        <w:rPr>
          <w:rFonts w:asciiTheme="minorHAnsi" w:hAnsiTheme="minorHAnsi"/>
        </w:rPr>
        <w:t xml:space="preserve"> region. Indeed, t</w:t>
      </w:r>
      <w:r w:rsidRPr="00AF43F7">
        <w:t>he half-life of αENaC mRNA with 3’</w:t>
      </w:r>
      <w:r>
        <w:t xml:space="preserve"> </w:t>
      </w:r>
      <w:r w:rsidRPr="00AF43F7">
        <w:t xml:space="preserve">UTR deletion 1, 2, </w:t>
      </w:r>
      <w:r>
        <w:t>or</w:t>
      </w:r>
      <w:r w:rsidRPr="00AF43F7">
        <w:t xml:space="preserve"> 4</w:t>
      </w:r>
      <w:r>
        <w:t xml:space="preserve"> was</w:t>
      </w:r>
      <w:r w:rsidRPr="00AF43F7">
        <w:t xml:space="preserve"> increased significantly compared </w:t>
      </w:r>
      <w:r>
        <w:t>that of the mRNA with</w:t>
      </w:r>
      <w:r w:rsidRPr="00AF43F7">
        <w:t xml:space="preserve"> the complete </w:t>
      </w:r>
      <w:r w:rsidRPr="00DB731E">
        <w:rPr>
          <w:rFonts w:asciiTheme="minorHAnsi" w:hAnsiTheme="minorHAnsi" w:cstheme="minorHAnsi"/>
        </w:rPr>
        <w:t>3</w:t>
      </w:r>
      <w:r>
        <w:rPr>
          <w:rFonts w:asciiTheme="minorHAnsi" w:hAnsiTheme="minorHAnsi" w:cstheme="minorHAnsi"/>
        </w:rPr>
        <w:t>’ UTR</w:t>
      </w:r>
      <w:r w:rsidRPr="00AF43F7">
        <w:t xml:space="preserve">, suggesting that </w:t>
      </w:r>
      <w:r w:rsidRPr="00AF43F7">
        <w:rPr>
          <w:i/>
          <w:iCs/>
        </w:rPr>
        <w:t>cis</w:t>
      </w:r>
      <w:r w:rsidRPr="00AF43F7">
        <w:t xml:space="preserve">-elements that destabilize the αENaC transcript </w:t>
      </w:r>
      <w:r>
        <w:t>were</w:t>
      </w:r>
      <w:r w:rsidRPr="00AF43F7">
        <w:t xml:space="preserve"> removed</w:t>
      </w:r>
      <w:r>
        <w:t xml:space="preserve"> from the mutants</w:t>
      </w:r>
      <w:r w:rsidRPr="00AF43F7">
        <w:t xml:space="preserve">. Conversely, the deletion 3 mutant </w:t>
      </w:r>
      <w:r>
        <w:t>showed</w:t>
      </w:r>
      <w:r w:rsidRPr="00AF43F7">
        <w:t xml:space="preserve"> a drastic drop in </w:t>
      </w:r>
      <w:r>
        <w:t xml:space="preserve">the </w:t>
      </w:r>
      <w:r w:rsidRPr="00AF43F7">
        <w:t xml:space="preserve">mRNA half-life, suggesting that </w:t>
      </w:r>
      <w:r>
        <w:t xml:space="preserve">the </w:t>
      </w:r>
      <w:r w:rsidRPr="00AF43F7">
        <w:t>inter</w:t>
      </w:r>
      <w:r>
        <w:t>action of the</w:t>
      </w:r>
      <w:r w:rsidRPr="00AF43F7">
        <w:t xml:space="preserve"> different portions of the </w:t>
      </w:r>
      <w:r w:rsidRPr="00DB731E">
        <w:rPr>
          <w:rFonts w:asciiTheme="minorHAnsi" w:hAnsiTheme="minorHAnsi" w:cstheme="minorHAnsi"/>
        </w:rPr>
        <w:t>3</w:t>
      </w:r>
      <w:r>
        <w:rPr>
          <w:rFonts w:asciiTheme="minorHAnsi" w:hAnsiTheme="minorHAnsi" w:cstheme="minorHAnsi"/>
        </w:rPr>
        <w:t>’ UTR</w:t>
      </w:r>
      <w:r w:rsidRPr="00AF43F7">
        <w:t xml:space="preserve"> could also confer stability to the transcript. Overall, the main role of the 3’</w:t>
      </w:r>
      <w:r>
        <w:t xml:space="preserve"> </w:t>
      </w:r>
      <w:r w:rsidRPr="00AF43F7">
        <w:t xml:space="preserve">UTR sequences </w:t>
      </w:r>
      <w:r>
        <w:t>is</w:t>
      </w:r>
      <w:r w:rsidRPr="00AF43F7">
        <w:t xml:space="preserve"> to destabilize the αENaC transcript, since removal of the complete </w:t>
      </w:r>
      <w:r w:rsidRPr="00DB731E">
        <w:rPr>
          <w:rFonts w:asciiTheme="minorHAnsi" w:hAnsiTheme="minorHAnsi" w:cstheme="minorHAnsi"/>
        </w:rPr>
        <w:t>3</w:t>
      </w:r>
      <w:r>
        <w:rPr>
          <w:rFonts w:asciiTheme="minorHAnsi" w:hAnsiTheme="minorHAnsi" w:cstheme="minorHAnsi"/>
        </w:rPr>
        <w:t>’ UTR</w:t>
      </w:r>
      <w:r w:rsidRPr="00AF43F7">
        <w:t xml:space="preserve"> sequences in Del 4 led to </w:t>
      </w:r>
      <w:r>
        <w:t xml:space="preserve">the </w:t>
      </w:r>
      <w:r w:rsidRPr="00AF43F7">
        <w:t xml:space="preserve">stabilization of the transcript. These questions were already addressed in our previous publication (Migneault </w:t>
      </w:r>
      <w:r w:rsidRPr="00AF43F7">
        <w:rPr>
          <w:i/>
          <w:iCs/>
        </w:rPr>
        <w:t>et al</w:t>
      </w:r>
      <w:r w:rsidRPr="00AF43F7">
        <w:t xml:space="preserve">. 2019, Cell. Physiol. Biochem.) and we chose to focus on the technical aspects of our method </w:t>
      </w:r>
      <w:r>
        <w:t xml:space="preserve">in </w:t>
      </w:r>
      <w:r w:rsidRPr="00AF43F7">
        <w:t>the present manuscript</w:t>
      </w:r>
      <w:r>
        <w:t>,</w:t>
      </w:r>
      <w:r w:rsidRPr="00AF43F7">
        <w:t xml:space="preserve"> since J</w:t>
      </w:r>
      <w:r w:rsidRPr="00AF43F7">
        <w:rPr>
          <w:rFonts w:asciiTheme="minorHAnsi" w:hAnsiTheme="minorHAnsi"/>
        </w:rPr>
        <w:t>oVE is a methods-based journal.</w:t>
      </w:r>
    </w:p>
    <w:p w14:paraId="447FF559"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Minor Concerns:</w:t>
      </w:r>
    </w:p>
    <w:p w14:paraId="7BF42960"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The use of "epitope" to describe the nucleic acid sequence added to the test mRNA so as to distinguish it from its normal mRNA counterpart produced in the same cell does not seem correct. It is a distinguishing nucleic acid sequence, but it could be any sequence not found in a mRNA normally produced in these alveolar cells.</w:t>
      </w:r>
    </w:p>
    <w:p w14:paraId="60E4441B" w14:textId="28F24D7B" w:rsidR="0066547F" w:rsidRPr="00AF43F7" w:rsidRDefault="0066547F" w:rsidP="0066547F">
      <w:pPr>
        <w:rPr>
          <w:rFonts w:asciiTheme="minorHAnsi" w:hAnsiTheme="minorHAnsi"/>
        </w:rPr>
      </w:pPr>
      <w:r w:rsidRPr="00AF43F7">
        <w:rPr>
          <w:rFonts w:asciiTheme="minorHAnsi" w:hAnsiTheme="minorHAnsi"/>
        </w:rPr>
        <w:t xml:space="preserve">We agree with the reviewer that any nucleic acid sequence not found in alveolar epithelial cells would be sufficient to distinguish the exogenous GOI from the endogenous </w:t>
      </w:r>
      <w:r w:rsidRPr="00AF43F7">
        <w:t>GOI</w:t>
      </w:r>
      <w:r w:rsidRPr="00AF43F7">
        <w:rPr>
          <w:rFonts w:asciiTheme="minorHAnsi" w:hAnsiTheme="minorHAnsi"/>
        </w:rPr>
        <w:t xml:space="preserve">. However, we decided to specify the use of a viral epitope tag </w:t>
      </w:r>
      <w:r w:rsidRPr="00AF43F7">
        <w:t>such as</w:t>
      </w:r>
      <w:r w:rsidRPr="00AF43F7">
        <w:rPr>
          <w:rFonts w:asciiTheme="minorHAnsi" w:hAnsiTheme="minorHAnsi"/>
        </w:rPr>
        <w:t xml:space="preserve"> V5 or HA over other sequences to </w:t>
      </w:r>
      <w:r w:rsidRPr="00AF43F7">
        <w:rPr>
          <w:rFonts w:asciiTheme="minorHAnsi" w:hAnsiTheme="minorHAnsi"/>
        </w:rPr>
        <w:lastRenderedPageBreak/>
        <w:t>provide the opportunity to study the modulation of protein translation using this inducible system. The discussion has been modif</w:t>
      </w:r>
      <w:r>
        <w:rPr>
          <w:rFonts w:asciiTheme="minorHAnsi" w:hAnsiTheme="minorHAnsi"/>
        </w:rPr>
        <w:t>ied</w:t>
      </w:r>
      <w:r w:rsidR="001F6642">
        <w:rPr>
          <w:rFonts w:asciiTheme="minorHAnsi" w:hAnsiTheme="minorHAnsi"/>
        </w:rPr>
        <w:t xml:space="preserve"> accordingly (lines 51</w:t>
      </w:r>
      <w:r w:rsidRPr="00AF43F7">
        <w:rPr>
          <w:rFonts w:asciiTheme="minorHAnsi" w:hAnsiTheme="minorHAnsi"/>
        </w:rPr>
        <w:t>6-5</w:t>
      </w:r>
      <w:r w:rsidR="001F6642">
        <w:rPr>
          <w:rFonts w:asciiTheme="minorHAnsi" w:hAnsiTheme="minorHAnsi"/>
        </w:rPr>
        <w:t>23</w:t>
      </w:r>
      <w:r w:rsidRPr="00AF43F7">
        <w:rPr>
          <w:rFonts w:asciiTheme="minorHAnsi" w:hAnsiTheme="minorHAnsi"/>
        </w:rPr>
        <w:t>).</w:t>
      </w:r>
    </w:p>
    <w:p w14:paraId="30159FF1"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Reviewer #3:</w:t>
      </w:r>
    </w:p>
    <w:p w14:paraId="48A5BC1D"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Major Concerns:</w:t>
      </w:r>
    </w:p>
    <w:p w14:paraId="192E7D07"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Would recommend clarification that the authors used primary rat alveolar type II cells, as distinct from primary alveolar cells. Would also recommend adding a reference describing the cell isolation process.</w:t>
      </w:r>
    </w:p>
    <w:p w14:paraId="277F3CE0" w14:textId="394921EF" w:rsidR="0066547F" w:rsidRPr="00AF43F7" w:rsidRDefault="0066547F" w:rsidP="0066547F">
      <w:pPr>
        <w:rPr>
          <w:rFonts w:asciiTheme="minorHAnsi" w:hAnsiTheme="minorHAnsi"/>
        </w:rPr>
      </w:pPr>
      <w:r w:rsidRPr="00AF43F7">
        <w:rPr>
          <w:rFonts w:asciiTheme="minorHAnsi" w:hAnsiTheme="minorHAnsi"/>
        </w:rPr>
        <w:t xml:space="preserve">We agree with the reviewer that primary alveolar epithelial cells </w:t>
      </w:r>
      <w:r>
        <w:rPr>
          <w:rFonts w:asciiTheme="minorHAnsi" w:hAnsiTheme="minorHAnsi"/>
        </w:rPr>
        <w:t>are</w:t>
      </w:r>
      <w:r w:rsidRPr="00AF43F7">
        <w:rPr>
          <w:rFonts w:asciiTheme="minorHAnsi" w:hAnsiTheme="minorHAnsi"/>
        </w:rPr>
        <w:t xml:space="preserve"> principally type II cells at the </w:t>
      </w:r>
      <w:r>
        <w:rPr>
          <w:rFonts w:asciiTheme="minorHAnsi" w:hAnsiTheme="minorHAnsi"/>
        </w:rPr>
        <w:t>time</w:t>
      </w:r>
      <w:r w:rsidRPr="00AF43F7">
        <w:rPr>
          <w:rFonts w:asciiTheme="minorHAnsi" w:hAnsiTheme="minorHAnsi"/>
        </w:rPr>
        <w:t xml:space="preserve"> of isolation. However, it has been reported (Wang </w:t>
      </w:r>
      <w:r w:rsidRPr="00AF43F7">
        <w:rPr>
          <w:rFonts w:asciiTheme="minorHAnsi" w:hAnsiTheme="minorHAnsi"/>
          <w:i/>
          <w:iCs/>
        </w:rPr>
        <w:t xml:space="preserve">et al. </w:t>
      </w:r>
      <w:r w:rsidRPr="00AF43F7">
        <w:rPr>
          <w:rFonts w:asciiTheme="minorHAnsi" w:hAnsiTheme="minorHAnsi"/>
        </w:rPr>
        <w:t xml:space="preserve">Am J Respir Cell Mol Biol. 2007 Jun; 36(6): 661–668.) </w:t>
      </w:r>
      <w:r>
        <w:rPr>
          <w:rFonts w:asciiTheme="minorHAnsi" w:hAnsiTheme="minorHAnsi"/>
        </w:rPr>
        <w:t>that the</w:t>
      </w:r>
      <w:r w:rsidRPr="00AF43F7">
        <w:rPr>
          <w:rFonts w:asciiTheme="minorHAnsi" w:hAnsiTheme="minorHAnsi"/>
        </w:rPr>
        <w:t xml:space="preserve"> differentiation of type II cells is complex</w:t>
      </w:r>
      <w:r w:rsidRPr="00AF43F7">
        <w:t>,</w:t>
      </w:r>
      <w:r w:rsidRPr="00AF43F7">
        <w:rPr>
          <w:rFonts w:asciiTheme="minorHAnsi" w:hAnsiTheme="minorHAnsi"/>
        </w:rPr>
        <w:t xml:space="preserve"> and </w:t>
      </w:r>
      <w:r>
        <w:rPr>
          <w:rFonts w:asciiTheme="minorHAnsi" w:hAnsiTheme="minorHAnsi"/>
        </w:rPr>
        <w:t>such</w:t>
      </w:r>
      <w:r w:rsidRPr="00AF43F7">
        <w:rPr>
          <w:rFonts w:asciiTheme="minorHAnsi" w:hAnsiTheme="minorHAnsi"/>
        </w:rPr>
        <w:t xml:space="preserve"> cells tend to differentiate into a type I–like phenotype. Thus, we did not specify the phenotype of the alveolar epithelial cells.</w:t>
      </w:r>
      <w:bookmarkStart w:id="0" w:name="_GoBack"/>
      <w:bookmarkEnd w:id="0"/>
    </w:p>
    <w:p w14:paraId="574F3437" w14:textId="01755CCE" w:rsidR="0066547F" w:rsidRPr="00AF43F7" w:rsidRDefault="0066547F" w:rsidP="0066547F">
      <w:pPr>
        <w:rPr>
          <w:rFonts w:asciiTheme="minorHAnsi" w:hAnsiTheme="minorHAnsi"/>
        </w:rPr>
      </w:pPr>
      <w:r w:rsidRPr="00AF43F7">
        <w:rPr>
          <w:rFonts w:asciiTheme="minorHAnsi" w:hAnsiTheme="minorHAnsi"/>
        </w:rPr>
        <w:t xml:space="preserve">A reference </w:t>
      </w:r>
      <w:r>
        <w:rPr>
          <w:rFonts w:asciiTheme="minorHAnsi" w:hAnsiTheme="minorHAnsi"/>
        </w:rPr>
        <w:t>that well</w:t>
      </w:r>
      <w:r w:rsidRPr="00AF43F7">
        <w:rPr>
          <w:rFonts w:asciiTheme="minorHAnsi" w:hAnsiTheme="minorHAnsi"/>
        </w:rPr>
        <w:t xml:space="preserve"> describ</w:t>
      </w:r>
      <w:r>
        <w:rPr>
          <w:rFonts w:asciiTheme="minorHAnsi" w:hAnsiTheme="minorHAnsi"/>
        </w:rPr>
        <w:t>es</w:t>
      </w:r>
      <w:r w:rsidRPr="00AF43F7">
        <w:rPr>
          <w:rFonts w:asciiTheme="minorHAnsi" w:hAnsiTheme="minorHAnsi"/>
        </w:rPr>
        <w:t xml:space="preserve"> the cell isolation process has been added (line 15</w:t>
      </w:r>
      <w:r w:rsidR="001F6642">
        <w:rPr>
          <w:rFonts w:asciiTheme="minorHAnsi" w:hAnsiTheme="minorHAnsi"/>
        </w:rPr>
        <w:t>4</w:t>
      </w:r>
      <w:r w:rsidRPr="00AF43F7">
        <w:rPr>
          <w:rFonts w:asciiTheme="minorHAnsi" w:hAnsiTheme="minorHAnsi"/>
        </w:rPr>
        <w:t>).</w:t>
      </w:r>
    </w:p>
    <w:p w14:paraId="14930FD4"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Minor Concerns:</w:t>
      </w:r>
    </w:p>
    <w:p w14:paraId="68D2F66E"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line 183: "under agitation" -&gt; if agitation speed is unavailable, would specify fast or slow.</w:t>
      </w:r>
    </w:p>
    <w:p w14:paraId="0044BF91"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line 195: would indicate that the primary alveolar cells being used are isolated type II alveolar epithelial cells</w:t>
      </w:r>
    </w:p>
    <w:p w14:paraId="6875DCD7"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line 218: gently aspirate *and discard* the supernatant</w:t>
      </w:r>
    </w:p>
    <w:p w14:paraId="0CA602AB"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line 219: please define the resuspension buffer</w:t>
      </w:r>
    </w:p>
    <w:p w14:paraId="57C124D3" w14:textId="418400E3" w:rsidR="0066547F" w:rsidRPr="00AF43F7" w:rsidRDefault="0066547F" w:rsidP="0066547F">
      <w:pPr>
        <w:rPr>
          <w:rFonts w:asciiTheme="minorHAnsi" w:hAnsiTheme="minorHAnsi"/>
        </w:rPr>
      </w:pPr>
      <w:r w:rsidRPr="00AF43F7">
        <w:rPr>
          <w:rFonts w:asciiTheme="minorHAnsi" w:hAnsiTheme="minorHAnsi"/>
        </w:rPr>
        <w:t>Unfortunately, the composition of the buffers used with the NEON Transfection system are proprietary</w:t>
      </w:r>
      <w:r w:rsidRPr="00AF43F7">
        <w:t>,</w:t>
      </w:r>
      <w:r w:rsidRPr="00AF43F7">
        <w:rPr>
          <w:rFonts w:asciiTheme="minorHAnsi" w:hAnsiTheme="minorHAnsi"/>
        </w:rPr>
        <w:t xml:space="preserve"> and we did not </w:t>
      </w:r>
      <w:r w:rsidRPr="00AF43F7">
        <w:t>use</w:t>
      </w:r>
      <w:r w:rsidRPr="00AF43F7">
        <w:rPr>
          <w:rFonts w:asciiTheme="minorHAnsi" w:hAnsiTheme="minorHAnsi"/>
        </w:rPr>
        <w:t xml:space="preserve"> buffers</w:t>
      </w:r>
      <w:r>
        <w:rPr>
          <w:rFonts w:asciiTheme="minorHAnsi" w:hAnsiTheme="minorHAnsi"/>
        </w:rPr>
        <w:t xml:space="preserve"> made in the lab</w:t>
      </w:r>
      <w:r w:rsidRPr="00AF43F7">
        <w:rPr>
          <w:rFonts w:asciiTheme="minorHAnsi" w:hAnsiTheme="minorHAnsi"/>
        </w:rPr>
        <w:t>.</w:t>
      </w:r>
    </w:p>
    <w:p w14:paraId="27AE902A"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line 220: what is exactly meant by "mix up and down"?</w:t>
      </w:r>
    </w:p>
    <w:p w14:paraId="6EDD691B" w14:textId="0022EB7F" w:rsidR="0066547F" w:rsidRPr="00AF43F7" w:rsidRDefault="0066547F" w:rsidP="0066547F">
      <w:pPr>
        <w:rPr>
          <w:rFonts w:asciiTheme="minorHAnsi" w:hAnsiTheme="minorHAnsi"/>
        </w:rPr>
      </w:pPr>
      <w:r w:rsidRPr="00AF43F7">
        <w:rPr>
          <w:rFonts w:asciiTheme="minorHAnsi" w:hAnsiTheme="minorHAnsi"/>
        </w:rPr>
        <w:t xml:space="preserve">The sentence has been modified </w:t>
      </w:r>
      <w:r>
        <w:rPr>
          <w:rFonts w:asciiTheme="minorHAnsi" w:hAnsiTheme="minorHAnsi"/>
        </w:rPr>
        <w:t>to</w:t>
      </w:r>
      <w:r w:rsidRPr="00AF43F7">
        <w:rPr>
          <w:rFonts w:asciiTheme="minorHAnsi" w:hAnsiTheme="minorHAnsi"/>
        </w:rPr>
        <w:t xml:space="preserve"> “and gently mix by pipetting up and down”</w:t>
      </w:r>
      <w:r>
        <w:rPr>
          <w:rFonts w:asciiTheme="minorHAnsi" w:hAnsiTheme="minorHAnsi"/>
        </w:rPr>
        <w:t>.</w:t>
      </w:r>
    </w:p>
    <w:p w14:paraId="3F162672"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line 222: please define Electrolytic Buffer E</w:t>
      </w:r>
    </w:p>
    <w:p w14:paraId="4FCDC425" w14:textId="61EF7ADF" w:rsidR="0066547F" w:rsidRPr="00AF43F7" w:rsidRDefault="0066547F" w:rsidP="0066547F">
      <w:pPr>
        <w:rPr>
          <w:rFonts w:asciiTheme="minorHAnsi" w:hAnsiTheme="minorHAnsi"/>
        </w:rPr>
      </w:pPr>
      <w:r w:rsidRPr="00AF43F7">
        <w:rPr>
          <w:rFonts w:asciiTheme="minorHAnsi" w:hAnsiTheme="minorHAnsi"/>
        </w:rPr>
        <w:t>Unfortunately, the composition of the buffers used with the NEON Transfection system are proprietary</w:t>
      </w:r>
      <w:r w:rsidRPr="00AF43F7">
        <w:t>,</w:t>
      </w:r>
      <w:r w:rsidRPr="00AF43F7">
        <w:rPr>
          <w:rFonts w:asciiTheme="minorHAnsi" w:hAnsiTheme="minorHAnsi"/>
        </w:rPr>
        <w:t xml:space="preserve"> and we did not </w:t>
      </w:r>
      <w:r w:rsidRPr="00AF43F7">
        <w:t>use</w:t>
      </w:r>
      <w:r w:rsidRPr="00AF43F7">
        <w:rPr>
          <w:rFonts w:asciiTheme="minorHAnsi" w:hAnsiTheme="minorHAnsi"/>
        </w:rPr>
        <w:t xml:space="preserve"> buffers</w:t>
      </w:r>
      <w:r>
        <w:rPr>
          <w:rFonts w:asciiTheme="minorHAnsi" w:hAnsiTheme="minorHAnsi"/>
        </w:rPr>
        <w:t xml:space="preserve"> made in the lab</w:t>
      </w:r>
      <w:r w:rsidRPr="00AF43F7">
        <w:rPr>
          <w:rFonts w:asciiTheme="minorHAnsi" w:hAnsiTheme="minorHAnsi"/>
        </w:rPr>
        <w:t>.</w:t>
      </w:r>
    </w:p>
    <w:p w14:paraId="23EAAC64" w14:textId="77777777" w:rsidR="0066547F" w:rsidRPr="00AF43F7" w:rsidRDefault="0066547F" w:rsidP="0066547F">
      <w:pPr>
        <w:rPr>
          <w:rFonts w:asciiTheme="minorHAnsi" w:hAnsiTheme="minorHAnsi"/>
          <w:color w:val="FF0000"/>
        </w:rPr>
      </w:pPr>
      <w:r w:rsidRPr="00AF43F7">
        <w:rPr>
          <w:rFonts w:asciiTheme="minorHAnsi" w:hAnsiTheme="minorHAnsi"/>
          <w:color w:val="FF0000"/>
        </w:rPr>
        <w:t>line 231: is the MEM at 37C?</w:t>
      </w:r>
    </w:p>
    <w:p w14:paraId="7CE42FD9" w14:textId="3B49B533" w:rsidR="0066547F" w:rsidRPr="00AF43F7" w:rsidRDefault="0066547F" w:rsidP="0066547F">
      <w:pPr>
        <w:rPr>
          <w:rFonts w:asciiTheme="minorHAnsi" w:hAnsiTheme="minorHAnsi"/>
        </w:rPr>
      </w:pPr>
      <w:r w:rsidRPr="00AF43F7">
        <w:rPr>
          <w:rFonts w:asciiTheme="minorHAnsi" w:hAnsiTheme="minorHAnsi"/>
        </w:rPr>
        <w:t>All minor concerns have been addressed accordingly.</w:t>
      </w:r>
    </w:p>
    <w:p w14:paraId="3C4DF296" w14:textId="501815FD" w:rsidR="007021FC" w:rsidRPr="0066547F" w:rsidRDefault="007021FC" w:rsidP="0066547F"/>
    <w:sectPr w:rsidR="007021FC" w:rsidRPr="0066547F" w:rsidSect="00A62A2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58"/>
    <w:rsid w:val="000C619F"/>
    <w:rsid w:val="000D5276"/>
    <w:rsid w:val="00131E3C"/>
    <w:rsid w:val="00136AAD"/>
    <w:rsid w:val="001A001A"/>
    <w:rsid w:val="001A4F45"/>
    <w:rsid w:val="001E18DF"/>
    <w:rsid w:val="001F330B"/>
    <w:rsid w:val="001F6642"/>
    <w:rsid w:val="0022765A"/>
    <w:rsid w:val="002E2A3D"/>
    <w:rsid w:val="00300EB1"/>
    <w:rsid w:val="003A786B"/>
    <w:rsid w:val="003C58A2"/>
    <w:rsid w:val="003D32A8"/>
    <w:rsid w:val="003F1669"/>
    <w:rsid w:val="004073A9"/>
    <w:rsid w:val="004349AB"/>
    <w:rsid w:val="0056419F"/>
    <w:rsid w:val="00607476"/>
    <w:rsid w:val="00631DD7"/>
    <w:rsid w:val="0066547F"/>
    <w:rsid w:val="006E0C50"/>
    <w:rsid w:val="006F1658"/>
    <w:rsid w:val="007021FC"/>
    <w:rsid w:val="00727615"/>
    <w:rsid w:val="00730EA4"/>
    <w:rsid w:val="007B0442"/>
    <w:rsid w:val="007F2D9B"/>
    <w:rsid w:val="0083067B"/>
    <w:rsid w:val="00846F6E"/>
    <w:rsid w:val="008556B8"/>
    <w:rsid w:val="00866890"/>
    <w:rsid w:val="00875E2B"/>
    <w:rsid w:val="008F3561"/>
    <w:rsid w:val="00A62A27"/>
    <w:rsid w:val="00AB0387"/>
    <w:rsid w:val="00AC2C06"/>
    <w:rsid w:val="00B82A28"/>
    <w:rsid w:val="00BB411C"/>
    <w:rsid w:val="00BF3060"/>
    <w:rsid w:val="00C55D75"/>
    <w:rsid w:val="00D43899"/>
    <w:rsid w:val="00D5379C"/>
    <w:rsid w:val="00DE5A4C"/>
    <w:rsid w:val="00E97D58"/>
    <w:rsid w:val="00F059B8"/>
    <w:rsid w:val="00F53061"/>
    <w:rsid w:val="00FA74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4A33"/>
  <w15:chartTrackingRefBased/>
  <w15:docId w15:val="{61839F5E-7860-4ABE-A6D8-F563A03B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58"/>
    <w:rPr>
      <w:rFonts w:ascii="Calibri" w:eastAsia="Calibri" w:hAnsi="Calibri" w:cs="Times New Roman"/>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1669"/>
    <w:pPr>
      <w:ind w:left="720"/>
      <w:contextualSpacing/>
    </w:pPr>
  </w:style>
  <w:style w:type="character" w:styleId="Marquedecommentaire">
    <w:name w:val="annotation reference"/>
    <w:basedOn w:val="Policepardfaut"/>
    <w:unhideWhenUsed/>
    <w:rsid w:val="00846F6E"/>
    <w:rPr>
      <w:sz w:val="16"/>
      <w:szCs w:val="16"/>
    </w:rPr>
  </w:style>
  <w:style w:type="paragraph" w:styleId="Commentaire">
    <w:name w:val="annotation text"/>
    <w:basedOn w:val="Normal"/>
    <w:link w:val="CommentaireCar"/>
    <w:unhideWhenUsed/>
    <w:rsid w:val="00846F6E"/>
    <w:pPr>
      <w:spacing w:line="240" w:lineRule="auto"/>
    </w:pPr>
    <w:rPr>
      <w:sz w:val="20"/>
      <w:szCs w:val="20"/>
    </w:rPr>
  </w:style>
  <w:style w:type="character" w:customStyle="1" w:styleId="CommentaireCar">
    <w:name w:val="Commentaire Car"/>
    <w:basedOn w:val="Policepardfaut"/>
    <w:link w:val="Commentaire"/>
    <w:rsid w:val="00846F6E"/>
    <w:rPr>
      <w:rFonts w:ascii="Calibri" w:eastAsia="Calibri" w:hAnsi="Calibri" w:cs="Times New Roman"/>
      <w:sz w:val="20"/>
      <w:szCs w:val="20"/>
      <w:lang w:val="de-CH"/>
    </w:rPr>
  </w:style>
  <w:style w:type="paragraph" w:styleId="Objetducommentaire">
    <w:name w:val="annotation subject"/>
    <w:basedOn w:val="Commentaire"/>
    <w:next w:val="Commentaire"/>
    <w:link w:val="ObjetducommentaireCar"/>
    <w:uiPriority w:val="99"/>
    <w:semiHidden/>
    <w:unhideWhenUsed/>
    <w:rsid w:val="00846F6E"/>
    <w:rPr>
      <w:b/>
      <w:bCs/>
    </w:rPr>
  </w:style>
  <w:style w:type="character" w:customStyle="1" w:styleId="ObjetducommentaireCar">
    <w:name w:val="Objet du commentaire Car"/>
    <w:basedOn w:val="CommentaireCar"/>
    <w:link w:val="Objetducommentaire"/>
    <w:uiPriority w:val="99"/>
    <w:semiHidden/>
    <w:rsid w:val="00846F6E"/>
    <w:rPr>
      <w:rFonts w:ascii="Calibri" w:eastAsia="Calibri" w:hAnsi="Calibri" w:cs="Times New Roman"/>
      <w:b/>
      <w:bCs/>
      <w:sz w:val="20"/>
      <w:szCs w:val="20"/>
      <w:lang w:val="de-CH"/>
    </w:rPr>
  </w:style>
  <w:style w:type="paragraph" w:styleId="Textedebulles">
    <w:name w:val="Balloon Text"/>
    <w:basedOn w:val="Normal"/>
    <w:link w:val="TextedebullesCar"/>
    <w:uiPriority w:val="99"/>
    <w:semiHidden/>
    <w:unhideWhenUsed/>
    <w:rsid w:val="00846F6E"/>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846F6E"/>
    <w:rPr>
      <w:rFonts w:ascii="Times New Roman" w:eastAsia="Calibri" w:hAnsi="Times New Roman" w:cs="Times New Roman"/>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1637</Words>
  <Characters>9007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Migneault</dc:creator>
  <cp:keywords/>
  <dc:description/>
  <cp:lastModifiedBy>Migneault Francis</cp:lastModifiedBy>
  <cp:revision>3</cp:revision>
  <dcterms:created xsi:type="dcterms:W3CDTF">2019-10-22T13:07:00Z</dcterms:created>
  <dcterms:modified xsi:type="dcterms:W3CDTF">2019-10-22T14:23:00Z</dcterms:modified>
</cp:coreProperties>
</file>