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B4F511" w14:textId="59431D02" w:rsidR="006305D7" w:rsidRPr="00AF43F7" w:rsidRDefault="00AF43F7" w:rsidP="00407434">
      <w:pPr>
        <w:pStyle w:val="NormalWeb"/>
        <w:spacing w:before="0" w:beforeAutospacing="0" w:after="0" w:afterAutospacing="0"/>
        <w:rPr>
          <w:rFonts w:asciiTheme="minorHAnsi" w:hAnsiTheme="minorHAnsi" w:cstheme="minorHAnsi"/>
        </w:rPr>
      </w:pPr>
      <w:r w:rsidRPr="00AF43F7">
        <w:rPr>
          <w:rFonts w:asciiTheme="minorHAnsi" w:hAnsiTheme="minorHAnsi" w:cstheme="minorHAnsi"/>
          <w:b/>
          <w:bCs/>
        </w:rPr>
        <w:t>TITLE:</w:t>
      </w:r>
    </w:p>
    <w:p w14:paraId="072A5F73" w14:textId="60ADB095" w:rsidR="007A4DD6" w:rsidRPr="00EF4B5E" w:rsidRDefault="00960C90" w:rsidP="00407434">
      <w:pPr>
        <w:rPr>
          <w:rFonts w:asciiTheme="minorHAnsi" w:hAnsiTheme="minorHAnsi" w:cstheme="minorHAnsi"/>
          <w:b/>
          <w:bCs/>
          <w:color w:val="808080" w:themeColor="background1" w:themeShade="80"/>
        </w:rPr>
      </w:pPr>
      <w:r w:rsidRPr="00EF4B5E">
        <w:rPr>
          <w:b/>
          <w:bCs/>
        </w:rPr>
        <w:t>E</w:t>
      </w:r>
      <w:r w:rsidR="00AF43F7" w:rsidRPr="00EF4B5E">
        <w:rPr>
          <w:b/>
          <w:bCs/>
        </w:rPr>
        <w:t xml:space="preserve">fficient </w:t>
      </w:r>
      <w:bookmarkStart w:id="0" w:name="_Hlk20679501"/>
      <w:r w:rsidRPr="00EF4B5E">
        <w:rPr>
          <w:b/>
          <w:bCs/>
        </w:rPr>
        <w:t xml:space="preserve">Transcriptionally Controlled Plasmid Expression System </w:t>
      </w:r>
      <w:bookmarkEnd w:id="0"/>
      <w:r w:rsidRPr="00EF4B5E">
        <w:rPr>
          <w:b/>
          <w:bCs/>
        </w:rPr>
        <w:t>for Investigation of the Stability of mRNA Transcripts in Primary Alveolar Epithelial Cells</w:t>
      </w:r>
    </w:p>
    <w:p w14:paraId="7F9C832F" w14:textId="77777777" w:rsidR="007A4DD6" w:rsidRPr="00AF43F7" w:rsidRDefault="007A4DD6" w:rsidP="00407434">
      <w:pPr>
        <w:rPr>
          <w:rFonts w:asciiTheme="minorHAnsi" w:hAnsiTheme="minorHAnsi" w:cstheme="minorHAnsi"/>
          <w:b/>
          <w:bCs/>
        </w:rPr>
      </w:pPr>
    </w:p>
    <w:p w14:paraId="32619C0F" w14:textId="5B27C8B6" w:rsidR="006305D7" w:rsidRPr="003B2859" w:rsidRDefault="00AF43F7" w:rsidP="00407434">
      <w:pPr>
        <w:rPr>
          <w:rFonts w:asciiTheme="minorHAnsi" w:hAnsiTheme="minorHAnsi" w:cstheme="minorHAnsi"/>
          <w:color w:val="808080" w:themeColor="background1" w:themeShade="80"/>
          <w:lang w:val="fr-CA"/>
        </w:rPr>
      </w:pPr>
      <w:r w:rsidRPr="003B2859">
        <w:rPr>
          <w:rFonts w:asciiTheme="minorHAnsi" w:hAnsiTheme="minorHAnsi" w:cstheme="minorHAnsi"/>
          <w:b/>
          <w:bCs/>
          <w:lang w:val="fr-CA"/>
        </w:rPr>
        <w:t>AUTHORS AND AFFILIATIONS:</w:t>
      </w:r>
    </w:p>
    <w:p w14:paraId="65ACBA32" w14:textId="77777777" w:rsidR="007A4DD6" w:rsidRPr="003B2859" w:rsidRDefault="00AF43F7" w:rsidP="00407434">
      <w:pPr>
        <w:rPr>
          <w:rFonts w:asciiTheme="minorHAnsi" w:hAnsiTheme="minorHAnsi" w:cstheme="minorHAnsi"/>
          <w:color w:val="auto"/>
          <w:lang w:val="fr-CA"/>
        </w:rPr>
      </w:pPr>
      <w:r w:rsidRPr="003B2859">
        <w:rPr>
          <w:rFonts w:asciiTheme="minorHAnsi" w:hAnsiTheme="minorHAnsi" w:cstheme="minorHAnsi"/>
          <w:color w:val="auto"/>
          <w:lang w:val="fr-CA"/>
        </w:rPr>
        <w:t>Francis Migneault</w:t>
      </w:r>
      <w:r w:rsidR="00ED73E9" w:rsidRPr="003B2859">
        <w:rPr>
          <w:rFonts w:asciiTheme="minorHAnsi" w:hAnsiTheme="minorHAnsi" w:cstheme="minorHAnsi"/>
          <w:color w:val="auto"/>
          <w:vertAlign w:val="superscript"/>
          <w:lang w:val="fr-CA"/>
        </w:rPr>
        <w:t>1,2,3</w:t>
      </w:r>
      <w:r w:rsidR="002E0D30" w:rsidRPr="00861CB3">
        <w:rPr>
          <w:rFonts w:asciiTheme="minorHAnsi" w:hAnsiTheme="minorHAnsi" w:cstheme="minorHAnsi"/>
          <w:color w:val="auto"/>
          <w:lang w:val="fr-CA"/>
        </w:rPr>
        <w:t>,</w:t>
      </w:r>
      <w:r w:rsidR="002E0D30" w:rsidRPr="003B2859">
        <w:rPr>
          <w:rFonts w:asciiTheme="minorHAnsi" w:hAnsiTheme="minorHAnsi" w:cstheme="minorHAnsi"/>
          <w:color w:val="auto"/>
          <w:lang w:val="fr-CA"/>
        </w:rPr>
        <w:t xml:space="preserve"> Frédéric Gagnon</w:t>
      </w:r>
      <w:r w:rsidR="00ED73E9" w:rsidRPr="003B2859">
        <w:rPr>
          <w:rFonts w:asciiTheme="minorHAnsi" w:hAnsiTheme="minorHAnsi" w:cstheme="minorHAnsi"/>
          <w:color w:val="auto"/>
          <w:vertAlign w:val="superscript"/>
          <w:lang w:val="fr-CA"/>
        </w:rPr>
        <w:t>2,3</w:t>
      </w:r>
      <w:r w:rsidRPr="003B2859">
        <w:rPr>
          <w:rFonts w:asciiTheme="minorHAnsi" w:hAnsiTheme="minorHAnsi" w:cstheme="minorHAnsi"/>
          <w:color w:val="auto"/>
          <w:lang w:val="fr-CA"/>
        </w:rPr>
        <w:t>, Emmanuelle Brochiero</w:t>
      </w:r>
      <w:r w:rsidR="00ED73E9" w:rsidRPr="003B2859">
        <w:rPr>
          <w:rFonts w:asciiTheme="minorHAnsi" w:hAnsiTheme="minorHAnsi" w:cstheme="minorHAnsi"/>
          <w:color w:val="auto"/>
          <w:vertAlign w:val="superscript"/>
          <w:lang w:val="fr-CA"/>
        </w:rPr>
        <w:t>1,3</w:t>
      </w:r>
      <w:r w:rsidRPr="003B2859">
        <w:rPr>
          <w:rFonts w:asciiTheme="minorHAnsi" w:hAnsiTheme="minorHAnsi" w:cstheme="minorHAnsi"/>
          <w:color w:val="auto"/>
          <w:lang w:val="fr-CA"/>
        </w:rPr>
        <w:t>, Yves Berthiaume</w:t>
      </w:r>
      <w:r w:rsidR="00ED73E9" w:rsidRPr="003B2859">
        <w:rPr>
          <w:rFonts w:asciiTheme="minorHAnsi" w:hAnsiTheme="minorHAnsi" w:cstheme="minorHAnsi"/>
          <w:color w:val="auto"/>
          <w:vertAlign w:val="superscript"/>
          <w:lang w:val="fr-CA"/>
        </w:rPr>
        <w:t>2,3</w:t>
      </w:r>
      <w:r w:rsidR="0036276A" w:rsidRPr="003B2859">
        <w:rPr>
          <w:rFonts w:asciiTheme="minorHAnsi" w:hAnsiTheme="minorHAnsi" w:cstheme="minorHAnsi"/>
          <w:color w:val="auto"/>
          <w:lang w:val="fr-CA"/>
        </w:rPr>
        <w:t>, André Dagenais</w:t>
      </w:r>
      <w:r w:rsidR="00ED73E9" w:rsidRPr="003B2859">
        <w:rPr>
          <w:rFonts w:asciiTheme="minorHAnsi" w:hAnsiTheme="minorHAnsi" w:cstheme="minorHAnsi"/>
          <w:color w:val="auto"/>
          <w:vertAlign w:val="superscript"/>
          <w:lang w:val="fr-CA"/>
        </w:rPr>
        <w:t>2,3</w:t>
      </w:r>
    </w:p>
    <w:p w14:paraId="2E700CB2" w14:textId="77777777" w:rsidR="00D04A95" w:rsidRPr="003B2859" w:rsidRDefault="00D04A95" w:rsidP="00407434">
      <w:pPr>
        <w:rPr>
          <w:rFonts w:asciiTheme="minorHAnsi" w:hAnsiTheme="minorHAnsi" w:cstheme="minorHAnsi"/>
          <w:bCs/>
          <w:color w:val="auto"/>
          <w:lang w:val="fr-CA"/>
        </w:rPr>
      </w:pPr>
    </w:p>
    <w:p w14:paraId="1BA3DE29" w14:textId="097C9ED2" w:rsidR="000602C3" w:rsidRPr="003B2859" w:rsidRDefault="00AF43F7" w:rsidP="00407434">
      <w:pPr>
        <w:rPr>
          <w:rFonts w:asciiTheme="minorHAnsi" w:hAnsiTheme="minorHAnsi" w:cstheme="minorHAnsi"/>
          <w:bCs/>
          <w:color w:val="auto"/>
          <w:lang w:val="fr-CA"/>
        </w:rPr>
      </w:pPr>
      <w:r w:rsidRPr="003B2859">
        <w:rPr>
          <w:rFonts w:asciiTheme="minorHAnsi" w:hAnsiTheme="minorHAnsi" w:cstheme="minorHAnsi"/>
          <w:bCs/>
          <w:color w:val="auto"/>
          <w:vertAlign w:val="superscript"/>
          <w:lang w:val="fr-CA"/>
        </w:rPr>
        <w:t>1</w:t>
      </w:r>
      <w:r w:rsidRPr="003B2859">
        <w:rPr>
          <w:rFonts w:asciiTheme="minorHAnsi" w:hAnsiTheme="minorHAnsi" w:cstheme="minorHAnsi"/>
          <w:bCs/>
          <w:color w:val="auto"/>
          <w:lang w:val="fr-CA"/>
        </w:rPr>
        <w:t>Centre de Recherche du Centre hospitalier de l'Université de Montréal (CRCHUM), Montréal, QC, Canada</w:t>
      </w:r>
    </w:p>
    <w:p w14:paraId="788E8808" w14:textId="77777777" w:rsidR="000602C3" w:rsidRPr="003B2859" w:rsidRDefault="00AF43F7" w:rsidP="00407434">
      <w:pPr>
        <w:rPr>
          <w:rFonts w:asciiTheme="minorHAnsi" w:hAnsiTheme="minorHAnsi" w:cstheme="minorHAnsi"/>
          <w:bCs/>
          <w:color w:val="auto"/>
          <w:lang w:val="fr-CA"/>
        </w:rPr>
      </w:pPr>
      <w:r w:rsidRPr="003B2859">
        <w:rPr>
          <w:rFonts w:asciiTheme="minorHAnsi" w:hAnsiTheme="minorHAnsi" w:cstheme="minorHAnsi"/>
          <w:bCs/>
          <w:color w:val="auto"/>
          <w:vertAlign w:val="superscript"/>
          <w:lang w:val="fr-CA"/>
        </w:rPr>
        <w:t>2</w:t>
      </w:r>
      <w:r w:rsidRPr="003B2859">
        <w:rPr>
          <w:rFonts w:asciiTheme="minorHAnsi" w:hAnsiTheme="minorHAnsi" w:cstheme="minorHAnsi"/>
          <w:bCs/>
          <w:color w:val="auto"/>
          <w:lang w:val="fr-CA"/>
        </w:rPr>
        <w:t>Institut de Recherches Cliniques de Montréal (IRCM), Montréal, QC, Canada</w:t>
      </w:r>
    </w:p>
    <w:p w14:paraId="0F05A381" w14:textId="77777777" w:rsidR="00A07270" w:rsidRPr="003B2859" w:rsidRDefault="00AF43F7" w:rsidP="00407434">
      <w:pPr>
        <w:rPr>
          <w:rFonts w:asciiTheme="minorHAnsi" w:hAnsiTheme="minorHAnsi" w:cstheme="minorHAnsi"/>
          <w:bCs/>
          <w:color w:val="auto"/>
          <w:lang w:val="fr-CA"/>
        </w:rPr>
      </w:pPr>
      <w:r w:rsidRPr="003B2859">
        <w:rPr>
          <w:rFonts w:asciiTheme="minorHAnsi" w:hAnsiTheme="minorHAnsi" w:cstheme="minorHAnsi"/>
          <w:bCs/>
          <w:color w:val="auto"/>
          <w:vertAlign w:val="superscript"/>
          <w:lang w:val="fr-CA"/>
        </w:rPr>
        <w:t>3</w:t>
      </w:r>
      <w:r w:rsidRPr="003B2859">
        <w:rPr>
          <w:rFonts w:asciiTheme="minorHAnsi" w:hAnsiTheme="minorHAnsi" w:cstheme="minorHAnsi"/>
          <w:bCs/>
          <w:color w:val="auto"/>
          <w:lang w:val="fr-CA"/>
        </w:rPr>
        <w:t>Département de médecine, Faculté de médecine, Université de Montréal</w:t>
      </w:r>
    </w:p>
    <w:p w14:paraId="4974357C" w14:textId="77777777" w:rsidR="000602C3" w:rsidRPr="003B2859" w:rsidRDefault="000602C3" w:rsidP="00407434">
      <w:pPr>
        <w:rPr>
          <w:rFonts w:asciiTheme="minorHAnsi" w:hAnsiTheme="minorHAnsi" w:cstheme="minorHAnsi"/>
          <w:bCs/>
          <w:color w:val="auto"/>
          <w:lang w:val="fr-CA"/>
        </w:rPr>
      </w:pPr>
    </w:p>
    <w:p w14:paraId="0A34A3C0" w14:textId="552CEB3C" w:rsidR="007555D5" w:rsidRPr="00AF43F7" w:rsidRDefault="00AF43F7" w:rsidP="00407434">
      <w:pPr>
        <w:rPr>
          <w:rFonts w:asciiTheme="minorHAnsi" w:hAnsiTheme="minorHAnsi" w:cstheme="minorHAnsi"/>
          <w:b/>
          <w:bCs/>
          <w:color w:val="auto"/>
        </w:rPr>
      </w:pPr>
      <w:r w:rsidRPr="00AF43F7">
        <w:rPr>
          <w:rFonts w:asciiTheme="minorHAnsi" w:hAnsiTheme="minorHAnsi" w:cstheme="minorHAnsi"/>
          <w:b/>
          <w:bCs/>
          <w:color w:val="auto"/>
        </w:rPr>
        <w:t xml:space="preserve">Corresponding </w:t>
      </w:r>
      <w:r w:rsidR="00B86FE7" w:rsidRPr="00AF43F7">
        <w:rPr>
          <w:rFonts w:asciiTheme="minorHAnsi" w:hAnsiTheme="minorHAnsi" w:cstheme="minorHAnsi"/>
          <w:b/>
          <w:bCs/>
          <w:color w:val="auto"/>
        </w:rPr>
        <w:t>Author</w:t>
      </w:r>
      <w:r w:rsidRPr="00AF43F7">
        <w:rPr>
          <w:rFonts w:asciiTheme="minorHAnsi" w:hAnsiTheme="minorHAnsi" w:cstheme="minorHAnsi"/>
          <w:b/>
          <w:bCs/>
          <w:color w:val="auto"/>
        </w:rPr>
        <w:t>:</w:t>
      </w:r>
    </w:p>
    <w:p w14:paraId="207ABE17" w14:textId="27FE4AD4" w:rsidR="007555D5" w:rsidRPr="00AF43F7" w:rsidRDefault="00AF43F7" w:rsidP="00407434">
      <w:pPr>
        <w:rPr>
          <w:rFonts w:asciiTheme="minorHAnsi" w:hAnsiTheme="minorHAnsi" w:cstheme="minorHAnsi"/>
          <w:bCs/>
          <w:color w:val="auto"/>
        </w:rPr>
      </w:pPr>
      <w:r w:rsidRPr="00AF43F7">
        <w:rPr>
          <w:rFonts w:asciiTheme="minorHAnsi" w:hAnsiTheme="minorHAnsi" w:cstheme="minorHAnsi"/>
          <w:bCs/>
          <w:color w:val="auto"/>
        </w:rPr>
        <w:t xml:space="preserve">Francis </w:t>
      </w:r>
      <w:proofErr w:type="spellStart"/>
      <w:r w:rsidRPr="00AF43F7">
        <w:rPr>
          <w:rFonts w:asciiTheme="minorHAnsi" w:hAnsiTheme="minorHAnsi" w:cstheme="minorHAnsi"/>
          <w:bCs/>
          <w:color w:val="auto"/>
        </w:rPr>
        <w:t>Migneault</w:t>
      </w:r>
      <w:proofErr w:type="spellEnd"/>
      <w:r w:rsidR="00960C90">
        <w:rPr>
          <w:rFonts w:asciiTheme="minorHAnsi" w:hAnsiTheme="minorHAnsi" w:cstheme="minorHAnsi"/>
          <w:bCs/>
          <w:color w:val="auto"/>
        </w:rPr>
        <w:tab/>
      </w:r>
      <w:r w:rsidR="00960C90">
        <w:rPr>
          <w:rFonts w:asciiTheme="minorHAnsi" w:hAnsiTheme="minorHAnsi" w:cstheme="minorHAnsi"/>
          <w:bCs/>
          <w:color w:val="auto"/>
        </w:rPr>
        <w:tab/>
      </w:r>
      <w:r w:rsidRPr="00AF43F7">
        <w:rPr>
          <w:rFonts w:asciiTheme="minorHAnsi" w:hAnsiTheme="minorHAnsi" w:cstheme="minorHAnsi"/>
          <w:bCs/>
          <w:color w:val="auto"/>
        </w:rPr>
        <w:t>(francis.migneault@umontreal.ca)</w:t>
      </w:r>
    </w:p>
    <w:p w14:paraId="1FDB3AD2" w14:textId="77777777" w:rsidR="007555D5" w:rsidRPr="00AF43F7" w:rsidRDefault="007555D5" w:rsidP="00407434">
      <w:pPr>
        <w:rPr>
          <w:rFonts w:asciiTheme="minorHAnsi" w:hAnsiTheme="minorHAnsi" w:cstheme="minorHAnsi"/>
          <w:bCs/>
          <w:color w:val="auto"/>
        </w:rPr>
      </w:pPr>
    </w:p>
    <w:p w14:paraId="386C4230" w14:textId="0E2EE699" w:rsidR="007555D5" w:rsidRPr="00AF43F7" w:rsidRDefault="00AF43F7" w:rsidP="00407434">
      <w:pPr>
        <w:rPr>
          <w:rFonts w:asciiTheme="minorHAnsi" w:hAnsiTheme="minorHAnsi" w:cstheme="minorHAnsi"/>
          <w:bCs/>
          <w:color w:val="auto"/>
        </w:rPr>
      </w:pPr>
      <w:r w:rsidRPr="00AF43F7">
        <w:rPr>
          <w:rFonts w:asciiTheme="minorHAnsi" w:hAnsiTheme="minorHAnsi" w:cstheme="minorHAnsi"/>
          <w:b/>
          <w:bCs/>
          <w:color w:val="auto"/>
        </w:rPr>
        <w:t xml:space="preserve">Email </w:t>
      </w:r>
      <w:r w:rsidR="00272F36">
        <w:rPr>
          <w:rFonts w:asciiTheme="minorHAnsi" w:hAnsiTheme="minorHAnsi" w:cstheme="minorHAnsi"/>
          <w:b/>
          <w:bCs/>
          <w:color w:val="auto"/>
        </w:rPr>
        <w:t>A</w:t>
      </w:r>
      <w:r w:rsidRPr="00AF43F7">
        <w:rPr>
          <w:rFonts w:asciiTheme="minorHAnsi" w:hAnsiTheme="minorHAnsi" w:cstheme="minorHAnsi"/>
          <w:b/>
          <w:bCs/>
          <w:color w:val="auto"/>
        </w:rPr>
        <w:t xml:space="preserve">ddresses of </w:t>
      </w:r>
      <w:r w:rsidR="00272F36">
        <w:rPr>
          <w:rFonts w:asciiTheme="minorHAnsi" w:hAnsiTheme="minorHAnsi" w:cstheme="minorHAnsi"/>
          <w:b/>
          <w:bCs/>
          <w:color w:val="auto"/>
        </w:rPr>
        <w:t>C</w:t>
      </w:r>
      <w:r>
        <w:rPr>
          <w:rFonts w:asciiTheme="minorHAnsi" w:hAnsiTheme="minorHAnsi" w:cstheme="minorHAnsi"/>
          <w:b/>
          <w:bCs/>
          <w:color w:val="auto"/>
        </w:rPr>
        <w:t>o</w:t>
      </w:r>
      <w:r w:rsidR="00272F36">
        <w:rPr>
          <w:rFonts w:asciiTheme="minorHAnsi" w:hAnsiTheme="minorHAnsi" w:cstheme="minorHAnsi"/>
          <w:b/>
          <w:bCs/>
          <w:color w:val="auto"/>
        </w:rPr>
        <w:t>-</w:t>
      </w:r>
      <w:r>
        <w:rPr>
          <w:rFonts w:asciiTheme="minorHAnsi" w:hAnsiTheme="minorHAnsi" w:cstheme="minorHAnsi"/>
          <w:b/>
          <w:bCs/>
          <w:color w:val="auto"/>
        </w:rPr>
        <w:t>a</w:t>
      </w:r>
      <w:r w:rsidRPr="00AF43F7">
        <w:rPr>
          <w:rFonts w:asciiTheme="minorHAnsi" w:hAnsiTheme="minorHAnsi" w:cstheme="minorHAnsi"/>
          <w:b/>
          <w:bCs/>
          <w:color w:val="auto"/>
        </w:rPr>
        <w:t>uthors:</w:t>
      </w:r>
    </w:p>
    <w:p w14:paraId="2C33F23F" w14:textId="140815BA" w:rsidR="00DE3C3B" w:rsidRPr="00560C8E" w:rsidRDefault="00AF43F7" w:rsidP="00407434">
      <w:pPr>
        <w:rPr>
          <w:rFonts w:asciiTheme="minorHAnsi" w:hAnsiTheme="minorHAnsi" w:cstheme="minorHAnsi"/>
          <w:bCs/>
          <w:color w:val="auto"/>
          <w:lang w:val="fr-CA"/>
        </w:rPr>
      </w:pPr>
      <w:r w:rsidRPr="00560C8E">
        <w:rPr>
          <w:rFonts w:asciiTheme="minorHAnsi" w:hAnsiTheme="minorHAnsi" w:cstheme="minorHAnsi"/>
          <w:bCs/>
          <w:color w:val="auto"/>
          <w:lang w:val="fr-CA"/>
        </w:rPr>
        <w:t xml:space="preserve">Frédéric Gagnon </w:t>
      </w:r>
      <w:r w:rsidR="00960C90" w:rsidRPr="00560C8E">
        <w:rPr>
          <w:rFonts w:asciiTheme="minorHAnsi" w:hAnsiTheme="minorHAnsi" w:cstheme="minorHAnsi"/>
          <w:bCs/>
          <w:color w:val="auto"/>
          <w:lang w:val="fr-CA"/>
        </w:rPr>
        <w:tab/>
      </w:r>
      <w:r w:rsidR="00960C90" w:rsidRPr="00560C8E">
        <w:rPr>
          <w:rFonts w:asciiTheme="minorHAnsi" w:hAnsiTheme="minorHAnsi" w:cstheme="minorHAnsi"/>
          <w:bCs/>
          <w:color w:val="auto"/>
          <w:lang w:val="fr-CA"/>
        </w:rPr>
        <w:tab/>
      </w:r>
      <w:r w:rsidRPr="00560C8E">
        <w:rPr>
          <w:rFonts w:asciiTheme="minorHAnsi" w:hAnsiTheme="minorHAnsi" w:cstheme="minorHAnsi"/>
          <w:bCs/>
          <w:color w:val="auto"/>
          <w:lang w:val="fr-CA"/>
        </w:rPr>
        <w:t>(fred.35@hotmail.com)</w:t>
      </w:r>
    </w:p>
    <w:p w14:paraId="5FE12750" w14:textId="2C7FD8EB" w:rsidR="007555D5" w:rsidRPr="003B2859" w:rsidRDefault="000602C3" w:rsidP="00407434">
      <w:pPr>
        <w:rPr>
          <w:rFonts w:asciiTheme="minorHAnsi" w:hAnsiTheme="minorHAnsi" w:cstheme="minorHAnsi"/>
          <w:bCs/>
          <w:color w:val="auto"/>
          <w:lang w:val="fr-CA"/>
        </w:rPr>
      </w:pPr>
      <w:r w:rsidRPr="003B2859">
        <w:rPr>
          <w:rFonts w:asciiTheme="minorHAnsi" w:hAnsiTheme="minorHAnsi" w:cstheme="minorHAnsi"/>
          <w:bCs/>
          <w:color w:val="auto"/>
          <w:lang w:val="fr-CA"/>
        </w:rPr>
        <w:t xml:space="preserve">Emmanuelle </w:t>
      </w:r>
      <w:proofErr w:type="spellStart"/>
      <w:r w:rsidRPr="003B2859">
        <w:rPr>
          <w:rFonts w:asciiTheme="minorHAnsi" w:hAnsiTheme="minorHAnsi" w:cstheme="minorHAnsi"/>
          <w:bCs/>
          <w:color w:val="auto"/>
          <w:lang w:val="fr-CA"/>
        </w:rPr>
        <w:t>Brochiero</w:t>
      </w:r>
      <w:proofErr w:type="spellEnd"/>
      <w:r w:rsidRPr="003B2859">
        <w:rPr>
          <w:rFonts w:asciiTheme="minorHAnsi" w:hAnsiTheme="minorHAnsi" w:cstheme="minorHAnsi"/>
          <w:bCs/>
          <w:color w:val="auto"/>
          <w:lang w:val="fr-CA"/>
        </w:rPr>
        <w:t xml:space="preserve"> </w:t>
      </w:r>
      <w:r w:rsidR="00960C90">
        <w:rPr>
          <w:rFonts w:asciiTheme="minorHAnsi" w:hAnsiTheme="minorHAnsi" w:cstheme="minorHAnsi"/>
          <w:bCs/>
          <w:color w:val="auto"/>
          <w:lang w:val="fr-CA"/>
        </w:rPr>
        <w:tab/>
      </w:r>
      <w:r w:rsidRPr="003B2859">
        <w:rPr>
          <w:rFonts w:asciiTheme="minorHAnsi" w:hAnsiTheme="minorHAnsi" w:cstheme="minorHAnsi"/>
          <w:bCs/>
          <w:color w:val="auto"/>
          <w:lang w:val="fr-CA"/>
        </w:rPr>
        <w:t>(emmanuelle.brochiero@umontreal.ca)</w:t>
      </w:r>
    </w:p>
    <w:p w14:paraId="5BAE0C64" w14:textId="76EDE92C" w:rsidR="00DE3C3B" w:rsidRPr="003B2859" w:rsidRDefault="00AF43F7" w:rsidP="00407434">
      <w:pPr>
        <w:rPr>
          <w:rFonts w:asciiTheme="minorHAnsi" w:hAnsiTheme="minorHAnsi" w:cstheme="minorHAnsi"/>
          <w:bCs/>
          <w:color w:val="auto"/>
          <w:lang w:val="fr-CA"/>
        </w:rPr>
      </w:pPr>
      <w:r w:rsidRPr="003B2859">
        <w:rPr>
          <w:rFonts w:asciiTheme="minorHAnsi" w:hAnsiTheme="minorHAnsi" w:cstheme="minorHAnsi"/>
          <w:bCs/>
          <w:color w:val="auto"/>
          <w:lang w:val="fr-CA"/>
        </w:rPr>
        <w:t xml:space="preserve">Yves Berthiaume </w:t>
      </w:r>
      <w:r w:rsidR="00960C90">
        <w:rPr>
          <w:rFonts w:asciiTheme="minorHAnsi" w:hAnsiTheme="minorHAnsi" w:cstheme="minorHAnsi"/>
          <w:bCs/>
          <w:color w:val="auto"/>
          <w:lang w:val="fr-CA"/>
        </w:rPr>
        <w:tab/>
      </w:r>
      <w:r w:rsidR="00960C90">
        <w:rPr>
          <w:rFonts w:asciiTheme="minorHAnsi" w:hAnsiTheme="minorHAnsi" w:cstheme="minorHAnsi"/>
          <w:bCs/>
          <w:color w:val="auto"/>
          <w:lang w:val="fr-CA"/>
        </w:rPr>
        <w:tab/>
      </w:r>
      <w:r w:rsidRPr="003B2859">
        <w:rPr>
          <w:rFonts w:asciiTheme="minorHAnsi" w:hAnsiTheme="minorHAnsi" w:cstheme="minorHAnsi"/>
          <w:bCs/>
          <w:color w:val="auto"/>
          <w:lang w:val="fr-CA"/>
        </w:rPr>
        <w:t>(yves.berthiaume@umontreal.ca)</w:t>
      </w:r>
    </w:p>
    <w:p w14:paraId="3F1E3A7C" w14:textId="39CC1791" w:rsidR="00DE3C3B" w:rsidRPr="003B2859" w:rsidRDefault="00AF43F7" w:rsidP="00407434">
      <w:pPr>
        <w:rPr>
          <w:rFonts w:asciiTheme="minorHAnsi" w:hAnsiTheme="minorHAnsi" w:cstheme="minorHAnsi"/>
          <w:bCs/>
          <w:color w:val="auto"/>
          <w:lang w:val="fr-CA"/>
        </w:rPr>
      </w:pPr>
      <w:r w:rsidRPr="003B2859">
        <w:rPr>
          <w:rFonts w:asciiTheme="minorHAnsi" w:hAnsiTheme="minorHAnsi" w:cstheme="minorHAnsi"/>
          <w:bCs/>
          <w:color w:val="auto"/>
          <w:lang w:val="fr-CA"/>
        </w:rPr>
        <w:t xml:space="preserve">André Dagenais </w:t>
      </w:r>
      <w:r w:rsidR="00960C90">
        <w:rPr>
          <w:rFonts w:asciiTheme="minorHAnsi" w:hAnsiTheme="minorHAnsi" w:cstheme="minorHAnsi"/>
          <w:bCs/>
          <w:color w:val="auto"/>
          <w:lang w:val="fr-CA"/>
        </w:rPr>
        <w:tab/>
      </w:r>
      <w:r w:rsidR="00960C90">
        <w:rPr>
          <w:rFonts w:asciiTheme="minorHAnsi" w:hAnsiTheme="minorHAnsi" w:cstheme="minorHAnsi"/>
          <w:bCs/>
          <w:color w:val="auto"/>
          <w:lang w:val="fr-CA"/>
        </w:rPr>
        <w:tab/>
      </w:r>
      <w:r w:rsidRPr="003B2859">
        <w:rPr>
          <w:rFonts w:asciiTheme="minorHAnsi" w:hAnsiTheme="minorHAnsi" w:cstheme="minorHAnsi"/>
          <w:bCs/>
          <w:color w:val="auto"/>
          <w:lang w:val="fr-CA"/>
        </w:rPr>
        <w:t>(andre.dagenais@criucpq.ulaval.ca)</w:t>
      </w:r>
    </w:p>
    <w:p w14:paraId="45309980" w14:textId="77777777" w:rsidR="007555D5" w:rsidRPr="003B2859" w:rsidRDefault="007555D5" w:rsidP="00407434">
      <w:pPr>
        <w:rPr>
          <w:rFonts w:asciiTheme="minorHAnsi" w:hAnsiTheme="minorHAnsi" w:cstheme="minorHAnsi"/>
          <w:bCs/>
          <w:color w:val="808080" w:themeColor="background1" w:themeShade="80"/>
          <w:lang w:val="fr-CA"/>
        </w:rPr>
      </w:pPr>
    </w:p>
    <w:p w14:paraId="747D94F2" w14:textId="77777777" w:rsidR="006305D7" w:rsidRPr="00AF43F7" w:rsidRDefault="007555D5" w:rsidP="00407434">
      <w:pPr>
        <w:pStyle w:val="NormalWeb"/>
        <w:spacing w:before="0" w:beforeAutospacing="0" w:after="0" w:afterAutospacing="0"/>
        <w:rPr>
          <w:rFonts w:asciiTheme="minorHAnsi" w:hAnsiTheme="minorHAnsi" w:cstheme="minorHAnsi"/>
        </w:rPr>
      </w:pPr>
      <w:r w:rsidRPr="00AF43F7">
        <w:rPr>
          <w:rFonts w:asciiTheme="minorHAnsi" w:hAnsiTheme="minorHAnsi" w:cstheme="minorHAnsi"/>
          <w:b/>
          <w:bCs/>
        </w:rPr>
        <w:t>KEYWORDS:</w:t>
      </w:r>
    </w:p>
    <w:p w14:paraId="10C7F2C4" w14:textId="61897B9C" w:rsidR="006305D7" w:rsidRPr="00AF43F7" w:rsidRDefault="00960C90" w:rsidP="00407434">
      <w:pPr>
        <w:pStyle w:val="NormalWeb"/>
        <w:spacing w:before="0" w:beforeAutospacing="0" w:after="0" w:afterAutospacing="0"/>
        <w:rPr>
          <w:rFonts w:asciiTheme="minorHAnsi" w:hAnsiTheme="minorHAnsi" w:cstheme="minorHAnsi"/>
        </w:rPr>
      </w:pPr>
      <w:r>
        <w:rPr>
          <w:rFonts w:asciiTheme="minorHAnsi" w:hAnsiTheme="minorHAnsi" w:cstheme="minorHAnsi"/>
        </w:rPr>
        <w:t>t</w:t>
      </w:r>
      <w:r w:rsidR="00BA62AB" w:rsidRPr="00AF43F7">
        <w:rPr>
          <w:rFonts w:asciiTheme="minorHAnsi" w:hAnsiTheme="minorHAnsi" w:cstheme="minorHAnsi"/>
        </w:rPr>
        <w:t>ransient transfection, primary culture, alveolar epithelial cells, mRNA stability, 3’</w:t>
      </w:r>
      <w:r w:rsidR="00DB731E">
        <w:rPr>
          <w:rFonts w:asciiTheme="minorHAnsi" w:hAnsiTheme="minorHAnsi" w:cstheme="minorHAnsi"/>
        </w:rPr>
        <w:t xml:space="preserve"> </w:t>
      </w:r>
      <w:r w:rsidR="00BA62AB" w:rsidRPr="00AF43F7">
        <w:rPr>
          <w:rFonts w:asciiTheme="minorHAnsi" w:hAnsiTheme="minorHAnsi" w:cstheme="minorHAnsi"/>
        </w:rPr>
        <w:t>UTR, doxycycline, Tet-Off, inducible expression</w:t>
      </w:r>
    </w:p>
    <w:p w14:paraId="61B8FD94" w14:textId="77777777" w:rsidR="00DE3C3B" w:rsidRPr="00AF43F7" w:rsidRDefault="00DE3C3B" w:rsidP="00407434">
      <w:pPr>
        <w:pStyle w:val="NormalWeb"/>
        <w:spacing w:before="0" w:beforeAutospacing="0" w:after="0" w:afterAutospacing="0"/>
        <w:rPr>
          <w:rFonts w:asciiTheme="minorHAnsi" w:hAnsiTheme="minorHAnsi" w:cstheme="minorHAnsi"/>
        </w:rPr>
      </w:pPr>
    </w:p>
    <w:p w14:paraId="10E4EF56" w14:textId="5077F095" w:rsidR="006305D7" w:rsidRPr="00AF43F7" w:rsidRDefault="00AF43F7" w:rsidP="00407434">
      <w:pPr>
        <w:rPr>
          <w:rFonts w:asciiTheme="minorHAnsi" w:hAnsiTheme="minorHAnsi" w:cstheme="minorHAnsi"/>
        </w:rPr>
      </w:pPr>
      <w:r w:rsidRPr="00AF43F7">
        <w:rPr>
          <w:rFonts w:asciiTheme="minorHAnsi" w:hAnsiTheme="minorHAnsi" w:cstheme="minorHAnsi"/>
          <w:b/>
          <w:bCs/>
        </w:rPr>
        <w:t>SUMMARY:</w:t>
      </w:r>
    </w:p>
    <w:p w14:paraId="39BE5E2E" w14:textId="0789D41D" w:rsidR="006305D7" w:rsidRDefault="00272F36" w:rsidP="00407434">
      <w:r>
        <w:t>Here, w</w:t>
      </w:r>
      <w:r w:rsidR="0025740D" w:rsidRPr="00AF43F7">
        <w:t xml:space="preserve">e present a tool </w:t>
      </w:r>
      <w:r w:rsidR="003732B9">
        <w:t xml:space="preserve">that can be used </w:t>
      </w:r>
      <w:r w:rsidR="0025740D" w:rsidRPr="00AF43F7">
        <w:t xml:space="preserve">to study </w:t>
      </w:r>
      <w:r w:rsidR="003732B9">
        <w:t xml:space="preserve">the </w:t>
      </w:r>
      <w:r w:rsidR="00AF43F7">
        <w:t>postt</w:t>
      </w:r>
      <w:r w:rsidR="0025740D" w:rsidRPr="00AF43F7">
        <w:t xml:space="preserve">ranscriptional modulation of a transcript in primary alveolar epithelial cells by using an inducible expression system coupled to a pipette electroporation technique. </w:t>
      </w:r>
    </w:p>
    <w:p w14:paraId="2AA7595B" w14:textId="77777777" w:rsidR="00407434" w:rsidRPr="00AF43F7" w:rsidRDefault="00407434" w:rsidP="00407434"/>
    <w:p w14:paraId="572FDD6E" w14:textId="77777777" w:rsidR="006305D7" w:rsidRPr="00163B8D" w:rsidRDefault="00AF43F7" w:rsidP="00407434">
      <w:pPr>
        <w:rPr>
          <w:rFonts w:asciiTheme="minorHAnsi" w:hAnsiTheme="minorHAnsi" w:cstheme="minorHAnsi"/>
          <w:color w:val="auto"/>
        </w:rPr>
      </w:pPr>
      <w:r w:rsidRPr="00163B8D">
        <w:rPr>
          <w:rFonts w:asciiTheme="minorHAnsi" w:hAnsiTheme="minorHAnsi" w:cstheme="minorHAnsi"/>
          <w:b/>
          <w:bCs/>
          <w:color w:val="auto"/>
        </w:rPr>
        <w:t>ABSTRACT:</w:t>
      </w:r>
    </w:p>
    <w:p w14:paraId="624EB32E" w14:textId="72580349" w:rsidR="00F36371" w:rsidRPr="00163B8D" w:rsidRDefault="00AB47E8" w:rsidP="00407434">
      <w:pPr>
        <w:rPr>
          <w:rFonts w:asciiTheme="minorHAnsi" w:hAnsiTheme="minorHAnsi" w:cstheme="minorHAnsi"/>
          <w:color w:val="auto"/>
        </w:rPr>
      </w:pPr>
      <w:r w:rsidRPr="00163B8D">
        <w:rPr>
          <w:rFonts w:asciiTheme="minorHAnsi" w:hAnsiTheme="minorHAnsi" w:cstheme="minorHAnsi"/>
          <w:color w:val="auto"/>
        </w:rPr>
        <w:t xml:space="preserve">Studying </w:t>
      </w:r>
      <w:r w:rsidR="00AF43F7" w:rsidRPr="00163B8D">
        <w:rPr>
          <w:rFonts w:asciiTheme="minorHAnsi" w:hAnsiTheme="minorHAnsi" w:cstheme="minorHAnsi"/>
          <w:color w:val="auto"/>
        </w:rPr>
        <w:t>postt</w:t>
      </w:r>
      <w:r w:rsidRPr="00163B8D">
        <w:rPr>
          <w:rFonts w:asciiTheme="minorHAnsi" w:hAnsiTheme="minorHAnsi" w:cstheme="minorHAnsi"/>
          <w:color w:val="auto"/>
        </w:rPr>
        <w:t xml:space="preserve">ranscriptional regulation is fundamental to </w:t>
      </w:r>
      <w:r w:rsidR="00AF43F7" w:rsidRPr="00163B8D">
        <w:rPr>
          <w:color w:val="auto"/>
        </w:rPr>
        <w:t>understanding</w:t>
      </w:r>
      <w:r w:rsidRPr="00163B8D">
        <w:rPr>
          <w:rFonts w:asciiTheme="minorHAnsi" w:hAnsiTheme="minorHAnsi" w:cstheme="minorHAnsi"/>
          <w:color w:val="auto"/>
        </w:rPr>
        <w:t xml:space="preserve"> the modulation of a given m</w:t>
      </w:r>
      <w:r w:rsidR="00652A8B">
        <w:rPr>
          <w:rFonts w:asciiTheme="minorHAnsi" w:hAnsiTheme="minorHAnsi" w:cstheme="minorHAnsi"/>
          <w:color w:val="auto"/>
        </w:rPr>
        <w:t xml:space="preserve">essenger </w:t>
      </w:r>
      <w:r w:rsidRPr="00163B8D">
        <w:rPr>
          <w:rFonts w:asciiTheme="minorHAnsi" w:hAnsiTheme="minorHAnsi" w:cstheme="minorHAnsi"/>
          <w:color w:val="auto"/>
        </w:rPr>
        <w:t xml:space="preserve">RNA </w:t>
      </w:r>
      <w:r w:rsidR="00652A8B">
        <w:rPr>
          <w:rFonts w:asciiTheme="minorHAnsi" w:hAnsiTheme="minorHAnsi" w:cstheme="minorHAnsi"/>
          <w:color w:val="auto"/>
        </w:rPr>
        <w:t xml:space="preserve">(mRNA) </w:t>
      </w:r>
      <w:r w:rsidRPr="00163B8D">
        <w:rPr>
          <w:rFonts w:asciiTheme="minorHAnsi" w:hAnsiTheme="minorHAnsi" w:cstheme="minorHAnsi"/>
          <w:color w:val="auto"/>
        </w:rPr>
        <w:t xml:space="preserve">and its impact on cell homeostasis and metabolism. Indeed, fluctuations in transcript expression could modify </w:t>
      </w:r>
      <w:r w:rsidR="00C6676C" w:rsidRPr="00163B8D">
        <w:rPr>
          <w:rFonts w:asciiTheme="minorHAnsi" w:hAnsiTheme="minorHAnsi" w:cstheme="minorHAnsi"/>
          <w:color w:val="auto"/>
        </w:rPr>
        <w:t xml:space="preserve">the </w:t>
      </w:r>
      <w:r w:rsidRPr="00163B8D">
        <w:rPr>
          <w:rFonts w:asciiTheme="minorHAnsi" w:hAnsiTheme="minorHAnsi" w:cstheme="minorHAnsi"/>
          <w:color w:val="auto"/>
        </w:rPr>
        <w:t xml:space="preserve">translation efficiency and ultimately </w:t>
      </w:r>
      <w:r w:rsidR="00C6676C" w:rsidRPr="00163B8D">
        <w:rPr>
          <w:rFonts w:asciiTheme="minorHAnsi" w:hAnsiTheme="minorHAnsi" w:cstheme="minorHAnsi"/>
          <w:color w:val="auto"/>
        </w:rPr>
        <w:t xml:space="preserve">the </w:t>
      </w:r>
      <w:r w:rsidRPr="00163B8D">
        <w:rPr>
          <w:rFonts w:asciiTheme="minorHAnsi" w:hAnsiTheme="minorHAnsi" w:cstheme="minorHAnsi"/>
          <w:color w:val="auto"/>
        </w:rPr>
        <w:t>cellular activity</w:t>
      </w:r>
      <w:r w:rsidR="00C6676C" w:rsidRPr="00163B8D">
        <w:rPr>
          <w:rFonts w:asciiTheme="minorHAnsi" w:hAnsiTheme="minorHAnsi" w:cstheme="minorHAnsi"/>
          <w:color w:val="auto"/>
        </w:rPr>
        <w:t xml:space="preserve"> of a </w:t>
      </w:r>
      <w:r w:rsidR="00163B8D" w:rsidRPr="00163B8D">
        <w:rPr>
          <w:rFonts w:asciiTheme="minorHAnsi" w:hAnsiTheme="minorHAnsi" w:cstheme="minorHAnsi"/>
          <w:color w:val="auto"/>
        </w:rPr>
        <w:t>transcript</w:t>
      </w:r>
      <w:r w:rsidRPr="00163B8D">
        <w:rPr>
          <w:rFonts w:asciiTheme="minorHAnsi" w:hAnsiTheme="minorHAnsi" w:cstheme="minorHAnsi"/>
          <w:color w:val="auto"/>
        </w:rPr>
        <w:t>. Several experimental approaches have been developed to investigate the half-life of mRNA</w:t>
      </w:r>
      <w:r w:rsidR="00272F36">
        <w:rPr>
          <w:rFonts w:asciiTheme="minorHAnsi" w:hAnsiTheme="minorHAnsi" w:cstheme="minorHAnsi"/>
          <w:color w:val="auto"/>
        </w:rPr>
        <w:t xml:space="preserve"> although some of these methods</w:t>
      </w:r>
      <w:r w:rsidRPr="00163B8D">
        <w:rPr>
          <w:rFonts w:asciiTheme="minorHAnsi" w:hAnsiTheme="minorHAnsi" w:cstheme="minorHAnsi"/>
          <w:color w:val="auto"/>
        </w:rPr>
        <w:t xml:space="preserve"> have limitations that prevent the proper study of </w:t>
      </w:r>
      <w:r w:rsidR="00AF43F7" w:rsidRPr="00163B8D">
        <w:rPr>
          <w:rFonts w:asciiTheme="minorHAnsi" w:hAnsiTheme="minorHAnsi" w:cstheme="minorHAnsi"/>
          <w:color w:val="auto"/>
        </w:rPr>
        <w:t>postt</w:t>
      </w:r>
      <w:r w:rsidRPr="00163B8D">
        <w:rPr>
          <w:rFonts w:asciiTheme="minorHAnsi" w:hAnsiTheme="minorHAnsi" w:cstheme="minorHAnsi"/>
          <w:color w:val="auto"/>
        </w:rPr>
        <w:t xml:space="preserve">ranscriptional modulation. </w:t>
      </w:r>
      <w:r w:rsidR="003732B9" w:rsidRPr="00163B8D">
        <w:rPr>
          <w:rFonts w:asciiTheme="minorHAnsi" w:hAnsiTheme="minorHAnsi" w:cstheme="minorHAnsi"/>
          <w:color w:val="auto"/>
        </w:rPr>
        <w:t>A p</w:t>
      </w:r>
      <w:r w:rsidRPr="00163B8D">
        <w:rPr>
          <w:rFonts w:asciiTheme="minorHAnsi" w:hAnsiTheme="minorHAnsi" w:cstheme="minorHAnsi"/>
          <w:color w:val="auto"/>
        </w:rPr>
        <w:t>romoter induction system</w:t>
      </w:r>
      <w:r w:rsidR="00272F36">
        <w:rPr>
          <w:color w:val="auto"/>
        </w:rPr>
        <w:t xml:space="preserve"> </w:t>
      </w:r>
      <w:r w:rsidRPr="00163B8D">
        <w:rPr>
          <w:rFonts w:asciiTheme="minorHAnsi" w:hAnsiTheme="minorHAnsi" w:cstheme="minorHAnsi"/>
          <w:color w:val="auto"/>
        </w:rPr>
        <w:t xml:space="preserve">can express a gene of interest under the control of a synthetic tetracycline-regulated promoter. This method allows </w:t>
      </w:r>
      <w:r w:rsidR="003732B9" w:rsidRPr="00163B8D">
        <w:rPr>
          <w:rFonts w:asciiTheme="minorHAnsi" w:hAnsiTheme="minorHAnsi" w:cstheme="minorHAnsi"/>
          <w:color w:val="auto"/>
        </w:rPr>
        <w:t xml:space="preserve">the </w:t>
      </w:r>
      <w:r w:rsidRPr="00163B8D">
        <w:rPr>
          <w:rFonts w:asciiTheme="minorHAnsi" w:hAnsiTheme="minorHAnsi" w:cstheme="minorHAnsi"/>
          <w:color w:val="auto"/>
        </w:rPr>
        <w:t>half-life estimation of a given mRNA under any experimental condition without disturbing cell homeostasis. One major drawback of this method is the necessity to transfect cells</w:t>
      </w:r>
      <w:r w:rsidR="00AF43F7" w:rsidRPr="00163B8D">
        <w:rPr>
          <w:color w:val="auto"/>
        </w:rPr>
        <w:t>,</w:t>
      </w:r>
      <w:r w:rsidRPr="00163B8D">
        <w:rPr>
          <w:rFonts w:asciiTheme="minorHAnsi" w:hAnsiTheme="minorHAnsi" w:cstheme="minorHAnsi"/>
          <w:color w:val="auto"/>
        </w:rPr>
        <w:t xml:space="preserve"> which limits the use of this technique </w:t>
      </w:r>
      <w:r w:rsidR="003732B9" w:rsidRPr="00163B8D">
        <w:rPr>
          <w:rFonts w:asciiTheme="minorHAnsi" w:hAnsiTheme="minorHAnsi" w:cstheme="minorHAnsi"/>
          <w:color w:val="auto"/>
        </w:rPr>
        <w:t>in</w:t>
      </w:r>
      <w:r w:rsidR="00AF43F7" w:rsidRPr="00163B8D">
        <w:rPr>
          <w:color w:val="auto"/>
        </w:rPr>
        <w:t xml:space="preserve"> </w:t>
      </w:r>
      <w:r w:rsidRPr="00163B8D">
        <w:rPr>
          <w:rFonts w:asciiTheme="minorHAnsi" w:hAnsiTheme="minorHAnsi" w:cstheme="minorHAnsi"/>
          <w:color w:val="auto"/>
        </w:rPr>
        <w:t xml:space="preserve">isolated primary cells that are highly resistant to conventional transfection techniques. Alveolar epithelial cells in primary culture have been used extensively to study the cellular and molecular biology of the alveolar epithelium. The unique </w:t>
      </w:r>
      <w:r w:rsidRPr="00163B8D">
        <w:rPr>
          <w:rFonts w:asciiTheme="minorHAnsi" w:hAnsiTheme="minorHAnsi" w:cstheme="minorHAnsi"/>
          <w:color w:val="auto"/>
        </w:rPr>
        <w:lastRenderedPageBreak/>
        <w:t xml:space="preserve">characteristics and phenotype of primary alveolar cells make it essential to study the </w:t>
      </w:r>
      <w:r w:rsidR="00AF43F7" w:rsidRPr="00163B8D">
        <w:rPr>
          <w:rFonts w:asciiTheme="minorHAnsi" w:hAnsiTheme="minorHAnsi" w:cstheme="minorHAnsi"/>
          <w:color w:val="auto"/>
        </w:rPr>
        <w:t>postt</w:t>
      </w:r>
      <w:r w:rsidRPr="00163B8D">
        <w:rPr>
          <w:rFonts w:asciiTheme="minorHAnsi" w:hAnsiTheme="minorHAnsi" w:cstheme="minorHAnsi"/>
          <w:color w:val="auto"/>
        </w:rPr>
        <w:t xml:space="preserve">ranscriptional modulations of genes of interest in these cells. Therefore, our aim was to develop a novel tool to investigate the </w:t>
      </w:r>
      <w:r w:rsidR="00AF43F7" w:rsidRPr="00163B8D">
        <w:rPr>
          <w:rFonts w:asciiTheme="minorHAnsi" w:hAnsiTheme="minorHAnsi" w:cstheme="minorHAnsi"/>
          <w:color w:val="auto"/>
        </w:rPr>
        <w:t>postt</w:t>
      </w:r>
      <w:r w:rsidRPr="00163B8D">
        <w:rPr>
          <w:rFonts w:asciiTheme="minorHAnsi" w:hAnsiTheme="minorHAnsi" w:cstheme="minorHAnsi"/>
          <w:color w:val="auto"/>
        </w:rPr>
        <w:t xml:space="preserve">ranscriptional modulations of </w:t>
      </w:r>
      <w:r w:rsidR="003732B9" w:rsidRPr="00163B8D">
        <w:rPr>
          <w:rFonts w:asciiTheme="minorHAnsi" w:hAnsiTheme="minorHAnsi" w:cstheme="minorHAnsi"/>
          <w:color w:val="auto"/>
        </w:rPr>
        <w:t xml:space="preserve">mRNAs of </w:t>
      </w:r>
      <w:r w:rsidRPr="00163B8D">
        <w:rPr>
          <w:rFonts w:asciiTheme="minorHAnsi" w:hAnsiTheme="minorHAnsi" w:cstheme="minorHAnsi"/>
          <w:color w:val="auto"/>
        </w:rPr>
        <w:t xml:space="preserve">interest in alveolar epithelial cells in primary culture. </w:t>
      </w:r>
      <w:r w:rsidR="00272F36">
        <w:rPr>
          <w:rFonts w:asciiTheme="minorHAnsi" w:hAnsiTheme="minorHAnsi" w:cstheme="minorHAnsi"/>
          <w:color w:val="auto"/>
        </w:rPr>
        <w:t>W</w:t>
      </w:r>
      <w:r w:rsidRPr="00163B8D">
        <w:rPr>
          <w:rFonts w:asciiTheme="minorHAnsi" w:hAnsiTheme="minorHAnsi" w:cstheme="minorHAnsi"/>
          <w:color w:val="auto"/>
        </w:rPr>
        <w:t>e designed a fast and efficient transient transfection protocol to insert a transcriptionally</w:t>
      </w:r>
      <w:r w:rsidR="00AF43F7" w:rsidRPr="00163B8D">
        <w:rPr>
          <w:color w:val="auto"/>
        </w:rPr>
        <w:t xml:space="preserve"> </w:t>
      </w:r>
      <w:r w:rsidRPr="00163B8D">
        <w:rPr>
          <w:rFonts w:asciiTheme="minorHAnsi" w:hAnsiTheme="minorHAnsi" w:cstheme="minorHAnsi"/>
          <w:color w:val="auto"/>
        </w:rPr>
        <w:t>controlled plasmid expression system in</w:t>
      </w:r>
      <w:r w:rsidR="003732B9" w:rsidRPr="00163B8D">
        <w:rPr>
          <w:rFonts w:asciiTheme="minorHAnsi" w:hAnsiTheme="minorHAnsi" w:cstheme="minorHAnsi"/>
          <w:color w:val="auto"/>
        </w:rPr>
        <w:t>to</w:t>
      </w:r>
      <w:r w:rsidRPr="00163B8D">
        <w:rPr>
          <w:rFonts w:asciiTheme="minorHAnsi" w:hAnsiTheme="minorHAnsi" w:cstheme="minorHAnsi"/>
          <w:color w:val="auto"/>
        </w:rPr>
        <w:t xml:space="preserve"> primary alveolar epithelial cells. Th</w:t>
      </w:r>
      <w:r w:rsidR="003732B9" w:rsidRPr="00163B8D">
        <w:rPr>
          <w:rFonts w:asciiTheme="minorHAnsi" w:hAnsiTheme="minorHAnsi" w:cstheme="minorHAnsi"/>
          <w:color w:val="auto"/>
        </w:rPr>
        <w:t>is</w:t>
      </w:r>
      <w:r w:rsidRPr="00163B8D">
        <w:rPr>
          <w:rFonts w:asciiTheme="minorHAnsi" w:hAnsiTheme="minorHAnsi" w:cstheme="minorHAnsi"/>
          <w:color w:val="auto"/>
        </w:rPr>
        <w:t xml:space="preserve"> cloning strategy, using a viral epitope to tag the construct,</w:t>
      </w:r>
      <w:r w:rsidR="00AF43F7" w:rsidRPr="00163B8D">
        <w:rPr>
          <w:color w:val="auto"/>
        </w:rPr>
        <w:t xml:space="preserve"> </w:t>
      </w:r>
      <w:r w:rsidR="003732B9" w:rsidRPr="00163B8D">
        <w:rPr>
          <w:color w:val="auto"/>
        </w:rPr>
        <w:t xml:space="preserve">allows for the </w:t>
      </w:r>
      <w:r w:rsidR="00AF43F7" w:rsidRPr="00163B8D">
        <w:rPr>
          <w:color w:val="auto"/>
        </w:rPr>
        <w:t>eas</w:t>
      </w:r>
      <w:r w:rsidR="003732B9" w:rsidRPr="00163B8D">
        <w:rPr>
          <w:color w:val="auto"/>
        </w:rPr>
        <w:t>y</w:t>
      </w:r>
      <w:r w:rsidR="00AF43F7" w:rsidRPr="00163B8D">
        <w:rPr>
          <w:color w:val="auto"/>
        </w:rPr>
        <w:t xml:space="preserve"> discriminat</w:t>
      </w:r>
      <w:r w:rsidR="003732B9" w:rsidRPr="00163B8D">
        <w:rPr>
          <w:color w:val="auto"/>
        </w:rPr>
        <w:t>ion of</w:t>
      </w:r>
      <w:r w:rsidR="003732B9" w:rsidRPr="00163B8D">
        <w:rPr>
          <w:rFonts w:asciiTheme="minorHAnsi" w:hAnsiTheme="minorHAnsi" w:cstheme="minorHAnsi"/>
          <w:color w:val="auto"/>
        </w:rPr>
        <w:t xml:space="preserve"> construct</w:t>
      </w:r>
      <w:r w:rsidRPr="00163B8D">
        <w:rPr>
          <w:rFonts w:asciiTheme="minorHAnsi" w:hAnsiTheme="minorHAnsi" w:cstheme="minorHAnsi"/>
          <w:color w:val="auto"/>
        </w:rPr>
        <w:t xml:space="preserve"> expression from </w:t>
      </w:r>
      <w:r w:rsidR="003732B9" w:rsidRPr="00163B8D">
        <w:rPr>
          <w:rFonts w:asciiTheme="minorHAnsi" w:hAnsiTheme="minorHAnsi" w:cstheme="minorHAnsi"/>
          <w:color w:val="auto"/>
        </w:rPr>
        <w:t>that</w:t>
      </w:r>
      <w:r w:rsidRPr="00163B8D">
        <w:rPr>
          <w:rFonts w:asciiTheme="minorHAnsi" w:hAnsiTheme="minorHAnsi" w:cstheme="minorHAnsi"/>
          <w:color w:val="auto"/>
        </w:rPr>
        <w:t xml:space="preserve"> of endogenous mRNAs. Using a modified ΔΔ</w:t>
      </w:r>
      <w:r w:rsidR="00DB731E" w:rsidRPr="00163B8D">
        <w:rPr>
          <w:rFonts w:asciiTheme="minorHAnsi" w:hAnsiTheme="minorHAnsi" w:cstheme="minorHAnsi"/>
          <w:color w:val="auto"/>
        </w:rPr>
        <w:t xml:space="preserve"> </w:t>
      </w:r>
      <w:r w:rsidRPr="00163B8D">
        <w:rPr>
          <w:color w:val="auto"/>
        </w:rPr>
        <w:t xml:space="preserve">quantification cycle </w:t>
      </w:r>
      <w:r w:rsidR="00740733">
        <w:rPr>
          <w:color w:val="auto"/>
        </w:rPr>
        <w:t>(</w:t>
      </w:r>
      <w:proofErr w:type="spellStart"/>
      <w:r w:rsidR="00740733">
        <w:rPr>
          <w:color w:val="auto"/>
        </w:rPr>
        <w:t>Cq</w:t>
      </w:r>
      <w:proofErr w:type="spellEnd"/>
      <w:r w:rsidR="00740733">
        <w:rPr>
          <w:color w:val="auto"/>
        </w:rPr>
        <w:t xml:space="preserve">) </w:t>
      </w:r>
      <w:r w:rsidR="00754EA9" w:rsidRPr="00163B8D">
        <w:rPr>
          <w:rFonts w:asciiTheme="minorHAnsi" w:hAnsiTheme="minorHAnsi" w:cstheme="minorHAnsi"/>
          <w:color w:val="auto"/>
        </w:rPr>
        <w:t xml:space="preserve">method, the expression of the transcript </w:t>
      </w:r>
      <w:r w:rsidR="003732B9" w:rsidRPr="00163B8D">
        <w:rPr>
          <w:rFonts w:asciiTheme="minorHAnsi" w:hAnsiTheme="minorHAnsi" w:cstheme="minorHAnsi"/>
          <w:color w:val="auto"/>
        </w:rPr>
        <w:t xml:space="preserve">can </w:t>
      </w:r>
      <w:r w:rsidR="00754EA9" w:rsidRPr="00163B8D">
        <w:rPr>
          <w:rFonts w:asciiTheme="minorHAnsi" w:hAnsiTheme="minorHAnsi" w:cstheme="minorHAnsi"/>
          <w:color w:val="auto"/>
        </w:rPr>
        <w:t xml:space="preserve">then </w:t>
      </w:r>
      <w:r w:rsidR="003732B9" w:rsidRPr="00163B8D">
        <w:rPr>
          <w:rFonts w:asciiTheme="minorHAnsi" w:hAnsiTheme="minorHAnsi" w:cstheme="minorHAnsi"/>
          <w:color w:val="auto"/>
        </w:rPr>
        <w:t xml:space="preserve">be </w:t>
      </w:r>
      <w:r w:rsidR="00754EA9" w:rsidRPr="00163B8D">
        <w:rPr>
          <w:rFonts w:asciiTheme="minorHAnsi" w:hAnsiTheme="minorHAnsi" w:cstheme="minorHAnsi"/>
          <w:color w:val="auto"/>
        </w:rPr>
        <w:t xml:space="preserve">quantified at different time intervals to measure its half-life. Our data demonstrate the efficiency of this novel approach </w:t>
      </w:r>
      <w:r w:rsidR="00C6676C" w:rsidRPr="00163B8D">
        <w:rPr>
          <w:rFonts w:asciiTheme="minorHAnsi" w:hAnsiTheme="minorHAnsi" w:cstheme="minorHAnsi"/>
          <w:color w:val="auto"/>
        </w:rPr>
        <w:t xml:space="preserve">in </w:t>
      </w:r>
      <w:r w:rsidR="00AF43F7" w:rsidRPr="00163B8D">
        <w:rPr>
          <w:color w:val="auto"/>
        </w:rPr>
        <w:t>studying</w:t>
      </w:r>
      <w:r w:rsidR="00754EA9" w:rsidRPr="00163B8D">
        <w:rPr>
          <w:rFonts w:asciiTheme="minorHAnsi" w:hAnsiTheme="minorHAnsi" w:cstheme="minorHAnsi"/>
          <w:color w:val="auto"/>
        </w:rPr>
        <w:t xml:space="preserve"> </w:t>
      </w:r>
      <w:r w:rsidR="00AF43F7" w:rsidRPr="00163B8D">
        <w:rPr>
          <w:rFonts w:asciiTheme="minorHAnsi" w:hAnsiTheme="minorHAnsi" w:cstheme="minorHAnsi"/>
          <w:color w:val="auto"/>
        </w:rPr>
        <w:t>postt</w:t>
      </w:r>
      <w:r w:rsidR="00754EA9" w:rsidRPr="00163B8D">
        <w:rPr>
          <w:rFonts w:asciiTheme="minorHAnsi" w:hAnsiTheme="minorHAnsi" w:cstheme="minorHAnsi"/>
          <w:color w:val="auto"/>
        </w:rPr>
        <w:t>ranscriptional regulation in various pathophysiological conditions in primary alveolar epithelial cells.</w:t>
      </w:r>
    </w:p>
    <w:p w14:paraId="003CCCF9" w14:textId="77777777" w:rsidR="006305D7" w:rsidRPr="00AF43F7" w:rsidRDefault="006305D7" w:rsidP="00407434">
      <w:pPr>
        <w:rPr>
          <w:rFonts w:asciiTheme="minorHAnsi" w:hAnsiTheme="minorHAnsi" w:cstheme="minorHAnsi"/>
        </w:rPr>
      </w:pPr>
    </w:p>
    <w:p w14:paraId="37901718" w14:textId="7A4C4D68" w:rsidR="006305D7" w:rsidRPr="00163B8D" w:rsidRDefault="00AF43F7" w:rsidP="00407434">
      <w:pPr>
        <w:rPr>
          <w:rFonts w:asciiTheme="minorHAnsi" w:hAnsiTheme="minorHAnsi" w:cstheme="minorHAnsi"/>
          <w:color w:val="auto"/>
        </w:rPr>
      </w:pPr>
      <w:r w:rsidRPr="00163B8D">
        <w:rPr>
          <w:rFonts w:asciiTheme="minorHAnsi" w:hAnsiTheme="minorHAnsi" w:cstheme="minorHAnsi"/>
          <w:b/>
          <w:bCs/>
          <w:color w:val="auto"/>
        </w:rPr>
        <w:t>INTRODUCTION:</w:t>
      </w:r>
    </w:p>
    <w:p w14:paraId="2DD2B4C2" w14:textId="3582EBC6" w:rsidR="00681FBF" w:rsidRDefault="00871D7B" w:rsidP="00407434">
      <w:pPr>
        <w:rPr>
          <w:rFonts w:asciiTheme="minorHAnsi" w:hAnsiTheme="minorHAnsi" w:cstheme="minorHAnsi"/>
          <w:color w:val="auto"/>
        </w:rPr>
      </w:pPr>
      <w:r w:rsidRPr="00163B8D">
        <w:rPr>
          <w:rFonts w:asciiTheme="minorHAnsi" w:hAnsiTheme="minorHAnsi" w:cstheme="minorHAnsi"/>
          <w:color w:val="auto"/>
        </w:rPr>
        <w:t xml:space="preserve">Several techniques have been developed to determine the half-life of mRNAs. </w:t>
      </w:r>
      <w:r w:rsidR="003732B9" w:rsidRPr="00163B8D">
        <w:rPr>
          <w:rFonts w:asciiTheme="minorHAnsi" w:hAnsiTheme="minorHAnsi" w:cstheme="minorHAnsi"/>
          <w:color w:val="auto"/>
        </w:rPr>
        <w:t>The p</w:t>
      </w:r>
      <w:r w:rsidRPr="00163B8D">
        <w:rPr>
          <w:rFonts w:asciiTheme="minorHAnsi" w:hAnsiTheme="minorHAnsi" w:cstheme="minorHAnsi"/>
          <w:color w:val="auto"/>
        </w:rPr>
        <w:t>ulse</w:t>
      </w:r>
      <w:r w:rsidR="003732B9" w:rsidRPr="00163B8D">
        <w:rPr>
          <w:rFonts w:asciiTheme="minorHAnsi" w:hAnsiTheme="minorHAnsi" w:cstheme="minorHAnsi"/>
          <w:color w:val="auto"/>
        </w:rPr>
        <w:t>-</w:t>
      </w:r>
      <w:r w:rsidRPr="00163B8D">
        <w:rPr>
          <w:rFonts w:asciiTheme="minorHAnsi" w:hAnsiTheme="minorHAnsi" w:cstheme="minorHAnsi"/>
          <w:color w:val="auto"/>
        </w:rPr>
        <w:t xml:space="preserve">chase decay </w:t>
      </w:r>
      <w:r w:rsidR="003732B9" w:rsidRPr="00163B8D">
        <w:rPr>
          <w:rFonts w:asciiTheme="minorHAnsi" w:hAnsiTheme="minorHAnsi" w:cstheme="minorHAnsi"/>
          <w:color w:val="auto"/>
        </w:rPr>
        <w:t xml:space="preserve">technique, which utilizes </w:t>
      </w:r>
      <w:r w:rsidR="00AF43F7" w:rsidRPr="00163B8D">
        <w:rPr>
          <w:rFonts w:asciiTheme="minorHAnsi" w:hAnsiTheme="minorHAnsi" w:cstheme="minorHAnsi"/>
          <w:color w:val="auto"/>
        </w:rPr>
        <w:t>label</w:t>
      </w:r>
      <w:r w:rsidRPr="00163B8D">
        <w:rPr>
          <w:rFonts w:asciiTheme="minorHAnsi" w:hAnsiTheme="minorHAnsi" w:cstheme="minorHAnsi"/>
          <w:color w:val="auto"/>
        </w:rPr>
        <w:t>ed mRNA</w:t>
      </w:r>
      <w:r w:rsidR="003732B9" w:rsidRPr="00163B8D">
        <w:rPr>
          <w:rFonts w:asciiTheme="minorHAnsi" w:hAnsiTheme="minorHAnsi" w:cstheme="minorHAnsi"/>
          <w:color w:val="auto"/>
        </w:rPr>
        <w:t>s,</w:t>
      </w:r>
      <w:r w:rsidRPr="00163B8D">
        <w:rPr>
          <w:rFonts w:asciiTheme="minorHAnsi" w:hAnsiTheme="minorHAnsi" w:cstheme="minorHAnsi"/>
          <w:color w:val="auto"/>
        </w:rPr>
        <w:t xml:space="preserve"> allows </w:t>
      </w:r>
      <w:r w:rsidR="00B86FE7">
        <w:rPr>
          <w:rFonts w:asciiTheme="minorHAnsi" w:hAnsiTheme="minorHAnsi" w:cstheme="minorHAnsi"/>
          <w:color w:val="auto"/>
        </w:rPr>
        <w:t xml:space="preserve">for </w:t>
      </w:r>
      <w:r w:rsidRPr="00163B8D">
        <w:rPr>
          <w:rFonts w:asciiTheme="minorHAnsi" w:hAnsiTheme="minorHAnsi" w:cstheme="minorHAnsi"/>
          <w:color w:val="auto"/>
        </w:rPr>
        <w:t xml:space="preserve">the simultaneous evaluation of a large pool of mRNAs with minimal cellular disturbance. However, this approach does not allow a direct estimation </w:t>
      </w:r>
      <w:r w:rsidR="00AF43F7" w:rsidRPr="00163B8D">
        <w:rPr>
          <w:color w:val="auto"/>
        </w:rPr>
        <w:t>of</w:t>
      </w:r>
      <w:r w:rsidRPr="00163B8D">
        <w:rPr>
          <w:rFonts w:asciiTheme="minorHAnsi" w:hAnsiTheme="minorHAnsi" w:cstheme="minorHAnsi"/>
          <w:color w:val="auto"/>
        </w:rPr>
        <w:t xml:space="preserve"> the half-life of a single gene transcript and cannot be implemented to study the </w:t>
      </w:r>
      <w:r w:rsidR="00AF43F7" w:rsidRPr="00163B8D">
        <w:rPr>
          <w:rFonts w:asciiTheme="minorHAnsi" w:hAnsiTheme="minorHAnsi" w:cstheme="minorHAnsi"/>
          <w:color w:val="auto"/>
        </w:rPr>
        <w:t>postt</w:t>
      </w:r>
      <w:r w:rsidRPr="00163B8D">
        <w:rPr>
          <w:rFonts w:asciiTheme="minorHAnsi" w:hAnsiTheme="minorHAnsi" w:cstheme="minorHAnsi"/>
          <w:color w:val="auto"/>
        </w:rPr>
        <w:t>ranscriptional modulation</w:t>
      </w:r>
      <w:r w:rsidR="003732B9" w:rsidRPr="00163B8D">
        <w:rPr>
          <w:rFonts w:asciiTheme="minorHAnsi" w:hAnsiTheme="minorHAnsi" w:cstheme="minorHAnsi"/>
          <w:color w:val="auto"/>
        </w:rPr>
        <w:t xml:space="preserve"> of</w:t>
      </w:r>
      <w:r w:rsidRPr="00163B8D">
        <w:rPr>
          <w:rFonts w:asciiTheme="minorHAnsi" w:hAnsiTheme="minorHAnsi" w:cstheme="minorHAnsi"/>
          <w:color w:val="auto"/>
        </w:rPr>
        <w:t xml:space="preserve"> </w:t>
      </w:r>
      <w:r w:rsidR="003732B9" w:rsidRPr="00163B8D">
        <w:rPr>
          <w:rFonts w:asciiTheme="minorHAnsi" w:hAnsiTheme="minorHAnsi" w:cstheme="minorHAnsi"/>
          <w:color w:val="auto"/>
        </w:rPr>
        <w:t xml:space="preserve">an mRNA </w:t>
      </w:r>
      <w:r w:rsidRPr="00163B8D">
        <w:rPr>
          <w:rFonts w:asciiTheme="minorHAnsi" w:hAnsiTheme="minorHAnsi" w:cstheme="minorHAnsi"/>
          <w:color w:val="auto"/>
        </w:rPr>
        <w:t>following stimul</w:t>
      </w:r>
      <w:r w:rsidR="003732B9" w:rsidRPr="00163B8D">
        <w:rPr>
          <w:rFonts w:asciiTheme="minorHAnsi" w:hAnsiTheme="minorHAnsi" w:cstheme="minorHAnsi"/>
          <w:color w:val="auto"/>
        </w:rPr>
        <w:t>ation with</w:t>
      </w:r>
      <w:r w:rsidRPr="00163B8D">
        <w:rPr>
          <w:rFonts w:asciiTheme="minorHAnsi" w:hAnsiTheme="minorHAnsi" w:cstheme="minorHAnsi"/>
          <w:color w:val="auto"/>
        </w:rPr>
        <w:t xml:space="preserve"> growth factors, ROS, alarmin</w:t>
      </w:r>
      <w:r w:rsidR="003732B9" w:rsidRPr="00163B8D">
        <w:rPr>
          <w:rFonts w:asciiTheme="minorHAnsi" w:hAnsiTheme="minorHAnsi" w:cstheme="minorHAnsi"/>
          <w:color w:val="auto"/>
        </w:rPr>
        <w:t>s</w:t>
      </w:r>
      <w:r w:rsidR="00B86FE7">
        <w:rPr>
          <w:rFonts w:asciiTheme="minorHAnsi" w:hAnsiTheme="minorHAnsi" w:cstheme="minorHAnsi"/>
          <w:color w:val="auto"/>
        </w:rPr>
        <w:t>,</w:t>
      </w:r>
      <w:r w:rsidRPr="00163B8D">
        <w:rPr>
          <w:rFonts w:asciiTheme="minorHAnsi" w:hAnsiTheme="minorHAnsi" w:cstheme="minorHAnsi"/>
          <w:color w:val="auto"/>
        </w:rPr>
        <w:t xml:space="preserve"> or inflammation</w:t>
      </w:r>
      <w:r w:rsidR="009C472A" w:rsidRPr="00163B8D">
        <w:rPr>
          <w:rFonts w:asciiTheme="minorHAnsi" w:hAnsiTheme="minorHAnsi" w:cstheme="minorHAnsi"/>
          <w:color w:val="auto"/>
          <w:vertAlign w:val="superscript"/>
        </w:rPr>
        <w:t>1</w:t>
      </w:r>
      <w:r w:rsidR="00AF43F7" w:rsidRPr="00163B8D">
        <w:rPr>
          <w:rFonts w:asciiTheme="minorHAnsi" w:hAnsiTheme="minorHAnsi" w:cstheme="minorHAnsi"/>
          <w:color w:val="auto"/>
        </w:rPr>
        <w:t>.</w:t>
      </w:r>
    </w:p>
    <w:p w14:paraId="2DE2CBF8" w14:textId="77777777" w:rsidR="00407434" w:rsidRPr="00163B8D" w:rsidRDefault="00407434" w:rsidP="00407434">
      <w:pPr>
        <w:rPr>
          <w:rFonts w:asciiTheme="minorHAnsi" w:hAnsiTheme="minorHAnsi" w:cstheme="minorHAnsi"/>
          <w:color w:val="auto"/>
        </w:rPr>
      </w:pPr>
    </w:p>
    <w:p w14:paraId="07E88284" w14:textId="5026214F" w:rsidR="00681FBF" w:rsidRDefault="00F23CE0" w:rsidP="00407434">
      <w:pPr>
        <w:rPr>
          <w:rFonts w:asciiTheme="minorHAnsi" w:hAnsiTheme="minorHAnsi" w:cstheme="minorHAnsi"/>
          <w:color w:val="auto"/>
        </w:rPr>
      </w:pPr>
      <w:r w:rsidRPr="00163B8D">
        <w:rPr>
          <w:rFonts w:asciiTheme="minorHAnsi" w:hAnsiTheme="minorHAnsi" w:cstheme="minorHAnsi"/>
          <w:color w:val="auto"/>
        </w:rPr>
        <w:t xml:space="preserve">The use of transcription inhibitors, </w:t>
      </w:r>
      <w:r w:rsidR="00AF43F7" w:rsidRPr="00163B8D">
        <w:rPr>
          <w:color w:val="auto"/>
        </w:rPr>
        <w:t>such as</w:t>
      </w:r>
      <w:r w:rsidRPr="00163B8D">
        <w:rPr>
          <w:rFonts w:asciiTheme="minorHAnsi" w:hAnsiTheme="minorHAnsi" w:cstheme="minorHAnsi"/>
          <w:color w:val="auto"/>
        </w:rPr>
        <w:t xml:space="preserve"> actinomycin D and α-amanitin, is a relatively simple method for measuring mRNA degradation kinetics</w:t>
      </w:r>
      <w:r w:rsidR="00AF43F7" w:rsidRPr="00163B8D">
        <w:rPr>
          <w:color w:val="auto"/>
        </w:rPr>
        <w:t xml:space="preserve"> over time</w:t>
      </w:r>
      <w:r w:rsidRPr="00163B8D">
        <w:rPr>
          <w:rFonts w:asciiTheme="minorHAnsi" w:hAnsiTheme="minorHAnsi" w:cstheme="minorHAnsi"/>
          <w:color w:val="auto"/>
        </w:rPr>
        <w:t xml:space="preserve">. One main advantage of this approach over </w:t>
      </w:r>
      <w:r w:rsidR="003732B9" w:rsidRPr="00163B8D">
        <w:rPr>
          <w:rFonts w:asciiTheme="minorHAnsi" w:hAnsiTheme="minorHAnsi" w:cstheme="minorHAnsi"/>
          <w:color w:val="auto"/>
        </w:rPr>
        <w:t xml:space="preserve">that of </w:t>
      </w:r>
      <w:r w:rsidRPr="00163B8D">
        <w:rPr>
          <w:rFonts w:asciiTheme="minorHAnsi" w:hAnsiTheme="minorHAnsi" w:cstheme="minorHAnsi"/>
          <w:color w:val="auto"/>
        </w:rPr>
        <w:t>previous technique</w:t>
      </w:r>
      <w:r w:rsidR="003732B9" w:rsidRPr="00163B8D">
        <w:rPr>
          <w:rFonts w:asciiTheme="minorHAnsi" w:hAnsiTheme="minorHAnsi" w:cstheme="minorHAnsi"/>
          <w:color w:val="auto"/>
        </w:rPr>
        <w:t>s</w:t>
      </w:r>
      <w:r w:rsidRPr="00163B8D">
        <w:rPr>
          <w:rFonts w:asciiTheme="minorHAnsi" w:hAnsiTheme="minorHAnsi" w:cstheme="minorHAnsi"/>
          <w:color w:val="auto"/>
        </w:rPr>
        <w:t xml:space="preserve">, </w:t>
      </w:r>
      <w:r w:rsidR="00B86FE7">
        <w:rPr>
          <w:rFonts w:asciiTheme="minorHAnsi" w:hAnsiTheme="minorHAnsi" w:cstheme="minorHAnsi"/>
          <w:color w:val="auto"/>
        </w:rPr>
        <w:t>(</w:t>
      </w:r>
      <w:r w:rsidR="00B86FE7" w:rsidRPr="00B86FE7">
        <w:rPr>
          <w:rFonts w:asciiTheme="minorHAnsi" w:hAnsiTheme="minorHAnsi" w:cstheme="minorHAnsi"/>
          <w:iCs/>
          <w:color w:val="auto"/>
        </w:rPr>
        <w:t>i.e.</w:t>
      </w:r>
      <w:r w:rsidR="00AF43F7" w:rsidRPr="00163B8D">
        <w:rPr>
          <w:rFonts w:asciiTheme="minorHAnsi" w:hAnsiTheme="minorHAnsi" w:cstheme="minorHAnsi"/>
          <w:i/>
          <w:iCs/>
          <w:color w:val="auto"/>
        </w:rPr>
        <w:t xml:space="preserve">, </w:t>
      </w:r>
      <w:r w:rsidR="00C84E50" w:rsidRPr="00163B8D">
        <w:rPr>
          <w:rFonts w:asciiTheme="minorHAnsi" w:hAnsiTheme="minorHAnsi" w:cstheme="minorHAnsi"/>
          <w:color w:val="auto"/>
        </w:rPr>
        <w:t>pulse</w:t>
      </w:r>
      <w:r w:rsidR="003732B9" w:rsidRPr="00163B8D">
        <w:rPr>
          <w:rFonts w:asciiTheme="minorHAnsi" w:hAnsiTheme="minorHAnsi" w:cstheme="minorHAnsi"/>
          <w:color w:val="auto"/>
        </w:rPr>
        <w:t>-</w:t>
      </w:r>
      <w:r w:rsidR="00C84E50" w:rsidRPr="00163B8D">
        <w:rPr>
          <w:rFonts w:asciiTheme="minorHAnsi" w:hAnsiTheme="minorHAnsi" w:cstheme="minorHAnsi"/>
          <w:color w:val="auto"/>
        </w:rPr>
        <w:t>chase</w:t>
      </w:r>
      <w:r w:rsidR="00112829">
        <w:rPr>
          <w:rFonts w:asciiTheme="minorHAnsi" w:hAnsiTheme="minorHAnsi" w:cstheme="minorHAnsi"/>
          <w:color w:val="auto"/>
        </w:rPr>
        <w:t>)</w:t>
      </w:r>
      <w:r w:rsidR="00C84E50" w:rsidRPr="00163B8D">
        <w:rPr>
          <w:rFonts w:asciiTheme="minorHAnsi" w:hAnsiTheme="minorHAnsi" w:cstheme="minorHAnsi"/>
          <w:color w:val="auto"/>
        </w:rPr>
        <w:t xml:space="preserve"> relies on the ability to directly estimate the half-life of a given transcript and compare how different treatments could affect its degradation </w:t>
      </w:r>
      <w:r w:rsidR="00AF43F7" w:rsidRPr="00163B8D">
        <w:rPr>
          <w:color w:val="auto"/>
        </w:rPr>
        <w:t>kinetics</w:t>
      </w:r>
      <w:r w:rsidR="00C84E50" w:rsidRPr="00163B8D">
        <w:rPr>
          <w:rFonts w:asciiTheme="minorHAnsi" w:hAnsiTheme="minorHAnsi" w:cstheme="minorHAnsi"/>
          <w:color w:val="auto"/>
        </w:rPr>
        <w:t xml:space="preserve">. However, the significant deleterious impact of transcription inhibitors on cell physiology represents </w:t>
      </w:r>
      <w:r w:rsidR="003732B9" w:rsidRPr="00163B8D">
        <w:rPr>
          <w:rFonts w:asciiTheme="minorHAnsi" w:hAnsiTheme="minorHAnsi" w:cstheme="minorHAnsi"/>
          <w:color w:val="auto"/>
        </w:rPr>
        <w:t xml:space="preserve">a </w:t>
      </w:r>
      <w:r w:rsidR="00C84E50" w:rsidRPr="00163B8D">
        <w:rPr>
          <w:rFonts w:asciiTheme="minorHAnsi" w:hAnsiTheme="minorHAnsi" w:cstheme="minorHAnsi"/>
          <w:color w:val="auto"/>
        </w:rPr>
        <w:t>major drawback of the approach</w:t>
      </w:r>
      <w:r w:rsidR="009C472A" w:rsidRPr="00163B8D">
        <w:rPr>
          <w:rFonts w:asciiTheme="minorHAnsi" w:hAnsiTheme="minorHAnsi" w:cstheme="minorHAnsi"/>
          <w:color w:val="auto"/>
          <w:vertAlign w:val="superscript"/>
        </w:rPr>
        <w:t>2</w:t>
      </w:r>
      <w:r w:rsidR="00AF43F7" w:rsidRPr="00163B8D">
        <w:rPr>
          <w:rFonts w:asciiTheme="minorHAnsi" w:hAnsiTheme="minorHAnsi" w:cstheme="minorHAnsi"/>
          <w:color w:val="auto"/>
        </w:rPr>
        <w:t xml:space="preserve">. Indeed, </w:t>
      </w:r>
      <w:r w:rsidR="003732B9" w:rsidRPr="00163B8D">
        <w:rPr>
          <w:rFonts w:asciiTheme="minorHAnsi" w:hAnsiTheme="minorHAnsi" w:cstheme="minorHAnsi"/>
          <w:color w:val="auto"/>
        </w:rPr>
        <w:t xml:space="preserve">the </w:t>
      </w:r>
      <w:r w:rsidR="00AF43F7" w:rsidRPr="00163B8D">
        <w:rPr>
          <w:rFonts w:asciiTheme="minorHAnsi" w:hAnsiTheme="minorHAnsi" w:cstheme="minorHAnsi"/>
          <w:color w:val="auto"/>
        </w:rPr>
        <w:t>inhibition of the whole cell transcriptome with these drugs has the negative side</w:t>
      </w:r>
      <w:r w:rsidR="00B86FE7">
        <w:rPr>
          <w:rFonts w:asciiTheme="minorHAnsi" w:hAnsiTheme="minorHAnsi" w:cstheme="minorHAnsi"/>
          <w:color w:val="auto"/>
        </w:rPr>
        <w:t xml:space="preserve"> </w:t>
      </w:r>
      <w:r w:rsidR="00AF43F7" w:rsidRPr="00163B8D">
        <w:rPr>
          <w:rFonts w:asciiTheme="minorHAnsi" w:hAnsiTheme="minorHAnsi" w:cstheme="minorHAnsi"/>
          <w:color w:val="auto"/>
        </w:rPr>
        <w:t>effect of perturbing the synthesis of key elements in</w:t>
      </w:r>
      <w:r w:rsidR="003732B9" w:rsidRPr="00163B8D">
        <w:rPr>
          <w:rFonts w:asciiTheme="minorHAnsi" w:hAnsiTheme="minorHAnsi" w:cstheme="minorHAnsi"/>
          <w:color w:val="auto"/>
        </w:rPr>
        <w:t>volved in</w:t>
      </w:r>
      <w:r w:rsidR="00AF43F7" w:rsidRPr="00163B8D">
        <w:rPr>
          <w:rFonts w:asciiTheme="minorHAnsi" w:hAnsiTheme="minorHAnsi" w:cstheme="minorHAnsi"/>
          <w:color w:val="auto"/>
        </w:rPr>
        <w:t xml:space="preserve"> mRNA stability</w:t>
      </w:r>
      <w:r w:rsidR="00D26545">
        <w:rPr>
          <w:rFonts w:asciiTheme="minorHAnsi" w:hAnsiTheme="minorHAnsi" w:cstheme="minorHAnsi"/>
          <w:color w:val="auto"/>
        </w:rPr>
        <w:t>,</w:t>
      </w:r>
      <w:r w:rsidR="00AF43F7" w:rsidRPr="00163B8D">
        <w:rPr>
          <w:rFonts w:asciiTheme="minorHAnsi" w:hAnsiTheme="minorHAnsi" w:cstheme="minorHAnsi"/>
          <w:color w:val="auto"/>
        </w:rPr>
        <w:t xml:space="preserve"> such as microRNAs (miRNAs)</w:t>
      </w:r>
      <w:r w:rsidR="00D26545">
        <w:rPr>
          <w:rFonts w:asciiTheme="minorHAnsi" w:hAnsiTheme="minorHAnsi" w:cstheme="minorHAnsi"/>
          <w:color w:val="auto"/>
        </w:rPr>
        <w:t>,</w:t>
      </w:r>
      <w:r w:rsidR="00AF43F7" w:rsidRPr="00163B8D">
        <w:rPr>
          <w:rFonts w:asciiTheme="minorHAnsi" w:hAnsiTheme="minorHAnsi" w:cstheme="minorHAnsi"/>
          <w:color w:val="auto"/>
        </w:rPr>
        <w:t xml:space="preserve"> as well as </w:t>
      </w:r>
      <w:r w:rsidR="003732B9" w:rsidRPr="00163B8D">
        <w:rPr>
          <w:rFonts w:asciiTheme="minorHAnsi" w:hAnsiTheme="minorHAnsi" w:cstheme="minorHAnsi"/>
          <w:color w:val="auto"/>
        </w:rPr>
        <w:t xml:space="preserve">the </w:t>
      </w:r>
      <w:r w:rsidR="00AF43F7" w:rsidRPr="00163B8D">
        <w:rPr>
          <w:rFonts w:asciiTheme="minorHAnsi" w:hAnsiTheme="minorHAnsi" w:cstheme="minorHAnsi"/>
          <w:color w:val="auto"/>
        </w:rPr>
        <w:t>expression and synthesis of RNA-binding proteins</w:t>
      </w:r>
      <w:r w:rsidR="00D26545">
        <w:rPr>
          <w:rFonts w:asciiTheme="minorHAnsi" w:hAnsiTheme="minorHAnsi" w:cstheme="minorHAnsi"/>
          <w:color w:val="auto"/>
        </w:rPr>
        <w:t xml:space="preserve">, </w:t>
      </w:r>
      <w:r w:rsidR="00AF43F7" w:rsidRPr="00163B8D">
        <w:rPr>
          <w:rFonts w:asciiTheme="minorHAnsi" w:hAnsiTheme="minorHAnsi" w:cstheme="minorHAnsi"/>
          <w:color w:val="auto"/>
        </w:rPr>
        <w:t xml:space="preserve">which are important for mRNA degradation </w:t>
      </w:r>
      <w:r w:rsidR="003732B9" w:rsidRPr="00163B8D">
        <w:rPr>
          <w:rFonts w:asciiTheme="minorHAnsi" w:hAnsiTheme="minorHAnsi" w:cstheme="minorHAnsi"/>
          <w:color w:val="auto"/>
        </w:rPr>
        <w:t xml:space="preserve">and </w:t>
      </w:r>
      <w:r w:rsidR="00AF43F7" w:rsidRPr="00163B8D">
        <w:rPr>
          <w:rFonts w:asciiTheme="minorHAnsi" w:hAnsiTheme="minorHAnsi" w:cstheme="minorHAnsi"/>
          <w:color w:val="auto"/>
        </w:rPr>
        <w:t xml:space="preserve">stability. The severe perturbation of gene transcription by these drugs could therefore </w:t>
      </w:r>
      <w:r w:rsidR="00AF43F7" w:rsidRPr="00112829">
        <w:rPr>
          <w:rFonts w:asciiTheme="minorHAnsi" w:hAnsiTheme="minorHAnsi" w:cstheme="minorHAnsi"/>
          <w:color w:val="auto"/>
        </w:rPr>
        <w:t>artefactually</w:t>
      </w:r>
      <w:r w:rsidR="00AF43F7" w:rsidRPr="00163B8D">
        <w:rPr>
          <w:rFonts w:asciiTheme="minorHAnsi" w:hAnsiTheme="minorHAnsi" w:cstheme="minorHAnsi"/>
          <w:color w:val="auto"/>
        </w:rPr>
        <w:t xml:space="preserve"> modify the degradation curves of transcripts.</w:t>
      </w:r>
    </w:p>
    <w:p w14:paraId="1D1F51E4" w14:textId="77777777" w:rsidR="00407434" w:rsidRPr="00163B8D" w:rsidRDefault="00407434" w:rsidP="00407434">
      <w:pPr>
        <w:rPr>
          <w:rFonts w:asciiTheme="minorHAnsi" w:hAnsiTheme="minorHAnsi" w:cstheme="minorHAnsi"/>
          <w:color w:val="auto"/>
        </w:rPr>
      </w:pPr>
    </w:p>
    <w:p w14:paraId="7DE3AF48" w14:textId="01C6A07D" w:rsidR="00681FBF" w:rsidRPr="00163B8D" w:rsidRDefault="00AF43F7" w:rsidP="00407434">
      <w:pPr>
        <w:rPr>
          <w:rFonts w:asciiTheme="minorHAnsi" w:hAnsiTheme="minorHAnsi" w:cstheme="minorHAnsi"/>
          <w:color w:val="auto"/>
        </w:rPr>
      </w:pPr>
      <w:r w:rsidRPr="00163B8D">
        <w:rPr>
          <w:color w:val="auto"/>
        </w:rPr>
        <w:t>The promoter</w:t>
      </w:r>
      <w:r w:rsidRPr="00163B8D">
        <w:rPr>
          <w:rFonts w:asciiTheme="minorHAnsi" w:hAnsiTheme="minorHAnsi" w:cstheme="minorHAnsi"/>
          <w:color w:val="auto"/>
        </w:rPr>
        <w:t xml:space="preserve"> induction system represents a third approach to measure the half-life of a specific mRNA. This method measures the degradation of a specific mRNA in a similar way as </w:t>
      </w:r>
      <w:r w:rsidR="003732B9" w:rsidRPr="00163B8D">
        <w:rPr>
          <w:rFonts w:asciiTheme="minorHAnsi" w:hAnsiTheme="minorHAnsi" w:cstheme="minorHAnsi"/>
          <w:color w:val="auto"/>
        </w:rPr>
        <w:t xml:space="preserve">methods that use </w:t>
      </w:r>
      <w:r w:rsidRPr="00163B8D">
        <w:rPr>
          <w:rFonts w:asciiTheme="minorHAnsi" w:hAnsiTheme="minorHAnsi" w:cstheme="minorHAnsi"/>
          <w:color w:val="auto"/>
        </w:rPr>
        <w:t>transcription inhibitors. Two types of induction systems are frequently used</w:t>
      </w:r>
      <w:r w:rsidRPr="00163B8D">
        <w:rPr>
          <w:color w:val="auto"/>
        </w:rPr>
        <w:t>:</w:t>
      </w:r>
      <w:r w:rsidRPr="00163B8D">
        <w:rPr>
          <w:rFonts w:asciiTheme="minorHAnsi" w:hAnsiTheme="minorHAnsi" w:cstheme="minorHAnsi"/>
          <w:color w:val="auto"/>
        </w:rPr>
        <w:t xml:space="preserve"> the serum-induced c-</w:t>
      </w:r>
      <w:proofErr w:type="spellStart"/>
      <w:r w:rsidRPr="00163B8D">
        <w:rPr>
          <w:rFonts w:asciiTheme="minorHAnsi" w:hAnsiTheme="minorHAnsi" w:cstheme="minorHAnsi"/>
          <w:color w:val="auto"/>
        </w:rPr>
        <w:t>fos</w:t>
      </w:r>
      <w:proofErr w:type="spellEnd"/>
      <w:r w:rsidRPr="00163B8D">
        <w:rPr>
          <w:rFonts w:asciiTheme="minorHAnsi" w:hAnsiTheme="minorHAnsi" w:cstheme="minorHAnsi"/>
          <w:color w:val="auto"/>
        </w:rPr>
        <w:t xml:space="preserve"> promoter</w:t>
      </w:r>
      <w:r w:rsidR="009C472A" w:rsidRPr="00163B8D">
        <w:rPr>
          <w:rFonts w:asciiTheme="minorHAnsi" w:hAnsiTheme="minorHAnsi" w:cstheme="minorHAnsi"/>
          <w:color w:val="auto"/>
          <w:vertAlign w:val="superscript"/>
        </w:rPr>
        <w:t>3</w:t>
      </w:r>
      <w:r w:rsidRPr="00163B8D">
        <w:rPr>
          <w:rFonts w:asciiTheme="minorHAnsi" w:hAnsiTheme="minorHAnsi" w:cstheme="minorHAnsi"/>
          <w:color w:val="auto"/>
        </w:rPr>
        <w:t xml:space="preserve"> and the Tet-Off inducible system</w:t>
      </w:r>
      <w:r w:rsidR="009C472A" w:rsidRPr="00163B8D">
        <w:rPr>
          <w:rFonts w:asciiTheme="minorHAnsi" w:hAnsiTheme="minorHAnsi" w:cstheme="minorHAnsi"/>
          <w:color w:val="auto"/>
          <w:vertAlign w:val="superscript"/>
        </w:rPr>
        <w:t>4</w:t>
      </w:r>
      <w:r w:rsidRPr="00163B8D">
        <w:rPr>
          <w:rFonts w:asciiTheme="minorHAnsi" w:hAnsiTheme="minorHAnsi" w:cstheme="minorHAnsi"/>
          <w:color w:val="auto"/>
        </w:rPr>
        <w:t>. With the c-</w:t>
      </w:r>
      <w:proofErr w:type="spellStart"/>
      <w:r w:rsidRPr="00163B8D">
        <w:rPr>
          <w:rFonts w:asciiTheme="minorHAnsi" w:hAnsiTheme="minorHAnsi" w:cstheme="minorHAnsi"/>
          <w:color w:val="auto"/>
        </w:rPr>
        <w:t>fos</w:t>
      </w:r>
      <w:proofErr w:type="spellEnd"/>
      <w:r w:rsidRPr="00163B8D">
        <w:rPr>
          <w:rFonts w:asciiTheme="minorHAnsi" w:hAnsiTheme="minorHAnsi" w:cstheme="minorHAnsi"/>
          <w:color w:val="auto"/>
        </w:rPr>
        <w:t xml:space="preserve"> system, the use of transcription inhibitors that can be toxic to the cell is not needed. However, this method requires cell cycle synchronization, which prevents the evaluation of the actual stability of a transcript during interphase</w:t>
      </w:r>
      <w:r w:rsidR="009C472A" w:rsidRPr="00163B8D">
        <w:rPr>
          <w:rFonts w:asciiTheme="minorHAnsi" w:hAnsiTheme="minorHAnsi" w:cstheme="minorHAnsi"/>
          <w:color w:val="auto"/>
          <w:vertAlign w:val="superscript"/>
        </w:rPr>
        <w:t>5</w:t>
      </w:r>
      <w:r w:rsidRPr="00163B8D">
        <w:rPr>
          <w:rFonts w:asciiTheme="minorHAnsi" w:hAnsiTheme="minorHAnsi" w:cstheme="minorHAnsi"/>
          <w:color w:val="auto"/>
        </w:rPr>
        <w:t xml:space="preserve">. </w:t>
      </w:r>
      <w:r w:rsidR="00777133" w:rsidRPr="00163B8D">
        <w:rPr>
          <w:color w:val="auto"/>
        </w:rPr>
        <w:t xml:space="preserve">In contrast, the Tet-Off system allows </w:t>
      </w:r>
      <w:r w:rsidR="00CA4C71" w:rsidRPr="00163B8D">
        <w:rPr>
          <w:color w:val="auto"/>
        </w:rPr>
        <w:t xml:space="preserve">the </w:t>
      </w:r>
      <w:r w:rsidR="00777133" w:rsidRPr="00163B8D">
        <w:rPr>
          <w:color w:val="auto"/>
        </w:rPr>
        <w:t xml:space="preserve">strong expression of the </w:t>
      </w:r>
      <w:r w:rsidR="00717194" w:rsidRPr="00163B8D">
        <w:rPr>
          <w:rFonts w:asciiTheme="minorHAnsi" w:hAnsiTheme="minorHAnsi" w:cstheme="minorHAnsi"/>
          <w:color w:val="auto"/>
        </w:rPr>
        <w:t>gene of interest (</w:t>
      </w:r>
      <w:r w:rsidR="00B81CDF" w:rsidRPr="00163B8D">
        <w:rPr>
          <w:color w:val="auto"/>
        </w:rPr>
        <w:t>GOI) under the control of a synthetic tetracycline</w:t>
      </w:r>
      <w:r w:rsidRPr="00163B8D">
        <w:rPr>
          <w:color w:val="auto"/>
        </w:rPr>
        <w:t>-</w:t>
      </w:r>
      <w:r w:rsidR="00B81CDF" w:rsidRPr="00163B8D">
        <w:rPr>
          <w:color w:val="auto"/>
        </w:rPr>
        <w:t>regulated promoter. Th</w:t>
      </w:r>
      <w:r w:rsidR="00CA4C71" w:rsidRPr="00163B8D">
        <w:rPr>
          <w:color w:val="auto"/>
        </w:rPr>
        <w:t>is</w:t>
      </w:r>
      <w:r w:rsidR="00B81CDF" w:rsidRPr="00163B8D">
        <w:rPr>
          <w:color w:val="auto"/>
        </w:rPr>
        <w:t xml:space="preserve"> system </w:t>
      </w:r>
      <w:r w:rsidR="00CA4C71" w:rsidRPr="00163B8D">
        <w:rPr>
          <w:color w:val="auto"/>
        </w:rPr>
        <w:t>requires</w:t>
      </w:r>
      <w:r w:rsidR="00B81CDF" w:rsidRPr="00163B8D">
        <w:rPr>
          <w:color w:val="auto"/>
        </w:rPr>
        <w:t xml:space="preserve"> </w:t>
      </w:r>
      <w:r w:rsidRPr="00163B8D">
        <w:rPr>
          <w:color w:val="auto"/>
        </w:rPr>
        <w:t xml:space="preserve">the </w:t>
      </w:r>
      <w:r w:rsidR="00B81CDF" w:rsidRPr="00163B8D">
        <w:rPr>
          <w:color w:val="auto"/>
        </w:rPr>
        <w:t xml:space="preserve">presence of two elements that must be </w:t>
      </w:r>
      <w:proofErr w:type="spellStart"/>
      <w:r w:rsidRPr="00163B8D">
        <w:rPr>
          <w:color w:val="auto"/>
        </w:rPr>
        <w:t>cot</w:t>
      </w:r>
      <w:r w:rsidR="00B81CDF" w:rsidRPr="00163B8D">
        <w:rPr>
          <w:color w:val="auto"/>
        </w:rPr>
        <w:t>ransfected</w:t>
      </w:r>
      <w:proofErr w:type="spellEnd"/>
      <w:r w:rsidR="00B81CDF" w:rsidRPr="00163B8D">
        <w:rPr>
          <w:color w:val="auto"/>
        </w:rPr>
        <w:t xml:space="preserve"> in</w:t>
      </w:r>
      <w:r w:rsidR="00CA4C71" w:rsidRPr="00163B8D">
        <w:rPr>
          <w:color w:val="auto"/>
        </w:rPr>
        <w:t>to</w:t>
      </w:r>
      <w:r w:rsidR="00B81CDF" w:rsidRPr="00163B8D">
        <w:rPr>
          <w:color w:val="auto"/>
        </w:rPr>
        <w:t xml:space="preserve"> the cell to be functional. The first plasmid </w:t>
      </w:r>
      <w:bookmarkStart w:id="1" w:name="_Hlk22731127"/>
      <w:r w:rsidR="00B81CDF" w:rsidRPr="00163B8D">
        <w:rPr>
          <w:color w:val="auto"/>
        </w:rPr>
        <w:t>(</w:t>
      </w:r>
      <w:proofErr w:type="spellStart"/>
      <w:r w:rsidR="00B81CDF" w:rsidRPr="00163B8D">
        <w:rPr>
          <w:color w:val="auto"/>
        </w:rPr>
        <w:t>pTet</w:t>
      </w:r>
      <w:proofErr w:type="spellEnd"/>
      <w:r w:rsidR="00B81CDF" w:rsidRPr="00163B8D">
        <w:rPr>
          <w:color w:val="auto"/>
        </w:rPr>
        <w:t xml:space="preserve">-Off) </w:t>
      </w:r>
      <w:r w:rsidRPr="00163B8D">
        <w:rPr>
          <w:color w:val="auto"/>
        </w:rPr>
        <w:t>expresses</w:t>
      </w:r>
      <w:r w:rsidR="00B81CDF" w:rsidRPr="00163B8D">
        <w:rPr>
          <w:color w:val="auto"/>
        </w:rPr>
        <w:t xml:space="preserve"> the regulatory protein </w:t>
      </w:r>
      <w:proofErr w:type="spellStart"/>
      <w:r w:rsidR="00B81CDF" w:rsidRPr="00163B8D">
        <w:rPr>
          <w:color w:val="auto"/>
        </w:rPr>
        <w:t>tTA</w:t>
      </w:r>
      <w:proofErr w:type="spellEnd"/>
      <w:r w:rsidR="00B81CDF" w:rsidRPr="00163B8D">
        <w:rPr>
          <w:color w:val="auto"/>
        </w:rPr>
        <w:t xml:space="preserve">-Adv, a hybrid synthetic transcription factor composed of the prokaryotic repressor </w:t>
      </w:r>
      <w:proofErr w:type="spellStart"/>
      <w:r w:rsidR="00CA4C71" w:rsidRPr="00163B8D">
        <w:rPr>
          <w:color w:val="auto"/>
        </w:rPr>
        <w:t>TetR</w:t>
      </w:r>
      <w:proofErr w:type="spellEnd"/>
      <w:r w:rsidR="00CA4C71" w:rsidRPr="00163B8D">
        <w:rPr>
          <w:color w:val="auto"/>
        </w:rPr>
        <w:t xml:space="preserve"> </w:t>
      </w:r>
      <w:r w:rsidR="00B81CDF" w:rsidRPr="00163B8D">
        <w:rPr>
          <w:color w:val="auto"/>
        </w:rPr>
        <w:t>(</w:t>
      </w:r>
      <w:r w:rsidR="00CA4C71" w:rsidRPr="00163B8D">
        <w:rPr>
          <w:color w:val="auto"/>
        </w:rPr>
        <w:t xml:space="preserve">from </w:t>
      </w:r>
      <w:r w:rsidR="00B81CDF" w:rsidRPr="00163B8D">
        <w:rPr>
          <w:color w:val="auto"/>
        </w:rPr>
        <w:t xml:space="preserve">Escherichia coli) fused to three transcription transactivation domains </w:t>
      </w:r>
      <w:r w:rsidR="00CA4C71" w:rsidRPr="00163B8D">
        <w:rPr>
          <w:color w:val="auto"/>
        </w:rPr>
        <w:t xml:space="preserve">from </w:t>
      </w:r>
      <w:r w:rsidR="00B81CDF" w:rsidRPr="00163B8D">
        <w:rPr>
          <w:color w:val="auto"/>
        </w:rPr>
        <w:t xml:space="preserve">the viral protein HSV VP16. The GOI is cloned </w:t>
      </w:r>
      <w:r w:rsidR="00B81CDF" w:rsidRPr="00163B8D">
        <w:rPr>
          <w:color w:val="auto"/>
        </w:rPr>
        <w:lastRenderedPageBreak/>
        <w:t>in</w:t>
      </w:r>
      <w:r w:rsidR="00CA4C71" w:rsidRPr="00163B8D">
        <w:rPr>
          <w:color w:val="auto"/>
        </w:rPr>
        <w:t>to</w:t>
      </w:r>
      <w:r w:rsidR="00B81CDF" w:rsidRPr="00163B8D">
        <w:rPr>
          <w:color w:val="auto"/>
        </w:rPr>
        <w:t xml:space="preserve"> the </w:t>
      </w:r>
      <w:proofErr w:type="spellStart"/>
      <w:r w:rsidR="00B81CDF" w:rsidRPr="00163B8D">
        <w:rPr>
          <w:color w:val="auto"/>
        </w:rPr>
        <w:t>pTRE</w:t>
      </w:r>
      <w:proofErr w:type="spellEnd"/>
      <w:r w:rsidR="00B81CDF" w:rsidRPr="00163B8D">
        <w:rPr>
          <w:color w:val="auto"/>
        </w:rPr>
        <w:t>-Tight plasmid under the control of a synthetic promoter (</w:t>
      </w:r>
      <w:proofErr w:type="spellStart"/>
      <w:r w:rsidR="00B81CDF" w:rsidRPr="00163B8D">
        <w:rPr>
          <w:color w:val="auto"/>
        </w:rPr>
        <w:t>P</w:t>
      </w:r>
      <w:r w:rsidR="00B81CDF" w:rsidRPr="00163B8D">
        <w:rPr>
          <w:color w:val="auto"/>
          <w:vertAlign w:val="subscript"/>
        </w:rPr>
        <w:t>Tight</w:t>
      </w:r>
      <w:proofErr w:type="spellEnd"/>
      <w:r w:rsidR="00777133" w:rsidRPr="00163B8D">
        <w:rPr>
          <w:color w:val="auto"/>
        </w:rPr>
        <w:t xml:space="preserve">), comprising </w:t>
      </w:r>
      <w:r w:rsidR="00CA4C71" w:rsidRPr="00163B8D">
        <w:rPr>
          <w:color w:val="auto"/>
        </w:rPr>
        <w:t xml:space="preserve">the </w:t>
      </w:r>
      <w:r w:rsidR="00777133" w:rsidRPr="00163B8D">
        <w:rPr>
          <w:color w:val="auto"/>
        </w:rPr>
        <w:t>minimal sequence of the cytomegalovirus (CMV) p</w:t>
      </w:r>
      <w:r w:rsidR="00777133" w:rsidRPr="004524A1">
        <w:rPr>
          <w:color w:val="auto"/>
        </w:rPr>
        <w:t xml:space="preserve">romoter fused to </w:t>
      </w:r>
      <w:r w:rsidR="005444F8" w:rsidRPr="004524A1">
        <w:rPr>
          <w:color w:val="auto"/>
        </w:rPr>
        <w:t xml:space="preserve">seven </w:t>
      </w:r>
      <w:r w:rsidR="00777133" w:rsidRPr="004524A1">
        <w:rPr>
          <w:color w:val="auto"/>
        </w:rPr>
        <w:t xml:space="preserve">repeats of the </w:t>
      </w:r>
      <w:proofErr w:type="spellStart"/>
      <w:r w:rsidR="00777133" w:rsidRPr="004524A1">
        <w:rPr>
          <w:color w:val="auto"/>
        </w:rPr>
        <w:t>tetO</w:t>
      </w:r>
      <w:proofErr w:type="spellEnd"/>
      <w:r w:rsidR="00777133" w:rsidRPr="004524A1">
        <w:rPr>
          <w:color w:val="auto"/>
        </w:rPr>
        <w:t xml:space="preserve"> operator sequence. </w:t>
      </w:r>
      <w:bookmarkStart w:id="2" w:name="_Hlk22731227"/>
      <w:r w:rsidR="00777133" w:rsidRPr="004524A1">
        <w:rPr>
          <w:color w:val="auto"/>
        </w:rPr>
        <w:t>T</w:t>
      </w:r>
      <w:bookmarkEnd w:id="1"/>
      <w:r w:rsidR="00777133" w:rsidRPr="004524A1">
        <w:rPr>
          <w:color w:val="auto"/>
        </w:rPr>
        <w:t xml:space="preserve">he transcription of the gene downstream of </w:t>
      </w:r>
      <w:proofErr w:type="spellStart"/>
      <w:r w:rsidR="00777133" w:rsidRPr="004524A1">
        <w:rPr>
          <w:color w:val="auto"/>
        </w:rPr>
        <w:t>P</w:t>
      </w:r>
      <w:r w:rsidR="00777133" w:rsidRPr="004524A1">
        <w:rPr>
          <w:color w:val="auto"/>
          <w:vertAlign w:val="subscript"/>
        </w:rPr>
        <w:t>Tight</w:t>
      </w:r>
      <w:proofErr w:type="spellEnd"/>
      <w:r w:rsidR="00777133" w:rsidRPr="004524A1">
        <w:rPr>
          <w:color w:val="auto"/>
        </w:rPr>
        <w:t xml:space="preserve"> is dependent on </w:t>
      </w:r>
      <w:r w:rsidR="00CA4C71" w:rsidRPr="004524A1">
        <w:rPr>
          <w:color w:val="auto"/>
        </w:rPr>
        <w:t xml:space="preserve">the interaction of </w:t>
      </w:r>
      <w:proofErr w:type="spellStart"/>
      <w:r w:rsidR="00777133" w:rsidRPr="004524A1">
        <w:rPr>
          <w:color w:val="auto"/>
        </w:rPr>
        <w:t>TetR</w:t>
      </w:r>
      <w:proofErr w:type="spellEnd"/>
      <w:r w:rsidR="00CA4C71" w:rsidRPr="004524A1">
        <w:rPr>
          <w:color w:val="auto"/>
        </w:rPr>
        <w:t xml:space="preserve"> </w:t>
      </w:r>
      <w:r w:rsidR="00777133" w:rsidRPr="004524A1">
        <w:rPr>
          <w:color w:val="auto"/>
        </w:rPr>
        <w:t xml:space="preserve">with </w:t>
      </w:r>
      <w:proofErr w:type="spellStart"/>
      <w:r w:rsidR="00777133" w:rsidRPr="004524A1">
        <w:rPr>
          <w:color w:val="auto"/>
        </w:rPr>
        <w:t>tetO</w:t>
      </w:r>
      <w:proofErr w:type="spellEnd"/>
      <w:r w:rsidR="00777133" w:rsidRPr="004524A1">
        <w:rPr>
          <w:color w:val="auto"/>
        </w:rPr>
        <w:t>. In the presence of tetracycline or its derivative</w:t>
      </w:r>
      <w:r w:rsidR="00CA4C71" w:rsidRPr="004524A1">
        <w:rPr>
          <w:color w:val="auto"/>
        </w:rPr>
        <w:t>,</w:t>
      </w:r>
      <w:r w:rsidR="00777133" w:rsidRPr="004524A1">
        <w:rPr>
          <w:color w:val="auto"/>
        </w:rPr>
        <w:t xml:space="preserve"> doxycycline, the </w:t>
      </w:r>
      <w:proofErr w:type="spellStart"/>
      <w:r w:rsidR="00777133" w:rsidRPr="004524A1">
        <w:rPr>
          <w:color w:val="auto"/>
        </w:rPr>
        <w:t>TetR</w:t>
      </w:r>
      <w:proofErr w:type="spellEnd"/>
      <w:r w:rsidR="00777133" w:rsidRPr="004524A1">
        <w:rPr>
          <w:color w:val="auto"/>
        </w:rPr>
        <w:t xml:space="preserve"> repressor loses its affinity </w:t>
      </w:r>
      <w:r w:rsidR="00CA4C71" w:rsidRPr="004524A1">
        <w:rPr>
          <w:color w:val="auto"/>
        </w:rPr>
        <w:t xml:space="preserve">for </w:t>
      </w:r>
      <w:r w:rsidR="00777133" w:rsidRPr="004524A1">
        <w:rPr>
          <w:color w:val="auto"/>
        </w:rPr>
        <w:t xml:space="preserve">the </w:t>
      </w:r>
      <w:proofErr w:type="spellStart"/>
      <w:r w:rsidR="00777133" w:rsidRPr="004524A1">
        <w:rPr>
          <w:color w:val="auto"/>
        </w:rPr>
        <w:t>tetO</w:t>
      </w:r>
      <w:proofErr w:type="spellEnd"/>
      <w:r w:rsidR="00777133" w:rsidRPr="004524A1">
        <w:rPr>
          <w:color w:val="auto"/>
        </w:rPr>
        <w:t xml:space="preserve"> operator, leading to a cessation of transcription</w:t>
      </w:r>
      <w:r w:rsidR="009C472A" w:rsidRPr="004524A1">
        <w:rPr>
          <w:rFonts w:asciiTheme="minorHAnsi" w:hAnsiTheme="minorHAnsi" w:cstheme="minorHAnsi"/>
          <w:color w:val="auto"/>
          <w:vertAlign w:val="superscript"/>
        </w:rPr>
        <w:t>4</w:t>
      </w:r>
      <w:bookmarkEnd w:id="2"/>
      <w:r w:rsidR="00777133" w:rsidRPr="004524A1">
        <w:rPr>
          <w:color w:val="auto"/>
        </w:rPr>
        <w:t>. T</w:t>
      </w:r>
      <w:r w:rsidR="00D438EA" w:rsidRPr="004524A1">
        <w:rPr>
          <w:rFonts w:asciiTheme="minorHAnsi" w:hAnsiTheme="minorHAnsi" w:cstheme="minorHAnsi"/>
          <w:color w:val="auto"/>
        </w:rPr>
        <w:t xml:space="preserve">he characteristics of the Tet-Off system make it an ideal model for the study of specific mRNA expression in eukaryotic cells </w:t>
      </w:r>
      <w:r w:rsidR="00CA4C71" w:rsidRPr="004524A1">
        <w:rPr>
          <w:rFonts w:asciiTheme="minorHAnsi" w:hAnsiTheme="minorHAnsi" w:cstheme="minorHAnsi"/>
          <w:color w:val="auto"/>
        </w:rPr>
        <w:t xml:space="preserve">while avoiding </w:t>
      </w:r>
      <w:r w:rsidR="00D438EA" w:rsidRPr="004524A1">
        <w:rPr>
          <w:rFonts w:asciiTheme="minorHAnsi" w:hAnsiTheme="minorHAnsi" w:cstheme="minorHAnsi"/>
          <w:color w:val="auto"/>
        </w:rPr>
        <w:t>potential pleiotropic effects</w:t>
      </w:r>
      <w:r w:rsidR="00CA4C71" w:rsidRPr="004524A1">
        <w:rPr>
          <w:rFonts w:asciiTheme="minorHAnsi" w:hAnsiTheme="minorHAnsi" w:cstheme="minorHAnsi"/>
          <w:color w:val="auto"/>
        </w:rPr>
        <w:t xml:space="preserve"> that are</w:t>
      </w:r>
      <w:r w:rsidR="00D438EA" w:rsidRPr="004524A1">
        <w:rPr>
          <w:rFonts w:asciiTheme="minorHAnsi" w:hAnsiTheme="minorHAnsi" w:cstheme="minorHAnsi"/>
          <w:color w:val="auto"/>
        </w:rPr>
        <w:t xml:space="preserve"> secondary to the absence of prokaryotic regulatory sequences in eukaryotic cell</w:t>
      </w:r>
      <w:r w:rsidR="00560C8E" w:rsidRPr="004524A1">
        <w:rPr>
          <w:rFonts w:asciiTheme="minorHAnsi" w:hAnsiTheme="minorHAnsi" w:cstheme="minorHAnsi"/>
          <w:color w:val="auto"/>
          <w:vertAlign w:val="superscript"/>
        </w:rPr>
        <w:t>6</w:t>
      </w:r>
      <w:r w:rsidR="00D438EA" w:rsidRPr="004524A1">
        <w:rPr>
          <w:rFonts w:asciiTheme="minorHAnsi" w:hAnsiTheme="minorHAnsi" w:cstheme="minorHAnsi"/>
          <w:color w:val="auto"/>
        </w:rPr>
        <w:t>. Usually, doubl</w:t>
      </w:r>
      <w:r w:rsidR="00CA4C71" w:rsidRPr="004524A1">
        <w:rPr>
          <w:rFonts w:asciiTheme="minorHAnsi" w:hAnsiTheme="minorHAnsi" w:cstheme="minorHAnsi"/>
          <w:color w:val="auto"/>
        </w:rPr>
        <w:t xml:space="preserve">y </w:t>
      </w:r>
      <w:r w:rsidR="00D438EA" w:rsidRPr="004524A1">
        <w:rPr>
          <w:rFonts w:asciiTheme="minorHAnsi" w:hAnsiTheme="minorHAnsi" w:cstheme="minorHAnsi"/>
          <w:color w:val="auto"/>
        </w:rPr>
        <w:t>stable Tet-Off cell lines (HEK 293, HeLa, and PC12) are used with this system to integrate copies of the regulator and response plasmids for convenient access to controllable g</w:t>
      </w:r>
      <w:r w:rsidR="00D438EA" w:rsidRPr="00163B8D">
        <w:rPr>
          <w:rFonts w:asciiTheme="minorHAnsi" w:hAnsiTheme="minorHAnsi" w:cstheme="minorHAnsi"/>
          <w:color w:val="auto"/>
        </w:rPr>
        <w:t>ene expression</w:t>
      </w:r>
      <w:r w:rsidR="00243BDA">
        <w:rPr>
          <w:rFonts w:asciiTheme="minorHAnsi" w:hAnsiTheme="minorHAnsi" w:cstheme="minorHAnsi"/>
          <w:color w:val="auto"/>
          <w:vertAlign w:val="superscript"/>
        </w:rPr>
        <w:t>7</w:t>
      </w:r>
      <w:r w:rsidR="005444F8" w:rsidRPr="005444F8">
        <w:rPr>
          <w:rFonts w:asciiTheme="minorHAnsi" w:hAnsiTheme="minorHAnsi" w:cstheme="minorHAnsi"/>
          <w:color w:val="auto"/>
          <w:vertAlign w:val="superscript"/>
        </w:rPr>
        <w:t>–</w:t>
      </w:r>
      <w:r w:rsidR="00243BDA">
        <w:rPr>
          <w:rFonts w:asciiTheme="minorHAnsi" w:hAnsiTheme="minorHAnsi" w:cstheme="minorHAnsi"/>
          <w:color w:val="auto"/>
          <w:vertAlign w:val="superscript"/>
        </w:rPr>
        <w:t>9</w:t>
      </w:r>
      <w:r w:rsidR="00D438EA" w:rsidRPr="00163B8D">
        <w:rPr>
          <w:rFonts w:asciiTheme="minorHAnsi" w:hAnsiTheme="minorHAnsi" w:cstheme="minorHAnsi"/>
          <w:color w:val="auto"/>
        </w:rPr>
        <w:t>.</w:t>
      </w:r>
    </w:p>
    <w:p w14:paraId="22C8593D" w14:textId="77777777" w:rsidR="00777133" w:rsidRPr="00163B8D" w:rsidRDefault="00777133" w:rsidP="00407434">
      <w:pPr>
        <w:rPr>
          <w:rFonts w:asciiTheme="minorHAnsi" w:hAnsiTheme="minorHAnsi" w:cstheme="minorHAnsi"/>
          <w:color w:val="auto"/>
        </w:rPr>
      </w:pPr>
    </w:p>
    <w:p w14:paraId="7B144B34" w14:textId="2FDC9B15" w:rsidR="009F7DC8" w:rsidRDefault="00AF43F7" w:rsidP="00407434">
      <w:pPr>
        <w:rPr>
          <w:rFonts w:asciiTheme="minorHAnsi" w:hAnsiTheme="minorHAnsi" w:cstheme="minorHAnsi"/>
          <w:color w:val="auto"/>
        </w:rPr>
      </w:pPr>
      <w:r w:rsidRPr="00163B8D">
        <w:rPr>
          <w:rFonts w:asciiTheme="minorHAnsi" w:hAnsiTheme="minorHAnsi" w:cstheme="minorHAnsi"/>
          <w:color w:val="auto"/>
        </w:rPr>
        <w:t xml:space="preserve">Several models of alveolar epithelial cells in culture </w:t>
      </w:r>
      <w:r w:rsidR="00CA4C71" w:rsidRPr="00163B8D">
        <w:rPr>
          <w:rFonts w:asciiTheme="minorHAnsi" w:hAnsiTheme="minorHAnsi" w:cstheme="minorHAnsi"/>
          <w:color w:val="auto"/>
        </w:rPr>
        <w:t xml:space="preserve">have been </w:t>
      </w:r>
      <w:r w:rsidRPr="00163B8D">
        <w:rPr>
          <w:rFonts w:asciiTheme="minorHAnsi" w:hAnsiTheme="minorHAnsi" w:cstheme="minorHAnsi"/>
          <w:color w:val="auto"/>
        </w:rPr>
        <w:t xml:space="preserve">used to study the cellular and molecular biology of the alveolar epithelium. For years, researchers have extensively </w:t>
      </w:r>
      <w:r w:rsidR="00CA4C71" w:rsidRPr="00163B8D">
        <w:rPr>
          <w:rFonts w:asciiTheme="minorHAnsi" w:hAnsiTheme="minorHAnsi" w:cstheme="minorHAnsi"/>
          <w:color w:val="auto"/>
        </w:rPr>
        <w:t>utilized</w:t>
      </w:r>
      <w:r w:rsidRPr="00163B8D">
        <w:rPr>
          <w:rFonts w:asciiTheme="minorHAnsi" w:hAnsiTheme="minorHAnsi" w:cstheme="minorHAnsi"/>
          <w:color w:val="auto"/>
        </w:rPr>
        <w:t xml:space="preserve"> human or rodent primary cells</w:t>
      </w:r>
      <w:r w:rsidR="00243BDA">
        <w:rPr>
          <w:rFonts w:asciiTheme="minorHAnsi" w:hAnsiTheme="minorHAnsi" w:cstheme="minorHAnsi"/>
          <w:color w:val="auto"/>
          <w:vertAlign w:val="superscript"/>
        </w:rPr>
        <w:t>10</w:t>
      </w:r>
      <w:r w:rsidR="009C472A" w:rsidRPr="00163B8D">
        <w:rPr>
          <w:rFonts w:asciiTheme="minorHAnsi" w:hAnsiTheme="minorHAnsi" w:cstheme="minorHAnsi"/>
          <w:color w:val="auto"/>
          <w:vertAlign w:val="superscript"/>
        </w:rPr>
        <w:t>,1</w:t>
      </w:r>
      <w:r w:rsidR="00243BDA">
        <w:rPr>
          <w:rFonts w:asciiTheme="minorHAnsi" w:hAnsiTheme="minorHAnsi" w:cstheme="minorHAnsi"/>
          <w:color w:val="auto"/>
          <w:vertAlign w:val="superscript"/>
        </w:rPr>
        <w:t>1</w:t>
      </w:r>
      <w:r w:rsidRPr="00163B8D">
        <w:rPr>
          <w:rFonts w:asciiTheme="minorHAnsi" w:hAnsiTheme="minorHAnsi" w:cstheme="minorHAnsi"/>
          <w:color w:val="auto"/>
        </w:rPr>
        <w:t xml:space="preserve"> as well as immortalized cell lines such as human A549 or rat RLE-6TN cells</w:t>
      </w:r>
      <w:r w:rsidR="009C472A" w:rsidRPr="00163B8D">
        <w:rPr>
          <w:rFonts w:asciiTheme="minorHAnsi" w:hAnsiTheme="minorHAnsi" w:cstheme="minorHAnsi"/>
          <w:color w:val="auto"/>
          <w:vertAlign w:val="superscript"/>
        </w:rPr>
        <w:t>1</w:t>
      </w:r>
      <w:r w:rsidR="00243BDA">
        <w:rPr>
          <w:rFonts w:asciiTheme="minorHAnsi" w:hAnsiTheme="minorHAnsi" w:cstheme="minorHAnsi"/>
          <w:color w:val="auto"/>
          <w:vertAlign w:val="superscript"/>
        </w:rPr>
        <w:t>2</w:t>
      </w:r>
      <w:r w:rsidR="009C472A" w:rsidRPr="00163B8D">
        <w:rPr>
          <w:rFonts w:asciiTheme="minorHAnsi" w:hAnsiTheme="minorHAnsi" w:cstheme="minorHAnsi"/>
          <w:color w:val="auto"/>
          <w:vertAlign w:val="superscript"/>
        </w:rPr>
        <w:t>,1</w:t>
      </w:r>
      <w:r w:rsidR="00243BDA">
        <w:rPr>
          <w:rFonts w:asciiTheme="minorHAnsi" w:hAnsiTheme="minorHAnsi" w:cstheme="minorHAnsi"/>
          <w:color w:val="auto"/>
          <w:vertAlign w:val="superscript"/>
        </w:rPr>
        <w:t>3</w:t>
      </w:r>
      <w:r w:rsidR="00754EA9" w:rsidRPr="00163B8D">
        <w:rPr>
          <w:rFonts w:asciiTheme="minorHAnsi" w:hAnsiTheme="minorHAnsi" w:cstheme="minorHAnsi"/>
          <w:color w:val="auto"/>
        </w:rPr>
        <w:t>. Although they are generally less proliferative</w:t>
      </w:r>
      <w:r w:rsidR="00CA4C71" w:rsidRPr="00163B8D">
        <w:rPr>
          <w:rFonts w:asciiTheme="minorHAnsi" w:hAnsiTheme="minorHAnsi" w:cstheme="minorHAnsi"/>
          <w:color w:val="auto"/>
        </w:rPr>
        <w:t xml:space="preserve"> and</w:t>
      </w:r>
      <w:r w:rsidR="00754EA9" w:rsidRPr="00163B8D">
        <w:rPr>
          <w:rFonts w:asciiTheme="minorHAnsi" w:hAnsiTheme="minorHAnsi" w:cstheme="minorHAnsi"/>
          <w:color w:val="auto"/>
        </w:rPr>
        <w:t xml:space="preserve"> more </w:t>
      </w:r>
      <w:r w:rsidR="00CA4C71" w:rsidRPr="00163B8D">
        <w:rPr>
          <w:rFonts w:asciiTheme="minorHAnsi" w:hAnsiTheme="minorHAnsi" w:cstheme="minorHAnsi"/>
          <w:color w:val="auto"/>
        </w:rPr>
        <w:t xml:space="preserve">difficult </w:t>
      </w:r>
      <w:r w:rsidR="00754EA9" w:rsidRPr="00163B8D">
        <w:rPr>
          <w:rFonts w:asciiTheme="minorHAnsi" w:hAnsiTheme="minorHAnsi" w:cstheme="minorHAnsi"/>
          <w:color w:val="auto"/>
        </w:rPr>
        <w:t xml:space="preserve">to culture and to transfect, alveolar epithelial cells in primary culture remain the gold standard </w:t>
      </w:r>
      <w:r w:rsidR="00CA4C71" w:rsidRPr="00163B8D">
        <w:rPr>
          <w:rFonts w:asciiTheme="minorHAnsi" w:hAnsiTheme="minorHAnsi" w:cstheme="minorHAnsi"/>
          <w:color w:val="auto"/>
        </w:rPr>
        <w:t xml:space="preserve">for the </w:t>
      </w:r>
      <w:r w:rsidR="00754EA9" w:rsidRPr="00163B8D">
        <w:rPr>
          <w:rFonts w:asciiTheme="minorHAnsi" w:hAnsiTheme="minorHAnsi" w:cstheme="minorHAnsi"/>
          <w:color w:val="auto"/>
        </w:rPr>
        <w:t xml:space="preserve">study </w:t>
      </w:r>
      <w:r w:rsidR="00CA4C71" w:rsidRPr="00163B8D">
        <w:rPr>
          <w:rFonts w:asciiTheme="minorHAnsi" w:hAnsiTheme="minorHAnsi" w:cstheme="minorHAnsi"/>
          <w:color w:val="auto"/>
        </w:rPr>
        <w:t xml:space="preserve">of </w:t>
      </w:r>
      <w:r w:rsidR="00754EA9" w:rsidRPr="00163B8D">
        <w:rPr>
          <w:rFonts w:asciiTheme="minorHAnsi" w:hAnsiTheme="minorHAnsi" w:cstheme="minorHAnsi"/>
          <w:color w:val="auto"/>
        </w:rPr>
        <w:t xml:space="preserve">the function and dysfunction of the alveolar epithelium in physiological and pathological conditions. Indeed, immortalized cell lines such </w:t>
      </w:r>
      <w:r w:rsidRPr="00163B8D">
        <w:rPr>
          <w:color w:val="auto"/>
        </w:rPr>
        <w:t>as</w:t>
      </w:r>
      <w:r w:rsidR="00754EA9" w:rsidRPr="00163B8D">
        <w:rPr>
          <w:rFonts w:asciiTheme="minorHAnsi" w:hAnsiTheme="minorHAnsi" w:cstheme="minorHAnsi"/>
          <w:color w:val="auto"/>
        </w:rPr>
        <w:t xml:space="preserve"> A549 cells do not </w:t>
      </w:r>
      <w:r w:rsidR="00DB731E" w:rsidRPr="00163B8D">
        <w:rPr>
          <w:rFonts w:asciiTheme="minorHAnsi" w:hAnsiTheme="minorHAnsi" w:cstheme="minorHAnsi"/>
          <w:color w:val="auto"/>
        </w:rPr>
        <w:t>exhibit</w:t>
      </w:r>
      <w:r w:rsidR="00CA4C71" w:rsidRPr="00163B8D">
        <w:rPr>
          <w:rFonts w:asciiTheme="minorHAnsi" w:hAnsiTheme="minorHAnsi" w:cstheme="minorHAnsi"/>
          <w:color w:val="auto"/>
        </w:rPr>
        <w:t xml:space="preserve"> </w:t>
      </w:r>
      <w:r w:rsidR="00754EA9" w:rsidRPr="00163B8D">
        <w:rPr>
          <w:rFonts w:asciiTheme="minorHAnsi" w:hAnsiTheme="minorHAnsi" w:cstheme="minorHAnsi"/>
          <w:color w:val="auto"/>
        </w:rPr>
        <w:t>the complex characteristics and phenotype</w:t>
      </w:r>
      <w:r w:rsidR="00CA4C71" w:rsidRPr="00163B8D">
        <w:rPr>
          <w:rFonts w:asciiTheme="minorHAnsi" w:hAnsiTheme="minorHAnsi" w:cstheme="minorHAnsi"/>
          <w:color w:val="auto"/>
        </w:rPr>
        <w:t>s</w:t>
      </w:r>
      <w:r w:rsidR="00754EA9" w:rsidRPr="00163B8D">
        <w:rPr>
          <w:rFonts w:asciiTheme="minorHAnsi" w:hAnsiTheme="minorHAnsi" w:cstheme="minorHAnsi"/>
          <w:color w:val="auto"/>
        </w:rPr>
        <w:t xml:space="preserve"> of primary cells, whereas alveolar epithelial cells in primary culture recapitulate the main properties of the alveolar epithelium, in particular the ability to form a polarized and tight barrier</w:t>
      </w:r>
      <w:r w:rsidR="009C472A" w:rsidRPr="00163B8D">
        <w:rPr>
          <w:rFonts w:asciiTheme="minorHAnsi" w:hAnsiTheme="minorHAnsi" w:cstheme="minorHAnsi"/>
          <w:color w:val="auto"/>
          <w:vertAlign w:val="superscript"/>
        </w:rPr>
        <w:t>1</w:t>
      </w:r>
      <w:r w:rsidR="00243BDA">
        <w:rPr>
          <w:rFonts w:asciiTheme="minorHAnsi" w:hAnsiTheme="minorHAnsi" w:cstheme="minorHAnsi"/>
          <w:color w:val="auto"/>
          <w:vertAlign w:val="superscript"/>
        </w:rPr>
        <w:t>4</w:t>
      </w:r>
      <w:r w:rsidR="009C472A" w:rsidRPr="00163B8D">
        <w:rPr>
          <w:rFonts w:asciiTheme="minorHAnsi" w:hAnsiTheme="minorHAnsi" w:cstheme="minorHAnsi"/>
          <w:color w:val="auto"/>
          <w:vertAlign w:val="superscript"/>
        </w:rPr>
        <w:t>,1</w:t>
      </w:r>
      <w:r w:rsidR="00243BDA">
        <w:rPr>
          <w:rFonts w:asciiTheme="minorHAnsi" w:hAnsiTheme="minorHAnsi" w:cstheme="minorHAnsi"/>
          <w:color w:val="auto"/>
          <w:vertAlign w:val="superscript"/>
        </w:rPr>
        <w:t>5</w:t>
      </w:r>
      <w:r w:rsidR="00777133" w:rsidRPr="00163B8D">
        <w:rPr>
          <w:rFonts w:asciiTheme="minorHAnsi" w:hAnsiTheme="minorHAnsi" w:cstheme="minorHAnsi"/>
          <w:color w:val="auto"/>
        </w:rPr>
        <w:t>. Unfortunately, these cells are very resistant to conventional transfection techniques,</w:t>
      </w:r>
      <w:r w:rsidRPr="00163B8D">
        <w:rPr>
          <w:rFonts w:asciiTheme="minorHAnsi" w:hAnsiTheme="minorHAnsi" w:cstheme="minorHAnsi"/>
          <w:color w:val="auto"/>
        </w:rPr>
        <w:t xml:space="preserve"> such as</w:t>
      </w:r>
      <w:r w:rsidR="00CA4C71" w:rsidRPr="00163B8D">
        <w:rPr>
          <w:rFonts w:asciiTheme="minorHAnsi" w:hAnsiTheme="minorHAnsi" w:cstheme="minorHAnsi"/>
          <w:color w:val="auto"/>
        </w:rPr>
        <w:t xml:space="preserve"> those utilizing</w:t>
      </w:r>
      <w:r w:rsidRPr="00163B8D">
        <w:rPr>
          <w:rFonts w:asciiTheme="minorHAnsi" w:hAnsiTheme="minorHAnsi" w:cstheme="minorHAnsi"/>
          <w:color w:val="auto"/>
        </w:rPr>
        <w:t xml:space="preserve"> </w:t>
      </w:r>
      <w:r w:rsidR="00777133" w:rsidRPr="00163B8D">
        <w:rPr>
          <w:rFonts w:asciiTheme="minorHAnsi" w:hAnsiTheme="minorHAnsi" w:cstheme="minorHAnsi"/>
          <w:color w:val="auto"/>
        </w:rPr>
        <w:t>liposomes, making the use of a promoter</w:t>
      </w:r>
      <w:r w:rsidRPr="00163B8D">
        <w:rPr>
          <w:color w:val="auto"/>
        </w:rPr>
        <w:t>-</w:t>
      </w:r>
      <w:r w:rsidR="00777133" w:rsidRPr="00163B8D">
        <w:rPr>
          <w:rFonts w:asciiTheme="minorHAnsi" w:hAnsiTheme="minorHAnsi" w:cstheme="minorHAnsi"/>
          <w:color w:val="auto"/>
        </w:rPr>
        <w:t xml:space="preserve">induced system </w:t>
      </w:r>
      <w:r w:rsidRPr="00163B8D">
        <w:rPr>
          <w:color w:val="auto"/>
        </w:rPr>
        <w:t>such as</w:t>
      </w:r>
      <w:r w:rsidR="00777133" w:rsidRPr="00163B8D">
        <w:rPr>
          <w:rFonts w:asciiTheme="minorHAnsi" w:hAnsiTheme="minorHAnsi" w:cstheme="minorHAnsi"/>
          <w:color w:val="auto"/>
        </w:rPr>
        <w:t xml:space="preserve"> Tet-Off very difficult.</w:t>
      </w:r>
    </w:p>
    <w:p w14:paraId="1D6B5AC1" w14:textId="77777777" w:rsidR="00497829" w:rsidRPr="00163B8D" w:rsidRDefault="00497829" w:rsidP="00407434">
      <w:pPr>
        <w:rPr>
          <w:rFonts w:asciiTheme="minorHAnsi" w:hAnsiTheme="minorHAnsi" w:cstheme="minorHAnsi"/>
          <w:color w:val="auto"/>
        </w:rPr>
      </w:pPr>
    </w:p>
    <w:p w14:paraId="5496061F" w14:textId="355DD14C" w:rsidR="00ED19E1" w:rsidRDefault="00CA4C71" w:rsidP="00407434">
      <w:pPr>
        <w:rPr>
          <w:rFonts w:asciiTheme="minorHAnsi" w:hAnsiTheme="minorHAnsi" w:cstheme="minorHAnsi"/>
          <w:color w:val="auto"/>
        </w:rPr>
      </w:pPr>
      <w:r w:rsidRPr="00163B8D">
        <w:rPr>
          <w:rFonts w:asciiTheme="minorHAnsi" w:hAnsiTheme="minorHAnsi" w:cstheme="minorHAnsi"/>
          <w:color w:val="auto"/>
        </w:rPr>
        <w:t>The p</w:t>
      </w:r>
      <w:r w:rsidR="00AF43F7" w:rsidRPr="00163B8D">
        <w:rPr>
          <w:rFonts w:asciiTheme="minorHAnsi" w:hAnsiTheme="minorHAnsi" w:cstheme="minorHAnsi"/>
          <w:color w:val="auto"/>
        </w:rPr>
        <w:t>osttranscriptional modulation of mRNAs is one of the most effective methods for rapidly modulating the gene expression of a transcript</w:t>
      </w:r>
      <w:r w:rsidR="009C472A" w:rsidRPr="00163B8D">
        <w:rPr>
          <w:rFonts w:asciiTheme="minorHAnsi" w:hAnsiTheme="minorHAnsi" w:cstheme="minorHAnsi"/>
          <w:color w:val="auto"/>
          <w:vertAlign w:val="superscript"/>
        </w:rPr>
        <w:t>1</w:t>
      </w:r>
      <w:r w:rsidR="00243BDA">
        <w:rPr>
          <w:rFonts w:asciiTheme="minorHAnsi" w:hAnsiTheme="minorHAnsi" w:cstheme="minorHAnsi"/>
          <w:color w:val="auto"/>
          <w:vertAlign w:val="superscript"/>
        </w:rPr>
        <w:t>6</w:t>
      </w:r>
      <w:r w:rsidR="00AF43F7" w:rsidRPr="00163B8D">
        <w:rPr>
          <w:rFonts w:asciiTheme="minorHAnsi" w:hAnsiTheme="minorHAnsi" w:cstheme="minorHAnsi"/>
          <w:color w:val="auto"/>
        </w:rPr>
        <w:t xml:space="preserve">. </w:t>
      </w:r>
      <w:r w:rsidR="00AF43F7" w:rsidRPr="00163B8D">
        <w:rPr>
          <w:color w:val="auto"/>
        </w:rPr>
        <w:t xml:space="preserve">The </w:t>
      </w:r>
      <w:r w:rsidR="00AF43F7" w:rsidRPr="00163B8D">
        <w:rPr>
          <w:rFonts w:asciiTheme="minorHAnsi" w:hAnsiTheme="minorHAnsi" w:cstheme="minorHAnsi"/>
          <w:color w:val="auto"/>
        </w:rPr>
        <w:t>mRNA 3' untranslated region (3’ UTR) plays an important role in this mechanism. It has been shown that, unlike</w:t>
      </w:r>
      <w:r w:rsidR="00AF43F7" w:rsidRPr="00163B8D">
        <w:rPr>
          <w:color w:val="auto"/>
        </w:rPr>
        <w:t xml:space="preserve"> the</w:t>
      </w:r>
      <w:r w:rsidR="00AF43F7" w:rsidRPr="00163B8D">
        <w:rPr>
          <w:rFonts w:asciiTheme="minorHAnsi" w:hAnsiTheme="minorHAnsi" w:cstheme="minorHAnsi"/>
          <w:color w:val="auto"/>
        </w:rPr>
        <w:t xml:space="preserve"> 5' UTR, there is an exponential correlation between</w:t>
      </w:r>
      <w:r w:rsidR="00AF43F7" w:rsidRPr="00163B8D">
        <w:rPr>
          <w:color w:val="auto"/>
        </w:rPr>
        <w:t xml:space="preserve"> the</w:t>
      </w:r>
      <w:r w:rsidR="00AF43F7" w:rsidRPr="00163B8D">
        <w:rPr>
          <w:rFonts w:asciiTheme="minorHAnsi" w:hAnsiTheme="minorHAnsi" w:cstheme="minorHAnsi"/>
          <w:color w:val="auto"/>
        </w:rPr>
        <w:t xml:space="preserve"> length of the 3' UTR and the cellular and morphological complexities of an organism. This correlation suggests that the 3' UTR, like the </w:t>
      </w:r>
      <w:r w:rsidR="00652A8B">
        <w:rPr>
          <w:rFonts w:asciiTheme="minorHAnsi" w:hAnsiTheme="minorHAnsi" w:cstheme="minorHAnsi"/>
          <w:color w:val="auto"/>
        </w:rPr>
        <w:t>m</w:t>
      </w:r>
      <w:r w:rsidRPr="00163B8D">
        <w:rPr>
          <w:rFonts w:asciiTheme="minorHAnsi" w:hAnsiTheme="minorHAnsi" w:cstheme="minorHAnsi"/>
          <w:color w:val="auto"/>
        </w:rPr>
        <w:t>RNA</w:t>
      </w:r>
      <w:r w:rsidR="00AF43F7" w:rsidRPr="00163B8D">
        <w:rPr>
          <w:rFonts w:asciiTheme="minorHAnsi" w:hAnsiTheme="minorHAnsi" w:cstheme="minorHAnsi"/>
          <w:color w:val="auto"/>
        </w:rPr>
        <w:t xml:space="preserve"> coding regions, has been subjected to natural selection to allow for increasingly complex posttranscriptional modulation throughout evolution</w:t>
      </w:r>
      <w:r w:rsidR="009C472A" w:rsidRPr="00163B8D">
        <w:rPr>
          <w:rFonts w:asciiTheme="minorHAnsi" w:hAnsiTheme="minorHAnsi" w:cstheme="minorHAnsi"/>
          <w:color w:val="auto"/>
          <w:vertAlign w:val="superscript"/>
        </w:rPr>
        <w:t>1</w:t>
      </w:r>
      <w:r w:rsidR="00243BDA">
        <w:rPr>
          <w:rFonts w:asciiTheme="minorHAnsi" w:hAnsiTheme="minorHAnsi" w:cstheme="minorHAnsi"/>
          <w:color w:val="auto"/>
          <w:vertAlign w:val="superscript"/>
        </w:rPr>
        <w:t>7</w:t>
      </w:r>
      <w:r w:rsidR="00AF43F7" w:rsidRPr="00163B8D">
        <w:rPr>
          <w:rFonts w:asciiTheme="minorHAnsi" w:hAnsiTheme="minorHAnsi" w:cstheme="minorHAnsi"/>
          <w:color w:val="auto"/>
        </w:rPr>
        <w:t xml:space="preserve">. The 3' UTR contains several binding sites for proteins and miRNAs that affect the stability </w:t>
      </w:r>
      <w:r w:rsidRPr="00163B8D">
        <w:rPr>
          <w:rFonts w:asciiTheme="minorHAnsi" w:hAnsiTheme="minorHAnsi" w:cstheme="minorHAnsi"/>
          <w:color w:val="auto"/>
        </w:rPr>
        <w:t xml:space="preserve">and </w:t>
      </w:r>
      <w:r w:rsidR="00AF43F7" w:rsidRPr="00163B8D">
        <w:rPr>
          <w:rFonts w:asciiTheme="minorHAnsi" w:hAnsiTheme="minorHAnsi" w:cstheme="minorHAnsi"/>
          <w:color w:val="auto"/>
        </w:rPr>
        <w:t>translation of the transcript.</w:t>
      </w:r>
    </w:p>
    <w:p w14:paraId="6B13FE38" w14:textId="77777777" w:rsidR="00407434" w:rsidRPr="00163B8D" w:rsidRDefault="00407434" w:rsidP="00407434">
      <w:pPr>
        <w:rPr>
          <w:rFonts w:asciiTheme="minorHAnsi" w:hAnsiTheme="minorHAnsi" w:cstheme="minorHAnsi"/>
          <w:color w:val="auto"/>
        </w:rPr>
      </w:pPr>
    </w:p>
    <w:p w14:paraId="1A75B366" w14:textId="5445B02C" w:rsidR="009F7DC8" w:rsidRDefault="002C3582" w:rsidP="00407434">
      <w:pPr>
        <w:rPr>
          <w:rFonts w:asciiTheme="minorHAnsi" w:hAnsiTheme="minorHAnsi" w:cstheme="minorHAnsi"/>
          <w:color w:val="auto"/>
        </w:rPr>
      </w:pPr>
      <w:bookmarkStart w:id="3" w:name="_Hlk15412218"/>
      <w:r w:rsidRPr="00163B8D">
        <w:rPr>
          <w:rFonts w:asciiTheme="minorHAnsi" w:hAnsiTheme="minorHAnsi" w:cstheme="minorHAnsi"/>
          <w:color w:val="auto"/>
        </w:rPr>
        <w:t xml:space="preserve">In the present work, we developed a tool to investigate the role of highly conserved domains in the 3' UTR of a GOI for the control of transcript stability. We focused on the epithelial sodium channel, alpha subunit (αENaC), which </w:t>
      </w:r>
      <w:r w:rsidR="00AF43F7" w:rsidRPr="00163B8D">
        <w:rPr>
          <w:color w:val="auto"/>
        </w:rPr>
        <w:t>plays</w:t>
      </w:r>
      <w:r w:rsidRPr="00163B8D">
        <w:rPr>
          <w:rFonts w:asciiTheme="minorHAnsi" w:hAnsiTheme="minorHAnsi" w:cstheme="minorHAnsi"/>
          <w:color w:val="auto"/>
        </w:rPr>
        <w:t xml:space="preserve"> a key </w:t>
      </w:r>
      <w:r w:rsidR="00CA4C71" w:rsidRPr="00163B8D">
        <w:rPr>
          <w:rFonts w:asciiTheme="minorHAnsi" w:hAnsiTheme="minorHAnsi" w:cstheme="minorHAnsi"/>
          <w:color w:val="auto"/>
        </w:rPr>
        <w:t xml:space="preserve">role </w:t>
      </w:r>
      <w:r w:rsidRPr="00163B8D">
        <w:rPr>
          <w:rFonts w:asciiTheme="minorHAnsi" w:hAnsiTheme="minorHAnsi" w:cstheme="minorHAnsi"/>
          <w:color w:val="auto"/>
        </w:rPr>
        <w:t>in alveolar epithelial physiology</w:t>
      </w:r>
      <w:r w:rsidR="00E46C0C" w:rsidRPr="00163B8D">
        <w:rPr>
          <w:rFonts w:asciiTheme="minorHAnsi" w:hAnsiTheme="minorHAnsi" w:cstheme="minorHAnsi"/>
          <w:color w:val="auto"/>
          <w:vertAlign w:val="superscript"/>
        </w:rPr>
        <w:t>1</w:t>
      </w:r>
      <w:r w:rsidR="00243BDA">
        <w:rPr>
          <w:rFonts w:asciiTheme="minorHAnsi" w:hAnsiTheme="minorHAnsi" w:cstheme="minorHAnsi"/>
          <w:color w:val="auto"/>
          <w:vertAlign w:val="superscript"/>
        </w:rPr>
        <w:t>8</w:t>
      </w:r>
      <w:r w:rsidR="00D73C47" w:rsidRPr="00163B8D">
        <w:rPr>
          <w:rFonts w:asciiTheme="minorHAnsi" w:hAnsiTheme="minorHAnsi" w:cstheme="minorHAnsi"/>
          <w:color w:val="auto"/>
        </w:rPr>
        <w:t xml:space="preserve">. Alveolar epithelial cells in primary culture were successfully transiently transfected with the two components of the Tet-Off system, which allows </w:t>
      </w:r>
      <w:r w:rsidR="00497829">
        <w:rPr>
          <w:rFonts w:asciiTheme="minorHAnsi" w:hAnsiTheme="minorHAnsi" w:cstheme="minorHAnsi"/>
          <w:color w:val="auto"/>
        </w:rPr>
        <w:t xml:space="preserve">for </w:t>
      </w:r>
      <w:r w:rsidR="00CA4C71" w:rsidRPr="00163B8D">
        <w:rPr>
          <w:rFonts w:asciiTheme="minorHAnsi" w:hAnsiTheme="minorHAnsi" w:cstheme="minorHAnsi"/>
          <w:color w:val="auto"/>
        </w:rPr>
        <w:t>the study</w:t>
      </w:r>
      <w:r w:rsidR="00D73C47" w:rsidRPr="00163B8D">
        <w:rPr>
          <w:rFonts w:asciiTheme="minorHAnsi" w:hAnsiTheme="minorHAnsi" w:cstheme="minorHAnsi"/>
          <w:color w:val="auto"/>
        </w:rPr>
        <w:t xml:space="preserve"> </w:t>
      </w:r>
      <w:r w:rsidR="00CA4C71" w:rsidRPr="00163B8D">
        <w:rPr>
          <w:rFonts w:asciiTheme="minorHAnsi" w:hAnsiTheme="minorHAnsi" w:cstheme="minorHAnsi"/>
          <w:color w:val="auto"/>
        </w:rPr>
        <w:t xml:space="preserve">of </w:t>
      </w:r>
      <w:r w:rsidR="00D73C47" w:rsidRPr="00163B8D">
        <w:rPr>
          <w:rFonts w:asciiTheme="minorHAnsi" w:hAnsiTheme="minorHAnsi" w:cstheme="minorHAnsi"/>
          <w:color w:val="auto"/>
        </w:rPr>
        <w:t xml:space="preserve">the role of the </w:t>
      </w:r>
      <w:r w:rsidR="00DB731E" w:rsidRPr="00163B8D">
        <w:rPr>
          <w:rFonts w:asciiTheme="minorHAnsi" w:hAnsiTheme="minorHAnsi" w:cstheme="minorHAnsi"/>
          <w:color w:val="auto"/>
        </w:rPr>
        <w:t>3’ UTR</w:t>
      </w:r>
      <w:r w:rsidR="00D73C47" w:rsidRPr="00163B8D">
        <w:rPr>
          <w:rFonts w:asciiTheme="minorHAnsi" w:hAnsiTheme="minorHAnsi" w:cstheme="minorHAnsi"/>
          <w:color w:val="auto"/>
        </w:rPr>
        <w:t xml:space="preserve"> in mRNA stability with a system that minimally affects cell physiology and metabolism in comparison to </w:t>
      </w:r>
      <w:r w:rsidR="00CA4C71" w:rsidRPr="00163B8D">
        <w:rPr>
          <w:rFonts w:asciiTheme="minorHAnsi" w:hAnsiTheme="minorHAnsi" w:cstheme="minorHAnsi"/>
          <w:color w:val="auto"/>
        </w:rPr>
        <w:t xml:space="preserve">the use of </w:t>
      </w:r>
      <w:r w:rsidR="00D73C47" w:rsidRPr="00163B8D">
        <w:rPr>
          <w:rFonts w:asciiTheme="minorHAnsi" w:hAnsiTheme="minorHAnsi" w:cstheme="minorHAnsi"/>
          <w:color w:val="auto"/>
        </w:rPr>
        <w:t xml:space="preserve">transcription inhibitors </w:t>
      </w:r>
      <w:r w:rsidR="00CA4C71" w:rsidRPr="00163B8D">
        <w:rPr>
          <w:rFonts w:asciiTheme="minorHAnsi" w:hAnsiTheme="minorHAnsi" w:cstheme="minorHAnsi"/>
          <w:color w:val="auto"/>
        </w:rPr>
        <w:t>with</w:t>
      </w:r>
      <w:r w:rsidR="00D73C47" w:rsidRPr="00163B8D">
        <w:rPr>
          <w:rFonts w:asciiTheme="minorHAnsi" w:hAnsiTheme="minorHAnsi" w:cstheme="minorHAnsi"/>
          <w:color w:val="auto"/>
        </w:rPr>
        <w:t xml:space="preserve"> other protocols. A cloning strategy was developed to differentiate the expression of </w:t>
      </w:r>
      <w:r w:rsidR="00CA4C71" w:rsidRPr="00163B8D">
        <w:rPr>
          <w:rFonts w:asciiTheme="minorHAnsi" w:hAnsiTheme="minorHAnsi" w:cstheme="minorHAnsi"/>
          <w:color w:val="auto"/>
        </w:rPr>
        <w:t xml:space="preserve">the </w:t>
      </w:r>
      <w:r w:rsidR="00D73C47" w:rsidRPr="00163B8D">
        <w:rPr>
          <w:rFonts w:asciiTheme="minorHAnsi" w:hAnsiTheme="minorHAnsi" w:cstheme="minorHAnsi"/>
          <w:color w:val="auto"/>
        </w:rPr>
        <w:t xml:space="preserve">GOI from that of the endogenous gene using a </w:t>
      </w:r>
      <w:proofErr w:type="spellStart"/>
      <w:r w:rsidR="00AF43F7" w:rsidRPr="00163B8D">
        <w:rPr>
          <w:rFonts w:asciiTheme="minorHAnsi" w:hAnsiTheme="minorHAnsi" w:cstheme="minorHAnsi"/>
          <w:color w:val="auto"/>
        </w:rPr>
        <w:t>none</w:t>
      </w:r>
      <w:r w:rsidR="00D73C47" w:rsidRPr="00163B8D">
        <w:rPr>
          <w:rFonts w:asciiTheme="minorHAnsi" w:hAnsiTheme="minorHAnsi" w:cstheme="minorHAnsi"/>
          <w:color w:val="auto"/>
        </w:rPr>
        <w:t>ndogenously</w:t>
      </w:r>
      <w:proofErr w:type="spellEnd"/>
      <w:r w:rsidR="00D73C47" w:rsidRPr="00163B8D">
        <w:rPr>
          <w:rFonts w:asciiTheme="minorHAnsi" w:hAnsiTheme="minorHAnsi" w:cstheme="minorHAnsi"/>
          <w:color w:val="auto"/>
        </w:rPr>
        <w:t xml:space="preserve"> expressed epitope</w:t>
      </w:r>
      <w:r w:rsidR="00D73C47" w:rsidRPr="00163B8D">
        <w:rPr>
          <w:color w:val="auto"/>
        </w:rPr>
        <w:t xml:space="preserve"> (V5)</w:t>
      </w:r>
      <w:r w:rsidR="004C137E" w:rsidRPr="00163B8D">
        <w:rPr>
          <w:rFonts w:asciiTheme="minorHAnsi" w:hAnsiTheme="minorHAnsi" w:cstheme="minorHAnsi"/>
          <w:color w:val="auto"/>
        </w:rPr>
        <w:t xml:space="preserve">. The response and regulatory plasmids were then transferred into alveolar epithelial cells using a pipette electroporation technique. Subsequently, the expression of the transcript was measured by incubating the cells with doxycycline at </w:t>
      </w:r>
      <w:r w:rsidR="004C137E" w:rsidRPr="00163B8D">
        <w:rPr>
          <w:rFonts w:asciiTheme="minorHAnsi" w:hAnsiTheme="minorHAnsi" w:cstheme="minorHAnsi"/>
          <w:color w:val="auto"/>
        </w:rPr>
        <w:lastRenderedPageBreak/>
        <w:t xml:space="preserve">different time intervals. The half-life of the transcript was evaluated by RT-qPCR with a modified </w:t>
      </w:r>
      <w:proofErr w:type="spellStart"/>
      <w:r w:rsidR="00740733">
        <w:rPr>
          <w:rFonts w:asciiTheme="minorHAnsi" w:hAnsiTheme="minorHAnsi" w:cstheme="minorHAnsi"/>
          <w:color w:val="auto"/>
        </w:rPr>
        <w:t>Cq</w:t>
      </w:r>
      <w:proofErr w:type="spellEnd"/>
      <w:r w:rsidR="00272F36">
        <w:rPr>
          <w:rFonts w:asciiTheme="minorHAnsi" w:hAnsiTheme="minorHAnsi" w:cstheme="minorHAnsi"/>
          <w:color w:val="auto"/>
        </w:rPr>
        <w:t xml:space="preserve"> </w:t>
      </w:r>
      <w:r w:rsidR="004C137E" w:rsidRPr="00163B8D">
        <w:rPr>
          <w:rFonts w:asciiTheme="minorHAnsi" w:hAnsiTheme="minorHAnsi" w:cstheme="minorHAnsi"/>
          <w:color w:val="auto"/>
        </w:rPr>
        <w:t xml:space="preserve">method using the transfected </w:t>
      </w:r>
      <w:proofErr w:type="spellStart"/>
      <w:r w:rsidR="004C137E" w:rsidRPr="00163B8D">
        <w:rPr>
          <w:rFonts w:asciiTheme="minorHAnsi" w:hAnsiTheme="minorHAnsi" w:cstheme="minorHAnsi"/>
          <w:color w:val="auto"/>
        </w:rPr>
        <w:t>tTA</w:t>
      </w:r>
      <w:proofErr w:type="spellEnd"/>
      <w:r w:rsidR="004C137E" w:rsidRPr="00163B8D">
        <w:rPr>
          <w:rFonts w:asciiTheme="minorHAnsi" w:hAnsiTheme="minorHAnsi" w:cstheme="minorHAnsi"/>
          <w:color w:val="auto"/>
        </w:rPr>
        <w:t xml:space="preserve">-Ad mRNA product for normalization. Through our protocol, we offer a convenient way for studying the </w:t>
      </w:r>
      <w:r w:rsidR="00AF43F7" w:rsidRPr="00163B8D">
        <w:rPr>
          <w:rFonts w:asciiTheme="minorHAnsi" w:hAnsiTheme="minorHAnsi" w:cstheme="minorHAnsi"/>
          <w:color w:val="auto"/>
        </w:rPr>
        <w:t>postt</w:t>
      </w:r>
      <w:r w:rsidR="004C137E" w:rsidRPr="00163B8D">
        <w:rPr>
          <w:rFonts w:asciiTheme="minorHAnsi" w:hAnsiTheme="minorHAnsi" w:cstheme="minorHAnsi"/>
          <w:color w:val="auto"/>
        </w:rPr>
        <w:t xml:space="preserve">ranscriptional modulation of a transcript under different conditions and defining the involvement of </w:t>
      </w:r>
      <w:r w:rsidR="00CA4C71" w:rsidRPr="00163B8D">
        <w:rPr>
          <w:rFonts w:asciiTheme="minorHAnsi" w:hAnsiTheme="minorHAnsi" w:cstheme="minorHAnsi"/>
          <w:color w:val="auto"/>
        </w:rPr>
        <w:t xml:space="preserve">the </w:t>
      </w:r>
      <w:r w:rsidR="004C137E" w:rsidRPr="00163B8D">
        <w:rPr>
          <w:rFonts w:asciiTheme="minorHAnsi" w:hAnsiTheme="minorHAnsi" w:cstheme="minorHAnsi"/>
          <w:color w:val="auto"/>
        </w:rPr>
        <w:t>untranslated regions</w:t>
      </w:r>
      <w:r w:rsidR="00497829" w:rsidRPr="00497829">
        <w:rPr>
          <w:rFonts w:asciiTheme="minorHAnsi" w:hAnsiTheme="minorHAnsi" w:cstheme="minorHAnsi"/>
          <w:color w:val="auto"/>
        </w:rPr>
        <w:t xml:space="preserve"> </w:t>
      </w:r>
      <w:r w:rsidR="00497829" w:rsidRPr="00163B8D">
        <w:rPr>
          <w:rFonts w:asciiTheme="minorHAnsi" w:hAnsiTheme="minorHAnsi" w:cstheme="minorHAnsi"/>
          <w:color w:val="auto"/>
        </w:rPr>
        <w:t>in more detail</w:t>
      </w:r>
      <w:r w:rsidR="004C137E" w:rsidRPr="00163B8D">
        <w:rPr>
          <w:rFonts w:asciiTheme="minorHAnsi" w:hAnsiTheme="minorHAnsi" w:cstheme="minorHAnsi"/>
          <w:color w:val="auto"/>
        </w:rPr>
        <w:t>.</w:t>
      </w:r>
    </w:p>
    <w:p w14:paraId="0030A922" w14:textId="77777777" w:rsidR="00407434" w:rsidRPr="00163B8D" w:rsidRDefault="00407434" w:rsidP="00407434">
      <w:pPr>
        <w:rPr>
          <w:rFonts w:asciiTheme="minorHAnsi" w:hAnsiTheme="minorHAnsi" w:cstheme="minorHAnsi"/>
          <w:color w:val="auto"/>
        </w:rPr>
      </w:pPr>
    </w:p>
    <w:bookmarkEnd w:id="3"/>
    <w:p w14:paraId="30700541" w14:textId="1416D507" w:rsidR="007555D5" w:rsidRDefault="00AF43F7" w:rsidP="00407434">
      <w:pPr>
        <w:rPr>
          <w:rFonts w:asciiTheme="minorHAnsi" w:hAnsiTheme="minorHAnsi" w:cstheme="minorHAnsi"/>
          <w:b/>
          <w:color w:val="auto"/>
        </w:rPr>
      </w:pPr>
      <w:r w:rsidRPr="00163B8D">
        <w:rPr>
          <w:rFonts w:asciiTheme="minorHAnsi" w:hAnsiTheme="minorHAnsi" w:cstheme="minorHAnsi"/>
          <w:b/>
          <w:color w:val="auto"/>
        </w:rPr>
        <w:t>PROTOCOL:</w:t>
      </w:r>
    </w:p>
    <w:p w14:paraId="5486671A" w14:textId="77777777" w:rsidR="00DE3C3B" w:rsidRPr="00163B8D" w:rsidRDefault="00DE3C3B" w:rsidP="00407434">
      <w:pPr>
        <w:rPr>
          <w:rFonts w:asciiTheme="minorHAnsi" w:hAnsiTheme="minorHAnsi" w:cstheme="minorHAnsi"/>
          <w:color w:val="auto"/>
        </w:rPr>
      </w:pPr>
    </w:p>
    <w:p w14:paraId="432E3E24" w14:textId="05C2D344" w:rsidR="00DE3C3B" w:rsidRPr="00163B8D" w:rsidRDefault="00AF43F7" w:rsidP="00407434">
      <w:pPr>
        <w:rPr>
          <w:rFonts w:asciiTheme="minorHAnsi" w:hAnsiTheme="minorHAnsi" w:cstheme="minorHAnsi"/>
          <w:strike/>
          <w:color w:val="auto"/>
        </w:rPr>
      </w:pPr>
      <w:r w:rsidRPr="00163B8D">
        <w:rPr>
          <w:rFonts w:asciiTheme="minorHAnsi" w:hAnsiTheme="minorHAnsi"/>
          <w:bCs/>
          <w:color w:val="auto"/>
        </w:rPr>
        <w:t xml:space="preserve">All animal procedures were conducted according to the </w:t>
      </w:r>
      <w:r w:rsidR="00CA4C71" w:rsidRPr="00163B8D">
        <w:rPr>
          <w:rFonts w:asciiTheme="minorHAnsi" w:hAnsiTheme="minorHAnsi"/>
          <w:bCs/>
          <w:color w:val="auto"/>
        </w:rPr>
        <w:t xml:space="preserve">guidelines of the </w:t>
      </w:r>
      <w:r w:rsidRPr="00163B8D">
        <w:rPr>
          <w:rFonts w:asciiTheme="minorHAnsi" w:hAnsiTheme="minorHAnsi"/>
          <w:bCs/>
          <w:color w:val="auto"/>
        </w:rPr>
        <w:t xml:space="preserve">Canadian Council on Animal Care and were approved by the Institutional Animal Care Committee of the Research Center of Centre </w:t>
      </w:r>
      <w:proofErr w:type="spellStart"/>
      <w:r w:rsidRPr="00163B8D">
        <w:rPr>
          <w:rFonts w:asciiTheme="minorHAnsi" w:hAnsiTheme="minorHAnsi"/>
          <w:bCs/>
          <w:color w:val="auto"/>
        </w:rPr>
        <w:t>Hospitalier</w:t>
      </w:r>
      <w:proofErr w:type="spellEnd"/>
      <w:r w:rsidRPr="00163B8D">
        <w:rPr>
          <w:rFonts w:asciiTheme="minorHAnsi" w:hAnsiTheme="minorHAnsi"/>
          <w:bCs/>
          <w:color w:val="auto"/>
        </w:rPr>
        <w:t xml:space="preserve"> de </w:t>
      </w:r>
      <w:proofErr w:type="spellStart"/>
      <w:r w:rsidRPr="00163B8D">
        <w:rPr>
          <w:rFonts w:asciiTheme="minorHAnsi" w:hAnsiTheme="minorHAnsi"/>
          <w:bCs/>
          <w:color w:val="auto"/>
        </w:rPr>
        <w:t>l'Université</w:t>
      </w:r>
      <w:proofErr w:type="spellEnd"/>
      <w:r w:rsidRPr="00163B8D">
        <w:rPr>
          <w:rFonts w:asciiTheme="minorHAnsi" w:hAnsiTheme="minorHAnsi"/>
          <w:bCs/>
          <w:color w:val="auto"/>
        </w:rPr>
        <w:t xml:space="preserve"> de Montréal (CRCHUM).</w:t>
      </w:r>
    </w:p>
    <w:p w14:paraId="6012C1EB" w14:textId="77777777" w:rsidR="00DE3C3B" w:rsidRPr="00163B8D" w:rsidRDefault="00DE3C3B" w:rsidP="00407434">
      <w:pPr>
        <w:rPr>
          <w:rFonts w:asciiTheme="minorHAnsi" w:hAnsiTheme="minorHAnsi" w:cstheme="minorHAnsi"/>
          <w:strike/>
          <w:color w:val="auto"/>
        </w:rPr>
      </w:pPr>
    </w:p>
    <w:p w14:paraId="4AA64237" w14:textId="75F7C7A1" w:rsidR="002C424E" w:rsidRPr="00163B8D" w:rsidRDefault="00AF43F7" w:rsidP="00407434">
      <w:pPr>
        <w:numPr>
          <w:ilvl w:val="0"/>
          <w:numId w:val="29"/>
        </w:numPr>
        <w:rPr>
          <w:color w:val="auto"/>
        </w:rPr>
      </w:pPr>
      <w:bookmarkStart w:id="4" w:name="_Hlk22714771"/>
      <w:r w:rsidRPr="00163B8D">
        <w:rPr>
          <w:b/>
          <w:color w:val="auto"/>
          <w:highlight w:val="yellow"/>
        </w:rPr>
        <w:t>Design and generati</w:t>
      </w:r>
      <w:r w:rsidR="00CA4C71" w:rsidRPr="00163B8D">
        <w:rPr>
          <w:b/>
          <w:color w:val="auto"/>
          <w:highlight w:val="yellow"/>
        </w:rPr>
        <w:t>on of</w:t>
      </w:r>
      <w:r w:rsidRPr="00163B8D">
        <w:rPr>
          <w:b/>
          <w:color w:val="auto"/>
          <w:highlight w:val="yellow"/>
        </w:rPr>
        <w:t xml:space="preserve"> the response plasmid expressing the gene of interest (GOI)</w:t>
      </w:r>
    </w:p>
    <w:p w14:paraId="049616AB" w14:textId="77777777" w:rsidR="00407434" w:rsidRDefault="00407434" w:rsidP="00407434">
      <w:pPr>
        <w:rPr>
          <w:color w:val="auto"/>
        </w:rPr>
      </w:pPr>
    </w:p>
    <w:p w14:paraId="67471CC2" w14:textId="1A5BD24C" w:rsidR="002C424E" w:rsidRPr="00163B8D" w:rsidRDefault="00407434" w:rsidP="00407434">
      <w:pPr>
        <w:numPr>
          <w:ilvl w:val="1"/>
          <w:numId w:val="29"/>
        </w:numPr>
        <w:rPr>
          <w:color w:val="auto"/>
        </w:rPr>
      </w:pPr>
      <w:r>
        <w:rPr>
          <w:color w:val="auto"/>
        </w:rPr>
        <w:t>Use</w:t>
      </w:r>
      <w:r w:rsidR="00AF43F7" w:rsidRPr="00163B8D">
        <w:rPr>
          <w:color w:val="auto"/>
        </w:rPr>
        <w:t xml:space="preserve"> an inducible tetracycline-off vector, such as </w:t>
      </w:r>
      <w:proofErr w:type="spellStart"/>
      <w:r w:rsidR="00AF43F7" w:rsidRPr="00163B8D">
        <w:rPr>
          <w:color w:val="auto"/>
        </w:rPr>
        <w:t>pTRE</w:t>
      </w:r>
      <w:proofErr w:type="spellEnd"/>
      <w:r w:rsidR="00AF43F7" w:rsidRPr="00163B8D">
        <w:rPr>
          <w:color w:val="auto"/>
        </w:rPr>
        <w:t>-</w:t>
      </w:r>
      <w:r w:rsidR="00112829" w:rsidRPr="00163B8D">
        <w:rPr>
          <w:color w:val="auto"/>
        </w:rPr>
        <w:t>Tight</w:t>
      </w:r>
      <w:r w:rsidR="00AF43F7" w:rsidRPr="00163B8D">
        <w:rPr>
          <w:color w:val="auto"/>
        </w:rPr>
        <w:t>.</w:t>
      </w:r>
    </w:p>
    <w:p w14:paraId="383D14BB" w14:textId="77777777" w:rsidR="00407434" w:rsidRPr="00407434" w:rsidRDefault="00407434" w:rsidP="00407434">
      <w:pPr>
        <w:rPr>
          <w:color w:val="auto"/>
        </w:rPr>
      </w:pPr>
    </w:p>
    <w:p w14:paraId="2E272415" w14:textId="5D1AC876" w:rsidR="002C424E" w:rsidRPr="00163B8D" w:rsidRDefault="00C96B3A" w:rsidP="00407434">
      <w:pPr>
        <w:numPr>
          <w:ilvl w:val="1"/>
          <w:numId w:val="29"/>
        </w:numPr>
        <w:rPr>
          <w:color w:val="auto"/>
        </w:rPr>
      </w:pPr>
      <w:r w:rsidRPr="00163B8D">
        <w:rPr>
          <w:color w:val="auto"/>
          <w:highlight w:val="yellow"/>
        </w:rPr>
        <w:t>Analyze the sequence of the GOI and the multiple cloning site (MCS) of the vector</w:t>
      </w:r>
      <w:r w:rsidR="00AF43F7" w:rsidRPr="00163B8D">
        <w:rPr>
          <w:color w:val="auto"/>
          <w:highlight w:val="yellow"/>
        </w:rPr>
        <w:t xml:space="preserve"> </w:t>
      </w:r>
      <w:r w:rsidRPr="00163B8D">
        <w:rPr>
          <w:color w:val="auto"/>
          <w:highlight w:val="yellow"/>
        </w:rPr>
        <w:t xml:space="preserve">to identify </w:t>
      </w:r>
      <w:r w:rsidR="00CA4C71" w:rsidRPr="00163B8D">
        <w:rPr>
          <w:color w:val="auto"/>
          <w:highlight w:val="yellow"/>
        </w:rPr>
        <w:t xml:space="preserve">the </w:t>
      </w:r>
      <w:r w:rsidRPr="00163B8D">
        <w:rPr>
          <w:color w:val="auto"/>
          <w:highlight w:val="yellow"/>
        </w:rPr>
        <w:t xml:space="preserve">restriction sites </w:t>
      </w:r>
      <w:r w:rsidR="00CA4C71" w:rsidRPr="00163B8D">
        <w:rPr>
          <w:color w:val="auto"/>
          <w:highlight w:val="yellow"/>
        </w:rPr>
        <w:t xml:space="preserve">in </w:t>
      </w:r>
      <w:r w:rsidRPr="00163B8D">
        <w:rPr>
          <w:color w:val="auto"/>
          <w:highlight w:val="yellow"/>
        </w:rPr>
        <w:t xml:space="preserve">the MCS that are not present </w:t>
      </w:r>
      <w:r w:rsidR="00CA4C71" w:rsidRPr="00163B8D">
        <w:rPr>
          <w:color w:val="auto"/>
          <w:highlight w:val="yellow"/>
        </w:rPr>
        <w:t xml:space="preserve">internally </w:t>
      </w:r>
      <w:r w:rsidRPr="00163B8D">
        <w:rPr>
          <w:color w:val="auto"/>
          <w:highlight w:val="yellow"/>
        </w:rPr>
        <w:t>in the GOI.</w:t>
      </w:r>
    </w:p>
    <w:p w14:paraId="6764BFF9" w14:textId="77777777" w:rsidR="00407434" w:rsidRDefault="00407434" w:rsidP="00407434">
      <w:pPr>
        <w:rPr>
          <w:color w:val="auto"/>
        </w:rPr>
      </w:pPr>
    </w:p>
    <w:p w14:paraId="2E9FF8CB" w14:textId="1330344A" w:rsidR="00640178" w:rsidRPr="00163B8D" w:rsidRDefault="00685388" w:rsidP="00407434">
      <w:pPr>
        <w:numPr>
          <w:ilvl w:val="1"/>
          <w:numId w:val="29"/>
        </w:numPr>
        <w:rPr>
          <w:color w:val="auto"/>
        </w:rPr>
      </w:pPr>
      <w:r w:rsidRPr="00163B8D">
        <w:rPr>
          <w:color w:val="auto"/>
        </w:rPr>
        <w:t>Isolate primary alveolar epithelial cells from male Sprague-Dawley rat lungs as described previously</w:t>
      </w:r>
      <w:r w:rsidR="009C472A" w:rsidRPr="00163B8D">
        <w:rPr>
          <w:color w:val="auto"/>
          <w:vertAlign w:val="superscript"/>
        </w:rPr>
        <w:t>1</w:t>
      </w:r>
      <w:r w:rsidR="00243BDA">
        <w:rPr>
          <w:color w:val="auto"/>
          <w:vertAlign w:val="superscript"/>
        </w:rPr>
        <w:t>9</w:t>
      </w:r>
      <w:r w:rsidR="009C472A" w:rsidRPr="00163B8D">
        <w:rPr>
          <w:color w:val="auto"/>
          <w:vertAlign w:val="superscript"/>
        </w:rPr>
        <w:t>,</w:t>
      </w:r>
      <w:r w:rsidR="00243BDA">
        <w:rPr>
          <w:color w:val="auto"/>
          <w:vertAlign w:val="superscript"/>
        </w:rPr>
        <w:t>20</w:t>
      </w:r>
      <w:r w:rsidR="00497829">
        <w:rPr>
          <w:color w:val="auto"/>
        </w:rPr>
        <w:t>.</w:t>
      </w:r>
    </w:p>
    <w:p w14:paraId="627ACBBA" w14:textId="21DBBC08" w:rsidR="00407434" w:rsidRDefault="00407434" w:rsidP="00407434">
      <w:pPr>
        <w:rPr>
          <w:color w:val="auto"/>
        </w:rPr>
      </w:pPr>
    </w:p>
    <w:p w14:paraId="4A18624E" w14:textId="18D2DC9E" w:rsidR="002C424E" w:rsidRPr="00163B8D" w:rsidRDefault="00AF43F7" w:rsidP="00407434">
      <w:pPr>
        <w:numPr>
          <w:ilvl w:val="1"/>
          <w:numId w:val="29"/>
        </w:numPr>
        <w:rPr>
          <w:color w:val="auto"/>
        </w:rPr>
      </w:pPr>
      <w:r w:rsidRPr="00163B8D">
        <w:rPr>
          <w:color w:val="auto"/>
        </w:rPr>
        <w:t xml:space="preserve">Purify </w:t>
      </w:r>
      <w:r w:rsidR="00497829">
        <w:rPr>
          <w:color w:val="auto"/>
        </w:rPr>
        <w:t xml:space="preserve">the </w:t>
      </w:r>
      <w:r w:rsidRPr="00163B8D">
        <w:rPr>
          <w:color w:val="auto"/>
        </w:rPr>
        <w:t xml:space="preserve">total RNA from </w:t>
      </w:r>
      <w:r w:rsidR="00497829">
        <w:rPr>
          <w:color w:val="auto"/>
        </w:rPr>
        <w:t xml:space="preserve">the </w:t>
      </w:r>
      <w:r w:rsidRPr="00163B8D">
        <w:rPr>
          <w:color w:val="auto"/>
        </w:rPr>
        <w:t>alveolar epithelial cells by RNA extraction using a standard method, such as phenol/chloroform extraction or</w:t>
      </w:r>
      <w:r w:rsidR="005B3711" w:rsidRPr="00163B8D">
        <w:rPr>
          <w:color w:val="auto"/>
        </w:rPr>
        <w:t xml:space="preserve"> the use of</w:t>
      </w:r>
      <w:r w:rsidRPr="00163B8D">
        <w:rPr>
          <w:color w:val="auto"/>
        </w:rPr>
        <w:t xml:space="preserve"> silica-based RNA spin columns.</w:t>
      </w:r>
    </w:p>
    <w:p w14:paraId="4C580E7E" w14:textId="77777777" w:rsidR="00407434" w:rsidRDefault="00407434" w:rsidP="00407434">
      <w:pPr>
        <w:rPr>
          <w:color w:val="auto"/>
        </w:rPr>
      </w:pPr>
    </w:p>
    <w:p w14:paraId="24802D05" w14:textId="1995DDF2" w:rsidR="002C424E" w:rsidRDefault="00AF43F7" w:rsidP="00407434">
      <w:pPr>
        <w:numPr>
          <w:ilvl w:val="1"/>
          <w:numId w:val="29"/>
        </w:numPr>
        <w:rPr>
          <w:color w:val="auto"/>
        </w:rPr>
      </w:pPr>
      <w:r w:rsidRPr="00163B8D">
        <w:rPr>
          <w:color w:val="auto"/>
        </w:rPr>
        <w:t>Reverse</w:t>
      </w:r>
      <w:r w:rsidR="005B3711" w:rsidRPr="00163B8D">
        <w:rPr>
          <w:color w:val="auto"/>
        </w:rPr>
        <w:t>-</w:t>
      </w:r>
      <w:r w:rsidRPr="00163B8D">
        <w:rPr>
          <w:color w:val="auto"/>
        </w:rPr>
        <w:t xml:space="preserve">transcribe </w:t>
      </w:r>
      <w:r w:rsidR="00497829">
        <w:rPr>
          <w:color w:val="auto"/>
        </w:rPr>
        <w:t xml:space="preserve">the </w:t>
      </w:r>
      <w:r w:rsidRPr="00163B8D">
        <w:rPr>
          <w:color w:val="auto"/>
        </w:rPr>
        <w:t xml:space="preserve">mRNA </w:t>
      </w:r>
      <w:r w:rsidR="005B3711" w:rsidRPr="00163B8D">
        <w:rPr>
          <w:color w:val="auto"/>
        </w:rPr>
        <w:t xml:space="preserve">into </w:t>
      </w:r>
      <w:r w:rsidRPr="00163B8D">
        <w:rPr>
          <w:color w:val="auto"/>
        </w:rPr>
        <w:t>complementary DNA (cDNA) using oligo(dT) and high-fidelity reverse transcriptase.</w:t>
      </w:r>
    </w:p>
    <w:p w14:paraId="25F5541E" w14:textId="77777777" w:rsidR="00407434" w:rsidRPr="00163B8D" w:rsidRDefault="00407434" w:rsidP="00407434">
      <w:pPr>
        <w:rPr>
          <w:color w:val="auto"/>
        </w:rPr>
      </w:pPr>
    </w:p>
    <w:p w14:paraId="644BD4C2" w14:textId="63EC6C03" w:rsidR="00640178" w:rsidRPr="00163B8D" w:rsidRDefault="002C424E" w:rsidP="00407434">
      <w:pPr>
        <w:numPr>
          <w:ilvl w:val="1"/>
          <w:numId w:val="29"/>
        </w:numPr>
        <w:rPr>
          <w:color w:val="auto"/>
        </w:rPr>
      </w:pPr>
      <w:r w:rsidRPr="00163B8D">
        <w:rPr>
          <w:color w:val="auto"/>
          <w:highlight w:val="yellow"/>
        </w:rPr>
        <w:t>Us</w:t>
      </w:r>
      <w:r w:rsidR="005B3711" w:rsidRPr="00163B8D">
        <w:rPr>
          <w:color w:val="auto"/>
          <w:highlight w:val="yellow"/>
        </w:rPr>
        <w:t>e</w:t>
      </w:r>
      <w:r w:rsidRPr="00163B8D">
        <w:rPr>
          <w:color w:val="auto"/>
          <w:highlight w:val="yellow"/>
        </w:rPr>
        <w:t xml:space="preserve"> high-fidelity </w:t>
      </w:r>
      <w:proofErr w:type="spellStart"/>
      <w:r w:rsidRPr="00163B8D">
        <w:rPr>
          <w:color w:val="auto"/>
          <w:highlight w:val="yellow"/>
        </w:rPr>
        <w:t>Taq</w:t>
      </w:r>
      <w:proofErr w:type="spellEnd"/>
      <w:r w:rsidRPr="00163B8D">
        <w:rPr>
          <w:color w:val="auto"/>
          <w:highlight w:val="yellow"/>
        </w:rPr>
        <w:t xml:space="preserve"> polymerase and standard overlap PCR techniques</w:t>
      </w:r>
      <w:r w:rsidR="005B3711" w:rsidRPr="00163B8D">
        <w:rPr>
          <w:color w:val="auto"/>
          <w:highlight w:val="yellow"/>
        </w:rPr>
        <w:t xml:space="preserve"> to</w:t>
      </w:r>
      <w:r w:rsidRPr="00163B8D">
        <w:rPr>
          <w:color w:val="auto"/>
          <w:highlight w:val="yellow"/>
        </w:rPr>
        <w:t xml:space="preserve"> flank the GOI with two selected restriction enzyme recognition sites using designed primers.</w:t>
      </w:r>
      <w:r w:rsidRPr="00163B8D">
        <w:rPr>
          <w:color w:val="auto"/>
        </w:rPr>
        <w:t xml:space="preserve"> </w:t>
      </w:r>
    </w:p>
    <w:p w14:paraId="4C2DFC4E" w14:textId="77777777" w:rsidR="00E57A87" w:rsidRPr="00163B8D" w:rsidRDefault="00E57A87" w:rsidP="00407434">
      <w:pPr>
        <w:rPr>
          <w:color w:val="auto"/>
        </w:rPr>
      </w:pPr>
    </w:p>
    <w:p w14:paraId="1B351068" w14:textId="6B3B99E3" w:rsidR="00640178" w:rsidRPr="00407434" w:rsidRDefault="00407434" w:rsidP="00407434">
      <w:pPr>
        <w:numPr>
          <w:ilvl w:val="2"/>
          <w:numId w:val="29"/>
        </w:numPr>
        <w:rPr>
          <w:color w:val="auto"/>
        </w:rPr>
      </w:pPr>
      <w:r>
        <w:rPr>
          <w:color w:val="auto"/>
          <w:highlight w:val="yellow"/>
        </w:rPr>
        <w:t xml:space="preserve">Have the </w:t>
      </w:r>
      <w:r w:rsidR="002C424E" w:rsidRPr="00163B8D">
        <w:rPr>
          <w:color w:val="auto"/>
          <w:highlight w:val="yellow"/>
        </w:rPr>
        <w:t>forward primer conta</w:t>
      </w:r>
      <w:r w:rsidR="002C424E" w:rsidRPr="00407434">
        <w:rPr>
          <w:color w:val="auto"/>
          <w:highlight w:val="yellow"/>
        </w:rPr>
        <w:t>in a Kozak consensus ribosome binding site</w:t>
      </w:r>
      <w:r w:rsidR="009C472A" w:rsidRPr="00407434">
        <w:rPr>
          <w:color w:val="auto"/>
          <w:highlight w:val="yellow"/>
          <w:vertAlign w:val="superscript"/>
        </w:rPr>
        <w:t>2</w:t>
      </w:r>
      <w:r w:rsidR="00243BDA">
        <w:rPr>
          <w:color w:val="auto"/>
          <w:highlight w:val="yellow"/>
          <w:vertAlign w:val="superscript"/>
        </w:rPr>
        <w:t>1</w:t>
      </w:r>
      <w:r w:rsidR="002C424E" w:rsidRPr="00407434">
        <w:rPr>
          <w:color w:val="auto"/>
          <w:highlight w:val="yellow"/>
        </w:rPr>
        <w:t xml:space="preserve"> to improve expression levels to study protein expression in parallel </w:t>
      </w:r>
      <w:r w:rsidR="005B3711" w:rsidRPr="00407434">
        <w:rPr>
          <w:color w:val="auto"/>
          <w:highlight w:val="yellow"/>
        </w:rPr>
        <w:t xml:space="preserve">with </w:t>
      </w:r>
      <w:r w:rsidR="002C424E" w:rsidRPr="00407434">
        <w:rPr>
          <w:color w:val="auto"/>
          <w:highlight w:val="yellow"/>
        </w:rPr>
        <w:t>mRNA stability</w:t>
      </w:r>
      <w:r>
        <w:rPr>
          <w:color w:val="auto"/>
          <w:highlight w:val="yellow"/>
        </w:rPr>
        <w:t>.</w:t>
      </w:r>
      <w:r w:rsidR="00AF43F7" w:rsidRPr="00407434">
        <w:rPr>
          <w:b/>
          <w:bCs/>
          <w:color w:val="auto"/>
          <w:highlight w:val="yellow"/>
        </w:rPr>
        <w:t xml:space="preserve"> </w:t>
      </w:r>
      <w:r w:rsidRPr="00EF4B5E">
        <w:rPr>
          <w:color w:val="auto"/>
          <w:highlight w:val="yellow"/>
        </w:rPr>
        <w:t>A</w:t>
      </w:r>
      <w:r w:rsidR="002C424E" w:rsidRPr="00EF4B5E">
        <w:rPr>
          <w:color w:val="auto"/>
          <w:highlight w:val="yellow"/>
        </w:rPr>
        <w:t xml:space="preserve"> sequence </w:t>
      </w:r>
      <w:r w:rsidR="005B3711" w:rsidRPr="00EF4B5E">
        <w:rPr>
          <w:color w:val="auto"/>
          <w:highlight w:val="yellow"/>
        </w:rPr>
        <w:t>en</w:t>
      </w:r>
      <w:r w:rsidR="000A732D" w:rsidRPr="00EF4B5E">
        <w:rPr>
          <w:color w:val="auto"/>
          <w:highlight w:val="yellow"/>
        </w:rPr>
        <w:t xml:space="preserve">coding the V5 epitope upstream of the GOI </w:t>
      </w:r>
      <w:r w:rsidR="005B3711" w:rsidRPr="00EF4B5E">
        <w:rPr>
          <w:color w:val="auto"/>
          <w:highlight w:val="yellow"/>
        </w:rPr>
        <w:t xml:space="preserve">must be included </w:t>
      </w:r>
      <w:r w:rsidR="000A732D" w:rsidRPr="00EF4B5E">
        <w:rPr>
          <w:color w:val="auto"/>
          <w:highlight w:val="yellow"/>
        </w:rPr>
        <w:t xml:space="preserve">to distinguish </w:t>
      </w:r>
      <w:r w:rsidR="005B3711" w:rsidRPr="00EF4B5E">
        <w:rPr>
          <w:color w:val="auto"/>
          <w:highlight w:val="yellow"/>
        </w:rPr>
        <w:t xml:space="preserve">the expression of the </w:t>
      </w:r>
      <w:r w:rsidR="00DB731E" w:rsidRPr="00EF4B5E">
        <w:rPr>
          <w:color w:val="auto"/>
          <w:highlight w:val="yellow"/>
        </w:rPr>
        <w:t>transfected</w:t>
      </w:r>
      <w:r w:rsidR="005B3711" w:rsidRPr="00EF4B5E">
        <w:rPr>
          <w:color w:val="auto"/>
          <w:highlight w:val="yellow"/>
        </w:rPr>
        <w:t xml:space="preserve"> GOI </w:t>
      </w:r>
      <w:r w:rsidR="000A732D" w:rsidRPr="00EF4B5E">
        <w:rPr>
          <w:color w:val="auto"/>
          <w:highlight w:val="yellow"/>
        </w:rPr>
        <w:t>from endogenous expression</w:t>
      </w:r>
      <w:r w:rsidR="000A732D" w:rsidRPr="00861CB3">
        <w:rPr>
          <w:color w:val="auto"/>
          <w:highlight w:val="yellow"/>
        </w:rPr>
        <w:t xml:space="preserve"> </w:t>
      </w:r>
      <w:r w:rsidR="000A732D" w:rsidRPr="00407434">
        <w:rPr>
          <w:color w:val="auto"/>
          <w:highlight w:val="yellow"/>
        </w:rPr>
        <w:t>(</w:t>
      </w:r>
      <w:r w:rsidR="000A732D" w:rsidRPr="00407434">
        <w:rPr>
          <w:b/>
          <w:bCs/>
          <w:color w:val="auto"/>
          <w:highlight w:val="yellow"/>
        </w:rPr>
        <w:t>Table 1</w:t>
      </w:r>
      <w:r w:rsidR="000A732D" w:rsidRPr="00407434">
        <w:rPr>
          <w:color w:val="auto"/>
          <w:highlight w:val="yellow"/>
        </w:rPr>
        <w:t>)</w:t>
      </w:r>
      <w:r w:rsidR="002C424E" w:rsidRPr="00407434">
        <w:rPr>
          <w:color w:val="auto"/>
          <w:highlight w:val="yellow"/>
        </w:rPr>
        <w:t>.</w:t>
      </w:r>
    </w:p>
    <w:p w14:paraId="5DC337FA" w14:textId="77777777" w:rsidR="00E57A87" w:rsidRPr="00163B8D" w:rsidRDefault="00E57A87" w:rsidP="00407434">
      <w:pPr>
        <w:rPr>
          <w:color w:val="auto"/>
        </w:rPr>
      </w:pPr>
    </w:p>
    <w:p w14:paraId="254755A0" w14:textId="5D3905AC" w:rsidR="002C424E" w:rsidRDefault="00407434" w:rsidP="00407434">
      <w:pPr>
        <w:numPr>
          <w:ilvl w:val="2"/>
          <w:numId w:val="29"/>
        </w:numPr>
        <w:rPr>
          <w:color w:val="auto"/>
        </w:rPr>
      </w:pPr>
      <w:r>
        <w:rPr>
          <w:color w:val="auto"/>
          <w:highlight w:val="yellow"/>
        </w:rPr>
        <w:t>Have t</w:t>
      </w:r>
      <w:r w:rsidR="00AF43F7" w:rsidRPr="00163B8D">
        <w:rPr>
          <w:color w:val="auto"/>
          <w:highlight w:val="yellow"/>
        </w:rPr>
        <w:t>he reverse primer contain a polyadenylation signal after the stop codon.</w:t>
      </w:r>
    </w:p>
    <w:p w14:paraId="5BFC4126" w14:textId="77777777" w:rsidR="00407434" w:rsidRPr="00163B8D" w:rsidRDefault="00407434" w:rsidP="00407434">
      <w:pPr>
        <w:rPr>
          <w:color w:val="auto"/>
        </w:rPr>
      </w:pPr>
    </w:p>
    <w:p w14:paraId="3CACB2DE" w14:textId="6015D3BD" w:rsidR="002C424E" w:rsidRDefault="00AF43F7" w:rsidP="00407434">
      <w:pPr>
        <w:numPr>
          <w:ilvl w:val="1"/>
          <w:numId w:val="29"/>
        </w:numPr>
        <w:rPr>
          <w:color w:val="auto"/>
        </w:rPr>
      </w:pPr>
      <w:r w:rsidRPr="00163B8D">
        <w:rPr>
          <w:color w:val="auto"/>
          <w:highlight w:val="yellow"/>
        </w:rPr>
        <w:t xml:space="preserve">Mutants can be generated by sequential deletion to study the </w:t>
      </w:r>
      <w:r w:rsidR="005B3711" w:rsidRPr="00163B8D">
        <w:rPr>
          <w:color w:val="auto"/>
          <w:highlight w:val="yellow"/>
        </w:rPr>
        <w:t xml:space="preserve">effects </w:t>
      </w:r>
      <w:r w:rsidRPr="00163B8D">
        <w:rPr>
          <w:color w:val="auto"/>
          <w:highlight w:val="yellow"/>
        </w:rPr>
        <w:t xml:space="preserve">of different 3' UTR regions </w:t>
      </w:r>
      <w:r w:rsidR="005B3711" w:rsidRPr="00163B8D">
        <w:rPr>
          <w:color w:val="auto"/>
          <w:highlight w:val="yellow"/>
        </w:rPr>
        <w:t>on</w:t>
      </w:r>
      <w:r w:rsidRPr="00163B8D">
        <w:rPr>
          <w:color w:val="auto"/>
          <w:highlight w:val="yellow"/>
        </w:rPr>
        <w:t xml:space="preserve"> </w:t>
      </w:r>
      <w:r w:rsidR="005B3711" w:rsidRPr="00163B8D">
        <w:rPr>
          <w:color w:val="auto"/>
          <w:highlight w:val="yellow"/>
        </w:rPr>
        <w:t xml:space="preserve">the </w:t>
      </w:r>
      <w:r w:rsidRPr="00163B8D">
        <w:rPr>
          <w:color w:val="auto"/>
          <w:highlight w:val="yellow"/>
        </w:rPr>
        <w:t xml:space="preserve">stability of the </w:t>
      </w:r>
      <w:r w:rsidR="005B3711" w:rsidRPr="00163B8D">
        <w:rPr>
          <w:color w:val="auto"/>
          <w:highlight w:val="yellow"/>
        </w:rPr>
        <w:t xml:space="preserve">mRNA of the </w:t>
      </w:r>
      <w:r w:rsidRPr="00163B8D">
        <w:rPr>
          <w:color w:val="auto"/>
          <w:highlight w:val="yellow"/>
        </w:rPr>
        <w:t xml:space="preserve">GOI using </w:t>
      </w:r>
      <w:r w:rsidR="00E8244B" w:rsidRPr="00163B8D">
        <w:rPr>
          <w:color w:val="auto"/>
          <w:highlight w:val="yellow"/>
        </w:rPr>
        <w:t xml:space="preserve">reverse primers </w:t>
      </w:r>
      <w:r w:rsidR="005B3711" w:rsidRPr="00163B8D">
        <w:rPr>
          <w:color w:val="auto"/>
          <w:highlight w:val="yellow"/>
        </w:rPr>
        <w:t>en</w:t>
      </w:r>
      <w:r w:rsidR="00E8244B" w:rsidRPr="00163B8D">
        <w:rPr>
          <w:color w:val="auto"/>
          <w:highlight w:val="yellow"/>
        </w:rPr>
        <w:t>coding a polyadenylation site that gradually deletes the 3’ end of the GOI 3’ UTR</w:t>
      </w:r>
      <w:r w:rsidR="00E8244B" w:rsidRPr="00163B8D">
        <w:rPr>
          <w:color w:val="auto"/>
        </w:rPr>
        <w:t xml:space="preserve"> (</w:t>
      </w:r>
      <w:r w:rsidR="00E8244B" w:rsidRPr="00163B8D">
        <w:rPr>
          <w:b/>
          <w:color w:val="auto"/>
        </w:rPr>
        <w:t>Figure 6</w:t>
      </w:r>
      <w:r w:rsidR="00E8244B" w:rsidRPr="00163B8D">
        <w:rPr>
          <w:color w:val="auto"/>
        </w:rPr>
        <w:t>). Alternat</w:t>
      </w:r>
      <w:r w:rsidR="005B3711" w:rsidRPr="00163B8D">
        <w:rPr>
          <w:color w:val="auto"/>
        </w:rPr>
        <w:t>ive</w:t>
      </w:r>
      <w:r w:rsidR="00E8244B" w:rsidRPr="00163B8D">
        <w:rPr>
          <w:color w:val="auto"/>
        </w:rPr>
        <w:t>ly, PCR-directed mutagenesis can be used to target a specific region of interest in the 3’ UTR</w:t>
      </w:r>
      <w:r w:rsidR="009C472A" w:rsidRPr="00163B8D">
        <w:rPr>
          <w:color w:val="auto"/>
          <w:vertAlign w:val="superscript"/>
        </w:rPr>
        <w:t>2</w:t>
      </w:r>
      <w:r w:rsidR="00243BDA">
        <w:rPr>
          <w:color w:val="auto"/>
          <w:vertAlign w:val="superscript"/>
        </w:rPr>
        <w:t>2</w:t>
      </w:r>
      <w:r w:rsidRPr="00163B8D">
        <w:rPr>
          <w:color w:val="auto"/>
        </w:rPr>
        <w:t>.</w:t>
      </w:r>
    </w:p>
    <w:p w14:paraId="4DDF48F6" w14:textId="77777777" w:rsidR="00407434" w:rsidRPr="00163B8D" w:rsidRDefault="00407434" w:rsidP="00407434">
      <w:pPr>
        <w:rPr>
          <w:color w:val="auto"/>
        </w:rPr>
      </w:pPr>
    </w:p>
    <w:p w14:paraId="4856BD06" w14:textId="4891F3D8" w:rsidR="002C424E" w:rsidRDefault="00AF43F7" w:rsidP="00407434">
      <w:pPr>
        <w:numPr>
          <w:ilvl w:val="1"/>
          <w:numId w:val="29"/>
        </w:numPr>
        <w:rPr>
          <w:color w:val="auto"/>
        </w:rPr>
      </w:pPr>
      <w:r w:rsidRPr="00163B8D">
        <w:rPr>
          <w:color w:val="auto"/>
        </w:rPr>
        <w:t xml:space="preserve">Digest the inducible vector and the insert with the </w:t>
      </w:r>
      <w:r w:rsidR="005B3711" w:rsidRPr="00163B8D">
        <w:rPr>
          <w:color w:val="auto"/>
        </w:rPr>
        <w:t xml:space="preserve">previously chosen </w:t>
      </w:r>
      <w:r w:rsidRPr="00163B8D">
        <w:rPr>
          <w:color w:val="auto"/>
        </w:rPr>
        <w:t xml:space="preserve">restriction enzymes at the </w:t>
      </w:r>
      <w:r w:rsidR="005B3711" w:rsidRPr="00163B8D">
        <w:rPr>
          <w:color w:val="auto"/>
        </w:rPr>
        <w:t>appropriate</w:t>
      </w:r>
      <w:r w:rsidRPr="00163B8D">
        <w:rPr>
          <w:color w:val="auto"/>
        </w:rPr>
        <w:t xml:space="preserve"> </w:t>
      </w:r>
      <w:r w:rsidR="005B3711" w:rsidRPr="00163B8D">
        <w:rPr>
          <w:color w:val="auto"/>
        </w:rPr>
        <w:t xml:space="preserve">incubation </w:t>
      </w:r>
      <w:r w:rsidRPr="00163B8D">
        <w:rPr>
          <w:color w:val="auto"/>
        </w:rPr>
        <w:t xml:space="preserve">temperature for </w:t>
      </w:r>
      <w:r w:rsidR="00497829" w:rsidRPr="009F3718">
        <w:rPr>
          <w:color w:val="auto"/>
        </w:rPr>
        <w:t>1</w:t>
      </w:r>
      <w:r w:rsidR="00497829" w:rsidRPr="00163B8D">
        <w:rPr>
          <w:color w:val="auto"/>
        </w:rPr>
        <w:t xml:space="preserve"> </w:t>
      </w:r>
      <w:r w:rsidR="00497829" w:rsidRPr="009F3718">
        <w:rPr>
          <w:color w:val="auto"/>
        </w:rPr>
        <w:t>h</w:t>
      </w:r>
      <w:r w:rsidRPr="00163B8D">
        <w:rPr>
          <w:color w:val="auto"/>
        </w:rPr>
        <w:t xml:space="preserve">, followed by treatment with phosphatase </w:t>
      </w:r>
      <w:r w:rsidR="005B3711" w:rsidRPr="00163B8D">
        <w:rPr>
          <w:color w:val="auto"/>
        </w:rPr>
        <w:t xml:space="preserve">during </w:t>
      </w:r>
      <w:r w:rsidRPr="00163B8D">
        <w:rPr>
          <w:color w:val="auto"/>
        </w:rPr>
        <w:lastRenderedPageBreak/>
        <w:t xml:space="preserve">the vector reaction for 30 </w:t>
      </w:r>
      <w:r w:rsidR="00497829" w:rsidRPr="009F3718">
        <w:rPr>
          <w:color w:val="auto"/>
        </w:rPr>
        <w:t>min</w:t>
      </w:r>
      <w:r w:rsidR="00497829" w:rsidRPr="00163B8D">
        <w:rPr>
          <w:color w:val="auto"/>
        </w:rPr>
        <w:t xml:space="preserve"> </w:t>
      </w:r>
      <w:r w:rsidRPr="00163B8D">
        <w:rPr>
          <w:color w:val="auto"/>
        </w:rPr>
        <w:t>to avoid self-ligation.</w:t>
      </w:r>
    </w:p>
    <w:p w14:paraId="79E2FAE9" w14:textId="77777777" w:rsidR="00407434" w:rsidRPr="00163B8D" w:rsidRDefault="00407434" w:rsidP="00407434">
      <w:pPr>
        <w:rPr>
          <w:color w:val="auto"/>
        </w:rPr>
      </w:pPr>
    </w:p>
    <w:p w14:paraId="429E68DE" w14:textId="41A061AB" w:rsidR="002C424E" w:rsidRDefault="00861CB3" w:rsidP="00407434">
      <w:pPr>
        <w:numPr>
          <w:ilvl w:val="1"/>
          <w:numId w:val="29"/>
        </w:numPr>
        <w:rPr>
          <w:color w:val="auto"/>
        </w:rPr>
      </w:pPr>
      <w:r w:rsidRPr="00163B8D">
        <w:rPr>
          <w:color w:val="auto"/>
        </w:rPr>
        <w:t xml:space="preserve">Separate </w:t>
      </w:r>
      <w:r w:rsidR="00AF43F7" w:rsidRPr="00163B8D">
        <w:rPr>
          <w:color w:val="auto"/>
        </w:rPr>
        <w:t xml:space="preserve">the </w:t>
      </w:r>
      <w:r w:rsidRPr="00163B8D">
        <w:rPr>
          <w:color w:val="auto"/>
        </w:rPr>
        <w:t xml:space="preserve">digested vector and insert </w:t>
      </w:r>
      <w:r w:rsidR="00AF43F7" w:rsidRPr="00163B8D">
        <w:rPr>
          <w:color w:val="auto"/>
        </w:rPr>
        <w:t>segments by electrophoresis</w:t>
      </w:r>
      <w:r w:rsidR="00112829" w:rsidRPr="00112829">
        <w:rPr>
          <w:color w:val="auto"/>
        </w:rPr>
        <w:t xml:space="preserve"> </w:t>
      </w:r>
      <w:r w:rsidR="00112829">
        <w:rPr>
          <w:color w:val="auto"/>
        </w:rPr>
        <w:t xml:space="preserve">in </w:t>
      </w:r>
      <w:r w:rsidR="00112829" w:rsidRPr="00163B8D">
        <w:rPr>
          <w:color w:val="auto"/>
        </w:rPr>
        <w:t>a 1</w:t>
      </w:r>
      <w:r w:rsidR="00112829" w:rsidRPr="009F3718">
        <w:rPr>
          <w:color w:val="auto"/>
        </w:rPr>
        <w:t>–</w:t>
      </w:r>
      <w:r w:rsidR="00112829" w:rsidRPr="00163B8D">
        <w:rPr>
          <w:color w:val="auto"/>
        </w:rPr>
        <w:t>1.5% agarose gel (concentration depending on the size of the insert)</w:t>
      </w:r>
      <w:r w:rsidR="00AF43F7" w:rsidRPr="00163B8D">
        <w:rPr>
          <w:color w:val="auto"/>
        </w:rPr>
        <w:t>.</w:t>
      </w:r>
    </w:p>
    <w:p w14:paraId="18F66DB5" w14:textId="77777777" w:rsidR="00407434" w:rsidRPr="00163B8D" w:rsidRDefault="00407434" w:rsidP="00407434">
      <w:pPr>
        <w:rPr>
          <w:color w:val="auto"/>
        </w:rPr>
      </w:pPr>
    </w:p>
    <w:p w14:paraId="5229F6BF" w14:textId="2D232B78" w:rsidR="002C424E" w:rsidRDefault="00AF43F7" w:rsidP="00407434">
      <w:pPr>
        <w:numPr>
          <w:ilvl w:val="1"/>
          <w:numId w:val="29"/>
        </w:numPr>
        <w:rPr>
          <w:color w:val="auto"/>
        </w:rPr>
      </w:pPr>
      <w:r w:rsidRPr="00163B8D">
        <w:rPr>
          <w:color w:val="auto"/>
        </w:rPr>
        <w:t>Using a blade and a UV light, collect the DNA fragments containing the desired insert and vector to be ligated.</w:t>
      </w:r>
    </w:p>
    <w:p w14:paraId="44AD78F3" w14:textId="77777777" w:rsidR="00407434" w:rsidRPr="00163B8D" w:rsidRDefault="00407434" w:rsidP="00407434">
      <w:pPr>
        <w:rPr>
          <w:color w:val="auto"/>
        </w:rPr>
      </w:pPr>
    </w:p>
    <w:p w14:paraId="2EEBDF05" w14:textId="0194D9D0" w:rsidR="002C424E" w:rsidRDefault="001C06C1" w:rsidP="00407434">
      <w:pPr>
        <w:rPr>
          <w:color w:val="auto"/>
        </w:rPr>
      </w:pPr>
      <w:r w:rsidRPr="00163B8D">
        <w:rPr>
          <w:color w:val="auto"/>
        </w:rPr>
        <w:t>NOTE: The protocol can be paused here.</w:t>
      </w:r>
    </w:p>
    <w:p w14:paraId="4674AA39" w14:textId="77777777" w:rsidR="00407434" w:rsidRPr="00163B8D" w:rsidRDefault="00407434" w:rsidP="00407434">
      <w:pPr>
        <w:rPr>
          <w:color w:val="auto"/>
        </w:rPr>
      </w:pPr>
    </w:p>
    <w:p w14:paraId="29D7904B" w14:textId="1659DFA8" w:rsidR="002C424E" w:rsidRDefault="00AF43F7" w:rsidP="00407434">
      <w:pPr>
        <w:numPr>
          <w:ilvl w:val="1"/>
          <w:numId w:val="29"/>
        </w:numPr>
        <w:rPr>
          <w:color w:val="auto"/>
        </w:rPr>
      </w:pPr>
      <w:r w:rsidRPr="00163B8D">
        <w:rPr>
          <w:color w:val="auto"/>
        </w:rPr>
        <w:t xml:space="preserve">Purify the collected segments from </w:t>
      </w:r>
      <w:r w:rsidR="005B3711" w:rsidRPr="00163B8D">
        <w:rPr>
          <w:color w:val="auto"/>
        </w:rPr>
        <w:t xml:space="preserve">the </w:t>
      </w:r>
      <w:r w:rsidRPr="00163B8D">
        <w:rPr>
          <w:color w:val="auto"/>
        </w:rPr>
        <w:t>agarose gel using a silica-based PCR purification kit and measure the concentration by spectrophotometry at 260 nm.</w:t>
      </w:r>
    </w:p>
    <w:p w14:paraId="7BD8AC76" w14:textId="77777777" w:rsidR="00407434" w:rsidRPr="00163B8D" w:rsidRDefault="00407434" w:rsidP="00407434">
      <w:pPr>
        <w:rPr>
          <w:color w:val="auto"/>
        </w:rPr>
      </w:pPr>
    </w:p>
    <w:p w14:paraId="4DC7600B" w14:textId="6A9C2DBA" w:rsidR="002C424E" w:rsidRDefault="00AF43F7" w:rsidP="00407434">
      <w:pPr>
        <w:numPr>
          <w:ilvl w:val="1"/>
          <w:numId w:val="29"/>
        </w:numPr>
        <w:rPr>
          <w:color w:val="auto"/>
        </w:rPr>
      </w:pPr>
      <w:r w:rsidRPr="00163B8D">
        <w:rPr>
          <w:color w:val="auto"/>
        </w:rPr>
        <w:t xml:space="preserve">Ligate the GOI and the inducible vector with T4 DNA ligase using a </w:t>
      </w:r>
      <w:proofErr w:type="spellStart"/>
      <w:proofErr w:type="gramStart"/>
      <w:r w:rsidRPr="00163B8D">
        <w:rPr>
          <w:color w:val="auto"/>
        </w:rPr>
        <w:t>vector:insert</w:t>
      </w:r>
      <w:proofErr w:type="spellEnd"/>
      <w:proofErr w:type="gramEnd"/>
      <w:r w:rsidRPr="00163B8D">
        <w:rPr>
          <w:color w:val="auto"/>
        </w:rPr>
        <w:t xml:space="preserve"> molar ratio of 1:3 to increase the probability of ligation. Incubate the reaction at room temperature </w:t>
      </w:r>
      <w:r w:rsidR="007D38EE">
        <w:rPr>
          <w:color w:val="auto"/>
        </w:rPr>
        <w:t xml:space="preserve">(RT) </w:t>
      </w:r>
      <w:r w:rsidRPr="00163B8D">
        <w:rPr>
          <w:color w:val="auto"/>
        </w:rPr>
        <w:t>for 3 h.</w:t>
      </w:r>
    </w:p>
    <w:p w14:paraId="078C85F7" w14:textId="77777777" w:rsidR="00407434" w:rsidRPr="00163B8D" w:rsidRDefault="00407434" w:rsidP="00407434">
      <w:pPr>
        <w:rPr>
          <w:color w:val="auto"/>
        </w:rPr>
      </w:pPr>
    </w:p>
    <w:p w14:paraId="74BC54D1" w14:textId="787F2B80" w:rsidR="00E57A87" w:rsidRDefault="00AF43F7" w:rsidP="00407434">
      <w:pPr>
        <w:numPr>
          <w:ilvl w:val="1"/>
          <w:numId w:val="29"/>
        </w:numPr>
        <w:rPr>
          <w:color w:val="auto"/>
        </w:rPr>
      </w:pPr>
      <w:r w:rsidRPr="00163B8D">
        <w:rPr>
          <w:color w:val="auto"/>
        </w:rPr>
        <w:t>Transform the ligation reaction into competent E. coli (DH5α).</w:t>
      </w:r>
    </w:p>
    <w:p w14:paraId="66FD00B6" w14:textId="77777777" w:rsidR="00407434" w:rsidRPr="00163B8D" w:rsidRDefault="00407434" w:rsidP="00407434">
      <w:pPr>
        <w:rPr>
          <w:color w:val="auto"/>
        </w:rPr>
      </w:pPr>
    </w:p>
    <w:p w14:paraId="780ED96C" w14:textId="33FBF992" w:rsidR="002C424E" w:rsidRDefault="00AF43F7" w:rsidP="00407434">
      <w:pPr>
        <w:numPr>
          <w:ilvl w:val="2"/>
          <w:numId w:val="29"/>
        </w:numPr>
        <w:rPr>
          <w:color w:val="auto"/>
        </w:rPr>
      </w:pPr>
      <w:r w:rsidRPr="00163B8D">
        <w:rPr>
          <w:color w:val="auto"/>
        </w:rPr>
        <w:t>Add 1</w:t>
      </w:r>
      <w:r w:rsidR="00497829" w:rsidRPr="009F3718">
        <w:rPr>
          <w:color w:val="auto"/>
        </w:rPr>
        <w:t>–</w:t>
      </w:r>
      <w:r w:rsidRPr="00163B8D">
        <w:rPr>
          <w:color w:val="auto"/>
        </w:rPr>
        <w:t xml:space="preserve">10 ng of vector </w:t>
      </w:r>
      <w:r w:rsidR="00362D8B">
        <w:rPr>
          <w:color w:val="auto"/>
        </w:rPr>
        <w:t>and</w:t>
      </w:r>
      <w:r w:rsidRPr="00163B8D">
        <w:rPr>
          <w:color w:val="auto"/>
        </w:rPr>
        <w:t xml:space="preserve"> gene to a tube containing 100 µL of competent cells. Incubate</w:t>
      </w:r>
      <w:r w:rsidR="005B3711" w:rsidRPr="00163B8D">
        <w:rPr>
          <w:color w:val="auto"/>
        </w:rPr>
        <w:t xml:space="preserve"> the cells</w:t>
      </w:r>
      <w:r w:rsidRPr="00163B8D">
        <w:rPr>
          <w:color w:val="auto"/>
        </w:rPr>
        <w:t xml:space="preserve"> on ice for 30 </w:t>
      </w:r>
      <w:r w:rsidR="00362D8B">
        <w:rPr>
          <w:color w:val="auto"/>
        </w:rPr>
        <w:t>min</w:t>
      </w:r>
      <w:r w:rsidRPr="00163B8D">
        <w:rPr>
          <w:color w:val="auto"/>
        </w:rPr>
        <w:t xml:space="preserve"> and</w:t>
      </w:r>
      <w:r w:rsidR="005B3711" w:rsidRPr="00163B8D">
        <w:rPr>
          <w:color w:val="auto"/>
        </w:rPr>
        <w:t xml:space="preserve"> then</w:t>
      </w:r>
      <w:r w:rsidRPr="00163B8D">
        <w:rPr>
          <w:color w:val="auto"/>
        </w:rPr>
        <w:t xml:space="preserve"> heat-shock cells at 42 °C for 45 </w:t>
      </w:r>
      <w:r w:rsidR="00362D8B">
        <w:rPr>
          <w:color w:val="auto"/>
        </w:rPr>
        <w:t>s</w:t>
      </w:r>
      <w:r w:rsidRPr="00163B8D">
        <w:rPr>
          <w:color w:val="auto"/>
        </w:rPr>
        <w:t xml:space="preserve">. Place the tube on ice for 2 </w:t>
      </w:r>
      <w:r w:rsidR="00362D8B">
        <w:rPr>
          <w:color w:val="auto"/>
        </w:rPr>
        <w:t>min</w:t>
      </w:r>
      <w:r w:rsidR="00DB731E" w:rsidRPr="00163B8D">
        <w:rPr>
          <w:color w:val="auto"/>
        </w:rPr>
        <w:t xml:space="preserve"> </w:t>
      </w:r>
      <w:r w:rsidRPr="00163B8D">
        <w:rPr>
          <w:color w:val="auto"/>
        </w:rPr>
        <w:t xml:space="preserve">and add 900 µL of </w:t>
      </w:r>
      <w:r w:rsidR="007D38EE">
        <w:rPr>
          <w:color w:val="auto"/>
        </w:rPr>
        <w:t>RT</w:t>
      </w:r>
      <w:r w:rsidRPr="00163B8D">
        <w:rPr>
          <w:color w:val="auto"/>
        </w:rPr>
        <w:t xml:space="preserve"> LB medium. Incubate </w:t>
      </w:r>
      <w:r w:rsidR="005B3711" w:rsidRPr="00163B8D">
        <w:rPr>
          <w:color w:val="auto"/>
        </w:rPr>
        <w:t xml:space="preserve">the cells </w:t>
      </w:r>
      <w:r w:rsidRPr="00163B8D">
        <w:rPr>
          <w:color w:val="auto"/>
        </w:rPr>
        <w:t xml:space="preserve">for 1 h at 37 °C </w:t>
      </w:r>
      <w:r w:rsidR="005B3711" w:rsidRPr="00163B8D">
        <w:rPr>
          <w:color w:val="auto"/>
        </w:rPr>
        <w:t>with shaking</w:t>
      </w:r>
      <w:r w:rsidRPr="00163B8D">
        <w:rPr>
          <w:color w:val="auto"/>
        </w:rPr>
        <w:t xml:space="preserve"> at 225 rpm.</w:t>
      </w:r>
    </w:p>
    <w:p w14:paraId="439A56A4" w14:textId="77777777" w:rsidR="00407434" w:rsidRPr="00163B8D" w:rsidRDefault="00407434" w:rsidP="00407434">
      <w:pPr>
        <w:rPr>
          <w:color w:val="auto"/>
        </w:rPr>
      </w:pPr>
    </w:p>
    <w:p w14:paraId="6CB7FC0B" w14:textId="7B4E1C4C" w:rsidR="002C424E" w:rsidRDefault="00AF43F7" w:rsidP="00407434">
      <w:pPr>
        <w:numPr>
          <w:ilvl w:val="2"/>
          <w:numId w:val="29"/>
        </w:numPr>
        <w:rPr>
          <w:color w:val="auto"/>
        </w:rPr>
      </w:pPr>
      <w:r w:rsidRPr="00163B8D">
        <w:rPr>
          <w:color w:val="auto"/>
        </w:rPr>
        <w:t xml:space="preserve">Spread 100 µL of the reaction on an LB agar plate with </w:t>
      </w:r>
      <w:r w:rsidR="005B3711" w:rsidRPr="00163B8D">
        <w:rPr>
          <w:color w:val="auto"/>
        </w:rPr>
        <w:t xml:space="preserve">a </w:t>
      </w:r>
      <w:r w:rsidRPr="00163B8D">
        <w:rPr>
          <w:color w:val="auto"/>
        </w:rPr>
        <w:t xml:space="preserve">suitable antibiotic (e.g., 100 µg/mL ampicillin for </w:t>
      </w:r>
      <w:r w:rsidR="005B3711" w:rsidRPr="00163B8D">
        <w:rPr>
          <w:color w:val="auto"/>
        </w:rPr>
        <w:t xml:space="preserve">the </w:t>
      </w:r>
      <w:proofErr w:type="spellStart"/>
      <w:r w:rsidRPr="00163B8D">
        <w:rPr>
          <w:color w:val="auto"/>
        </w:rPr>
        <w:t>pTRE</w:t>
      </w:r>
      <w:proofErr w:type="spellEnd"/>
      <w:r w:rsidRPr="00163B8D">
        <w:rPr>
          <w:color w:val="auto"/>
        </w:rPr>
        <w:t>-</w:t>
      </w:r>
      <w:r w:rsidR="00112829" w:rsidRPr="00163B8D">
        <w:rPr>
          <w:color w:val="auto"/>
        </w:rPr>
        <w:t xml:space="preserve">Tight </w:t>
      </w:r>
      <w:r w:rsidRPr="00163B8D">
        <w:rPr>
          <w:color w:val="auto"/>
        </w:rPr>
        <w:t>vector) to select the transformed bacteria</w:t>
      </w:r>
      <w:r w:rsidR="005B3711" w:rsidRPr="00163B8D">
        <w:rPr>
          <w:color w:val="auto"/>
        </w:rPr>
        <w:t>. I</w:t>
      </w:r>
      <w:r w:rsidRPr="00163B8D">
        <w:rPr>
          <w:color w:val="auto"/>
        </w:rPr>
        <w:t xml:space="preserve">ncubate </w:t>
      </w:r>
      <w:r w:rsidR="005B3711" w:rsidRPr="00163B8D">
        <w:rPr>
          <w:color w:val="auto"/>
        </w:rPr>
        <w:t>th</w:t>
      </w:r>
      <w:r w:rsidR="008F3D50">
        <w:rPr>
          <w:color w:val="auto"/>
        </w:rPr>
        <w:t>e</w:t>
      </w:r>
      <w:r w:rsidR="005B3711" w:rsidRPr="00163B8D">
        <w:rPr>
          <w:color w:val="auto"/>
        </w:rPr>
        <w:t xml:space="preserve"> plate </w:t>
      </w:r>
      <w:r w:rsidRPr="00163B8D">
        <w:rPr>
          <w:color w:val="auto"/>
        </w:rPr>
        <w:t>overnight at 37 °C.</w:t>
      </w:r>
    </w:p>
    <w:p w14:paraId="3D022030" w14:textId="77777777" w:rsidR="00407434" w:rsidRPr="00163B8D" w:rsidRDefault="00407434" w:rsidP="00407434">
      <w:pPr>
        <w:rPr>
          <w:color w:val="auto"/>
        </w:rPr>
      </w:pPr>
    </w:p>
    <w:p w14:paraId="694D1CEB" w14:textId="1B93831D" w:rsidR="002C424E" w:rsidRDefault="00AF43F7" w:rsidP="00407434">
      <w:pPr>
        <w:numPr>
          <w:ilvl w:val="2"/>
          <w:numId w:val="29"/>
        </w:numPr>
        <w:rPr>
          <w:color w:val="auto"/>
        </w:rPr>
      </w:pPr>
      <w:r w:rsidRPr="00163B8D">
        <w:rPr>
          <w:color w:val="auto"/>
        </w:rPr>
        <w:t xml:space="preserve">Select individual colonies using an inoculation loop or a 20 µL tip and incubate overnight in 5 mL LB medium containing the suitable antibiotic at 37 °C </w:t>
      </w:r>
      <w:r w:rsidR="005B3711" w:rsidRPr="00163B8D">
        <w:rPr>
          <w:color w:val="auto"/>
        </w:rPr>
        <w:t>with shaking</w:t>
      </w:r>
      <w:r w:rsidRPr="00163B8D">
        <w:rPr>
          <w:color w:val="auto"/>
        </w:rPr>
        <w:t xml:space="preserve">. </w:t>
      </w:r>
      <w:r w:rsidR="005B3711" w:rsidRPr="00163B8D">
        <w:rPr>
          <w:color w:val="auto"/>
        </w:rPr>
        <w:t>The t</w:t>
      </w:r>
      <w:r w:rsidRPr="00163B8D">
        <w:rPr>
          <w:color w:val="auto"/>
        </w:rPr>
        <w:t>ransformed bacteria may be stored in glycerol stocks at -80 °C at a ratio of 400:600</w:t>
      </w:r>
      <w:r w:rsidR="005B3711" w:rsidRPr="00163B8D">
        <w:rPr>
          <w:color w:val="auto"/>
        </w:rPr>
        <w:t xml:space="preserve"> of</w:t>
      </w:r>
      <w:r w:rsidRPr="00163B8D">
        <w:rPr>
          <w:color w:val="auto"/>
        </w:rPr>
        <w:t xml:space="preserve"> LB medium to glycerol.</w:t>
      </w:r>
    </w:p>
    <w:p w14:paraId="3AFC9E60" w14:textId="77777777" w:rsidR="00407434" w:rsidRPr="00163B8D" w:rsidRDefault="00407434" w:rsidP="00407434">
      <w:pPr>
        <w:rPr>
          <w:color w:val="auto"/>
        </w:rPr>
      </w:pPr>
    </w:p>
    <w:p w14:paraId="7BD40CF0" w14:textId="6573C27B" w:rsidR="00407434" w:rsidRPr="00407434" w:rsidRDefault="00AF43F7" w:rsidP="00407434">
      <w:pPr>
        <w:numPr>
          <w:ilvl w:val="1"/>
          <w:numId w:val="29"/>
        </w:numPr>
        <w:rPr>
          <w:color w:val="auto"/>
        </w:rPr>
      </w:pPr>
      <w:r w:rsidRPr="00163B8D">
        <w:rPr>
          <w:color w:val="auto"/>
        </w:rPr>
        <w:t xml:space="preserve">Extract </w:t>
      </w:r>
      <w:r w:rsidR="005B3711" w:rsidRPr="00163B8D">
        <w:rPr>
          <w:color w:val="auto"/>
        </w:rPr>
        <w:t xml:space="preserve">the </w:t>
      </w:r>
      <w:r w:rsidRPr="00163B8D">
        <w:rPr>
          <w:color w:val="auto"/>
        </w:rPr>
        <w:t xml:space="preserve">plasmid </w:t>
      </w:r>
      <w:r w:rsidR="005B3711" w:rsidRPr="00163B8D">
        <w:rPr>
          <w:color w:val="auto"/>
        </w:rPr>
        <w:t xml:space="preserve">DNA </w:t>
      </w:r>
      <w:r w:rsidRPr="00163B8D">
        <w:rPr>
          <w:color w:val="auto"/>
        </w:rPr>
        <w:t>using silica-based plasmid columns and measure the concentration by spectrophotometry at 260 nm</w:t>
      </w:r>
      <w:r w:rsidRPr="00163B8D">
        <w:rPr>
          <w:color w:val="auto"/>
          <w:highlight w:val="yellow"/>
        </w:rPr>
        <w:t>. Confirm the insertion of the GOI by restriction analysis</w:t>
      </w:r>
      <w:r w:rsidR="00AA6064" w:rsidRPr="00163B8D">
        <w:rPr>
          <w:color w:val="auto"/>
          <w:highlight w:val="yellow"/>
        </w:rPr>
        <w:t xml:space="preserve"> and</w:t>
      </w:r>
      <w:r w:rsidRPr="00163B8D">
        <w:rPr>
          <w:color w:val="auto"/>
          <w:highlight w:val="yellow"/>
        </w:rPr>
        <w:t xml:space="preserve"> its orientation and the absence of mutation</w:t>
      </w:r>
      <w:r w:rsidR="00AA6064" w:rsidRPr="00163B8D">
        <w:rPr>
          <w:color w:val="auto"/>
          <w:highlight w:val="yellow"/>
        </w:rPr>
        <w:t>s</w:t>
      </w:r>
      <w:r w:rsidRPr="00163B8D">
        <w:rPr>
          <w:color w:val="auto"/>
          <w:highlight w:val="yellow"/>
        </w:rPr>
        <w:t xml:space="preserve"> potentially introduced during RT-PCR by sequencing.</w:t>
      </w:r>
    </w:p>
    <w:p w14:paraId="06C9B0B0" w14:textId="77777777" w:rsidR="00407434" w:rsidRPr="00163B8D" w:rsidRDefault="00407434" w:rsidP="00407434">
      <w:pPr>
        <w:rPr>
          <w:color w:val="auto"/>
        </w:rPr>
      </w:pPr>
    </w:p>
    <w:p w14:paraId="1E7304D7" w14:textId="020AEFC9" w:rsidR="002C424E" w:rsidRPr="00163B8D" w:rsidRDefault="00AF43F7" w:rsidP="00407434">
      <w:pPr>
        <w:numPr>
          <w:ilvl w:val="0"/>
          <w:numId w:val="29"/>
        </w:numPr>
        <w:rPr>
          <w:color w:val="auto"/>
        </w:rPr>
      </w:pPr>
      <w:r w:rsidRPr="00163B8D">
        <w:rPr>
          <w:b/>
          <w:color w:val="auto"/>
          <w:highlight w:val="yellow"/>
        </w:rPr>
        <w:t>Transfect</w:t>
      </w:r>
      <w:r w:rsidR="00AA6064" w:rsidRPr="00163B8D">
        <w:rPr>
          <w:b/>
          <w:color w:val="auto"/>
          <w:highlight w:val="yellow"/>
        </w:rPr>
        <w:t>ion of</w:t>
      </w:r>
      <w:r w:rsidRPr="00163B8D">
        <w:rPr>
          <w:b/>
          <w:color w:val="auto"/>
          <w:highlight w:val="yellow"/>
        </w:rPr>
        <w:t xml:space="preserve"> the response plasmid expressing the gene of interest (GOI) into primary alveolar epithelial cells</w:t>
      </w:r>
    </w:p>
    <w:p w14:paraId="744B8F0A" w14:textId="77777777" w:rsidR="00407434" w:rsidRPr="00407434" w:rsidRDefault="00407434" w:rsidP="00407434">
      <w:pPr>
        <w:rPr>
          <w:color w:val="auto"/>
        </w:rPr>
      </w:pPr>
    </w:p>
    <w:p w14:paraId="3D8D7EE7" w14:textId="63167670" w:rsidR="002C424E" w:rsidRPr="00163B8D" w:rsidRDefault="00AF43F7" w:rsidP="00407434">
      <w:pPr>
        <w:numPr>
          <w:ilvl w:val="1"/>
          <w:numId w:val="29"/>
        </w:numPr>
        <w:rPr>
          <w:color w:val="auto"/>
        </w:rPr>
      </w:pPr>
      <w:r w:rsidRPr="00163B8D">
        <w:rPr>
          <w:color w:val="auto"/>
          <w:highlight w:val="yellow"/>
        </w:rPr>
        <w:t>Isolate type II alveolar epithelial cells from rat lungs.</w:t>
      </w:r>
    </w:p>
    <w:p w14:paraId="620F1167" w14:textId="77777777" w:rsidR="00407434" w:rsidRPr="00407434" w:rsidRDefault="00407434" w:rsidP="00407434">
      <w:pPr>
        <w:rPr>
          <w:color w:val="auto"/>
        </w:rPr>
      </w:pPr>
    </w:p>
    <w:p w14:paraId="784A32BD" w14:textId="64A222EA" w:rsidR="002C424E" w:rsidRPr="00163B8D" w:rsidRDefault="00AF43F7" w:rsidP="00407434">
      <w:pPr>
        <w:numPr>
          <w:ilvl w:val="1"/>
          <w:numId w:val="29"/>
        </w:numPr>
        <w:rPr>
          <w:color w:val="auto"/>
        </w:rPr>
      </w:pPr>
      <w:r w:rsidRPr="00163B8D">
        <w:rPr>
          <w:color w:val="auto"/>
          <w:highlight w:val="yellow"/>
        </w:rPr>
        <w:t>Seed the cells at a density of 1</w:t>
      </w:r>
      <w:r w:rsidR="00362D8B">
        <w:rPr>
          <w:color w:val="auto"/>
          <w:highlight w:val="yellow"/>
        </w:rPr>
        <w:t xml:space="preserve"> </w:t>
      </w:r>
      <w:r w:rsidRPr="00163B8D">
        <w:rPr>
          <w:color w:val="auto"/>
          <w:highlight w:val="yellow"/>
        </w:rPr>
        <w:t>x</w:t>
      </w:r>
      <w:r w:rsidR="00362D8B">
        <w:rPr>
          <w:color w:val="auto"/>
          <w:highlight w:val="yellow"/>
        </w:rPr>
        <w:t xml:space="preserve"> </w:t>
      </w:r>
      <w:r w:rsidRPr="00163B8D">
        <w:rPr>
          <w:color w:val="auto"/>
          <w:highlight w:val="yellow"/>
        </w:rPr>
        <w:t>10</w:t>
      </w:r>
      <w:r w:rsidRPr="00163B8D">
        <w:rPr>
          <w:color w:val="auto"/>
          <w:highlight w:val="yellow"/>
          <w:vertAlign w:val="superscript"/>
        </w:rPr>
        <w:t>6</w:t>
      </w:r>
      <w:r w:rsidRPr="00163B8D">
        <w:rPr>
          <w:color w:val="auto"/>
          <w:highlight w:val="yellow"/>
        </w:rPr>
        <w:t xml:space="preserve"> cells/cm</w:t>
      </w:r>
      <w:r w:rsidRPr="00163B8D">
        <w:rPr>
          <w:color w:val="auto"/>
          <w:highlight w:val="yellow"/>
          <w:vertAlign w:val="superscript"/>
        </w:rPr>
        <w:t>2</w:t>
      </w:r>
      <w:r w:rsidRPr="00163B8D">
        <w:rPr>
          <w:color w:val="auto"/>
          <w:highlight w:val="yellow"/>
        </w:rPr>
        <w:t xml:space="preserve"> in 100 mm </w:t>
      </w:r>
      <w:r w:rsidR="00AA6064" w:rsidRPr="00163B8D">
        <w:rPr>
          <w:color w:val="auto"/>
          <w:highlight w:val="yellow"/>
        </w:rPr>
        <w:t>P</w:t>
      </w:r>
      <w:r w:rsidRPr="00163B8D">
        <w:rPr>
          <w:color w:val="auto"/>
          <w:highlight w:val="yellow"/>
        </w:rPr>
        <w:t>etri dishe</w:t>
      </w:r>
      <w:r w:rsidRPr="00407434">
        <w:rPr>
          <w:color w:val="auto"/>
          <w:highlight w:val="yellow"/>
        </w:rPr>
        <w:t xml:space="preserve">s with </w:t>
      </w:r>
      <w:r w:rsidR="00407434" w:rsidRPr="00407434">
        <w:rPr>
          <w:color w:val="auto"/>
          <w:highlight w:val="yellow"/>
        </w:rPr>
        <w:t xml:space="preserve">complete </w:t>
      </w:r>
      <w:r w:rsidR="00AA6064" w:rsidRPr="00407434">
        <w:rPr>
          <w:color w:val="auto"/>
          <w:highlight w:val="yellow"/>
        </w:rPr>
        <w:t xml:space="preserve">minimum essential medium </w:t>
      </w:r>
      <w:r w:rsidRPr="00407434">
        <w:rPr>
          <w:color w:val="auto"/>
          <w:highlight w:val="yellow"/>
        </w:rPr>
        <w:t>(</w:t>
      </w:r>
      <w:r w:rsidR="00407434" w:rsidRPr="00407434">
        <w:rPr>
          <w:color w:val="auto"/>
          <w:highlight w:val="yellow"/>
        </w:rPr>
        <w:t xml:space="preserve">complete </w:t>
      </w:r>
      <w:r w:rsidRPr="00407434">
        <w:rPr>
          <w:color w:val="auto"/>
          <w:highlight w:val="yellow"/>
        </w:rPr>
        <w:t>MEM)</w:t>
      </w:r>
      <w:r w:rsidR="00407434" w:rsidRPr="00407434">
        <w:rPr>
          <w:color w:val="auto"/>
          <w:highlight w:val="yellow"/>
        </w:rPr>
        <w:t>.</w:t>
      </w:r>
      <w:r w:rsidR="00407434">
        <w:rPr>
          <w:color w:val="auto"/>
        </w:rPr>
        <w:t xml:space="preserve"> Complete MEM is MEM</w:t>
      </w:r>
      <w:r w:rsidRPr="00163B8D">
        <w:rPr>
          <w:color w:val="auto"/>
        </w:rPr>
        <w:t xml:space="preserve"> supplemented with 10% FBS, 0.08 mg/L tobramycin, </w:t>
      </w:r>
      <w:proofErr w:type="spellStart"/>
      <w:r w:rsidRPr="00163B8D">
        <w:rPr>
          <w:color w:val="auto"/>
        </w:rPr>
        <w:t>Septra</w:t>
      </w:r>
      <w:proofErr w:type="spellEnd"/>
      <w:r w:rsidRPr="00163B8D">
        <w:rPr>
          <w:color w:val="auto"/>
        </w:rPr>
        <w:t xml:space="preserve"> (3 µg/mL trimethoprim and 17 µg/mL sulfamethoxazole), 0.2% NaHCO</w:t>
      </w:r>
      <w:r w:rsidRPr="00163B8D">
        <w:rPr>
          <w:color w:val="auto"/>
          <w:vertAlign w:val="subscript"/>
        </w:rPr>
        <w:t>3</w:t>
      </w:r>
      <w:r w:rsidRPr="00163B8D">
        <w:rPr>
          <w:color w:val="auto"/>
        </w:rPr>
        <w:t xml:space="preserve">, 0.01 M HEPES </w:t>
      </w:r>
      <w:r w:rsidR="00362D8B">
        <w:rPr>
          <w:color w:val="auto"/>
        </w:rPr>
        <w:t>(</w:t>
      </w:r>
      <w:r w:rsidRPr="00163B8D">
        <w:rPr>
          <w:color w:val="auto"/>
        </w:rPr>
        <w:t xml:space="preserve">pH </w:t>
      </w:r>
      <w:r w:rsidR="00362D8B">
        <w:rPr>
          <w:color w:val="auto"/>
        </w:rPr>
        <w:t xml:space="preserve">= </w:t>
      </w:r>
      <w:r w:rsidRPr="00163B8D">
        <w:rPr>
          <w:color w:val="auto"/>
        </w:rPr>
        <w:t>7.3</w:t>
      </w:r>
      <w:r w:rsidR="00362D8B">
        <w:rPr>
          <w:color w:val="auto"/>
        </w:rPr>
        <w:t>)</w:t>
      </w:r>
      <w:r w:rsidRPr="00163B8D">
        <w:rPr>
          <w:color w:val="auto"/>
        </w:rPr>
        <w:t>, and 2 mM L-glutamine</w:t>
      </w:r>
      <w:r w:rsidRPr="00407434">
        <w:rPr>
          <w:color w:val="auto"/>
        </w:rPr>
        <w:t xml:space="preserve">. </w:t>
      </w:r>
      <w:r w:rsidRPr="00163B8D">
        <w:rPr>
          <w:color w:val="auto"/>
          <w:highlight w:val="yellow"/>
        </w:rPr>
        <w:t xml:space="preserve">Culture the cells for 24 h at 37 °C </w:t>
      </w:r>
      <w:r w:rsidR="00AA6064" w:rsidRPr="00163B8D">
        <w:rPr>
          <w:color w:val="auto"/>
          <w:highlight w:val="yellow"/>
        </w:rPr>
        <w:t xml:space="preserve">in </w:t>
      </w:r>
      <w:r w:rsidRPr="00163B8D">
        <w:rPr>
          <w:color w:val="auto"/>
          <w:highlight w:val="yellow"/>
        </w:rPr>
        <w:t>5% CO</w:t>
      </w:r>
      <w:r w:rsidRPr="00163B8D">
        <w:rPr>
          <w:color w:val="auto"/>
          <w:highlight w:val="yellow"/>
          <w:vertAlign w:val="subscript"/>
        </w:rPr>
        <w:t>2</w:t>
      </w:r>
      <w:r w:rsidRPr="00163B8D">
        <w:rPr>
          <w:color w:val="auto"/>
          <w:highlight w:val="yellow"/>
        </w:rPr>
        <w:t xml:space="preserve"> in a </w:t>
      </w:r>
      <w:r w:rsidRPr="00163B8D">
        <w:rPr>
          <w:color w:val="auto"/>
          <w:highlight w:val="yellow"/>
        </w:rPr>
        <w:lastRenderedPageBreak/>
        <w:t>humidified incubator.</w:t>
      </w:r>
    </w:p>
    <w:p w14:paraId="78B3F737" w14:textId="77777777" w:rsidR="00407434" w:rsidRPr="00407434" w:rsidRDefault="00407434" w:rsidP="00407434">
      <w:pPr>
        <w:rPr>
          <w:color w:val="auto"/>
        </w:rPr>
      </w:pPr>
    </w:p>
    <w:p w14:paraId="51898029" w14:textId="13EF618E" w:rsidR="002C424E" w:rsidRPr="00163B8D" w:rsidRDefault="00AA6064" w:rsidP="00407434">
      <w:pPr>
        <w:numPr>
          <w:ilvl w:val="1"/>
          <w:numId w:val="29"/>
        </w:numPr>
        <w:rPr>
          <w:color w:val="auto"/>
        </w:rPr>
      </w:pPr>
      <w:r w:rsidRPr="00163B8D">
        <w:rPr>
          <w:color w:val="auto"/>
          <w:highlight w:val="yellow"/>
        </w:rPr>
        <w:t>On the next day</w:t>
      </w:r>
      <w:r w:rsidR="00AF43F7" w:rsidRPr="00163B8D">
        <w:rPr>
          <w:color w:val="auto"/>
          <w:highlight w:val="yellow"/>
        </w:rPr>
        <w:t xml:space="preserve">, place 500 µL of complete MEM </w:t>
      </w:r>
      <w:r w:rsidR="00AF43F7" w:rsidRPr="00EF4B5E">
        <w:rPr>
          <w:bCs/>
          <w:color w:val="auto"/>
          <w:highlight w:val="yellow"/>
        </w:rPr>
        <w:t>without antibiotic</w:t>
      </w:r>
      <w:r w:rsidR="00AF43F7" w:rsidRPr="00163B8D">
        <w:rPr>
          <w:color w:val="auto"/>
          <w:highlight w:val="yellow"/>
        </w:rPr>
        <w:t xml:space="preserve"> </w:t>
      </w:r>
      <w:r w:rsidRPr="00163B8D">
        <w:rPr>
          <w:color w:val="auto"/>
          <w:highlight w:val="yellow"/>
        </w:rPr>
        <w:t xml:space="preserve">in each </w:t>
      </w:r>
      <w:r w:rsidR="00AF43F7" w:rsidRPr="00163B8D">
        <w:rPr>
          <w:color w:val="auto"/>
          <w:highlight w:val="yellow"/>
        </w:rPr>
        <w:t xml:space="preserve">well </w:t>
      </w:r>
      <w:r w:rsidRPr="00163B8D">
        <w:rPr>
          <w:color w:val="auto"/>
          <w:highlight w:val="yellow"/>
        </w:rPr>
        <w:t xml:space="preserve">of </w:t>
      </w:r>
      <w:r w:rsidR="00AF43F7" w:rsidRPr="00163B8D">
        <w:rPr>
          <w:color w:val="auto"/>
          <w:highlight w:val="yellow"/>
        </w:rPr>
        <w:t>a new 12</w:t>
      </w:r>
      <w:r w:rsidR="00362D8B">
        <w:rPr>
          <w:color w:val="auto"/>
          <w:highlight w:val="yellow"/>
        </w:rPr>
        <w:t xml:space="preserve"> </w:t>
      </w:r>
      <w:r w:rsidR="00AF43F7" w:rsidRPr="00163B8D">
        <w:rPr>
          <w:color w:val="auto"/>
          <w:highlight w:val="yellow"/>
        </w:rPr>
        <w:t>well plate and prewarm the plate at 37</w:t>
      </w:r>
      <w:r w:rsidR="001D65F8" w:rsidRPr="00163B8D">
        <w:rPr>
          <w:color w:val="auto"/>
          <w:highlight w:val="yellow"/>
        </w:rPr>
        <w:t xml:space="preserve"> </w:t>
      </w:r>
      <w:r w:rsidR="00AF43F7" w:rsidRPr="00163B8D">
        <w:rPr>
          <w:color w:val="auto"/>
          <w:highlight w:val="yellow"/>
        </w:rPr>
        <w:t xml:space="preserve">°C for 30 </w:t>
      </w:r>
      <w:r w:rsidR="00362D8B">
        <w:rPr>
          <w:color w:val="auto"/>
          <w:highlight w:val="yellow"/>
        </w:rPr>
        <w:t>min</w:t>
      </w:r>
      <w:r w:rsidR="00AF43F7" w:rsidRPr="00163B8D">
        <w:rPr>
          <w:color w:val="auto"/>
          <w:highlight w:val="yellow"/>
        </w:rPr>
        <w:t xml:space="preserve">. </w:t>
      </w:r>
      <w:r w:rsidRPr="00163B8D">
        <w:rPr>
          <w:color w:val="auto"/>
          <w:highlight w:val="yellow"/>
        </w:rPr>
        <w:t xml:space="preserve">During </w:t>
      </w:r>
      <w:r w:rsidR="00AF43F7" w:rsidRPr="00163B8D">
        <w:rPr>
          <w:color w:val="auto"/>
          <w:highlight w:val="yellow"/>
        </w:rPr>
        <w:t xml:space="preserve">this step, it is important to use fetal bovine serum free of contaminating tetracyclines or </w:t>
      </w:r>
      <w:r w:rsidRPr="00163B8D">
        <w:rPr>
          <w:color w:val="auto"/>
          <w:highlight w:val="yellow"/>
        </w:rPr>
        <w:t xml:space="preserve">with a level </w:t>
      </w:r>
      <w:r w:rsidR="00AF43F7" w:rsidRPr="00163B8D">
        <w:rPr>
          <w:color w:val="auto"/>
          <w:highlight w:val="yellow"/>
        </w:rPr>
        <w:t>too low to interfere with inducibility.</w:t>
      </w:r>
    </w:p>
    <w:p w14:paraId="0BC7E787" w14:textId="77777777" w:rsidR="00407434" w:rsidRPr="00407434" w:rsidRDefault="00407434" w:rsidP="00407434">
      <w:pPr>
        <w:rPr>
          <w:color w:val="auto"/>
        </w:rPr>
      </w:pPr>
    </w:p>
    <w:p w14:paraId="23067658" w14:textId="729F1F4A" w:rsidR="002C424E" w:rsidRPr="00163B8D" w:rsidRDefault="00AF43F7" w:rsidP="00407434">
      <w:pPr>
        <w:numPr>
          <w:ilvl w:val="1"/>
          <w:numId w:val="29"/>
        </w:numPr>
        <w:rPr>
          <w:color w:val="auto"/>
        </w:rPr>
      </w:pPr>
      <w:r w:rsidRPr="00163B8D">
        <w:rPr>
          <w:color w:val="auto"/>
          <w:highlight w:val="yellow"/>
        </w:rPr>
        <w:t xml:space="preserve">Prepare 1.5 mL tubes containing the </w:t>
      </w:r>
      <w:r w:rsidR="00861CB3" w:rsidRPr="00163B8D">
        <w:rPr>
          <w:color w:val="auto"/>
          <w:highlight w:val="yellow"/>
        </w:rPr>
        <w:t xml:space="preserve">plasmid </w:t>
      </w:r>
      <w:r w:rsidR="00861CB3">
        <w:rPr>
          <w:color w:val="auto"/>
          <w:highlight w:val="yellow"/>
        </w:rPr>
        <w:t xml:space="preserve">with the </w:t>
      </w:r>
      <w:r w:rsidRPr="00163B8D">
        <w:rPr>
          <w:color w:val="auto"/>
          <w:highlight w:val="yellow"/>
        </w:rPr>
        <w:t xml:space="preserve">inducible GOI </w:t>
      </w:r>
      <w:r w:rsidR="00861CB3">
        <w:rPr>
          <w:color w:val="auto"/>
          <w:highlight w:val="yellow"/>
        </w:rPr>
        <w:t xml:space="preserve">(GOI plasmid) </w:t>
      </w:r>
      <w:r w:rsidRPr="00163B8D">
        <w:rPr>
          <w:color w:val="auto"/>
          <w:highlight w:val="yellow"/>
        </w:rPr>
        <w:t xml:space="preserve">and the regulatory vector (e.g., </w:t>
      </w:r>
      <w:proofErr w:type="spellStart"/>
      <w:r w:rsidRPr="00163B8D">
        <w:rPr>
          <w:color w:val="auto"/>
          <w:highlight w:val="yellow"/>
        </w:rPr>
        <w:t>pTet</w:t>
      </w:r>
      <w:proofErr w:type="spellEnd"/>
      <w:r w:rsidRPr="00163B8D">
        <w:rPr>
          <w:color w:val="auto"/>
          <w:highlight w:val="yellow"/>
        </w:rPr>
        <w:t xml:space="preserve">-Off) by adding 1 µg of GOI plasmid and 1 µg of regulatory vector per well at </w:t>
      </w:r>
      <w:r w:rsidR="007D38EE">
        <w:rPr>
          <w:color w:val="auto"/>
          <w:highlight w:val="yellow"/>
        </w:rPr>
        <w:t>RT</w:t>
      </w:r>
      <w:r w:rsidRPr="00163B8D">
        <w:rPr>
          <w:color w:val="auto"/>
          <w:highlight w:val="yellow"/>
        </w:rPr>
        <w:t>.</w:t>
      </w:r>
      <w:r w:rsidRPr="00163B8D">
        <w:rPr>
          <w:color w:val="auto"/>
        </w:rPr>
        <w:t xml:space="preserve"> For </w:t>
      </w:r>
      <w:proofErr w:type="spellStart"/>
      <w:r w:rsidRPr="00163B8D">
        <w:rPr>
          <w:color w:val="auto"/>
        </w:rPr>
        <w:t>coexpression</w:t>
      </w:r>
      <w:proofErr w:type="spellEnd"/>
      <w:r w:rsidRPr="00163B8D">
        <w:rPr>
          <w:color w:val="auto"/>
        </w:rPr>
        <w:t xml:space="preserve"> experiments with RNA-binding proteins (RBP), 1 µg of a constitutive vector </w:t>
      </w:r>
      <w:r w:rsidR="009F3718">
        <w:rPr>
          <w:color w:val="auto"/>
        </w:rPr>
        <w:t xml:space="preserve">(e.g., </w:t>
      </w:r>
      <w:r w:rsidRPr="00163B8D">
        <w:rPr>
          <w:color w:val="auto"/>
        </w:rPr>
        <w:t>pcDNA3</w:t>
      </w:r>
      <w:r w:rsidR="009F3718">
        <w:rPr>
          <w:color w:val="auto"/>
        </w:rPr>
        <w:t>)</w:t>
      </w:r>
      <w:r w:rsidRPr="00163B8D">
        <w:rPr>
          <w:color w:val="auto"/>
        </w:rPr>
        <w:t xml:space="preserve"> expressing the RPB of interest is added to the DNA mix (</w:t>
      </w:r>
      <w:r w:rsidRPr="00163B8D">
        <w:rPr>
          <w:b/>
          <w:color w:val="auto"/>
        </w:rPr>
        <w:t>Figure 7</w:t>
      </w:r>
      <w:r w:rsidRPr="00163B8D">
        <w:rPr>
          <w:color w:val="auto"/>
        </w:rPr>
        <w:t>).</w:t>
      </w:r>
    </w:p>
    <w:p w14:paraId="02A27479" w14:textId="77777777" w:rsidR="00407434" w:rsidRPr="00407434" w:rsidRDefault="00407434" w:rsidP="00407434">
      <w:pPr>
        <w:rPr>
          <w:color w:val="auto"/>
        </w:rPr>
      </w:pPr>
    </w:p>
    <w:p w14:paraId="49F6D274" w14:textId="2F198F7D" w:rsidR="002C424E" w:rsidRPr="00163B8D" w:rsidRDefault="00AF43F7" w:rsidP="00407434">
      <w:pPr>
        <w:numPr>
          <w:ilvl w:val="1"/>
          <w:numId w:val="29"/>
        </w:numPr>
        <w:rPr>
          <w:color w:val="auto"/>
        </w:rPr>
      </w:pPr>
      <w:r w:rsidRPr="00163B8D">
        <w:rPr>
          <w:color w:val="auto"/>
          <w:highlight w:val="yellow"/>
        </w:rPr>
        <w:t xml:space="preserve">Aspirate the medium and gently rinse the cells with PBS (without calcium and magnesium) </w:t>
      </w:r>
      <w:r w:rsidR="00AA6064" w:rsidRPr="00163B8D">
        <w:rPr>
          <w:color w:val="auto"/>
          <w:highlight w:val="yellow"/>
        </w:rPr>
        <w:t>pre</w:t>
      </w:r>
      <w:r w:rsidRPr="00163B8D">
        <w:rPr>
          <w:color w:val="auto"/>
          <w:highlight w:val="yellow"/>
        </w:rPr>
        <w:t>warmed at 37 °C.</w:t>
      </w:r>
    </w:p>
    <w:p w14:paraId="59291E97" w14:textId="77777777" w:rsidR="00407434" w:rsidRPr="00407434" w:rsidRDefault="00407434" w:rsidP="00407434">
      <w:pPr>
        <w:rPr>
          <w:color w:val="auto"/>
        </w:rPr>
      </w:pPr>
    </w:p>
    <w:p w14:paraId="1CF486BB" w14:textId="2E64307D" w:rsidR="002C424E" w:rsidRPr="00163B8D" w:rsidRDefault="00AF43F7" w:rsidP="00407434">
      <w:pPr>
        <w:numPr>
          <w:ilvl w:val="1"/>
          <w:numId w:val="29"/>
        </w:numPr>
        <w:rPr>
          <w:color w:val="auto"/>
        </w:rPr>
      </w:pPr>
      <w:r w:rsidRPr="00163B8D">
        <w:rPr>
          <w:color w:val="auto"/>
          <w:highlight w:val="yellow"/>
        </w:rPr>
        <w:t xml:space="preserve">Add 5 mL of 0.05% trypsin </w:t>
      </w:r>
      <w:r w:rsidR="00AA6064" w:rsidRPr="00163B8D">
        <w:rPr>
          <w:color w:val="auto"/>
          <w:highlight w:val="yellow"/>
        </w:rPr>
        <w:t>pre</w:t>
      </w:r>
      <w:r w:rsidRPr="00163B8D">
        <w:rPr>
          <w:color w:val="auto"/>
          <w:highlight w:val="yellow"/>
        </w:rPr>
        <w:t xml:space="preserve">warmed at 37 °C and incubate </w:t>
      </w:r>
      <w:r w:rsidR="00AA6064" w:rsidRPr="00163B8D">
        <w:rPr>
          <w:color w:val="auto"/>
          <w:highlight w:val="yellow"/>
        </w:rPr>
        <w:t xml:space="preserve">the cells </w:t>
      </w:r>
      <w:r w:rsidRPr="00163B8D">
        <w:rPr>
          <w:color w:val="auto"/>
          <w:highlight w:val="yellow"/>
        </w:rPr>
        <w:t>until the cells are detached (2</w:t>
      </w:r>
      <w:r w:rsidR="009F3718" w:rsidRPr="009F3718">
        <w:rPr>
          <w:color w:val="auto"/>
          <w:highlight w:val="yellow"/>
        </w:rPr>
        <w:t>–</w:t>
      </w:r>
      <w:r w:rsidRPr="00163B8D">
        <w:rPr>
          <w:color w:val="auto"/>
          <w:highlight w:val="yellow"/>
        </w:rPr>
        <w:t xml:space="preserve">4 </w:t>
      </w:r>
      <w:r w:rsidR="00362D8B">
        <w:rPr>
          <w:color w:val="auto"/>
          <w:highlight w:val="yellow"/>
        </w:rPr>
        <w:t>min</w:t>
      </w:r>
      <w:r w:rsidRPr="00163B8D">
        <w:rPr>
          <w:color w:val="auto"/>
          <w:highlight w:val="yellow"/>
        </w:rPr>
        <w:t xml:space="preserve">). Neutralize the trypsin by adding 10 mL of complete MEM </w:t>
      </w:r>
      <w:r w:rsidRPr="00EF4B5E">
        <w:rPr>
          <w:color w:val="auto"/>
          <w:highlight w:val="yellow"/>
        </w:rPr>
        <w:t>without antibiotic</w:t>
      </w:r>
      <w:r w:rsidRPr="00163B8D">
        <w:rPr>
          <w:color w:val="auto"/>
          <w:highlight w:val="yellow"/>
        </w:rPr>
        <w:t>.</w:t>
      </w:r>
    </w:p>
    <w:p w14:paraId="0237E0F7" w14:textId="77777777" w:rsidR="00407434" w:rsidRDefault="00407434" w:rsidP="00407434">
      <w:pPr>
        <w:rPr>
          <w:color w:val="auto"/>
        </w:rPr>
      </w:pPr>
    </w:p>
    <w:p w14:paraId="6BE17E8F" w14:textId="54A4FAC2" w:rsidR="002C424E" w:rsidRPr="00407434" w:rsidRDefault="00AF43F7" w:rsidP="00407434">
      <w:pPr>
        <w:numPr>
          <w:ilvl w:val="1"/>
          <w:numId w:val="29"/>
        </w:numPr>
        <w:rPr>
          <w:color w:val="auto"/>
          <w:highlight w:val="yellow"/>
        </w:rPr>
      </w:pPr>
      <w:r w:rsidRPr="00407434">
        <w:rPr>
          <w:color w:val="auto"/>
          <w:highlight w:val="yellow"/>
        </w:rPr>
        <w:t xml:space="preserve">Collect the cell suspension in a 50 mL tube, wash the </w:t>
      </w:r>
      <w:r w:rsidR="00AA6064" w:rsidRPr="00407434">
        <w:rPr>
          <w:color w:val="auto"/>
          <w:highlight w:val="yellow"/>
        </w:rPr>
        <w:t>P</w:t>
      </w:r>
      <w:r w:rsidRPr="00407434">
        <w:rPr>
          <w:color w:val="auto"/>
          <w:highlight w:val="yellow"/>
        </w:rPr>
        <w:t xml:space="preserve">etri dish with 4 mL of medium to collect as many remaining cells as possible, and then centrifuge the cell suspension at 300 x </w:t>
      </w:r>
      <w:r w:rsidRPr="00EF4B5E">
        <w:rPr>
          <w:i/>
          <w:iCs/>
          <w:color w:val="auto"/>
          <w:highlight w:val="yellow"/>
        </w:rPr>
        <w:t>g</w:t>
      </w:r>
      <w:r w:rsidRPr="00407434">
        <w:rPr>
          <w:color w:val="auto"/>
          <w:highlight w:val="yellow"/>
        </w:rPr>
        <w:t xml:space="preserve"> for 5 </w:t>
      </w:r>
      <w:r w:rsidR="00362D8B">
        <w:rPr>
          <w:color w:val="auto"/>
          <w:highlight w:val="yellow"/>
        </w:rPr>
        <w:t>min</w:t>
      </w:r>
      <w:r w:rsidRPr="00407434">
        <w:rPr>
          <w:color w:val="auto"/>
          <w:highlight w:val="yellow"/>
        </w:rPr>
        <w:t>.</w:t>
      </w:r>
    </w:p>
    <w:p w14:paraId="701254BC" w14:textId="77777777" w:rsidR="00407434" w:rsidRPr="00407434" w:rsidRDefault="00407434" w:rsidP="00407434">
      <w:pPr>
        <w:rPr>
          <w:color w:val="auto"/>
          <w:highlight w:val="yellow"/>
        </w:rPr>
      </w:pPr>
    </w:p>
    <w:p w14:paraId="44C130DB" w14:textId="113AEBAD" w:rsidR="002C424E" w:rsidRPr="00163B8D" w:rsidRDefault="00AF43F7" w:rsidP="00407434">
      <w:pPr>
        <w:numPr>
          <w:ilvl w:val="1"/>
          <w:numId w:val="29"/>
        </w:numPr>
        <w:rPr>
          <w:color w:val="auto"/>
        </w:rPr>
      </w:pPr>
      <w:r w:rsidRPr="00407434">
        <w:rPr>
          <w:color w:val="auto"/>
          <w:highlight w:val="yellow"/>
        </w:rPr>
        <w:t xml:space="preserve">Gently aspirate and discard the supernatant and resuspend the pellet in 1 mL </w:t>
      </w:r>
      <w:r w:rsidR="009F3718">
        <w:rPr>
          <w:color w:val="auto"/>
          <w:highlight w:val="yellow"/>
        </w:rPr>
        <w:t xml:space="preserve">of </w:t>
      </w:r>
      <w:r w:rsidRPr="00407434">
        <w:rPr>
          <w:color w:val="auto"/>
          <w:highlight w:val="yellow"/>
        </w:rPr>
        <w:t>PBS. Count and calculate the number of cells using a hemocytometer.</w:t>
      </w:r>
    </w:p>
    <w:p w14:paraId="233A8A30" w14:textId="77777777" w:rsidR="00407434" w:rsidRPr="00407434" w:rsidRDefault="00407434" w:rsidP="00407434">
      <w:pPr>
        <w:rPr>
          <w:color w:val="auto"/>
        </w:rPr>
      </w:pPr>
    </w:p>
    <w:p w14:paraId="427C139B" w14:textId="6C8A615B" w:rsidR="002C424E" w:rsidRPr="00407434" w:rsidRDefault="00AF43F7" w:rsidP="00407434">
      <w:pPr>
        <w:numPr>
          <w:ilvl w:val="1"/>
          <w:numId w:val="29"/>
        </w:numPr>
        <w:rPr>
          <w:color w:val="auto"/>
        </w:rPr>
      </w:pPr>
      <w:r w:rsidRPr="00407434">
        <w:rPr>
          <w:color w:val="auto"/>
          <w:highlight w:val="yellow"/>
        </w:rPr>
        <w:t xml:space="preserve">Centrifuge the cells at 300 x </w:t>
      </w:r>
      <w:r w:rsidRPr="00EF4B5E">
        <w:rPr>
          <w:i/>
          <w:iCs/>
          <w:color w:val="auto"/>
          <w:highlight w:val="yellow"/>
        </w:rPr>
        <w:t>g</w:t>
      </w:r>
      <w:r w:rsidRPr="00407434">
        <w:rPr>
          <w:color w:val="auto"/>
          <w:highlight w:val="yellow"/>
        </w:rPr>
        <w:t xml:space="preserve"> </w:t>
      </w:r>
      <w:r w:rsidRPr="00243BDA">
        <w:rPr>
          <w:color w:val="auto"/>
          <w:highlight w:val="yellow"/>
        </w:rPr>
        <w:t xml:space="preserve">for 5 </w:t>
      </w:r>
      <w:r w:rsidR="00362D8B" w:rsidRPr="00243BDA">
        <w:rPr>
          <w:color w:val="auto"/>
          <w:highlight w:val="yellow"/>
        </w:rPr>
        <w:t>min</w:t>
      </w:r>
      <w:r w:rsidRPr="00243BDA">
        <w:rPr>
          <w:color w:val="auto"/>
          <w:highlight w:val="yellow"/>
        </w:rPr>
        <w:t xml:space="preserve">. Gently </w:t>
      </w:r>
      <w:r w:rsidRPr="00407434">
        <w:rPr>
          <w:color w:val="auto"/>
          <w:highlight w:val="yellow"/>
        </w:rPr>
        <w:t xml:space="preserve">aspirate the supernatant and resuspend the pellet in resuspension buffer at a concentration of 4 </w:t>
      </w:r>
      <w:r w:rsidR="009F3718">
        <w:rPr>
          <w:color w:val="auto"/>
          <w:highlight w:val="yellow"/>
        </w:rPr>
        <w:t>x</w:t>
      </w:r>
      <w:r w:rsidR="009F3718" w:rsidRPr="00407434">
        <w:rPr>
          <w:color w:val="auto"/>
          <w:highlight w:val="yellow"/>
        </w:rPr>
        <w:t xml:space="preserve"> </w:t>
      </w:r>
      <w:r w:rsidRPr="00407434">
        <w:rPr>
          <w:color w:val="auto"/>
          <w:highlight w:val="yellow"/>
        </w:rPr>
        <w:t>10</w:t>
      </w:r>
      <w:r w:rsidRPr="00407434">
        <w:rPr>
          <w:color w:val="auto"/>
          <w:highlight w:val="yellow"/>
          <w:vertAlign w:val="superscript"/>
        </w:rPr>
        <w:t>7</w:t>
      </w:r>
      <w:r w:rsidRPr="00407434">
        <w:rPr>
          <w:color w:val="auto"/>
          <w:highlight w:val="yellow"/>
        </w:rPr>
        <w:t xml:space="preserve"> cells/</w:t>
      </w:r>
      <w:proofErr w:type="spellStart"/>
      <w:r w:rsidRPr="00407434">
        <w:rPr>
          <w:color w:val="auto"/>
          <w:highlight w:val="yellow"/>
        </w:rPr>
        <w:t>mL.</w:t>
      </w:r>
      <w:proofErr w:type="spellEnd"/>
      <w:r w:rsidRPr="00407434">
        <w:rPr>
          <w:color w:val="auto"/>
          <w:highlight w:val="yellow"/>
        </w:rPr>
        <w:t xml:space="preserve"> Add the cells </w:t>
      </w:r>
      <w:r w:rsidR="00AA6064" w:rsidRPr="00407434">
        <w:rPr>
          <w:color w:val="auto"/>
          <w:highlight w:val="yellow"/>
        </w:rPr>
        <w:t xml:space="preserve">from </w:t>
      </w:r>
      <w:r w:rsidRPr="00407434">
        <w:rPr>
          <w:color w:val="auto"/>
          <w:highlight w:val="yellow"/>
        </w:rPr>
        <w:t xml:space="preserve">the 1.5 mL tube prepared in </w:t>
      </w:r>
      <w:r w:rsidR="009F3718">
        <w:rPr>
          <w:color w:val="auto"/>
          <w:highlight w:val="yellow"/>
        </w:rPr>
        <w:t xml:space="preserve">step </w:t>
      </w:r>
      <w:r w:rsidRPr="00407434">
        <w:rPr>
          <w:color w:val="auto"/>
          <w:highlight w:val="yellow"/>
        </w:rPr>
        <w:t>2.4 at a concentration of 400</w:t>
      </w:r>
      <w:r w:rsidR="00253632">
        <w:rPr>
          <w:color w:val="auto"/>
          <w:highlight w:val="yellow"/>
        </w:rPr>
        <w:t>,</w:t>
      </w:r>
      <w:r w:rsidRPr="00407434">
        <w:rPr>
          <w:color w:val="auto"/>
          <w:highlight w:val="yellow"/>
        </w:rPr>
        <w:t>000 cells per well and gently mix</w:t>
      </w:r>
      <w:r w:rsidR="00AA6064" w:rsidRPr="00407434">
        <w:rPr>
          <w:color w:val="auto"/>
          <w:highlight w:val="yellow"/>
        </w:rPr>
        <w:t xml:space="preserve"> them</w:t>
      </w:r>
      <w:r w:rsidRPr="00407434">
        <w:rPr>
          <w:color w:val="auto"/>
          <w:highlight w:val="yellow"/>
        </w:rPr>
        <w:t xml:space="preserve"> by pipetting up and down.</w:t>
      </w:r>
    </w:p>
    <w:p w14:paraId="4D2B263D" w14:textId="77777777" w:rsidR="00407434" w:rsidRPr="00163B8D" w:rsidRDefault="00407434" w:rsidP="00407434">
      <w:pPr>
        <w:rPr>
          <w:color w:val="auto"/>
        </w:rPr>
      </w:pPr>
    </w:p>
    <w:p w14:paraId="2D08F72E" w14:textId="5DF6739A" w:rsidR="002C424E" w:rsidRPr="00163B8D" w:rsidRDefault="00AF43F7" w:rsidP="00407434">
      <w:pPr>
        <w:numPr>
          <w:ilvl w:val="1"/>
          <w:numId w:val="29"/>
        </w:numPr>
        <w:rPr>
          <w:color w:val="auto"/>
          <w:highlight w:val="yellow"/>
        </w:rPr>
      </w:pPr>
      <w:r w:rsidRPr="00163B8D">
        <w:rPr>
          <w:color w:val="auto"/>
          <w:highlight w:val="yellow"/>
        </w:rPr>
        <w:t xml:space="preserve">Place </w:t>
      </w:r>
      <w:r w:rsidR="00AA6064" w:rsidRPr="00163B8D">
        <w:rPr>
          <w:color w:val="auto"/>
          <w:highlight w:val="yellow"/>
        </w:rPr>
        <w:t xml:space="preserve">the </w:t>
      </w:r>
      <w:r w:rsidRPr="00163B8D">
        <w:rPr>
          <w:color w:val="auto"/>
          <w:highlight w:val="yellow"/>
        </w:rPr>
        <w:t xml:space="preserve">tube in the electroporation device and fill </w:t>
      </w:r>
      <w:r w:rsidR="00AA6064" w:rsidRPr="00163B8D">
        <w:rPr>
          <w:color w:val="auto"/>
          <w:highlight w:val="yellow"/>
        </w:rPr>
        <w:t xml:space="preserve">it </w:t>
      </w:r>
      <w:r w:rsidRPr="00163B8D">
        <w:rPr>
          <w:color w:val="auto"/>
          <w:highlight w:val="yellow"/>
        </w:rPr>
        <w:t xml:space="preserve">with 3.5 mL of electrolytic </w:t>
      </w:r>
      <w:r w:rsidRPr="00163B8D">
        <w:rPr>
          <w:color w:val="auto"/>
          <w:highlight w:val="yellow"/>
        </w:rPr>
        <w:br/>
        <w:t>buffer.</w:t>
      </w:r>
    </w:p>
    <w:p w14:paraId="583C8C64" w14:textId="77777777" w:rsidR="00407434" w:rsidRPr="00407434" w:rsidRDefault="00407434" w:rsidP="00407434">
      <w:pPr>
        <w:rPr>
          <w:color w:val="auto"/>
        </w:rPr>
      </w:pPr>
    </w:p>
    <w:p w14:paraId="4BFF5955" w14:textId="677D97FC" w:rsidR="002C424E" w:rsidRPr="00163B8D" w:rsidRDefault="00AF43F7" w:rsidP="00407434">
      <w:pPr>
        <w:numPr>
          <w:ilvl w:val="1"/>
          <w:numId w:val="29"/>
        </w:numPr>
        <w:rPr>
          <w:color w:val="auto"/>
        </w:rPr>
      </w:pPr>
      <w:r w:rsidRPr="00163B8D">
        <w:rPr>
          <w:color w:val="auto"/>
          <w:highlight w:val="yellow"/>
        </w:rPr>
        <w:t xml:space="preserve">Insert a gold-plated electrode tip into </w:t>
      </w:r>
      <w:r w:rsidR="00AA6064" w:rsidRPr="00163B8D">
        <w:rPr>
          <w:color w:val="auto"/>
          <w:highlight w:val="yellow"/>
        </w:rPr>
        <w:t xml:space="preserve">a </w:t>
      </w:r>
      <w:r w:rsidRPr="00163B8D">
        <w:rPr>
          <w:color w:val="auto"/>
          <w:highlight w:val="yellow"/>
        </w:rPr>
        <w:t xml:space="preserve">pipette by </w:t>
      </w:r>
      <w:r w:rsidR="00AA6064" w:rsidRPr="00163B8D">
        <w:rPr>
          <w:color w:val="auto"/>
          <w:highlight w:val="yellow"/>
        </w:rPr>
        <w:t xml:space="preserve">completely </w:t>
      </w:r>
      <w:r w:rsidRPr="00163B8D">
        <w:rPr>
          <w:color w:val="auto"/>
          <w:highlight w:val="yellow"/>
        </w:rPr>
        <w:t xml:space="preserve">pressing the piston. Gently mix the </w:t>
      </w:r>
      <w:r w:rsidR="00AA6064" w:rsidRPr="00163B8D">
        <w:rPr>
          <w:color w:val="auto"/>
          <w:highlight w:val="yellow"/>
        </w:rPr>
        <w:t xml:space="preserve">contents of the </w:t>
      </w:r>
      <w:r w:rsidRPr="00163B8D">
        <w:rPr>
          <w:color w:val="auto"/>
          <w:highlight w:val="yellow"/>
        </w:rPr>
        <w:t xml:space="preserve">1.5 mL tube and carefully aspirate the cells with the pipette. Be </w:t>
      </w:r>
      <w:r w:rsidR="00AA6064" w:rsidRPr="00163B8D">
        <w:rPr>
          <w:color w:val="auto"/>
          <w:highlight w:val="yellow"/>
        </w:rPr>
        <w:t xml:space="preserve">careful </w:t>
      </w:r>
      <w:r w:rsidRPr="00163B8D">
        <w:rPr>
          <w:color w:val="auto"/>
          <w:highlight w:val="yellow"/>
        </w:rPr>
        <w:t xml:space="preserve">to </w:t>
      </w:r>
      <w:r w:rsidR="00AA6064" w:rsidRPr="00163B8D">
        <w:rPr>
          <w:color w:val="auto"/>
          <w:highlight w:val="yellow"/>
        </w:rPr>
        <w:t xml:space="preserve">prevent </w:t>
      </w:r>
      <w:r w:rsidRPr="00163B8D">
        <w:rPr>
          <w:color w:val="auto"/>
          <w:highlight w:val="yellow"/>
        </w:rPr>
        <w:t>air bubbles</w:t>
      </w:r>
      <w:r w:rsidR="00AA6064" w:rsidRPr="00163B8D">
        <w:rPr>
          <w:color w:val="auto"/>
          <w:highlight w:val="yellow"/>
        </w:rPr>
        <w:t xml:space="preserve"> from entering</w:t>
      </w:r>
      <w:r w:rsidRPr="00163B8D">
        <w:rPr>
          <w:color w:val="auto"/>
          <w:highlight w:val="yellow"/>
        </w:rPr>
        <w:t xml:space="preserve"> the tip</w:t>
      </w:r>
      <w:r w:rsidR="00AA6064" w:rsidRPr="00163B8D">
        <w:rPr>
          <w:color w:val="auto"/>
          <w:highlight w:val="yellow"/>
        </w:rPr>
        <w:t>,</w:t>
      </w:r>
      <w:r w:rsidRPr="00163B8D">
        <w:rPr>
          <w:color w:val="auto"/>
          <w:highlight w:val="yellow"/>
        </w:rPr>
        <w:t xml:space="preserve"> as </w:t>
      </w:r>
      <w:r w:rsidR="00AA6064" w:rsidRPr="00163B8D">
        <w:rPr>
          <w:color w:val="auto"/>
          <w:highlight w:val="yellow"/>
        </w:rPr>
        <w:t xml:space="preserve">this </w:t>
      </w:r>
      <w:r w:rsidRPr="00163B8D">
        <w:rPr>
          <w:color w:val="auto"/>
          <w:highlight w:val="yellow"/>
        </w:rPr>
        <w:t>will cause electric arcing during electroporation</w:t>
      </w:r>
      <w:r w:rsidR="00AA6064" w:rsidRPr="00163B8D">
        <w:rPr>
          <w:color w:val="auto"/>
          <w:highlight w:val="yellow"/>
        </w:rPr>
        <w:t xml:space="preserve"> and lead</w:t>
      </w:r>
      <w:r w:rsidRPr="00163B8D">
        <w:rPr>
          <w:color w:val="auto"/>
          <w:highlight w:val="yellow"/>
        </w:rPr>
        <w:t xml:space="preserve"> to </w:t>
      </w:r>
      <w:r w:rsidR="00AA6064" w:rsidRPr="00163B8D">
        <w:rPr>
          <w:color w:val="auto"/>
          <w:highlight w:val="yellow"/>
        </w:rPr>
        <w:t xml:space="preserve">decreased </w:t>
      </w:r>
      <w:r w:rsidRPr="00163B8D">
        <w:rPr>
          <w:color w:val="auto"/>
          <w:highlight w:val="yellow"/>
        </w:rPr>
        <w:t>transfection efficiency.</w:t>
      </w:r>
    </w:p>
    <w:p w14:paraId="6BD2F4A3" w14:textId="77777777" w:rsidR="00407434" w:rsidRPr="00407434" w:rsidRDefault="00407434" w:rsidP="00407434">
      <w:pPr>
        <w:rPr>
          <w:color w:val="auto"/>
        </w:rPr>
      </w:pPr>
    </w:p>
    <w:p w14:paraId="1E12DF82" w14:textId="6F847976" w:rsidR="002C424E" w:rsidRPr="00163B8D" w:rsidRDefault="00AF43F7" w:rsidP="00407434">
      <w:pPr>
        <w:numPr>
          <w:ilvl w:val="1"/>
          <w:numId w:val="29"/>
        </w:numPr>
        <w:rPr>
          <w:color w:val="auto"/>
        </w:rPr>
      </w:pPr>
      <w:r w:rsidRPr="00163B8D">
        <w:rPr>
          <w:color w:val="auto"/>
          <w:highlight w:val="yellow"/>
        </w:rPr>
        <w:t xml:space="preserve">Insert the pipette in the electroporation station until </w:t>
      </w:r>
      <w:r w:rsidR="00861CB3">
        <w:rPr>
          <w:color w:val="auto"/>
          <w:highlight w:val="yellow"/>
        </w:rPr>
        <w:t>there is</w:t>
      </w:r>
      <w:r w:rsidRPr="00163B8D">
        <w:rPr>
          <w:color w:val="auto"/>
          <w:highlight w:val="yellow"/>
        </w:rPr>
        <w:t xml:space="preserve"> a click</w:t>
      </w:r>
      <w:r w:rsidR="00AA6064" w:rsidRPr="00163B8D">
        <w:rPr>
          <w:color w:val="auto"/>
          <w:highlight w:val="yellow"/>
        </w:rPr>
        <w:t>ing</w:t>
      </w:r>
      <w:r w:rsidRPr="00163B8D">
        <w:rPr>
          <w:color w:val="auto"/>
          <w:highlight w:val="yellow"/>
        </w:rPr>
        <w:t xml:space="preserve"> sound.</w:t>
      </w:r>
    </w:p>
    <w:p w14:paraId="6F5DEEE1" w14:textId="77777777" w:rsidR="00407434" w:rsidRPr="00407434" w:rsidRDefault="00407434" w:rsidP="00407434">
      <w:pPr>
        <w:rPr>
          <w:color w:val="auto"/>
        </w:rPr>
      </w:pPr>
    </w:p>
    <w:p w14:paraId="55153898" w14:textId="29FFB642" w:rsidR="002C424E" w:rsidRPr="00163B8D" w:rsidRDefault="00AF43F7" w:rsidP="00407434">
      <w:pPr>
        <w:numPr>
          <w:ilvl w:val="1"/>
          <w:numId w:val="29"/>
        </w:numPr>
        <w:rPr>
          <w:color w:val="auto"/>
        </w:rPr>
      </w:pPr>
      <w:r w:rsidRPr="00163B8D">
        <w:rPr>
          <w:color w:val="auto"/>
          <w:highlight w:val="yellow"/>
        </w:rPr>
        <w:t>Select the appropriate electroporation protocol for alveolar epithelial cells</w:t>
      </w:r>
      <w:r w:rsidR="00AA6064" w:rsidRPr="00163B8D">
        <w:rPr>
          <w:color w:val="auto"/>
          <w:highlight w:val="yellow"/>
        </w:rPr>
        <w:t>,</w:t>
      </w:r>
      <w:r w:rsidRPr="00163B8D">
        <w:rPr>
          <w:color w:val="auto"/>
          <w:highlight w:val="yellow"/>
        </w:rPr>
        <w:t xml:space="preserve"> corresponding to a pulse voltage of 1</w:t>
      </w:r>
      <w:r w:rsidR="009F3718">
        <w:rPr>
          <w:color w:val="auto"/>
          <w:highlight w:val="yellow"/>
        </w:rPr>
        <w:t>,</w:t>
      </w:r>
      <w:r w:rsidRPr="00163B8D">
        <w:rPr>
          <w:color w:val="auto"/>
          <w:highlight w:val="yellow"/>
        </w:rPr>
        <w:t>450 V</w:t>
      </w:r>
      <w:r w:rsidR="00AA6064" w:rsidRPr="00163B8D">
        <w:rPr>
          <w:color w:val="auto"/>
          <w:highlight w:val="yellow"/>
        </w:rPr>
        <w:t xml:space="preserve"> and</w:t>
      </w:r>
      <w:r w:rsidRPr="00163B8D">
        <w:rPr>
          <w:color w:val="auto"/>
          <w:highlight w:val="yellow"/>
        </w:rPr>
        <w:t xml:space="preserve"> 2 pulses with a width of 20 </w:t>
      </w:r>
      <w:proofErr w:type="spellStart"/>
      <w:r w:rsidR="009F3718">
        <w:rPr>
          <w:color w:val="auto"/>
          <w:highlight w:val="yellow"/>
        </w:rPr>
        <w:t>ms</w:t>
      </w:r>
      <w:proofErr w:type="spellEnd"/>
      <w:r w:rsidRPr="00163B8D">
        <w:rPr>
          <w:color w:val="auto"/>
          <w:highlight w:val="yellow"/>
        </w:rPr>
        <w:t xml:space="preserve">, and press </w:t>
      </w:r>
      <w:r w:rsidRPr="00EF4B5E">
        <w:rPr>
          <w:b/>
          <w:bCs/>
          <w:color w:val="auto"/>
          <w:highlight w:val="yellow"/>
        </w:rPr>
        <w:t>Start</w:t>
      </w:r>
      <w:r w:rsidRPr="00163B8D">
        <w:rPr>
          <w:color w:val="auto"/>
          <w:highlight w:val="yellow"/>
        </w:rPr>
        <w:t xml:space="preserve"> on the touchscreen.</w:t>
      </w:r>
    </w:p>
    <w:p w14:paraId="2DC5A77E" w14:textId="77777777" w:rsidR="00407434" w:rsidRPr="00407434" w:rsidRDefault="00407434" w:rsidP="00407434">
      <w:pPr>
        <w:rPr>
          <w:color w:val="auto"/>
        </w:rPr>
      </w:pPr>
    </w:p>
    <w:p w14:paraId="2A290C2B" w14:textId="7702495F" w:rsidR="002C424E" w:rsidRPr="00163B8D" w:rsidRDefault="00AF43F7" w:rsidP="00407434">
      <w:pPr>
        <w:numPr>
          <w:ilvl w:val="1"/>
          <w:numId w:val="29"/>
        </w:numPr>
        <w:rPr>
          <w:color w:val="auto"/>
        </w:rPr>
      </w:pPr>
      <w:r w:rsidRPr="00EF4B5E">
        <w:rPr>
          <w:color w:val="auto"/>
          <w:highlight w:val="yellow"/>
        </w:rPr>
        <w:lastRenderedPageBreak/>
        <w:t>Immediately after transfection</w:t>
      </w:r>
      <w:r w:rsidR="00A25D00" w:rsidRPr="00163B8D">
        <w:rPr>
          <w:color w:val="auto"/>
          <w:highlight w:val="yellow"/>
        </w:rPr>
        <w:t xml:space="preserve">, remove the pipette and transfer the cells to </w:t>
      </w:r>
      <w:r w:rsidR="00AA6064" w:rsidRPr="00163B8D">
        <w:rPr>
          <w:color w:val="auto"/>
          <w:highlight w:val="yellow"/>
        </w:rPr>
        <w:t xml:space="preserve">a </w:t>
      </w:r>
      <w:r w:rsidR="00A25D00" w:rsidRPr="00163B8D">
        <w:rPr>
          <w:color w:val="auto"/>
          <w:highlight w:val="yellow"/>
        </w:rPr>
        <w:t xml:space="preserve">well previously filled with complete MEM </w:t>
      </w:r>
      <w:r w:rsidR="00FF3A40" w:rsidRPr="00EF4B5E">
        <w:rPr>
          <w:color w:val="auto"/>
          <w:highlight w:val="yellow"/>
        </w:rPr>
        <w:t xml:space="preserve">without antibiotic </w:t>
      </w:r>
      <w:r w:rsidR="00AA6064" w:rsidRPr="00EF4B5E">
        <w:rPr>
          <w:color w:val="auto"/>
          <w:highlight w:val="yellow"/>
        </w:rPr>
        <w:t xml:space="preserve">that has been </w:t>
      </w:r>
      <w:r w:rsidRPr="00EF4B5E">
        <w:rPr>
          <w:color w:val="auto"/>
          <w:highlight w:val="yellow"/>
        </w:rPr>
        <w:t>prew</w:t>
      </w:r>
      <w:r w:rsidR="00FF3A40" w:rsidRPr="00EF4B5E">
        <w:rPr>
          <w:color w:val="auto"/>
          <w:highlight w:val="yellow"/>
        </w:rPr>
        <w:t xml:space="preserve">armed </w:t>
      </w:r>
      <w:r w:rsidR="00AA6064" w:rsidRPr="00EF4B5E">
        <w:rPr>
          <w:color w:val="auto"/>
          <w:highlight w:val="yellow"/>
        </w:rPr>
        <w:t xml:space="preserve">to </w:t>
      </w:r>
      <w:r w:rsidR="00FF3A40" w:rsidRPr="00EF4B5E">
        <w:rPr>
          <w:color w:val="auto"/>
          <w:highlight w:val="yellow"/>
        </w:rPr>
        <w:t>37 °C</w:t>
      </w:r>
      <w:r w:rsidRPr="00163B8D">
        <w:rPr>
          <w:color w:val="auto"/>
          <w:highlight w:val="yellow"/>
        </w:rPr>
        <w:t>.</w:t>
      </w:r>
    </w:p>
    <w:p w14:paraId="0D5F7AC5" w14:textId="77777777" w:rsidR="00407434" w:rsidRDefault="00407434" w:rsidP="00407434">
      <w:pPr>
        <w:rPr>
          <w:color w:val="auto"/>
        </w:rPr>
      </w:pPr>
    </w:p>
    <w:p w14:paraId="03C48526" w14:textId="5CE911E5" w:rsidR="002C424E" w:rsidRPr="00163B8D" w:rsidRDefault="00AF43F7" w:rsidP="00407434">
      <w:pPr>
        <w:numPr>
          <w:ilvl w:val="1"/>
          <w:numId w:val="29"/>
        </w:numPr>
        <w:rPr>
          <w:color w:val="auto"/>
        </w:rPr>
      </w:pPr>
      <w:r w:rsidRPr="00163B8D">
        <w:rPr>
          <w:color w:val="auto"/>
        </w:rPr>
        <w:t>Repeat steps 2.11</w:t>
      </w:r>
      <w:r w:rsidR="009F3718" w:rsidRPr="009F3718">
        <w:rPr>
          <w:color w:val="auto"/>
        </w:rPr>
        <w:t>–</w:t>
      </w:r>
      <w:r w:rsidRPr="00163B8D">
        <w:rPr>
          <w:color w:val="auto"/>
        </w:rPr>
        <w:t>2.14 for the remaining samples.</w:t>
      </w:r>
    </w:p>
    <w:p w14:paraId="2CC101CC" w14:textId="77777777" w:rsidR="00407434" w:rsidRDefault="00407434" w:rsidP="00407434">
      <w:pPr>
        <w:rPr>
          <w:color w:val="auto"/>
        </w:rPr>
      </w:pPr>
    </w:p>
    <w:p w14:paraId="2534A6C6" w14:textId="3A3C442E" w:rsidR="002C424E" w:rsidRPr="00163B8D" w:rsidRDefault="00AF43F7" w:rsidP="00407434">
      <w:pPr>
        <w:numPr>
          <w:ilvl w:val="1"/>
          <w:numId w:val="29"/>
        </w:numPr>
        <w:rPr>
          <w:color w:val="auto"/>
        </w:rPr>
      </w:pPr>
      <w:r w:rsidRPr="00163B8D">
        <w:rPr>
          <w:color w:val="auto"/>
        </w:rPr>
        <w:t xml:space="preserve">Gently shake the plate to spread the cells evenly over the well surface. </w:t>
      </w:r>
      <w:r w:rsidRPr="00163B8D">
        <w:rPr>
          <w:color w:val="auto"/>
          <w:highlight w:val="yellow"/>
        </w:rPr>
        <w:t xml:space="preserve">Incubate the cells at 37 °C </w:t>
      </w:r>
      <w:r w:rsidR="00AA6064" w:rsidRPr="00163B8D">
        <w:rPr>
          <w:color w:val="auto"/>
          <w:highlight w:val="yellow"/>
        </w:rPr>
        <w:t xml:space="preserve">in </w:t>
      </w:r>
      <w:r w:rsidRPr="00163B8D">
        <w:rPr>
          <w:color w:val="auto"/>
          <w:highlight w:val="yellow"/>
        </w:rPr>
        <w:t>5% CO</w:t>
      </w:r>
      <w:r w:rsidRPr="00163B8D">
        <w:rPr>
          <w:color w:val="auto"/>
          <w:highlight w:val="yellow"/>
          <w:vertAlign w:val="subscript"/>
        </w:rPr>
        <w:t>2</w:t>
      </w:r>
      <w:r w:rsidRPr="00163B8D">
        <w:rPr>
          <w:color w:val="auto"/>
          <w:highlight w:val="yellow"/>
        </w:rPr>
        <w:t xml:space="preserve"> in a humidified incubator</w:t>
      </w:r>
      <w:r w:rsidR="00773328">
        <w:rPr>
          <w:color w:val="auto"/>
          <w:highlight w:val="yellow"/>
        </w:rPr>
        <w:t>.</w:t>
      </w:r>
      <w:r w:rsidRPr="00163B8D">
        <w:rPr>
          <w:color w:val="auto"/>
          <w:highlight w:val="yellow"/>
        </w:rPr>
        <w:t xml:space="preserve"> </w:t>
      </w:r>
      <w:r w:rsidR="00773328" w:rsidRPr="00163B8D">
        <w:rPr>
          <w:color w:val="auto"/>
          <w:highlight w:val="yellow"/>
        </w:rPr>
        <w:t xml:space="preserve">After </w:t>
      </w:r>
      <w:r w:rsidR="00773328" w:rsidRPr="00E420FB">
        <w:rPr>
          <w:color w:val="auto"/>
          <w:highlight w:val="yellow"/>
        </w:rPr>
        <w:t>2</w:t>
      </w:r>
      <w:r w:rsidR="00773328" w:rsidRPr="00163B8D">
        <w:rPr>
          <w:color w:val="auto"/>
          <w:highlight w:val="yellow"/>
        </w:rPr>
        <w:t xml:space="preserve"> </w:t>
      </w:r>
      <w:r w:rsidR="00AA6064" w:rsidRPr="00163B8D">
        <w:rPr>
          <w:color w:val="auto"/>
          <w:highlight w:val="yellow"/>
        </w:rPr>
        <w:t xml:space="preserve">days, </w:t>
      </w:r>
      <w:r w:rsidRPr="00163B8D">
        <w:rPr>
          <w:color w:val="auto"/>
          <w:highlight w:val="yellow"/>
        </w:rPr>
        <w:t>replace the medium with complete MEM with antibiotics.</w:t>
      </w:r>
    </w:p>
    <w:p w14:paraId="09692F8A" w14:textId="77777777" w:rsidR="00407434" w:rsidRPr="00407434" w:rsidRDefault="00407434" w:rsidP="00407434">
      <w:pPr>
        <w:rPr>
          <w:color w:val="auto"/>
        </w:rPr>
      </w:pPr>
    </w:p>
    <w:p w14:paraId="6FEEB499" w14:textId="02D7302C" w:rsidR="002C424E" w:rsidRPr="00163B8D" w:rsidRDefault="00AF43F7" w:rsidP="00407434">
      <w:pPr>
        <w:numPr>
          <w:ilvl w:val="1"/>
          <w:numId w:val="29"/>
        </w:numPr>
        <w:rPr>
          <w:color w:val="auto"/>
        </w:rPr>
      </w:pPr>
      <w:r w:rsidRPr="00163B8D">
        <w:rPr>
          <w:color w:val="auto"/>
          <w:highlight w:val="yellow"/>
        </w:rPr>
        <w:t xml:space="preserve">Confirm the success of </w:t>
      </w:r>
      <w:r w:rsidR="00773328">
        <w:rPr>
          <w:color w:val="auto"/>
          <w:highlight w:val="yellow"/>
        </w:rPr>
        <w:t xml:space="preserve">the </w:t>
      </w:r>
      <w:r w:rsidRPr="00163B8D">
        <w:rPr>
          <w:color w:val="auto"/>
          <w:highlight w:val="yellow"/>
        </w:rPr>
        <w:t xml:space="preserve">transfection by observing the expression of </w:t>
      </w:r>
      <w:proofErr w:type="spellStart"/>
      <w:r w:rsidRPr="00163B8D">
        <w:rPr>
          <w:color w:val="auto"/>
          <w:highlight w:val="yellow"/>
        </w:rPr>
        <w:t>eGFP</w:t>
      </w:r>
      <w:proofErr w:type="spellEnd"/>
      <w:r w:rsidRPr="00163B8D">
        <w:rPr>
          <w:color w:val="auto"/>
          <w:highlight w:val="yellow"/>
        </w:rPr>
        <w:t xml:space="preserve"> under a fluorescence microscope or by flow cytometry using a control vect</w:t>
      </w:r>
      <w:r w:rsidRPr="007B6CE7">
        <w:rPr>
          <w:color w:val="auto"/>
          <w:highlight w:val="yellow"/>
        </w:rPr>
        <w:t>or (</w:t>
      </w:r>
      <w:r w:rsidRPr="007B6CE7">
        <w:rPr>
          <w:b/>
          <w:color w:val="auto"/>
          <w:highlight w:val="yellow"/>
        </w:rPr>
        <w:t>Figure 1</w:t>
      </w:r>
      <w:r w:rsidRPr="007B6CE7">
        <w:rPr>
          <w:color w:val="auto"/>
          <w:highlight w:val="yellow"/>
        </w:rPr>
        <w:t>).</w:t>
      </w:r>
    </w:p>
    <w:p w14:paraId="69BBBB5B" w14:textId="77777777" w:rsidR="00407434" w:rsidRDefault="00407434" w:rsidP="00407434">
      <w:pPr>
        <w:rPr>
          <w:color w:val="auto"/>
        </w:rPr>
      </w:pPr>
    </w:p>
    <w:p w14:paraId="3393340A" w14:textId="0FD49744" w:rsidR="00C00CA4" w:rsidRPr="00163B8D" w:rsidRDefault="00AF43F7" w:rsidP="00407434">
      <w:pPr>
        <w:rPr>
          <w:color w:val="auto"/>
        </w:rPr>
      </w:pPr>
      <w:r w:rsidRPr="00163B8D">
        <w:rPr>
          <w:color w:val="auto"/>
        </w:rPr>
        <w:t xml:space="preserve">NOTE: This step is optional and requires an additional transfection step using a different plasmid expressing </w:t>
      </w:r>
      <w:proofErr w:type="spellStart"/>
      <w:r w:rsidRPr="00163B8D">
        <w:rPr>
          <w:color w:val="auto"/>
        </w:rPr>
        <w:t>eGFP</w:t>
      </w:r>
      <w:proofErr w:type="spellEnd"/>
      <w:r w:rsidRPr="00163B8D">
        <w:rPr>
          <w:color w:val="auto"/>
        </w:rPr>
        <w:t>, such as pcDNA3-EGFP.</w:t>
      </w:r>
    </w:p>
    <w:p w14:paraId="62B892C1" w14:textId="77777777" w:rsidR="00407434" w:rsidRPr="00407434" w:rsidRDefault="00407434" w:rsidP="00407434">
      <w:pPr>
        <w:rPr>
          <w:color w:val="auto"/>
        </w:rPr>
      </w:pPr>
    </w:p>
    <w:p w14:paraId="3140312F" w14:textId="351071E0" w:rsidR="002C424E" w:rsidRPr="00163B8D" w:rsidRDefault="00AF43F7" w:rsidP="00407434">
      <w:pPr>
        <w:numPr>
          <w:ilvl w:val="0"/>
          <w:numId w:val="29"/>
        </w:numPr>
        <w:rPr>
          <w:color w:val="auto"/>
        </w:rPr>
      </w:pPr>
      <w:r w:rsidRPr="00163B8D">
        <w:rPr>
          <w:b/>
          <w:color w:val="auto"/>
          <w:highlight w:val="yellow"/>
        </w:rPr>
        <w:t>Induc</w:t>
      </w:r>
      <w:r w:rsidR="008A178A" w:rsidRPr="00163B8D">
        <w:rPr>
          <w:b/>
          <w:color w:val="auto"/>
          <w:highlight w:val="yellow"/>
        </w:rPr>
        <w:t xml:space="preserve">tion of the </w:t>
      </w:r>
      <w:r w:rsidRPr="00163B8D">
        <w:rPr>
          <w:b/>
          <w:color w:val="auto"/>
          <w:highlight w:val="yellow"/>
        </w:rPr>
        <w:t xml:space="preserve">transcription inhibition of </w:t>
      </w:r>
      <w:r w:rsidR="008A178A" w:rsidRPr="00163B8D">
        <w:rPr>
          <w:b/>
          <w:color w:val="auto"/>
          <w:highlight w:val="yellow"/>
        </w:rPr>
        <w:t xml:space="preserve">the </w:t>
      </w:r>
      <w:r w:rsidRPr="00163B8D">
        <w:rPr>
          <w:b/>
          <w:color w:val="auto"/>
          <w:highlight w:val="yellow"/>
        </w:rPr>
        <w:t>GOI</w:t>
      </w:r>
    </w:p>
    <w:p w14:paraId="11928CD5" w14:textId="37DC77F4" w:rsidR="00407434" w:rsidRDefault="00407434" w:rsidP="00407434">
      <w:pPr>
        <w:rPr>
          <w:color w:val="auto"/>
        </w:rPr>
      </w:pPr>
    </w:p>
    <w:p w14:paraId="6F5DC153" w14:textId="2185CE88" w:rsidR="00773328" w:rsidRPr="00163B8D" w:rsidRDefault="00773328" w:rsidP="00773328">
      <w:pPr>
        <w:rPr>
          <w:color w:val="auto"/>
        </w:rPr>
      </w:pPr>
      <w:r>
        <w:rPr>
          <w:color w:val="auto"/>
        </w:rPr>
        <w:t xml:space="preserve">NOTE: </w:t>
      </w:r>
      <w:r w:rsidR="00861CB3">
        <w:rPr>
          <w:color w:val="auto"/>
        </w:rPr>
        <w:t>T</w:t>
      </w:r>
      <w:r w:rsidRPr="00163B8D">
        <w:rPr>
          <w:color w:val="auto"/>
        </w:rPr>
        <w:t xml:space="preserve">he cells </w:t>
      </w:r>
      <w:r>
        <w:rPr>
          <w:color w:val="auto"/>
        </w:rPr>
        <w:t xml:space="preserve">can be pretreated </w:t>
      </w:r>
      <w:r w:rsidRPr="00163B8D">
        <w:rPr>
          <w:color w:val="auto"/>
        </w:rPr>
        <w:t>with the desired treatments before doxycycline induction to assess their impact on mRNA stability (</w:t>
      </w:r>
      <w:r w:rsidRPr="00163B8D">
        <w:rPr>
          <w:b/>
          <w:color w:val="auto"/>
        </w:rPr>
        <w:t>Figure 5</w:t>
      </w:r>
      <w:r w:rsidRPr="00163B8D">
        <w:rPr>
          <w:color w:val="auto"/>
        </w:rPr>
        <w:t>).</w:t>
      </w:r>
    </w:p>
    <w:p w14:paraId="1FF29A8B" w14:textId="18C8493B" w:rsidR="00773328" w:rsidRDefault="00773328" w:rsidP="00407434">
      <w:pPr>
        <w:rPr>
          <w:color w:val="auto"/>
        </w:rPr>
      </w:pPr>
    </w:p>
    <w:p w14:paraId="06ABB1D8" w14:textId="650E2034" w:rsidR="002C424E" w:rsidRPr="00163B8D" w:rsidRDefault="00AF43F7" w:rsidP="00407434">
      <w:pPr>
        <w:numPr>
          <w:ilvl w:val="1"/>
          <w:numId w:val="29"/>
        </w:numPr>
        <w:rPr>
          <w:color w:val="auto"/>
        </w:rPr>
      </w:pPr>
      <w:r w:rsidRPr="00163B8D">
        <w:rPr>
          <w:color w:val="auto"/>
        </w:rPr>
        <w:t xml:space="preserve">Prepare a doxycycline stock solution of 1 mg/mL in deionized water. Store </w:t>
      </w:r>
      <w:r w:rsidR="008A178A" w:rsidRPr="00163B8D">
        <w:rPr>
          <w:color w:val="auto"/>
        </w:rPr>
        <w:t xml:space="preserve">the </w:t>
      </w:r>
      <w:r w:rsidRPr="00163B8D">
        <w:rPr>
          <w:color w:val="auto"/>
        </w:rPr>
        <w:t xml:space="preserve">stock solution at -20 °C protected from light. Doxycycline, a tetracycline derivative, is used instead of tetracycline </w:t>
      </w:r>
      <w:r w:rsidR="00773328" w:rsidRPr="00E420FB">
        <w:rPr>
          <w:color w:val="auto"/>
        </w:rPr>
        <w:t>because</w:t>
      </w:r>
      <w:r w:rsidR="00773328" w:rsidRPr="00163B8D">
        <w:rPr>
          <w:color w:val="auto"/>
        </w:rPr>
        <w:t xml:space="preserve"> </w:t>
      </w:r>
      <w:r w:rsidRPr="00163B8D">
        <w:rPr>
          <w:color w:val="auto"/>
        </w:rPr>
        <w:t>it has a longer half-life (</w:t>
      </w:r>
      <w:r w:rsidR="00773328" w:rsidRPr="00861CB3">
        <w:rPr>
          <w:color w:val="auto"/>
        </w:rPr>
        <w:t>2x</w:t>
      </w:r>
      <w:r w:rsidRPr="00163B8D">
        <w:rPr>
          <w:color w:val="auto"/>
        </w:rPr>
        <w:t xml:space="preserve">) than tetracycline. Moreover, a lower concentration of doxycycline is required for </w:t>
      </w:r>
      <w:r w:rsidR="008A178A" w:rsidRPr="00163B8D">
        <w:rPr>
          <w:color w:val="auto"/>
        </w:rPr>
        <w:t xml:space="preserve">the </w:t>
      </w:r>
      <w:r w:rsidRPr="00163B8D">
        <w:rPr>
          <w:color w:val="auto"/>
        </w:rPr>
        <w:t>complete inactivation of</w:t>
      </w:r>
      <w:r w:rsidR="008A178A" w:rsidRPr="00163B8D">
        <w:rPr>
          <w:color w:val="auto"/>
        </w:rPr>
        <w:t xml:space="preserve"> the</w:t>
      </w:r>
      <w:r w:rsidRPr="00163B8D">
        <w:rPr>
          <w:color w:val="auto"/>
        </w:rPr>
        <w:t xml:space="preserve"> </w:t>
      </w:r>
      <w:proofErr w:type="spellStart"/>
      <w:r w:rsidRPr="00163B8D">
        <w:rPr>
          <w:i/>
          <w:color w:val="auto"/>
        </w:rPr>
        <w:t>tet</w:t>
      </w:r>
      <w:proofErr w:type="spellEnd"/>
      <w:r w:rsidRPr="00163B8D">
        <w:rPr>
          <w:color w:val="auto"/>
        </w:rPr>
        <w:t xml:space="preserve"> operon</w:t>
      </w:r>
      <w:r w:rsidR="009C472A" w:rsidRPr="00163B8D">
        <w:rPr>
          <w:color w:val="auto"/>
          <w:vertAlign w:val="superscript"/>
        </w:rPr>
        <w:t>2</w:t>
      </w:r>
      <w:r w:rsidR="00243BDA">
        <w:rPr>
          <w:color w:val="auto"/>
          <w:vertAlign w:val="superscript"/>
        </w:rPr>
        <w:t>3</w:t>
      </w:r>
      <w:r w:rsidR="00331978" w:rsidRPr="00163B8D">
        <w:rPr>
          <w:color w:val="auto"/>
        </w:rPr>
        <w:t>.</w:t>
      </w:r>
    </w:p>
    <w:p w14:paraId="56AF3C6F" w14:textId="77777777" w:rsidR="00407434" w:rsidRDefault="00407434" w:rsidP="00407434">
      <w:pPr>
        <w:rPr>
          <w:color w:val="auto"/>
        </w:rPr>
      </w:pPr>
    </w:p>
    <w:p w14:paraId="03D24FD0" w14:textId="314D7084" w:rsidR="002C424E" w:rsidRPr="00163B8D" w:rsidRDefault="00AF43F7" w:rsidP="00407434">
      <w:pPr>
        <w:rPr>
          <w:color w:val="auto"/>
        </w:rPr>
      </w:pPr>
      <w:r w:rsidRPr="00163B8D">
        <w:rPr>
          <w:color w:val="auto"/>
        </w:rPr>
        <w:t xml:space="preserve">NOTE: Doxycycline could affect the mRNA expression of </w:t>
      </w:r>
      <w:r w:rsidR="008A178A" w:rsidRPr="00163B8D">
        <w:rPr>
          <w:color w:val="auto"/>
        </w:rPr>
        <w:t xml:space="preserve">the </w:t>
      </w:r>
      <w:r w:rsidRPr="00163B8D">
        <w:rPr>
          <w:color w:val="auto"/>
        </w:rPr>
        <w:t xml:space="preserve">endogenous GOI. To verify this, the effect of a 24 h treatment with doxycycline on alveolar cells </w:t>
      </w:r>
      <w:r w:rsidR="00861CB3">
        <w:rPr>
          <w:color w:val="auto"/>
        </w:rPr>
        <w:t>should be</w:t>
      </w:r>
      <w:r w:rsidR="00861CB3" w:rsidRPr="00163B8D">
        <w:rPr>
          <w:color w:val="auto"/>
        </w:rPr>
        <w:t xml:space="preserve"> </w:t>
      </w:r>
      <w:r w:rsidRPr="00163B8D">
        <w:rPr>
          <w:color w:val="auto"/>
        </w:rPr>
        <w:t>tested to confirm the absence of any changes in GOI expression (</w:t>
      </w:r>
      <w:r w:rsidRPr="00163B8D">
        <w:rPr>
          <w:b/>
          <w:color w:val="auto"/>
        </w:rPr>
        <w:t>Figure 2</w:t>
      </w:r>
      <w:r w:rsidRPr="00163B8D">
        <w:rPr>
          <w:color w:val="auto"/>
        </w:rPr>
        <w:t>).</w:t>
      </w:r>
    </w:p>
    <w:p w14:paraId="60243756" w14:textId="77777777" w:rsidR="00407434" w:rsidRPr="00407434" w:rsidRDefault="00407434" w:rsidP="00407434">
      <w:pPr>
        <w:rPr>
          <w:color w:val="auto"/>
        </w:rPr>
      </w:pPr>
    </w:p>
    <w:p w14:paraId="331834F8" w14:textId="0BCDC3B3" w:rsidR="002C424E" w:rsidRPr="00163B8D" w:rsidRDefault="00AF43F7" w:rsidP="00407434">
      <w:pPr>
        <w:numPr>
          <w:ilvl w:val="1"/>
          <w:numId w:val="29"/>
        </w:numPr>
        <w:rPr>
          <w:color w:val="auto"/>
        </w:rPr>
      </w:pPr>
      <w:r w:rsidRPr="00163B8D">
        <w:rPr>
          <w:color w:val="auto"/>
          <w:highlight w:val="yellow"/>
        </w:rPr>
        <w:t xml:space="preserve">Prepare a fresh 1 </w:t>
      </w:r>
      <w:proofErr w:type="spellStart"/>
      <w:r w:rsidRPr="00163B8D">
        <w:rPr>
          <w:color w:val="auto"/>
          <w:highlight w:val="yellow"/>
        </w:rPr>
        <w:t>μg</w:t>
      </w:r>
      <w:proofErr w:type="spellEnd"/>
      <w:r w:rsidRPr="00163B8D">
        <w:rPr>
          <w:color w:val="auto"/>
          <w:highlight w:val="yellow"/>
        </w:rPr>
        <w:t xml:space="preserve">/mL doxycycline solution in complete MEM 72 h </w:t>
      </w:r>
      <w:proofErr w:type="spellStart"/>
      <w:r w:rsidRPr="00163B8D">
        <w:rPr>
          <w:color w:val="auto"/>
          <w:highlight w:val="yellow"/>
        </w:rPr>
        <w:t>posttransfection</w:t>
      </w:r>
      <w:proofErr w:type="spellEnd"/>
      <w:r w:rsidRPr="00163B8D">
        <w:rPr>
          <w:color w:val="auto"/>
          <w:highlight w:val="yellow"/>
        </w:rPr>
        <w:t xml:space="preserve"> and warm it to 37 °C.</w:t>
      </w:r>
    </w:p>
    <w:p w14:paraId="492AE705" w14:textId="77777777" w:rsidR="00407434" w:rsidRPr="00407434" w:rsidRDefault="00407434" w:rsidP="00407434">
      <w:pPr>
        <w:rPr>
          <w:color w:val="auto"/>
        </w:rPr>
      </w:pPr>
    </w:p>
    <w:p w14:paraId="42B4DD5E" w14:textId="6094D7E2" w:rsidR="002C424E" w:rsidRPr="00163B8D" w:rsidRDefault="00AF43F7" w:rsidP="00407434">
      <w:pPr>
        <w:numPr>
          <w:ilvl w:val="1"/>
          <w:numId w:val="29"/>
        </w:numPr>
        <w:rPr>
          <w:color w:val="auto"/>
        </w:rPr>
      </w:pPr>
      <w:r w:rsidRPr="00163B8D">
        <w:rPr>
          <w:color w:val="auto"/>
          <w:highlight w:val="yellow"/>
        </w:rPr>
        <w:t xml:space="preserve">Replace the medium with 1 mL of complete MEM containing 1 µg/mL doxycycline per well to inhibit the transcription of </w:t>
      </w:r>
      <w:r w:rsidR="008A178A" w:rsidRPr="00163B8D">
        <w:rPr>
          <w:color w:val="auto"/>
          <w:highlight w:val="yellow"/>
        </w:rPr>
        <w:t xml:space="preserve">the </w:t>
      </w:r>
      <w:r w:rsidRPr="00163B8D">
        <w:rPr>
          <w:color w:val="auto"/>
          <w:highlight w:val="yellow"/>
        </w:rPr>
        <w:t>GOI.</w:t>
      </w:r>
    </w:p>
    <w:p w14:paraId="44184A33" w14:textId="77777777" w:rsidR="00407434" w:rsidRPr="00407434" w:rsidRDefault="00407434" w:rsidP="00407434">
      <w:pPr>
        <w:rPr>
          <w:color w:val="auto"/>
        </w:rPr>
      </w:pPr>
    </w:p>
    <w:p w14:paraId="2F9D3FBB" w14:textId="261CD3C6" w:rsidR="002C424E" w:rsidRPr="00163B8D" w:rsidRDefault="00AF43F7" w:rsidP="00407434">
      <w:pPr>
        <w:numPr>
          <w:ilvl w:val="1"/>
          <w:numId w:val="29"/>
        </w:numPr>
        <w:rPr>
          <w:color w:val="auto"/>
        </w:rPr>
      </w:pPr>
      <w:r w:rsidRPr="00163B8D">
        <w:rPr>
          <w:color w:val="auto"/>
          <w:highlight w:val="yellow"/>
        </w:rPr>
        <w:t xml:space="preserve">Incubate </w:t>
      </w:r>
      <w:r w:rsidR="00D57372" w:rsidRPr="00163B8D">
        <w:rPr>
          <w:color w:val="auto"/>
          <w:highlight w:val="yellow"/>
        </w:rPr>
        <w:t xml:space="preserve">multiple wells </w:t>
      </w:r>
      <w:r w:rsidRPr="00163B8D">
        <w:rPr>
          <w:color w:val="auto"/>
          <w:highlight w:val="yellow"/>
        </w:rPr>
        <w:t xml:space="preserve">at 37 °C </w:t>
      </w:r>
      <w:r w:rsidR="008A178A" w:rsidRPr="00163B8D">
        <w:rPr>
          <w:color w:val="auto"/>
          <w:highlight w:val="yellow"/>
        </w:rPr>
        <w:t xml:space="preserve">in </w:t>
      </w:r>
      <w:r w:rsidRPr="00163B8D">
        <w:rPr>
          <w:color w:val="auto"/>
          <w:highlight w:val="yellow"/>
        </w:rPr>
        <w:t>5% CO</w:t>
      </w:r>
      <w:r w:rsidRPr="00163B8D">
        <w:rPr>
          <w:color w:val="auto"/>
          <w:highlight w:val="yellow"/>
          <w:vertAlign w:val="subscript"/>
        </w:rPr>
        <w:t>2</w:t>
      </w:r>
      <w:r w:rsidRPr="00163B8D">
        <w:rPr>
          <w:color w:val="auto"/>
          <w:highlight w:val="yellow"/>
        </w:rPr>
        <w:t xml:space="preserve"> </w:t>
      </w:r>
      <w:r w:rsidR="008A178A" w:rsidRPr="00163B8D">
        <w:rPr>
          <w:color w:val="auto"/>
          <w:highlight w:val="yellow"/>
        </w:rPr>
        <w:t xml:space="preserve">for </w:t>
      </w:r>
      <w:r w:rsidRPr="00163B8D">
        <w:rPr>
          <w:color w:val="auto"/>
          <w:highlight w:val="yellow"/>
        </w:rPr>
        <w:t xml:space="preserve">different </w:t>
      </w:r>
      <w:r w:rsidR="008A178A" w:rsidRPr="00163B8D">
        <w:rPr>
          <w:color w:val="auto"/>
          <w:highlight w:val="yellow"/>
        </w:rPr>
        <w:t>amounts of time</w:t>
      </w:r>
      <w:r w:rsidRPr="00163B8D">
        <w:rPr>
          <w:color w:val="auto"/>
          <w:highlight w:val="yellow"/>
        </w:rPr>
        <w:t xml:space="preserve"> from 15 </w:t>
      </w:r>
      <w:r w:rsidR="00362D8B">
        <w:rPr>
          <w:color w:val="auto"/>
          <w:highlight w:val="yellow"/>
        </w:rPr>
        <w:t>min</w:t>
      </w:r>
      <w:r w:rsidR="00861CB3" w:rsidRPr="00861CB3">
        <w:rPr>
          <w:color w:val="auto"/>
          <w:highlight w:val="yellow"/>
        </w:rPr>
        <w:t>–</w:t>
      </w:r>
      <w:r w:rsidRPr="00163B8D">
        <w:rPr>
          <w:color w:val="auto"/>
          <w:highlight w:val="yellow"/>
        </w:rPr>
        <w:t>6 h to assess the mRNA half-life of the GOI.</w:t>
      </w:r>
    </w:p>
    <w:p w14:paraId="74AE4808" w14:textId="77777777" w:rsidR="00407434" w:rsidRPr="00407434" w:rsidRDefault="00407434" w:rsidP="00407434">
      <w:pPr>
        <w:rPr>
          <w:color w:val="auto"/>
        </w:rPr>
      </w:pPr>
    </w:p>
    <w:p w14:paraId="3EA2C7F1" w14:textId="351B5590" w:rsidR="002C424E" w:rsidRPr="00163B8D" w:rsidRDefault="00AF43F7" w:rsidP="00407434">
      <w:pPr>
        <w:numPr>
          <w:ilvl w:val="1"/>
          <w:numId w:val="29"/>
        </w:numPr>
        <w:rPr>
          <w:color w:val="auto"/>
        </w:rPr>
      </w:pPr>
      <w:r w:rsidRPr="00163B8D">
        <w:rPr>
          <w:color w:val="auto"/>
          <w:highlight w:val="yellow"/>
        </w:rPr>
        <w:t xml:space="preserve">At the end of the treatment, wash the cells with ice-cold PBS and lyse them with </w:t>
      </w:r>
      <w:r w:rsidR="008A178A" w:rsidRPr="00163B8D">
        <w:rPr>
          <w:color w:val="auto"/>
          <w:highlight w:val="yellow"/>
        </w:rPr>
        <w:t xml:space="preserve">a </w:t>
      </w:r>
      <w:r w:rsidRPr="00163B8D">
        <w:rPr>
          <w:color w:val="auto"/>
          <w:highlight w:val="yellow"/>
        </w:rPr>
        <w:t xml:space="preserve">commercially available phenol-chloroform RNA extraction kit by adding 500 µL </w:t>
      </w:r>
      <w:r w:rsidR="008A178A" w:rsidRPr="00163B8D">
        <w:rPr>
          <w:color w:val="auto"/>
          <w:highlight w:val="yellow"/>
        </w:rPr>
        <w:t xml:space="preserve">of buffer </w:t>
      </w:r>
      <w:r w:rsidRPr="00163B8D">
        <w:rPr>
          <w:color w:val="auto"/>
          <w:highlight w:val="yellow"/>
        </w:rPr>
        <w:t xml:space="preserve">per well and </w:t>
      </w:r>
      <w:r w:rsidR="008A178A" w:rsidRPr="00163B8D">
        <w:rPr>
          <w:color w:val="auto"/>
          <w:highlight w:val="yellow"/>
        </w:rPr>
        <w:t>shaking the plate</w:t>
      </w:r>
      <w:r w:rsidRPr="00163B8D">
        <w:rPr>
          <w:color w:val="auto"/>
          <w:highlight w:val="yellow"/>
        </w:rPr>
        <w:t xml:space="preserve"> to homogenize</w:t>
      </w:r>
      <w:r w:rsidR="008A178A" w:rsidRPr="00163B8D">
        <w:rPr>
          <w:color w:val="auto"/>
          <w:highlight w:val="yellow"/>
        </w:rPr>
        <w:t xml:space="preserve"> the cells</w:t>
      </w:r>
      <w:r w:rsidRPr="00163B8D">
        <w:rPr>
          <w:color w:val="auto"/>
          <w:highlight w:val="yellow"/>
        </w:rPr>
        <w:t>.</w:t>
      </w:r>
    </w:p>
    <w:p w14:paraId="53242EB5" w14:textId="77777777" w:rsidR="00407434" w:rsidRPr="00407434" w:rsidRDefault="00407434" w:rsidP="00407434">
      <w:pPr>
        <w:rPr>
          <w:color w:val="auto"/>
        </w:rPr>
      </w:pPr>
    </w:p>
    <w:p w14:paraId="05DD4EAF" w14:textId="571BDC26" w:rsidR="002C424E" w:rsidRPr="00163B8D" w:rsidRDefault="00D57372" w:rsidP="00407434">
      <w:pPr>
        <w:numPr>
          <w:ilvl w:val="1"/>
          <w:numId w:val="29"/>
        </w:numPr>
        <w:rPr>
          <w:color w:val="auto"/>
        </w:rPr>
      </w:pPr>
      <w:r w:rsidRPr="00163B8D">
        <w:rPr>
          <w:color w:val="auto"/>
          <w:highlight w:val="yellow"/>
        </w:rPr>
        <w:t xml:space="preserve">Isolate the RNA according to the </w:t>
      </w:r>
      <w:r w:rsidRPr="00243BDA">
        <w:rPr>
          <w:color w:val="auto"/>
          <w:highlight w:val="yellow"/>
        </w:rPr>
        <w:t>manufacturer</w:t>
      </w:r>
      <w:r w:rsidR="00960C90" w:rsidRPr="00243BDA">
        <w:rPr>
          <w:color w:val="auto"/>
          <w:highlight w:val="yellow"/>
        </w:rPr>
        <w:t>’s</w:t>
      </w:r>
      <w:r w:rsidRPr="00243BDA">
        <w:rPr>
          <w:color w:val="auto"/>
          <w:highlight w:val="yellow"/>
        </w:rPr>
        <w:t xml:space="preserve"> p</w:t>
      </w:r>
      <w:r w:rsidRPr="00163B8D">
        <w:rPr>
          <w:color w:val="auto"/>
          <w:highlight w:val="yellow"/>
        </w:rPr>
        <w:t xml:space="preserve">rotocol. </w:t>
      </w:r>
      <w:r w:rsidR="00AF43F7" w:rsidRPr="00163B8D">
        <w:rPr>
          <w:color w:val="auto"/>
          <w:highlight w:val="yellow"/>
        </w:rPr>
        <w:t>Determine the RNA yield and purity by spectrophotometry at 230, 260</w:t>
      </w:r>
      <w:r w:rsidR="00773328">
        <w:rPr>
          <w:color w:val="auto"/>
          <w:highlight w:val="yellow"/>
        </w:rPr>
        <w:t>,</w:t>
      </w:r>
      <w:r w:rsidR="00AF43F7" w:rsidRPr="00163B8D">
        <w:rPr>
          <w:color w:val="auto"/>
          <w:highlight w:val="yellow"/>
        </w:rPr>
        <w:t xml:space="preserve"> and 280 nm.</w:t>
      </w:r>
      <w:r w:rsidR="00AF43F7" w:rsidRPr="00163B8D">
        <w:rPr>
          <w:color w:val="auto"/>
        </w:rPr>
        <w:t xml:space="preserve"> RNA samples with 260:230 and 260:280 </w:t>
      </w:r>
      <w:r w:rsidR="00AF43F7" w:rsidRPr="00163B8D">
        <w:rPr>
          <w:color w:val="auto"/>
        </w:rPr>
        <w:lastRenderedPageBreak/>
        <w:t>ratios of 1.8 and 2.0, respectively, are considered pure.</w:t>
      </w:r>
    </w:p>
    <w:p w14:paraId="11C052A4" w14:textId="77777777" w:rsidR="00407434" w:rsidRDefault="00407434" w:rsidP="00407434">
      <w:pPr>
        <w:rPr>
          <w:color w:val="auto"/>
        </w:rPr>
      </w:pPr>
    </w:p>
    <w:p w14:paraId="162032CB" w14:textId="4E7C4DC5" w:rsidR="00AB47E8" w:rsidRDefault="00AF43F7" w:rsidP="00407434">
      <w:pPr>
        <w:rPr>
          <w:color w:val="auto"/>
        </w:rPr>
      </w:pPr>
      <w:r w:rsidRPr="00163B8D">
        <w:rPr>
          <w:color w:val="auto"/>
        </w:rPr>
        <w:t>NOTE: The protocol can be paused here.</w:t>
      </w:r>
    </w:p>
    <w:p w14:paraId="537AB628" w14:textId="77777777" w:rsidR="00407434" w:rsidRPr="00163B8D" w:rsidRDefault="00407434" w:rsidP="00407434">
      <w:pPr>
        <w:rPr>
          <w:color w:val="auto"/>
        </w:rPr>
      </w:pPr>
    </w:p>
    <w:p w14:paraId="6C495775" w14:textId="51CED73A" w:rsidR="002C424E" w:rsidRPr="00163B8D" w:rsidRDefault="00AF43F7" w:rsidP="00407434">
      <w:pPr>
        <w:numPr>
          <w:ilvl w:val="0"/>
          <w:numId w:val="29"/>
        </w:numPr>
        <w:rPr>
          <w:color w:val="auto"/>
        </w:rPr>
      </w:pPr>
      <w:r w:rsidRPr="00163B8D">
        <w:rPr>
          <w:b/>
          <w:color w:val="auto"/>
          <w:highlight w:val="yellow"/>
        </w:rPr>
        <w:t>Determining the mRNA stability of the GOI</w:t>
      </w:r>
    </w:p>
    <w:p w14:paraId="21C9004F" w14:textId="77777777" w:rsidR="00407434" w:rsidRPr="00407434" w:rsidRDefault="00407434" w:rsidP="00407434">
      <w:pPr>
        <w:rPr>
          <w:color w:val="auto"/>
        </w:rPr>
      </w:pPr>
    </w:p>
    <w:p w14:paraId="54AD08CE" w14:textId="0269F137" w:rsidR="002C424E" w:rsidRPr="00163B8D" w:rsidRDefault="00AF43F7" w:rsidP="00407434">
      <w:pPr>
        <w:numPr>
          <w:ilvl w:val="1"/>
          <w:numId w:val="29"/>
        </w:numPr>
        <w:rPr>
          <w:color w:val="auto"/>
        </w:rPr>
      </w:pPr>
      <w:r w:rsidRPr="00163B8D">
        <w:rPr>
          <w:color w:val="auto"/>
          <w:highlight w:val="yellow"/>
        </w:rPr>
        <w:t xml:space="preserve">Treat 1 µg of total RNA with </w:t>
      </w:r>
      <w:proofErr w:type="spellStart"/>
      <w:r w:rsidRPr="00163B8D">
        <w:rPr>
          <w:color w:val="auto"/>
          <w:highlight w:val="yellow"/>
        </w:rPr>
        <w:t>RNAse</w:t>
      </w:r>
      <w:proofErr w:type="spellEnd"/>
      <w:r w:rsidRPr="00163B8D">
        <w:rPr>
          <w:color w:val="auto"/>
          <w:highlight w:val="yellow"/>
        </w:rPr>
        <w:t xml:space="preserve">-free </w:t>
      </w:r>
      <w:proofErr w:type="spellStart"/>
      <w:r w:rsidRPr="00163B8D">
        <w:rPr>
          <w:color w:val="auto"/>
          <w:highlight w:val="yellow"/>
        </w:rPr>
        <w:t>DNAse</w:t>
      </w:r>
      <w:proofErr w:type="spellEnd"/>
      <w:r w:rsidRPr="00163B8D">
        <w:rPr>
          <w:color w:val="auto"/>
          <w:highlight w:val="yellow"/>
        </w:rPr>
        <w:t xml:space="preserve"> I (amplification grade) </w:t>
      </w:r>
      <w:r w:rsidRPr="00EF4B5E">
        <w:rPr>
          <w:color w:val="auto"/>
          <w:highlight w:val="yellow"/>
        </w:rPr>
        <w:t>to remove any trace of plasmid DNA</w:t>
      </w:r>
      <w:r w:rsidRPr="00163B8D">
        <w:rPr>
          <w:color w:val="auto"/>
          <w:highlight w:val="yellow"/>
        </w:rPr>
        <w:t xml:space="preserve"> that could interfere with subsequent DNA amplification.</w:t>
      </w:r>
    </w:p>
    <w:p w14:paraId="63E94AB2" w14:textId="77777777" w:rsidR="00407434" w:rsidRDefault="00407434" w:rsidP="00407434">
      <w:pPr>
        <w:rPr>
          <w:color w:val="auto"/>
        </w:rPr>
      </w:pPr>
    </w:p>
    <w:p w14:paraId="0D37B6DB" w14:textId="3AF51218" w:rsidR="00906AE7" w:rsidRPr="00163B8D" w:rsidRDefault="008A178A" w:rsidP="00407434">
      <w:pPr>
        <w:numPr>
          <w:ilvl w:val="2"/>
          <w:numId w:val="29"/>
        </w:numPr>
        <w:rPr>
          <w:color w:val="auto"/>
        </w:rPr>
      </w:pPr>
      <w:r w:rsidRPr="00163B8D">
        <w:rPr>
          <w:color w:val="auto"/>
        </w:rPr>
        <w:t>I</w:t>
      </w:r>
      <w:r w:rsidR="002C424E" w:rsidRPr="00163B8D">
        <w:rPr>
          <w:color w:val="auto"/>
        </w:rPr>
        <w:t>n a 0.2 mL PCR tube</w:t>
      </w:r>
      <w:r w:rsidRPr="00163B8D">
        <w:rPr>
          <w:color w:val="auto"/>
        </w:rPr>
        <w:t>,</w:t>
      </w:r>
      <w:r w:rsidR="002C424E" w:rsidRPr="00163B8D">
        <w:rPr>
          <w:color w:val="auto"/>
        </w:rPr>
        <w:t xml:space="preserve"> combine 1 µg of total RNA, 1 µL of </w:t>
      </w:r>
      <w:r w:rsidR="007F5028" w:rsidRPr="00163B8D">
        <w:rPr>
          <w:color w:val="auto"/>
        </w:rPr>
        <w:t>10</w:t>
      </w:r>
      <w:r w:rsidR="007F5028">
        <w:rPr>
          <w:color w:val="auto"/>
        </w:rPr>
        <w:t>x</w:t>
      </w:r>
      <w:r w:rsidR="007F5028" w:rsidRPr="00163B8D">
        <w:rPr>
          <w:color w:val="auto"/>
        </w:rPr>
        <w:t xml:space="preserve"> </w:t>
      </w:r>
      <w:r w:rsidR="002C424E" w:rsidRPr="00163B8D">
        <w:rPr>
          <w:color w:val="auto"/>
        </w:rPr>
        <w:t xml:space="preserve">DNase I </w:t>
      </w:r>
      <w:r w:rsidR="007F5028" w:rsidRPr="00163B8D">
        <w:rPr>
          <w:color w:val="auto"/>
        </w:rPr>
        <w:t>reaction buffer</w:t>
      </w:r>
      <w:r w:rsidR="002C424E" w:rsidRPr="00163B8D">
        <w:rPr>
          <w:color w:val="auto"/>
        </w:rPr>
        <w:t xml:space="preserve">, 1 µL of </w:t>
      </w:r>
      <w:proofErr w:type="spellStart"/>
      <w:r w:rsidR="002C424E" w:rsidRPr="00163B8D">
        <w:rPr>
          <w:color w:val="auto"/>
        </w:rPr>
        <w:t>DNAse</w:t>
      </w:r>
      <w:proofErr w:type="spellEnd"/>
      <w:r w:rsidR="002C424E" w:rsidRPr="00163B8D">
        <w:rPr>
          <w:color w:val="auto"/>
        </w:rPr>
        <w:t xml:space="preserve"> I (1 U/µL)</w:t>
      </w:r>
      <w:r w:rsidR="007F5028">
        <w:rPr>
          <w:color w:val="auto"/>
        </w:rPr>
        <w:t>,</w:t>
      </w:r>
      <w:r w:rsidR="002C424E" w:rsidRPr="00163B8D">
        <w:rPr>
          <w:color w:val="auto"/>
        </w:rPr>
        <w:t xml:space="preserve"> and </w:t>
      </w:r>
      <w:proofErr w:type="spellStart"/>
      <w:r w:rsidR="002C424E" w:rsidRPr="00163B8D">
        <w:rPr>
          <w:color w:val="auto"/>
        </w:rPr>
        <w:t>RNAse</w:t>
      </w:r>
      <w:proofErr w:type="spellEnd"/>
      <w:r w:rsidR="002C424E" w:rsidRPr="00163B8D">
        <w:rPr>
          <w:color w:val="auto"/>
        </w:rPr>
        <w:t xml:space="preserve">-free water to </w:t>
      </w:r>
      <w:r w:rsidRPr="00163B8D">
        <w:rPr>
          <w:color w:val="auto"/>
        </w:rPr>
        <w:t xml:space="preserve">obtain </w:t>
      </w:r>
      <w:r w:rsidR="002C424E" w:rsidRPr="00163B8D">
        <w:rPr>
          <w:color w:val="auto"/>
        </w:rPr>
        <w:t>a total volume of 10 µL.</w:t>
      </w:r>
    </w:p>
    <w:p w14:paraId="20E664D3" w14:textId="77777777" w:rsidR="00407434" w:rsidRDefault="00407434" w:rsidP="00407434">
      <w:pPr>
        <w:rPr>
          <w:color w:val="auto"/>
        </w:rPr>
      </w:pPr>
    </w:p>
    <w:p w14:paraId="2D6EB83E" w14:textId="14307B44" w:rsidR="00906AE7" w:rsidRPr="00163B8D" w:rsidRDefault="002C424E" w:rsidP="00407434">
      <w:pPr>
        <w:numPr>
          <w:ilvl w:val="2"/>
          <w:numId w:val="29"/>
        </w:numPr>
        <w:rPr>
          <w:color w:val="auto"/>
        </w:rPr>
      </w:pPr>
      <w:r w:rsidRPr="00163B8D">
        <w:rPr>
          <w:color w:val="auto"/>
        </w:rPr>
        <w:t xml:space="preserve">Incubate the reaction at </w:t>
      </w:r>
      <w:r w:rsidR="007D38EE">
        <w:rPr>
          <w:color w:val="auto"/>
        </w:rPr>
        <w:t>RT</w:t>
      </w:r>
      <w:r w:rsidRPr="00163B8D">
        <w:rPr>
          <w:color w:val="auto"/>
        </w:rPr>
        <w:t xml:space="preserve"> for 20 </w:t>
      </w:r>
      <w:r w:rsidR="00362D8B">
        <w:rPr>
          <w:color w:val="auto"/>
        </w:rPr>
        <w:t>min</w:t>
      </w:r>
      <w:r w:rsidRPr="00163B8D">
        <w:rPr>
          <w:color w:val="auto"/>
        </w:rPr>
        <w:t>.</w:t>
      </w:r>
    </w:p>
    <w:p w14:paraId="0C28452B" w14:textId="77777777" w:rsidR="00407434" w:rsidRDefault="00407434" w:rsidP="00407434">
      <w:pPr>
        <w:rPr>
          <w:color w:val="auto"/>
        </w:rPr>
      </w:pPr>
    </w:p>
    <w:p w14:paraId="0B9EDD58" w14:textId="43E808B1" w:rsidR="002C424E" w:rsidRPr="00163B8D" w:rsidRDefault="00AF43F7" w:rsidP="00407434">
      <w:pPr>
        <w:numPr>
          <w:ilvl w:val="2"/>
          <w:numId w:val="29"/>
        </w:numPr>
        <w:rPr>
          <w:color w:val="auto"/>
        </w:rPr>
      </w:pPr>
      <w:r w:rsidRPr="00163B8D">
        <w:rPr>
          <w:color w:val="auto"/>
        </w:rPr>
        <w:t xml:space="preserve">Deactivate </w:t>
      </w:r>
      <w:proofErr w:type="spellStart"/>
      <w:r w:rsidRPr="00163B8D">
        <w:rPr>
          <w:color w:val="auto"/>
        </w:rPr>
        <w:t>DNAse</w:t>
      </w:r>
      <w:proofErr w:type="spellEnd"/>
      <w:r w:rsidRPr="00163B8D">
        <w:rPr>
          <w:color w:val="auto"/>
        </w:rPr>
        <w:t xml:space="preserve"> I by adding 1 µL of 25 mM EDTA to </w:t>
      </w:r>
      <w:r w:rsidR="008A178A" w:rsidRPr="00163B8D">
        <w:rPr>
          <w:color w:val="auto"/>
        </w:rPr>
        <w:t xml:space="preserve">the </w:t>
      </w:r>
      <w:r w:rsidRPr="00163B8D">
        <w:rPr>
          <w:color w:val="auto"/>
        </w:rPr>
        <w:t>10 µL reaction mix and incubat</w:t>
      </w:r>
      <w:r w:rsidR="008A178A" w:rsidRPr="00163B8D">
        <w:rPr>
          <w:color w:val="auto"/>
        </w:rPr>
        <w:t xml:space="preserve">ing the reaction </w:t>
      </w:r>
      <w:r w:rsidRPr="00163B8D">
        <w:rPr>
          <w:color w:val="auto"/>
        </w:rPr>
        <w:t>at 70</w:t>
      </w:r>
      <w:r w:rsidR="001D65F8" w:rsidRPr="00163B8D">
        <w:rPr>
          <w:color w:val="auto"/>
        </w:rPr>
        <w:t xml:space="preserve"> </w:t>
      </w:r>
      <w:r w:rsidRPr="00163B8D">
        <w:rPr>
          <w:color w:val="auto"/>
        </w:rPr>
        <w:t xml:space="preserve">°C for 10 </w:t>
      </w:r>
      <w:r w:rsidR="00362D8B">
        <w:rPr>
          <w:color w:val="auto"/>
        </w:rPr>
        <w:t>min</w:t>
      </w:r>
      <w:r w:rsidRPr="00163B8D">
        <w:rPr>
          <w:color w:val="auto"/>
        </w:rPr>
        <w:t>.</w:t>
      </w:r>
    </w:p>
    <w:p w14:paraId="05DA89B8" w14:textId="77777777" w:rsidR="00407434" w:rsidRPr="00407434" w:rsidRDefault="00407434" w:rsidP="00407434">
      <w:pPr>
        <w:rPr>
          <w:color w:val="auto"/>
        </w:rPr>
      </w:pPr>
    </w:p>
    <w:p w14:paraId="689E42FF" w14:textId="4FFBB1A3" w:rsidR="002C424E" w:rsidRPr="00163B8D" w:rsidRDefault="00AF43F7" w:rsidP="00407434">
      <w:pPr>
        <w:numPr>
          <w:ilvl w:val="1"/>
          <w:numId w:val="29"/>
        </w:numPr>
        <w:rPr>
          <w:color w:val="auto"/>
        </w:rPr>
      </w:pPr>
      <w:r w:rsidRPr="00B86B97">
        <w:rPr>
          <w:color w:val="auto"/>
          <w:highlight w:val="yellow"/>
        </w:rPr>
        <w:t>Reverse</w:t>
      </w:r>
      <w:r w:rsidR="008A178A" w:rsidRPr="00B86B97">
        <w:rPr>
          <w:color w:val="auto"/>
          <w:highlight w:val="yellow"/>
        </w:rPr>
        <w:t>-</w:t>
      </w:r>
      <w:r w:rsidRPr="00B86B97">
        <w:rPr>
          <w:color w:val="auto"/>
          <w:highlight w:val="yellow"/>
        </w:rPr>
        <w:t xml:space="preserve">transcribe the DNA-depleted total RNA </w:t>
      </w:r>
      <w:r w:rsidR="008A178A" w:rsidRPr="00B86B97">
        <w:rPr>
          <w:color w:val="auto"/>
          <w:highlight w:val="yellow"/>
        </w:rPr>
        <w:t>in</w:t>
      </w:r>
      <w:r w:rsidRPr="00B86B97">
        <w:rPr>
          <w:color w:val="auto"/>
          <w:highlight w:val="yellow"/>
        </w:rPr>
        <w:t xml:space="preserve">to cDNA using a commercially available cDNA synthesis kit </w:t>
      </w:r>
      <w:r w:rsidRPr="00EF4B5E">
        <w:rPr>
          <w:color w:val="auto"/>
          <w:highlight w:val="yellow"/>
        </w:rPr>
        <w:t>with a blend of oligo(dT) and random hexamer primers</w:t>
      </w:r>
      <w:r w:rsidRPr="00B86B97">
        <w:rPr>
          <w:color w:val="auto"/>
          <w:highlight w:val="yellow"/>
        </w:rPr>
        <w:t xml:space="preserve"> to improve the reverse transcription efficiency.</w:t>
      </w:r>
    </w:p>
    <w:p w14:paraId="54D39BDF" w14:textId="77777777" w:rsidR="00407434" w:rsidRDefault="00407434" w:rsidP="00407434">
      <w:pPr>
        <w:rPr>
          <w:color w:val="auto"/>
        </w:rPr>
      </w:pPr>
    </w:p>
    <w:p w14:paraId="1A7D1C29" w14:textId="7EC52DAD" w:rsidR="00906AE7" w:rsidRPr="00163B8D" w:rsidRDefault="002C424E" w:rsidP="00407434">
      <w:pPr>
        <w:numPr>
          <w:ilvl w:val="2"/>
          <w:numId w:val="29"/>
        </w:numPr>
        <w:rPr>
          <w:color w:val="auto"/>
        </w:rPr>
      </w:pPr>
      <w:r w:rsidRPr="00163B8D">
        <w:rPr>
          <w:color w:val="auto"/>
        </w:rPr>
        <w:t xml:space="preserve">Briefly, add 4 </w:t>
      </w:r>
      <w:proofErr w:type="spellStart"/>
      <w:r w:rsidRPr="00163B8D">
        <w:rPr>
          <w:color w:val="auto"/>
        </w:rPr>
        <w:t>μ</w:t>
      </w:r>
      <w:r w:rsidR="008F3D50">
        <w:rPr>
          <w:color w:val="auto"/>
        </w:rPr>
        <w:t>L</w:t>
      </w:r>
      <w:proofErr w:type="spellEnd"/>
      <w:r w:rsidRPr="00163B8D">
        <w:rPr>
          <w:color w:val="auto"/>
        </w:rPr>
        <w:t xml:space="preserve"> of 5x </w:t>
      </w:r>
      <w:r w:rsidR="008A178A" w:rsidRPr="00163B8D">
        <w:rPr>
          <w:color w:val="auto"/>
        </w:rPr>
        <w:t>reaction mix</w:t>
      </w:r>
      <w:r w:rsidRPr="00163B8D">
        <w:rPr>
          <w:color w:val="auto"/>
        </w:rPr>
        <w:t xml:space="preserve">, 1 µL of </w:t>
      </w:r>
      <w:r w:rsidR="008A178A" w:rsidRPr="00163B8D">
        <w:rPr>
          <w:color w:val="auto"/>
        </w:rPr>
        <w:t>reverse transcriptase</w:t>
      </w:r>
      <w:r w:rsidR="007D38EE">
        <w:rPr>
          <w:color w:val="auto"/>
        </w:rPr>
        <w:t>,</w:t>
      </w:r>
      <w:r w:rsidR="008A178A" w:rsidRPr="00163B8D">
        <w:rPr>
          <w:color w:val="auto"/>
        </w:rPr>
        <w:t xml:space="preserve"> </w:t>
      </w:r>
      <w:r w:rsidRPr="00163B8D">
        <w:rPr>
          <w:color w:val="auto"/>
        </w:rPr>
        <w:t xml:space="preserve">and 4 µL of </w:t>
      </w:r>
      <w:proofErr w:type="spellStart"/>
      <w:r w:rsidRPr="00163B8D">
        <w:rPr>
          <w:color w:val="auto"/>
        </w:rPr>
        <w:t>RNAse</w:t>
      </w:r>
      <w:proofErr w:type="spellEnd"/>
      <w:r w:rsidRPr="00163B8D">
        <w:rPr>
          <w:color w:val="auto"/>
        </w:rPr>
        <w:t xml:space="preserve">-free water to 11 </w:t>
      </w:r>
      <w:proofErr w:type="spellStart"/>
      <w:r w:rsidRPr="00163B8D">
        <w:rPr>
          <w:color w:val="auto"/>
        </w:rPr>
        <w:t>μL</w:t>
      </w:r>
      <w:proofErr w:type="spellEnd"/>
      <w:r w:rsidRPr="00163B8D">
        <w:rPr>
          <w:color w:val="auto"/>
        </w:rPr>
        <w:t xml:space="preserve"> of </w:t>
      </w:r>
      <w:r w:rsidR="008A178A" w:rsidRPr="00163B8D">
        <w:rPr>
          <w:color w:val="auto"/>
        </w:rPr>
        <w:t xml:space="preserve">the </w:t>
      </w:r>
      <w:r w:rsidRPr="00163B8D">
        <w:rPr>
          <w:color w:val="auto"/>
        </w:rPr>
        <w:t xml:space="preserve">DNA-depleted total RNA mix to </w:t>
      </w:r>
      <w:r w:rsidR="008A178A" w:rsidRPr="00163B8D">
        <w:rPr>
          <w:color w:val="auto"/>
        </w:rPr>
        <w:t>obtain a</w:t>
      </w:r>
      <w:r w:rsidRPr="00163B8D">
        <w:rPr>
          <w:color w:val="auto"/>
        </w:rPr>
        <w:t xml:space="preserve"> total reaction volume </w:t>
      </w:r>
      <w:r w:rsidR="008A178A" w:rsidRPr="00163B8D">
        <w:rPr>
          <w:color w:val="auto"/>
        </w:rPr>
        <w:t xml:space="preserve">of </w:t>
      </w:r>
      <w:r w:rsidRPr="00163B8D">
        <w:rPr>
          <w:color w:val="auto"/>
        </w:rPr>
        <w:t xml:space="preserve">20 </w:t>
      </w:r>
      <w:proofErr w:type="spellStart"/>
      <w:r w:rsidRPr="00163B8D">
        <w:rPr>
          <w:color w:val="auto"/>
        </w:rPr>
        <w:t>μ</w:t>
      </w:r>
      <w:r w:rsidR="008F3D50">
        <w:rPr>
          <w:color w:val="auto"/>
        </w:rPr>
        <w:t>L</w:t>
      </w:r>
      <w:proofErr w:type="spellEnd"/>
      <w:r w:rsidRPr="00163B8D">
        <w:rPr>
          <w:color w:val="auto"/>
        </w:rPr>
        <w:t xml:space="preserve">. Mix </w:t>
      </w:r>
      <w:r w:rsidR="008A178A" w:rsidRPr="00163B8D">
        <w:rPr>
          <w:color w:val="auto"/>
        </w:rPr>
        <w:t xml:space="preserve">the reaction </w:t>
      </w:r>
      <w:r w:rsidRPr="00163B8D">
        <w:rPr>
          <w:color w:val="auto"/>
        </w:rPr>
        <w:t xml:space="preserve">well by </w:t>
      </w:r>
      <w:r w:rsidR="008A178A" w:rsidRPr="00163B8D">
        <w:rPr>
          <w:color w:val="auto"/>
        </w:rPr>
        <w:t xml:space="preserve">pipetting it </w:t>
      </w:r>
      <w:r w:rsidRPr="00163B8D">
        <w:rPr>
          <w:color w:val="auto"/>
        </w:rPr>
        <w:t>up and down.</w:t>
      </w:r>
    </w:p>
    <w:p w14:paraId="3EF339D0" w14:textId="77777777" w:rsidR="00407434" w:rsidRDefault="00407434" w:rsidP="00407434">
      <w:pPr>
        <w:rPr>
          <w:color w:val="auto"/>
        </w:rPr>
      </w:pPr>
    </w:p>
    <w:p w14:paraId="4CAE1D79" w14:textId="6A4F944A" w:rsidR="00906AE7" w:rsidRPr="00163B8D" w:rsidRDefault="002C424E" w:rsidP="00407434">
      <w:pPr>
        <w:numPr>
          <w:ilvl w:val="2"/>
          <w:numId w:val="29"/>
        </w:numPr>
        <w:rPr>
          <w:color w:val="auto"/>
        </w:rPr>
      </w:pPr>
      <w:r w:rsidRPr="00163B8D">
        <w:rPr>
          <w:color w:val="auto"/>
        </w:rPr>
        <w:t xml:space="preserve">Incubate </w:t>
      </w:r>
      <w:r w:rsidR="008A178A" w:rsidRPr="00163B8D">
        <w:rPr>
          <w:color w:val="auto"/>
        </w:rPr>
        <w:t xml:space="preserve">the reaction </w:t>
      </w:r>
      <w:r w:rsidRPr="00163B8D">
        <w:rPr>
          <w:color w:val="auto"/>
        </w:rPr>
        <w:t xml:space="preserve">for 5 </w:t>
      </w:r>
      <w:r w:rsidR="00362D8B">
        <w:rPr>
          <w:color w:val="auto"/>
        </w:rPr>
        <w:t>min</w:t>
      </w:r>
      <w:r w:rsidRPr="00163B8D">
        <w:rPr>
          <w:color w:val="auto"/>
        </w:rPr>
        <w:t xml:space="preserve"> at 25 °C, followed by 20 </w:t>
      </w:r>
      <w:r w:rsidR="00362D8B">
        <w:rPr>
          <w:color w:val="auto"/>
        </w:rPr>
        <w:t>min</w:t>
      </w:r>
      <w:r w:rsidRPr="00163B8D">
        <w:rPr>
          <w:color w:val="auto"/>
        </w:rPr>
        <w:t xml:space="preserve"> at 46 °C</w:t>
      </w:r>
      <w:r w:rsidR="008A178A" w:rsidRPr="00163B8D">
        <w:rPr>
          <w:color w:val="auto"/>
        </w:rPr>
        <w:t>,</w:t>
      </w:r>
      <w:r w:rsidRPr="00163B8D">
        <w:rPr>
          <w:color w:val="auto"/>
        </w:rPr>
        <w:t xml:space="preserve"> and</w:t>
      </w:r>
      <w:r w:rsidR="008A178A" w:rsidRPr="00163B8D">
        <w:rPr>
          <w:color w:val="auto"/>
        </w:rPr>
        <w:t xml:space="preserve"> then</w:t>
      </w:r>
      <w:r w:rsidRPr="00163B8D">
        <w:rPr>
          <w:color w:val="auto"/>
        </w:rPr>
        <w:t xml:space="preserve"> inactivate the reaction </w:t>
      </w:r>
      <w:r w:rsidR="008A178A" w:rsidRPr="00163B8D">
        <w:rPr>
          <w:color w:val="auto"/>
        </w:rPr>
        <w:t xml:space="preserve">by incubating it </w:t>
      </w:r>
      <w:r w:rsidRPr="00163B8D">
        <w:rPr>
          <w:color w:val="auto"/>
        </w:rPr>
        <w:t xml:space="preserve">at 95 °C for 1 </w:t>
      </w:r>
      <w:r w:rsidR="00362D8B">
        <w:rPr>
          <w:color w:val="auto"/>
        </w:rPr>
        <w:t>min</w:t>
      </w:r>
      <w:r w:rsidRPr="00163B8D">
        <w:rPr>
          <w:color w:val="auto"/>
        </w:rPr>
        <w:t xml:space="preserve">. Each reaction </w:t>
      </w:r>
      <w:r w:rsidR="008A178A" w:rsidRPr="00163B8D">
        <w:rPr>
          <w:color w:val="auto"/>
        </w:rPr>
        <w:t xml:space="preserve">will yield </w:t>
      </w:r>
      <w:r w:rsidRPr="00163B8D">
        <w:rPr>
          <w:color w:val="auto"/>
        </w:rPr>
        <w:t>50 ng/µL of cDNA product.</w:t>
      </w:r>
    </w:p>
    <w:p w14:paraId="1D25D62D" w14:textId="77777777" w:rsidR="00407434" w:rsidRDefault="00407434" w:rsidP="00407434">
      <w:pPr>
        <w:rPr>
          <w:color w:val="auto"/>
        </w:rPr>
      </w:pPr>
    </w:p>
    <w:p w14:paraId="4EAD76DC" w14:textId="154100AA" w:rsidR="002C424E" w:rsidRPr="00163B8D" w:rsidRDefault="00AF43F7" w:rsidP="00407434">
      <w:pPr>
        <w:numPr>
          <w:ilvl w:val="2"/>
          <w:numId w:val="29"/>
        </w:numPr>
        <w:rPr>
          <w:color w:val="auto"/>
        </w:rPr>
      </w:pPr>
      <w:r w:rsidRPr="00163B8D">
        <w:rPr>
          <w:color w:val="auto"/>
          <w:highlight w:val="yellow"/>
        </w:rPr>
        <w:t xml:space="preserve">Dilute the cDNA reaction to a concentration of 5 ng/µL by adding 180 µL of </w:t>
      </w:r>
      <w:r w:rsidR="008A178A" w:rsidRPr="00163B8D">
        <w:rPr>
          <w:color w:val="auto"/>
          <w:highlight w:val="yellow"/>
        </w:rPr>
        <w:t xml:space="preserve">molecular biology-grade </w:t>
      </w:r>
      <w:r w:rsidRPr="00163B8D">
        <w:rPr>
          <w:color w:val="auto"/>
          <w:highlight w:val="yellow"/>
        </w:rPr>
        <w:t xml:space="preserve">water to the 20 µL reaction mix. Store </w:t>
      </w:r>
      <w:r w:rsidR="008A178A" w:rsidRPr="00163B8D">
        <w:rPr>
          <w:color w:val="auto"/>
          <w:highlight w:val="yellow"/>
        </w:rPr>
        <w:t xml:space="preserve">the </w:t>
      </w:r>
      <w:r w:rsidRPr="00163B8D">
        <w:rPr>
          <w:color w:val="auto"/>
          <w:highlight w:val="yellow"/>
        </w:rPr>
        <w:t xml:space="preserve">cDNA products at -80 °C or proceed immediately </w:t>
      </w:r>
      <w:r w:rsidR="008A178A" w:rsidRPr="00163B8D">
        <w:rPr>
          <w:color w:val="auto"/>
          <w:highlight w:val="yellow"/>
        </w:rPr>
        <w:t xml:space="preserve">to performing </w:t>
      </w:r>
      <w:r w:rsidRPr="00163B8D">
        <w:rPr>
          <w:color w:val="auto"/>
          <w:highlight w:val="yellow"/>
        </w:rPr>
        <w:t>real-time quantitative PCR (qPCR).</w:t>
      </w:r>
    </w:p>
    <w:p w14:paraId="7BB5FE69" w14:textId="77777777" w:rsidR="00407434" w:rsidRDefault="00407434" w:rsidP="00407434">
      <w:pPr>
        <w:rPr>
          <w:color w:val="auto"/>
        </w:rPr>
      </w:pPr>
    </w:p>
    <w:p w14:paraId="6FB5AFD5" w14:textId="4AFA3452" w:rsidR="00AB47E8" w:rsidRPr="00163B8D" w:rsidRDefault="00AF43F7" w:rsidP="00407434">
      <w:pPr>
        <w:rPr>
          <w:color w:val="auto"/>
        </w:rPr>
      </w:pPr>
      <w:r w:rsidRPr="00163B8D">
        <w:rPr>
          <w:color w:val="auto"/>
        </w:rPr>
        <w:t>NOTE: The protocol can be paused here.</w:t>
      </w:r>
    </w:p>
    <w:p w14:paraId="3E6BBDBD" w14:textId="77777777" w:rsidR="00407434" w:rsidRDefault="00407434" w:rsidP="00407434">
      <w:pPr>
        <w:rPr>
          <w:color w:val="auto"/>
        </w:rPr>
      </w:pPr>
    </w:p>
    <w:p w14:paraId="28277D62" w14:textId="59641BCA" w:rsidR="00906AE7" w:rsidRPr="00163B8D" w:rsidRDefault="002C424E" w:rsidP="00407434">
      <w:pPr>
        <w:numPr>
          <w:ilvl w:val="1"/>
          <w:numId w:val="29"/>
        </w:numPr>
        <w:rPr>
          <w:color w:val="auto"/>
        </w:rPr>
      </w:pPr>
      <w:r w:rsidRPr="00163B8D">
        <w:rPr>
          <w:color w:val="auto"/>
        </w:rPr>
        <w:t xml:space="preserve">Design forward and reverse qPCR primers specific to </w:t>
      </w:r>
      <w:r w:rsidR="008A178A" w:rsidRPr="00163B8D">
        <w:rPr>
          <w:color w:val="auto"/>
        </w:rPr>
        <w:t xml:space="preserve">the </w:t>
      </w:r>
      <w:r w:rsidRPr="00163B8D">
        <w:rPr>
          <w:color w:val="auto"/>
        </w:rPr>
        <w:t>GOI.</w:t>
      </w:r>
    </w:p>
    <w:p w14:paraId="729DE50B" w14:textId="77777777" w:rsidR="00407434" w:rsidRDefault="00407434" w:rsidP="00407434">
      <w:pPr>
        <w:rPr>
          <w:color w:val="auto"/>
        </w:rPr>
      </w:pPr>
    </w:p>
    <w:p w14:paraId="0E01EDF3" w14:textId="09F8CFA0" w:rsidR="00906AE7" w:rsidRPr="00163B8D" w:rsidRDefault="002C424E" w:rsidP="00407434">
      <w:pPr>
        <w:numPr>
          <w:ilvl w:val="2"/>
          <w:numId w:val="29"/>
        </w:numPr>
        <w:rPr>
          <w:color w:val="auto"/>
        </w:rPr>
      </w:pPr>
      <w:r w:rsidRPr="00163B8D">
        <w:rPr>
          <w:color w:val="auto"/>
        </w:rPr>
        <w:t xml:space="preserve">Due to </w:t>
      </w:r>
      <w:r w:rsidR="008A178A" w:rsidRPr="00163B8D">
        <w:rPr>
          <w:color w:val="auto"/>
        </w:rPr>
        <w:t xml:space="preserve">the </w:t>
      </w:r>
      <w:r w:rsidRPr="00163B8D">
        <w:rPr>
          <w:color w:val="auto"/>
        </w:rPr>
        <w:t>endogenous expression of the GOI in the cells,</w:t>
      </w:r>
      <w:r w:rsidR="000A732D" w:rsidRPr="00163B8D">
        <w:rPr>
          <w:color w:val="auto"/>
        </w:rPr>
        <w:t xml:space="preserve"> the primers must be designed to amplify a 100</w:t>
      </w:r>
      <w:r w:rsidR="007F5028" w:rsidRPr="00E420FB">
        <w:rPr>
          <w:color w:val="auto"/>
        </w:rPr>
        <w:t>–</w:t>
      </w:r>
      <w:r w:rsidR="000A732D" w:rsidRPr="00163B8D">
        <w:rPr>
          <w:color w:val="auto"/>
        </w:rPr>
        <w:t>150 bp amplicon of the V5 epitope coupled to the GOI (</w:t>
      </w:r>
      <w:r w:rsidR="000A732D" w:rsidRPr="00163B8D">
        <w:rPr>
          <w:b/>
          <w:color w:val="auto"/>
        </w:rPr>
        <w:t>Table 1</w:t>
      </w:r>
      <w:r w:rsidRPr="00163B8D">
        <w:rPr>
          <w:color w:val="auto"/>
        </w:rPr>
        <w:t>).</w:t>
      </w:r>
    </w:p>
    <w:p w14:paraId="12FF410C" w14:textId="77777777" w:rsidR="00407434" w:rsidRDefault="00407434" w:rsidP="00407434">
      <w:pPr>
        <w:rPr>
          <w:color w:val="auto"/>
        </w:rPr>
      </w:pPr>
    </w:p>
    <w:p w14:paraId="7B12327B" w14:textId="2941E074" w:rsidR="002C424E" w:rsidRPr="00163B8D" w:rsidRDefault="00AF43F7" w:rsidP="00407434">
      <w:pPr>
        <w:numPr>
          <w:ilvl w:val="2"/>
          <w:numId w:val="29"/>
        </w:numPr>
        <w:rPr>
          <w:color w:val="auto"/>
        </w:rPr>
      </w:pPr>
      <w:r w:rsidRPr="00163B8D">
        <w:rPr>
          <w:color w:val="auto"/>
        </w:rPr>
        <w:t xml:space="preserve">Internal reference gene primers must also be used as normalization controls. Usually, housekeeping genes, such as </w:t>
      </w:r>
      <w:r w:rsidR="008A178A" w:rsidRPr="00163B8D">
        <w:rPr>
          <w:color w:val="auto"/>
        </w:rPr>
        <w:t xml:space="preserve">the </w:t>
      </w:r>
      <w:r w:rsidRPr="00163B8D">
        <w:rPr>
          <w:color w:val="auto"/>
        </w:rPr>
        <w:t xml:space="preserve">beta-actin and hypoxanthine </w:t>
      </w:r>
      <w:proofErr w:type="spellStart"/>
      <w:r w:rsidRPr="00163B8D">
        <w:rPr>
          <w:color w:val="auto"/>
        </w:rPr>
        <w:t>phosphoribosyltransferase</w:t>
      </w:r>
      <w:proofErr w:type="spellEnd"/>
      <w:r w:rsidRPr="00163B8D">
        <w:rPr>
          <w:color w:val="auto"/>
        </w:rPr>
        <w:t xml:space="preserve"> 1 genes, are used as reference genes. However, these cannot be used with this induction system due to the variation of </w:t>
      </w:r>
      <w:r w:rsidR="008A178A" w:rsidRPr="00163B8D">
        <w:rPr>
          <w:color w:val="auto"/>
        </w:rPr>
        <w:t xml:space="preserve">the </w:t>
      </w:r>
      <w:r w:rsidRPr="00163B8D">
        <w:rPr>
          <w:color w:val="auto"/>
        </w:rPr>
        <w:t xml:space="preserve">transfection efficiency. Instead, the expression of the </w:t>
      </w:r>
      <w:proofErr w:type="spellStart"/>
      <w:r w:rsidRPr="00163B8D">
        <w:rPr>
          <w:color w:val="auto"/>
        </w:rPr>
        <w:t>tTA</w:t>
      </w:r>
      <w:proofErr w:type="spellEnd"/>
      <w:r w:rsidRPr="00163B8D">
        <w:rPr>
          <w:color w:val="auto"/>
        </w:rPr>
        <w:t>-Ad transcript is assessed for</w:t>
      </w:r>
      <w:r w:rsidR="008A178A" w:rsidRPr="00163B8D">
        <w:rPr>
          <w:color w:val="auto"/>
        </w:rPr>
        <w:t xml:space="preserve"> the purposes of</w:t>
      </w:r>
      <w:r w:rsidRPr="00163B8D">
        <w:rPr>
          <w:color w:val="auto"/>
        </w:rPr>
        <w:t xml:space="preserve"> normalization, </w:t>
      </w:r>
      <w:r w:rsidR="007F5028" w:rsidRPr="00E420FB">
        <w:rPr>
          <w:color w:val="auto"/>
        </w:rPr>
        <w:t>because</w:t>
      </w:r>
      <w:r w:rsidR="007F5028" w:rsidRPr="00163B8D">
        <w:rPr>
          <w:color w:val="auto"/>
        </w:rPr>
        <w:t xml:space="preserve"> </w:t>
      </w:r>
      <w:r w:rsidRPr="00163B8D">
        <w:rPr>
          <w:color w:val="auto"/>
        </w:rPr>
        <w:t xml:space="preserve">its expression is constitutive in cells </w:t>
      </w:r>
      <w:r w:rsidR="008A178A" w:rsidRPr="00163B8D">
        <w:rPr>
          <w:color w:val="auto"/>
        </w:rPr>
        <w:t xml:space="preserve">due </w:t>
      </w:r>
      <w:r w:rsidR="008A178A" w:rsidRPr="00163B8D">
        <w:rPr>
          <w:color w:val="auto"/>
        </w:rPr>
        <w:lastRenderedPageBreak/>
        <w:t xml:space="preserve">to </w:t>
      </w:r>
      <w:r w:rsidRPr="00163B8D">
        <w:rPr>
          <w:color w:val="auto"/>
        </w:rPr>
        <w:t xml:space="preserve">the activity of the cytomegalovirus promoter. Any variation in its expression measured by qPCR will be representative of </w:t>
      </w:r>
      <w:r w:rsidR="008A178A" w:rsidRPr="00163B8D">
        <w:rPr>
          <w:color w:val="auto"/>
        </w:rPr>
        <w:t xml:space="preserve">the </w:t>
      </w:r>
      <w:r w:rsidRPr="00163B8D">
        <w:rPr>
          <w:color w:val="auto"/>
        </w:rPr>
        <w:t>transfection efficiency (</w:t>
      </w:r>
      <w:r w:rsidR="008A178A" w:rsidRPr="00163B8D">
        <w:rPr>
          <w:color w:val="auto"/>
        </w:rPr>
        <w:t>primers: f</w:t>
      </w:r>
      <w:r w:rsidRPr="00163B8D">
        <w:rPr>
          <w:color w:val="auto"/>
        </w:rPr>
        <w:t>orward 5’-GCC TGA CGA CAA GGA AAC TC-3’ and reverse 5’-AGT GGG TAT GAT GCC TGT CC-3</w:t>
      </w:r>
      <w:r w:rsidR="008A178A" w:rsidRPr="00163B8D">
        <w:rPr>
          <w:color w:val="auto"/>
        </w:rPr>
        <w:t>;</w:t>
      </w:r>
      <w:r w:rsidRPr="00163B8D">
        <w:rPr>
          <w:color w:val="auto"/>
        </w:rPr>
        <w:t xml:space="preserve"> 129 bp amplicon) and will allow </w:t>
      </w:r>
      <w:r w:rsidR="008A178A" w:rsidRPr="00163B8D">
        <w:rPr>
          <w:color w:val="auto"/>
        </w:rPr>
        <w:t xml:space="preserve">the </w:t>
      </w:r>
      <w:r w:rsidRPr="00163B8D">
        <w:rPr>
          <w:color w:val="auto"/>
        </w:rPr>
        <w:t xml:space="preserve">normalization </w:t>
      </w:r>
      <w:r w:rsidR="008A178A" w:rsidRPr="00163B8D">
        <w:rPr>
          <w:color w:val="auto"/>
        </w:rPr>
        <w:t xml:space="preserve">of </w:t>
      </w:r>
      <w:r w:rsidRPr="00163B8D">
        <w:rPr>
          <w:color w:val="auto"/>
        </w:rPr>
        <w:t>the expression of the transfected clones (</w:t>
      </w:r>
      <w:r w:rsidRPr="00163B8D">
        <w:rPr>
          <w:b/>
          <w:color w:val="auto"/>
        </w:rPr>
        <w:t>Figure 3</w:t>
      </w:r>
      <w:r w:rsidRPr="00163B8D">
        <w:rPr>
          <w:color w:val="auto"/>
        </w:rPr>
        <w:t>).</w:t>
      </w:r>
    </w:p>
    <w:p w14:paraId="7092D148" w14:textId="77777777" w:rsidR="00407434" w:rsidRPr="00407434" w:rsidRDefault="00407434" w:rsidP="00407434">
      <w:pPr>
        <w:rPr>
          <w:color w:val="auto"/>
        </w:rPr>
      </w:pPr>
    </w:p>
    <w:p w14:paraId="04278329" w14:textId="33220DEE" w:rsidR="002C424E" w:rsidRPr="00163B8D" w:rsidRDefault="00906AE7" w:rsidP="00407434">
      <w:pPr>
        <w:numPr>
          <w:ilvl w:val="1"/>
          <w:numId w:val="29"/>
        </w:numPr>
        <w:rPr>
          <w:color w:val="auto"/>
        </w:rPr>
      </w:pPr>
      <w:r w:rsidRPr="00163B8D">
        <w:rPr>
          <w:color w:val="auto"/>
          <w:highlight w:val="yellow"/>
        </w:rPr>
        <w:t>Prepare each qPCR reaction in triplicate using a SYBR Green dye master mix.</w:t>
      </w:r>
    </w:p>
    <w:p w14:paraId="41DF5CBB" w14:textId="77777777" w:rsidR="00407434" w:rsidRPr="00407434" w:rsidRDefault="00407434" w:rsidP="00407434">
      <w:pPr>
        <w:rPr>
          <w:color w:val="auto"/>
        </w:rPr>
      </w:pPr>
    </w:p>
    <w:p w14:paraId="7ADF73B6" w14:textId="63F8263A" w:rsidR="002C424E" w:rsidRPr="00163B8D" w:rsidRDefault="00AF43F7" w:rsidP="00407434">
      <w:pPr>
        <w:numPr>
          <w:ilvl w:val="2"/>
          <w:numId w:val="29"/>
        </w:numPr>
        <w:rPr>
          <w:color w:val="auto"/>
        </w:rPr>
      </w:pPr>
      <w:r w:rsidRPr="00163B8D">
        <w:rPr>
          <w:color w:val="auto"/>
          <w:highlight w:val="yellow"/>
        </w:rPr>
        <w:t xml:space="preserve">Dilute the 5 ng/µL cDNA mix to a concentration of 1.25 ng/µL using </w:t>
      </w:r>
      <w:r w:rsidR="008A178A" w:rsidRPr="00163B8D">
        <w:rPr>
          <w:color w:val="auto"/>
          <w:highlight w:val="yellow"/>
        </w:rPr>
        <w:t>molecular biology-grade</w:t>
      </w:r>
      <w:r w:rsidRPr="00163B8D">
        <w:rPr>
          <w:color w:val="auto"/>
          <w:highlight w:val="yellow"/>
        </w:rPr>
        <w:t xml:space="preserve"> water.</w:t>
      </w:r>
    </w:p>
    <w:p w14:paraId="5BA6C9C8" w14:textId="77777777" w:rsidR="00407434" w:rsidRPr="00407434" w:rsidRDefault="00407434" w:rsidP="00407434">
      <w:pPr>
        <w:rPr>
          <w:color w:val="auto"/>
        </w:rPr>
      </w:pPr>
    </w:p>
    <w:p w14:paraId="696719AE" w14:textId="5F4C85E0" w:rsidR="00906AE7" w:rsidRPr="00163B8D" w:rsidRDefault="002C424E" w:rsidP="00407434">
      <w:pPr>
        <w:numPr>
          <w:ilvl w:val="2"/>
          <w:numId w:val="29"/>
        </w:numPr>
        <w:rPr>
          <w:color w:val="auto"/>
        </w:rPr>
      </w:pPr>
      <w:r w:rsidRPr="00163B8D">
        <w:rPr>
          <w:color w:val="auto"/>
          <w:highlight w:val="yellow"/>
        </w:rPr>
        <w:t xml:space="preserve">Combine 5 </w:t>
      </w:r>
      <w:proofErr w:type="spellStart"/>
      <w:r w:rsidRPr="00163B8D">
        <w:rPr>
          <w:color w:val="auto"/>
          <w:highlight w:val="yellow"/>
        </w:rPr>
        <w:t>μ</w:t>
      </w:r>
      <w:r w:rsidR="008F3D50">
        <w:rPr>
          <w:color w:val="auto"/>
          <w:highlight w:val="yellow"/>
        </w:rPr>
        <w:t>L</w:t>
      </w:r>
      <w:proofErr w:type="spellEnd"/>
      <w:r w:rsidRPr="00163B8D">
        <w:rPr>
          <w:color w:val="auto"/>
          <w:highlight w:val="yellow"/>
        </w:rPr>
        <w:t xml:space="preserve"> of SYBR Green dye master mix (2x), 0.1 µL </w:t>
      </w:r>
      <w:r w:rsidR="00177A34">
        <w:rPr>
          <w:color w:val="auto"/>
          <w:highlight w:val="yellow"/>
        </w:rPr>
        <w:t xml:space="preserve">of </w:t>
      </w:r>
      <w:r w:rsidR="008A178A" w:rsidRPr="00163B8D">
        <w:rPr>
          <w:color w:val="auto"/>
          <w:highlight w:val="yellow"/>
        </w:rPr>
        <w:t xml:space="preserve">molecular biology-grade </w:t>
      </w:r>
      <w:r w:rsidRPr="00163B8D">
        <w:rPr>
          <w:color w:val="auto"/>
          <w:highlight w:val="yellow"/>
        </w:rPr>
        <w:t>water, 0.45 µL of 7.5 µM forward primer, 0.45 µL of 7.5 µM reverse primer</w:t>
      </w:r>
      <w:r w:rsidR="00362D8B">
        <w:rPr>
          <w:color w:val="auto"/>
          <w:highlight w:val="yellow"/>
        </w:rPr>
        <w:t>,</w:t>
      </w:r>
      <w:r w:rsidRPr="00163B8D">
        <w:rPr>
          <w:color w:val="auto"/>
          <w:highlight w:val="yellow"/>
        </w:rPr>
        <w:t xml:space="preserve"> and 4 µL of 1.25 ng/µL cDNA to </w:t>
      </w:r>
      <w:r w:rsidR="002A05E1" w:rsidRPr="00163B8D">
        <w:rPr>
          <w:color w:val="auto"/>
          <w:highlight w:val="yellow"/>
        </w:rPr>
        <w:t xml:space="preserve">obtain </w:t>
      </w:r>
      <w:r w:rsidRPr="00163B8D">
        <w:rPr>
          <w:color w:val="auto"/>
          <w:highlight w:val="yellow"/>
        </w:rPr>
        <w:t>a total reaction volume of 10 µL.</w:t>
      </w:r>
      <w:r w:rsidRPr="00163B8D">
        <w:rPr>
          <w:color w:val="auto"/>
        </w:rPr>
        <w:t xml:space="preserve"> Mix well by pipetting up and down in </w:t>
      </w:r>
      <w:r w:rsidR="002A05E1" w:rsidRPr="00163B8D">
        <w:rPr>
          <w:color w:val="auto"/>
        </w:rPr>
        <w:t xml:space="preserve">a </w:t>
      </w:r>
      <w:r w:rsidRPr="00163B8D">
        <w:rPr>
          <w:color w:val="auto"/>
        </w:rPr>
        <w:t>96</w:t>
      </w:r>
      <w:r w:rsidR="00362D8B">
        <w:rPr>
          <w:color w:val="auto"/>
        </w:rPr>
        <w:t xml:space="preserve"> </w:t>
      </w:r>
      <w:r w:rsidRPr="00163B8D">
        <w:rPr>
          <w:color w:val="auto"/>
        </w:rPr>
        <w:t xml:space="preserve">well PCR </w:t>
      </w:r>
      <w:r w:rsidR="00AF43F7" w:rsidRPr="00163B8D">
        <w:rPr>
          <w:color w:val="auto"/>
        </w:rPr>
        <w:t>plate</w:t>
      </w:r>
      <w:r w:rsidRPr="00163B8D">
        <w:rPr>
          <w:color w:val="auto"/>
        </w:rPr>
        <w:t xml:space="preserve">. Use optical adhesive film to ensure that the plate cover is sealed and </w:t>
      </w:r>
      <w:r w:rsidR="002A05E1" w:rsidRPr="00163B8D">
        <w:rPr>
          <w:color w:val="auto"/>
        </w:rPr>
        <w:t xml:space="preserve">to </w:t>
      </w:r>
      <w:r w:rsidRPr="00163B8D">
        <w:rPr>
          <w:color w:val="auto"/>
        </w:rPr>
        <w:t>prevent contamination and evaporation.</w:t>
      </w:r>
    </w:p>
    <w:p w14:paraId="3E0FD811" w14:textId="77777777" w:rsidR="00407434" w:rsidRPr="00407434" w:rsidRDefault="00407434" w:rsidP="00407434">
      <w:pPr>
        <w:rPr>
          <w:color w:val="auto"/>
        </w:rPr>
      </w:pPr>
    </w:p>
    <w:p w14:paraId="33511F20" w14:textId="57AA5F1E" w:rsidR="002C424E" w:rsidRPr="00163B8D" w:rsidRDefault="00AF43F7" w:rsidP="00407434">
      <w:pPr>
        <w:numPr>
          <w:ilvl w:val="2"/>
          <w:numId w:val="29"/>
        </w:numPr>
        <w:rPr>
          <w:color w:val="auto"/>
        </w:rPr>
      </w:pPr>
      <w:r w:rsidRPr="00163B8D">
        <w:rPr>
          <w:color w:val="auto"/>
          <w:highlight w:val="yellow"/>
        </w:rPr>
        <w:t xml:space="preserve">Spin down the reaction mix </w:t>
      </w:r>
      <w:r w:rsidR="002A05E1" w:rsidRPr="00163B8D">
        <w:rPr>
          <w:color w:val="auto"/>
          <w:highlight w:val="yellow"/>
        </w:rPr>
        <w:t>briefly by</w:t>
      </w:r>
      <w:r w:rsidRPr="00163B8D">
        <w:rPr>
          <w:color w:val="auto"/>
          <w:highlight w:val="yellow"/>
        </w:rPr>
        <w:t xml:space="preserve"> centrifugation and place the plate in a qPCR thermocycler.</w:t>
      </w:r>
    </w:p>
    <w:p w14:paraId="3587C676" w14:textId="77777777" w:rsidR="00407434" w:rsidRPr="00407434" w:rsidRDefault="00407434" w:rsidP="00407434">
      <w:pPr>
        <w:rPr>
          <w:color w:val="auto"/>
        </w:rPr>
      </w:pPr>
    </w:p>
    <w:p w14:paraId="4A23CC37" w14:textId="2B9A76D9" w:rsidR="002C424E" w:rsidRPr="00163B8D" w:rsidRDefault="00AF43F7" w:rsidP="00407434">
      <w:pPr>
        <w:numPr>
          <w:ilvl w:val="1"/>
          <w:numId w:val="29"/>
        </w:numPr>
        <w:rPr>
          <w:color w:val="auto"/>
        </w:rPr>
      </w:pPr>
      <w:r w:rsidRPr="00163B8D">
        <w:rPr>
          <w:color w:val="auto"/>
          <w:highlight w:val="yellow"/>
        </w:rPr>
        <w:t xml:space="preserve">Amplify the V5-tagged GOI and </w:t>
      </w:r>
      <w:proofErr w:type="spellStart"/>
      <w:r w:rsidRPr="00163B8D">
        <w:rPr>
          <w:color w:val="auto"/>
          <w:highlight w:val="yellow"/>
        </w:rPr>
        <w:t>tTA</w:t>
      </w:r>
      <w:proofErr w:type="spellEnd"/>
      <w:r w:rsidRPr="00163B8D">
        <w:rPr>
          <w:color w:val="auto"/>
          <w:highlight w:val="yellow"/>
        </w:rPr>
        <w:t>-Ad amplicons by using the following qPCR conditions: 95</w:t>
      </w:r>
      <w:r w:rsidR="001D65F8" w:rsidRPr="00163B8D">
        <w:rPr>
          <w:color w:val="auto"/>
          <w:highlight w:val="yellow"/>
        </w:rPr>
        <w:t xml:space="preserve"> </w:t>
      </w:r>
      <w:r w:rsidRPr="00163B8D">
        <w:rPr>
          <w:color w:val="auto"/>
          <w:highlight w:val="yellow"/>
        </w:rPr>
        <w:t xml:space="preserve">°C for 10 </w:t>
      </w:r>
      <w:r w:rsidR="00362D8B">
        <w:rPr>
          <w:color w:val="auto"/>
          <w:highlight w:val="yellow"/>
        </w:rPr>
        <w:t>min</w:t>
      </w:r>
      <w:r w:rsidRPr="00163B8D">
        <w:rPr>
          <w:color w:val="auto"/>
          <w:highlight w:val="yellow"/>
        </w:rPr>
        <w:t xml:space="preserve"> as a denaturation step, followed by 40 cycles of 95 °C for 10 </w:t>
      </w:r>
      <w:r w:rsidR="00362D8B">
        <w:rPr>
          <w:color w:val="auto"/>
          <w:highlight w:val="yellow"/>
        </w:rPr>
        <w:t>s</w:t>
      </w:r>
      <w:r w:rsidRPr="00163B8D">
        <w:rPr>
          <w:color w:val="auto"/>
          <w:highlight w:val="yellow"/>
        </w:rPr>
        <w:t xml:space="preserve">, 58 °C for 15 </w:t>
      </w:r>
      <w:r w:rsidR="00362D8B">
        <w:rPr>
          <w:color w:val="auto"/>
          <w:highlight w:val="yellow"/>
        </w:rPr>
        <w:t>s</w:t>
      </w:r>
      <w:r w:rsidRPr="00163B8D">
        <w:rPr>
          <w:color w:val="auto"/>
          <w:highlight w:val="yellow"/>
        </w:rPr>
        <w:t xml:space="preserve">, </w:t>
      </w:r>
      <w:r w:rsidR="002A05E1" w:rsidRPr="00163B8D">
        <w:rPr>
          <w:color w:val="auto"/>
          <w:highlight w:val="yellow"/>
        </w:rPr>
        <w:t xml:space="preserve">and </w:t>
      </w:r>
      <w:r w:rsidRPr="00163B8D">
        <w:rPr>
          <w:color w:val="auto"/>
          <w:highlight w:val="yellow"/>
        </w:rPr>
        <w:t xml:space="preserve">72 °C for 20 </w:t>
      </w:r>
      <w:r w:rsidR="00362D8B">
        <w:rPr>
          <w:color w:val="auto"/>
          <w:highlight w:val="yellow"/>
        </w:rPr>
        <w:t>s</w:t>
      </w:r>
      <w:r w:rsidRPr="00163B8D">
        <w:rPr>
          <w:color w:val="auto"/>
          <w:highlight w:val="yellow"/>
        </w:rPr>
        <w:t>.</w:t>
      </w:r>
      <w:r w:rsidRPr="00163B8D">
        <w:rPr>
          <w:rFonts w:eastAsia="Calibri" w:cs="Times New Roman"/>
          <w:color w:val="auto"/>
          <w:highlight w:val="yellow"/>
        </w:rPr>
        <w:t xml:space="preserve"> </w:t>
      </w:r>
      <w:r w:rsidRPr="00163B8D">
        <w:rPr>
          <w:color w:val="auto"/>
          <w:highlight w:val="yellow"/>
        </w:rPr>
        <w:t>A high-resolution melting curve must be generated after the amplification cycle</w:t>
      </w:r>
      <w:r w:rsidR="00740733">
        <w:rPr>
          <w:color w:val="auto"/>
          <w:highlight w:val="yellow"/>
        </w:rPr>
        <w:t>s</w:t>
      </w:r>
      <w:r w:rsidR="002A05E1" w:rsidRPr="00163B8D">
        <w:rPr>
          <w:color w:val="auto"/>
          <w:highlight w:val="yellow"/>
        </w:rPr>
        <w:t xml:space="preserve"> are performed</w:t>
      </w:r>
      <w:r w:rsidRPr="00163B8D">
        <w:rPr>
          <w:color w:val="auto"/>
          <w:highlight w:val="yellow"/>
        </w:rPr>
        <w:t xml:space="preserve"> to assess the specific melting temperature</w:t>
      </w:r>
      <w:r w:rsidR="002A05E1" w:rsidRPr="00163B8D">
        <w:rPr>
          <w:color w:val="auto"/>
          <w:highlight w:val="yellow"/>
        </w:rPr>
        <w:t>s</w:t>
      </w:r>
      <w:r w:rsidRPr="00163B8D">
        <w:rPr>
          <w:color w:val="auto"/>
          <w:highlight w:val="yellow"/>
        </w:rPr>
        <w:t xml:space="preserve"> of </w:t>
      </w:r>
      <w:r w:rsidR="002A05E1" w:rsidRPr="00163B8D">
        <w:rPr>
          <w:color w:val="auto"/>
          <w:highlight w:val="yellow"/>
        </w:rPr>
        <w:t xml:space="preserve">the </w:t>
      </w:r>
      <w:r w:rsidRPr="00163B8D">
        <w:rPr>
          <w:color w:val="auto"/>
          <w:highlight w:val="yellow"/>
        </w:rPr>
        <w:t>desired amplicons and</w:t>
      </w:r>
      <w:r w:rsidR="002A05E1" w:rsidRPr="00163B8D">
        <w:rPr>
          <w:color w:val="auto"/>
          <w:highlight w:val="yellow"/>
        </w:rPr>
        <w:t xml:space="preserve"> to ensure</w:t>
      </w:r>
      <w:r w:rsidRPr="00163B8D">
        <w:rPr>
          <w:color w:val="auto"/>
          <w:highlight w:val="yellow"/>
        </w:rPr>
        <w:t xml:space="preserve"> the absence of noise amplicon peaks.</w:t>
      </w:r>
    </w:p>
    <w:bookmarkEnd w:id="4"/>
    <w:p w14:paraId="3BE4D54D" w14:textId="77777777" w:rsidR="00407434" w:rsidRDefault="00407434" w:rsidP="00407434">
      <w:pPr>
        <w:rPr>
          <w:color w:val="auto"/>
        </w:rPr>
      </w:pPr>
    </w:p>
    <w:p w14:paraId="5A5E3FA8" w14:textId="011B2C90" w:rsidR="002C424E" w:rsidRPr="00163B8D" w:rsidRDefault="00AF43F7" w:rsidP="00407434">
      <w:pPr>
        <w:numPr>
          <w:ilvl w:val="2"/>
          <w:numId w:val="29"/>
        </w:numPr>
        <w:rPr>
          <w:color w:val="auto"/>
        </w:rPr>
      </w:pPr>
      <w:r w:rsidRPr="00163B8D">
        <w:rPr>
          <w:color w:val="auto"/>
        </w:rPr>
        <w:t xml:space="preserve">Include negative controls for </w:t>
      </w:r>
      <w:r w:rsidR="00740733">
        <w:rPr>
          <w:color w:val="auto"/>
        </w:rPr>
        <w:t xml:space="preserve">the </w:t>
      </w:r>
      <w:proofErr w:type="spellStart"/>
      <w:r w:rsidRPr="00163B8D">
        <w:rPr>
          <w:color w:val="auto"/>
        </w:rPr>
        <w:t>qRT</w:t>
      </w:r>
      <w:proofErr w:type="spellEnd"/>
      <w:r w:rsidRPr="00163B8D">
        <w:rPr>
          <w:color w:val="auto"/>
        </w:rPr>
        <w:t>-PCR</w:t>
      </w:r>
      <w:r w:rsidR="002A05E1" w:rsidRPr="00163B8D">
        <w:rPr>
          <w:color w:val="auto"/>
        </w:rPr>
        <w:t xml:space="preserve"> by </w:t>
      </w:r>
      <w:r w:rsidR="00DB731E" w:rsidRPr="00163B8D">
        <w:rPr>
          <w:color w:val="auto"/>
        </w:rPr>
        <w:t>performing</w:t>
      </w:r>
      <w:r w:rsidR="002A05E1" w:rsidRPr="00163B8D">
        <w:rPr>
          <w:color w:val="auto"/>
        </w:rPr>
        <w:t xml:space="preserve"> </w:t>
      </w:r>
      <w:r w:rsidRPr="00163B8D">
        <w:rPr>
          <w:color w:val="auto"/>
        </w:rPr>
        <w:t>qPCR with RNA as a template without reverse transcript</w:t>
      </w:r>
      <w:r w:rsidR="002A05E1" w:rsidRPr="00163B8D">
        <w:rPr>
          <w:color w:val="auto"/>
        </w:rPr>
        <w:t>ase</w:t>
      </w:r>
      <w:r w:rsidRPr="00163B8D">
        <w:rPr>
          <w:color w:val="auto"/>
        </w:rPr>
        <w:t xml:space="preserve"> to serve as a control for potential plasmid DNA contamination and qPCR with no cDNA added </w:t>
      </w:r>
      <w:r w:rsidR="002A05E1" w:rsidRPr="00163B8D">
        <w:rPr>
          <w:color w:val="auto"/>
        </w:rPr>
        <w:t xml:space="preserve">to </w:t>
      </w:r>
      <w:r w:rsidRPr="00163B8D">
        <w:rPr>
          <w:color w:val="auto"/>
        </w:rPr>
        <w:t>the qPCR mix to ensure the lack of primer dimers or contaminants.</w:t>
      </w:r>
    </w:p>
    <w:p w14:paraId="5D7517AF" w14:textId="77777777" w:rsidR="00407434" w:rsidRDefault="00407434" w:rsidP="00407434">
      <w:pPr>
        <w:rPr>
          <w:color w:val="auto"/>
        </w:rPr>
      </w:pPr>
    </w:p>
    <w:p w14:paraId="6CBCFC86" w14:textId="3C4A28E5" w:rsidR="002C424E" w:rsidRPr="00163B8D" w:rsidRDefault="00AF43F7" w:rsidP="00407434">
      <w:pPr>
        <w:numPr>
          <w:ilvl w:val="2"/>
          <w:numId w:val="29"/>
        </w:numPr>
        <w:rPr>
          <w:color w:val="auto"/>
        </w:rPr>
      </w:pPr>
      <w:r w:rsidRPr="00163B8D">
        <w:rPr>
          <w:color w:val="auto"/>
        </w:rPr>
        <w:t>The optimal cDNA concentration, primer efficiency</w:t>
      </w:r>
      <w:r w:rsidR="00740733">
        <w:rPr>
          <w:color w:val="auto"/>
        </w:rPr>
        <w:t>,</w:t>
      </w:r>
      <w:r w:rsidRPr="00163B8D">
        <w:rPr>
          <w:color w:val="auto"/>
        </w:rPr>
        <w:t xml:space="preserve"> and concentration must be optimized according to the GOI by a standard curve assay. To do so, perform a serial dilution using cDNA from untreated cells (</w:t>
      </w:r>
      <w:r w:rsidR="00740733">
        <w:rPr>
          <w:color w:val="auto"/>
        </w:rPr>
        <w:t>cultured without</w:t>
      </w:r>
      <w:r w:rsidR="00740733" w:rsidRPr="00163B8D">
        <w:rPr>
          <w:color w:val="auto"/>
        </w:rPr>
        <w:t xml:space="preserve"> </w:t>
      </w:r>
      <w:r w:rsidRPr="00163B8D">
        <w:rPr>
          <w:color w:val="auto"/>
        </w:rPr>
        <w:t xml:space="preserve">doxycycline). The standard curve is generated by plotting </w:t>
      </w:r>
      <w:r w:rsidR="002A05E1" w:rsidRPr="00163B8D">
        <w:rPr>
          <w:color w:val="auto"/>
        </w:rPr>
        <w:t xml:space="preserve">the </w:t>
      </w:r>
      <w:proofErr w:type="spellStart"/>
      <w:r w:rsidRPr="00163B8D">
        <w:rPr>
          <w:color w:val="auto"/>
        </w:rPr>
        <w:t>Cq</w:t>
      </w:r>
      <w:proofErr w:type="spellEnd"/>
      <w:r w:rsidRPr="00163B8D">
        <w:rPr>
          <w:color w:val="auto"/>
        </w:rPr>
        <w:t xml:space="preserve"> values against the log of the cDNA dilution factor, and the amplification efficiency (E) is calculated </w:t>
      </w:r>
      <w:r w:rsidR="002A05E1" w:rsidRPr="00163B8D">
        <w:rPr>
          <w:color w:val="auto"/>
        </w:rPr>
        <w:t xml:space="preserve">according to </w:t>
      </w:r>
      <w:r w:rsidRPr="00163B8D">
        <w:rPr>
          <w:color w:val="auto"/>
        </w:rPr>
        <w:t>the slope of the standard curve using the following formula:</w:t>
      </w:r>
    </w:p>
    <w:p w14:paraId="2930A17C" w14:textId="040FB522" w:rsidR="002C424E" w:rsidRPr="00163B8D" w:rsidRDefault="00AF43F7" w:rsidP="00EF4B5E">
      <w:pPr>
        <w:jc w:val="center"/>
        <w:rPr>
          <w:color w:val="auto"/>
        </w:rPr>
      </w:pPr>
      <w:r w:rsidRPr="00163B8D">
        <w:rPr>
          <w:color w:val="auto"/>
        </w:rPr>
        <w:t>E = 10</w:t>
      </w:r>
      <w:r w:rsidR="005444F8" w:rsidRPr="005444F8">
        <w:rPr>
          <w:color w:val="auto"/>
          <w:vertAlign w:val="superscript"/>
        </w:rPr>
        <w:t>–</w:t>
      </w:r>
      <w:r w:rsidRPr="00163B8D">
        <w:rPr>
          <w:color w:val="auto"/>
          <w:vertAlign w:val="superscript"/>
        </w:rPr>
        <w:t>1/slope</w:t>
      </w:r>
    </w:p>
    <w:p w14:paraId="6D098ADE" w14:textId="77777777" w:rsidR="00407434" w:rsidRDefault="00407434" w:rsidP="00407434">
      <w:pPr>
        <w:rPr>
          <w:b/>
          <w:bCs/>
          <w:color w:val="auto"/>
        </w:rPr>
      </w:pPr>
    </w:p>
    <w:p w14:paraId="49AFCED0" w14:textId="69A487F4" w:rsidR="002C424E" w:rsidRPr="00EF4B5E" w:rsidRDefault="007D38EE" w:rsidP="00407434">
      <w:pPr>
        <w:rPr>
          <w:color w:val="auto"/>
        </w:rPr>
      </w:pPr>
      <w:r>
        <w:rPr>
          <w:color w:val="auto"/>
        </w:rPr>
        <w:t xml:space="preserve">NOTE: </w:t>
      </w:r>
      <w:r w:rsidR="00AF43F7" w:rsidRPr="00EF4B5E">
        <w:rPr>
          <w:color w:val="auto"/>
        </w:rPr>
        <w:t xml:space="preserve">The amplification efficiency should </w:t>
      </w:r>
      <w:r w:rsidR="002A05E1" w:rsidRPr="00EF4B5E">
        <w:rPr>
          <w:color w:val="auto"/>
        </w:rPr>
        <w:t xml:space="preserve">be </w:t>
      </w:r>
      <w:r w:rsidR="00AF43F7" w:rsidRPr="00EF4B5E">
        <w:rPr>
          <w:color w:val="auto"/>
        </w:rPr>
        <w:t>approximately 0.9 to 1.05</w:t>
      </w:r>
      <w:r w:rsidR="00740733" w:rsidRPr="00EF4B5E">
        <w:rPr>
          <w:color w:val="auto"/>
        </w:rPr>
        <w:t>.</w:t>
      </w:r>
      <w:r w:rsidR="00AF43F7" w:rsidRPr="00EF4B5E">
        <w:rPr>
          <w:color w:val="auto"/>
        </w:rPr>
        <w:t xml:space="preserve"> </w:t>
      </w:r>
      <w:r w:rsidR="00740733" w:rsidRPr="00EF4B5E">
        <w:rPr>
          <w:color w:val="auto"/>
        </w:rPr>
        <w:t>Otherwise</w:t>
      </w:r>
      <w:r w:rsidR="00AF43F7" w:rsidRPr="00EF4B5E">
        <w:rPr>
          <w:color w:val="auto"/>
        </w:rPr>
        <w:t>, the primers must be redesigned.</w:t>
      </w:r>
    </w:p>
    <w:p w14:paraId="69080C1D" w14:textId="77777777" w:rsidR="00407434" w:rsidRDefault="00407434" w:rsidP="00407434">
      <w:pPr>
        <w:rPr>
          <w:color w:val="auto"/>
        </w:rPr>
      </w:pPr>
    </w:p>
    <w:p w14:paraId="789DE750" w14:textId="1069F4A7" w:rsidR="00906AE7" w:rsidRPr="006F624F" w:rsidRDefault="002C424E" w:rsidP="00407434">
      <w:pPr>
        <w:numPr>
          <w:ilvl w:val="1"/>
          <w:numId w:val="29"/>
        </w:numPr>
        <w:rPr>
          <w:color w:val="auto"/>
        </w:rPr>
      </w:pPr>
      <w:r w:rsidRPr="006F624F">
        <w:rPr>
          <w:color w:val="auto"/>
        </w:rPr>
        <w:t xml:space="preserve">Analyze </w:t>
      </w:r>
      <w:r w:rsidR="002A05E1" w:rsidRPr="006F624F">
        <w:rPr>
          <w:color w:val="auto"/>
        </w:rPr>
        <w:t xml:space="preserve">the </w:t>
      </w:r>
      <w:r w:rsidRPr="006F624F">
        <w:rPr>
          <w:color w:val="auto"/>
        </w:rPr>
        <w:t xml:space="preserve">qPCR data using the comparative </w:t>
      </w:r>
      <w:proofErr w:type="spellStart"/>
      <w:r w:rsidRPr="006F624F">
        <w:rPr>
          <w:color w:val="auto"/>
        </w:rPr>
        <w:t>Cq</w:t>
      </w:r>
      <w:proofErr w:type="spellEnd"/>
      <w:r w:rsidRPr="006F624F">
        <w:rPr>
          <w:color w:val="auto"/>
        </w:rPr>
        <w:t xml:space="preserve"> method by normalizing the expression values of </w:t>
      </w:r>
      <w:r w:rsidR="002A05E1" w:rsidRPr="006F624F">
        <w:rPr>
          <w:color w:val="auto"/>
        </w:rPr>
        <w:t xml:space="preserve">the </w:t>
      </w:r>
      <w:r w:rsidRPr="006F624F">
        <w:rPr>
          <w:color w:val="auto"/>
        </w:rPr>
        <w:t xml:space="preserve">GOI </w:t>
      </w:r>
      <w:r w:rsidR="002A05E1" w:rsidRPr="006F624F">
        <w:rPr>
          <w:color w:val="auto"/>
        </w:rPr>
        <w:t xml:space="preserve">to </w:t>
      </w:r>
      <w:r w:rsidRPr="006F624F">
        <w:rPr>
          <w:color w:val="auto"/>
        </w:rPr>
        <w:t xml:space="preserve">the expression of </w:t>
      </w:r>
      <w:proofErr w:type="spellStart"/>
      <w:r w:rsidRPr="006F624F">
        <w:rPr>
          <w:color w:val="auto"/>
        </w:rPr>
        <w:t>tTA</w:t>
      </w:r>
      <w:proofErr w:type="spellEnd"/>
      <w:r w:rsidRPr="006F624F">
        <w:rPr>
          <w:color w:val="auto"/>
        </w:rPr>
        <w:t xml:space="preserve">-Ad to obtain </w:t>
      </w:r>
      <w:r w:rsidR="002A05E1" w:rsidRPr="006F624F">
        <w:rPr>
          <w:color w:val="auto"/>
        </w:rPr>
        <w:t xml:space="preserve">the </w:t>
      </w:r>
      <w:r w:rsidRPr="006F624F">
        <w:rPr>
          <w:color w:val="auto"/>
        </w:rPr>
        <w:t xml:space="preserve">relative expression levels of </w:t>
      </w:r>
      <w:r w:rsidR="002A05E1" w:rsidRPr="006F624F">
        <w:rPr>
          <w:color w:val="auto"/>
        </w:rPr>
        <w:t xml:space="preserve">the </w:t>
      </w:r>
      <w:r w:rsidRPr="006F624F">
        <w:rPr>
          <w:color w:val="auto"/>
        </w:rPr>
        <w:t>GOI</w:t>
      </w:r>
      <w:r w:rsidR="002A05E1" w:rsidRPr="006F624F">
        <w:rPr>
          <w:color w:val="auto"/>
        </w:rPr>
        <w:t xml:space="preserve"> and to r</w:t>
      </w:r>
      <w:r w:rsidRPr="006F624F">
        <w:rPr>
          <w:color w:val="auto"/>
        </w:rPr>
        <w:t>eport its expression as</w:t>
      </w:r>
      <w:r w:rsidR="00AF43F7" w:rsidRPr="006F624F">
        <w:rPr>
          <w:color w:val="auto"/>
        </w:rPr>
        <w:t xml:space="preserve"> a</w:t>
      </w:r>
      <w:r w:rsidRPr="006F624F">
        <w:rPr>
          <w:color w:val="auto"/>
        </w:rPr>
        <w:t xml:space="preserve"> percentage of </w:t>
      </w:r>
      <w:r w:rsidR="002A05E1" w:rsidRPr="006F624F">
        <w:rPr>
          <w:color w:val="auto"/>
        </w:rPr>
        <w:t xml:space="preserve">the </w:t>
      </w:r>
      <w:r w:rsidRPr="006F624F">
        <w:rPr>
          <w:color w:val="auto"/>
        </w:rPr>
        <w:t>mRNA expression</w:t>
      </w:r>
      <w:r w:rsidR="002A05E1" w:rsidRPr="006F624F">
        <w:rPr>
          <w:color w:val="auto"/>
        </w:rPr>
        <w:t xml:space="preserve"> of the</w:t>
      </w:r>
      <w:r w:rsidRPr="006F624F">
        <w:rPr>
          <w:color w:val="auto"/>
        </w:rPr>
        <w:t xml:space="preserve"> </w:t>
      </w:r>
      <w:r w:rsidR="002A05E1" w:rsidRPr="006F624F">
        <w:rPr>
          <w:color w:val="auto"/>
        </w:rPr>
        <w:t xml:space="preserve">GOI in </w:t>
      </w:r>
      <w:r w:rsidRPr="006F624F">
        <w:rPr>
          <w:color w:val="auto"/>
        </w:rPr>
        <w:t xml:space="preserve">cells </w:t>
      </w:r>
      <w:r w:rsidR="002A05E1" w:rsidRPr="006F624F">
        <w:rPr>
          <w:color w:val="auto"/>
        </w:rPr>
        <w:t xml:space="preserve">from the same animal </w:t>
      </w:r>
      <w:r w:rsidRPr="006F624F">
        <w:rPr>
          <w:color w:val="auto"/>
        </w:rPr>
        <w:t>at the starting point (t</w:t>
      </w:r>
      <w:r w:rsidR="00740733">
        <w:rPr>
          <w:color w:val="auto"/>
        </w:rPr>
        <w:t xml:space="preserve"> </w:t>
      </w:r>
      <w:r w:rsidRPr="006F624F">
        <w:rPr>
          <w:color w:val="auto"/>
        </w:rPr>
        <w:t>=</w:t>
      </w:r>
      <w:r w:rsidR="00740733">
        <w:rPr>
          <w:color w:val="auto"/>
        </w:rPr>
        <w:t xml:space="preserve"> </w:t>
      </w:r>
      <w:r w:rsidRPr="006F624F">
        <w:rPr>
          <w:color w:val="auto"/>
        </w:rPr>
        <w:t>0) (</w:t>
      </w:r>
      <w:r w:rsidRPr="006F624F">
        <w:rPr>
          <w:b/>
          <w:color w:val="auto"/>
        </w:rPr>
        <w:t>Figure 4</w:t>
      </w:r>
      <w:r w:rsidRPr="006F624F">
        <w:rPr>
          <w:color w:val="auto"/>
        </w:rPr>
        <w:t>).</w:t>
      </w:r>
    </w:p>
    <w:p w14:paraId="04792AF6" w14:textId="77777777" w:rsidR="00407434" w:rsidRDefault="00407434" w:rsidP="00407434">
      <w:pPr>
        <w:rPr>
          <w:color w:val="auto"/>
        </w:rPr>
      </w:pPr>
    </w:p>
    <w:p w14:paraId="5CBFDB87" w14:textId="1BADBBAD" w:rsidR="002C424E" w:rsidRPr="00163B8D" w:rsidRDefault="00AF43F7" w:rsidP="00407434">
      <w:pPr>
        <w:numPr>
          <w:ilvl w:val="1"/>
          <w:numId w:val="29"/>
        </w:numPr>
        <w:rPr>
          <w:color w:val="auto"/>
        </w:rPr>
      </w:pPr>
      <w:r w:rsidRPr="006F624F">
        <w:rPr>
          <w:color w:val="auto"/>
        </w:rPr>
        <w:lastRenderedPageBreak/>
        <w:t>The half-li</w:t>
      </w:r>
      <w:r w:rsidR="002A05E1" w:rsidRPr="006F624F">
        <w:rPr>
          <w:color w:val="auto"/>
        </w:rPr>
        <w:t>fe is</w:t>
      </w:r>
      <w:r w:rsidRPr="006F624F">
        <w:rPr>
          <w:color w:val="auto"/>
        </w:rPr>
        <w:t xml:space="preserve"> </w:t>
      </w:r>
      <w:r w:rsidR="002A05E1" w:rsidRPr="006F624F">
        <w:rPr>
          <w:color w:val="auto"/>
        </w:rPr>
        <w:t>determined</w:t>
      </w:r>
      <w:r w:rsidRPr="006F624F">
        <w:rPr>
          <w:color w:val="auto"/>
        </w:rPr>
        <w:t xml:space="preserve"> from the rate constant (K) of the GOI mRNA degradation curve using the following equation:</w:t>
      </w:r>
    </w:p>
    <w:p w14:paraId="4755A06F" w14:textId="3BF3FCB5" w:rsidR="002C424E" w:rsidRDefault="00AF43F7" w:rsidP="00EF4B5E">
      <w:pPr>
        <w:jc w:val="center"/>
        <w:rPr>
          <w:color w:val="auto"/>
        </w:rPr>
      </w:pPr>
      <w:r w:rsidRPr="00163B8D">
        <w:rPr>
          <w:color w:val="auto"/>
        </w:rPr>
        <w:t>t</w:t>
      </w:r>
      <w:r w:rsidRPr="00163B8D">
        <w:rPr>
          <w:color w:val="auto"/>
          <w:vertAlign w:val="subscript"/>
        </w:rPr>
        <w:t>1/2</w:t>
      </w:r>
      <w:r w:rsidR="00740733">
        <w:rPr>
          <w:color w:val="auto"/>
          <w:vertAlign w:val="subscript"/>
        </w:rPr>
        <w:t xml:space="preserve"> </w:t>
      </w:r>
      <w:r w:rsidRPr="00163B8D">
        <w:rPr>
          <w:color w:val="auto"/>
        </w:rPr>
        <w:t>= ln 2/K.</w:t>
      </w:r>
    </w:p>
    <w:p w14:paraId="5B47085D" w14:textId="77777777" w:rsidR="00407434" w:rsidRPr="00163B8D" w:rsidRDefault="00407434" w:rsidP="00407434">
      <w:pPr>
        <w:rPr>
          <w:color w:val="auto"/>
        </w:rPr>
      </w:pPr>
    </w:p>
    <w:p w14:paraId="3AF8ACB9" w14:textId="5FD1730B" w:rsidR="006305D7" w:rsidRPr="00163B8D" w:rsidRDefault="00EF1462" w:rsidP="00407434">
      <w:pPr>
        <w:pStyle w:val="NormalWeb"/>
        <w:spacing w:before="0" w:beforeAutospacing="0" w:after="0" w:afterAutospacing="0"/>
        <w:rPr>
          <w:rFonts w:asciiTheme="minorHAnsi" w:hAnsiTheme="minorHAnsi" w:cstheme="minorHAnsi"/>
          <w:color w:val="auto"/>
        </w:rPr>
      </w:pPr>
      <w:r w:rsidRPr="00163B8D">
        <w:rPr>
          <w:rFonts w:asciiTheme="minorHAnsi" w:hAnsiTheme="minorHAnsi" w:cstheme="minorHAnsi"/>
          <w:b/>
          <w:color w:val="auto"/>
        </w:rPr>
        <w:t>REPRESENTATIVE RESULTS:</w:t>
      </w:r>
    </w:p>
    <w:p w14:paraId="71070C59" w14:textId="1460CA02" w:rsidR="002C424E" w:rsidRDefault="00AF43F7" w:rsidP="00407434">
      <w:pPr>
        <w:rPr>
          <w:color w:val="auto"/>
        </w:rPr>
      </w:pPr>
      <w:r w:rsidRPr="00163B8D">
        <w:rPr>
          <w:color w:val="auto"/>
        </w:rPr>
        <w:t>This protocol was successfully used to generate a Tet-Off transcriptionally controlled plasmid expression system to evaluate the importance of different portions of the αENaC 3’</w:t>
      </w:r>
      <w:r w:rsidR="0042614E" w:rsidRPr="00163B8D">
        <w:rPr>
          <w:color w:val="auto"/>
        </w:rPr>
        <w:t xml:space="preserve"> </w:t>
      </w:r>
      <w:r w:rsidRPr="00163B8D">
        <w:rPr>
          <w:color w:val="auto"/>
        </w:rPr>
        <w:t>UTR in the modulation of transcript stability in primary alveolar epithelial cells.</w:t>
      </w:r>
    </w:p>
    <w:p w14:paraId="60326533" w14:textId="77777777" w:rsidR="00407434" w:rsidRPr="00163B8D" w:rsidRDefault="00407434" w:rsidP="00407434">
      <w:pPr>
        <w:rPr>
          <w:color w:val="auto"/>
        </w:rPr>
      </w:pPr>
    </w:p>
    <w:p w14:paraId="367195B0" w14:textId="20C53E90" w:rsidR="002C424E" w:rsidRDefault="00AF43F7" w:rsidP="00407434">
      <w:pPr>
        <w:rPr>
          <w:color w:val="auto"/>
        </w:rPr>
      </w:pPr>
      <w:r w:rsidRPr="00163B8D">
        <w:rPr>
          <w:color w:val="auto"/>
        </w:rPr>
        <w:t>The first step in the implementation of this system was to establish a fast, easy</w:t>
      </w:r>
      <w:r w:rsidR="00740733">
        <w:rPr>
          <w:color w:val="auto"/>
        </w:rPr>
        <w:t>,</w:t>
      </w:r>
      <w:r w:rsidRPr="00163B8D">
        <w:rPr>
          <w:color w:val="auto"/>
        </w:rPr>
        <w:t xml:space="preserve"> and efficient transfection technique for alveolar epithelial cells in primary culture</w:t>
      </w:r>
      <w:r w:rsidR="0042614E" w:rsidRPr="00163B8D">
        <w:rPr>
          <w:color w:val="auto"/>
        </w:rPr>
        <w:t>, which</w:t>
      </w:r>
      <w:r w:rsidRPr="00163B8D">
        <w:rPr>
          <w:color w:val="auto"/>
        </w:rPr>
        <w:t xml:space="preserve"> are difficult to transfect. As shown in </w:t>
      </w:r>
      <w:r w:rsidRPr="00EF4B5E">
        <w:rPr>
          <w:b/>
          <w:bCs/>
          <w:color w:val="auto"/>
        </w:rPr>
        <w:t>Figure 1</w:t>
      </w:r>
      <w:r w:rsidRPr="00163B8D">
        <w:rPr>
          <w:color w:val="auto"/>
        </w:rPr>
        <w:t>, the pipette electroporation technique allow</w:t>
      </w:r>
      <w:r w:rsidR="007D38EE">
        <w:rPr>
          <w:color w:val="auto"/>
        </w:rPr>
        <w:t>ed</w:t>
      </w:r>
      <w:r w:rsidRPr="00163B8D">
        <w:rPr>
          <w:color w:val="auto"/>
        </w:rPr>
        <w:t xml:space="preserve"> for a 25</w:t>
      </w:r>
      <w:r w:rsidR="00740733" w:rsidRPr="00861CB3">
        <w:rPr>
          <w:color w:val="auto"/>
        </w:rPr>
        <w:t>–</w:t>
      </w:r>
      <w:r w:rsidRPr="00163B8D">
        <w:rPr>
          <w:color w:val="auto"/>
        </w:rPr>
        <w:t>30% transfection efficiency rate, as shown by the ratio</w:t>
      </w:r>
      <w:r w:rsidR="0042614E" w:rsidRPr="00163B8D">
        <w:rPr>
          <w:color w:val="auto"/>
        </w:rPr>
        <w:t>s</w:t>
      </w:r>
      <w:r w:rsidRPr="00163B8D">
        <w:rPr>
          <w:color w:val="auto"/>
        </w:rPr>
        <w:t xml:space="preserve"> of </w:t>
      </w:r>
      <w:proofErr w:type="spellStart"/>
      <w:r w:rsidRPr="00163B8D">
        <w:rPr>
          <w:color w:val="auto"/>
        </w:rPr>
        <w:t>eGFP</w:t>
      </w:r>
      <w:proofErr w:type="spellEnd"/>
      <w:r w:rsidRPr="00163B8D">
        <w:rPr>
          <w:color w:val="auto"/>
        </w:rPr>
        <w:t xml:space="preserve"> cells detected by fluorescence microscopy and flow cytometry.</w:t>
      </w:r>
    </w:p>
    <w:p w14:paraId="142C91C6" w14:textId="77777777" w:rsidR="00407434" w:rsidRPr="00163B8D" w:rsidRDefault="00407434" w:rsidP="00407434">
      <w:pPr>
        <w:rPr>
          <w:color w:val="auto"/>
        </w:rPr>
      </w:pPr>
    </w:p>
    <w:p w14:paraId="3E885562" w14:textId="2C41E839" w:rsidR="002C424E" w:rsidRDefault="00AF43F7" w:rsidP="00407434">
      <w:pPr>
        <w:rPr>
          <w:color w:val="auto"/>
        </w:rPr>
      </w:pPr>
      <w:r w:rsidRPr="00163B8D">
        <w:rPr>
          <w:color w:val="auto"/>
        </w:rPr>
        <w:t>Before applying this induction system</w:t>
      </w:r>
      <w:r w:rsidR="0042614E" w:rsidRPr="00163B8D">
        <w:rPr>
          <w:color w:val="auto"/>
        </w:rPr>
        <w:t>, which is</w:t>
      </w:r>
      <w:r w:rsidRPr="00163B8D">
        <w:rPr>
          <w:color w:val="auto"/>
        </w:rPr>
        <w:t xml:space="preserve"> controlled by tetracycline and its derivatives, the </w:t>
      </w:r>
      <w:r w:rsidR="0042614E" w:rsidRPr="00163B8D">
        <w:rPr>
          <w:color w:val="auto"/>
        </w:rPr>
        <w:t xml:space="preserve">impact </w:t>
      </w:r>
      <w:r w:rsidRPr="00163B8D">
        <w:rPr>
          <w:color w:val="auto"/>
        </w:rPr>
        <w:t xml:space="preserve">of this drug on the expression of our GOI was </w:t>
      </w:r>
      <w:r w:rsidR="0042614E" w:rsidRPr="00163B8D">
        <w:rPr>
          <w:color w:val="auto"/>
        </w:rPr>
        <w:t>verified</w:t>
      </w:r>
      <w:r w:rsidRPr="00163B8D">
        <w:rPr>
          <w:color w:val="auto"/>
        </w:rPr>
        <w:t xml:space="preserve">. The alveolar epithelial cells were treated with 1.0 µg/mL doxycycline to assess its impact on endogenous αENaC mRNA expression. </w:t>
      </w:r>
      <w:r w:rsidR="0042614E" w:rsidRPr="00163B8D">
        <w:rPr>
          <w:color w:val="auto"/>
        </w:rPr>
        <w:t>T</w:t>
      </w:r>
      <w:r w:rsidRPr="00163B8D">
        <w:rPr>
          <w:color w:val="auto"/>
        </w:rPr>
        <w:t>reatments carried out over a period of 1</w:t>
      </w:r>
      <w:r w:rsidR="00740733" w:rsidRPr="00E420FB">
        <w:rPr>
          <w:color w:val="auto"/>
        </w:rPr>
        <w:t>–</w:t>
      </w:r>
      <w:r w:rsidRPr="00163B8D">
        <w:rPr>
          <w:color w:val="auto"/>
        </w:rPr>
        <w:t xml:space="preserve">24 h had no significant impact on the expression of the endogenous transcript, as shown in </w:t>
      </w:r>
      <w:r w:rsidRPr="00EF4B5E">
        <w:rPr>
          <w:b/>
          <w:bCs/>
          <w:color w:val="auto"/>
        </w:rPr>
        <w:t>Figure 2</w:t>
      </w:r>
      <w:r w:rsidRPr="00163B8D">
        <w:rPr>
          <w:color w:val="auto"/>
        </w:rPr>
        <w:t>.</w:t>
      </w:r>
    </w:p>
    <w:p w14:paraId="60D6B277" w14:textId="77777777" w:rsidR="00407434" w:rsidRPr="00163B8D" w:rsidRDefault="00407434" w:rsidP="00407434">
      <w:pPr>
        <w:rPr>
          <w:color w:val="auto"/>
        </w:rPr>
      </w:pPr>
    </w:p>
    <w:p w14:paraId="0F405F48" w14:textId="2E18B444" w:rsidR="002C424E" w:rsidRDefault="00AF43F7" w:rsidP="00407434">
      <w:pPr>
        <w:rPr>
          <w:color w:val="auto"/>
        </w:rPr>
      </w:pPr>
      <w:r w:rsidRPr="00163B8D">
        <w:rPr>
          <w:color w:val="auto"/>
        </w:rPr>
        <w:t xml:space="preserve">Our transcriptionally controlled plasmid expression system uses a qPCR normalization technique that differs from the standard technique </w:t>
      </w:r>
      <w:r w:rsidR="0042614E" w:rsidRPr="00163B8D">
        <w:rPr>
          <w:color w:val="auto"/>
        </w:rPr>
        <w:t>that uses</w:t>
      </w:r>
      <w:r w:rsidRPr="00163B8D">
        <w:rPr>
          <w:color w:val="auto"/>
        </w:rPr>
        <w:t xml:space="preserve"> housekeeping genes. In the case of the expression of V5-αENaC, the signal was normalized </w:t>
      </w:r>
      <w:r w:rsidR="0042614E" w:rsidRPr="00163B8D">
        <w:rPr>
          <w:color w:val="auto"/>
        </w:rPr>
        <w:t xml:space="preserve">according to </w:t>
      </w:r>
      <w:r w:rsidRPr="00163B8D">
        <w:rPr>
          <w:color w:val="auto"/>
        </w:rPr>
        <w:t xml:space="preserve">the </w:t>
      </w:r>
      <w:proofErr w:type="spellStart"/>
      <w:r w:rsidRPr="00163B8D">
        <w:rPr>
          <w:color w:val="auto"/>
        </w:rPr>
        <w:t>tTA</w:t>
      </w:r>
      <w:proofErr w:type="spellEnd"/>
      <w:r w:rsidRPr="00163B8D">
        <w:rPr>
          <w:color w:val="auto"/>
        </w:rPr>
        <w:t xml:space="preserve">-Adv signal to </w:t>
      </w:r>
      <w:r w:rsidR="0042614E" w:rsidRPr="00163B8D">
        <w:rPr>
          <w:color w:val="auto"/>
        </w:rPr>
        <w:t xml:space="preserve">determine </w:t>
      </w:r>
      <w:r w:rsidRPr="00163B8D">
        <w:rPr>
          <w:color w:val="auto"/>
        </w:rPr>
        <w:t xml:space="preserve">the efficiency of transfection using the </w:t>
      </w:r>
      <w:proofErr w:type="spellStart"/>
      <w:r w:rsidR="00740733">
        <w:rPr>
          <w:color w:val="auto"/>
        </w:rPr>
        <w:t>Cq</w:t>
      </w:r>
      <w:proofErr w:type="spellEnd"/>
      <w:r w:rsidRPr="00163B8D">
        <w:rPr>
          <w:color w:val="auto"/>
        </w:rPr>
        <w:t xml:space="preserve"> method. </w:t>
      </w:r>
      <w:r w:rsidRPr="00EF4B5E">
        <w:rPr>
          <w:b/>
          <w:bCs/>
          <w:color w:val="auto"/>
        </w:rPr>
        <w:t>Figure 3</w:t>
      </w:r>
      <w:r w:rsidRPr="00163B8D">
        <w:rPr>
          <w:color w:val="auto"/>
        </w:rPr>
        <w:t xml:space="preserve"> shows the </w:t>
      </w:r>
      <w:r w:rsidR="007D38EE">
        <w:rPr>
          <w:color w:val="auto"/>
        </w:rPr>
        <w:t>use of</w:t>
      </w:r>
      <w:r w:rsidRPr="00163B8D">
        <w:rPr>
          <w:color w:val="auto"/>
        </w:rPr>
        <w:t xml:space="preserve"> the </w:t>
      </w:r>
      <w:proofErr w:type="spellStart"/>
      <w:r w:rsidRPr="00163B8D">
        <w:rPr>
          <w:color w:val="auto"/>
        </w:rPr>
        <w:t>tTA</w:t>
      </w:r>
      <w:proofErr w:type="spellEnd"/>
      <w:r w:rsidRPr="00163B8D">
        <w:rPr>
          <w:color w:val="auto"/>
        </w:rPr>
        <w:t>-Adv transcript to normalize mRNA expression.</w:t>
      </w:r>
    </w:p>
    <w:p w14:paraId="6EE5DF36" w14:textId="77777777" w:rsidR="00407434" w:rsidRPr="00163B8D" w:rsidRDefault="00407434" w:rsidP="00407434">
      <w:pPr>
        <w:rPr>
          <w:color w:val="auto"/>
        </w:rPr>
      </w:pPr>
    </w:p>
    <w:p w14:paraId="3393F5FE" w14:textId="59A5BF1B" w:rsidR="002C424E" w:rsidRDefault="00AF43F7" w:rsidP="00407434">
      <w:pPr>
        <w:rPr>
          <w:color w:val="auto"/>
        </w:rPr>
      </w:pPr>
      <w:r w:rsidRPr="00163B8D">
        <w:rPr>
          <w:color w:val="auto"/>
        </w:rPr>
        <w:t xml:space="preserve">Previously published results suggest that the use of actinomycin D </w:t>
      </w:r>
      <w:r w:rsidR="00740733">
        <w:rPr>
          <w:color w:val="auto"/>
        </w:rPr>
        <w:t>is</w:t>
      </w:r>
      <w:r w:rsidR="00740733" w:rsidRPr="00163B8D">
        <w:rPr>
          <w:color w:val="auto"/>
        </w:rPr>
        <w:t xml:space="preserve"> </w:t>
      </w:r>
      <w:r w:rsidRPr="00163B8D">
        <w:rPr>
          <w:color w:val="auto"/>
        </w:rPr>
        <w:t xml:space="preserve">inappropriate for the estimation of αENaC transcript stability, </w:t>
      </w:r>
      <w:r w:rsidR="003A3A06" w:rsidRPr="00163B8D">
        <w:rPr>
          <w:color w:val="auto"/>
        </w:rPr>
        <w:t xml:space="preserve">as it indicated </w:t>
      </w:r>
      <w:r w:rsidRPr="00163B8D">
        <w:rPr>
          <w:color w:val="auto"/>
        </w:rPr>
        <w:t>an abnormal</w:t>
      </w:r>
      <w:r w:rsidR="003A3A06" w:rsidRPr="00163B8D">
        <w:rPr>
          <w:color w:val="auto"/>
        </w:rPr>
        <w:t>ly</w:t>
      </w:r>
      <w:r w:rsidRPr="00163B8D">
        <w:rPr>
          <w:color w:val="auto"/>
        </w:rPr>
        <w:t xml:space="preserve"> high mRNA half-life (approximately 12 h)</w:t>
      </w:r>
      <w:r w:rsidR="009C472A" w:rsidRPr="00163B8D">
        <w:rPr>
          <w:color w:val="auto"/>
          <w:vertAlign w:val="superscript"/>
        </w:rPr>
        <w:t>2</w:t>
      </w:r>
      <w:r w:rsidR="0005486A">
        <w:rPr>
          <w:color w:val="auto"/>
          <w:vertAlign w:val="superscript"/>
        </w:rPr>
        <w:t>4</w:t>
      </w:r>
      <w:r w:rsidR="007E13F9" w:rsidRPr="00163B8D">
        <w:rPr>
          <w:color w:val="auto"/>
        </w:rPr>
        <w:t xml:space="preserve">. The half-life of αENaC mRNA </w:t>
      </w:r>
      <w:r w:rsidR="003A3A06" w:rsidRPr="00163B8D">
        <w:rPr>
          <w:color w:val="auto"/>
        </w:rPr>
        <w:t xml:space="preserve">in the presence of </w:t>
      </w:r>
      <w:r w:rsidR="007E13F9" w:rsidRPr="00163B8D">
        <w:rPr>
          <w:color w:val="auto"/>
        </w:rPr>
        <w:t xml:space="preserve">the Tet-Off system (99 </w:t>
      </w:r>
      <w:r w:rsidR="00362D8B">
        <w:rPr>
          <w:color w:val="auto"/>
        </w:rPr>
        <w:t>min</w:t>
      </w:r>
      <w:r w:rsidR="007E13F9" w:rsidRPr="00163B8D">
        <w:rPr>
          <w:color w:val="auto"/>
        </w:rPr>
        <w:t xml:space="preserve">) </w:t>
      </w:r>
      <w:r w:rsidR="00E420FB">
        <w:rPr>
          <w:color w:val="auto"/>
        </w:rPr>
        <w:t>was</w:t>
      </w:r>
      <w:r w:rsidR="00E420FB" w:rsidRPr="00163B8D">
        <w:rPr>
          <w:color w:val="auto"/>
        </w:rPr>
        <w:t xml:space="preserve"> </w:t>
      </w:r>
      <w:r w:rsidR="007E13F9" w:rsidRPr="00163B8D">
        <w:rPr>
          <w:color w:val="auto"/>
        </w:rPr>
        <w:t>up to 7</w:t>
      </w:r>
      <w:r w:rsidR="00740733" w:rsidRPr="00E420FB">
        <w:rPr>
          <w:color w:val="auto"/>
        </w:rPr>
        <w:t>x</w:t>
      </w:r>
      <w:r w:rsidR="00740733" w:rsidRPr="00163B8D">
        <w:rPr>
          <w:color w:val="auto"/>
        </w:rPr>
        <w:t xml:space="preserve"> </w:t>
      </w:r>
      <w:r w:rsidR="003A3A06" w:rsidRPr="00163B8D">
        <w:rPr>
          <w:color w:val="auto"/>
        </w:rPr>
        <w:t xml:space="preserve">shorter </w:t>
      </w:r>
      <w:r w:rsidR="007E13F9" w:rsidRPr="00163B8D">
        <w:rPr>
          <w:color w:val="auto"/>
        </w:rPr>
        <w:t xml:space="preserve">than </w:t>
      </w:r>
      <w:r w:rsidRPr="00163B8D">
        <w:rPr>
          <w:color w:val="auto"/>
        </w:rPr>
        <w:t>that</w:t>
      </w:r>
      <w:r w:rsidR="007E13F9" w:rsidRPr="00163B8D">
        <w:rPr>
          <w:color w:val="auto"/>
        </w:rPr>
        <w:t xml:space="preserve"> found in </w:t>
      </w:r>
      <w:r w:rsidRPr="00163B8D">
        <w:rPr>
          <w:color w:val="auto"/>
        </w:rPr>
        <w:t xml:space="preserve">the </w:t>
      </w:r>
      <w:r w:rsidR="007E13F9" w:rsidRPr="00163B8D">
        <w:rPr>
          <w:color w:val="auto"/>
        </w:rPr>
        <w:t xml:space="preserve">presence of actinomycin D, as </w:t>
      </w:r>
      <w:r w:rsidRPr="00163B8D">
        <w:rPr>
          <w:color w:val="auto"/>
        </w:rPr>
        <w:t>shown</w:t>
      </w:r>
      <w:r w:rsidR="007E13F9" w:rsidRPr="00163B8D">
        <w:rPr>
          <w:color w:val="auto"/>
        </w:rPr>
        <w:t xml:space="preserve"> in </w:t>
      </w:r>
      <w:r w:rsidR="007E13F9" w:rsidRPr="00EF4B5E">
        <w:rPr>
          <w:b/>
          <w:bCs/>
          <w:color w:val="auto"/>
        </w:rPr>
        <w:t>Figure 4</w:t>
      </w:r>
      <w:r w:rsidR="007E13F9" w:rsidRPr="00163B8D">
        <w:rPr>
          <w:color w:val="auto"/>
        </w:rPr>
        <w:t>. This confirms that actinomycin D leads to an art</w:t>
      </w:r>
      <w:r w:rsidR="003A3A06" w:rsidRPr="00163B8D">
        <w:rPr>
          <w:color w:val="auto"/>
        </w:rPr>
        <w:t>i</w:t>
      </w:r>
      <w:r w:rsidR="007E13F9" w:rsidRPr="00163B8D">
        <w:rPr>
          <w:color w:val="auto"/>
        </w:rPr>
        <w:t>factual αENaC mRNA stabilization.</w:t>
      </w:r>
    </w:p>
    <w:p w14:paraId="2D4D20CD" w14:textId="77777777" w:rsidR="00740733" w:rsidRPr="00163B8D" w:rsidRDefault="00740733" w:rsidP="00407434">
      <w:pPr>
        <w:rPr>
          <w:color w:val="auto"/>
        </w:rPr>
      </w:pPr>
    </w:p>
    <w:p w14:paraId="4E50EAE3" w14:textId="0E25B311" w:rsidR="002C424E" w:rsidRDefault="00AF43F7" w:rsidP="00407434">
      <w:pPr>
        <w:rPr>
          <w:color w:val="auto"/>
        </w:rPr>
      </w:pPr>
      <w:r w:rsidRPr="00163B8D">
        <w:rPr>
          <w:color w:val="auto"/>
        </w:rPr>
        <w:t>This Tet-Off system was also used success</w:t>
      </w:r>
      <w:r w:rsidR="003A3A06" w:rsidRPr="00163B8D">
        <w:rPr>
          <w:color w:val="auto"/>
        </w:rPr>
        <w:t>fully</w:t>
      </w:r>
      <w:r w:rsidRPr="00163B8D">
        <w:rPr>
          <w:color w:val="auto"/>
        </w:rPr>
        <w:t xml:space="preserve"> to test whether different cell stressors known to affect αENaC gene expression could modulate αENaC mRNA stability. As shown in </w:t>
      </w:r>
      <w:r w:rsidRPr="00EF4B5E">
        <w:rPr>
          <w:b/>
          <w:bCs/>
          <w:color w:val="auto"/>
        </w:rPr>
        <w:t>Figure 5</w:t>
      </w:r>
      <w:r w:rsidRPr="00163B8D">
        <w:rPr>
          <w:color w:val="auto"/>
        </w:rPr>
        <w:t xml:space="preserve">, cycloheximide treatment significantly decreased the stability (36 </w:t>
      </w:r>
      <w:r w:rsidR="00362D8B">
        <w:rPr>
          <w:color w:val="auto"/>
        </w:rPr>
        <w:t>min</w:t>
      </w:r>
      <w:r w:rsidRPr="00163B8D">
        <w:rPr>
          <w:color w:val="auto"/>
        </w:rPr>
        <w:t>) of the transcript, while lipopolysaccharides (LPS, used to mimic an infectious stimuli) did not. Finally, the pro</w:t>
      </w:r>
      <w:r w:rsidR="004402F4">
        <w:rPr>
          <w:color w:val="auto"/>
        </w:rPr>
        <w:t>-</w:t>
      </w:r>
      <w:r w:rsidRPr="00163B8D">
        <w:rPr>
          <w:color w:val="auto"/>
        </w:rPr>
        <w:t xml:space="preserve">inflammatory cytokine TNF-α caused a drastic drop in V5-αENaC mRNA stability (with a half-life of 16 </w:t>
      </w:r>
      <w:r w:rsidR="00362D8B">
        <w:rPr>
          <w:color w:val="auto"/>
        </w:rPr>
        <w:t>min</w:t>
      </w:r>
      <w:r w:rsidRPr="00163B8D">
        <w:rPr>
          <w:color w:val="auto"/>
        </w:rPr>
        <w:t>).</w:t>
      </w:r>
    </w:p>
    <w:p w14:paraId="6324C5E5" w14:textId="77777777" w:rsidR="00407434" w:rsidRPr="00163B8D" w:rsidRDefault="00407434" w:rsidP="00407434">
      <w:pPr>
        <w:rPr>
          <w:color w:val="auto"/>
        </w:rPr>
      </w:pPr>
    </w:p>
    <w:p w14:paraId="114FE999" w14:textId="3AC5704F" w:rsidR="002C424E" w:rsidRDefault="00AF43F7" w:rsidP="00407434">
      <w:pPr>
        <w:rPr>
          <w:color w:val="auto"/>
        </w:rPr>
      </w:pPr>
      <w:r w:rsidRPr="00163B8D">
        <w:rPr>
          <w:color w:val="auto"/>
        </w:rPr>
        <w:t xml:space="preserve">In the present work, the cloning strategy was intended to elucidate the contribution of the 3' UTR </w:t>
      </w:r>
      <w:r w:rsidR="003A3A06" w:rsidRPr="00163B8D">
        <w:rPr>
          <w:color w:val="auto"/>
        </w:rPr>
        <w:t xml:space="preserve">to </w:t>
      </w:r>
      <w:r w:rsidRPr="00163B8D">
        <w:rPr>
          <w:color w:val="auto"/>
        </w:rPr>
        <w:t xml:space="preserve">the modulation of αENaC transcript. Several sequential deletion mutants were generated and tested to map the contribution of different domains of the αENaC 3' UTR </w:t>
      </w:r>
      <w:r w:rsidR="003A3A06" w:rsidRPr="00163B8D">
        <w:rPr>
          <w:color w:val="auto"/>
        </w:rPr>
        <w:t xml:space="preserve">to </w:t>
      </w:r>
      <w:r w:rsidRPr="00163B8D">
        <w:rPr>
          <w:color w:val="auto"/>
        </w:rPr>
        <w:t xml:space="preserve">transcript stability. </w:t>
      </w:r>
      <w:r w:rsidRPr="00EF4B5E">
        <w:rPr>
          <w:b/>
          <w:bCs/>
          <w:color w:val="auto"/>
        </w:rPr>
        <w:t>Figure 6</w:t>
      </w:r>
      <w:r w:rsidRPr="00163B8D">
        <w:rPr>
          <w:color w:val="auto"/>
        </w:rPr>
        <w:t xml:space="preserve"> shows </w:t>
      </w:r>
      <w:r w:rsidR="00E420FB">
        <w:rPr>
          <w:color w:val="auto"/>
        </w:rPr>
        <w:t xml:space="preserve">the </w:t>
      </w:r>
      <w:r w:rsidRPr="00163B8D">
        <w:rPr>
          <w:color w:val="auto"/>
        </w:rPr>
        <w:t xml:space="preserve">significant changes in the modulation of the stability of V5-αENaC mRNA </w:t>
      </w:r>
      <w:r w:rsidRPr="00163B8D">
        <w:rPr>
          <w:color w:val="auto"/>
        </w:rPr>
        <w:lastRenderedPageBreak/>
        <w:t>depending on the delet</w:t>
      </w:r>
      <w:r w:rsidR="003A3A06" w:rsidRPr="00163B8D">
        <w:rPr>
          <w:color w:val="auto"/>
        </w:rPr>
        <w:t>ed</w:t>
      </w:r>
      <w:r w:rsidRPr="00163B8D">
        <w:rPr>
          <w:color w:val="auto"/>
        </w:rPr>
        <w:t xml:space="preserve"> and </w:t>
      </w:r>
      <w:r w:rsidR="003A3A06" w:rsidRPr="00163B8D">
        <w:rPr>
          <w:color w:val="auto"/>
        </w:rPr>
        <w:t xml:space="preserve">included </w:t>
      </w:r>
      <w:r w:rsidRPr="00163B8D">
        <w:rPr>
          <w:color w:val="auto"/>
        </w:rPr>
        <w:t>region</w:t>
      </w:r>
      <w:r w:rsidR="003A3A06" w:rsidRPr="00163B8D">
        <w:rPr>
          <w:color w:val="auto"/>
        </w:rPr>
        <w:t>s</w:t>
      </w:r>
      <w:r w:rsidRPr="00163B8D">
        <w:rPr>
          <w:color w:val="auto"/>
        </w:rPr>
        <w:t xml:space="preserve"> of the </w:t>
      </w:r>
      <w:r w:rsidR="00DB731E" w:rsidRPr="00163B8D">
        <w:rPr>
          <w:rFonts w:asciiTheme="minorHAnsi" w:hAnsiTheme="minorHAnsi" w:cstheme="minorHAnsi"/>
          <w:color w:val="auto"/>
        </w:rPr>
        <w:t>3’ UTR</w:t>
      </w:r>
      <w:r w:rsidRPr="00163B8D">
        <w:rPr>
          <w:color w:val="auto"/>
        </w:rPr>
        <w:t>.</w:t>
      </w:r>
    </w:p>
    <w:p w14:paraId="6D777209" w14:textId="77777777" w:rsidR="00407434" w:rsidRPr="00163B8D" w:rsidRDefault="00407434" w:rsidP="00407434">
      <w:pPr>
        <w:rPr>
          <w:color w:val="auto"/>
        </w:rPr>
      </w:pPr>
    </w:p>
    <w:p w14:paraId="41C151F9" w14:textId="6C818A33" w:rsidR="002C424E" w:rsidRDefault="00AF43F7" w:rsidP="00407434">
      <w:pPr>
        <w:rPr>
          <w:color w:val="auto"/>
        </w:rPr>
      </w:pPr>
      <w:r w:rsidRPr="00163B8D">
        <w:rPr>
          <w:color w:val="auto"/>
        </w:rPr>
        <w:t xml:space="preserve">Finally, the modulation of the stability of αENaC mRNA by RNA-binding proteins (RBP) was studied with this model. The transcription of αENaC mRNA with the V5 epitope </w:t>
      </w:r>
      <w:r w:rsidR="003A3A06" w:rsidRPr="00163B8D">
        <w:rPr>
          <w:color w:val="auto"/>
        </w:rPr>
        <w:t xml:space="preserve">from </w:t>
      </w:r>
      <w:r w:rsidRPr="00163B8D">
        <w:rPr>
          <w:color w:val="auto"/>
        </w:rPr>
        <w:t xml:space="preserve">the </w:t>
      </w:r>
      <w:proofErr w:type="spellStart"/>
      <w:r w:rsidRPr="00163B8D">
        <w:rPr>
          <w:color w:val="auto"/>
        </w:rPr>
        <w:t>pTRE</w:t>
      </w:r>
      <w:proofErr w:type="spellEnd"/>
      <w:r w:rsidRPr="00163B8D">
        <w:rPr>
          <w:color w:val="auto"/>
        </w:rPr>
        <w:t>-</w:t>
      </w:r>
      <w:r w:rsidR="00112829" w:rsidRPr="00163B8D">
        <w:rPr>
          <w:color w:val="auto"/>
        </w:rPr>
        <w:t xml:space="preserve">Tight </w:t>
      </w:r>
      <w:r w:rsidRPr="00163B8D">
        <w:rPr>
          <w:color w:val="auto"/>
        </w:rPr>
        <w:t xml:space="preserve">vector is under the exclusive control of </w:t>
      </w:r>
      <w:proofErr w:type="spellStart"/>
      <w:r w:rsidRPr="00163B8D">
        <w:rPr>
          <w:color w:val="auto"/>
        </w:rPr>
        <w:t>tTA</w:t>
      </w:r>
      <w:proofErr w:type="spellEnd"/>
      <w:r w:rsidRPr="00163B8D">
        <w:rPr>
          <w:color w:val="auto"/>
        </w:rPr>
        <w:t xml:space="preserve">-Adv. </w:t>
      </w:r>
      <w:r w:rsidR="007D38EE" w:rsidRPr="00163B8D">
        <w:rPr>
          <w:color w:val="auto"/>
        </w:rPr>
        <w:t>Dhx36, Tial1</w:t>
      </w:r>
      <w:r w:rsidR="007D38EE">
        <w:rPr>
          <w:color w:val="auto"/>
        </w:rPr>
        <w:t>,</w:t>
      </w:r>
      <w:r w:rsidR="007D38EE" w:rsidRPr="00163B8D">
        <w:rPr>
          <w:color w:val="auto"/>
        </w:rPr>
        <w:t xml:space="preserve"> </w:t>
      </w:r>
      <w:r w:rsidR="007D38EE">
        <w:rPr>
          <w:color w:val="auto"/>
        </w:rPr>
        <w:t>and</w:t>
      </w:r>
      <w:r w:rsidR="007D38EE" w:rsidRPr="00163B8D">
        <w:rPr>
          <w:color w:val="auto"/>
        </w:rPr>
        <w:t xml:space="preserve"> </w:t>
      </w:r>
      <w:proofErr w:type="spellStart"/>
      <w:r w:rsidR="007D38EE" w:rsidRPr="00163B8D">
        <w:rPr>
          <w:color w:val="auto"/>
        </w:rPr>
        <w:t>hnRNPK</w:t>
      </w:r>
      <w:proofErr w:type="spellEnd"/>
      <w:r w:rsidR="007D38EE" w:rsidRPr="00163B8D">
        <w:rPr>
          <w:color w:val="auto"/>
        </w:rPr>
        <w:t xml:space="preserve"> are three RBPs that are linked to </w:t>
      </w:r>
      <w:r w:rsidR="007D38EE">
        <w:rPr>
          <w:color w:val="auto"/>
        </w:rPr>
        <w:t xml:space="preserve">the </w:t>
      </w:r>
      <w:r w:rsidR="007D38EE" w:rsidRPr="00163B8D">
        <w:rPr>
          <w:color w:val="auto"/>
        </w:rPr>
        <w:t xml:space="preserve">3' UTR of </w:t>
      </w:r>
      <w:r w:rsidR="007D38EE" w:rsidRPr="00446552">
        <w:rPr>
          <w:color w:val="auto"/>
        </w:rPr>
        <w:t>αENaC</w:t>
      </w:r>
      <w:r w:rsidR="007D38EE" w:rsidRPr="0005486A">
        <w:rPr>
          <w:color w:val="auto"/>
          <w:vertAlign w:val="superscript"/>
        </w:rPr>
        <w:t>2</w:t>
      </w:r>
      <w:r w:rsidR="0005486A">
        <w:rPr>
          <w:color w:val="auto"/>
          <w:vertAlign w:val="superscript"/>
        </w:rPr>
        <w:t>4</w:t>
      </w:r>
      <w:r w:rsidR="007D38EE">
        <w:rPr>
          <w:color w:val="auto"/>
        </w:rPr>
        <w:t xml:space="preserve">. </w:t>
      </w:r>
      <w:r w:rsidRPr="00446552">
        <w:rPr>
          <w:color w:val="auto"/>
        </w:rPr>
        <w:t>Therefore</w:t>
      </w:r>
      <w:r w:rsidRPr="00163B8D">
        <w:rPr>
          <w:color w:val="auto"/>
        </w:rPr>
        <w:t xml:space="preserve">, any modulation of the expression of V5-αENaC following </w:t>
      </w:r>
      <w:proofErr w:type="spellStart"/>
      <w:r w:rsidRPr="00163B8D">
        <w:rPr>
          <w:color w:val="auto"/>
        </w:rPr>
        <w:t>cotransfection</w:t>
      </w:r>
      <w:proofErr w:type="spellEnd"/>
      <w:r w:rsidRPr="00163B8D">
        <w:rPr>
          <w:color w:val="auto"/>
        </w:rPr>
        <w:t xml:space="preserve"> </w:t>
      </w:r>
      <w:r w:rsidR="00446552">
        <w:rPr>
          <w:color w:val="auto"/>
        </w:rPr>
        <w:t xml:space="preserve">with </w:t>
      </w:r>
      <w:r w:rsidR="00446552" w:rsidRPr="00163B8D">
        <w:rPr>
          <w:color w:val="auto"/>
        </w:rPr>
        <w:t>Dhx36, Tial1</w:t>
      </w:r>
      <w:r w:rsidR="00446552">
        <w:rPr>
          <w:color w:val="auto"/>
        </w:rPr>
        <w:t>,</w:t>
      </w:r>
      <w:r w:rsidR="00446552" w:rsidRPr="00163B8D">
        <w:rPr>
          <w:color w:val="auto"/>
        </w:rPr>
        <w:t xml:space="preserve"> </w:t>
      </w:r>
      <w:r w:rsidR="00446552">
        <w:rPr>
          <w:color w:val="auto"/>
        </w:rPr>
        <w:t>or</w:t>
      </w:r>
      <w:r w:rsidR="00446552" w:rsidRPr="00163B8D">
        <w:rPr>
          <w:color w:val="auto"/>
        </w:rPr>
        <w:t xml:space="preserve"> </w:t>
      </w:r>
      <w:proofErr w:type="spellStart"/>
      <w:r w:rsidR="00446552" w:rsidRPr="00163B8D">
        <w:rPr>
          <w:color w:val="auto"/>
        </w:rPr>
        <w:t>hnRNPK</w:t>
      </w:r>
      <w:proofErr w:type="spellEnd"/>
      <w:r w:rsidRPr="00163B8D">
        <w:rPr>
          <w:color w:val="auto"/>
        </w:rPr>
        <w:t xml:space="preserve">, would be the consequence of </w:t>
      </w:r>
      <w:r w:rsidR="003A3A06" w:rsidRPr="00163B8D">
        <w:rPr>
          <w:color w:val="auto"/>
        </w:rPr>
        <w:t xml:space="preserve">the </w:t>
      </w:r>
      <w:r w:rsidRPr="00163B8D">
        <w:rPr>
          <w:color w:val="auto"/>
        </w:rPr>
        <w:t xml:space="preserve">modulation of the </w:t>
      </w:r>
      <w:r w:rsidR="00740733">
        <w:rPr>
          <w:color w:val="auto"/>
        </w:rPr>
        <w:t>m</w:t>
      </w:r>
      <w:r w:rsidR="003A3A06" w:rsidRPr="00163B8D">
        <w:rPr>
          <w:color w:val="auto"/>
        </w:rPr>
        <w:t>RNA</w:t>
      </w:r>
      <w:r w:rsidRPr="00163B8D">
        <w:rPr>
          <w:color w:val="auto"/>
        </w:rPr>
        <w:t xml:space="preserve"> stability and not </w:t>
      </w:r>
      <w:r w:rsidR="003A3A06" w:rsidRPr="00163B8D">
        <w:rPr>
          <w:color w:val="auto"/>
        </w:rPr>
        <w:t xml:space="preserve">of </w:t>
      </w:r>
      <w:r w:rsidRPr="00163B8D">
        <w:rPr>
          <w:color w:val="auto"/>
        </w:rPr>
        <w:t xml:space="preserve">transcription modulation. </w:t>
      </w:r>
      <w:r w:rsidR="00740733" w:rsidRPr="00740733">
        <w:rPr>
          <w:b/>
          <w:color w:val="auto"/>
        </w:rPr>
        <w:t>Figure</w:t>
      </w:r>
      <w:r w:rsidRPr="00163B8D">
        <w:rPr>
          <w:color w:val="auto"/>
        </w:rPr>
        <w:t xml:space="preserve"> </w:t>
      </w:r>
      <w:r w:rsidRPr="00EF4B5E">
        <w:rPr>
          <w:b/>
          <w:bCs/>
          <w:color w:val="auto"/>
        </w:rPr>
        <w:t>7</w:t>
      </w:r>
      <w:r w:rsidRPr="00163B8D">
        <w:rPr>
          <w:color w:val="auto"/>
        </w:rPr>
        <w:t xml:space="preserve"> shows that the overexpression of Dhx36 or Tial1, unlike</w:t>
      </w:r>
      <w:r w:rsidR="003A3A06" w:rsidRPr="00163B8D">
        <w:rPr>
          <w:color w:val="auto"/>
        </w:rPr>
        <w:t xml:space="preserve"> that of</w:t>
      </w:r>
      <w:r w:rsidRPr="00163B8D">
        <w:rPr>
          <w:color w:val="auto"/>
        </w:rPr>
        <w:t xml:space="preserve"> </w:t>
      </w:r>
      <w:proofErr w:type="spellStart"/>
      <w:r w:rsidRPr="00163B8D">
        <w:rPr>
          <w:color w:val="auto"/>
        </w:rPr>
        <w:t>hnRNPK</w:t>
      </w:r>
      <w:proofErr w:type="spellEnd"/>
      <w:r w:rsidRPr="00163B8D">
        <w:rPr>
          <w:color w:val="auto"/>
        </w:rPr>
        <w:t>, decreased the stability of V5-αENaC mRNA compared to transfect</w:t>
      </w:r>
      <w:r w:rsidR="003A3A06" w:rsidRPr="00163B8D">
        <w:rPr>
          <w:color w:val="auto"/>
        </w:rPr>
        <w:t>ion</w:t>
      </w:r>
      <w:r w:rsidRPr="00163B8D">
        <w:rPr>
          <w:color w:val="auto"/>
        </w:rPr>
        <w:t xml:space="preserve"> with the empty pcDNA3 plasmid, which shows </w:t>
      </w:r>
      <w:r w:rsidR="003A3A06" w:rsidRPr="00163B8D">
        <w:rPr>
          <w:color w:val="auto"/>
        </w:rPr>
        <w:t xml:space="preserve">the specific </w:t>
      </w:r>
      <w:r w:rsidRPr="00163B8D">
        <w:rPr>
          <w:color w:val="auto"/>
        </w:rPr>
        <w:t xml:space="preserve">modulation </w:t>
      </w:r>
      <w:r w:rsidR="003A3A06" w:rsidRPr="00163B8D">
        <w:rPr>
          <w:color w:val="auto"/>
        </w:rPr>
        <w:t xml:space="preserve">of </w:t>
      </w:r>
      <w:r w:rsidRPr="00163B8D">
        <w:rPr>
          <w:color w:val="auto"/>
        </w:rPr>
        <w:t>some RBP</w:t>
      </w:r>
      <w:r w:rsidR="003A3A06" w:rsidRPr="00163B8D">
        <w:rPr>
          <w:color w:val="auto"/>
        </w:rPr>
        <w:t>s</w:t>
      </w:r>
      <w:r w:rsidRPr="00163B8D">
        <w:rPr>
          <w:color w:val="auto"/>
        </w:rPr>
        <w:t>.</w:t>
      </w:r>
    </w:p>
    <w:p w14:paraId="5CAF928E" w14:textId="77777777" w:rsidR="00407434" w:rsidRPr="00163B8D" w:rsidRDefault="00407434" w:rsidP="00407434">
      <w:pPr>
        <w:rPr>
          <w:color w:val="auto"/>
        </w:rPr>
      </w:pPr>
    </w:p>
    <w:p w14:paraId="30728A8F" w14:textId="485A6482" w:rsidR="002C424E" w:rsidRDefault="00D5722A" w:rsidP="00407434">
      <w:pPr>
        <w:rPr>
          <w:color w:val="auto"/>
        </w:rPr>
      </w:pPr>
      <w:r w:rsidRPr="00163B8D">
        <w:rPr>
          <w:color w:val="auto"/>
        </w:rPr>
        <w:t xml:space="preserve">Collectively, these results confirmed </w:t>
      </w:r>
      <w:r w:rsidR="003A3A06" w:rsidRPr="00163B8D">
        <w:rPr>
          <w:color w:val="auto"/>
        </w:rPr>
        <w:t xml:space="preserve">that </w:t>
      </w:r>
      <w:r w:rsidRPr="00163B8D">
        <w:rPr>
          <w:color w:val="auto"/>
        </w:rPr>
        <w:t xml:space="preserve">the Tet-Off transcriptionally controlled plasmid expression system that we developed represents an appropriate tool for evaluating the actual half-life of a transcript and the mechanisms involved in its modulation. This tool will be useful </w:t>
      </w:r>
      <w:r w:rsidR="003A3A06" w:rsidRPr="00163B8D">
        <w:rPr>
          <w:color w:val="auto"/>
        </w:rPr>
        <w:t>in acquiring</w:t>
      </w:r>
      <w:r w:rsidRPr="00163B8D">
        <w:rPr>
          <w:color w:val="auto"/>
        </w:rPr>
        <w:t xml:space="preserve"> novel insights </w:t>
      </w:r>
      <w:r w:rsidR="00AF43F7" w:rsidRPr="00163B8D">
        <w:rPr>
          <w:color w:val="auto"/>
        </w:rPr>
        <w:t>into</w:t>
      </w:r>
      <w:r w:rsidRPr="00163B8D">
        <w:rPr>
          <w:color w:val="auto"/>
        </w:rPr>
        <w:t xml:space="preserve"> the </w:t>
      </w:r>
      <w:r w:rsidR="00AF43F7" w:rsidRPr="00163B8D">
        <w:rPr>
          <w:color w:val="auto"/>
        </w:rPr>
        <w:t>postt</w:t>
      </w:r>
      <w:r w:rsidRPr="00163B8D">
        <w:rPr>
          <w:color w:val="auto"/>
        </w:rPr>
        <w:t>ranscriptional regulation of key GOI</w:t>
      </w:r>
      <w:r w:rsidR="003A3A06" w:rsidRPr="00163B8D">
        <w:rPr>
          <w:color w:val="auto"/>
        </w:rPr>
        <w:t>s</w:t>
      </w:r>
      <w:r w:rsidRPr="00163B8D">
        <w:rPr>
          <w:color w:val="auto"/>
        </w:rPr>
        <w:t xml:space="preserve"> </w:t>
      </w:r>
      <w:r w:rsidR="003A3A06" w:rsidRPr="00163B8D">
        <w:rPr>
          <w:color w:val="auto"/>
        </w:rPr>
        <w:t xml:space="preserve">involved in </w:t>
      </w:r>
      <w:r w:rsidRPr="00163B8D">
        <w:rPr>
          <w:color w:val="auto"/>
        </w:rPr>
        <w:t>the function of the alveolar epithelium in physiological and pathological conditions.</w:t>
      </w:r>
    </w:p>
    <w:p w14:paraId="4ECEA911" w14:textId="77777777" w:rsidR="00407434" w:rsidRPr="00163B8D" w:rsidRDefault="00407434" w:rsidP="00407434">
      <w:pPr>
        <w:rPr>
          <w:color w:val="auto"/>
        </w:rPr>
      </w:pPr>
    </w:p>
    <w:p w14:paraId="353A6645" w14:textId="77777777" w:rsidR="00345229" w:rsidRPr="00163B8D" w:rsidRDefault="00AF43F7" w:rsidP="00407434">
      <w:pPr>
        <w:rPr>
          <w:rFonts w:asciiTheme="minorHAnsi" w:hAnsiTheme="minorHAnsi" w:cstheme="minorHAnsi"/>
          <w:b/>
          <w:color w:val="auto"/>
        </w:rPr>
      </w:pPr>
      <w:r w:rsidRPr="00163B8D">
        <w:rPr>
          <w:rFonts w:asciiTheme="minorHAnsi" w:hAnsiTheme="minorHAnsi" w:cstheme="minorHAnsi"/>
          <w:b/>
          <w:color w:val="auto"/>
        </w:rPr>
        <w:t>FIGURE AND TABLE LEGENDS:</w:t>
      </w:r>
    </w:p>
    <w:p w14:paraId="61944D9D" w14:textId="6572A6D9" w:rsidR="00345229" w:rsidRPr="00163B8D" w:rsidRDefault="00AF43F7" w:rsidP="00407434">
      <w:pPr>
        <w:rPr>
          <w:color w:val="auto"/>
        </w:rPr>
      </w:pPr>
      <w:r w:rsidRPr="00163B8D">
        <w:rPr>
          <w:b/>
          <w:bCs/>
          <w:color w:val="auto"/>
        </w:rPr>
        <w:t>Figure 1</w:t>
      </w:r>
      <w:r w:rsidR="00E420FB">
        <w:rPr>
          <w:b/>
          <w:bCs/>
          <w:color w:val="auto"/>
        </w:rPr>
        <w:t>:</w:t>
      </w:r>
      <w:r w:rsidRPr="00163B8D">
        <w:rPr>
          <w:b/>
          <w:bCs/>
          <w:color w:val="auto"/>
        </w:rPr>
        <w:t xml:space="preserve"> </w:t>
      </w:r>
      <w:r w:rsidR="00743152" w:rsidRPr="00163B8D">
        <w:rPr>
          <w:b/>
          <w:bCs/>
          <w:color w:val="auto"/>
        </w:rPr>
        <w:t>E</w:t>
      </w:r>
      <w:r w:rsidRPr="00163B8D">
        <w:rPr>
          <w:b/>
          <w:bCs/>
          <w:color w:val="auto"/>
        </w:rPr>
        <w:t xml:space="preserve">fficiency </w:t>
      </w:r>
      <w:r w:rsidR="00743152" w:rsidRPr="00163B8D">
        <w:rPr>
          <w:b/>
          <w:bCs/>
          <w:color w:val="auto"/>
        </w:rPr>
        <w:t xml:space="preserve">of the transfection </w:t>
      </w:r>
      <w:r w:rsidRPr="00163B8D">
        <w:rPr>
          <w:b/>
          <w:bCs/>
          <w:color w:val="auto"/>
        </w:rPr>
        <w:t>of alveolar epithelial cells in primary culture by pipette electroporation.</w:t>
      </w:r>
      <w:r w:rsidRPr="00163B8D">
        <w:rPr>
          <w:color w:val="auto"/>
        </w:rPr>
        <w:t xml:space="preserve"> Primary alveolar epithelial cells were transiently transfected with 2 µg of a pcDNA3 plasmid (empty, clones #1 and #2) that expressed or did not express GFP protein. Transfection efficiency was assessed 48 h following transfection by (</w:t>
      </w:r>
      <w:r w:rsidRPr="00163B8D">
        <w:rPr>
          <w:b/>
          <w:bCs/>
          <w:color w:val="auto"/>
        </w:rPr>
        <w:t>A</w:t>
      </w:r>
      <w:r w:rsidRPr="00163B8D">
        <w:rPr>
          <w:color w:val="auto"/>
        </w:rPr>
        <w:t>) fluorescence microscopy or (</w:t>
      </w:r>
      <w:r w:rsidRPr="00163B8D">
        <w:rPr>
          <w:b/>
          <w:bCs/>
          <w:color w:val="auto"/>
        </w:rPr>
        <w:t>B</w:t>
      </w:r>
      <w:r w:rsidRPr="00163B8D">
        <w:rPr>
          <w:color w:val="auto"/>
        </w:rPr>
        <w:t xml:space="preserve">) flow cytometry. One-way ANOVA and Bonferroni </w:t>
      </w:r>
      <w:r w:rsidRPr="00EF4B5E">
        <w:rPr>
          <w:color w:val="auto"/>
        </w:rPr>
        <w:t>post hoc</w:t>
      </w:r>
      <w:r w:rsidR="00792865" w:rsidRPr="00163B8D">
        <w:rPr>
          <w:color w:val="auto"/>
        </w:rPr>
        <w:t xml:space="preserve"> test; *: </w:t>
      </w:r>
      <w:r w:rsidR="00E420FB" w:rsidRPr="00163B8D">
        <w:rPr>
          <w:color w:val="auto"/>
        </w:rPr>
        <w:t>p</w:t>
      </w:r>
      <w:r w:rsidR="00E420FB">
        <w:rPr>
          <w:color w:val="auto"/>
        </w:rPr>
        <w:t xml:space="preserve"> </w:t>
      </w:r>
      <w:r w:rsidR="00792865" w:rsidRPr="00163B8D">
        <w:rPr>
          <w:color w:val="auto"/>
        </w:rPr>
        <w:t>&lt;</w:t>
      </w:r>
      <w:r w:rsidR="00E420FB">
        <w:rPr>
          <w:color w:val="auto"/>
        </w:rPr>
        <w:t xml:space="preserve"> </w:t>
      </w:r>
      <w:r w:rsidR="00792865" w:rsidRPr="00163B8D">
        <w:rPr>
          <w:color w:val="auto"/>
        </w:rPr>
        <w:t>0.001 vs</w:t>
      </w:r>
      <w:r w:rsidR="00E420FB">
        <w:rPr>
          <w:color w:val="auto"/>
        </w:rPr>
        <w:t>.</w:t>
      </w:r>
      <w:r w:rsidR="00792865" w:rsidRPr="00163B8D">
        <w:rPr>
          <w:color w:val="auto"/>
        </w:rPr>
        <w:t xml:space="preserve"> empty. Cells from at least four different rats (n</w:t>
      </w:r>
      <w:r w:rsidR="00E420FB">
        <w:rPr>
          <w:color w:val="auto"/>
        </w:rPr>
        <w:t xml:space="preserve"> </w:t>
      </w:r>
      <w:r w:rsidR="00792865" w:rsidRPr="00163B8D">
        <w:rPr>
          <w:color w:val="auto"/>
        </w:rPr>
        <w:t>≥</w:t>
      </w:r>
      <w:r w:rsidR="00E420FB">
        <w:rPr>
          <w:color w:val="auto"/>
        </w:rPr>
        <w:t xml:space="preserve"> </w:t>
      </w:r>
      <w:r w:rsidR="00792865" w:rsidRPr="00163B8D">
        <w:rPr>
          <w:color w:val="auto"/>
        </w:rPr>
        <w:t>4) were used for each experimental condition. Scale bar = 200 µm.</w:t>
      </w:r>
    </w:p>
    <w:p w14:paraId="11726305" w14:textId="77777777" w:rsidR="00345229" w:rsidRPr="00163B8D" w:rsidRDefault="00345229" w:rsidP="00407434">
      <w:pPr>
        <w:rPr>
          <w:color w:val="auto"/>
        </w:rPr>
      </w:pPr>
    </w:p>
    <w:p w14:paraId="6C4D6844" w14:textId="16EA5F88" w:rsidR="00345229" w:rsidRPr="00163B8D" w:rsidRDefault="00622AED" w:rsidP="00407434">
      <w:pPr>
        <w:rPr>
          <w:color w:val="auto"/>
        </w:rPr>
      </w:pPr>
      <w:r w:rsidRPr="00163B8D">
        <w:rPr>
          <w:b/>
          <w:bCs/>
          <w:color w:val="auto"/>
        </w:rPr>
        <w:t>Figure 2</w:t>
      </w:r>
      <w:r w:rsidR="00E420FB">
        <w:rPr>
          <w:b/>
          <w:bCs/>
          <w:color w:val="auto"/>
        </w:rPr>
        <w:t>:</w:t>
      </w:r>
      <w:r w:rsidRPr="00163B8D">
        <w:rPr>
          <w:b/>
          <w:bCs/>
          <w:color w:val="auto"/>
        </w:rPr>
        <w:t xml:space="preserve"> Modulation of endogenous </w:t>
      </w:r>
      <w:r w:rsidR="00AF43F7" w:rsidRPr="00163B8D">
        <w:rPr>
          <w:b/>
          <w:bCs/>
          <w:color w:val="auto"/>
        </w:rPr>
        <w:t>αENaC mRNA by doxycycline in alveolar epithelial cells.</w:t>
      </w:r>
      <w:r w:rsidR="00AF43F7" w:rsidRPr="00163B8D">
        <w:rPr>
          <w:color w:val="auto"/>
        </w:rPr>
        <w:t xml:space="preserve"> Alveolar epithelial cells were treated with 1.0 </w:t>
      </w:r>
      <w:proofErr w:type="spellStart"/>
      <w:r w:rsidR="00AF43F7" w:rsidRPr="00163B8D">
        <w:rPr>
          <w:color w:val="auto"/>
        </w:rPr>
        <w:t>μg</w:t>
      </w:r>
      <w:proofErr w:type="spellEnd"/>
      <w:r w:rsidR="00AF43F7" w:rsidRPr="00163B8D">
        <w:rPr>
          <w:color w:val="auto"/>
        </w:rPr>
        <w:t>/m</w:t>
      </w:r>
      <w:r w:rsidR="004B6E02">
        <w:rPr>
          <w:color w:val="auto"/>
        </w:rPr>
        <w:t>L</w:t>
      </w:r>
      <w:r w:rsidR="00AF43F7" w:rsidRPr="00163B8D">
        <w:rPr>
          <w:color w:val="auto"/>
        </w:rPr>
        <w:t xml:space="preserve"> doxycycline for a period of 1</w:t>
      </w:r>
      <w:r w:rsidR="00E420FB" w:rsidRPr="00861CB3">
        <w:rPr>
          <w:color w:val="auto"/>
        </w:rPr>
        <w:t>–</w:t>
      </w:r>
      <w:r w:rsidR="00AF43F7" w:rsidRPr="00163B8D">
        <w:rPr>
          <w:color w:val="auto"/>
        </w:rPr>
        <w:t xml:space="preserve">24 h. </w:t>
      </w:r>
      <w:r w:rsidR="00743152" w:rsidRPr="00163B8D">
        <w:rPr>
          <w:color w:val="auto"/>
        </w:rPr>
        <w:t>The e</w:t>
      </w:r>
      <w:r w:rsidR="00AF43F7" w:rsidRPr="00163B8D">
        <w:rPr>
          <w:color w:val="auto"/>
        </w:rPr>
        <w:t xml:space="preserve">xpression of αENaC mRNA was quantified by quantitative RT-PCR and presented as </w:t>
      </w:r>
      <w:r w:rsidR="00743152" w:rsidRPr="00163B8D">
        <w:rPr>
          <w:color w:val="auto"/>
        </w:rPr>
        <w:t xml:space="preserve">the </w:t>
      </w:r>
      <w:r w:rsidR="00AF43F7" w:rsidRPr="00163B8D">
        <w:rPr>
          <w:color w:val="auto"/>
        </w:rPr>
        <w:t xml:space="preserve">expression of αENaC mRNA ± SEM compared to </w:t>
      </w:r>
      <w:r w:rsidR="00743152" w:rsidRPr="00163B8D">
        <w:rPr>
          <w:color w:val="auto"/>
        </w:rPr>
        <w:t xml:space="preserve">that in </w:t>
      </w:r>
      <w:r w:rsidR="00AF43F7" w:rsidRPr="00163B8D">
        <w:rPr>
          <w:color w:val="auto"/>
        </w:rPr>
        <w:t xml:space="preserve">untreated cells (Ctrl; t = 0) after normalization </w:t>
      </w:r>
      <w:r w:rsidR="00743152" w:rsidRPr="00163B8D">
        <w:rPr>
          <w:color w:val="auto"/>
        </w:rPr>
        <w:t xml:space="preserve">according to </w:t>
      </w:r>
      <w:r w:rsidR="00AF43F7" w:rsidRPr="00163B8D">
        <w:rPr>
          <w:color w:val="auto"/>
        </w:rPr>
        <w:t xml:space="preserve">β-actin </w:t>
      </w:r>
      <w:r w:rsidR="00743152" w:rsidRPr="00163B8D">
        <w:rPr>
          <w:color w:val="auto"/>
        </w:rPr>
        <w:t xml:space="preserve">expression </w:t>
      </w:r>
      <w:r w:rsidR="00AF43F7" w:rsidRPr="00163B8D">
        <w:rPr>
          <w:color w:val="auto"/>
        </w:rPr>
        <w:t xml:space="preserve">(one-way ANOVA, n = 4). Doxycycline did not modulate endogenous αENaC mRNA over time. Previously published as </w:t>
      </w:r>
      <w:r w:rsidR="00740733" w:rsidRPr="00861CB3">
        <w:rPr>
          <w:b/>
          <w:bCs/>
          <w:color w:val="auto"/>
        </w:rPr>
        <w:t>Figure</w:t>
      </w:r>
      <w:r w:rsidR="00AF43F7" w:rsidRPr="00163B8D">
        <w:rPr>
          <w:color w:val="auto"/>
        </w:rPr>
        <w:t xml:space="preserve"> S4 in </w:t>
      </w:r>
      <w:proofErr w:type="spellStart"/>
      <w:r w:rsidR="00AF43F7" w:rsidRPr="00163B8D">
        <w:rPr>
          <w:color w:val="auto"/>
        </w:rPr>
        <w:t>Migneaul</w:t>
      </w:r>
      <w:r w:rsidR="00AF43F7" w:rsidRPr="00861CB3">
        <w:rPr>
          <w:color w:val="auto"/>
        </w:rPr>
        <w:t>t</w:t>
      </w:r>
      <w:proofErr w:type="spellEnd"/>
      <w:r w:rsidR="00AF43F7" w:rsidRPr="00861CB3">
        <w:rPr>
          <w:color w:val="auto"/>
        </w:rPr>
        <w:t xml:space="preserve"> </w:t>
      </w:r>
      <w:r w:rsidR="00AF43F7" w:rsidRPr="00EF4B5E">
        <w:rPr>
          <w:color w:val="auto"/>
        </w:rPr>
        <w:t>et al</w:t>
      </w:r>
      <w:r w:rsidR="00AF43F7" w:rsidRPr="00861CB3">
        <w:rPr>
          <w:color w:val="auto"/>
        </w:rPr>
        <w:t>.</w:t>
      </w:r>
      <w:r w:rsidR="009C472A" w:rsidRPr="00163B8D">
        <w:rPr>
          <w:color w:val="auto"/>
          <w:vertAlign w:val="superscript"/>
        </w:rPr>
        <w:t>2</w:t>
      </w:r>
      <w:r w:rsidR="0005486A">
        <w:rPr>
          <w:color w:val="auto"/>
          <w:vertAlign w:val="superscript"/>
        </w:rPr>
        <w:t>4</w:t>
      </w:r>
      <w:r w:rsidR="00AF43F7" w:rsidRPr="00163B8D">
        <w:rPr>
          <w:color w:val="auto"/>
        </w:rPr>
        <w:t>.</w:t>
      </w:r>
    </w:p>
    <w:p w14:paraId="70A5F468" w14:textId="77777777" w:rsidR="00345229" w:rsidRPr="00163B8D" w:rsidRDefault="00345229" w:rsidP="00407434">
      <w:pPr>
        <w:rPr>
          <w:color w:val="auto"/>
        </w:rPr>
      </w:pPr>
    </w:p>
    <w:p w14:paraId="299E35CA" w14:textId="6EE8FEE3" w:rsidR="00345229" w:rsidRPr="00163B8D" w:rsidRDefault="00AF43F7" w:rsidP="00407434">
      <w:pPr>
        <w:rPr>
          <w:color w:val="auto"/>
        </w:rPr>
      </w:pPr>
      <w:r w:rsidRPr="00163B8D">
        <w:rPr>
          <w:b/>
          <w:bCs/>
          <w:color w:val="auto"/>
        </w:rPr>
        <w:t>Figure 3</w:t>
      </w:r>
      <w:r w:rsidR="00E420FB">
        <w:rPr>
          <w:b/>
          <w:bCs/>
          <w:color w:val="auto"/>
        </w:rPr>
        <w:t>:</w:t>
      </w:r>
      <w:r w:rsidRPr="00163B8D">
        <w:rPr>
          <w:b/>
          <w:bCs/>
          <w:color w:val="auto"/>
        </w:rPr>
        <w:t xml:space="preserve"> Normalization of GOI mRNA expression with a modified </w:t>
      </w:r>
      <w:proofErr w:type="spellStart"/>
      <w:r w:rsidRPr="00163B8D">
        <w:rPr>
          <w:b/>
          <w:bCs/>
          <w:color w:val="auto"/>
        </w:rPr>
        <w:t>Cq</w:t>
      </w:r>
      <w:proofErr w:type="spellEnd"/>
      <w:r w:rsidRPr="00163B8D">
        <w:rPr>
          <w:b/>
          <w:bCs/>
          <w:color w:val="auto"/>
        </w:rPr>
        <w:t xml:space="preserve"> method </w:t>
      </w:r>
      <w:r w:rsidR="00743152" w:rsidRPr="00163B8D">
        <w:rPr>
          <w:b/>
          <w:bCs/>
          <w:color w:val="auto"/>
        </w:rPr>
        <w:t xml:space="preserve">according to </w:t>
      </w:r>
      <w:r w:rsidRPr="00163B8D">
        <w:rPr>
          <w:b/>
          <w:bCs/>
          <w:color w:val="auto"/>
        </w:rPr>
        <w:t xml:space="preserve">the expression of the regulatory mRNA </w:t>
      </w:r>
      <w:proofErr w:type="spellStart"/>
      <w:r w:rsidRPr="00163B8D">
        <w:rPr>
          <w:b/>
          <w:bCs/>
          <w:color w:val="auto"/>
        </w:rPr>
        <w:t>tTA</w:t>
      </w:r>
      <w:proofErr w:type="spellEnd"/>
      <w:r w:rsidRPr="00163B8D">
        <w:rPr>
          <w:b/>
          <w:bCs/>
          <w:color w:val="auto"/>
        </w:rPr>
        <w:t xml:space="preserve">-Ad. </w:t>
      </w:r>
      <w:r w:rsidRPr="00163B8D">
        <w:rPr>
          <w:color w:val="auto"/>
        </w:rPr>
        <w:t xml:space="preserve">Alveolar epithelial cells were transiently </w:t>
      </w:r>
      <w:proofErr w:type="spellStart"/>
      <w:r w:rsidRPr="00163B8D">
        <w:rPr>
          <w:color w:val="auto"/>
        </w:rPr>
        <w:t>cotransfected</w:t>
      </w:r>
      <w:proofErr w:type="spellEnd"/>
      <w:r w:rsidRPr="00163B8D">
        <w:rPr>
          <w:color w:val="auto"/>
        </w:rPr>
        <w:t xml:space="preserve"> with the </w:t>
      </w:r>
      <w:proofErr w:type="spellStart"/>
      <w:r w:rsidRPr="00163B8D">
        <w:rPr>
          <w:color w:val="auto"/>
        </w:rPr>
        <w:t>pTet</w:t>
      </w:r>
      <w:proofErr w:type="spellEnd"/>
      <w:r w:rsidRPr="00163B8D">
        <w:rPr>
          <w:color w:val="auto"/>
        </w:rPr>
        <w:t xml:space="preserve">-Off plasmid and the </w:t>
      </w:r>
      <w:proofErr w:type="spellStart"/>
      <w:r w:rsidRPr="00163B8D">
        <w:rPr>
          <w:color w:val="auto"/>
        </w:rPr>
        <w:t>pTRE</w:t>
      </w:r>
      <w:proofErr w:type="spellEnd"/>
      <w:r w:rsidRPr="00163B8D">
        <w:rPr>
          <w:color w:val="auto"/>
        </w:rPr>
        <w:t>-</w:t>
      </w:r>
      <w:r w:rsidR="00112829" w:rsidRPr="00163B8D">
        <w:rPr>
          <w:color w:val="auto"/>
        </w:rPr>
        <w:t xml:space="preserve">Tight </w:t>
      </w:r>
      <w:r w:rsidRPr="00163B8D">
        <w:rPr>
          <w:color w:val="auto"/>
        </w:rPr>
        <w:t xml:space="preserve">plasmid </w:t>
      </w:r>
      <w:r w:rsidR="00743152" w:rsidRPr="00163B8D">
        <w:rPr>
          <w:color w:val="auto"/>
        </w:rPr>
        <w:t>en</w:t>
      </w:r>
      <w:r w:rsidRPr="00163B8D">
        <w:rPr>
          <w:color w:val="auto"/>
        </w:rPr>
        <w:t xml:space="preserve">coding αENaC cDNA bearing a V5 epitope upstream of its open reading frame and </w:t>
      </w:r>
      <w:r w:rsidR="00743152" w:rsidRPr="00163B8D">
        <w:rPr>
          <w:color w:val="auto"/>
        </w:rPr>
        <w:t xml:space="preserve">a </w:t>
      </w:r>
      <w:r w:rsidRPr="00163B8D">
        <w:rPr>
          <w:color w:val="auto"/>
        </w:rPr>
        <w:t>complete 3’</w:t>
      </w:r>
      <w:r w:rsidR="00743152" w:rsidRPr="00163B8D">
        <w:rPr>
          <w:color w:val="auto"/>
        </w:rPr>
        <w:t xml:space="preserve"> </w:t>
      </w:r>
      <w:r w:rsidRPr="00163B8D">
        <w:rPr>
          <w:color w:val="auto"/>
        </w:rPr>
        <w:t xml:space="preserve">UTR sequence. The expression of V5-αENaC and </w:t>
      </w:r>
      <w:proofErr w:type="spellStart"/>
      <w:r w:rsidRPr="00163B8D">
        <w:rPr>
          <w:color w:val="auto"/>
        </w:rPr>
        <w:t>tTA</w:t>
      </w:r>
      <w:proofErr w:type="spellEnd"/>
      <w:r w:rsidRPr="00163B8D">
        <w:rPr>
          <w:color w:val="auto"/>
        </w:rPr>
        <w:t xml:space="preserve">-Ad mRNAs was measured by quantitative RT-PCR </w:t>
      </w:r>
      <w:r w:rsidR="00743152" w:rsidRPr="00163B8D">
        <w:rPr>
          <w:color w:val="auto"/>
        </w:rPr>
        <w:t xml:space="preserve">in </w:t>
      </w:r>
      <w:r w:rsidRPr="00163B8D">
        <w:rPr>
          <w:color w:val="auto"/>
        </w:rPr>
        <w:t>untreated cells. (</w:t>
      </w:r>
      <w:r w:rsidRPr="00163B8D">
        <w:rPr>
          <w:b/>
          <w:bCs/>
          <w:color w:val="auto"/>
        </w:rPr>
        <w:t>A</w:t>
      </w:r>
      <w:r w:rsidRPr="00163B8D">
        <w:rPr>
          <w:color w:val="auto"/>
        </w:rPr>
        <w:t>) The delta</w:t>
      </w:r>
      <w:r w:rsidR="00743152" w:rsidRPr="00163B8D">
        <w:rPr>
          <w:color w:val="auto"/>
        </w:rPr>
        <w:t>-</w:t>
      </w:r>
      <w:r w:rsidRPr="00163B8D">
        <w:rPr>
          <w:color w:val="auto"/>
        </w:rPr>
        <w:t>normalized SYBR Green fluorescent signal</w:t>
      </w:r>
      <w:r w:rsidR="00743152" w:rsidRPr="00163B8D">
        <w:rPr>
          <w:color w:val="auto"/>
        </w:rPr>
        <w:t>s</w:t>
      </w:r>
      <w:r w:rsidRPr="00163B8D">
        <w:rPr>
          <w:color w:val="auto"/>
        </w:rPr>
        <w:t xml:space="preserve"> (</w:t>
      </w:r>
      <w:proofErr w:type="spellStart"/>
      <w:r w:rsidRPr="00163B8D">
        <w:rPr>
          <w:color w:val="auto"/>
        </w:rPr>
        <w:t>ΔRn</w:t>
      </w:r>
      <w:proofErr w:type="spellEnd"/>
      <w:r w:rsidRPr="00163B8D">
        <w:rPr>
          <w:color w:val="auto"/>
        </w:rPr>
        <w:t xml:space="preserve">) of V5-αENaC and </w:t>
      </w:r>
      <w:proofErr w:type="spellStart"/>
      <w:r w:rsidRPr="00163B8D">
        <w:rPr>
          <w:color w:val="auto"/>
        </w:rPr>
        <w:t>tTA</w:t>
      </w:r>
      <w:proofErr w:type="spellEnd"/>
      <w:r w:rsidRPr="00163B8D">
        <w:rPr>
          <w:color w:val="auto"/>
        </w:rPr>
        <w:t>-Ad from two separate transfections (R1 and R2) are depicted. (</w:t>
      </w:r>
      <w:r w:rsidRPr="00163B8D">
        <w:rPr>
          <w:b/>
          <w:bCs/>
          <w:color w:val="auto"/>
        </w:rPr>
        <w:t>B</w:t>
      </w:r>
      <w:r w:rsidRPr="00163B8D">
        <w:rPr>
          <w:color w:val="auto"/>
        </w:rPr>
        <w:t xml:space="preserve">) Left graph: mRNA expression of V5-αENaC and </w:t>
      </w:r>
      <w:proofErr w:type="spellStart"/>
      <w:r w:rsidRPr="00163B8D">
        <w:rPr>
          <w:color w:val="auto"/>
        </w:rPr>
        <w:t>tTA</w:t>
      </w:r>
      <w:proofErr w:type="spellEnd"/>
      <w:r w:rsidRPr="00163B8D">
        <w:rPr>
          <w:color w:val="auto"/>
        </w:rPr>
        <w:t xml:space="preserve">-Ad </w:t>
      </w:r>
      <w:r w:rsidR="00743152" w:rsidRPr="00163B8D">
        <w:rPr>
          <w:color w:val="auto"/>
        </w:rPr>
        <w:t xml:space="preserve">in </w:t>
      </w:r>
      <w:r w:rsidRPr="00163B8D">
        <w:rPr>
          <w:color w:val="auto"/>
        </w:rPr>
        <w:t xml:space="preserve">each experiment (R1 and R2) are expressed as </w:t>
      </w:r>
      <w:r w:rsidR="00743152" w:rsidRPr="00163B8D">
        <w:rPr>
          <w:color w:val="auto"/>
        </w:rPr>
        <w:t xml:space="preserve">the </w:t>
      </w:r>
      <w:r w:rsidRPr="00163B8D">
        <w:rPr>
          <w:color w:val="auto"/>
        </w:rPr>
        <w:t>cycle quantification value (</w:t>
      </w:r>
      <w:proofErr w:type="spellStart"/>
      <w:r w:rsidRPr="00163B8D">
        <w:rPr>
          <w:color w:val="auto"/>
        </w:rPr>
        <w:t>Cq</w:t>
      </w:r>
      <w:proofErr w:type="spellEnd"/>
      <w:r w:rsidRPr="00163B8D">
        <w:rPr>
          <w:color w:val="auto"/>
        </w:rPr>
        <w:t xml:space="preserve">). The difference between V5-αENaC and </w:t>
      </w:r>
      <w:proofErr w:type="spellStart"/>
      <w:r w:rsidRPr="00163B8D">
        <w:rPr>
          <w:color w:val="auto"/>
        </w:rPr>
        <w:t>tTA</w:t>
      </w:r>
      <w:proofErr w:type="spellEnd"/>
      <w:r w:rsidRPr="00163B8D">
        <w:rPr>
          <w:color w:val="auto"/>
        </w:rPr>
        <w:t>-Ad mRNA expression (</w:t>
      </w:r>
      <w:proofErr w:type="spellStart"/>
      <w:r w:rsidRPr="00163B8D">
        <w:rPr>
          <w:color w:val="auto"/>
        </w:rPr>
        <w:t>ΔCq</w:t>
      </w:r>
      <w:proofErr w:type="spellEnd"/>
      <w:r w:rsidRPr="00163B8D">
        <w:rPr>
          <w:color w:val="auto"/>
        </w:rPr>
        <w:t xml:space="preserve">) is presented. </w:t>
      </w:r>
      <w:r w:rsidRPr="00163B8D">
        <w:rPr>
          <w:color w:val="auto"/>
        </w:rPr>
        <w:lastRenderedPageBreak/>
        <w:t xml:space="preserve">Right graph: Using </w:t>
      </w:r>
      <w:proofErr w:type="spellStart"/>
      <w:r w:rsidRPr="00163B8D">
        <w:rPr>
          <w:color w:val="auto"/>
        </w:rPr>
        <w:t>tTA</w:t>
      </w:r>
      <w:proofErr w:type="spellEnd"/>
      <w:r w:rsidRPr="00163B8D">
        <w:rPr>
          <w:color w:val="auto"/>
        </w:rPr>
        <w:t xml:space="preserve">-Ad mRNA in place of </w:t>
      </w:r>
      <w:r w:rsidR="00743152" w:rsidRPr="00163B8D">
        <w:rPr>
          <w:color w:val="auto"/>
        </w:rPr>
        <w:t xml:space="preserve">the </w:t>
      </w:r>
      <w:r w:rsidRPr="00163B8D">
        <w:rPr>
          <w:color w:val="auto"/>
        </w:rPr>
        <w:t xml:space="preserve">housekeeping gene allows </w:t>
      </w:r>
      <w:r w:rsidR="00743152" w:rsidRPr="00163B8D">
        <w:rPr>
          <w:color w:val="auto"/>
        </w:rPr>
        <w:t xml:space="preserve">the </w:t>
      </w:r>
      <w:r w:rsidRPr="00163B8D">
        <w:rPr>
          <w:color w:val="auto"/>
        </w:rPr>
        <w:t xml:space="preserve">efficient normalization of the expression of </w:t>
      </w:r>
      <w:r w:rsidR="00743152" w:rsidRPr="00163B8D">
        <w:rPr>
          <w:color w:val="auto"/>
        </w:rPr>
        <w:t xml:space="preserve">the </w:t>
      </w:r>
      <w:r w:rsidRPr="00163B8D">
        <w:rPr>
          <w:color w:val="auto"/>
        </w:rPr>
        <w:t>GOI</w:t>
      </w:r>
      <w:r w:rsidR="00743152" w:rsidRPr="00163B8D">
        <w:rPr>
          <w:color w:val="auto"/>
        </w:rPr>
        <w:t>, which</w:t>
      </w:r>
      <w:r w:rsidRPr="00163B8D">
        <w:rPr>
          <w:color w:val="auto"/>
        </w:rPr>
        <w:t xml:space="preserve"> </w:t>
      </w:r>
      <w:r w:rsidR="00743152" w:rsidRPr="00163B8D">
        <w:rPr>
          <w:color w:val="auto"/>
        </w:rPr>
        <w:t>showed a</w:t>
      </w:r>
      <w:r w:rsidRPr="00163B8D">
        <w:rPr>
          <w:color w:val="auto"/>
        </w:rPr>
        <w:t xml:space="preserve"> relative expression of 0.98 </w:t>
      </w:r>
      <w:r w:rsidR="00743152" w:rsidRPr="00163B8D">
        <w:rPr>
          <w:color w:val="auto"/>
        </w:rPr>
        <w:t xml:space="preserve">in </w:t>
      </w:r>
      <w:r w:rsidRPr="00163B8D">
        <w:rPr>
          <w:color w:val="auto"/>
        </w:rPr>
        <w:t>R1 compared to</w:t>
      </w:r>
      <w:r w:rsidR="00743152" w:rsidRPr="00163B8D">
        <w:rPr>
          <w:color w:val="auto"/>
        </w:rPr>
        <w:t xml:space="preserve"> that in</w:t>
      </w:r>
      <w:r w:rsidRPr="00163B8D">
        <w:rPr>
          <w:color w:val="auto"/>
        </w:rPr>
        <w:t xml:space="preserve"> R2.</w:t>
      </w:r>
    </w:p>
    <w:p w14:paraId="35825189" w14:textId="77777777" w:rsidR="00345229" w:rsidRPr="00163B8D" w:rsidRDefault="00345229" w:rsidP="00407434">
      <w:pPr>
        <w:rPr>
          <w:color w:val="auto"/>
        </w:rPr>
      </w:pPr>
    </w:p>
    <w:p w14:paraId="637ED5BA" w14:textId="0860CE98" w:rsidR="00345229" w:rsidRPr="00163B8D" w:rsidRDefault="00AF43F7" w:rsidP="00407434">
      <w:pPr>
        <w:rPr>
          <w:color w:val="auto"/>
        </w:rPr>
      </w:pPr>
      <w:r w:rsidRPr="00163B8D">
        <w:rPr>
          <w:b/>
          <w:bCs/>
          <w:color w:val="auto"/>
        </w:rPr>
        <w:t>Figure 4</w:t>
      </w:r>
      <w:r w:rsidR="00E420FB">
        <w:rPr>
          <w:b/>
          <w:bCs/>
          <w:color w:val="auto"/>
        </w:rPr>
        <w:t>:</w:t>
      </w:r>
      <w:r w:rsidRPr="00163B8D">
        <w:rPr>
          <w:b/>
          <w:bCs/>
          <w:color w:val="auto"/>
        </w:rPr>
        <w:t xml:space="preserve"> Degradation kinetics of V5-αENaC mRNA </w:t>
      </w:r>
      <w:r w:rsidR="006145A0" w:rsidRPr="00163B8D">
        <w:rPr>
          <w:b/>
          <w:bCs/>
          <w:color w:val="auto"/>
        </w:rPr>
        <w:t xml:space="preserve">when using </w:t>
      </w:r>
      <w:r w:rsidRPr="00163B8D">
        <w:rPr>
          <w:b/>
          <w:bCs/>
          <w:color w:val="auto"/>
        </w:rPr>
        <w:t xml:space="preserve">the transcriptionally controlled plasmid expression system in the presence and absence of </w:t>
      </w:r>
      <w:r w:rsidR="006145A0" w:rsidRPr="00163B8D">
        <w:rPr>
          <w:b/>
          <w:bCs/>
          <w:color w:val="auto"/>
        </w:rPr>
        <w:t>a</w:t>
      </w:r>
      <w:r w:rsidRPr="00163B8D">
        <w:rPr>
          <w:b/>
          <w:bCs/>
          <w:color w:val="auto"/>
        </w:rPr>
        <w:t>ctinomycin D</w:t>
      </w:r>
      <w:r w:rsidRPr="00EF4B5E">
        <w:rPr>
          <w:b/>
          <w:bCs/>
          <w:color w:val="auto"/>
        </w:rPr>
        <w:t>.</w:t>
      </w:r>
      <w:r w:rsidRPr="00163B8D">
        <w:rPr>
          <w:color w:val="auto"/>
        </w:rPr>
        <w:t xml:space="preserve"> Primary alveolar epithelial cells were transiently </w:t>
      </w:r>
      <w:proofErr w:type="spellStart"/>
      <w:r w:rsidRPr="00163B8D">
        <w:rPr>
          <w:color w:val="auto"/>
        </w:rPr>
        <w:t>cotransfected</w:t>
      </w:r>
      <w:proofErr w:type="spellEnd"/>
      <w:r w:rsidRPr="00163B8D">
        <w:rPr>
          <w:color w:val="auto"/>
        </w:rPr>
        <w:t xml:space="preserve"> with the </w:t>
      </w:r>
      <w:proofErr w:type="spellStart"/>
      <w:r w:rsidRPr="00163B8D">
        <w:rPr>
          <w:color w:val="auto"/>
        </w:rPr>
        <w:t>pTet</w:t>
      </w:r>
      <w:proofErr w:type="spellEnd"/>
      <w:r w:rsidRPr="00163B8D">
        <w:rPr>
          <w:color w:val="auto"/>
        </w:rPr>
        <w:t xml:space="preserve">-Off plasmid and the </w:t>
      </w:r>
      <w:proofErr w:type="spellStart"/>
      <w:r w:rsidRPr="00163B8D">
        <w:rPr>
          <w:color w:val="auto"/>
        </w:rPr>
        <w:t>pTRE</w:t>
      </w:r>
      <w:proofErr w:type="spellEnd"/>
      <w:r w:rsidRPr="00163B8D">
        <w:rPr>
          <w:color w:val="auto"/>
        </w:rPr>
        <w:t xml:space="preserve">-tight plasmid </w:t>
      </w:r>
      <w:r w:rsidR="006145A0" w:rsidRPr="00163B8D">
        <w:rPr>
          <w:color w:val="auto"/>
        </w:rPr>
        <w:t>en</w:t>
      </w:r>
      <w:r w:rsidRPr="00163B8D">
        <w:rPr>
          <w:color w:val="auto"/>
        </w:rPr>
        <w:t>coding αENaC cDNA bearing a V5 epitope upstream of its open reading frame and complete 3’</w:t>
      </w:r>
      <w:r w:rsidR="006145A0" w:rsidRPr="00163B8D">
        <w:rPr>
          <w:color w:val="auto"/>
        </w:rPr>
        <w:t xml:space="preserve"> </w:t>
      </w:r>
      <w:r w:rsidRPr="00163B8D">
        <w:rPr>
          <w:color w:val="auto"/>
        </w:rPr>
        <w:t xml:space="preserve">UTR sequences. </w:t>
      </w:r>
      <w:r w:rsidR="006145A0" w:rsidRPr="00163B8D">
        <w:rPr>
          <w:color w:val="auto"/>
        </w:rPr>
        <w:t>C</w:t>
      </w:r>
      <w:r w:rsidRPr="00163B8D">
        <w:rPr>
          <w:color w:val="auto"/>
        </w:rPr>
        <w:t xml:space="preserve">ells pretreated or </w:t>
      </w:r>
      <w:r w:rsidR="006145A0" w:rsidRPr="00163B8D">
        <w:rPr>
          <w:color w:val="auto"/>
        </w:rPr>
        <w:t xml:space="preserve">untreated </w:t>
      </w:r>
      <w:r w:rsidRPr="00163B8D">
        <w:rPr>
          <w:color w:val="auto"/>
        </w:rPr>
        <w:t xml:space="preserve">with </w:t>
      </w:r>
      <w:r w:rsidR="006145A0" w:rsidRPr="00163B8D">
        <w:rPr>
          <w:color w:val="auto"/>
        </w:rPr>
        <w:t>a</w:t>
      </w:r>
      <w:r w:rsidRPr="00163B8D">
        <w:rPr>
          <w:color w:val="auto"/>
        </w:rPr>
        <w:t xml:space="preserve">ctinomycin D (5.0 </w:t>
      </w:r>
      <w:r w:rsidR="008F3D50">
        <w:rPr>
          <w:color w:val="auto"/>
        </w:rPr>
        <w:t>µ</w:t>
      </w:r>
      <w:r w:rsidRPr="00163B8D">
        <w:rPr>
          <w:color w:val="auto"/>
        </w:rPr>
        <w:t xml:space="preserve">g/mL) for 30 </w:t>
      </w:r>
      <w:r w:rsidR="00362D8B">
        <w:rPr>
          <w:color w:val="auto"/>
        </w:rPr>
        <w:t>min</w:t>
      </w:r>
      <w:r w:rsidRPr="00163B8D">
        <w:rPr>
          <w:color w:val="auto"/>
        </w:rPr>
        <w:t xml:space="preserve"> were incubated thereafter with doxycycline (1.0 </w:t>
      </w:r>
      <w:r w:rsidR="008F3D50">
        <w:rPr>
          <w:color w:val="auto"/>
        </w:rPr>
        <w:t>µ</w:t>
      </w:r>
      <w:r w:rsidRPr="00163B8D">
        <w:rPr>
          <w:color w:val="auto"/>
        </w:rPr>
        <w:t xml:space="preserve">g/mL) </w:t>
      </w:r>
      <w:r w:rsidR="006145A0" w:rsidRPr="00163B8D">
        <w:rPr>
          <w:color w:val="auto"/>
        </w:rPr>
        <w:t xml:space="preserve">for </w:t>
      </w:r>
      <w:r w:rsidRPr="00163B8D">
        <w:rPr>
          <w:color w:val="auto"/>
        </w:rPr>
        <w:t xml:space="preserve">15 </w:t>
      </w:r>
      <w:r w:rsidR="00362D8B">
        <w:rPr>
          <w:color w:val="auto"/>
        </w:rPr>
        <w:t>min</w:t>
      </w:r>
      <w:r w:rsidR="00E420FB" w:rsidRPr="00861CB3">
        <w:rPr>
          <w:color w:val="auto"/>
        </w:rPr>
        <w:t>–</w:t>
      </w:r>
      <w:r w:rsidRPr="00163B8D">
        <w:rPr>
          <w:color w:val="auto"/>
        </w:rPr>
        <w:t xml:space="preserve">6 h. Expression of V5-αENaC mRNA was measured by quantitative RT-PCR and presented as </w:t>
      </w:r>
      <w:r w:rsidR="006145A0" w:rsidRPr="00163B8D">
        <w:rPr>
          <w:color w:val="auto"/>
        </w:rPr>
        <w:t xml:space="preserve">the </w:t>
      </w:r>
      <w:r w:rsidRPr="00163B8D">
        <w:rPr>
          <w:color w:val="auto"/>
        </w:rPr>
        <w:t xml:space="preserve">percentage ± SEM of V5-αENaC mRNA expression </w:t>
      </w:r>
      <w:r w:rsidR="006145A0" w:rsidRPr="00163B8D">
        <w:rPr>
          <w:color w:val="auto"/>
        </w:rPr>
        <w:t xml:space="preserve">in </w:t>
      </w:r>
      <w:r w:rsidRPr="00163B8D">
        <w:rPr>
          <w:color w:val="auto"/>
        </w:rPr>
        <w:t>untreated cells (t</w:t>
      </w:r>
      <w:r w:rsidR="00E420FB">
        <w:rPr>
          <w:color w:val="auto"/>
        </w:rPr>
        <w:t xml:space="preserve"> </w:t>
      </w:r>
      <w:r w:rsidRPr="00163B8D">
        <w:rPr>
          <w:color w:val="auto"/>
        </w:rPr>
        <w:t>=</w:t>
      </w:r>
      <w:r w:rsidR="00E420FB">
        <w:rPr>
          <w:color w:val="auto"/>
        </w:rPr>
        <w:t xml:space="preserve"> </w:t>
      </w:r>
      <w:r w:rsidRPr="00163B8D">
        <w:rPr>
          <w:color w:val="auto"/>
        </w:rPr>
        <w:t xml:space="preserve">0) after normalization </w:t>
      </w:r>
      <w:r w:rsidR="006145A0" w:rsidRPr="00163B8D">
        <w:rPr>
          <w:color w:val="auto"/>
        </w:rPr>
        <w:t xml:space="preserve">according to the expression of </w:t>
      </w:r>
      <w:proofErr w:type="spellStart"/>
      <w:r w:rsidRPr="00163B8D">
        <w:rPr>
          <w:color w:val="auto"/>
        </w:rPr>
        <w:t>tTA</w:t>
      </w:r>
      <w:proofErr w:type="spellEnd"/>
      <w:r w:rsidRPr="00163B8D">
        <w:rPr>
          <w:color w:val="auto"/>
        </w:rPr>
        <w:t xml:space="preserve">-Ad. </w:t>
      </w:r>
      <w:r w:rsidR="006145A0" w:rsidRPr="00163B8D">
        <w:rPr>
          <w:color w:val="auto"/>
        </w:rPr>
        <w:t xml:space="preserve">The </w:t>
      </w:r>
      <w:r w:rsidRPr="00163B8D">
        <w:rPr>
          <w:color w:val="auto"/>
        </w:rPr>
        <w:t xml:space="preserve">V5-αENaC mRNA half-life was estimated by one-phase decay nonlinear regression for each cell preparation. Multiple regression analysis revealed a statistically significant difference in V5-αENaC mRNA stability in cells treated with </w:t>
      </w:r>
      <w:r w:rsidR="006145A0" w:rsidRPr="00163B8D">
        <w:rPr>
          <w:color w:val="auto"/>
        </w:rPr>
        <w:t xml:space="preserve">actinomycin </w:t>
      </w:r>
      <w:r w:rsidRPr="00163B8D">
        <w:rPr>
          <w:color w:val="auto"/>
        </w:rPr>
        <w:t xml:space="preserve">D compared </w:t>
      </w:r>
      <w:r w:rsidR="006145A0" w:rsidRPr="00163B8D">
        <w:rPr>
          <w:color w:val="auto"/>
        </w:rPr>
        <w:t>with that in</w:t>
      </w:r>
      <w:r w:rsidRPr="00163B8D">
        <w:rPr>
          <w:color w:val="auto"/>
        </w:rPr>
        <w:t xml:space="preserve"> untreated cells (</w:t>
      </w:r>
      <w:r w:rsidR="00E420FB" w:rsidRPr="00163B8D">
        <w:rPr>
          <w:color w:val="auto"/>
        </w:rPr>
        <w:t>p</w:t>
      </w:r>
      <w:r w:rsidR="00E420FB">
        <w:rPr>
          <w:color w:val="auto"/>
        </w:rPr>
        <w:t xml:space="preserve"> </w:t>
      </w:r>
      <w:r w:rsidRPr="00163B8D">
        <w:rPr>
          <w:color w:val="auto"/>
        </w:rPr>
        <w:t>&lt;</w:t>
      </w:r>
      <w:r w:rsidR="00E420FB">
        <w:rPr>
          <w:color w:val="auto"/>
        </w:rPr>
        <w:t xml:space="preserve"> </w:t>
      </w:r>
      <w:r w:rsidRPr="00163B8D">
        <w:rPr>
          <w:color w:val="auto"/>
        </w:rPr>
        <w:t>0.0001). Cells from at least four different rats (n</w:t>
      </w:r>
      <w:r w:rsidR="00E420FB">
        <w:rPr>
          <w:color w:val="auto"/>
        </w:rPr>
        <w:t xml:space="preserve"> </w:t>
      </w:r>
      <w:r w:rsidRPr="00163B8D">
        <w:rPr>
          <w:color w:val="auto"/>
        </w:rPr>
        <w:t>≥</w:t>
      </w:r>
      <w:r w:rsidR="00E420FB">
        <w:rPr>
          <w:color w:val="auto"/>
        </w:rPr>
        <w:t xml:space="preserve"> </w:t>
      </w:r>
      <w:r w:rsidRPr="00163B8D">
        <w:rPr>
          <w:color w:val="auto"/>
        </w:rPr>
        <w:t xml:space="preserve">4) were used for each experimental condition. Previously published as </w:t>
      </w:r>
      <w:r w:rsidR="00740733" w:rsidRPr="00EF4B5E">
        <w:rPr>
          <w:color w:val="auto"/>
        </w:rPr>
        <w:t>Figure</w:t>
      </w:r>
      <w:r w:rsidRPr="00163B8D">
        <w:rPr>
          <w:color w:val="auto"/>
        </w:rPr>
        <w:t xml:space="preserve"> 1 in </w:t>
      </w:r>
      <w:proofErr w:type="spellStart"/>
      <w:r w:rsidRPr="00163B8D">
        <w:rPr>
          <w:color w:val="auto"/>
        </w:rPr>
        <w:t>Migneault</w:t>
      </w:r>
      <w:proofErr w:type="spellEnd"/>
      <w:r w:rsidRPr="00163B8D">
        <w:rPr>
          <w:color w:val="auto"/>
        </w:rPr>
        <w:t xml:space="preserve"> </w:t>
      </w:r>
      <w:r w:rsidRPr="00EF4B5E">
        <w:rPr>
          <w:color w:val="auto"/>
        </w:rPr>
        <w:t>et al</w:t>
      </w:r>
      <w:r w:rsidRPr="00861CB3">
        <w:rPr>
          <w:color w:val="auto"/>
        </w:rPr>
        <w:t>.</w:t>
      </w:r>
      <w:r w:rsidR="009C472A" w:rsidRPr="00163B8D">
        <w:rPr>
          <w:color w:val="auto"/>
          <w:vertAlign w:val="superscript"/>
        </w:rPr>
        <w:t>2</w:t>
      </w:r>
      <w:r w:rsidR="0005486A">
        <w:rPr>
          <w:color w:val="auto"/>
          <w:vertAlign w:val="superscript"/>
        </w:rPr>
        <w:t>4</w:t>
      </w:r>
      <w:r w:rsidRPr="00163B8D">
        <w:rPr>
          <w:color w:val="auto"/>
        </w:rPr>
        <w:t>.</w:t>
      </w:r>
    </w:p>
    <w:p w14:paraId="13DA1C10" w14:textId="77777777" w:rsidR="00345229" w:rsidRPr="00163B8D" w:rsidRDefault="00345229" w:rsidP="00407434">
      <w:pPr>
        <w:rPr>
          <w:color w:val="auto"/>
        </w:rPr>
      </w:pPr>
    </w:p>
    <w:p w14:paraId="31733CF9" w14:textId="303CD927" w:rsidR="00345229" w:rsidRPr="00163B8D" w:rsidRDefault="00AF43F7" w:rsidP="00407434">
      <w:pPr>
        <w:rPr>
          <w:color w:val="auto"/>
        </w:rPr>
      </w:pPr>
      <w:r w:rsidRPr="00163B8D">
        <w:rPr>
          <w:b/>
          <w:bCs/>
          <w:color w:val="auto"/>
        </w:rPr>
        <w:t>Figure 5</w:t>
      </w:r>
      <w:r w:rsidR="00E420FB">
        <w:rPr>
          <w:b/>
          <w:bCs/>
          <w:color w:val="auto"/>
        </w:rPr>
        <w:t>:</w:t>
      </w:r>
      <w:r w:rsidRPr="00163B8D">
        <w:rPr>
          <w:b/>
          <w:bCs/>
          <w:color w:val="auto"/>
        </w:rPr>
        <w:t xml:space="preserve"> Modulation of V5-αENaC mRNA stability by different cellular and inflammatory stresses. </w:t>
      </w:r>
      <w:r w:rsidRPr="00163B8D">
        <w:rPr>
          <w:color w:val="auto"/>
        </w:rPr>
        <w:t xml:space="preserve">Primary alveolar epithelial cells were transiently </w:t>
      </w:r>
      <w:proofErr w:type="spellStart"/>
      <w:r w:rsidRPr="00163B8D">
        <w:rPr>
          <w:color w:val="auto"/>
        </w:rPr>
        <w:t>cotransfected</w:t>
      </w:r>
      <w:proofErr w:type="spellEnd"/>
      <w:r w:rsidRPr="00163B8D">
        <w:rPr>
          <w:color w:val="auto"/>
        </w:rPr>
        <w:t xml:space="preserve"> with the </w:t>
      </w:r>
      <w:proofErr w:type="spellStart"/>
      <w:r w:rsidRPr="00163B8D">
        <w:rPr>
          <w:color w:val="auto"/>
        </w:rPr>
        <w:t>pTet</w:t>
      </w:r>
      <w:proofErr w:type="spellEnd"/>
      <w:r w:rsidRPr="00163B8D">
        <w:rPr>
          <w:color w:val="auto"/>
        </w:rPr>
        <w:t xml:space="preserve">-Off plasmid and the </w:t>
      </w:r>
      <w:proofErr w:type="spellStart"/>
      <w:r w:rsidRPr="00163B8D">
        <w:rPr>
          <w:color w:val="auto"/>
        </w:rPr>
        <w:t>pTRE</w:t>
      </w:r>
      <w:proofErr w:type="spellEnd"/>
      <w:r w:rsidRPr="00163B8D">
        <w:rPr>
          <w:color w:val="auto"/>
        </w:rPr>
        <w:t xml:space="preserve">-tight plasmid </w:t>
      </w:r>
      <w:r w:rsidR="006145A0" w:rsidRPr="00163B8D">
        <w:rPr>
          <w:color w:val="auto"/>
        </w:rPr>
        <w:t>en</w:t>
      </w:r>
      <w:r w:rsidRPr="00163B8D">
        <w:rPr>
          <w:color w:val="auto"/>
        </w:rPr>
        <w:t xml:space="preserve">coding αENaC cDNA bearing a V5 epitope upstream of its open reading frame and complete </w:t>
      </w:r>
      <w:r w:rsidR="00DB731E" w:rsidRPr="00163B8D">
        <w:rPr>
          <w:rFonts w:asciiTheme="minorHAnsi" w:hAnsiTheme="minorHAnsi" w:cstheme="minorHAnsi"/>
          <w:color w:val="auto"/>
        </w:rPr>
        <w:t>3’ UTR</w:t>
      </w:r>
      <w:r w:rsidRPr="00163B8D">
        <w:rPr>
          <w:color w:val="auto"/>
        </w:rPr>
        <w:t xml:space="preserve"> sequences. The cells were pretreated for 30 </w:t>
      </w:r>
      <w:r w:rsidR="00362D8B">
        <w:rPr>
          <w:color w:val="auto"/>
        </w:rPr>
        <w:t>min</w:t>
      </w:r>
      <w:r w:rsidRPr="00163B8D">
        <w:rPr>
          <w:color w:val="auto"/>
        </w:rPr>
        <w:t xml:space="preserve"> with </w:t>
      </w:r>
      <w:r w:rsidR="006145A0" w:rsidRPr="00163B8D">
        <w:rPr>
          <w:color w:val="auto"/>
        </w:rPr>
        <w:t xml:space="preserve">1.0 </w:t>
      </w:r>
      <w:proofErr w:type="spellStart"/>
      <w:r w:rsidR="006145A0" w:rsidRPr="00163B8D">
        <w:rPr>
          <w:color w:val="auto"/>
        </w:rPr>
        <w:t>μM</w:t>
      </w:r>
      <w:proofErr w:type="spellEnd"/>
      <w:r w:rsidR="006145A0" w:rsidRPr="00163B8D">
        <w:rPr>
          <w:color w:val="auto"/>
        </w:rPr>
        <w:t xml:space="preserve"> </w:t>
      </w:r>
      <w:r w:rsidRPr="00163B8D">
        <w:rPr>
          <w:color w:val="auto"/>
        </w:rPr>
        <w:t>cycloheximide (CHX) (</w:t>
      </w:r>
      <w:r w:rsidRPr="00EF4B5E">
        <w:rPr>
          <w:b/>
          <w:bCs/>
          <w:color w:val="auto"/>
        </w:rPr>
        <w:t>A</w:t>
      </w:r>
      <w:r w:rsidRPr="00163B8D">
        <w:rPr>
          <w:color w:val="auto"/>
        </w:rPr>
        <w:t>)</w:t>
      </w:r>
      <w:r w:rsidR="006145A0" w:rsidRPr="00163B8D">
        <w:rPr>
          <w:color w:val="auto"/>
        </w:rPr>
        <w:t xml:space="preserve"> or</w:t>
      </w:r>
      <w:r w:rsidRPr="00163B8D">
        <w:rPr>
          <w:color w:val="auto"/>
        </w:rPr>
        <w:t xml:space="preserve"> 15 </w:t>
      </w:r>
      <w:proofErr w:type="spellStart"/>
      <w:r w:rsidRPr="00163B8D">
        <w:rPr>
          <w:color w:val="auto"/>
        </w:rPr>
        <w:t>μg</w:t>
      </w:r>
      <w:proofErr w:type="spellEnd"/>
      <w:r w:rsidRPr="00163B8D">
        <w:rPr>
          <w:color w:val="auto"/>
        </w:rPr>
        <w:t xml:space="preserve">/mL </w:t>
      </w:r>
      <w:r w:rsidR="006145A0" w:rsidRPr="00163B8D">
        <w:rPr>
          <w:color w:val="auto"/>
        </w:rPr>
        <w:t xml:space="preserve">LPS </w:t>
      </w:r>
      <w:r w:rsidRPr="00163B8D">
        <w:rPr>
          <w:color w:val="auto"/>
        </w:rPr>
        <w:t>(</w:t>
      </w:r>
      <w:r w:rsidRPr="00EF4B5E">
        <w:rPr>
          <w:b/>
          <w:bCs/>
          <w:color w:val="auto"/>
        </w:rPr>
        <w:t>B</w:t>
      </w:r>
      <w:r w:rsidRPr="00163B8D">
        <w:rPr>
          <w:color w:val="auto"/>
        </w:rPr>
        <w:t xml:space="preserve">) or for 5 h with </w:t>
      </w:r>
      <w:r w:rsidR="006145A0" w:rsidRPr="00163B8D">
        <w:rPr>
          <w:color w:val="auto"/>
        </w:rPr>
        <w:t xml:space="preserve">100 ng/mL </w:t>
      </w:r>
      <w:r w:rsidRPr="00163B8D">
        <w:rPr>
          <w:color w:val="auto"/>
        </w:rPr>
        <w:t>TNF-α (</w:t>
      </w:r>
      <w:r w:rsidRPr="00EF4B5E">
        <w:rPr>
          <w:b/>
          <w:bCs/>
          <w:color w:val="auto"/>
        </w:rPr>
        <w:t>C</w:t>
      </w:r>
      <w:r w:rsidRPr="00163B8D">
        <w:rPr>
          <w:color w:val="auto"/>
        </w:rPr>
        <w:t xml:space="preserve">), followed by treatment with </w:t>
      </w:r>
      <w:r w:rsidR="006145A0" w:rsidRPr="00163B8D">
        <w:rPr>
          <w:color w:val="auto"/>
        </w:rPr>
        <w:t xml:space="preserve">1.0 </w:t>
      </w:r>
      <w:proofErr w:type="spellStart"/>
      <w:r w:rsidR="006145A0" w:rsidRPr="00163B8D">
        <w:rPr>
          <w:color w:val="auto"/>
        </w:rPr>
        <w:t>μg</w:t>
      </w:r>
      <w:proofErr w:type="spellEnd"/>
      <w:r w:rsidR="006145A0" w:rsidRPr="00163B8D">
        <w:rPr>
          <w:color w:val="auto"/>
        </w:rPr>
        <w:t xml:space="preserve">/mL </w:t>
      </w:r>
      <w:r w:rsidRPr="00163B8D">
        <w:rPr>
          <w:color w:val="auto"/>
        </w:rPr>
        <w:t>doxycycline for a period of 15</w:t>
      </w:r>
      <w:r w:rsidR="00E420FB" w:rsidRPr="00861CB3">
        <w:rPr>
          <w:color w:val="auto"/>
        </w:rPr>
        <w:t>–</w:t>
      </w:r>
      <w:r w:rsidRPr="00163B8D">
        <w:rPr>
          <w:color w:val="auto"/>
        </w:rPr>
        <w:t xml:space="preserve">120 </w:t>
      </w:r>
      <w:r w:rsidR="00362D8B">
        <w:rPr>
          <w:color w:val="auto"/>
        </w:rPr>
        <w:t>min</w:t>
      </w:r>
      <w:r w:rsidRPr="00163B8D">
        <w:rPr>
          <w:color w:val="auto"/>
        </w:rPr>
        <w:t xml:space="preserve">. Expression of V5-αENaC mRNA was measured by quantitative RT-PCR and presented as </w:t>
      </w:r>
      <w:r w:rsidR="006145A0" w:rsidRPr="00163B8D">
        <w:rPr>
          <w:color w:val="auto"/>
        </w:rPr>
        <w:t xml:space="preserve">the </w:t>
      </w:r>
      <w:r w:rsidRPr="00163B8D">
        <w:rPr>
          <w:color w:val="auto"/>
        </w:rPr>
        <w:t xml:space="preserve">percentage ± SEM of V5-αENaC mRNA expression </w:t>
      </w:r>
      <w:r w:rsidR="006145A0" w:rsidRPr="00163B8D">
        <w:rPr>
          <w:color w:val="auto"/>
        </w:rPr>
        <w:t xml:space="preserve">in </w:t>
      </w:r>
      <w:r w:rsidRPr="00163B8D">
        <w:rPr>
          <w:color w:val="auto"/>
        </w:rPr>
        <w:t>untreated cells (t</w:t>
      </w:r>
      <w:r w:rsidR="00E420FB">
        <w:rPr>
          <w:color w:val="auto"/>
        </w:rPr>
        <w:t xml:space="preserve"> </w:t>
      </w:r>
      <w:r w:rsidRPr="00163B8D">
        <w:rPr>
          <w:color w:val="auto"/>
        </w:rPr>
        <w:t>=</w:t>
      </w:r>
      <w:r w:rsidR="00E420FB">
        <w:rPr>
          <w:color w:val="auto"/>
        </w:rPr>
        <w:t xml:space="preserve"> </w:t>
      </w:r>
      <w:r w:rsidRPr="00163B8D">
        <w:rPr>
          <w:color w:val="auto"/>
        </w:rPr>
        <w:t xml:space="preserve">0) after normalization </w:t>
      </w:r>
      <w:r w:rsidR="006145A0" w:rsidRPr="00163B8D">
        <w:rPr>
          <w:color w:val="auto"/>
        </w:rPr>
        <w:t xml:space="preserve">according to the expression of </w:t>
      </w:r>
      <w:proofErr w:type="spellStart"/>
      <w:r w:rsidRPr="00163B8D">
        <w:rPr>
          <w:color w:val="auto"/>
        </w:rPr>
        <w:t>tTA</w:t>
      </w:r>
      <w:proofErr w:type="spellEnd"/>
      <w:r w:rsidRPr="00163B8D">
        <w:rPr>
          <w:color w:val="auto"/>
        </w:rPr>
        <w:t>-Ad. Cells from at least three different rats (n</w:t>
      </w:r>
      <w:r w:rsidR="00E420FB">
        <w:rPr>
          <w:color w:val="auto"/>
        </w:rPr>
        <w:t xml:space="preserve"> </w:t>
      </w:r>
      <w:r w:rsidRPr="00163B8D">
        <w:rPr>
          <w:color w:val="auto"/>
        </w:rPr>
        <w:t>≥</w:t>
      </w:r>
      <w:r w:rsidR="00E420FB">
        <w:rPr>
          <w:color w:val="auto"/>
        </w:rPr>
        <w:t xml:space="preserve"> </w:t>
      </w:r>
      <w:r w:rsidRPr="00163B8D">
        <w:rPr>
          <w:color w:val="auto"/>
        </w:rPr>
        <w:t>3) were used for each experimental condition. (</w:t>
      </w:r>
      <w:r w:rsidRPr="00EF4B5E">
        <w:rPr>
          <w:b/>
          <w:bCs/>
          <w:color w:val="auto"/>
        </w:rPr>
        <w:t>D</w:t>
      </w:r>
      <w:r w:rsidRPr="00163B8D">
        <w:rPr>
          <w:color w:val="auto"/>
        </w:rPr>
        <w:t>) The half-life (t</w:t>
      </w:r>
      <w:r w:rsidRPr="00163B8D">
        <w:rPr>
          <w:color w:val="auto"/>
          <w:vertAlign w:val="subscript"/>
        </w:rPr>
        <w:t>1/2</w:t>
      </w:r>
      <w:r w:rsidRPr="00163B8D">
        <w:rPr>
          <w:color w:val="auto"/>
        </w:rPr>
        <w:t xml:space="preserve">) of V5-αENaC mRNA </w:t>
      </w:r>
      <w:r w:rsidR="006145A0" w:rsidRPr="00163B8D">
        <w:rPr>
          <w:color w:val="auto"/>
        </w:rPr>
        <w:t>in</w:t>
      </w:r>
      <w:r w:rsidRPr="00163B8D">
        <w:rPr>
          <w:color w:val="auto"/>
        </w:rPr>
        <w:t xml:space="preserve"> treated cells was compared to the half-life of mRNA </w:t>
      </w:r>
      <w:r w:rsidR="006145A0" w:rsidRPr="00163B8D">
        <w:rPr>
          <w:color w:val="auto"/>
        </w:rPr>
        <w:t xml:space="preserve">in </w:t>
      </w:r>
      <w:r w:rsidRPr="00163B8D">
        <w:rPr>
          <w:color w:val="auto"/>
        </w:rPr>
        <w:t xml:space="preserve">cells (Ctrl). </w:t>
      </w:r>
      <w:r w:rsidR="006145A0" w:rsidRPr="00163B8D">
        <w:rPr>
          <w:color w:val="auto"/>
        </w:rPr>
        <w:t>The h</w:t>
      </w:r>
      <w:r w:rsidRPr="00163B8D">
        <w:rPr>
          <w:color w:val="auto"/>
        </w:rPr>
        <w:t xml:space="preserve">alf-lives were measured </w:t>
      </w:r>
      <w:r w:rsidR="006145A0" w:rsidRPr="00163B8D">
        <w:rPr>
          <w:color w:val="auto"/>
        </w:rPr>
        <w:t xml:space="preserve">according to </w:t>
      </w:r>
      <w:r w:rsidRPr="00163B8D">
        <w:rPr>
          <w:color w:val="auto"/>
        </w:rPr>
        <w:t>the rate constant (K) of the V5-αENaC mRNA degradation curve using the equation t</w:t>
      </w:r>
      <w:r w:rsidRPr="00163B8D">
        <w:rPr>
          <w:color w:val="auto"/>
          <w:vertAlign w:val="subscript"/>
        </w:rPr>
        <w:t>1/2</w:t>
      </w:r>
      <w:r w:rsidRPr="00163B8D">
        <w:rPr>
          <w:color w:val="auto"/>
        </w:rPr>
        <w:t xml:space="preserve">= ln 2/K and then expressed </w:t>
      </w:r>
      <w:r w:rsidR="006145A0" w:rsidRPr="00163B8D">
        <w:rPr>
          <w:color w:val="auto"/>
        </w:rPr>
        <w:t xml:space="preserve">as </w:t>
      </w:r>
      <w:r w:rsidR="00362D8B">
        <w:rPr>
          <w:color w:val="auto"/>
        </w:rPr>
        <w:t>min</w:t>
      </w:r>
      <w:r w:rsidRPr="00163B8D">
        <w:rPr>
          <w:color w:val="auto"/>
        </w:rPr>
        <w:t xml:space="preserve"> ± SEM (</w:t>
      </w:r>
      <w:r w:rsidR="006145A0" w:rsidRPr="00163B8D">
        <w:rPr>
          <w:color w:val="auto"/>
        </w:rPr>
        <w:t>o</w:t>
      </w:r>
      <w:r w:rsidRPr="00163B8D">
        <w:rPr>
          <w:color w:val="auto"/>
        </w:rPr>
        <w:t xml:space="preserve">ne-way ANOVA test and Bonferroni </w:t>
      </w:r>
      <w:r w:rsidRPr="00EF4B5E">
        <w:rPr>
          <w:color w:val="auto"/>
        </w:rPr>
        <w:t>post hoc</w:t>
      </w:r>
      <w:r w:rsidRPr="00163B8D">
        <w:rPr>
          <w:color w:val="auto"/>
        </w:rPr>
        <w:t xml:space="preserve"> test; *</w:t>
      </w:r>
      <w:r w:rsidR="00E420FB" w:rsidRPr="00163B8D">
        <w:rPr>
          <w:color w:val="auto"/>
        </w:rPr>
        <w:t>p</w:t>
      </w:r>
      <w:r w:rsidR="00E420FB">
        <w:rPr>
          <w:color w:val="auto"/>
        </w:rPr>
        <w:t xml:space="preserve"> </w:t>
      </w:r>
      <w:r w:rsidRPr="00163B8D">
        <w:rPr>
          <w:color w:val="auto"/>
        </w:rPr>
        <w:t>&lt;</w:t>
      </w:r>
      <w:r w:rsidR="00E420FB">
        <w:rPr>
          <w:color w:val="auto"/>
        </w:rPr>
        <w:t xml:space="preserve"> </w:t>
      </w:r>
      <w:r w:rsidRPr="00163B8D">
        <w:rPr>
          <w:color w:val="auto"/>
        </w:rPr>
        <w:t>0.01 vs</w:t>
      </w:r>
      <w:r w:rsidR="00446552">
        <w:rPr>
          <w:color w:val="auto"/>
        </w:rPr>
        <w:t>.</w:t>
      </w:r>
      <w:r w:rsidRPr="00163B8D">
        <w:rPr>
          <w:color w:val="auto"/>
        </w:rPr>
        <w:t xml:space="preserve"> control; n</w:t>
      </w:r>
      <w:r w:rsidR="00E420FB">
        <w:rPr>
          <w:color w:val="auto"/>
        </w:rPr>
        <w:t xml:space="preserve"> </w:t>
      </w:r>
      <w:r w:rsidRPr="00163B8D">
        <w:rPr>
          <w:color w:val="auto"/>
        </w:rPr>
        <w:t>≥</w:t>
      </w:r>
      <w:r w:rsidR="00E420FB">
        <w:rPr>
          <w:color w:val="auto"/>
        </w:rPr>
        <w:t xml:space="preserve"> </w:t>
      </w:r>
      <w:r w:rsidRPr="00163B8D">
        <w:rPr>
          <w:color w:val="auto"/>
        </w:rPr>
        <w:t xml:space="preserve">3). Adapted from </w:t>
      </w:r>
      <w:r w:rsidR="00740733" w:rsidRPr="00EF4B5E">
        <w:rPr>
          <w:color w:val="auto"/>
        </w:rPr>
        <w:t>Figure</w:t>
      </w:r>
      <w:r w:rsidRPr="00821F8A">
        <w:rPr>
          <w:color w:val="auto"/>
        </w:rPr>
        <w:t xml:space="preserve"> 36</w:t>
      </w:r>
      <w:r w:rsidR="006145A0" w:rsidRPr="00163B8D">
        <w:rPr>
          <w:color w:val="auto"/>
        </w:rPr>
        <w:t xml:space="preserve"> </w:t>
      </w:r>
      <w:r w:rsidRPr="00163B8D">
        <w:rPr>
          <w:color w:val="auto"/>
        </w:rPr>
        <w:t xml:space="preserve">previously published in </w:t>
      </w:r>
      <w:proofErr w:type="spellStart"/>
      <w:r w:rsidRPr="00163B8D">
        <w:rPr>
          <w:color w:val="auto"/>
        </w:rPr>
        <w:t>Migneault</w:t>
      </w:r>
      <w:proofErr w:type="spellEnd"/>
      <w:r w:rsidRPr="00163B8D">
        <w:rPr>
          <w:color w:val="auto"/>
        </w:rPr>
        <w:t>, F.</w:t>
      </w:r>
      <w:r w:rsidR="009C472A" w:rsidRPr="00163B8D">
        <w:rPr>
          <w:color w:val="auto"/>
          <w:vertAlign w:val="superscript"/>
        </w:rPr>
        <w:t>2</w:t>
      </w:r>
      <w:r w:rsidR="0005486A">
        <w:rPr>
          <w:color w:val="auto"/>
          <w:vertAlign w:val="superscript"/>
        </w:rPr>
        <w:t>5</w:t>
      </w:r>
      <w:r w:rsidRPr="00163B8D">
        <w:rPr>
          <w:color w:val="auto"/>
        </w:rPr>
        <w:t>.</w:t>
      </w:r>
    </w:p>
    <w:p w14:paraId="2CF6E7E9" w14:textId="77777777" w:rsidR="00345229" w:rsidRPr="00163B8D" w:rsidRDefault="00345229" w:rsidP="00407434">
      <w:pPr>
        <w:rPr>
          <w:color w:val="auto"/>
        </w:rPr>
      </w:pPr>
    </w:p>
    <w:p w14:paraId="172BAC1D" w14:textId="6AC7E324" w:rsidR="00345229" w:rsidRPr="00163B8D" w:rsidRDefault="00AF43F7" w:rsidP="00407434">
      <w:pPr>
        <w:rPr>
          <w:color w:val="auto"/>
        </w:rPr>
      </w:pPr>
      <w:r w:rsidRPr="00163B8D">
        <w:rPr>
          <w:b/>
          <w:bCs/>
          <w:color w:val="auto"/>
        </w:rPr>
        <w:t>Figure 6</w:t>
      </w:r>
      <w:r w:rsidR="00E420FB">
        <w:rPr>
          <w:b/>
          <w:bCs/>
          <w:color w:val="auto"/>
        </w:rPr>
        <w:t>:</w:t>
      </w:r>
      <w:r w:rsidRPr="00163B8D">
        <w:rPr>
          <w:b/>
          <w:bCs/>
          <w:color w:val="auto"/>
        </w:rPr>
        <w:t xml:space="preserve"> </w:t>
      </w:r>
      <w:r w:rsidR="006145A0" w:rsidRPr="001A41CC">
        <w:rPr>
          <w:b/>
          <w:bCs/>
          <w:color w:val="auto"/>
        </w:rPr>
        <w:t>Use of the s</w:t>
      </w:r>
      <w:r w:rsidRPr="001A41CC">
        <w:rPr>
          <w:b/>
          <w:bCs/>
          <w:color w:val="auto"/>
        </w:rPr>
        <w:t xml:space="preserve">equential deletion cloning strategy </w:t>
      </w:r>
      <w:r w:rsidR="006145A0" w:rsidRPr="001A41CC">
        <w:rPr>
          <w:b/>
          <w:bCs/>
          <w:color w:val="auto"/>
        </w:rPr>
        <w:t>to reveal</w:t>
      </w:r>
      <w:r w:rsidRPr="001A41CC">
        <w:rPr>
          <w:b/>
          <w:bCs/>
          <w:color w:val="auto"/>
        </w:rPr>
        <w:t xml:space="preserve"> the role of different regions of the αENaC </w:t>
      </w:r>
      <w:r w:rsidR="00DB731E" w:rsidRPr="001A41CC">
        <w:rPr>
          <w:rFonts w:asciiTheme="minorHAnsi" w:hAnsiTheme="minorHAnsi" w:cstheme="minorHAnsi"/>
          <w:b/>
          <w:color w:val="auto"/>
        </w:rPr>
        <w:t>3’ UTR</w:t>
      </w:r>
      <w:r w:rsidRPr="001A41CC">
        <w:rPr>
          <w:b/>
          <w:bCs/>
          <w:color w:val="auto"/>
        </w:rPr>
        <w:t xml:space="preserve"> in the modulation of mRNA stability.</w:t>
      </w:r>
      <w:r w:rsidRPr="00163B8D">
        <w:rPr>
          <w:b/>
          <w:bCs/>
          <w:color w:val="auto"/>
        </w:rPr>
        <w:t xml:space="preserve"> </w:t>
      </w:r>
      <w:r w:rsidRPr="00163B8D">
        <w:rPr>
          <w:color w:val="auto"/>
        </w:rPr>
        <w:t>(</w:t>
      </w:r>
      <w:r w:rsidRPr="00163B8D">
        <w:rPr>
          <w:b/>
          <w:bCs/>
          <w:color w:val="auto"/>
        </w:rPr>
        <w:t>A</w:t>
      </w:r>
      <w:r w:rsidRPr="00163B8D">
        <w:rPr>
          <w:color w:val="auto"/>
        </w:rPr>
        <w:t xml:space="preserve">) Schematic map of the V5-αENaC transcript with the complete </w:t>
      </w:r>
      <w:r w:rsidR="00DB731E" w:rsidRPr="00163B8D">
        <w:rPr>
          <w:rFonts w:asciiTheme="minorHAnsi" w:hAnsiTheme="minorHAnsi" w:cstheme="minorHAnsi"/>
          <w:color w:val="auto"/>
        </w:rPr>
        <w:t>3’ UTR</w:t>
      </w:r>
      <w:r w:rsidRPr="00163B8D">
        <w:rPr>
          <w:color w:val="auto"/>
        </w:rPr>
        <w:t xml:space="preserve"> inserted in the </w:t>
      </w:r>
      <w:proofErr w:type="spellStart"/>
      <w:r w:rsidRPr="00163B8D">
        <w:rPr>
          <w:color w:val="auto"/>
        </w:rPr>
        <w:t>pTRE</w:t>
      </w:r>
      <w:proofErr w:type="spellEnd"/>
      <w:r w:rsidRPr="00163B8D">
        <w:rPr>
          <w:color w:val="auto"/>
        </w:rPr>
        <w:t xml:space="preserve">-tight expression vector. The open reading frame is depicted as a gray box, while the </w:t>
      </w:r>
      <w:r w:rsidR="00DB731E" w:rsidRPr="00163B8D">
        <w:rPr>
          <w:rFonts w:asciiTheme="minorHAnsi" w:hAnsiTheme="minorHAnsi" w:cstheme="minorHAnsi"/>
          <w:color w:val="auto"/>
        </w:rPr>
        <w:t>3’ UTR</w:t>
      </w:r>
      <w:r w:rsidRPr="00163B8D">
        <w:rPr>
          <w:color w:val="auto"/>
        </w:rPr>
        <w:t xml:space="preserve"> is shown as a white box. The 3’</w:t>
      </w:r>
      <w:r w:rsidR="006145A0" w:rsidRPr="00163B8D">
        <w:rPr>
          <w:color w:val="auto"/>
        </w:rPr>
        <w:t xml:space="preserve"> </w:t>
      </w:r>
      <w:r w:rsidRPr="00163B8D">
        <w:rPr>
          <w:color w:val="auto"/>
        </w:rPr>
        <w:t>UTR portion of αENaC mRNA is depicted for the clone bearing a complete 3’</w:t>
      </w:r>
      <w:r w:rsidR="006145A0" w:rsidRPr="00163B8D">
        <w:rPr>
          <w:color w:val="auto"/>
        </w:rPr>
        <w:t xml:space="preserve"> </w:t>
      </w:r>
      <w:r w:rsidRPr="00163B8D">
        <w:rPr>
          <w:color w:val="auto"/>
        </w:rPr>
        <w:t>UTR and for the different deletion mutants (Del 1 to Del 4). (</w:t>
      </w:r>
      <w:r w:rsidRPr="00163B8D">
        <w:rPr>
          <w:b/>
          <w:bCs/>
          <w:color w:val="auto"/>
        </w:rPr>
        <w:t>B</w:t>
      </w:r>
      <w:r w:rsidRPr="00163B8D">
        <w:rPr>
          <w:color w:val="auto"/>
        </w:rPr>
        <w:t xml:space="preserve">) Primary alveolar epithelial cells were transiently </w:t>
      </w:r>
      <w:proofErr w:type="spellStart"/>
      <w:r w:rsidRPr="00163B8D">
        <w:rPr>
          <w:color w:val="auto"/>
        </w:rPr>
        <w:t>cotransfected</w:t>
      </w:r>
      <w:proofErr w:type="spellEnd"/>
      <w:r w:rsidRPr="00163B8D">
        <w:rPr>
          <w:color w:val="auto"/>
        </w:rPr>
        <w:t xml:space="preserve"> with </w:t>
      </w:r>
      <w:proofErr w:type="spellStart"/>
      <w:r w:rsidRPr="00163B8D">
        <w:rPr>
          <w:color w:val="auto"/>
        </w:rPr>
        <w:t>pTRE</w:t>
      </w:r>
      <w:proofErr w:type="spellEnd"/>
      <w:r w:rsidRPr="00163B8D">
        <w:rPr>
          <w:color w:val="auto"/>
        </w:rPr>
        <w:t>-tight plasmid</w:t>
      </w:r>
      <w:r w:rsidR="006145A0" w:rsidRPr="00163B8D">
        <w:rPr>
          <w:color w:val="auto"/>
        </w:rPr>
        <w:t>s</w:t>
      </w:r>
      <w:r w:rsidRPr="00163B8D">
        <w:rPr>
          <w:color w:val="auto"/>
        </w:rPr>
        <w:t xml:space="preserve"> </w:t>
      </w:r>
      <w:r w:rsidR="006145A0" w:rsidRPr="00163B8D">
        <w:rPr>
          <w:color w:val="auto"/>
        </w:rPr>
        <w:t>en</w:t>
      </w:r>
      <w:r w:rsidRPr="00163B8D">
        <w:rPr>
          <w:color w:val="auto"/>
        </w:rPr>
        <w:t xml:space="preserve">coding different αENaC </w:t>
      </w:r>
      <w:r w:rsidR="00DB731E" w:rsidRPr="00163B8D">
        <w:rPr>
          <w:rFonts w:asciiTheme="minorHAnsi" w:hAnsiTheme="minorHAnsi" w:cstheme="minorHAnsi"/>
          <w:color w:val="auto"/>
        </w:rPr>
        <w:t>3’ UTR</w:t>
      </w:r>
      <w:r w:rsidRPr="00163B8D">
        <w:rPr>
          <w:color w:val="auto"/>
        </w:rPr>
        <w:t xml:space="preserve"> deletion mutants along with the </w:t>
      </w:r>
      <w:proofErr w:type="spellStart"/>
      <w:r w:rsidRPr="00163B8D">
        <w:rPr>
          <w:color w:val="auto"/>
        </w:rPr>
        <w:t>pTet</w:t>
      </w:r>
      <w:proofErr w:type="spellEnd"/>
      <w:r w:rsidRPr="00163B8D">
        <w:rPr>
          <w:color w:val="auto"/>
        </w:rPr>
        <w:t>-Off plasmid</w:t>
      </w:r>
      <w:r w:rsidR="006145A0" w:rsidRPr="00163B8D">
        <w:rPr>
          <w:color w:val="auto"/>
        </w:rPr>
        <w:t>, which</w:t>
      </w:r>
      <w:r w:rsidRPr="00163B8D">
        <w:rPr>
          <w:color w:val="auto"/>
        </w:rPr>
        <w:t xml:space="preserve"> express</w:t>
      </w:r>
      <w:r w:rsidR="006145A0" w:rsidRPr="00163B8D">
        <w:rPr>
          <w:color w:val="auto"/>
        </w:rPr>
        <w:t>es</w:t>
      </w:r>
      <w:r w:rsidRPr="00163B8D">
        <w:rPr>
          <w:color w:val="auto"/>
        </w:rPr>
        <w:t xml:space="preserve"> </w:t>
      </w:r>
      <w:proofErr w:type="spellStart"/>
      <w:r w:rsidRPr="00163B8D">
        <w:rPr>
          <w:color w:val="auto"/>
        </w:rPr>
        <w:t>tTA</w:t>
      </w:r>
      <w:proofErr w:type="spellEnd"/>
      <w:r w:rsidRPr="00163B8D">
        <w:rPr>
          <w:color w:val="auto"/>
        </w:rPr>
        <w:t>-Ad</w:t>
      </w:r>
      <w:r w:rsidR="006145A0" w:rsidRPr="00163B8D">
        <w:rPr>
          <w:color w:val="auto"/>
        </w:rPr>
        <w:t>, to</w:t>
      </w:r>
      <w:r w:rsidRPr="00163B8D">
        <w:rPr>
          <w:color w:val="auto"/>
        </w:rPr>
        <w:t xml:space="preserve"> </w:t>
      </w:r>
      <w:r w:rsidR="006145A0" w:rsidRPr="00163B8D">
        <w:rPr>
          <w:color w:val="auto"/>
        </w:rPr>
        <w:t>allow</w:t>
      </w:r>
      <w:r w:rsidRPr="00163B8D">
        <w:rPr>
          <w:color w:val="auto"/>
        </w:rPr>
        <w:t xml:space="preserve"> the specific expression of the construct and its inhibition by doxycycline. Seventy-two </w:t>
      </w:r>
      <w:r w:rsidR="00362D8B">
        <w:rPr>
          <w:color w:val="auto"/>
        </w:rPr>
        <w:t>h</w:t>
      </w:r>
      <w:r w:rsidRPr="00163B8D">
        <w:rPr>
          <w:color w:val="auto"/>
        </w:rPr>
        <w:t xml:space="preserve"> after transfection, cells were treated with doxycycline (1.0 µg/mL) </w:t>
      </w:r>
      <w:r w:rsidR="006145A0" w:rsidRPr="00163B8D">
        <w:rPr>
          <w:color w:val="auto"/>
        </w:rPr>
        <w:t xml:space="preserve">for </w:t>
      </w:r>
      <w:r w:rsidRPr="00163B8D">
        <w:rPr>
          <w:color w:val="auto"/>
        </w:rPr>
        <w:t xml:space="preserve">15 </w:t>
      </w:r>
      <w:r w:rsidR="00362D8B">
        <w:rPr>
          <w:color w:val="auto"/>
        </w:rPr>
        <w:t>min</w:t>
      </w:r>
      <w:r w:rsidRPr="00163B8D">
        <w:rPr>
          <w:color w:val="auto"/>
        </w:rPr>
        <w:t xml:space="preserve"> to 6 h. Expression of V5-αENaC mRNA was measured by quantitative RT-PCR and presented as </w:t>
      </w:r>
      <w:r w:rsidR="006145A0" w:rsidRPr="00163B8D">
        <w:rPr>
          <w:color w:val="auto"/>
        </w:rPr>
        <w:t xml:space="preserve">the </w:t>
      </w:r>
      <w:r w:rsidRPr="00163B8D">
        <w:rPr>
          <w:color w:val="auto"/>
        </w:rPr>
        <w:t xml:space="preserve">percentage ± SEM of V5-αENaC mRNA expression </w:t>
      </w:r>
      <w:r w:rsidR="006145A0" w:rsidRPr="00163B8D">
        <w:rPr>
          <w:color w:val="auto"/>
        </w:rPr>
        <w:t xml:space="preserve">in </w:t>
      </w:r>
      <w:r w:rsidRPr="00163B8D">
        <w:rPr>
          <w:color w:val="auto"/>
        </w:rPr>
        <w:lastRenderedPageBreak/>
        <w:t>untreated cells (t</w:t>
      </w:r>
      <w:r w:rsidR="005C3363">
        <w:rPr>
          <w:color w:val="auto"/>
        </w:rPr>
        <w:t xml:space="preserve"> </w:t>
      </w:r>
      <w:r w:rsidRPr="00163B8D">
        <w:rPr>
          <w:color w:val="auto"/>
        </w:rPr>
        <w:t>=</w:t>
      </w:r>
      <w:r w:rsidR="005C3363">
        <w:rPr>
          <w:color w:val="auto"/>
        </w:rPr>
        <w:t xml:space="preserve"> </w:t>
      </w:r>
      <w:r w:rsidRPr="00163B8D">
        <w:rPr>
          <w:color w:val="auto"/>
        </w:rPr>
        <w:t xml:space="preserve">0) after normalization </w:t>
      </w:r>
      <w:r w:rsidR="006145A0" w:rsidRPr="00163B8D">
        <w:rPr>
          <w:color w:val="auto"/>
        </w:rPr>
        <w:t xml:space="preserve">according to the expression of </w:t>
      </w:r>
      <w:proofErr w:type="spellStart"/>
      <w:r w:rsidRPr="00163B8D">
        <w:rPr>
          <w:color w:val="auto"/>
        </w:rPr>
        <w:t>tTA</w:t>
      </w:r>
      <w:proofErr w:type="spellEnd"/>
      <w:r w:rsidRPr="00163B8D">
        <w:rPr>
          <w:color w:val="auto"/>
        </w:rPr>
        <w:t>-Ad. The V5-αENaC mRNA half-life for each construct was estimated from the rate constant (K) of the V5-αENaC mRNA degradation curve using the following equation: t</w:t>
      </w:r>
      <w:r w:rsidRPr="00163B8D">
        <w:rPr>
          <w:color w:val="auto"/>
          <w:vertAlign w:val="subscript"/>
        </w:rPr>
        <w:t>1/2</w:t>
      </w:r>
      <w:r w:rsidRPr="00163B8D">
        <w:rPr>
          <w:color w:val="auto"/>
        </w:rPr>
        <w:t xml:space="preserve">= ln 2/K. The V5-αENaC mRNA decay is shown for the clone with </w:t>
      </w:r>
      <w:r w:rsidR="006145A0" w:rsidRPr="00163B8D">
        <w:rPr>
          <w:color w:val="auto"/>
        </w:rPr>
        <w:t xml:space="preserve">the </w:t>
      </w:r>
      <w:r w:rsidRPr="00163B8D">
        <w:rPr>
          <w:color w:val="auto"/>
        </w:rPr>
        <w:t>complete 3’</w:t>
      </w:r>
      <w:r w:rsidR="006145A0" w:rsidRPr="00163B8D">
        <w:rPr>
          <w:color w:val="auto"/>
        </w:rPr>
        <w:t xml:space="preserve"> </w:t>
      </w:r>
      <w:r w:rsidRPr="00163B8D">
        <w:rPr>
          <w:color w:val="auto"/>
        </w:rPr>
        <w:t>UTR (Comp) and for the Del 1 to Del 4 3’</w:t>
      </w:r>
      <w:r w:rsidR="006145A0" w:rsidRPr="00163B8D">
        <w:rPr>
          <w:color w:val="auto"/>
        </w:rPr>
        <w:t xml:space="preserve"> </w:t>
      </w:r>
      <w:r w:rsidRPr="00163B8D">
        <w:rPr>
          <w:color w:val="auto"/>
        </w:rPr>
        <w:t>UTR deletion mutants. The half-life (t</w:t>
      </w:r>
      <w:r w:rsidRPr="00163B8D">
        <w:rPr>
          <w:color w:val="auto"/>
          <w:vertAlign w:val="subscript"/>
        </w:rPr>
        <w:t>1/2</w:t>
      </w:r>
      <w:r w:rsidRPr="00163B8D">
        <w:rPr>
          <w:color w:val="auto"/>
        </w:rPr>
        <w:t>) of mRNA decay is given for each clone. In the lower right quadrant, the graph shows a comparison of the different t</w:t>
      </w:r>
      <w:r w:rsidRPr="00163B8D">
        <w:rPr>
          <w:color w:val="auto"/>
          <w:vertAlign w:val="subscript"/>
        </w:rPr>
        <w:t>1/2</w:t>
      </w:r>
      <w:r w:rsidRPr="00163B8D">
        <w:rPr>
          <w:color w:val="auto"/>
        </w:rPr>
        <w:t xml:space="preserve"> ± SEM </w:t>
      </w:r>
      <w:r w:rsidR="006145A0" w:rsidRPr="00163B8D">
        <w:rPr>
          <w:color w:val="auto"/>
        </w:rPr>
        <w:t xml:space="preserve">values </w:t>
      </w:r>
      <w:r w:rsidRPr="00163B8D">
        <w:rPr>
          <w:color w:val="auto"/>
        </w:rPr>
        <w:t xml:space="preserve">estimated for each clone. </w:t>
      </w:r>
      <w:r w:rsidR="005C3363" w:rsidRPr="00163B8D">
        <w:rPr>
          <w:color w:val="auto"/>
        </w:rPr>
        <w:t>p</w:t>
      </w:r>
      <w:r w:rsidR="005C3363">
        <w:rPr>
          <w:color w:val="auto"/>
        </w:rPr>
        <w:t xml:space="preserve"> </w:t>
      </w:r>
      <w:r w:rsidRPr="00163B8D">
        <w:rPr>
          <w:color w:val="auto"/>
        </w:rPr>
        <w:t>&lt;</w:t>
      </w:r>
      <w:r w:rsidR="005C3363">
        <w:rPr>
          <w:color w:val="auto"/>
        </w:rPr>
        <w:t xml:space="preserve"> </w:t>
      </w:r>
      <w:r w:rsidRPr="00163B8D">
        <w:rPr>
          <w:color w:val="auto"/>
        </w:rPr>
        <w:t xml:space="preserve">0.05 </w:t>
      </w:r>
      <w:r w:rsidR="006145A0" w:rsidRPr="00163B8D">
        <w:rPr>
          <w:color w:val="auto"/>
        </w:rPr>
        <w:t xml:space="preserve">between the different groups according to the </w:t>
      </w:r>
      <w:r w:rsidRPr="00163B8D">
        <w:rPr>
          <w:color w:val="auto"/>
        </w:rPr>
        <w:t>Kruskal-Wallis test. *</w:t>
      </w:r>
      <w:r w:rsidR="005C3363" w:rsidRPr="00163B8D">
        <w:rPr>
          <w:color w:val="auto"/>
        </w:rPr>
        <w:t>p</w:t>
      </w:r>
      <w:r w:rsidR="005C3363">
        <w:rPr>
          <w:color w:val="auto"/>
        </w:rPr>
        <w:t xml:space="preserve"> </w:t>
      </w:r>
      <w:r w:rsidRPr="00163B8D">
        <w:rPr>
          <w:color w:val="auto"/>
        </w:rPr>
        <w:t>&lt;</w:t>
      </w:r>
      <w:r w:rsidR="005C3363">
        <w:rPr>
          <w:color w:val="auto"/>
        </w:rPr>
        <w:t xml:space="preserve"> </w:t>
      </w:r>
      <w:r w:rsidRPr="00163B8D">
        <w:rPr>
          <w:color w:val="auto"/>
        </w:rPr>
        <w:t xml:space="preserve">0.05 </w:t>
      </w:r>
      <w:r w:rsidR="006145A0" w:rsidRPr="00163B8D">
        <w:rPr>
          <w:color w:val="auto"/>
        </w:rPr>
        <w:t xml:space="preserve">according to </w:t>
      </w:r>
      <w:r w:rsidRPr="00163B8D">
        <w:rPr>
          <w:color w:val="auto"/>
        </w:rPr>
        <w:t>Dunn</w:t>
      </w:r>
      <w:r w:rsidR="00960C90" w:rsidRPr="00960C90">
        <w:rPr>
          <w:color w:val="auto"/>
        </w:rPr>
        <w:t>’s</w:t>
      </w:r>
      <w:r w:rsidRPr="00163B8D">
        <w:rPr>
          <w:color w:val="auto"/>
        </w:rPr>
        <w:t xml:space="preserve"> post hoc test compared to </w:t>
      </w:r>
      <w:r w:rsidR="006145A0" w:rsidRPr="00163B8D">
        <w:rPr>
          <w:color w:val="auto"/>
        </w:rPr>
        <w:t xml:space="preserve">the </w:t>
      </w:r>
      <w:r w:rsidRPr="00163B8D">
        <w:rPr>
          <w:color w:val="auto"/>
        </w:rPr>
        <w:t xml:space="preserve">complete </w:t>
      </w:r>
      <w:r w:rsidR="00DB731E" w:rsidRPr="00163B8D">
        <w:rPr>
          <w:rFonts w:asciiTheme="minorHAnsi" w:hAnsiTheme="minorHAnsi" w:cstheme="minorHAnsi"/>
          <w:color w:val="auto"/>
        </w:rPr>
        <w:t>3’ UTR</w:t>
      </w:r>
      <w:r w:rsidRPr="00163B8D">
        <w:rPr>
          <w:color w:val="auto"/>
        </w:rPr>
        <w:t xml:space="preserve">. </w:t>
      </w:r>
      <w:proofErr w:type="spellStart"/>
      <w:r w:rsidRPr="00163B8D">
        <w:rPr>
          <w:color w:val="auto"/>
        </w:rPr>
        <w:t>Φ</w:t>
      </w:r>
      <w:r w:rsidR="005C3363" w:rsidRPr="00163B8D">
        <w:rPr>
          <w:color w:val="auto"/>
        </w:rPr>
        <w:t>p</w:t>
      </w:r>
      <w:proofErr w:type="spellEnd"/>
      <w:r w:rsidRPr="00163B8D">
        <w:rPr>
          <w:color w:val="auto"/>
        </w:rPr>
        <w:t xml:space="preserve">&lt;0.05 </w:t>
      </w:r>
      <w:r w:rsidR="006145A0" w:rsidRPr="00163B8D">
        <w:rPr>
          <w:color w:val="auto"/>
        </w:rPr>
        <w:t xml:space="preserve">according to </w:t>
      </w:r>
      <w:r w:rsidRPr="00163B8D">
        <w:rPr>
          <w:color w:val="auto"/>
        </w:rPr>
        <w:t>Dunn</w:t>
      </w:r>
      <w:r w:rsidR="00960C90" w:rsidRPr="00960C90">
        <w:rPr>
          <w:color w:val="auto"/>
        </w:rPr>
        <w:t>’s</w:t>
      </w:r>
      <w:r w:rsidRPr="00163B8D">
        <w:rPr>
          <w:color w:val="auto"/>
        </w:rPr>
        <w:t xml:space="preserve"> post hoc test compared to Del 3. Cells from at least five different animals (n</w:t>
      </w:r>
      <w:r w:rsidR="005C3363">
        <w:rPr>
          <w:color w:val="auto"/>
        </w:rPr>
        <w:t xml:space="preserve"> </w:t>
      </w:r>
      <w:r w:rsidRPr="00163B8D">
        <w:rPr>
          <w:color w:val="auto"/>
        </w:rPr>
        <w:t>≥</w:t>
      </w:r>
      <w:r w:rsidR="005C3363">
        <w:rPr>
          <w:color w:val="auto"/>
        </w:rPr>
        <w:t xml:space="preserve"> </w:t>
      </w:r>
      <w:r w:rsidRPr="00163B8D">
        <w:rPr>
          <w:color w:val="auto"/>
        </w:rPr>
        <w:t xml:space="preserve">5) were used for each experimental condition. Adapted from </w:t>
      </w:r>
      <w:r w:rsidR="00740733" w:rsidRPr="00EF4B5E">
        <w:rPr>
          <w:color w:val="auto"/>
        </w:rPr>
        <w:t>Figure</w:t>
      </w:r>
      <w:r w:rsidRPr="005C3363">
        <w:rPr>
          <w:color w:val="auto"/>
        </w:rPr>
        <w:t>s 2 and 3</w:t>
      </w:r>
      <w:r w:rsidRPr="00EF4B5E">
        <w:rPr>
          <w:b/>
          <w:bCs/>
          <w:color w:val="auto"/>
        </w:rPr>
        <w:t xml:space="preserve"> </w:t>
      </w:r>
      <w:r w:rsidRPr="00163B8D">
        <w:rPr>
          <w:color w:val="auto"/>
        </w:rPr>
        <w:t xml:space="preserve">previously published in </w:t>
      </w:r>
      <w:proofErr w:type="spellStart"/>
      <w:r w:rsidRPr="00163B8D">
        <w:rPr>
          <w:color w:val="auto"/>
        </w:rPr>
        <w:t>Migneault</w:t>
      </w:r>
      <w:proofErr w:type="spellEnd"/>
      <w:r w:rsidRPr="00163B8D">
        <w:rPr>
          <w:color w:val="auto"/>
        </w:rPr>
        <w:t xml:space="preserve"> </w:t>
      </w:r>
      <w:r w:rsidRPr="00EF4B5E">
        <w:rPr>
          <w:color w:val="auto"/>
        </w:rPr>
        <w:t>et al</w:t>
      </w:r>
      <w:r w:rsidRPr="00E420FB">
        <w:rPr>
          <w:color w:val="auto"/>
        </w:rPr>
        <w:t>.</w:t>
      </w:r>
      <w:r w:rsidR="009C472A" w:rsidRPr="00163B8D">
        <w:rPr>
          <w:color w:val="auto"/>
          <w:vertAlign w:val="superscript"/>
        </w:rPr>
        <w:t>2</w:t>
      </w:r>
      <w:r w:rsidR="0005486A">
        <w:rPr>
          <w:color w:val="auto"/>
          <w:vertAlign w:val="superscript"/>
        </w:rPr>
        <w:t>4</w:t>
      </w:r>
      <w:r w:rsidRPr="00163B8D">
        <w:rPr>
          <w:color w:val="auto"/>
        </w:rPr>
        <w:t>.</w:t>
      </w:r>
    </w:p>
    <w:p w14:paraId="01769F8B" w14:textId="77777777" w:rsidR="00345229" w:rsidRPr="00163B8D" w:rsidRDefault="00345229" w:rsidP="00407434">
      <w:pPr>
        <w:rPr>
          <w:color w:val="auto"/>
        </w:rPr>
      </w:pPr>
    </w:p>
    <w:p w14:paraId="3ED34427" w14:textId="4DF572F2" w:rsidR="00345229" w:rsidRPr="00163B8D" w:rsidRDefault="00AF43F7" w:rsidP="00407434">
      <w:pPr>
        <w:rPr>
          <w:color w:val="auto"/>
        </w:rPr>
      </w:pPr>
      <w:r w:rsidRPr="00163B8D">
        <w:rPr>
          <w:b/>
          <w:bCs/>
          <w:color w:val="auto"/>
        </w:rPr>
        <w:t>Figure 7</w:t>
      </w:r>
      <w:r w:rsidR="00E420FB">
        <w:rPr>
          <w:b/>
          <w:bCs/>
          <w:color w:val="auto"/>
        </w:rPr>
        <w:t>:</w:t>
      </w:r>
      <w:r w:rsidRPr="00163B8D">
        <w:rPr>
          <w:b/>
          <w:color w:val="auto"/>
        </w:rPr>
        <w:t xml:space="preserve"> Posttranscriptional modulation of V5-αENaC mRNA by the RNA-binding proteins </w:t>
      </w:r>
      <w:proofErr w:type="spellStart"/>
      <w:r w:rsidRPr="00163B8D">
        <w:rPr>
          <w:b/>
          <w:color w:val="auto"/>
        </w:rPr>
        <w:t>hnRNPK</w:t>
      </w:r>
      <w:proofErr w:type="spellEnd"/>
      <w:r w:rsidRPr="00163B8D">
        <w:rPr>
          <w:b/>
          <w:color w:val="auto"/>
        </w:rPr>
        <w:t>, Dhx36</w:t>
      </w:r>
      <w:r w:rsidR="005C3363">
        <w:rPr>
          <w:b/>
          <w:color w:val="auto"/>
        </w:rPr>
        <w:t>,</w:t>
      </w:r>
      <w:r w:rsidRPr="00163B8D">
        <w:rPr>
          <w:b/>
          <w:color w:val="auto"/>
        </w:rPr>
        <w:t xml:space="preserve"> and Tial1. </w:t>
      </w:r>
      <w:r w:rsidRPr="00163B8D">
        <w:rPr>
          <w:bCs/>
          <w:color w:val="auto"/>
        </w:rPr>
        <w:t>(</w:t>
      </w:r>
      <w:r w:rsidRPr="00163B8D">
        <w:rPr>
          <w:b/>
          <w:color w:val="auto"/>
        </w:rPr>
        <w:t>A</w:t>
      </w:r>
      <w:r w:rsidRPr="00163B8D">
        <w:rPr>
          <w:bCs/>
          <w:color w:val="auto"/>
        </w:rPr>
        <w:t xml:space="preserve">) Primary alveolar epithelial cells were </w:t>
      </w:r>
      <w:proofErr w:type="spellStart"/>
      <w:r w:rsidRPr="00163B8D">
        <w:rPr>
          <w:bCs/>
          <w:color w:val="auto"/>
        </w:rPr>
        <w:t>cotransfected</w:t>
      </w:r>
      <w:proofErr w:type="spellEnd"/>
      <w:r w:rsidRPr="00163B8D">
        <w:rPr>
          <w:bCs/>
          <w:color w:val="auto"/>
        </w:rPr>
        <w:t xml:space="preserve"> with the </w:t>
      </w:r>
      <w:proofErr w:type="spellStart"/>
      <w:r w:rsidRPr="00163B8D">
        <w:rPr>
          <w:bCs/>
          <w:color w:val="auto"/>
        </w:rPr>
        <w:t>pTRE</w:t>
      </w:r>
      <w:proofErr w:type="spellEnd"/>
      <w:r w:rsidRPr="00163B8D">
        <w:rPr>
          <w:bCs/>
          <w:color w:val="auto"/>
        </w:rPr>
        <w:t xml:space="preserve">-tight plasmid encoding V5-αENaC mRNA along with an expression vector for </w:t>
      </w:r>
      <w:r w:rsidR="006145A0" w:rsidRPr="00163B8D">
        <w:rPr>
          <w:bCs/>
          <w:color w:val="auto"/>
        </w:rPr>
        <w:t xml:space="preserve">the </w:t>
      </w:r>
      <w:r w:rsidRPr="00163B8D">
        <w:rPr>
          <w:bCs/>
          <w:color w:val="auto"/>
        </w:rPr>
        <w:t xml:space="preserve">Dhx36, </w:t>
      </w:r>
      <w:proofErr w:type="spellStart"/>
      <w:r w:rsidRPr="00163B8D">
        <w:rPr>
          <w:bCs/>
          <w:color w:val="auto"/>
        </w:rPr>
        <w:t>hnRNPK</w:t>
      </w:r>
      <w:proofErr w:type="spellEnd"/>
      <w:r w:rsidR="005C3363">
        <w:rPr>
          <w:bCs/>
          <w:color w:val="auto"/>
        </w:rPr>
        <w:t>,</w:t>
      </w:r>
      <w:r w:rsidRPr="00163B8D">
        <w:rPr>
          <w:bCs/>
          <w:color w:val="auto"/>
        </w:rPr>
        <w:t xml:space="preserve"> or Tial1 RBPs and the </w:t>
      </w:r>
      <w:proofErr w:type="spellStart"/>
      <w:r w:rsidRPr="00163B8D">
        <w:rPr>
          <w:bCs/>
          <w:color w:val="auto"/>
        </w:rPr>
        <w:t>pTet</w:t>
      </w:r>
      <w:proofErr w:type="spellEnd"/>
      <w:r w:rsidRPr="00163B8D">
        <w:rPr>
          <w:bCs/>
          <w:color w:val="auto"/>
        </w:rPr>
        <w:t xml:space="preserve">-Off plasmid. V5-αENaC mRNA expression was quantified by RT-qPCR 72 h </w:t>
      </w:r>
      <w:proofErr w:type="spellStart"/>
      <w:r w:rsidRPr="00163B8D">
        <w:rPr>
          <w:bCs/>
          <w:color w:val="auto"/>
        </w:rPr>
        <w:t>posttransfection</w:t>
      </w:r>
      <w:proofErr w:type="spellEnd"/>
      <w:r w:rsidRPr="00163B8D">
        <w:rPr>
          <w:bCs/>
          <w:color w:val="auto"/>
        </w:rPr>
        <w:t xml:space="preserve"> and expressed as </w:t>
      </w:r>
      <w:r w:rsidR="006145A0" w:rsidRPr="00163B8D">
        <w:rPr>
          <w:bCs/>
          <w:color w:val="auto"/>
        </w:rPr>
        <w:t xml:space="preserve">the </w:t>
      </w:r>
      <w:r w:rsidRPr="00163B8D">
        <w:rPr>
          <w:bCs/>
          <w:color w:val="auto"/>
        </w:rPr>
        <w:t xml:space="preserve">percentage ± SEM of V5-αENaC mRNA </w:t>
      </w:r>
      <w:r w:rsidR="006145A0" w:rsidRPr="00163B8D">
        <w:rPr>
          <w:bCs/>
          <w:color w:val="auto"/>
        </w:rPr>
        <w:t xml:space="preserve">expression </w:t>
      </w:r>
      <w:r w:rsidRPr="00163B8D">
        <w:rPr>
          <w:bCs/>
          <w:color w:val="auto"/>
        </w:rPr>
        <w:t xml:space="preserve">compared to </w:t>
      </w:r>
      <w:r w:rsidR="006145A0" w:rsidRPr="00163B8D">
        <w:rPr>
          <w:bCs/>
          <w:color w:val="auto"/>
        </w:rPr>
        <w:t xml:space="preserve">that in </w:t>
      </w:r>
      <w:r w:rsidRPr="00163B8D">
        <w:rPr>
          <w:bCs/>
          <w:color w:val="auto"/>
        </w:rPr>
        <w:t xml:space="preserve">cells transfected with an empty vector (pcDNA3) after normalization </w:t>
      </w:r>
      <w:r w:rsidR="008F3D50">
        <w:rPr>
          <w:bCs/>
          <w:color w:val="auto"/>
        </w:rPr>
        <w:t>accord</w:t>
      </w:r>
      <w:r w:rsidR="006145A0" w:rsidRPr="00163B8D">
        <w:rPr>
          <w:bCs/>
          <w:color w:val="auto"/>
        </w:rPr>
        <w:t xml:space="preserve">ing to the expression </w:t>
      </w:r>
      <w:proofErr w:type="spellStart"/>
      <w:r w:rsidRPr="00163B8D">
        <w:rPr>
          <w:bCs/>
          <w:color w:val="auto"/>
        </w:rPr>
        <w:t>tTA</w:t>
      </w:r>
      <w:proofErr w:type="spellEnd"/>
      <w:r w:rsidRPr="00163B8D">
        <w:rPr>
          <w:bCs/>
          <w:color w:val="auto"/>
        </w:rPr>
        <w:t xml:space="preserve">-Ad. Overexpression of Dhx36 and Tial1 significantly inhibited V5-αENaC mRNA expression, whereas overexpression of </w:t>
      </w:r>
      <w:proofErr w:type="spellStart"/>
      <w:r w:rsidRPr="00163B8D">
        <w:rPr>
          <w:bCs/>
          <w:color w:val="auto"/>
        </w:rPr>
        <w:t>hnRNPK</w:t>
      </w:r>
      <w:proofErr w:type="spellEnd"/>
      <w:r w:rsidRPr="00163B8D">
        <w:rPr>
          <w:bCs/>
          <w:color w:val="auto"/>
        </w:rPr>
        <w:t xml:space="preserve"> had no effect. *</w:t>
      </w:r>
      <w:r w:rsidR="005C3363" w:rsidRPr="00163B8D">
        <w:rPr>
          <w:bCs/>
          <w:color w:val="auto"/>
        </w:rPr>
        <w:t>p</w:t>
      </w:r>
      <w:r w:rsidR="005C3363">
        <w:rPr>
          <w:bCs/>
          <w:color w:val="auto"/>
        </w:rPr>
        <w:t xml:space="preserve"> </w:t>
      </w:r>
      <w:r w:rsidRPr="00163B8D">
        <w:rPr>
          <w:bCs/>
          <w:color w:val="auto"/>
        </w:rPr>
        <w:t xml:space="preserve">&lt;0.05 </w:t>
      </w:r>
      <w:r w:rsidR="00AE14EF" w:rsidRPr="00163B8D">
        <w:rPr>
          <w:bCs/>
          <w:color w:val="auto"/>
        </w:rPr>
        <w:t xml:space="preserve">according to </w:t>
      </w:r>
      <w:r w:rsidRPr="00163B8D">
        <w:rPr>
          <w:bCs/>
          <w:color w:val="auto"/>
        </w:rPr>
        <w:t>the Kruskal-Wallis test and Dunn</w:t>
      </w:r>
      <w:r w:rsidR="00960C90" w:rsidRPr="00960C90">
        <w:rPr>
          <w:bCs/>
          <w:color w:val="auto"/>
        </w:rPr>
        <w:t>’s</w:t>
      </w:r>
      <w:r w:rsidRPr="00163B8D">
        <w:rPr>
          <w:bCs/>
          <w:color w:val="auto"/>
        </w:rPr>
        <w:t xml:space="preserve"> post hoc test compared to empty vector; n</w:t>
      </w:r>
      <w:r w:rsidR="005C3363">
        <w:rPr>
          <w:bCs/>
          <w:color w:val="auto"/>
        </w:rPr>
        <w:t xml:space="preserve"> </w:t>
      </w:r>
      <w:r w:rsidRPr="00163B8D">
        <w:rPr>
          <w:bCs/>
          <w:color w:val="auto"/>
        </w:rPr>
        <w:t>≥</w:t>
      </w:r>
      <w:r w:rsidR="005C3363">
        <w:rPr>
          <w:bCs/>
          <w:color w:val="auto"/>
        </w:rPr>
        <w:t xml:space="preserve"> </w:t>
      </w:r>
      <w:r w:rsidRPr="00163B8D">
        <w:rPr>
          <w:bCs/>
          <w:color w:val="auto"/>
        </w:rPr>
        <w:t xml:space="preserve">3 </w:t>
      </w:r>
      <w:r w:rsidR="00AE14EF" w:rsidRPr="00163B8D">
        <w:rPr>
          <w:bCs/>
          <w:color w:val="auto"/>
        </w:rPr>
        <w:t xml:space="preserve">samples </w:t>
      </w:r>
      <w:r w:rsidRPr="00163B8D">
        <w:rPr>
          <w:bCs/>
          <w:color w:val="auto"/>
        </w:rPr>
        <w:t xml:space="preserve">from different animals were tested in duplicate for each experimental condition. </w:t>
      </w:r>
      <w:r w:rsidRPr="00163B8D">
        <w:rPr>
          <w:color w:val="auto"/>
        </w:rPr>
        <w:t>(</w:t>
      </w:r>
      <w:r w:rsidRPr="00163B8D">
        <w:rPr>
          <w:b/>
          <w:bCs/>
          <w:color w:val="auto"/>
        </w:rPr>
        <w:t>B</w:t>
      </w:r>
      <w:r w:rsidRPr="00163B8D">
        <w:rPr>
          <w:color w:val="auto"/>
        </w:rPr>
        <w:t>) The proximal portion of the αENaC 3’</w:t>
      </w:r>
      <w:r w:rsidR="00AE14EF" w:rsidRPr="00163B8D">
        <w:rPr>
          <w:color w:val="auto"/>
        </w:rPr>
        <w:t xml:space="preserve"> </w:t>
      </w:r>
      <w:r w:rsidRPr="00163B8D">
        <w:rPr>
          <w:color w:val="auto"/>
        </w:rPr>
        <w:t>UTR was deleted by cloning the distal region of the 3’</w:t>
      </w:r>
      <w:r w:rsidR="00AE14EF" w:rsidRPr="00163B8D">
        <w:rPr>
          <w:color w:val="auto"/>
        </w:rPr>
        <w:t xml:space="preserve"> </w:t>
      </w:r>
      <w:r w:rsidRPr="00163B8D">
        <w:rPr>
          <w:color w:val="auto"/>
        </w:rPr>
        <w:t xml:space="preserve">UTR next to the αENaC stop codon in the </w:t>
      </w:r>
      <w:proofErr w:type="spellStart"/>
      <w:r w:rsidRPr="00163B8D">
        <w:rPr>
          <w:color w:val="auto"/>
        </w:rPr>
        <w:t>pTRE</w:t>
      </w:r>
      <w:proofErr w:type="spellEnd"/>
      <w:r w:rsidRPr="00163B8D">
        <w:rPr>
          <w:color w:val="auto"/>
        </w:rPr>
        <w:t>-tight plasmid (V5-αENaC-Del5). (</w:t>
      </w:r>
      <w:r w:rsidRPr="00163B8D">
        <w:rPr>
          <w:b/>
          <w:color w:val="auto"/>
        </w:rPr>
        <w:t>C</w:t>
      </w:r>
      <w:r w:rsidRPr="00163B8D">
        <w:rPr>
          <w:color w:val="auto"/>
        </w:rPr>
        <w:t xml:space="preserve">) Primary alveolar epithelial cells were </w:t>
      </w:r>
      <w:proofErr w:type="spellStart"/>
      <w:r w:rsidRPr="00163B8D">
        <w:rPr>
          <w:color w:val="auto"/>
        </w:rPr>
        <w:t>cotransfected</w:t>
      </w:r>
      <w:proofErr w:type="spellEnd"/>
      <w:r w:rsidRPr="00163B8D">
        <w:rPr>
          <w:color w:val="auto"/>
        </w:rPr>
        <w:t xml:space="preserve"> with V5-αENaC or V5-αENaC-Del5 in the </w:t>
      </w:r>
      <w:proofErr w:type="spellStart"/>
      <w:r w:rsidRPr="00163B8D">
        <w:rPr>
          <w:color w:val="auto"/>
        </w:rPr>
        <w:t>pTRE</w:t>
      </w:r>
      <w:proofErr w:type="spellEnd"/>
      <w:r w:rsidRPr="00163B8D">
        <w:rPr>
          <w:color w:val="auto"/>
        </w:rPr>
        <w:t xml:space="preserve">-tight vector along with the </w:t>
      </w:r>
      <w:proofErr w:type="spellStart"/>
      <w:r w:rsidRPr="00163B8D">
        <w:rPr>
          <w:color w:val="auto"/>
        </w:rPr>
        <w:t>pTet</w:t>
      </w:r>
      <w:proofErr w:type="spellEnd"/>
      <w:r w:rsidRPr="00163B8D">
        <w:rPr>
          <w:color w:val="auto"/>
        </w:rPr>
        <w:t xml:space="preserve">-Off plasmid and the expression vector for Dhx36 or Tial1 RBP overexpression. V5-αENaC mRNA expression was quantified by RT-qPCR 72 h </w:t>
      </w:r>
      <w:proofErr w:type="spellStart"/>
      <w:r w:rsidRPr="00163B8D">
        <w:rPr>
          <w:color w:val="auto"/>
        </w:rPr>
        <w:t>posttransfection</w:t>
      </w:r>
      <w:proofErr w:type="spellEnd"/>
      <w:r w:rsidRPr="00163B8D">
        <w:rPr>
          <w:color w:val="auto"/>
        </w:rPr>
        <w:t xml:space="preserve"> and expressed as </w:t>
      </w:r>
      <w:r w:rsidR="00AE14EF" w:rsidRPr="00163B8D">
        <w:rPr>
          <w:color w:val="auto"/>
        </w:rPr>
        <w:t xml:space="preserve">the </w:t>
      </w:r>
      <w:r w:rsidRPr="00163B8D">
        <w:rPr>
          <w:color w:val="auto"/>
        </w:rPr>
        <w:t xml:space="preserve">percentage ± SEM of V5-αENaC mRNA </w:t>
      </w:r>
      <w:r w:rsidR="00AE14EF" w:rsidRPr="00163B8D">
        <w:rPr>
          <w:color w:val="auto"/>
        </w:rPr>
        <w:t xml:space="preserve">expression </w:t>
      </w:r>
      <w:r w:rsidRPr="00163B8D">
        <w:rPr>
          <w:color w:val="auto"/>
        </w:rPr>
        <w:t xml:space="preserve">compared </w:t>
      </w:r>
      <w:r w:rsidR="00AE14EF" w:rsidRPr="00163B8D">
        <w:rPr>
          <w:color w:val="auto"/>
        </w:rPr>
        <w:t xml:space="preserve">with that in </w:t>
      </w:r>
      <w:r w:rsidRPr="00163B8D">
        <w:rPr>
          <w:color w:val="auto"/>
        </w:rPr>
        <w:t xml:space="preserve">cells transfected with an empty vector (pcDNA3) after normalization </w:t>
      </w:r>
      <w:r w:rsidR="00AE14EF" w:rsidRPr="00163B8D">
        <w:rPr>
          <w:color w:val="auto"/>
        </w:rPr>
        <w:t xml:space="preserve">according to the expression of </w:t>
      </w:r>
      <w:proofErr w:type="spellStart"/>
      <w:r w:rsidRPr="00163B8D">
        <w:rPr>
          <w:color w:val="auto"/>
        </w:rPr>
        <w:t>tTA</w:t>
      </w:r>
      <w:proofErr w:type="spellEnd"/>
      <w:r w:rsidRPr="00163B8D">
        <w:rPr>
          <w:color w:val="auto"/>
        </w:rPr>
        <w:t>-Ad. Overexpression of Dhx36 and Tial1 had no effect on V5-αENaC-Del5 mRNA expression. *</w:t>
      </w:r>
      <w:r w:rsidR="005C3363" w:rsidRPr="00163B8D">
        <w:rPr>
          <w:color w:val="auto"/>
        </w:rPr>
        <w:t>p</w:t>
      </w:r>
      <w:r w:rsidR="005C3363">
        <w:rPr>
          <w:color w:val="auto"/>
        </w:rPr>
        <w:t xml:space="preserve"> </w:t>
      </w:r>
      <w:r w:rsidRPr="00163B8D">
        <w:rPr>
          <w:color w:val="auto"/>
        </w:rPr>
        <w:t>&lt;</w:t>
      </w:r>
      <w:r w:rsidR="005C3363">
        <w:rPr>
          <w:color w:val="auto"/>
        </w:rPr>
        <w:t xml:space="preserve"> </w:t>
      </w:r>
      <w:r w:rsidRPr="00163B8D">
        <w:rPr>
          <w:color w:val="auto"/>
        </w:rPr>
        <w:t xml:space="preserve">0.05 </w:t>
      </w:r>
      <w:r w:rsidR="00AE14EF" w:rsidRPr="00163B8D">
        <w:rPr>
          <w:color w:val="auto"/>
        </w:rPr>
        <w:t xml:space="preserve">according to the </w:t>
      </w:r>
      <w:r w:rsidRPr="00163B8D">
        <w:rPr>
          <w:color w:val="auto"/>
        </w:rPr>
        <w:t>Kruskal-Wallis test and Dunn</w:t>
      </w:r>
      <w:r w:rsidR="00960C90" w:rsidRPr="00960C90">
        <w:rPr>
          <w:color w:val="auto"/>
        </w:rPr>
        <w:t>’s</w:t>
      </w:r>
      <w:r w:rsidRPr="00163B8D">
        <w:rPr>
          <w:color w:val="auto"/>
        </w:rPr>
        <w:t xml:space="preserve"> post hoc tests </w:t>
      </w:r>
      <w:r w:rsidR="00AE14EF" w:rsidRPr="00163B8D">
        <w:rPr>
          <w:color w:val="auto"/>
        </w:rPr>
        <w:t xml:space="preserve">upon </w:t>
      </w:r>
      <w:r w:rsidRPr="00163B8D">
        <w:rPr>
          <w:color w:val="auto"/>
        </w:rPr>
        <w:t>compar</w:t>
      </w:r>
      <w:r w:rsidR="00AE14EF" w:rsidRPr="00163B8D">
        <w:rPr>
          <w:color w:val="auto"/>
        </w:rPr>
        <w:t>ison of the</w:t>
      </w:r>
      <w:r w:rsidRPr="00163B8D">
        <w:rPr>
          <w:color w:val="auto"/>
        </w:rPr>
        <w:t xml:space="preserve"> experimental vectors to the empty vector; #</w:t>
      </w:r>
      <w:r w:rsidR="005C3363" w:rsidRPr="00163B8D">
        <w:rPr>
          <w:color w:val="auto"/>
        </w:rPr>
        <w:t>p</w:t>
      </w:r>
      <w:r w:rsidR="005C3363">
        <w:rPr>
          <w:color w:val="auto"/>
        </w:rPr>
        <w:t xml:space="preserve"> </w:t>
      </w:r>
      <w:r w:rsidRPr="00163B8D">
        <w:rPr>
          <w:color w:val="auto"/>
        </w:rPr>
        <w:t>&lt;</w:t>
      </w:r>
      <w:r w:rsidR="005C3363">
        <w:rPr>
          <w:color w:val="auto"/>
        </w:rPr>
        <w:t xml:space="preserve"> </w:t>
      </w:r>
      <w:r w:rsidRPr="00163B8D">
        <w:rPr>
          <w:color w:val="auto"/>
        </w:rPr>
        <w:t xml:space="preserve">0.05 </w:t>
      </w:r>
      <w:r w:rsidR="00AE14EF" w:rsidRPr="00163B8D">
        <w:rPr>
          <w:color w:val="auto"/>
        </w:rPr>
        <w:t xml:space="preserve">according to the </w:t>
      </w:r>
      <w:r w:rsidRPr="00163B8D">
        <w:rPr>
          <w:color w:val="auto"/>
        </w:rPr>
        <w:t xml:space="preserve">Mann-Whitney U-test </w:t>
      </w:r>
      <w:r w:rsidR="00AE14EF" w:rsidRPr="00163B8D">
        <w:rPr>
          <w:color w:val="auto"/>
        </w:rPr>
        <w:t xml:space="preserve">upon comparison of the </w:t>
      </w:r>
      <w:r w:rsidRPr="00163B8D">
        <w:rPr>
          <w:color w:val="auto"/>
        </w:rPr>
        <w:t xml:space="preserve">experimental vectors to the complete </w:t>
      </w:r>
      <w:r w:rsidR="00DB731E" w:rsidRPr="00163B8D">
        <w:rPr>
          <w:rFonts w:asciiTheme="minorHAnsi" w:hAnsiTheme="minorHAnsi" w:cstheme="minorHAnsi"/>
          <w:color w:val="auto"/>
        </w:rPr>
        <w:t>3’ UTR</w:t>
      </w:r>
      <w:r w:rsidRPr="00163B8D">
        <w:rPr>
          <w:color w:val="auto"/>
        </w:rPr>
        <w:t xml:space="preserve"> mutant; n</w:t>
      </w:r>
      <w:r w:rsidR="005C3363">
        <w:rPr>
          <w:color w:val="auto"/>
        </w:rPr>
        <w:t xml:space="preserve"> </w:t>
      </w:r>
      <w:r w:rsidRPr="00163B8D">
        <w:rPr>
          <w:color w:val="auto"/>
        </w:rPr>
        <w:t>≥</w:t>
      </w:r>
      <w:r w:rsidR="005C3363">
        <w:rPr>
          <w:color w:val="auto"/>
        </w:rPr>
        <w:t xml:space="preserve"> </w:t>
      </w:r>
      <w:r w:rsidRPr="00163B8D">
        <w:rPr>
          <w:color w:val="auto"/>
        </w:rPr>
        <w:t xml:space="preserve">6 for each experimental condition. Adapted from </w:t>
      </w:r>
      <w:r w:rsidR="00740733" w:rsidRPr="00EF4B5E">
        <w:rPr>
          <w:color w:val="auto"/>
        </w:rPr>
        <w:t>Figure</w:t>
      </w:r>
      <w:r w:rsidRPr="005C3363">
        <w:rPr>
          <w:color w:val="auto"/>
        </w:rPr>
        <w:t>s 5 and 7</w:t>
      </w:r>
      <w:r w:rsidRPr="00163B8D">
        <w:rPr>
          <w:color w:val="auto"/>
        </w:rPr>
        <w:t xml:space="preserve"> previously published in </w:t>
      </w:r>
      <w:proofErr w:type="spellStart"/>
      <w:r w:rsidRPr="00163B8D">
        <w:rPr>
          <w:color w:val="auto"/>
        </w:rPr>
        <w:t>Migneault</w:t>
      </w:r>
      <w:proofErr w:type="spellEnd"/>
      <w:r w:rsidRPr="00163B8D">
        <w:rPr>
          <w:color w:val="auto"/>
        </w:rPr>
        <w:t xml:space="preserve"> </w:t>
      </w:r>
      <w:r w:rsidRPr="00EF4B5E">
        <w:rPr>
          <w:color w:val="auto"/>
        </w:rPr>
        <w:t>et al</w:t>
      </w:r>
      <w:r w:rsidRPr="00E420FB">
        <w:rPr>
          <w:color w:val="auto"/>
        </w:rPr>
        <w:t>.</w:t>
      </w:r>
      <w:r w:rsidR="009C472A" w:rsidRPr="00163B8D">
        <w:rPr>
          <w:color w:val="auto"/>
          <w:vertAlign w:val="superscript"/>
        </w:rPr>
        <w:t>2</w:t>
      </w:r>
      <w:r w:rsidR="0005486A">
        <w:rPr>
          <w:color w:val="auto"/>
          <w:vertAlign w:val="superscript"/>
        </w:rPr>
        <w:t>4</w:t>
      </w:r>
      <w:r w:rsidRPr="00163B8D">
        <w:rPr>
          <w:color w:val="auto"/>
        </w:rPr>
        <w:t>.</w:t>
      </w:r>
    </w:p>
    <w:p w14:paraId="49EA6FE6" w14:textId="77777777" w:rsidR="006046C6" w:rsidRPr="00163B8D" w:rsidRDefault="006046C6" w:rsidP="00407434">
      <w:pPr>
        <w:rPr>
          <w:color w:val="auto"/>
        </w:rPr>
      </w:pPr>
    </w:p>
    <w:p w14:paraId="41D3A6CB" w14:textId="7ABE10AE" w:rsidR="006046C6" w:rsidRPr="00163B8D" w:rsidRDefault="00AF43F7" w:rsidP="00407434">
      <w:pPr>
        <w:rPr>
          <w:color w:val="auto"/>
        </w:rPr>
      </w:pPr>
      <w:bookmarkStart w:id="5" w:name="_Hlk14378463"/>
      <w:r w:rsidRPr="00163B8D">
        <w:rPr>
          <w:b/>
          <w:bCs/>
          <w:color w:val="auto"/>
        </w:rPr>
        <w:t>Table 1</w:t>
      </w:r>
      <w:r w:rsidR="00E420FB">
        <w:rPr>
          <w:b/>
          <w:bCs/>
          <w:color w:val="auto"/>
        </w:rPr>
        <w:t>:</w:t>
      </w:r>
      <w:r w:rsidRPr="00163B8D">
        <w:rPr>
          <w:b/>
          <w:bCs/>
          <w:color w:val="auto"/>
        </w:rPr>
        <w:t xml:space="preserve"> Primers used in this study. </w:t>
      </w:r>
      <w:bookmarkEnd w:id="5"/>
      <w:r w:rsidRPr="00163B8D">
        <w:rPr>
          <w:color w:val="auto"/>
        </w:rPr>
        <w:t>(</w:t>
      </w:r>
      <w:r w:rsidRPr="00163B8D">
        <w:rPr>
          <w:b/>
          <w:bCs/>
          <w:color w:val="auto"/>
        </w:rPr>
        <w:t>A</w:t>
      </w:r>
      <w:r w:rsidRPr="00163B8D">
        <w:rPr>
          <w:color w:val="auto"/>
        </w:rPr>
        <w:t xml:space="preserve">) Primers </w:t>
      </w:r>
      <w:r w:rsidR="000D32F1" w:rsidRPr="00163B8D">
        <w:rPr>
          <w:color w:val="auto"/>
        </w:rPr>
        <w:t xml:space="preserve">used </w:t>
      </w:r>
      <w:r w:rsidRPr="00163B8D">
        <w:rPr>
          <w:color w:val="auto"/>
        </w:rPr>
        <w:t xml:space="preserve">for cloning and generation of </w:t>
      </w:r>
      <w:r w:rsidR="000D32F1" w:rsidRPr="00163B8D">
        <w:rPr>
          <w:color w:val="auto"/>
        </w:rPr>
        <w:t xml:space="preserve">the </w:t>
      </w:r>
      <w:r w:rsidRPr="00163B8D">
        <w:rPr>
          <w:color w:val="auto"/>
        </w:rPr>
        <w:t xml:space="preserve">V5-αENaC mutants in the inducible </w:t>
      </w:r>
      <w:proofErr w:type="spellStart"/>
      <w:r w:rsidRPr="00163B8D">
        <w:rPr>
          <w:color w:val="auto"/>
        </w:rPr>
        <w:t>pTRE</w:t>
      </w:r>
      <w:proofErr w:type="spellEnd"/>
      <w:r w:rsidRPr="00163B8D">
        <w:rPr>
          <w:color w:val="auto"/>
        </w:rPr>
        <w:t>-tight vector. (</w:t>
      </w:r>
      <w:r w:rsidRPr="00163B8D">
        <w:rPr>
          <w:b/>
          <w:bCs/>
          <w:color w:val="auto"/>
        </w:rPr>
        <w:t>B</w:t>
      </w:r>
      <w:r w:rsidRPr="00163B8D">
        <w:rPr>
          <w:color w:val="auto"/>
        </w:rPr>
        <w:t xml:space="preserve">) Primers used for </w:t>
      </w:r>
      <w:r w:rsidR="000D32F1" w:rsidRPr="00163B8D">
        <w:rPr>
          <w:color w:val="auto"/>
        </w:rPr>
        <w:t xml:space="preserve">the </w:t>
      </w:r>
      <w:r w:rsidRPr="00163B8D">
        <w:rPr>
          <w:color w:val="auto"/>
        </w:rPr>
        <w:t>measurement of mRNA expression by quantitative RT-PCR</w:t>
      </w:r>
    </w:p>
    <w:p w14:paraId="6FB28439" w14:textId="77777777" w:rsidR="00345229" w:rsidRPr="00163B8D" w:rsidRDefault="00345229" w:rsidP="00407434">
      <w:pPr>
        <w:rPr>
          <w:rFonts w:asciiTheme="minorHAnsi" w:hAnsiTheme="minorHAnsi" w:cstheme="minorHAnsi"/>
          <w:color w:val="auto"/>
        </w:rPr>
      </w:pPr>
    </w:p>
    <w:p w14:paraId="2E876DAD" w14:textId="7C93AAC7" w:rsidR="006305D7" w:rsidRPr="00163B8D" w:rsidRDefault="00AF43F7" w:rsidP="00407434">
      <w:pPr>
        <w:rPr>
          <w:rFonts w:asciiTheme="minorHAnsi" w:hAnsiTheme="minorHAnsi" w:cstheme="minorHAnsi"/>
          <w:b/>
          <w:color w:val="auto"/>
        </w:rPr>
      </w:pPr>
      <w:r w:rsidRPr="00163B8D">
        <w:rPr>
          <w:rFonts w:asciiTheme="minorHAnsi" w:hAnsiTheme="minorHAnsi" w:cstheme="minorHAnsi"/>
          <w:b/>
          <w:bCs/>
          <w:color w:val="auto"/>
        </w:rPr>
        <w:t>DISCUSSION:</w:t>
      </w:r>
    </w:p>
    <w:p w14:paraId="1C876024" w14:textId="41668562" w:rsidR="002C424E" w:rsidRDefault="00AF43F7" w:rsidP="00407434">
      <w:pPr>
        <w:rPr>
          <w:rFonts w:asciiTheme="minorHAnsi" w:hAnsiTheme="minorHAnsi"/>
          <w:color w:val="auto"/>
          <w:szCs w:val="21"/>
        </w:rPr>
      </w:pPr>
      <w:r w:rsidRPr="00163B8D">
        <w:rPr>
          <w:rFonts w:asciiTheme="minorHAnsi" w:hAnsiTheme="minorHAnsi"/>
          <w:color w:val="auto"/>
          <w:szCs w:val="21"/>
        </w:rPr>
        <w:t>The low transfection rate of alveolar epithelial cells in primary culture</w:t>
      </w:r>
      <w:r w:rsidR="005F590E" w:rsidRPr="00163B8D">
        <w:rPr>
          <w:color w:val="auto"/>
        </w:rPr>
        <w:t xml:space="preserve"> </w:t>
      </w:r>
      <w:r w:rsidR="000D32F1" w:rsidRPr="00163B8D">
        <w:rPr>
          <w:color w:val="auto"/>
        </w:rPr>
        <w:t xml:space="preserve">has been </w:t>
      </w:r>
      <w:r w:rsidRPr="00163B8D">
        <w:rPr>
          <w:rFonts w:asciiTheme="minorHAnsi" w:hAnsiTheme="minorHAnsi"/>
          <w:color w:val="auto"/>
          <w:szCs w:val="21"/>
        </w:rPr>
        <w:t xml:space="preserve">a serious limitation for the use of </w:t>
      </w:r>
      <w:r w:rsidRPr="00163B8D">
        <w:rPr>
          <w:color w:val="auto"/>
          <w:szCs w:val="21"/>
        </w:rPr>
        <w:t xml:space="preserve">the </w:t>
      </w:r>
      <w:r w:rsidRPr="00163B8D">
        <w:rPr>
          <w:rFonts w:asciiTheme="minorHAnsi" w:hAnsiTheme="minorHAnsi"/>
          <w:color w:val="auto"/>
          <w:szCs w:val="21"/>
        </w:rPr>
        <w:t xml:space="preserve">Tet-Off system to assess mRNA stability in these cells. However, this limitation was </w:t>
      </w:r>
      <w:r w:rsidRPr="00163B8D">
        <w:rPr>
          <w:color w:val="auto"/>
          <w:szCs w:val="21"/>
        </w:rPr>
        <w:t>overcome</w:t>
      </w:r>
      <w:r w:rsidRPr="00163B8D">
        <w:rPr>
          <w:rFonts w:asciiTheme="minorHAnsi" w:hAnsiTheme="minorHAnsi"/>
          <w:color w:val="auto"/>
          <w:szCs w:val="21"/>
        </w:rPr>
        <w:t xml:space="preserve"> </w:t>
      </w:r>
      <w:r w:rsidR="000D32F1" w:rsidRPr="00163B8D">
        <w:rPr>
          <w:rFonts w:asciiTheme="minorHAnsi" w:hAnsiTheme="minorHAnsi"/>
          <w:color w:val="auto"/>
          <w:szCs w:val="21"/>
        </w:rPr>
        <w:t>by</w:t>
      </w:r>
      <w:r w:rsidRPr="00163B8D">
        <w:rPr>
          <w:rFonts w:asciiTheme="minorHAnsi" w:hAnsiTheme="minorHAnsi"/>
          <w:color w:val="auto"/>
          <w:szCs w:val="21"/>
        </w:rPr>
        <w:t xml:space="preserve"> pipette electroporation</w:t>
      </w:r>
      <w:r w:rsidRPr="00163B8D">
        <w:rPr>
          <w:color w:val="auto"/>
          <w:szCs w:val="21"/>
        </w:rPr>
        <w:t>,</w:t>
      </w:r>
      <w:r w:rsidRPr="00163B8D">
        <w:rPr>
          <w:rFonts w:asciiTheme="minorHAnsi" w:hAnsiTheme="minorHAnsi"/>
          <w:color w:val="auto"/>
          <w:szCs w:val="21"/>
        </w:rPr>
        <w:t xml:space="preserve"> allowing a 25</w:t>
      </w:r>
      <w:r w:rsidR="005C3363" w:rsidRPr="005C3363">
        <w:rPr>
          <w:rFonts w:asciiTheme="minorHAnsi" w:hAnsiTheme="minorHAnsi"/>
          <w:color w:val="auto"/>
          <w:szCs w:val="21"/>
        </w:rPr>
        <w:t>–</w:t>
      </w:r>
      <w:r w:rsidRPr="00163B8D">
        <w:rPr>
          <w:rFonts w:asciiTheme="minorHAnsi" w:hAnsiTheme="minorHAnsi"/>
          <w:color w:val="auto"/>
          <w:szCs w:val="21"/>
        </w:rPr>
        <w:t>30% transfection efficiency (</w:t>
      </w:r>
      <w:r w:rsidR="001A55FC" w:rsidRPr="00163B8D">
        <w:rPr>
          <w:rFonts w:asciiTheme="minorHAnsi" w:hAnsiTheme="minorHAnsi"/>
          <w:b/>
          <w:color w:val="auto"/>
          <w:szCs w:val="21"/>
        </w:rPr>
        <w:t xml:space="preserve">Figure 1 </w:t>
      </w:r>
      <w:r w:rsidR="001A55FC" w:rsidRPr="00EF4B5E">
        <w:rPr>
          <w:rFonts w:asciiTheme="minorHAnsi" w:hAnsiTheme="minorHAnsi"/>
          <w:bCs/>
          <w:color w:val="auto"/>
          <w:szCs w:val="21"/>
        </w:rPr>
        <w:t>and</w:t>
      </w:r>
      <w:r w:rsidR="001A55FC" w:rsidRPr="00163B8D">
        <w:rPr>
          <w:rFonts w:asciiTheme="minorHAnsi" w:hAnsiTheme="minorHAnsi"/>
          <w:b/>
          <w:color w:val="auto"/>
          <w:szCs w:val="21"/>
        </w:rPr>
        <w:t xml:space="preserve"> </w:t>
      </w:r>
      <w:r w:rsidR="005C3363" w:rsidRPr="00163B8D">
        <w:rPr>
          <w:rFonts w:asciiTheme="minorHAnsi" w:hAnsiTheme="minorHAnsi"/>
          <w:b/>
          <w:color w:val="auto"/>
          <w:szCs w:val="21"/>
        </w:rPr>
        <w:t xml:space="preserve">Figure </w:t>
      </w:r>
      <w:r w:rsidR="001A55FC" w:rsidRPr="00163B8D">
        <w:rPr>
          <w:rFonts w:asciiTheme="minorHAnsi" w:hAnsiTheme="minorHAnsi"/>
          <w:b/>
          <w:color w:val="auto"/>
          <w:szCs w:val="21"/>
        </w:rPr>
        <w:t>3</w:t>
      </w:r>
      <w:r w:rsidRPr="00163B8D">
        <w:rPr>
          <w:rFonts w:asciiTheme="minorHAnsi" w:hAnsiTheme="minorHAnsi"/>
          <w:color w:val="auto"/>
          <w:szCs w:val="21"/>
        </w:rPr>
        <w:t>)</w:t>
      </w:r>
      <w:r w:rsidR="009C472A" w:rsidRPr="00163B8D">
        <w:rPr>
          <w:rFonts w:asciiTheme="minorHAnsi" w:hAnsiTheme="minorHAnsi"/>
          <w:color w:val="auto"/>
          <w:vertAlign w:val="superscript"/>
          <w:lang w:eastAsia="fr-CA"/>
        </w:rPr>
        <w:t>2</w:t>
      </w:r>
      <w:r w:rsidR="0005486A">
        <w:rPr>
          <w:rFonts w:asciiTheme="minorHAnsi" w:hAnsiTheme="minorHAnsi"/>
          <w:color w:val="auto"/>
          <w:vertAlign w:val="superscript"/>
          <w:lang w:eastAsia="fr-CA"/>
        </w:rPr>
        <w:t>6</w:t>
      </w:r>
      <w:r w:rsidR="009B0853" w:rsidRPr="00163B8D">
        <w:rPr>
          <w:rFonts w:asciiTheme="minorHAnsi" w:hAnsiTheme="minorHAnsi"/>
          <w:color w:val="auto"/>
          <w:szCs w:val="21"/>
        </w:rPr>
        <w:t>.</w:t>
      </w:r>
    </w:p>
    <w:p w14:paraId="06C0B0DE" w14:textId="77777777" w:rsidR="00407434" w:rsidRPr="00163B8D" w:rsidRDefault="00407434" w:rsidP="00407434">
      <w:pPr>
        <w:rPr>
          <w:rFonts w:asciiTheme="minorHAnsi" w:hAnsiTheme="minorHAnsi"/>
          <w:color w:val="auto"/>
          <w:szCs w:val="21"/>
        </w:rPr>
      </w:pPr>
    </w:p>
    <w:p w14:paraId="107FF3D6" w14:textId="377E1D19" w:rsidR="00C2757A" w:rsidRDefault="000D32F1" w:rsidP="00407434">
      <w:pPr>
        <w:rPr>
          <w:rFonts w:asciiTheme="minorHAnsi" w:hAnsiTheme="minorHAnsi"/>
          <w:color w:val="auto"/>
          <w:szCs w:val="21"/>
        </w:rPr>
      </w:pPr>
      <w:r w:rsidRPr="00163B8D">
        <w:rPr>
          <w:rFonts w:asciiTheme="minorHAnsi" w:hAnsiTheme="minorHAnsi"/>
          <w:color w:val="auto"/>
          <w:szCs w:val="21"/>
        </w:rPr>
        <w:lastRenderedPageBreak/>
        <w:t>The m</w:t>
      </w:r>
      <w:r w:rsidR="00AF43F7" w:rsidRPr="00163B8D">
        <w:rPr>
          <w:rFonts w:asciiTheme="minorHAnsi" w:hAnsiTheme="minorHAnsi"/>
          <w:color w:val="auto"/>
          <w:szCs w:val="21"/>
        </w:rPr>
        <w:t xml:space="preserve">easurement of transcript stability is fundamental to </w:t>
      </w:r>
      <w:r w:rsidR="00AF43F7" w:rsidRPr="00163B8D">
        <w:rPr>
          <w:color w:val="auto"/>
          <w:szCs w:val="21"/>
        </w:rPr>
        <w:t>understanding</w:t>
      </w:r>
      <w:r w:rsidR="00AF43F7" w:rsidRPr="00163B8D">
        <w:rPr>
          <w:rFonts w:asciiTheme="minorHAnsi" w:hAnsiTheme="minorHAnsi"/>
          <w:color w:val="auto"/>
          <w:szCs w:val="21"/>
        </w:rPr>
        <w:t xml:space="preserve"> the modulation of a given mRNA and its impact on cell homeostasis and metabolism. Variation in the bioavailability of a GOI may change </w:t>
      </w:r>
      <w:r w:rsidRPr="00163B8D">
        <w:rPr>
          <w:rFonts w:asciiTheme="minorHAnsi" w:hAnsiTheme="minorHAnsi"/>
          <w:color w:val="auto"/>
          <w:szCs w:val="21"/>
        </w:rPr>
        <w:t xml:space="preserve">the </w:t>
      </w:r>
      <w:r w:rsidR="00AF43F7" w:rsidRPr="00163B8D">
        <w:rPr>
          <w:rFonts w:asciiTheme="minorHAnsi" w:hAnsiTheme="minorHAnsi"/>
          <w:color w:val="auto"/>
          <w:szCs w:val="21"/>
        </w:rPr>
        <w:t>translation efficiency and have a direct impact on expression</w:t>
      </w:r>
      <w:r w:rsidRPr="00163B8D">
        <w:rPr>
          <w:rFonts w:asciiTheme="minorHAnsi" w:hAnsiTheme="minorHAnsi"/>
          <w:color w:val="auto"/>
          <w:szCs w:val="21"/>
        </w:rPr>
        <w:t xml:space="preserve"> of the</w:t>
      </w:r>
      <w:r w:rsidR="00AF43F7" w:rsidRPr="00163B8D">
        <w:rPr>
          <w:rFonts w:asciiTheme="minorHAnsi" w:hAnsiTheme="minorHAnsi"/>
          <w:color w:val="auto"/>
          <w:szCs w:val="21"/>
        </w:rPr>
        <w:t xml:space="preserve"> </w:t>
      </w:r>
      <w:r w:rsidRPr="00163B8D">
        <w:rPr>
          <w:rFonts w:asciiTheme="minorHAnsi" w:hAnsiTheme="minorHAnsi"/>
          <w:color w:val="auto"/>
          <w:szCs w:val="21"/>
        </w:rPr>
        <w:t xml:space="preserve">GOI </w:t>
      </w:r>
      <w:r w:rsidR="00AF43F7" w:rsidRPr="00163B8D">
        <w:rPr>
          <w:rFonts w:asciiTheme="minorHAnsi" w:hAnsiTheme="minorHAnsi"/>
          <w:color w:val="auto"/>
          <w:szCs w:val="21"/>
        </w:rPr>
        <w:t xml:space="preserve">in the cell. For these reasons, several techniques have been developed to determine the half-life of mRNAs. As discussed above, each of these techniques </w:t>
      </w:r>
      <w:r w:rsidR="00AF43F7" w:rsidRPr="00163B8D">
        <w:rPr>
          <w:color w:val="auto"/>
          <w:szCs w:val="21"/>
        </w:rPr>
        <w:t>has</w:t>
      </w:r>
      <w:r w:rsidR="00AF43F7" w:rsidRPr="00163B8D">
        <w:rPr>
          <w:rFonts w:asciiTheme="minorHAnsi" w:hAnsiTheme="minorHAnsi"/>
          <w:color w:val="auto"/>
          <w:szCs w:val="21"/>
        </w:rPr>
        <w:t xml:space="preserve"> limitations and constraints that prevent the proper study of a transcript of interest. Compared to other techniques, the TET-off model developed here has the advantage </w:t>
      </w:r>
      <w:r w:rsidR="00AF43F7" w:rsidRPr="00163B8D">
        <w:rPr>
          <w:color w:val="auto"/>
          <w:szCs w:val="21"/>
        </w:rPr>
        <w:t>of allowing</w:t>
      </w:r>
      <w:r w:rsidR="00AF43F7" w:rsidRPr="00163B8D">
        <w:rPr>
          <w:rFonts w:asciiTheme="minorHAnsi" w:hAnsiTheme="minorHAnsi"/>
          <w:color w:val="auto"/>
          <w:szCs w:val="21"/>
        </w:rPr>
        <w:t xml:space="preserve"> </w:t>
      </w:r>
      <w:r w:rsidRPr="00163B8D">
        <w:rPr>
          <w:rFonts w:asciiTheme="minorHAnsi" w:hAnsiTheme="minorHAnsi"/>
          <w:color w:val="auto"/>
          <w:szCs w:val="21"/>
        </w:rPr>
        <w:t xml:space="preserve">the </w:t>
      </w:r>
      <w:r w:rsidR="00AF43F7" w:rsidRPr="00163B8D">
        <w:rPr>
          <w:rFonts w:asciiTheme="minorHAnsi" w:hAnsiTheme="minorHAnsi"/>
          <w:color w:val="auto"/>
          <w:szCs w:val="21"/>
        </w:rPr>
        <w:t xml:space="preserve">half-life estimation of a given mRNA under any experimental condition. However, it does not allow </w:t>
      </w:r>
      <w:r w:rsidR="00AF43F7" w:rsidRPr="00163B8D">
        <w:rPr>
          <w:color w:val="auto"/>
          <w:szCs w:val="21"/>
        </w:rPr>
        <w:t xml:space="preserve">us </w:t>
      </w:r>
      <w:r w:rsidR="00AF43F7" w:rsidRPr="00163B8D">
        <w:rPr>
          <w:rFonts w:asciiTheme="minorHAnsi" w:hAnsiTheme="minorHAnsi"/>
          <w:color w:val="auto"/>
          <w:szCs w:val="21"/>
        </w:rPr>
        <w:t>to</w:t>
      </w:r>
      <w:r w:rsidR="00AF43F7" w:rsidRPr="00163B8D">
        <w:rPr>
          <w:color w:val="auto"/>
          <w:szCs w:val="21"/>
        </w:rPr>
        <w:t xml:space="preserve"> directly</w:t>
      </w:r>
      <w:r w:rsidR="00AF43F7" w:rsidRPr="00163B8D">
        <w:rPr>
          <w:rFonts w:asciiTheme="minorHAnsi" w:hAnsiTheme="minorHAnsi"/>
          <w:color w:val="auto"/>
          <w:szCs w:val="21"/>
        </w:rPr>
        <w:t xml:space="preserve"> study the stability of an endogenous transcript. To overcome this limitation as much as possible, it is suggested to include the 5’ UTR and 3’ UTR sequences of the transcript </w:t>
      </w:r>
      <w:r w:rsidRPr="00163B8D">
        <w:rPr>
          <w:rFonts w:asciiTheme="minorHAnsi" w:hAnsiTheme="minorHAnsi"/>
          <w:color w:val="auto"/>
          <w:szCs w:val="21"/>
        </w:rPr>
        <w:t xml:space="preserve">in </w:t>
      </w:r>
      <w:r w:rsidR="00AF43F7" w:rsidRPr="00163B8D">
        <w:rPr>
          <w:rFonts w:asciiTheme="minorHAnsi" w:hAnsiTheme="minorHAnsi"/>
          <w:color w:val="auto"/>
          <w:szCs w:val="21"/>
        </w:rPr>
        <w:t xml:space="preserve">the plasmid so that the construct is as </w:t>
      </w:r>
      <w:r w:rsidRPr="00163B8D">
        <w:rPr>
          <w:rFonts w:asciiTheme="minorHAnsi" w:hAnsiTheme="minorHAnsi"/>
          <w:color w:val="auto"/>
          <w:szCs w:val="21"/>
        </w:rPr>
        <w:t xml:space="preserve">similar </w:t>
      </w:r>
      <w:r w:rsidR="00AF43F7" w:rsidRPr="00163B8D">
        <w:rPr>
          <w:rFonts w:asciiTheme="minorHAnsi" w:hAnsiTheme="minorHAnsi"/>
          <w:color w:val="auto"/>
          <w:szCs w:val="21"/>
        </w:rPr>
        <w:t xml:space="preserve">as possible to the endogenous transcripts. </w:t>
      </w:r>
      <w:r w:rsidR="005F590E" w:rsidRPr="00163B8D">
        <w:rPr>
          <w:rFonts w:asciiTheme="minorHAnsi" w:hAnsiTheme="minorHAnsi"/>
          <w:color w:val="auto"/>
          <w:szCs w:val="21"/>
        </w:rPr>
        <w:t xml:space="preserve">The addition of the V5 epitope allows the specific amplification of the target mRNA by RT-qPCR </w:t>
      </w:r>
      <w:r w:rsidRPr="00163B8D">
        <w:rPr>
          <w:rFonts w:asciiTheme="minorHAnsi" w:hAnsiTheme="minorHAnsi"/>
          <w:color w:val="auto"/>
          <w:szCs w:val="21"/>
        </w:rPr>
        <w:t>versus that of</w:t>
      </w:r>
      <w:r w:rsidR="005F590E" w:rsidRPr="00163B8D">
        <w:rPr>
          <w:rFonts w:asciiTheme="minorHAnsi" w:hAnsiTheme="minorHAnsi"/>
          <w:color w:val="auto"/>
          <w:szCs w:val="21"/>
        </w:rPr>
        <w:t xml:space="preserve"> the endogenous transcript. Regarding the cloning strategy, the choice of the sequence inserted upstream of the gene of interest is crucial to prevent the amplification of </w:t>
      </w:r>
      <w:r w:rsidR="00AF43F7" w:rsidRPr="00163B8D">
        <w:rPr>
          <w:rFonts w:asciiTheme="minorHAnsi" w:hAnsiTheme="minorHAnsi"/>
          <w:color w:val="auto"/>
          <w:szCs w:val="21"/>
        </w:rPr>
        <w:t>nons</w:t>
      </w:r>
      <w:r w:rsidR="005F590E" w:rsidRPr="00163B8D">
        <w:rPr>
          <w:rFonts w:asciiTheme="minorHAnsi" w:hAnsiTheme="minorHAnsi"/>
          <w:color w:val="auto"/>
          <w:szCs w:val="21"/>
        </w:rPr>
        <w:t xml:space="preserve">pecific signals. The </w:t>
      </w:r>
      <w:r w:rsidRPr="00163B8D">
        <w:rPr>
          <w:rFonts w:asciiTheme="minorHAnsi" w:hAnsiTheme="minorHAnsi"/>
          <w:color w:val="auto"/>
          <w:szCs w:val="21"/>
        </w:rPr>
        <w:t xml:space="preserve">addition of the </w:t>
      </w:r>
      <w:r w:rsidR="005F590E" w:rsidRPr="00163B8D">
        <w:rPr>
          <w:rFonts w:asciiTheme="minorHAnsi" w:hAnsiTheme="minorHAnsi"/>
          <w:color w:val="auto"/>
          <w:szCs w:val="21"/>
        </w:rPr>
        <w:t xml:space="preserve">V5 epitope sequence 5’ of the ORF is </w:t>
      </w:r>
      <w:r w:rsidRPr="00163B8D">
        <w:rPr>
          <w:rFonts w:asciiTheme="minorHAnsi" w:hAnsiTheme="minorHAnsi"/>
          <w:color w:val="auto"/>
          <w:szCs w:val="21"/>
        </w:rPr>
        <w:t xml:space="preserve">necessary </w:t>
      </w:r>
      <w:r w:rsidR="005F590E" w:rsidRPr="00163B8D">
        <w:rPr>
          <w:rFonts w:asciiTheme="minorHAnsi" w:hAnsiTheme="minorHAnsi"/>
          <w:color w:val="auto"/>
          <w:szCs w:val="21"/>
        </w:rPr>
        <w:t xml:space="preserve">for the specific qPCR amplification of the construct </w:t>
      </w:r>
      <w:r w:rsidRPr="00163B8D">
        <w:rPr>
          <w:rFonts w:asciiTheme="minorHAnsi" w:hAnsiTheme="minorHAnsi"/>
          <w:color w:val="auto"/>
          <w:szCs w:val="21"/>
        </w:rPr>
        <w:t xml:space="preserve">due to </w:t>
      </w:r>
      <w:r w:rsidR="005F590E" w:rsidRPr="00163B8D">
        <w:rPr>
          <w:rFonts w:asciiTheme="minorHAnsi" w:hAnsiTheme="minorHAnsi"/>
          <w:color w:val="auto"/>
          <w:szCs w:val="21"/>
        </w:rPr>
        <w:t xml:space="preserve">its short length and the lack of its expression in alveolar epithelial cells. This strategy also </w:t>
      </w:r>
      <w:r w:rsidR="00AF43F7" w:rsidRPr="00163B8D">
        <w:rPr>
          <w:color w:val="auto"/>
          <w:szCs w:val="21"/>
        </w:rPr>
        <w:t>provides</w:t>
      </w:r>
      <w:r w:rsidR="005F590E" w:rsidRPr="00163B8D">
        <w:rPr>
          <w:rFonts w:asciiTheme="minorHAnsi" w:hAnsiTheme="minorHAnsi"/>
          <w:color w:val="auto"/>
          <w:szCs w:val="21"/>
        </w:rPr>
        <w:t xml:space="preserve"> the opportunity to study the modulation of protein translation using the same inducible system. Despite the </w:t>
      </w:r>
      <w:r w:rsidRPr="00163B8D">
        <w:rPr>
          <w:rFonts w:asciiTheme="minorHAnsi" w:hAnsiTheme="minorHAnsi"/>
          <w:color w:val="auto"/>
          <w:szCs w:val="21"/>
        </w:rPr>
        <w:t xml:space="preserve">small </w:t>
      </w:r>
      <w:r w:rsidR="005F590E" w:rsidRPr="00163B8D">
        <w:rPr>
          <w:rFonts w:asciiTheme="minorHAnsi" w:hAnsiTheme="minorHAnsi"/>
          <w:color w:val="auto"/>
          <w:szCs w:val="21"/>
        </w:rPr>
        <w:t xml:space="preserve">size of the V5 epitope (42 </w:t>
      </w:r>
      <w:proofErr w:type="spellStart"/>
      <w:r w:rsidR="005F590E" w:rsidRPr="00163B8D">
        <w:rPr>
          <w:rFonts w:asciiTheme="minorHAnsi" w:hAnsiTheme="minorHAnsi"/>
          <w:color w:val="auto"/>
          <w:szCs w:val="21"/>
        </w:rPr>
        <w:t>nt</w:t>
      </w:r>
      <w:proofErr w:type="spellEnd"/>
      <w:r w:rsidR="005F590E" w:rsidRPr="00163B8D">
        <w:rPr>
          <w:rFonts w:asciiTheme="minorHAnsi" w:hAnsiTheme="minorHAnsi"/>
          <w:color w:val="auto"/>
          <w:szCs w:val="21"/>
        </w:rPr>
        <w:t xml:space="preserve">), it </w:t>
      </w:r>
      <w:r w:rsidR="00640D68">
        <w:rPr>
          <w:rFonts w:asciiTheme="minorHAnsi" w:hAnsiTheme="minorHAnsi"/>
          <w:color w:val="auto"/>
          <w:szCs w:val="21"/>
        </w:rPr>
        <w:t xml:space="preserve">is still possible </w:t>
      </w:r>
      <w:r w:rsidR="005F590E" w:rsidRPr="00163B8D">
        <w:rPr>
          <w:rFonts w:asciiTheme="minorHAnsi" w:hAnsiTheme="minorHAnsi"/>
          <w:color w:val="auto"/>
          <w:szCs w:val="21"/>
        </w:rPr>
        <w:t>that this may affect the stability of transcription. For this reason</w:t>
      </w:r>
      <w:r w:rsidR="00AF43F7" w:rsidRPr="00163B8D">
        <w:rPr>
          <w:color w:val="auto"/>
          <w:szCs w:val="21"/>
        </w:rPr>
        <w:t>,</w:t>
      </w:r>
      <w:r w:rsidR="005F590E" w:rsidRPr="00163B8D">
        <w:rPr>
          <w:rFonts w:asciiTheme="minorHAnsi" w:hAnsiTheme="minorHAnsi"/>
          <w:color w:val="auto"/>
          <w:szCs w:val="21"/>
        </w:rPr>
        <w:t xml:space="preserve"> it is suggested to also test other </w:t>
      </w:r>
      <w:r w:rsidR="00AF43F7" w:rsidRPr="00163B8D">
        <w:rPr>
          <w:color w:val="auto"/>
          <w:szCs w:val="21"/>
        </w:rPr>
        <w:t>epitopes,</w:t>
      </w:r>
      <w:r w:rsidR="005F590E" w:rsidRPr="00163B8D">
        <w:rPr>
          <w:rFonts w:asciiTheme="minorHAnsi" w:hAnsiTheme="minorHAnsi"/>
          <w:color w:val="auto"/>
          <w:szCs w:val="21"/>
        </w:rPr>
        <w:t xml:space="preserve"> such as human influenza hemagglutinin (HA) or any </w:t>
      </w:r>
      <w:r w:rsidRPr="00163B8D">
        <w:rPr>
          <w:rFonts w:asciiTheme="minorHAnsi" w:hAnsiTheme="minorHAnsi"/>
          <w:color w:val="auto"/>
          <w:szCs w:val="21"/>
        </w:rPr>
        <w:t xml:space="preserve">other </w:t>
      </w:r>
      <w:r w:rsidR="005F590E" w:rsidRPr="00163B8D">
        <w:rPr>
          <w:rFonts w:asciiTheme="minorHAnsi" w:hAnsiTheme="minorHAnsi"/>
          <w:color w:val="auto"/>
          <w:szCs w:val="21"/>
        </w:rPr>
        <w:t>sequence not found in the transcriptome of alveolar epithelial cells.</w:t>
      </w:r>
    </w:p>
    <w:p w14:paraId="57A8F57C" w14:textId="77777777" w:rsidR="00407434" w:rsidRPr="00163B8D" w:rsidRDefault="00407434" w:rsidP="00407434">
      <w:pPr>
        <w:rPr>
          <w:rFonts w:asciiTheme="minorHAnsi" w:hAnsiTheme="minorHAnsi"/>
          <w:color w:val="auto"/>
          <w:szCs w:val="21"/>
        </w:rPr>
      </w:pPr>
    </w:p>
    <w:p w14:paraId="17BA1968" w14:textId="4A3F2264" w:rsidR="002C424E" w:rsidRDefault="00AF43F7" w:rsidP="00407434">
      <w:pPr>
        <w:rPr>
          <w:rFonts w:asciiTheme="minorHAnsi" w:hAnsiTheme="minorHAnsi"/>
          <w:color w:val="auto"/>
          <w:szCs w:val="21"/>
        </w:rPr>
      </w:pPr>
      <w:r w:rsidRPr="00163B8D">
        <w:rPr>
          <w:rFonts w:asciiTheme="minorHAnsi" w:hAnsiTheme="minorHAnsi"/>
          <w:color w:val="auto"/>
          <w:szCs w:val="21"/>
        </w:rPr>
        <w:t xml:space="preserve">One limitation of the system is the use of doxycycline to inhibit </w:t>
      </w:r>
      <w:r w:rsidR="000D32F1" w:rsidRPr="00163B8D">
        <w:rPr>
          <w:rFonts w:asciiTheme="minorHAnsi" w:hAnsiTheme="minorHAnsi"/>
          <w:color w:val="auto"/>
          <w:szCs w:val="21"/>
        </w:rPr>
        <w:t xml:space="preserve">the </w:t>
      </w:r>
      <w:r w:rsidRPr="00163B8D">
        <w:rPr>
          <w:rFonts w:asciiTheme="minorHAnsi" w:hAnsiTheme="minorHAnsi"/>
          <w:color w:val="auto"/>
          <w:szCs w:val="21"/>
        </w:rPr>
        <w:t xml:space="preserve">transcription of a GOI. Several reports show that doxycycline could have a significant impact on cell metabolism. The use of this antibiotic </w:t>
      </w:r>
      <w:r w:rsidR="000D32F1" w:rsidRPr="00163B8D">
        <w:rPr>
          <w:rFonts w:asciiTheme="minorHAnsi" w:hAnsiTheme="minorHAnsi"/>
          <w:color w:val="auto"/>
          <w:szCs w:val="21"/>
        </w:rPr>
        <w:t xml:space="preserve">in </w:t>
      </w:r>
      <w:r w:rsidRPr="00163B8D">
        <w:rPr>
          <w:rFonts w:asciiTheme="minorHAnsi" w:hAnsiTheme="minorHAnsi"/>
          <w:color w:val="auto"/>
          <w:szCs w:val="21"/>
        </w:rPr>
        <w:t xml:space="preserve">16HBE14 bronchial cells </w:t>
      </w:r>
      <w:r w:rsidR="000D32F1" w:rsidRPr="00163B8D">
        <w:rPr>
          <w:rFonts w:asciiTheme="minorHAnsi" w:hAnsiTheme="minorHAnsi"/>
          <w:color w:val="auto"/>
          <w:szCs w:val="21"/>
        </w:rPr>
        <w:t>reduces</w:t>
      </w:r>
      <w:r w:rsidRPr="00163B8D">
        <w:rPr>
          <w:rFonts w:asciiTheme="minorHAnsi" w:hAnsiTheme="minorHAnsi"/>
          <w:color w:val="auto"/>
          <w:szCs w:val="21"/>
        </w:rPr>
        <w:t xml:space="preserve"> proliferation and increases mortality </w:t>
      </w:r>
      <w:r w:rsidR="000D32F1" w:rsidRPr="00163B8D">
        <w:rPr>
          <w:rFonts w:asciiTheme="minorHAnsi" w:hAnsiTheme="minorHAnsi"/>
          <w:color w:val="auto"/>
          <w:szCs w:val="21"/>
        </w:rPr>
        <w:t xml:space="preserve">due to </w:t>
      </w:r>
      <w:r w:rsidRPr="00163B8D">
        <w:rPr>
          <w:rFonts w:asciiTheme="minorHAnsi" w:hAnsiTheme="minorHAnsi"/>
          <w:color w:val="auto"/>
          <w:szCs w:val="21"/>
        </w:rPr>
        <w:t>apoptosis</w:t>
      </w:r>
      <w:r w:rsidR="009C472A" w:rsidRPr="00163B8D">
        <w:rPr>
          <w:rFonts w:asciiTheme="minorHAnsi" w:hAnsiTheme="minorHAnsi"/>
          <w:color w:val="auto"/>
          <w:vertAlign w:val="superscript"/>
          <w:lang w:eastAsia="fr-CA"/>
        </w:rPr>
        <w:t>2</w:t>
      </w:r>
      <w:r w:rsidR="0005486A">
        <w:rPr>
          <w:rFonts w:asciiTheme="minorHAnsi" w:hAnsiTheme="minorHAnsi"/>
          <w:color w:val="auto"/>
          <w:vertAlign w:val="superscript"/>
          <w:lang w:eastAsia="fr-CA"/>
        </w:rPr>
        <w:t>7</w:t>
      </w:r>
      <w:r w:rsidRPr="00163B8D">
        <w:rPr>
          <w:rFonts w:asciiTheme="minorHAnsi" w:hAnsiTheme="minorHAnsi"/>
          <w:color w:val="auto"/>
          <w:szCs w:val="21"/>
        </w:rPr>
        <w:t xml:space="preserve">. In addition, doxycycline has already been </w:t>
      </w:r>
      <w:r w:rsidR="000D32F1" w:rsidRPr="00163B8D">
        <w:rPr>
          <w:rFonts w:asciiTheme="minorHAnsi" w:hAnsiTheme="minorHAnsi"/>
          <w:color w:val="auto"/>
          <w:szCs w:val="21"/>
        </w:rPr>
        <w:t xml:space="preserve">shown to be </w:t>
      </w:r>
      <w:r w:rsidRPr="00163B8D">
        <w:rPr>
          <w:rFonts w:asciiTheme="minorHAnsi" w:hAnsiTheme="minorHAnsi"/>
          <w:color w:val="auto"/>
          <w:szCs w:val="21"/>
        </w:rPr>
        <w:t>involved in the modulation of the LPS inflammatory response</w:t>
      </w:r>
      <w:r w:rsidR="009C472A" w:rsidRPr="00163B8D">
        <w:rPr>
          <w:rFonts w:asciiTheme="minorHAnsi" w:hAnsiTheme="minorHAnsi"/>
          <w:color w:val="auto"/>
          <w:vertAlign w:val="superscript"/>
          <w:lang w:eastAsia="fr-CA"/>
        </w:rPr>
        <w:t>2</w:t>
      </w:r>
      <w:r w:rsidR="0005486A">
        <w:rPr>
          <w:rFonts w:asciiTheme="minorHAnsi" w:hAnsiTheme="minorHAnsi"/>
          <w:color w:val="auto"/>
          <w:vertAlign w:val="superscript"/>
          <w:lang w:eastAsia="fr-CA"/>
        </w:rPr>
        <w:t>8</w:t>
      </w:r>
      <w:r w:rsidR="0077254D" w:rsidRPr="00163B8D">
        <w:rPr>
          <w:rFonts w:asciiTheme="minorHAnsi" w:hAnsiTheme="minorHAnsi"/>
          <w:color w:val="auto"/>
          <w:szCs w:val="21"/>
        </w:rPr>
        <w:t xml:space="preserve">. Therefore, this antibiotic could have off-target effects that may </w:t>
      </w:r>
      <w:r w:rsidR="00DB731E" w:rsidRPr="00163B8D">
        <w:rPr>
          <w:rFonts w:asciiTheme="minorHAnsi" w:hAnsiTheme="minorHAnsi"/>
          <w:color w:val="auto"/>
          <w:szCs w:val="21"/>
        </w:rPr>
        <w:t>a</w:t>
      </w:r>
      <w:r w:rsidR="000D32F1" w:rsidRPr="00163B8D">
        <w:rPr>
          <w:rFonts w:asciiTheme="minorHAnsi" w:hAnsiTheme="minorHAnsi"/>
          <w:color w:val="auto"/>
          <w:szCs w:val="21"/>
        </w:rPr>
        <w:t xml:space="preserve">ffect </w:t>
      </w:r>
      <w:r w:rsidR="0077254D" w:rsidRPr="00163B8D">
        <w:rPr>
          <w:rFonts w:asciiTheme="minorHAnsi" w:hAnsiTheme="minorHAnsi"/>
          <w:color w:val="auto"/>
          <w:szCs w:val="21"/>
        </w:rPr>
        <w:t>the mRNA stability of a given GOI. For these reasons, we assessed the impact of 1 µg/mL doxycycline over a 24</w:t>
      </w:r>
      <w:r w:rsidR="00640D68">
        <w:rPr>
          <w:rFonts w:asciiTheme="minorHAnsi" w:hAnsiTheme="minorHAnsi"/>
          <w:color w:val="auto"/>
          <w:szCs w:val="21"/>
        </w:rPr>
        <w:t xml:space="preserve"> </w:t>
      </w:r>
      <w:r w:rsidR="00362D8B">
        <w:rPr>
          <w:rFonts w:asciiTheme="minorHAnsi" w:hAnsiTheme="minorHAnsi"/>
          <w:color w:val="auto"/>
          <w:szCs w:val="21"/>
        </w:rPr>
        <w:t>h</w:t>
      </w:r>
      <w:r w:rsidR="0077254D" w:rsidRPr="00163B8D">
        <w:rPr>
          <w:rFonts w:asciiTheme="minorHAnsi" w:hAnsiTheme="minorHAnsi"/>
          <w:color w:val="auto"/>
          <w:szCs w:val="21"/>
        </w:rPr>
        <w:t xml:space="preserve"> period </w:t>
      </w:r>
      <w:r w:rsidR="000D32F1" w:rsidRPr="00163B8D">
        <w:rPr>
          <w:rFonts w:asciiTheme="minorHAnsi" w:hAnsiTheme="minorHAnsi"/>
          <w:color w:val="auto"/>
          <w:szCs w:val="21"/>
        </w:rPr>
        <w:t xml:space="preserve">on </w:t>
      </w:r>
      <w:proofErr w:type="spellStart"/>
      <w:r w:rsidRPr="00163B8D">
        <w:rPr>
          <w:rFonts w:asciiTheme="minorHAnsi" w:hAnsiTheme="minorHAnsi"/>
          <w:color w:val="auto"/>
          <w:szCs w:val="21"/>
        </w:rPr>
        <w:t>nont</w:t>
      </w:r>
      <w:r w:rsidR="0077254D" w:rsidRPr="00163B8D">
        <w:rPr>
          <w:rFonts w:asciiTheme="minorHAnsi" w:hAnsiTheme="minorHAnsi"/>
          <w:color w:val="auto"/>
          <w:szCs w:val="21"/>
        </w:rPr>
        <w:t>ransfected</w:t>
      </w:r>
      <w:proofErr w:type="spellEnd"/>
      <w:r w:rsidR="0077254D" w:rsidRPr="00163B8D">
        <w:rPr>
          <w:rFonts w:asciiTheme="minorHAnsi" w:hAnsiTheme="minorHAnsi"/>
          <w:color w:val="auto"/>
          <w:szCs w:val="21"/>
        </w:rPr>
        <w:t xml:space="preserve"> cells and found that it did not induce any change in endogenous </w:t>
      </w:r>
      <w:r w:rsidR="00CE02A4" w:rsidRPr="00163B8D">
        <w:rPr>
          <w:rFonts w:asciiTheme="minorHAnsi" w:hAnsiTheme="minorHAnsi"/>
          <w:color w:val="auto"/>
          <w:szCs w:val="21"/>
        </w:rPr>
        <w:t>α</w:t>
      </w:r>
      <w:r w:rsidR="00F36371" w:rsidRPr="00163B8D">
        <w:rPr>
          <w:rFonts w:asciiTheme="minorHAnsi" w:hAnsiTheme="minorHAnsi"/>
          <w:color w:val="auto"/>
          <w:szCs w:val="21"/>
        </w:rPr>
        <w:t>ENaC mRNA expression (</w:t>
      </w:r>
      <w:r w:rsidR="00F36371" w:rsidRPr="00163B8D">
        <w:rPr>
          <w:rFonts w:asciiTheme="minorHAnsi" w:hAnsiTheme="minorHAnsi"/>
          <w:b/>
          <w:color w:val="auto"/>
          <w:szCs w:val="21"/>
        </w:rPr>
        <w:t>Figure 2</w:t>
      </w:r>
      <w:r w:rsidRPr="00163B8D">
        <w:rPr>
          <w:rFonts w:asciiTheme="minorHAnsi" w:hAnsiTheme="minorHAnsi"/>
          <w:color w:val="auto"/>
          <w:szCs w:val="21"/>
        </w:rPr>
        <w:t xml:space="preserve">). This concentration was chosen because it is widely used to completely inhibit the transcription of the Tet-Off system and is recommended </w:t>
      </w:r>
      <w:r w:rsidR="000D32F1" w:rsidRPr="00163B8D">
        <w:rPr>
          <w:rFonts w:asciiTheme="minorHAnsi" w:hAnsiTheme="minorHAnsi"/>
          <w:color w:val="auto"/>
          <w:szCs w:val="21"/>
        </w:rPr>
        <w:t>to minimize</w:t>
      </w:r>
      <w:r w:rsidRPr="00163B8D">
        <w:rPr>
          <w:rFonts w:asciiTheme="minorHAnsi" w:hAnsiTheme="minorHAnsi"/>
          <w:color w:val="auto"/>
          <w:szCs w:val="21"/>
        </w:rPr>
        <w:t xml:space="preserve"> cytotoxic effect</w:t>
      </w:r>
      <w:r w:rsidR="000D32F1" w:rsidRPr="00163B8D">
        <w:rPr>
          <w:rFonts w:asciiTheme="minorHAnsi" w:hAnsiTheme="minorHAnsi"/>
          <w:color w:val="auto"/>
          <w:szCs w:val="21"/>
        </w:rPr>
        <w:t>s</w:t>
      </w:r>
      <w:r w:rsidR="009C472A" w:rsidRPr="00163B8D">
        <w:rPr>
          <w:rFonts w:asciiTheme="minorHAnsi" w:hAnsiTheme="minorHAnsi"/>
          <w:color w:val="auto"/>
          <w:vertAlign w:val="superscript"/>
          <w:lang w:eastAsia="fr-CA"/>
        </w:rPr>
        <w:t>2</w:t>
      </w:r>
      <w:r w:rsidR="0005486A">
        <w:rPr>
          <w:rFonts w:asciiTheme="minorHAnsi" w:hAnsiTheme="minorHAnsi"/>
          <w:color w:val="auto"/>
          <w:vertAlign w:val="superscript"/>
          <w:lang w:eastAsia="fr-CA"/>
        </w:rPr>
        <w:t>9</w:t>
      </w:r>
      <w:r w:rsidR="005F590E" w:rsidRPr="00163B8D">
        <w:rPr>
          <w:rFonts w:asciiTheme="minorHAnsi" w:hAnsiTheme="minorHAnsi"/>
          <w:color w:val="auto"/>
          <w:szCs w:val="21"/>
        </w:rPr>
        <w:t xml:space="preserve">. We suggest </w:t>
      </w:r>
      <w:r w:rsidRPr="00163B8D">
        <w:rPr>
          <w:color w:val="auto"/>
          <w:szCs w:val="21"/>
        </w:rPr>
        <w:t>using</w:t>
      </w:r>
      <w:r w:rsidR="005F590E" w:rsidRPr="00163B8D">
        <w:rPr>
          <w:rFonts w:asciiTheme="minorHAnsi" w:hAnsiTheme="minorHAnsi"/>
          <w:color w:val="auto"/>
          <w:szCs w:val="21"/>
        </w:rPr>
        <w:t xml:space="preserve"> this concentration in alveolar epithelial cells and recommend </w:t>
      </w:r>
      <w:r w:rsidRPr="00163B8D">
        <w:rPr>
          <w:color w:val="auto"/>
          <w:szCs w:val="21"/>
        </w:rPr>
        <w:t xml:space="preserve">validating </w:t>
      </w:r>
      <w:r w:rsidR="005F590E" w:rsidRPr="00163B8D">
        <w:rPr>
          <w:rFonts w:asciiTheme="minorHAnsi" w:hAnsiTheme="minorHAnsi"/>
          <w:color w:val="auto"/>
          <w:szCs w:val="21"/>
        </w:rPr>
        <w:t xml:space="preserve">the optimal concentration for the study of other genes or </w:t>
      </w:r>
      <w:r w:rsidR="000D32F1" w:rsidRPr="00163B8D">
        <w:rPr>
          <w:rFonts w:asciiTheme="minorHAnsi" w:hAnsiTheme="minorHAnsi"/>
          <w:color w:val="auto"/>
          <w:szCs w:val="21"/>
        </w:rPr>
        <w:t xml:space="preserve">the use of </w:t>
      </w:r>
      <w:r w:rsidR="005F590E" w:rsidRPr="00163B8D">
        <w:rPr>
          <w:rFonts w:asciiTheme="minorHAnsi" w:hAnsiTheme="minorHAnsi"/>
          <w:color w:val="auto"/>
          <w:szCs w:val="21"/>
        </w:rPr>
        <w:t>other cell types with the Tet-Off system.</w:t>
      </w:r>
    </w:p>
    <w:p w14:paraId="183201F0" w14:textId="77777777" w:rsidR="00407434" w:rsidRPr="00163B8D" w:rsidRDefault="00407434" w:rsidP="00407434">
      <w:pPr>
        <w:rPr>
          <w:rFonts w:asciiTheme="minorHAnsi" w:hAnsiTheme="minorHAnsi"/>
          <w:color w:val="auto"/>
          <w:szCs w:val="21"/>
        </w:rPr>
      </w:pPr>
    </w:p>
    <w:p w14:paraId="596D7B41" w14:textId="4DDFEA37" w:rsidR="002C424E" w:rsidRDefault="00AF43F7" w:rsidP="00407434">
      <w:pPr>
        <w:rPr>
          <w:rFonts w:asciiTheme="minorHAnsi" w:hAnsiTheme="minorHAnsi"/>
          <w:color w:val="auto"/>
          <w:szCs w:val="21"/>
        </w:rPr>
      </w:pPr>
      <w:r w:rsidRPr="00163B8D">
        <w:rPr>
          <w:rFonts w:asciiTheme="minorHAnsi" w:hAnsiTheme="minorHAnsi"/>
          <w:color w:val="auto"/>
          <w:szCs w:val="21"/>
        </w:rPr>
        <w:t xml:space="preserve">Our system </w:t>
      </w:r>
      <w:r w:rsidR="000D32F1" w:rsidRPr="00163B8D">
        <w:rPr>
          <w:rFonts w:asciiTheme="minorHAnsi" w:hAnsiTheme="minorHAnsi"/>
          <w:color w:val="auto"/>
          <w:szCs w:val="21"/>
        </w:rPr>
        <w:t>utilizes the</w:t>
      </w:r>
      <w:r w:rsidRPr="00163B8D">
        <w:rPr>
          <w:rFonts w:asciiTheme="minorHAnsi" w:hAnsiTheme="minorHAnsi"/>
          <w:color w:val="auto"/>
          <w:szCs w:val="21"/>
        </w:rPr>
        <w:t xml:space="preserve"> constitutive expression of </w:t>
      </w:r>
      <w:r w:rsidR="000D32F1" w:rsidRPr="00163B8D">
        <w:rPr>
          <w:rFonts w:asciiTheme="minorHAnsi" w:hAnsiTheme="minorHAnsi"/>
          <w:color w:val="auto"/>
          <w:szCs w:val="21"/>
        </w:rPr>
        <w:t xml:space="preserve">the </w:t>
      </w:r>
      <w:r w:rsidRPr="00163B8D">
        <w:rPr>
          <w:rFonts w:asciiTheme="minorHAnsi" w:hAnsiTheme="minorHAnsi"/>
          <w:color w:val="auto"/>
          <w:szCs w:val="21"/>
        </w:rPr>
        <w:t>GOI until its transcription is inhibited by doxycycline. It has been suggested that excessive mRNA concentration</w:t>
      </w:r>
      <w:r w:rsidR="000D32F1" w:rsidRPr="00163B8D">
        <w:rPr>
          <w:rFonts w:asciiTheme="minorHAnsi" w:hAnsiTheme="minorHAnsi"/>
          <w:color w:val="auto"/>
          <w:szCs w:val="21"/>
        </w:rPr>
        <w:t>s</w:t>
      </w:r>
      <w:r w:rsidRPr="00163B8D">
        <w:rPr>
          <w:rFonts w:asciiTheme="minorHAnsi" w:hAnsiTheme="minorHAnsi"/>
          <w:color w:val="auto"/>
          <w:szCs w:val="21"/>
        </w:rPr>
        <w:t xml:space="preserve"> may be toxic to the cell and affect its metabolism. This could lead to a change in the stability of the GOI transcript</w:t>
      </w:r>
      <w:r w:rsidR="000D32F1" w:rsidRPr="00163B8D">
        <w:rPr>
          <w:rFonts w:asciiTheme="minorHAnsi" w:hAnsiTheme="minorHAnsi"/>
          <w:color w:val="auto"/>
          <w:szCs w:val="21"/>
        </w:rPr>
        <w:t>,</w:t>
      </w:r>
      <w:r w:rsidRPr="00163B8D">
        <w:rPr>
          <w:rFonts w:asciiTheme="minorHAnsi" w:hAnsiTheme="minorHAnsi"/>
          <w:color w:val="auto"/>
          <w:szCs w:val="21"/>
        </w:rPr>
        <w:t xml:space="preserve"> causing its rapid degradation because of </w:t>
      </w:r>
      <w:proofErr w:type="spellStart"/>
      <w:r w:rsidRPr="00163B8D">
        <w:rPr>
          <w:rFonts w:asciiTheme="minorHAnsi" w:hAnsiTheme="minorHAnsi"/>
          <w:color w:val="auto"/>
          <w:szCs w:val="21"/>
        </w:rPr>
        <w:t>nonphysiological</w:t>
      </w:r>
      <w:proofErr w:type="spellEnd"/>
      <w:r w:rsidRPr="00163B8D">
        <w:rPr>
          <w:rFonts w:asciiTheme="minorHAnsi" w:hAnsiTheme="minorHAnsi"/>
          <w:color w:val="auto"/>
          <w:szCs w:val="21"/>
        </w:rPr>
        <w:t xml:space="preserve"> overexpression</w:t>
      </w:r>
      <w:r w:rsidR="0005486A">
        <w:rPr>
          <w:rFonts w:asciiTheme="minorHAnsi" w:hAnsiTheme="minorHAnsi"/>
          <w:color w:val="auto"/>
          <w:vertAlign w:val="superscript"/>
          <w:lang w:eastAsia="fr-CA"/>
        </w:rPr>
        <w:t>30</w:t>
      </w:r>
      <w:r w:rsidR="00F852A7" w:rsidRPr="00163B8D">
        <w:rPr>
          <w:rFonts w:asciiTheme="minorHAnsi" w:hAnsiTheme="minorHAnsi"/>
          <w:color w:val="auto"/>
          <w:szCs w:val="21"/>
        </w:rPr>
        <w:t xml:space="preserve">. In the case of our Tet-Off model, such toxicity was not observed, </w:t>
      </w:r>
      <w:r w:rsidR="00640D68" w:rsidRPr="00640D68">
        <w:rPr>
          <w:rFonts w:asciiTheme="minorHAnsi" w:hAnsiTheme="minorHAnsi"/>
          <w:color w:val="auto"/>
          <w:szCs w:val="21"/>
        </w:rPr>
        <w:t>because</w:t>
      </w:r>
      <w:r w:rsidR="00640D68" w:rsidRPr="00163B8D">
        <w:rPr>
          <w:rFonts w:asciiTheme="minorHAnsi" w:hAnsiTheme="minorHAnsi"/>
          <w:color w:val="auto"/>
          <w:szCs w:val="21"/>
        </w:rPr>
        <w:t xml:space="preserve"> </w:t>
      </w:r>
      <w:r w:rsidR="00F852A7" w:rsidRPr="00163B8D">
        <w:rPr>
          <w:rFonts w:asciiTheme="minorHAnsi" w:hAnsiTheme="minorHAnsi"/>
          <w:color w:val="auto"/>
          <w:szCs w:val="21"/>
        </w:rPr>
        <w:t xml:space="preserve">the transfected cells showed a morphology </w:t>
      </w:r>
      <w:proofErr w:type="gramStart"/>
      <w:r w:rsidR="00F852A7" w:rsidRPr="00163B8D">
        <w:rPr>
          <w:rFonts w:asciiTheme="minorHAnsi" w:hAnsiTheme="minorHAnsi"/>
          <w:color w:val="auto"/>
          <w:szCs w:val="21"/>
        </w:rPr>
        <w:t>similar to</w:t>
      </w:r>
      <w:proofErr w:type="gramEnd"/>
      <w:r w:rsidR="000D32F1" w:rsidRPr="00163B8D">
        <w:rPr>
          <w:rFonts w:asciiTheme="minorHAnsi" w:hAnsiTheme="minorHAnsi"/>
          <w:color w:val="auto"/>
          <w:szCs w:val="21"/>
        </w:rPr>
        <w:t xml:space="preserve"> those of</w:t>
      </w:r>
      <w:r w:rsidR="00F852A7" w:rsidRPr="00163B8D">
        <w:rPr>
          <w:rFonts w:asciiTheme="minorHAnsi" w:hAnsiTheme="minorHAnsi"/>
          <w:color w:val="auto"/>
          <w:szCs w:val="21"/>
        </w:rPr>
        <w:t xml:space="preserve"> healthy </w:t>
      </w:r>
      <w:proofErr w:type="spellStart"/>
      <w:r w:rsidRPr="00163B8D">
        <w:rPr>
          <w:rFonts w:asciiTheme="minorHAnsi" w:hAnsiTheme="minorHAnsi"/>
          <w:color w:val="auto"/>
          <w:szCs w:val="21"/>
        </w:rPr>
        <w:t>nont</w:t>
      </w:r>
      <w:r w:rsidR="00F852A7" w:rsidRPr="00163B8D">
        <w:rPr>
          <w:rFonts w:asciiTheme="minorHAnsi" w:hAnsiTheme="minorHAnsi"/>
          <w:color w:val="auto"/>
          <w:szCs w:val="21"/>
        </w:rPr>
        <w:t>ransfected</w:t>
      </w:r>
      <w:proofErr w:type="spellEnd"/>
      <w:r w:rsidR="00F852A7" w:rsidRPr="00163B8D">
        <w:rPr>
          <w:rFonts w:asciiTheme="minorHAnsi" w:hAnsiTheme="minorHAnsi"/>
          <w:color w:val="auto"/>
          <w:szCs w:val="21"/>
        </w:rPr>
        <w:t xml:space="preserve"> cells (data not shown). In accordance </w:t>
      </w:r>
      <w:r w:rsidRPr="00163B8D">
        <w:rPr>
          <w:color w:val="auto"/>
          <w:szCs w:val="21"/>
        </w:rPr>
        <w:t>with</w:t>
      </w:r>
      <w:r w:rsidR="00F852A7" w:rsidRPr="00163B8D">
        <w:rPr>
          <w:rFonts w:asciiTheme="minorHAnsi" w:hAnsiTheme="minorHAnsi"/>
          <w:color w:val="auto"/>
          <w:szCs w:val="21"/>
        </w:rPr>
        <w:t xml:space="preserve"> </w:t>
      </w:r>
      <w:proofErr w:type="spellStart"/>
      <w:r w:rsidR="00F852A7" w:rsidRPr="00163B8D">
        <w:rPr>
          <w:rFonts w:asciiTheme="minorHAnsi" w:hAnsiTheme="minorHAnsi"/>
          <w:color w:val="auto"/>
          <w:szCs w:val="21"/>
        </w:rPr>
        <w:t>Tani</w:t>
      </w:r>
      <w:proofErr w:type="spellEnd"/>
      <w:r w:rsidR="00F852A7" w:rsidRPr="00163B8D">
        <w:rPr>
          <w:rFonts w:asciiTheme="minorHAnsi" w:hAnsiTheme="minorHAnsi"/>
          <w:color w:val="auto"/>
          <w:szCs w:val="21"/>
        </w:rPr>
        <w:t xml:space="preserve"> </w:t>
      </w:r>
      <w:r w:rsidR="00F852A7" w:rsidRPr="00EF4B5E">
        <w:rPr>
          <w:rFonts w:asciiTheme="minorHAnsi" w:hAnsiTheme="minorHAnsi"/>
          <w:color w:val="auto"/>
          <w:szCs w:val="21"/>
        </w:rPr>
        <w:t>et al</w:t>
      </w:r>
      <w:r w:rsidR="00640D68">
        <w:rPr>
          <w:rFonts w:asciiTheme="minorHAnsi" w:hAnsiTheme="minorHAnsi"/>
          <w:color w:val="auto"/>
          <w:szCs w:val="21"/>
        </w:rPr>
        <w:t>.</w:t>
      </w:r>
      <w:r w:rsidR="00F852A7" w:rsidRPr="00640D68">
        <w:rPr>
          <w:rFonts w:asciiTheme="minorHAnsi" w:hAnsiTheme="minorHAnsi"/>
          <w:color w:val="auto"/>
          <w:vertAlign w:val="superscript"/>
        </w:rPr>
        <w:t>3</w:t>
      </w:r>
      <w:r w:rsidR="0005486A">
        <w:rPr>
          <w:rFonts w:asciiTheme="minorHAnsi" w:hAnsiTheme="minorHAnsi"/>
          <w:color w:val="auto"/>
          <w:vertAlign w:val="superscript"/>
        </w:rPr>
        <w:t>1</w:t>
      </w:r>
      <w:r w:rsidR="00F852A7" w:rsidRPr="00163B8D">
        <w:rPr>
          <w:rFonts w:asciiTheme="minorHAnsi" w:hAnsiTheme="minorHAnsi"/>
          <w:color w:val="auto"/>
          <w:szCs w:val="21"/>
        </w:rPr>
        <w:t xml:space="preserve">, </w:t>
      </w:r>
      <w:r w:rsidR="000D32F1" w:rsidRPr="00163B8D">
        <w:rPr>
          <w:rFonts w:asciiTheme="minorHAnsi" w:hAnsiTheme="minorHAnsi"/>
          <w:color w:val="auto"/>
          <w:szCs w:val="21"/>
        </w:rPr>
        <w:t xml:space="preserve">who demonstrated </w:t>
      </w:r>
      <w:r w:rsidR="00F852A7" w:rsidRPr="00163B8D">
        <w:rPr>
          <w:rFonts w:asciiTheme="minorHAnsi" w:hAnsiTheme="minorHAnsi"/>
          <w:color w:val="auto"/>
          <w:szCs w:val="21"/>
        </w:rPr>
        <w:t xml:space="preserve">the validity of the Tet-Off system </w:t>
      </w:r>
      <w:r w:rsidR="000D32F1" w:rsidRPr="00163B8D">
        <w:rPr>
          <w:rFonts w:asciiTheme="minorHAnsi" w:hAnsiTheme="minorHAnsi"/>
          <w:color w:val="auto"/>
          <w:szCs w:val="21"/>
        </w:rPr>
        <w:t>in determining</w:t>
      </w:r>
      <w:r w:rsidR="00F852A7" w:rsidRPr="00163B8D">
        <w:rPr>
          <w:rFonts w:asciiTheme="minorHAnsi" w:hAnsiTheme="minorHAnsi"/>
          <w:color w:val="auto"/>
          <w:szCs w:val="21"/>
        </w:rPr>
        <w:t xml:space="preserve"> the half-life of a mRNA, our results show</w:t>
      </w:r>
      <w:r w:rsidR="000D32F1" w:rsidRPr="00163B8D">
        <w:rPr>
          <w:rFonts w:asciiTheme="minorHAnsi" w:hAnsiTheme="minorHAnsi"/>
          <w:color w:val="auto"/>
          <w:szCs w:val="21"/>
        </w:rPr>
        <w:t>ed</w:t>
      </w:r>
      <w:r w:rsidR="00F852A7" w:rsidRPr="00163B8D">
        <w:rPr>
          <w:rFonts w:asciiTheme="minorHAnsi" w:hAnsiTheme="minorHAnsi"/>
          <w:color w:val="auto"/>
          <w:szCs w:val="21"/>
        </w:rPr>
        <w:t xml:space="preserve"> that the Tet-Off system is not toxic in alveolar epithelial cells and </w:t>
      </w:r>
      <w:r w:rsidR="000D32F1" w:rsidRPr="00163B8D">
        <w:rPr>
          <w:rFonts w:asciiTheme="minorHAnsi" w:hAnsiTheme="minorHAnsi"/>
          <w:color w:val="auto"/>
          <w:szCs w:val="21"/>
        </w:rPr>
        <w:t xml:space="preserve">yields </w:t>
      </w:r>
      <w:r w:rsidR="00F852A7" w:rsidRPr="00163B8D">
        <w:rPr>
          <w:rFonts w:asciiTheme="minorHAnsi" w:hAnsiTheme="minorHAnsi"/>
          <w:color w:val="auto"/>
          <w:szCs w:val="21"/>
        </w:rPr>
        <w:t xml:space="preserve">a half-life for αENaC mRNA that does not </w:t>
      </w:r>
      <w:r w:rsidR="000D32F1" w:rsidRPr="00163B8D">
        <w:rPr>
          <w:rFonts w:asciiTheme="minorHAnsi" w:hAnsiTheme="minorHAnsi"/>
          <w:color w:val="auto"/>
          <w:szCs w:val="21"/>
        </w:rPr>
        <w:t xml:space="preserve">reflect </w:t>
      </w:r>
      <w:r w:rsidR="00F852A7" w:rsidRPr="00163B8D">
        <w:rPr>
          <w:rFonts w:asciiTheme="minorHAnsi" w:hAnsiTheme="minorHAnsi"/>
          <w:color w:val="auto"/>
          <w:szCs w:val="21"/>
        </w:rPr>
        <w:t xml:space="preserve">the overstabilization that was reported in </w:t>
      </w:r>
      <w:r w:rsidRPr="00163B8D">
        <w:rPr>
          <w:color w:val="auto"/>
          <w:szCs w:val="21"/>
        </w:rPr>
        <w:t xml:space="preserve">the </w:t>
      </w:r>
      <w:r w:rsidR="00F852A7" w:rsidRPr="00163B8D">
        <w:rPr>
          <w:rFonts w:asciiTheme="minorHAnsi" w:hAnsiTheme="minorHAnsi"/>
          <w:color w:val="auto"/>
          <w:szCs w:val="21"/>
        </w:rPr>
        <w:t xml:space="preserve">presence of </w:t>
      </w:r>
      <w:r w:rsidR="00F852A7" w:rsidRPr="00163B8D">
        <w:rPr>
          <w:rFonts w:asciiTheme="minorHAnsi" w:hAnsiTheme="minorHAnsi"/>
          <w:color w:val="auto"/>
          <w:szCs w:val="21"/>
        </w:rPr>
        <w:lastRenderedPageBreak/>
        <w:t>transcription</w:t>
      </w:r>
      <w:r w:rsidR="000D32F1" w:rsidRPr="00163B8D">
        <w:rPr>
          <w:rFonts w:asciiTheme="minorHAnsi" w:hAnsiTheme="minorHAnsi"/>
          <w:color w:val="auto"/>
          <w:szCs w:val="21"/>
        </w:rPr>
        <w:t>al</w:t>
      </w:r>
      <w:r w:rsidR="00F852A7" w:rsidRPr="00163B8D">
        <w:rPr>
          <w:rFonts w:asciiTheme="minorHAnsi" w:hAnsiTheme="minorHAnsi"/>
          <w:color w:val="auto"/>
          <w:szCs w:val="21"/>
        </w:rPr>
        <w:t xml:space="preserve"> </w:t>
      </w:r>
      <w:r w:rsidRPr="00163B8D">
        <w:rPr>
          <w:color w:val="auto"/>
          <w:szCs w:val="21"/>
        </w:rPr>
        <w:t>inhibitors</w:t>
      </w:r>
      <w:r w:rsidR="00F852A7" w:rsidRPr="00163B8D">
        <w:rPr>
          <w:rFonts w:asciiTheme="minorHAnsi" w:hAnsiTheme="minorHAnsi"/>
          <w:color w:val="auto"/>
          <w:szCs w:val="21"/>
        </w:rPr>
        <w:t xml:space="preserve"> such as actinomycin D (</w:t>
      </w:r>
      <w:r w:rsidR="00740733" w:rsidRPr="00740733">
        <w:rPr>
          <w:rFonts w:asciiTheme="minorHAnsi" w:hAnsiTheme="minorHAnsi"/>
          <w:b/>
          <w:color w:val="auto"/>
          <w:szCs w:val="21"/>
        </w:rPr>
        <w:t>Figure</w:t>
      </w:r>
      <w:r w:rsidR="00F852A7" w:rsidRPr="00163B8D">
        <w:rPr>
          <w:rFonts w:asciiTheme="minorHAnsi" w:hAnsiTheme="minorHAnsi"/>
          <w:color w:val="auto"/>
          <w:szCs w:val="21"/>
        </w:rPr>
        <w:t xml:space="preserve"> </w:t>
      </w:r>
      <w:r w:rsidR="00F852A7" w:rsidRPr="00EF4B5E">
        <w:rPr>
          <w:rFonts w:asciiTheme="minorHAnsi" w:hAnsiTheme="minorHAnsi"/>
          <w:b/>
          <w:bCs/>
          <w:color w:val="auto"/>
          <w:szCs w:val="21"/>
        </w:rPr>
        <w:t>4</w:t>
      </w:r>
      <w:r w:rsidR="00F852A7" w:rsidRPr="00163B8D">
        <w:rPr>
          <w:rFonts w:asciiTheme="minorHAnsi" w:hAnsiTheme="minorHAnsi"/>
          <w:color w:val="auto"/>
          <w:szCs w:val="21"/>
        </w:rPr>
        <w:t>).</w:t>
      </w:r>
    </w:p>
    <w:p w14:paraId="7870558C" w14:textId="77777777" w:rsidR="00407434" w:rsidRPr="00163B8D" w:rsidRDefault="00407434" w:rsidP="00407434">
      <w:pPr>
        <w:rPr>
          <w:rFonts w:asciiTheme="minorHAnsi" w:hAnsiTheme="minorHAnsi"/>
          <w:color w:val="auto"/>
          <w:szCs w:val="21"/>
        </w:rPr>
      </w:pPr>
    </w:p>
    <w:p w14:paraId="581E4999" w14:textId="79A37500" w:rsidR="00D11E7E" w:rsidRDefault="00AF43F7" w:rsidP="00407434">
      <w:pPr>
        <w:rPr>
          <w:rFonts w:asciiTheme="minorHAnsi" w:hAnsiTheme="minorHAnsi"/>
          <w:color w:val="auto"/>
          <w:szCs w:val="21"/>
        </w:rPr>
      </w:pPr>
      <w:bookmarkStart w:id="6" w:name="_Hlk15412233"/>
      <w:r w:rsidRPr="00163B8D">
        <w:rPr>
          <w:rFonts w:asciiTheme="minorHAnsi" w:hAnsiTheme="minorHAnsi"/>
          <w:color w:val="auto"/>
          <w:szCs w:val="21"/>
        </w:rPr>
        <w:t xml:space="preserve">The development of this system to measure the half-life of mRNA challenges the results observed when the stability of transcripts </w:t>
      </w:r>
      <w:proofErr w:type="gramStart"/>
      <w:r w:rsidRPr="00163B8D">
        <w:rPr>
          <w:rFonts w:asciiTheme="minorHAnsi" w:hAnsiTheme="minorHAnsi"/>
          <w:color w:val="auto"/>
          <w:szCs w:val="21"/>
        </w:rPr>
        <w:t>were</w:t>
      </w:r>
      <w:proofErr w:type="gramEnd"/>
      <w:r w:rsidRPr="00163B8D">
        <w:rPr>
          <w:rFonts w:asciiTheme="minorHAnsi" w:hAnsiTheme="minorHAnsi"/>
          <w:color w:val="auto"/>
          <w:szCs w:val="21"/>
        </w:rPr>
        <w:t xml:space="preserve"> measured in the presence of transcription inhibitors such as actinomycin D. </w:t>
      </w:r>
      <w:r w:rsidRPr="00163B8D">
        <w:rPr>
          <w:color w:val="auto"/>
          <w:szCs w:val="21"/>
        </w:rPr>
        <w:t>This</w:t>
      </w:r>
      <w:r w:rsidRPr="00163B8D">
        <w:rPr>
          <w:rFonts w:asciiTheme="minorHAnsi" w:hAnsiTheme="minorHAnsi"/>
          <w:color w:val="auto"/>
          <w:szCs w:val="21"/>
        </w:rPr>
        <w:t xml:space="preserve"> </w:t>
      </w:r>
      <w:r w:rsidR="000D32F1" w:rsidRPr="00163B8D">
        <w:rPr>
          <w:rFonts w:asciiTheme="minorHAnsi" w:hAnsiTheme="minorHAnsi"/>
          <w:color w:val="auto"/>
          <w:szCs w:val="21"/>
        </w:rPr>
        <w:t xml:space="preserve">method </w:t>
      </w:r>
      <w:r w:rsidRPr="00163B8D">
        <w:rPr>
          <w:rFonts w:asciiTheme="minorHAnsi" w:hAnsiTheme="minorHAnsi"/>
          <w:color w:val="auto"/>
          <w:szCs w:val="21"/>
        </w:rPr>
        <w:t>shows that a transcript half-life may be much shorter than previously measured.</w:t>
      </w:r>
    </w:p>
    <w:p w14:paraId="0ECC7B49" w14:textId="77777777" w:rsidR="00407434" w:rsidRPr="00163B8D" w:rsidRDefault="00407434" w:rsidP="00407434">
      <w:pPr>
        <w:rPr>
          <w:rFonts w:asciiTheme="minorHAnsi" w:hAnsiTheme="minorHAnsi"/>
          <w:color w:val="auto"/>
          <w:szCs w:val="21"/>
        </w:rPr>
      </w:pPr>
    </w:p>
    <w:p w14:paraId="1CFA5C62" w14:textId="6B79B8AF" w:rsidR="002C424E" w:rsidRDefault="00F852A7" w:rsidP="00407434">
      <w:pPr>
        <w:rPr>
          <w:rFonts w:asciiTheme="minorHAnsi" w:hAnsiTheme="minorHAnsi"/>
          <w:color w:val="auto"/>
          <w:szCs w:val="21"/>
        </w:rPr>
      </w:pPr>
      <w:r w:rsidRPr="00163B8D">
        <w:rPr>
          <w:rFonts w:asciiTheme="minorHAnsi" w:hAnsiTheme="minorHAnsi"/>
          <w:color w:val="auto"/>
          <w:szCs w:val="21"/>
        </w:rPr>
        <w:t xml:space="preserve">Our model is highly appropriate for studying the </w:t>
      </w:r>
      <w:r w:rsidR="00AF43F7" w:rsidRPr="00163B8D">
        <w:rPr>
          <w:rFonts w:asciiTheme="minorHAnsi" w:hAnsiTheme="minorHAnsi"/>
          <w:color w:val="auto"/>
          <w:szCs w:val="21"/>
        </w:rPr>
        <w:t>postt</w:t>
      </w:r>
      <w:r w:rsidRPr="00163B8D">
        <w:rPr>
          <w:rFonts w:asciiTheme="minorHAnsi" w:hAnsiTheme="minorHAnsi"/>
          <w:color w:val="auto"/>
          <w:szCs w:val="21"/>
        </w:rPr>
        <w:t xml:space="preserve">ranscriptional modulation of a specific transcript under different conditions, including pro-inflammatory conditions or RBP overexpression, as well as after treatment with silencing RNA. In addition, it allows the characterization of untranslated regions essential </w:t>
      </w:r>
      <w:r w:rsidR="000D32F1" w:rsidRPr="00163B8D">
        <w:rPr>
          <w:rFonts w:asciiTheme="minorHAnsi" w:hAnsiTheme="minorHAnsi"/>
          <w:color w:val="auto"/>
          <w:szCs w:val="21"/>
        </w:rPr>
        <w:t xml:space="preserve">to </w:t>
      </w:r>
      <w:r w:rsidRPr="00163B8D">
        <w:rPr>
          <w:rFonts w:asciiTheme="minorHAnsi" w:hAnsiTheme="minorHAnsi"/>
          <w:color w:val="auto"/>
          <w:szCs w:val="21"/>
        </w:rPr>
        <w:t xml:space="preserve">the </w:t>
      </w:r>
      <w:r w:rsidR="00AF43F7" w:rsidRPr="00163B8D">
        <w:rPr>
          <w:rFonts w:asciiTheme="minorHAnsi" w:hAnsiTheme="minorHAnsi"/>
          <w:color w:val="auto"/>
          <w:szCs w:val="21"/>
        </w:rPr>
        <w:t>postt</w:t>
      </w:r>
      <w:r w:rsidRPr="00163B8D">
        <w:rPr>
          <w:rFonts w:asciiTheme="minorHAnsi" w:hAnsiTheme="minorHAnsi"/>
          <w:color w:val="auto"/>
          <w:szCs w:val="21"/>
        </w:rPr>
        <w:t>ranscriptional modulation of mRNAs in pathophysiological conditions that affect alveolar epithelial cells.</w:t>
      </w:r>
    </w:p>
    <w:p w14:paraId="37AF0C62" w14:textId="77777777" w:rsidR="00407434" w:rsidRPr="00163B8D" w:rsidRDefault="00407434" w:rsidP="00407434">
      <w:pPr>
        <w:rPr>
          <w:rFonts w:asciiTheme="minorHAnsi" w:hAnsiTheme="minorHAnsi"/>
          <w:color w:val="auto"/>
          <w:szCs w:val="21"/>
        </w:rPr>
      </w:pPr>
    </w:p>
    <w:bookmarkEnd w:id="6"/>
    <w:p w14:paraId="4BB6E15C" w14:textId="5E2A0305" w:rsidR="00AA03DF" w:rsidRPr="00163B8D" w:rsidRDefault="00AF43F7" w:rsidP="00407434">
      <w:pPr>
        <w:pStyle w:val="NormalWeb"/>
        <w:spacing w:before="0" w:beforeAutospacing="0" w:after="0" w:afterAutospacing="0"/>
        <w:rPr>
          <w:rFonts w:asciiTheme="minorHAnsi" w:hAnsiTheme="minorHAnsi" w:cstheme="minorHAnsi"/>
          <w:color w:val="auto"/>
        </w:rPr>
      </w:pPr>
      <w:r w:rsidRPr="00163B8D">
        <w:rPr>
          <w:rFonts w:asciiTheme="minorHAnsi" w:hAnsiTheme="minorHAnsi" w:cstheme="minorHAnsi"/>
          <w:b/>
          <w:bCs/>
          <w:color w:val="auto"/>
        </w:rPr>
        <w:t>ACKNOWLEDGMENTS:</w:t>
      </w:r>
    </w:p>
    <w:p w14:paraId="41F06462" w14:textId="0CC2C650" w:rsidR="00AA03DF" w:rsidRPr="00163B8D" w:rsidRDefault="004E1AFE" w:rsidP="00407434">
      <w:pPr>
        <w:rPr>
          <w:rFonts w:asciiTheme="minorHAnsi" w:hAnsiTheme="minorHAnsi"/>
          <w:color w:val="auto"/>
          <w:szCs w:val="21"/>
        </w:rPr>
      </w:pPr>
      <w:r w:rsidRPr="00163B8D">
        <w:rPr>
          <w:rFonts w:asciiTheme="minorHAnsi" w:hAnsiTheme="minorHAnsi"/>
          <w:color w:val="auto"/>
          <w:szCs w:val="21"/>
        </w:rPr>
        <w:t xml:space="preserve">Francis </w:t>
      </w:r>
      <w:proofErr w:type="spellStart"/>
      <w:r w:rsidRPr="00163B8D">
        <w:rPr>
          <w:rFonts w:asciiTheme="minorHAnsi" w:hAnsiTheme="minorHAnsi"/>
          <w:color w:val="auto"/>
          <w:szCs w:val="21"/>
        </w:rPr>
        <w:t>Migneault</w:t>
      </w:r>
      <w:proofErr w:type="spellEnd"/>
      <w:r w:rsidRPr="00163B8D">
        <w:rPr>
          <w:rFonts w:asciiTheme="minorHAnsi" w:hAnsiTheme="minorHAnsi"/>
          <w:color w:val="auto"/>
          <w:szCs w:val="21"/>
        </w:rPr>
        <w:t xml:space="preserve"> was supported by a fellowship </w:t>
      </w:r>
      <w:r w:rsidR="000D32F1" w:rsidRPr="00163B8D">
        <w:rPr>
          <w:rFonts w:asciiTheme="minorHAnsi" w:hAnsiTheme="minorHAnsi"/>
          <w:color w:val="auto"/>
          <w:szCs w:val="21"/>
        </w:rPr>
        <w:t xml:space="preserve">provided by </w:t>
      </w:r>
      <w:r w:rsidRPr="00163B8D">
        <w:rPr>
          <w:rFonts w:asciiTheme="minorHAnsi" w:hAnsiTheme="minorHAnsi"/>
          <w:color w:val="auto"/>
          <w:szCs w:val="21"/>
        </w:rPr>
        <w:t xml:space="preserve">the Quebec Respiratory Health Network and </w:t>
      </w:r>
      <w:r w:rsidR="000D32F1" w:rsidRPr="00163B8D">
        <w:rPr>
          <w:rFonts w:asciiTheme="minorHAnsi" w:hAnsiTheme="minorHAnsi"/>
          <w:color w:val="auto"/>
          <w:szCs w:val="21"/>
        </w:rPr>
        <w:t xml:space="preserve">the </w:t>
      </w:r>
      <w:r w:rsidRPr="00163B8D">
        <w:rPr>
          <w:rFonts w:asciiTheme="minorHAnsi" w:hAnsiTheme="minorHAnsi"/>
          <w:color w:val="auto"/>
          <w:szCs w:val="21"/>
        </w:rPr>
        <w:t xml:space="preserve">Canadian Institutes of Health Research (CIHR) lung training program, a studentship from FRSQ and a studentship from the </w:t>
      </w:r>
      <w:proofErr w:type="spellStart"/>
      <w:r w:rsidRPr="00163B8D">
        <w:rPr>
          <w:rFonts w:asciiTheme="minorHAnsi" w:hAnsiTheme="minorHAnsi"/>
          <w:color w:val="auto"/>
          <w:szCs w:val="21"/>
        </w:rPr>
        <w:t>Faculté</w:t>
      </w:r>
      <w:proofErr w:type="spellEnd"/>
      <w:r w:rsidRPr="00163B8D">
        <w:rPr>
          <w:rFonts w:asciiTheme="minorHAnsi" w:hAnsiTheme="minorHAnsi"/>
          <w:color w:val="auto"/>
          <w:szCs w:val="21"/>
        </w:rPr>
        <w:t xml:space="preserve"> des Études </w:t>
      </w:r>
      <w:proofErr w:type="spellStart"/>
      <w:r w:rsidRPr="00163B8D">
        <w:rPr>
          <w:rFonts w:asciiTheme="minorHAnsi" w:hAnsiTheme="minorHAnsi"/>
          <w:color w:val="auto"/>
          <w:szCs w:val="21"/>
        </w:rPr>
        <w:t>Supérieures</w:t>
      </w:r>
      <w:proofErr w:type="spellEnd"/>
      <w:r w:rsidRPr="00163B8D">
        <w:rPr>
          <w:rFonts w:asciiTheme="minorHAnsi" w:hAnsiTheme="minorHAnsi"/>
          <w:color w:val="auto"/>
          <w:szCs w:val="21"/>
        </w:rPr>
        <w:t xml:space="preserve"> et </w:t>
      </w:r>
      <w:proofErr w:type="spellStart"/>
      <w:r w:rsidRPr="00163B8D">
        <w:rPr>
          <w:rFonts w:asciiTheme="minorHAnsi" w:hAnsiTheme="minorHAnsi"/>
          <w:color w:val="auto"/>
          <w:szCs w:val="21"/>
        </w:rPr>
        <w:t>Postdoctorales</w:t>
      </w:r>
      <w:proofErr w:type="spellEnd"/>
      <w:r w:rsidRPr="00163B8D">
        <w:rPr>
          <w:rFonts w:asciiTheme="minorHAnsi" w:hAnsiTheme="minorHAnsi"/>
          <w:color w:val="auto"/>
          <w:szCs w:val="21"/>
        </w:rPr>
        <w:t xml:space="preserve">, </w:t>
      </w:r>
      <w:proofErr w:type="spellStart"/>
      <w:r w:rsidRPr="00163B8D">
        <w:rPr>
          <w:rFonts w:asciiTheme="minorHAnsi" w:hAnsiTheme="minorHAnsi"/>
          <w:color w:val="auto"/>
          <w:szCs w:val="21"/>
        </w:rPr>
        <w:t>Université</w:t>
      </w:r>
      <w:proofErr w:type="spellEnd"/>
      <w:r w:rsidRPr="00163B8D">
        <w:rPr>
          <w:rFonts w:asciiTheme="minorHAnsi" w:hAnsiTheme="minorHAnsi"/>
          <w:color w:val="auto"/>
          <w:szCs w:val="21"/>
        </w:rPr>
        <w:t xml:space="preserve"> de Montréal. This work was supported by the Gosselin-Lamarre Chair in clinical research and the Canadian Institutes of Health Research [YBMOP-79544].</w:t>
      </w:r>
    </w:p>
    <w:p w14:paraId="3E47D4E6" w14:textId="77777777" w:rsidR="004E1AFE" w:rsidRPr="00163B8D" w:rsidRDefault="004E1AFE" w:rsidP="00407434">
      <w:pPr>
        <w:rPr>
          <w:rFonts w:asciiTheme="minorHAnsi" w:hAnsiTheme="minorHAnsi" w:cstheme="minorHAnsi"/>
          <w:b/>
          <w:bCs/>
          <w:color w:val="auto"/>
        </w:rPr>
      </w:pPr>
    </w:p>
    <w:p w14:paraId="64BF5877" w14:textId="273EA954" w:rsidR="00AA03DF" w:rsidRPr="00163B8D" w:rsidRDefault="00AF43F7" w:rsidP="00407434">
      <w:pPr>
        <w:pStyle w:val="NormalWeb"/>
        <w:spacing w:before="0" w:beforeAutospacing="0" w:after="0" w:afterAutospacing="0"/>
        <w:rPr>
          <w:rFonts w:asciiTheme="minorHAnsi" w:hAnsiTheme="minorHAnsi" w:cstheme="minorHAnsi"/>
          <w:color w:val="auto"/>
        </w:rPr>
      </w:pPr>
      <w:r w:rsidRPr="00163B8D">
        <w:rPr>
          <w:rFonts w:asciiTheme="minorHAnsi" w:hAnsiTheme="minorHAnsi" w:cstheme="minorHAnsi"/>
          <w:b/>
          <w:bCs/>
          <w:color w:val="auto"/>
        </w:rPr>
        <w:t>DISCLOSURES:</w:t>
      </w:r>
    </w:p>
    <w:p w14:paraId="1BB1B010" w14:textId="77777777" w:rsidR="00AA03DF" w:rsidRPr="007B6CE7" w:rsidRDefault="00AF43F7" w:rsidP="00407434">
      <w:pPr>
        <w:rPr>
          <w:color w:val="auto"/>
        </w:rPr>
      </w:pPr>
      <w:r w:rsidRPr="007B6CE7">
        <w:rPr>
          <w:color w:val="auto"/>
        </w:rPr>
        <w:t>The authors have no conflicts of interest to disclose.</w:t>
      </w:r>
    </w:p>
    <w:p w14:paraId="0ABC1FB2" w14:textId="77777777" w:rsidR="002C424E" w:rsidRPr="00163B8D" w:rsidRDefault="002C424E" w:rsidP="00407434">
      <w:pPr>
        <w:rPr>
          <w:rFonts w:asciiTheme="minorHAnsi" w:hAnsiTheme="minorHAnsi" w:cstheme="minorHAnsi"/>
          <w:color w:val="auto"/>
        </w:rPr>
      </w:pPr>
    </w:p>
    <w:p w14:paraId="42C72749" w14:textId="3DAA8B84" w:rsidR="00E46C0C" w:rsidRPr="00AF43F7" w:rsidRDefault="00D04760" w:rsidP="00407434">
      <w:pPr>
        <w:rPr>
          <w:rFonts w:asciiTheme="minorHAnsi" w:hAnsiTheme="minorHAnsi" w:cstheme="minorHAnsi"/>
        </w:rPr>
      </w:pPr>
      <w:r w:rsidRPr="00163B8D">
        <w:rPr>
          <w:rFonts w:asciiTheme="minorHAnsi" w:hAnsiTheme="minorHAnsi" w:cstheme="minorHAnsi"/>
          <w:b/>
          <w:bCs/>
          <w:color w:val="auto"/>
        </w:rPr>
        <w:t>REFERENCES:</w:t>
      </w:r>
    </w:p>
    <w:p w14:paraId="6D3AE6AC" w14:textId="13C3D05A" w:rsidR="00201DF9" w:rsidRPr="00AF43F7" w:rsidRDefault="00AF43F7" w:rsidP="00EF4B5E">
      <w:pPr>
        <w:pStyle w:val="EndNoteBibliography"/>
        <w:numPr>
          <w:ilvl w:val="0"/>
          <w:numId w:val="31"/>
        </w:numPr>
        <w:ind w:left="0" w:firstLine="0"/>
        <w:rPr>
          <w:noProof w:val="0"/>
        </w:rPr>
      </w:pPr>
      <w:proofErr w:type="spellStart"/>
      <w:r w:rsidRPr="00AF43F7">
        <w:rPr>
          <w:noProof w:val="0"/>
        </w:rPr>
        <w:t>Munchel</w:t>
      </w:r>
      <w:proofErr w:type="spellEnd"/>
      <w:r w:rsidRPr="00AF43F7">
        <w:rPr>
          <w:noProof w:val="0"/>
        </w:rPr>
        <w:t xml:space="preserve">, S. E., </w:t>
      </w:r>
      <w:proofErr w:type="spellStart"/>
      <w:r w:rsidRPr="00AF43F7">
        <w:rPr>
          <w:noProof w:val="0"/>
        </w:rPr>
        <w:t>Shultzaberger</w:t>
      </w:r>
      <w:proofErr w:type="spellEnd"/>
      <w:r w:rsidRPr="00AF43F7">
        <w:rPr>
          <w:noProof w:val="0"/>
        </w:rPr>
        <w:t>, R. K., Takizawa, N.</w:t>
      </w:r>
      <w:r w:rsidR="00960C90">
        <w:rPr>
          <w:noProof w:val="0"/>
        </w:rPr>
        <w:t xml:space="preserve">, </w:t>
      </w:r>
      <w:r w:rsidRPr="00AF43F7">
        <w:rPr>
          <w:noProof w:val="0"/>
        </w:rPr>
        <w:t xml:space="preserve">Weis, K. Dynamic profiling of mRNA turnover reveals gene-specific and system-wide regulation of mRNA decay. </w:t>
      </w:r>
      <w:r w:rsidRPr="00AF43F7">
        <w:rPr>
          <w:i/>
          <w:noProof w:val="0"/>
        </w:rPr>
        <w:t>Molecular Biology of the Cell.</w:t>
      </w:r>
      <w:r w:rsidRPr="00AF43F7">
        <w:rPr>
          <w:noProof w:val="0"/>
        </w:rPr>
        <w:t xml:space="preserve"> </w:t>
      </w:r>
      <w:r w:rsidRPr="00AF43F7">
        <w:rPr>
          <w:b/>
          <w:noProof w:val="0"/>
        </w:rPr>
        <w:t>22</w:t>
      </w:r>
      <w:r w:rsidRPr="00AF43F7">
        <w:rPr>
          <w:noProof w:val="0"/>
        </w:rPr>
        <w:t xml:space="preserve"> (15), 2787</w:t>
      </w:r>
      <w:r w:rsidR="00960C90">
        <w:rPr>
          <w:noProof w:val="0"/>
        </w:rPr>
        <w:t>–</w:t>
      </w:r>
      <w:r w:rsidRPr="00AF43F7">
        <w:rPr>
          <w:noProof w:val="0"/>
        </w:rPr>
        <w:t>2795</w:t>
      </w:r>
      <w:r w:rsidR="00960C90">
        <w:rPr>
          <w:noProof w:val="0"/>
        </w:rPr>
        <w:t xml:space="preserve"> (</w:t>
      </w:r>
      <w:r w:rsidRPr="00AF43F7">
        <w:rPr>
          <w:noProof w:val="0"/>
        </w:rPr>
        <w:t>2011).</w:t>
      </w:r>
    </w:p>
    <w:p w14:paraId="07B03572" w14:textId="02FDE592" w:rsidR="00201DF9" w:rsidRPr="00AF43F7" w:rsidRDefault="00AF43F7" w:rsidP="00EF4B5E">
      <w:pPr>
        <w:pStyle w:val="EndNoteBibliography"/>
        <w:numPr>
          <w:ilvl w:val="0"/>
          <w:numId w:val="31"/>
        </w:numPr>
        <w:ind w:left="0" w:firstLine="0"/>
        <w:rPr>
          <w:noProof w:val="0"/>
        </w:rPr>
      </w:pPr>
      <w:proofErr w:type="spellStart"/>
      <w:r w:rsidRPr="00AF43F7">
        <w:rPr>
          <w:noProof w:val="0"/>
        </w:rPr>
        <w:t>Ljungman</w:t>
      </w:r>
      <w:proofErr w:type="spellEnd"/>
      <w:r w:rsidRPr="00AF43F7">
        <w:rPr>
          <w:noProof w:val="0"/>
        </w:rPr>
        <w:t xml:space="preserve">, M. The transcription stress response. </w:t>
      </w:r>
      <w:r w:rsidRPr="00AF43F7">
        <w:rPr>
          <w:i/>
          <w:noProof w:val="0"/>
        </w:rPr>
        <w:t>Cell Cycle.</w:t>
      </w:r>
      <w:r w:rsidRPr="00AF43F7">
        <w:rPr>
          <w:noProof w:val="0"/>
        </w:rPr>
        <w:t xml:space="preserve"> </w:t>
      </w:r>
      <w:r w:rsidRPr="00AF43F7">
        <w:rPr>
          <w:b/>
          <w:noProof w:val="0"/>
        </w:rPr>
        <w:t>6</w:t>
      </w:r>
      <w:r w:rsidRPr="00AF43F7">
        <w:rPr>
          <w:noProof w:val="0"/>
        </w:rPr>
        <w:t xml:space="preserve"> (18), 2252</w:t>
      </w:r>
      <w:r w:rsidR="00960C90">
        <w:rPr>
          <w:noProof w:val="0"/>
        </w:rPr>
        <w:t>–</w:t>
      </w:r>
      <w:r w:rsidRPr="00AF43F7">
        <w:rPr>
          <w:noProof w:val="0"/>
        </w:rPr>
        <w:t>2257</w:t>
      </w:r>
      <w:r w:rsidR="00960C90">
        <w:rPr>
          <w:noProof w:val="0"/>
        </w:rPr>
        <w:t xml:space="preserve"> (</w:t>
      </w:r>
      <w:r w:rsidRPr="00AF43F7">
        <w:rPr>
          <w:noProof w:val="0"/>
        </w:rPr>
        <w:t>2007).</w:t>
      </w:r>
    </w:p>
    <w:p w14:paraId="0DFF0BB1" w14:textId="32EE2A2D" w:rsidR="00201DF9" w:rsidRPr="00AF43F7" w:rsidRDefault="00AF43F7" w:rsidP="00EF4B5E">
      <w:pPr>
        <w:pStyle w:val="EndNoteBibliography"/>
        <w:numPr>
          <w:ilvl w:val="0"/>
          <w:numId w:val="31"/>
        </w:numPr>
        <w:ind w:left="0" w:firstLine="0"/>
        <w:rPr>
          <w:noProof w:val="0"/>
        </w:rPr>
      </w:pPr>
      <w:r w:rsidRPr="00AF43F7">
        <w:rPr>
          <w:noProof w:val="0"/>
        </w:rPr>
        <w:t xml:space="preserve">Ross, J. mRNA stability in mammalian cells. </w:t>
      </w:r>
      <w:r w:rsidRPr="00AF43F7">
        <w:rPr>
          <w:i/>
          <w:noProof w:val="0"/>
        </w:rPr>
        <w:t>Microbiological Reviews.</w:t>
      </w:r>
      <w:r w:rsidRPr="00AF43F7">
        <w:rPr>
          <w:noProof w:val="0"/>
        </w:rPr>
        <w:t xml:space="preserve"> </w:t>
      </w:r>
      <w:r w:rsidRPr="00AF43F7">
        <w:rPr>
          <w:b/>
          <w:noProof w:val="0"/>
        </w:rPr>
        <w:t>59</w:t>
      </w:r>
      <w:r w:rsidRPr="00AF43F7">
        <w:rPr>
          <w:noProof w:val="0"/>
        </w:rPr>
        <w:t xml:space="preserve"> (3), 423</w:t>
      </w:r>
      <w:r w:rsidR="00960C90">
        <w:rPr>
          <w:noProof w:val="0"/>
        </w:rPr>
        <w:t>–</w:t>
      </w:r>
      <w:r w:rsidRPr="00AF43F7">
        <w:rPr>
          <w:noProof w:val="0"/>
        </w:rPr>
        <w:t>450</w:t>
      </w:r>
      <w:r w:rsidR="00960C90">
        <w:rPr>
          <w:noProof w:val="0"/>
        </w:rPr>
        <w:t xml:space="preserve"> (</w:t>
      </w:r>
      <w:r w:rsidRPr="00AF43F7">
        <w:rPr>
          <w:noProof w:val="0"/>
        </w:rPr>
        <w:t>1995).</w:t>
      </w:r>
    </w:p>
    <w:p w14:paraId="0C703E66" w14:textId="31876161" w:rsidR="00201DF9" w:rsidRPr="00AF43F7" w:rsidRDefault="00AF43F7" w:rsidP="00EF4B5E">
      <w:pPr>
        <w:pStyle w:val="EndNoteBibliography"/>
        <w:numPr>
          <w:ilvl w:val="0"/>
          <w:numId w:val="31"/>
        </w:numPr>
        <w:ind w:left="0" w:firstLine="0"/>
        <w:rPr>
          <w:noProof w:val="0"/>
        </w:rPr>
      </w:pPr>
      <w:proofErr w:type="spellStart"/>
      <w:r w:rsidRPr="00AF43F7">
        <w:rPr>
          <w:noProof w:val="0"/>
        </w:rPr>
        <w:t>Gossen</w:t>
      </w:r>
      <w:proofErr w:type="spellEnd"/>
      <w:r w:rsidRPr="00AF43F7">
        <w:rPr>
          <w:noProof w:val="0"/>
        </w:rPr>
        <w:t>, M.</w:t>
      </w:r>
      <w:r w:rsidR="00960C90">
        <w:rPr>
          <w:noProof w:val="0"/>
        </w:rPr>
        <w:t xml:space="preserve">, </w:t>
      </w:r>
      <w:proofErr w:type="spellStart"/>
      <w:r w:rsidRPr="00AF43F7">
        <w:rPr>
          <w:noProof w:val="0"/>
        </w:rPr>
        <w:t>Bujard</w:t>
      </w:r>
      <w:proofErr w:type="spellEnd"/>
      <w:r w:rsidRPr="00AF43F7">
        <w:rPr>
          <w:noProof w:val="0"/>
        </w:rPr>
        <w:t xml:space="preserve">, H. Tight control of gene expression in mammalian cells by tetracycline-responsive promoters. </w:t>
      </w:r>
      <w:r w:rsidRPr="00AF43F7">
        <w:rPr>
          <w:i/>
          <w:noProof w:val="0"/>
        </w:rPr>
        <w:t>Proceedings of the National Academy of Sciences.</w:t>
      </w:r>
      <w:r w:rsidRPr="00AF43F7">
        <w:rPr>
          <w:noProof w:val="0"/>
        </w:rPr>
        <w:t xml:space="preserve"> </w:t>
      </w:r>
      <w:r w:rsidRPr="00AF43F7">
        <w:rPr>
          <w:b/>
          <w:noProof w:val="0"/>
        </w:rPr>
        <w:t>89</w:t>
      </w:r>
      <w:r w:rsidRPr="00AF43F7">
        <w:rPr>
          <w:noProof w:val="0"/>
        </w:rPr>
        <w:t xml:space="preserve"> (12), 5547</w:t>
      </w:r>
      <w:r w:rsidR="00960C90">
        <w:rPr>
          <w:noProof w:val="0"/>
        </w:rPr>
        <w:t>–</w:t>
      </w:r>
      <w:r w:rsidRPr="00AF43F7">
        <w:rPr>
          <w:noProof w:val="0"/>
        </w:rPr>
        <w:t>5551</w:t>
      </w:r>
      <w:r w:rsidR="00960C90">
        <w:rPr>
          <w:noProof w:val="0"/>
        </w:rPr>
        <w:t xml:space="preserve"> (</w:t>
      </w:r>
      <w:r w:rsidRPr="00AF43F7">
        <w:rPr>
          <w:noProof w:val="0"/>
        </w:rPr>
        <w:t>1992).</w:t>
      </w:r>
    </w:p>
    <w:p w14:paraId="49169244" w14:textId="0B1A8685" w:rsidR="00201DF9" w:rsidRPr="00AF43F7" w:rsidRDefault="00AF43F7" w:rsidP="00EF4B5E">
      <w:pPr>
        <w:pStyle w:val="EndNoteBibliography"/>
        <w:numPr>
          <w:ilvl w:val="0"/>
          <w:numId w:val="31"/>
        </w:numPr>
        <w:ind w:left="0" w:firstLine="0"/>
        <w:rPr>
          <w:noProof w:val="0"/>
        </w:rPr>
      </w:pPr>
      <w:r w:rsidRPr="00AF43F7">
        <w:rPr>
          <w:noProof w:val="0"/>
        </w:rPr>
        <w:t>Meyer, D. J., Stephenson, E. W., Johnson, L., Cochran, B. H.</w:t>
      </w:r>
      <w:r w:rsidR="00960C90">
        <w:rPr>
          <w:noProof w:val="0"/>
        </w:rPr>
        <w:t xml:space="preserve">, </w:t>
      </w:r>
      <w:r w:rsidRPr="00AF43F7">
        <w:rPr>
          <w:noProof w:val="0"/>
        </w:rPr>
        <w:t>Schwartz, J. The serum response element can mediate induction of c-</w:t>
      </w:r>
      <w:proofErr w:type="spellStart"/>
      <w:r w:rsidRPr="00AF43F7">
        <w:rPr>
          <w:noProof w:val="0"/>
        </w:rPr>
        <w:t>fos</w:t>
      </w:r>
      <w:proofErr w:type="spellEnd"/>
      <w:r w:rsidRPr="00AF43F7">
        <w:rPr>
          <w:noProof w:val="0"/>
        </w:rPr>
        <w:t xml:space="preserve"> by growth hormone. </w:t>
      </w:r>
      <w:r w:rsidRPr="00AF43F7">
        <w:rPr>
          <w:i/>
          <w:noProof w:val="0"/>
        </w:rPr>
        <w:t>Proceedings of the National Academy of Sciences.</w:t>
      </w:r>
      <w:r w:rsidRPr="00AF43F7">
        <w:rPr>
          <w:noProof w:val="0"/>
        </w:rPr>
        <w:t xml:space="preserve"> </w:t>
      </w:r>
      <w:r w:rsidRPr="00AF43F7">
        <w:rPr>
          <w:b/>
          <w:noProof w:val="0"/>
        </w:rPr>
        <w:t>90</w:t>
      </w:r>
      <w:r w:rsidRPr="00AF43F7">
        <w:rPr>
          <w:noProof w:val="0"/>
        </w:rPr>
        <w:t xml:space="preserve"> (14), 6721</w:t>
      </w:r>
      <w:r w:rsidR="00960C90">
        <w:rPr>
          <w:noProof w:val="0"/>
        </w:rPr>
        <w:t>–</w:t>
      </w:r>
      <w:r w:rsidRPr="00AF43F7">
        <w:rPr>
          <w:noProof w:val="0"/>
        </w:rPr>
        <w:t>6725</w:t>
      </w:r>
      <w:r w:rsidR="00960C90">
        <w:rPr>
          <w:noProof w:val="0"/>
        </w:rPr>
        <w:t xml:space="preserve"> (</w:t>
      </w:r>
      <w:r w:rsidRPr="00AF43F7">
        <w:rPr>
          <w:noProof w:val="0"/>
        </w:rPr>
        <w:t>1993).</w:t>
      </w:r>
    </w:p>
    <w:p w14:paraId="2BE6014A" w14:textId="1906BBE2" w:rsidR="00560C8E" w:rsidRDefault="00560C8E" w:rsidP="00EF4B5E">
      <w:pPr>
        <w:pStyle w:val="EndNoteBibliography"/>
        <w:numPr>
          <w:ilvl w:val="0"/>
          <w:numId w:val="31"/>
        </w:numPr>
        <w:ind w:left="0" w:firstLine="0"/>
        <w:rPr>
          <w:noProof w:val="0"/>
        </w:rPr>
      </w:pPr>
      <w:proofErr w:type="spellStart"/>
      <w:r w:rsidRPr="00560C8E">
        <w:rPr>
          <w:noProof w:val="0"/>
          <w:lang w:val="fr-CA"/>
        </w:rPr>
        <w:t>Harkin</w:t>
      </w:r>
      <w:proofErr w:type="spellEnd"/>
      <w:r w:rsidRPr="00560C8E">
        <w:rPr>
          <w:noProof w:val="0"/>
          <w:lang w:val="fr-CA"/>
        </w:rPr>
        <w:t xml:space="preserve">, D. P. et al. </w:t>
      </w:r>
      <w:r w:rsidRPr="00560C8E">
        <w:rPr>
          <w:noProof w:val="0"/>
        </w:rPr>
        <w:t xml:space="preserve">Induction of GADD45 and JNK/SAPK-dependent apoptosis following inducible expression of BRCA1. </w:t>
      </w:r>
      <w:r w:rsidRPr="00560C8E">
        <w:rPr>
          <w:i/>
          <w:iCs/>
          <w:noProof w:val="0"/>
        </w:rPr>
        <w:t>Cell.</w:t>
      </w:r>
      <w:r w:rsidRPr="00560C8E">
        <w:rPr>
          <w:noProof w:val="0"/>
        </w:rPr>
        <w:t xml:space="preserve"> 97 (5), 575-586, (1999).</w:t>
      </w:r>
    </w:p>
    <w:p w14:paraId="01F611EC" w14:textId="61EBBE07" w:rsidR="00201DF9" w:rsidRPr="00AF43F7" w:rsidRDefault="00AF43F7" w:rsidP="00EF4B5E">
      <w:pPr>
        <w:pStyle w:val="EndNoteBibliography"/>
        <w:numPr>
          <w:ilvl w:val="0"/>
          <w:numId w:val="31"/>
        </w:numPr>
        <w:ind w:left="0" w:firstLine="0"/>
        <w:rPr>
          <w:noProof w:val="0"/>
        </w:rPr>
      </w:pPr>
      <w:proofErr w:type="spellStart"/>
      <w:r w:rsidRPr="00AF43F7">
        <w:rPr>
          <w:noProof w:val="0"/>
        </w:rPr>
        <w:t>Formisano</w:t>
      </w:r>
      <w:proofErr w:type="spellEnd"/>
      <w:r w:rsidRPr="00AF43F7">
        <w:rPr>
          <w:noProof w:val="0"/>
        </w:rPr>
        <w:t>, L.</w:t>
      </w:r>
      <w:r w:rsidRPr="00AF43F7">
        <w:rPr>
          <w:i/>
          <w:noProof w:val="0"/>
        </w:rPr>
        <w:t xml:space="preserve"> </w:t>
      </w:r>
      <w:r w:rsidRPr="00EF4B5E">
        <w:rPr>
          <w:iCs/>
          <w:noProof w:val="0"/>
        </w:rPr>
        <w:t>et al.</w:t>
      </w:r>
      <w:r w:rsidRPr="00AF43F7">
        <w:rPr>
          <w:noProof w:val="0"/>
        </w:rPr>
        <w:t xml:space="preserve"> The two isoforms of the Na+/Ca2+ exchanger, NCX1 and NCX3, constitute novel additional targets for the </w:t>
      </w:r>
      <w:proofErr w:type="spellStart"/>
      <w:r w:rsidRPr="00AF43F7">
        <w:rPr>
          <w:noProof w:val="0"/>
        </w:rPr>
        <w:t>prosurvival</w:t>
      </w:r>
      <w:proofErr w:type="spellEnd"/>
      <w:r w:rsidRPr="00AF43F7">
        <w:rPr>
          <w:noProof w:val="0"/>
        </w:rPr>
        <w:t xml:space="preserve"> action of </w:t>
      </w:r>
      <w:proofErr w:type="spellStart"/>
      <w:r w:rsidRPr="00AF43F7">
        <w:rPr>
          <w:noProof w:val="0"/>
        </w:rPr>
        <w:t>Akt</w:t>
      </w:r>
      <w:proofErr w:type="spellEnd"/>
      <w:r w:rsidRPr="00AF43F7">
        <w:rPr>
          <w:noProof w:val="0"/>
        </w:rPr>
        <w:t xml:space="preserve">/protein kinase B pathway. </w:t>
      </w:r>
      <w:r w:rsidRPr="00AF43F7">
        <w:rPr>
          <w:i/>
          <w:noProof w:val="0"/>
        </w:rPr>
        <w:t>Molecular Pharmacology.</w:t>
      </w:r>
      <w:r w:rsidRPr="00AF43F7">
        <w:rPr>
          <w:noProof w:val="0"/>
        </w:rPr>
        <w:t xml:space="preserve"> </w:t>
      </w:r>
      <w:r w:rsidRPr="00AF43F7">
        <w:rPr>
          <w:b/>
          <w:noProof w:val="0"/>
        </w:rPr>
        <w:t>73</w:t>
      </w:r>
      <w:r w:rsidRPr="00AF43F7">
        <w:rPr>
          <w:noProof w:val="0"/>
        </w:rPr>
        <w:t xml:space="preserve"> (3), 727</w:t>
      </w:r>
      <w:r w:rsidR="00960C90">
        <w:rPr>
          <w:noProof w:val="0"/>
        </w:rPr>
        <w:t>–</w:t>
      </w:r>
      <w:r w:rsidRPr="00AF43F7">
        <w:rPr>
          <w:noProof w:val="0"/>
        </w:rPr>
        <w:t>737</w:t>
      </w:r>
      <w:r w:rsidR="00960C90">
        <w:rPr>
          <w:noProof w:val="0"/>
        </w:rPr>
        <w:t xml:space="preserve"> (</w:t>
      </w:r>
      <w:r w:rsidRPr="00AF43F7">
        <w:rPr>
          <w:noProof w:val="0"/>
        </w:rPr>
        <w:t>2008).</w:t>
      </w:r>
    </w:p>
    <w:p w14:paraId="581A4EB1" w14:textId="28148BE0" w:rsidR="00201DF9" w:rsidRPr="00AF43F7" w:rsidRDefault="00AF43F7" w:rsidP="00EF4B5E">
      <w:pPr>
        <w:pStyle w:val="EndNoteBibliography"/>
        <w:numPr>
          <w:ilvl w:val="0"/>
          <w:numId w:val="31"/>
        </w:numPr>
        <w:ind w:left="0" w:firstLine="0"/>
        <w:rPr>
          <w:noProof w:val="0"/>
        </w:rPr>
      </w:pPr>
      <w:r w:rsidRPr="00AF43F7">
        <w:rPr>
          <w:noProof w:val="0"/>
        </w:rPr>
        <w:t>Yin, D. X.</w:t>
      </w:r>
      <w:r w:rsidR="00960C90">
        <w:rPr>
          <w:noProof w:val="0"/>
        </w:rPr>
        <w:t xml:space="preserve">, </w:t>
      </w:r>
      <w:proofErr w:type="spellStart"/>
      <w:r w:rsidRPr="00AF43F7">
        <w:rPr>
          <w:noProof w:val="0"/>
        </w:rPr>
        <w:t>Schimke</w:t>
      </w:r>
      <w:proofErr w:type="spellEnd"/>
      <w:r w:rsidRPr="00AF43F7">
        <w:rPr>
          <w:noProof w:val="0"/>
        </w:rPr>
        <w:t xml:space="preserve">, R. T. BCL-2 expression delays drug-induced apoptosis but does not increase </w:t>
      </w:r>
      <w:proofErr w:type="spellStart"/>
      <w:r w:rsidRPr="00AF43F7">
        <w:rPr>
          <w:noProof w:val="0"/>
        </w:rPr>
        <w:t>clonogenic</w:t>
      </w:r>
      <w:proofErr w:type="spellEnd"/>
      <w:r w:rsidRPr="00AF43F7">
        <w:rPr>
          <w:noProof w:val="0"/>
        </w:rPr>
        <w:t xml:space="preserve"> survival after drug treatment in HeLa cells. </w:t>
      </w:r>
      <w:r w:rsidRPr="00AF43F7">
        <w:rPr>
          <w:i/>
          <w:noProof w:val="0"/>
        </w:rPr>
        <w:t>Cancer Research.</w:t>
      </w:r>
      <w:r w:rsidRPr="00AF43F7">
        <w:rPr>
          <w:noProof w:val="0"/>
        </w:rPr>
        <w:t xml:space="preserve"> </w:t>
      </w:r>
      <w:r w:rsidRPr="00AF43F7">
        <w:rPr>
          <w:b/>
          <w:noProof w:val="0"/>
        </w:rPr>
        <w:t>55</w:t>
      </w:r>
      <w:r w:rsidRPr="00AF43F7">
        <w:rPr>
          <w:noProof w:val="0"/>
        </w:rPr>
        <w:t xml:space="preserve"> (21), 4922</w:t>
      </w:r>
      <w:r w:rsidR="00960C90">
        <w:rPr>
          <w:noProof w:val="0"/>
        </w:rPr>
        <w:t>–</w:t>
      </w:r>
      <w:r w:rsidRPr="00AF43F7">
        <w:rPr>
          <w:noProof w:val="0"/>
        </w:rPr>
        <w:t>4928</w:t>
      </w:r>
      <w:r w:rsidR="00960C90">
        <w:rPr>
          <w:noProof w:val="0"/>
        </w:rPr>
        <w:t xml:space="preserve"> (</w:t>
      </w:r>
      <w:r w:rsidRPr="00AF43F7">
        <w:rPr>
          <w:noProof w:val="0"/>
        </w:rPr>
        <w:t>1995).</w:t>
      </w:r>
    </w:p>
    <w:p w14:paraId="0449D2D8" w14:textId="131A59E6" w:rsidR="00201DF9" w:rsidRPr="00AF43F7" w:rsidRDefault="00AF43F7" w:rsidP="00EF4B5E">
      <w:pPr>
        <w:pStyle w:val="EndNoteBibliography"/>
        <w:numPr>
          <w:ilvl w:val="0"/>
          <w:numId w:val="31"/>
        </w:numPr>
        <w:ind w:left="0" w:firstLine="0"/>
        <w:rPr>
          <w:noProof w:val="0"/>
        </w:rPr>
      </w:pPr>
      <w:r w:rsidRPr="00AF43F7">
        <w:rPr>
          <w:noProof w:val="0"/>
        </w:rPr>
        <w:lastRenderedPageBreak/>
        <w:t>Johnstone, R. W.</w:t>
      </w:r>
      <w:r w:rsidRPr="00AF43F7">
        <w:rPr>
          <w:i/>
          <w:noProof w:val="0"/>
        </w:rPr>
        <w:t xml:space="preserve"> </w:t>
      </w:r>
      <w:r w:rsidRPr="00EF4B5E">
        <w:rPr>
          <w:iCs/>
          <w:noProof w:val="0"/>
        </w:rPr>
        <w:t>et al.</w:t>
      </w:r>
      <w:r w:rsidRPr="00AF43F7">
        <w:rPr>
          <w:noProof w:val="0"/>
        </w:rPr>
        <w:t xml:space="preserve"> Functional analysis of the leukemia protein ELL: evidence for a role in the regulation of cell growth and survival. </w:t>
      </w:r>
      <w:r w:rsidRPr="00AF43F7">
        <w:rPr>
          <w:i/>
          <w:noProof w:val="0"/>
        </w:rPr>
        <w:t>Molecular and Cellular Biology.</w:t>
      </w:r>
      <w:r w:rsidRPr="00AF43F7">
        <w:rPr>
          <w:noProof w:val="0"/>
        </w:rPr>
        <w:t xml:space="preserve"> </w:t>
      </w:r>
      <w:r w:rsidRPr="00AF43F7">
        <w:rPr>
          <w:b/>
          <w:noProof w:val="0"/>
        </w:rPr>
        <w:t>21</w:t>
      </w:r>
      <w:r w:rsidRPr="00AF43F7">
        <w:rPr>
          <w:noProof w:val="0"/>
        </w:rPr>
        <w:t xml:space="preserve"> (5), 1672</w:t>
      </w:r>
      <w:r w:rsidR="00960C90">
        <w:rPr>
          <w:noProof w:val="0"/>
        </w:rPr>
        <w:t>–</w:t>
      </w:r>
      <w:r w:rsidRPr="00AF43F7">
        <w:rPr>
          <w:noProof w:val="0"/>
        </w:rPr>
        <w:t>1681</w:t>
      </w:r>
      <w:r w:rsidR="00960C90">
        <w:rPr>
          <w:noProof w:val="0"/>
        </w:rPr>
        <w:t xml:space="preserve"> (</w:t>
      </w:r>
      <w:r w:rsidRPr="00AF43F7">
        <w:rPr>
          <w:noProof w:val="0"/>
        </w:rPr>
        <w:t>2001).</w:t>
      </w:r>
    </w:p>
    <w:p w14:paraId="1F2A5A39" w14:textId="38E0EE68" w:rsidR="00201DF9" w:rsidRPr="00AF43F7" w:rsidRDefault="00AF43F7" w:rsidP="00EF4B5E">
      <w:pPr>
        <w:pStyle w:val="EndNoteBibliography"/>
        <w:numPr>
          <w:ilvl w:val="0"/>
          <w:numId w:val="31"/>
        </w:numPr>
        <w:ind w:left="0" w:firstLine="0"/>
        <w:rPr>
          <w:noProof w:val="0"/>
        </w:rPr>
      </w:pPr>
      <w:proofErr w:type="spellStart"/>
      <w:r w:rsidRPr="009F3718">
        <w:rPr>
          <w:noProof w:val="0"/>
        </w:rPr>
        <w:t>Olotu</w:t>
      </w:r>
      <w:proofErr w:type="spellEnd"/>
      <w:r w:rsidRPr="00AF43F7">
        <w:rPr>
          <w:noProof w:val="0"/>
        </w:rPr>
        <w:t>, C.</w:t>
      </w:r>
      <w:r w:rsidRPr="00AF43F7">
        <w:rPr>
          <w:i/>
          <w:noProof w:val="0"/>
        </w:rPr>
        <w:t xml:space="preserve"> </w:t>
      </w:r>
      <w:r w:rsidRPr="00EF4B5E">
        <w:rPr>
          <w:iCs/>
          <w:noProof w:val="0"/>
        </w:rPr>
        <w:t>et al.</w:t>
      </w:r>
      <w:r w:rsidRPr="00AF43F7">
        <w:rPr>
          <w:noProof w:val="0"/>
        </w:rPr>
        <w:t xml:space="preserve"> Streptococcus pneumoniae inhibits purinergic signaling and promotes purinergic receptor P2Y2 internalization in alveolar epithelial cells. </w:t>
      </w:r>
      <w:r w:rsidRPr="00AF43F7">
        <w:rPr>
          <w:i/>
          <w:noProof w:val="0"/>
        </w:rPr>
        <w:t>Journal of Biological Chemistry.</w:t>
      </w:r>
      <w:r w:rsidRPr="00AF43F7">
        <w:rPr>
          <w:noProof w:val="0"/>
        </w:rPr>
        <w:t xml:space="preserve"> </w:t>
      </w:r>
      <w:r w:rsidR="006D3EA2" w:rsidRPr="00EF4B5E">
        <w:rPr>
          <w:b/>
          <w:bCs/>
          <w:noProof w:val="0"/>
        </w:rPr>
        <w:t>294</w:t>
      </w:r>
      <w:r w:rsidR="006D3EA2">
        <w:rPr>
          <w:noProof w:val="0"/>
        </w:rPr>
        <w:t xml:space="preserve"> </w:t>
      </w:r>
      <w:r w:rsidR="006D3EA2" w:rsidRPr="006D3EA2">
        <w:rPr>
          <w:noProof w:val="0"/>
        </w:rPr>
        <w:t>(34)</w:t>
      </w:r>
      <w:r w:rsidR="006D3EA2">
        <w:rPr>
          <w:noProof w:val="0"/>
        </w:rPr>
        <w:t xml:space="preserve">, </w:t>
      </w:r>
      <w:r w:rsidR="006D3EA2" w:rsidRPr="006D3EA2">
        <w:rPr>
          <w:noProof w:val="0"/>
        </w:rPr>
        <w:t>12795</w:t>
      </w:r>
      <w:r w:rsidR="006D3EA2">
        <w:rPr>
          <w:noProof w:val="0"/>
        </w:rPr>
        <w:t>–</w:t>
      </w:r>
      <w:r w:rsidR="006D3EA2" w:rsidRPr="006D3EA2">
        <w:rPr>
          <w:noProof w:val="0"/>
        </w:rPr>
        <w:t>12806</w:t>
      </w:r>
      <w:r w:rsidR="006D3EA2">
        <w:rPr>
          <w:noProof w:val="0"/>
        </w:rPr>
        <w:t xml:space="preserve"> </w:t>
      </w:r>
      <w:r w:rsidR="00960C90">
        <w:rPr>
          <w:noProof w:val="0"/>
        </w:rPr>
        <w:t>(</w:t>
      </w:r>
      <w:r w:rsidRPr="00AF43F7">
        <w:rPr>
          <w:noProof w:val="0"/>
        </w:rPr>
        <w:t>2019).</w:t>
      </w:r>
    </w:p>
    <w:p w14:paraId="36D40790" w14:textId="7660C0A6" w:rsidR="00201DF9" w:rsidRPr="00AF43F7" w:rsidRDefault="00AF43F7" w:rsidP="00EF4B5E">
      <w:pPr>
        <w:pStyle w:val="EndNoteBibliography"/>
        <w:numPr>
          <w:ilvl w:val="0"/>
          <w:numId w:val="31"/>
        </w:numPr>
        <w:ind w:left="0" w:firstLine="0"/>
        <w:rPr>
          <w:noProof w:val="0"/>
        </w:rPr>
      </w:pPr>
      <w:proofErr w:type="spellStart"/>
      <w:r w:rsidRPr="00AF43F7">
        <w:rPr>
          <w:noProof w:val="0"/>
        </w:rPr>
        <w:t>Goldmann</w:t>
      </w:r>
      <w:proofErr w:type="spellEnd"/>
      <w:r w:rsidRPr="00AF43F7">
        <w:rPr>
          <w:noProof w:val="0"/>
        </w:rPr>
        <w:t>, T.</w:t>
      </w:r>
      <w:r w:rsidRPr="00AF43F7">
        <w:rPr>
          <w:i/>
          <w:noProof w:val="0"/>
        </w:rPr>
        <w:t xml:space="preserve"> </w:t>
      </w:r>
      <w:r w:rsidRPr="00EF4B5E">
        <w:rPr>
          <w:iCs/>
          <w:noProof w:val="0"/>
        </w:rPr>
        <w:t>et al.</w:t>
      </w:r>
      <w:r w:rsidRPr="00AF43F7">
        <w:rPr>
          <w:noProof w:val="0"/>
        </w:rPr>
        <w:t xml:space="preserve"> Human alveolar epithelial cells type II are capable of </w:t>
      </w:r>
      <w:proofErr w:type="spellStart"/>
      <w:r w:rsidRPr="00AF43F7">
        <w:rPr>
          <w:noProof w:val="0"/>
        </w:rPr>
        <w:t>TGFbeta</w:t>
      </w:r>
      <w:proofErr w:type="spellEnd"/>
      <w:r w:rsidRPr="00AF43F7">
        <w:rPr>
          <w:noProof w:val="0"/>
        </w:rPr>
        <w:t xml:space="preserve">-dependent epithelial-mesenchymal-transition and collagen-synthesis. </w:t>
      </w:r>
      <w:r w:rsidRPr="00AF43F7">
        <w:rPr>
          <w:i/>
          <w:noProof w:val="0"/>
        </w:rPr>
        <w:t>Respiratory Research.</w:t>
      </w:r>
      <w:r w:rsidRPr="00AF43F7">
        <w:rPr>
          <w:noProof w:val="0"/>
        </w:rPr>
        <w:t xml:space="preserve"> </w:t>
      </w:r>
      <w:r w:rsidRPr="00AF43F7">
        <w:rPr>
          <w:b/>
          <w:noProof w:val="0"/>
        </w:rPr>
        <w:t>19</w:t>
      </w:r>
      <w:r w:rsidRPr="00AF43F7">
        <w:rPr>
          <w:noProof w:val="0"/>
        </w:rPr>
        <w:t xml:space="preserve"> (1), 138</w:t>
      </w:r>
      <w:r w:rsidR="00960C90">
        <w:rPr>
          <w:noProof w:val="0"/>
        </w:rPr>
        <w:t xml:space="preserve"> (</w:t>
      </w:r>
      <w:r w:rsidRPr="00AF43F7">
        <w:rPr>
          <w:noProof w:val="0"/>
        </w:rPr>
        <w:t>2018).</w:t>
      </w:r>
    </w:p>
    <w:p w14:paraId="7F32E465" w14:textId="6E3C082B" w:rsidR="00201DF9" w:rsidRPr="00AF43F7" w:rsidRDefault="00AF43F7" w:rsidP="00EF4B5E">
      <w:pPr>
        <w:pStyle w:val="EndNoteBibliography"/>
        <w:numPr>
          <w:ilvl w:val="0"/>
          <w:numId w:val="31"/>
        </w:numPr>
        <w:ind w:left="0" w:firstLine="0"/>
        <w:rPr>
          <w:noProof w:val="0"/>
        </w:rPr>
      </w:pPr>
      <w:r w:rsidRPr="00AF43F7">
        <w:rPr>
          <w:noProof w:val="0"/>
        </w:rPr>
        <w:t>Huang, C.</w:t>
      </w:r>
      <w:r w:rsidRPr="00AF43F7">
        <w:rPr>
          <w:i/>
          <w:noProof w:val="0"/>
        </w:rPr>
        <w:t xml:space="preserve"> </w:t>
      </w:r>
      <w:r w:rsidRPr="00EF4B5E">
        <w:rPr>
          <w:iCs/>
          <w:noProof w:val="0"/>
        </w:rPr>
        <w:t>et al.</w:t>
      </w:r>
      <w:r w:rsidRPr="00AF43F7">
        <w:rPr>
          <w:noProof w:val="0"/>
        </w:rPr>
        <w:t xml:space="preserve"> Ghrelin ameliorates the human alveolar epithelial A549 cell apoptosis induced by lipopolysaccharide. </w:t>
      </w:r>
      <w:r w:rsidRPr="00AF43F7">
        <w:rPr>
          <w:i/>
          <w:noProof w:val="0"/>
        </w:rPr>
        <w:t>Biochemical and Biophysical Research Communications.</w:t>
      </w:r>
      <w:r w:rsidRPr="00AF43F7">
        <w:rPr>
          <w:noProof w:val="0"/>
        </w:rPr>
        <w:t xml:space="preserve"> </w:t>
      </w:r>
      <w:r w:rsidRPr="00AF43F7">
        <w:rPr>
          <w:b/>
          <w:noProof w:val="0"/>
        </w:rPr>
        <w:t>474</w:t>
      </w:r>
      <w:r w:rsidRPr="00AF43F7">
        <w:rPr>
          <w:noProof w:val="0"/>
        </w:rPr>
        <w:t xml:space="preserve"> (1), 83</w:t>
      </w:r>
      <w:r w:rsidR="00960C90">
        <w:rPr>
          <w:noProof w:val="0"/>
        </w:rPr>
        <w:t>–</w:t>
      </w:r>
      <w:r w:rsidRPr="00AF43F7">
        <w:rPr>
          <w:noProof w:val="0"/>
        </w:rPr>
        <w:t>90</w:t>
      </w:r>
      <w:r w:rsidR="00960C90">
        <w:rPr>
          <w:noProof w:val="0"/>
        </w:rPr>
        <w:t xml:space="preserve"> (</w:t>
      </w:r>
      <w:r w:rsidRPr="00AF43F7">
        <w:rPr>
          <w:noProof w:val="0"/>
        </w:rPr>
        <w:t>2016).</w:t>
      </w:r>
    </w:p>
    <w:p w14:paraId="5E70E2A9" w14:textId="533A7634" w:rsidR="00201DF9" w:rsidRPr="00AF43F7" w:rsidRDefault="00AF43F7" w:rsidP="00EF4B5E">
      <w:pPr>
        <w:pStyle w:val="EndNoteBibliography"/>
        <w:numPr>
          <w:ilvl w:val="0"/>
          <w:numId w:val="31"/>
        </w:numPr>
        <w:ind w:left="0" w:firstLine="0"/>
        <w:rPr>
          <w:noProof w:val="0"/>
        </w:rPr>
      </w:pPr>
      <w:r w:rsidRPr="00AF43F7">
        <w:rPr>
          <w:noProof w:val="0"/>
        </w:rPr>
        <w:t>Gao, R.</w:t>
      </w:r>
      <w:r w:rsidRPr="00AF43F7">
        <w:rPr>
          <w:i/>
          <w:noProof w:val="0"/>
        </w:rPr>
        <w:t xml:space="preserve"> </w:t>
      </w:r>
      <w:r w:rsidRPr="00EF4B5E">
        <w:rPr>
          <w:iCs/>
          <w:noProof w:val="0"/>
        </w:rPr>
        <w:t>et al.</w:t>
      </w:r>
      <w:r w:rsidRPr="00AF43F7">
        <w:rPr>
          <w:noProof w:val="0"/>
        </w:rPr>
        <w:t xml:space="preserve"> Emodin suppresses TGF-beta1-induced epithelial-mesenchymal transition in alveolar epithelial cells through Notch signaling pathway. </w:t>
      </w:r>
      <w:r w:rsidRPr="00AF43F7">
        <w:rPr>
          <w:i/>
          <w:noProof w:val="0"/>
        </w:rPr>
        <w:t>Toxicology and Applied Pharmacology.</w:t>
      </w:r>
      <w:r w:rsidRPr="00AF43F7">
        <w:rPr>
          <w:noProof w:val="0"/>
        </w:rPr>
        <w:t xml:space="preserve"> </w:t>
      </w:r>
      <w:r w:rsidRPr="00AF43F7">
        <w:rPr>
          <w:b/>
          <w:noProof w:val="0"/>
        </w:rPr>
        <w:t>318</w:t>
      </w:r>
      <w:r w:rsidR="006D3EA2">
        <w:rPr>
          <w:bCs/>
          <w:noProof w:val="0"/>
        </w:rPr>
        <w:t>,</w:t>
      </w:r>
      <w:r w:rsidRPr="00AF43F7">
        <w:rPr>
          <w:noProof w:val="0"/>
        </w:rPr>
        <w:t xml:space="preserve"> 1</w:t>
      </w:r>
      <w:r w:rsidR="00960C90">
        <w:rPr>
          <w:noProof w:val="0"/>
        </w:rPr>
        <w:t>–</w:t>
      </w:r>
      <w:r w:rsidRPr="00AF43F7">
        <w:rPr>
          <w:noProof w:val="0"/>
        </w:rPr>
        <w:t>7</w:t>
      </w:r>
      <w:r w:rsidR="00960C90">
        <w:rPr>
          <w:noProof w:val="0"/>
        </w:rPr>
        <w:t xml:space="preserve"> (</w:t>
      </w:r>
      <w:r w:rsidRPr="00AF43F7">
        <w:rPr>
          <w:noProof w:val="0"/>
        </w:rPr>
        <w:t>2017).</w:t>
      </w:r>
    </w:p>
    <w:p w14:paraId="2BB463DC" w14:textId="11DC2561" w:rsidR="00201DF9" w:rsidRPr="00AF43F7" w:rsidRDefault="00AF43F7" w:rsidP="00EF4B5E">
      <w:pPr>
        <w:pStyle w:val="EndNoteBibliography"/>
        <w:numPr>
          <w:ilvl w:val="0"/>
          <w:numId w:val="31"/>
        </w:numPr>
        <w:ind w:left="0" w:firstLine="0"/>
        <w:rPr>
          <w:noProof w:val="0"/>
        </w:rPr>
      </w:pPr>
      <w:r w:rsidRPr="00DE0E4D">
        <w:rPr>
          <w:noProof w:val="0"/>
          <w:lang w:val="fr-CA"/>
        </w:rPr>
        <w:t>Cooper, J. R.</w:t>
      </w:r>
      <w:r w:rsidRPr="00DE0E4D">
        <w:rPr>
          <w:i/>
          <w:noProof w:val="0"/>
          <w:lang w:val="fr-CA"/>
        </w:rPr>
        <w:t xml:space="preserve"> </w:t>
      </w:r>
      <w:r w:rsidRPr="00DE0E4D">
        <w:rPr>
          <w:iCs/>
          <w:noProof w:val="0"/>
          <w:lang w:val="fr-CA"/>
        </w:rPr>
        <w:t>et al.</w:t>
      </w:r>
      <w:r w:rsidRPr="00DE0E4D">
        <w:rPr>
          <w:noProof w:val="0"/>
          <w:lang w:val="fr-CA"/>
        </w:rPr>
        <w:t xml:space="preserve"> </w:t>
      </w:r>
      <w:r w:rsidRPr="00AF43F7">
        <w:rPr>
          <w:noProof w:val="0"/>
        </w:rPr>
        <w:t xml:space="preserve">Long Term Culture of the A549 Cancer Cell Line Promotes Multilamellar Body Formation and Differentiation towards an Alveolar Type II Pneumocyte Phenotype. </w:t>
      </w:r>
      <w:proofErr w:type="spellStart"/>
      <w:r w:rsidRPr="00AF43F7">
        <w:rPr>
          <w:i/>
          <w:noProof w:val="0"/>
        </w:rPr>
        <w:t>PLoS</w:t>
      </w:r>
      <w:proofErr w:type="spellEnd"/>
      <w:r w:rsidRPr="00AF43F7">
        <w:rPr>
          <w:i/>
          <w:noProof w:val="0"/>
        </w:rPr>
        <w:t xml:space="preserve"> One.</w:t>
      </w:r>
      <w:r w:rsidRPr="00AF43F7">
        <w:rPr>
          <w:noProof w:val="0"/>
        </w:rPr>
        <w:t xml:space="preserve"> </w:t>
      </w:r>
      <w:r w:rsidRPr="00AF43F7">
        <w:rPr>
          <w:b/>
          <w:noProof w:val="0"/>
        </w:rPr>
        <w:t>11</w:t>
      </w:r>
      <w:r w:rsidRPr="00AF43F7">
        <w:rPr>
          <w:noProof w:val="0"/>
        </w:rPr>
        <w:t xml:space="preserve"> (10), e0164438</w:t>
      </w:r>
      <w:r w:rsidR="00960C90">
        <w:rPr>
          <w:noProof w:val="0"/>
        </w:rPr>
        <w:t xml:space="preserve"> (</w:t>
      </w:r>
      <w:r w:rsidRPr="00AF43F7">
        <w:rPr>
          <w:noProof w:val="0"/>
        </w:rPr>
        <w:t>2016).</w:t>
      </w:r>
    </w:p>
    <w:p w14:paraId="4267A911" w14:textId="11FCFE91" w:rsidR="00201DF9" w:rsidRPr="00AF43F7" w:rsidRDefault="00AF43F7" w:rsidP="00EF4B5E">
      <w:pPr>
        <w:pStyle w:val="EndNoteBibliography"/>
        <w:numPr>
          <w:ilvl w:val="0"/>
          <w:numId w:val="31"/>
        </w:numPr>
        <w:ind w:left="0" w:firstLine="0"/>
        <w:rPr>
          <w:noProof w:val="0"/>
        </w:rPr>
      </w:pPr>
      <w:r w:rsidRPr="00AF43F7">
        <w:rPr>
          <w:noProof w:val="0"/>
        </w:rPr>
        <w:t>Hirakata, Y.</w:t>
      </w:r>
      <w:r w:rsidRPr="00AF43F7">
        <w:rPr>
          <w:i/>
          <w:noProof w:val="0"/>
        </w:rPr>
        <w:t xml:space="preserve"> </w:t>
      </w:r>
      <w:r w:rsidRPr="00EF4B5E">
        <w:rPr>
          <w:iCs/>
          <w:noProof w:val="0"/>
        </w:rPr>
        <w:t>et al.</w:t>
      </w:r>
      <w:r w:rsidRPr="00AF43F7">
        <w:rPr>
          <w:noProof w:val="0"/>
        </w:rPr>
        <w:t xml:space="preserve"> Monolayer culture systems with respiratory epithelial cells for evaluation of bacterial invasiveness. </w:t>
      </w:r>
      <w:r w:rsidRPr="00AF43F7">
        <w:rPr>
          <w:i/>
          <w:noProof w:val="0"/>
        </w:rPr>
        <w:t>Tohoku Journal of Experimental Medicine.</w:t>
      </w:r>
      <w:r w:rsidRPr="00AF43F7">
        <w:rPr>
          <w:noProof w:val="0"/>
        </w:rPr>
        <w:t xml:space="preserve"> </w:t>
      </w:r>
      <w:r w:rsidRPr="00AF43F7">
        <w:rPr>
          <w:b/>
          <w:noProof w:val="0"/>
        </w:rPr>
        <w:t>220</w:t>
      </w:r>
      <w:r w:rsidRPr="00AF43F7">
        <w:rPr>
          <w:noProof w:val="0"/>
        </w:rPr>
        <w:t xml:space="preserve"> (1), 15</w:t>
      </w:r>
      <w:r w:rsidR="00960C90">
        <w:rPr>
          <w:noProof w:val="0"/>
        </w:rPr>
        <w:t>–</w:t>
      </w:r>
      <w:r w:rsidRPr="00AF43F7">
        <w:rPr>
          <w:noProof w:val="0"/>
        </w:rPr>
        <w:t>19</w:t>
      </w:r>
      <w:r w:rsidR="00960C90">
        <w:rPr>
          <w:noProof w:val="0"/>
        </w:rPr>
        <w:t xml:space="preserve"> (</w:t>
      </w:r>
      <w:r w:rsidRPr="00AF43F7">
        <w:rPr>
          <w:noProof w:val="0"/>
        </w:rPr>
        <w:t>2010).</w:t>
      </w:r>
    </w:p>
    <w:p w14:paraId="1DCDC938" w14:textId="42BDC30A" w:rsidR="00201DF9" w:rsidRPr="00AF43F7" w:rsidRDefault="00AF43F7" w:rsidP="00EF4B5E">
      <w:pPr>
        <w:pStyle w:val="EndNoteBibliography"/>
        <w:numPr>
          <w:ilvl w:val="0"/>
          <w:numId w:val="31"/>
        </w:numPr>
        <w:ind w:left="0" w:firstLine="0"/>
        <w:rPr>
          <w:noProof w:val="0"/>
        </w:rPr>
      </w:pPr>
      <w:proofErr w:type="spellStart"/>
      <w:r w:rsidRPr="00AF43F7">
        <w:rPr>
          <w:noProof w:val="0"/>
        </w:rPr>
        <w:t>Grzybowska</w:t>
      </w:r>
      <w:proofErr w:type="spellEnd"/>
      <w:r w:rsidRPr="00AF43F7">
        <w:rPr>
          <w:noProof w:val="0"/>
        </w:rPr>
        <w:t xml:space="preserve">, E. A., </w:t>
      </w:r>
      <w:proofErr w:type="spellStart"/>
      <w:r w:rsidRPr="00AF43F7">
        <w:rPr>
          <w:noProof w:val="0"/>
        </w:rPr>
        <w:t>Wilczynska</w:t>
      </w:r>
      <w:proofErr w:type="spellEnd"/>
      <w:r w:rsidRPr="00AF43F7">
        <w:rPr>
          <w:noProof w:val="0"/>
        </w:rPr>
        <w:t>, A.</w:t>
      </w:r>
      <w:r w:rsidR="00960C90">
        <w:rPr>
          <w:noProof w:val="0"/>
        </w:rPr>
        <w:t xml:space="preserve">, </w:t>
      </w:r>
      <w:proofErr w:type="spellStart"/>
      <w:r w:rsidRPr="00AF43F7">
        <w:rPr>
          <w:noProof w:val="0"/>
        </w:rPr>
        <w:t>Siedlecki</w:t>
      </w:r>
      <w:proofErr w:type="spellEnd"/>
      <w:r w:rsidRPr="00AF43F7">
        <w:rPr>
          <w:noProof w:val="0"/>
        </w:rPr>
        <w:t xml:space="preserve">, J. A. Regulatory functions of 3'UTRs. </w:t>
      </w:r>
      <w:r w:rsidRPr="00AF43F7">
        <w:rPr>
          <w:i/>
          <w:noProof w:val="0"/>
        </w:rPr>
        <w:t>Biochemical and Biophysical Research Communications.</w:t>
      </w:r>
      <w:r w:rsidRPr="00AF43F7">
        <w:rPr>
          <w:noProof w:val="0"/>
        </w:rPr>
        <w:t xml:space="preserve"> </w:t>
      </w:r>
      <w:r w:rsidRPr="00AF43F7">
        <w:rPr>
          <w:b/>
          <w:noProof w:val="0"/>
        </w:rPr>
        <w:t>288</w:t>
      </w:r>
      <w:r w:rsidRPr="00AF43F7">
        <w:rPr>
          <w:noProof w:val="0"/>
        </w:rPr>
        <w:t xml:space="preserve"> (2), 291</w:t>
      </w:r>
      <w:r w:rsidR="00960C90">
        <w:rPr>
          <w:noProof w:val="0"/>
        </w:rPr>
        <w:t>–</w:t>
      </w:r>
      <w:r w:rsidRPr="00AF43F7">
        <w:rPr>
          <w:noProof w:val="0"/>
        </w:rPr>
        <w:t>295</w:t>
      </w:r>
      <w:r w:rsidR="00960C90">
        <w:rPr>
          <w:noProof w:val="0"/>
        </w:rPr>
        <w:t xml:space="preserve"> (</w:t>
      </w:r>
      <w:r w:rsidRPr="00AF43F7">
        <w:rPr>
          <w:noProof w:val="0"/>
        </w:rPr>
        <w:t>2001).</w:t>
      </w:r>
    </w:p>
    <w:p w14:paraId="7AAD2D3A" w14:textId="3D476F6B" w:rsidR="00201DF9" w:rsidRPr="00AF43F7" w:rsidRDefault="00AF43F7" w:rsidP="00EF4B5E">
      <w:pPr>
        <w:pStyle w:val="EndNoteBibliography"/>
        <w:numPr>
          <w:ilvl w:val="0"/>
          <w:numId w:val="31"/>
        </w:numPr>
        <w:ind w:left="0" w:firstLine="0"/>
        <w:rPr>
          <w:noProof w:val="0"/>
        </w:rPr>
      </w:pPr>
      <w:r w:rsidRPr="00AF43F7">
        <w:rPr>
          <w:noProof w:val="0"/>
        </w:rPr>
        <w:t>Chen, C. Y., Chen, S. T., Juan, H. F.</w:t>
      </w:r>
      <w:r w:rsidR="00960C90">
        <w:rPr>
          <w:noProof w:val="0"/>
        </w:rPr>
        <w:t xml:space="preserve">, </w:t>
      </w:r>
      <w:r w:rsidRPr="00AF43F7">
        <w:rPr>
          <w:noProof w:val="0"/>
        </w:rPr>
        <w:t xml:space="preserve">Huang, H. C. Lengthening of 3'UTR increases with morphological complexity in animal evolution. </w:t>
      </w:r>
      <w:r w:rsidRPr="00AF43F7">
        <w:rPr>
          <w:i/>
          <w:noProof w:val="0"/>
        </w:rPr>
        <w:t>Bioinformatics.</w:t>
      </w:r>
      <w:r w:rsidRPr="00AF43F7">
        <w:rPr>
          <w:noProof w:val="0"/>
        </w:rPr>
        <w:t xml:space="preserve"> </w:t>
      </w:r>
      <w:r w:rsidRPr="00AF43F7">
        <w:rPr>
          <w:b/>
          <w:noProof w:val="0"/>
        </w:rPr>
        <w:t>28</w:t>
      </w:r>
      <w:r w:rsidRPr="00AF43F7">
        <w:rPr>
          <w:noProof w:val="0"/>
        </w:rPr>
        <w:t xml:space="preserve"> (24), 3178</w:t>
      </w:r>
      <w:r w:rsidR="00960C90">
        <w:rPr>
          <w:noProof w:val="0"/>
        </w:rPr>
        <w:t>–</w:t>
      </w:r>
      <w:r w:rsidRPr="00AF43F7">
        <w:rPr>
          <w:noProof w:val="0"/>
        </w:rPr>
        <w:t>3181</w:t>
      </w:r>
      <w:r w:rsidR="00960C90">
        <w:rPr>
          <w:noProof w:val="0"/>
        </w:rPr>
        <w:t xml:space="preserve"> (</w:t>
      </w:r>
      <w:r w:rsidRPr="00AF43F7">
        <w:rPr>
          <w:noProof w:val="0"/>
        </w:rPr>
        <w:t>2012).</w:t>
      </w:r>
    </w:p>
    <w:p w14:paraId="60ACF9A3" w14:textId="1EA3A9F7" w:rsidR="00201DF9" w:rsidRPr="00AF43F7" w:rsidRDefault="00AF43F7" w:rsidP="00EF4B5E">
      <w:pPr>
        <w:pStyle w:val="EndNoteBibliography"/>
        <w:numPr>
          <w:ilvl w:val="0"/>
          <w:numId w:val="31"/>
        </w:numPr>
        <w:ind w:left="0" w:firstLine="0"/>
        <w:rPr>
          <w:noProof w:val="0"/>
        </w:rPr>
      </w:pPr>
      <w:r w:rsidRPr="00AF43F7">
        <w:rPr>
          <w:noProof w:val="0"/>
        </w:rPr>
        <w:t xml:space="preserve">Eaton, D. C., Helms, M. N., </w:t>
      </w:r>
      <w:proofErr w:type="spellStart"/>
      <w:r w:rsidRPr="00AF43F7">
        <w:rPr>
          <w:noProof w:val="0"/>
        </w:rPr>
        <w:t>Koval</w:t>
      </w:r>
      <w:proofErr w:type="spellEnd"/>
      <w:r w:rsidRPr="00AF43F7">
        <w:rPr>
          <w:noProof w:val="0"/>
        </w:rPr>
        <w:t>, M., Bao, H. F.</w:t>
      </w:r>
      <w:r w:rsidR="00960C90">
        <w:rPr>
          <w:noProof w:val="0"/>
        </w:rPr>
        <w:t xml:space="preserve">, </w:t>
      </w:r>
      <w:r w:rsidRPr="00AF43F7">
        <w:rPr>
          <w:noProof w:val="0"/>
        </w:rPr>
        <w:t xml:space="preserve">Jain, L. The contribution of epithelial sodium channels to alveolar function in health and disease. </w:t>
      </w:r>
      <w:r w:rsidRPr="00AF43F7">
        <w:rPr>
          <w:i/>
          <w:noProof w:val="0"/>
        </w:rPr>
        <w:t>Annual Review of Physiology.</w:t>
      </w:r>
      <w:r w:rsidRPr="00AF43F7">
        <w:rPr>
          <w:noProof w:val="0"/>
        </w:rPr>
        <w:t xml:space="preserve"> </w:t>
      </w:r>
      <w:r w:rsidRPr="00AF43F7">
        <w:rPr>
          <w:b/>
          <w:noProof w:val="0"/>
        </w:rPr>
        <w:t>71</w:t>
      </w:r>
      <w:r w:rsidR="006D3EA2">
        <w:rPr>
          <w:bCs/>
          <w:noProof w:val="0"/>
        </w:rPr>
        <w:t>,</w:t>
      </w:r>
      <w:r w:rsidRPr="00AF43F7">
        <w:rPr>
          <w:noProof w:val="0"/>
        </w:rPr>
        <w:t xml:space="preserve"> 403</w:t>
      </w:r>
      <w:r w:rsidR="00960C90">
        <w:rPr>
          <w:noProof w:val="0"/>
        </w:rPr>
        <w:t>–</w:t>
      </w:r>
      <w:r w:rsidRPr="00AF43F7">
        <w:rPr>
          <w:noProof w:val="0"/>
        </w:rPr>
        <w:t>423</w:t>
      </w:r>
      <w:r w:rsidR="00960C90">
        <w:rPr>
          <w:noProof w:val="0"/>
        </w:rPr>
        <w:t xml:space="preserve"> (</w:t>
      </w:r>
      <w:r w:rsidRPr="00AF43F7">
        <w:rPr>
          <w:noProof w:val="0"/>
        </w:rPr>
        <w:t>2009).</w:t>
      </w:r>
    </w:p>
    <w:p w14:paraId="66F1CDE2" w14:textId="00FAA864" w:rsidR="00201DF9" w:rsidRPr="00AF43F7" w:rsidRDefault="00AF43F7" w:rsidP="00EF4B5E">
      <w:pPr>
        <w:pStyle w:val="EndNoteBibliography"/>
        <w:numPr>
          <w:ilvl w:val="0"/>
          <w:numId w:val="31"/>
        </w:numPr>
        <w:ind w:left="0" w:firstLine="0"/>
        <w:rPr>
          <w:noProof w:val="0"/>
        </w:rPr>
      </w:pPr>
      <w:proofErr w:type="spellStart"/>
      <w:r w:rsidRPr="00AF43F7">
        <w:rPr>
          <w:noProof w:val="0"/>
        </w:rPr>
        <w:t>Boncoeur</w:t>
      </w:r>
      <w:proofErr w:type="spellEnd"/>
      <w:r w:rsidRPr="00AF43F7">
        <w:rPr>
          <w:noProof w:val="0"/>
        </w:rPr>
        <w:t>, E.</w:t>
      </w:r>
      <w:r w:rsidRPr="00AF43F7">
        <w:rPr>
          <w:i/>
          <w:noProof w:val="0"/>
        </w:rPr>
        <w:t xml:space="preserve"> </w:t>
      </w:r>
      <w:r w:rsidRPr="00EF4B5E">
        <w:rPr>
          <w:iCs/>
          <w:noProof w:val="0"/>
        </w:rPr>
        <w:t>et al.</w:t>
      </w:r>
      <w:r w:rsidR="00884826" w:rsidRPr="00AF43F7">
        <w:rPr>
          <w:noProof w:val="0"/>
        </w:rPr>
        <w:t xml:space="preserve"> Modulation of epithelial sodium channel activity by lipopolysaccharide in alveolar type II cells: involvement of purinergic signaling. </w:t>
      </w:r>
      <w:r w:rsidR="00884826" w:rsidRPr="00AF43F7">
        <w:rPr>
          <w:i/>
          <w:iCs/>
          <w:noProof w:val="0"/>
        </w:rPr>
        <w:t>American Journal of Physiology-Lung Cellular and Molecular Physiology.</w:t>
      </w:r>
      <w:r w:rsidRPr="00AF43F7">
        <w:rPr>
          <w:noProof w:val="0"/>
        </w:rPr>
        <w:t xml:space="preserve"> </w:t>
      </w:r>
      <w:r w:rsidRPr="00AF43F7">
        <w:rPr>
          <w:b/>
          <w:noProof w:val="0"/>
        </w:rPr>
        <w:t>298</w:t>
      </w:r>
      <w:r w:rsidRPr="00AF43F7">
        <w:rPr>
          <w:noProof w:val="0"/>
        </w:rPr>
        <w:t xml:space="preserve"> (3), L417</w:t>
      </w:r>
      <w:r w:rsidR="00960C90">
        <w:rPr>
          <w:noProof w:val="0"/>
        </w:rPr>
        <w:t>–</w:t>
      </w:r>
      <w:r w:rsidRPr="00AF43F7">
        <w:rPr>
          <w:noProof w:val="0"/>
        </w:rPr>
        <w:t>426</w:t>
      </w:r>
      <w:r w:rsidR="00960C90">
        <w:rPr>
          <w:noProof w:val="0"/>
        </w:rPr>
        <w:t xml:space="preserve"> (</w:t>
      </w:r>
      <w:r w:rsidRPr="00AF43F7">
        <w:rPr>
          <w:noProof w:val="0"/>
        </w:rPr>
        <w:t>2010).</w:t>
      </w:r>
    </w:p>
    <w:p w14:paraId="657457FA" w14:textId="569E2510" w:rsidR="00201DF9" w:rsidRPr="00AF43F7" w:rsidRDefault="00AF43F7" w:rsidP="00EF4B5E">
      <w:pPr>
        <w:pStyle w:val="EndNoteBibliography"/>
        <w:numPr>
          <w:ilvl w:val="0"/>
          <w:numId w:val="31"/>
        </w:numPr>
        <w:ind w:left="0" w:firstLine="0"/>
        <w:rPr>
          <w:noProof w:val="0"/>
        </w:rPr>
      </w:pPr>
      <w:r w:rsidRPr="00AF43F7">
        <w:rPr>
          <w:noProof w:val="0"/>
        </w:rPr>
        <w:t>Gonzalez, R. F.</w:t>
      </w:r>
      <w:r w:rsidR="00960C90">
        <w:rPr>
          <w:noProof w:val="0"/>
        </w:rPr>
        <w:t xml:space="preserve">, </w:t>
      </w:r>
      <w:r w:rsidRPr="00AF43F7">
        <w:rPr>
          <w:noProof w:val="0"/>
        </w:rPr>
        <w:t xml:space="preserve">Dobbs, L. G. Isolation and culture of alveolar epithelial Type I and Type II cells from rat lungs. </w:t>
      </w:r>
      <w:r w:rsidR="00884826" w:rsidRPr="00AF43F7">
        <w:rPr>
          <w:i/>
          <w:noProof w:val="0"/>
        </w:rPr>
        <w:t>Methods in Molecular Biology.</w:t>
      </w:r>
      <w:r w:rsidRPr="00AF43F7">
        <w:rPr>
          <w:noProof w:val="0"/>
        </w:rPr>
        <w:t xml:space="preserve"> </w:t>
      </w:r>
      <w:r w:rsidRPr="00AF43F7">
        <w:rPr>
          <w:b/>
          <w:noProof w:val="0"/>
        </w:rPr>
        <w:t>945</w:t>
      </w:r>
      <w:r w:rsidR="006D3EA2">
        <w:rPr>
          <w:bCs/>
          <w:noProof w:val="0"/>
        </w:rPr>
        <w:t>,</w:t>
      </w:r>
      <w:r w:rsidRPr="00AF43F7">
        <w:rPr>
          <w:noProof w:val="0"/>
        </w:rPr>
        <w:t xml:space="preserve"> 145</w:t>
      </w:r>
      <w:r w:rsidR="00960C90">
        <w:rPr>
          <w:noProof w:val="0"/>
        </w:rPr>
        <w:t>–</w:t>
      </w:r>
      <w:r w:rsidRPr="00AF43F7">
        <w:rPr>
          <w:noProof w:val="0"/>
        </w:rPr>
        <w:t>159</w:t>
      </w:r>
      <w:r w:rsidR="00960C90">
        <w:rPr>
          <w:noProof w:val="0"/>
        </w:rPr>
        <w:t xml:space="preserve"> (</w:t>
      </w:r>
      <w:r w:rsidRPr="00AF43F7">
        <w:rPr>
          <w:noProof w:val="0"/>
        </w:rPr>
        <w:t>2013).</w:t>
      </w:r>
    </w:p>
    <w:p w14:paraId="3B5FFBD8" w14:textId="22A7397A" w:rsidR="00201DF9" w:rsidRPr="00AF43F7" w:rsidRDefault="00AF43F7" w:rsidP="00EF4B5E">
      <w:pPr>
        <w:pStyle w:val="EndNoteBibliography"/>
        <w:numPr>
          <w:ilvl w:val="0"/>
          <w:numId w:val="31"/>
        </w:numPr>
        <w:ind w:left="0" w:firstLine="0"/>
        <w:rPr>
          <w:noProof w:val="0"/>
        </w:rPr>
      </w:pPr>
      <w:r w:rsidRPr="00AF43F7">
        <w:rPr>
          <w:noProof w:val="0"/>
        </w:rPr>
        <w:t xml:space="preserve">Kozak, M. At least six nucleotides preceding the AUG initiator codon enhance translation in mammalian cells. </w:t>
      </w:r>
      <w:r w:rsidR="00884826" w:rsidRPr="00AF43F7">
        <w:rPr>
          <w:i/>
          <w:noProof w:val="0"/>
        </w:rPr>
        <w:t>Journal of Molecular Biology.</w:t>
      </w:r>
      <w:r w:rsidRPr="00AF43F7">
        <w:rPr>
          <w:noProof w:val="0"/>
        </w:rPr>
        <w:t xml:space="preserve"> </w:t>
      </w:r>
      <w:r w:rsidRPr="00AF43F7">
        <w:rPr>
          <w:b/>
          <w:noProof w:val="0"/>
        </w:rPr>
        <w:t>196</w:t>
      </w:r>
      <w:r w:rsidRPr="00AF43F7">
        <w:rPr>
          <w:noProof w:val="0"/>
        </w:rPr>
        <w:t xml:space="preserve"> (4), 947</w:t>
      </w:r>
      <w:r w:rsidR="00960C90">
        <w:rPr>
          <w:noProof w:val="0"/>
        </w:rPr>
        <w:t>–</w:t>
      </w:r>
      <w:r w:rsidRPr="00AF43F7">
        <w:rPr>
          <w:noProof w:val="0"/>
        </w:rPr>
        <w:t>950</w:t>
      </w:r>
      <w:r w:rsidR="00960C90">
        <w:rPr>
          <w:noProof w:val="0"/>
        </w:rPr>
        <w:t xml:space="preserve"> (</w:t>
      </w:r>
      <w:r w:rsidRPr="00AF43F7">
        <w:rPr>
          <w:noProof w:val="0"/>
        </w:rPr>
        <w:t>1987).</w:t>
      </w:r>
    </w:p>
    <w:p w14:paraId="6C4D6821" w14:textId="1211A243" w:rsidR="00201DF9" w:rsidRPr="00AF43F7" w:rsidRDefault="00AF43F7" w:rsidP="00EF4B5E">
      <w:pPr>
        <w:pStyle w:val="EndNoteBibliography"/>
        <w:numPr>
          <w:ilvl w:val="0"/>
          <w:numId w:val="31"/>
        </w:numPr>
        <w:ind w:left="0" w:firstLine="0"/>
        <w:rPr>
          <w:noProof w:val="0"/>
        </w:rPr>
      </w:pPr>
      <w:proofErr w:type="spellStart"/>
      <w:r w:rsidRPr="00AF43F7">
        <w:rPr>
          <w:noProof w:val="0"/>
        </w:rPr>
        <w:t>Ke</w:t>
      </w:r>
      <w:proofErr w:type="spellEnd"/>
      <w:r w:rsidRPr="00AF43F7">
        <w:rPr>
          <w:noProof w:val="0"/>
        </w:rPr>
        <w:t>, S. H.</w:t>
      </w:r>
      <w:r w:rsidR="00960C90">
        <w:rPr>
          <w:noProof w:val="0"/>
        </w:rPr>
        <w:t xml:space="preserve">, </w:t>
      </w:r>
      <w:r w:rsidRPr="00AF43F7">
        <w:rPr>
          <w:noProof w:val="0"/>
        </w:rPr>
        <w:t xml:space="preserve">Madison, E. L. Rapid and efficient site-directed mutagenesis by single-tube 'megaprimer' PCR method. </w:t>
      </w:r>
      <w:r w:rsidRPr="00AF43F7">
        <w:rPr>
          <w:i/>
          <w:noProof w:val="0"/>
        </w:rPr>
        <w:t>Nucleic acids research.</w:t>
      </w:r>
      <w:r w:rsidRPr="00AF43F7">
        <w:rPr>
          <w:noProof w:val="0"/>
        </w:rPr>
        <w:t xml:space="preserve"> </w:t>
      </w:r>
      <w:r w:rsidRPr="00AF43F7">
        <w:rPr>
          <w:b/>
          <w:noProof w:val="0"/>
        </w:rPr>
        <w:t>25</w:t>
      </w:r>
      <w:r w:rsidRPr="00AF43F7">
        <w:rPr>
          <w:noProof w:val="0"/>
        </w:rPr>
        <w:t xml:space="preserve"> (16), 3371</w:t>
      </w:r>
      <w:r w:rsidR="00960C90">
        <w:rPr>
          <w:noProof w:val="0"/>
        </w:rPr>
        <w:t>–</w:t>
      </w:r>
      <w:r w:rsidRPr="00AF43F7">
        <w:rPr>
          <w:noProof w:val="0"/>
        </w:rPr>
        <w:t>3372</w:t>
      </w:r>
      <w:r w:rsidR="00960C90">
        <w:rPr>
          <w:noProof w:val="0"/>
        </w:rPr>
        <w:t xml:space="preserve"> (</w:t>
      </w:r>
      <w:r w:rsidRPr="00AF43F7">
        <w:rPr>
          <w:noProof w:val="0"/>
        </w:rPr>
        <w:t>1997).</w:t>
      </w:r>
    </w:p>
    <w:p w14:paraId="70A0B1F2" w14:textId="649022DD" w:rsidR="00201DF9" w:rsidRPr="00AF43F7" w:rsidRDefault="00AF43F7" w:rsidP="00EF4B5E">
      <w:pPr>
        <w:pStyle w:val="EndNoteBibliography"/>
        <w:numPr>
          <w:ilvl w:val="0"/>
          <w:numId w:val="31"/>
        </w:numPr>
        <w:ind w:left="0" w:firstLine="0"/>
        <w:rPr>
          <w:noProof w:val="0"/>
        </w:rPr>
      </w:pPr>
      <w:proofErr w:type="spellStart"/>
      <w:r w:rsidRPr="00AF43F7">
        <w:rPr>
          <w:noProof w:val="0"/>
        </w:rPr>
        <w:t>Gossen</w:t>
      </w:r>
      <w:proofErr w:type="spellEnd"/>
      <w:r w:rsidRPr="00AF43F7">
        <w:rPr>
          <w:noProof w:val="0"/>
        </w:rPr>
        <w:t>, M.</w:t>
      </w:r>
      <w:r w:rsidR="00960C90">
        <w:rPr>
          <w:noProof w:val="0"/>
        </w:rPr>
        <w:t xml:space="preserve">, </w:t>
      </w:r>
      <w:proofErr w:type="spellStart"/>
      <w:r w:rsidRPr="00AF43F7">
        <w:rPr>
          <w:noProof w:val="0"/>
        </w:rPr>
        <w:t>Bujard</w:t>
      </w:r>
      <w:proofErr w:type="spellEnd"/>
      <w:r w:rsidRPr="00AF43F7">
        <w:rPr>
          <w:noProof w:val="0"/>
        </w:rPr>
        <w:t xml:space="preserve">, H. in </w:t>
      </w:r>
      <w:r w:rsidRPr="00AF43F7">
        <w:rPr>
          <w:i/>
          <w:noProof w:val="0"/>
        </w:rPr>
        <w:t xml:space="preserve">Nelson M., </w:t>
      </w:r>
      <w:proofErr w:type="spellStart"/>
      <w:r w:rsidRPr="00AF43F7">
        <w:rPr>
          <w:i/>
          <w:noProof w:val="0"/>
        </w:rPr>
        <w:t>Hillen</w:t>
      </w:r>
      <w:proofErr w:type="spellEnd"/>
      <w:r w:rsidRPr="00AF43F7">
        <w:rPr>
          <w:i/>
          <w:noProof w:val="0"/>
        </w:rPr>
        <w:t xml:space="preserve"> W., Greenwald R.A. (eds) Tetracyclines in Biology, Chemistry and Medicine. </w:t>
      </w:r>
      <w:r w:rsidRPr="00AF43F7">
        <w:rPr>
          <w:noProof w:val="0"/>
        </w:rPr>
        <w:t>(</w:t>
      </w:r>
      <w:proofErr w:type="spellStart"/>
      <w:r w:rsidRPr="00AF43F7">
        <w:rPr>
          <w:noProof w:val="0"/>
        </w:rPr>
        <w:t>Birkhäuser</w:t>
      </w:r>
      <w:proofErr w:type="spellEnd"/>
      <w:r w:rsidRPr="00AF43F7">
        <w:rPr>
          <w:noProof w:val="0"/>
        </w:rPr>
        <w:t>, Basel, 2001).</w:t>
      </w:r>
    </w:p>
    <w:p w14:paraId="5FD789C6" w14:textId="0D739427" w:rsidR="00201DF9" w:rsidRPr="003B2859" w:rsidRDefault="00AF43F7" w:rsidP="00EF4B5E">
      <w:pPr>
        <w:pStyle w:val="EndNoteBibliography"/>
        <w:numPr>
          <w:ilvl w:val="0"/>
          <w:numId w:val="31"/>
        </w:numPr>
        <w:ind w:left="0" w:firstLine="0"/>
        <w:rPr>
          <w:noProof w:val="0"/>
          <w:lang w:val="fr-CA"/>
        </w:rPr>
      </w:pPr>
      <w:proofErr w:type="spellStart"/>
      <w:r w:rsidRPr="00AF43F7">
        <w:rPr>
          <w:noProof w:val="0"/>
        </w:rPr>
        <w:t>Migneault</w:t>
      </w:r>
      <w:proofErr w:type="spellEnd"/>
      <w:r w:rsidRPr="00AF43F7">
        <w:rPr>
          <w:noProof w:val="0"/>
        </w:rPr>
        <w:t>, F.</w:t>
      </w:r>
      <w:r w:rsidRPr="00AF43F7">
        <w:rPr>
          <w:i/>
          <w:noProof w:val="0"/>
        </w:rPr>
        <w:t xml:space="preserve"> </w:t>
      </w:r>
      <w:r w:rsidRPr="00EF4B5E">
        <w:rPr>
          <w:iCs/>
          <w:noProof w:val="0"/>
        </w:rPr>
        <w:t>et al.</w:t>
      </w:r>
      <w:r w:rsidRPr="00AF43F7">
        <w:rPr>
          <w:noProof w:val="0"/>
        </w:rPr>
        <w:t xml:space="preserve"> Post-Transcriptional Modulation of </w:t>
      </w:r>
      <w:proofErr w:type="spellStart"/>
      <w:r w:rsidRPr="00AF43F7">
        <w:rPr>
          <w:noProof w:val="0"/>
        </w:rPr>
        <w:t>aENaC</w:t>
      </w:r>
      <w:proofErr w:type="spellEnd"/>
      <w:r w:rsidRPr="00AF43F7">
        <w:rPr>
          <w:noProof w:val="0"/>
        </w:rPr>
        <w:t xml:space="preserve"> mRNA in Alveolar Epithelial Cells: Involvement of its 3' Untranslated Region. </w:t>
      </w:r>
      <w:r w:rsidRPr="003B2859">
        <w:rPr>
          <w:i/>
          <w:noProof w:val="0"/>
          <w:lang w:val="fr-CA"/>
        </w:rPr>
        <w:t xml:space="preserve">Cellular </w:t>
      </w:r>
      <w:proofErr w:type="spellStart"/>
      <w:r w:rsidRPr="003B2859">
        <w:rPr>
          <w:i/>
          <w:noProof w:val="0"/>
          <w:lang w:val="fr-CA"/>
        </w:rPr>
        <w:t>Physiology</w:t>
      </w:r>
      <w:proofErr w:type="spellEnd"/>
      <w:r w:rsidRPr="003B2859">
        <w:rPr>
          <w:i/>
          <w:noProof w:val="0"/>
          <w:lang w:val="fr-CA"/>
        </w:rPr>
        <w:t xml:space="preserve"> and </w:t>
      </w:r>
      <w:proofErr w:type="spellStart"/>
      <w:r w:rsidRPr="003B2859">
        <w:rPr>
          <w:i/>
          <w:noProof w:val="0"/>
          <w:lang w:val="fr-CA"/>
        </w:rPr>
        <w:t>Biochemistry</w:t>
      </w:r>
      <w:proofErr w:type="spellEnd"/>
      <w:r w:rsidRPr="003B2859">
        <w:rPr>
          <w:i/>
          <w:noProof w:val="0"/>
          <w:lang w:val="fr-CA"/>
        </w:rPr>
        <w:t>.</w:t>
      </w:r>
      <w:r w:rsidRPr="003B2859">
        <w:rPr>
          <w:noProof w:val="0"/>
          <w:lang w:val="fr-CA"/>
        </w:rPr>
        <w:t xml:space="preserve"> </w:t>
      </w:r>
      <w:r w:rsidRPr="003B2859">
        <w:rPr>
          <w:b/>
          <w:noProof w:val="0"/>
          <w:lang w:val="fr-CA"/>
        </w:rPr>
        <w:t>52</w:t>
      </w:r>
      <w:r w:rsidRPr="003B2859">
        <w:rPr>
          <w:noProof w:val="0"/>
          <w:lang w:val="fr-CA"/>
        </w:rPr>
        <w:t xml:space="preserve"> (5), 984</w:t>
      </w:r>
      <w:r w:rsidR="00960C90">
        <w:rPr>
          <w:noProof w:val="0"/>
          <w:lang w:val="fr-CA"/>
        </w:rPr>
        <w:t>–</w:t>
      </w:r>
      <w:r w:rsidRPr="003B2859">
        <w:rPr>
          <w:noProof w:val="0"/>
          <w:lang w:val="fr-CA"/>
        </w:rPr>
        <w:t>1002</w:t>
      </w:r>
      <w:r w:rsidR="00960C90">
        <w:rPr>
          <w:noProof w:val="0"/>
          <w:lang w:val="fr-CA"/>
        </w:rPr>
        <w:t xml:space="preserve"> (</w:t>
      </w:r>
      <w:r w:rsidRPr="003B2859">
        <w:rPr>
          <w:noProof w:val="0"/>
          <w:lang w:val="fr-CA"/>
        </w:rPr>
        <w:t>2019).</w:t>
      </w:r>
    </w:p>
    <w:p w14:paraId="6ACD4A51" w14:textId="5BA2D616" w:rsidR="00201DF9" w:rsidRPr="00AF43F7" w:rsidRDefault="00AF43F7" w:rsidP="00EF4B5E">
      <w:pPr>
        <w:pStyle w:val="EndNoteBibliography"/>
        <w:numPr>
          <w:ilvl w:val="0"/>
          <w:numId w:val="31"/>
        </w:numPr>
        <w:ind w:left="0" w:firstLine="0"/>
        <w:rPr>
          <w:noProof w:val="0"/>
        </w:rPr>
      </w:pPr>
      <w:proofErr w:type="spellStart"/>
      <w:r w:rsidRPr="003B2859">
        <w:rPr>
          <w:noProof w:val="0"/>
          <w:lang w:val="fr-CA"/>
        </w:rPr>
        <w:t>Migneault</w:t>
      </w:r>
      <w:proofErr w:type="spellEnd"/>
      <w:r w:rsidRPr="003B2859">
        <w:rPr>
          <w:noProof w:val="0"/>
          <w:lang w:val="fr-CA"/>
        </w:rPr>
        <w:t xml:space="preserve">, F. </w:t>
      </w:r>
      <w:r w:rsidRPr="003B2859">
        <w:rPr>
          <w:i/>
          <w:noProof w:val="0"/>
          <w:lang w:val="fr-CA"/>
        </w:rPr>
        <w:t xml:space="preserve">Modulation de la stabilité de l'ARNm </w:t>
      </w:r>
      <w:proofErr w:type="spellStart"/>
      <w:r w:rsidRPr="003B2859">
        <w:rPr>
          <w:i/>
          <w:noProof w:val="0"/>
          <w:lang w:val="fr-CA"/>
        </w:rPr>
        <w:t>alphaENaC</w:t>
      </w:r>
      <w:proofErr w:type="spellEnd"/>
      <w:r w:rsidRPr="003B2859">
        <w:rPr>
          <w:i/>
          <w:noProof w:val="0"/>
          <w:lang w:val="fr-CA"/>
        </w:rPr>
        <w:t xml:space="preserve"> dans les cellules épithéliales alvéolaires: détermination du rôle des séquences 3' non traduites</w:t>
      </w:r>
      <w:r w:rsidRPr="003B2859">
        <w:rPr>
          <w:noProof w:val="0"/>
          <w:lang w:val="fr-CA"/>
        </w:rPr>
        <w:t xml:space="preserve">, Doctoral dissertation. </w:t>
      </w:r>
      <w:proofErr w:type="spellStart"/>
      <w:r w:rsidRPr="00AF43F7">
        <w:rPr>
          <w:noProof w:val="0"/>
        </w:rPr>
        <w:lastRenderedPageBreak/>
        <w:t>Université</w:t>
      </w:r>
      <w:proofErr w:type="spellEnd"/>
      <w:r w:rsidRPr="00AF43F7">
        <w:rPr>
          <w:noProof w:val="0"/>
        </w:rPr>
        <w:t xml:space="preserve"> de Montréal</w:t>
      </w:r>
      <w:r w:rsidR="00960C90">
        <w:rPr>
          <w:noProof w:val="0"/>
        </w:rPr>
        <w:t xml:space="preserve"> (</w:t>
      </w:r>
      <w:r w:rsidRPr="00AF43F7">
        <w:rPr>
          <w:noProof w:val="0"/>
        </w:rPr>
        <w:t>2015).</w:t>
      </w:r>
    </w:p>
    <w:p w14:paraId="60A8FA03" w14:textId="1210795C" w:rsidR="00201DF9" w:rsidRPr="00AF43F7" w:rsidRDefault="00AF43F7" w:rsidP="00EF4B5E">
      <w:pPr>
        <w:pStyle w:val="EndNoteBibliography"/>
        <w:numPr>
          <w:ilvl w:val="0"/>
          <w:numId w:val="31"/>
        </w:numPr>
        <w:ind w:left="0" w:firstLine="0"/>
        <w:rPr>
          <w:noProof w:val="0"/>
        </w:rPr>
      </w:pPr>
      <w:proofErr w:type="spellStart"/>
      <w:r w:rsidRPr="00560C8E">
        <w:rPr>
          <w:noProof w:val="0"/>
          <w:lang w:val="fr-CA"/>
        </w:rPr>
        <w:t>Grzesik</w:t>
      </w:r>
      <w:proofErr w:type="spellEnd"/>
      <w:r w:rsidRPr="00560C8E">
        <w:rPr>
          <w:noProof w:val="0"/>
          <w:lang w:val="fr-CA"/>
        </w:rPr>
        <w:t>, B. A.</w:t>
      </w:r>
      <w:r w:rsidRPr="00560C8E">
        <w:rPr>
          <w:i/>
          <w:noProof w:val="0"/>
          <w:lang w:val="fr-CA"/>
        </w:rPr>
        <w:t xml:space="preserve"> et al.</w:t>
      </w:r>
      <w:r w:rsidRPr="00560C8E">
        <w:rPr>
          <w:noProof w:val="0"/>
          <w:lang w:val="fr-CA"/>
        </w:rPr>
        <w:t xml:space="preserve"> </w:t>
      </w:r>
      <w:r w:rsidRPr="00AF43F7">
        <w:rPr>
          <w:noProof w:val="0"/>
        </w:rPr>
        <w:t xml:space="preserve">Efficient gene delivery to primary alveolar epithelial cells by nucleofection. </w:t>
      </w:r>
      <w:r w:rsidRPr="00AF43F7">
        <w:rPr>
          <w:i/>
          <w:noProof w:val="0"/>
        </w:rPr>
        <w:t>American Journal of Physiology-Lung Cellular and Molecular Physiology.</w:t>
      </w:r>
      <w:r w:rsidRPr="00AF43F7">
        <w:rPr>
          <w:noProof w:val="0"/>
        </w:rPr>
        <w:t xml:space="preserve"> </w:t>
      </w:r>
      <w:r w:rsidRPr="00AF43F7">
        <w:rPr>
          <w:b/>
          <w:noProof w:val="0"/>
        </w:rPr>
        <w:t>305</w:t>
      </w:r>
      <w:r w:rsidRPr="00AF43F7">
        <w:rPr>
          <w:noProof w:val="0"/>
        </w:rPr>
        <w:t xml:space="preserve"> (11), L786</w:t>
      </w:r>
      <w:r w:rsidR="00960C90">
        <w:rPr>
          <w:noProof w:val="0"/>
        </w:rPr>
        <w:t>–</w:t>
      </w:r>
      <w:r w:rsidRPr="00AF43F7">
        <w:rPr>
          <w:noProof w:val="0"/>
        </w:rPr>
        <w:t>794</w:t>
      </w:r>
      <w:r w:rsidR="00960C90">
        <w:rPr>
          <w:noProof w:val="0"/>
        </w:rPr>
        <w:t xml:space="preserve"> (</w:t>
      </w:r>
      <w:r w:rsidRPr="00AF43F7">
        <w:rPr>
          <w:noProof w:val="0"/>
        </w:rPr>
        <w:t>2013).</w:t>
      </w:r>
    </w:p>
    <w:p w14:paraId="4D8C3735" w14:textId="0983C0AD" w:rsidR="00201DF9" w:rsidRPr="00AF43F7" w:rsidRDefault="00AF43F7" w:rsidP="00EF4B5E">
      <w:pPr>
        <w:pStyle w:val="EndNoteBibliography"/>
        <w:numPr>
          <w:ilvl w:val="0"/>
          <w:numId w:val="31"/>
        </w:numPr>
        <w:ind w:left="0" w:firstLine="0"/>
        <w:rPr>
          <w:noProof w:val="0"/>
        </w:rPr>
      </w:pPr>
      <w:proofErr w:type="spellStart"/>
      <w:r w:rsidRPr="00AF43F7">
        <w:rPr>
          <w:noProof w:val="0"/>
        </w:rPr>
        <w:t>Sourdeval</w:t>
      </w:r>
      <w:proofErr w:type="spellEnd"/>
      <w:r w:rsidRPr="00AF43F7">
        <w:rPr>
          <w:noProof w:val="0"/>
        </w:rPr>
        <w:t xml:space="preserve">, M., Lemaire, C., Brenner, C., </w:t>
      </w:r>
      <w:proofErr w:type="spellStart"/>
      <w:r w:rsidRPr="00AF43F7">
        <w:rPr>
          <w:noProof w:val="0"/>
        </w:rPr>
        <w:t>Boisvieux</w:t>
      </w:r>
      <w:proofErr w:type="spellEnd"/>
      <w:r w:rsidRPr="00AF43F7">
        <w:rPr>
          <w:noProof w:val="0"/>
        </w:rPr>
        <w:t>-Ulrich, E.</w:t>
      </w:r>
      <w:r w:rsidR="00960C90">
        <w:rPr>
          <w:noProof w:val="0"/>
        </w:rPr>
        <w:t xml:space="preserve">, </w:t>
      </w:r>
      <w:proofErr w:type="spellStart"/>
      <w:r w:rsidRPr="00AF43F7">
        <w:rPr>
          <w:noProof w:val="0"/>
        </w:rPr>
        <w:t>Marano</w:t>
      </w:r>
      <w:proofErr w:type="spellEnd"/>
      <w:r w:rsidRPr="00AF43F7">
        <w:rPr>
          <w:noProof w:val="0"/>
        </w:rPr>
        <w:t xml:space="preserve">, F. Mechanisms of doxycycline-induced cytotoxicity on human bronchial epithelial cells. </w:t>
      </w:r>
      <w:r w:rsidRPr="00AF43F7">
        <w:rPr>
          <w:i/>
          <w:noProof w:val="0"/>
        </w:rPr>
        <w:t>Frontiers in Bioscience.</w:t>
      </w:r>
      <w:r w:rsidRPr="00AF43F7">
        <w:rPr>
          <w:noProof w:val="0"/>
        </w:rPr>
        <w:t xml:space="preserve"> </w:t>
      </w:r>
      <w:r w:rsidRPr="00AF43F7">
        <w:rPr>
          <w:b/>
          <w:noProof w:val="0"/>
        </w:rPr>
        <w:t>11</w:t>
      </w:r>
      <w:r w:rsidR="006D3EA2">
        <w:rPr>
          <w:bCs/>
          <w:noProof w:val="0"/>
        </w:rPr>
        <w:t>,</w:t>
      </w:r>
      <w:r w:rsidRPr="00AF43F7">
        <w:rPr>
          <w:noProof w:val="0"/>
        </w:rPr>
        <w:t xml:space="preserve"> 3036</w:t>
      </w:r>
      <w:r w:rsidR="00960C90">
        <w:rPr>
          <w:noProof w:val="0"/>
        </w:rPr>
        <w:t>–</w:t>
      </w:r>
      <w:r w:rsidRPr="00AF43F7">
        <w:rPr>
          <w:noProof w:val="0"/>
        </w:rPr>
        <w:t>3048</w:t>
      </w:r>
      <w:r w:rsidR="00960C90">
        <w:rPr>
          <w:noProof w:val="0"/>
        </w:rPr>
        <w:t xml:space="preserve"> (</w:t>
      </w:r>
      <w:r w:rsidRPr="00AF43F7">
        <w:rPr>
          <w:noProof w:val="0"/>
        </w:rPr>
        <w:t>2006).</w:t>
      </w:r>
    </w:p>
    <w:p w14:paraId="172EB83C" w14:textId="348A1926" w:rsidR="00201DF9" w:rsidRPr="00AF43F7" w:rsidRDefault="00AF43F7" w:rsidP="00EF4B5E">
      <w:pPr>
        <w:pStyle w:val="EndNoteBibliography"/>
        <w:numPr>
          <w:ilvl w:val="0"/>
          <w:numId w:val="31"/>
        </w:numPr>
        <w:ind w:left="0" w:firstLine="0"/>
        <w:rPr>
          <w:noProof w:val="0"/>
        </w:rPr>
      </w:pPr>
      <w:r w:rsidRPr="00AF43F7">
        <w:rPr>
          <w:noProof w:val="0"/>
        </w:rPr>
        <w:t>Moon, A., Gil, S., Gill, S. E., Chen, P.</w:t>
      </w:r>
      <w:r w:rsidR="00960C90">
        <w:rPr>
          <w:noProof w:val="0"/>
        </w:rPr>
        <w:t xml:space="preserve">, </w:t>
      </w:r>
      <w:proofErr w:type="spellStart"/>
      <w:r w:rsidRPr="00AF43F7">
        <w:rPr>
          <w:noProof w:val="0"/>
        </w:rPr>
        <w:t>Matute</w:t>
      </w:r>
      <w:proofErr w:type="spellEnd"/>
      <w:r w:rsidRPr="00AF43F7">
        <w:rPr>
          <w:noProof w:val="0"/>
        </w:rPr>
        <w:t xml:space="preserve">-Bello, G. Doxycycline impairs neutrophil migration to the airspaces of the lung in mice exposed to intratracheal lipopolysaccharide. </w:t>
      </w:r>
      <w:r w:rsidRPr="00AF43F7">
        <w:rPr>
          <w:i/>
          <w:noProof w:val="0"/>
        </w:rPr>
        <w:t>Journal of Inflammation-London.</w:t>
      </w:r>
      <w:r w:rsidRPr="00AF43F7">
        <w:rPr>
          <w:noProof w:val="0"/>
        </w:rPr>
        <w:t xml:space="preserve"> </w:t>
      </w:r>
      <w:r w:rsidRPr="00AF43F7">
        <w:rPr>
          <w:b/>
          <w:noProof w:val="0"/>
        </w:rPr>
        <w:t>9</w:t>
      </w:r>
      <w:r w:rsidRPr="00AF43F7">
        <w:rPr>
          <w:noProof w:val="0"/>
        </w:rPr>
        <w:t xml:space="preserve"> (1), 31</w:t>
      </w:r>
      <w:r w:rsidR="00960C90">
        <w:rPr>
          <w:noProof w:val="0"/>
        </w:rPr>
        <w:t xml:space="preserve"> (</w:t>
      </w:r>
      <w:r w:rsidRPr="00AF43F7">
        <w:rPr>
          <w:noProof w:val="0"/>
        </w:rPr>
        <w:t>2012).</w:t>
      </w:r>
    </w:p>
    <w:p w14:paraId="765E9050" w14:textId="0E950C6E" w:rsidR="00201DF9" w:rsidRPr="00AF43F7" w:rsidRDefault="00AF43F7" w:rsidP="00EF4B5E">
      <w:pPr>
        <w:pStyle w:val="EndNoteBibliography"/>
        <w:numPr>
          <w:ilvl w:val="0"/>
          <w:numId w:val="31"/>
        </w:numPr>
        <w:ind w:left="0" w:firstLine="0"/>
        <w:rPr>
          <w:noProof w:val="0"/>
        </w:rPr>
      </w:pPr>
      <w:r w:rsidRPr="00AF43F7">
        <w:rPr>
          <w:noProof w:val="0"/>
        </w:rPr>
        <w:t>Hovel, H.</w:t>
      </w:r>
      <w:r w:rsidR="00960C90">
        <w:rPr>
          <w:noProof w:val="0"/>
        </w:rPr>
        <w:t xml:space="preserve">, </w:t>
      </w:r>
      <w:proofErr w:type="spellStart"/>
      <w:r w:rsidRPr="00AF43F7">
        <w:rPr>
          <w:noProof w:val="0"/>
        </w:rPr>
        <w:t>Frieling</w:t>
      </w:r>
      <w:proofErr w:type="spellEnd"/>
      <w:r w:rsidRPr="00AF43F7">
        <w:rPr>
          <w:noProof w:val="0"/>
        </w:rPr>
        <w:t xml:space="preserve">, K. H. The use of doxycycline, mezlocillin and clotrimazole in cell culture media as contamination prophylaxis. </w:t>
      </w:r>
      <w:r w:rsidRPr="00AF43F7">
        <w:rPr>
          <w:i/>
          <w:noProof w:val="0"/>
        </w:rPr>
        <w:t>Developments in biological standardization.</w:t>
      </w:r>
      <w:r w:rsidRPr="00AF43F7">
        <w:rPr>
          <w:noProof w:val="0"/>
        </w:rPr>
        <w:t xml:space="preserve"> </w:t>
      </w:r>
      <w:r w:rsidRPr="00AF43F7">
        <w:rPr>
          <w:b/>
          <w:noProof w:val="0"/>
        </w:rPr>
        <w:t>66</w:t>
      </w:r>
      <w:r w:rsidR="006D3EA2">
        <w:rPr>
          <w:bCs/>
          <w:noProof w:val="0"/>
        </w:rPr>
        <w:t>,</w:t>
      </w:r>
      <w:r w:rsidRPr="00AF43F7">
        <w:rPr>
          <w:noProof w:val="0"/>
        </w:rPr>
        <w:t xml:space="preserve"> 23</w:t>
      </w:r>
      <w:r w:rsidR="00960C90">
        <w:rPr>
          <w:noProof w:val="0"/>
        </w:rPr>
        <w:t>–</w:t>
      </w:r>
      <w:r w:rsidRPr="00AF43F7">
        <w:rPr>
          <w:noProof w:val="0"/>
        </w:rPr>
        <w:t>28</w:t>
      </w:r>
      <w:r w:rsidR="00960C90">
        <w:rPr>
          <w:noProof w:val="0"/>
        </w:rPr>
        <w:t xml:space="preserve"> </w:t>
      </w:r>
      <w:bookmarkStart w:id="7" w:name="_GoBack"/>
      <w:bookmarkEnd w:id="7"/>
      <w:r w:rsidR="00960C90">
        <w:rPr>
          <w:noProof w:val="0"/>
        </w:rPr>
        <w:t>(</w:t>
      </w:r>
      <w:r w:rsidRPr="00AF43F7">
        <w:rPr>
          <w:noProof w:val="0"/>
        </w:rPr>
        <w:t>1987).</w:t>
      </w:r>
    </w:p>
    <w:p w14:paraId="24D347F2" w14:textId="5A5CBC16" w:rsidR="00201DF9" w:rsidRPr="00AF43F7" w:rsidRDefault="00AF43F7" w:rsidP="00EF4B5E">
      <w:pPr>
        <w:pStyle w:val="EndNoteBibliography"/>
        <w:numPr>
          <w:ilvl w:val="0"/>
          <w:numId w:val="31"/>
        </w:numPr>
        <w:ind w:left="0" w:firstLine="0"/>
        <w:rPr>
          <w:noProof w:val="0"/>
        </w:rPr>
      </w:pPr>
      <w:proofErr w:type="spellStart"/>
      <w:r w:rsidRPr="00AF43F7">
        <w:rPr>
          <w:noProof w:val="0"/>
        </w:rPr>
        <w:t>Houseley</w:t>
      </w:r>
      <w:proofErr w:type="spellEnd"/>
      <w:r w:rsidRPr="00AF43F7">
        <w:rPr>
          <w:noProof w:val="0"/>
        </w:rPr>
        <w:t>, J.</w:t>
      </w:r>
      <w:r w:rsidR="00960C90">
        <w:rPr>
          <w:noProof w:val="0"/>
        </w:rPr>
        <w:t xml:space="preserve">, </w:t>
      </w:r>
      <w:proofErr w:type="spellStart"/>
      <w:r w:rsidRPr="00AF43F7">
        <w:rPr>
          <w:noProof w:val="0"/>
        </w:rPr>
        <w:t>Tollervey</w:t>
      </w:r>
      <w:proofErr w:type="spellEnd"/>
      <w:r w:rsidRPr="00AF43F7">
        <w:rPr>
          <w:noProof w:val="0"/>
        </w:rPr>
        <w:t xml:space="preserve">, D. The many pathways of RNA degradation. </w:t>
      </w:r>
      <w:r w:rsidRPr="00AF43F7">
        <w:rPr>
          <w:i/>
          <w:noProof w:val="0"/>
        </w:rPr>
        <w:t>Cell.</w:t>
      </w:r>
      <w:r w:rsidRPr="00AF43F7">
        <w:rPr>
          <w:noProof w:val="0"/>
        </w:rPr>
        <w:t xml:space="preserve"> </w:t>
      </w:r>
      <w:r w:rsidRPr="00AF43F7">
        <w:rPr>
          <w:b/>
          <w:noProof w:val="0"/>
        </w:rPr>
        <w:t>136</w:t>
      </w:r>
      <w:r w:rsidRPr="00AF43F7">
        <w:rPr>
          <w:noProof w:val="0"/>
        </w:rPr>
        <w:t xml:space="preserve"> (4), 763</w:t>
      </w:r>
      <w:r w:rsidR="00960C90">
        <w:rPr>
          <w:noProof w:val="0"/>
        </w:rPr>
        <w:t>–</w:t>
      </w:r>
      <w:r w:rsidRPr="00AF43F7">
        <w:rPr>
          <w:noProof w:val="0"/>
        </w:rPr>
        <w:t>776</w:t>
      </w:r>
      <w:r w:rsidR="00960C90">
        <w:rPr>
          <w:noProof w:val="0"/>
        </w:rPr>
        <w:t xml:space="preserve"> (</w:t>
      </w:r>
      <w:r w:rsidRPr="00AF43F7">
        <w:rPr>
          <w:noProof w:val="0"/>
        </w:rPr>
        <w:t>2009).</w:t>
      </w:r>
    </w:p>
    <w:p w14:paraId="587BE48E" w14:textId="6D40ABBE" w:rsidR="00201DF9" w:rsidRPr="00AF43F7" w:rsidRDefault="00AF43F7" w:rsidP="00EF4B5E">
      <w:pPr>
        <w:pStyle w:val="EndNoteBibliography"/>
        <w:numPr>
          <w:ilvl w:val="0"/>
          <w:numId w:val="31"/>
        </w:numPr>
        <w:ind w:left="0" w:firstLine="0"/>
        <w:rPr>
          <w:noProof w:val="0"/>
        </w:rPr>
      </w:pPr>
      <w:proofErr w:type="spellStart"/>
      <w:r w:rsidRPr="00AF43F7">
        <w:rPr>
          <w:noProof w:val="0"/>
        </w:rPr>
        <w:t>Tani</w:t>
      </w:r>
      <w:proofErr w:type="spellEnd"/>
      <w:r w:rsidRPr="00AF43F7">
        <w:rPr>
          <w:noProof w:val="0"/>
        </w:rPr>
        <w:t>, H.</w:t>
      </w:r>
      <w:r w:rsidRPr="00AF43F7">
        <w:rPr>
          <w:i/>
          <w:noProof w:val="0"/>
        </w:rPr>
        <w:t xml:space="preserve"> </w:t>
      </w:r>
      <w:r w:rsidRPr="00EF4B5E">
        <w:rPr>
          <w:iCs/>
          <w:noProof w:val="0"/>
        </w:rPr>
        <w:t>et al.</w:t>
      </w:r>
      <w:r w:rsidRPr="00AF43F7">
        <w:rPr>
          <w:noProof w:val="0"/>
        </w:rPr>
        <w:t xml:space="preserve"> Genome-wide determination of RNA stability reveals hundreds of short-lived noncoding transcripts in mammals. </w:t>
      </w:r>
      <w:r w:rsidRPr="00AF43F7">
        <w:rPr>
          <w:i/>
          <w:noProof w:val="0"/>
        </w:rPr>
        <w:t>Genome Research.</w:t>
      </w:r>
      <w:r w:rsidRPr="00AF43F7">
        <w:rPr>
          <w:noProof w:val="0"/>
        </w:rPr>
        <w:t xml:space="preserve"> </w:t>
      </w:r>
      <w:r w:rsidRPr="00AF43F7">
        <w:rPr>
          <w:b/>
          <w:noProof w:val="0"/>
        </w:rPr>
        <w:t>22</w:t>
      </w:r>
      <w:r w:rsidRPr="00AF43F7">
        <w:rPr>
          <w:noProof w:val="0"/>
        </w:rPr>
        <w:t xml:space="preserve"> (5), 947</w:t>
      </w:r>
      <w:r w:rsidR="00960C90">
        <w:rPr>
          <w:noProof w:val="0"/>
        </w:rPr>
        <w:t>−</w:t>
      </w:r>
      <w:r w:rsidRPr="00AF43F7">
        <w:rPr>
          <w:noProof w:val="0"/>
        </w:rPr>
        <w:t>956</w:t>
      </w:r>
      <w:r w:rsidR="00960C90">
        <w:rPr>
          <w:noProof w:val="0"/>
        </w:rPr>
        <w:t xml:space="preserve"> (</w:t>
      </w:r>
      <w:r w:rsidRPr="00AF43F7">
        <w:rPr>
          <w:noProof w:val="0"/>
        </w:rPr>
        <w:t>2012).</w:t>
      </w:r>
    </w:p>
    <w:p w14:paraId="23FC0D08" w14:textId="6B75E435" w:rsidR="00B72027" w:rsidRPr="00AF43F7" w:rsidRDefault="00B72027" w:rsidP="009F3718">
      <w:pPr>
        <w:rPr>
          <w:rFonts w:asciiTheme="minorHAnsi" w:hAnsiTheme="minorHAnsi" w:cstheme="minorHAnsi"/>
        </w:rPr>
      </w:pPr>
    </w:p>
    <w:p w14:paraId="2268A59C" w14:textId="120FD5D6" w:rsidR="00754EA9" w:rsidRPr="00AF43F7" w:rsidRDefault="00754EA9" w:rsidP="00E420FB">
      <w:pPr>
        <w:widowControl/>
        <w:autoSpaceDE/>
        <w:autoSpaceDN/>
        <w:adjustRightInd/>
        <w:jc w:val="left"/>
        <w:rPr>
          <w:rFonts w:asciiTheme="minorHAnsi" w:hAnsiTheme="minorHAnsi" w:cstheme="minorHAnsi"/>
        </w:rPr>
      </w:pPr>
    </w:p>
    <w:sectPr w:rsidR="00754EA9" w:rsidRPr="00AF43F7" w:rsidSect="00785BFD">
      <w:headerReference w:type="default" r:id="rId8"/>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95AAF2" w14:textId="77777777" w:rsidR="001A367F" w:rsidRDefault="001A367F">
      <w:r>
        <w:separator/>
      </w:r>
    </w:p>
  </w:endnote>
  <w:endnote w:type="continuationSeparator" w:id="0">
    <w:p w14:paraId="64435B1C" w14:textId="77777777" w:rsidR="001A367F" w:rsidRDefault="001A3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00000000"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E8DDE0" w14:textId="77777777" w:rsidR="001A367F" w:rsidRDefault="001A367F">
      <w:r>
        <w:separator/>
      </w:r>
    </w:p>
  </w:footnote>
  <w:footnote w:type="continuationSeparator" w:id="0">
    <w:p w14:paraId="1EB83DCC" w14:textId="77777777" w:rsidR="001A367F" w:rsidRDefault="001A36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A11E2" w14:textId="77777777" w:rsidR="00362D8B" w:rsidRPr="006F06E4" w:rsidRDefault="00362D8B" w:rsidP="00B81B15">
    <w:pPr>
      <w:pStyle w:val="Header"/>
      <w:tabs>
        <w:tab w:val="clear" w:pos="9360"/>
        <w:tab w:val="left" w:pos="5724"/>
      </w:tabs>
      <w:rPr>
        <w:b/>
        <w:color w:val="1F497D"/>
        <w:sz w:val="28"/>
        <w:szCs w:val="28"/>
      </w:rPr>
    </w:pPr>
    <w:r>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2320FD82">
      <w:start w:val="1"/>
      <w:numFmt w:val="bullet"/>
      <w:lvlText w:val=""/>
      <w:lvlJc w:val="left"/>
      <w:pPr>
        <w:ind w:left="720" w:hanging="360"/>
      </w:pPr>
      <w:rPr>
        <w:rFonts w:ascii="Symbol" w:hAnsi="Symbol" w:hint="default"/>
      </w:rPr>
    </w:lvl>
    <w:lvl w:ilvl="1" w:tplc="2AC06078">
      <w:start w:val="1"/>
      <w:numFmt w:val="bullet"/>
      <w:lvlText w:val="o"/>
      <w:lvlJc w:val="left"/>
      <w:pPr>
        <w:ind w:left="1440" w:hanging="360"/>
      </w:pPr>
      <w:rPr>
        <w:rFonts w:ascii="Courier New" w:hAnsi="Courier New" w:cs="Courier New" w:hint="default"/>
      </w:rPr>
    </w:lvl>
    <w:lvl w:ilvl="2" w:tplc="34F618C8">
      <w:start w:val="1"/>
      <w:numFmt w:val="bullet"/>
      <w:lvlText w:val=""/>
      <w:lvlJc w:val="left"/>
      <w:pPr>
        <w:ind w:left="2160" w:hanging="360"/>
      </w:pPr>
      <w:rPr>
        <w:rFonts w:ascii="Wingdings" w:hAnsi="Wingdings" w:hint="default"/>
      </w:rPr>
    </w:lvl>
    <w:lvl w:ilvl="3" w:tplc="27A0957E" w:tentative="1">
      <w:start w:val="1"/>
      <w:numFmt w:val="bullet"/>
      <w:lvlText w:val=""/>
      <w:lvlJc w:val="left"/>
      <w:pPr>
        <w:ind w:left="2880" w:hanging="360"/>
      </w:pPr>
      <w:rPr>
        <w:rFonts w:ascii="Symbol" w:hAnsi="Symbol" w:hint="default"/>
      </w:rPr>
    </w:lvl>
    <w:lvl w:ilvl="4" w:tplc="97D8BC8A" w:tentative="1">
      <w:start w:val="1"/>
      <w:numFmt w:val="bullet"/>
      <w:lvlText w:val="o"/>
      <w:lvlJc w:val="left"/>
      <w:pPr>
        <w:ind w:left="3600" w:hanging="360"/>
      </w:pPr>
      <w:rPr>
        <w:rFonts w:ascii="Courier New" w:hAnsi="Courier New" w:cs="Courier New" w:hint="default"/>
      </w:rPr>
    </w:lvl>
    <w:lvl w:ilvl="5" w:tplc="94863CE2" w:tentative="1">
      <w:start w:val="1"/>
      <w:numFmt w:val="bullet"/>
      <w:lvlText w:val=""/>
      <w:lvlJc w:val="left"/>
      <w:pPr>
        <w:ind w:left="4320" w:hanging="360"/>
      </w:pPr>
      <w:rPr>
        <w:rFonts w:ascii="Wingdings" w:hAnsi="Wingdings" w:hint="default"/>
      </w:rPr>
    </w:lvl>
    <w:lvl w:ilvl="6" w:tplc="FAF651D4" w:tentative="1">
      <w:start w:val="1"/>
      <w:numFmt w:val="bullet"/>
      <w:lvlText w:val=""/>
      <w:lvlJc w:val="left"/>
      <w:pPr>
        <w:ind w:left="5040" w:hanging="360"/>
      </w:pPr>
      <w:rPr>
        <w:rFonts w:ascii="Symbol" w:hAnsi="Symbol" w:hint="default"/>
      </w:rPr>
    </w:lvl>
    <w:lvl w:ilvl="7" w:tplc="A2E6D346" w:tentative="1">
      <w:start w:val="1"/>
      <w:numFmt w:val="bullet"/>
      <w:lvlText w:val="o"/>
      <w:lvlJc w:val="left"/>
      <w:pPr>
        <w:ind w:left="5760" w:hanging="360"/>
      </w:pPr>
      <w:rPr>
        <w:rFonts w:ascii="Courier New" w:hAnsi="Courier New" w:cs="Courier New" w:hint="default"/>
      </w:rPr>
    </w:lvl>
    <w:lvl w:ilvl="8" w:tplc="BC30F738"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5074DBE2">
      <w:start w:val="1"/>
      <w:numFmt w:val="decimal"/>
      <w:lvlText w:val="%1."/>
      <w:lvlJc w:val="left"/>
      <w:pPr>
        <w:ind w:left="720" w:hanging="360"/>
      </w:pPr>
    </w:lvl>
    <w:lvl w:ilvl="1" w:tplc="0C42C024" w:tentative="1">
      <w:start w:val="1"/>
      <w:numFmt w:val="lowerLetter"/>
      <w:lvlText w:val="%2."/>
      <w:lvlJc w:val="left"/>
      <w:pPr>
        <w:ind w:left="1440" w:hanging="360"/>
      </w:pPr>
    </w:lvl>
    <w:lvl w:ilvl="2" w:tplc="A22AC16A" w:tentative="1">
      <w:start w:val="1"/>
      <w:numFmt w:val="lowerRoman"/>
      <w:lvlText w:val="%3."/>
      <w:lvlJc w:val="right"/>
      <w:pPr>
        <w:ind w:left="2160" w:hanging="180"/>
      </w:pPr>
    </w:lvl>
    <w:lvl w:ilvl="3" w:tplc="993AD7D8" w:tentative="1">
      <w:start w:val="1"/>
      <w:numFmt w:val="decimal"/>
      <w:lvlText w:val="%4."/>
      <w:lvlJc w:val="left"/>
      <w:pPr>
        <w:ind w:left="2880" w:hanging="360"/>
      </w:pPr>
    </w:lvl>
    <w:lvl w:ilvl="4" w:tplc="235CD76E" w:tentative="1">
      <w:start w:val="1"/>
      <w:numFmt w:val="lowerLetter"/>
      <w:lvlText w:val="%5."/>
      <w:lvlJc w:val="left"/>
      <w:pPr>
        <w:ind w:left="3600" w:hanging="360"/>
      </w:pPr>
    </w:lvl>
    <w:lvl w:ilvl="5" w:tplc="54EC4ACC" w:tentative="1">
      <w:start w:val="1"/>
      <w:numFmt w:val="lowerRoman"/>
      <w:lvlText w:val="%6."/>
      <w:lvlJc w:val="right"/>
      <w:pPr>
        <w:ind w:left="4320" w:hanging="180"/>
      </w:pPr>
    </w:lvl>
    <w:lvl w:ilvl="6" w:tplc="F97CBFA6" w:tentative="1">
      <w:start w:val="1"/>
      <w:numFmt w:val="decimal"/>
      <w:lvlText w:val="%7."/>
      <w:lvlJc w:val="left"/>
      <w:pPr>
        <w:ind w:left="5040" w:hanging="360"/>
      </w:pPr>
    </w:lvl>
    <w:lvl w:ilvl="7" w:tplc="D5165A8C" w:tentative="1">
      <w:start w:val="1"/>
      <w:numFmt w:val="lowerLetter"/>
      <w:lvlText w:val="%8."/>
      <w:lvlJc w:val="left"/>
      <w:pPr>
        <w:ind w:left="5760" w:hanging="360"/>
      </w:pPr>
    </w:lvl>
    <w:lvl w:ilvl="8" w:tplc="38EE657A"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EDC6703E">
      <w:start w:val="1"/>
      <w:numFmt w:val="bullet"/>
      <w:lvlText w:val=""/>
      <w:lvlJc w:val="left"/>
      <w:pPr>
        <w:ind w:left="720" w:hanging="360"/>
      </w:pPr>
      <w:rPr>
        <w:rFonts w:ascii="Symbol" w:hAnsi="Symbol" w:hint="default"/>
      </w:rPr>
    </w:lvl>
    <w:lvl w:ilvl="1" w:tplc="88FA6C9E">
      <w:start w:val="1"/>
      <w:numFmt w:val="bullet"/>
      <w:lvlText w:val=""/>
      <w:lvlJc w:val="left"/>
      <w:pPr>
        <w:ind w:left="1440" w:hanging="360"/>
      </w:pPr>
      <w:rPr>
        <w:rFonts w:ascii="Symbol" w:hAnsi="Symbol" w:hint="default"/>
      </w:rPr>
    </w:lvl>
    <w:lvl w:ilvl="2" w:tplc="616605A6" w:tentative="1">
      <w:start w:val="1"/>
      <w:numFmt w:val="bullet"/>
      <w:lvlText w:val=""/>
      <w:lvlJc w:val="left"/>
      <w:pPr>
        <w:ind w:left="2160" w:hanging="360"/>
      </w:pPr>
      <w:rPr>
        <w:rFonts w:ascii="Wingdings" w:hAnsi="Wingdings" w:hint="default"/>
      </w:rPr>
    </w:lvl>
    <w:lvl w:ilvl="3" w:tplc="09182A3A" w:tentative="1">
      <w:start w:val="1"/>
      <w:numFmt w:val="bullet"/>
      <w:lvlText w:val=""/>
      <w:lvlJc w:val="left"/>
      <w:pPr>
        <w:ind w:left="2880" w:hanging="360"/>
      </w:pPr>
      <w:rPr>
        <w:rFonts w:ascii="Symbol" w:hAnsi="Symbol" w:hint="default"/>
      </w:rPr>
    </w:lvl>
    <w:lvl w:ilvl="4" w:tplc="5880B1A0" w:tentative="1">
      <w:start w:val="1"/>
      <w:numFmt w:val="bullet"/>
      <w:lvlText w:val="o"/>
      <w:lvlJc w:val="left"/>
      <w:pPr>
        <w:ind w:left="3600" w:hanging="360"/>
      </w:pPr>
      <w:rPr>
        <w:rFonts w:ascii="Courier New" w:hAnsi="Courier New" w:cs="Courier New" w:hint="default"/>
      </w:rPr>
    </w:lvl>
    <w:lvl w:ilvl="5" w:tplc="FABEDEB2" w:tentative="1">
      <w:start w:val="1"/>
      <w:numFmt w:val="bullet"/>
      <w:lvlText w:val=""/>
      <w:lvlJc w:val="left"/>
      <w:pPr>
        <w:ind w:left="4320" w:hanging="360"/>
      </w:pPr>
      <w:rPr>
        <w:rFonts w:ascii="Wingdings" w:hAnsi="Wingdings" w:hint="default"/>
      </w:rPr>
    </w:lvl>
    <w:lvl w:ilvl="6" w:tplc="D3ECC50E" w:tentative="1">
      <w:start w:val="1"/>
      <w:numFmt w:val="bullet"/>
      <w:lvlText w:val=""/>
      <w:lvlJc w:val="left"/>
      <w:pPr>
        <w:ind w:left="5040" w:hanging="360"/>
      </w:pPr>
      <w:rPr>
        <w:rFonts w:ascii="Symbol" w:hAnsi="Symbol" w:hint="default"/>
      </w:rPr>
    </w:lvl>
    <w:lvl w:ilvl="7" w:tplc="4DCE27DA" w:tentative="1">
      <w:start w:val="1"/>
      <w:numFmt w:val="bullet"/>
      <w:lvlText w:val="o"/>
      <w:lvlJc w:val="left"/>
      <w:pPr>
        <w:ind w:left="5760" w:hanging="360"/>
      </w:pPr>
      <w:rPr>
        <w:rFonts w:ascii="Courier New" w:hAnsi="Courier New" w:cs="Courier New" w:hint="default"/>
      </w:rPr>
    </w:lvl>
    <w:lvl w:ilvl="8" w:tplc="431E329A"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CC56BA98">
      <w:start w:val="1"/>
      <w:numFmt w:val="upperLetter"/>
      <w:lvlText w:val="%1)"/>
      <w:lvlJc w:val="left"/>
      <w:pPr>
        <w:ind w:left="720" w:hanging="360"/>
      </w:pPr>
      <w:rPr>
        <w:rFonts w:hint="default"/>
      </w:rPr>
    </w:lvl>
    <w:lvl w:ilvl="1" w:tplc="D6FAB1DC" w:tentative="1">
      <w:start w:val="1"/>
      <w:numFmt w:val="lowerLetter"/>
      <w:lvlText w:val="%2."/>
      <w:lvlJc w:val="left"/>
      <w:pPr>
        <w:ind w:left="1440" w:hanging="360"/>
      </w:pPr>
    </w:lvl>
    <w:lvl w:ilvl="2" w:tplc="DFBE29CA" w:tentative="1">
      <w:start w:val="1"/>
      <w:numFmt w:val="lowerRoman"/>
      <w:lvlText w:val="%3."/>
      <w:lvlJc w:val="right"/>
      <w:pPr>
        <w:ind w:left="2160" w:hanging="180"/>
      </w:pPr>
    </w:lvl>
    <w:lvl w:ilvl="3" w:tplc="B7E2D830" w:tentative="1">
      <w:start w:val="1"/>
      <w:numFmt w:val="decimal"/>
      <w:lvlText w:val="%4."/>
      <w:lvlJc w:val="left"/>
      <w:pPr>
        <w:ind w:left="2880" w:hanging="360"/>
      </w:pPr>
    </w:lvl>
    <w:lvl w:ilvl="4" w:tplc="66AAE05E" w:tentative="1">
      <w:start w:val="1"/>
      <w:numFmt w:val="lowerLetter"/>
      <w:lvlText w:val="%5."/>
      <w:lvlJc w:val="left"/>
      <w:pPr>
        <w:ind w:left="3600" w:hanging="360"/>
      </w:pPr>
    </w:lvl>
    <w:lvl w:ilvl="5" w:tplc="0DD289A6" w:tentative="1">
      <w:start w:val="1"/>
      <w:numFmt w:val="lowerRoman"/>
      <w:lvlText w:val="%6."/>
      <w:lvlJc w:val="right"/>
      <w:pPr>
        <w:ind w:left="4320" w:hanging="180"/>
      </w:pPr>
    </w:lvl>
    <w:lvl w:ilvl="6" w:tplc="3C32A27A" w:tentative="1">
      <w:start w:val="1"/>
      <w:numFmt w:val="decimal"/>
      <w:lvlText w:val="%7."/>
      <w:lvlJc w:val="left"/>
      <w:pPr>
        <w:ind w:left="5040" w:hanging="360"/>
      </w:pPr>
    </w:lvl>
    <w:lvl w:ilvl="7" w:tplc="D41A6834" w:tentative="1">
      <w:start w:val="1"/>
      <w:numFmt w:val="lowerLetter"/>
      <w:lvlText w:val="%8."/>
      <w:lvlJc w:val="left"/>
      <w:pPr>
        <w:ind w:left="5760" w:hanging="360"/>
      </w:pPr>
    </w:lvl>
    <w:lvl w:ilvl="8" w:tplc="F8AA50B6" w:tentative="1">
      <w:start w:val="1"/>
      <w:numFmt w:val="lowerRoman"/>
      <w:lvlText w:val="%9."/>
      <w:lvlJc w:val="right"/>
      <w:pPr>
        <w:ind w:left="6480" w:hanging="180"/>
      </w:pPr>
    </w:lvl>
  </w:abstractNum>
  <w:abstractNum w:abstractNumId="4" w15:restartNumberingAfterBreak="0">
    <w:nsid w:val="16840A7C"/>
    <w:multiLevelType w:val="multilevel"/>
    <w:tmpl w:val="4192EF0A"/>
    <w:lvl w:ilvl="0">
      <w:start w:val="1"/>
      <w:numFmt w:val="decimal"/>
      <w:lvlRestart w:val="0"/>
      <w:suff w:val="space"/>
      <w:lvlText w:val="%1."/>
      <w:lvlJc w:val="left"/>
      <w:pPr>
        <w:ind w:left="0" w:firstLine="0"/>
      </w:pPr>
      <w:rPr>
        <w:b/>
        <w:bCs/>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5" w15:restartNumberingAfterBreak="0">
    <w:nsid w:val="176A02B9"/>
    <w:multiLevelType w:val="hybridMultilevel"/>
    <w:tmpl w:val="39000450"/>
    <w:lvl w:ilvl="0" w:tplc="EA765442">
      <w:start w:val="1"/>
      <w:numFmt w:val="bullet"/>
      <w:lvlText w:val=""/>
      <w:lvlJc w:val="left"/>
      <w:pPr>
        <w:ind w:left="720" w:hanging="360"/>
      </w:pPr>
      <w:rPr>
        <w:rFonts w:ascii="Symbol" w:hAnsi="Symbol" w:hint="default"/>
      </w:rPr>
    </w:lvl>
    <w:lvl w:ilvl="1" w:tplc="E3945F50" w:tentative="1">
      <w:start w:val="1"/>
      <w:numFmt w:val="bullet"/>
      <w:lvlText w:val="o"/>
      <w:lvlJc w:val="left"/>
      <w:pPr>
        <w:ind w:left="1440" w:hanging="360"/>
      </w:pPr>
      <w:rPr>
        <w:rFonts w:ascii="Courier New" w:hAnsi="Courier New" w:cs="Courier New" w:hint="default"/>
      </w:rPr>
    </w:lvl>
    <w:lvl w:ilvl="2" w:tplc="EA4056FE" w:tentative="1">
      <w:start w:val="1"/>
      <w:numFmt w:val="bullet"/>
      <w:lvlText w:val=""/>
      <w:lvlJc w:val="left"/>
      <w:pPr>
        <w:ind w:left="2160" w:hanging="360"/>
      </w:pPr>
      <w:rPr>
        <w:rFonts w:ascii="Wingdings" w:hAnsi="Wingdings" w:hint="default"/>
      </w:rPr>
    </w:lvl>
    <w:lvl w:ilvl="3" w:tplc="9F48087E" w:tentative="1">
      <w:start w:val="1"/>
      <w:numFmt w:val="bullet"/>
      <w:lvlText w:val=""/>
      <w:lvlJc w:val="left"/>
      <w:pPr>
        <w:ind w:left="2880" w:hanging="360"/>
      </w:pPr>
      <w:rPr>
        <w:rFonts w:ascii="Symbol" w:hAnsi="Symbol" w:hint="default"/>
      </w:rPr>
    </w:lvl>
    <w:lvl w:ilvl="4" w:tplc="115425B4" w:tentative="1">
      <w:start w:val="1"/>
      <w:numFmt w:val="bullet"/>
      <w:lvlText w:val="o"/>
      <w:lvlJc w:val="left"/>
      <w:pPr>
        <w:ind w:left="3600" w:hanging="360"/>
      </w:pPr>
      <w:rPr>
        <w:rFonts w:ascii="Courier New" w:hAnsi="Courier New" w:cs="Courier New" w:hint="default"/>
      </w:rPr>
    </w:lvl>
    <w:lvl w:ilvl="5" w:tplc="ED043356" w:tentative="1">
      <w:start w:val="1"/>
      <w:numFmt w:val="bullet"/>
      <w:lvlText w:val=""/>
      <w:lvlJc w:val="left"/>
      <w:pPr>
        <w:ind w:left="4320" w:hanging="360"/>
      </w:pPr>
      <w:rPr>
        <w:rFonts w:ascii="Wingdings" w:hAnsi="Wingdings" w:hint="default"/>
      </w:rPr>
    </w:lvl>
    <w:lvl w:ilvl="6" w:tplc="DE34233E" w:tentative="1">
      <w:start w:val="1"/>
      <w:numFmt w:val="bullet"/>
      <w:lvlText w:val=""/>
      <w:lvlJc w:val="left"/>
      <w:pPr>
        <w:ind w:left="5040" w:hanging="360"/>
      </w:pPr>
      <w:rPr>
        <w:rFonts w:ascii="Symbol" w:hAnsi="Symbol" w:hint="default"/>
      </w:rPr>
    </w:lvl>
    <w:lvl w:ilvl="7" w:tplc="7BA85D32" w:tentative="1">
      <w:start w:val="1"/>
      <w:numFmt w:val="bullet"/>
      <w:lvlText w:val="o"/>
      <w:lvlJc w:val="left"/>
      <w:pPr>
        <w:ind w:left="5760" w:hanging="360"/>
      </w:pPr>
      <w:rPr>
        <w:rFonts w:ascii="Courier New" w:hAnsi="Courier New" w:cs="Courier New" w:hint="default"/>
      </w:rPr>
    </w:lvl>
    <w:lvl w:ilvl="8" w:tplc="C6AE9528"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14E63CDC">
      <w:start w:val="1"/>
      <w:numFmt w:val="bullet"/>
      <w:lvlText w:val=""/>
      <w:lvlJc w:val="left"/>
      <w:pPr>
        <w:ind w:left="720" w:hanging="360"/>
      </w:pPr>
      <w:rPr>
        <w:rFonts w:ascii="Symbol" w:hAnsi="Symbol" w:hint="default"/>
      </w:rPr>
    </w:lvl>
    <w:lvl w:ilvl="1" w:tplc="1C2C103C" w:tentative="1">
      <w:start w:val="1"/>
      <w:numFmt w:val="bullet"/>
      <w:lvlText w:val="o"/>
      <w:lvlJc w:val="left"/>
      <w:pPr>
        <w:ind w:left="1440" w:hanging="360"/>
      </w:pPr>
      <w:rPr>
        <w:rFonts w:ascii="Courier New" w:hAnsi="Courier New" w:cs="Courier New" w:hint="default"/>
      </w:rPr>
    </w:lvl>
    <w:lvl w:ilvl="2" w:tplc="406E2630" w:tentative="1">
      <w:start w:val="1"/>
      <w:numFmt w:val="bullet"/>
      <w:lvlText w:val=""/>
      <w:lvlJc w:val="left"/>
      <w:pPr>
        <w:ind w:left="2160" w:hanging="360"/>
      </w:pPr>
      <w:rPr>
        <w:rFonts w:ascii="Wingdings" w:hAnsi="Wingdings" w:hint="default"/>
      </w:rPr>
    </w:lvl>
    <w:lvl w:ilvl="3" w:tplc="433CCB42" w:tentative="1">
      <w:start w:val="1"/>
      <w:numFmt w:val="bullet"/>
      <w:lvlText w:val=""/>
      <w:lvlJc w:val="left"/>
      <w:pPr>
        <w:ind w:left="2880" w:hanging="360"/>
      </w:pPr>
      <w:rPr>
        <w:rFonts w:ascii="Symbol" w:hAnsi="Symbol" w:hint="default"/>
      </w:rPr>
    </w:lvl>
    <w:lvl w:ilvl="4" w:tplc="256E37D8" w:tentative="1">
      <w:start w:val="1"/>
      <w:numFmt w:val="bullet"/>
      <w:lvlText w:val="o"/>
      <w:lvlJc w:val="left"/>
      <w:pPr>
        <w:ind w:left="3600" w:hanging="360"/>
      </w:pPr>
      <w:rPr>
        <w:rFonts w:ascii="Courier New" w:hAnsi="Courier New" w:cs="Courier New" w:hint="default"/>
      </w:rPr>
    </w:lvl>
    <w:lvl w:ilvl="5" w:tplc="A238BB14" w:tentative="1">
      <w:start w:val="1"/>
      <w:numFmt w:val="bullet"/>
      <w:lvlText w:val=""/>
      <w:lvlJc w:val="left"/>
      <w:pPr>
        <w:ind w:left="4320" w:hanging="360"/>
      </w:pPr>
      <w:rPr>
        <w:rFonts w:ascii="Wingdings" w:hAnsi="Wingdings" w:hint="default"/>
      </w:rPr>
    </w:lvl>
    <w:lvl w:ilvl="6" w:tplc="76B0A6D8" w:tentative="1">
      <w:start w:val="1"/>
      <w:numFmt w:val="bullet"/>
      <w:lvlText w:val=""/>
      <w:lvlJc w:val="left"/>
      <w:pPr>
        <w:ind w:left="5040" w:hanging="360"/>
      </w:pPr>
      <w:rPr>
        <w:rFonts w:ascii="Symbol" w:hAnsi="Symbol" w:hint="default"/>
      </w:rPr>
    </w:lvl>
    <w:lvl w:ilvl="7" w:tplc="4E880D16" w:tentative="1">
      <w:start w:val="1"/>
      <w:numFmt w:val="bullet"/>
      <w:lvlText w:val="o"/>
      <w:lvlJc w:val="left"/>
      <w:pPr>
        <w:ind w:left="5760" w:hanging="360"/>
      </w:pPr>
      <w:rPr>
        <w:rFonts w:ascii="Courier New" w:hAnsi="Courier New" w:cs="Courier New" w:hint="default"/>
      </w:rPr>
    </w:lvl>
    <w:lvl w:ilvl="8" w:tplc="7E143582" w:tentative="1">
      <w:start w:val="1"/>
      <w:numFmt w:val="bullet"/>
      <w:lvlText w:val=""/>
      <w:lvlJc w:val="left"/>
      <w:pPr>
        <w:ind w:left="6480" w:hanging="360"/>
      </w:pPr>
      <w:rPr>
        <w:rFonts w:ascii="Wingdings" w:hAnsi="Wingdings" w:hint="default"/>
      </w:rPr>
    </w:lvl>
  </w:abstractNum>
  <w:abstractNum w:abstractNumId="7" w15:restartNumberingAfterBreak="0">
    <w:nsid w:val="28161849"/>
    <w:multiLevelType w:val="hybridMultilevel"/>
    <w:tmpl w:val="B088D136"/>
    <w:lvl w:ilvl="0" w:tplc="0074C7FC">
      <w:start w:val="1"/>
      <w:numFmt w:val="bullet"/>
      <w:lvlText w:val=""/>
      <w:lvlJc w:val="left"/>
      <w:pPr>
        <w:ind w:left="360" w:hanging="360"/>
      </w:pPr>
      <w:rPr>
        <w:rFonts w:ascii="Symbol" w:hAnsi="Symbol" w:hint="default"/>
      </w:rPr>
    </w:lvl>
    <w:lvl w:ilvl="1" w:tplc="B9AA2216" w:tentative="1">
      <w:start w:val="1"/>
      <w:numFmt w:val="bullet"/>
      <w:lvlText w:val="o"/>
      <w:lvlJc w:val="left"/>
      <w:pPr>
        <w:ind w:left="1080" w:hanging="360"/>
      </w:pPr>
      <w:rPr>
        <w:rFonts w:ascii="Courier New" w:hAnsi="Courier New" w:cs="Courier New" w:hint="default"/>
      </w:rPr>
    </w:lvl>
    <w:lvl w:ilvl="2" w:tplc="1C10FB94" w:tentative="1">
      <w:start w:val="1"/>
      <w:numFmt w:val="bullet"/>
      <w:lvlText w:val=""/>
      <w:lvlJc w:val="left"/>
      <w:pPr>
        <w:ind w:left="1800" w:hanging="360"/>
      </w:pPr>
      <w:rPr>
        <w:rFonts w:ascii="Wingdings" w:hAnsi="Wingdings" w:hint="default"/>
      </w:rPr>
    </w:lvl>
    <w:lvl w:ilvl="3" w:tplc="F2D44A8A" w:tentative="1">
      <w:start w:val="1"/>
      <w:numFmt w:val="bullet"/>
      <w:lvlText w:val=""/>
      <w:lvlJc w:val="left"/>
      <w:pPr>
        <w:ind w:left="2520" w:hanging="360"/>
      </w:pPr>
      <w:rPr>
        <w:rFonts w:ascii="Symbol" w:hAnsi="Symbol" w:hint="default"/>
      </w:rPr>
    </w:lvl>
    <w:lvl w:ilvl="4" w:tplc="0DAA9994" w:tentative="1">
      <w:start w:val="1"/>
      <w:numFmt w:val="bullet"/>
      <w:lvlText w:val="o"/>
      <w:lvlJc w:val="left"/>
      <w:pPr>
        <w:ind w:left="3240" w:hanging="360"/>
      </w:pPr>
      <w:rPr>
        <w:rFonts w:ascii="Courier New" w:hAnsi="Courier New" w:cs="Courier New" w:hint="default"/>
      </w:rPr>
    </w:lvl>
    <w:lvl w:ilvl="5" w:tplc="31C49440" w:tentative="1">
      <w:start w:val="1"/>
      <w:numFmt w:val="bullet"/>
      <w:lvlText w:val=""/>
      <w:lvlJc w:val="left"/>
      <w:pPr>
        <w:ind w:left="3960" w:hanging="360"/>
      </w:pPr>
      <w:rPr>
        <w:rFonts w:ascii="Wingdings" w:hAnsi="Wingdings" w:hint="default"/>
      </w:rPr>
    </w:lvl>
    <w:lvl w:ilvl="6" w:tplc="CFE643D4" w:tentative="1">
      <w:start w:val="1"/>
      <w:numFmt w:val="bullet"/>
      <w:lvlText w:val=""/>
      <w:lvlJc w:val="left"/>
      <w:pPr>
        <w:ind w:left="4680" w:hanging="360"/>
      </w:pPr>
      <w:rPr>
        <w:rFonts w:ascii="Symbol" w:hAnsi="Symbol" w:hint="default"/>
      </w:rPr>
    </w:lvl>
    <w:lvl w:ilvl="7" w:tplc="7D56CD9A" w:tentative="1">
      <w:start w:val="1"/>
      <w:numFmt w:val="bullet"/>
      <w:lvlText w:val="o"/>
      <w:lvlJc w:val="left"/>
      <w:pPr>
        <w:ind w:left="5400" w:hanging="360"/>
      </w:pPr>
      <w:rPr>
        <w:rFonts w:ascii="Courier New" w:hAnsi="Courier New" w:cs="Courier New" w:hint="default"/>
      </w:rPr>
    </w:lvl>
    <w:lvl w:ilvl="8" w:tplc="0CFC6D8E" w:tentative="1">
      <w:start w:val="1"/>
      <w:numFmt w:val="bullet"/>
      <w:lvlText w:val=""/>
      <w:lvlJc w:val="left"/>
      <w:pPr>
        <w:ind w:left="6120" w:hanging="360"/>
      </w:pPr>
      <w:rPr>
        <w:rFonts w:ascii="Wingdings" w:hAnsi="Wingdings" w:hint="default"/>
      </w:rPr>
    </w:lvl>
  </w:abstractNum>
  <w:abstractNum w:abstractNumId="8" w15:restartNumberingAfterBreak="0">
    <w:nsid w:val="2A873DA2"/>
    <w:multiLevelType w:val="hybridMultilevel"/>
    <w:tmpl w:val="7C368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2DBC09EC">
      <w:start w:val="1"/>
      <w:numFmt w:val="bullet"/>
      <w:lvlText w:val=""/>
      <w:lvlJc w:val="left"/>
      <w:pPr>
        <w:ind w:left="720" w:hanging="360"/>
      </w:pPr>
      <w:rPr>
        <w:rFonts w:ascii="Symbol" w:hAnsi="Symbol" w:hint="default"/>
      </w:rPr>
    </w:lvl>
    <w:lvl w:ilvl="1" w:tplc="2704341C" w:tentative="1">
      <w:start w:val="1"/>
      <w:numFmt w:val="bullet"/>
      <w:lvlText w:val="o"/>
      <w:lvlJc w:val="left"/>
      <w:pPr>
        <w:ind w:left="1440" w:hanging="360"/>
      </w:pPr>
      <w:rPr>
        <w:rFonts w:ascii="Courier New" w:hAnsi="Courier New" w:cs="Courier New" w:hint="default"/>
      </w:rPr>
    </w:lvl>
    <w:lvl w:ilvl="2" w:tplc="61FA50E0" w:tentative="1">
      <w:start w:val="1"/>
      <w:numFmt w:val="bullet"/>
      <w:lvlText w:val=""/>
      <w:lvlJc w:val="left"/>
      <w:pPr>
        <w:ind w:left="2160" w:hanging="360"/>
      </w:pPr>
      <w:rPr>
        <w:rFonts w:ascii="Wingdings" w:hAnsi="Wingdings" w:hint="default"/>
      </w:rPr>
    </w:lvl>
    <w:lvl w:ilvl="3" w:tplc="35FA234C" w:tentative="1">
      <w:start w:val="1"/>
      <w:numFmt w:val="bullet"/>
      <w:lvlText w:val=""/>
      <w:lvlJc w:val="left"/>
      <w:pPr>
        <w:ind w:left="2880" w:hanging="360"/>
      </w:pPr>
      <w:rPr>
        <w:rFonts w:ascii="Symbol" w:hAnsi="Symbol" w:hint="default"/>
      </w:rPr>
    </w:lvl>
    <w:lvl w:ilvl="4" w:tplc="65A28F28" w:tentative="1">
      <w:start w:val="1"/>
      <w:numFmt w:val="bullet"/>
      <w:lvlText w:val="o"/>
      <w:lvlJc w:val="left"/>
      <w:pPr>
        <w:ind w:left="3600" w:hanging="360"/>
      </w:pPr>
      <w:rPr>
        <w:rFonts w:ascii="Courier New" w:hAnsi="Courier New" w:cs="Courier New" w:hint="default"/>
      </w:rPr>
    </w:lvl>
    <w:lvl w:ilvl="5" w:tplc="97B0C7FA" w:tentative="1">
      <w:start w:val="1"/>
      <w:numFmt w:val="bullet"/>
      <w:lvlText w:val=""/>
      <w:lvlJc w:val="left"/>
      <w:pPr>
        <w:ind w:left="4320" w:hanging="360"/>
      </w:pPr>
      <w:rPr>
        <w:rFonts w:ascii="Wingdings" w:hAnsi="Wingdings" w:hint="default"/>
      </w:rPr>
    </w:lvl>
    <w:lvl w:ilvl="6" w:tplc="7AD02068" w:tentative="1">
      <w:start w:val="1"/>
      <w:numFmt w:val="bullet"/>
      <w:lvlText w:val=""/>
      <w:lvlJc w:val="left"/>
      <w:pPr>
        <w:ind w:left="5040" w:hanging="360"/>
      </w:pPr>
      <w:rPr>
        <w:rFonts w:ascii="Symbol" w:hAnsi="Symbol" w:hint="default"/>
      </w:rPr>
    </w:lvl>
    <w:lvl w:ilvl="7" w:tplc="993ABC88" w:tentative="1">
      <w:start w:val="1"/>
      <w:numFmt w:val="bullet"/>
      <w:lvlText w:val="o"/>
      <w:lvlJc w:val="left"/>
      <w:pPr>
        <w:ind w:left="5760" w:hanging="360"/>
      </w:pPr>
      <w:rPr>
        <w:rFonts w:ascii="Courier New" w:hAnsi="Courier New" w:cs="Courier New" w:hint="default"/>
      </w:rPr>
    </w:lvl>
    <w:lvl w:ilvl="8" w:tplc="2F52A898"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A95002CC">
      <w:start w:val="1"/>
      <w:numFmt w:val="bullet"/>
      <w:lvlText w:val=""/>
      <w:lvlJc w:val="left"/>
      <w:pPr>
        <w:ind w:left="720" w:hanging="360"/>
      </w:pPr>
      <w:rPr>
        <w:rFonts w:ascii="Symbol" w:hAnsi="Symbol" w:hint="default"/>
      </w:rPr>
    </w:lvl>
    <w:lvl w:ilvl="1" w:tplc="A05448B2" w:tentative="1">
      <w:start w:val="1"/>
      <w:numFmt w:val="bullet"/>
      <w:lvlText w:val="o"/>
      <w:lvlJc w:val="left"/>
      <w:pPr>
        <w:ind w:left="1440" w:hanging="360"/>
      </w:pPr>
      <w:rPr>
        <w:rFonts w:ascii="Courier New" w:hAnsi="Courier New" w:cs="Courier New" w:hint="default"/>
      </w:rPr>
    </w:lvl>
    <w:lvl w:ilvl="2" w:tplc="240C4708" w:tentative="1">
      <w:start w:val="1"/>
      <w:numFmt w:val="bullet"/>
      <w:lvlText w:val=""/>
      <w:lvlJc w:val="left"/>
      <w:pPr>
        <w:ind w:left="2160" w:hanging="360"/>
      </w:pPr>
      <w:rPr>
        <w:rFonts w:ascii="Wingdings" w:hAnsi="Wingdings" w:hint="default"/>
      </w:rPr>
    </w:lvl>
    <w:lvl w:ilvl="3" w:tplc="4CE4398C" w:tentative="1">
      <w:start w:val="1"/>
      <w:numFmt w:val="bullet"/>
      <w:lvlText w:val=""/>
      <w:lvlJc w:val="left"/>
      <w:pPr>
        <w:ind w:left="2880" w:hanging="360"/>
      </w:pPr>
      <w:rPr>
        <w:rFonts w:ascii="Symbol" w:hAnsi="Symbol" w:hint="default"/>
      </w:rPr>
    </w:lvl>
    <w:lvl w:ilvl="4" w:tplc="25929646" w:tentative="1">
      <w:start w:val="1"/>
      <w:numFmt w:val="bullet"/>
      <w:lvlText w:val="o"/>
      <w:lvlJc w:val="left"/>
      <w:pPr>
        <w:ind w:left="3600" w:hanging="360"/>
      </w:pPr>
      <w:rPr>
        <w:rFonts w:ascii="Courier New" w:hAnsi="Courier New" w:cs="Courier New" w:hint="default"/>
      </w:rPr>
    </w:lvl>
    <w:lvl w:ilvl="5" w:tplc="73F850D4" w:tentative="1">
      <w:start w:val="1"/>
      <w:numFmt w:val="bullet"/>
      <w:lvlText w:val=""/>
      <w:lvlJc w:val="left"/>
      <w:pPr>
        <w:ind w:left="4320" w:hanging="360"/>
      </w:pPr>
      <w:rPr>
        <w:rFonts w:ascii="Wingdings" w:hAnsi="Wingdings" w:hint="default"/>
      </w:rPr>
    </w:lvl>
    <w:lvl w:ilvl="6" w:tplc="662E8792" w:tentative="1">
      <w:start w:val="1"/>
      <w:numFmt w:val="bullet"/>
      <w:lvlText w:val=""/>
      <w:lvlJc w:val="left"/>
      <w:pPr>
        <w:ind w:left="5040" w:hanging="360"/>
      </w:pPr>
      <w:rPr>
        <w:rFonts w:ascii="Symbol" w:hAnsi="Symbol" w:hint="default"/>
      </w:rPr>
    </w:lvl>
    <w:lvl w:ilvl="7" w:tplc="8DE873EE" w:tentative="1">
      <w:start w:val="1"/>
      <w:numFmt w:val="bullet"/>
      <w:lvlText w:val="o"/>
      <w:lvlJc w:val="left"/>
      <w:pPr>
        <w:ind w:left="5760" w:hanging="360"/>
      </w:pPr>
      <w:rPr>
        <w:rFonts w:ascii="Courier New" w:hAnsi="Courier New" w:cs="Courier New" w:hint="default"/>
      </w:rPr>
    </w:lvl>
    <w:lvl w:ilvl="8" w:tplc="D9EA805C" w:tentative="1">
      <w:start w:val="1"/>
      <w:numFmt w:val="bullet"/>
      <w:lvlText w:val=""/>
      <w:lvlJc w:val="left"/>
      <w:pPr>
        <w:ind w:left="6480" w:hanging="360"/>
      </w:pPr>
      <w:rPr>
        <w:rFonts w:ascii="Wingdings" w:hAnsi="Wingdings" w:hint="default"/>
      </w:rPr>
    </w:lvl>
  </w:abstractNum>
  <w:abstractNum w:abstractNumId="12" w15:restartNumberingAfterBreak="0">
    <w:nsid w:val="3DB10122"/>
    <w:multiLevelType w:val="multilevel"/>
    <w:tmpl w:val="E5FEF7C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F9A4540"/>
    <w:multiLevelType w:val="hybridMultilevel"/>
    <w:tmpl w:val="F676A79C"/>
    <w:lvl w:ilvl="0" w:tplc="B7443906">
      <w:start w:val="1"/>
      <w:numFmt w:val="bullet"/>
      <w:lvlText w:val=""/>
      <w:lvlJc w:val="left"/>
      <w:pPr>
        <w:ind w:left="720" w:hanging="360"/>
      </w:pPr>
      <w:rPr>
        <w:rFonts w:ascii="Symbol" w:hAnsi="Symbol" w:hint="default"/>
      </w:rPr>
    </w:lvl>
    <w:lvl w:ilvl="1" w:tplc="E41E1344" w:tentative="1">
      <w:start w:val="1"/>
      <w:numFmt w:val="bullet"/>
      <w:lvlText w:val="o"/>
      <w:lvlJc w:val="left"/>
      <w:pPr>
        <w:ind w:left="1440" w:hanging="360"/>
      </w:pPr>
      <w:rPr>
        <w:rFonts w:ascii="Courier New" w:hAnsi="Courier New" w:cs="Courier New" w:hint="default"/>
      </w:rPr>
    </w:lvl>
    <w:lvl w:ilvl="2" w:tplc="91248628" w:tentative="1">
      <w:start w:val="1"/>
      <w:numFmt w:val="bullet"/>
      <w:lvlText w:val=""/>
      <w:lvlJc w:val="left"/>
      <w:pPr>
        <w:ind w:left="2160" w:hanging="360"/>
      </w:pPr>
      <w:rPr>
        <w:rFonts w:ascii="Wingdings" w:hAnsi="Wingdings" w:hint="default"/>
      </w:rPr>
    </w:lvl>
    <w:lvl w:ilvl="3" w:tplc="4B58F67E" w:tentative="1">
      <w:start w:val="1"/>
      <w:numFmt w:val="bullet"/>
      <w:lvlText w:val=""/>
      <w:lvlJc w:val="left"/>
      <w:pPr>
        <w:ind w:left="2880" w:hanging="360"/>
      </w:pPr>
      <w:rPr>
        <w:rFonts w:ascii="Symbol" w:hAnsi="Symbol" w:hint="default"/>
      </w:rPr>
    </w:lvl>
    <w:lvl w:ilvl="4" w:tplc="EA2AFA28" w:tentative="1">
      <w:start w:val="1"/>
      <w:numFmt w:val="bullet"/>
      <w:lvlText w:val="o"/>
      <w:lvlJc w:val="left"/>
      <w:pPr>
        <w:ind w:left="3600" w:hanging="360"/>
      </w:pPr>
      <w:rPr>
        <w:rFonts w:ascii="Courier New" w:hAnsi="Courier New" w:cs="Courier New" w:hint="default"/>
      </w:rPr>
    </w:lvl>
    <w:lvl w:ilvl="5" w:tplc="79BCA71C" w:tentative="1">
      <w:start w:val="1"/>
      <w:numFmt w:val="bullet"/>
      <w:lvlText w:val=""/>
      <w:lvlJc w:val="left"/>
      <w:pPr>
        <w:ind w:left="4320" w:hanging="360"/>
      </w:pPr>
      <w:rPr>
        <w:rFonts w:ascii="Wingdings" w:hAnsi="Wingdings" w:hint="default"/>
      </w:rPr>
    </w:lvl>
    <w:lvl w:ilvl="6" w:tplc="4B5A19C6" w:tentative="1">
      <w:start w:val="1"/>
      <w:numFmt w:val="bullet"/>
      <w:lvlText w:val=""/>
      <w:lvlJc w:val="left"/>
      <w:pPr>
        <w:ind w:left="5040" w:hanging="360"/>
      </w:pPr>
      <w:rPr>
        <w:rFonts w:ascii="Symbol" w:hAnsi="Symbol" w:hint="default"/>
      </w:rPr>
    </w:lvl>
    <w:lvl w:ilvl="7" w:tplc="28721370" w:tentative="1">
      <w:start w:val="1"/>
      <w:numFmt w:val="bullet"/>
      <w:lvlText w:val="o"/>
      <w:lvlJc w:val="left"/>
      <w:pPr>
        <w:ind w:left="5760" w:hanging="360"/>
      </w:pPr>
      <w:rPr>
        <w:rFonts w:ascii="Courier New" w:hAnsi="Courier New" w:cs="Courier New" w:hint="default"/>
      </w:rPr>
    </w:lvl>
    <w:lvl w:ilvl="8" w:tplc="EFB8FF58"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D2604EC4">
      <w:start w:val="1"/>
      <w:numFmt w:val="bullet"/>
      <w:lvlText w:val=""/>
      <w:lvlJc w:val="left"/>
      <w:pPr>
        <w:ind w:left="720" w:hanging="360"/>
      </w:pPr>
      <w:rPr>
        <w:rFonts w:ascii="Symbol" w:hAnsi="Symbol" w:hint="default"/>
      </w:rPr>
    </w:lvl>
    <w:lvl w:ilvl="1" w:tplc="1E0C0838" w:tentative="1">
      <w:start w:val="1"/>
      <w:numFmt w:val="bullet"/>
      <w:lvlText w:val="o"/>
      <w:lvlJc w:val="left"/>
      <w:pPr>
        <w:ind w:left="1440" w:hanging="360"/>
      </w:pPr>
      <w:rPr>
        <w:rFonts w:ascii="Courier New" w:hAnsi="Courier New" w:cs="Courier New" w:hint="default"/>
      </w:rPr>
    </w:lvl>
    <w:lvl w:ilvl="2" w:tplc="B6E63FA4" w:tentative="1">
      <w:start w:val="1"/>
      <w:numFmt w:val="bullet"/>
      <w:lvlText w:val=""/>
      <w:lvlJc w:val="left"/>
      <w:pPr>
        <w:ind w:left="2160" w:hanging="360"/>
      </w:pPr>
      <w:rPr>
        <w:rFonts w:ascii="Wingdings" w:hAnsi="Wingdings" w:hint="default"/>
      </w:rPr>
    </w:lvl>
    <w:lvl w:ilvl="3" w:tplc="D6924B96" w:tentative="1">
      <w:start w:val="1"/>
      <w:numFmt w:val="bullet"/>
      <w:lvlText w:val=""/>
      <w:lvlJc w:val="left"/>
      <w:pPr>
        <w:ind w:left="2880" w:hanging="360"/>
      </w:pPr>
      <w:rPr>
        <w:rFonts w:ascii="Symbol" w:hAnsi="Symbol" w:hint="default"/>
      </w:rPr>
    </w:lvl>
    <w:lvl w:ilvl="4" w:tplc="2BEE8E34" w:tentative="1">
      <w:start w:val="1"/>
      <w:numFmt w:val="bullet"/>
      <w:lvlText w:val="o"/>
      <w:lvlJc w:val="left"/>
      <w:pPr>
        <w:ind w:left="3600" w:hanging="360"/>
      </w:pPr>
      <w:rPr>
        <w:rFonts w:ascii="Courier New" w:hAnsi="Courier New" w:cs="Courier New" w:hint="default"/>
      </w:rPr>
    </w:lvl>
    <w:lvl w:ilvl="5" w:tplc="CA849E76" w:tentative="1">
      <w:start w:val="1"/>
      <w:numFmt w:val="bullet"/>
      <w:lvlText w:val=""/>
      <w:lvlJc w:val="left"/>
      <w:pPr>
        <w:ind w:left="4320" w:hanging="360"/>
      </w:pPr>
      <w:rPr>
        <w:rFonts w:ascii="Wingdings" w:hAnsi="Wingdings" w:hint="default"/>
      </w:rPr>
    </w:lvl>
    <w:lvl w:ilvl="6" w:tplc="AC629EC0" w:tentative="1">
      <w:start w:val="1"/>
      <w:numFmt w:val="bullet"/>
      <w:lvlText w:val=""/>
      <w:lvlJc w:val="left"/>
      <w:pPr>
        <w:ind w:left="5040" w:hanging="360"/>
      </w:pPr>
      <w:rPr>
        <w:rFonts w:ascii="Symbol" w:hAnsi="Symbol" w:hint="default"/>
      </w:rPr>
    </w:lvl>
    <w:lvl w:ilvl="7" w:tplc="D90E8DF6" w:tentative="1">
      <w:start w:val="1"/>
      <w:numFmt w:val="bullet"/>
      <w:lvlText w:val="o"/>
      <w:lvlJc w:val="left"/>
      <w:pPr>
        <w:ind w:left="5760" w:hanging="360"/>
      </w:pPr>
      <w:rPr>
        <w:rFonts w:ascii="Courier New" w:hAnsi="Courier New" w:cs="Courier New" w:hint="default"/>
      </w:rPr>
    </w:lvl>
    <w:lvl w:ilvl="8" w:tplc="BF4C421E"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2898B750">
      <w:start w:val="1"/>
      <w:numFmt w:val="bullet"/>
      <w:lvlText w:val=""/>
      <w:lvlJc w:val="left"/>
      <w:pPr>
        <w:ind w:left="900" w:hanging="360"/>
      </w:pPr>
      <w:rPr>
        <w:rFonts w:ascii="Symbol" w:eastAsia="Symbol" w:hAnsi="Symbol" w:cs="Symbol" w:hint="default"/>
        <w:w w:val="100"/>
        <w:sz w:val="24"/>
        <w:szCs w:val="24"/>
      </w:rPr>
    </w:lvl>
    <w:lvl w:ilvl="1" w:tplc="1CA67114">
      <w:start w:val="1"/>
      <w:numFmt w:val="bullet"/>
      <w:lvlText w:val="o"/>
      <w:lvlJc w:val="left"/>
      <w:pPr>
        <w:ind w:left="1620" w:hanging="360"/>
      </w:pPr>
      <w:rPr>
        <w:rFonts w:ascii="Courier New" w:eastAsia="Courier New" w:hAnsi="Courier New" w:cs="Courier New" w:hint="default"/>
        <w:w w:val="99"/>
      </w:rPr>
    </w:lvl>
    <w:lvl w:ilvl="2" w:tplc="7EC01122">
      <w:start w:val="1"/>
      <w:numFmt w:val="bullet"/>
      <w:lvlText w:val="•"/>
      <w:lvlJc w:val="left"/>
      <w:pPr>
        <w:ind w:left="2520" w:hanging="360"/>
      </w:pPr>
      <w:rPr>
        <w:rFonts w:hint="default"/>
      </w:rPr>
    </w:lvl>
    <w:lvl w:ilvl="3" w:tplc="AA5E4A3E">
      <w:start w:val="1"/>
      <w:numFmt w:val="bullet"/>
      <w:lvlText w:val="•"/>
      <w:lvlJc w:val="left"/>
      <w:pPr>
        <w:ind w:left="3420" w:hanging="360"/>
      </w:pPr>
      <w:rPr>
        <w:rFonts w:hint="default"/>
      </w:rPr>
    </w:lvl>
    <w:lvl w:ilvl="4" w:tplc="822EBD22">
      <w:start w:val="1"/>
      <w:numFmt w:val="bullet"/>
      <w:lvlText w:val="•"/>
      <w:lvlJc w:val="left"/>
      <w:pPr>
        <w:ind w:left="4320" w:hanging="360"/>
      </w:pPr>
      <w:rPr>
        <w:rFonts w:hint="default"/>
      </w:rPr>
    </w:lvl>
    <w:lvl w:ilvl="5" w:tplc="684CAD30">
      <w:start w:val="1"/>
      <w:numFmt w:val="bullet"/>
      <w:lvlText w:val="•"/>
      <w:lvlJc w:val="left"/>
      <w:pPr>
        <w:ind w:left="5220" w:hanging="360"/>
      </w:pPr>
      <w:rPr>
        <w:rFonts w:hint="default"/>
      </w:rPr>
    </w:lvl>
    <w:lvl w:ilvl="6" w:tplc="84B478EC">
      <w:start w:val="1"/>
      <w:numFmt w:val="bullet"/>
      <w:lvlText w:val="•"/>
      <w:lvlJc w:val="left"/>
      <w:pPr>
        <w:ind w:left="6120" w:hanging="360"/>
      </w:pPr>
      <w:rPr>
        <w:rFonts w:hint="default"/>
      </w:rPr>
    </w:lvl>
    <w:lvl w:ilvl="7" w:tplc="95D80986">
      <w:start w:val="1"/>
      <w:numFmt w:val="bullet"/>
      <w:lvlText w:val="•"/>
      <w:lvlJc w:val="left"/>
      <w:pPr>
        <w:ind w:left="7020" w:hanging="360"/>
      </w:pPr>
      <w:rPr>
        <w:rFonts w:hint="default"/>
      </w:rPr>
    </w:lvl>
    <w:lvl w:ilvl="8" w:tplc="B1D27BFE">
      <w:start w:val="1"/>
      <w:numFmt w:val="bullet"/>
      <w:lvlText w:val="•"/>
      <w:lvlJc w:val="left"/>
      <w:pPr>
        <w:ind w:left="7920" w:hanging="360"/>
      </w:pPr>
      <w:rPr>
        <w:rFonts w:hint="default"/>
      </w:rPr>
    </w:lvl>
  </w:abstractNum>
  <w:abstractNum w:abstractNumId="16"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4C6716F"/>
    <w:multiLevelType w:val="hybridMultilevel"/>
    <w:tmpl w:val="D9FE8D16"/>
    <w:lvl w:ilvl="0" w:tplc="96A60632">
      <w:start w:val="1"/>
      <w:numFmt w:val="bullet"/>
      <w:lvlText w:val=""/>
      <w:lvlJc w:val="left"/>
      <w:pPr>
        <w:ind w:left="720" w:hanging="360"/>
      </w:pPr>
      <w:rPr>
        <w:rFonts w:ascii="Symbol" w:hAnsi="Symbol" w:hint="default"/>
      </w:rPr>
    </w:lvl>
    <w:lvl w:ilvl="1" w:tplc="EABCD1C0" w:tentative="1">
      <w:start w:val="1"/>
      <w:numFmt w:val="bullet"/>
      <w:lvlText w:val="o"/>
      <w:lvlJc w:val="left"/>
      <w:pPr>
        <w:ind w:left="1440" w:hanging="360"/>
      </w:pPr>
      <w:rPr>
        <w:rFonts w:ascii="Courier New" w:hAnsi="Courier New" w:cs="Courier New" w:hint="default"/>
      </w:rPr>
    </w:lvl>
    <w:lvl w:ilvl="2" w:tplc="561828C0" w:tentative="1">
      <w:start w:val="1"/>
      <w:numFmt w:val="bullet"/>
      <w:lvlText w:val=""/>
      <w:lvlJc w:val="left"/>
      <w:pPr>
        <w:ind w:left="2160" w:hanging="360"/>
      </w:pPr>
      <w:rPr>
        <w:rFonts w:ascii="Wingdings" w:hAnsi="Wingdings" w:hint="default"/>
      </w:rPr>
    </w:lvl>
    <w:lvl w:ilvl="3" w:tplc="C846E2F4" w:tentative="1">
      <w:start w:val="1"/>
      <w:numFmt w:val="bullet"/>
      <w:lvlText w:val=""/>
      <w:lvlJc w:val="left"/>
      <w:pPr>
        <w:ind w:left="2880" w:hanging="360"/>
      </w:pPr>
      <w:rPr>
        <w:rFonts w:ascii="Symbol" w:hAnsi="Symbol" w:hint="default"/>
      </w:rPr>
    </w:lvl>
    <w:lvl w:ilvl="4" w:tplc="579C514E" w:tentative="1">
      <w:start w:val="1"/>
      <w:numFmt w:val="bullet"/>
      <w:lvlText w:val="o"/>
      <w:lvlJc w:val="left"/>
      <w:pPr>
        <w:ind w:left="3600" w:hanging="360"/>
      </w:pPr>
      <w:rPr>
        <w:rFonts w:ascii="Courier New" w:hAnsi="Courier New" w:cs="Courier New" w:hint="default"/>
      </w:rPr>
    </w:lvl>
    <w:lvl w:ilvl="5" w:tplc="97541846" w:tentative="1">
      <w:start w:val="1"/>
      <w:numFmt w:val="bullet"/>
      <w:lvlText w:val=""/>
      <w:lvlJc w:val="left"/>
      <w:pPr>
        <w:ind w:left="4320" w:hanging="360"/>
      </w:pPr>
      <w:rPr>
        <w:rFonts w:ascii="Wingdings" w:hAnsi="Wingdings" w:hint="default"/>
      </w:rPr>
    </w:lvl>
    <w:lvl w:ilvl="6" w:tplc="82DE26B4" w:tentative="1">
      <w:start w:val="1"/>
      <w:numFmt w:val="bullet"/>
      <w:lvlText w:val=""/>
      <w:lvlJc w:val="left"/>
      <w:pPr>
        <w:ind w:left="5040" w:hanging="360"/>
      </w:pPr>
      <w:rPr>
        <w:rFonts w:ascii="Symbol" w:hAnsi="Symbol" w:hint="default"/>
      </w:rPr>
    </w:lvl>
    <w:lvl w:ilvl="7" w:tplc="1A5EEBF0" w:tentative="1">
      <w:start w:val="1"/>
      <w:numFmt w:val="bullet"/>
      <w:lvlText w:val="o"/>
      <w:lvlJc w:val="left"/>
      <w:pPr>
        <w:ind w:left="5760" w:hanging="360"/>
      </w:pPr>
      <w:rPr>
        <w:rFonts w:ascii="Courier New" w:hAnsi="Courier New" w:cs="Courier New" w:hint="default"/>
      </w:rPr>
    </w:lvl>
    <w:lvl w:ilvl="8" w:tplc="D3BC6078"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6BB8DE54">
      <w:start w:val="1"/>
      <w:numFmt w:val="bullet"/>
      <w:lvlText w:val=""/>
      <w:lvlJc w:val="left"/>
      <w:pPr>
        <w:ind w:left="720" w:hanging="360"/>
      </w:pPr>
      <w:rPr>
        <w:rFonts w:ascii="Symbol" w:hAnsi="Symbol" w:hint="default"/>
      </w:rPr>
    </w:lvl>
    <w:lvl w:ilvl="1" w:tplc="FB50F2B8" w:tentative="1">
      <w:start w:val="1"/>
      <w:numFmt w:val="bullet"/>
      <w:lvlText w:val="o"/>
      <w:lvlJc w:val="left"/>
      <w:pPr>
        <w:ind w:left="1440" w:hanging="360"/>
      </w:pPr>
      <w:rPr>
        <w:rFonts w:ascii="Courier New" w:hAnsi="Courier New" w:cs="Courier New" w:hint="default"/>
      </w:rPr>
    </w:lvl>
    <w:lvl w:ilvl="2" w:tplc="1292E3EE" w:tentative="1">
      <w:start w:val="1"/>
      <w:numFmt w:val="bullet"/>
      <w:lvlText w:val=""/>
      <w:lvlJc w:val="left"/>
      <w:pPr>
        <w:ind w:left="2160" w:hanging="360"/>
      </w:pPr>
      <w:rPr>
        <w:rFonts w:ascii="Wingdings" w:hAnsi="Wingdings" w:hint="default"/>
      </w:rPr>
    </w:lvl>
    <w:lvl w:ilvl="3" w:tplc="9EC0ACD6" w:tentative="1">
      <w:start w:val="1"/>
      <w:numFmt w:val="bullet"/>
      <w:lvlText w:val=""/>
      <w:lvlJc w:val="left"/>
      <w:pPr>
        <w:ind w:left="2880" w:hanging="360"/>
      </w:pPr>
      <w:rPr>
        <w:rFonts w:ascii="Symbol" w:hAnsi="Symbol" w:hint="default"/>
      </w:rPr>
    </w:lvl>
    <w:lvl w:ilvl="4" w:tplc="FFDADD46" w:tentative="1">
      <w:start w:val="1"/>
      <w:numFmt w:val="bullet"/>
      <w:lvlText w:val="o"/>
      <w:lvlJc w:val="left"/>
      <w:pPr>
        <w:ind w:left="3600" w:hanging="360"/>
      </w:pPr>
      <w:rPr>
        <w:rFonts w:ascii="Courier New" w:hAnsi="Courier New" w:cs="Courier New" w:hint="default"/>
      </w:rPr>
    </w:lvl>
    <w:lvl w:ilvl="5" w:tplc="3EFCA696" w:tentative="1">
      <w:start w:val="1"/>
      <w:numFmt w:val="bullet"/>
      <w:lvlText w:val=""/>
      <w:lvlJc w:val="left"/>
      <w:pPr>
        <w:ind w:left="4320" w:hanging="360"/>
      </w:pPr>
      <w:rPr>
        <w:rFonts w:ascii="Wingdings" w:hAnsi="Wingdings" w:hint="default"/>
      </w:rPr>
    </w:lvl>
    <w:lvl w:ilvl="6" w:tplc="32125366" w:tentative="1">
      <w:start w:val="1"/>
      <w:numFmt w:val="bullet"/>
      <w:lvlText w:val=""/>
      <w:lvlJc w:val="left"/>
      <w:pPr>
        <w:ind w:left="5040" w:hanging="360"/>
      </w:pPr>
      <w:rPr>
        <w:rFonts w:ascii="Symbol" w:hAnsi="Symbol" w:hint="default"/>
      </w:rPr>
    </w:lvl>
    <w:lvl w:ilvl="7" w:tplc="EEDE7350" w:tentative="1">
      <w:start w:val="1"/>
      <w:numFmt w:val="bullet"/>
      <w:lvlText w:val="o"/>
      <w:lvlJc w:val="left"/>
      <w:pPr>
        <w:ind w:left="5760" w:hanging="360"/>
      </w:pPr>
      <w:rPr>
        <w:rFonts w:ascii="Courier New" w:hAnsi="Courier New" w:cs="Courier New" w:hint="default"/>
      </w:rPr>
    </w:lvl>
    <w:lvl w:ilvl="8" w:tplc="43FEB9A6"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55A4C4CE">
      <w:start w:val="1"/>
      <w:numFmt w:val="bullet"/>
      <w:lvlText w:val=""/>
      <w:lvlJc w:val="left"/>
      <w:pPr>
        <w:ind w:left="720" w:hanging="360"/>
      </w:pPr>
      <w:rPr>
        <w:rFonts w:ascii="Symbol" w:hAnsi="Symbol" w:hint="default"/>
      </w:rPr>
    </w:lvl>
    <w:lvl w:ilvl="1" w:tplc="A0E0236A">
      <w:start w:val="1"/>
      <w:numFmt w:val="bullet"/>
      <w:lvlText w:val="o"/>
      <w:lvlJc w:val="left"/>
      <w:pPr>
        <w:ind w:left="1440" w:hanging="360"/>
      </w:pPr>
      <w:rPr>
        <w:rFonts w:ascii="Courier New" w:hAnsi="Courier New" w:cs="Courier New" w:hint="default"/>
      </w:rPr>
    </w:lvl>
    <w:lvl w:ilvl="2" w:tplc="F2FC5ED8" w:tentative="1">
      <w:start w:val="1"/>
      <w:numFmt w:val="bullet"/>
      <w:lvlText w:val=""/>
      <w:lvlJc w:val="left"/>
      <w:pPr>
        <w:ind w:left="2160" w:hanging="360"/>
      </w:pPr>
      <w:rPr>
        <w:rFonts w:ascii="Wingdings" w:hAnsi="Wingdings" w:hint="default"/>
      </w:rPr>
    </w:lvl>
    <w:lvl w:ilvl="3" w:tplc="1D20B4F8" w:tentative="1">
      <w:start w:val="1"/>
      <w:numFmt w:val="bullet"/>
      <w:lvlText w:val=""/>
      <w:lvlJc w:val="left"/>
      <w:pPr>
        <w:ind w:left="2880" w:hanging="360"/>
      </w:pPr>
      <w:rPr>
        <w:rFonts w:ascii="Symbol" w:hAnsi="Symbol" w:hint="default"/>
      </w:rPr>
    </w:lvl>
    <w:lvl w:ilvl="4" w:tplc="FC525A08" w:tentative="1">
      <w:start w:val="1"/>
      <w:numFmt w:val="bullet"/>
      <w:lvlText w:val="o"/>
      <w:lvlJc w:val="left"/>
      <w:pPr>
        <w:ind w:left="3600" w:hanging="360"/>
      </w:pPr>
      <w:rPr>
        <w:rFonts w:ascii="Courier New" w:hAnsi="Courier New" w:cs="Courier New" w:hint="default"/>
      </w:rPr>
    </w:lvl>
    <w:lvl w:ilvl="5" w:tplc="458EE508" w:tentative="1">
      <w:start w:val="1"/>
      <w:numFmt w:val="bullet"/>
      <w:lvlText w:val=""/>
      <w:lvlJc w:val="left"/>
      <w:pPr>
        <w:ind w:left="4320" w:hanging="360"/>
      </w:pPr>
      <w:rPr>
        <w:rFonts w:ascii="Wingdings" w:hAnsi="Wingdings" w:hint="default"/>
      </w:rPr>
    </w:lvl>
    <w:lvl w:ilvl="6" w:tplc="DF0C50FC" w:tentative="1">
      <w:start w:val="1"/>
      <w:numFmt w:val="bullet"/>
      <w:lvlText w:val=""/>
      <w:lvlJc w:val="left"/>
      <w:pPr>
        <w:ind w:left="5040" w:hanging="360"/>
      </w:pPr>
      <w:rPr>
        <w:rFonts w:ascii="Symbol" w:hAnsi="Symbol" w:hint="default"/>
      </w:rPr>
    </w:lvl>
    <w:lvl w:ilvl="7" w:tplc="59B4C6E2" w:tentative="1">
      <w:start w:val="1"/>
      <w:numFmt w:val="bullet"/>
      <w:lvlText w:val="o"/>
      <w:lvlJc w:val="left"/>
      <w:pPr>
        <w:ind w:left="5760" w:hanging="360"/>
      </w:pPr>
      <w:rPr>
        <w:rFonts w:ascii="Courier New" w:hAnsi="Courier New" w:cs="Courier New" w:hint="default"/>
      </w:rPr>
    </w:lvl>
    <w:lvl w:ilvl="8" w:tplc="7C96F454"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A8CC4C1E">
      <w:start w:val="1"/>
      <w:numFmt w:val="bullet"/>
      <w:lvlText w:val=""/>
      <w:lvlJc w:val="left"/>
      <w:pPr>
        <w:ind w:left="720" w:hanging="360"/>
      </w:pPr>
      <w:rPr>
        <w:rFonts w:ascii="Symbol" w:hAnsi="Symbol" w:hint="default"/>
      </w:rPr>
    </w:lvl>
    <w:lvl w:ilvl="1" w:tplc="78FE2586" w:tentative="1">
      <w:start w:val="1"/>
      <w:numFmt w:val="bullet"/>
      <w:lvlText w:val="o"/>
      <w:lvlJc w:val="left"/>
      <w:pPr>
        <w:ind w:left="1440" w:hanging="360"/>
      </w:pPr>
      <w:rPr>
        <w:rFonts w:ascii="Courier New" w:hAnsi="Courier New" w:cs="Courier New" w:hint="default"/>
      </w:rPr>
    </w:lvl>
    <w:lvl w:ilvl="2" w:tplc="F6A26CAC" w:tentative="1">
      <w:start w:val="1"/>
      <w:numFmt w:val="bullet"/>
      <w:lvlText w:val=""/>
      <w:lvlJc w:val="left"/>
      <w:pPr>
        <w:ind w:left="2160" w:hanging="360"/>
      </w:pPr>
      <w:rPr>
        <w:rFonts w:ascii="Wingdings" w:hAnsi="Wingdings" w:hint="default"/>
      </w:rPr>
    </w:lvl>
    <w:lvl w:ilvl="3" w:tplc="9B522560" w:tentative="1">
      <w:start w:val="1"/>
      <w:numFmt w:val="bullet"/>
      <w:lvlText w:val=""/>
      <w:lvlJc w:val="left"/>
      <w:pPr>
        <w:ind w:left="2880" w:hanging="360"/>
      </w:pPr>
      <w:rPr>
        <w:rFonts w:ascii="Symbol" w:hAnsi="Symbol" w:hint="default"/>
      </w:rPr>
    </w:lvl>
    <w:lvl w:ilvl="4" w:tplc="59A47904" w:tentative="1">
      <w:start w:val="1"/>
      <w:numFmt w:val="bullet"/>
      <w:lvlText w:val="o"/>
      <w:lvlJc w:val="left"/>
      <w:pPr>
        <w:ind w:left="3600" w:hanging="360"/>
      </w:pPr>
      <w:rPr>
        <w:rFonts w:ascii="Courier New" w:hAnsi="Courier New" w:cs="Courier New" w:hint="default"/>
      </w:rPr>
    </w:lvl>
    <w:lvl w:ilvl="5" w:tplc="06426116" w:tentative="1">
      <w:start w:val="1"/>
      <w:numFmt w:val="bullet"/>
      <w:lvlText w:val=""/>
      <w:lvlJc w:val="left"/>
      <w:pPr>
        <w:ind w:left="4320" w:hanging="360"/>
      </w:pPr>
      <w:rPr>
        <w:rFonts w:ascii="Wingdings" w:hAnsi="Wingdings" w:hint="default"/>
      </w:rPr>
    </w:lvl>
    <w:lvl w:ilvl="6" w:tplc="E00CDC16" w:tentative="1">
      <w:start w:val="1"/>
      <w:numFmt w:val="bullet"/>
      <w:lvlText w:val=""/>
      <w:lvlJc w:val="left"/>
      <w:pPr>
        <w:ind w:left="5040" w:hanging="360"/>
      </w:pPr>
      <w:rPr>
        <w:rFonts w:ascii="Symbol" w:hAnsi="Symbol" w:hint="default"/>
      </w:rPr>
    </w:lvl>
    <w:lvl w:ilvl="7" w:tplc="DEBC9144" w:tentative="1">
      <w:start w:val="1"/>
      <w:numFmt w:val="bullet"/>
      <w:lvlText w:val="o"/>
      <w:lvlJc w:val="left"/>
      <w:pPr>
        <w:ind w:left="5760" w:hanging="360"/>
      </w:pPr>
      <w:rPr>
        <w:rFonts w:ascii="Courier New" w:hAnsi="Courier New" w:cs="Courier New" w:hint="default"/>
      </w:rPr>
    </w:lvl>
    <w:lvl w:ilvl="8" w:tplc="446C5748"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D4321E72">
      <w:start w:val="1"/>
      <w:numFmt w:val="bullet"/>
      <w:lvlText w:val=""/>
      <w:lvlJc w:val="left"/>
      <w:pPr>
        <w:ind w:left="720" w:hanging="360"/>
      </w:pPr>
      <w:rPr>
        <w:rFonts w:ascii="Symbol" w:hAnsi="Symbol" w:hint="default"/>
      </w:rPr>
    </w:lvl>
    <w:lvl w:ilvl="1" w:tplc="594072FE" w:tentative="1">
      <w:start w:val="1"/>
      <w:numFmt w:val="bullet"/>
      <w:lvlText w:val="o"/>
      <w:lvlJc w:val="left"/>
      <w:pPr>
        <w:ind w:left="1440" w:hanging="360"/>
      </w:pPr>
      <w:rPr>
        <w:rFonts w:ascii="Courier New" w:hAnsi="Courier New" w:cs="Courier New" w:hint="default"/>
      </w:rPr>
    </w:lvl>
    <w:lvl w:ilvl="2" w:tplc="0792B95C" w:tentative="1">
      <w:start w:val="1"/>
      <w:numFmt w:val="bullet"/>
      <w:lvlText w:val=""/>
      <w:lvlJc w:val="left"/>
      <w:pPr>
        <w:ind w:left="2160" w:hanging="360"/>
      </w:pPr>
      <w:rPr>
        <w:rFonts w:ascii="Wingdings" w:hAnsi="Wingdings" w:hint="default"/>
      </w:rPr>
    </w:lvl>
    <w:lvl w:ilvl="3" w:tplc="6E94953A" w:tentative="1">
      <w:start w:val="1"/>
      <w:numFmt w:val="bullet"/>
      <w:lvlText w:val=""/>
      <w:lvlJc w:val="left"/>
      <w:pPr>
        <w:ind w:left="2880" w:hanging="360"/>
      </w:pPr>
      <w:rPr>
        <w:rFonts w:ascii="Symbol" w:hAnsi="Symbol" w:hint="default"/>
      </w:rPr>
    </w:lvl>
    <w:lvl w:ilvl="4" w:tplc="3A866F66" w:tentative="1">
      <w:start w:val="1"/>
      <w:numFmt w:val="bullet"/>
      <w:lvlText w:val="o"/>
      <w:lvlJc w:val="left"/>
      <w:pPr>
        <w:ind w:left="3600" w:hanging="360"/>
      </w:pPr>
      <w:rPr>
        <w:rFonts w:ascii="Courier New" w:hAnsi="Courier New" w:cs="Courier New" w:hint="default"/>
      </w:rPr>
    </w:lvl>
    <w:lvl w:ilvl="5" w:tplc="2AB480C4" w:tentative="1">
      <w:start w:val="1"/>
      <w:numFmt w:val="bullet"/>
      <w:lvlText w:val=""/>
      <w:lvlJc w:val="left"/>
      <w:pPr>
        <w:ind w:left="4320" w:hanging="360"/>
      </w:pPr>
      <w:rPr>
        <w:rFonts w:ascii="Wingdings" w:hAnsi="Wingdings" w:hint="default"/>
      </w:rPr>
    </w:lvl>
    <w:lvl w:ilvl="6" w:tplc="42702AC8" w:tentative="1">
      <w:start w:val="1"/>
      <w:numFmt w:val="bullet"/>
      <w:lvlText w:val=""/>
      <w:lvlJc w:val="left"/>
      <w:pPr>
        <w:ind w:left="5040" w:hanging="360"/>
      </w:pPr>
      <w:rPr>
        <w:rFonts w:ascii="Symbol" w:hAnsi="Symbol" w:hint="default"/>
      </w:rPr>
    </w:lvl>
    <w:lvl w:ilvl="7" w:tplc="B6D0F41A" w:tentative="1">
      <w:start w:val="1"/>
      <w:numFmt w:val="bullet"/>
      <w:lvlText w:val="o"/>
      <w:lvlJc w:val="left"/>
      <w:pPr>
        <w:ind w:left="5760" w:hanging="360"/>
      </w:pPr>
      <w:rPr>
        <w:rFonts w:ascii="Courier New" w:hAnsi="Courier New" w:cs="Courier New" w:hint="default"/>
      </w:rPr>
    </w:lvl>
    <w:lvl w:ilvl="8" w:tplc="1EF06844" w:tentative="1">
      <w:start w:val="1"/>
      <w:numFmt w:val="bullet"/>
      <w:lvlText w:val=""/>
      <w:lvlJc w:val="left"/>
      <w:pPr>
        <w:ind w:left="6480" w:hanging="360"/>
      </w:pPr>
      <w:rPr>
        <w:rFonts w:ascii="Wingdings" w:hAnsi="Wingdings" w:hint="default"/>
      </w:rPr>
    </w:lvl>
  </w:abstractNum>
  <w:abstractNum w:abstractNumId="2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66A34714"/>
    <w:multiLevelType w:val="hybridMultilevel"/>
    <w:tmpl w:val="27CC1800"/>
    <w:lvl w:ilvl="0" w:tplc="57C6A57E">
      <w:start w:val="1"/>
      <w:numFmt w:val="bullet"/>
      <w:lvlText w:val=""/>
      <w:lvlJc w:val="left"/>
      <w:pPr>
        <w:ind w:left="1800" w:hanging="360"/>
      </w:pPr>
      <w:rPr>
        <w:rFonts w:ascii="Symbol" w:hAnsi="Symbol" w:hint="default"/>
      </w:rPr>
    </w:lvl>
    <w:lvl w:ilvl="1" w:tplc="4760B2C4">
      <w:start w:val="1"/>
      <w:numFmt w:val="bullet"/>
      <w:lvlText w:val="o"/>
      <w:lvlJc w:val="left"/>
      <w:pPr>
        <w:ind w:left="2520" w:hanging="360"/>
      </w:pPr>
      <w:rPr>
        <w:rFonts w:ascii="Courier New" w:hAnsi="Courier New" w:cs="Courier New" w:hint="default"/>
      </w:rPr>
    </w:lvl>
    <w:lvl w:ilvl="2" w:tplc="9F6A3E6C" w:tentative="1">
      <w:start w:val="1"/>
      <w:numFmt w:val="bullet"/>
      <w:lvlText w:val=""/>
      <w:lvlJc w:val="left"/>
      <w:pPr>
        <w:ind w:left="3240" w:hanging="360"/>
      </w:pPr>
      <w:rPr>
        <w:rFonts w:ascii="Wingdings" w:hAnsi="Wingdings" w:hint="default"/>
      </w:rPr>
    </w:lvl>
    <w:lvl w:ilvl="3" w:tplc="03EE3E34" w:tentative="1">
      <w:start w:val="1"/>
      <w:numFmt w:val="bullet"/>
      <w:lvlText w:val=""/>
      <w:lvlJc w:val="left"/>
      <w:pPr>
        <w:ind w:left="3960" w:hanging="360"/>
      </w:pPr>
      <w:rPr>
        <w:rFonts w:ascii="Symbol" w:hAnsi="Symbol" w:hint="default"/>
      </w:rPr>
    </w:lvl>
    <w:lvl w:ilvl="4" w:tplc="AAB20D1A" w:tentative="1">
      <w:start w:val="1"/>
      <w:numFmt w:val="bullet"/>
      <w:lvlText w:val="o"/>
      <w:lvlJc w:val="left"/>
      <w:pPr>
        <w:ind w:left="4680" w:hanging="360"/>
      </w:pPr>
      <w:rPr>
        <w:rFonts w:ascii="Courier New" w:hAnsi="Courier New" w:cs="Courier New" w:hint="default"/>
      </w:rPr>
    </w:lvl>
    <w:lvl w:ilvl="5" w:tplc="E2821886" w:tentative="1">
      <w:start w:val="1"/>
      <w:numFmt w:val="bullet"/>
      <w:lvlText w:val=""/>
      <w:lvlJc w:val="left"/>
      <w:pPr>
        <w:ind w:left="5400" w:hanging="360"/>
      </w:pPr>
      <w:rPr>
        <w:rFonts w:ascii="Wingdings" w:hAnsi="Wingdings" w:hint="default"/>
      </w:rPr>
    </w:lvl>
    <w:lvl w:ilvl="6" w:tplc="513CC0A4" w:tentative="1">
      <w:start w:val="1"/>
      <w:numFmt w:val="bullet"/>
      <w:lvlText w:val=""/>
      <w:lvlJc w:val="left"/>
      <w:pPr>
        <w:ind w:left="6120" w:hanging="360"/>
      </w:pPr>
      <w:rPr>
        <w:rFonts w:ascii="Symbol" w:hAnsi="Symbol" w:hint="default"/>
      </w:rPr>
    </w:lvl>
    <w:lvl w:ilvl="7" w:tplc="F934C37A" w:tentative="1">
      <w:start w:val="1"/>
      <w:numFmt w:val="bullet"/>
      <w:lvlText w:val="o"/>
      <w:lvlJc w:val="left"/>
      <w:pPr>
        <w:ind w:left="6840" w:hanging="360"/>
      </w:pPr>
      <w:rPr>
        <w:rFonts w:ascii="Courier New" w:hAnsi="Courier New" w:cs="Courier New" w:hint="default"/>
      </w:rPr>
    </w:lvl>
    <w:lvl w:ilvl="8" w:tplc="A4F249A6" w:tentative="1">
      <w:start w:val="1"/>
      <w:numFmt w:val="bullet"/>
      <w:lvlText w:val=""/>
      <w:lvlJc w:val="left"/>
      <w:pPr>
        <w:ind w:left="7560" w:hanging="360"/>
      </w:pPr>
      <w:rPr>
        <w:rFonts w:ascii="Wingdings" w:hAnsi="Wingdings" w:hint="default"/>
      </w:rPr>
    </w:lvl>
  </w:abstractNum>
  <w:abstractNum w:abstractNumId="25" w15:restartNumberingAfterBreak="0">
    <w:nsid w:val="67FA2A6E"/>
    <w:multiLevelType w:val="hybridMultilevel"/>
    <w:tmpl w:val="D72C6EDA"/>
    <w:lvl w:ilvl="0" w:tplc="EA6E1BEE">
      <w:start w:val="1"/>
      <w:numFmt w:val="decimal"/>
      <w:lvlText w:val="%1."/>
      <w:lvlJc w:val="left"/>
      <w:pPr>
        <w:ind w:left="720" w:hanging="360"/>
      </w:pPr>
    </w:lvl>
    <w:lvl w:ilvl="1" w:tplc="BA84D3E2" w:tentative="1">
      <w:start w:val="1"/>
      <w:numFmt w:val="lowerLetter"/>
      <w:lvlText w:val="%2."/>
      <w:lvlJc w:val="left"/>
      <w:pPr>
        <w:ind w:left="1440" w:hanging="360"/>
      </w:pPr>
    </w:lvl>
    <w:lvl w:ilvl="2" w:tplc="40CE861C" w:tentative="1">
      <w:start w:val="1"/>
      <w:numFmt w:val="lowerRoman"/>
      <w:lvlText w:val="%3."/>
      <w:lvlJc w:val="right"/>
      <w:pPr>
        <w:ind w:left="2160" w:hanging="180"/>
      </w:pPr>
    </w:lvl>
    <w:lvl w:ilvl="3" w:tplc="8A2A13D8" w:tentative="1">
      <w:start w:val="1"/>
      <w:numFmt w:val="decimal"/>
      <w:lvlText w:val="%4."/>
      <w:lvlJc w:val="left"/>
      <w:pPr>
        <w:ind w:left="2880" w:hanging="360"/>
      </w:pPr>
    </w:lvl>
    <w:lvl w:ilvl="4" w:tplc="AECEA75A" w:tentative="1">
      <w:start w:val="1"/>
      <w:numFmt w:val="lowerLetter"/>
      <w:lvlText w:val="%5."/>
      <w:lvlJc w:val="left"/>
      <w:pPr>
        <w:ind w:left="3600" w:hanging="360"/>
      </w:pPr>
    </w:lvl>
    <w:lvl w:ilvl="5" w:tplc="BA5CE670" w:tentative="1">
      <w:start w:val="1"/>
      <w:numFmt w:val="lowerRoman"/>
      <w:lvlText w:val="%6."/>
      <w:lvlJc w:val="right"/>
      <w:pPr>
        <w:ind w:left="4320" w:hanging="180"/>
      </w:pPr>
    </w:lvl>
    <w:lvl w:ilvl="6" w:tplc="08502410" w:tentative="1">
      <w:start w:val="1"/>
      <w:numFmt w:val="decimal"/>
      <w:lvlText w:val="%7."/>
      <w:lvlJc w:val="left"/>
      <w:pPr>
        <w:ind w:left="5040" w:hanging="360"/>
      </w:pPr>
    </w:lvl>
    <w:lvl w:ilvl="7" w:tplc="F8DCD11E" w:tentative="1">
      <w:start w:val="1"/>
      <w:numFmt w:val="lowerLetter"/>
      <w:lvlText w:val="%8."/>
      <w:lvlJc w:val="left"/>
      <w:pPr>
        <w:ind w:left="5760" w:hanging="360"/>
      </w:pPr>
    </w:lvl>
    <w:lvl w:ilvl="8" w:tplc="012C460E" w:tentative="1">
      <w:start w:val="1"/>
      <w:numFmt w:val="lowerRoman"/>
      <w:lvlText w:val="%9."/>
      <w:lvlJc w:val="right"/>
      <w:pPr>
        <w:ind w:left="6480" w:hanging="180"/>
      </w:pPr>
    </w:lvl>
  </w:abstractNum>
  <w:abstractNum w:abstractNumId="26" w15:restartNumberingAfterBreak="0">
    <w:nsid w:val="69B93EBD"/>
    <w:multiLevelType w:val="hybridMultilevel"/>
    <w:tmpl w:val="26C00FA0"/>
    <w:lvl w:ilvl="0" w:tplc="6700F914">
      <w:start w:val="1"/>
      <w:numFmt w:val="bullet"/>
      <w:lvlText w:val=""/>
      <w:lvlJc w:val="left"/>
      <w:pPr>
        <w:ind w:left="720" w:hanging="360"/>
      </w:pPr>
      <w:rPr>
        <w:rFonts w:ascii="Symbol" w:hAnsi="Symbol" w:hint="default"/>
      </w:rPr>
    </w:lvl>
    <w:lvl w:ilvl="1" w:tplc="3850E06C">
      <w:start w:val="1"/>
      <w:numFmt w:val="bullet"/>
      <w:lvlText w:val="o"/>
      <w:lvlJc w:val="left"/>
      <w:pPr>
        <w:ind w:left="1440" w:hanging="360"/>
      </w:pPr>
      <w:rPr>
        <w:rFonts w:ascii="Courier New" w:hAnsi="Courier New" w:cs="Courier New" w:hint="default"/>
      </w:rPr>
    </w:lvl>
    <w:lvl w:ilvl="2" w:tplc="2BDA94FE">
      <w:start w:val="1"/>
      <w:numFmt w:val="bullet"/>
      <w:lvlText w:val="o"/>
      <w:lvlJc w:val="left"/>
      <w:pPr>
        <w:ind w:left="2160" w:hanging="360"/>
      </w:pPr>
      <w:rPr>
        <w:rFonts w:ascii="Courier New" w:hAnsi="Courier New" w:cs="Courier New" w:hint="default"/>
      </w:rPr>
    </w:lvl>
    <w:lvl w:ilvl="3" w:tplc="57FCF11C" w:tentative="1">
      <w:start w:val="1"/>
      <w:numFmt w:val="bullet"/>
      <w:lvlText w:val=""/>
      <w:lvlJc w:val="left"/>
      <w:pPr>
        <w:ind w:left="2880" w:hanging="360"/>
      </w:pPr>
      <w:rPr>
        <w:rFonts w:ascii="Symbol" w:hAnsi="Symbol" w:hint="default"/>
      </w:rPr>
    </w:lvl>
    <w:lvl w:ilvl="4" w:tplc="7194B6D2" w:tentative="1">
      <w:start w:val="1"/>
      <w:numFmt w:val="bullet"/>
      <w:lvlText w:val="o"/>
      <w:lvlJc w:val="left"/>
      <w:pPr>
        <w:ind w:left="3600" w:hanging="360"/>
      </w:pPr>
      <w:rPr>
        <w:rFonts w:ascii="Courier New" w:hAnsi="Courier New" w:cs="Courier New" w:hint="default"/>
      </w:rPr>
    </w:lvl>
    <w:lvl w:ilvl="5" w:tplc="475846EC" w:tentative="1">
      <w:start w:val="1"/>
      <w:numFmt w:val="bullet"/>
      <w:lvlText w:val=""/>
      <w:lvlJc w:val="left"/>
      <w:pPr>
        <w:ind w:left="4320" w:hanging="360"/>
      </w:pPr>
      <w:rPr>
        <w:rFonts w:ascii="Wingdings" w:hAnsi="Wingdings" w:hint="default"/>
      </w:rPr>
    </w:lvl>
    <w:lvl w:ilvl="6" w:tplc="5100EDBE" w:tentative="1">
      <w:start w:val="1"/>
      <w:numFmt w:val="bullet"/>
      <w:lvlText w:val=""/>
      <w:lvlJc w:val="left"/>
      <w:pPr>
        <w:ind w:left="5040" w:hanging="360"/>
      </w:pPr>
      <w:rPr>
        <w:rFonts w:ascii="Symbol" w:hAnsi="Symbol" w:hint="default"/>
      </w:rPr>
    </w:lvl>
    <w:lvl w:ilvl="7" w:tplc="5212F3E0" w:tentative="1">
      <w:start w:val="1"/>
      <w:numFmt w:val="bullet"/>
      <w:lvlText w:val="o"/>
      <w:lvlJc w:val="left"/>
      <w:pPr>
        <w:ind w:left="5760" w:hanging="360"/>
      </w:pPr>
      <w:rPr>
        <w:rFonts w:ascii="Courier New" w:hAnsi="Courier New" w:cs="Courier New" w:hint="default"/>
      </w:rPr>
    </w:lvl>
    <w:lvl w:ilvl="8" w:tplc="77B278AC" w:tentative="1">
      <w:start w:val="1"/>
      <w:numFmt w:val="bullet"/>
      <w:lvlText w:val=""/>
      <w:lvlJc w:val="left"/>
      <w:pPr>
        <w:ind w:left="6480" w:hanging="360"/>
      </w:pPr>
      <w:rPr>
        <w:rFonts w:ascii="Wingdings" w:hAnsi="Wingdings" w:hint="default"/>
      </w:rPr>
    </w:lvl>
  </w:abstractNum>
  <w:abstractNum w:abstractNumId="27" w15:restartNumberingAfterBreak="0">
    <w:nsid w:val="6CFD62B1"/>
    <w:multiLevelType w:val="hybridMultilevel"/>
    <w:tmpl w:val="FD56749E"/>
    <w:lvl w:ilvl="0" w:tplc="1AE64BD0">
      <w:start w:val="1"/>
      <w:numFmt w:val="decimal"/>
      <w:lvlText w:val="%1."/>
      <w:lvlJc w:val="left"/>
      <w:pPr>
        <w:ind w:left="360" w:hanging="360"/>
      </w:pPr>
    </w:lvl>
    <w:lvl w:ilvl="1" w:tplc="C66A74EE">
      <w:start w:val="1"/>
      <w:numFmt w:val="lowerLetter"/>
      <w:lvlText w:val="%2."/>
      <w:lvlJc w:val="left"/>
      <w:pPr>
        <w:ind w:left="1080" w:hanging="360"/>
      </w:pPr>
    </w:lvl>
    <w:lvl w:ilvl="2" w:tplc="3DDA20DE" w:tentative="1">
      <w:start w:val="1"/>
      <w:numFmt w:val="lowerRoman"/>
      <w:lvlText w:val="%3."/>
      <w:lvlJc w:val="right"/>
      <w:pPr>
        <w:ind w:left="1800" w:hanging="180"/>
      </w:pPr>
    </w:lvl>
    <w:lvl w:ilvl="3" w:tplc="54C8D1F8" w:tentative="1">
      <w:start w:val="1"/>
      <w:numFmt w:val="decimal"/>
      <w:lvlText w:val="%4."/>
      <w:lvlJc w:val="left"/>
      <w:pPr>
        <w:ind w:left="2520" w:hanging="360"/>
      </w:pPr>
    </w:lvl>
    <w:lvl w:ilvl="4" w:tplc="B42EDA78" w:tentative="1">
      <w:start w:val="1"/>
      <w:numFmt w:val="lowerLetter"/>
      <w:lvlText w:val="%5."/>
      <w:lvlJc w:val="left"/>
      <w:pPr>
        <w:ind w:left="3240" w:hanging="360"/>
      </w:pPr>
    </w:lvl>
    <w:lvl w:ilvl="5" w:tplc="CBB2E684" w:tentative="1">
      <w:start w:val="1"/>
      <w:numFmt w:val="lowerRoman"/>
      <w:lvlText w:val="%6."/>
      <w:lvlJc w:val="right"/>
      <w:pPr>
        <w:ind w:left="3960" w:hanging="180"/>
      </w:pPr>
    </w:lvl>
    <w:lvl w:ilvl="6" w:tplc="EB5821EE" w:tentative="1">
      <w:start w:val="1"/>
      <w:numFmt w:val="decimal"/>
      <w:lvlText w:val="%7."/>
      <w:lvlJc w:val="left"/>
      <w:pPr>
        <w:ind w:left="4680" w:hanging="360"/>
      </w:pPr>
    </w:lvl>
    <w:lvl w:ilvl="7" w:tplc="12161F5E" w:tentative="1">
      <w:start w:val="1"/>
      <w:numFmt w:val="lowerLetter"/>
      <w:lvlText w:val="%8."/>
      <w:lvlJc w:val="left"/>
      <w:pPr>
        <w:ind w:left="5400" w:hanging="360"/>
      </w:pPr>
    </w:lvl>
    <w:lvl w:ilvl="8" w:tplc="CD98DA6C" w:tentative="1">
      <w:start w:val="1"/>
      <w:numFmt w:val="lowerRoman"/>
      <w:lvlText w:val="%9."/>
      <w:lvlJc w:val="right"/>
      <w:pPr>
        <w:ind w:left="6120" w:hanging="180"/>
      </w:pPr>
    </w:lvl>
  </w:abstractNum>
  <w:abstractNum w:abstractNumId="28" w15:restartNumberingAfterBreak="0">
    <w:nsid w:val="774604F3"/>
    <w:multiLevelType w:val="hybridMultilevel"/>
    <w:tmpl w:val="5540D8A4"/>
    <w:lvl w:ilvl="0" w:tplc="04B4C83C">
      <w:start w:val="1"/>
      <w:numFmt w:val="decimal"/>
      <w:lvlText w:val="%1."/>
      <w:lvlJc w:val="left"/>
      <w:pPr>
        <w:ind w:left="720" w:hanging="360"/>
      </w:pPr>
      <w:rPr>
        <w:rFonts w:hint="default"/>
      </w:rPr>
    </w:lvl>
    <w:lvl w:ilvl="1" w:tplc="277E50CA" w:tentative="1">
      <w:start w:val="1"/>
      <w:numFmt w:val="lowerLetter"/>
      <w:lvlText w:val="%2."/>
      <w:lvlJc w:val="left"/>
      <w:pPr>
        <w:ind w:left="1440" w:hanging="360"/>
      </w:pPr>
    </w:lvl>
    <w:lvl w:ilvl="2" w:tplc="AADC35C8" w:tentative="1">
      <w:start w:val="1"/>
      <w:numFmt w:val="lowerRoman"/>
      <w:lvlText w:val="%3."/>
      <w:lvlJc w:val="right"/>
      <w:pPr>
        <w:ind w:left="2160" w:hanging="180"/>
      </w:pPr>
    </w:lvl>
    <w:lvl w:ilvl="3" w:tplc="C1F2EB88" w:tentative="1">
      <w:start w:val="1"/>
      <w:numFmt w:val="decimal"/>
      <w:lvlText w:val="%4."/>
      <w:lvlJc w:val="left"/>
      <w:pPr>
        <w:ind w:left="2880" w:hanging="360"/>
      </w:pPr>
    </w:lvl>
    <w:lvl w:ilvl="4" w:tplc="7278C294" w:tentative="1">
      <w:start w:val="1"/>
      <w:numFmt w:val="lowerLetter"/>
      <w:lvlText w:val="%5."/>
      <w:lvlJc w:val="left"/>
      <w:pPr>
        <w:ind w:left="3600" w:hanging="360"/>
      </w:pPr>
    </w:lvl>
    <w:lvl w:ilvl="5" w:tplc="50A2C6AC" w:tentative="1">
      <w:start w:val="1"/>
      <w:numFmt w:val="lowerRoman"/>
      <w:lvlText w:val="%6."/>
      <w:lvlJc w:val="right"/>
      <w:pPr>
        <w:ind w:left="4320" w:hanging="180"/>
      </w:pPr>
    </w:lvl>
    <w:lvl w:ilvl="6" w:tplc="3C88A5F0" w:tentative="1">
      <w:start w:val="1"/>
      <w:numFmt w:val="decimal"/>
      <w:lvlText w:val="%7."/>
      <w:lvlJc w:val="left"/>
      <w:pPr>
        <w:ind w:left="5040" w:hanging="360"/>
      </w:pPr>
    </w:lvl>
    <w:lvl w:ilvl="7" w:tplc="938CFE82" w:tentative="1">
      <w:start w:val="1"/>
      <w:numFmt w:val="lowerLetter"/>
      <w:lvlText w:val="%8."/>
      <w:lvlJc w:val="left"/>
      <w:pPr>
        <w:ind w:left="5760" w:hanging="360"/>
      </w:pPr>
    </w:lvl>
    <w:lvl w:ilvl="8" w:tplc="8E3E6770" w:tentative="1">
      <w:start w:val="1"/>
      <w:numFmt w:val="lowerRoman"/>
      <w:lvlText w:val="%9."/>
      <w:lvlJc w:val="right"/>
      <w:pPr>
        <w:ind w:left="6480" w:hanging="180"/>
      </w:pPr>
    </w:lvl>
  </w:abstractNum>
  <w:abstractNum w:abstractNumId="2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7E960FD5"/>
    <w:multiLevelType w:val="hybridMultilevel"/>
    <w:tmpl w:val="F7BCA91A"/>
    <w:lvl w:ilvl="0" w:tplc="83D2A69A">
      <w:start w:val="1"/>
      <w:numFmt w:val="bullet"/>
      <w:lvlText w:val=""/>
      <w:lvlJc w:val="left"/>
      <w:pPr>
        <w:ind w:left="360" w:hanging="360"/>
      </w:pPr>
      <w:rPr>
        <w:rFonts w:ascii="Symbol" w:hAnsi="Symbol" w:hint="default"/>
      </w:rPr>
    </w:lvl>
    <w:lvl w:ilvl="1" w:tplc="D3A0510A" w:tentative="1">
      <w:start w:val="1"/>
      <w:numFmt w:val="bullet"/>
      <w:lvlText w:val="o"/>
      <w:lvlJc w:val="left"/>
      <w:pPr>
        <w:ind w:left="1080" w:hanging="360"/>
      </w:pPr>
      <w:rPr>
        <w:rFonts w:ascii="Courier New" w:hAnsi="Courier New" w:cs="Courier New" w:hint="default"/>
      </w:rPr>
    </w:lvl>
    <w:lvl w:ilvl="2" w:tplc="43E63FF0" w:tentative="1">
      <w:start w:val="1"/>
      <w:numFmt w:val="bullet"/>
      <w:lvlText w:val=""/>
      <w:lvlJc w:val="left"/>
      <w:pPr>
        <w:ind w:left="1800" w:hanging="360"/>
      </w:pPr>
      <w:rPr>
        <w:rFonts w:ascii="Wingdings" w:hAnsi="Wingdings" w:hint="default"/>
      </w:rPr>
    </w:lvl>
    <w:lvl w:ilvl="3" w:tplc="6ABE858E" w:tentative="1">
      <w:start w:val="1"/>
      <w:numFmt w:val="bullet"/>
      <w:lvlText w:val=""/>
      <w:lvlJc w:val="left"/>
      <w:pPr>
        <w:ind w:left="2520" w:hanging="360"/>
      </w:pPr>
      <w:rPr>
        <w:rFonts w:ascii="Symbol" w:hAnsi="Symbol" w:hint="default"/>
      </w:rPr>
    </w:lvl>
    <w:lvl w:ilvl="4" w:tplc="FFC275DC" w:tentative="1">
      <w:start w:val="1"/>
      <w:numFmt w:val="bullet"/>
      <w:lvlText w:val="o"/>
      <w:lvlJc w:val="left"/>
      <w:pPr>
        <w:ind w:left="3240" w:hanging="360"/>
      </w:pPr>
      <w:rPr>
        <w:rFonts w:ascii="Courier New" w:hAnsi="Courier New" w:cs="Courier New" w:hint="default"/>
      </w:rPr>
    </w:lvl>
    <w:lvl w:ilvl="5" w:tplc="EA844F42" w:tentative="1">
      <w:start w:val="1"/>
      <w:numFmt w:val="bullet"/>
      <w:lvlText w:val=""/>
      <w:lvlJc w:val="left"/>
      <w:pPr>
        <w:ind w:left="3960" w:hanging="360"/>
      </w:pPr>
      <w:rPr>
        <w:rFonts w:ascii="Wingdings" w:hAnsi="Wingdings" w:hint="default"/>
      </w:rPr>
    </w:lvl>
    <w:lvl w:ilvl="6" w:tplc="E9FAC0FC" w:tentative="1">
      <w:start w:val="1"/>
      <w:numFmt w:val="bullet"/>
      <w:lvlText w:val=""/>
      <w:lvlJc w:val="left"/>
      <w:pPr>
        <w:ind w:left="4680" w:hanging="360"/>
      </w:pPr>
      <w:rPr>
        <w:rFonts w:ascii="Symbol" w:hAnsi="Symbol" w:hint="default"/>
      </w:rPr>
    </w:lvl>
    <w:lvl w:ilvl="7" w:tplc="1276BB00" w:tentative="1">
      <w:start w:val="1"/>
      <w:numFmt w:val="bullet"/>
      <w:lvlText w:val="o"/>
      <w:lvlJc w:val="left"/>
      <w:pPr>
        <w:ind w:left="5400" w:hanging="360"/>
      </w:pPr>
      <w:rPr>
        <w:rFonts w:ascii="Courier New" w:hAnsi="Courier New" w:cs="Courier New" w:hint="default"/>
      </w:rPr>
    </w:lvl>
    <w:lvl w:ilvl="8" w:tplc="6188FA3E" w:tentative="1">
      <w:start w:val="1"/>
      <w:numFmt w:val="bullet"/>
      <w:lvlText w:val=""/>
      <w:lvlJc w:val="left"/>
      <w:pPr>
        <w:ind w:left="6120" w:hanging="360"/>
      </w:pPr>
      <w:rPr>
        <w:rFonts w:ascii="Wingdings" w:hAnsi="Wingdings" w:hint="default"/>
      </w:rPr>
    </w:lvl>
  </w:abstractNum>
  <w:num w:numId="1">
    <w:abstractNumId w:val="6"/>
  </w:num>
  <w:num w:numId="2">
    <w:abstractNumId w:val="21"/>
  </w:num>
  <w:num w:numId="3">
    <w:abstractNumId w:val="5"/>
  </w:num>
  <w:num w:numId="4">
    <w:abstractNumId w:val="19"/>
  </w:num>
  <w:num w:numId="5">
    <w:abstractNumId w:val="11"/>
  </w:num>
  <w:num w:numId="6">
    <w:abstractNumId w:val="18"/>
  </w:num>
  <w:num w:numId="7">
    <w:abstractNumId w:val="0"/>
  </w:num>
  <w:num w:numId="8">
    <w:abstractNumId w:val="13"/>
  </w:num>
  <w:num w:numId="9">
    <w:abstractNumId w:val="14"/>
  </w:num>
  <w:num w:numId="10">
    <w:abstractNumId w:val="20"/>
  </w:num>
  <w:num w:numId="11">
    <w:abstractNumId w:val="24"/>
  </w:num>
  <w:num w:numId="12">
    <w:abstractNumId w:val="2"/>
  </w:num>
  <w:num w:numId="13">
    <w:abstractNumId w:val="22"/>
  </w:num>
  <w:num w:numId="14">
    <w:abstractNumId w:val="28"/>
  </w:num>
  <w:num w:numId="15">
    <w:abstractNumId w:val="15"/>
  </w:num>
  <w:num w:numId="16">
    <w:abstractNumId w:val="10"/>
  </w:num>
  <w:num w:numId="17">
    <w:abstractNumId w:val="23"/>
  </w:num>
  <w:num w:numId="18">
    <w:abstractNumId w:val="16"/>
  </w:num>
  <w:num w:numId="19">
    <w:abstractNumId w:val="26"/>
  </w:num>
  <w:num w:numId="20">
    <w:abstractNumId w:val="3"/>
  </w:num>
  <w:num w:numId="21">
    <w:abstractNumId w:val="27"/>
  </w:num>
  <w:num w:numId="22">
    <w:abstractNumId w:val="25"/>
  </w:num>
  <w:num w:numId="23">
    <w:abstractNumId w:val="17"/>
  </w:num>
  <w:num w:numId="24">
    <w:abstractNumId w:val="29"/>
  </w:num>
  <w:num w:numId="25">
    <w:abstractNumId w:val="9"/>
  </w:num>
  <w:num w:numId="26">
    <w:abstractNumId w:val="1"/>
  </w:num>
  <w:num w:numId="27">
    <w:abstractNumId w:val="7"/>
  </w:num>
  <w:num w:numId="28">
    <w:abstractNumId w:val="30"/>
  </w:num>
  <w:num w:numId="29">
    <w:abstractNumId w:val="4"/>
  </w:num>
  <w:num w:numId="30">
    <w:abstractNumId w:val="12"/>
  </w:num>
  <w:num w:numId="31">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fr0r0zx0pdwa0etrfj5dptww9faw0w2zdtw&quot;&gt;banquev12 new&lt;record-ids&gt;&lt;item&gt;274&lt;/item&gt;&lt;item&gt;370&lt;/item&gt;&lt;item&gt;730&lt;/item&gt;&lt;item&gt;840&lt;/item&gt;&lt;item&gt;845&lt;/item&gt;&lt;item&gt;883&lt;/item&gt;&lt;item&gt;890&lt;/item&gt;&lt;item&gt;895&lt;/item&gt;&lt;item&gt;900&lt;/item&gt;&lt;item&gt;967&lt;/item&gt;&lt;item&gt;968&lt;/item&gt;&lt;item&gt;970&lt;/item&gt;&lt;item&gt;971&lt;/item&gt;&lt;item&gt;1050&lt;/item&gt;&lt;item&gt;1143&lt;/item&gt;&lt;item&gt;1144&lt;/item&gt;&lt;item&gt;1146&lt;/item&gt;&lt;item&gt;1147&lt;/item&gt;&lt;item&gt;1148&lt;/item&gt;&lt;item&gt;1149&lt;/item&gt;&lt;item&gt;1150&lt;/item&gt;&lt;item&gt;1151&lt;/item&gt;&lt;item&gt;1153&lt;/item&gt;&lt;item&gt;1154&lt;/item&gt;&lt;item&gt;1155&lt;/item&gt;&lt;item&gt;1156&lt;/item&gt;&lt;item&gt;1157&lt;/item&gt;&lt;item&gt;1158&lt;/item&gt;&lt;item&gt;1159&lt;/item&gt;&lt;item&gt;1161&lt;/item&gt;&lt;/record-ids&gt;&lt;/item&gt;&lt;/Libraries&gt;"/>
    <w:docVar w:name="MachineID" w:val="207|207|197|185|203|197|199|187|197|190|190|197|190|201|197|201|189|"/>
    <w:docVar w:name="Username" w:val="Editor"/>
  </w:docVars>
  <w:rsids>
    <w:rsidRoot w:val="00EE705F"/>
    <w:rsid w:val="00001169"/>
    <w:rsid w:val="00001806"/>
    <w:rsid w:val="00005815"/>
    <w:rsid w:val="00006E68"/>
    <w:rsid w:val="00007DBC"/>
    <w:rsid w:val="00007EA1"/>
    <w:rsid w:val="000100F0"/>
    <w:rsid w:val="000129B2"/>
    <w:rsid w:val="00012FF9"/>
    <w:rsid w:val="00013319"/>
    <w:rsid w:val="0001389C"/>
    <w:rsid w:val="00014314"/>
    <w:rsid w:val="000145EF"/>
    <w:rsid w:val="00020EC0"/>
    <w:rsid w:val="000212AE"/>
    <w:rsid w:val="00021434"/>
    <w:rsid w:val="00021774"/>
    <w:rsid w:val="00021DF3"/>
    <w:rsid w:val="00023869"/>
    <w:rsid w:val="00024598"/>
    <w:rsid w:val="000279B0"/>
    <w:rsid w:val="00027CED"/>
    <w:rsid w:val="00032769"/>
    <w:rsid w:val="0003311E"/>
    <w:rsid w:val="00037B58"/>
    <w:rsid w:val="0005132F"/>
    <w:rsid w:val="00051B73"/>
    <w:rsid w:val="0005486A"/>
    <w:rsid w:val="000575CF"/>
    <w:rsid w:val="000602C3"/>
    <w:rsid w:val="00060ABE"/>
    <w:rsid w:val="00061A50"/>
    <w:rsid w:val="00062FDA"/>
    <w:rsid w:val="0006361B"/>
    <w:rsid w:val="00064104"/>
    <w:rsid w:val="00064F32"/>
    <w:rsid w:val="000652E3"/>
    <w:rsid w:val="00066025"/>
    <w:rsid w:val="00067A8F"/>
    <w:rsid w:val="000701D1"/>
    <w:rsid w:val="00072897"/>
    <w:rsid w:val="00072CBD"/>
    <w:rsid w:val="00080A20"/>
    <w:rsid w:val="00081996"/>
    <w:rsid w:val="00082796"/>
    <w:rsid w:val="00082DF4"/>
    <w:rsid w:val="00086FF5"/>
    <w:rsid w:val="00087C0A"/>
    <w:rsid w:val="00091788"/>
    <w:rsid w:val="00093BC4"/>
    <w:rsid w:val="000943E6"/>
    <w:rsid w:val="00097929"/>
    <w:rsid w:val="000A1E80"/>
    <w:rsid w:val="000A3B70"/>
    <w:rsid w:val="000A50F6"/>
    <w:rsid w:val="000A5153"/>
    <w:rsid w:val="000A732D"/>
    <w:rsid w:val="000B10AE"/>
    <w:rsid w:val="000B30BF"/>
    <w:rsid w:val="000B566B"/>
    <w:rsid w:val="000B595C"/>
    <w:rsid w:val="000B662E"/>
    <w:rsid w:val="000B7294"/>
    <w:rsid w:val="000B75D0"/>
    <w:rsid w:val="000C0915"/>
    <w:rsid w:val="000C1CF8"/>
    <w:rsid w:val="000C49CF"/>
    <w:rsid w:val="000C52E9"/>
    <w:rsid w:val="000C5B8B"/>
    <w:rsid w:val="000C5CDC"/>
    <w:rsid w:val="000C619F"/>
    <w:rsid w:val="000C6578"/>
    <w:rsid w:val="000C65DC"/>
    <w:rsid w:val="000C66F3"/>
    <w:rsid w:val="000C6900"/>
    <w:rsid w:val="000D28BF"/>
    <w:rsid w:val="000D31E8"/>
    <w:rsid w:val="000D32F1"/>
    <w:rsid w:val="000D76E4"/>
    <w:rsid w:val="000E184B"/>
    <w:rsid w:val="000E289F"/>
    <w:rsid w:val="000E3816"/>
    <w:rsid w:val="000E4F77"/>
    <w:rsid w:val="000F265C"/>
    <w:rsid w:val="000F3AFA"/>
    <w:rsid w:val="000F5712"/>
    <w:rsid w:val="000F6611"/>
    <w:rsid w:val="000F7E22"/>
    <w:rsid w:val="001017C8"/>
    <w:rsid w:val="00107554"/>
    <w:rsid w:val="001075E9"/>
    <w:rsid w:val="001104F3"/>
    <w:rsid w:val="00112829"/>
    <w:rsid w:val="00112EEB"/>
    <w:rsid w:val="001136C3"/>
    <w:rsid w:val="001138E1"/>
    <w:rsid w:val="001173FF"/>
    <w:rsid w:val="0012563A"/>
    <w:rsid w:val="001264DE"/>
    <w:rsid w:val="001313A7"/>
    <w:rsid w:val="0013276F"/>
    <w:rsid w:val="001342B5"/>
    <w:rsid w:val="0013621E"/>
    <w:rsid w:val="0013642E"/>
    <w:rsid w:val="00136AAD"/>
    <w:rsid w:val="001422A1"/>
    <w:rsid w:val="00142358"/>
    <w:rsid w:val="00142EFE"/>
    <w:rsid w:val="00143C62"/>
    <w:rsid w:val="00150FEE"/>
    <w:rsid w:val="00152A23"/>
    <w:rsid w:val="00156B11"/>
    <w:rsid w:val="00162CB7"/>
    <w:rsid w:val="00163A6D"/>
    <w:rsid w:val="00163B8D"/>
    <w:rsid w:val="001665C9"/>
    <w:rsid w:val="00166F32"/>
    <w:rsid w:val="001718C0"/>
    <w:rsid w:val="00171E5B"/>
    <w:rsid w:val="00171F94"/>
    <w:rsid w:val="00175D4E"/>
    <w:rsid w:val="0017668A"/>
    <w:rsid w:val="001766FE"/>
    <w:rsid w:val="001771E7"/>
    <w:rsid w:val="00177A34"/>
    <w:rsid w:val="001829EF"/>
    <w:rsid w:val="001870A0"/>
    <w:rsid w:val="00187D4C"/>
    <w:rsid w:val="001911FF"/>
    <w:rsid w:val="00192006"/>
    <w:rsid w:val="00193180"/>
    <w:rsid w:val="0019530C"/>
    <w:rsid w:val="00196792"/>
    <w:rsid w:val="0019783D"/>
    <w:rsid w:val="001A367F"/>
    <w:rsid w:val="001A41CC"/>
    <w:rsid w:val="001A4F45"/>
    <w:rsid w:val="001A55FC"/>
    <w:rsid w:val="001B1519"/>
    <w:rsid w:val="001B2E2D"/>
    <w:rsid w:val="001B36EE"/>
    <w:rsid w:val="001B5CD2"/>
    <w:rsid w:val="001B6324"/>
    <w:rsid w:val="001C06C1"/>
    <w:rsid w:val="001C0BEE"/>
    <w:rsid w:val="001C1E49"/>
    <w:rsid w:val="001C27C1"/>
    <w:rsid w:val="001C2A98"/>
    <w:rsid w:val="001C3B86"/>
    <w:rsid w:val="001C4D95"/>
    <w:rsid w:val="001D3D7D"/>
    <w:rsid w:val="001D3FFF"/>
    <w:rsid w:val="001D4997"/>
    <w:rsid w:val="001D625F"/>
    <w:rsid w:val="001D65F8"/>
    <w:rsid w:val="001D68A4"/>
    <w:rsid w:val="001D7576"/>
    <w:rsid w:val="001E0E3F"/>
    <w:rsid w:val="001E14A0"/>
    <w:rsid w:val="001E18DF"/>
    <w:rsid w:val="001E7376"/>
    <w:rsid w:val="001F17DC"/>
    <w:rsid w:val="001F225C"/>
    <w:rsid w:val="001F2438"/>
    <w:rsid w:val="001F330B"/>
    <w:rsid w:val="00200792"/>
    <w:rsid w:val="0020103F"/>
    <w:rsid w:val="00201CFA"/>
    <w:rsid w:val="00201DF9"/>
    <w:rsid w:val="0020220D"/>
    <w:rsid w:val="00202448"/>
    <w:rsid w:val="00202D15"/>
    <w:rsid w:val="00203E3B"/>
    <w:rsid w:val="00205B3F"/>
    <w:rsid w:val="002071D8"/>
    <w:rsid w:val="00212EAE"/>
    <w:rsid w:val="00213214"/>
    <w:rsid w:val="00214BEE"/>
    <w:rsid w:val="002205A7"/>
    <w:rsid w:val="002205B8"/>
    <w:rsid w:val="00225720"/>
    <w:rsid w:val="002259E5"/>
    <w:rsid w:val="00226140"/>
    <w:rsid w:val="002274F3"/>
    <w:rsid w:val="0023094C"/>
    <w:rsid w:val="00233484"/>
    <w:rsid w:val="00234303"/>
    <w:rsid w:val="00234BE3"/>
    <w:rsid w:val="00235A90"/>
    <w:rsid w:val="0023624F"/>
    <w:rsid w:val="00236B8D"/>
    <w:rsid w:val="00241E48"/>
    <w:rsid w:val="0024214E"/>
    <w:rsid w:val="00242623"/>
    <w:rsid w:val="00243BDA"/>
    <w:rsid w:val="002474B6"/>
    <w:rsid w:val="00250558"/>
    <w:rsid w:val="00252851"/>
    <w:rsid w:val="0025357C"/>
    <w:rsid w:val="00253632"/>
    <w:rsid w:val="0025731C"/>
    <w:rsid w:val="0025740D"/>
    <w:rsid w:val="002605D1"/>
    <w:rsid w:val="00260652"/>
    <w:rsid w:val="002615D8"/>
    <w:rsid w:val="00261F25"/>
    <w:rsid w:val="002634D4"/>
    <w:rsid w:val="002648A9"/>
    <w:rsid w:val="0026536F"/>
    <w:rsid w:val="0026553C"/>
    <w:rsid w:val="002661A0"/>
    <w:rsid w:val="0026790A"/>
    <w:rsid w:val="00267DD5"/>
    <w:rsid w:val="002716DA"/>
    <w:rsid w:val="00272F36"/>
    <w:rsid w:val="00274A0A"/>
    <w:rsid w:val="00276874"/>
    <w:rsid w:val="00277593"/>
    <w:rsid w:val="00280909"/>
    <w:rsid w:val="00280918"/>
    <w:rsid w:val="00282AF6"/>
    <w:rsid w:val="0028596A"/>
    <w:rsid w:val="00287085"/>
    <w:rsid w:val="00287DC0"/>
    <w:rsid w:val="00290145"/>
    <w:rsid w:val="002903E5"/>
    <w:rsid w:val="00290AF9"/>
    <w:rsid w:val="00291131"/>
    <w:rsid w:val="002967CF"/>
    <w:rsid w:val="00297788"/>
    <w:rsid w:val="002A05E1"/>
    <w:rsid w:val="002A3285"/>
    <w:rsid w:val="002A34F9"/>
    <w:rsid w:val="002A484B"/>
    <w:rsid w:val="002A64A6"/>
    <w:rsid w:val="002B06C5"/>
    <w:rsid w:val="002B1FE3"/>
    <w:rsid w:val="002B3301"/>
    <w:rsid w:val="002B3A80"/>
    <w:rsid w:val="002C1445"/>
    <w:rsid w:val="002C3582"/>
    <w:rsid w:val="002C424E"/>
    <w:rsid w:val="002C47D4"/>
    <w:rsid w:val="002D06C6"/>
    <w:rsid w:val="002D0F38"/>
    <w:rsid w:val="002D77E3"/>
    <w:rsid w:val="002E0D30"/>
    <w:rsid w:val="002E2882"/>
    <w:rsid w:val="002F2859"/>
    <w:rsid w:val="002F3BAA"/>
    <w:rsid w:val="002F6E3C"/>
    <w:rsid w:val="00300EB1"/>
    <w:rsid w:val="0030117D"/>
    <w:rsid w:val="00301F30"/>
    <w:rsid w:val="003038FD"/>
    <w:rsid w:val="00303C87"/>
    <w:rsid w:val="00305404"/>
    <w:rsid w:val="00305CAA"/>
    <w:rsid w:val="003100C0"/>
    <w:rsid w:val="003108E5"/>
    <w:rsid w:val="00310D69"/>
    <w:rsid w:val="003115A8"/>
    <w:rsid w:val="003120CB"/>
    <w:rsid w:val="003176B9"/>
    <w:rsid w:val="00320153"/>
    <w:rsid w:val="00320367"/>
    <w:rsid w:val="00322871"/>
    <w:rsid w:val="0032486D"/>
    <w:rsid w:val="003257E5"/>
    <w:rsid w:val="00326FB3"/>
    <w:rsid w:val="003316D4"/>
    <w:rsid w:val="00331978"/>
    <w:rsid w:val="00331B49"/>
    <w:rsid w:val="003321B2"/>
    <w:rsid w:val="00332BBE"/>
    <w:rsid w:val="00333822"/>
    <w:rsid w:val="00336715"/>
    <w:rsid w:val="003401EC"/>
    <w:rsid w:val="00340DFD"/>
    <w:rsid w:val="00344954"/>
    <w:rsid w:val="00345229"/>
    <w:rsid w:val="00350CD7"/>
    <w:rsid w:val="00355924"/>
    <w:rsid w:val="00360C17"/>
    <w:rsid w:val="003621C6"/>
    <w:rsid w:val="003622B8"/>
    <w:rsid w:val="0036276A"/>
    <w:rsid w:val="00362BBC"/>
    <w:rsid w:val="00362D8B"/>
    <w:rsid w:val="00366B76"/>
    <w:rsid w:val="00370400"/>
    <w:rsid w:val="00373051"/>
    <w:rsid w:val="003732B9"/>
    <w:rsid w:val="00373B8F"/>
    <w:rsid w:val="00376D95"/>
    <w:rsid w:val="00377FBB"/>
    <w:rsid w:val="00385140"/>
    <w:rsid w:val="00393CC7"/>
    <w:rsid w:val="00396302"/>
    <w:rsid w:val="003969CF"/>
    <w:rsid w:val="003971F7"/>
    <w:rsid w:val="003A16FC"/>
    <w:rsid w:val="003A2C8A"/>
    <w:rsid w:val="003A3A06"/>
    <w:rsid w:val="003A44CD"/>
    <w:rsid w:val="003A4FCD"/>
    <w:rsid w:val="003B0944"/>
    <w:rsid w:val="003B1593"/>
    <w:rsid w:val="003B2859"/>
    <w:rsid w:val="003B4381"/>
    <w:rsid w:val="003C1043"/>
    <w:rsid w:val="003C1A30"/>
    <w:rsid w:val="003C2037"/>
    <w:rsid w:val="003C2782"/>
    <w:rsid w:val="003C2B54"/>
    <w:rsid w:val="003C6779"/>
    <w:rsid w:val="003C71BE"/>
    <w:rsid w:val="003D033C"/>
    <w:rsid w:val="003D1069"/>
    <w:rsid w:val="003D2998"/>
    <w:rsid w:val="003D2F0A"/>
    <w:rsid w:val="003D3891"/>
    <w:rsid w:val="003D3FE9"/>
    <w:rsid w:val="003D5D84"/>
    <w:rsid w:val="003E0149"/>
    <w:rsid w:val="003E0F4F"/>
    <w:rsid w:val="003E1363"/>
    <w:rsid w:val="003E18AC"/>
    <w:rsid w:val="003E210B"/>
    <w:rsid w:val="003E2A12"/>
    <w:rsid w:val="003E3384"/>
    <w:rsid w:val="003E3CA4"/>
    <w:rsid w:val="003E548E"/>
    <w:rsid w:val="003F1669"/>
    <w:rsid w:val="00407434"/>
    <w:rsid w:val="00407EC8"/>
    <w:rsid w:val="0041110A"/>
    <w:rsid w:val="00411624"/>
    <w:rsid w:val="004148E1"/>
    <w:rsid w:val="00414CFA"/>
    <w:rsid w:val="00415EC0"/>
    <w:rsid w:val="00420BE9"/>
    <w:rsid w:val="00423AD8"/>
    <w:rsid w:val="00423FDD"/>
    <w:rsid w:val="00424C85"/>
    <w:rsid w:val="004260BD"/>
    <w:rsid w:val="0042614E"/>
    <w:rsid w:val="0043012F"/>
    <w:rsid w:val="00430F1F"/>
    <w:rsid w:val="004326EA"/>
    <w:rsid w:val="00432CDE"/>
    <w:rsid w:val="00435B0E"/>
    <w:rsid w:val="004402F4"/>
    <w:rsid w:val="0044434C"/>
    <w:rsid w:val="0044456B"/>
    <w:rsid w:val="00446552"/>
    <w:rsid w:val="00447BD1"/>
    <w:rsid w:val="004507F3"/>
    <w:rsid w:val="00450AF4"/>
    <w:rsid w:val="00451B87"/>
    <w:rsid w:val="004524A1"/>
    <w:rsid w:val="004530B0"/>
    <w:rsid w:val="004541AC"/>
    <w:rsid w:val="00456A57"/>
    <w:rsid w:val="00460377"/>
    <w:rsid w:val="004607DE"/>
    <w:rsid w:val="004671C7"/>
    <w:rsid w:val="004677EC"/>
    <w:rsid w:val="00472F4D"/>
    <w:rsid w:val="004730BF"/>
    <w:rsid w:val="00474DCB"/>
    <w:rsid w:val="0047535C"/>
    <w:rsid w:val="004762F6"/>
    <w:rsid w:val="004813D6"/>
    <w:rsid w:val="00485870"/>
    <w:rsid w:val="00485FE8"/>
    <w:rsid w:val="00492473"/>
    <w:rsid w:val="00492EB5"/>
    <w:rsid w:val="00494F77"/>
    <w:rsid w:val="00497721"/>
    <w:rsid w:val="00497829"/>
    <w:rsid w:val="004A0229"/>
    <w:rsid w:val="004A35D2"/>
    <w:rsid w:val="004A5D8E"/>
    <w:rsid w:val="004A71E4"/>
    <w:rsid w:val="004B2AAF"/>
    <w:rsid w:val="004B2F00"/>
    <w:rsid w:val="004B3263"/>
    <w:rsid w:val="004B53E9"/>
    <w:rsid w:val="004B667A"/>
    <w:rsid w:val="004B6E02"/>
    <w:rsid w:val="004B6E31"/>
    <w:rsid w:val="004C137E"/>
    <w:rsid w:val="004C1D66"/>
    <w:rsid w:val="004C31D7"/>
    <w:rsid w:val="004C4AD2"/>
    <w:rsid w:val="004C66F8"/>
    <w:rsid w:val="004C6981"/>
    <w:rsid w:val="004D1F21"/>
    <w:rsid w:val="004D268C"/>
    <w:rsid w:val="004D59D8"/>
    <w:rsid w:val="004D5DA1"/>
    <w:rsid w:val="004D7910"/>
    <w:rsid w:val="004E150F"/>
    <w:rsid w:val="004E1AFE"/>
    <w:rsid w:val="004E1DCA"/>
    <w:rsid w:val="004E23A1"/>
    <w:rsid w:val="004E3489"/>
    <w:rsid w:val="004E358A"/>
    <w:rsid w:val="004E3AFA"/>
    <w:rsid w:val="004E5A3A"/>
    <w:rsid w:val="004E6588"/>
    <w:rsid w:val="004F2742"/>
    <w:rsid w:val="004F6831"/>
    <w:rsid w:val="005029F8"/>
    <w:rsid w:val="00502A0A"/>
    <w:rsid w:val="00507C50"/>
    <w:rsid w:val="005110FA"/>
    <w:rsid w:val="00514D40"/>
    <w:rsid w:val="00514F65"/>
    <w:rsid w:val="00517C3A"/>
    <w:rsid w:val="00522A0D"/>
    <w:rsid w:val="005251A3"/>
    <w:rsid w:val="00527BF4"/>
    <w:rsid w:val="005324BE"/>
    <w:rsid w:val="00533936"/>
    <w:rsid w:val="00534F6C"/>
    <w:rsid w:val="00535994"/>
    <w:rsid w:val="0053646D"/>
    <w:rsid w:val="00536D67"/>
    <w:rsid w:val="00540AAD"/>
    <w:rsid w:val="00543EC1"/>
    <w:rsid w:val="005442AE"/>
    <w:rsid w:val="005444F8"/>
    <w:rsid w:val="00546458"/>
    <w:rsid w:val="0055087C"/>
    <w:rsid w:val="00553413"/>
    <w:rsid w:val="00555983"/>
    <w:rsid w:val="00557C89"/>
    <w:rsid w:val="00560C8E"/>
    <w:rsid w:val="00560E31"/>
    <w:rsid w:val="00561BDA"/>
    <w:rsid w:val="00567DBF"/>
    <w:rsid w:val="00581B23"/>
    <w:rsid w:val="00581DAA"/>
    <w:rsid w:val="0058219C"/>
    <w:rsid w:val="0058707F"/>
    <w:rsid w:val="00591DBD"/>
    <w:rsid w:val="005931FE"/>
    <w:rsid w:val="005A0028"/>
    <w:rsid w:val="005A0ACC"/>
    <w:rsid w:val="005A2600"/>
    <w:rsid w:val="005A2F7A"/>
    <w:rsid w:val="005B0072"/>
    <w:rsid w:val="005B0732"/>
    <w:rsid w:val="005B3711"/>
    <w:rsid w:val="005B38A0"/>
    <w:rsid w:val="005B3C7F"/>
    <w:rsid w:val="005B491C"/>
    <w:rsid w:val="005B4DBF"/>
    <w:rsid w:val="005B5DE2"/>
    <w:rsid w:val="005B674C"/>
    <w:rsid w:val="005C24F2"/>
    <w:rsid w:val="005C3363"/>
    <w:rsid w:val="005C4B5C"/>
    <w:rsid w:val="005C7561"/>
    <w:rsid w:val="005D1E57"/>
    <w:rsid w:val="005D2F57"/>
    <w:rsid w:val="005D34F6"/>
    <w:rsid w:val="005D4F1A"/>
    <w:rsid w:val="005E1884"/>
    <w:rsid w:val="005E1E42"/>
    <w:rsid w:val="005E6A4C"/>
    <w:rsid w:val="005F373A"/>
    <w:rsid w:val="005F4F87"/>
    <w:rsid w:val="005F590E"/>
    <w:rsid w:val="005F6B0E"/>
    <w:rsid w:val="005F760E"/>
    <w:rsid w:val="005F7B1D"/>
    <w:rsid w:val="0060222A"/>
    <w:rsid w:val="006046C6"/>
    <w:rsid w:val="006070C4"/>
    <w:rsid w:val="00607476"/>
    <w:rsid w:val="00610C21"/>
    <w:rsid w:val="00611907"/>
    <w:rsid w:val="00613116"/>
    <w:rsid w:val="006145A0"/>
    <w:rsid w:val="006202A6"/>
    <w:rsid w:val="0062054B"/>
    <w:rsid w:val="00620926"/>
    <w:rsid w:val="00621C4E"/>
    <w:rsid w:val="00622AED"/>
    <w:rsid w:val="00624EAE"/>
    <w:rsid w:val="006305D7"/>
    <w:rsid w:val="00632F63"/>
    <w:rsid w:val="00633A01"/>
    <w:rsid w:val="00633B97"/>
    <w:rsid w:val="006341F7"/>
    <w:rsid w:val="00634585"/>
    <w:rsid w:val="00635014"/>
    <w:rsid w:val="006369CE"/>
    <w:rsid w:val="00640178"/>
    <w:rsid w:val="00640D68"/>
    <w:rsid w:val="006411CA"/>
    <w:rsid w:val="00641E0B"/>
    <w:rsid w:val="00643B32"/>
    <w:rsid w:val="006450C9"/>
    <w:rsid w:val="0064605E"/>
    <w:rsid w:val="00652236"/>
    <w:rsid w:val="00652A8B"/>
    <w:rsid w:val="00652CA5"/>
    <w:rsid w:val="00657BC4"/>
    <w:rsid w:val="006619C8"/>
    <w:rsid w:val="00662065"/>
    <w:rsid w:val="00671710"/>
    <w:rsid w:val="006722D5"/>
    <w:rsid w:val="00673414"/>
    <w:rsid w:val="00676079"/>
    <w:rsid w:val="00676ECD"/>
    <w:rsid w:val="00677D0A"/>
    <w:rsid w:val="0068185F"/>
    <w:rsid w:val="00681FBF"/>
    <w:rsid w:val="00685388"/>
    <w:rsid w:val="00687B37"/>
    <w:rsid w:val="006A01CF"/>
    <w:rsid w:val="006A60DD"/>
    <w:rsid w:val="006A61E3"/>
    <w:rsid w:val="006B0679"/>
    <w:rsid w:val="006B074C"/>
    <w:rsid w:val="006B3B84"/>
    <w:rsid w:val="006B4E7C"/>
    <w:rsid w:val="006B5D8C"/>
    <w:rsid w:val="006B72D4"/>
    <w:rsid w:val="006C11CC"/>
    <w:rsid w:val="006C1AEB"/>
    <w:rsid w:val="006C57FE"/>
    <w:rsid w:val="006C668E"/>
    <w:rsid w:val="006C7EA3"/>
    <w:rsid w:val="006D1979"/>
    <w:rsid w:val="006D1DEB"/>
    <w:rsid w:val="006D3EA2"/>
    <w:rsid w:val="006E4B63"/>
    <w:rsid w:val="006F06E4"/>
    <w:rsid w:val="006F1658"/>
    <w:rsid w:val="006F296A"/>
    <w:rsid w:val="006F624F"/>
    <w:rsid w:val="006F7B41"/>
    <w:rsid w:val="007021FC"/>
    <w:rsid w:val="00702B5D"/>
    <w:rsid w:val="00703ED2"/>
    <w:rsid w:val="00707B8D"/>
    <w:rsid w:val="00713636"/>
    <w:rsid w:val="00714B8C"/>
    <w:rsid w:val="0071675D"/>
    <w:rsid w:val="00717194"/>
    <w:rsid w:val="00717736"/>
    <w:rsid w:val="00730EA4"/>
    <w:rsid w:val="0073203A"/>
    <w:rsid w:val="00732B47"/>
    <w:rsid w:val="00733930"/>
    <w:rsid w:val="00735CF5"/>
    <w:rsid w:val="0073675D"/>
    <w:rsid w:val="0074063A"/>
    <w:rsid w:val="00740733"/>
    <w:rsid w:val="00742AA4"/>
    <w:rsid w:val="00743152"/>
    <w:rsid w:val="00743BA1"/>
    <w:rsid w:val="00745F1E"/>
    <w:rsid w:val="007515FE"/>
    <w:rsid w:val="00754EA9"/>
    <w:rsid w:val="007555D5"/>
    <w:rsid w:val="007601D0"/>
    <w:rsid w:val="007603BB"/>
    <w:rsid w:val="0076109D"/>
    <w:rsid w:val="00767107"/>
    <w:rsid w:val="0077254D"/>
    <w:rsid w:val="00773328"/>
    <w:rsid w:val="00773617"/>
    <w:rsid w:val="00773BFD"/>
    <w:rsid w:val="007743B3"/>
    <w:rsid w:val="00774490"/>
    <w:rsid w:val="0077581E"/>
    <w:rsid w:val="00777133"/>
    <w:rsid w:val="007819FF"/>
    <w:rsid w:val="0078360C"/>
    <w:rsid w:val="00784A4C"/>
    <w:rsid w:val="00784BC6"/>
    <w:rsid w:val="0078523D"/>
    <w:rsid w:val="00785BFD"/>
    <w:rsid w:val="00792865"/>
    <w:rsid w:val="007931DF"/>
    <w:rsid w:val="007A0172"/>
    <w:rsid w:val="007A1804"/>
    <w:rsid w:val="007A215A"/>
    <w:rsid w:val="007A2511"/>
    <w:rsid w:val="007A25C1"/>
    <w:rsid w:val="007A260E"/>
    <w:rsid w:val="007A4D4C"/>
    <w:rsid w:val="007A4DD6"/>
    <w:rsid w:val="007A5CB9"/>
    <w:rsid w:val="007A7B19"/>
    <w:rsid w:val="007B20AE"/>
    <w:rsid w:val="007B6B07"/>
    <w:rsid w:val="007B6CE7"/>
    <w:rsid w:val="007B6D43"/>
    <w:rsid w:val="007B749A"/>
    <w:rsid w:val="007B7C6E"/>
    <w:rsid w:val="007C1F8B"/>
    <w:rsid w:val="007D1517"/>
    <w:rsid w:val="007D38EE"/>
    <w:rsid w:val="007D44D7"/>
    <w:rsid w:val="007D621A"/>
    <w:rsid w:val="007D697D"/>
    <w:rsid w:val="007E058A"/>
    <w:rsid w:val="007E13F9"/>
    <w:rsid w:val="007E2887"/>
    <w:rsid w:val="007E5278"/>
    <w:rsid w:val="007E749C"/>
    <w:rsid w:val="007F1B5C"/>
    <w:rsid w:val="007F29C9"/>
    <w:rsid w:val="007F5028"/>
    <w:rsid w:val="00801257"/>
    <w:rsid w:val="00803B0A"/>
    <w:rsid w:val="00804DED"/>
    <w:rsid w:val="00805B96"/>
    <w:rsid w:val="008105BE"/>
    <w:rsid w:val="008115A5"/>
    <w:rsid w:val="00811D46"/>
    <w:rsid w:val="00812022"/>
    <w:rsid w:val="0081415D"/>
    <w:rsid w:val="00820229"/>
    <w:rsid w:val="00821F8A"/>
    <w:rsid w:val="00822448"/>
    <w:rsid w:val="00822ABE"/>
    <w:rsid w:val="008244D1"/>
    <w:rsid w:val="00827F51"/>
    <w:rsid w:val="0083067B"/>
    <w:rsid w:val="00830D99"/>
    <w:rsid w:val="0083104E"/>
    <w:rsid w:val="008343BE"/>
    <w:rsid w:val="00836535"/>
    <w:rsid w:val="00836EEB"/>
    <w:rsid w:val="00840FB4"/>
    <w:rsid w:val="008410B2"/>
    <w:rsid w:val="00841780"/>
    <w:rsid w:val="008500A0"/>
    <w:rsid w:val="008524E5"/>
    <w:rsid w:val="0085351C"/>
    <w:rsid w:val="0085417D"/>
    <w:rsid w:val="0085435A"/>
    <w:rsid w:val="008549CA"/>
    <w:rsid w:val="008556B8"/>
    <w:rsid w:val="008556C3"/>
    <w:rsid w:val="00855831"/>
    <w:rsid w:val="0085687C"/>
    <w:rsid w:val="008611C1"/>
    <w:rsid w:val="00861CB3"/>
    <w:rsid w:val="00866890"/>
    <w:rsid w:val="008706C5"/>
    <w:rsid w:val="00871D7B"/>
    <w:rsid w:val="00871FF3"/>
    <w:rsid w:val="00873707"/>
    <w:rsid w:val="00874B20"/>
    <w:rsid w:val="008757C6"/>
    <w:rsid w:val="00875E2B"/>
    <w:rsid w:val="008763E1"/>
    <w:rsid w:val="0087775C"/>
    <w:rsid w:val="00877EC8"/>
    <w:rsid w:val="00880F36"/>
    <w:rsid w:val="00884826"/>
    <w:rsid w:val="00884F42"/>
    <w:rsid w:val="00885530"/>
    <w:rsid w:val="00890647"/>
    <w:rsid w:val="008910D1"/>
    <w:rsid w:val="0089296C"/>
    <w:rsid w:val="00896ABD"/>
    <w:rsid w:val="00897AB6"/>
    <w:rsid w:val="00897DA8"/>
    <w:rsid w:val="008A178A"/>
    <w:rsid w:val="008A3380"/>
    <w:rsid w:val="008A7A9C"/>
    <w:rsid w:val="008B005A"/>
    <w:rsid w:val="008B5218"/>
    <w:rsid w:val="008B7102"/>
    <w:rsid w:val="008C3B7D"/>
    <w:rsid w:val="008D0F90"/>
    <w:rsid w:val="008D3715"/>
    <w:rsid w:val="008D5465"/>
    <w:rsid w:val="008D5E61"/>
    <w:rsid w:val="008D7EB7"/>
    <w:rsid w:val="008D7EC5"/>
    <w:rsid w:val="008E3684"/>
    <w:rsid w:val="008E57F5"/>
    <w:rsid w:val="008E7606"/>
    <w:rsid w:val="008F1DAA"/>
    <w:rsid w:val="008F3D50"/>
    <w:rsid w:val="008F3EBD"/>
    <w:rsid w:val="008F60B2"/>
    <w:rsid w:val="008F6EBB"/>
    <w:rsid w:val="008F7873"/>
    <w:rsid w:val="008F7C41"/>
    <w:rsid w:val="00900ECD"/>
    <w:rsid w:val="00902428"/>
    <w:rsid w:val="009031E2"/>
    <w:rsid w:val="00906AE7"/>
    <w:rsid w:val="0091276C"/>
    <w:rsid w:val="00913868"/>
    <w:rsid w:val="009145BE"/>
    <w:rsid w:val="009165AC"/>
    <w:rsid w:val="00916FFC"/>
    <w:rsid w:val="0092053F"/>
    <w:rsid w:val="0092340A"/>
    <w:rsid w:val="00924561"/>
    <w:rsid w:val="00926947"/>
    <w:rsid w:val="00927D82"/>
    <w:rsid w:val="009313D9"/>
    <w:rsid w:val="009331BD"/>
    <w:rsid w:val="0093439F"/>
    <w:rsid w:val="00935B7F"/>
    <w:rsid w:val="00941293"/>
    <w:rsid w:val="00946372"/>
    <w:rsid w:val="0095032B"/>
    <w:rsid w:val="00950B13"/>
    <w:rsid w:val="00950C17"/>
    <w:rsid w:val="00951FAF"/>
    <w:rsid w:val="00954740"/>
    <w:rsid w:val="009557BC"/>
    <w:rsid w:val="00955AE5"/>
    <w:rsid w:val="00960C90"/>
    <w:rsid w:val="00962E71"/>
    <w:rsid w:val="00963ABC"/>
    <w:rsid w:val="009646C8"/>
    <w:rsid w:val="009653E0"/>
    <w:rsid w:val="00965D21"/>
    <w:rsid w:val="00967764"/>
    <w:rsid w:val="00970B0E"/>
    <w:rsid w:val="00970BB9"/>
    <w:rsid w:val="00970E50"/>
    <w:rsid w:val="009726EE"/>
    <w:rsid w:val="00972CDE"/>
    <w:rsid w:val="009733DD"/>
    <w:rsid w:val="00975573"/>
    <w:rsid w:val="00976D03"/>
    <w:rsid w:val="00977B30"/>
    <w:rsid w:val="00982F41"/>
    <w:rsid w:val="00985090"/>
    <w:rsid w:val="00987271"/>
    <w:rsid w:val="00987710"/>
    <w:rsid w:val="009904AB"/>
    <w:rsid w:val="00995302"/>
    <w:rsid w:val="00995688"/>
    <w:rsid w:val="009958A6"/>
    <w:rsid w:val="00996456"/>
    <w:rsid w:val="00996FE0"/>
    <w:rsid w:val="009A04F5"/>
    <w:rsid w:val="009A0B4E"/>
    <w:rsid w:val="009A0BF2"/>
    <w:rsid w:val="009A15EF"/>
    <w:rsid w:val="009A38A5"/>
    <w:rsid w:val="009A5B73"/>
    <w:rsid w:val="009A7CF7"/>
    <w:rsid w:val="009B0087"/>
    <w:rsid w:val="009B0853"/>
    <w:rsid w:val="009B118B"/>
    <w:rsid w:val="009B1737"/>
    <w:rsid w:val="009B3D4B"/>
    <w:rsid w:val="009B4E63"/>
    <w:rsid w:val="009B5B99"/>
    <w:rsid w:val="009B6EFC"/>
    <w:rsid w:val="009C1FD0"/>
    <w:rsid w:val="009C2DF8"/>
    <w:rsid w:val="009C31BF"/>
    <w:rsid w:val="009C472A"/>
    <w:rsid w:val="009C66EA"/>
    <w:rsid w:val="009C68B7"/>
    <w:rsid w:val="009D0834"/>
    <w:rsid w:val="009D095A"/>
    <w:rsid w:val="009D0A1E"/>
    <w:rsid w:val="009D2AE3"/>
    <w:rsid w:val="009D4485"/>
    <w:rsid w:val="009D52BC"/>
    <w:rsid w:val="009D5A2E"/>
    <w:rsid w:val="009D7277"/>
    <w:rsid w:val="009D7D0A"/>
    <w:rsid w:val="009E09D9"/>
    <w:rsid w:val="009E2D53"/>
    <w:rsid w:val="009F01B1"/>
    <w:rsid w:val="009F0DBB"/>
    <w:rsid w:val="009F19C6"/>
    <w:rsid w:val="009F3718"/>
    <w:rsid w:val="009F3887"/>
    <w:rsid w:val="009F40DC"/>
    <w:rsid w:val="009F659A"/>
    <w:rsid w:val="009F732B"/>
    <w:rsid w:val="009F7DC8"/>
    <w:rsid w:val="00A00883"/>
    <w:rsid w:val="00A01FE0"/>
    <w:rsid w:val="00A03114"/>
    <w:rsid w:val="00A06945"/>
    <w:rsid w:val="00A07270"/>
    <w:rsid w:val="00A10656"/>
    <w:rsid w:val="00A113C0"/>
    <w:rsid w:val="00A1181D"/>
    <w:rsid w:val="00A12FA6"/>
    <w:rsid w:val="00A1339B"/>
    <w:rsid w:val="00A14ABA"/>
    <w:rsid w:val="00A21781"/>
    <w:rsid w:val="00A24CB6"/>
    <w:rsid w:val="00A25865"/>
    <w:rsid w:val="00A25AFF"/>
    <w:rsid w:val="00A25D00"/>
    <w:rsid w:val="00A26CD2"/>
    <w:rsid w:val="00A27667"/>
    <w:rsid w:val="00A30BF0"/>
    <w:rsid w:val="00A32979"/>
    <w:rsid w:val="00A34A67"/>
    <w:rsid w:val="00A37462"/>
    <w:rsid w:val="00A459E1"/>
    <w:rsid w:val="00A46AC4"/>
    <w:rsid w:val="00A478A5"/>
    <w:rsid w:val="00A52296"/>
    <w:rsid w:val="00A55661"/>
    <w:rsid w:val="00A61B70"/>
    <w:rsid w:val="00A61FA8"/>
    <w:rsid w:val="00A637F4"/>
    <w:rsid w:val="00A64DF2"/>
    <w:rsid w:val="00A65485"/>
    <w:rsid w:val="00A66E05"/>
    <w:rsid w:val="00A67655"/>
    <w:rsid w:val="00A70753"/>
    <w:rsid w:val="00A712D2"/>
    <w:rsid w:val="00A82C8A"/>
    <w:rsid w:val="00A8346B"/>
    <w:rsid w:val="00A85265"/>
    <w:rsid w:val="00A852FF"/>
    <w:rsid w:val="00A87337"/>
    <w:rsid w:val="00A90C97"/>
    <w:rsid w:val="00A92DDC"/>
    <w:rsid w:val="00A93182"/>
    <w:rsid w:val="00A93B99"/>
    <w:rsid w:val="00A960C8"/>
    <w:rsid w:val="00A96604"/>
    <w:rsid w:val="00AA03DF"/>
    <w:rsid w:val="00AA1B4F"/>
    <w:rsid w:val="00AA21D8"/>
    <w:rsid w:val="00AA271A"/>
    <w:rsid w:val="00AA3270"/>
    <w:rsid w:val="00AA375A"/>
    <w:rsid w:val="00AA54F3"/>
    <w:rsid w:val="00AA6064"/>
    <w:rsid w:val="00AA6B43"/>
    <w:rsid w:val="00AA720D"/>
    <w:rsid w:val="00AA7B1F"/>
    <w:rsid w:val="00AB0387"/>
    <w:rsid w:val="00AB3145"/>
    <w:rsid w:val="00AB32A9"/>
    <w:rsid w:val="00AB367A"/>
    <w:rsid w:val="00AB47E8"/>
    <w:rsid w:val="00AB54B6"/>
    <w:rsid w:val="00AB7BF8"/>
    <w:rsid w:val="00AC01D1"/>
    <w:rsid w:val="00AC0AB2"/>
    <w:rsid w:val="00AC0E9F"/>
    <w:rsid w:val="00AC4889"/>
    <w:rsid w:val="00AC52A5"/>
    <w:rsid w:val="00AC6EFD"/>
    <w:rsid w:val="00AC7151"/>
    <w:rsid w:val="00AD460A"/>
    <w:rsid w:val="00AD6A05"/>
    <w:rsid w:val="00AE118B"/>
    <w:rsid w:val="00AE14EF"/>
    <w:rsid w:val="00AE272B"/>
    <w:rsid w:val="00AE3E3A"/>
    <w:rsid w:val="00AE48B2"/>
    <w:rsid w:val="00AE77B4"/>
    <w:rsid w:val="00AE7C1A"/>
    <w:rsid w:val="00AE7DF8"/>
    <w:rsid w:val="00AF0D9C"/>
    <w:rsid w:val="00AF13AB"/>
    <w:rsid w:val="00AF1D36"/>
    <w:rsid w:val="00AF280B"/>
    <w:rsid w:val="00AF2A23"/>
    <w:rsid w:val="00AF43F7"/>
    <w:rsid w:val="00AF5F75"/>
    <w:rsid w:val="00AF6001"/>
    <w:rsid w:val="00B01A16"/>
    <w:rsid w:val="00B021FA"/>
    <w:rsid w:val="00B07F45"/>
    <w:rsid w:val="00B1021A"/>
    <w:rsid w:val="00B10271"/>
    <w:rsid w:val="00B140D9"/>
    <w:rsid w:val="00B1481A"/>
    <w:rsid w:val="00B1595E"/>
    <w:rsid w:val="00B15A1F"/>
    <w:rsid w:val="00B15FE9"/>
    <w:rsid w:val="00B2148A"/>
    <w:rsid w:val="00B220C2"/>
    <w:rsid w:val="00B2276E"/>
    <w:rsid w:val="00B25B32"/>
    <w:rsid w:val="00B32616"/>
    <w:rsid w:val="00B35075"/>
    <w:rsid w:val="00B36AF0"/>
    <w:rsid w:val="00B36C42"/>
    <w:rsid w:val="00B42EA7"/>
    <w:rsid w:val="00B51845"/>
    <w:rsid w:val="00B51923"/>
    <w:rsid w:val="00B5337C"/>
    <w:rsid w:val="00B53886"/>
    <w:rsid w:val="00B53FDE"/>
    <w:rsid w:val="00B56397"/>
    <w:rsid w:val="00B571DA"/>
    <w:rsid w:val="00B6027B"/>
    <w:rsid w:val="00B6070F"/>
    <w:rsid w:val="00B61A84"/>
    <w:rsid w:val="00B636C8"/>
    <w:rsid w:val="00B6455F"/>
    <w:rsid w:val="00B65EDB"/>
    <w:rsid w:val="00B662FB"/>
    <w:rsid w:val="00B67AFF"/>
    <w:rsid w:val="00B67C41"/>
    <w:rsid w:val="00B70B59"/>
    <w:rsid w:val="00B72027"/>
    <w:rsid w:val="00B73657"/>
    <w:rsid w:val="00B739B3"/>
    <w:rsid w:val="00B815BB"/>
    <w:rsid w:val="00B81B15"/>
    <w:rsid w:val="00B81CDF"/>
    <w:rsid w:val="00B84948"/>
    <w:rsid w:val="00B86B97"/>
    <w:rsid w:val="00B86FE7"/>
    <w:rsid w:val="00B87BAD"/>
    <w:rsid w:val="00B915AE"/>
    <w:rsid w:val="00BA1735"/>
    <w:rsid w:val="00BA19FA"/>
    <w:rsid w:val="00BA4288"/>
    <w:rsid w:val="00BA62AB"/>
    <w:rsid w:val="00BB0902"/>
    <w:rsid w:val="00BB0953"/>
    <w:rsid w:val="00BB0B1E"/>
    <w:rsid w:val="00BB1F9C"/>
    <w:rsid w:val="00BB411C"/>
    <w:rsid w:val="00BB48E5"/>
    <w:rsid w:val="00BB5607"/>
    <w:rsid w:val="00BB5ACA"/>
    <w:rsid w:val="00BB627F"/>
    <w:rsid w:val="00BC0C17"/>
    <w:rsid w:val="00BC3823"/>
    <w:rsid w:val="00BC5841"/>
    <w:rsid w:val="00BC5E38"/>
    <w:rsid w:val="00BD201A"/>
    <w:rsid w:val="00BD2DC4"/>
    <w:rsid w:val="00BD2EF0"/>
    <w:rsid w:val="00BD60B4"/>
    <w:rsid w:val="00BD796B"/>
    <w:rsid w:val="00BE40C0"/>
    <w:rsid w:val="00BE445C"/>
    <w:rsid w:val="00BE5F4A"/>
    <w:rsid w:val="00BE7AEF"/>
    <w:rsid w:val="00BF09B0"/>
    <w:rsid w:val="00BF1544"/>
    <w:rsid w:val="00BF1B53"/>
    <w:rsid w:val="00BF246D"/>
    <w:rsid w:val="00BF2682"/>
    <w:rsid w:val="00BF78AC"/>
    <w:rsid w:val="00C00CA4"/>
    <w:rsid w:val="00C06F06"/>
    <w:rsid w:val="00C17BFF"/>
    <w:rsid w:val="00C20FAD"/>
    <w:rsid w:val="00C2375F"/>
    <w:rsid w:val="00C247CB"/>
    <w:rsid w:val="00C2757A"/>
    <w:rsid w:val="00C32E66"/>
    <w:rsid w:val="00C3355F"/>
    <w:rsid w:val="00C33A04"/>
    <w:rsid w:val="00C355F2"/>
    <w:rsid w:val="00C3569A"/>
    <w:rsid w:val="00C43F48"/>
    <w:rsid w:val="00C448FF"/>
    <w:rsid w:val="00C45E57"/>
    <w:rsid w:val="00C52F29"/>
    <w:rsid w:val="00C55D75"/>
    <w:rsid w:val="00C56CE6"/>
    <w:rsid w:val="00C5745F"/>
    <w:rsid w:val="00C60005"/>
    <w:rsid w:val="00C60BFF"/>
    <w:rsid w:val="00C61A98"/>
    <w:rsid w:val="00C63201"/>
    <w:rsid w:val="00C649A4"/>
    <w:rsid w:val="00C64E62"/>
    <w:rsid w:val="00C651D5"/>
    <w:rsid w:val="00C65CCC"/>
    <w:rsid w:val="00C65DA9"/>
    <w:rsid w:val="00C6676C"/>
    <w:rsid w:val="00C7618F"/>
    <w:rsid w:val="00C765A9"/>
    <w:rsid w:val="00C76657"/>
    <w:rsid w:val="00C76F16"/>
    <w:rsid w:val="00C81157"/>
    <w:rsid w:val="00C8162D"/>
    <w:rsid w:val="00C83077"/>
    <w:rsid w:val="00C830BB"/>
    <w:rsid w:val="00C83A0B"/>
    <w:rsid w:val="00C842D0"/>
    <w:rsid w:val="00C84E50"/>
    <w:rsid w:val="00C84ED1"/>
    <w:rsid w:val="00C863CC"/>
    <w:rsid w:val="00C86BCC"/>
    <w:rsid w:val="00C9038F"/>
    <w:rsid w:val="00C92231"/>
    <w:rsid w:val="00C92AAB"/>
    <w:rsid w:val="00C95D0F"/>
    <w:rsid w:val="00C95D4C"/>
    <w:rsid w:val="00C9637F"/>
    <w:rsid w:val="00C96B3A"/>
    <w:rsid w:val="00C9708A"/>
    <w:rsid w:val="00CA2435"/>
    <w:rsid w:val="00CA4068"/>
    <w:rsid w:val="00CA463D"/>
    <w:rsid w:val="00CA4C71"/>
    <w:rsid w:val="00CA67F4"/>
    <w:rsid w:val="00CA737A"/>
    <w:rsid w:val="00CB37F8"/>
    <w:rsid w:val="00CB7DC3"/>
    <w:rsid w:val="00CC5BE1"/>
    <w:rsid w:val="00CC75A2"/>
    <w:rsid w:val="00CC7A18"/>
    <w:rsid w:val="00CD0E2F"/>
    <w:rsid w:val="00CD1D49"/>
    <w:rsid w:val="00CD2378"/>
    <w:rsid w:val="00CD2F20"/>
    <w:rsid w:val="00CD3618"/>
    <w:rsid w:val="00CD6B20"/>
    <w:rsid w:val="00CE02A4"/>
    <w:rsid w:val="00CE1339"/>
    <w:rsid w:val="00CE13A3"/>
    <w:rsid w:val="00CE61CC"/>
    <w:rsid w:val="00CE6E42"/>
    <w:rsid w:val="00CF20B7"/>
    <w:rsid w:val="00CF283B"/>
    <w:rsid w:val="00CF6692"/>
    <w:rsid w:val="00CF7441"/>
    <w:rsid w:val="00D00D16"/>
    <w:rsid w:val="00D03C6C"/>
    <w:rsid w:val="00D04760"/>
    <w:rsid w:val="00D04A95"/>
    <w:rsid w:val="00D06288"/>
    <w:rsid w:val="00D068C7"/>
    <w:rsid w:val="00D11E7E"/>
    <w:rsid w:val="00D128A4"/>
    <w:rsid w:val="00D147C8"/>
    <w:rsid w:val="00D15131"/>
    <w:rsid w:val="00D16FA2"/>
    <w:rsid w:val="00D20954"/>
    <w:rsid w:val="00D21C39"/>
    <w:rsid w:val="00D21FC6"/>
    <w:rsid w:val="00D2243A"/>
    <w:rsid w:val="00D26545"/>
    <w:rsid w:val="00D33393"/>
    <w:rsid w:val="00D33D36"/>
    <w:rsid w:val="00D34D94"/>
    <w:rsid w:val="00D409E2"/>
    <w:rsid w:val="00D427D7"/>
    <w:rsid w:val="00D43899"/>
    <w:rsid w:val="00D438EA"/>
    <w:rsid w:val="00D44E62"/>
    <w:rsid w:val="00D51570"/>
    <w:rsid w:val="00D521CE"/>
    <w:rsid w:val="00D5379C"/>
    <w:rsid w:val="00D556AD"/>
    <w:rsid w:val="00D5722A"/>
    <w:rsid w:val="00D57372"/>
    <w:rsid w:val="00D60381"/>
    <w:rsid w:val="00D616DE"/>
    <w:rsid w:val="00D61908"/>
    <w:rsid w:val="00D62201"/>
    <w:rsid w:val="00D62D5B"/>
    <w:rsid w:val="00D651D1"/>
    <w:rsid w:val="00D717BB"/>
    <w:rsid w:val="00D7226B"/>
    <w:rsid w:val="00D72707"/>
    <w:rsid w:val="00D73C47"/>
    <w:rsid w:val="00D75A9C"/>
    <w:rsid w:val="00D829C8"/>
    <w:rsid w:val="00D83D7B"/>
    <w:rsid w:val="00D87917"/>
    <w:rsid w:val="00D90871"/>
    <w:rsid w:val="00D9155F"/>
    <w:rsid w:val="00D9403F"/>
    <w:rsid w:val="00D959B4"/>
    <w:rsid w:val="00D97DDF"/>
    <w:rsid w:val="00DA1BF6"/>
    <w:rsid w:val="00DA44DE"/>
    <w:rsid w:val="00DA750B"/>
    <w:rsid w:val="00DB0457"/>
    <w:rsid w:val="00DB1B2A"/>
    <w:rsid w:val="00DB560A"/>
    <w:rsid w:val="00DB620A"/>
    <w:rsid w:val="00DB731E"/>
    <w:rsid w:val="00DC3832"/>
    <w:rsid w:val="00DC6477"/>
    <w:rsid w:val="00DC7A51"/>
    <w:rsid w:val="00DD3B1E"/>
    <w:rsid w:val="00DE06B2"/>
    <w:rsid w:val="00DE0E4D"/>
    <w:rsid w:val="00DE19BC"/>
    <w:rsid w:val="00DE3C3B"/>
    <w:rsid w:val="00DE5B5F"/>
    <w:rsid w:val="00DE6CD3"/>
    <w:rsid w:val="00DE79DA"/>
    <w:rsid w:val="00DF614E"/>
    <w:rsid w:val="00E00696"/>
    <w:rsid w:val="00E03651"/>
    <w:rsid w:val="00E03808"/>
    <w:rsid w:val="00E060C2"/>
    <w:rsid w:val="00E06324"/>
    <w:rsid w:val="00E07B81"/>
    <w:rsid w:val="00E10AFD"/>
    <w:rsid w:val="00E12B11"/>
    <w:rsid w:val="00E12FB0"/>
    <w:rsid w:val="00E14814"/>
    <w:rsid w:val="00E1591B"/>
    <w:rsid w:val="00E16A50"/>
    <w:rsid w:val="00E249D5"/>
    <w:rsid w:val="00E25017"/>
    <w:rsid w:val="00E26F73"/>
    <w:rsid w:val="00E30A34"/>
    <w:rsid w:val="00E33C68"/>
    <w:rsid w:val="00E34A59"/>
    <w:rsid w:val="00E34EEB"/>
    <w:rsid w:val="00E3687C"/>
    <w:rsid w:val="00E420FB"/>
    <w:rsid w:val="00E44EB9"/>
    <w:rsid w:val="00E45BDC"/>
    <w:rsid w:val="00E460B7"/>
    <w:rsid w:val="00E46358"/>
    <w:rsid w:val="00E46C0C"/>
    <w:rsid w:val="00E471DC"/>
    <w:rsid w:val="00E50081"/>
    <w:rsid w:val="00E50EB4"/>
    <w:rsid w:val="00E5239B"/>
    <w:rsid w:val="00E532FC"/>
    <w:rsid w:val="00E559B4"/>
    <w:rsid w:val="00E55BB0"/>
    <w:rsid w:val="00E57A87"/>
    <w:rsid w:val="00E57ACD"/>
    <w:rsid w:val="00E609E5"/>
    <w:rsid w:val="00E60F27"/>
    <w:rsid w:val="00E62D00"/>
    <w:rsid w:val="00E62EF5"/>
    <w:rsid w:val="00E64D93"/>
    <w:rsid w:val="00E65EDB"/>
    <w:rsid w:val="00E66927"/>
    <w:rsid w:val="00E677B8"/>
    <w:rsid w:val="00E67E9E"/>
    <w:rsid w:val="00E67FA1"/>
    <w:rsid w:val="00E7115E"/>
    <w:rsid w:val="00E7387D"/>
    <w:rsid w:val="00E73D53"/>
    <w:rsid w:val="00E75111"/>
    <w:rsid w:val="00E77296"/>
    <w:rsid w:val="00E8244B"/>
    <w:rsid w:val="00E87527"/>
    <w:rsid w:val="00E87EF7"/>
    <w:rsid w:val="00E90FC2"/>
    <w:rsid w:val="00E93639"/>
    <w:rsid w:val="00E93763"/>
    <w:rsid w:val="00E96C4C"/>
    <w:rsid w:val="00E97D58"/>
    <w:rsid w:val="00EA01E9"/>
    <w:rsid w:val="00EA1870"/>
    <w:rsid w:val="00EA2AAE"/>
    <w:rsid w:val="00EA2EC0"/>
    <w:rsid w:val="00EA427A"/>
    <w:rsid w:val="00EA723B"/>
    <w:rsid w:val="00EB6350"/>
    <w:rsid w:val="00EB687A"/>
    <w:rsid w:val="00EC2F62"/>
    <w:rsid w:val="00EC62EB"/>
    <w:rsid w:val="00EC6E9F"/>
    <w:rsid w:val="00ED07B4"/>
    <w:rsid w:val="00ED19E1"/>
    <w:rsid w:val="00ED44F0"/>
    <w:rsid w:val="00ED4B33"/>
    <w:rsid w:val="00ED5993"/>
    <w:rsid w:val="00ED73E9"/>
    <w:rsid w:val="00ED7DD6"/>
    <w:rsid w:val="00EE060B"/>
    <w:rsid w:val="00EE15A1"/>
    <w:rsid w:val="00EE2A7C"/>
    <w:rsid w:val="00EE2C42"/>
    <w:rsid w:val="00EE341B"/>
    <w:rsid w:val="00EE4453"/>
    <w:rsid w:val="00EE5FCE"/>
    <w:rsid w:val="00EE6BBD"/>
    <w:rsid w:val="00EE6E1E"/>
    <w:rsid w:val="00EE705F"/>
    <w:rsid w:val="00EE7403"/>
    <w:rsid w:val="00EF1462"/>
    <w:rsid w:val="00EF33D0"/>
    <w:rsid w:val="00EF4B5E"/>
    <w:rsid w:val="00EF54FD"/>
    <w:rsid w:val="00EF75C8"/>
    <w:rsid w:val="00F03258"/>
    <w:rsid w:val="00F059B8"/>
    <w:rsid w:val="00F07F0D"/>
    <w:rsid w:val="00F12C21"/>
    <w:rsid w:val="00F13112"/>
    <w:rsid w:val="00F16FE6"/>
    <w:rsid w:val="00F20759"/>
    <w:rsid w:val="00F238BD"/>
    <w:rsid w:val="00F238CD"/>
    <w:rsid w:val="00F23CE0"/>
    <w:rsid w:val="00F24992"/>
    <w:rsid w:val="00F27B01"/>
    <w:rsid w:val="00F32F2F"/>
    <w:rsid w:val="00F33F3F"/>
    <w:rsid w:val="00F35BDD"/>
    <w:rsid w:val="00F35EF0"/>
    <w:rsid w:val="00F36371"/>
    <w:rsid w:val="00F3781F"/>
    <w:rsid w:val="00F37E6B"/>
    <w:rsid w:val="00F403FD"/>
    <w:rsid w:val="00F41E72"/>
    <w:rsid w:val="00F435DD"/>
    <w:rsid w:val="00F44AB1"/>
    <w:rsid w:val="00F45BDF"/>
    <w:rsid w:val="00F50300"/>
    <w:rsid w:val="00F53061"/>
    <w:rsid w:val="00F5414B"/>
    <w:rsid w:val="00F56E39"/>
    <w:rsid w:val="00F6176E"/>
    <w:rsid w:val="00F623E9"/>
    <w:rsid w:val="00F63951"/>
    <w:rsid w:val="00F63C86"/>
    <w:rsid w:val="00F6409D"/>
    <w:rsid w:val="00F71FB5"/>
    <w:rsid w:val="00F766BE"/>
    <w:rsid w:val="00F77EB9"/>
    <w:rsid w:val="00F80635"/>
    <w:rsid w:val="00F8115F"/>
    <w:rsid w:val="00F815D1"/>
    <w:rsid w:val="00F81E7E"/>
    <w:rsid w:val="00F81F0F"/>
    <w:rsid w:val="00F825F4"/>
    <w:rsid w:val="00F838DF"/>
    <w:rsid w:val="00F84709"/>
    <w:rsid w:val="00F852A7"/>
    <w:rsid w:val="00F9009F"/>
    <w:rsid w:val="00F92AA1"/>
    <w:rsid w:val="00F932DE"/>
    <w:rsid w:val="00F9438D"/>
    <w:rsid w:val="00F963DD"/>
    <w:rsid w:val="00F9641A"/>
    <w:rsid w:val="00F97004"/>
    <w:rsid w:val="00FA067D"/>
    <w:rsid w:val="00FA2045"/>
    <w:rsid w:val="00FA7A66"/>
    <w:rsid w:val="00FB1AA9"/>
    <w:rsid w:val="00FB3344"/>
    <w:rsid w:val="00FB376F"/>
    <w:rsid w:val="00FB4B5A"/>
    <w:rsid w:val="00FB5963"/>
    <w:rsid w:val="00FB5DAA"/>
    <w:rsid w:val="00FC04B9"/>
    <w:rsid w:val="00FC161A"/>
    <w:rsid w:val="00FC23D5"/>
    <w:rsid w:val="00FC4337"/>
    <w:rsid w:val="00FC4C1A"/>
    <w:rsid w:val="00FC5468"/>
    <w:rsid w:val="00FC5DED"/>
    <w:rsid w:val="00FC628F"/>
    <w:rsid w:val="00FC6468"/>
    <w:rsid w:val="00FC65A6"/>
    <w:rsid w:val="00FC6D49"/>
    <w:rsid w:val="00FD4922"/>
    <w:rsid w:val="00FD6461"/>
    <w:rsid w:val="00FE0281"/>
    <w:rsid w:val="00FE7083"/>
    <w:rsid w:val="00FF019F"/>
    <w:rsid w:val="00FF1B2A"/>
    <w:rsid w:val="00FF2160"/>
    <w:rsid w:val="00FF2E31"/>
    <w:rsid w:val="00FF30DE"/>
    <w:rsid w:val="00FF3A40"/>
    <w:rsid w:val="00FF644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7F6214"/>
  <w15:docId w15:val="{53A0CC3E-1A42-482C-A035-BF85A5305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2757A"/>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rFonts w:ascii="Tahoma" w:hAnsi="Tahoma" w:cs="Tahoma"/>
      <w:b w:val="0"/>
      <w:i w:val="0"/>
      <w:caps w:val="0"/>
      <w:strike w:val="0"/>
      <w:sz w:val="16"/>
      <w:szCs w:val="18"/>
      <w:u w:val="none"/>
    </w:rPr>
  </w:style>
  <w:style w:type="paragraph" w:styleId="CommentText">
    <w:name w:val="annotation text"/>
    <w:basedOn w:val="Normal"/>
    <w:link w:val="CommentTextChar"/>
    <w:rsid w:val="0084610C"/>
    <w:rPr>
      <w:rFonts w:ascii="Tahoma" w:hAnsi="Tahoma" w:cs="Tahoma"/>
      <w:sz w:val="16"/>
    </w:rPr>
  </w:style>
  <w:style w:type="character" w:customStyle="1" w:styleId="CommentTextChar">
    <w:name w:val="Comment Text Char"/>
    <w:link w:val="CommentText"/>
    <w:rsid w:val="0084610C"/>
    <w:rPr>
      <w:rFonts w:ascii="Tahoma" w:hAnsi="Tahoma" w:cs="Tahoma"/>
      <w:color w:val="000000"/>
      <w:sz w:val="16"/>
      <w:szCs w:val="24"/>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rFonts w:ascii="Tahoma" w:hAnsi="Tahoma" w:cs="Tahoma"/>
      <w:b/>
      <w:bCs/>
      <w:color w:val="000000"/>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cs="Calibri"/>
      <w:color w:val="000000"/>
      <w:sz w:val="18"/>
      <w:szCs w:val="18"/>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Mentionnonrsolue1">
    <w:name w:val="Mention non résolue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ar"/>
    <w:rsid w:val="00970E50"/>
    <w:pPr>
      <w:jc w:val="center"/>
    </w:pPr>
    <w:rPr>
      <w:noProof/>
    </w:rPr>
  </w:style>
  <w:style w:type="character" w:customStyle="1" w:styleId="EndNoteBibliographyTitleCar">
    <w:name w:val="EndNote Bibliography Title Car"/>
    <w:basedOn w:val="DefaultParagraphFont"/>
    <w:link w:val="EndNoteBibliographyTitle"/>
    <w:rsid w:val="00970E50"/>
    <w:rPr>
      <w:rFonts w:ascii="Calibri" w:hAnsi="Calibri" w:cs="Calibri"/>
      <w:noProof/>
      <w:color w:val="000000"/>
      <w:sz w:val="24"/>
      <w:szCs w:val="24"/>
    </w:rPr>
  </w:style>
  <w:style w:type="paragraph" w:customStyle="1" w:styleId="EndNoteBibliography">
    <w:name w:val="EndNote Bibliography"/>
    <w:basedOn w:val="Normal"/>
    <w:link w:val="EndNoteBibliographyCar"/>
    <w:rsid w:val="00970E50"/>
    <w:rPr>
      <w:noProof/>
    </w:rPr>
  </w:style>
  <w:style w:type="character" w:customStyle="1" w:styleId="EndNoteBibliographyCar">
    <w:name w:val="EndNote Bibliography Car"/>
    <w:basedOn w:val="DefaultParagraphFont"/>
    <w:link w:val="EndNoteBibliography"/>
    <w:rsid w:val="00970E50"/>
    <w:rPr>
      <w:rFonts w:ascii="Calibri" w:hAnsi="Calibri" w:cs="Calibri"/>
      <w:noProof/>
      <w:color w:val="000000"/>
      <w:sz w:val="24"/>
      <w:szCs w:val="24"/>
    </w:rPr>
  </w:style>
  <w:style w:type="character" w:customStyle="1" w:styleId="Mentionnonrsolue2">
    <w:name w:val="Mention non résolue2"/>
    <w:basedOn w:val="DefaultParagraphFont"/>
    <w:uiPriority w:val="99"/>
    <w:semiHidden/>
    <w:unhideWhenUsed/>
    <w:rsid w:val="00DE3C3B"/>
    <w:rPr>
      <w:color w:val="605E5C"/>
      <w:shd w:val="clear" w:color="auto" w:fill="E1DFDD"/>
    </w:rPr>
  </w:style>
  <w:style w:type="character" w:customStyle="1" w:styleId="Mentionnonrsolue3">
    <w:name w:val="Mention non résolue3"/>
    <w:basedOn w:val="DefaultParagraphFont"/>
    <w:uiPriority w:val="99"/>
    <w:semiHidden/>
    <w:unhideWhenUsed/>
    <w:rsid w:val="006D3E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nda%20Bowers\AppData\Roaming\Microsoft\Templates\EnsureClose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C7986-6027-4970-B613-0F574A206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EnsureCloseTemplate</Template>
  <TotalTime>14</TotalTime>
  <Pages>17</Pages>
  <Words>7271</Words>
  <Characters>41445</Characters>
  <Application>Microsoft Office Word</Application>
  <DocSecurity>0</DocSecurity>
  <Lines>345</Lines>
  <Paragraphs>97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Migneault Francis</dc:creator>
  <cp:lastModifiedBy>Phillip Steindel</cp:lastModifiedBy>
  <cp:revision>3</cp:revision>
  <dcterms:created xsi:type="dcterms:W3CDTF">2019-10-24T16:25:00Z</dcterms:created>
  <dcterms:modified xsi:type="dcterms:W3CDTF">2019-10-24T16:38:00Z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Timer">
    <vt:bool>true</vt:bool>
  </property>
  <property fmtid="{D5CDD505-2E9C-101B-9397-08002B2CF9AE}" pid="3" name="LastTick">
    <vt:r8>43751.034212963</vt:r8>
  </property>
  <property fmtid="{D5CDD505-2E9C-101B-9397-08002B2CF9AE}" pid="4" name="EditTimer">
    <vt:i4>5270</vt:i4>
  </property>
</Properties>
</file>