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Multiplexed Single Cell mRNA Sequencing Analysis of Mouse Embryonic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 Feng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Andrew Przysinda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Guang Li</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Developmental Biology, University of Pittsburgh School of Medicine, Pittsburgh, PA,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Guang Li, Ph.D. (guangli@pitt.edu)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 Feng (weifeng@pitt.edu)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Andrew Przysinda (andrewp@pitt.edu)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Single cell mRNA-sequencing, mouse embryonic tissue, heart development, multiplex barcode, de-multiplexing, data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presented a multiplexed single cell mRNA sequencing method to profile gene expression in mouse embryonic tissues. The droplet-based single cell mRNA sequencing (scRNA-Seq) method in combination with multiplexing strategies can profile single cells from multiple samples simultaneously, which significantly reduces reagent costs and minimizes experimental batch effects.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Single cell mRNA sequencing has made significant progress in the last several years and has become an important tool in the field of developmental biology. It has been successfully used to identify rare cell populations, discover novel marker genes, and decode spatial and temporal developmental information. The single cell method has also evolved from the microfluidic based Fluidigm C1 technology to the droplet-based solutions in the last two to three years. Here we used the heart as an example to demonstrate how to profile the mouse embryonic tissue cells using the droplet based scRNA-Seq method. In addition, we have integrated two strategies into the workflow to profile multiple samples in a single experiment. Using one of the integrated methods, we have simultaneously profiled more than 9,000 cells from eight heart samples. These methods will be valuable to the developmental biology field by providing a cost-effective way to simultaneously profile single cells from different genetic backgrounds, developmental stages, or anatomical locations.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transcriptional profile of each single cell varies among cell populations during embryonic development. Although single molecular in situ hybridization can be used to visualize the expression of a small number of genes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single cell mRNA sequencing (scRNA-Seq) provides an unbiased approach to illustrate genome-wide expression patterns of genes in single cells. After it was first published in 2009</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scRNA-Seq has been applied to study multiple tissues at multiple developmental stages in the recent years</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Also, as the human cell atlas has launched its developmental-focused projects recently, more single cell data from human embryonic tissues are expected to be generated in the near future.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heart as the first organ to develop plays a critical role in embryonic development. The heart consists of multiple cell types and the development of each cell type is tightly regulated temporally and spatially. Over the past few years, the origin and cell lineage of cardiac cells at early developmental stages have been characterized</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which provide a tremendous useful navigation tool for understanding congenital heart disease pathogenesis, as well as for developing more technologically advanced methods to stimulate cardiomyocyte regeneration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scRNA-Seq has undergone a rapid expansion in recent years</w:t>
      </w:r>
      <w:r>
        <w:rPr>
          <w:rFonts w:ascii="Calibri" w:hAnsi="Calibri" w:cs="Calibri" w:eastAsia="Calibri"/>
          <w:color w:val="000000"/>
          <w:spacing w:val="0"/>
          <w:position w:val="0"/>
          <w:sz w:val="24"/>
          <w:shd w:fill="auto" w:val="clear"/>
          <w:vertAlign w:val="superscript"/>
        </w:rPr>
        <w:t xml:space="preserve">8,9,10</w:t>
      </w:r>
      <w:r>
        <w:rPr>
          <w:rFonts w:ascii="Calibri" w:hAnsi="Calibri" w:cs="Calibri" w:eastAsia="Calibri"/>
          <w:color w:val="000000"/>
          <w:spacing w:val="0"/>
          <w:position w:val="0"/>
          <w:sz w:val="24"/>
          <w:shd w:fill="auto" w:val="clear"/>
        </w:rPr>
        <w:t xml:space="preserve">. With the newly developed methods, design and analysis of single cell experiments has become more achievable</w:t>
      </w:r>
      <w:r>
        <w:rPr>
          <w:rFonts w:ascii="Calibri" w:hAnsi="Calibri" w:cs="Calibri" w:eastAsia="Calibri"/>
          <w:color w:val="000000"/>
          <w:spacing w:val="0"/>
          <w:position w:val="0"/>
          <w:sz w:val="24"/>
          <w:shd w:fill="auto" w:val="clear"/>
          <w:vertAlign w:val="superscript"/>
        </w:rPr>
        <w:t xml:space="preserve">11,12,13,14</w:t>
      </w:r>
      <w:r>
        <w:rPr>
          <w:rFonts w:ascii="Calibri" w:hAnsi="Calibri" w:cs="Calibri" w:eastAsia="Calibri"/>
          <w:color w:val="000000"/>
          <w:spacing w:val="0"/>
          <w:position w:val="0"/>
          <w:sz w:val="24"/>
          <w:shd w:fill="auto" w:val="clear"/>
        </w:rPr>
        <w:t xml:space="preserve">. The method presented here is a commercial procedure based on the droplet solutions </w:t>
      </w:r>
      <w:r>
        <w:rPr>
          <w:rFonts w:ascii="Calibri" w:hAnsi="Calibri" w:cs="Calibri" w:eastAsia="Calibri"/>
          <w:color w:val="000000"/>
          <w:spacing w:val="0"/>
          <w:position w:val="0"/>
          <w:sz w:val="24"/>
          <w:shd w:fill="FFFFFF" w:val="clear"/>
        </w:rPr>
        <w:t xml:space="preserve">(see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This method features capturing cells and sets of uniquely barcoded beads in an oil-water emulsion droplet under control of a microfluidic controller system. The rate of cell loading into the droplets is extremely low so that the majority of droplet emulsions contain only one cell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procedure’s ingenious design comes from single cell separation into droplet emulsions occurring simultaneously with barcoding, which enables the parallel analysis of individual cells using RNA-Seq on a heterogeneous population.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incorporation of multiplexing strategies is one of the important additions to the traditional single cell workflow</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This addition is very useful in discarding cell doublets, reducing experimental costs, and eliminating batch effects</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A lipid based barcoding strategy and an antibody based barcoding strategy </w:t>
      </w:r>
      <w:r>
        <w:rPr>
          <w:rFonts w:ascii="Calibri" w:hAnsi="Calibri" w:cs="Calibri" w:eastAsia="Calibri"/>
          <w:color w:val="000000"/>
          <w:spacing w:val="0"/>
          <w:position w:val="0"/>
          <w:sz w:val="24"/>
          <w:shd w:fill="FFFFFF" w:val="clear"/>
        </w:rPr>
        <w:t xml:space="preserve">(see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are the two mostly used multiplexing methods. Specific barcodes are used to label each sample in both methods, and the labeled samples are then mixed for single cell capturing, library preparation, and sequencing. Afterwards, the pooled sequencing data can be separated by analyzing the barcode sequences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However, significant differences exist between the two methods. The lipid based barcoding strategy is based on lipid-modified oligonucleotides, which has not been found to have any cell type preferences. While the antibody based barcoding strategy can only detect the cells expressing the antigen proteins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In addition, it takes about 10 min to stain the lipids but 40 min to stain the antibodies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Furthermore, the lipid-modified oligonucleotides are cheaper than antibody-conjugated oligonucleotides but not commercially available at the time of writing this article. Finally, the lipid-based strategy can multiplex 96 samples in one experiment, but the antibody-based strategy currently can only multiplex 12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recommended cell number to multiplex in a single experiment should be lower than 2.5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otherwise, it will lead to a high percentage of cell doublets and potential ambient mRNA contamination. Through the multiplexing strategies, the cost of single cell capturing, cDNA generation, and library preparation for multiple samples will be reduced to the cost of one sample but the sequencing cost will remain the same.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animal procedure is in accordance with the University of Pittsburgh Institutional Animal Care and Use Committee (IACUC).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Mouse embryonic heart dissection and single cell suspension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could take a few hours depending on the numbers of embryos to dissect.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 To acquire E18.5 embryonic hearts, euthanize a pregnant CD1 mouse by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administration. Use a razor to remove the unwanted hair in the abdominal area and disinfect the skin with 70%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Cut the skin of the abdomen using sterilized scissors and carefully dissect the embryos out and quickly put them into cold phosphate-buffered saline (PBS)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Isolate hearts from each individual embryo carefully in a 10 cm dish filled with cold PBS under a stereoscopic microscope using forceps and scissors.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the four chambers intact by dissecting the lung with heart together and DO NOT directly catch/pull the heart with surgical instruments.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 Transfer </w:t>
      </w:r>
      <w:r>
        <w:rPr>
          <w:rFonts w:ascii="Calibri" w:hAnsi="Calibri" w:cs="Calibri" w:eastAsia="Calibri"/>
          <w:color w:val="222222"/>
          <w:spacing w:val="0"/>
          <w:position w:val="0"/>
          <w:sz w:val="24"/>
          <w:shd w:fill="FFFFFF" w:val="clear"/>
        </w:rPr>
        <w:t xml:space="preserve">~10</w:t>
      </w:r>
      <w:r>
        <w:rPr>
          <w:rFonts w:ascii="Calibri" w:hAnsi="Calibri" w:cs="Calibri" w:eastAsia="Calibri"/>
          <w:color w:val="000000"/>
          <w:spacing w:val="0"/>
          <w:position w:val="0"/>
          <w:sz w:val="24"/>
          <w:shd w:fill="FFFF00" w:val="clear"/>
        </w:rPr>
        <w:t xml:space="preserve"> hearts into a new 10 cm dish filled with cold PBS and micro-dissect the hearts into left atrium, right atrium, left ventricle, and right ventricle.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assumed to yield </w:t>
      </w:r>
      <w:r>
        <w:rPr>
          <w:rFonts w:ascii="Calibri" w:hAnsi="Calibri" w:cs="Calibri" w:eastAsia="Calibri"/>
          <w:color w:val="222222"/>
          <w:spacing w:val="0"/>
          <w:position w:val="0"/>
          <w:sz w:val="24"/>
          <w:shd w:fill="FFFFFF" w:val="clear"/>
        </w:rPr>
        <w:t xml:space="preserve">more than </w:t>
      </w:r>
      <w:r>
        <w:rPr>
          <w:rFonts w:ascii="Calibri" w:hAnsi="Calibri" w:cs="Calibri" w:eastAsia="Calibri"/>
          <w:color w:val="000000"/>
          <w:spacing w:val="0"/>
          <w:position w:val="0"/>
          <w:sz w:val="24"/>
          <w:shd w:fill="auto" w:val="clear"/>
        </w:rPr>
        <w:t xml:space="preserve">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from each sample. We recommend to start with at least 1 x 10</w:t>
      </w:r>
      <w:r>
        <w:rPr>
          <w:rFonts w:ascii="Calibri" w:hAnsi="Calibri" w:cs="Calibri" w:eastAsia="Calibri"/>
          <w:color w:val="000000"/>
          <w:spacing w:val="0"/>
          <w:position w:val="0"/>
          <w:sz w:val="24"/>
          <w:shd w:fill="auto" w:val="clear"/>
          <w:vertAlign w:val="superscript"/>
        </w:rPr>
        <w:t xml:space="preserve">5 </w:t>
      </w:r>
      <w:r>
        <w:rPr>
          <w:rFonts w:ascii="Calibri" w:hAnsi="Calibri" w:cs="Calibri" w:eastAsia="Calibri"/>
          <w:color w:val="000000"/>
          <w:spacing w:val="0"/>
          <w:position w:val="0"/>
          <w:sz w:val="24"/>
          <w:shd w:fill="auto" w:val="clear"/>
        </w:rPr>
        <w:t xml:space="preserve">cells per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 Transfer each of the 4 chamber tissues to a 1.5 mL tube and chop them into pieces using scissors. Centrifuge at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 min to collect the tissues.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1.6. After aspirating the supernatant, add 1 mL of 0.25% Trypsin/EDTA to each tube and incubate in a 37 &amp;#176;C water bath for 10 min. Pipet up and down gently 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 times using a P1000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1.7. If the embryonic stage is older than E11.5, add 1 mL of 10 mg/mL collagenase A/B mixture and incubate at 37 &amp;#176;C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min. Gently pipet up and down until most cells are dissociated.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1.8. Transfer the cells to a 15 mL tube and add 8 mL Hank's balanced salt solution (HBSS) to dilute the enzymes. Spin down the cells at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Suspend the cells in 1 mL of PBS and transfer them to a 1.5 mL tube. Filter the cells through a 40 &amp;#181;m cell strainer.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1.9. Take 15 &amp;#181;L of volume from each sample and mix with the same amount of 0.04% trypan blue. Load this on a cell counting chamber and count the cells in a cell counter.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generate high quality results, cell viability is recommended to be higher than 95%.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Single cell multiplexing barcoding</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takes at least 40 min which varies based on the number of samples processed. A clean bench area treated with RNase decontamination solution is required for pre-amplification steps (step 2.11 to 3.11), and a separate clean bench area is required for the post-amplification steps (the steps after 3.11).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 Lipid based barcoding procedure (optional procedure 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Based on cell concentration, keep less than 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per sample. Make sure the cell suspension is free of debris and cell aggregates.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Prepare 2 &amp;#181;M anchor/barcode stock solution and 2 &amp;#181;M co-anchor stock solution for each sample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anchor and co-anchor were kindly gifted by Dr. Zev J. Gartner lab. To synthesize these lipid-modified oligonucleotides, DNA sequences were conjugated with fatty acid on a solid support and purified by reversed-phase high-performance liquid chromatography (HPLC)</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2.1.3. Wash the cells twice with PBS and collect the cells at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Suspend cells in 180 &amp;#181;L of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2.1.4. Add 20 &amp;#181;L of anchor/barcode stock solution and pipette up and down gently to mix. Incubate on ice for 5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2.1.5. Add 20 &amp;#181;L of co-anchor stock solution and pipette up and down gently to mix, then incubate on ice for another 5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2.1.6. Add 1 mL of cold PBS with 1% BSA and centrifuge at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Wash at least 2 more times with ice cold 1% BSA in PBS.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2.1.7. Combine all samples together and filter through 40 &amp;#181;m cell strainers. Count the cells and keep the cell suspension on ice to use in section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 Antibody-based barcoding procedure (optional procedure 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Centrifuge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for each sample (from step 1.8) at 300 x</w:t>
      </w:r>
      <w:r>
        <w:rPr>
          <w:rFonts w:ascii="Calibri" w:hAnsi="Calibri" w:cs="Calibri" w:eastAsia="Calibri"/>
          <w:i/>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 for 5 min and suspend them in 100 &amp;#181;L of staining buffer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 1.5 mL low bind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Add 10 &amp;#181;L Fc blocking reagent and incubate for 10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Prepare antibodies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by </w:t>
      </w:r>
      <w:r>
        <w:rPr>
          <w:rFonts w:ascii="Calibri" w:hAnsi="Calibri" w:cs="Calibri" w:eastAsia="Calibri"/>
          <w:color w:val="auto"/>
          <w:spacing w:val="0"/>
          <w:position w:val="0"/>
          <w:sz w:val="24"/>
          <w:shd w:fill="auto" w:val="clear"/>
        </w:rPr>
        <w:t xml:space="preserve">centrifuging at 14,000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Add </w:t>
      </w:r>
      <w:r>
        <w:rPr>
          <w:rFonts w:ascii="Calibri" w:hAnsi="Calibri" w:cs="Calibri" w:eastAsia="Calibri"/>
          <w:color w:val="000000"/>
          <w:spacing w:val="0"/>
          <w:position w:val="0"/>
          <w:sz w:val="24"/>
          <w:shd w:fill="FFFFFF" w:val="clear"/>
        </w:rPr>
        <w:t xml:space="preserve">1 &amp;#181;g of each oligo-conjugated antibody to 50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000000"/>
          <w:spacing w:val="0"/>
          <w:position w:val="0"/>
          <w:sz w:val="24"/>
          <w:shd w:fill="FFFFFF" w:val="clear"/>
        </w:rPr>
        <w:t xml:space="preserve">L of cell staining buffer to make antibody staining solution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Add one antibody staining solution to each sample tube. Incubate for 30 min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 Wash cells 3 times with 1 mL of PBS, spin for 5 min at 350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 Pool all samples at desired proportions in 1 mL of staining buffer, spin for 5 min at 350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 Resuspend cells in PBS at appropriate concentration (up to 1,500 cells/&amp;#181;L) and filter cells through a 40 &amp;#181;m cell strainer. Immediately proceed to the next step.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Droplet generation and mRNA reverse transcription</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takes about 90 min for one multiplexed reaction.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Equilibrate the gel beads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room temperature for 30 min. Take out reagents from gel beads-in-emulsion (GEM)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keep them at their indicated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Assemble the chip B into a chip holder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Dispense 75 &amp;#181;L of 50% glycerol solution into the unused wells in row 1; 40 &amp;#181;L in row 2; 280 &amp;#181;L in row 3. Do not add glycerol in any recovery wells on the top row of the chip.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Prepare the master mix on ice according to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Add appropriate volume of cell suspension and nuclease-free water to master mix according to a cell suspension volume calculator table</w:t>
      </w:r>
      <w:r>
        <w:rPr>
          <w:rFonts w:ascii="Calibri" w:hAnsi="Calibri" w:cs="Calibri" w:eastAsia="Calibri"/>
          <w:color w:val="000000"/>
          <w:spacing w:val="0"/>
          <w:position w:val="0"/>
          <w:sz w:val="24"/>
          <w:shd w:fill="FFFF00" w:val="clear"/>
          <w:vertAlign w:val="superscript"/>
        </w:rPr>
        <w:t xml:space="preserve">17</w:t>
      </w:r>
      <w:r>
        <w:rPr>
          <w:rFonts w:ascii="Calibri" w:hAnsi="Calibri" w:cs="Calibri" w:eastAsia="Calibri"/>
          <w:color w:val="000000"/>
          <w:spacing w:val="0"/>
          <w:position w:val="0"/>
          <w:sz w:val="24"/>
          <w:shd w:fill="FFFF00" w:val="clear"/>
        </w:rPr>
        <w:t xml:space="preserve"> and gently pipette the mix. Dispense 75 &amp;#181;L of cell mixture into the bottom center of the sample well in row 1 without introducing bubbles.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Vortex the gel beads for 30 s using a vortex adapter and slowly dispense 40 &amp;#181;L of gel beads into the bottom center of the gel bead well in row 2 without introducing bubbles.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critical to wait for 30 s between adding cells and gel beads to avoid wetting failure.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3.6. For the partitioning oil well in row 3, dispense 280 &amp;#181;L of partitioning oil through the sidewall of the well.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Loading less than 270 &amp;#181;L of partitioning oil will lead to abnormal GEM generation.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3.7. Attach the gasket onto the chip, do not press down on the gasket and keep it horizontal to avoid wetting the gasket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3.8. Load the assembled chip with the gasket in the chromium controller and run the chromium single cell B program </w:t>
      </w:r>
      <w:r>
        <w:rPr>
          <w:rFonts w:ascii="Calibri" w:hAnsi="Calibri" w:cs="Calibri" w:eastAsia="Calibri"/>
          <w:color w:val="000000"/>
          <w:spacing w:val="0"/>
          <w:position w:val="0"/>
          <w:sz w:val="24"/>
          <w:shd w:fill="FFFFFF" w:val="clear"/>
        </w:rPr>
        <w:t xml:space="preserve">(see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00" w:val="clear"/>
        </w:rPr>
        <w:t xml:space="preserve">, immediately proceed to the next step when the program completes.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3.9. Take the chip out and discard the gasket. Fold the lid back to expose wells at 45&amp;#176;, check the liquid level to make sure no clogs are present.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3.10. Slowly aspirate 100 &amp;#181;L of GEM from the lowest points of the recovery well and check the uniformity of the GEM. Dispense GEM into a new polymerase chain reaction (PCR) tube on ice with the pipette tips against the sidewall of the tube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excess aqueous layer is observed, it is suggested to re-prepare the samples. Importantly, take a picture of the mixture when the GEM are still in the pipette tips. This picture can tell if there is a wetting failure, partially emulsified GEM, and reagent clogs. The photograph can also be used as evidence to get reimbursement from the reagent company with replacement reagents and chips.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3.11. Put the tube in a thermal cycler and perform the reverse transcription procedure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Stop here or proceed to the next step. The PCR product can be stored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&amp;#176;C for up to a week.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cDNA amplification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takes about 150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4.1. Post single cell reverse transcription cleanup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Take out the cDNA amplification reagents from GEM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keep them at their indicated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4.1.2. Add 125 &amp;#181;L of recovery agent to the sample at room temperature to acquire a biphasic mixture. No opaque liquid should be observed and avoid pipetting or vortexing the mixture.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4.1.3. After waiting for 60 s, slowly remove 125 &amp;#181;L of recovery agent from the bottom of the tube.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Vortex the magnetic beads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thoroughly for 30 s and immediately use it to prepare beads cleanup mixture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Reagents should be added sequentially as listed.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4.1.5. Vortex the beads cleanup mixture and add 200 &amp;#181;L to the sample. Pipette the mixture 10 times then incubate it for 10 min at room temperature.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 Add the reagents sequentially as listed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to prepare the elution solution and elute the cDNA as follows.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4.1.6.1. Place the samples on the magnet (high position)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until the solution clears, then remove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4.1.6.2. Add 200 &amp;#181;L of 80% ethanol to the pellet. Wait for 30 s, then remove the ethanol.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4.1.6.3. Repeat step 4.1.6.2 for another 2 times. Centrifuge brie</w:t>
      </w:r>
      <w:r>
        <w:rPr>
          <w:rFonts w:ascii="Calibri" w:hAnsi="Calibri" w:cs="Calibri" w:eastAsia="Calibri"/>
          <w:color w:val="000000"/>
          <w:spacing w:val="0"/>
          <w:position w:val="0"/>
          <w:sz w:val="24"/>
          <w:shd w:fill="FFFF00" w:val="clear"/>
        </w:rPr>
        <w:t xml:space="preserve">ﬂ</w:t>
      </w:r>
      <w:r>
        <w:rPr>
          <w:rFonts w:ascii="Calibri" w:hAnsi="Calibri" w:cs="Calibri" w:eastAsia="Calibri"/>
          <w:color w:val="000000"/>
          <w:spacing w:val="0"/>
          <w:position w:val="0"/>
          <w:sz w:val="24"/>
          <w:shd w:fill="FFFF00" w:val="clear"/>
        </w:rPr>
        <w:t xml:space="preserve">y and place on the magnet (low position). Carefully remove the remaining ethanol and air dry for less than 2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exceed air drying past 2 min, otherwise the elution efficiency will decrease.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4.1.6.4. Remove the sample from the magnet. Add 35.5 &amp;#181;L of elution solution and pipette to mix 15 times. Incubate 2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4.1.6.5. Place the sample on the magnet (high position) until the solution clears. Transfer 35 &amp;#181;L of the sample to a new tube strip.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purification procedure is also used in steps 4.2.1.6, 4.2.2.3, 5.8, 6.1.10, and 6.2.6. Pay attention to the concentration of magnetic beads and the volume of EB buffer/ ultrapure water used to elute the samples at each step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 Quantify the size, concentration and integrity of eluted cDNA using an automated electrophoresis instrument</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4.2. Amplification of cDNA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4.2.1. cDNA amplification using the lipid-based barcoding strategy (optional procedure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4.2.1.1. Prepare amplification reaction mixture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4.2.1.2. Add the amplification reaction mixture to 35 &amp;#181;L of cDNA samples (from step 4.1.6.7). Pipette the mix, and centrifuge briefly. Incubate the mixture in a thermal cycler following the cDNA amplification procedure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4.2.1.3. After vortexing thoroughly, add 120 &amp;#181;L of select reagent and 100 &amp;#181;L of ultrapure water to 100 &amp;#181;L of sample to acquire a 0.6x concentration of select reagent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Pipette the mixture for 15 times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4.2.1.4. Incubate for 5 min at room temperature and then place the sample on magnet until the solutions become clear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Endogenous cDNA in the beads fraction and multiplexing barcoded cDNA is in the supernatant.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4.2.1.5. Transfer the supernatant into a 1.5 mL low bind tube for multiplexing barcoded cDNA library construction at step 6.1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4.2.1.6. Clean the endogenous cDNA by following the steps in 4.1.6 and elute them with 40 &amp;#181;L of EB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4.2.1.7. Run 1 &amp;#181;L of purified cDNA sample on an automated electrophoresis instrument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analyze/quantify the cDNA.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4.2.1.8. Aliquot 10 &amp;#181;L of cDNA into a new PCR tube for endogenous library construction.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Stop here or proceed to the next step. The remaining sample can be stored in -20 &amp;#176;C for up to 4 weeks to generate additional libraries if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4.2.2. cDNA amplification in the antibody based barcoding strategy (Optional procedure 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4.2.2.1. Add 2 pmol of HTO and ADT additive primer and 15 &amp;#181;L of cDNA primers to 50 &amp;#181;L of amplification reaction mixture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perform cDNA amplification with the cDNA amplification procedure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4.2.2.2. Use 0.6x select reagent to separate endogenous cDNA (beads fraction) and multiplexing barcode cDNA (in supernatant). Remember to save the supernatant to perform barcoding library construction in step 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4.2.2.3. Purify and elute the endogenous transcript cDNA by following the steps in 4.1.6, perform quality control (QC) of the libraries and aliquot 10 &amp;#181;L into a new PCR tube for endogenous library 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Endogenous transcript library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takes about 120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Keep gene expression library construction reagents from the library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at their indicated temperature,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Prepare the fragmentation mixture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on ice, pipette to mix and centrifuge briefly.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Add 25 &amp;#181;L EB buffer to the 10 &amp;#181;L purified cDNA sample (from step 4.2.1.8 or 4.2.2.3) and then add the newly prepared 15 &amp;#181;L fragmentation mixture to the sample, pipette the mixture 15 times on ice and centrifuge briefly.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Transfer the sample into a pre-cooled thermal cycler and initiate the PCR program for fragmentation, end repair and A-tailing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Vortex the select reagent to suspend magnetic beads and successively use 0.6x and 0.8x select reagents to make a double-sided size selection according to the user guide</w:t>
      </w:r>
      <w:r>
        <w:rPr>
          <w:rFonts w:ascii="Calibri" w:hAnsi="Calibri" w:cs="Calibri" w:eastAsia="Calibri"/>
          <w:color w:val="000000"/>
          <w:spacing w:val="0"/>
          <w:position w:val="0"/>
          <w:sz w:val="24"/>
          <w:shd w:fill="auto" w:val="clear"/>
          <w:vertAlign w:val="superscript"/>
        </w:rPr>
        <w:t xml:space="preserve">17,22</w:t>
      </w:r>
      <w:r>
        <w:rPr>
          <w:rFonts w:ascii="Calibri" w:hAnsi="Calibri" w:cs="Calibri" w:eastAsia="Calibri"/>
          <w:color w:val="000000"/>
          <w:spacing w:val="0"/>
          <w:position w:val="0"/>
          <w:sz w:val="24"/>
          <w:shd w:fill="auto" w:val="clear"/>
        </w:rPr>
        <w:t xml:space="preserve">. Use 50 &amp;#181;L of EB buffer to elute the DNA.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Prepare adaptor ligation mixture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then pipette the mixture thoroughly and centrifuge briefly.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Add 50 &amp;#181;L of adaptor ligation mixture to 50 &amp;#181;L of sample, pipette mix again for 15 times and centrifuge briefly. Perform the adaptor ligation as per the protocol in a thermal cycler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Use 0.8x select reagent to purify the ligation product and elute the purified sample with 30 &amp;#181;L of EB buffer (see step 4.1.6).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Prepare the sample index PCR mixture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add 60 &amp;#181;L to the purified sample. Add 10 &amp;#181;L of sample index to the sample, pipette mix up and down for 5 times and centrifuge briefly, incubate in a thermal cycler following the sample index protocol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Stop here or proceed to the next step. If more than one well is used, choose one specific sample index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each well. Remember to record the index ID used for each well and ensure no overlap in a multiplexed sequencing run.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 Successively use 0.6x and 0.8x select reagents to make a double-sided size selection to acquire 35 &amp;#181;L of purified endogenous cellular library DNA</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5.11. QC the endogenous cellular library before sequencing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Preparation of multiplexing sample barcode cDNA libraries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takes at least 120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6.1. Sample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barcode library generation for the lipid based multiplexing strategy (optional procedure 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Add 520 &amp;#181;L of select reagent and 360 &amp;#181;L of isopropanol to sample barcode cDNA from step 4.2.1.5 to get a 3.2x select reagent concentration. Pipette the mixture 10 times and incubate at room temperature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Place the tube on a magnetic rack and wait for the solution to clear. Then discard supernatant.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 Use 500 &amp;#181;L of 80% ethanol to wash beads twice on a magnet and wait for 30 s after each wash.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 Briefly centrifuge the beads and place on a magnet. Remove the remaining ethanol with a P10 micropipette and leave beads for 2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 Remove the tube from the magnet rack and resuspend beads in 50 &amp;#181;L of EB buffer. Pipet up and down to mix thoroughly. Incubate at room temperature for 2 min.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6.1.6. Return the tube to a magnet and wait for the solution to clear. Transfer the supernatant (sample barcode cDNA) to a new PCR tube. Be careful not to transfer any beads.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6.1.7. Quantify the concentration of sample barcode cDNA</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6.1.8. Prepare lipid barcode library mixture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add 3.5 ng of purified barcoded cDNA (from step 6.1.6) and nuclease-free water for a total volume of 50 &amp;#181;l.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6.1.9. Keep it in a thermal cycler following the lipid-based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barcode library PCR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6.1.10. Use 1.6x select reagent to purify the PCR product and elute the DNA with 25 &amp;#181;L of EB buffer (see step 4.1.6).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6.1.11. Quantify the library concentration using a high sensitivity DNA analysis method</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from the initial dilution of 1:5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6.2. Sample barcode library generation for the antibody based multiplexing strategy (optional procedure 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 Add additional 1.4x reaction volume of select reagent to the supernatant containing sample barcodes acquired from step 4.2.2.3 to get a 2x select reagent ratio.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 Wash the beads with 80% ethanol by following the steps in 4.1.6 and elute the barcoded cDNA with ultrapure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 Perform the selection protocol with 2x select reagent for a second time and elute using ultrapure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6.2.4. Prepare antibody barcode library mixture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add 45 &amp;#181;L of purified barcoded cDNA from the last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6.2.5. Incubate in a thermal cycler following the antibody barcode library PCR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6.2.6. Use 1.6x select reagent to purify the PCR product and elute the purified sample with 30 &amp;#181;L of ultrapure water (see step 4.1.6).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Library sequencing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Multiple next generation sequencing platforms such as HiSeq 4000 and NovaSeq can be used to sequence the endogenous transcript libraries and multiplexing barcode libraries.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Use a next generation sequencing platform of choice to sequence the endogenous transcript libraries and multiplexing barcode libraries.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Dilute the libraries according to the recommendations from an expert at a sequencing company or sequencing facility. Minimum 20,000 reads per cell is recommended for the endogenous transcript library and 3000 reads for the barcode libraries.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Data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De-multiplex the sequencing data using the </w:t>
      </w:r>
      <w:r>
        <w:rPr>
          <w:rFonts w:ascii="Calibri" w:hAnsi="Calibri" w:cs="Calibri" w:eastAsia="Calibri"/>
          <w:color w:val="444444"/>
          <w:spacing w:val="0"/>
          <w:position w:val="0"/>
          <w:sz w:val="24"/>
          <w:shd w:fill="FFFFFF" w:val="clear"/>
        </w:rPr>
        <w:t xml:space="preserve">cloud-based resource BaseSpace </w:t>
      </w:r>
      <w:r>
        <w:rPr>
          <w:rFonts w:ascii="Calibri" w:hAnsi="Calibri" w:cs="Calibri" w:eastAsia="Calibri"/>
          <w:color w:val="000000"/>
          <w:spacing w:val="0"/>
          <w:position w:val="0"/>
          <w:sz w:val="24"/>
          <w:shd w:fill="auto" w:val="clear"/>
        </w:rPr>
        <w:t xml:space="preserve">or by running the bcl2fastq package on a UNIX server.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8.1. Endogenous transcriptome 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 With the fastq data generated from demultiplexing software, run “mkfastq” on the commercially available data analysis pipeline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further demultiplex each GEM barcode.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 Run “count” to perform the alignment, filtering, barcode counting, and UMI counting.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 Optionally, run “aggr” to aggregate multiple sequencing lanes from a single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8.1.4. Use “cell browser”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visualize data, cluster cells, identify differentially expressed genes, and generate tSNE or gene expression heatmap plots.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8.1.5. Optionally, use a well-maintained R-based platform</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normalize and scale data, identify differentially expressed genes, and generate tSNE/UMAP plots and gene expression heatmaps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8.2. Multiplexing barcode data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8.2.1. Analysis of the data from lipid based barcoding strategy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8.2.1.1. Use the commercially available data analysis pipeline or deMULTIplex R package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https://github.com/chris-mcginnis-ucsf/MULTI-seq</w:t>
        </w:r>
      </w:hyperlink>
      <w:r>
        <w:rPr>
          <w:rFonts w:ascii="Calibri" w:hAnsi="Calibri" w:cs="Calibri" w:eastAsia="Calibri"/>
          <w:color w:val="000000"/>
          <w:spacing w:val="0"/>
          <w:position w:val="0"/>
          <w:sz w:val="24"/>
          <w:shd w:fill="auto" w:val="clear"/>
        </w:rPr>
        <w:t xml:space="preserve">) to convert the </w:t>
      </w:r>
      <w:r>
        <w:rPr>
          <w:rFonts w:ascii="Calibri" w:hAnsi="Calibri" w:cs="Calibri" w:eastAsia="Calibri"/>
          <w:color w:val="24292E"/>
          <w:spacing w:val="0"/>
          <w:position w:val="0"/>
          <w:sz w:val="24"/>
          <w:shd w:fill="FFFFFF" w:val="clear"/>
        </w:rPr>
        <w:t xml:space="preserve">sample barcode FASTQ files into a sample barcode UMI count matrix.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8.2.1.2. </w:t>
      </w:r>
      <w:r>
        <w:rPr>
          <w:rFonts w:ascii="Calibri" w:hAnsi="Calibri" w:cs="Calibri" w:eastAsia="Calibri"/>
          <w:color w:val="24292E"/>
          <w:spacing w:val="0"/>
          <w:position w:val="0"/>
          <w:sz w:val="24"/>
          <w:shd w:fill="FFFFFF" w:val="clear"/>
        </w:rPr>
        <w:t xml:space="preserve">Load the barcode UMI count matrix together with endogenous transcriptome data to an R-based platform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24292E"/>
          <w:spacing w:val="0"/>
          <w:position w:val="0"/>
          <w:sz w:val="24"/>
          <w:shd w:fill="FFFFFF" w:val="clear"/>
        </w:rPr>
        <w:t xml:space="preserve">for integration analysis (</w:t>
      </w:r>
      <w:r>
        <w:rPr>
          <w:rFonts w:ascii="Calibri" w:hAnsi="Calibri" w:cs="Calibri" w:eastAsia="Calibri"/>
          <w:b/>
          <w:color w:val="24292E"/>
          <w:spacing w:val="0"/>
          <w:position w:val="0"/>
          <w:sz w:val="24"/>
          <w:shd w:fill="FFFFFF" w:val="clear"/>
        </w:rPr>
        <w:t xml:space="preserve">Figure 3</w:t>
      </w:r>
      <w:r>
        <w:rPr>
          <w:rFonts w:ascii="Calibri" w:hAnsi="Calibri" w:cs="Calibri" w:eastAsia="Calibri"/>
          <w:color w:val="24292E"/>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8.2.2. Analysis of the data from antibody-based barcoding strategy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8.2.2.1. Use “count” from the commercially available data analysis pipeline to map the barcodes by providing the library CSV file and hashtag feature reference CSV file.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8.2.2.2. Load the output unified feature-barcode matrix, which contains gene expression counts alongside feature barcode counts for each cell barcode, to </w:t>
      </w:r>
      <w:r>
        <w:rPr>
          <w:rFonts w:ascii="Calibri" w:hAnsi="Calibri" w:cs="Calibri" w:eastAsia="Calibri"/>
          <w:color w:val="24292E"/>
          <w:spacing w:val="0"/>
          <w:position w:val="0"/>
          <w:sz w:val="24"/>
          <w:shd w:fill="FFFFFF" w:val="clear"/>
        </w:rPr>
        <w:t xml:space="preserve">an R-based platform </w:t>
      </w:r>
      <w:r>
        <w:rPr>
          <w:rFonts w:ascii="Calibri" w:hAnsi="Calibri" w:cs="Calibri" w:eastAsia="Calibri"/>
          <w:color w:val="000000"/>
          <w:spacing w:val="0"/>
          <w:position w:val="0"/>
          <w:sz w:val="24"/>
          <w:shd w:fill="auto" w:val="clear"/>
        </w:rPr>
        <w:t xml:space="preserve">for downstream analysis.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used mouse embryonic heart as an example to exhibit how multiplexed single cell mRNA sequencing was performed to process the different samples from separate parts of an organ simultaneously. E18.5 CD1 mouse hearts were isolated and dissected into left atrium (LA), right atrium (RA), left ventricle (LV) and right ventricle (RV). The atrial and ventricular cells were then barcoded independently using a lipid-based barcoding procedure and mixed together before GEM generation and reverse-transcription. The schematic overview is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We quantified the cDNA concentration before library construction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One of the distinctions in performing multiplexed scRNA-Seq from the standard scRNA-Seq is that the endogenous cDNA library and the sample barcode DNA library were acquired separately after cDNA amplification and purification (Step 4.2.1 and 4.2.2.2). The two libraries were also qualified in our experiment (</w:t>
      </w:r>
      <w:r>
        <w:rPr>
          <w:rFonts w:ascii="Calibri" w:hAnsi="Calibri" w:cs="Calibri" w:eastAsia="Calibri"/>
          <w:b/>
          <w:color w:val="000000"/>
          <w:spacing w:val="0"/>
          <w:position w:val="0"/>
          <w:sz w:val="24"/>
          <w:shd w:fill="auto" w:val="clear"/>
        </w:rPr>
        <w:t xml:space="preserve">Figure 2B,C</w:t>
      </w:r>
      <w:r>
        <w:rPr>
          <w:rFonts w:ascii="Calibri" w:hAnsi="Calibri" w:cs="Calibri" w:eastAsia="Calibri"/>
          <w:color w:val="000000"/>
          <w:spacing w:val="0"/>
          <w:position w:val="0"/>
          <w:sz w:val="24"/>
          <w:shd w:fill="auto" w:val="clear"/>
        </w:rPr>
        <w:t xml:space="preserve">). Next generation sequencing and data analysis were performed followed by library construction and QC.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used HiSeqX platform to sequence both libraries in the same sequencing lane. With the sequencing data, we first separated the endogenous transcript data and barcode data using the BaseSpace program. Then we analyzed barcode expression in each single cell and found 8 groups of single cells that uniquely express one type of barcode, representing cells from 8 different samples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In addition, we also found that some cells do not express any barcode, which we defined as negative cells, and some cells express two different barcodes, which represent doublets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In summary, we found that around 70% of cells are singlets, 25% of cells are negative and 5% of the cells are doublets.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the singlet cells, we can perform further downstream analyses to understand the cellular heterogeneity and molecular regulations. The potential analyses can be cell type annotation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novel/rare cell type identification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anatomical zone comparative analysis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and gene ontology pathway analysis such as cell cycle phase separations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Multiplexed single cell mRNA sequencing workflow.</w:t>
      </w:r>
      <w:r>
        <w:rPr>
          <w:rFonts w:ascii="Calibri" w:hAnsi="Calibri" w:cs="Calibri" w:eastAsia="Calibri"/>
          <w:color w:val="000000"/>
          <w:spacing w:val="0"/>
          <w:position w:val="0"/>
          <w:sz w:val="24"/>
          <w:shd w:fill="auto" w:val="clear"/>
        </w:rPr>
        <w:t xml:space="preserve"> Embryonic day 18.5 stage hearts were analyzed using a multiplexed droplet-based single cell sequencing procedure. RT = reverse transcription.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QC results at different steps.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QC analysis of cDNA from step 4.1.7. The target fragment size is 200 to 9000 bp.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Endogenous library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barcode library were analyzed with an automated electrophoresis instrument. The target fragment size for the endogenous library is 300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600 bp, and the barcode library DNA size is around 172 bp.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Demultiplexing the sequencing data from the lipid based barcoding strategy.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Unsupervised analysis of the barcode expression. X-axis represents single cells, and y-axis represents barcodes. Each of the 8 single cell populations were identified to uniquely express one of the 8 barcodes. Note some cells express more than one barcode, and some cells do not express any barcodes.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t-SNE plot of the singlet cells, doublet cells, and negative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Advanced analysis of single cell transcriptional data.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Single cell data can be analyzed in different ways to understand the cellular heterogeneity and molecular pathways. We have listed several applications here as examples. Single cells were loaded into an R package to identify cell types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rare cell populations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cell anatomical zones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cell cycle phases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The reagent mixtures used in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The incubating procedure used in the protocol. </w:t>
      </w:r>
      <w:r>
        <w:rPr>
          <w:rFonts w:ascii="Calibri" w:hAnsi="Calibri" w:cs="Calibri" w:eastAsia="Calibri"/>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Pay attention to the different lid temperature used in every Procedure. (2) Set total cycle numbers according to the cell load: 13 cycles for &amp;lt;500 cell load; 12 cycles for 500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6,000 cell load; 11 cycles for &amp;gt;6,000 cell load. (3) Set total cycle numbers according to the cDNA input: 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cycles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ng cDNA; 12-14 cycles for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ng cDNA;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cycles for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ng cDNA;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cycles for 500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1,000 ng cDNA;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cycles for 1000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1500 ng cDNA. (4) Set total cycle numbers according to the cDNA input: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12cycles. (5) Set total cycle numbers according to the cDNA input: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cycles.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Oligonucleotide sequences used in this protocol. </w:t>
      </w:r>
      <w:r>
        <w:rPr>
          <w:rFonts w:ascii="Calibri" w:hAnsi="Calibri" w:cs="Calibri" w:eastAsia="Calibri"/>
          <w:color w:val="000000"/>
          <w:spacing w:val="0"/>
          <w:position w:val="0"/>
          <w:sz w:val="24"/>
          <w:shd w:fill="auto" w:val="clear"/>
        </w:rPr>
        <w:t xml:space="preserve">N: Barcode or index sequence; *: Phosphorothioate bond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have demonstrated a protocol to analyze single cell transcriptional profiles. We have also provided two optional methods to multiplex samples in the scRNA-Seq workflow. Both methods have proved to be feasible at various labs and provided solutions to run a cost-effective and batch effect-free single cell experiment</w:t>
      </w:r>
      <w:r>
        <w:rPr>
          <w:rFonts w:ascii="Calibri" w:hAnsi="Calibri" w:cs="Calibri" w:eastAsia="Calibri"/>
          <w:color w:val="000000"/>
          <w:spacing w:val="0"/>
          <w:position w:val="0"/>
          <w:sz w:val="24"/>
          <w:shd w:fill="auto" w:val="clear"/>
          <w:vertAlign w:val="superscript"/>
        </w:rPr>
        <w:t xml:space="preserve">18,26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a few steps that should be followed carefully when going through the protocol. An ideal single cell suspension should have &amp;gt;90% of viable cells and the cell density should also be within a specific range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It is critical to obtain a good quality of cells to minimize the presence of cellular aggregates, debris, and fibers. Cellular aggregates have negative impact on sample multiplexing and have a potential risk to clog the droplet generating machine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Generally speaking, a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&amp;#181;m cell strainer is ideal for removing large clumps and debris while preserving the cell samples because most cells will shrink below 30 &amp;#181;m after dissociation. Single cell nuclei are recommend to use instead if the cell diameter is larger than 30 &amp;#181;m. At early embryonic stages, the cell size for all types of mouse cells should be smaller than 30 &amp;#181;m. However, at later stages, the cardiomyocytes in the heart, neurons in the brain, muscle cells in limbs, and some fat cells may have a cell size larger than 30 &amp;#181;m. Cell size should be measured for these types of cells before starting the single cell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multiplexing strategies provide a way to simultaneously analyze a large number of samples in a cost-effective way. In addition, by profiling multiple samples together, we can significantly avoid the batch effects and identify cell doublets. These advantages will be very attractive to the single cell field. However, there are some factors that may limit their usage. As more cells are multiplexed in a single experiment, the cell doublet ratio will also increase. Although those doublets can be identified and removed by analyzing the multiplexing barcode data, it will lead to a large waste of sequencing reads. In addition, as more cells are pooled together, the cells are easier to break and cause an increase of the ambient mRNA, which will be captured into the droplets with cells and interfere with the detection sensitivity. We are expecting that a further optimization of the experimental workflow or bioinformatics pipeline analysis will resolve these two issues in the near future.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David M. Patterson and Christopher S. McGinnis from Dr. Zev J. Gartner lab for their kind supply of the lipid based barcoding reagents and suggestions on the experimental steps and data analysis. This work was founded by the National Institutes of Health (HL13347202).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Raj, A., Van Den Bogaard, P., Rifkin, S. A., Van Oudenaarden, A., Tyagi, S. Imaging individual mRNA molecules using multiple singly labeled probes.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(10), 877,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Tang,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mRNA-Seq whole-transcriptome analysis of a single cell.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377,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Li, G., Plonowska, K., Kuppusamy, R., Sturzu, A., Wu, S. M. Identification of cardiovascular lineage descendants at single-cell resolution.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(5), 846-857,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DeLaughter, D.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Single-cell resolution of temporal gene expression during heart development.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(4), 480-490,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Li,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Single cell expression analysis reveals anatomical and cell cycle-dependent transcriptional shifts during heart development.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(12), dev173476,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Meilhac, S. M., Buckingham, M. E. The deployment of cell lineages that form the mammalian heart. </w:t>
      </w:r>
      <w:r>
        <w:rPr>
          <w:rFonts w:ascii="Calibri" w:hAnsi="Calibri" w:cs="Calibri" w:eastAsia="Calibri"/>
          <w:i/>
          <w:color w:val="000000"/>
          <w:spacing w:val="0"/>
          <w:position w:val="0"/>
          <w:sz w:val="24"/>
          <w:shd w:fill="auto" w:val="clear"/>
        </w:rPr>
        <w:t xml:space="preserve">Nature Reviews Cardiology.</w:t>
      </w:r>
      <w:r>
        <w:rPr>
          <w:rFonts w:ascii="Calibri" w:hAnsi="Calibri" w:cs="Calibri" w:eastAsia="Calibri"/>
          <w:color w:val="000000"/>
          <w:spacing w:val="0"/>
          <w:position w:val="0"/>
          <w:sz w:val="24"/>
          <w:shd w:fill="auto" w:val="clear"/>
        </w:rPr>
        <w:t xml:space="preserve"> 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Liu,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Single-cell transcriptomics reconstructs fate conversion from fibroblast to cardiomyocyte.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551</w:t>
      </w:r>
      <w:r>
        <w:rPr>
          <w:rFonts w:ascii="Calibri" w:hAnsi="Calibri" w:cs="Calibri" w:eastAsia="Calibri"/>
          <w:color w:val="000000"/>
          <w:spacing w:val="0"/>
          <w:position w:val="0"/>
          <w:sz w:val="24"/>
          <w:shd w:fill="auto" w:val="clear"/>
        </w:rPr>
        <w:t xml:space="preserve"> (7678), 100,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Lafzi, A., Moutinho, C., Picelli, S., Heyn, H. Tutorial: guidelines for the experimental design of single-cell RNA sequencing studies.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Consortium, T. M. Single-cell transcriptomics of 20 mouse organs creates a Tabula Muris.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562</w:t>
      </w:r>
      <w:r>
        <w:rPr>
          <w:rFonts w:ascii="Calibri" w:hAnsi="Calibri" w:cs="Calibri" w:eastAsia="Calibri"/>
          <w:color w:val="000000"/>
          <w:spacing w:val="0"/>
          <w:position w:val="0"/>
          <w:sz w:val="24"/>
          <w:shd w:fill="auto" w:val="clear"/>
        </w:rPr>
        <w:t xml:space="preserve"> (7727), 367,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Gawad, C., Koh, W., Quake, S. R. Single-cell genome sequencing: current state of the science.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175,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Gr&amp;#252;n, D., van Oudenaarden, A. Design and analysis of single-cell sequencing experiments.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(4), 799-810,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Ziegenhain,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Comparative analysis of single-cell RNA sequencing methods.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(4), 631-643. e634,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Hashimshony,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CEL-Seq2: sensitive highly-multiplexed single-cell RNA-Seq.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77,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Islam,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Characterization of the single-cell transcriptional landscape by highly multiplex RNA-seq.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(7), 1160-1167,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Macosko, E.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Highly parallel genome-wide expression profiling of individual cells using nanoliter droplets.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(5), 1202-1214,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Klein, 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Droplet barcoding for single-cell transcriptomics applied to embryonic stem cells.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(5), 1187-1201,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Chromium Single Cell 3' Reagent Kits v3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https://support.10xgenomics.com/single-cell-gene-expression/library-prep</w:t>
        </w:r>
      </w:hyperlink>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McGinnis, C.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MULTI-seq: sample multiplexing for single-cell RNA sequencing using lipid-tagged indices.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Stoeckius,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Cell hashing with barcoded antibodies enables multiplexing and doublet detection for single cell genomics.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224,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Chan, M.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Molecular recording of mammalian embryogenesis.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570</w:t>
      </w:r>
      <w:r>
        <w:rPr>
          <w:rFonts w:ascii="Calibri" w:hAnsi="Calibri" w:cs="Calibri" w:eastAsia="Calibri"/>
          <w:color w:val="000000"/>
          <w:spacing w:val="0"/>
          <w:position w:val="0"/>
          <w:sz w:val="24"/>
          <w:shd w:fill="auto" w:val="clear"/>
        </w:rPr>
        <w:t xml:space="preserve"> (7759), 77-82,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Agilent 4200 TapeStation System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https://www.agilent.com/cs/library/datasheets/public/5991-6029EN.pdf</w:t>
        </w:r>
      </w:hyperlink>
      <w:r>
        <w:rPr>
          <w:rFonts w:ascii="Calibri" w:hAnsi="Calibri" w:cs="Calibri" w:eastAsia="Calibri"/>
          <w:color w:val="000000"/>
          <w:spacing w:val="0"/>
          <w:position w:val="0"/>
          <w:sz w:val="24"/>
          <w:shd w:fill="auto" w:val="clear"/>
        </w:rPr>
        <w:t xml:space="preserve">.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SPRIselect User Guide.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https://research.fhcrc.org/content/dam/stripe/hahn/methods/mol_biol/SPRIselect%20User%20Guide.pdf</w:t>
        </w:r>
      </w:hyperlink>
      <w:r>
        <w:rPr>
          <w:rFonts w:ascii="Calibri" w:hAnsi="Calibri" w:cs="Calibri" w:eastAsia="Calibri"/>
          <w:color w:val="000000"/>
          <w:spacing w:val="0"/>
          <w:position w:val="0"/>
          <w:sz w:val="24"/>
          <w:shd w:fill="auto" w:val="clear"/>
        </w:rPr>
        <w:t xml:space="preserve">.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Qubit 4 Fluorometer User Guide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https://assets.thermofisher.com/TFS-Assets/LSG/manuals/MAN0017209_Qubit_4_Fluorometer_UG.pdf</w:t>
        </w:r>
      </w:hyperlink>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Agilent High Sensitivity DNA Kit Guide </w:t>
      </w:r>
      <w:hyperlink xmlns:r="http://schemas.openxmlformats.org/officeDocument/2006/relationships" r:id="docRId5">
        <w:r>
          <w:rPr>
            <w:rFonts w:ascii="Calibri" w:hAnsi="Calibri" w:cs="Calibri" w:eastAsia="Calibri"/>
            <w:color w:val="000000"/>
            <w:spacing w:val="0"/>
            <w:position w:val="0"/>
            <w:sz w:val="24"/>
            <w:u w:val="single"/>
            <w:shd w:fill="auto" w:val="clear"/>
          </w:rPr>
          <w:t xml:space="preserve">https://www.agilent.com/cs/library/usermanuals/public/High%20Sensitivity_DNA_KG.pdf</w:t>
        </w:r>
      </w:hyperlink>
      <w:r>
        <w:rPr>
          <w:rFonts w:ascii="Calibri" w:hAnsi="Calibri" w:cs="Calibri" w:eastAsia="Calibri"/>
          <w:color w:val="000000"/>
          <w:spacing w:val="0"/>
          <w:position w:val="0"/>
          <w:sz w:val="24"/>
          <w:shd w:fill="auto" w:val="clear"/>
        </w:rPr>
        <w:t xml:space="preserve">.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Butler, A., Hoffman, P., Smibert, P., Papalexi, E., Satija, R. Integrating single-cell transcriptomic data across different conditions, technologies, and species.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(5), 411,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Weber, R. J., Liang, S. I., Selden, N. S., Desai, T. A., Gartner, Z. J. Efficient targeting of fatty-acid modified oligonucleotides to live cell membranes through stepwise assembly.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 4621-4626,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Single Cell Protocols Cell Preparation Guide </w:t>
      </w:r>
      <w:hyperlink xmlns:r="http://schemas.openxmlformats.org/officeDocument/2006/relationships" r:id="docRId6">
        <w:r>
          <w:rPr>
            <w:rFonts w:ascii="Calibri" w:hAnsi="Calibri" w:cs="Calibri" w:eastAsia="Calibri"/>
            <w:color w:val="000000"/>
            <w:spacing w:val="0"/>
            <w:position w:val="0"/>
            <w:sz w:val="24"/>
            <w:u w:val="single"/>
            <w:shd w:fill="auto" w:val="clear"/>
          </w:rPr>
          <w:t xml:space="preserve">https://support.10xgenomics.com/single-cell-gene-expression/sample-prep</w:t>
        </w:r>
      </w:hyperlink>
      <w:r>
        <w:rPr>
          <w:rFonts w:ascii="Calibri" w:hAnsi="Calibri" w:cs="Calibri" w:eastAsia="Calibri"/>
          <w:color w:val="000000"/>
          <w:spacing w:val="0"/>
          <w:position w:val="0"/>
          <w:sz w:val="24"/>
          <w:shd w:fill="auto" w:val="clear"/>
        </w:rPr>
        <w:t xml:space="preserve">. (2017).</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research.fhcrc.org/content/dam/stripe/hahn/methods/mol_biol/SPRIselect%20User%20Guide.pdf" Id="docRId3" Type="http://schemas.openxmlformats.org/officeDocument/2006/relationships/hyperlink" /><Relationship Target="numbering.xml" Id="docRId7" Type="http://schemas.openxmlformats.org/officeDocument/2006/relationships/numbering" /><Relationship TargetMode="External" Target="https://github.com/chris-mcginnis-ucsf/MULTI-seq" Id="docRId0" Type="http://schemas.openxmlformats.org/officeDocument/2006/relationships/hyperlink" /><Relationship TargetMode="External" Target="https://www.agilent.com/cs/library/datasheets/public/5991-6029EN.pdf" Id="docRId2" Type="http://schemas.openxmlformats.org/officeDocument/2006/relationships/hyperlink" /><Relationship TargetMode="External" Target="https://assets.thermofisher.com/TFS-Assets/LSG/manuals/MAN0017209_Qubit_4_Fluorometer_UG.pdf" Id="docRId4" Type="http://schemas.openxmlformats.org/officeDocument/2006/relationships/hyperlink" /><Relationship TargetMode="External" Target="https://support.10xgenomics.com/single-cell-gene-expression/sample-prep" Id="docRId6" Type="http://schemas.openxmlformats.org/officeDocument/2006/relationships/hyperlink" /><Relationship Target="styles.xml" Id="docRId8" Type="http://schemas.openxmlformats.org/officeDocument/2006/relationships/styles" /><Relationship TargetMode="External" Target="https://support.10xgenomics.com/single-cell-gene-expression/library-prep" Id="docRId1" Type="http://schemas.openxmlformats.org/officeDocument/2006/relationships/hyperlink" /><Relationship TargetMode="External" Target="https://www.agilent.com/cs/library/usermanuals/public/High%20Sensitivity_DNA_KG.pdf" Id="docRId5" Type="http://schemas.openxmlformats.org/officeDocument/2006/relationships/hyperlink" /></Relationships>
</file>