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222222"/>
          <w:spacing w:val="0"/>
          <w:position w:val="0"/>
          <w:sz w:val="24"/>
          <w:shd w:fill="FFFFFF" w:val="clear"/>
        </w:rPr>
        <w:t xml:space="preserve">In Vivo Infection with </w:t>
      </w:r>
      <w:r>
        <w:rPr>
          <w:rFonts w:ascii="Calibri" w:hAnsi="Calibri" w:cs="Calibri" w:eastAsia="Calibri"/>
          <w:i/>
          <w:color w:val="222222"/>
          <w:spacing w:val="0"/>
          <w:position w:val="0"/>
          <w:sz w:val="24"/>
          <w:shd w:fill="FFFFFF" w:val="clear"/>
        </w:rPr>
        <w:t xml:space="preserve">Leishmania amazonensis</w:t>
      </w:r>
      <w:r>
        <w:rPr>
          <w:rFonts w:ascii="Calibri" w:hAnsi="Calibri" w:cs="Calibri" w:eastAsia="Calibri"/>
          <w:color w:val="222222"/>
          <w:spacing w:val="0"/>
          <w:position w:val="0"/>
          <w:sz w:val="24"/>
          <w:shd w:fill="FFFFFF" w:val="clear"/>
        </w:rPr>
        <w:t xml:space="preserve"> to Evaluate Parasite Virulence in Mice</w:t>
      </w:r>
    </w:p>
    <w:p>
      <w:pPr>
        <w:tabs>
          <w:tab w:val="left" w:pos="1574"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Juliana Ide Aoki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Ahyun 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Ricardo Andrade Zampieri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Lucile Maria Floeter-Winter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Fernanda Laranjeira-Silva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Institute of Bioscience, University of Sao Paulo, Sao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Maria Fernanda Laranjeira-Silva</w:t>
      </w:r>
      <w:r>
        <w:rPr>
          <w:rFonts w:ascii="Times New Roman" w:hAnsi="Times New Roman" w:cs="Times New Roman" w:eastAsia="Times New Roman"/>
          <w:color w:val="auto"/>
          <w:spacing w:val="0"/>
          <w:position w:val="0"/>
          <w:sz w:val="24"/>
          <w:shd w:fill="auto" w:val="clear"/>
        </w:rPr>
        <w:t xml:space="preserve"> </w:t>
        <w:tab/>
        <w:tab/>
        <w:t xml:space="preserve">(</w:t>
      </w:r>
      <w:r>
        <w:rPr>
          <w:rFonts w:ascii="Calibri" w:hAnsi="Calibri" w:cs="Calibri" w:eastAsia="Calibri"/>
          <w:color w:val="auto"/>
          <w:spacing w:val="0"/>
          <w:position w:val="0"/>
          <w:sz w:val="24"/>
          <w:shd w:fill="auto" w:val="clear"/>
        </w:rPr>
        <w:t xml:space="preserve">mfernandals@usp.br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Juliana Ide Aoki</w:t>
        <w:tab/>
        <w:tab/>
        <w:tab/>
        <w:tab/>
        <w:t xml:space="preserve">(juaoki@usp.br)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Ahyun Hong </w:t>
        <w:tab/>
        <w:tab/>
        <w:tab/>
        <w:tab/>
        <w:tab/>
        <w:t xml:space="preserve">(avery.ahyun.hong@ib.usp.br)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 Andrade Zampieri </w:t>
        <w:tab/>
        <w:tab/>
        <w:tab/>
        <w:t xml:space="preserve">(ricardoz@usp.br)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Lucile Maria Floeter-Winter </w:t>
        <w:tab/>
        <w:tab/>
        <w:tab/>
        <w:t xml:space="preserve">(lucile@ib.usp.br)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Maria Fernanda Laranjeira-Silva </w:t>
        <w:tab/>
        <w:tab/>
        <w:t xml:space="preserve">(mfernandals@usp.br)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C57BL/6 mice, inflammation response, parasite load, lesion development, cutaneous infection, axenic amastigotes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compiled protocol to evaluate the cutaneous infection of mice with </w:t>
      </w:r>
      <w:r>
        <w:rPr>
          <w:rFonts w:ascii="Calibri" w:hAnsi="Calibri" w:cs="Calibri" w:eastAsia="Calibri"/>
          <w:i/>
          <w:color w:val="auto"/>
          <w:spacing w:val="0"/>
          <w:position w:val="0"/>
          <w:sz w:val="24"/>
          <w:shd w:fill="auto" w:val="clear"/>
        </w:rPr>
        <w:t xml:space="preserve">Leishmania amazonensis</w:t>
      </w:r>
      <w:r>
        <w:rPr>
          <w:rFonts w:ascii="Calibri" w:hAnsi="Calibri" w:cs="Calibri" w:eastAsia="Calibri"/>
          <w:color w:val="auto"/>
          <w:spacing w:val="0"/>
          <w:position w:val="0"/>
          <w:sz w:val="24"/>
          <w:shd w:fill="auto" w:val="clear"/>
        </w:rPr>
        <w:t xml:space="preserve">. This is a reliable method for studying parasite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virulence, allowing a systemic view of the vertebrate host response to the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spp. are protozoan parasites that cause leishmaniases, diseases that present a wide spectrum of clinical manifestations from cutaneous to visceral lesions. Currently, 12 million people are estimated to be infected with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worldwide and over 1 billion people live at the risk of infection. </w:t>
      </w:r>
      <w:r>
        <w:rPr>
          <w:rFonts w:ascii="Calibri" w:hAnsi="Calibri" w:cs="Calibri" w:eastAsia="Calibri"/>
          <w:i/>
          <w:color w:val="000000"/>
          <w:spacing w:val="0"/>
          <w:position w:val="0"/>
          <w:sz w:val="24"/>
          <w:shd w:fill="auto" w:val="clear"/>
        </w:rPr>
        <w:t xml:space="preserve">Leishmania amazonensis</w:t>
      </w:r>
      <w:r>
        <w:rPr>
          <w:rFonts w:ascii="Calibri" w:hAnsi="Calibri" w:cs="Calibri" w:eastAsia="Calibri"/>
          <w:color w:val="000000"/>
          <w:spacing w:val="0"/>
          <w:position w:val="0"/>
          <w:sz w:val="24"/>
          <w:shd w:fill="auto" w:val="clear"/>
        </w:rPr>
        <w:t xml:space="preserve"> is endemic in Central and South America and usually leads to the cutaneous form of the disease, which can be directly visualized in an animal model. Therefore,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strains are good models for cutaneous leishmaniasis studies because they are also easily cultivated </w:t>
      </w:r>
      <w:r>
        <w:rPr>
          <w:rFonts w:ascii="Calibri" w:hAnsi="Calibri" w:cs="Calibri" w:eastAsia="Calibri"/>
          <w:color w:val="auto"/>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C57BL/6 mice mimic the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-driven disease progression observed in humans and are considered one of the best mice strains model for cutaneous leishmaniasis. In the vertebrate host, these parasites </w:t>
      </w:r>
      <w:r>
        <w:rPr>
          <w:rFonts w:ascii="Calibri" w:hAnsi="Calibri" w:cs="Calibri" w:eastAsia="Calibri"/>
          <w:color w:val="auto"/>
          <w:spacing w:val="0"/>
          <w:position w:val="0"/>
          <w:sz w:val="24"/>
          <w:shd w:fill="auto" w:val="clear"/>
        </w:rPr>
        <w:t xml:space="preserve">inhabit macrophages despite the defense mechanisms of these cells. Several studies use in vitro macrophage infection assays to evaluate the parasite infectivity under different conditions. However, the in vitro approach is limited to an isolated cell system that disregards the organism's response.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we compile an in vivo murine infection method that provides a systemic physiological overview of the host-parasite interaction. The detailed protocol for the in vivo infection of C57BL/6 mice with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comprises parasite differentiation into infective amastigotes, mice footpad cutaneous inoculation, lesion development, and parasite load determination. We propose this well-established method as the most adequate method for physiological studies of the host immune and metabolic responses to cutaneous leishmaniasis.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Leishmaniases are worldwide prevalent parasitic infectious diseases representing important challenges in developing countries and are recognized as one of the most important neglected tropical diseases by the World Health Organization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leishmaniases are characterized by cutaneous, mucosal, and/or visceral manifestations. Cutaneous leishmaniasis is usually caused by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mexicana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guyanensis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major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tropica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 aethiopica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form of the disease is often self-healing in humans due to the induction of protective cellular immune response. However, the cellular immune response may fail, and the disease can progress to disseminated cutaneous leishmaniasis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There is no available vaccine due to the diversity among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and host genetic backgrounds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Treatment options are also limited as most of the currently available drugs are either expensive, toxic, and/or may require long-term treatment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Besides, there have been reports of drug resistance against the available treatments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causative agent of leishmaniases is the protozoan parasite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The parasite presents two distinct morphological forms in its life cycle: promastigotes, the flagellated form found in sandflies; and amastigotes, the intracellular form found in the parasitophorous vacuoles of the mammalian host macrophages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Amastigotes’ ability to invade, survive, and replicate despite the defense mechanisms of the vertebrate host's macrophages are subject to many studies</w:t>
      </w:r>
      <w:r>
        <w:rPr>
          <w:rFonts w:ascii="Calibri" w:hAnsi="Calibri" w:cs="Calibri" w:eastAsia="Calibri"/>
          <w:color w:val="auto"/>
          <w:spacing w:val="0"/>
          <w:position w:val="0"/>
          <w:sz w:val="24"/>
          <w:shd w:fill="auto" w:val="clear"/>
          <w:vertAlign w:val="superscript"/>
        </w:rPr>
        <w:t xml:space="preserve">14,15,16,17</w:t>
      </w:r>
      <w:r>
        <w:rPr>
          <w:rFonts w:ascii="Calibri" w:hAnsi="Calibri" w:cs="Calibri" w:eastAsia="Calibri"/>
          <w:color w:val="auto"/>
          <w:spacing w:val="0"/>
          <w:position w:val="0"/>
          <w:sz w:val="24"/>
          <w:shd w:fill="auto" w:val="clear"/>
        </w:rPr>
        <w:t xml:space="preserve">. Consequently, several research groups have been describing in vitro macrophage infection assays to evaluate the impact of specific environmental factors, as well as parasite and host genes on parasite infectivity. This assay presents several advantages, such as the ability to adapt studies to a high throughput format, relatively shorter time period to obtain results, and reduced number of laboratory animals sacrificed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findings of in vitro assays are limited because they do not always replicate in vivo studies</w:t>
      </w:r>
      <w:r>
        <w:rPr>
          <w:rFonts w:ascii="Calibri" w:hAnsi="Calibri" w:cs="Calibri" w:eastAsia="Calibri"/>
          <w:color w:val="auto"/>
          <w:spacing w:val="0"/>
          <w:position w:val="0"/>
          <w:sz w:val="24"/>
          <w:shd w:fill="auto" w:val="clear"/>
          <w:vertAlign w:val="superscript"/>
        </w:rPr>
        <w:t xml:space="preserve">14,19,20,21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assays provide a systemic physiological overview of the host-parasite interaction, which cannot be fully mimicked by in vitro assays. For instance, immunological studies can be performed through immunohistochemical assays from collected footpad tissue sections or even from popliteal lymph nodes for analysis of the recovered immune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are often used as a model for human diseases in biological and biomedical research to better understand the underlying physiological mechanisms of the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 case of leishmaniasis, the route, site, or dose of inoculation influence the disease outcome</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Furthermore, susceptibility and resistance to the infection in humans and mice are highly regulated by the genetic backgrounds of the host and parasite</w:t>
      </w:r>
      <w:r>
        <w:rPr>
          <w:rFonts w:ascii="Calibri" w:hAnsi="Calibri" w:cs="Calibri" w:eastAsia="Calibri"/>
          <w:color w:val="auto"/>
          <w:spacing w:val="0"/>
          <w:position w:val="0"/>
          <w:sz w:val="24"/>
          <w:shd w:fill="auto" w:val="clear"/>
          <w:vertAlign w:val="superscript"/>
        </w:rPr>
        <w:t xml:space="preserve">4,5,22,28,29,30,31</w:t>
      </w:r>
      <w:r>
        <w:rPr>
          <w:rFonts w:ascii="Calibri" w:hAnsi="Calibri" w:cs="Calibri" w:eastAsia="Calibri"/>
          <w:color w:val="auto"/>
          <w:spacing w:val="0"/>
          <w:position w:val="0"/>
          <w:sz w:val="24"/>
          <w:shd w:fill="auto" w:val="clear"/>
        </w:rPr>
        <w:t xml:space="preserve">. BALB/c mice are highly susceptible to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cutaneous infection, showing a rapid disease progression with the parasites’ dissemination to the lymph nodes, spleen, and liver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the disease may progress to cutaneous metastases, the infection can be fatal. In contrast, C57BL/6 mice often develop chronic lesions with persistent parasite loads in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infection assays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Thereby,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infection with this particular mouse species has been considered an excellent model to study chronic forms of cutaneous leishmaniasis in humans, because it mimics the disease progression better than the BALB/c mice infection model</w:t>
      </w:r>
      <w:r>
        <w:rPr>
          <w:rFonts w:ascii="Calibri" w:hAnsi="Calibri" w:cs="Calibri" w:eastAsia="Calibri"/>
          <w:color w:val="auto"/>
          <w:spacing w:val="0"/>
          <w:position w:val="0"/>
          <w:sz w:val="24"/>
          <w:shd w:fill="auto" w:val="clear"/>
          <w:vertAlign w:val="superscript"/>
        </w:rPr>
        <w:t xml:space="preserve">5,34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we propose that the murine in vivo infection is a useful method for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virulence physiological studies applicable to human disease, allowing a systemic view of the host-parasite interaction. Revisiting well-established assays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present here a compiled step-by-step protocol of the in vivo infection of C57BL/6 mice with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that comprises the parasite differentiation into axenic amastigotes, mice footpad cutaneous inoculation, lesion development, and parasite load determination. This protocol can be adapted to other mice strains and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that cause cutaneous leishmaniases. In conclusion, the method presented here is crucial in identifying new anti-</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drug targets and vaccines, as well as in physiological studies of the host immune and metabolic responses to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approved by the Animal Care and Use Committee at the Institute of Bioscience of the University of São Paulo (CEUA 342/2019), and were conducted</w:t>
      </w:r>
      <w:r>
        <w:rPr>
          <w:rFonts w:ascii="Calibri" w:hAnsi="Calibri" w:cs="Calibri" w:eastAsia="Calibri"/>
          <w:color w:val="222222"/>
          <w:spacing w:val="0"/>
          <w:position w:val="0"/>
          <w:sz w:val="24"/>
          <w:shd w:fill="FFFFFF" w:val="clear"/>
        </w:rPr>
        <w:t xml:space="preserve"> in accordance with the recommendations and the policies for the Care and Use of Laboratory Animals of São Paulo State (Lei Estadual 11.977, de 25/08/2005) and the Brazilian government (Lei Federal 11.794, de 08/10/2008). All steps described in sections 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 should be carried out aseptically inside laminar flow cabinets. Personal protective equipment should be utilized while handling live </w:t>
      </w:r>
      <w:r>
        <w:rPr>
          <w:rFonts w:ascii="Calibri" w:hAnsi="Calibri" w:cs="Calibri" w:eastAsia="Calibri"/>
          <w:i/>
          <w:color w:val="222222"/>
          <w:spacing w:val="0"/>
          <w:position w:val="0"/>
          <w:sz w:val="24"/>
          <w:shd w:fill="FFFFFF" w:val="clear"/>
        </w:rPr>
        <w:t xml:space="preserve">Leishmania</w:t>
      </w:r>
      <w:r>
        <w:rPr>
          <w:rFonts w:ascii="Calibri" w:hAnsi="Calibri" w:cs="Calibri" w:eastAsia="Calibri"/>
          <w:color w:val="222222"/>
          <w:spacing w:val="0"/>
          <w:position w:val="0"/>
          <w:sz w:val="24"/>
          <w:shd w:fill="FFFFFF" w:val="clear"/>
        </w:rPr>
        <w:t xml:space="preserve"> parasites.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In vitro differentiation of </w:t>
      </w:r>
      <w:r>
        <w:rPr>
          <w:rFonts w:ascii="Calibri" w:hAnsi="Calibri" w:cs="Calibri" w:eastAsia="Calibri"/>
          <w:b/>
          <w:i/>
          <w:color w:val="auto"/>
          <w:spacing w:val="0"/>
          <w:position w:val="0"/>
          <w:sz w:val="24"/>
          <w:shd w:fill="FFFF00" w:val="clear"/>
        </w:rPr>
        <w:t xml:space="preserve">L. amazonensis</w:t>
      </w:r>
      <w:r>
        <w:rPr>
          <w:rFonts w:ascii="Calibri" w:hAnsi="Calibri" w:cs="Calibri" w:eastAsia="Calibri"/>
          <w:b/>
          <w:color w:val="auto"/>
          <w:spacing w:val="0"/>
          <w:position w:val="0"/>
          <w:sz w:val="24"/>
          <w:shd w:fill="FFFF00" w:val="clear"/>
        </w:rPr>
        <w:t xml:space="preserve"> promastigotes into axenic amastigotes</w:t>
      </w:r>
      <w:r>
        <w:rPr>
          <w:rFonts w:ascii="Calibri" w:hAnsi="Calibri" w:cs="Calibri" w:eastAsia="Calibri"/>
          <w:b/>
          <w:color w:val="auto"/>
          <w:spacing w:val="0"/>
          <w:position w:val="0"/>
          <w:sz w:val="24"/>
          <w:shd w:fill="FFFF00" w:val="clear"/>
          <w:vertAlign w:val="superscript"/>
        </w:rPr>
        <w:t xml:space="preserve">15,20,35,36,37,38</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(MHOM/BR/1973/M2269)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 parasite was used in this assay. Depending on the study purpose, the infective parasite form can be obtained either by purification of the metacyclic form using a density gradient, as previously described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by differentiation of promastigotes into axenic amastigotes, according to the following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Grow </w:t>
      </w:r>
      <w:r>
        <w:rPr>
          <w:rFonts w:ascii="Calibri" w:hAnsi="Calibri" w:cs="Calibri" w:eastAsia="Calibri"/>
          <w:i/>
          <w:color w:val="auto"/>
          <w:spacing w:val="0"/>
          <w:position w:val="0"/>
          <w:sz w:val="24"/>
          <w:shd w:fill="FFFF00" w:val="clear"/>
        </w:rPr>
        <w:t xml:space="preserve">La</w:t>
      </w:r>
      <w:r>
        <w:rPr>
          <w:rFonts w:ascii="Calibri" w:hAnsi="Calibri" w:cs="Calibri" w:eastAsia="Calibri"/>
          <w:color w:val="auto"/>
          <w:spacing w:val="0"/>
          <w:position w:val="0"/>
          <w:sz w:val="24"/>
          <w:shd w:fill="FFFF00" w:val="clear"/>
        </w:rPr>
        <w:t xml:space="preserve"> promastigotes in a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cell culture flask containing 10 mL of medium for promastigotes (pro-medium) (pH = 7.0).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Incubate at 25 &amp;#176;C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promastigote cultures that were passaged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less than 10x to avoid the loss of virulence and aneuploidy changes of parasites</w:t>
      </w:r>
      <w:r>
        <w:rPr>
          <w:rFonts w:ascii="Calibri" w:hAnsi="Calibri" w:cs="Calibri" w:eastAsia="Calibri"/>
          <w:color w:val="auto"/>
          <w:spacing w:val="0"/>
          <w:position w:val="0"/>
          <w:sz w:val="24"/>
          <w:shd w:fill="auto" w:val="clear"/>
          <w:vertAlign w:val="superscript"/>
        </w:rPr>
        <w:t xml:space="preserve">39,40,41,42,43,44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Pipette 5 mL of logarithmic growth phase promastigote culture into a new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Add 5 mL of medium for axenic amastigotes (ama-medium) (pH = 5.2).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Incubate at 34 &amp;#176;C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Split the culture by diluting with ama-medium at a ratio of 1:3 into a new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Incubate at 34 &amp;#176;C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Incubate the axenic amastigotes for up to 5 days, as it represents the end of maturation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C57BL/6 footpad infection with </w:t>
      </w:r>
      <w:r>
        <w:rPr>
          <w:rFonts w:ascii="Calibri" w:hAnsi="Calibri" w:cs="Calibri" w:eastAsia="Calibri"/>
          <w:b/>
          <w:i/>
          <w:color w:val="auto"/>
          <w:spacing w:val="0"/>
          <w:position w:val="0"/>
          <w:sz w:val="24"/>
          <w:shd w:fill="FFFF00" w:val="clear"/>
        </w:rPr>
        <w:t xml:space="preserve">L. amazonensis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Female C57BL/6 mice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were obtained and maintained at the Animal Center of the Biomedical Sciences Institute of the University of S</w:t>
      </w:r>
      <w:r>
        <w:rPr>
          <w:rFonts w:ascii="Calibri" w:hAnsi="Calibri" w:cs="Calibri" w:eastAsia="Calibri"/>
          <w:color w:val="auto"/>
          <w:spacing w:val="0"/>
          <w:position w:val="0"/>
          <w:sz w:val="24"/>
          <w:shd w:fill="auto" w:val="clear"/>
        </w:rPr>
        <w:t xml:space="preserve">ão Paulo. Animals received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Count the culture of axenic amastigotes by transferring an aliquot of the parasite suspension diluted in PBS to a Neubauer chamber (i.e., hemocytometer). Count the non-flagellated parasites, which represent amastigotes forms.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Trypan blue (1:1) can be used for counting the number of viable amastigotes (i.e., those not stained with 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Dilute the axenic amastigotes in PBS according to the desired inoculum dose and the number of inoculums intended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axenic amastigotes in 50 &amp;#181;L of PBS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Load a tuberculin syringe with a 27 G needle with the prepared parasite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Anesthetize a C57BL/6 mouse using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as recommended by Johns Hopkins University Animal Care and Use Committee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Assess the anesthetic depth by testing the mouse's response to a toe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Inoculate 50 &amp;#181;L of the homogenized parasite suspension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axenic amastigotes or the desired inoculum dose) in the subplantar tissue of the left hind footpad, using the previously loaded tuberculin syringe (step 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Mouse footpad lesion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Measure the progression of the lesion once a week by measuring the thickness of the left (infected) and the right (noninfected) footpads using a caliper.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Calculate the difference of the thickness between the left and right hind footpads weekly to evaluate lesion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Plot the calculated differences on the Y-axis and time of infection on the X-axis and calculate the statistical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accordance </w:t>
      </w:r>
      <w:r>
        <w:rPr>
          <w:rFonts w:ascii="Calibri" w:hAnsi="Calibri" w:cs="Calibri" w:eastAsia="Calibri"/>
          <w:color w:val="222222"/>
          <w:spacing w:val="0"/>
          <w:position w:val="0"/>
          <w:sz w:val="24"/>
          <w:shd w:fill="FFFFFF" w:val="clear"/>
        </w:rPr>
        <w:t xml:space="preserve">with the </w:t>
      </w:r>
      <w:r>
        <w:rPr>
          <w:rFonts w:ascii="Calibri" w:hAnsi="Calibri" w:cs="Calibri" w:eastAsia="Calibri"/>
          <w:color w:val="auto"/>
          <w:spacing w:val="0"/>
          <w:position w:val="0"/>
          <w:sz w:val="24"/>
          <w:shd w:fill="auto" w:val="clear"/>
        </w:rPr>
        <w:t xml:space="preserve">Animal Care and Use Committees’ </w:t>
      </w:r>
      <w:r>
        <w:rPr>
          <w:rFonts w:ascii="Calibri" w:hAnsi="Calibri" w:cs="Calibri" w:eastAsia="Calibri"/>
          <w:color w:val="222222"/>
          <w:spacing w:val="0"/>
          <w:position w:val="0"/>
          <w:sz w:val="24"/>
          <w:shd w:fill="FFFFFF" w:val="clear"/>
        </w:rPr>
        <w:t xml:space="preserve">recommendations, animals must be sacrificed before the infected lesion becomes ulcerated, because skin </w:t>
      </w:r>
      <w:r>
        <w:rPr>
          <w:rFonts w:ascii="Calibri" w:hAnsi="Calibri" w:cs="Calibri" w:eastAsia="Calibri"/>
          <w:color w:val="auto"/>
          <w:spacing w:val="0"/>
          <w:position w:val="0"/>
          <w:sz w:val="24"/>
          <w:shd w:fill="auto" w:val="clear"/>
        </w:rPr>
        <w:t xml:space="preserve">ulcers can lead to secondary infection. As shown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it takes approximately 10 weeks for the lesions to present signs of ulceration with the parasite dose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axenic amastigotes) and host strain (C57BL/6) used in this protocol. The mice should be sacrificed for lesion extraction before the signs of ulceration are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Mice footpad lesion extraction and parasite limiting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96 well plate (flat bottom) for the limiting dilution assay</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by adding 180 &amp;#181;L of pro-medium to all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four plate lanes (half of the plate) for each animal, representing quadruplicate assays (i.e., animal 1 = lanes A-D; animal 2 = lanes 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Add 1 mL of pro-medium in a glass tissue grinder tube per lesion and weigh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tube must be kept sterile, so use a sterile lid and weigh the tube with the closed lid, if weighing outside the laminar flow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4.3. Sacrifice the animal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following the Animal Care and Use Committees’ </w:t>
      </w:r>
      <w:r>
        <w:rPr>
          <w:rFonts w:ascii="Calibri" w:hAnsi="Calibri" w:cs="Calibri" w:eastAsia="Calibri"/>
          <w:color w:val="222222"/>
          <w:spacing w:val="0"/>
          <w:position w:val="0"/>
          <w:sz w:val="24"/>
          <w:shd w:fill="FFFFFF" w:val="clear"/>
        </w:rPr>
        <w:t xml:space="preserve">recommendations. Disinfect the animal by spraying with 70% ethanol.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4.4. </w:t>
      </w:r>
      <w:r>
        <w:rPr>
          <w:rFonts w:ascii="Calibri" w:hAnsi="Calibri" w:cs="Calibri" w:eastAsia="Calibri"/>
          <w:color w:val="auto"/>
          <w:spacing w:val="0"/>
          <w:position w:val="0"/>
          <w:sz w:val="24"/>
          <w:shd w:fill="FFFF00" w:val="clear"/>
        </w:rPr>
        <w:t xml:space="preserve">Excise the animal's foot at it heels to extract the infected footpad and spray 70% ethanol on the footpad for disinfection.</w:t>
      </w:r>
      <w:r>
        <w:rPr>
          <w:rFonts w:ascii="Calibri" w:hAnsi="Calibri" w:cs="Calibri" w:eastAsia="Calibri"/>
          <w:color w:val="222222"/>
          <w:spacing w:val="0"/>
          <w:position w:val="0"/>
          <w:sz w:val="24"/>
          <w:shd w:fill="FFFFFF" w:val="clear"/>
        </w:rPr>
        <w:t xml:space="preserve"> Ensure the sterilization of scissors and forceps by keeping them soaked in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Place the infected footpad in a sterile Petri dish and dissect using sterile forceps and a scalpel to collect all soft tissues. Discard the bones.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Uniformity in the dissection step is recommended to avoid biased tissue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Transfer the collected tissues to the glass tissue grinder tube with pro-medium, then weigh the tube again to determine the lesion weight.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placing the forceps and scalpel directly into the medium, as small volumes may be removed, resulting in an underestimated tissue weight. The weight of the lesion is calculated by subtracting the weight of the tube containing pro-medium with the collected tissue from the weight of tube containing only pro-medium.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Homogenize the tissue 10x using the grinder for complete tissue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Allow the mixture to sediment for 10 min, then collect 20 &amp;#181;L of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Load 20 &amp;#181;L of the supernatant in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column of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lane of the 96 well plate prepared in step 4.1. Repeat this for the next three lanes to have quadruplicates for each animal (i.e., for animal 1 add 20 &amp;#181;L to each well and label A1, B1, C1, and 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Homogenize each well in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column 10x using a multichannel pipette. Then, transfer 20 &amp;#181;L of the diluted samples from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column to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homogenize each well 10x from one column to the next.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Repeat step 4.10 to all remaining columns until the last column (12</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and discard the final 20 &amp;#181;L of diluted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the tips after each dilution to avoid cross-contamination.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 Seal the plates with a film and incubate at 25 &amp;#176;C for 7 days in a humid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Lesion parasite load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Analyze the plates after 7 days of incubation using an inverted microscope to determine the last parasite-containing well for each 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possible to have an indication of the growth of the parasites, or cell density, by visual analysis of the color changes and turbidity of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Calculate the parasite tissue load for each lane by dividing the dilution factor per lesion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specific lane, if parasites are present only in columns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(i.e., wells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A5 are positive for parasite growth), this means that column 5 contained only 1 parasite, column 4 contained 10 parasites, and so on, in multiples of ten. Column 1 would contain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parasites, which represents the number of parasites in the initial 20 &amp;#181;L of supernatant (the non-diluted sample in step 4.7). Because this 20 &amp;#181;L was diluted with 180 &amp;#181;L of pro-medium, the initial tube contained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parasites: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 (0.02 mL) =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parasites/1 mL. Then, the parasite load in that lesion can be calculated by dividing the initial concentration of the parasite by the lesion weight: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 lesion weight (see step 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Plot the average of the quadruplicated result for each animal with a log Y-scale.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Represent the data as average &amp;plusmn; standard deviation using at least five animals per experimental group as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Perform statistical analysis using unpaired two-tailed test, considering a p value &amp;lt; 0.05 as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protozoan parasites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exist in two developmental forms during their life cycle in invertebrate and vertebrate hosts: promastigotes, the proliferative forms found in the lumen of the female sandfly; and amastigotes, the proliferative forms found in the parasitophorous vacuoles of the mammalian host cells. Promastigotes have an elongated body of approximately 1.5 &amp;#181;m wide and 20 &amp;#181;m long, with a flagellum typically emerging from the anterior extremity. Amastigotes have a rounded or ovoid body ranging in size from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&amp;#181;m in length and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&amp;#181;m in width, and possess an inapparent flagellum</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During the blood meal the invertebrate host, a hematophagous insect of the family Psychodidae, acquires macrophages infected with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amastigotes. Once these cells reach the sandfly digestive tube, amastigotes are released and differentiate to procyclic promastigotes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forms are noninfective and multiply intensively by binary division and colonize the digestive tube of the insect vector. The procyclic forms then differentiate to metacyclic forms, an infective and fast-moving form, presenting a thinner body and elongated flagellum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metacyclic forms invade the anterior portions of the esophagus and proventriculus of the sandfly, so that during its next blood meal, regurgitation ensures the inoculation of these infecting forms into a new vertebrate host. In the tegument of the vertebrate host, the parasites are phagocytosed by the macrophages and differentiate into amastigotes inside the parasitophorous vacuoles, where the amastigotes multiply by binary division and complete the life cycle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Axenic conditions can simulate different host environments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 maintaining the parasite morphology and viability. Axenic conditions for amastigotes were previously described simulating a macrophage's parasitophorous vacuole environment and triggering promastigote in vitro differentiation into the amastigote form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These conditions mimic the acidic environment (pH = 5.5) and the increased temperature of the vertebrate hosts (34 &amp;#176;C).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illustrates promastigotes differentiated to amastigotes by changing these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conditions in culture. The viability of these axenic amastigotes can be analyzed by Trypan blue staining, a method based on the principle that live cells possess intact membranes that exclude certain dyes, whereas dead cells do not</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Alternatively, we analyzed the viability of axenic amastigotes verifying their ability to transform back to promastigotes when transferred to neutral pH and incubated at 25 &amp;#176;C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propose an in vivo infection method to evaluate the virulence of different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strains.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represents an in vivo infection assay showing the cutaneous lesion development of C57BL/6 mice footpads that were infected with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and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Iron Regulator 1 knockout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purified metacyclics. LIR1 regulates intracellular iron levels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mediating iron export and preventing its intracellular accumulation to toxic levels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Observing the progression of the thickness differences of the infected vs. noninfected footpads, we were able to demonstrate that the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 presented smaller lesions than</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-WT infected mice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Those findings revealed that LIR1 is essential for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in vivo virulence. This demonstrates the importance and efficacy of this method in assessing the differences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-driven cutaneous diseases.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illustrates the noninfected (right) and infected (left) footpads and lesion development 73 days postinfection, showing the differences in swelling and lesion progression of</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WT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progression of the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consists not only of the lesion development, which represents the inflammatory response, but also the parasite's intracellular replication. To evaluate parasite replication, the parasite load of the lesions was determined by extracting the infected lesion, followed by a limiting dilution assay in a 96 well plate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parasite load analysis of the footpad lesions from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 after 73 days of infection. From the limiting dilution assay, we detected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-fold fewer parasites in the lesion of the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 in comparison to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revealing that absence of LIR1 prevents intracellular replication of the amastigotes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evaluating both lesion development and parasite load is to detect possible differences of parasite intracellular replication and the host inflammatory response. We observed differences between these two phenotypes using the add-back LIR1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which is the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with the LIR1 ORF integrated back into the ribosomal locus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When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was injected into a mouse's footpad, we observed intermediate-sized lesions compared to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infections but a remarkable full parasite load rescue of the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phenotype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These results indicate that</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parasites were able to replicate like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parasites in a long-term in vivo infection. However, the mouse inflammatory response was not as exacerbated as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infections because the lesions were significantly smaller.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 method described here was shown to be essential for the identification and characterization of a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virulence factor required for the successful amastigote intracellular replication and cutaneous lesion development in the mammalian hosts.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Morphology of </w:t>
      </w:r>
      <w:r>
        <w:rPr>
          <w:rFonts w:ascii="Calibri" w:hAnsi="Calibri" w:cs="Calibri" w:eastAsia="Calibri"/>
          <w:b/>
          <w:i/>
          <w:color w:val="000000"/>
          <w:spacing w:val="0"/>
          <w:position w:val="0"/>
          <w:sz w:val="24"/>
          <w:shd w:fill="auto" w:val="clear"/>
        </w:rPr>
        <w:t xml:space="preserve">L. amazonensis</w:t>
      </w:r>
      <w:r>
        <w:rPr>
          <w:rFonts w:ascii="Calibri" w:hAnsi="Calibri" w:cs="Calibri" w:eastAsia="Calibri"/>
          <w:b/>
          <w:color w:val="000000"/>
          <w:spacing w:val="0"/>
          <w:position w:val="0"/>
          <w:sz w:val="24"/>
          <w:shd w:fill="auto" w:val="clear"/>
        </w:rPr>
        <w:t xml:space="preserve"> promastigotes and amastigotes.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Illustrations of </w:t>
      </w:r>
      <w:r>
        <w:rPr>
          <w:rFonts w:ascii="Calibri" w:hAnsi="Calibri" w:cs="Calibri" w:eastAsia="Calibri"/>
          <w:color w:val="auto"/>
          <w:spacing w:val="0"/>
          <w:position w:val="0"/>
          <w:sz w:val="24"/>
          <w:shd w:fill="auto" w:val="clear"/>
        </w:rPr>
        <w:t xml:space="preserve">the different morphological forms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procyclic promastigote, metacyclic promastigote, and amastigote. The scale bar represents 2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Pictures of in vitro</w:t>
      </w:r>
      <w:r>
        <w:rPr>
          <w:rFonts w:ascii="Calibri" w:hAnsi="Calibri" w:cs="Calibri" w:eastAsia="Calibri"/>
          <w:i/>
          <w:color w:val="auto"/>
          <w:spacing w:val="0"/>
          <w:position w:val="0"/>
          <w:sz w:val="24"/>
          <w:shd w:fill="auto" w:val="clear"/>
        </w:rPr>
        <w:t xml:space="preserve"> L. amazonensis </w:t>
      </w:r>
      <w:r>
        <w:rPr>
          <w:rFonts w:ascii="Calibri" w:hAnsi="Calibri" w:cs="Calibri" w:eastAsia="Calibri"/>
          <w:color w:val="auto"/>
          <w:spacing w:val="0"/>
          <w:position w:val="0"/>
          <w:sz w:val="24"/>
          <w:shd w:fill="auto" w:val="clear"/>
        </w:rPr>
        <w:t xml:space="preserve">cultures. In vitro differentiation of promastigotes into axenic amastigotes, and of axenic amastigotes back to promastigotes by changing the pH and temperature conditions, as described in the step-by-step protocol. The pictures were taken using an inverted microscope. The scale bar represents 50 &amp;#956;m.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LIR1 knockout markedly reduces </w:t>
      </w:r>
      <w:r>
        <w:rPr>
          <w:rFonts w:ascii="Calibri" w:hAnsi="Calibri" w:cs="Calibri" w:eastAsia="Calibri"/>
          <w:b/>
          <w:i/>
          <w:color w:val="000000"/>
          <w:spacing w:val="0"/>
          <w:position w:val="0"/>
          <w:sz w:val="24"/>
          <w:shd w:fill="auto" w:val="clear"/>
        </w:rPr>
        <w:t xml:space="preserve">L. amazonensis</w:t>
      </w:r>
      <w:r>
        <w:rPr>
          <w:rFonts w:ascii="Calibri" w:hAnsi="Calibri" w:cs="Calibri" w:eastAsia="Calibri"/>
          <w:b/>
          <w:color w:val="000000"/>
          <w:spacing w:val="0"/>
          <w:position w:val="0"/>
          <w:sz w:val="24"/>
          <w:shd w:fill="auto" w:val="clear"/>
        </w:rPr>
        <w:t xml:space="preserve"> in vivo lesion development.</w:t>
      </w:r>
      <w:r>
        <w:rPr>
          <w:rFonts w:ascii="Calibri" w:hAnsi="Calibri" w:cs="Calibri" w:eastAsia="Calibri"/>
          <w:color w:val="000000"/>
          <w:spacing w:val="0"/>
          <w:position w:val="0"/>
          <w:sz w:val="24"/>
          <w:shd w:fill="auto" w:val="clear"/>
        </w:rPr>
        <w:t xml:space="preserve"> C57BL/6 mice were inoculated</w:t>
      </w:r>
      <w:r>
        <w:rPr>
          <w:rFonts w:ascii="Calibri" w:hAnsi="Calibri" w:cs="Calibri" w:eastAsia="Calibri"/>
          <w:color w:val="auto"/>
          <w:spacing w:val="0"/>
          <w:position w:val="0"/>
          <w:sz w:val="24"/>
          <w:shd w:fill="auto" w:val="clear"/>
        </w:rPr>
        <w:t xml:space="preserve"> in the left hind footpad </w:t>
      </w:r>
      <w:r>
        <w:rPr>
          <w:rFonts w:ascii="Calibri" w:hAnsi="Calibri" w:cs="Calibri" w:eastAsia="Calibri"/>
          <w:color w:val="000000"/>
          <w:spacing w:val="0"/>
          <w:position w:val="0"/>
          <w:sz w:val="24"/>
          <w:shd w:fill="auto" w:val="clear"/>
        </w:rPr>
        <w:t xml:space="preserve">with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purified metacyclics of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LIR1 knockout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Footpad cutaneous lesion progression </w:t>
      </w:r>
      <w:r>
        <w:rPr>
          <w:rFonts w:ascii="Calibri" w:hAnsi="Calibri" w:cs="Calibri" w:eastAsia="Calibri"/>
          <w:color w:val="auto"/>
          <w:spacing w:val="0"/>
          <w:position w:val="0"/>
          <w:sz w:val="24"/>
          <w:shd w:fill="auto" w:val="clear"/>
        </w:rPr>
        <w:t xml:space="preserve">of</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-WT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 </w:t>
      </w:r>
      <w:r>
        <w:rPr>
          <w:rFonts w:ascii="Calibri" w:hAnsi="Calibri" w:cs="Calibri" w:eastAsia="Calibri"/>
          <w:color w:val="000000"/>
          <w:spacing w:val="0"/>
          <w:position w:val="0"/>
          <w:sz w:val="24"/>
          <w:shd w:fill="auto" w:val="clear"/>
        </w:rPr>
        <w:t xml:space="preserve">analyzed weekly. The data represent the average &amp;plusmn; SEM of the infected footpad subtracted by noninfected footpad </w:t>
      </w:r>
      <w:r>
        <w:rPr>
          <w:rFonts w:ascii="Calibri" w:hAnsi="Calibri" w:cs="Calibri" w:eastAsia="Calibri"/>
          <w:color w:val="auto"/>
          <w:spacing w:val="0"/>
          <w:position w:val="0"/>
          <w:sz w:val="24"/>
          <w:shd w:fill="auto" w:val="clear"/>
        </w:rPr>
        <w:t xml:space="preserve">thickness </w:t>
      </w:r>
      <w:r>
        <w:rPr>
          <w:rFonts w:ascii="Calibri" w:hAnsi="Calibri" w:cs="Calibri" w:eastAsia="Calibri"/>
          <w:color w:val="000000"/>
          <w:spacing w:val="0"/>
          <w:position w:val="0"/>
          <w:sz w:val="24"/>
          <w:shd w:fill="auto" w:val="clear"/>
        </w:rPr>
        <w:t xml:space="preserve">from five different mice in each group (adapted from Laranjeira-Silva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Pictures </w:t>
      </w:r>
      <w:r>
        <w:rPr>
          <w:rFonts w:ascii="Calibri" w:hAnsi="Calibri" w:cs="Calibri" w:eastAsia="Calibri"/>
          <w:color w:val="000000"/>
          <w:spacing w:val="0"/>
          <w:position w:val="0"/>
          <w:sz w:val="24"/>
          <w:shd w:fill="auto" w:val="clear"/>
        </w:rPr>
        <w:t xml:space="preserve">of the noninfected and infected footpads of </w:t>
      </w:r>
      <w:r>
        <w:rPr>
          <w:rFonts w:ascii="Calibri" w:hAnsi="Calibri" w:cs="Calibri" w:eastAsia="Calibri"/>
          <w:i/>
          <w:color w:val="000000"/>
          <w:spacing w:val="0"/>
          <w:position w:val="0"/>
          <w:sz w:val="24"/>
          <w:shd w:fill="auto" w:val="clear"/>
        </w:rPr>
        <w:t xml:space="preserve">La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infected mice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showing the differences in swelling 73 days postinfection </w:t>
      </w:r>
      <w:r>
        <w:rPr>
          <w:rFonts w:ascii="Calibri" w:hAnsi="Calibri" w:cs="Calibri" w:eastAsia="Calibri"/>
          <w:color w:val="000000"/>
          <w:spacing w:val="0"/>
          <w:position w:val="0"/>
          <w:sz w:val="24"/>
          <w:shd w:fill="auto" w:val="clear"/>
        </w:rPr>
        <w:t xml:space="preserve">(adapted from Laranjeira-Silva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LIR1 knockout markedly reduces </w:t>
      </w:r>
      <w:r>
        <w:rPr>
          <w:rFonts w:ascii="Calibri" w:hAnsi="Calibri" w:cs="Calibri" w:eastAsia="Calibri"/>
          <w:b/>
          <w:i/>
          <w:color w:val="000000"/>
          <w:spacing w:val="0"/>
          <w:position w:val="0"/>
          <w:sz w:val="24"/>
          <w:shd w:fill="auto" w:val="clear"/>
        </w:rPr>
        <w:t xml:space="preserve">L. amazonensis</w:t>
      </w:r>
      <w:r>
        <w:rPr>
          <w:rFonts w:ascii="Calibri" w:hAnsi="Calibri" w:cs="Calibri" w:eastAsia="Calibri"/>
          <w:b/>
          <w:color w:val="000000"/>
          <w:spacing w:val="0"/>
          <w:position w:val="0"/>
          <w:sz w:val="24"/>
          <w:shd w:fill="auto" w:val="clear"/>
        </w:rPr>
        <w:t xml:space="preserve"> in vivo</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intracellular replication.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illustration of a 96 well plate representing the 10x serial dilutions of the recovered footpad tissues infected with</w:t>
      </w:r>
      <w:r>
        <w:rPr>
          <w:rFonts w:ascii="Calibri" w:hAnsi="Calibri" w:cs="Calibri" w:eastAsia="Calibri"/>
          <w:i/>
          <w:color w:val="000000"/>
          <w:spacing w:val="0"/>
          <w:position w:val="0"/>
          <w:sz w:val="24"/>
          <w:shd w:fill="auto" w:val="clear"/>
        </w:rPr>
        <w:t xml:space="preserve"> L. amazonensis</w:t>
      </w:r>
      <w:r>
        <w:rPr>
          <w:rFonts w:ascii="Calibri" w:hAnsi="Calibri" w:cs="Calibri" w:eastAsia="Calibri"/>
          <w:color w:val="000000"/>
          <w:spacing w:val="0"/>
          <w:position w:val="0"/>
          <w:sz w:val="24"/>
          <w:shd w:fill="auto" w:val="clear"/>
        </w:rPr>
        <w:t xml:space="preserve">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 and LIR1 knockout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Rows A-D represent the quadruplicate of the serial dilutions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the</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-footpad lesion sample. Rows E-H represent the quadruplicate of the serial dilutions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the</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-footpad lesion sample. The different shades of gray represent the observed cell densities per well (i.e., lighter color means fewer parasites). The wells marked in red represent the last wells that contained parasites per replicate.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Parasite load in recovered footpad tissues of C57BL/6 mice infected with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purified metacyclics of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LIR1 knockout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determined 73 days postinfection. The data represent the average of the parasite load per mg of tissue from five different mice in each group (adapted from Laranjeira-Silva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Skin ulcer as indicative of a secondary infection. </w:t>
      </w:r>
      <w:r>
        <w:rPr>
          <w:rFonts w:ascii="Calibri" w:hAnsi="Calibri" w:cs="Calibri" w:eastAsia="Calibri"/>
          <w:color w:val="000000"/>
          <w:spacing w:val="0"/>
          <w:position w:val="0"/>
          <w:sz w:val="24"/>
          <w:shd w:fill="auto" w:val="clear"/>
        </w:rPr>
        <w:t xml:space="preserve">Representative pictures of C57BL/6 mice footpads infected with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taken </w:t>
      </w:r>
      <w:r>
        <w:rPr>
          <w:rFonts w:ascii="Calibri" w:hAnsi="Calibri" w:cs="Calibri" w:eastAsia="Calibri"/>
          <w:color w:val="000000"/>
          <w:spacing w:val="0"/>
          <w:position w:val="0"/>
          <w:sz w:val="24"/>
          <w:shd w:fill="auto" w:val="clear"/>
        </w:rPr>
        <w:t xml:space="preserve">80 days postinfection. </w:t>
      </w:r>
      <w:r>
        <w:rPr>
          <w:rFonts w:ascii="Calibri" w:hAnsi="Calibri" w:cs="Calibri" w:eastAsia="Calibri"/>
          <w:color w:val="auto"/>
          <w:spacing w:val="0"/>
          <w:position w:val="0"/>
          <w:sz w:val="24"/>
          <w:shd w:fill="auto" w:val="clear"/>
        </w:rPr>
        <w:t xml:space="preserve">Red arrows point to </w:t>
      </w:r>
      <w:r>
        <w:rPr>
          <w:rFonts w:ascii="Calibri" w:hAnsi="Calibri" w:cs="Calibri" w:eastAsia="Calibri"/>
          <w:color w:val="000000"/>
          <w:spacing w:val="0"/>
          <w:position w:val="0"/>
          <w:sz w:val="24"/>
          <w:shd w:fill="auto" w:val="clear"/>
        </w:rPr>
        <w:t xml:space="preserve">signs of ulceration, indicating that the experiment should be terminated.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role of LIR1</w:t>
      </w:r>
      <w:r>
        <w:rPr>
          <w:rFonts w:ascii="Calibri" w:hAnsi="Calibri" w:cs="Calibri" w:eastAsia="Calibri"/>
          <w:b/>
          <w:color w:val="000000"/>
          <w:spacing w:val="0"/>
          <w:position w:val="0"/>
          <w:sz w:val="24"/>
          <w:shd w:fill="auto" w:val="clear"/>
        </w:rPr>
        <w:t xml:space="preserve"> on in vivo lesion development and intracellular parasite replication.</w:t>
      </w:r>
      <w:r>
        <w:rPr>
          <w:rFonts w:ascii="Calibri" w:hAnsi="Calibri" w:cs="Calibri" w:eastAsia="Calibri"/>
          <w:color w:val="000000"/>
          <w:spacing w:val="0"/>
          <w:position w:val="0"/>
          <w:sz w:val="24"/>
          <w:shd w:fill="auto" w:val="clear"/>
        </w:rPr>
        <w:t xml:space="preserve"> C57BL/6 mice were inoculated</w:t>
      </w:r>
      <w:r>
        <w:rPr>
          <w:rFonts w:ascii="Calibri" w:hAnsi="Calibri" w:cs="Calibri" w:eastAsia="Calibri"/>
          <w:color w:val="auto"/>
          <w:spacing w:val="0"/>
          <w:position w:val="0"/>
          <w:sz w:val="24"/>
          <w:shd w:fill="auto" w:val="clear"/>
        </w:rPr>
        <w:t xml:space="preserve"> in the left hind footpad </w:t>
      </w:r>
      <w:r>
        <w:rPr>
          <w:rFonts w:ascii="Calibri" w:hAnsi="Calibri" w:cs="Calibri" w:eastAsia="Calibri"/>
          <w:color w:val="000000"/>
          <w:spacing w:val="0"/>
          <w:position w:val="0"/>
          <w:sz w:val="24"/>
          <w:shd w:fill="auto" w:val="clear"/>
        </w:rPr>
        <w:t xml:space="preserve">with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purified metacyclics of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wild type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LIR1 knockout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 amazonensis</w:t>
      </w:r>
      <w:r>
        <w:rPr>
          <w:rFonts w:ascii="Calibri" w:hAnsi="Calibri" w:cs="Calibri" w:eastAsia="Calibri"/>
          <w:color w:val="000000"/>
          <w:spacing w:val="0"/>
          <w:position w:val="0"/>
          <w:sz w:val="24"/>
          <w:shd w:fill="auto" w:val="clear"/>
        </w:rPr>
        <w:t xml:space="preserve"> LIR1 add-back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Footpad cutaneous lesion progression </w:t>
      </w:r>
      <w:r>
        <w:rPr>
          <w:rFonts w:ascii="Calibri" w:hAnsi="Calibri" w:cs="Calibri" w:eastAsia="Calibri"/>
          <w:color w:val="auto"/>
          <w:spacing w:val="0"/>
          <w:position w:val="0"/>
          <w:sz w:val="24"/>
          <w:shd w:fill="auto" w:val="clear"/>
        </w:rPr>
        <w:t xml:space="preserve">of</w:t>
      </w:r>
      <w:r>
        <w:rPr>
          <w:rFonts w:ascii="Calibri" w:hAnsi="Calibri" w:cs="Calibri" w:eastAsia="Calibri"/>
          <w:i/>
          <w:color w:val="auto"/>
          <w:spacing w:val="0"/>
          <w:position w:val="0"/>
          <w:sz w:val="24"/>
          <w:shd w:fill="auto" w:val="clear"/>
        </w:rPr>
        <w:t xml:space="preserve"> La</w:t>
      </w:r>
      <w:r>
        <w:rPr>
          <w:rFonts w:ascii="Calibri" w:hAnsi="Calibri" w:cs="Calibri" w:eastAsia="Calibri"/>
          <w:color w:val="auto"/>
          <w:spacing w:val="0"/>
          <w:position w:val="0"/>
          <w:sz w:val="24"/>
          <w:shd w:fill="auto" w:val="clear"/>
        </w:rPr>
        <w:t xml:space="preserve">-WT,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infected mice </w:t>
      </w:r>
      <w:r>
        <w:rPr>
          <w:rFonts w:ascii="Calibri" w:hAnsi="Calibri" w:cs="Calibri" w:eastAsia="Calibri"/>
          <w:color w:val="000000"/>
          <w:spacing w:val="0"/>
          <w:position w:val="0"/>
          <w:sz w:val="24"/>
          <w:shd w:fill="auto" w:val="clear"/>
        </w:rPr>
        <w:t xml:space="preserve">analyzed weekly. The data represent the average &amp;plusmn; SEM of the infected footpad subtracted by noninfected footpad </w:t>
      </w:r>
      <w:r>
        <w:rPr>
          <w:rFonts w:ascii="Calibri" w:hAnsi="Calibri" w:cs="Calibri" w:eastAsia="Calibri"/>
          <w:color w:val="auto"/>
          <w:spacing w:val="0"/>
          <w:position w:val="0"/>
          <w:sz w:val="24"/>
          <w:shd w:fill="auto" w:val="clear"/>
        </w:rPr>
        <w:t xml:space="preserve">thickness </w:t>
      </w:r>
      <w:r>
        <w:rPr>
          <w:rFonts w:ascii="Calibri" w:hAnsi="Calibri" w:cs="Calibri" w:eastAsia="Calibri"/>
          <w:color w:val="000000"/>
          <w:spacing w:val="0"/>
          <w:position w:val="0"/>
          <w:sz w:val="24"/>
          <w:shd w:fill="auto" w:val="clear"/>
        </w:rPr>
        <w:t xml:space="preserve">from five different mice in each group (adapted from Laranjeira-Silva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Parasite load in recovered footpad tissues from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-WT,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infected mice </w:t>
      </w:r>
      <w:r>
        <w:rPr>
          <w:rFonts w:ascii="Calibri" w:hAnsi="Calibri" w:cs="Calibri" w:eastAsia="Calibri"/>
          <w:color w:val="000000"/>
          <w:spacing w:val="0"/>
          <w:position w:val="0"/>
          <w:sz w:val="24"/>
          <w:shd w:fill="auto" w:val="clear"/>
        </w:rPr>
        <w:t xml:space="preserve">determined 73 days postinfection. The data represent the average of the parasite load per mg of tissue from five different mice in each group (adapted from Laranjeira-Silva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 vivo infection assay described in this protocol allows any researcher to evaluate in vivo cutaneous leishmaniasis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considering the host-parasite interaction in a systemic scenario. These assays have been used by many groups</w:t>
      </w:r>
      <w:r>
        <w:rPr>
          <w:rFonts w:ascii="Calibri" w:hAnsi="Calibri" w:cs="Calibri" w:eastAsia="Calibri"/>
          <w:color w:val="auto"/>
          <w:spacing w:val="0"/>
          <w:position w:val="0"/>
          <w:sz w:val="24"/>
          <w:shd w:fill="auto" w:val="clear"/>
          <w:vertAlign w:val="superscript"/>
        </w:rPr>
        <w:t xml:space="preserve">22,24,27,29,31,32,34,49</w:t>
      </w:r>
      <w:r>
        <w:rPr>
          <w:rFonts w:ascii="Calibri" w:hAnsi="Calibri" w:cs="Calibri" w:eastAsia="Calibri"/>
          <w:color w:val="auto"/>
          <w:spacing w:val="0"/>
          <w:position w:val="0"/>
          <w:sz w:val="24"/>
          <w:shd w:fill="auto" w:val="clear"/>
        </w:rPr>
        <w:t xml:space="preserve"> and here we compiled a step-by-step protocol to standardize this method while considering the infrastructure limitations that some groups may have. This protocol can also be used to evaluate virulence of transgenic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parasites by in vivo bioimaging</w:t>
      </w:r>
      <w:r>
        <w:rPr>
          <w:rFonts w:ascii="Calibri" w:hAnsi="Calibri" w:cs="Calibri" w:eastAsia="Calibri"/>
          <w:color w:val="auto"/>
          <w:spacing w:val="0"/>
          <w:position w:val="0"/>
          <w:sz w:val="24"/>
          <w:shd w:fill="auto" w:val="clear"/>
          <w:vertAlign w:val="superscript"/>
        </w:rPr>
        <w:t xml:space="preserve">50,51,52</w:t>
      </w:r>
      <w:r>
        <w:rPr>
          <w:rFonts w:ascii="Calibri" w:hAnsi="Calibri" w:cs="Calibri" w:eastAsia="Calibri"/>
          <w:color w:val="auto"/>
          <w:spacing w:val="0"/>
          <w:position w:val="0"/>
          <w:sz w:val="24"/>
          <w:shd w:fill="auto" w:val="clear"/>
        </w:rPr>
        <w:t xml:space="preserve">. As any other experimental procedure, this assay has limitations and critical steps to execute, such as requiring trained personnel that are comfortable working with mice and have experience in performing subplantar injections to avoid accidental infections. Standardizing protocols is extremely important to avoid biased results and to produce comparable results among different research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using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as a model for cutaneous leishmaniases is because the footpad lesion caused by this species can be easily assessed in mice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swelling of the footpad determined by the method described here represents the sum of two infection phenotypes: host inflammatory response and parasite replication. Both phenotypes can be evaluated separately by associating the parasite tissue load method that reflects parasite intracellular replication with the determination of the lesion thickness progression. Another advantage is that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promastigotes are easily cultivated in vitro. Considering these, any research group can manipulate this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according to their needs. The findings from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studies may be then compared with other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to determine whether a specific pathway is evolutionarily conserved or divergent</w:t>
      </w:r>
      <w:r>
        <w:rPr>
          <w:rFonts w:ascii="Calibri" w:hAnsi="Calibri" w:cs="Calibri" w:eastAsia="Calibri"/>
          <w:color w:val="auto"/>
          <w:spacing w:val="0"/>
          <w:position w:val="0"/>
          <w:sz w:val="24"/>
          <w:shd w:fill="auto" w:val="clear"/>
          <w:vertAlign w:val="superscript"/>
        </w:rPr>
        <w:t xml:space="preserve">21,53,54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natural cycle,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transmission to the vertebrate host occurs by the bite of an infected sand fly during the blood meal. The sand fly usually inoculates a few hundred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metacyclic promastigote forms in the insect's saliva. In experimental in vivo infections, the most frequent site of inoculation is the animal's footpad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Intradermal injection into the ear or intraperitoneal injection are alternative sites of inoculation depending on the study purpose because each site presents different phagocytic cell types</w:t>
      </w:r>
      <w:r>
        <w:rPr>
          <w:rFonts w:ascii="Calibri" w:hAnsi="Calibri" w:cs="Calibri" w:eastAsia="Calibri"/>
          <w:color w:val="auto"/>
          <w:spacing w:val="0"/>
          <w:position w:val="0"/>
          <w:sz w:val="24"/>
          <w:shd w:fill="auto" w:val="clear"/>
          <w:vertAlign w:val="superscript"/>
        </w:rPr>
        <w:t xml:space="preserve">24,56</w:t>
      </w:r>
      <w:r>
        <w:rPr>
          <w:rFonts w:ascii="Calibri" w:hAnsi="Calibri" w:cs="Calibri" w:eastAsia="Calibri"/>
          <w:color w:val="auto"/>
          <w:spacing w:val="0"/>
          <w:position w:val="0"/>
          <w:sz w:val="24"/>
          <w:shd w:fill="auto" w:val="clear"/>
        </w:rPr>
        <w:t xml:space="preserve">. Therefore, some research groups use laboratory-infected sand flies to infect the animal's ear dermis to mimic the natural transmission</w:t>
      </w:r>
      <w:r>
        <w:rPr>
          <w:rFonts w:ascii="Calibri" w:hAnsi="Calibri" w:cs="Calibri" w:eastAsia="Calibri"/>
          <w:color w:val="auto"/>
          <w:spacing w:val="0"/>
          <w:position w:val="0"/>
          <w:sz w:val="24"/>
          <w:shd w:fill="auto" w:val="clear"/>
          <w:vertAlign w:val="superscript"/>
        </w:rPr>
        <w:t xml:space="preserve">56,57,58,59</w:t>
      </w:r>
      <w:r>
        <w:rPr>
          <w:rFonts w:ascii="Calibri" w:hAnsi="Calibri" w:cs="Calibri" w:eastAsia="Calibri"/>
          <w:color w:val="auto"/>
          <w:spacing w:val="0"/>
          <w:position w:val="0"/>
          <w:sz w:val="24"/>
          <w:shd w:fill="auto" w:val="clear"/>
        </w:rPr>
        <w:t xml:space="preserve">. However, this protocol presents some restrictions, such as the maintenance of sand fly colonies, which requires facilities not available for most research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work describing in vivo C57BL/6 infection with </w:t>
      </w:r>
      <w:r>
        <w:rPr>
          <w:rFonts w:ascii="Calibri" w:hAnsi="Calibri" w:cs="Calibri" w:eastAsia="Calibri"/>
          <w:i/>
          <w:color w:val="auto"/>
          <w:spacing w:val="0"/>
          <w:position w:val="0"/>
          <w:sz w:val="24"/>
          <w:shd w:fill="auto" w:val="clear"/>
        </w:rPr>
        <w:t xml:space="preserve">La</w:t>
      </w:r>
      <w:r>
        <w:rPr>
          <w:rFonts w:ascii="Calibri" w:hAnsi="Calibri" w:cs="Calibri" w:eastAsia="Calibri"/>
          <w:color w:val="auto"/>
          <w:spacing w:val="0"/>
          <w:position w:val="0"/>
          <w:sz w:val="24"/>
          <w:shd w:fill="auto" w:val="clear"/>
        </w:rPr>
        <w:t xml:space="preserve">-LIR1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has used purified metacyclic promastigotes forms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genetic manipulation can impair either the promastigotes' differentiation into axenic amastigotes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into metacyclic infective forms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depending on the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strain, the researcher should determine the most adequate method to obtain viable infective parasite forms for their study. The protocol of axenic amastigotes differentiated from promastigote cultures described here can be an easier alternative, producing comparable results in many cases</w:t>
      </w:r>
      <w:r>
        <w:rPr>
          <w:rFonts w:ascii="Calibri" w:hAnsi="Calibri" w:cs="Calibri" w:eastAsia="Calibri"/>
          <w:color w:val="auto"/>
          <w:spacing w:val="0"/>
          <w:position w:val="0"/>
          <w:sz w:val="24"/>
          <w:shd w:fill="auto" w:val="clear"/>
          <w:vertAlign w:val="superscript"/>
        </w:rPr>
        <w:t xml:space="preserve">19,20,35,37,38,64</w:t>
      </w:r>
      <w:r>
        <w:rPr>
          <w:rFonts w:ascii="Calibri" w:hAnsi="Calibri" w:cs="Calibri" w:eastAsia="Calibri"/>
          <w:color w:val="auto"/>
          <w:spacing w:val="0"/>
          <w:position w:val="0"/>
          <w:sz w:val="24"/>
          <w:shd w:fill="auto" w:val="clear"/>
        </w:rPr>
        <w:t xml:space="preserve">. This approach avoids the use of other methods that typically result in lower yields of infective parasites, such as incubating promastigotes with specific but not widely available antibodies</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for metacyclic promastigotes purification, or by density gradient dependent of metacyclics’ LPG expression</w:t>
      </w:r>
      <w:r>
        <w:rPr>
          <w:rFonts w:ascii="Calibri" w:hAnsi="Calibri" w:cs="Calibri" w:eastAsia="Calibri"/>
          <w:color w:val="auto"/>
          <w:spacing w:val="0"/>
          <w:position w:val="0"/>
          <w:sz w:val="24"/>
          <w:shd w:fill="auto" w:val="clear"/>
          <w:vertAlign w:val="superscript"/>
        </w:rPr>
        <w:t xml:space="preserve">18,66</w:t>
      </w:r>
      <w:r>
        <w:rPr>
          <w:rFonts w:ascii="Calibri" w:hAnsi="Calibri" w:cs="Calibri" w:eastAsia="Calibri"/>
          <w:color w:val="auto"/>
          <w:spacing w:val="0"/>
          <w:position w:val="0"/>
          <w:sz w:val="24"/>
          <w:shd w:fill="auto" w:val="clear"/>
        </w:rPr>
        <w:t xml:space="preserve">. The efficiency of the differentiation protocol can be evaluated by determining the expression levels of amastin-family genes</w:t>
      </w:r>
      <w:r>
        <w:rPr>
          <w:rFonts w:ascii="Calibri" w:hAnsi="Calibri" w:cs="Calibri" w:eastAsia="Calibri"/>
          <w:color w:val="auto"/>
          <w:spacing w:val="0"/>
          <w:position w:val="0"/>
          <w:sz w:val="24"/>
          <w:shd w:fill="auto" w:val="clear"/>
          <w:vertAlign w:val="superscript"/>
        </w:rPr>
        <w:t xml:space="preserve">64,67</w:t>
      </w:r>
      <w:r>
        <w:rPr>
          <w:rFonts w:ascii="Calibri" w:hAnsi="Calibri" w:cs="Calibri" w:eastAsia="Calibri"/>
          <w:color w:val="auto"/>
          <w:spacing w:val="0"/>
          <w:position w:val="0"/>
          <w:sz w:val="24"/>
          <w:shd w:fill="auto" w:val="clear"/>
        </w:rPr>
        <w:t xml:space="preserve">. Amastins are members of a conserved gene family that are differentially modulated during the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life cycle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and are associated with parasite virulence and pathogenesis</w:t>
      </w:r>
      <w:r>
        <w:rPr>
          <w:rFonts w:ascii="Calibri" w:hAnsi="Calibri" w:cs="Calibri" w:eastAsia="Calibri"/>
          <w:color w:val="auto"/>
          <w:spacing w:val="0"/>
          <w:position w:val="0"/>
          <w:sz w:val="24"/>
          <w:shd w:fill="auto" w:val="clear"/>
          <w:vertAlign w:val="superscript"/>
        </w:rPr>
        <w:t xml:space="preserve">67,69,70</w:t>
      </w:r>
      <w:r>
        <w:rPr>
          <w:rFonts w:ascii="Calibri" w:hAnsi="Calibri" w:cs="Calibri" w:eastAsia="Calibri"/>
          <w:color w:val="auto"/>
          <w:spacing w:val="0"/>
          <w:position w:val="0"/>
          <w:sz w:val="24"/>
          <w:shd w:fill="auto" w:val="clear"/>
        </w:rPr>
        <w:t xml:space="preserve">. Other markers can also be used to distinguish amastigote from promastigote forms. For example, gp63 is downregulated in amastigotes, because its role is to protect the promastigotes from the insect’s digestive enzymes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the mouse strain is another critical step to be considered when developing a standardized in vivo infection protocol. Susceptibility and resistance to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in mice are mainly regulated by genetic background</w:t>
      </w:r>
      <w:r>
        <w:rPr>
          <w:rFonts w:ascii="Calibri" w:hAnsi="Calibri" w:cs="Calibri" w:eastAsia="Calibri"/>
          <w:color w:val="auto"/>
          <w:spacing w:val="0"/>
          <w:position w:val="0"/>
          <w:sz w:val="24"/>
          <w:shd w:fill="auto" w:val="clear"/>
          <w:vertAlign w:val="superscript"/>
        </w:rPr>
        <w:t xml:space="preserve">29,30,55</w:t>
      </w:r>
      <w:r>
        <w:rPr>
          <w:rFonts w:ascii="Calibri" w:hAnsi="Calibri" w:cs="Calibri" w:eastAsia="Calibri"/>
          <w:color w:val="auto"/>
          <w:spacing w:val="0"/>
          <w:position w:val="0"/>
          <w:sz w:val="24"/>
          <w:shd w:fill="auto" w:val="clear"/>
        </w:rPr>
        <w:t xml:space="preserve">. In this protocol, the C57BL/6 strain was chosen because its immune response to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is closely related to the mixed Th1-Th2 response in humans</w:t>
      </w:r>
      <w:r>
        <w:rPr>
          <w:rFonts w:ascii="Calibri" w:hAnsi="Calibri" w:cs="Calibri" w:eastAsia="Calibri"/>
          <w:color w:val="auto"/>
          <w:spacing w:val="0"/>
          <w:position w:val="0"/>
          <w:sz w:val="24"/>
          <w:shd w:fill="auto" w:val="clear"/>
          <w:vertAlign w:val="superscript"/>
        </w:rPr>
        <w:t xml:space="preserve">72,73</w:t>
      </w:r>
      <w:r>
        <w:rPr>
          <w:rFonts w:ascii="Calibri" w:hAnsi="Calibri" w:cs="Calibri" w:eastAsia="Calibri"/>
          <w:color w:val="auto"/>
          <w:spacing w:val="0"/>
          <w:position w:val="0"/>
          <w:sz w:val="24"/>
          <w:shd w:fill="auto" w:val="clear"/>
        </w:rPr>
        <w:t xml:space="preserve">. Experimental murine infections with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have been described to cause moderate lesions in C57BL/6 mice in comparison to other mice strains</w:t>
      </w:r>
      <w:r>
        <w:rPr>
          <w:rFonts w:ascii="Calibri" w:hAnsi="Calibri" w:cs="Calibri" w:eastAsia="Calibri"/>
          <w:color w:val="auto"/>
          <w:spacing w:val="0"/>
          <w:position w:val="0"/>
          <w:sz w:val="24"/>
          <w:shd w:fill="auto" w:val="clear"/>
          <w:vertAlign w:val="superscript"/>
        </w:rPr>
        <w:t xml:space="preserve">28,34,74</w:t>
      </w:r>
      <w:r>
        <w:rPr>
          <w:rFonts w:ascii="Calibri" w:hAnsi="Calibri" w:cs="Calibri" w:eastAsia="Calibri"/>
          <w:color w:val="auto"/>
          <w:spacing w:val="0"/>
          <w:position w:val="0"/>
          <w:sz w:val="24"/>
          <w:shd w:fill="auto" w:val="clear"/>
        </w:rPr>
        <w:t xml:space="preserve">. However, depending on the parasite strain, differences in the lesion size are only detectable in susceptible mice strains, like BALB/c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time course of infection also needs to be considered and correlates with the chosen mice strain</w:t>
      </w:r>
      <w:r>
        <w:rPr>
          <w:rFonts w:ascii="Calibri" w:hAnsi="Calibri" w:cs="Calibri" w:eastAsia="Calibri"/>
          <w:color w:val="auto"/>
          <w:spacing w:val="0"/>
          <w:position w:val="0"/>
          <w:sz w:val="24"/>
          <w:shd w:fill="auto" w:val="clear"/>
          <w:vertAlign w:val="superscript"/>
        </w:rPr>
        <w:t xml:space="preserve">29,26,60,61,62,63,75</w:t>
      </w:r>
      <w:r>
        <w:rPr>
          <w:rFonts w:ascii="Calibri" w:hAnsi="Calibri" w:cs="Calibri" w:eastAsia="Calibri"/>
          <w:color w:val="auto"/>
          <w:spacing w:val="0"/>
          <w:position w:val="0"/>
          <w:sz w:val="24"/>
          <w:shd w:fill="auto" w:val="clear"/>
        </w:rPr>
        <w:t xml:space="preserve">. Ulcerated footpads should always be avoided as it may represent secondary infections and are often observed at long periods of infection, especially in experiments with susceptible mice strains. Designating the time of the day to start the infection is another step to be considered. As demonstrated in previous studies with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the time of the day of parasite inoculum affects lesion development because the host-parasite interaction is affected in a circadian manner by the pineal-released melatonin during the dark time of day</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disadvantage of the in vivo infection method is that the experiment requires the use of a substantial number of laboratory animals and takes longer time to obtain final results compared to the in vitro infection method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this latter aspect can be also considered as an advantage since the in vivo results reflect the natural time course of disease progression more accurately than the results obtained from in vitro infection. More importantly, the findings from </w:t>
      </w:r>
      <w:r>
        <w:rPr>
          <w:rFonts w:ascii="Calibri" w:hAnsi="Calibri" w:cs="Calibri" w:eastAsia="Calibri"/>
          <w:i/>
          <w:color w:val="auto"/>
          <w:spacing w:val="0"/>
          <w:position w:val="0"/>
          <w:sz w:val="24"/>
          <w:shd w:fill="auto" w:val="clear"/>
        </w:rPr>
        <w:t xml:space="preserve">L. amazonensis </w:t>
      </w:r>
      <w:r>
        <w:rPr>
          <w:rFonts w:ascii="Calibri" w:hAnsi="Calibri" w:cs="Calibri" w:eastAsia="Calibri"/>
          <w:color w:val="auto"/>
          <w:spacing w:val="0"/>
          <w:position w:val="0"/>
          <w:sz w:val="24"/>
          <w:shd w:fill="auto" w:val="clear"/>
        </w:rPr>
        <w:t xml:space="preserve">in vivo infection cannot only reflect the transient changes in parasite virulence but also acknowledges the systemic status of the host and all its players. Therefore, considering the several factors mentioned above, the method described in this protocol can be adapted to meet specific experimental needs for characterization of other targets and treatments related to virulence allowing new insights for cutaneous leishmaniasis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We would like to thank Prof. Dr. Niels Olsen Saraiva Câmara from the Animal Center of the Biomedical Sciences Institute of the University of São Paulo for the support and Prof. Dr. Silvia Reni Uliana for providing the glass tissue grinder. This work was supported by Sao Paulo Research Foundation (FAPESP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MFLS' grant 2017/23933-3).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Alvar, J. et al. Leishmaniasis worldwide and global estimates of its incidence.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e35671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Ashford, R. W. The leishmaniases as emerging and reemerging zoonoses. </w:t>
      </w:r>
      <w:r>
        <w:rPr>
          <w:rFonts w:ascii="Calibri" w:hAnsi="Calibri" w:cs="Calibri" w:eastAsia="Calibri"/>
          <w:i/>
          <w:color w:val="000000"/>
          <w:spacing w:val="0"/>
          <w:position w:val="0"/>
          <w:sz w:val="24"/>
          <w:shd w:fill="auto" w:val="clear"/>
        </w:rPr>
        <w:t xml:space="preserve">International Journal for Parasitololy.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(12-13), 1269-1281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Burza, S., Croft, S. L., Boelaert, M. Leishmaniasis.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392</w:t>
      </w:r>
      <w:r>
        <w:rPr>
          <w:rFonts w:ascii="Calibri" w:hAnsi="Calibri" w:cs="Calibri" w:eastAsia="Calibri"/>
          <w:color w:val="000000"/>
          <w:spacing w:val="0"/>
          <w:position w:val="0"/>
          <w:sz w:val="24"/>
          <w:shd w:fill="auto" w:val="clear"/>
        </w:rPr>
        <w:t xml:space="preserve"> (10151), 951-970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Scorza, B. M., Carvalho, E. M., Wilson, M. E. Cutaneous Manifestations of Human and Murine Leishmaniasis.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e1296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Afonso, L. C., Scott, P. Immune responses associated with susceptibility of C57BL/10 mice to Leishmania amazonensis.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(7), 2952-2959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Khamesipour, A., Rafati, S., Davoudi, N., Maboudi, F., Modabber, F. Leishmaniasis vaccine candidates for development: a global overview. </w:t>
      </w:r>
      <w:r>
        <w:rPr>
          <w:rFonts w:ascii="Calibri" w:hAnsi="Calibri" w:cs="Calibri" w:eastAsia="Calibri"/>
          <w:i/>
          <w:color w:val="000000"/>
          <w:spacing w:val="0"/>
          <w:position w:val="0"/>
          <w:sz w:val="24"/>
          <w:shd w:fill="auto" w:val="clear"/>
        </w:rPr>
        <w:t xml:space="preserve">Indian Journal of Medical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 423-438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Kumar, R., Engwerda, C. Vaccines to prevent leishmaniasis. </w:t>
      </w:r>
      <w:r>
        <w:rPr>
          <w:rFonts w:ascii="Calibri" w:hAnsi="Calibri" w:cs="Calibri" w:eastAsia="Calibri"/>
          <w:i/>
          <w:color w:val="000000"/>
          <w:spacing w:val="0"/>
          <w:position w:val="0"/>
          <w:sz w:val="24"/>
          <w:shd w:fill="auto" w:val="clear"/>
        </w:rPr>
        <w:t xml:space="preserve">Clinical &amp;amp; Translational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e13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Murray, H. W., Berman, J. D., Davies, C. R., Saravia, N. G. Advances in leishmaniasis.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(9496), 1561-1577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Hotez, P. J., Bottazzi, M. E., Franco-Paredes, C., Ault, S. K., Periago, M. R. The neglected tropical diseases of Latin America and the Caribbean: a review of disease burden and distribution and a roadmap for control and elimination.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e300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Croft, S. L., Sundar, S., Fairlamb, A. H. Drug resistance in leishmaniasis. </w:t>
      </w:r>
      <w:r>
        <w:rPr>
          <w:rFonts w:ascii="Calibri" w:hAnsi="Calibri" w:cs="Calibri" w:eastAsia="Calibri"/>
          <w:i/>
          <w:color w:val="000000"/>
          <w:spacing w:val="0"/>
          <w:position w:val="0"/>
          <w:sz w:val="24"/>
          <w:shd w:fill="auto" w:val="clear"/>
        </w:rPr>
        <w:t xml:space="preserve">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111-126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Ponte-Sucre, A. et al. Drug resistance and treatment failure in leishmaniasis: A 21st century challenge.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e0006052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Teixeira, D. E. et al. The cell biology of Leishmania: how to teach using animations.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e1003594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Sunter, J., Gull, K. Shape, form, function and Leishmania pathogenicity: from textbook descriptions to biological understanding. </w:t>
      </w:r>
      <w:r>
        <w:rPr>
          <w:rFonts w:ascii="Calibri" w:hAnsi="Calibri" w:cs="Calibri" w:eastAsia="Calibri"/>
          <w:i/>
          <w:color w:val="000000"/>
          <w:spacing w:val="0"/>
          <w:position w:val="0"/>
          <w:sz w:val="24"/>
          <w:shd w:fill="auto" w:val="clear"/>
        </w:rPr>
        <w:t xml:space="preserve">Open Biology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170165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Laranjeira-Silva, M. F. et al. A MFS-like plasma membrane transporter required for Leishmania virulence protects the parasites from iron toxicity.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e1007140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Aoki, J. I. et al. L-arginine availability and arginase activity: Characterization of amino acid permease 3 in Leishmania amazonensis.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e0006025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Probst, C. M. et al. A comparison of two distinct murine macrophage gene expression profiles in response to Leishmania amazonensis infection. </w:t>
      </w:r>
      <w:r>
        <w:rPr>
          <w:rFonts w:ascii="Calibri" w:hAnsi="Calibri" w:cs="Calibri" w:eastAsia="Calibri"/>
          <w:i/>
          <w:color w:val="000000"/>
          <w:spacing w:val="0"/>
          <w:position w:val="0"/>
          <w:sz w:val="24"/>
          <w:shd w:fill="auto" w:val="clear"/>
        </w:rPr>
        <w:t xml:space="preserve">BMC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Dillon, L. A. et al. Simultaneous transcriptional profiling of Leishmania major and its murine macrophage host cell reveals insights into host-pathogen interactions.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1108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Sarkar, A., Khan, Y. A., Laranjeira-Silva, M. F., Andrews, N. W., Mittra, B. Quantification of Intracellular Growth Inside Macrophages is a Fast and Reliable Method for Assessing the Virulence of Leishmania Parasites.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(133), e57486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Mittra, B., Laranjeira-Silva, M. F., Miguel, D. C., Perrone Bezerra de Menezes, J., Andrews, N. W. The iron-dependent mitochondrial superoxide dismutase SODA promotes.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(29), 12324-12338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Flannery, A. R., Huynh, C., Mittra, B., Mortara, R. A., Andrews, N. W. LFR1 ferric iron reductase of Leishmania amazonensis is essential for the generation of infective parasite forms.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(26), 23266-23279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Laranjeira-Silva, M. F., Zampieri, R. A., Muxel, S. M., Beverley, S. M., Floeter-Winter, L. M. Leishmania amazonensis arginase compartmentalization in the glycosome is important for parasite infectivity.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e34022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Sacks, D. L., Melby, P. C. Animal models for the analysis of immune responses to leishmaniasis.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Andersen, M. L., Winter, L. M. F. Animal models in biological and biomedical research - experimental and ethical concerns. </w:t>
      </w:r>
      <w:r>
        <w:rPr>
          <w:rFonts w:ascii="Calibri" w:hAnsi="Calibri" w:cs="Calibri" w:eastAsia="Calibri"/>
          <w:i/>
          <w:color w:val="000000"/>
          <w:spacing w:val="0"/>
          <w:position w:val="0"/>
          <w:sz w:val="24"/>
          <w:shd w:fill="auto" w:val="clear"/>
        </w:rPr>
        <w:t xml:space="preserve">Anais da Academia Brasileira de Ciências.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e20170238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Ribeiro-Gomes, F. L. et al. Site-dependent recruitment of inflammatory cells determines the effective dose of Leishmania major.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(7), 2713-2727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Mahmoudzadeh-Niknam, H., Khalili, G., Abrishami, F., Najafy, A., Khaze, V. The route of Leishmania tropica infection determines disease outcome and protection against Leishmania major in BALB/c mice. </w:t>
      </w:r>
      <w:r>
        <w:rPr>
          <w:rFonts w:ascii="Calibri" w:hAnsi="Calibri" w:cs="Calibri" w:eastAsia="Calibri"/>
          <w:i/>
          <w:color w:val="000000"/>
          <w:spacing w:val="0"/>
          <w:position w:val="0"/>
          <w:sz w:val="24"/>
          <w:shd w:fill="auto" w:val="clear"/>
        </w:rPr>
        <w:t xml:space="preserve">The Korean Journal of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69-74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Oliveira, D. M. et al. Evaluation of parasitological and immunological parameters of Leishmania chagasi infection in BALB/c mice using different doses and routes of inoculation of parasites. </w:t>
      </w:r>
      <w:r>
        <w:rPr>
          <w:rFonts w:ascii="Calibri" w:hAnsi="Calibri" w:cs="Calibri" w:eastAsia="Calibri"/>
          <w:i/>
          <w:color w:val="000000"/>
          <w:spacing w:val="0"/>
          <w:position w:val="0"/>
          <w:sz w:val="24"/>
          <w:shd w:fill="auto" w:val="clear"/>
        </w:rPr>
        <w:t xml:space="preserve">Parasitology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 1277-1285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Côrtes, D. F. et al. Low and high-dose intradermal infection with Leishmania major and Leishmania amazonensis in C57BL/6 mice. </w:t>
      </w:r>
      <w:r>
        <w:rPr>
          <w:rFonts w:ascii="Calibri" w:hAnsi="Calibri" w:cs="Calibri" w:eastAsia="Calibri"/>
          <w:i/>
          <w:color w:val="000000"/>
          <w:spacing w:val="0"/>
          <w:position w:val="0"/>
          <w:sz w:val="24"/>
          <w:shd w:fill="auto" w:val="clear"/>
        </w:rPr>
        <w:t xml:space="preserve">Memorias do Instituto Oswaldo Cruz.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(6), 736-745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Blackwell, J. M. et al. Genetics and visceral leishmaniasis: of mice and man. </w:t>
      </w:r>
      <w:r>
        <w:rPr>
          <w:rFonts w:ascii="Calibri" w:hAnsi="Calibri" w:cs="Calibri" w:eastAsia="Calibri"/>
          <w:i/>
          <w:color w:val="000000"/>
          <w:spacing w:val="0"/>
          <w:position w:val="0"/>
          <w:sz w:val="24"/>
          <w:shd w:fill="auto" w:val="clear"/>
        </w:rPr>
        <w:t xml:space="preserve">Parasite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254-266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Loeuillet, C., Ba&amp;#241;uls, A. L., Hide, M. Study of Leishmania pathogenesis in mice: experimental considerations. </w:t>
      </w:r>
      <w:r>
        <w:rPr>
          <w:rFonts w:ascii="Calibri" w:hAnsi="Calibri" w:cs="Calibri" w:eastAsia="Calibri"/>
          <w:i/>
          <w:color w:val="000000"/>
          <w:spacing w:val="0"/>
          <w:position w:val="0"/>
          <w:sz w:val="24"/>
          <w:shd w:fill="auto" w:val="clear"/>
        </w:rPr>
        <w:t xml:space="preserve">Parasites &amp;amp; Vectors.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144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Alexander, J., Brombacher, F. T Helper1/T Helper2 Cells and Resistance/Susceptibility to Leishmania Infection: Is This Paradigm Still Relevant?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Sacks, D., Noben-Trauth, N. The immunology of susceptibility and resistance to Leishmania major in mice.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845-858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Bogdan, C. et al. Experimental Cutaneous Leishmaniasis: Mouse Models for Resolution of Inflammation Versus Chronicity of Disease.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1971</w:t>
      </w:r>
      <w:r>
        <w:rPr>
          <w:rFonts w:ascii="Calibri" w:hAnsi="Calibri" w:cs="Calibri" w:eastAsia="Calibri"/>
          <w:color w:val="000000"/>
          <w:spacing w:val="0"/>
          <w:position w:val="0"/>
          <w:sz w:val="24"/>
          <w:shd w:fill="auto" w:val="clear"/>
        </w:rPr>
        <w:t xml:space="preserve">, 315-349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Jones, D. E., Ackermann, M. R., Wille, U., Hunter, C. A., Scott, P. Early enhanced Th1 response after Leishmania amazonensis infection of C57BL/6 interleukin-10-deficient mice does not lead to resolution of infection.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(4), 2151-2158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Velasquez, L. G. et al. Distinct courses of infection with Leishmania (L.) amazonensis are observed in BALB/c, BALB/c nude and C57BL/6 mice.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(6), 692-703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de Menezes, J. P. et al. Leishmania infection inhibits macrophage motility by altering F-actin dynamics and the expression of adhesion complex proteins. </w:t>
      </w:r>
      <w:r>
        <w:rPr>
          <w:rFonts w:ascii="Calibri" w:hAnsi="Calibri" w:cs="Calibri" w:eastAsia="Calibri"/>
          <w:i/>
          <w:color w:val="000000"/>
          <w:spacing w:val="0"/>
          <w:position w:val="0"/>
          <w:sz w:val="24"/>
          <w:shd w:fill="auto" w:val="clear"/>
        </w:rPr>
        <w:t xml:space="preserve">Cellular Microbiology.</w:t>
      </w:r>
      <w:r>
        <w:rPr>
          <w:rFonts w:ascii="Arial" w:hAnsi="Arial" w:cs="Arial" w:eastAsia="Arial"/>
          <w:color w:val="000000"/>
          <w:spacing w:val="0"/>
          <w:position w:val="0"/>
          <w:sz w:val="17"/>
          <w:shd w:fill="FFFFFF"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1266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Mittra, B. et al. A Trypanosomatid Iron Transporter that Regulates Mitochondrial Function Is Required for Leishmania amazonensis Virulence.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e1005340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Zilberstein, D., Nitzan Koren, R. Host-Free Systems for Differentiation of Axenic Leishmania.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1971</w:t>
      </w:r>
      <w:r>
        <w:rPr>
          <w:rFonts w:ascii="Calibri" w:hAnsi="Calibri" w:cs="Calibri" w:eastAsia="Calibri"/>
          <w:color w:val="000000"/>
          <w:spacing w:val="0"/>
          <w:position w:val="0"/>
          <w:sz w:val="24"/>
          <w:shd w:fill="auto" w:val="clear"/>
        </w:rPr>
        <w:t xml:space="preserve">, 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Zilberstein, D., Shapira, M. The role of pH and temperature in the development of Leishmania parasites.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449-470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Dumetz, F. et al. Modulation of Aneuploidy in </w:t>
      </w:r>
      <w:r>
        <w:rPr>
          <w:rFonts w:ascii="Calibri" w:hAnsi="Calibri" w:cs="Calibri" w:eastAsia="Calibri"/>
          <w:i/>
          <w:color w:val="000000"/>
          <w:spacing w:val="0"/>
          <w:position w:val="0"/>
          <w:sz w:val="24"/>
          <w:shd w:fill="auto" w:val="clear"/>
        </w:rPr>
        <w:t xml:space="preserve">Leishmania donovani</w:t>
      </w:r>
      <w:r>
        <w:rPr>
          <w:rFonts w:ascii="Calibri" w:hAnsi="Calibri" w:cs="Calibri" w:eastAsia="Calibri"/>
          <w:color w:val="000000"/>
          <w:spacing w:val="0"/>
          <w:position w:val="0"/>
          <w:sz w:val="24"/>
          <w:shd w:fill="auto" w:val="clear"/>
        </w:rPr>
        <w:t xml:space="preserve"> during adaptation to different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environments and its impact on gene expression.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e00599-00517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Dumetz, F. et al. Modulation of Aneuploidy in Leishmania donovani during adaptation to different in vitro and in vivo environments and its impact on gene expression.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e00599-00517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Sinha, R. et al. Genome Plasticity in Cultured </w:t>
      </w:r>
      <w:r>
        <w:rPr>
          <w:rFonts w:ascii="Calibri" w:hAnsi="Calibri" w:cs="Calibri" w:eastAsia="Calibri"/>
          <w:i/>
          <w:color w:val="000000"/>
          <w:spacing w:val="0"/>
          <w:position w:val="0"/>
          <w:sz w:val="24"/>
          <w:shd w:fill="auto" w:val="clear"/>
        </w:rPr>
        <w:t xml:space="preserve">Leishmania donovani</w:t>
      </w:r>
      <w:r>
        <w:rPr>
          <w:rFonts w:ascii="Calibri" w:hAnsi="Calibri" w:cs="Calibri" w:eastAsia="Calibri"/>
          <w:color w:val="000000"/>
          <w:spacing w:val="0"/>
          <w:position w:val="0"/>
          <w:sz w:val="24"/>
          <w:shd w:fill="auto" w:val="clear"/>
        </w:rPr>
        <w:t xml:space="preserve">: Comparison of Early and Late Passages.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1279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Magalhães, R. D. et al. Identification of differentially expressed proteins from Leishmania amazonensis associated with the loss of virulence of the parasites.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e2764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Lei, S. M., Romine, N. M., Beetham, J. K. Population changes in Leishmania chagasi promastigote developmental stages due to serial passage. </w:t>
      </w:r>
      <w:r>
        <w:rPr>
          <w:rFonts w:ascii="Calibri" w:hAnsi="Calibri" w:cs="Calibri" w:eastAsia="Calibri"/>
          <w:i/>
          <w:color w:val="000000"/>
          <w:spacing w:val="0"/>
          <w:position w:val="0"/>
          <w:sz w:val="24"/>
          <w:shd w:fill="auto" w:val="clear"/>
        </w:rPr>
        <w:t xml:space="preserve">Journal of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(6), 1134-1138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Ali, K. S., Rees, R. C., Terrell-Nield, C., Ali, S. A. Virulence loss and amastigote transformation failure determine host cell responses to Leishmania mexicana. </w:t>
      </w:r>
      <w:r>
        <w:rPr>
          <w:rFonts w:ascii="Calibri" w:hAnsi="Calibri" w:cs="Calibri" w:eastAsia="Calibri"/>
          <w:i/>
          <w:color w:val="000000"/>
          <w:spacing w:val="0"/>
          <w:position w:val="0"/>
          <w:sz w:val="24"/>
          <w:shd w:fill="auto" w:val="clear"/>
        </w:rPr>
        <w:t xml:space="preserve">Parasite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441-456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Rebello, K. M. et al. Leishmania (Viannia) braziliensis: influence of successive in vitro cultivation on the expression of promastigote proteinases. </w:t>
      </w:r>
      <w:r>
        <w:rPr>
          <w:rFonts w:ascii="Calibri" w:hAnsi="Calibri" w:cs="Calibri" w:eastAsia="Calibri"/>
          <w:i/>
          <w:color w:val="000000"/>
          <w:spacing w:val="0"/>
          <w:position w:val="0"/>
          <w:sz w:val="24"/>
          <w:shd w:fill="auto" w:val="clear"/>
        </w:rPr>
        <w:t xml:space="preserve">Experimental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 570-576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The Johns Hopkins University. Animal Care and Use Committee. Retrieved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http://web.jhu.edu/animalcare/index.html</w:t>
        </w:r>
      </w:hyperlink>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Titus, R. G., Marchand, M., Boon, T., Louis, J. A. A limiting dilution assay for quantifying Leishmania major in tissues of infected mice. </w:t>
      </w:r>
      <w:r>
        <w:rPr>
          <w:rFonts w:ascii="Calibri" w:hAnsi="Calibri" w:cs="Calibri" w:eastAsia="Calibri"/>
          <w:i/>
          <w:color w:val="000000"/>
          <w:spacing w:val="0"/>
          <w:position w:val="0"/>
          <w:sz w:val="24"/>
          <w:shd w:fill="auto" w:val="clear"/>
        </w:rPr>
        <w:t xml:space="preserve">Parasite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545-555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Lima, H. C., Bleyenberg, J. A., Titus, R. G. A simple method for quantifying Leishmania in tissues of infected animals. </w:t>
      </w:r>
      <w:r>
        <w:rPr>
          <w:rFonts w:ascii="Calibri" w:hAnsi="Calibri" w:cs="Calibri" w:eastAsia="Calibri"/>
          <w:i/>
          <w:color w:val="000000"/>
          <w:spacing w:val="0"/>
          <w:position w:val="0"/>
          <w:sz w:val="24"/>
          <w:shd w:fill="auto" w:val="clear"/>
        </w:rPr>
        <w:t xml:space="preserve">Parasitology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80-82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Strober, W. Trypan Blue Exclusion Test of Cell Viability.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10.1002/0471142735.ima03bs21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Sacks, D., Kamhawi, S. Molecular aspects of parasite-vector and vector-host interactions in leishmaniasis.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453-483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Reimão, J. Q. et al. Parasite burden in Leishmania (Leishmania) amazonensis-infected mice: validation of luciferase as a quantitative tool.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 95-101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Buckley, S. M. et al. In vivo bioimaging with tissue-specific transcription factor activated luciferase reporters.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11842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Thalhofer, C. J. et al. In vivo imaging of transgenic Leishmania parasites in a live host.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(41), e1980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Roberts, S. C. et al. Arginase plays a pivotal role in polyamine precursor metabolism in Leishmania. Characterization of gene deletion mutants.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(22), 23668-23678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Boitz, J. M. et al. Arginase Is Essential for Survival of Leishmania donovani Promastigotes but Not Intracellular Amastigotes.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 e00554-00516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Rosas, L. E. et al. Genetic background influences immune responses and disease outcome of cutaneous L. mexicana infection in mice. </w:t>
      </w:r>
      <w:r>
        <w:rPr>
          <w:rFonts w:ascii="Calibri" w:hAnsi="Calibri" w:cs="Calibri" w:eastAsia="Calibri"/>
          <w:i/>
          <w:color w:val="000000"/>
          <w:spacing w:val="0"/>
          <w:position w:val="0"/>
          <w:sz w:val="24"/>
          <w:shd w:fill="auto" w:val="clear"/>
        </w:rPr>
        <w:t xml:space="preserve">International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 1347-1357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Belkaid, Y. et al. Development of a natural model of cutaneous leishmaniasis: powerful effects of vector saliva and saliva preexposure on the long-term outcome of Leishmania major infection in the mouse ear dermis.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(10), 1941-1953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Titus, R. G., Ribeiro, J. M. Salivary gland lysates from the sand fly Lutzomyia longipalpis enhance Leishmania infectivity.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(4845), 1306-1308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Lima, H. C., Titus, R. G. Effects of sand fly vector saliva on development of cutaneous lesions and the immune response to Leishmania braziliensis in BALB/c mice.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(12), 5442-5445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Theodos, C. M., Ribeiro, J. M., Titus, R. G. Analysis of enhancing effect of sand fly saliva on Leishmania infection in mice.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1592-1598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Kaur, S. et al. Effect of dose and route of inoculation on the generation of CD4+ Th1/Th2 type of immune response in murine visceral leishmaniasis. </w:t>
      </w:r>
      <w:r>
        <w:rPr>
          <w:rFonts w:ascii="Calibri" w:hAnsi="Calibri" w:cs="Calibri" w:eastAsia="Calibri"/>
          <w:i/>
          <w:color w:val="000000"/>
          <w:spacing w:val="0"/>
          <w:position w:val="0"/>
          <w:sz w:val="24"/>
          <w:shd w:fill="auto" w:val="clear"/>
        </w:rPr>
        <w:t xml:space="preserve">Parasitology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(6), 1413-1419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Rolão, N., Melo, C., Campino, L. Influence of the inoculation route in BALB/c mice infected by Leishmania infantum. </w:t>
      </w:r>
      <w:r>
        <w:rPr>
          <w:rFonts w:ascii="Calibri" w:hAnsi="Calibri" w:cs="Calibri" w:eastAsia="Calibri"/>
          <w:i/>
          <w:color w:val="000000"/>
          <w:spacing w:val="0"/>
          <w:position w:val="0"/>
          <w:sz w:val="24"/>
          <w:shd w:fill="auto" w:val="clear"/>
        </w:rPr>
        <w:t xml:space="preserve">Acta Tropica.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123-126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K&amp;#233;ba&amp;#239;er, C., Louzir, H., Chenik, M., Ben Salah, A., Dellagi, K. Heterogeneity of wild Leishmania major isolates in experimental murine pathogenicity and specific immune response.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(8), 4906-4915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Baldwin, T. M., Elso, C., Curtis, J., Buckingham, L., Handman, E. The site of Leishmania major infection determines disease severity and immune responses.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(12), 6830-6834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Aoki, J. I. et al. RNA-seq transcriptional profiling of Leishmania amazonensis reveals an arginase-dependent gene expression regulation.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e0006026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Pinto-da-Silva, L. H. et al. The 3A1-La monoclonal antibody reveals key features of Leishmania (L) amazonensis metacyclic promastigotes and inhibits procyclics attachment to the sand fly midgut. </w:t>
      </w:r>
      <w:r>
        <w:rPr>
          <w:rFonts w:ascii="Calibri" w:hAnsi="Calibri" w:cs="Calibri" w:eastAsia="Calibri"/>
          <w:i/>
          <w:color w:val="000000"/>
          <w:spacing w:val="0"/>
          <w:position w:val="0"/>
          <w:sz w:val="24"/>
          <w:shd w:fill="auto" w:val="clear"/>
        </w:rPr>
        <w:t xml:space="preserve">International Journal for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757-764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Spath, G. F., Beverley, S. M. A lipophosphoglycan-independent method for isolation of infective Leishmania metacyclic promastigotes by density gradient centrifugation. </w:t>
      </w:r>
      <w:r>
        <w:rPr>
          <w:rFonts w:ascii="Calibri" w:hAnsi="Calibri" w:cs="Calibri" w:eastAsia="Calibri"/>
          <w:i/>
          <w:color w:val="000000"/>
          <w:spacing w:val="0"/>
          <w:position w:val="0"/>
          <w:sz w:val="24"/>
          <w:shd w:fill="auto" w:val="clear"/>
        </w:rPr>
        <w:t xml:space="preserve">Experimental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 97-103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Aoki, J. I., Laranjeira-Silva, M. F., Muxel, S. M., Floeter-Winter, L. M. The impact of arginase activity on virulence factors of Leishmania amazonensis. </w:t>
      </w:r>
      <w:r>
        <w:rPr>
          <w:rFonts w:ascii="Calibri" w:hAnsi="Calibri" w:cs="Calibri" w:eastAsia="Calibri"/>
          <w:i/>
          <w:color w:val="000000"/>
          <w:spacing w:val="0"/>
          <w:position w:val="0"/>
          <w:sz w:val="24"/>
          <w:shd w:fill="auto" w:val="clear"/>
        </w:rPr>
        <w:t xml:space="preserve">Current Opinion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110-115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Jackson, A. P. The evolution of amastin surface glycoproteins in trypanosomatid parasites. </w:t>
      </w:r>
      <w:r>
        <w:rPr>
          <w:rFonts w:ascii="Calibri" w:hAnsi="Calibri" w:cs="Calibri" w:eastAsia="Calibri"/>
          <w:i/>
          <w:color w:val="000000"/>
          <w:spacing w:val="0"/>
          <w:position w:val="0"/>
          <w:sz w:val="24"/>
          <w:shd w:fill="auto" w:val="clear"/>
        </w:rPr>
        <w:t xml:space="preserve">Molecular Biology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33-45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Rochette, A. et al. Characterization and developmental gene regulation of a large gene family encoding amastin surface proteins in Leishmania spp.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 205-220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Rochette, A., Raymond, F., Corbeil, J., Ouellette, M., Papadopoulou, B. Whole-genome comparative RNA expression profiling of axenic and intracellular amastigote forms of Leishmania infantum.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 32-47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Schneider, P., Rosat, J. P., Bouvier, J., Louis, J., Bordier, C. Leishmania major: differential regulation of the surface metalloprotease in amastigote and promastigote stages. </w:t>
      </w:r>
      <w:r>
        <w:rPr>
          <w:rFonts w:ascii="Calibri" w:hAnsi="Calibri" w:cs="Calibri" w:eastAsia="Calibri"/>
          <w:i/>
          <w:color w:val="000000"/>
          <w:spacing w:val="0"/>
          <w:position w:val="0"/>
          <w:sz w:val="24"/>
          <w:shd w:fill="auto" w:val="clear"/>
        </w:rPr>
        <w:t xml:space="preserve">Experimental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196-206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Ji, J., Sun, J., Qi, H., Soong, L. Analysis of T helper cell responses during infection with Leishmania amazonensis.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338-345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Ji, J., Sun, J., Soong, L. Impaired expression of inflammatory cytokines and chemokines at early stages of infection with Leishmania amazonensis.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(8), 4278-4288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Felizardo, T. C., Toma, L. S., Borges, N. B., Lima, G. M., Abrahamsohn, I. A. Leishmania (Leishmania) amazonensis infection and dissemination in mice inoculated with stationary-phase or with purified metacyclic promastigotes.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(12), 1699-1707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Laranjeira-Silva, M. F., Zampieri, R. A., Muxel, S. M., Floeter-Winter, L. M., Markus, R. P. Melatonin attenuates Leishmania (L.) amazonensis infection by modulating arginine metabolism. </w:t>
      </w:r>
      <w:r>
        <w:rPr>
          <w:rFonts w:ascii="Calibri" w:hAnsi="Calibri" w:cs="Calibri" w:eastAsia="Calibri"/>
          <w:i/>
          <w:color w:val="000000"/>
          <w:spacing w:val="0"/>
          <w:position w:val="0"/>
          <w:sz w:val="24"/>
          <w:shd w:fill="auto" w:val="clear"/>
        </w:rPr>
        <w:t xml:space="preserve">Journal of Pineal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478-487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eb.jhu.edu/animalcare/index.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