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499" w:rsidRPr="00A42499" w:rsidRDefault="00A42499" w:rsidP="00A42499">
      <w:pPr>
        <w:spacing w:after="0" w:line="240" w:lineRule="auto"/>
        <w:rPr>
          <w:highlight w:val="yellow"/>
        </w:rPr>
      </w:pPr>
      <w:r w:rsidRPr="00A42499">
        <w:rPr>
          <w:highlight w:val="yellow"/>
        </w:rPr>
        <w:t>1. Pretreatment consultation and CT-simulation for treatment spot</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1.1. Confirm the treatment spot by CT simulation 1 day before </w:t>
      </w:r>
      <w:proofErr w:type="spellStart"/>
      <w:r w:rsidRPr="00A42499">
        <w:rPr>
          <w:highlight w:val="yellow"/>
        </w:rPr>
        <w:t>MRgFUS</w:t>
      </w:r>
      <w:proofErr w:type="spellEnd"/>
      <w:r w:rsidRPr="00A42499">
        <w:rPr>
          <w:highlight w:val="yellow"/>
        </w:rPr>
        <w:t>.</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1.1.1. Position the patient in a supine, head-first position on the couch and perform a helical CT scan (120 kV, 400 </w:t>
      </w:r>
      <w:proofErr w:type="spellStart"/>
      <w:r w:rsidRPr="00A42499">
        <w:rPr>
          <w:highlight w:val="yellow"/>
        </w:rPr>
        <w:t>mAs</w:t>
      </w:r>
      <w:proofErr w:type="spellEnd"/>
      <w:r w:rsidRPr="00A42499">
        <w:rPr>
          <w:highlight w:val="yellow"/>
        </w:rPr>
        <w:t>/slice) over the treating area with a 3 mm slice thickness. Adjust and tilt the patient’s position, in the center of the couch, to locate the lesion.</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1.1.2. Place a CT marker, 1 cm lead wire, on the skin surface, vertically closest to the lesion, and conduct a helical CT scan (120 kV, 400 </w:t>
      </w:r>
      <w:proofErr w:type="spellStart"/>
      <w:r w:rsidRPr="00A42499">
        <w:rPr>
          <w:highlight w:val="yellow"/>
        </w:rPr>
        <w:t>mAs</w:t>
      </w:r>
      <w:proofErr w:type="spellEnd"/>
      <w:r w:rsidRPr="00A42499">
        <w:rPr>
          <w:highlight w:val="yellow"/>
        </w:rPr>
        <w:t xml:space="preserve">/slice) again to confirm the position of the patient and the location of the CT marker. Mark the location of the CT marker with a marker pen and take a picture of the patient’s position. </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2. Patient preparation for </w:t>
      </w:r>
      <w:proofErr w:type="spellStart"/>
      <w:r w:rsidRPr="00A42499">
        <w:rPr>
          <w:highlight w:val="yellow"/>
        </w:rPr>
        <w:t>MRgFUS</w:t>
      </w:r>
      <w:proofErr w:type="spellEnd"/>
      <w:r w:rsidRPr="00A42499">
        <w:rPr>
          <w:highlight w:val="yellow"/>
        </w:rPr>
        <w:t xml:space="preserve"> on treatment day</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2.1. Verify the patient's identity according to photo identification. Verify that the patient removed all metal objects and magnetic devices prior to the scan.</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2.2. Prescribe local and systemic analgesics before treatment.</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2.2.1. At 1 h before the scheduled treatment time, apply lidocaine cream on the marked skin, with a radius of 10 cm. Remove the cream carefully 10 min before treatment.</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2.2.2. At 30 min before treatment, intravenously drip 5 mg of dexamethasone with 50 mL of normal saline for 10 min and 30 mg of ketorolac with 50 mL of normal saline for 10 min. Set the peripheral intravenous line on either hand, forearm, leg, or foot on the side opposite to the lesion.</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2.3. Check the patient’s vital signs (heart rate, blood pressure, respiratory rate, and blood saturation) 5 min before sending the patient out for treatment.</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3. Daily quality assurance (DQA) before </w:t>
      </w:r>
      <w:proofErr w:type="spellStart"/>
      <w:r w:rsidRPr="00A42499">
        <w:rPr>
          <w:highlight w:val="yellow"/>
        </w:rPr>
        <w:t>MRgFUS</w:t>
      </w:r>
      <w:proofErr w:type="spellEnd"/>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3.1. DQA setup</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3.1.1. Replace the diagnostic couch with the </w:t>
      </w:r>
      <w:proofErr w:type="spellStart"/>
      <w:r w:rsidRPr="00A42499">
        <w:rPr>
          <w:highlight w:val="yellow"/>
        </w:rPr>
        <w:t>MRgFUS</w:t>
      </w:r>
      <w:proofErr w:type="spellEnd"/>
      <w:r w:rsidRPr="00A42499">
        <w:rPr>
          <w:highlight w:val="yellow"/>
        </w:rPr>
        <w:t xml:space="preserve"> couch with a focused ultrasound transducer and connect the couch to the system.</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3.1.2. Slowly and carefully place the gel pad on the panel without creating any gas bubbles during the process. Place the DQA phantom on the gel pad without creating any gas bubbles.</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3.2. DQA procedure</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3.2.1. Adjust the position of the transducer in the axial and sagittal images in order to let the sonication field cover the phantom. Click Load to load MRI images. Then click Sag | Select All to select all images. Click Ax | Select All again.</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lastRenderedPageBreak/>
        <w:t>3.2.2. Click Draw to define the sonication area. Click Skin Line to contour the surface between the phantom and gel pad. Click Copy to copy the skin lines to all sagittal and axial slices of images. Then adjust and confirm the skin line is correct in each image.</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3.2.3. Click Treating Area to contour the treatment area in the phantom for three continuous slices. Click Protocol to choose Bone 15 and then click Apply. Click Fiducial and choose a spot in the phantom as a reference point.</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3.3. DQA planning</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3.3.1. Click Plan | Verify to proceed. Click Add Sonication to add one spot for sonication within the phantom. Confirm that the sonication field is within the phantom in each sagittal and axial slice.</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3.3.2. Set the scan parameters: direction = Coronal and number slice = 5 with preset energy output. Click Sonication to start.</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3.4. Calibration</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3.4.1. After sonication, monitoring the </w:t>
      </w:r>
      <w:proofErr w:type="spellStart"/>
      <w:r w:rsidRPr="00A42499">
        <w:rPr>
          <w:highlight w:val="yellow"/>
        </w:rPr>
        <w:t>MRgFUS</w:t>
      </w:r>
      <w:proofErr w:type="spellEnd"/>
      <w:r w:rsidRPr="00A42499">
        <w:rPr>
          <w:highlight w:val="yellow"/>
        </w:rPr>
        <w:t xml:space="preserve"> system shows the temperature images. Confirm the heating spot and click Center to mark the spot. Use the mouse to check the heating spot and other, different spots to compare the thermal curve to locate artifacts or background signals.</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3.4.2. The system shows adjustments for transducer location in millimeters in 3 axials. Click Accept and then click Back to perform the sonication again with a 20% increase in energy. Confirm that the 2nd adjustment is within 1 mm and click Reject. </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3.4.3. Set scan parameter: direction = Axial and number slice = 5 with preset energy output. Make axial adjustments as described in steps 3.5.1 and 3.5.2. Click Exit to leave DQA and remove the phantom.</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4. Patient positioning and pretreatment MR scanning</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4.1. Patient positioning </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4.1.1. Position the patient on the </w:t>
      </w:r>
      <w:proofErr w:type="spellStart"/>
      <w:r w:rsidRPr="00A42499">
        <w:rPr>
          <w:highlight w:val="yellow"/>
        </w:rPr>
        <w:t>MRgFUS</w:t>
      </w:r>
      <w:proofErr w:type="spellEnd"/>
      <w:r w:rsidRPr="00A42499">
        <w:rPr>
          <w:highlight w:val="yellow"/>
        </w:rPr>
        <w:t xml:space="preserve"> couch in the same position as the previous simulation in step 1.2. Align the mark on the skin with the center of the gel pad.</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4.2. Pretreatment MR scanning</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4.2.1. Create a new MR scan and enter the patient’s information. Choose Supine and Feet First as the scanning parameters and the scanning protocol as </w:t>
      </w:r>
      <w:proofErr w:type="spellStart"/>
      <w:r w:rsidRPr="00A42499">
        <w:rPr>
          <w:highlight w:val="yellow"/>
        </w:rPr>
        <w:t>ExAblate</w:t>
      </w:r>
      <w:proofErr w:type="spellEnd"/>
      <w:r w:rsidRPr="00A42499">
        <w:rPr>
          <w:highlight w:val="yellow"/>
        </w:rPr>
        <w:t xml:space="preserve"> – Plan – Bone.</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4.2.2. Acquire three-plane T2 images, then click View Edit to confirm the scanning area. Click Save | Download | Auto </w:t>
      </w:r>
      <w:proofErr w:type="spellStart"/>
      <w:r w:rsidRPr="00A42499">
        <w:rPr>
          <w:highlight w:val="yellow"/>
        </w:rPr>
        <w:t>PreScan</w:t>
      </w:r>
      <w:proofErr w:type="spellEnd"/>
      <w:r w:rsidRPr="00A42499">
        <w:rPr>
          <w:highlight w:val="yellow"/>
        </w:rPr>
        <w:t xml:space="preserve">. Confirm the scanning area after </w:t>
      </w:r>
      <w:proofErr w:type="spellStart"/>
      <w:r w:rsidRPr="00A42499">
        <w:rPr>
          <w:highlight w:val="yellow"/>
        </w:rPr>
        <w:t>prescan</w:t>
      </w:r>
      <w:proofErr w:type="spellEnd"/>
      <w:r w:rsidRPr="00A42499">
        <w:rPr>
          <w:highlight w:val="yellow"/>
        </w:rPr>
        <w:t xml:space="preserve"> and then click Scan.</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4.3. Confirm the lesion and patient position.</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4.3.1. Reconfirm the lesion, MR scanning field, and patient position. </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lastRenderedPageBreak/>
        <w:t>5. Treatment contouring and planning</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5.1. Import MR images.</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5.1.1. Click Bone Tumors on the </w:t>
      </w:r>
      <w:proofErr w:type="spellStart"/>
      <w:r w:rsidRPr="00A42499">
        <w:rPr>
          <w:highlight w:val="yellow"/>
        </w:rPr>
        <w:t>MRgFUS</w:t>
      </w:r>
      <w:proofErr w:type="spellEnd"/>
      <w:r w:rsidRPr="00A42499">
        <w:rPr>
          <w:highlight w:val="yellow"/>
        </w:rPr>
        <w:t xml:space="preserve"> system. Click Contouring | MR scan and confirm that the exam number is the same as in the MRI system.</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5.1.2. Click Load to load MRI images collected in step 4.2. Click Sag | Select All. Then click Ax | Select All again.</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5.2. Contouring</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5.2.1. Click Draw to define the sonication area. Click Skin Line to contour the skin surface. Click Copy to copy the skin lines to all sagittal and axial slices of the images. Adjust and confirm that the skin line is correct in each image. </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5.2.2. Click Bone to contour the bone surface. Click Block to contour vital organs, such as nerves, vessels, or bowels, to prevent sonication through these areas. Click Fiducial and choose a spot near the lesion as a reference point.</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5.3. Planning</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5.3.1. Click Plan | Verify to proceed after all contouring is completed. Review treatment planning and adjust the sonication if needed. </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5.4. Verification</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5.4.1. Choose one sonication with preset parameters and click Sonication to start. Monitor the temperature rise and thermal curve of the heating spot as well as the reference spot to check for artifacts or background signals. Increase the energy output and repeat the sonication to the same spot. </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5.4.2. Repeat the sonication to the same spot until the temperature is over 65 °C to reach thermal ablation.</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5.5. Treatment</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5.5.1. Click Sonication to start the treatment with the verified energy output described in step 6.2.</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 xml:space="preserve">5.5.2. Monitor the temperature rise and thermal curve of the heating spot and repeat the sonication with increasing energy output until the temperature is over 65 °C. </w:t>
      </w:r>
    </w:p>
    <w:p w:rsidR="00A42499" w:rsidRPr="00A42499" w:rsidRDefault="00A42499" w:rsidP="00A42499">
      <w:pPr>
        <w:spacing w:after="0" w:line="240" w:lineRule="auto"/>
        <w:rPr>
          <w:highlight w:val="yellow"/>
        </w:rPr>
      </w:pPr>
    </w:p>
    <w:p w:rsidR="00A42499" w:rsidRPr="00A42499" w:rsidRDefault="00A42499" w:rsidP="00A42499">
      <w:pPr>
        <w:spacing w:after="0" w:line="240" w:lineRule="auto"/>
        <w:rPr>
          <w:highlight w:val="yellow"/>
        </w:rPr>
      </w:pPr>
      <w:r w:rsidRPr="00A42499">
        <w:rPr>
          <w:highlight w:val="yellow"/>
        </w:rPr>
        <w:t>6. Post-treatment evaluation</w:t>
      </w:r>
    </w:p>
    <w:p w:rsidR="00A42499" w:rsidRPr="00A42499" w:rsidRDefault="00A42499" w:rsidP="00A42499">
      <w:pPr>
        <w:spacing w:after="0" w:line="240" w:lineRule="auto"/>
        <w:rPr>
          <w:highlight w:val="yellow"/>
        </w:rPr>
      </w:pPr>
    </w:p>
    <w:p w:rsidR="004A74C6" w:rsidRPr="00A42499" w:rsidRDefault="00A42499" w:rsidP="00A42499">
      <w:pPr>
        <w:spacing w:after="0" w:line="240" w:lineRule="auto"/>
      </w:pPr>
      <w:r w:rsidRPr="00A42499">
        <w:rPr>
          <w:highlight w:val="yellow"/>
        </w:rPr>
        <w:t>6.1. Evaluate treatment/thermal effect from post-treatment MRI. Repeat the sonication if the thermal ablation does not treat the whole lesion.</w:t>
      </w:r>
      <w:bookmarkStart w:id="0" w:name="_GoBack"/>
      <w:bookmarkEnd w:id="0"/>
    </w:p>
    <w:sectPr w:rsidR="004A74C6" w:rsidRPr="00A42499" w:rsidSect="00A4249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499"/>
    <w:rsid w:val="00027A54"/>
    <w:rsid w:val="000439B4"/>
    <w:rsid w:val="00045DA4"/>
    <w:rsid w:val="000614BE"/>
    <w:rsid w:val="00077CC3"/>
    <w:rsid w:val="000835DA"/>
    <w:rsid w:val="00085308"/>
    <w:rsid w:val="00087241"/>
    <w:rsid w:val="00091000"/>
    <w:rsid w:val="000B5265"/>
    <w:rsid w:val="001343FC"/>
    <w:rsid w:val="0015182F"/>
    <w:rsid w:val="0016693A"/>
    <w:rsid w:val="00166FDC"/>
    <w:rsid w:val="00190578"/>
    <w:rsid w:val="001914C3"/>
    <w:rsid w:val="001A2B00"/>
    <w:rsid w:val="001D37FC"/>
    <w:rsid w:val="002055C9"/>
    <w:rsid w:val="00206CDB"/>
    <w:rsid w:val="00227ABF"/>
    <w:rsid w:val="00247B95"/>
    <w:rsid w:val="00250923"/>
    <w:rsid w:val="002749D2"/>
    <w:rsid w:val="00286170"/>
    <w:rsid w:val="00297ABE"/>
    <w:rsid w:val="002F4F26"/>
    <w:rsid w:val="002F789E"/>
    <w:rsid w:val="0030575D"/>
    <w:rsid w:val="0030797F"/>
    <w:rsid w:val="00312CF4"/>
    <w:rsid w:val="00333A69"/>
    <w:rsid w:val="003371CB"/>
    <w:rsid w:val="003433E0"/>
    <w:rsid w:val="0035009C"/>
    <w:rsid w:val="0035634C"/>
    <w:rsid w:val="00363AA1"/>
    <w:rsid w:val="0036499E"/>
    <w:rsid w:val="0037186E"/>
    <w:rsid w:val="00390795"/>
    <w:rsid w:val="003933E3"/>
    <w:rsid w:val="003A5A48"/>
    <w:rsid w:val="003B3767"/>
    <w:rsid w:val="003D2D5D"/>
    <w:rsid w:val="003E71FB"/>
    <w:rsid w:val="0040779D"/>
    <w:rsid w:val="00422A16"/>
    <w:rsid w:val="004273FF"/>
    <w:rsid w:val="00434F36"/>
    <w:rsid w:val="00461BAD"/>
    <w:rsid w:val="004621FE"/>
    <w:rsid w:val="00484769"/>
    <w:rsid w:val="00487456"/>
    <w:rsid w:val="00491E2A"/>
    <w:rsid w:val="004D0563"/>
    <w:rsid w:val="004E52B0"/>
    <w:rsid w:val="004E6C44"/>
    <w:rsid w:val="004E7757"/>
    <w:rsid w:val="00500630"/>
    <w:rsid w:val="00502BC3"/>
    <w:rsid w:val="00507445"/>
    <w:rsid w:val="005175A1"/>
    <w:rsid w:val="005505F9"/>
    <w:rsid w:val="0056287B"/>
    <w:rsid w:val="00564C90"/>
    <w:rsid w:val="00567AA0"/>
    <w:rsid w:val="005754FA"/>
    <w:rsid w:val="005767D3"/>
    <w:rsid w:val="00585798"/>
    <w:rsid w:val="005A3131"/>
    <w:rsid w:val="005B175A"/>
    <w:rsid w:val="005B4668"/>
    <w:rsid w:val="005E621B"/>
    <w:rsid w:val="005F0A05"/>
    <w:rsid w:val="005F790B"/>
    <w:rsid w:val="00604A82"/>
    <w:rsid w:val="00623F5F"/>
    <w:rsid w:val="0062571E"/>
    <w:rsid w:val="006271F2"/>
    <w:rsid w:val="00627A0B"/>
    <w:rsid w:val="00631C00"/>
    <w:rsid w:val="006707A8"/>
    <w:rsid w:val="00671334"/>
    <w:rsid w:val="00687718"/>
    <w:rsid w:val="00693FF5"/>
    <w:rsid w:val="006D431F"/>
    <w:rsid w:val="006E57FD"/>
    <w:rsid w:val="00715EDF"/>
    <w:rsid w:val="007A10A8"/>
    <w:rsid w:val="007A7801"/>
    <w:rsid w:val="008070B1"/>
    <w:rsid w:val="008206BD"/>
    <w:rsid w:val="0083250D"/>
    <w:rsid w:val="00846185"/>
    <w:rsid w:val="00862906"/>
    <w:rsid w:val="008752CC"/>
    <w:rsid w:val="00877D53"/>
    <w:rsid w:val="00882DBE"/>
    <w:rsid w:val="008907E2"/>
    <w:rsid w:val="00891332"/>
    <w:rsid w:val="008A3777"/>
    <w:rsid w:val="008B6A9D"/>
    <w:rsid w:val="008D1C24"/>
    <w:rsid w:val="008F6315"/>
    <w:rsid w:val="008F7370"/>
    <w:rsid w:val="00903B76"/>
    <w:rsid w:val="009431B3"/>
    <w:rsid w:val="009717EF"/>
    <w:rsid w:val="00987213"/>
    <w:rsid w:val="009A701B"/>
    <w:rsid w:val="009D7BD7"/>
    <w:rsid w:val="009E11F1"/>
    <w:rsid w:val="009F6621"/>
    <w:rsid w:val="00A02F83"/>
    <w:rsid w:val="00A03275"/>
    <w:rsid w:val="00A2016C"/>
    <w:rsid w:val="00A42499"/>
    <w:rsid w:val="00A42B32"/>
    <w:rsid w:val="00A67E25"/>
    <w:rsid w:val="00A76F29"/>
    <w:rsid w:val="00A8406B"/>
    <w:rsid w:val="00AB4005"/>
    <w:rsid w:val="00AC0B2F"/>
    <w:rsid w:val="00AD629A"/>
    <w:rsid w:val="00B02CED"/>
    <w:rsid w:val="00B03711"/>
    <w:rsid w:val="00B04210"/>
    <w:rsid w:val="00B066BD"/>
    <w:rsid w:val="00B314FB"/>
    <w:rsid w:val="00B552D8"/>
    <w:rsid w:val="00B7309B"/>
    <w:rsid w:val="00B837BF"/>
    <w:rsid w:val="00B858C4"/>
    <w:rsid w:val="00B9044F"/>
    <w:rsid w:val="00BA1E88"/>
    <w:rsid w:val="00BB4AAF"/>
    <w:rsid w:val="00BB5AB6"/>
    <w:rsid w:val="00BF465D"/>
    <w:rsid w:val="00BF768C"/>
    <w:rsid w:val="00BF7831"/>
    <w:rsid w:val="00C07350"/>
    <w:rsid w:val="00C124FF"/>
    <w:rsid w:val="00C50E7F"/>
    <w:rsid w:val="00C54784"/>
    <w:rsid w:val="00C77D15"/>
    <w:rsid w:val="00CA177F"/>
    <w:rsid w:val="00CA1D5C"/>
    <w:rsid w:val="00CB0BD4"/>
    <w:rsid w:val="00CC6692"/>
    <w:rsid w:val="00CC7E2D"/>
    <w:rsid w:val="00CE2C1E"/>
    <w:rsid w:val="00CE2F0D"/>
    <w:rsid w:val="00CF6A25"/>
    <w:rsid w:val="00D0233F"/>
    <w:rsid w:val="00D2408B"/>
    <w:rsid w:val="00D46438"/>
    <w:rsid w:val="00D57FFA"/>
    <w:rsid w:val="00D604A9"/>
    <w:rsid w:val="00D605A1"/>
    <w:rsid w:val="00D737AC"/>
    <w:rsid w:val="00D747CC"/>
    <w:rsid w:val="00DA63FA"/>
    <w:rsid w:val="00DB76DF"/>
    <w:rsid w:val="00DC58BD"/>
    <w:rsid w:val="00DD2253"/>
    <w:rsid w:val="00DD53EB"/>
    <w:rsid w:val="00DF4BE5"/>
    <w:rsid w:val="00DF61E2"/>
    <w:rsid w:val="00E045E5"/>
    <w:rsid w:val="00E052E8"/>
    <w:rsid w:val="00E11BCF"/>
    <w:rsid w:val="00E35090"/>
    <w:rsid w:val="00E52A5B"/>
    <w:rsid w:val="00E71BE6"/>
    <w:rsid w:val="00EB5DC2"/>
    <w:rsid w:val="00EB60FF"/>
    <w:rsid w:val="00EC6B17"/>
    <w:rsid w:val="00ED728D"/>
    <w:rsid w:val="00EE1C24"/>
    <w:rsid w:val="00F020DC"/>
    <w:rsid w:val="00F03F3F"/>
    <w:rsid w:val="00F249C0"/>
    <w:rsid w:val="00F52A50"/>
    <w:rsid w:val="00F52B14"/>
    <w:rsid w:val="00F618FB"/>
    <w:rsid w:val="00F7278E"/>
    <w:rsid w:val="00F851A8"/>
    <w:rsid w:val="00FB1316"/>
    <w:rsid w:val="00FB13AC"/>
    <w:rsid w:val="00FE2A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1E4C8-795E-4961-ADB0-42158801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A4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970</Words>
  <Characters>5531</Characters>
  <Application>Microsoft Office Word</Application>
  <DocSecurity>0</DocSecurity>
  <Lines>46</Lines>
  <Paragraphs>12</Paragraphs>
  <ScaleCrop>false</ScaleCrop>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Xiaoyan Cao</dc:creator>
  <cp:keywords/>
  <dc:description/>
  <cp:lastModifiedBy>Xiaoyan Cao</cp:lastModifiedBy>
  <cp:revision>1</cp:revision>
  <dcterms:created xsi:type="dcterms:W3CDTF">2019-12-18T19:42:00Z</dcterms:created>
  <dcterms:modified xsi:type="dcterms:W3CDTF">2019-12-18T19:46:00Z</dcterms:modified>
</cp:coreProperties>
</file>