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E5369" w14:textId="77777777" w:rsidR="00B337C6" w:rsidRPr="00104EFF" w:rsidRDefault="00B337C6" w:rsidP="00EA30FE">
      <w:pPr>
        <w:rPr>
          <w:rFonts w:cs="Times New Roman"/>
          <w:b/>
          <w:color w:val="auto"/>
        </w:rPr>
      </w:pPr>
      <w:r w:rsidRPr="00104EFF">
        <w:rPr>
          <w:rFonts w:cs="Times New Roman"/>
          <w:b/>
          <w:color w:val="auto"/>
        </w:rPr>
        <w:t>TITLE:</w:t>
      </w:r>
    </w:p>
    <w:p w14:paraId="74E2B3EA" w14:textId="7B34F19F" w:rsidR="00B337C6" w:rsidRPr="000F5526" w:rsidRDefault="00B337C6" w:rsidP="00EA30FE">
      <w:pPr>
        <w:rPr>
          <w:rFonts w:cs="Times New Roman"/>
          <w:color w:val="auto"/>
        </w:rPr>
      </w:pPr>
      <w:r w:rsidRPr="000F5526">
        <w:rPr>
          <w:rFonts w:cs="Times New Roman"/>
          <w:color w:val="auto"/>
        </w:rPr>
        <w:t>Combining Laser Capture Microdissection and Microfluidic qPCR to Analyze Transcriptional Profiles of Single Cells: A Systems Biolog</w:t>
      </w:r>
      <w:r w:rsidR="00370643" w:rsidRPr="000F5526">
        <w:rPr>
          <w:rFonts w:cs="Times New Roman"/>
          <w:color w:val="auto"/>
        </w:rPr>
        <w:t>y Approach to Opioid Dependence</w:t>
      </w:r>
    </w:p>
    <w:p w14:paraId="381D10DE" w14:textId="77777777" w:rsidR="00B337C6" w:rsidRPr="00104EFF" w:rsidRDefault="00B337C6" w:rsidP="00EA30FE">
      <w:pPr>
        <w:rPr>
          <w:rFonts w:cs="Times New Roman"/>
          <w:color w:val="auto"/>
        </w:rPr>
      </w:pPr>
    </w:p>
    <w:p w14:paraId="4E1CEE0A" w14:textId="77777777" w:rsidR="00B337C6" w:rsidRPr="00104EFF" w:rsidRDefault="00B337C6" w:rsidP="00EA30FE">
      <w:pPr>
        <w:rPr>
          <w:rFonts w:cs="Times New Roman"/>
          <w:b/>
          <w:color w:val="auto"/>
        </w:rPr>
      </w:pPr>
      <w:r w:rsidRPr="00104EFF">
        <w:rPr>
          <w:rFonts w:cs="Times New Roman"/>
          <w:b/>
          <w:color w:val="auto"/>
        </w:rPr>
        <w:t>AUTHORS AND AFFILIATIONS:</w:t>
      </w:r>
    </w:p>
    <w:p w14:paraId="513A9AAC" w14:textId="01BA0188" w:rsidR="00A63A93" w:rsidRDefault="00B337C6" w:rsidP="00EA30FE">
      <w:pPr>
        <w:rPr>
          <w:rFonts w:cs="Times New Roman"/>
          <w:color w:val="auto"/>
        </w:rPr>
      </w:pPr>
      <w:r w:rsidRPr="00104EFF">
        <w:rPr>
          <w:rFonts w:cs="Times New Roman"/>
          <w:color w:val="auto"/>
        </w:rPr>
        <w:t>Sean J. O’Sullivan</w:t>
      </w:r>
      <w:r w:rsidRPr="00104EFF">
        <w:rPr>
          <w:rFonts w:cs="Times New Roman"/>
          <w:color w:val="auto"/>
          <w:vertAlign w:val="superscript"/>
        </w:rPr>
        <w:t>1,2</w:t>
      </w:r>
      <w:r w:rsidRPr="00104EFF">
        <w:rPr>
          <w:rFonts w:cs="Times New Roman"/>
          <w:color w:val="auto"/>
        </w:rPr>
        <w:t>, Beverly A.S. Reyes</w:t>
      </w:r>
      <w:r w:rsidRPr="00104EFF">
        <w:rPr>
          <w:rFonts w:cs="Times New Roman"/>
          <w:color w:val="auto"/>
          <w:vertAlign w:val="superscript"/>
        </w:rPr>
        <w:t>3</w:t>
      </w:r>
      <w:r w:rsidRPr="00104EFF">
        <w:rPr>
          <w:rFonts w:cs="Times New Roman"/>
          <w:color w:val="auto"/>
        </w:rPr>
        <w:t>, Rajanikanth Vadigepalli</w:t>
      </w:r>
      <w:r w:rsidRPr="00104EFF">
        <w:rPr>
          <w:rFonts w:cs="Times New Roman"/>
          <w:color w:val="auto"/>
          <w:vertAlign w:val="superscript"/>
        </w:rPr>
        <w:t>1</w:t>
      </w:r>
      <w:r w:rsidRPr="00104EFF">
        <w:rPr>
          <w:rFonts w:cs="Times New Roman"/>
          <w:color w:val="auto"/>
        </w:rPr>
        <w:t>, Elisabeth J. Van Bockstaele</w:t>
      </w:r>
      <w:r w:rsidRPr="00104EFF">
        <w:rPr>
          <w:rFonts w:cs="Times New Roman"/>
          <w:color w:val="auto"/>
          <w:vertAlign w:val="superscript"/>
        </w:rPr>
        <w:t>3</w:t>
      </w:r>
      <w:r w:rsidRPr="00104EFF">
        <w:rPr>
          <w:rFonts w:cs="Times New Roman"/>
          <w:color w:val="auto"/>
        </w:rPr>
        <w:t>, James S. Schwaber</w:t>
      </w:r>
      <w:r w:rsidRPr="00104EFF">
        <w:rPr>
          <w:rFonts w:cs="Times New Roman"/>
          <w:color w:val="auto"/>
          <w:vertAlign w:val="superscript"/>
        </w:rPr>
        <w:t>1</w:t>
      </w:r>
    </w:p>
    <w:p w14:paraId="39674A51" w14:textId="77777777" w:rsidR="006A63E6" w:rsidRPr="00104EFF" w:rsidRDefault="006A63E6" w:rsidP="00EA30FE">
      <w:pPr>
        <w:rPr>
          <w:rFonts w:cs="Times New Roman"/>
          <w:color w:val="auto"/>
        </w:rPr>
      </w:pPr>
    </w:p>
    <w:p w14:paraId="504CAAD3" w14:textId="7AED23D4" w:rsidR="00B337C6" w:rsidRPr="00104EFF" w:rsidRDefault="00B337C6" w:rsidP="00EA30FE">
      <w:pPr>
        <w:rPr>
          <w:rFonts w:cs="Times New Roman"/>
          <w:color w:val="auto"/>
        </w:rPr>
      </w:pPr>
      <w:r w:rsidRPr="00104EFF">
        <w:rPr>
          <w:rFonts w:cs="Times New Roman"/>
          <w:color w:val="auto"/>
          <w:vertAlign w:val="superscript"/>
        </w:rPr>
        <w:t>1</w:t>
      </w:r>
      <w:r w:rsidRPr="00104EFF">
        <w:rPr>
          <w:rFonts w:cs="Times New Roman"/>
          <w:color w:val="auto"/>
        </w:rPr>
        <w:t>Daniel Baugh Institute for Functional Genomics and Computational Biology, Department of Pathology, Anatomy, and Cell Biology, Thomas Jefferson University, Philadelphia, PA</w:t>
      </w:r>
      <w:r w:rsidR="00EA30FE">
        <w:rPr>
          <w:rFonts w:cs="Times New Roman"/>
          <w:color w:val="auto"/>
        </w:rPr>
        <w:t>,</w:t>
      </w:r>
      <w:r w:rsidR="00EA30FE" w:rsidRPr="00104EFF">
        <w:rPr>
          <w:rFonts w:cs="Times New Roman"/>
          <w:color w:val="auto"/>
        </w:rPr>
        <w:t xml:space="preserve"> </w:t>
      </w:r>
      <w:r w:rsidRPr="00104EFF">
        <w:rPr>
          <w:rFonts w:cs="Times New Roman"/>
          <w:color w:val="auto"/>
        </w:rPr>
        <w:t>USA</w:t>
      </w:r>
    </w:p>
    <w:p w14:paraId="28424189" w14:textId="638D691D" w:rsidR="00B337C6" w:rsidRPr="00104EFF" w:rsidRDefault="00B337C6" w:rsidP="00EA30FE">
      <w:pPr>
        <w:rPr>
          <w:rFonts w:cs="Times New Roman"/>
          <w:color w:val="auto"/>
        </w:rPr>
      </w:pPr>
      <w:r w:rsidRPr="00104EFF">
        <w:rPr>
          <w:rFonts w:cs="Times New Roman"/>
          <w:color w:val="auto"/>
          <w:vertAlign w:val="superscript"/>
        </w:rPr>
        <w:t>2</w:t>
      </w:r>
      <w:r w:rsidRPr="00104EFF">
        <w:rPr>
          <w:rFonts w:cs="Times New Roman"/>
          <w:color w:val="auto"/>
        </w:rPr>
        <w:t>Sidney Kimmel Medical College, Thomas Jefferson University, Philadelphia, PA</w:t>
      </w:r>
      <w:r w:rsidR="00EA30FE">
        <w:rPr>
          <w:rFonts w:cs="Times New Roman"/>
          <w:color w:val="auto"/>
        </w:rPr>
        <w:t>,</w:t>
      </w:r>
      <w:r w:rsidR="00EA30FE" w:rsidRPr="00104EFF">
        <w:rPr>
          <w:rFonts w:cs="Times New Roman"/>
          <w:color w:val="auto"/>
        </w:rPr>
        <w:t xml:space="preserve"> </w:t>
      </w:r>
      <w:r w:rsidRPr="00104EFF">
        <w:rPr>
          <w:rFonts w:cs="Times New Roman"/>
          <w:color w:val="auto"/>
        </w:rPr>
        <w:t>USA</w:t>
      </w:r>
    </w:p>
    <w:p w14:paraId="10D8F94B" w14:textId="57D95C87" w:rsidR="00B337C6" w:rsidRPr="00104EFF" w:rsidRDefault="00B337C6" w:rsidP="00EA30FE">
      <w:pPr>
        <w:rPr>
          <w:rFonts w:cs="Times New Roman"/>
          <w:color w:val="auto"/>
        </w:rPr>
      </w:pPr>
      <w:r w:rsidRPr="00104EFF">
        <w:rPr>
          <w:rFonts w:cs="Times New Roman"/>
          <w:color w:val="auto"/>
          <w:vertAlign w:val="superscript"/>
        </w:rPr>
        <w:t>3</w:t>
      </w:r>
      <w:r w:rsidRPr="00104EFF">
        <w:rPr>
          <w:rFonts w:cs="Times New Roman"/>
          <w:color w:val="auto"/>
        </w:rPr>
        <w:t>Department of Pharmacology</w:t>
      </w:r>
      <w:r w:rsidR="00F13820">
        <w:rPr>
          <w:rFonts w:cs="Times New Roman"/>
          <w:color w:val="auto"/>
        </w:rPr>
        <w:t xml:space="preserve">, </w:t>
      </w:r>
      <w:r w:rsidRPr="00104EFF">
        <w:rPr>
          <w:rFonts w:cs="Times New Roman"/>
          <w:color w:val="auto"/>
        </w:rPr>
        <w:t>Physiology, Drexel University College of Medicine, Philadelphia, PA, USA</w:t>
      </w:r>
    </w:p>
    <w:p w14:paraId="6EE06186" w14:textId="77777777" w:rsidR="00B337C6" w:rsidRPr="00104EFF" w:rsidRDefault="00B337C6" w:rsidP="00EA30FE">
      <w:pPr>
        <w:rPr>
          <w:rFonts w:cs="Times New Roman"/>
          <w:color w:val="auto"/>
        </w:rPr>
      </w:pPr>
    </w:p>
    <w:p w14:paraId="310A431F" w14:textId="77777777" w:rsidR="00B337C6" w:rsidRPr="00104EFF" w:rsidRDefault="00B337C6" w:rsidP="00EA30FE">
      <w:pPr>
        <w:rPr>
          <w:rFonts w:cs="Times New Roman"/>
          <w:b/>
          <w:color w:val="auto"/>
        </w:rPr>
      </w:pPr>
      <w:r w:rsidRPr="00104EFF">
        <w:rPr>
          <w:rFonts w:cs="Times New Roman"/>
          <w:b/>
          <w:color w:val="auto"/>
        </w:rPr>
        <w:t>Corresponding Author:</w:t>
      </w:r>
    </w:p>
    <w:p w14:paraId="71BDD666" w14:textId="658E1AB8" w:rsidR="00B337C6" w:rsidRPr="00104EFF" w:rsidRDefault="001A69D0" w:rsidP="00EA30FE">
      <w:pPr>
        <w:rPr>
          <w:rFonts w:cs="Times New Roman"/>
          <w:color w:val="auto"/>
        </w:rPr>
      </w:pPr>
      <w:r>
        <w:rPr>
          <w:rFonts w:cs="Times New Roman"/>
          <w:color w:val="auto"/>
        </w:rPr>
        <w:t>Sean J. O’Sullivan</w:t>
      </w:r>
      <w:r w:rsidR="00B337C6" w:rsidRPr="00104EFF">
        <w:rPr>
          <w:rFonts w:cs="Times New Roman"/>
          <w:color w:val="auto"/>
        </w:rPr>
        <w:t xml:space="preserve"> </w:t>
      </w:r>
      <w:r w:rsidR="00B337C6" w:rsidRPr="00104EFF">
        <w:rPr>
          <w:rFonts w:cs="Times New Roman"/>
          <w:color w:val="auto"/>
        </w:rPr>
        <w:tab/>
      </w:r>
      <w:r w:rsidR="00B337C6" w:rsidRPr="00104EFF">
        <w:rPr>
          <w:rFonts w:cs="Times New Roman"/>
          <w:color w:val="auto"/>
        </w:rPr>
        <w:tab/>
        <w:t>(</w:t>
      </w:r>
      <w:r>
        <w:rPr>
          <w:rFonts w:cs="Times New Roman"/>
          <w:color w:val="auto"/>
        </w:rPr>
        <w:t>sjo003</w:t>
      </w:r>
      <w:r w:rsidR="00B337C6" w:rsidRPr="00104EFF">
        <w:rPr>
          <w:rFonts w:cs="Times New Roman"/>
          <w:color w:val="auto"/>
        </w:rPr>
        <w:t>@jefferson.edu)</w:t>
      </w:r>
    </w:p>
    <w:p w14:paraId="1AD6F49A" w14:textId="77777777" w:rsidR="00B337C6" w:rsidRPr="00104EFF" w:rsidRDefault="00B337C6" w:rsidP="00EA30FE">
      <w:pPr>
        <w:rPr>
          <w:rFonts w:cs="Times New Roman"/>
          <w:color w:val="auto"/>
        </w:rPr>
      </w:pPr>
    </w:p>
    <w:p w14:paraId="43728100" w14:textId="77777777" w:rsidR="00B337C6" w:rsidRPr="00104EFF" w:rsidRDefault="00B337C6" w:rsidP="00EA30FE">
      <w:pPr>
        <w:rPr>
          <w:rFonts w:cs="Times New Roman"/>
          <w:b/>
          <w:color w:val="auto"/>
        </w:rPr>
      </w:pPr>
      <w:r w:rsidRPr="00104EFF">
        <w:rPr>
          <w:rFonts w:cs="Times New Roman"/>
          <w:b/>
          <w:color w:val="auto"/>
        </w:rPr>
        <w:t>KEYWORDS:</w:t>
      </w:r>
    </w:p>
    <w:p w14:paraId="1ACBBAAA" w14:textId="48BF81A2" w:rsidR="00B337C6" w:rsidRPr="00104EFF" w:rsidRDefault="00BB5D76" w:rsidP="00EA30FE">
      <w:pPr>
        <w:rPr>
          <w:rFonts w:cs="Times New Roman"/>
          <w:color w:val="auto"/>
        </w:rPr>
      </w:pPr>
      <w:r>
        <w:rPr>
          <w:rFonts w:cs="Times New Roman"/>
          <w:color w:val="auto"/>
        </w:rPr>
        <w:t>s</w:t>
      </w:r>
      <w:r w:rsidRPr="00104EFF">
        <w:rPr>
          <w:rFonts w:cs="Times New Roman"/>
          <w:color w:val="auto"/>
        </w:rPr>
        <w:t>ingle</w:t>
      </w:r>
      <w:r>
        <w:rPr>
          <w:rFonts w:cs="Times New Roman"/>
          <w:color w:val="auto"/>
        </w:rPr>
        <w:t xml:space="preserve"> </w:t>
      </w:r>
      <w:r w:rsidR="00B337C6" w:rsidRPr="00104EFF">
        <w:rPr>
          <w:rFonts w:cs="Times New Roman"/>
          <w:color w:val="auto"/>
        </w:rPr>
        <w:t>cell gene expression, laser capture microdissection, microfluidic qPCR, opioid dependence, anatomic specif</w:t>
      </w:r>
      <w:r w:rsidR="00EA51E0">
        <w:rPr>
          <w:rFonts w:cs="Times New Roman"/>
          <w:color w:val="auto"/>
        </w:rPr>
        <w:t>icity, amygdala, gut microbiome, glia</w:t>
      </w:r>
    </w:p>
    <w:p w14:paraId="14C4C12F" w14:textId="77777777" w:rsidR="00B337C6" w:rsidRPr="00104EFF" w:rsidRDefault="00B337C6" w:rsidP="00EA30FE">
      <w:pPr>
        <w:rPr>
          <w:rFonts w:cs="Times New Roman"/>
          <w:color w:val="auto"/>
        </w:rPr>
      </w:pPr>
    </w:p>
    <w:p w14:paraId="5B33EF1B" w14:textId="77777777" w:rsidR="00B337C6" w:rsidRPr="00104EFF" w:rsidRDefault="00B337C6" w:rsidP="00EA30FE">
      <w:pPr>
        <w:rPr>
          <w:rFonts w:cs="Times New Roman"/>
          <w:b/>
          <w:color w:val="auto"/>
        </w:rPr>
      </w:pPr>
      <w:r w:rsidRPr="00104EFF">
        <w:rPr>
          <w:rFonts w:cs="Times New Roman"/>
          <w:b/>
          <w:color w:val="auto"/>
        </w:rPr>
        <w:t>SUMMARY:</w:t>
      </w:r>
    </w:p>
    <w:p w14:paraId="7268C023" w14:textId="4A16EA0A" w:rsidR="00B337C6" w:rsidRPr="00104EFF" w:rsidRDefault="00D42299" w:rsidP="00EA30FE">
      <w:pPr>
        <w:rPr>
          <w:rFonts w:cs="Times New Roman"/>
          <w:color w:val="auto"/>
        </w:rPr>
      </w:pPr>
      <w:r>
        <w:rPr>
          <w:rFonts w:cs="Times New Roman"/>
          <w:color w:val="auto"/>
        </w:rPr>
        <w:t>This protocol explains how</w:t>
      </w:r>
      <w:r w:rsidR="00B337C6" w:rsidRPr="00104EFF">
        <w:rPr>
          <w:rFonts w:cs="Times New Roman"/>
          <w:color w:val="auto"/>
        </w:rPr>
        <w:t xml:space="preserve"> to collect single neurons, microglia, and astrocytes from the central nucleus of the amygdala with high ac</w:t>
      </w:r>
      <w:r>
        <w:rPr>
          <w:rFonts w:cs="Times New Roman"/>
          <w:color w:val="auto"/>
        </w:rPr>
        <w:t>curacy and anatomic specificity using laser capture microdissection. Additionally, we explain our use of microfluidic RT-qPCR to measure a subset of the transcriptome of these cells</w:t>
      </w:r>
      <w:r w:rsidR="00B337C6" w:rsidRPr="00104EFF">
        <w:rPr>
          <w:rFonts w:cs="Times New Roman"/>
          <w:color w:val="auto"/>
        </w:rPr>
        <w:t>.</w:t>
      </w:r>
    </w:p>
    <w:p w14:paraId="379FFD0B" w14:textId="77777777" w:rsidR="00B337C6" w:rsidRPr="00104EFF" w:rsidRDefault="00B337C6" w:rsidP="00EA30FE">
      <w:pPr>
        <w:rPr>
          <w:rFonts w:cs="Times New Roman"/>
          <w:color w:val="auto"/>
        </w:rPr>
      </w:pPr>
    </w:p>
    <w:p w14:paraId="0FBB726E" w14:textId="77777777" w:rsidR="00B337C6" w:rsidRPr="00104EFF" w:rsidRDefault="00B337C6" w:rsidP="00EA30FE">
      <w:pPr>
        <w:rPr>
          <w:rFonts w:cs="Times New Roman"/>
          <w:b/>
          <w:color w:val="auto"/>
        </w:rPr>
      </w:pPr>
      <w:r w:rsidRPr="00104EFF">
        <w:rPr>
          <w:rFonts w:cs="Times New Roman"/>
          <w:b/>
          <w:color w:val="auto"/>
        </w:rPr>
        <w:t>ABSTRACT:</w:t>
      </w:r>
    </w:p>
    <w:p w14:paraId="25219ADD" w14:textId="3B283386" w:rsidR="00B337C6" w:rsidRPr="00104EFF" w:rsidRDefault="000D5D77" w:rsidP="00EA30FE">
      <w:pPr>
        <w:rPr>
          <w:rFonts w:cs="Times New Roman"/>
          <w:color w:val="auto"/>
        </w:rPr>
      </w:pPr>
      <w:r>
        <w:rPr>
          <w:rFonts w:cs="Times New Roman"/>
          <w:color w:val="auto"/>
        </w:rPr>
        <w:t>P</w:t>
      </w:r>
      <w:r w:rsidR="00B35196">
        <w:rPr>
          <w:rFonts w:cs="Times New Roman"/>
          <w:color w:val="auto"/>
        </w:rPr>
        <w:t>rofound t</w:t>
      </w:r>
      <w:r w:rsidR="00217547">
        <w:rPr>
          <w:rFonts w:cs="Times New Roman"/>
          <w:color w:val="auto"/>
        </w:rPr>
        <w:t>ranscriptional</w:t>
      </w:r>
      <w:r w:rsidR="00B35196">
        <w:rPr>
          <w:rFonts w:cs="Times New Roman"/>
          <w:color w:val="auto"/>
        </w:rPr>
        <w:t xml:space="preserve"> heter</w:t>
      </w:r>
      <w:r>
        <w:rPr>
          <w:rFonts w:cs="Times New Roman"/>
          <w:color w:val="auto"/>
        </w:rPr>
        <w:t>ogeneity</w:t>
      </w:r>
      <w:r w:rsidR="00B35196">
        <w:rPr>
          <w:rFonts w:cs="Times New Roman"/>
          <w:color w:val="auto"/>
        </w:rPr>
        <w:t xml:space="preserve"> in anatomically adjacent single</w:t>
      </w:r>
      <w:r w:rsidR="006A63E6">
        <w:rPr>
          <w:rFonts w:cs="Times New Roman"/>
          <w:color w:val="auto"/>
        </w:rPr>
        <w:t xml:space="preserve"> </w:t>
      </w:r>
      <w:r w:rsidR="00B35196">
        <w:rPr>
          <w:rFonts w:cs="Times New Roman"/>
          <w:color w:val="auto"/>
        </w:rPr>
        <w:t xml:space="preserve">cells </w:t>
      </w:r>
      <w:r w:rsidR="00B317C2">
        <w:rPr>
          <w:rFonts w:cs="Times New Roman"/>
          <w:color w:val="auto"/>
        </w:rPr>
        <w:t xml:space="preserve">suggests </w:t>
      </w:r>
      <w:r w:rsidR="00F13820">
        <w:rPr>
          <w:rFonts w:cs="Times New Roman"/>
          <w:color w:val="auto"/>
        </w:rPr>
        <w:t xml:space="preserve">that </w:t>
      </w:r>
      <w:r w:rsidR="00B317C2">
        <w:rPr>
          <w:rFonts w:cs="Times New Roman"/>
          <w:color w:val="auto"/>
        </w:rPr>
        <w:t>robust tissue functionality may be achieved by ce</w:t>
      </w:r>
      <w:r w:rsidR="00217547">
        <w:rPr>
          <w:rFonts w:cs="Times New Roman"/>
          <w:color w:val="auto"/>
        </w:rPr>
        <w:t>llular phenotype diversity. S</w:t>
      </w:r>
      <w:r w:rsidR="009B2FB7">
        <w:rPr>
          <w:rFonts w:cs="Times New Roman"/>
          <w:color w:val="auto"/>
        </w:rPr>
        <w:t>in</w:t>
      </w:r>
      <w:r w:rsidR="00217547">
        <w:rPr>
          <w:rFonts w:cs="Times New Roman"/>
          <w:color w:val="auto"/>
        </w:rPr>
        <w:t>gle-cell experiments investigating the</w:t>
      </w:r>
      <w:r w:rsidR="003C65B9">
        <w:rPr>
          <w:rFonts w:cs="Times New Roman"/>
          <w:color w:val="auto"/>
        </w:rPr>
        <w:t xml:space="preserve"> network</w:t>
      </w:r>
      <w:r w:rsidR="009B2FB7">
        <w:rPr>
          <w:rFonts w:cs="Times New Roman"/>
          <w:color w:val="auto"/>
        </w:rPr>
        <w:t xml:space="preserve"> dynamics of biological system</w:t>
      </w:r>
      <w:r w:rsidR="00217547">
        <w:rPr>
          <w:rFonts w:cs="Times New Roman"/>
          <w:color w:val="auto"/>
        </w:rPr>
        <w:t>s demonstrate cellular and tissue responses to various conditions at</w:t>
      </w:r>
      <w:r w:rsidR="004746F7">
        <w:rPr>
          <w:rFonts w:cs="Times New Roman"/>
          <w:color w:val="auto"/>
        </w:rPr>
        <w:t xml:space="preserve"> </w:t>
      </w:r>
      <w:r w:rsidR="0054095C">
        <w:rPr>
          <w:rFonts w:cs="Times New Roman"/>
          <w:color w:val="auto"/>
        </w:rPr>
        <w:t>biologically meaningful</w:t>
      </w:r>
      <w:r w:rsidR="004746F7">
        <w:rPr>
          <w:rFonts w:cs="Times New Roman"/>
          <w:color w:val="auto"/>
        </w:rPr>
        <w:t xml:space="preserve"> resolution</w:t>
      </w:r>
      <w:r w:rsidR="009B2FB7">
        <w:rPr>
          <w:rFonts w:cs="Times New Roman"/>
          <w:color w:val="auto"/>
        </w:rPr>
        <w:t xml:space="preserve">. </w:t>
      </w:r>
      <w:r w:rsidR="00B35196">
        <w:rPr>
          <w:rFonts w:cs="Times New Roman"/>
          <w:color w:val="auto"/>
        </w:rPr>
        <w:t>Herein, we explain our methods for gathering single</w:t>
      </w:r>
      <w:r w:rsidR="00F13820">
        <w:rPr>
          <w:rFonts w:cs="Times New Roman"/>
          <w:color w:val="auto"/>
        </w:rPr>
        <w:t xml:space="preserve"> </w:t>
      </w:r>
      <w:r w:rsidR="00B35196">
        <w:rPr>
          <w:rFonts w:cs="Times New Roman"/>
          <w:color w:val="auto"/>
        </w:rPr>
        <w:t xml:space="preserve">cells from anatomically specific locations and </w:t>
      </w:r>
      <w:r w:rsidR="00B317C2">
        <w:rPr>
          <w:rFonts w:cs="Times New Roman"/>
          <w:color w:val="auto"/>
        </w:rPr>
        <w:t xml:space="preserve">accurately </w:t>
      </w:r>
      <w:r w:rsidR="00B35196">
        <w:rPr>
          <w:rFonts w:cs="Times New Roman"/>
          <w:color w:val="auto"/>
        </w:rPr>
        <w:t>measuring a subset of their gene expression profiles. We combin</w:t>
      </w:r>
      <w:r w:rsidR="00EA30FE">
        <w:rPr>
          <w:rFonts w:cs="Times New Roman"/>
          <w:color w:val="auto"/>
        </w:rPr>
        <w:t>e</w:t>
      </w:r>
      <w:r w:rsidR="00B35196">
        <w:rPr>
          <w:rFonts w:cs="Times New Roman"/>
          <w:color w:val="auto"/>
        </w:rPr>
        <w:t xml:space="preserve"> laser capture microdissection</w:t>
      </w:r>
      <w:r w:rsidR="00D42299">
        <w:rPr>
          <w:rFonts w:cs="Times New Roman"/>
          <w:color w:val="auto"/>
        </w:rPr>
        <w:t xml:space="preserve"> (LCM)</w:t>
      </w:r>
      <w:r w:rsidR="00B35196">
        <w:rPr>
          <w:rFonts w:cs="Times New Roman"/>
          <w:color w:val="auto"/>
        </w:rPr>
        <w:t xml:space="preserve"> with microfluidic reverse transcription quantitative polymerase chain reactions (RT-qPCR)</w:t>
      </w:r>
      <w:r w:rsidR="003C65B9">
        <w:rPr>
          <w:rFonts w:cs="Times New Roman"/>
          <w:color w:val="auto"/>
        </w:rPr>
        <w:t>. We also use this</w:t>
      </w:r>
      <w:r w:rsidR="00B317C2">
        <w:rPr>
          <w:rFonts w:cs="Times New Roman"/>
          <w:color w:val="auto"/>
        </w:rPr>
        <w:t xml:space="preserve"> microfluidic RT-qPCR platform to measure</w:t>
      </w:r>
      <w:r w:rsidR="00891A7A">
        <w:rPr>
          <w:rFonts w:cs="Times New Roman"/>
          <w:color w:val="auto"/>
        </w:rPr>
        <w:t xml:space="preserve"> the</w:t>
      </w:r>
      <w:r w:rsidR="00B317C2">
        <w:rPr>
          <w:rFonts w:cs="Times New Roman"/>
          <w:color w:val="auto"/>
        </w:rPr>
        <w:t xml:space="preserve"> </w:t>
      </w:r>
      <w:r w:rsidR="005B5E99">
        <w:rPr>
          <w:rFonts w:cs="Times New Roman"/>
          <w:color w:val="auto"/>
        </w:rPr>
        <w:t xml:space="preserve">microbial </w:t>
      </w:r>
      <w:r w:rsidR="0079079E">
        <w:rPr>
          <w:rFonts w:cs="Times New Roman"/>
          <w:color w:val="auto"/>
        </w:rPr>
        <w:t>abundance</w:t>
      </w:r>
      <w:r w:rsidR="003C65B9">
        <w:rPr>
          <w:rFonts w:cs="Times New Roman"/>
          <w:color w:val="auto"/>
        </w:rPr>
        <w:t xml:space="preserve"> of gut contents.</w:t>
      </w:r>
    </w:p>
    <w:p w14:paraId="254791BC" w14:textId="77777777" w:rsidR="007031F8" w:rsidRPr="00104EFF" w:rsidRDefault="007031F8" w:rsidP="00EA30FE">
      <w:pPr>
        <w:rPr>
          <w:rFonts w:cs="Times New Roman"/>
          <w:color w:val="auto"/>
        </w:rPr>
      </w:pPr>
    </w:p>
    <w:p w14:paraId="596E9F25" w14:textId="6F537E55" w:rsidR="0079079E" w:rsidRDefault="007031F8" w:rsidP="00EA30FE">
      <w:pPr>
        <w:rPr>
          <w:rFonts w:cs="Times New Roman"/>
          <w:b/>
          <w:color w:val="auto"/>
        </w:rPr>
      </w:pPr>
      <w:r w:rsidRPr="00104EFF">
        <w:rPr>
          <w:rFonts w:cs="Times New Roman"/>
          <w:b/>
          <w:color w:val="auto"/>
        </w:rPr>
        <w:t>INTRODUCTION:</w:t>
      </w:r>
    </w:p>
    <w:p w14:paraId="03DC38EB" w14:textId="0599CCE4" w:rsidR="00A63A93" w:rsidRDefault="009B2FB7" w:rsidP="00EA30FE">
      <w:pPr>
        <w:rPr>
          <w:rFonts w:cs="Times New Roman"/>
          <w:color w:val="auto"/>
        </w:rPr>
      </w:pPr>
      <w:r>
        <w:rPr>
          <w:rFonts w:cs="Times New Roman"/>
          <w:color w:val="auto"/>
        </w:rPr>
        <w:t xml:space="preserve">Measuring </w:t>
      </w:r>
      <w:r w:rsidR="003C65B9">
        <w:rPr>
          <w:rFonts w:cs="Times New Roman"/>
          <w:color w:val="auto"/>
        </w:rPr>
        <w:t xml:space="preserve">the </w:t>
      </w:r>
      <w:r>
        <w:rPr>
          <w:rFonts w:cs="Times New Roman"/>
          <w:color w:val="auto"/>
        </w:rPr>
        <w:t>gene expression</w:t>
      </w:r>
      <w:r w:rsidR="003C65B9">
        <w:rPr>
          <w:rFonts w:cs="Times New Roman"/>
          <w:color w:val="auto"/>
        </w:rPr>
        <w:t xml:space="preserve"> profiles of</w:t>
      </w:r>
      <w:r>
        <w:rPr>
          <w:rFonts w:cs="Times New Roman"/>
          <w:color w:val="auto"/>
        </w:rPr>
        <w:t xml:space="preserve"> single cell</w:t>
      </w:r>
      <w:r w:rsidR="003C65B9">
        <w:rPr>
          <w:rFonts w:cs="Times New Roman"/>
          <w:color w:val="auto"/>
        </w:rPr>
        <w:t>s</w:t>
      </w:r>
      <w:r>
        <w:rPr>
          <w:rFonts w:cs="Times New Roman"/>
          <w:color w:val="auto"/>
        </w:rPr>
        <w:t xml:space="preserve"> </w:t>
      </w:r>
      <w:r w:rsidR="003C65B9">
        <w:rPr>
          <w:rFonts w:cs="Times New Roman"/>
          <w:color w:val="auto"/>
        </w:rPr>
        <w:t>has</w:t>
      </w:r>
      <w:r>
        <w:rPr>
          <w:rFonts w:cs="Times New Roman"/>
          <w:color w:val="auto"/>
        </w:rPr>
        <w:t xml:space="preserve"> </w:t>
      </w:r>
      <w:r w:rsidR="003C65B9">
        <w:rPr>
          <w:rFonts w:cs="Times New Roman"/>
          <w:color w:val="auto"/>
        </w:rPr>
        <w:t xml:space="preserve">demonstrated extensive phenotypic heterogeneity within a tissue. </w:t>
      </w:r>
      <w:r w:rsidR="00624D73">
        <w:rPr>
          <w:rFonts w:cs="Times New Roman"/>
          <w:color w:val="auto"/>
        </w:rPr>
        <w:t>This complexity has complicated our understanding of the biological networks that govern tissue function. Our group and others have explored this phenomenon in many tissues and conditions</w:t>
      </w:r>
      <w:r w:rsidR="0034472B" w:rsidRPr="0034472B">
        <w:rPr>
          <w:rFonts w:cs="Times New Roman"/>
          <w:bCs/>
          <w:noProof/>
          <w:color w:val="auto"/>
          <w:vertAlign w:val="superscript"/>
        </w:rPr>
        <w:t>1–6</w:t>
      </w:r>
      <w:r w:rsidR="00624D73">
        <w:rPr>
          <w:rFonts w:cs="Times New Roman"/>
          <w:color w:val="auto"/>
        </w:rPr>
        <w:t xml:space="preserve">. </w:t>
      </w:r>
      <w:r w:rsidR="00A63A93">
        <w:rPr>
          <w:rFonts w:cs="Times New Roman"/>
          <w:color w:val="auto"/>
        </w:rPr>
        <w:t>These experiments not only suggest that regulation of gene expression networks underlie such heterogeneity, but also that si</w:t>
      </w:r>
      <w:r w:rsidR="00D42299">
        <w:rPr>
          <w:rFonts w:cs="Times New Roman"/>
          <w:color w:val="auto"/>
        </w:rPr>
        <w:t>ngle-cell resolution reveals a complexity in</w:t>
      </w:r>
      <w:r w:rsidR="00EC3334">
        <w:rPr>
          <w:rFonts w:cs="Times New Roman"/>
          <w:color w:val="auto"/>
        </w:rPr>
        <w:t xml:space="preserve"> tissue function</w:t>
      </w:r>
      <w:r w:rsidR="00D42299">
        <w:rPr>
          <w:rFonts w:cs="Times New Roman"/>
          <w:color w:val="auto"/>
        </w:rPr>
        <w:t xml:space="preserve"> that tissue-level resolution fails to appreciate</w:t>
      </w:r>
      <w:r w:rsidR="00EC3334">
        <w:rPr>
          <w:rFonts w:cs="Times New Roman"/>
          <w:color w:val="auto"/>
        </w:rPr>
        <w:t xml:space="preserve">. </w:t>
      </w:r>
      <w:r w:rsidR="00DC036E">
        <w:rPr>
          <w:rFonts w:cs="Times New Roman"/>
          <w:color w:val="auto"/>
        </w:rPr>
        <w:lastRenderedPageBreak/>
        <w:t>Indeed, merely a small minority of cells may</w:t>
      </w:r>
      <w:r w:rsidR="00D42299">
        <w:rPr>
          <w:rFonts w:cs="Times New Roman"/>
          <w:color w:val="auto"/>
        </w:rPr>
        <w:t xml:space="preserve"> respond to a specific condition or challenge</w:t>
      </w:r>
      <w:r w:rsidR="00DC036E">
        <w:rPr>
          <w:rFonts w:cs="Times New Roman"/>
          <w:color w:val="auto"/>
        </w:rPr>
        <w:t xml:space="preserve">, but the impact of those cells on overall physiology may be substantial. Additionally, </w:t>
      </w:r>
      <w:r w:rsidR="00EC3334">
        <w:rPr>
          <w:rFonts w:cs="Times New Roman"/>
          <w:color w:val="auto"/>
        </w:rPr>
        <w:t>a</w:t>
      </w:r>
      <w:r w:rsidR="00A63A93">
        <w:rPr>
          <w:rFonts w:cs="Times New Roman"/>
          <w:color w:val="auto"/>
        </w:rPr>
        <w:t xml:space="preserve"> system biology approach that </w:t>
      </w:r>
      <w:r w:rsidR="00DC036E">
        <w:rPr>
          <w:rFonts w:cs="Times New Roman"/>
          <w:color w:val="auto"/>
        </w:rPr>
        <w:t>applies multivariate methods to</w:t>
      </w:r>
      <w:r w:rsidR="00D42299">
        <w:rPr>
          <w:rFonts w:cs="Times New Roman"/>
          <w:color w:val="auto"/>
        </w:rPr>
        <w:t xml:space="preserve"> high </w:t>
      </w:r>
      <w:r w:rsidR="00A63A93">
        <w:rPr>
          <w:rFonts w:cs="Times New Roman"/>
          <w:color w:val="auto"/>
        </w:rPr>
        <w:t>dimensional datasets</w:t>
      </w:r>
      <w:r w:rsidR="00DC036E">
        <w:rPr>
          <w:rFonts w:cs="Times New Roman"/>
          <w:color w:val="auto"/>
        </w:rPr>
        <w:t xml:space="preserve"> from multiple</w:t>
      </w:r>
      <w:r w:rsidR="00D42299">
        <w:rPr>
          <w:rFonts w:cs="Times New Roman"/>
          <w:color w:val="auto"/>
        </w:rPr>
        <w:t xml:space="preserve"> cell</w:t>
      </w:r>
      <w:r w:rsidR="00192DD6">
        <w:rPr>
          <w:rFonts w:cs="Times New Roman"/>
          <w:color w:val="auto"/>
        </w:rPr>
        <w:t xml:space="preserve"> </w:t>
      </w:r>
      <w:r w:rsidR="00D42299">
        <w:rPr>
          <w:rFonts w:cs="Times New Roman"/>
          <w:color w:val="auto"/>
        </w:rPr>
        <w:t>types and tissues</w:t>
      </w:r>
      <w:r w:rsidR="00DC036E">
        <w:rPr>
          <w:rFonts w:cs="Times New Roman"/>
          <w:color w:val="auto"/>
        </w:rPr>
        <w:t xml:space="preserve"> can </w:t>
      </w:r>
      <w:r w:rsidR="00377D19">
        <w:rPr>
          <w:rFonts w:cs="Times New Roman"/>
          <w:color w:val="auto"/>
        </w:rPr>
        <w:t xml:space="preserve">elucidate </w:t>
      </w:r>
      <w:r w:rsidR="00EC3334">
        <w:rPr>
          <w:rFonts w:cs="Times New Roman"/>
          <w:color w:val="auto"/>
        </w:rPr>
        <w:t>system-wide treatment effects.</w:t>
      </w:r>
    </w:p>
    <w:p w14:paraId="3280471E" w14:textId="77777777" w:rsidR="00A63A93" w:rsidRDefault="00A63A93" w:rsidP="00EA30FE">
      <w:pPr>
        <w:rPr>
          <w:rFonts w:cs="Times New Roman"/>
          <w:color w:val="auto"/>
        </w:rPr>
      </w:pPr>
    </w:p>
    <w:p w14:paraId="7E352921" w14:textId="25B0FEE9" w:rsidR="00A63A93" w:rsidRDefault="00DC036E" w:rsidP="00EA30FE">
      <w:pPr>
        <w:rPr>
          <w:rFonts w:cs="Times New Roman"/>
          <w:color w:val="auto"/>
        </w:rPr>
      </w:pPr>
      <w:r>
        <w:rPr>
          <w:rFonts w:cs="Times New Roman"/>
          <w:color w:val="auto"/>
        </w:rPr>
        <w:t>We combine</w:t>
      </w:r>
      <w:r w:rsidR="00EC3334">
        <w:rPr>
          <w:rFonts w:cs="Times New Roman"/>
          <w:color w:val="auto"/>
        </w:rPr>
        <w:t xml:space="preserve"> LCM and microfluidic RT-qPCR</w:t>
      </w:r>
      <w:r w:rsidR="00377D19">
        <w:rPr>
          <w:rFonts w:cs="Times New Roman"/>
          <w:color w:val="auto"/>
        </w:rPr>
        <w:t xml:space="preserve"> to obtain such datasets</w:t>
      </w:r>
      <w:r w:rsidR="00217547">
        <w:rPr>
          <w:rFonts w:cs="Times New Roman"/>
          <w:color w:val="auto"/>
        </w:rPr>
        <w:t>. We take this approach here</w:t>
      </w:r>
      <w:r w:rsidR="00EC3334">
        <w:rPr>
          <w:rFonts w:cs="Times New Roman"/>
          <w:color w:val="auto"/>
        </w:rPr>
        <w:t xml:space="preserve"> in contrast to</w:t>
      </w:r>
      <w:r w:rsidR="00217547">
        <w:rPr>
          <w:rFonts w:cs="Times New Roman"/>
          <w:color w:val="auto"/>
        </w:rPr>
        <w:t xml:space="preserve"> gathering </w:t>
      </w:r>
      <w:r w:rsidR="00BB5D76">
        <w:rPr>
          <w:rFonts w:cs="Times New Roman"/>
          <w:color w:val="auto"/>
        </w:rPr>
        <w:t>single cell</w:t>
      </w:r>
      <w:r w:rsidR="00217547">
        <w:rPr>
          <w:rFonts w:cs="Times New Roman"/>
          <w:color w:val="auto"/>
        </w:rPr>
        <w:t>s via</w:t>
      </w:r>
      <w:r w:rsidR="00EC3334">
        <w:rPr>
          <w:rFonts w:cs="Times New Roman"/>
          <w:color w:val="auto"/>
        </w:rPr>
        <w:t xml:space="preserve"> fluorescence-activa</w:t>
      </w:r>
      <w:r>
        <w:rPr>
          <w:rFonts w:cs="Times New Roman"/>
          <w:color w:val="auto"/>
        </w:rPr>
        <w:t xml:space="preserve">ted cell sorting (FACS) and </w:t>
      </w:r>
      <w:r w:rsidR="00217547">
        <w:rPr>
          <w:rFonts w:cs="Times New Roman"/>
          <w:color w:val="auto"/>
        </w:rPr>
        <w:t xml:space="preserve">using </w:t>
      </w:r>
      <w:r>
        <w:rPr>
          <w:rFonts w:cs="Times New Roman"/>
          <w:color w:val="auto"/>
        </w:rPr>
        <w:t xml:space="preserve">RNA </w:t>
      </w:r>
      <w:r w:rsidR="00EC3334">
        <w:rPr>
          <w:rFonts w:cs="Times New Roman"/>
          <w:color w:val="auto"/>
        </w:rPr>
        <w:t>seq</w:t>
      </w:r>
      <w:r>
        <w:rPr>
          <w:rFonts w:cs="Times New Roman"/>
          <w:color w:val="auto"/>
        </w:rPr>
        <w:t>uencing (RNA-seq)</w:t>
      </w:r>
      <w:r w:rsidR="00217547">
        <w:rPr>
          <w:rFonts w:cs="Times New Roman"/>
          <w:color w:val="auto"/>
        </w:rPr>
        <w:t xml:space="preserve"> to measure their transcriptome</w:t>
      </w:r>
      <w:r w:rsidR="00EC3334">
        <w:rPr>
          <w:rFonts w:cs="Times New Roman"/>
          <w:color w:val="auto"/>
        </w:rPr>
        <w:t xml:space="preserve">. The advantage of LCM over FACS is that the exact anatomic specificity of </w:t>
      </w:r>
      <w:r w:rsidR="00BB5D76">
        <w:rPr>
          <w:rFonts w:cs="Times New Roman"/>
          <w:color w:val="auto"/>
        </w:rPr>
        <w:t>single cell</w:t>
      </w:r>
      <w:r w:rsidR="00217547">
        <w:rPr>
          <w:rFonts w:cs="Times New Roman"/>
          <w:color w:val="auto"/>
        </w:rPr>
        <w:t>s</w:t>
      </w:r>
      <w:r w:rsidR="00EC3334">
        <w:rPr>
          <w:rFonts w:cs="Times New Roman"/>
          <w:color w:val="auto"/>
        </w:rPr>
        <w:t xml:space="preserve"> can be documented with LCM</w:t>
      </w:r>
      <w:r w:rsidR="00192DD6">
        <w:rPr>
          <w:rFonts w:cs="Times New Roman"/>
          <w:color w:val="auto"/>
        </w:rPr>
        <w:t xml:space="preserve">, </w:t>
      </w:r>
      <w:r w:rsidR="00217547">
        <w:rPr>
          <w:rFonts w:cs="Times New Roman"/>
          <w:color w:val="auto"/>
        </w:rPr>
        <w:t>relatively and absolutely</w:t>
      </w:r>
      <w:r w:rsidR="00EC3334">
        <w:rPr>
          <w:rFonts w:cs="Times New Roman"/>
          <w:color w:val="auto"/>
        </w:rPr>
        <w:t xml:space="preserve">. </w:t>
      </w:r>
      <w:r w:rsidR="006331E5">
        <w:rPr>
          <w:rFonts w:cs="Times New Roman"/>
          <w:color w:val="auto"/>
        </w:rPr>
        <w:t xml:space="preserve">Further, while </w:t>
      </w:r>
      <w:r w:rsidR="00192DD6">
        <w:rPr>
          <w:rFonts w:cs="Times New Roman"/>
          <w:color w:val="auto"/>
        </w:rPr>
        <w:t xml:space="preserve">RNA-seq can measure more features that RT-qPCR, microfluidic </w:t>
      </w:r>
      <w:r w:rsidR="00EC3334">
        <w:rPr>
          <w:rFonts w:cs="Times New Roman"/>
          <w:color w:val="auto"/>
        </w:rPr>
        <w:t>RT-qPCR is less expensive and has a higher sensitivity and specificity</w:t>
      </w:r>
      <w:r w:rsidR="0034472B" w:rsidRPr="0034472B">
        <w:rPr>
          <w:rFonts w:cs="Times New Roman"/>
          <w:bCs/>
          <w:noProof/>
          <w:color w:val="auto"/>
          <w:vertAlign w:val="superscript"/>
        </w:rPr>
        <w:t>7</w:t>
      </w:r>
      <w:r w:rsidR="00EC3334">
        <w:rPr>
          <w:rFonts w:cs="Times New Roman"/>
          <w:color w:val="auto"/>
        </w:rPr>
        <w:t>.</w:t>
      </w:r>
    </w:p>
    <w:p w14:paraId="5877D205" w14:textId="77777777" w:rsidR="00624D73" w:rsidRDefault="00624D73" w:rsidP="00EA30FE">
      <w:pPr>
        <w:rPr>
          <w:rFonts w:cs="Times New Roman"/>
          <w:color w:val="auto"/>
        </w:rPr>
      </w:pPr>
    </w:p>
    <w:p w14:paraId="07C0ED8D" w14:textId="54CC4BDF" w:rsidR="005B5E99" w:rsidRPr="00DC036E" w:rsidRDefault="002911F0" w:rsidP="00EA30FE">
      <w:pPr>
        <w:rPr>
          <w:rFonts w:cs="Times New Roman"/>
          <w:color w:val="auto"/>
        </w:rPr>
      </w:pPr>
      <w:r>
        <w:rPr>
          <w:rFonts w:cs="Times New Roman"/>
          <w:color w:val="auto"/>
        </w:rPr>
        <w:t>In this representative experiment, we investigated the effects of opioid dependence and naltrexone-precipitated opioid withdrawal on</w:t>
      </w:r>
      <w:r w:rsidR="004746F7">
        <w:rPr>
          <w:rFonts w:cs="Times New Roman"/>
          <w:color w:val="auto"/>
        </w:rPr>
        <w:t xml:space="preserve"> rat</w:t>
      </w:r>
      <w:r>
        <w:rPr>
          <w:rFonts w:cs="Times New Roman"/>
          <w:color w:val="auto"/>
        </w:rPr>
        <w:t xml:space="preserve"> neuronal, microglia, and astrocyte gene expression in the central nucleus of the amygdala</w:t>
      </w:r>
      <w:r w:rsidR="00CB6712">
        <w:rPr>
          <w:rFonts w:cs="Times New Roman"/>
          <w:color w:val="auto"/>
        </w:rPr>
        <w:t xml:space="preserve"> (CeA)</w:t>
      </w:r>
      <w:r>
        <w:rPr>
          <w:rFonts w:cs="Times New Roman"/>
          <w:color w:val="auto"/>
        </w:rPr>
        <w:t xml:space="preserve"> and gut microflora abundance</w:t>
      </w:r>
      <w:r w:rsidR="0034472B" w:rsidRPr="0034472B">
        <w:rPr>
          <w:rFonts w:cs="Times New Roman"/>
          <w:noProof/>
          <w:color w:val="auto"/>
          <w:vertAlign w:val="superscript"/>
        </w:rPr>
        <w:t>4</w:t>
      </w:r>
      <w:r>
        <w:rPr>
          <w:rFonts w:cs="Times New Roman"/>
          <w:color w:val="auto"/>
        </w:rPr>
        <w:t xml:space="preserve">. Four treatment groups were analyzed: </w:t>
      </w:r>
      <w:r w:rsidRPr="002911F0">
        <w:rPr>
          <w:rFonts w:cs="Times New Roman"/>
          <w:color w:val="auto"/>
        </w:rPr>
        <w:t xml:space="preserve">1) Placebo, 2) Morphine, </w:t>
      </w:r>
      <w:r>
        <w:rPr>
          <w:rFonts w:cs="Times New Roman"/>
          <w:color w:val="auto"/>
        </w:rPr>
        <w:t>3) Naltrexone</w:t>
      </w:r>
      <w:r w:rsidR="00366A21">
        <w:rPr>
          <w:rFonts w:cs="Times New Roman"/>
          <w:color w:val="auto"/>
        </w:rPr>
        <w:t>,</w:t>
      </w:r>
      <w:r w:rsidR="00DC036E">
        <w:rPr>
          <w:rFonts w:cs="Times New Roman"/>
          <w:color w:val="auto"/>
        </w:rPr>
        <w:t xml:space="preserve"> and 4) Withdrawal (</w:t>
      </w:r>
      <w:r w:rsidR="00DC036E" w:rsidRPr="00EA30FE">
        <w:rPr>
          <w:rFonts w:cs="Times New Roman"/>
          <w:b/>
          <w:bCs/>
          <w:color w:val="auto"/>
        </w:rPr>
        <w:t>Fig</w:t>
      </w:r>
      <w:r w:rsidR="00EA30FE" w:rsidRPr="00EA30FE">
        <w:rPr>
          <w:rFonts w:cs="Times New Roman"/>
          <w:b/>
          <w:bCs/>
          <w:color w:val="auto"/>
        </w:rPr>
        <w:t>ure</w:t>
      </w:r>
      <w:r w:rsidR="00DC036E" w:rsidRPr="00EA30FE">
        <w:rPr>
          <w:rFonts w:cs="Times New Roman"/>
          <w:b/>
          <w:bCs/>
          <w:color w:val="auto"/>
        </w:rPr>
        <w:t xml:space="preserve"> 1</w:t>
      </w:r>
      <w:r w:rsidR="00DC036E">
        <w:rPr>
          <w:rFonts w:cs="Times New Roman"/>
          <w:color w:val="auto"/>
        </w:rPr>
        <w:t>)</w:t>
      </w:r>
      <w:r>
        <w:rPr>
          <w:rFonts w:cs="Times New Roman"/>
          <w:color w:val="auto"/>
        </w:rPr>
        <w:t xml:space="preserve">. We found that </w:t>
      </w:r>
      <w:r w:rsidR="00E90D84">
        <w:rPr>
          <w:rFonts w:cs="Times New Roman"/>
          <w:color w:val="auto"/>
        </w:rPr>
        <w:t>opioid dependence did not substantially alter gene expression</w:t>
      </w:r>
      <w:r w:rsidR="00377D19">
        <w:rPr>
          <w:rFonts w:cs="Times New Roman"/>
          <w:color w:val="auto"/>
        </w:rPr>
        <w:t>,</w:t>
      </w:r>
      <w:r w:rsidR="00E90D84">
        <w:rPr>
          <w:rFonts w:cs="Times New Roman"/>
          <w:color w:val="auto"/>
        </w:rPr>
        <w:t xml:space="preserve"> but that </w:t>
      </w:r>
      <w:r w:rsidR="00377D19">
        <w:rPr>
          <w:rFonts w:cs="Times New Roman"/>
          <w:color w:val="auto"/>
        </w:rPr>
        <w:t xml:space="preserve">opioid withdrawal </w:t>
      </w:r>
      <w:r>
        <w:rPr>
          <w:rFonts w:cs="Times New Roman"/>
          <w:color w:val="auto"/>
        </w:rPr>
        <w:t xml:space="preserve">induced </w:t>
      </w:r>
      <w:r w:rsidR="00377D19">
        <w:rPr>
          <w:rFonts w:cs="Times New Roman"/>
          <w:color w:val="auto"/>
        </w:rPr>
        <w:t xml:space="preserve">the </w:t>
      </w:r>
      <w:r>
        <w:rPr>
          <w:rFonts w:cs="Times New Roman"/>
          <w:color w:val="auto"/>
        </w:rPr>
        <w:t>e</w:t>
      </w:r>
      <w:r w:rsidR="00E90D84">
        <w:rPr>
          <w:rFonts w:cs="Times New Roman"/>
          <w:color w:val="auto"/>
        </w:rPr>
        <w:t>xpression of inflammatory genes</w:t>
      </w:r>
      <w:r w:rsidR="00366A21">
        <w:rPr>
          <w:rFonts w:cs="Times New Roman"/>
          <w:color w:val="auto"/>
        </w:rPr>
        <w:t>,</w:t>
      </w:r>
      <w:r w:rsidR="00B73BE3">
        <w:rPr>
          <w:rFonts w:cs="Times New Roman"/>
          <w:color w:val="auto"/>
        </w:rPr>
        <w:t xml:space="preserve"> </w:t>
      </w:r>
      <w:r w:rsidRPr="002911F0">
        <w:rPr>
          <w:rFonts w:cs="Times New Roman"/>
          <w:i/>
          <w:color w:val="auto"/>
        </w:rPr>
        <w:t>Tnf</w:t>
      </w:r>
      <w:r w:rsidR="00E90D84">
        <w:rPr>
          <w:rFonts w:cs="Times New Roman"/>
          <w:color w:val="auto"/>
        </w:rPr>
        <w:t xml:space="preserve"> in particular. Astrocytes were the most </w:t>
      </w:r>
      <w:r w:rsidR="00E41B86">
        <w:rPr>
          <w:rFonts w:cs="Times New Roman"/>
          <w:color w:val="auto"/>
        </w:rPr>
        <w:t>affected</w:t>
      </w:r>
      <w:r w:rsidR="00E90D84">
        <w:rPr>
          <w:rFonts w:cs="Times New Roman"/>
          <w:color w:val="auto"/>
        </w:rPr>
        <w:t xml:space="preserve"> cell type. The gut microbiome was profoundly impacted by opioid withdrawal as indicated by a decrease in the </w:t>
      </w:r>
      <w:r w:rsidR="00E90D84" w:rsidRPr="00E90D84">
        <w:rPr>
          <w:rFonts w:cs="Times New Roman"/>
          <w:i/>
          <w:color w:val="auto"/>
        </w:rPr>
        <w:t>Firmicutes</w:t>
      </w:r>
      <w:r w:rsidR="00E90D84">
        <w:rPr>
          <w:rFonts w:cs="Times New Roman"/>
          <w:color w:val="auto"/>
        </w:rPr>
        <w:t xml:space="preserve"> to </w:t>
      </w:r>
      <w:r w:rsidR="00E90D84" w:rsidRPr="00E90D84">
        <w:rPr>
          <w:rFonts w:cs="Times New Roman"/>
          <w:i/>
          <w:color w:val="auto"/>
        </w:rPr>
        <w:t>Bacteroides</w:t>
      </w:r>
      <w:r w:rsidR="00DC036E">
        <w:rPr>
          <w:rFonts w:cs="Times New Roman"/>
          <w:color w:val="auto"/>
        </w:rPr>
        <w:t xml:space="preserve"> ratio</w:t>
      </w:r>
      <w:r w:rsidR="00E41B86">
        <w:rPr>
          <w:rFonts w:cs="Times New Roman"/>
          <w:color w:val="auto"/>
        </w:rPr>
        <w:t>, which is</w:t>
      </w:r>
      <w:r w:rsidR="00E90D84">
        <w:rPr>
          <w:rFonts w:cs="Times New Roman"/>
          <w:color w:val="auto"/>
        </w:rPr>
        <w:t xml:space="preserve"> an established marker of gut dysbiosis</w:t>
      </w:r>
      <w:r w:rsidR="0034472B" w:rsidRPr="0034472B">
        <w:rPr>
          <w:rFonts w:cs="Times New Roman"/>
          <w:bCs/>
          <w:noProof/>
          <w:color w:val="auto"/>
          <w:vertAlign w:val="superscript"/>
        </w:rPr>
        <w:t>8,9</w:t>
      </w:r>
      <w:r w:rsidR="00E90D84">
        <w:rPr>
          <w:rFonts w:cs="Times New Roman"/>
          <w:color w:val="auto"/>
        </w:rPr>
        <w:t>.</w:t>
      </w:r>
    </w:p>
    <w:p w14:paraId="5300ED59" w14:textId="77777777" w:rsidR="007031F8" w:rsidRPr="00104EFF" w:rsidRDefault="007031F8" w:rsidP="00EA30FE">
      <w:pPr>
        <w:rPr>
          <w:rFonts w:cs="Times New Roman"/>
          <w:color w:val="auto"/>
        </w:rPr>
      </w:pPr>
    </w:p>
    <w:p w14:paraId="3254BA61" w14:textId="7AE231E1" w:rsidR="00001F27" w:rsidRDefault="007031F8" w:rsidP="00EA30FE">
      <w:pPr>
        <w:rPr>
          <w:rFonts w:cs="Times New Roman"/>
          <w:b/>
          <w:color w:val="auto"/>
        </w:rPr>
      </w:pPr>
      <w:r w:rsidRPr="00104EFF">
        <w:rPr>
          <w:rFonts w:cs="Times New Roman"/>
          <w:b/>
          <w:color w:val="auto"/>
        </w:rPr>
        <w:t>PROTOCOL:</w:t>
      </w:r>
    </w:p>
    <w:p w14:paraId="4AD39B86" w14:textId="77777777" w:rsidR="006A63E6" w:rsidRDefault="006A63E6" w:rsidP="00EA30FE">
      <w:pPr>
        <w:rPr>
          <w:rFonts w:cs="Times New Roman"/>
          <w:color w:val="auto"/>
        </w:rPr>
      </w:pPr>
    </w:p>
    <w:p w14:paraId="3626F3BD" w14:textId="417383EC" w:rsidR="005D66AC" w:rsidRPr="005D66AC" w:rsidRDefault="00001F27" w:rsidP="00EA30FE">
      <w:pPr>
        <w:rPr>
          <w:rFonts w:cs="Times New Roman"/>
          <w:color w:val="auto"/>
        </w:rPr>
      </w:pPr>
      <w:r w:rsidRPr="005D66AC">
        <w:rPr>
          <w:rFonts w:cs="Times New Roman"/>
          <w:color w:val="auto"/>
        </w:rPr>
        <w:t xml:space="preserve">This study was carried out in accordance with the recommendations of Animal Care and Use Committee (IACUC) of Thomas Jefferson University and Drexel University College of Medicine. The protocol was approved by </w:t>
      </w:r>
      <w:r w:rsidR="00E41B86">
        <w:rPr>
          <w:rFonts w:cs="Times New Roman"/>
          <w:color w:val="auto"/>
        </w:rPr>
        <w:t xml:space="preserve">the </w:t>
      </w:r>
      <w:r w:rsidRPr="005D66AC">
        <w:rPr>
          <w:rFonts w:cs="Times New Roman"/>
          <w:color w:val="auto"/>
        </w:rPr>
        <w:t>Thomas Jefferson University and Drexel University College of Medicine IACUC</w:t>
      </w:r>
      <w:r>
        <w:rPr>
          <w:rFonts w:cs="Times New Roman"/>
          <w:color w:val="auto"/>
        </w:rPr>
        <w:t xml:space="preserve">. </w:t>
      </w:r>
    </w:p>
    <w:p w14:paraId="0455CF91" w14:textId="77777777" w:rsidR="00104EFF" w:rsidRDefault="00104EFF" w:rsidP="00EA30FE">
      <w:pPr>
        <w:rPr>
          <w:rFonts w:cs="Times New Roman"/>
          <w:b/>
          <w:color w:val="auto"/>
        </w:rPr>
      </w:pPr>
    </w:p>
    <w:p w14:paraId="6B08972F" w14:textId="05C1A44B" w:rsidR="00104EFF" w:rsidRPr="00EA30FE" w:rsidRDefault="00104EFF" w:rsidP="00EA30FE">
      <w:pPr>
        <w:pStyle w:val="a3"/>
        <w:numPr>
          <w:ilvl w:val="0"/>
          <w:numId w:val="5"/>
        </w:numPr>
        <w:rPr>
          <w:rFonts w:cs="Times New Roman"/>
          <w:b/>
          <w:color w:val="auto"/>
        </w:rPr>
      </w:pPr>
      <w:r w:rsidRPr="00EA30FE">
        <w:rPr>
          <w:rFonts w:cs="Times New Roman"/>
          <w:b/>
          <w:color w:val="auto"/>
        </w:rPr>
        <w:t xml:space="preserve">Animal </w:t>
      </w:r>
      <w:r w:rsidR="00D725F5" w:rsidRPr="00EA30FE">
        <w:rPr>
          <w:rFonts w:cs="Times New Roman"/>
          <w:b/>
          <w:color w:val="auto"/>
        </w:rPr>
        <w:t>model</w:t>
      </w:r>
    </w:p>
    <w:p w14:paraId="439CD80A" w14:textId="77777777" w:rsidR="00D725F5" w:rsidRPr="00D725F5" w:rsidRDefault="00D725F5" w:rsidP="00EA30FE">
      <w:pPr>
        <w:rPr>
          <w:rFonts w:cs="Times New Roman"/>
          <w:b/>
          <w:color w:val="auto"/>
        </w:rPr>
      </w:pPr>
    </w:p>
    <w:p w14:paraId="7318DC1C" w14:textId="3C879FCD" w:rsidR="00D725F5" w:rsidRDefault="004746F7" w:rsidP="00EA30FE">
      <w:pPr>
        <w:pStyle w:val="a3"/>
        <w:numPr>
          <w:ilvl w:val="1"/>
          <w:numId w:val="5"/>
        </w:numPr>
      </w:pPr>
      <w:r>
        <w:t xml:space="preserve">Insert </w:t>
      </w:r>
      <w:r w:rsidR="00EA30FE">
        <w:t>two</w:t>
      </w:r>
      <w:r>
        <w:t xml:space="preserve"> 75 mg slow-release morphine sulfate pellets or </w:t>
      </w:r>
      <w:r w:rsidR="006A63E6" w:rsidRPr="006A63E6">
        <w:t>two</w:t>
      </w:r>
      <w:r w:rsidR="006A63E6">
        <w:t xml:space="preserve"> </w:t>
      </w:r>
      <w:r>
        <w:t>placebo pellets subcutaneously</w:t>
      </w:r>
      <w:r w:rsidR="00F30659">
        <w:t xml:space="preserve"> in adult male Sprague-Dawley rats.</w:t>
      </w:r>
    </w:p>
    <w:p w14:paraId="1BC10E44" w14:textId="38181359" w:rsidR="00D725F5" w:rsidRDefault="00D725F5" w:rsidP="00EA30FE"/>
    <w:p w14:paraId="0EAB09FD" w14:textId="3A0A43A1" w:rsidR="004746F7" w:rsidRDefault="00B73BE3" w:rsidP="00EA30FE">
      <w:pPr>
        <w:pStyle w:val="a3"/>
        <w:numPr>
          <w:ilvl w:val="2"/>
          <w:numId w:val="5"/>
        </w:numPr>
      </w:pPr>
      <w:r>
        <w:t xml:space="preserve">Use a gown </w:t>
      </w:r>
      <w:r w:rsidR="00581949">
        <w:t>and glove</w:t>
      </w:r>
      <w:r>
        <w:t>s</w:t>
      </w:r>
      <w:r w:rsidR="00581949">
        <w:t xml:space="preserve"> appropriately for minor sterile surgery. </w:t>
      </w:r>
      <w:r w:rsidR="004746F7">
        <w:t xml:space="preserve">Shave </w:t>
      </w:r>
      <w:r w:rsidR="00E41B86">
        <w:t xml:space="preserve">the </w:t>
      </w:r>
      <w:r w:rsidR="004746F7">
        <w:t>rat dorsum with clippers if necessary</w:t>
      </w:r>
      <w:r w:rsidR="00581949">
        <w:t xml:space="preserve">. </w:t>
      </w:r>
    </w:p>
    <w:p w14:paraId="032903C7" w14:textId="77777777" w:rsidR="00001F27" w:rsidRDefault="00001F27" w:rsidP="00EA30FE"/>
    <w:p w14:paraId="750C405A" w14:textId="60D099ED" w:rsidR="004746F7" w:rsidRDefault="00A82999" w:rsidP="00EA30FE">
      <w:pPr>
        <w:pStyle w:val="a3"/>
        <w:numPr>
          <w:ilvl w:val="2"/>
          <w:numId w:val="5"/>
        </w:numPr>
      </w:pPr>
      <w:r>
        <w:t xml:space="preserve">Apply vet ointment to </w:t>
      </w:r>
      <w:r w:rsidR="00E41B86">
        <w:t>the animal's</w:t>
      </w:r>
      <w:r w:rsidR="00B73BE3">
        <w:t xml:space="preserve"> </w:t>
      </w:r>
      <w:r>
        <w:t xml:space="preserve">eyes. </w:t>
      </w:r>
      <w:r w:rsidR="00001F27">
        <w:t xml:space="preserve">Anesthetize </w:t>
      </w:r>
      <w:r w:rsidR="00E41B86">
        <w:t xml:space="preserve">the </w:t>
      </w:r>
      <w:r w:rsidR="00001F27">
        <w:t xml:space="preserve">rat with </w:t>
      </w:r>
      <w:r w:rsidR="00E10903">
        <w:t xml:space="preserve">approximately </w:t>
      </w:r>
      <w:r w:rsidR="00001F27">
        <w:t xml:space="preserve">20 s of isoflurane inhalation. Anesthesia </w:t>
      </w:r>
      <w:r w:rsidR="00E41B86">
        <w:t xml:space="preserve">is </w:t>
      </w:r>
      <w:r w:rsidR="00001F27">
        <w:t xml:space="preserve">confirmed </w:t>
      </w:r>
      <w:r w:rsidR="00E41B86">
        <w:t xml:space="preserve">by </w:t>
      </w:r>
      <w:r w:rsidR="00001F27">
        <w:t>loss of consciousness.</w:t>
      </w:r>
    </w:p>
    <w:p w14:paraId="258F33DC" w14:textId="77777777" w:rsidR="00001F27" w:rsidRDefault="00001F27" w:rsidP="00EA30FE"/>
    <w:p w14:paraId="0916B7D0" w14:textId="58C7211D" w:rsidR="004746F7" w:rsidRDefault="004746F7" w:rsidP="00EA30FE">
      <w:pPr>
        <w:pStyle w:val="a3"/>
        <w:numPr>
          <w:ilvl w:val="2"/>
          <w:numId w:val="5"/>
        </w:numPr>
      </w:pPr>
      <w:r>
        <w:t xml:space="preserve">Make a midline incision in the rat dorsum with </w:t>
      </w:r>
      <w:r w:rsidR="00581949">
        <w:t xml:space="preserve">bead-sterilized </w:t>
      </w:r>
      <w:r>
        <w:t xml:space="preserve">blunt scissors and separate </w:t>
      </w:r>
      <w:r w:rsidR="00E41B86">
        <w:t xml:space="preserve">the </w:t>
      </w:r>
      <w:r>
        <w:t xml:space="preserve">dermis from </w:t>
      </w:r>
      <w:r w:rsidR="00E41B86">
        <w:t xml:space="preserve">the </w:t>
      </w:r>
      <w:r>
        <w:t xml:space="preserve">body wall with </w:t>
      </w:r>
      <w:r w:rsidR="00E41B86">
        <w:t xml:space="preserve">a </w:t>
      </w:r>
      <w:r w:rsidR="00581949">
        <w:t xml:space="preserve">bead-sterilized </w:t>
      </w:r>
      <w:r>
        <w:t xml:space="preserve">probe. Insert </w:t>
      </w:r>
      <w:r w:rsidR="00E41B86">
        <w:t xml:space="preserve">the </w:t>
      </w:r>
      <w:r>
        <w:t xml:space="preserve">pellets under </w:t>
      </w:r>
      <w:r w:rsidR="00E41B86">
        <w:t xml:space="preserve">the </w:t>
      </w:r>
      <w:r>
        <w:t xml:space="preserve">dermis with </w:t>
      </w:r>
      <w:r w:rsidR="00581949">
        <w:t xml:space="preserve">bead-sterilized </w:t>
      </w:r>
      <w:r>
        <w:t>forceps. Suture the incision closed</w:t>
      </w:r>
      <w:r w:rsidR="00581949">
        <w:t xml:space="preserve"> with </w:t>
      </w:r>
      <w:r w:rsidR="00E41B86">
        <w:t xml:space="preserve">a </w:t>
      </w:r>
      <w:r w:rsidR="00581949">
        <w:t>sterile needle</w:t>
      </w:r>
      <w:r>
        <w:t>.</w:t>
      </w:r>
    </w:p>
    <w:p w14:paraId="5DBE403F" w14:textId="77777777" w:rsidR="00E804B3" w:rsidRDefault="00E804B3" w:rsidP="00EA30FE"/>
    <w:p w14:paraId="08945728" w14:textId="3A0006C2" w:rsidR="00A82999" w:rsidRDefault="00E41B86" w:rsidP="00EA30FE">
      <w:r>
        <w:t>NOTE</w:t>
      </w:r>
      <w:r w:rsidR="006C24B5">
        <w:t xml:space="preserve">: </w:t>
      </w:r>
      <w:r>
        <w:t xml:space="preserve">The entire </w:t>
      </w:r>
      <w:r w:rsidR="006C24B5">
        <w:t xml:space="preserve">procedure takes about 5 min per rat. Fresh sterile gloves are used for each rat. </w:t>
      </w:r>
    </w:p>
    <w:p w14:paraId="57607C12" w14:textId="77777777" w:rsidR="006C24B5" w:rsidRDefault="006C24B5" w:rsidP="00EA30FE"/>
    <w:p w14:paraId="52CF6D32" w14:textId="09B21374" w:rsidR="006C24B5" w:rsidRDefault="006C24B5" w:rsidP="00EA30FE">
      <w:pPr>
        <w:pStyle w:val="a3"/>
        <w:numPr>
          <w:ilvl w:val="2"/>
          <w:numId w:val="5"/>
        </w:numPr>
      </w:pPr>
      <w:r>
        <w:t xml:space="preserve">Place </w:t>
      </w:r>
      <w:r w:rsidR="00E41B86">
        <w:t xml:space="preserve">the </w:t>
      </w:r>
      <w:r>
        <w:t xml:space="preserve">rat into </w:t>
      </w:r>
      <w:r w:rsidR="00E41B86">
        <w:t xml:space="preserve">an </w:t>
      </w:r>
      <w:r>
        <w:t xml:space="preserve">isolation cage for </w:t>
      </w:r>
      <w:r w:rsidR="00F30659">
        <w:t>post</w:t>
      </w:r>
      <w:r>
        <w:t xml:space="preserve">surgical recovery. </w:t>
      </w:r>
      <w:r w:rsidR="00BB5D76">
        <w:t xml:space="preserve">Check for a </w:t>
      </w:r>
      <w:r w:rsidR="00F30659">
        <w:t xml:space="preserve">heartbeat and regular respiratory rhythm. </w:t>
      </w:r>
      <w:r>
        <w:t xml:space="preserve">Observe </w:t>
      </w:r>
      <w:r w:rsidR="00E41B86">
        <w:t xml:space="preserve">the rat </w:t>
      </w:r>
      <w:r>
        <w:t xml:space="preserve">until consciousness is regained. Assess for postsurgical pain. </w:t>
      </w:r>
    </w:p>
    <w:p w14:paraId="65D9D083" w14:textId="77777777" w:rsidR="006C24B5" w:rsidRDefault="006C24B5" w:rsidP="00EA30FE"/>
    <w:p w14:paraId="24B71E14" w14:textId="049B4A7D" w:rsidR="004746F7" w:rsidRDefault="00F30659" w:rsidP="00EA30FE">
      <w:pPr>
        <w:pStyle w:val="a3"/>
        <w:numPr>
          <w:ilvl w:val="2"/>
          <w:numId w:val="5"/>
        </w:numPr>
      </w:pPr>
      <w:r>
        <w:t xml:space="preserve">Assess </w:t>
      </w:r>
      <w:r w:rsidR="00E41B86">
        <w:t xml:space="preserve">the </w:t>
      </w:r>
      <w:r>
        <w:t xml:space="preserve">rats 8 h </w:t>
      </w:r>
      <w:r w:rsidR="00E41B86">
        <w:t>post</w:t>
      </w:r>
      <w:r>
        <w:t xml:space="preserve">surgery and every 12 h </w:t>
      </w:r>
      <w:r w:rsidR="00E41B86">
        <w:t xml:space="preserve">after </w:t>
      </w:r>
      <w:r>
        <w:t xml:space="preserve">for recovery and infection. Place rats in </w:t>
      </w:r>
      <w:r w:rsidR="00E41B86">
        <w:t xml:space="preserve">a </w:t>
      </w:r>
      <w:r>
        <w:t xml:space="preserve">cage with </w:t>
      </w:r>
      <w:r w:rsidR="00E41B86">
        <w:t xml:space="preserve">the </w:t>
      </w:r>
      <w:r>
        <w:t xml:space="preserve">rest of </w:t>
      </w:r>
      <w:r w:rsidR="00E41B86">
        <w:t xml:space="preserve">the </w:t>
      </w:r>
      <w:r>
        <w:t xml:space="preserve">cohort when </w:t>
      </w:r>
      <w:r w:rsidR="00B73BE3">
        <w:t xml:space="preserve">they are </w:t>
      </w:r>
      <w:r>
        <w:t>fully recovered from surgery</w:t>
      </w:r>
      <w:r w:rsidR="00E41B86">
        <w:t>,</w:t>
      </w:r>
      <w:r w:rsidR="00B73BE3">
        <w:t xml:space="preserve"> </w:t>
      </w:r>
      <w:r>
        <w:t>about 24 h</w:t>
      </w:r>
      <w:r w:rsidR="00E41B86" w:rsidRPr="00E41B86">
        <w:t xml:space="preserve"> </w:t>
      </w:r>
      <w:r w:rsidR="00E41B86">
        <w:t>postsurgery</w:t>
      </w:r>
      <w:r>
        <w:t>.</w:t>
      </w:r>
    </w:p>
    <w:p w14:paraId="33933AEA" w14:textId="77777777" w:rsidR="00EA30FE" w:rsidRDefault="00EA30FE" w:rsidP="00EA30FE">
      <w:pPr>
        <w:pStyle w:val="a3"/>
        <w:ind w:left="0"/>
      </w:pPr>
    </w:p>
    <w:p w14:paraId="584D165A" w14:textId="17E79860" w:rsidR="00D725F5" w:rsidRDefault="00D725F5" w:rsidP="00EA30FE">
      <w:pPr>
        <w:pStyle w:val="a3"/>
        <w:numPr>
          <w:ilvl w:val="1"/>
          <w:numId w:val="5"/>
        </w:numPr>
      </w:pPr>
      <w:r>
        <w:t xml:space="preserve">Give </w:t>
      </w:r>
      <w:r w:rsidR="00E41B86">
        <w:t xml:space="preserve">an </w:t>
      </w:r>
      <w:r>
        <w:t>intraperitoneal naltrexone injection (75 mg/</w:t>
      </w:r>
      <w:r w:rsidR="00BB5D76">
        <w:t>k</w:t>
      </w:r>
      <w:r>
        <w:t xml:space="preserve">g) to </w:t>
      </w:r>
      <w:r w:rsidR="00E41B86">
        <w:t xml:space="preserve">the </w:t>
      </w:r>
      <w:r w:rsidR="00B73BE3">
        <w:t xml:space="preserve">G </w:t>
      </w:r>
      <w:r>
        <w:t xml:space="preserve">and </w:t>
      </w:r>
      <w:r w:rsidR="00E41B86">
        <w:t xml:space="preserve">the </w:t>
      </w:r>
      <w:r>
        <w:t>Withdrawal cohort</w:t>
      </w:r>
      <w:r w:rsidR="00E41B86">
        <w:t>s</w:t>
      </w:r>
      <w:r w:rsidR="00EA30FE">
        <w:t xml:space="preserve"> </w:t>
      </w:r>
      <w:r>
        <w:t>following 6 days of morphine exposure.</w:t>
      </w:r>
    </w:p>
    <w:p w14:paraId="205F57C2" w14:textId="77777777" w:rsidR="00D725F5" w:rsidRDefault="00D725F5" w:rsidP="00EA30FE">
      <w:pPr>
        <w:pStyle w:val="a3"/>
        <w:ind w:left="0"/>
      </w:pPr>
    </w:p>
    <w:p w14:paraId="04B677E2" w14:textId="2209FB72" w:rsidR="00D725F5" w:rsidRDefault="00B73BE3" w:rsidP="00EA30FE">
      <w:r>
        <w:t>NOTE</w:t>
      </w:r>
      <w:r w:rsidR="00D725F5">
        <w:t xml:space="preserve">: There were </w:t>
      </w:r>
      <w:r w:rsidR="00BB5D76" w:rsidRPr="00BB5D76">
        <w:t>four</w:t>
      </w:r>
      <w:r w:rsidR="00BB5D76">
        <w:t xml:space="preserve"> </w:t>
      </w:r>
      <w:r w:rsidR="00D725F5">
        <w:t xml:space="preserve">rat cohorts in this representative experiment (see </w:t>
      </w:r>
      <w:r w:rsidR="00BB5D76" w:rsidRPr="00BB5D76">
        <w:rPr>
          <w:b/>
        </w:rPr>
        <w:t>Figure</w:t>
      </w:r>
      <w:r w:rsidR="00D725F5">
        <w:t xml:space="preserve"> </w:t>
      </w:r>
      <w:r w:rsidR="00D725F5" w:rsidRPr="000F5526">
        <w:rPr>
          <w:b/>
          <w:bCs/>
        </w:rPr>
        <w:t>1</w:t>
      </w:r>
      <w:r w:rsidR="00D725F5">
        <w:t>).</w:t>
      </w:r>
    </w:p>
    <w:p w14:paraId="6721DABD" w14:textId="77777777" w:rsidR="00D725F5" w:rsidRDefault="00D725F5" w:rsidP="00EA30FE">
      <w:pPr>
        <w:pStyle w:val="a3"/>
        <w:ind w:left="0"/>
      </w:pPr>
    </w:p>
    <w:p w14:paraId="18D162FF" w14:textId="3DACC362" w:rsidR="00D725F5" w:rsidRPr="00EA30FE" w:rsidRDefault="00D725F5" w:rsidP="00EA30FE">
      <w:pPr>
        <w:pStyle w:val="a3"/>
        <w:numPr>
          <w:ilvl w:val="0"/>
          <w:numId w:val="5"/>
        </w:numPr>
        <w:rPr>
          <w:b/>
        </w:rPr>
      </w:pPr>
      <w:r w:rsidRPr="00EA30FE">
        <w:rPr>
          <w:b/>
        </w:rPr>
        <w:t xml:space="preserve">Sample </w:t>
      </w:r>
      <w:r w:rsidR="00E41B86" w:rsidRPr="00EA30FE">
        <w:rPr>
          <w:b/>
        </w:rPr>
        <w:t>harvesting</w:t>
      </w:r>
    </w:p>
    <w:p w14:paraId="33CF9E6A" w14:textId="77777777" w:rsidR="00D725F5" w:rsidRPr="00D725F5" w:rsidRDefault="00D725F5" w:rsidP="00EA30FE">
      <w:pPr>
        <w:rPr>
          <w:b/>
        </w:rPr>
      </w:pPr>
    </w:p>
    <w:p w14:paraId="3EFD10D0" w14:textId="7ABC563D" w:rsidR="00D725F5" w:rsidRDefault="00D725F5" w:rsidP="00EA30FE">
      <w:pPr>
        <w:pStyle w:val="a3"/>
        <w:numPr>
          <w:ilvl w:val="1"/>
          <w:numId w:val="5"/>
        </w:numPr>
      </w:pPr>
      <w:r>
        <w:t xml:space="preserve">Harvest </w:t>
      </w:r>
      <w:r w:rsidR="00E41B86">
        <w:t xml:space="preserve">the </w:t>
      </w:r>
      <w:r>
        <w:t xml:space="preserve">brain 6 days following </w:t>
      </w:r>
      <w:r w:rsidR="00E41B86">
        <w:t xml:space="preserve">the </w:t>
      </w:r>
      <w:r>
        <w:t xml:space="preserve">pellet insertion or 24 h following </w:t>
      </w:r>
      <w:r w:rsidR="00E41B86">
        <w:t xml:space="preserve">the </w:t>
      </w:r>
      <w:r>
        <w:t>naltrexone injection.</w:t>
      </w:r>
    </w:p>
    <w:p w14:paraId="0D7AE045" w14:textId="77777777" w:rsidR="00D725F5" w:rsidRDefault="00D725F5" w:rsidP="00EA30FE"/>
    <w:p w14:paraId="3DFA6F57" w14:textId="6A80BF70" w:rsidR="00D725F5" w:rsidRDefault="00D725F5" w:rsidP="00EA30FE">
      <w:pPr>
        <w:pStyle w:val="a3"/>
        <w:numPr>
          <w:ilvl w:val="2"/>
          <w:numId w:val="5"/>
        </w:numPr>
      </w:pPr>
      <w:r>
        <w:t xml:space="preserve">Place </w:t>
      </w:r>
      <w:r w:rsidR="00E41B86">
        <w:t xml:space="preserve">the </w:t>
      </w:r>
      <w:r>
        <w:t xml:space="preserve">animal in </w:t>
      </w:r>
      <w:r w:rsidR="00E41B86">
        <w:t xml:space="preserve">an </w:t>
      </w:r>
      <w:r w:rsidR="006B285F">
        <w:t>isoflurane</w:t>
      </w:r>
      <w:r>
        <w:t xml:space="preserve"> chamber for </w:t>
      </w:r>
      <w:r w:rsidR="000577E6">
        <w:t xml:space="preserve">approximately </w:t>
      </w:r>
      <w:r>
        <w:t xml:space="preserve">30 s or until </w:t>
      </w:r>
      <w:r w:rsidR="000577E6">
        <w:t>loss of consciousness occurs</w:t>
      </w:r>
      <w:r w:rsidR="00E41B86">
        <w:t>,</w:t>
      </w:r>
      <w:r w:rsidR="000577E6">
        <w:t xml:space="preserve"> indicated by </w:t>
      </w:r>
      <w:r w:rsidR="00E41B86">
        <w:t xml:space="preserve">a </w:t>
      </w:r>
      <w:r w:rsidR="000577E6">
        <w:t>lack of motion and decreased respiratory rate</w:t>
      </w:r>
      <w:r>
        <w:t xml:space="preserve">. </w:t>
      </w:r>
    </w:p>
    <w:p w14:paraId="4B8E1FE4" w14:textId="77777777" w:rsidR="00D725F5" w:rsidRDefault="00D725F5" w:rsidP="00EA30FE"/>
    <w:p w14:paraId="266A4C04" w14:textId="6007F240" w:rsidR="00D725F5" w:rsidRDefault="00D725F5" w:rsidP="00EA30FE">
      <w:pPr>
        <w:pStyle w:val="a3"/>
        <w:numPr>
          <w:ilvl w:val="2"/>
          <w:numId w:val="5"/>
        </w:numPr>
      </w:pPr>
      <w:r>
        <w:t xml:space="preserve">Use </w:t>
      </w:r>
      <w:r w:rsidR="00E41B86">
        <w:t xml:space="preserve">a </w:t>
      </w:r>
      <w:r w:rsidR="00377D19">
        <w:t xml:space="preserve">sharp </w:t>
      </w:r>
      <w:r>
        <w:t xml:space="preserve">guillotine to rapidly decapitate </w:t>
      </w:r>
      <w:r w:rsidR="00E41B86">
        <w:t xml:space="preserve">the </w:t>
      </w:r>
      <w:r>
        <w:t>animal</w:t>
      </w:r>
      <w:r w:rsidR="00377D19">
        <w:t>.</w:t>
      </w:r>
    </w:p>
    <w:p w14:paraId="56F2F54A" w14:textId="77777777" w:rsidR="00D725F5" w:rsidRDefault="00D725F5" w:rsidP="00EA30FE"/>
    <w:p w14:paraId="41B90ECB" w14:textId="74000DFE" w:rsidR="00695D5E" w:rsidRDefault="00695D5E" w:rsidP="00EA30FE">
      <w:pPr>
        <w:pStyle w:val="a3"/>
        <w:numPr>
          <w:ilvl w:val="2"/>
          <w:numId w:val="5"/>
        </w:numPr>
      </w:pPr>
      <w:r>
        <w:t xml:space="preserve">Dissect </w:t>
      </w:r>
      <w:r w:rsidR="00E41B86">
        <w:t xml:space="preserve">the brain </w:t>
      </w:r>
      <w:r>
        <w:t xml:space="preserve">out from </w:t>
      </w:r>
      <w:r w:rsidR="00E41B86">
        <w:t xml:space="preserve">the </w:t>
      </w:r>
      <w:r>
        <w:t>animal</w:t>
      </w:r>
      <w:r w:rsidR="00E41B86">
        <w:t>'s</w:t>
      </w:r>
      <w:r w:rsidR="00377D19">
        <w:t xml:space="preserve"> skull.</w:t>
      </w:r>
    </w:p>
    <w:p w14:paraId="737965B3" w14:textId="77777777" w:rsidR="00695D5E" w:rsidRDefault="00695D5E" w:rsidP="00EA30FE"/>
    <w:p w14:paraId="3B618FF4" w14:textId="5E1188B5" w:rsidR="004746F7" w:rsidRDefault="004746F7" w:rsidP="00EA30FE">
      <w:pPr>
        <w:pStyle w:val="a3"/>
        <w:numPr>
          <w:ilvl w:val="2"/>
          <w:numId w:val="5"/>
        </w:numPr>
      </w:pPr>
      <w:r>
        <w:t>Use a sharp handheld razor to make the following gross incisions to the removed brain</w:t>
      </w:r>
      <w:r w:rsidR="00E41B86">
        <w:t>:</w:t>
      </w:r>
      <w:r>
        <w:t xml:space="preserve"> </w:t>
      </w:r>
      <w:r w:rsidR="00E41B86">
        <w:t xml:space="preserve">First, slice </w:t>
      </w:r>
      <w:r>
        <w:t xml:space="preserve">off the cerebellum and discard. </w:t>
      </w:r>
      <w:r w:rsidR="00E41B86">
        <w:t xml:space="preserve">Second, separate the </w:t>
      </w:r>
      <w:r>
        <w:t xml:space="preserve">brainstem from </w:t>
      </w:r>
      <w:r w:rsidR="00E41B86">
        <w:t xml:space="preserve">the </w:t>
      </w:r>
      <w:r>
        <w:t xml:space="preserve">forebrain with a transverse incision. </w:t>
      </w:r>
      <w:r w:rsidR="00E41B86">
        <w:t xml:space="preserve">Third, hemisect the </w:t>
      </w:r>
      <w:r>
        <w:t xml:space="preserve">forebrain and/or brainstem with a midline sagittal incision. </w:t>
      </w:r>
    </w:p>
    <w:p w14:paraId="02C70AF7" w14:textId="77777777" w:rsidR="00695D5E" w:rsidRDefault="00695D5E" w:rsidP="00EA30FE"/>
    <w:p w14:paraId="28FC60C7" w14:textId="58D5D9F6" w:rsidR="00695D5E" w:rsidRDefault="00695D5E" w:rsidP="00EA30FE">
      <w:r>
        <w:t xml:space="preserve">2.1.5 Place </w:t>
      </w:r>
      <w:r w:rsidR="00E41B86">
        <w:t xml:space="preserve">the </w:t>
      </w:r>
      <w:r>
        <w:t xml:space="preserve">forebrain and brainstem into </w:t>
      </w:r>
      <w:r w:rsidR="00E41B86">
        <w:t xml:space="preserve">a </w:t>
      </w:r>
      <w:r>
        <w:t>plastic tissue</w:t>
      </w:r>
      <w:r w:rsidR="00B73BE3">
        <w:t>-</w:t>
      </w:r>
      <w:r>
        <w:t>embedding mold with 3</w:t>
      </w:r>
      <w:r w:rsidR="00BB5D76" w:rsidRPr="00BB5D76">
        <w:t>–</w:t>
      </w:r>
      <w:r>
        <w:t xml:space="preserve">4 cm of Optimal Cutting Temperature </w:t>
      </w:r>
      <w:r w:rsidR="00E41B86">
        <w:t xml:space="preserve">compound </w:t>
      </w:r>
      <w:r>
        <w:t xml:space="preserve">(OCT) in </w:t>
      </w:r>
      <w:r w:rsidR="00E41B86">
        <w:t xml:space="preserve">the </w:t>
      </w:r>
      <w:r>
        <w:t xml:space="preserve">bottom of </w:t>
      </w:r>
      <w:r w:rsidR="00E41B86">
        <w:t xml:space="preserve">the </w:t>
      </w:r>
      <w:r>
        <w:t xml:space="preserve">mold. Cover </w:t>
      </w:r>
      <w:r w:rsidR="00E41B86">
        <w:t xml:space="preserve">the </w:t>
      </w:r>
      <w:r>
        <w:t xml:space="preserve">rest of </w:t>
      </w:r>
      <w:r w:rsidR="00E41B86">
        <w:t xml:space="preserve">the </w:t>
      </w:r>
      <w:r>
        <w:t>sample with OCT.</w:t>
      </w:r>
    </w:p>
    <w:p w14:paraId="75196ADD" w14:textId="77777777" w:rsidR="00695D5E" w:rsidRDefault="00695D5E" w:rsidP="00EA30FE"/>
    <w:p w14:paraId="6B259672" w14:textId="384FA95F" w:rsidR="00695D5E" w:rsidRDefault="004746F7" w:rsidP="00EA30FE">
      <w:pPr>
        <w:pStyle w:val="a3"/>
        <w:numPr>
          <w:ilvl w:val="2"/>
          <w:numId w:val="5"/>
        </w:numPr>
      </w:pPr>
      <w:r>
        <w:t xml:space="preserve">Immediately place </w:t>
      </w:r>
      <w:r w:rsidR="00021822">
        <w:t xml:space="preserve">the </w:t>
      </w:r>
      <w:r>
        <w:t>plastic tissue</w:t>
      </w:r>
      <w:r w:rsidR="00B73BE3">
        <w:t>-</w:t>
      </w:r>
      <w:r>
        <w:t xml:space="preserve">embedding mold with </w:t>
      </w:r>
      <w:r w:rsidR="00021822">
        <w:t xml:space="preserve">the </w:t>
      </w:r>
      <w:r>
        <w:t xml:space="preserve">sample covered </w:t>
      </w:r>
      <w:r w:rsidR="00021822">
        <w:t xml:space="preserve">with </w:t>
      </w:r>
      <w:r>
        <w:t xml:space="preserve">OCT into </w:t>
      </w:r>
      <w:r w:rsidR="00021822">
        <w:t xml:space="preserve">a </w:t>
      </w:r>
      <w:r>
        <w:t xml:space="preserve">bath containing dry ice and methanol. Do not let </w:t>
      </w:r>
      <w:r w:rsidR="00021822">
        <w:t xml:space="preserve">the </w:t>
      </w:r>
      <w:r>
        <w:t xml:space="preserve">methanol spill into </w:t>
      </w:r>
      <w:r w:rsidR="00021822">
        <w:t xml:space="preserve">the </w:t>
      </w:r>
      <w:r>
        <w:t>tissue</w:t>
      </w:r>
      <w:r w:rsidR="00B73BE3">
        <w:t>-</w:t>
      </w:r>
      <w:r>
        <w:t xml:space="preserve">embedding mold. Keep </w:t>
      </w:r>
      <w:r w:rsidR="00021822">
        <w:t xml:space="preserve">the </w:t>
      </w:r>
      <w:r>
        <w:t xml:space="preserve">embedding mold with </w:t>
      </w:r>
      <w:r w:rsidR="00021822">
        <w:t xml:space="preserve">the </w:t>
      </w:r>
      <w:r>
        <w:t xml:space="preserve">brain sample in </w:t>
      </w:r>
      <w:r w:rsidR="00021822">
        <w:t xml:space="preserve">the </w:t>
      </w:r>
      <w:r>
        <w:t>methanol-ice bath until tissue collection is finished (</w:t>
      </w:r>
      <w:r w:rsidR="00021822">
        <w:t>~</w:t>
      </w:r>
      <w:r>
        <w:t>10</w:t>
      </w:r>
      <w:r w:rsidR="00021822" w:rsidRPr="00021822">
        <w:t>–</w:t>
      </w:r>
      <w:r>
        <w:t>15 min maximum).</w:t>
      </w:r>
    </w:p>
    <w:p w14:paraId="1C097E7D" w14:textId="77777777" w:rsidR="00695D5E" w:rsidRDefault="00695D5E" w:rsidP="00EA30FE"/>
    <w:p w14:paraId="33464A9E" w14:textId="4AB7013E" w:rsidR="00695D5E" w:rsidRDefault="00695D5E" w:rsidP="00EA30FE">
      <w:pPr>
        <w:pStyle w:val="a3"/>
        <w:numPr>
          <w:ilvl w:val="2"/>
          <w:numId w:val="5"/>
        </w:numPr>
      </w:pPr>
      <w:r>
        <w:t xml:space="preserve">Place </w:t>
      </w:r>
      <w:r w:rsidR="00021822">
        <w:t xml:space="preserve">the </w:t>
      </w:r>
      <w:r>
        <w:t xml:space="preserve">brain sample into </w:t>
      </w:r>
      <w:r w:rsidR="00DB4EDC">
        <w:t xml:space="preserve">a </w:t>
      </w:r>
      <w:r>
        <w:t>-80</w:t>
      </w:r>
      <w:r w:rsidR="00BB5D76">
        <w:t xml:space="preserve"> </w:t>
      </w:r>
      <w:r>
        <w:t xml:space="preserve">°C freezer as soon as possible. </w:t>
      </w:r>
    </w:p>
    <w:p w14:paraId="2AA954A2" w14:textId="77777777" w:rsidR="00D725F5" w:rsidRDefault="00D725F5" w:rsidP="00EA30FE"/>
    <w:p w14:paraId="3D209E66" w14:textId="69648656" w:rsidR="00695D5E" w:rsidRDefault="00695D5E" w:rsidP="00EA30FE">
      <w:pPr>
        <w:pStyle w:val="a3"/>
        <w:numPr>
          <w:ilvl w:val="1"/>
          <w:numId w:val="5"/>
        </w:numPr>
      </w:pPr>
      <w:r>
        <w:t xml:space="preserve">Harvest </w:t>
      </w:r>
      <w:r w:rsidR="00DB4EDC">
        <w:t xml:space="preserve">the </w:t>
      </w:r>
      <w:r>
        <w:t>gut samples concurrently</w:t>
      </w:r>
      <w:r w:rsidR="00DB4EDC">
        <w:t>.</w:t>
      </w:r>
    </w:p>
    <w:p w14:paraId="276976D6" w14:textId="77777777" w:rsidR="00452CD1" w:rsidRDefault="00452CD1" w:rsidP="00EA30FE"/>
    <w:p w14:paraId="1400CA09" w14:textId="722C74C9" w:rsidR="00452CD1" w:rsidRDefault="00452CD1" w:rsidP="00EA30FE">
      <w:pPr>
        <w:pStyle w:val="a3"/>
        <w:numPr>
          <w:ilvl w:val="2"/>
          <w:numId w:val="5"/>
        </w:numPr>
      </w:pPr>
      <w:r>
        <w:t xml:space="preserve">Following rapid decapitation, make </w:t>
      </w:r>
      <w:r w:rsidR="00DB4EDC">
        <w:t xml:space="preserve">a </w:t>
      </w:r>
      <w:r>
        <w:t xml:space="preserve">midline incision in </w:t>
      </w:r>
      <w:r w:rsidR="00DB4EDC">
        <w:t xml:space="preserve">the </w:t>
      </w:r>
      <w:r>
        <w:t>animal</w:t>
      </w:r>
      <w:r w:rsidR="00F76CC9">
        <w:t>'s</w:t>
      </w:r>
      <w:r>
        <w:t xml:space="preserve"> abdomen with </w:t>
      </w:r>
      <w:r w:rsidR="00DB4EDC">
        <w:t xml:space="preserve">a </w:t>
      </w:r>
      <w:r>
        <w:t>scalpel.</w:t>
      </w:r>
    </w:p>
    <w:p w14:paraId="7D536A05" w14:textId="77777777" w:rsidR="00452CD1" w:rsidRDefault="00452CD1" w:rsidP="00EA30FE"/>
    <w:p w14:paraId="04174F36" w14:textId="4847FBB2" w:rsidR="00452CD1" w:rsidRDefault="00377D19" w:rsidP="00EA30FE">
      <w:pPr>
        <w:pStyle w:val="a3"/>
        <w:numPr>
          <w:ilvl w:val="2"/>
          <w:numId w:val="5"/>
        </w:numPr>
      </w:pPr>
      <w:r>
        <w:t xml:space="preserve">Find </w:t>
      </w:r>
      <w:r w:rsidR="00DB4EDC">
        <w:t xml:space="preserve">the </w:t>
      </w:r>
      <w:r>
        <w:t>cecum and</w:t>
      </w:r>
      <w:r w:rsidR="00452CD1">
        <w:t xml:space="preserve"> sever its connection to the ascending colon.</w:t>
      </w:r>
    </w:p>
    <w:p w14:paraId="0D4674CE" w14:textId="77777777" w:rsidR="00452CD1" w:rsidRDefault="00452CD1" w:rsidP="00EA30FE"/>
    <w:p w14:paraId="62FBC06D" w14:textId="10832B5E" w:rsidR="00452CD1" w:rsidRDefault="00452CD1" w:rsidP="00EA30FE">
      <w:pPr>
        <w:pStyle w:val="a3"/>
        <w:numPr>
          <w:ilvl w:val="2"/>
          <w:numId w:val="5"/>
        </w:numPr>
      </w:pPr>
      <w:r>
        <w:t xml:space="preserve">Squeeze </w:t>
      </w:r>
      <w:r w:rsidR="00DB4EDC">
        <w:t xml:space="preserve">the </w:t>
      </w:r>
      <w:r>
        <w:t xml:space="preserve">cecal contents into </w:t>
      </w:r>
      <w:r w:rsidR="00DB4EDC">
        <w:t xml:space="preserve">a </w:t>
      </w:r>
      <w:r>
        <w:t>15 mL conical tube.</w:t>
      </w:r>
    </w:p>
    <w:p w14:paraId="6F11FB46" w14:textId="77777777" w:rsidR="00452CD1" w:rsidRDefault="00452CD1" w:rsidP="00EA30FE"/>
    <w:p w14:paraId="1FE198EE" w14:textId="69B79597" w:rsidR="00452CD1" w:rsidRDefault="00452CD1" w:rsidP="00EA30FE">
      <w:pPr>
        <w:pStyle w:val="a3"/>
        <w:numPr>
          <w:ilvl w:val="2"/>
          <w:numId w:val="5"/>
        </w:numPr>
      </w:pPr>
      <w:r>
        <w:t xml:space="preserve">Immediately place </w:t>
      </w:r>
      <w:r w:rsidR="00DB4EDC">
        <w:t xml:space="preserve">the </w:t>
      </w:r>
      <w:r>
        <w:t xml:space="preserve">conical tube on dry ice and put into </w:t>
      </w:r>
      <w:r w:rsidR="00DB4EDC">
        <w:t xml:space="preserve">a </w:t>
      </w:r>
      <w:r>
        <w:t>-80</w:t>
      </w:r>
      <w:r w:rsidR="00BB5D76">
        <w:t xml:space="preserve"> °C</w:t>
      </w:r>
      <w:r>
        <w:t xml:space="preserve"> freezer as soon as possible.</w:t>
      </w:r>
    </w:p>
    <w:p w14:paraId="2CB4968A" w14:textId="77777777" w:rsidR="00510D0A" w:rsidRDefault="00510D0A" w:rsidP="00EA30FE"/>
    <w:p w14:paraId="26FFE8D4" w14:textId="42F2BB8A" w:rsidR="00510D0A" w:rsidRDefault="00DB4EDC" w:rsidP="00EA30FE">
      <w:r w:rsidRPr="00510D0A">
        <w:t>NOTE</w:t>
      </w:r>
      <w:r w:rsidR="00510D0A" w:rsidRPr="00510D0A">
        <w:t xml:space="preserve">: </w:t>
      </w:r>
      <w:r>
        <w:t xml:space="preserve">The </w:t>
      </w:r>
      <w:r w:rsidR="00510D0A">
        <w:t xml:space="preserve">small intestine contents can also be collected </w:t>
      </w:r>
      <w:r>
        <w:t xml:space="preserve">using the </w:t>
      </w:r>
      <w:r w:rsidR="00510D0A">
        <w:t>same methods as a negative control.</w:t>
      </w:r>
    </w:p>
    <w:p w14:paraId="4293C570" w14:textId="77777777" w:rsidR="00510D0A" w:rsidRDefault="00510D0A" w:rsidP="00EA30FE"/>
    <w:p w14:paraId="3A0A2AE9" w14:textId="33C96D9E" w:rsidR="00510D0A" w:rsidRPr="00EA30FE" w:rsidRDefault="001709E5" w:rsidP="00EA30FE">
      <w:pPr>
        <w:pStyle w:val="a3"/>
        <w:numPr>
          <w:ilvl w:val="0"/>
          <w:numId w:val="5"/>
        </w:numPr>
        <w:rPr>
          <w:b/>
        </w:rPr>
      </w:pPr>
      <w:r w:rsidRPr="00EA30FE">
        <w:rPr>
          <w:b/>
        </w:rPr>
        <w:t>Slicing</w:t>
      </w:r>
    </w:p>
    <w:p w14:paraId="331D0297" w14:textId="77777777" w:rsidR="00356F49" w:rsidRDefault="00356F49" w:rsidP="00EA30FE">
      <w:pPr>
        <w:rPr>
          <w:b/>
        </w:rPr>
      </w:pPr>
    </w:p>
    <w:p w14:paraId="7AF91B71" w14:textId="37CDCEF8" w:rsidR="00356F49" w:rsidRDefault="00356F49" w:rsidP="00EA30FE">
      <w:pPr>
        <w:pStyle w:val="a3"/>
        <w:numPr>
          <w:ilvl w:val="1"/>
          <w:numId w:val="5"/>
        </w:numPr>
      </w:pPr>
      <w:r>
        <w:t xml:space="preserve">Slice </w:t>
      </w:r>
      <w:r w:rsidR="00DB4EDC">
        <w:t xml:space="preserve">the </w:t>
      </w:r>
      <w:r>
        <w:t>hemisected rat forebrain using a cryostat</w:t>
      </w:r>
      <w:r w:rsidR="00377D19">
        <w:t>.</w:t>
      </w:r>
    </w:p>
    <w:p w14:paraId="419EADEB" w14:textId="77777777" w:rsidR="00356F49" w:rsidRDefault="00356F49" w:rsidP="00EA30FE"/>
    <w:p w14:paraId="7F82F18D" w14:textId="39F7012A" w:rsidR="00356F49" w:rsidRDefault="00356F49" w:rsidP="00EA30FE">
      <w:pPr>
        <w:pStyle w:val="a3"/>
        <w:numPr>
          <w:ilvl w:val="2"/>
          <w:numId w:val="5"/>
        </w:numPr>
      </w:pPr>
      <w:r>
        <w:t xml:space="preserve">Remove </w:t>
      </w:r>
      <w:r w:rsidR="00DB4EDC">
        <w:t xml:space="preserve">the </w:t>
      </w:r>
      <w:r>
        <w:t xml:space="preserve">plastic embedding mold with </w:t>
      </w:r>
      <w:r w:rsidR="00DB4EDC">
        <w:t xml:space="preserve">the </w:t>
      </w:r>
      <w:r>
        <w:t xml:space="preserve">forebrain from </w:t>
      </w:r>
      <w:r w:rsidR="00DB4EDC">
        <w:t xml:space="preserve">the </w:t>
      </w:r>
      <w:r>
        <w:t>-80</w:t>
      </w:r>
      <w:r w:rsidR="00BB5D76">
        <w:t xml:space="preserve"> °C</w:t>
      </w:r>
      <w:r>
        <w:t xml:space="preserve"> freezer and place into </w:t>
      </w:r>
      <w:r w:rsidR="00DB4EDC">
        <w:t xml:space="preserve">a </w:t>
      </w:r>
      <w:r>
        <w:t>-20</w:t>
      </w:r>
      <w:r w:rsidR="00BB5D76">
        <w:t xml:space="preserve"> </w:t>
      </w:r>
      <w:r>
        <w:t xml:space="preserve">°C cryostat. </w:t>
      </w:r>
    </w:p>
    <w:p w14:paraId="5D799E9D" w14:textId="77777777" w:rsidR="00356F49" w:rsidRDefault="00356F49" w:rsidP="00EA30FE"/>
    <w:p w14:paraId="10879640" w14:textId="6DE4E555" w:rsidR="004746F7" w:rsidRDefault="004746F7" w:rsidP="00EA30FE">
      <w:pPr>
        <w:pStyle w:val="a3"/>
        <w:numPr>
          <w:ilvl w:val="2"/>
          <w:numId w:val="5"/>
        </w:numPr>
      </w:pPr>
      <w:r w:rsidRPr="00EA30FE">
        <w:t xml:space="preserve">Remove </w:t>
      </w:r>
      <w:r w:rsidR="00DB4EDC">
        <w:t xml:space="preserve">the </w:t>
      </w:r>
      <w:r w:rsidRPr="00EA30FE">
        <w:t>OCT</w:t>
      </w:r>
      <w:r w:rsidR="00F76CC9">
        <w:t>-</w:t>
      </w:r>
      <w:r w:rsidRPr="00EA30FE">
        <w:t xml:space="preserve">embedded hemisected forebrain sample from </w:t>
      </w:r>
      <w:r w:rsidR="00DB4EDC">
        <w:t xml:space="preserve">the </w:t>
      </w:r>
      <w:r w:rsidRPr="00EA30FE">
        <w:t xml:space="preserve">embedding mold. Use </w:t>
      </w:r>
      <w:r w:rsidR="00DB4EDC">
        <w:t xml:space="preserve">a </w:t>
      </w:r>
      <w:r w:rsidRPr="00EA30FE">
        <w:t xml:space="preserve">razor to slice the corners of the plastic embedding mold vertically if necessary. Mount </w:t>
      </w:r>
      <w:r w:rsidR="00DB4EDC">
        <w:t xml:space="preserve">the </w:t>
      </w:r>
      <w:r w:rsidRPr="00EA30FE">
        <w:t xml:space="preserve">forebrain for rostral to caudal coronal slicing on </w:t>
      </w:r>
      <w:r w:rsidR="00DB4EDC">
        <w:t xml:space="preserve">a </w:t>
      </w:r>
      <w:r w:rsidRPr="00EA30FE">
        <w:t>cryostat chuck using OCT.</w:t>
      </w:r>
    </w:p>
    <w:p w14:paraId="62295994" w14:textId="678A2F77" w:rsidR="006662D4" w:rsidRDefault="006662D4" w:rsidP="00EA30FE"/>
    <w:p w14:paraId="3B4BE2D0" w14:textId="4D85D881" w:rsidR="006662D4" w:rsidRPr="00EA30FE" w:rsidRDefault="00DB4EDC" w:rsidP="00EA30FE">
      <w:r w:rsidRPr="00EA30FE">
        <w:t>NOTE</w:t>
      </w:r>
      <w:r w:rsidR="00F30659" w:rsidRPr="00EA30FE">
        <w:t>:</w:t>
      </w:r>
      <w:r w:rsidR="006662D4" w:rsidRPr="00EA30FE">
        <w:t xml:space="preserve"> Anatomic landmarks to identify the CeA include the optic tract and stria terminalis</w:t>
      </w:r>
      <w:r w:rsidR="00F30659">
        <w:t xml:space="preserve"> </w:t>
      </w:r>
      <w:r w:rsidRPr="00DB4EDC">
        <w:t>(</w:t>
      </w:r>
      <w:r w:rsidR="00F30659" w:rsidRPr="00EA30FE">
        <w:rPr>
          <w:b/>
        </w:rPr>
        <w:t>Figure 2B</w:t>
      </w:r>
      <w:r w:rsidRPr="00DB4EDC">
        <w:t>)</w:t>
      </w:r>
      <w:r w:rsidR="006662D4" w:rsidRPr="00EA30FE">
        <w:t xml:space="preserve">. The optic tract branches from the optic chiasm and </w:t>
      </w:r>
      <w:r w:rsidR="006662D4" w:rsidRPr="00F76CC9">
        <w:t>tracks</w:t>
      </w:r>
      <w:r w:rsidR="006662D4" w:rsidRPr="00EA30FE">
        <w:t xml:space="preserve"> dorsal-lateral as the brain is sliced rostral to caudal. When the optic trac</w:t>
      </w:r>
      <w:r>
        <w:t>t</w:t>
      </w:r>
      <w:r w:rsidR="006662D4" w:rsidRPr="00EA30FE">
        <w:t xml:space="preserve"> has a morphology similar to what is seen in </w:t>
      </w:r>
      <w:r w:rsidR="00F76CC9">
        <w:t xml:space="preserve">a </w:t>
      </w:r>
      <w:r w:rsidR="006662D4" w:rsidRPr="00EA30FE">
        <w:t>rat brain atlas bregma -2.12 mm</w:t>
      </w:r>
      <w:r w:rsidR="0034472B" w:rsidRPr="00EA30FE">
        <w:rPr>
          <w:noProof/>
          <w:vertAlign w:val="superscript"/>
        </w:rPr>
        <w:t>10</w:t>
      </w:r>
      <w:r w:rsidR="006662D4" w:rsidRPr="00EA30FE">
        <w:t xml:space="preserve">, test slices may be viewed under </w:t>
      </w:r>
      <w:r>
        <w:t xml:space="preserve">a </w:t>
      </w:r>
      <w:r w:rsidR="006662D4" w:rsidRPr="00EA30FE">
        <w:t xml:space="preserve">microscope. </w:t>
      </w:r>
      <w:r>
        <w:t>The o</w:t>
      </w:r>
      <w:r w:rsidR="006662D4" w:rsidRPr="00EA30FE">
        <w:t xml:space="preserve">ptic tract and stria terminalis morphology can be </w:t>
      </w:r>
      <w:r w:rsidR="00F76CC9">
        <w:t>checked</w:t>
      </w:r>
      <w:r w:rsidR="00F76CC9" w:rsidRPr="00EA30FE">
        <w:t xml:space="preserve"> </w:t>
      </w:r>
      <w:r w:rsidR="006662D4" w:rsidRPr="00EA30FE">
        <w:t>in a rat brain atlas</w:t>
      </w:r>
      <w:r w:rsidR="0034472B" w:rsidRPr="00EA30FE">
        <w:rPr>
          <w:noProof/>
          <w:vertAlign w:val="superscript"/>
        </w:rPr>
        <w:t>10</w:t>
      </w:r>
      <w:r w:rsidR="006662D4" w:rsidRPr="00EA30FE">
        <w:t xml:space="preserve"> to </w:t>
      </w:r>
      <w:r w:rsidR="00F76CC9">
        <w:t>identify</w:t>
      </w:r>
      <w:r w:rsidR="00F76CC9" w:rsidRPr="00EA30FE">
        <w:t xml:space="preserve"> </w:t>
      </w:r>
      <w:r w:rsidR="006662D4" w:rsidRPr="00EA30FE">
        <w:t xml:space="preserve">the bregma and </w:t>
      </w:r>
      <w:r w:rsidR="00F76CC9">
        <w:t>whether</w:t>
      </w:r>
      <w:r w:rsidR="00F76CC9" w:rsidRPr="00EA30FE">
        <w:t xml:space="preserve"> </w:t>
      </w:r>
      <w:r>
        <w:t xml:space="preserve">the </w:t>
      </w:r>
      <w:r w:rsidR="006662D4" w:rsidRPr="00EA30FE">
        <w:t>CeA surrounds the stria terminals.</w:t>
      </w:r>
    </w:p>
    <w:p w14:paraId="706EB286" w14:textId="77777777" w:rsidR="00356F49" w:rsidRDefault="00356F49" w:rsidP="00EA30FE"/>
    <w:p w14:paraId="40711176" w14:textId="14045003" w:rsidR="00175652" w:rsidRPr="00EA30FE" w:rsidRDefault="004746F7" w:rsidP="00EA30FE">
      <w:pPr>
        <w:pStyle w:val="a3"/>
        <w:numPr>
          <w:ilvl w:val="2"/>
          <w:numId w:val="5"/>
        </w:numPr>
      </w:pPr>
      <w:r w:rsidRPr="00EA30FE">
        <w:t xml:space="preserve">Slice 10 μm thick coronal sections from </w:t>
      </w:r>
      <w:r w:rsidR="00DB4EDC">
        <w:t xml:space="preserve">the </w:t>
      </w:r>
      <w:r w:rsidRPr="00EA30FE">
        <w:t xml:space="preserve">hemisected forebrain rostral to caudal until sections containing the CeA are reached. </w:t>
      </w:r>
    </w:p>
    <w:p w14:paraId="1DD3717C" w14:textId="77777777" w:rsidR="00175652" w:rsidRDefault="00175652" w:rsidP="00EA30FE">
      <w:pPr>
        <w:rPr>
          <w:highlight w:val="yellow"/>
        </w:rPr>
      </w:pPr>
    </w:p>
    <w:p w14:paraId="16DB9930" w14:textId="52976771" w:rsidR="004746F7" w:rsidRPr="005D66AC" w:rsidRDefault="00463AD8" w:rsidP="00EA30FE">
      <w:r w:rsidRPr="00EA30FE">
        <w:t>NOTE</w:t>
      </w:r>
      <w:r w:rsidR="00175652" w:rsidRPr="00EA30FE">
        <w:t xml:space="preserve">: </w:t>
      </w:r>
      <w:r>
        <w:t xml:space="preserve">The </w:t>
      </w:r>
      <w:r w:rsidRPr="00EA30FE">
        <w:t xml:space="preserve">width </w:t>
      </w:r>
      <w:r w:rsidR="004746F7" w:rsidRPr="00EA30FE">
        <w:t xml:space="preserve">and height of </w:t>
      </w:r>
      <w:r>
        <w:t xml:space="preserve">the </w:t>
      </w:r>
      <w:r w:rsidR="004746F7" w:rsidRPr="00EA30FE">
        <w:t xml:space="preserve">sections </w:t>
      </w:r>
      <w:r w:rsidR="00175652">
        <w:t xml:space="preserve">are </w:t>
      </w:r>
      <w:r w:rsidR="004746F7" w:rsidRPr="00EA30FE">
        <w:t>approximately 200 mm.</w:t>
      </w:r>
    </w:p>
    <w:p w14:paraId="2B680DE8" w14:textId="77777777" w:rsidR="00356F49" w:rsidRPr="00733A11" w:rsidRDefault="00356F49" w:rsidP="00EA30FE">
      <w:pPr>
        <w:rPr>
          <w:highlight w:val="yellow"/>
        </w:rPr>
      </w:pPr>
    </w:p>
    <w:p w14:paraId="46B07957" w14:textId="7BB20B4E" w:rsidR="0084439D" w:rsidRPr="00EA30FE" w:rsidRDefault="004746F7" w:rsidP="00EA30FE">
      <w:pPr>
        <w:pStyle w:val="a3"/>
        <w:numPr>
          <w:ilvl w:val="2"/>
          <w:numId w:val="5"/>
        </w:numPr>
        <w:rPr>
          <w:highlight w:val="yellow"/>
        </w:rPr>
      </w:pPr>
      <w:r w:rsidRPr="00EA30FE">
        <w:rPr>
          <w:highlight w:val="yellow"/>
        </w:rPr>
        <w:t xml:space="preserve">Collect 10 μm sections containing the CeA, or </w:t>
      </w:r>
      <w:r w:rsidR="00463AD8">
        <w:rPr>
          <w:highlight w:val="yellow"/>
        </w:rPr>
        <w:t xml:space="preserve">the </w:t>
      </w:r>
      <w:r w:rsidRPr="00EA30FE">
        <w:rPr>
          <w:highlight w:val="yellow"/>
        </w:rPr>
        <w:t xml:space="preserve">preferred brain region, by thaw-mounting 10 μm sections onto plain glass slides. </w:t>
      </w:r>
      <w:r w:rsidR="0084439D" w:rsidRPr="00EA30FE">
        <w:rPr>
          <w:highlight w:val="yellow"/>
        </w:rPr>
        <w:t xml:space="preserve">Immediately place </w:t>
      </w:r>
      <w:r w:rsidR="00F76CC9">
        <w:rPr>
          <w:highlight w:val="yellow"/>
        </w:rPr>
        <w:t xml:space="preserve">the </w:t>
      </w:r>
      <w:r w:rsidR="0084439D" w:rsidRPr="00EA30FE">
        <w:rPr>
          <w:highlight w:val="yellow"/>
        </w:rPr>
        <w:t xml:space="preserve">glass slides onto </w:t>
      </w:r>
      <w:r w:rsidR="00463AD8">
        <w:rPr>
          <w:highlight w:val="yellow"/>
        </w:rPr>
        <w:t xml:space="preserve">a </w:t>
      </w:r>
      <w:r w:rsidR="0084439D" w:rsidRPr="00EA30FE">
        <w:rPr>
          <w:highlight w:val="yellow"/>
        </w:rPr>
        <w:t xml:space="preserve">metal pan resting on dry ice. Put </w:t>
      </w:r>
      <w:r w:rsidR="00463AD8">
        <w:rPr>
          <w:highlight w:val="yellow"/>
        </w:rPr>
        <w:t xml:space="preserve">the </w:t>
      </w:r>
      <w:r w:rsidR="0084439D" w:rsidRPr="00EA30FE">
        <w:rPr>
          <w:highlight w:val="yellow"/>
        </w:rPr>
        <w:t xml:space="preserve">slides with brain sections into </w:t>
      </w:r>
      <w:r w:rsidR="00463AD8">
        <w:rPr>
          <w:highlight w:val="yellow"/>
        </w:rPr>
        <w:t xml:space="preserve">a </w:t>
      </w:r>
      <w:r w:rsidR="0084439D" w:rsidRPr="00EA30FE">
        <w:rPr>
          <w:highlight w:val="yellow"/>
        </w:rPr>
        <w:t>-80</w:t>
      </w:r>
      <w:r w:rsidR="00BB5D76">
        <w:rPr>
          <w:highlight w:val="yellow"/>
        </w:rPr>
        <w:t xml:space="preserve"> °C</w:t>
      </w:r>
      <w:r w:rsidR="0084439D" w:rsidRPr="00EA30FE">
        <w:rPr>
          <w:highlight w:val="yellow"/>
        </w:rPr>
        <w:t xml:space="preserve"> freezer as soon as possible</w:t>
      </w:r>
      <w:r w:rsidR="00F76CC9">
        <w:rPr>
          <w:highlight w:val="yellow"/>
        </w:rPr>
        <w:t>.</w:t>
      </w:r>
    </w:p>
    <w:p w14:paraId="72BAB254" w14:textId="77777777" w:rsidR="0084439D" w:rsidRDefault="0084439D" w:rsidP="00EA30FE">
      <w:pPr>
        <w:rPr>
          <w:highlight w:val="yellow"/>
        </w:rPr>
      </w:pPr>
    </w:p>
    <w:p w14:paraId="77A369A6" w14:textId="4FFE4DEA" w:rsidR="0084439D" w:rsidRPr="00EA30FE" w:rsidRDefault="00463AD8" w:rsidP="00EA30FE">
      <w:r w:rsidRPr="00EA30FE">
        <w:t>NOTE</w:t>
      </w:r>
      <w:r w:rsidR="0084439D" w:rsidRPr="00EA30FE">
        <w:t xml:space="preserve">: </w:t>
      </w:r>
      <w:r w:rsidR="004746F7" w:rsidRPr="00EA30FE">
        <w:t xml:space="preserve">Multiple slices may be placed on </w:t>
      </w:r>
      <w:r>
        <w:t xml:space="preserve">the </w:t>
      </w:r>
      <w:r w:rsidR="004746F7" w:rsidRPr="00EA30FE">
        <w:t xml:space="preserve">same slide. If using a different cell type stain for slices on the same slide, leave about 100 mm between slices so </w:t>
      </w:r>
      <w:r>
        <w:t xml:space="preserve">a </w:t>
      </w:r>
      <w:r w:rsidR="004746F7" w:rsidRPr="00EA30FE">
        <w:t xml:space="preserve">hydrophobic pen can be used to separate cell type-specific antibody solutions on the slide. Leave about 20 mm from the edge of the slide on each side of the slice. </w:t>
      </w:r>
    </w:p>
    <w:p w14:paraId="213AAA31" w14:textId="77777777" w:rsidR="00D725F5" w:rsidRPr="00104EFF" w:rsidRDefault="00D725F5" w:rsidP="00EA30FE">
      <w:pPr>
        <w:rPr>
          <w:rFonts w:cs="Times New Roman"/>
          <w:b/>
          <w:color w:val="auto"/>
        </w:rPr>
      </w:pPr>
    </w:p>
    <w:p w14:paraId="629FE8C6" w14:textId="03CC67A2" w:rsidR="007031F8" w:rsidRPr="00EA30FE" w:rsidRDefault="006B285F" w:rsidP="00EA30FE">
      <w:pPr>
        <w:pStyle w:val="a3"/>
        <w:numPr>
          <w:ilvl w:val="0"/>
          <w:numId w:val="5"/>
        </w:numPr>
        <w:rPr>
          <w:rFonts w:cs="Times New Roman"/>
          <w:b/>
          <w:color w:val="auto"/>
        </w:rPr>
      </w:pPr>
      <w:r w:rsidRPr="00EA30FE">
        <w:rPr>
          <w:rFonts w:cs="Times New Roman"/>
          <w:b/>
          <w:color w:val="auto"/>
        </w:rPr>
        <w:t>Immunofluorescence</w:t>
      </w:r>
      <w:r w:rsidR="001709E5" w:rsidRPr="00EA30FE">
        <w:rPr>
          <w:rFonts w:cs="Times New Roman"/>
          <w:b/>
          <w:color w:val="auto"/>
        </w:rPr>
        <w:t xml:space="preserve"> staining</w:t>
      </w:r>
    </w:p>
    <w:p w14:paraId="2BB1DF01" w14:textId="77777777" w:rsidR="001709E5" w:rsidRDefault="001709E5" w:rsidP="00EA30FE">
      <w:pPr>
        <w:rPr>
          <w:rFonts w:cs="Times New Roman"/>
          <w:color w:val="auto"/>
        </w:rPr>
      </w:pPr>
    </w:p>
    <w:p w14:paraId="61C4F27E" w14:textId="3E7C33D4" w:rsidR="001709E5" w:rsidRPr="00EA30FE" w:rsidRDefault="001709E5" w:rsidP="00EA30FE">
      <w:pPr>
        <w:pStyle w:val="a3"/>
        <w:numPr>
          <w:ilvl w:val="1"/>
          <w:numId w:val="5"/>
        </w:numPr>
        <w:rPr>
          <w:rFonts w:cs="Times New Roman"/>
          <w:color w:val="auto"/>
        </w:rPr>
      </w:pPr>
      <w:r w:rsidRPr="00EA30FE">
        <w:rPr>
          <w:rFonts w:cs="Times New Roman"/>
          <w:color w:val="auto"/>
        </w:rPr>
        <w:t xml:space="preserve">Stain </w:t>
      </w:r>
      <w:r w:rsidR="00463AD8">
        <w:rPr>
          <w:rFonts w:cs="Times New Roman"/>
          <w:color w:val="auto"/>
        </w:rPr>
        <w:t xml:space="preserve">the </w:t>
      </w:r>
      <w:r w:rsidRPr="00EA30FE">
        <w:rPr>
          <w:rFonts w:cs="Times New Roman"/>
          <w:color w:val="auto"/>
        </w:rPr>
        <w:t xml:space="preserve">forebrain sections for </w:t>
      </w:r>
      <w:r w:rsidR="00463AD8">
        <w:rPr>
          <w:rFonts w:cs="Times New Roman"/>
          <w:color w:val="auto"/>
        </w:rPr>
        <w:t xml:space="preserve">the </w:t>
      </w:r>
      <w:r w:rsidRPr="00EA30FE">
        <w:rPr>
          <w:rFonts w:cs="Times New Roman"/>
          <w:color w:val="auto"/>
        </w:rPr>
        <w:t>brain cell of choice (</w:t>
      </w:r>
      <w:r w:rsidR="00463AD8">
        <w:rPr>
          <w:rFonts w:cs="Times New Roman"/>
          <w:color w:val="auto"/>
        </w:rPr>
        <w:t xml:space="preserve">e.g., </w:t>
      </w:r>
      <w:r w:rsidRPr="00EA30FE">
        <w:rPr>
          <w:rFonts w:cs="Times New Roman"/>
          <w:color w:val="auto"/>
        </w:rPr>
        <w:t>neuron, microglia, astrocyte, etc.) using immunofluorescence</w:t>
      </w:r>
      <w:r w:rsidR="00463AD8">
        <w:rPr>
          <w:rFonts w:cs="Times New Roman"/>
          <w:color w:val="auto"/>
        </w:rPr>
        <w:t>.</w:t>
      </w:r>
    </w:p>
    <w:p w14:paraId="5B97B067" w14:textId="77777777" w:rsidR="001709E5" w:rsidRDefault="001709E5" w:rsidP="00EA30FE">
      <w:pPr>
        <w:rPr>
          <w:rFonts w:cs="Times New Roman"/>
          <w:color w:val="auto"/>
        </w:rPr>
      </w:pPr>
    </w:p>
    <w:p w14:paraId="65573715" w14:textId="6453C52B" w:rsidR="00F7748E" w:rsidRDefault="001709E5" w:rsidP="00EA30FE">
      <w:pPr>
        <w:pStyle w:val="a3"/>
        <w:numPr>
          <w:ilvl w:val="2"/>
          <w:numId w:val="5"/>
        </w:numPr>
      </w:pPr>
      <w:r w:rsidRPr="00EA30FE">
        <w:rPr>
          <w:rFonts w:cs="Times New Roman"/>
          <w:color w:val="auto"/>
        </w:rPr>
        <w:t xml:space="preserve">Remove </w:t>
      </w:r>
      <w:r w:rsidR="00377D19" w:rsidRPr="00EA30FE">
        <w:rPr>
          <w:rFonts w:cs="Times New Roman"/>
          <w:color w:val="auto"/>
        </w:rPr>
        <w:t xml:space="preserve">one or </w:t>
      </w:r>
      <w:r w:rsidR="00463AD8">
        <w:rPr>
          <w:rFonts w:cs="Times New Roman"/>
          <w:color w:val="auto"/>
        </w:rPr>
        <w:t>more</w:t>
      </w:r>
      <w:r w:rsidR="00463AD8" w:rsidRPr="00EA30FE">
        <w:rPr>
          <w:rFonts w:cs="Times New Roman"/>
          <w:color w:val="auto"/>
        </w:rPr>
        <w:t xml:space="preserve"> </w:t>
      </w:r>
      <w:r w:rsidR="00377D19" w:rsidRPr="00EA30FE">
        <w:rPr>
          <w:rFonts w:cs="Times New Roman"/>
          <w:color w:val="auto"/>
        </w:rPr>
        <w:t xml:space="preserve">slides with </w:t>
      </w:r>
      <w:r w:rsidR="00377D19">
        <w:t xml:space="preserve">10 μm sections of </w:t>
      </w:r>
      <w:r w:rsidR="00463AD8">
        <w:t xml:space="preserve">the </w:t>
      </w:r>
      <w:r w:rsidR="00377D19">
        <w:t xml:space="preserve">CeA </w:t>
      </w:r>
      <w:r w:rsidR="00F7748E" w:rsidRPr="00EA30FE">
        <w:rPr>
          <w:rFonts w:cs="Times New Roman"/>
          <w:color w:val="auto"/>
        </w:rPr>
        <w:t xml:space="preserve">from </w:t>
      </w:r>
      <w:r w:rsidR="00463AD8">
        <w:rPr>
          <w:rFonts w:cs="Times New Roman"/>
          <w:color w:val="auto"/>
        </w:rPr>
        <w:t xml:space="preserve">the </w:t>
      </w:r>
      <w:r w:rsidR="00F7748E">
        <w:t>-80</w:t>
      </w:r>
      <w:r w:rsidR="00BB5D76">
        <w:t xml:space="preserve"> °C</w:t>
      </w:r>
      <w:r w:rsidR="00F7748E">
        <w:t xml:space="preserve"> freezer</w:t>
      </w:r>
      <w:r w:rsidR="00463AD8">
        <w:t>.</w:t>
      </w:r>
      <w:r w:rsidR="00F7748E">
        <w:t xml:space="preserve"> </w:t>
      </w:r>
    </w:p>
    <w:p w14:paraId="5F5DD402" w14:textId="1540AB7F" w:rsidR="00F7748E" w:rsidRDefault="00F7748E" w:rsidP="00EA30FE">
      <w:bookmarkStart w:id="0" w:name="_GoBack"/>
      <w:bookmarkEnd w:id="0"/>
      <w:commentRangeStart w:id="1"/>
      <w:commentRangeEnd w:id="1"/>
    </w:p>
    <w:p w14:paraId="2D9B35E2" w14:textId="48C10A37" w:rsidR="00F7748E" w:rsidRPr="00EA30FE" w:rsidRDefault="00F7748E" w:rsidP="00EA30FE">
      <w:pPr>
        <w:pStyle w:val="a3"/>
        <w:numPr>
          <w:ilvl w:val="2"/>
          <w:numId w:val="5"/>
        </w:numPr>
        <w:rPr>
          <w:rFonts w:cs="Times New Roman"/>
          <w:color w:val="auto"/>
        </w:rPr>
      </w:pPr>
      <w:r>
        <w:t xml:space="preserve">Fix </w:t>
      </w:r>
      <w:r w:rsidR="00463AD8">
        <w:t xml:space="preserve">the </w:t>
      </w:r>
      <w:r>
        <w:t>slides with 75% ethanol for 30 s</w:t>
      </w:r>
      <w:r w:rsidR="00CB6712">
        <w:t xml:space="preserve">. Remove </w:t>
      </w:r>
      <w:r w:rsidR="00463AD8">
        <w:t xml:space="preserve">the </w:t>
      </w:r>
      <w:r w:rsidR="00CB6712">
        <w:t>excess liquid.</w:t>
      </w:r>
    </w:p>
    <w:p w14:paraId="366EDAD2" w14:textId="77777777" w:rsidR="007031F8" w:rsidRDefault="007031F8" w:rsidP="00EA30FE">
      <w:pPr>
        <w:rPr>
          <w:rFonts w:cs="Times New Roman"/>
          <w:color w:val="auto"/>
        </w:rPr>
      </w:pPr>
    </w:p>
    <w:p w14:paraId="55CD7B36" w14:textId="6CFFD73D" w:rsidR="00F7748E" w:rsidRPr="00EA30FE" w:rsidRDefault="00F7748E" w:rsidP="00EA30FE">
      <w:pPr>
        <w:pStyle w:val="a3"/>
        <w:numPr>
          <w:ilvl w:val="2"/>
          <w:numId w:val="5"/>
        </w:numPr>
        <w:rPr>
          <w:rFonts w:cs="Times New Roman"/>
          <w:color w:val="auto"/>
        </w:rPr>
      </w:pPr>
      <w:r w:rsidRPr="00EA30FE">
        <w:rPr>
          <w:rFonts w:cs="Times New Roman"/>
          <w:color w:val="auto"/>
        </w:rPr>
        <w:t xml:space="preserve">Block </w:t>
      </w:r>
      <w:r w:rsidR="00463AD8">
        <w:rPr>
          <w:rFonts w:cs="Times New Roman"/>
          <w:color w:val="auto"/>
        </w:rPr>
        <w:t xml:space="preserve">the </w:t>
      </w:r>
      <w:r w:rsidRPr="00EA30FE">
        <w:rPr>
          <w:rFonts w:cs="Times New Roman"/>
          <w:color w:val="auto"/>
        </w:rPr>
        <w:t>slices</w:t>
      </w:r>
      <w:r w:rsidR="002C20F7" w:rsidRPr="00EA30FE">
        <w:rPr>
          <w:rFonts w:cs="Times New Roman"/>
          <w:color w:val="auto"/>
        </w:rPr>
        <w:t xml:space="preserve"> for 30 s</w:t>
      </w:r>
      <w:r w:rsidR="003C631B" w:rsidRPr="00EA30FE">
        <w:rPr>
          <w:rFonts w:cs="Times New Roman"/>
          <w:color w:val="auto"/>
        </w:rPr>
        <w:t xml:space="preserve"> with 2</w:t>
      </w:r>
      <w:r w:rsidRPr="00EA30FE">
        <w:rPr>
          <w:rFonts w:cs="Times New Roman"/>
          <w:color w:val="auto"/>
        </w:rPr>
        <w:t>% bovine serum antigen</w:t>
      </w:r>
      <w:r w:rsidR="002C20F7" w:rsidRPr="00EA30FE">
        <w:rPr>
          <w:rFonts w:cs="Times New Roman"/>
          <w:color w:val="auto"/>
        </w:rPr>
        <w:t xml:space="preserve"> (BSA) in </w:t>
      </w:r>
      <w:r w:rsidR="00463AD8" w:rsidRPr="00EA30FE">
        <w:rPr>
          <w:rFonts w:cs="Times New Roman"/>
          <w:color w:val="auto"/>
        </w:rPr>
        <w:t xml:space="preserve">1x </w:t>
      </w:r>
      <w:r w:rsidR="003C631B" w:rsidRPr="00EA30FE">
        <w:rPr>
          <w:rFonts w:cs="Times New Roman"/>
          <w:color w:val="auto"/>
        </w:rPr>
        <w:t>phosphate buffer saline (PBS).</w:t>
      </w:r>
      <w:r w:rsidR="00EE6FC6" w:rsidRPr="00EA30FE">
        <w:rPr>
          <w:rFonts w:cs="Times New Roman"/>
          <w:color w:val="auto"/>
        </w:rPr>
        <w:t xml:space="preserve"> Wash 1x with PBS.</w:t>
      </w:r>
    </w:p>
    <w:p w14:paraId="46FCA70D" w14:textId="77777777" w:rsidR="00F7748E" w:rsidRDefault="00F7748E" w:rsidP="00EA30FE">
      <w:pPr>
        <w:rPr>
          <w:rFonts w:cs="Times New Roman"/>
          <w:color w:val="auto"/>
        </w:rPr>
      </w:pPr>
    </w:p>
    <w:p w14:paraId="617EBA0A" w14:textId="44A7A046" w:rsidR="0084439D" w:rsidRPr="00EA30FE" w:rsidRDefault="002C20F7" w:rsidP="00EA30FE">
      <w:pPr>
        <w:pStyle w:val="a3"/>
        <w:numPr>
          <w:ilvl w:val="2"/>
          <w:numId w:val="5"/>
        </w:numPr>
        <w:rPr>
          <w:rFonts w:cs="Times New Roman"/>
          <w:color w:val="auto"/>
        </w:rPr>
      </w:pPr>
      <w:r w:rsidRPr="00EA30FE">
        <w:rPr>
          <w:rFonts w:cs="Times New Roman"/>
          <w:color w:val="auto"/>
        </w:rPr>
        <w:t xml:space="preserve">Add </w:t>
      </w:r>
      <w:r w:rsidR="00463AD8">
        <w:rPr>
          <w:rFonts w:cs="Times New Roman"/>
          <w:color w:val="auto"/>
        </w:rPr>
        <w:t xml:space="preserve">a </w:t>
      </w:r>
      <w:r w:rsidRPr="00EA30FE">
        <w:rPr>
          <w:rFonts w:cs="Times New Roman"/>
          <w:color w:val="auto"/>
        </w:rPr>
        <w:t xml:space="preserve">primary antibody solution to </w:t>
      </w:r>
      <w:r w:rsidR="00463AD8">
        <w:rPr>
          <w:rFonts w:cs="Times New Roman"/>
          <w:color w:val="auto"/>
        </w:rPr>
        <w:t xml:space="preserve">the </w:t>
      </w:r>
      <w:r w:rsidRPr="00EA30FE">
        <w:rPr>
          <w:rFonts w:cs="Times New Roman"/>
          <w:color w:val="auto"/>
        </w:rPr>
        <w:t>slide</w:t>
      </w:r>
      <w:r w:rsidR="00475E7C" w:rsidRPr="00EA30FE">
        <w:rPr>
          <w:rFonts w:cs="Times New Roman"/>
          <w:color w:val="auto"/>
        </w:rPr>
        <w:t xml:space="preserve"> for 2 min</w:t>
      </w:r>
      <w:r w:rsidRPr="00EA30FE">
        <w:rPr>
          <w:rFonts w:cs="Times New Roman"/>
          <w:color w:val="auto"/>
        </w:rPr>
        <w:t>.</w:t>
      </w:r>
      <w:r w:rsidR="0084439D" w:rsidRPr="00EA30FE">
        <w:rPr>
          <w:rFonts w:cs="Times New Roman"/>
          <w:color w:val="auto"/>
        </w:rPr>
        <w:t xml:space="preserve"> </w:t>
      </w:r>
      <w:r w:rsidR="0084439D">
        <w:t>Wash 1x with 2% BSA solution.</w:t>
      </w:r>
      <w:r w:rsidRPr="00EA30FE">
        <w:rPr>
          <w:rFonts w:cs="Times New Roman"/>
          <w:color w:val="auto"/>
        </w:rPr>
        <w:t xml:space="preserve"> </w:t>
      </w:r>
    </w:p>
    <w:p w14:paraId="56F6B1C4" w14:textId="77777777" w:rsidR="0084439D" w:rsidRDefault="0084439D" w:rsidP="00EA30FE">
      <w:pPr>
        <w:rPr>
          <w:rFonts w:cs="Times New Roman"/>
          <w:color w:val="auto"/>
        </w:rPr>
      </w:pPr>
    </w:p>
    <w:p w14:paraId="65A16ECB" w14:textId="18DF7E24" w:rsidR="002C20F7" w:rsidRDefault="00463AD8" w:rsidP="00EA30FE">
      <w:r>
        <w:rPr>
          <w:rFonts w:cs="Times New Roman"/>
          <w:color w:val="auto"/>
        </w:rPr>
        <w:t>NOTE</w:t>
      </w:r>
      <w:r w:rsidR="0084439D">
        <w:rPr>
          <w:rFonts w:cs="Times New Roman"/>
          <w:color w:val="auto"/>
        </w:rPr>
        <w:t xml:space="preserve">: </w:t>
      </w:r>
      <w:r>
        <w:rPr>
          <w:rFonts w:cs="Times New Roman"/>
          <w:color w:val="auto"/>
        </w:rPr>
        <w:t xml:space="preserve">The primary </w:t>
      </w:r>
      <w:r w:rsidR="002C20F7">
        <w:rPr>
          <w:rFonts w:cs="Times New Roman"/>
          <w:color w:val="auto"/>
        </w:rPr>
        <w:t xml:space="preserve">antibody solution is composed </w:t>
      </w:r>
      <w:r w:rsidR="00475E7C">
        <w:rPr>
          <w:rFonts w:cs="Times New Roman"/>
          <w:color w:val="auto"/>
        </w:rPr>
        <w:t>of 2</w:t>
      </w:r>
      <w:r w:rsidR="002C20F7">
        <w:rPr>
          <w:rFonts w:cs="Times New Roman"/>
          <w:color w:val="auto"/>
        </w:rPr>
        <w:t xml:space="preserve">% primary antibody, 1% RNase Out, and 96% of same BSA PBS solution for </w:t>
      </w:r>
      <w:r>
        <w:rPr>
          <w:rFonts w:cs="Times New Roman"/>
          <w:color w:val="auto"/>
        </w:rPr>
        <w:t xml:space="preserve">the </w:t>
      </w:r>
      <w:r w:rsidR="002C20F7">
        <w:rPr>
          <w:rFonts w:cs="Times New Roman"/>
          <w:color w:val="auto"/>
        </w:rPr>
        <w:t>blocking step above</w:t>
      </w:r>
      <w:r>
        <w:rPr>
          <w:rFonts w:cs="Times New Roman"/>
          <w:color w:val="auto"/>
        </w:rPr>
        <w:t xml:space="preserve"> (step 4.1.3)</w:t>
      </w:r>
      <w:r w:rsidR="002C20F7">
        <w:rPr>
          <w:rFonts w:cs="Times New Roman"/>
          <w:color w:val="auto"/>
        </w:rPr>
        <w:t xml:space="preserve">. </w:t>
      </w:r>
      <w:r>
        <w:rPr>
          <w:rFonts w:cs="Times New Roman"/>
          <w:color w:val="auto"/>
        </w:rPr>
        <w:t>The r</w:t>
      </w:r>
      <w:r w:rsidR="0084439D">
        <w:rPr>
          <w:rFonts w:cs="Times New Roman"/>
          <w:color w:val="auto"/>
        </w:rPr>
        <w:t>epresentative experiment</w:t>
      </w:r>
      <w:r w:rsidR="002C20F7">
        <w:rPr>
          <w:rFonts w:cs="Times New Roman"/>
          <w:color w:val="auto"/>
        </w:rPr>
        <w:t xml:space="preserve"> used </w:t>
      </w:r>
      <w:r>
        <w:rPr>
          <w:rFonts w:cs="Times New Roman"/>
          <w:color w:val="auto"/>
        </w:rPr>
        <w:t xml:space="preserve">an </w:t>
      </w:r>
      <w:r w:rsidR="002C20F7" w:rsidRPr="002C20F7">
        <w:rPr>
          <w:rFonts w:cs="Times New Roman"/>
          <w:color w:val="auto"/>
        </w:rPr>
        <w:t xml:space="preserve">anti-NeuN antibody, </w:t>
      </w:r>
      <w:r>
        <w:rPr>
          <w:rFonts w:cs="Times New Roman"/>
          <w:color w:val="auto"/>
        </w:rPr>
        <w:t xml:space="preserve">an </w:t>
      </w:r>
      <w:r w:rsidR="002C20F7" w:rsidRPr="002C20F7">
        <w:rPr>
          <w:rFonts w:cs="Times New Roman"/>
          <w:color w:val="auto"/>
        </w:rPr>
        <w:t>anti-Cd11β antibody</w:t>
      </w:r>
      <w:r w:rsidR="003C631B">
        <w:rPr>
          <w:rFonts w:cs="Times New Roman"/>
          <w:color w:val="auto"/>
        </w:rPr>
        <w:t xml:space="preserve">, </w:t>
      </w:r>
      <w:r>
        <w:rPr>
          <w:rFonts w:cs="Times New Roman"/>
          <w:color w:val="auto"/>
        </w:rPr>
        <w:t xml:space="preserve">and an </w:t>
      </w:r>
      <w:r w:rsidR="003C631B">
        <w:rPr>
          <w:rFonts w:cs="Times New Roman"/>
          <w:color w:val="auto"/>
        </w:rPr>
        <w:t>anti-GFAP antibody</w:t>
      </w:r>
      <w:r w:rsidR="002C20F7">
        <w:rPr>
          <w:rFonts w:cs="Times New Roman"/>
          <w:color w:val="auto"/>
        </w:rPr>
        <w:t xml:space="preserve"> in the following quantities: 3 </w:t>
      </w:r>
      <w:r w:rsidR="002C20F7">
        <w:t>μL of primary, 1.88 μL of RN</w:t>
      </w:r>
      <w:r w:rsidR="006662D4">
        <w:t>A inhibitor</w:t>
      </w:r>
      <w:r w:rsidR="002C20F7">
        <w:t>, and 145.12 μL of BSA solution.</w:t>
      </w:r>
      <w:r w:rsidR="00475E7C">
        <w:t xml:space="preserve"> </w:t>
      </w:r>
    </w:p>
    <w:p w14:paraId="7D24501D" w14:textId="77777777" w:rsidR="00475E7C" w:rsidRDefault="00475E7C" w:rsidP="00EA30FE"/>
    <w:p w14:paraId="71451A40" w14:textId="083924E2" w:rsidR="0084439D" w:rsidRDefault="003C135C" w:rsidP="00EA30FE">
      <w:pPr>
        <w:pStyle w:val="a3"/>
        <w:numPr>
          <w:ilvl w:val="2"/>
          <w:numId w:val="5"/>
        </w:numPr>
      </w:pPr>
      <w:r>
        <w:t xml:space="preserve">Add </w:t>
      </w:r>
      <w:r w:rsidR="00463AD8">
        <w:t xml:space="preserve">the </w:t>
      </w:r>
      <w:r>
        <w:t xml:space="preserve">secondary antibody solution to </w:t>
      </w:r>
      <w:r w:rsidR="00463AD8">
        <w:t xml:space="preserve">the </w:t>
      </w:r>
      <w:r>
        <w:t xml:space="preserve">slide for 3 min. </w:t>
      </w:r>
      <w:r w:rsidR="0084439D">
        <w:t>Wash 1x with PBS.</w:t>
      </w:r>
    </w:p>
    <w:p w14:paraId="399B72E7" w14:textId="77777777" w:rsidR="0084439D" w:rsidRDefault="0084439D" w:rsidP="00EA30FE"/>
    <w:p w14:paraId="752257BA" w14:textId="5867AD92" w:rsidR="002C68B0" w:rsidRDefault="00463AD8" w:rsidP="00EA30FE">
      <w:r>
        <w:t>NOTE</w:t>
      </w:r>
      <w:r w:rsidR="0084439D">
        <w:t xml:space="preserve">: </w:t>
      </w:r>
      <w:r>
        <w:t xml:space="preserve">The secondary </w:t>
      </w:r>
      <w:r w:rsidR="003C135C">
        <w:t>antibody solution is composed of 1</w:t>
      </w:r>
      <w:r w:rsidR="003C135C" w:rsidRPr="003C135C">
        <w:t xml:space="preserve"> </w:t>
      </w:r>
      <w:r w:rsidR="003C135C">
        <w:t>μL of goat anti-mouse</w:t>
      </w:r>
      <w:r w:rsidR="00EA03E6">
        <w:t xml:space="preserve"> 488</w:t>
      </w:r>
      <w:r w:rsidR="006662D4">
        <w:t xml:space="preserve"> nm fluorescent tag</w:t>
      </w:r>
      <w:r w:rsidR="00EA03E6">
        <w:t xml:space="preserve"> (1:5</w:t>
      </w:r>
      <w:r w:rsidR="003C631B">
        <w:t xml:space="preserve">00), 2.5 μL </w:t>
      </w:r>
      <w:r>
        <w:t xml:space="preserve">of </w:t>
      </w:r>
      <w:r w:rsidR="003C631B">
        <w:t>RN</w:t>
      </w:r>
      <w:r w:rsidR="006662D4">
        <w:t>A inhibitor</w:t>
      </w:r>
      <w:r w:rsidR="003C631B">
        <w:t>, 1.3 μL of DAPI (1:10</w:t>
      </w:r>
      <w:r w:rsidR="00BB5D76">
        <w:t>,</w:t>
      </w:r>
      <w:r w:rsidR="003C631B">
        <w:t>000), and 196.5 μL of 2% BSA</w:t>
      </w:r>
      <w:r w:rsidR="002C68B0">
        <w:t xml:space="preserve">. </w:t>
      </w:r>
    </w:p>
    <w:p w14:paraId="418C69B0" w14:textId="77777777" w:rsidR="002C68B0" w:rsidRDefault="002C68B0" w:rsidP="00EA30FE"/>
    <w:p w14:paraId="42BF6D2A" w14:textId="2C4B8229" w:rsidR="00475E7C" w:rsidRPr="00EA30FE" w:rsidRDefault="002C68B0" w:rsidP="00EA30FE">
      <w:pPr>
        <w:pStyle w:val="a3"/>
        <w:numPr>
          <w:ilvl w:val="0"/>
          <w:numId w:val="5"/>
        </w:numPr>
        <w:rPr>
          <w:b/>
        </w:rPr>
      </w:pPr>
      <w:r w:rsidRPr="00EA30FE">
        <w:rPr>
          <w:b/>
        </w:rPr>
        <w:t xml:space="preserve">Ethanol </w:t>
      </w:r>
      <w:r w:rsidR="00A90B38" w:rsidRPr="00EA30FE">
        <w:rPr>
          <w:b/>
        </w:rPr>
        <w:t xml:space="preserve">and xylene </w:t>
      </w:r>
      <w:r w:rsidRPr="00EA30FE">
        <w:rPr>
          <w:b/>
        </w:rPr>
        <w:t>dehydration series</w:t>
      </w:r>
      <w:r w:rsidR="006331E5">
        <w:rPr>
          <w:b/>
        </w:rPr>
        <w:t xml:space="preserve"> </w:t>
      </w:r>
    </w:p>
    <w:p w14:paraId="44CBB122" w14:textId="77777777" w:rsidR="00A07BA7" w:rsidRDefault="00A07BA7" w:rsidP="00EA30FE">
      <w:pPr>
        <w:rPr>
          <w:b/>
        </w:rPr>
      </w:pPr>
    </w:p>
    <w:p w14:paraId="55574D20" w14:textId="49886CA7" w:rsidR="00A07BA7" w:rsidRPr="00EA30FE" w:rsidRDefault="00A90B38" w:rsidP="00EA30FE">
      <w:pPr>
        <w:pStyle w:val="a3"/>
        <w:numPr>
          <w:ilvl w:val="1"/>
          <w:numId w:val="5"/>
        </w:numPr>
        <w:rPr>
          <w:highlight w:val="yellow"/>
        </w:rPr>
      </w:pPr>
      <w:r w:rsidRPr="00EA30FE">
        <w:rPr>
          <w:highlight w:val="yellow"/>
        </w:rPr>
        <w:t xml:space="preserve">Dip </w:t>
      </w:r>
      <w:r w:rsidR="004B0B88">
        <w:rPr>
          <w:highlight w:val="yellow"/>
        </w:rPr>
        <w:t xml:space="preserve">the </w:t>
      </w:r>
      <w:r w:rsidRPr="00EA30FE">
        <w:rPr>
          <w:highlight w:val="yellow"/>
        </w:rPr>
        <w:t xml:space="preserve">slides into 75% ethanol for 30 s. Immediately </w:t>
      </w:r>
      <w:r w:rsidR="004B0B88">
        <w:rPr>
          <w:highlight w:val="yellow"/>
        </w:rPr>
        <w:t>after</w:t>
      </w:r>
      <w:r w:rsidRPr="00EA30FE">
        <w:rPr>
          <w:highlight w:val="yellow"/>
        </w:rPr>
        <w:t xml:space="preserve">, dip </w:t>
      </w:r>
      <w:r w:rsidR="004B0B88">
        <w:rPr>
          <w:highlight w:val="yellow"/>
        </w:rPr>
        <w:t xml:space="preserve">the </w:t>
      </w:r>
      <w:r w:rsidRPr="00EA30FE">
        <w:rPr>
          <w:highlight w:val="yellow"/>
        </w:rPr>
        <w:t xml:space="preserve">slides in 95% ethanol for 30 s. Immediately </w:t>
      </w:r>
      <w:r w:rsidR="004B0B88">
        <w:rPr>
          <w:highlight w:val="yellow"/>
        </w:rPr>
        <w:t>after</w:t>
      </w:r>
      <w:r w:rsidRPr="00EA30FE">
        <w:rPr>
          <w:highlight w:val="yellow"/>
        </w:rPr>
        <w:t xml:space="preserve">, dip </w:t>
      </w:r>
      <w:r w:rsidR="004B0B88">
        <w:rPr>
          <w:highlight w:val="yellow"/>
        </w:rPr>
        <w:t xml:space="preserve">the </w:t>
      </w:r>
      <w:r w:rsidRPr="00EA30FE">
        <w:rPr>
          <w:highlight w:val="yellow"/>
        </w:rPr>
        <w:t xml:space="preserve">slides into 100% ethanol for 30 s. Immediately </w:t>
      </w:r>
      <w:r w:rsidR="004B0B88">
        <w:rPr>
          <w:highlight w:val="yellow"/>
        </w:rPr>
        <w:t>after</w:t>
      </w:r>
      <w:r w:rsidRPr="00EA30FE">
        <w:rPr>
          <w:highlight w:val="yellow"/>
        </w:rPr>
        <w:t xml:space="preserve">, dip </w:t>
      </w:r>
      <w:r w:rsidR="004B0B88">
        <w:rPr>
          <w:highlight w:val="yellow"/>
        </w:rPr>
        <w:t xml:space="preserve">the </w:t>
      </w:r>
      <w:r w:rsidRPr="00EA30FE">
        <w:rPr>
          <w:highlight w:val="yellow"/>
        </w:rPr>
        <w:t>slides into a second container containing 100% ethanol for 30 s.</w:t>
      </w:r>
    </w:p>
    <w:p w14:paraId="1136B46C" w14:textId="77777777" w:rsidR="00A90B38" w:rsidRPr="00733A11" w:rsidRDefault="00A90B38" w:rsidP="00EA30FE">
      <w:pPr>
        <w:rPr>
          <w:highlight w:val="yellow"/>
        </w:rPr>
      </w:pPr>
    </w:p>
    <w:p w14:paraId="7AB44702" w14:textId="11BD146B" w:rsidR="00A90B38" w:rsidRDefault="00A90B38" w:rsidP="00EA30FE">
      <w:pPr>
        <w:pStyle w:val="a3"/>
        <w:numPr>
          <w:ilvl w:val="1"/>
          <w:numId w:val="5"/>
        </w:numPr>
      </w:pPr>
      <w:r w:rsidRPr="00EA30FE">
        <w:rPr>
          <w:highlight w:val="yellow"/>
        </w:rPr>
        <w:t xml:space="preserve">Following the ethanol dehydration series, dip </w:t>
      </w:r>
      <w:r w:rsidR="004B0B88">
        <w:rPr>
          <w:highlight w:val="yellow"/>
        </w:rPr>
        <w:t xml:space="preserve">the </w:t>
      </w:r>
      <w:r w:rsidRPr="00EA30FE">
        <w:rPr>
          <w:highlight w:val="yellow"/>
        </w:rPr>
        <w:t xml:space="preserve">slides into freshly poured xylene for 1 min. Immediately </w:t>
      </w:r>
      <w:r w:rsidR="004B0B88">
        <w:rPr>
          <w:highlight w:val="yellow"/>
        </w:rPr>
        <w:t>after</w:t>
      </w:r>
      <w:r w:rsidRPr="00EA30FE">
        <w:rPr>
          <w:highlight w:val="yellow"/>
        </w:rPr>
        <w:t xml:space="preserve">, dip </w:t>
      </w:r>
      <w:r w:rsidR="004B0B88">
        <w:rPr>
          <w:highlight w:val="yellow"/>
        </w:rPr>
        <w:t xml:space="preserve">the </w:t>
      </w:r>
      <w:r w:rsidRPr="00EA30FE">
        <w:rPr>
          <w:highlight w:val="yellow"/>
        </w:rPr>
        <w:t xml:space="preserve">slides into </w:t>
      </w:r>
      <w:r w:rsidR="004B0B88">
        <w:rPr>
          <w:highlight w:val="yellow"/>
        </w:rPr>
        <w:t xml:space="preserve">a </w:t>
      </w:r>
      <w:r w:rsidRPr="00EA30FE">
        <w:rPr>
          <w:highlight w:val="yellow"/>
        </w:rPr>
        <w:t>second container of xylene for 4 min.</w:t>
      </w:r>
    </w:p>
    <w:p w14:paraId="71150545" w14:textId="77777777" w:rsidR="00A90B38" w:rsidRDefault="00A90B38" w:rsidP="00EA30FE"/>
    <w:p w14:paraId="4E78177C" w14:textId="1DC506DE" w:rsidR="00A90B38" w:rsidRDefault="00A90B38" w:rsidP="00EA30FE">
      <w:pPr>
        <w:pStyle w:val="a3"/>
        <w:numPr>
          <w:ilvl w:val="1"/>
          <w:numId w:val="5"/>
        </w:numPr>
      </w:pPr>
      <w:r>
        <w:t xml:space="preserve">Remove </w:t>
      </w:r>
      <w:r w:rsidR="004B0B88">
        <w:t xml:space="preserve">the </w:t>
      </w:r>
      <w:r>
        <w:t xml:space="preserve">slides from </w:t>
      </w:r>
      <w:r w:rsidR="004B0B88">
        <w:t xml:space="preserve">the </w:t>
      </w:r>
      <w:r>
        <w:t xml:space="preserve">xylene bath and let air dry in the dark for 5 min. </w:t>
      </w:r>
    </w:p>
    <w:p w14:paraId="7029CDC8" w14:textId="77777777" w:rsidR="00CB6712" w:rsidRDefault="00CB6712" w:rsidP="00EA30FE"/>
    <w:p w14:paraId="0EC8546A" w14:textId="2AA53CC1" w:rsidR="00A90B38" w:rsidRDefault="00A90B38" w:rsidP="00EA30FE">
      <w:pPr>
        <w:pStyle w:val="a3"/>
        <w:numPr>
          <w:ilvl w:val="1"/>
          <w:numId w:val="5"/>
        </w:numPr>
      </w:pPr>
      <w:r>
        <w:t xml:space="preserve">Place </w:t>
      </w:r>
      <w:r w:rsidR="004B0B88">
        <w:t xml:space="preserve">the </w:t>
      </w:r>
      <w:r>
        <w:t xml:space="preserve">slides in </w:t>
      </w:r>
      <w:r w:rsidR="004B0B88">
        <w:t xml:space="preserve">a </w:t>
      </w:r>
      <w:r>
        <w:t>desiccator for 5 min to dry</w:t>
      </w:r>
      <w:r w:rsidR="004B0B88" w:rsidRPr="004B0B88">
        <w:t xml:space="preserve"> </w:t>
      </w:r>
      <w:r w:rsidR="004B0B88">
        <w:t>further</w:t>
      </w:r>
      <w:r>
        <w:t>.</w:t>
      </w:r>
    </w:p>
    <w:p w14:paraId="365B2992" w14:textId="77777777" w:rsidR="00A90B38" w:rsidRDefault="00A90B38" w:rsidP="00EA30FE"/>
    <w:p w14:paraId="62568F51" w14:textId="7C77E418" w:rsidR="00A90B38" w:rsidRPr="00EA30FE" w:rsidRDefault="00A90B38" w:rsidP="00EA30FE">
      <w:pPr>
        <w:pStyle w:val="a3"/>
        <w:numPr>
          <w:ilvl w:val="0"/>
          <w:numId w:val="5"/>
        </w:numPr>
        <w:rPr>
          <w:b/>
        </w:rPr>
      </w:pPr>
      <w:r w:rsidRPr="00EA30FE">
        <w:rPr>
          <w:b/>
        </w:rPr>
        <w:t xml:space="preserve">Laser </w:t>
      </w:r>
      <w:r w:rsidR="00BB5D76" w:rsidRPr="00EA30FE">
        <w:rPr>
          <w:b/>
        </w:rPr>
        <w:t xml:space="preserve">capture microdissection </w:t>
      </w:r>
    </w:p>
    <w:p w14:paraId="2DC508FE" w14:textId="77777777" w:rsidR="006B0940" w:rsidRDefault="006B0940" w:rsidP="00EA30FE">
      <w:pPr>
        <w:rPr>
          <w:b/>
        </w:rPr>
      </w:pPr>
    </w:p>
    <w:p w14:paraId="7AF6C7B2" w14:textId="0824FC30" w:rsidR="005829CF" w:rsidRPr="00EA30FE" w:rsidRDefault="0097463D" w:rsidP="00EA30FE">
      <w:pPr>
        <w:pStyle w:val="a3"/>
        <w:numPr>
          <w:ilvl w:val="1"/>
          <w:numId w:val="5"/>
        </w:numPr>
      </w:pPr>
      <w:r w:rsidRPr="00EA30FE">
        <w:t>If stained,</w:t>
      </w:r>
      <w:r w:rsidR="006B0940" w:rsidRPr="00EA30FE">
        <w:t xml:space="preserve"> </w:t>
      </w:r>
      <w:r w:rsidRPr="00EA30FE">
        <w:t>p</w:t>
      </w:r>
      <w:r w:rsidR="006B0940" w:rsidRPr="00EA30FE">
        <w:t xml:space="preserve">lace </w:t>
      </w:r>
      <w:r w:rsidR="004B0B88">
        <w:t xml:space="preserve">the </w:t>
      </w:r>
      <w:r w:rsidR="006B0940" w:rsidRPr="00EA30FE">
        <w:t xml:space="preserve">slide into </w:t>
      </w:r>
      <w:r w:rsidR="004B0B88">
        <w:t xml:space="preserve">the </w:t>
      </w:r>
      <w:r w:rsidR="006B0940" w:rsidRPr="00EA30FE">
        <w:t xml:space="preserve">microscope and find </w:t>
      </w:r>
      <w:r w:rsidR="004B0B88">
        <w:t xml:space="preserve">the </w:t>
      </w:r>
      <w:r w:rsidR="006B0940" w:rsidRPr="00EA30FE">
        <w:t>region of interest (</w:t>
      </w:r>
      <w:r w:rsidR="00CB6712" w:rsidRPr="00EA30FE">
        <w:t>CeA</w:t>
      </w:r>
      <w:r w:rsidR="006B0940" w:rsidRPr="00EA30FE">
        <w:t>)</w:t>
      </w:r>
      <w:r w:rsidR="005829CF" w:rsidRPr="00EA30FE">
        <w:t xml:space="preserve"> using </w:t>
      </w:r>
      <w:r w:rsidR="00CB6712" w:rsidRPr="00EA30FE">
        <w:t xml:space="preserve">anatomic </w:t>
      </w:r>
      <w:r w:rsidR="005829CF" w:rsidRPr="00EA30FE">
        <w:t>landmarks (</w:t>
      </w:r>
      <w:r w:rsidR="004B0B88">
        <w:t xml:space="preserve">i.e., the </w:t>
      </w:r>
      <w:r w:rsidR="005829CF" w:rsidRPr="00EA30FE">
        <w:t>optic chiasm and stria terminalis).</w:t>
      </w:r>
    </w:p>
    <w:p w14:paraId="6857E62E" w14:textId="77777777" w:rsidR="005829CF" w:rsidRPr="00733A11" w:rsidRDefault="005829CF" w:rsidP="00EA30FE">
      <w:pPr>
        <w:rPr>
          <w:highlight w:val="yellow"/>
        </w:rPr>
      </w:pPr>
    </w:p>
    <w:p w14:paraId="0F266FEB" w14:textId="2018843E" w:rsidR="005829CF" w:rsidRPr="00EA30FE" w:rsidRDefault="005829CF" w:rsidP="00EA30FE">
      <w:pPr>
        <w:pStyle w:val="a3"/>
        <w:numPr>
          <w:ilvl w:val="1"/>
          <w:numId w:val="5"/>
        </w:numPr>
        <w:rPr>
          <w:highlight w:val="yellow"/>
        </w:rPr>
      </w:pPr>
      <w:r w:rsidRPr="00EA30FE">
        <w:rPr>
          <w:highlight w:val="yellow"/>
        </w:rPr>
        <w:t xml:space="preserve">Use fluorescence to identify </w:t>
      </w:r>
      <w:r w:rsidR="004B0B88">
        <w:rPr>
          <w:highlight w:val="yellow"/>
        </w:rPr>
        <w:t xml:space="preserve">the </w:t>
      </w:r>
      <w:r w:rsidRPr="00EA30FE">
        <w:rPr>
          <w:highlight w:val="yellow"/>
        </w:rPr>
        <w:t xml:space="preserve">stained cell type and its nucleus in </w:t>
      </w:r>
      <w:r w:rsidR="004B0B88">
        <w:rPr>
          <w:highlight w:val="yellow"/>
        </w:rPr>
        <w:t xml:space="preserve">the </w:t>
      </w:r>
      <w:r w:rsidRPr="00EA30FE">
        <w:rPr>
          <w:highlight w:val="yellow"/>
        </w:rPr>
        <w:t xml:space="preserve">region of interest. Choose one </w:t>
      </w:r>
      <w:r w:rsidR="00CB6712" w:rsidRPr="00EA30FE">
        <w:rPr>
          <w:highlight w:val="yellow"/>
        </w:rPr>
        <w:t>cell</w:t>
      </w:r>
      <w:r w:rsidRPr="00EA30FE">
        <w:rPr>
          <w:highlight w:val="yellow"/>
        </w:rPr>
        <w:t xml:space="preserve"> or multiple cells if doing </w:t>
      </w:r>
      <w:r w:rsidR="00BB5D76">
        <w:rPr>
          <w:highlight w:val="yellow"/>
        </w:rPr>
        <w:t>single cell</w:t>
      </w:r>
      <w:r w:rsidRPr="00EA30FE">
        <w:rPr>
          <w:highlight w:val="yellow"/>
        </w:rPr>
        <w:t xml:space="preserve"> pooled samples. Mark </w:t>
      </w:r>
      <w:r w:rsidR="004B0B88">
        <w:rPr>
          <w:highlight w:val="yellow"/>
        </w:rPr>
        <w:t xml:space="preserve">the </w:t>
      </w:r>
      <w:r w:rsidRPr="00EA30FE">
        <w:rPr>
          <w:highlight w:val="yellow"/>
        </w:rPr>
        <w:t>cells of interest using LCM software.</w:t>
      </w:r>
    </w:p>
    <w:p w14:paraId="50A051DA" w14:textId="77777777" w:rsidR="005829CF" w:rsidRPr="00733A11" w:rsidRDefault="005829CF" w:rsidP="00EA30FE">
      <w:pPr>
        <w:rPr>
          <w:highlight w:val="yellow"/>
        </w:rPr>
      </w:pPr>
    </w:p>
    <w:p w14:paraId="3170FCFA" w14:textId="4764113A" w:rsidR="00D51794" w:rsidRPr="00EA30FE" w:rsidRDefault="00D51794" w:rsidP="00EA30FE">
      <w:pPr>
        <w:pStyle w:val="a3"/>
        <w:numPr>
          <w:ilvl w:val="1"/>
          <w:numId w:val="5"/>
        </w:numPr>
        <w:rPr>
          <w:highlight w:val="yellow"/>
        </w:rPr>
      </w:pPr>
      <w:r w:rsidRPr="00EA30FE">
        <w:rPr>
          <w:highlight w:val="yellow"/>
        </w:rPr>
        <w:t xml:space="preserve">Place </w:t>
      </w:r>
      <w:r w:rsidR="004B0B88">
        <w:rPr>
          <w:highlight w:val="yellow"/>
        </w:rPr>
        <w:t xml:space="preserve">the </w:t>
      </w:r>
      <w:r w:rsidRPr="00EA30FE">
        <w:rPr>
          <w:highlight w:val="yellow"/>
        </w:rPr>
        <w:t xml:space="preserve">LCM cap on top of </w:t>
      </w:r>
      <w:r w:rsidR="004B0B88">
        <w:rPr>
          <w:highlight w:val="yellow"/>
        </w:rPr>
        <w:t xml:space="preserve">the </w:t>
      </w:r>
      <w:r w:rsidRPr="00EA30FE">
        <w:rPr>
          <w:highlight w:val="yellow"/>
        </w:rPr>
        <w:t xml:space="preserve">slice on </w:t>
      </w:r>
      <w:r w:rsidR="004B0B88">
        <w:rPr>
          <w:highlight w:val="yellow"/>
        </w:rPr>
        <w:t xml:space="preserve">the </w:t>
      </w:r>
      <w:r w:rsidRPr="00EA30FE">
        <w:rPr>
          <w:highlight w:val="yellow"/>
        </w:rPr>
        <w:t xml:space="preserve">region of interest. </w:t>
      </w:r>
    </w:p>
    <w:p w14:paraId="56A5C20F" w14:textId="77777777" w:rsidR="00D51794" w:rsidRPr="00733A11" w:rsidRDefault="00D51794" w:rsidP="00EA30FE">
      <w:pPr>
        <w:rPr>
          <w:highlight w:val="yellow"/>
        </w:rPr>
      </w:pPr>
    </w:p>
    <w:p w14:paraId="30129EFA" w14:textId="679606FA" w:rsidR="00D51794" w:rsidRPr="00EA30FE" w:rsidRDefault="00D51794" w:rsidP="00EA30FE">
      <w:pPr>
        <w:pStyle w:val="a3"/>
        <w:numPr>
          <w:ilvl w:val="1"/>
          <w:numId w:val="5"/>
        </w:numPr>
      </w:pPr>
      <w:r w:rsidRPr="00EA30FE">
        <w:t xml:space="preserve">Use test shots of </w:t>
      </w:r>
      <w:r w:rsidR="004B0B88">
        <w:t xml:space="preserve">an </w:t>
      </w:r>
      <w:r w:rsidRPr="00EA30FE">
        <w:t xml:space="preserve">infrared (IR) laser to adjust </w:t>
      </w:r>
      <w:r w:rsidR="004B0B88">
        <w:t xml:space="preserve">the </w:t>
      </w:r>
      <w:r w:rsidRPr="00EA30FE">
        <w:t xml:space="preserve">IR laser strength, size, and duration so that the LCM cap adhesive melts only over the area of the selected </w:t>
      </w:r>
      <w:r w:rsidR="00BB5D76">
        <w:t>single cell</w:t>
      </w:r>
      <w:r w:rsidRPr="00EA30FE">
        <w:t xml:space="preserve">. This ensures </w:t>
      </w:r>
      <w:r w:rsidR="004B0B88">
        <w:t xml:space="preserve">that </w:t>
      </w:r>
      <w:r w:rsidRPr="00EA30FE">
        <w:t>no other cells will be collected</w:t>
      </w:r>
      <w:r w:rsidR="0097463D" w:rsidRPr="00EA30FE">
        <w:t xml:space="preserve"> other than the cells selected</w:t>
      </w:r>
      <w:r w:rsidRPr="00EA30FE">
        <w:t>.</w:t>
      </w:r>
    </w:p>
    <w:p w14:paraId="6A954792" w14:textId="53BFECE3" w:rsidR="0097463D" w:rsidRDefault="0097463D" w:rsidP="00EA30FE">
      <w:pPr>
        <w:rPr>
          <w:highlight w:val="yellow"/>
        </w:rPr>
      </w:pPr>
    </w:p>
    <w:p w14:paraId="04EF913E" w14:textId="06087B86" w:rsidR="0097463D" w:rsidRPr="00EA30FE" w:rsidRDefault="004B0B88" w:rsidP="00EA30FE">
      <w:r w:rsidRPr="00EA30FE">
        <w:t>NOTE</w:t>
      </w:r>
      <w:r w:rsidR="0097463D" w:rsidRPr="00EA30FE">
        <w:t>: In this representative experiment, 10</w:t>
      </w:r>
      <w:r w:rsidR="00BE52E9">
        <w:t xml:space="preserve"> </w:t>
      </w:r>
      <w:r w:rsidR="0097463D" w:rsidRPr="00EA30FE">
        <w:t xml:space="preserve">cell pools of the same cell type were used as a single sample to limit the cell-to-cell variability in gene expression between samples </w:t>
      </w:r>
      <w:r w:rsidR="00BE52E9">
        <w:t>with</w:t>
      </w:r>
      <w:r w:rsidR="00BE52E9" w:rsidRPr="00EA30FE">
        <w:t xml:space="preserve"> </w:t>
      </w:r>
      <w:r w:rsidR="0097463D" w:rsidRPr="00EA30FE">
        <w:t xml:space="preserve">the same treatment. However, this method can be used for true </w:t>
      </w:r>
      <w:r w:rsidR="00BB5D76">
        <w:t>single cell</w:t>
      </w:r>
      <w:r w:rsidR="0097463D" w:rsidRPr="00EA30FE">
        <w:t xml:space="preserve"> experiments</w:t>
      </w:r>
      <w:r w:rsidR="0034472B" w:rsidRPr="00EA30FE">
        <w:rPr>
          <w:noProof/>
          <w:vertAlign w:val="superscript"/>
        </w:rPr>
        <w:t>1,3</w:t>
      </w:r>
      <w:r w:rsidR="0097463D" w:rsidRPr="00EA30FE">
        <w:t>.</w:t>
      </w:r>
    </w:p>
    <w:p w14:paraId="203451A0" w14:textId="7B16EE34" w:rsidR="0097463D" w:rsidRDefault="0097463D" w:rsidP="00EA30FE">
      <w:pPr>
        <w:rPr>
          <w:highlight w:val="yellow"/>
        </w:rPr>
      </w:pPr>
    </w:p>
    <w:p w14:paraId="39BD467D" w14:textId="160253B7" w:rsidR="0097463D" w:rsidRPr="00EA30FE" w:rsidRDefault="0097463D" w:rsidP="00EA30FE">
      <w:pPr>
        <w:pStyle w:val="a3"/>
        <w:numPr>
          <w:ilvl w:val="1"/>
          <w:numId w:val="5"/>
        </w:numPr>
        <w:rPr>
          <w:highlight w:val="yellow"/>
        </w:rPr>
      </w:pPr>
      <w:r w:rsidRPr="00EA30FE">
        <w:rPr>
          <w:highlight w:val="yellow"/>
        </w:rPr>
        <w:t xml:space="preserve">Select </w:t>
      </w:r>
      <w:r w:rsidR="00BE52E9">
        <w:rPr>
          <w:highlight w:val="yellow"/>
        </w:rPr>
        <w:t xml:space="preserve">the </w:t>
      </w:r>
      <w:r w:rsidRPr="00EA30FE">
        <w:rPr>
          <w:highlight w:val="yellow"/>
        </w:rPr>
        <w:t xml:space="preserve">individual cells to be collected for analysis using </w:t>
      </w:r>
      <w:r w:rsidR="00BE52E9">
        <w:rPr>
          <w:highlight w:val="yellow"/>
        </w:rPr>
        <w:t xml:space="preserve">the </w:t>
      </w:r>
      <w:r w:rsidRPr="00EA30FE">
        <w:rPr>
          <w:highlight w:val="yellow"/>
        </w:rPr>
        <w:t>LCM software tools</w:t>
      </w:r>
      <w:r w:rsidR="00C717C5" w:rsidRPr="00EA30FE">
        <w:rPr>
          <w:highlight w:val="yellow"/>
        </w:rPr>
        <w:t xml:space="preserve"> (</w:t>
      </w:r>
      <w:r w:rsidR="00BE52E9" w:rsidRPr="00BE52E9">
        <w:rPr>
          <w:b/>
          <w:highlight w:val="yellow"/>
        </w:rPr>
        <w:t>Figure</w:t>
      </w:r>
      <w:r w:rsidR="00C717C5" w:rsidRPr="00EA30FE">
        <w:rPr>
          <w:highlight w:val="yellow"/>
        </w:rPr>
        <w:t xml:space="preserve"> </w:t>
      </w:r>
      <w:r w:rsidR="00C717C5" w:rsidRPr="000F5526">
        <w:rPr>
          <w:b/>
          <w:bCs/>
          <w:highlight w:val="yellow"/>
        </w:rPr>
        <w:t>2C</w:t>
      </w:r>
      <w:r w:rsidR="00C717C5" w:rsidRPr="00EA30FE">
        <w:rPr>
          <w:highlight w:val="yellow"/>
        </w:rPr>
        <w:t>)</w:t>
      </w:r>
      <w:r w:rsidRPr="00EA30FE">
        <w:rPr>
          <w:highlight w:val="yellow"/>
        </w:rPr>
        <w:t xml:space="preserve">. Cells selected must be in the anatomic area of the CeA (or </w:t>
      </w:r>
      <w:r w:rsidR="00BE52E9">
        <w:rPr>
          <w:highlight w:val="yellow"/>
        </w:rPr>
        <w:t xml:space="preserve">the </w:t>
      </w:r>
      <w:r w:rsidRPr="00EA30FE">
        <w:rPr>
          <w:highlight w:val="yellow"/>
        </w:rPr>
        <w:t xml:space="preserve">brain region of choice) based on </w:t>
      </w:r>
      <w:r w:rsidR="00BE52E9">
        <w:rPr>
          <w:highlight w:val="yellow"/>
        </w:rPr>
        <w:t xml:space="preserve">the </w:t>
      </w:r>
      <w:r w:rsidRPr="00EA30FE">
        <w:rPr>
          <w:highlight w:val="yellow"/>
        </w:rPr>
        <w:t xml:space="preserve">rat brain atlas and </w:t>
      </w:r>
      <w:r w:rsidR="00BE52E9">
        <w:rPr>
          <w:highlight w:val="yellow"/>
        </w:rPr>
        <w:t xml:space="preserve">the </w:t>
      </w:r>
      <w:r w:rsidRPr="00EA30FE">
        <w:rPr>
          <w:highlight w:val="yellow"/>
        </w:rPr>
        <w:t>bregma</w:t>
      </w:r>
      <w:r w:rsidR="0034472B" w:rsidRPr="00EA30FE">
        <w:rPr>
          <w:noProof/>
          <w:highlight w:val="yellow"/>
          <w:vertAlign w:val="superscript"/>
        </w:rPr>
        <w:t>10</w:t>
      </w:r>
      <w:r w:rsidRPr="00EA30FE">
        <w:rPr>
          <w:highlight w:val="yellow"/>
        </w:rPr>
        <w:t xml:space="preserve">. Cells should be at least 3 μm from </w:t>
      </w:r>
      <w:r w:rsidR="00BE52E9">
        <w:rPr>
          <w:highlight w:val="yellow"/>
        </w:rPr>
        <w:t xml:space="preserve">the </w:t>
      </w:r>
      <w:r w:rsidRPr="00EA30FE">
        <w:rPr>
          <w:highlight w:val="yellow"/>
        </w:rPr>
        <w:t>adjacent stained nuclei.</w:t>
      </w:r>
      <w:r w:rsidR="006331E5">
        <w:rPr>
          <w:highlight w:val="yellow"/>
        </w:rPr>
        <w:t xml:space="preserve"> </w:t>
      </w:r>
    </w:p>
    <w:p w14:paraId="5569BB61" w14:textId="77777777" w:rsidR="00D51794" w:rsidRPr="00733A11" w:rsidRDefault="00D51794" w:rsidP="00EA30FE">
      <w:pPr>
        <w:rPr>
          <w:highlight w:val="yellow"/>
        </w:rPr>
      </w:pPr>
    </w:p>
    <w:p w14:paraId="54465AEB" w14:textId="231B6304" w:rsidR="00D51794" w:rsidRPr="00EA30FE" w:rsidRDefault="00D51794" w:rsidP="00EA30FE">
      <w:pPr>
        <w:pStyle w:val="a3"/>
        <w:numPr>
          <w:ilvl w:val="1"/>
          <w:numId w:val="5"/>
        </w:numPr>
        <w:rPr>
          <w:highlight w:val="yellow"/>
        </w:rPr>
      </w:pPr>
      <w:r w:rsidRPr="00EA30FE">
        <w:rPr>
          <w:highlight w:val="yellow"/>
        </w:rPr>
        <w:t xml:space="preserve">Fire </w:t>
      </w:r>
      <w:r w:rsidR="00BE52E9">
        <w:rPr>
          <w:highlight w:val="yellow"/>
        </w:rPr>
        <w:t xml:space="preserve">the </w:t>
      </w:r>
      <w:r w:rsidRPr="00EA30FE">
        <w:rPr>
          <w:highlight w:val="yellow"/>
        </w:rPr>
        <w:t>IR laser to collect</w:t>
      </w:r>
      <w:r w:rsidR="0097463D" w:rsidRPr="00EA30FE">
        <w:rPr>
          <w:highlight w:val="yellow"/>
        </w:rPr>
        <w:t xml:space="preserve"> </w:t>
      </w:r>
      <w:r w:rsidR="00BE52E9">
        <w:rPr>
          <w:highlight w:val="yellow"/>
        </w:rPr>
        <w:t xml:space="preserve">the </w:t>
      </w:r>
      <w:r w:rsidR="0097463D" w:rsidRPr="00EA30FE">
        <w:rPr>
          <w:highlight w:val="yellow"/>
        </w:rPr>
        <w:t>identified</w:t>
      </w:r>
      <w:r w:rsidRPr="00EA30FE">
        <w:rPr>
          <w:highlight w:val="yellow"/>
        </w:rPr>
        <w:t xml:space="preserve"> single cells</w:t>
      </w:r>
      <w:r w:rsidR="00CB6712" w:rsidRPr="00EA30FE">
        <w:rPr>
          <w:highlight w:val="yellow"/>
        </w:rPr>
        <w:t xml:space="preserve">. </w:t>
      </w:r>
    </w:p>
    <w:p w14:paraId="2A1ACBAE" w14:textId="77777777" w:rsidR="00D51794" w:rsidRPr="00733A11" w:rsidRDefault="00D51794" w:rsidP="00EA30FE">
      <w:pPr>
        <w:rPr>
          <w:highlight w:val="yellow"/>
        </w:rPr>
      </w:pPr>
    </w:p>
    <w:p w14:paraId="610491AC" w14:textId="589470F5" w:rsidR="00D51794" w:rsidRPr="00EA30FE" w:rsidRDefault="00D51794" w:rsidP="00EA30FE">
      <w:pPr>
        <w:pStyle w:val="a3"/>
        <w:numPr>
          <w:ilvl w:val="1"/>
          <w:numId w:val="5"/>
        </w:numPr>
        <w:rPr>
          <w:highlight w:val="yellow"/>
        </w:rPr>
      </w:pPr>
      <w:r w:rsidRPr="00EA30FE">
        <w:rPr>
          <w:highlight w:val="yellow"/>
        </w:rPr>
        <w:t xml:space="preserve">Place </w:t>
      </w:r>
      <w:r w:rsidR="00BE52E9">
        <w:rPr>
          <w:highlight w:val="yellow"/>
        </w:rPr>
        <w:t xml:space="preserve">the </w:t>
      </w:r>
      <w:r w:rsidRPr="00EA30FE">
        <w:rPr>
          <w:highlight w:val="yellow"/>
        </w:rPr>
        <w:t xml:space="preserve">cap in </w:t>
      </w:r>
      <w:r w:rsidR="00BE52E9">
        <w:rPr>
          <w:highlight w:val="yellow"/>
        </w:rPr>
        <w:t xml:space="preserve">the </w:t>
      </w:r>
      <w:r w:rsidRPr="00EA30FE">
        <w:rPr>
          <w:highlight w:val="yellow"/>
        </w:rPr>
        <w:t xml:space="preserve">quality control (QC) station and view it to </w:t>
      </w:r>
      <w:r w:rsidR="00BE52E9">
        <w:rPr>
          <w:highlight w:val="yellow"/>
        </w:rPr>
        <w:t>ensure</w:t>
      </w:r>
      <w:r w:rsidR="00BE52E9" w:rsidRPr="00EA30FE">
        <w:rPr>
          <w:highlight w:val="yellow"/>
        </w:rPr>
        <w:t xml:space="preserve"> </w:t>
      </w:r>
      <w:r w:rsidRPr="00EA30FE">
        <w:rPr>
          <w:highlight w:val="yellow"/>
        </w:rPr>
        <w:t xml:space="preserve">that only </w:t>
      </w:r>
      <w:r w:rsidR="00BE52E9">
        <w:rPr>
          <w:highlight w:val="yellow"/>
        </w:rPr>
        <w:t xml:space="preserve">the </w:t>
      </w:r>
      <w:r w:rsidRPr="00EA30FE">
        <w:rPr>
          <w:highlight w:val="yellow"/>
        </w:rPr>
        <w:t xml:space="preserve">desired cells were selected. If other cells were mistakenly selected, </w:t>
      </w:r>
      <w:r w:rsidR="00BE52E9">
        <w:rPr>
          <w:highlight w:val="yellow"/>
        </w:rPr>
        <w:t xml:space="preserve">an </w:t>
      </w:r>
      <w:r w:rsidRPr="00EA30FE">
        <w:rPr>
          <w:highlight w:val="yellow"/>
        </w:rPr>
        <w:t xml:space="preserve">ultraviolet laser can be used to destroy the </w:t>
      </w:r>
      <w:r w:rsidR="00BE52E9">
        <w:rPr>
          <w:highlight w:val="yellow"/>
        </w:rPr>
        <w:t xml:space="preserve">unwanted </w:t>
      </w:r>
      <w:r w:rsidRPr="00EA30FE">
        <w:rPr>
          <w:highlight w:val="yellow"/>
        </w:rPr>
        <w:t>cells</w:t>
      </w:r>
      <w:r w:rsidR="00D04B12" w:rsidRPr="00EA30FE">
        <w:rPr>
          <w:highlight w:val="yellow"/>
        </w:rPr>
        <w:t xml:space="preserve"> while </w:t>
      </w:r>
      <w:r w:rsidR="00BE52E9">
        <w:rPr>
          <w:highlight w:val="yellow"/>
        </w:rPr>
        <w:t xml:space="preserve">the </w:t>
      </w:r>
      <w:r w:rsidR="00D04B12" w:rsidRPr="00EA30FE">
        <w:rPr>
          <w:highlight w:val="yellow"/>
        </w:rPr>
        <w:t xml:space="preserve">cap remains in </w:t>
      </w:r>
      <w:r w:rsidR="00BE52E9">
        <w:rPr>
          <w:highlight w:val="yellow"/>
        </w:rPr>
        <w:t xml:space="preserve">the </w:t>
      </w:r>
      <w:r w:rsidR="00D04B12" w:rsidRPr="00EA30FE">
        <w:rPr>
          <w:highlight w:val="yellow"/>
        </w:rPr>
        <w:t>QC station</w:t>
      </w:r>
      <w:r w:rsidRPr="00EA30FE">
        <w:rPr>
          <w:highlight w:val="yellow"/>
        </w:rPr>
        <w:t>.</w:t>
      </w:r>
    </w:p>
    <w:p w14:paraId="07556DEC" w14:textId="77777777" w:rsidR="00CB6712" w:rsidRPr="00733A11" w:rsidRDefault="00CB6712" w:rsidP="00EA30FE">
      <w:pPr>
        <w:rPr>
          <w:highlight w:val="yellow"/>
        </w:rPr>
      </w:pPr>
    </w:p>
    <w:p w14:paraId="7366A291" w14:textId="77A38CB7" w:rsidR="00CB6712" w:rsidRPr="00EA30FE" w:rsidRDefault="00CB6712" w:rsidP="00EA30FE">
      <w:pPr>
        <w:pStyle w:val="a3"/>
        <w:numPr>
          <w:ilvl w:val="1"/>
          <w:numId w:val="5"/>
        </w:numPr>
        <w:rPr>
          <w:highlight w:val="yellow"/>
        </w:rPr>
      </w:pPr>
      <w:r w:rsidRPr="00EA30FE">
        <w:rPr>
          <w:highlight w:val="yellow"/>
        </w:rPr>
        <w:t xml:space="preserve">Take a photo of the tissue section from where the cell was collected to document </w:t>
      </w:r>
      <w:r w:rsidR="00BE52E9">
        <w:rPr>
          <w:highlight w:val="yellow"/>
        </w:rPr>
        <w:t xml:space="preserve">its </w:t>
      </w:r>
      <w:r w:rsidRPr="00EA30FE">
        <w:rPr>
          <w:highlight w:val="yellow"/>
        </w:rPr>
        <w:t xml:space="preserve">anatomic specificity. Record </w:t>
      </w:r>
      <w:r w:rsidR="00BE52E9">
        <w:rPr>
          <w:highlight w:val="yellow"/>
        </w:rPr>
        <w:t xml:space="preserve">the </w:t>
      </w:r>
      <w:r w:rsidRPr="00EA30FE">
        <w:rPr>
          <w:highlight w:val="yellow"/>
        </w:rPr>
        <w:t>distance</w:t>
      </w:r>
      <w:r w:rsidR="00D04B12" w:rsidRPr="00EA30FE">
        <w:rPr>
          <w:highlight w:val="yellow"/>
        </w:rPr>
        <w:t xml:space="preserve"> of </w:t>
      </w:r>
      <w:r w:rsidR="00BE52E9">
        <w:rPr>
          <w:highlight w:val="yellow"/>
        </w:rPr>
        <w:t xml:space="preserve">the </w:t>
      </w:r>
      <w:r w:rsidR="00D04B12" w:rsidRPr="00EA30FE">
        <w:rPr>
          <w:highlight w:val="yellow"/>
        </w:rPr>
        <w:t>slice</w:t>
      </w:r>
      <w:r w:rsidRPr="00EA30FE">
        <w:rPr>
          <w:highlight w:val="yellow"/>
        </w:rPr>
        <w:t xml:space="preserve"> from </w:t>
      </w:r>
      <w:r w:rsidR="00BE52E9">
        <w:rPr>
          <w:highlight w:val="yellow"/>
        </w:rPr>
        <w:t xml:space="preserve">the </w:t>
      </w:r>
      <w:r w:rsidRPr="00EA30FE">
        <w:rPr>
          <w:highlight w:val="yellow"/>
        </w:rPr>
        <w:t>bregma if appropriate</w:t>
      </w:r>
      <w:r w:rsidR="00D04B12" w:rsidRPr="00EA30FE">
        <w:rPr>
          <w:highlight w:val="yellow"/>
        </w:rPr>
        <w:t xml:space="preserve"> </w:t>
      </w:r>
      <w:r w:rsidR="00BE52E9">
        <w:rPr>
          <w:highlight w:val="yellow"/>
        </w:rPr>
        <w:t xml:space="preserve">using a </w:t>
      </w:r>
      <w:r w:rsidR="00D04B12" w:rsidRPr="00EA30FE">
        <w:rPr>
          <w:highlight w:val="yellow"/>
        </w:rPr>
        <w:t>rat brain atlas</w:t>
      </w:r>
      <w:r w:rsidR="00BE52E9">
        <w:rPr>
          <w:highlight w:val="yellow"/>
        </w:rPr>
        <w:t xml:space="preserve"> as a </w:t>
      </w:r>
      <w:r w:rsidR="00BE52E9" w:rsidRPr="00EA30FE">
        <w:rPr>
          <w:highlight w:val="yellow"/>
        </w:rPr>
        <w:t>reference</w:t>
      </w:r>
      <w:r w:rsidR="0034472B" w:rsidRPr="00EA30FE">
        <w:rPr>
          <w:noProof/>
          <w:highlight w:val="yellow"/>
          <w:vertAlign w:val="superscript"/>
        </w:rPr>
        <w:t>10</w:t>
      </w:r>
      <w:r w:rsidRPr="00EA30FE">
        <w:rPr>
          <w:highlight w:val="yellow"/>
        </w:rPr>
        <w:t>.</w:t>
      </w:r>
    </w:p>
    <w:p w14:paraId="4377787B" w14:textId="77777777" w:rsidR="00D51794" w:rsidRPr="00733A11" w:rsidRDefault="00D51794" w:rsidP="00EA30FE">
      <w:pPr>
        <w:rPr>
          <w:highlight w:val="yellow"/>
        </w:rPr>
      </w:pPr>
    </w:p>
    <w:p w14:paraId="5955DE6C" w14:textId="4EBCEA4C" w:rsidR="00B17A1D" w:rsidRPr="00EA30FE" w:rsidRDefault="00D51794" w:rsidP="00EA30FE">
      <w:pPr>
        <w:pStyle w:val="a3"/>
        <w:numPr>
          <w:ilvl w:val="1"/>
          <w:numId w:val="5"/>
        </w:numPr>
        <w:rPr>
          <w:highlight w:val="yellow"/>
        </w:rPr>
      </w:pPr>
      <w:r w:rsidRPr="00EA30FE">
        <w:rPr>
          <w:highlight w:val="yellow"/>
        </w:rPr>
        <w:t xml:space="preserve">Remove </w:t>
      </w:r>
      <w:r w:rsidR="00BE52E9">
        <w:rPr>
          <w:highlight w:val="yellow"/>
        </w:rPr>
        <w:t xml:space="preserve">the </w:t>
      </w:r>
      <w:r w:rsidRPr="00EA30FE">
        <w:rPr>
          <w:highlight w:val="yellow"/>
        </w:rPr>
        <w:t xml:space="preserve">LCM cap from </w:t>
      </w:r>
      <w:r w:rsidR="00BE52E9">
        <w:rPr>
          <w:highlight w:val="yellow"/>
        </w:rPr>
        <w:t xml:space="preserve">the </w:t>
      </w:r>
      <w:r w:rsidRPr="00EA30FE">
        <w:rPr>
          <w:highlight w:val="yellow"/>
        </w:rPr>
        <w:t>QC station, attach</w:t>
      </w:r>
      <w:r w:rsidR="00EA03E6" w:rsidRPr="000F5526">
        <w:rPr>
          <w:highlight w:val="yellow"/>
        </w:rPr>
        <w:t xml:space="preserve"> </w:t>
      </w:r>
      <w:r w:rsidR="00BE52E9" w:rsidRPr="000F5526">
        <w:rPr>
          <w:highlight w:val="yellow"/>
        </w:rPr>
        <w:t xml:space="preserve">the </w:t>
      </w:r>
      <w:r w:rsidR="00BE52E9" w:rsidRPr="00EA30FE">
        <w:rPr>
          <w:highlight w:val="yellow"/>
        </w:rPr>
        <w:t>sample extraction device</w:t>
      </w:r>
      <w:r w:rsidR="00B17A1D" w:rsidRPr="00EA30FE">
        <w:rPr>
          <w:highlight w:val="yellow"/>
        </w:rPr>
        <w:t>, and pipette 5</w:t>
      </w:r>
      <w:r w:rsidR="00820DB6" w:rsidRPr="00EA30FE">
        <w:rPr>
          <w:highlight w:val="yellow"/>
        </w:rPr>
        <w:t>.5</w:t>
      </w:r>
      <w:r w:rsidR="00B17A1D" w:rsidRPr="00EA30FE">
        <w:rPr>
          <w:highlight w:val="yellow"/>
        </w:rPr>
        <w:t xml:space="preserve"> μL of lysis buffer onto </w:t>
      </w:r>
      <w:r w:rsidR="00BE52E9">
        <w:rPr>
          <w:highlight w:val="yellow"/>
        </w:rPr>
        <w:t xml:space="preserve">the </w:t>
      </w:r>
      <w:r w:rsidR="00B17A1D" w:rsidRPr="00EA30FE">
        <w:rPr>
          <w:highlight w:val="yellow"/>
        </w:rPr>
        <w:t xml:space="preserve">sample. </w:t>
      </w:r>
    </w:p>
    <w:p w14:paraId="4E42C9F9" w14:textId="77777777" w:rsidR="00B17A1D" w:rsidRPr="00733A11" w:rsidRDefault="00B17A1D" w:rsidP="00EA30FE">
      <w:pPr>
        <w:rPr>
          <w:highlight w:val="yellow"/>
        </w:rPr>
      </w:pPr>
    </w:p>
    <w:p w14:paraId="734B2F25" w14:textId="3D9ADFD0" w:rsidR="00B17A1D" w:rsidRPr="00733A11" w:rsidRDefault="00EA30FE" w:rsidP="00EA30FE">
      <w:pPr>
        <w:rPr>
          <w:highlight w:val="yellow"/>
        </w:rPr>
      </w:pPr>
      <w:r>
        <w:rPr>
          <w:highlight w:val="yellow"/>
        </w:rPr>
        <w:t xml:space="preserve">NOTE: </w:t>
      </w:r>
      <w:r w:rsidR="00BE52E9">
        <w:rPr>
          <w:highlight w:val="yellow"/>
        </w:rPr>
        <w:t xml:space="preserve">The </w:t>
      </w:r>
      <w:r w:rsidR="00BE52E9" w:rsidRPr="00733A11">
        <w:rPr>
          <w:highlight w:val="yellow"/>
        </w:rPr>
        <w:t xml:space="preserve">lysis </w:t>
      </w:r>
      <w:r w:rsidR="00B17A1D" w:rsidRPr="00733A11">
        <w:rPr>
          <w:highlight w:val="yellow"/>
        </w:rPr>
        <w:t>buffer solution</w:t>
      </w:r>
      <w:r w:rsidR="00BE52E9">
        <w:rPr>
          <w:highlight w:val="yellow"/>
        </w:rPr>
        <w:t xml:space="preserve"> consists of</w:t>
      </w:r>
      <w:r w:rsidR="00507A59" w:rsidRPr="00733A11">
        <w:rPr>
          <w:highlight w:val="yellow"/>
        </w:rPr>
        <w:t xml:space="preserve"> </w:t>
      </w:r>
      <w:r w:rsidR="00820DB6" w:rsidRPr="00733A11">
        <w:rPr>
          <w:highlight w:val="yellow"/>
        </w:rPr>
        <w:t xml:space="preserve">0.5 </w:t>
      </w:r>
      <w:r w:rsidR="00BB5D76">
        <w:rPr>
          <w:highlight w:val="yellow"/>
        </w:rPr>
        <w:t>μL of</w:t>
      </w:r>
      <w:r w:rsidR="00507A59" w:rsidRPr="00733A11">
        <w:rPr>
          <w:highlight w:val="yellow"/>
        </w:rPr>
        <w:t xml:space="preserve"> lysis enhancer</w:t>
      </w:r>
      <w:r w:rsidR="00BE52E9">
        <w:rPr>
          <w:highlight w:val="yellow"/>
        </w:rPr>
        <w:t xml:space="preserve"> and</w:t>
      </w:r>
      <w:r w:rsidR="00507A59" w:rsidRPr="00733A11">
        <w:rPr>
          <w:highlight w:val="yellow"/>
        </w:rPr>
        <w:t xml:space="preserve"> </w:t>
      </w:r>
      <w:r w:rsidR="00820DB6" w:rsidRPr="00733A11">
        <w:rPr>
          <w:highlight w:val="yellow"/>
        </w:rPr>
        <w:t xml:space="preserve">5 </w:t>
      </w:r>
      <w:r w:rsidR="00BB5D76">
        <w:rPr>
          <w:highlight w:val="yellow"/>
        </w:rPr>
        <w:t>μL of</w:t>
      </w:r>
      <w:r w:rsidR="00820DB6" w:rsidRPr="00733A11">
        <w:rPr>
          <w:highlight w:val="yellow"/>
        </w:rPr>
        <w:t xml:space="preserve"> </w:t>
      </w:r>
      <w:r w:rsidR="00BE52E9" w:rsidRPr="00733A11">
        <w:rPr>
          <w:highlight w:val="yellow"/>
        </w:rPr>
        <w:t xml:space="preserve">resuspension </w:t>
      </w:r>
      <w:r w:rsidR="00820DB6" w:rsidRPr="00733A11">
        <w:rPr>
          <w:highlight w:val="yellow"/>
        </w:rPr>
        <w:t>buffer.</w:t>
      </w:r>
    </w:p>
    <w:p w14:paraId="265C888B" w14:textId="77777777" w:rsidR="00B17A1D" w:rsidRPr="00733A11" w:rsidRDefault="00B17A1D" w:rsidP="00EA30FE">
      <w:pPr>
        <w:rPr>
          <w:highlight w:val="yellow"/>
        </w:rPr>
      </w:pPr>
    </w:p>
    <w:p w14:paraId="46EEF7C4" w14:textId="7988F5E4" w:rsidR="00D62864" w:rsidRPr="00EA30FE" w:rsidRDefault="00820DB6" w:rsidP="00EA30FE">
      <w:pPr>
        <w:pStyle w:val="a3"/>
        <w:numPr>
          <w:ilvl w:val="1"/>
          <w:numId w:val="5"/>
        </w:numPr>
        <w:rPr>
          <w:highlight w:val="yellow"/>
        </w:rPr>
      </w:pPr>
      <w:r w:rsidRPr="00EA30FE">
        <w:rPr>
          <w:highlight w:val="yellow"/>
        </w:rPr>
        <w:t xml:space="preserve">Fit </w:t>
      </w:r>
      <w:r w:rsidR="00BE52E9">
        <w:rPr>
          <w:highlight w:val="yellow"/>
        </w:rPr>
        <w:t xml:space="preserve">the </w:t>
      </w:r>
      <w:r w:rsidRPr="00EA30FE">
        <w:rPr>
          <w:highlight w:val="yellow"/>
        </w:rPr>
        <w:t>ExtracSure</w:t>
      </w:r>
      <w:r w:rsidRPr="00EA30FE">
        <w:rPr>
          <w:highlight w:val="yellow"/>
          <w:vertAlign w:val="superscript"/>
        </w:rPr>
        <w:t xml:space="preserve"> </w:t>
      </w:r>
      <w:r w:rsidRPr="00EA30FE">
        <w:rPr>
          <w:highlight w:val="yellow"/>
        </w:rPr>
        <w:t xml:space="preserve">device onto </w:t>
      </w:r>
      <w:r w:rsidR="00BE52E9">
        <w:rPr>
          <w:highlight w:val="yellow"/>
        </w:rPr>
        <w:t xml:space="preserve">a </w:t>
      </w:r>
      <w:r w:rsidRPr="00EA30FE">
        <w:rPr>
          <w:highlight w:val="yellow"/>
        </w:rPr>
        <w:t xml:space="preserve">0.5 mL </w:t>
      </w:r>
      <w:r w:rsidR="00D62864" w:rsidRPr="00EA30FE">
        <w:rPr>
          <w:highlight w:val="yellow"/>
        </w:rPr>
        <w:t>microcent</w:t>
      </w:r>
      <w:r w:rsidRPr="00EA30FE">
        <w:rPr>
          <w:highlight w:val="yellow"/>
        </w:rPr>
        <w:t>rifuge tube</w:t>
      </w:r>
      <w:r w:rsidR="00D62864" w:rsidRPr="00EA30FE">
        <w:rPr>
          <w:highlight w:val="yellow"/>
        </w:rPr>
        <w:t xml:space="preserve"> and place on </w:t>
      </w:r>
      <w:r w:rsidR="00BE52E9">
        <w:rPr>
          <w:highlight w:val="yellow"/>
        </w:rPr>
        <w:t xml:space="preserve">a </w:t>
      </w:r>
      <w:r w:rsidR="00D62864" w:rsidRPr="00EA30FE">
        <w:rPr>
          <w:highlight w:val="yellow"/>
        </w:rPr>
        <w:t>hotplate at 75</w:t>
      </w:r>
      <w:r w:rsidR="00BB5D76">
        <w:rPr>
          <w:highlight w:val="yellow"/>
        </w:rPr>
        <w:t xml:space="preserve"> °C</w:t>
      </w:r>
      <w:r w:rsidR="00D62864" w:rsidRPr="00EA30FE">
        <w:rPr>
          <w:highlight w:val="yellow"/>
        </w:rPr>
        <w:t xml:space="preserve"> for 15 min.</w:t>
      </w:r>
    </w:p>
    <w:p w14:paraId="58A3E7AE" w14:textId="77777777" w:rsidR="00D62864" w:rsidRPr="00733A11" w:rsidRDefault="00D62864" w:rsidP="00EA30FE">
      <w:pPr>
        <w:rPr>
          <w:highlight w:val="yellow"/>
        </w:rPr>
      </w:pPr>
    </w:p>
    <w:p w14:paraId="22FBD102" w14:textId="4F8905D3" w:rsidR="006B0940" w:rsidRPr="00B17A1D" w:rsidRDefault="00D62864" w:rsidP="00EA30FE">
      <w:pPr>
        <w:pStyle w:val="a3"/>
        <w:numPr>
          <w:ilvl w:val="1"/>
          <w:numId w:val="5"/>
        </w:numPr>
      </w:pPr>
      <w:r w:rsidRPr="00EA30FE">
        <w:rPr>
          <w:highlight w:val="yellow"/>
        </w:rPr>
        <w:t xml:space="preserve">Spin down </w:t>
      </w:r>
      <w:r w:rsidR="00BE52E9">
        <w:rPr>
          <w:highlight w:val="yellow"/>
        </w:rPr>
        <w:t xml:space="preserve">the </w:t>
      </w:r>
      <w:r w:rsidRPr="00EA30FE">
        <w:rPr>
          <w:highlight w:val="yellow"/>
        </w:rPr>
        <w:t>sample and lysis buffer for 30 s at low speed</w:t>
      </w:r>
      <w:r w:rsidR="00D04B12" w:rsidRPr="00EA30FE">
        <w:rPr>
          <w:highlight w:val="yellow"/>
        </w:rPr>
        <w:t xml:space="preserve"> (0.01</w:t>
      </w:r>
      <w:r w:rsidR="00BE52E9" w:rsidRPr="00BE52E9">
        <w:rPr>
          <w:highlight w:val="yellow"/>
        </w:rPr>
        <w:t>–</w:t>
      </w:r>
      <w:r w:rsidR="00D04B12" w:rsidRPr="00EA30FE">
        <w:rPr>
          <w:highlight w:val="yellow"/>
        </w:rPr>
        <w:t xml:space="preserve">0.02 x </w:t>
      </w:r>
      <w:r w:rsidR="00D04B12" w:rsidRPr="000F5526">
        <w:rPr>
          <w:i/>
          <w:iCs/>
          <w:highlight w:val="yellow"/>
        </w:rPr>
        <w:t>g</w:t>
      </w:r>
      <w:r w:rsidR="00D04B12" w:rsidRPr="00EA30FE">
        <w:rPr>
          <w:highlight w:val="yellow"/>
        </w:rPr>
        <w:t>)</w:t>
      </w:r>
      <w:r w:rsidRPr="00EA30FE">
        <w:rPr>
          <w:highlight w:val="yellow"/>
        </w:rPr>
        <w:t xml:space="preserve"> and p</w:t>
      </w:r>
      <w:r w:rsidR="000B1943" w:rsidRPr="00EA30FE">
        <w:rPr>
          <w:highlight w:val="yellow"/>
        </w:rPr>
        <w:t xml:space="preserve">lace </w:t>
      </w:r>
      <w:r w:rsidR="00BE52E9">
        <w:rPr>
          <w:highlight w:val="yellow"/>
        </w:rPr>
        <w:t xml:space="preserve">the </w:t>
      </w:r>
      <w:r w:rsidR="000B1943" w:rsidRPr="00EA30FE">
        <w:rPr>
          <w:highlight w:val="yellow"/>
        </w:rPr>
        <w:t>collected sample into</w:t>
      </w:r>
      <w:r w:rsidR="00820DB6" w:rsidRPr="00EA30FE">
        <w:rPr>
          <w:highlight w:val="yellow"/>
        </w:rPr>
        <w:t xml:space="preserve"> </w:t>
      </w:r>
      <w:r w:rsidR="00BE52E9">
        <w:rPr>
          <w:highlight w:val="yellow"/>
        </w:rPr>
        <w:t xml:space="preserve">a </w:t>
      </w:r>
      <w:r w:rsidRPr="00EA30FE">
        <w:rPr>
          <w:highlight w:val="yellow"/>
        </w:rPr>
        <w:t>-80</w:t>
      </w:r>
      <w:r w:rsidR="00BB5D76">
        <w:rPr>
          <w:highlight w:val="yellow"/>
        </w:rPr>
        <w:t xml:space="preserve"> °C</w:t>
      </w:r>
      <w:r w:rsidRPr="00EA30FE">
        <w:rPr>
          <w:highlight w:val="yellow"/>
        </w:rPr>
        <w:t xml:space="preserve"> freezer.</w:t>
      </w:r>
    </w:p>
    <w:p w14:paraId="318E088D" w14:textId="77777777" w:rsidR="00A90B38" w:rsidRDefault="00A90B38" w:rsidP="00EA30FE"/>
    <w:p w14:paraId="30EAE65C" w14:textId="0746DE19" w:rsidR="00D62864" w:rsidRPr="00EA30FE" w:rsidRDefault="00EE3286" w:rsidP="00EA30FE">
      <w:pPr>
        <w:pStyle w:val="a3"/>
        <w:numPr>
          <w:ilvl w:val="0"/>
          <w:numId w:val="5"/>
        </w:numPr>
        <w:rPr>
          <w:b/>
        </w:rPr>
      </w:pPr>
      <w:r w:rsidRPr="00EA30FE">
        <w:rPr>
          <w:b/>
        </w:rPr>
        <w:t xml:space="preserve">Single-cell </w:t>
      </w:r>
      <w:r w:rsidR="00BB5D76" w:rsidRPr="00EA30FE">
        <w:rPr>
          <w:b/>
        </w:rPr>
        <w:t xml:space="preserve">microfluidic </w:t>
      </w:r>
      <w:r w:rsidR="00D62864" w:rsidRPr="00EA30FE">
        <w:rPr>
          <w:b/>
        </w:rPr>
        <w:t>RT-qPCR</w:t>
      </w:r>
      <w:r w:rsidR="000B1943" w:rsidRPr="00EA30FE">
        <w:rPr>
          <w:b/>
        </w:rPr>
        <w:t xml:space="preserve"> </w:t>
      </w:r>
    </w:p>
    <w:p w14:paraId="3E9428CB" w14:textId="77777777" w:rsidR="00D62864" w:rsidRDefault="00D62864" w:rsidP="00EA30FE">
      <w:pPr>
        <w:rPr>
          <w:b/>
        </w:rPr>
      </w:pPr>
    </w:p>
    <w:p w14:paraId="54EDD7A0" w14:textId="6D0C3989" w:rsidR="001B7992" w:rsidRDefault="00A41AF4" w:rsidP="00EA30FE">
      <w:pPr>
        <w:pStyle w:val="a3"/>
        <w:numPr>
          <w:ilvl w:val="1"/>
          <w:numId w:val="5"/>
        </w:numPr>
      </w:pPr>
      <w:r>
        <w:t>P</w:t>
      </w:r>
      <w:r w:rsidR="001B7992">
        <w:t>reamplification</w:t>
      </w:r>
      <w:r>
        <w:t xml:space="preserve"> of </w:t>
      </w:r>
      <w:r w:rsidR="00BB5D76">
        <w:t>single cell</w:t>
      </w:r>
      <w:r>
        <w:t xml:space="preserve"> mRNA</w:t>
      </w:r>
      <w:r w:rsidR="001B7992">
        <w:t xml:space="preserve"> for 96.96 </w:t>
      </w:r>
      <w:r w:rsidR="00D4382C">
        <w:t>Dynamic Array</w:t>
      </w:r>
      <w:r w:rsidR="00CD56E5">
        <w:t xml:space="preserve"> Chip</w:t>
      </w:r>
    </w:p>
    <w:p w14:paraId="4375F3D6" w14:textId="77777777" w:rsidR="00A41AF4" w:rsidRDefault="00A41AF4" w:rsidP="00EA30FE"/>
    <w:p w14:paraId="09B15EFC" w14:textId="5A91FD4B" w:rsidR="00BF1CC4" w:rsidRDefault="00A41AF4" w:rsidP="00EA30FE">
      <w:pPr>
        <w:pStyle w:val="a3"/>
        <w:numPr>
          <w:ilvl w:val="2"/>
          <w:numId w:val="5"/>
        </w:numPr>
      </w:pPr>
      <w:r>
        <w:t xml:space="preserve">Combine </w:t>
      </w:r>
      <w:r w:rsidR="00BE52E9">
        <w:t xml:space="preserve">the </w:t>
      </w:r>
      <w:r>
        <w:t xml:space="preserve">forward and reverse mRNA qPCR gene primers for all </w:t>
      </w:r>
      <w:r w:rsidR="00BE52E9">
        <w:t xml:space="preserve">the </w:t>
      </w:r>
      <w:r>
        <w:t xml:space="preserve">genes being assayed in a primer pool for preamplification </w:t>
      </w:r>
      <w:r w:rsidR="00CD56E5">
        <w:t>(</w:t>
      </w:r>
      <w:r w:rsidRPr="00374160">
        <w:t>500 nM concentration</w:t>
      </w:r>
      <w:r w:rsidR="00CD56E5" w:rsidRPr="00CD56E5">
        <w:t xml:space="preserve"> each primer)</w:t>
      </w:r>
      <w:r w:rsidRPr="00CD56E5">
        <w:t xml:space="preserve">. For example, 1 μL of 100 μM primers </w:t>
      </w:r>
      <w:r w:rsidR="00CD56E5" w:rsidRPr="000F5526">
        <w:t xml:space="preserve">in 80 μL </w:t>
      </w:r>
      <w:r w:rsidRPr="00374160">
        <w:t>plus 120 μL of DNA Suspension Buffer</w:t>
      </w:r>
      <w:r>
        <w:t>.</w:t>
      </w:r>
    </w:p>
    <w:p w14:paraId="7449FAFC" w14:textId="77777777" w:rsidR="00BF1CC4" w:rsidRDefault="00BF1CC4" w:rsidP="00EA30FE"/>
    <w:p w14:paraId="1F182300" w14:textId="1714D65A" w:rsidR="00A41AF4" w:rsidRDefault="00BE52E9" w:rsidP="00EA30FE">
      <w:r>
        <w:t>NOTE</w:t>
      </w:r>
      <w:r w:rsidR="00BF1CC4">
        <w:t xml:space="preserve">: </w:t>
      </w:r>
      <w:r>
        <w:t xml:space="preserve">The primer sequences </w:t>
      </w:r>
      <w:r w:rsidR="00BF1CC4">
        <w:t xml:space="preserve">used for </w:t>
      </w:r>
      <w:r>
        <w:t xml:space="preserve">the </w:t>
      </w:r>
      <w:r w:rsidR="00BF1CC4">
        <w:t xml:space="preserve">representative experiment can be found in O’Sullivan </w:t>
      </w:r>
      <w:r w:rsidR="00BF1CC4" w:rsidRPr="000F5526">
        <w:rPr>
          <w:iCs/>
        </w:rPr>
        <w:t>et</w:t>
      </w:r>
      <w:r w:rsidR="00BF1CC4" w:rsidRPr="00BB5D76">
        <w:rPr>
          <w:iCs/>
        </w:rPr>
        <w:t xml:space="preserve"> </w:t>
      </w:r>
      <w:r w:rsidR="00BF1CC4">
        <w:t>al.</w:t>
      </w:r>
      <w:r w:rsidR="00BF1CC4" w:rsidRPr="00EA30FE">
        <w:rPr>
          <w:vertAlign w:val="superscript"/>
        </w:rPr>
        <w:t>4</w:t>
      </w:r>
      <w:r w:rsidR="00BF1CC4">
        <w:t>.</w:t>
      </w:r>
    </w:p>
    <w:p w14:paraId="7C036AB2" w14:textId="77777777" w:rsidR="000B1943" w:rsidRDefault="000B1943" w:rsidP="00EA30FE"/>
    <w:p w14:paraId="2A213B9B" w14:textId="156FECD3" w:rsidR="000B1943" w:rsidRDefault="000B1943" w:rsidP="00EA30FE">
      <w:pPr>
        <w:pStyle w:val="a3"/>
        <w:numPr>
          <w:ilvl w:val="2"/>
          <w:numId w:val="5"/>
        </w:numPr>
      </w:pPr>
      <w:r w:rsidRPr="00EA30FE">
        <w:rPr>
          <w:highlight w:val="yellow"/>
        </w:rPr>
        <w:t xml:space="preserve">In </w:t>
      </w:r>
      <w:r w:rsidR="00BE52E9">
        <w:rPr>
          <w:highlight w:val="yellow"/>
        </w:rPr>
        <w:t xml:space="preserve">a </w:t>
      </w:r>
      <w:r w:rsidRPr="00EA30FE">
        <w:rPr>
          <w:highlight w:val="yellow"/>
        </w:rPr>
        <w:t xml:space="preserve">new 96 </w:t>
      </w:r>
      <w:r w:rsidR="00B71F3E">
        <w:rPr>
          <w:highlight w:val="yellow"/>
        </w:rPr>
        <w:t>x</w:t>
      </w:r>
      <w:r w:rsidR="00B71F3E" w:rsidRPr="00EA30FE">
        <w:rPr>
          <w:highlight w:val="yellow"/>
        </w:rPr>
        <w:t xml:space="preserve"> </w:t>
      </w:r>
      <w:r w:rsidRPr="00EA30FE">
        <w:rPr>
          <w:highlight w:val="yellow"/>
        </w:rPr>
        <w:t>96 PCR plate, add 1 μL of 5x VILO to each well.</w:t>
      </w:r>
      <w:r>
        <w:t xml:space="preserve"> </w:t>
      </w:r>
    </w:p>
    <w:p w14:paraId="57F87669" w14:textId="77777777" w:rsidR="000B1943" w:rsidRDefault="000B1943" w:rsidP="00EA30FE"/>
    <w:p w14:paraId="71E37076" w14:textId="630D87B8" w:rsidR="000B1943" w:rsidRDefault="000B1943" w:rsidP="00EA30FE">
      <w:pPr>
        <w:pStyle w:val="a3"/>
        <w:numPr>
          <w:ilvl w:val="2"/>
          <w:numId w:val="5"/>
        </w:numPr>
      </w:pPr>
      <w:r w:rsidRPr="00EA30FE">
        <w:rPr>
          <w:highlight w:val="yellow"/>
        </w:rPr>
        <w:t xml:space="preserve">Remove LCM </w:t>
      </w:r>
      <w:r w:rsidR="00BB5D76">
        <w:rPr>
          <w:highlight w:val="yellow"/>
        </w:rPr>
        <w:t>single cell</w:t>
      </w:r>
      <w:r w:rsidRPr="00EA30FE">
        <w:rPr>
          <w:highlight w:val="yellow"/>
        </w:rPr>
        <w:t xml:space="preserve"> samples from </w:t>
      </w:r>
      <w:r w:rsidR="00BE52E9">
        <w:rPr>
          <w:highlight w:val="yellow"/>
        </w:rPr>
        <w:t xml:space="preserve">the </w:t>
      </w:r>
      <w:r w:rsidRPr="00EA30FE">
        <w:rPr>
          <w:highlight w:val="yellow"/>
        </w:rPr>
        <w:t xml:space="preserve">samples </w:t>
      </w:r>
      <w:r w:rsidR="00BE52E9">
        <w:rPr>
          <w:highlight w:val="yellow"/>
        </w:rPr>
        <w:t>stored at</w:t>
      </w:r>
      <w:r w:rsidR="00BE52E9" w:rsidRPr="00EA30FE">
        <w:rPr>
          <w:highlight w:val="yellow"/>
        </w:rPr>
        <w:t xml:space="preserve"> </w:t>
      </w:r>
      <w:r w:rsidRPr="00EA30FE">
        <w:rPr>
          <w:highlight w:val="yellow"/>
        </w:rPr>
        <w:t>-80</w:t>
      </w:r>
      <w:r w:rsidR="00BB5D76">
        <w:rPr>
          <w:highlight w:val="yellow"/>
        </w:rPr>
        <w:t xml:space="preserve"> °C</w:t>
      </w:r>
      <w:r w:rsidRPr="00EA30FE">
        <w:rPr>
          <w:highlight w:val="yellow"/>
        </w:rPr>
        <w:t>, let thaw briefly,</w:t>
      </w:r>
      <w:r w:rsidR="00CB6712" w:rsidRPr="00EA30FE">
        <w:rPr>
          <w:highlight w:val="yellow"/>
        </w:rPr>
        <w:t xml:space="preserve"> centrifuge briefly at </w:t>
      </w:r>
      <w:r w:rsidR="00BE52E9">
        <w:rPr>
          <w:highlight w:val="yellow"/>
        </w:rPr>
        <w:t xml:space="preserve">a </w:t>
      </w:r>
      <w:r w:rsidR="00CB6712" w:rsidRPr="00EA30FE">
        <w:rPr>
          <w:highlight w:val="yellow"/>
        </w:rPr>
        <w:t>low speed</w:t>
      </w:r>
      <w:r w:rsidR="00D04B12" w:rsidRPr="00EA30FE">
        <w:rPr>
          <w:highlight w:val="yellow"/>
        </w:rPr>
        <w:t xml:space="preserve"> (0.01</w:t>
      </w:r>
      <w:r w:rsidR="00BE52E9" w:rsidRPr="00BE52E9">
        <w:rPr>
          <w:highlight w:val="yellow"/>
        </w:rPr>
        <w:t>–</w:t>
      </w:r>
      <w:r w:rsidR="00D04B12" w:rsidRPr="00EA30FE">
        <w:rPr>
          <w:highlight w:val="yellow"/>
        </w:rPr>
        <w:t xml:space="preserve">0.02 x </w:t>
      </w:r>
      <w:r w:rsidR="00D04B12" w:rsidRPr="000F5526">
        <w:rPr>
          <w:i/>
          <w:iCs/>
          <w:highlight w:val="yellow"/>
        </w:rPr>
        <w:t>g</w:t>
      </w:r>
      <w:r w:rsidR="00D04B12" w:rsidRPr="00EA30FE">
        <w:rPr>
          <w:highlight w:val="yellow"/>
        </w:rPr>
        <w:t>)</w:t>
      </w:r>
      <w:r w:rsidR="00CB6712" w:rsidRPr="00EA30FE">
        <w:rPr>
          <w:highlight w:val="yellow"/>
        </w:rPr>
        <w:t>,</w:t>
      </w:r>
      <w:r w:rsidRPr="00EA30FE">
        <w:rPr>
          <w:highlight w:val="yellow"/>
        </w:rPr>
        <w:t xml:space="preserve"> and add 5.5 μL of </w:t>
      </w:r>
      <w:r w:rsidR="00BE52E9">
        <w:rPr>
          <w:highlight w:val="yellow"/>
        </w:rPr>
        <w:t xml:space="preserve">the </w:t>
      </w:r>
      <w:r w:rsidR="000C4557" w:rsidRPr="00EA30FE">
        <w:rPr>
          <w:highlight w:val="yellow"/>
        </w:rPr>
        <w:t xml:space="preserve">lysed single-cell </w:t>
      </w:r>
      <w:r w:rsidRPr="00EA30FE">
        <w:rPr>
          <w:highlight w:val="yellow"/>
        </w:rPr>
        <w:t xml:space="preserve">sample to </w:t>
      </w:r>
      <w:r w:rsidR="00BE52E9">
        <w:rPr>
          <w:highlight w:val="yellow"/>
        </w:rPr>
        <w:t xml:space="preserve">the </w:t>
      </w:r>
      <w:r w:rsidRPr="00EA30FE">
        <w:rPr>
          <w:highlight w:val="yellow"/>
        </w:rPr>
        <w:t>PCR plate. Each sample is added to its own well.</w:t>
      </w:r>
    </w:p>
    <w:p w14:paraId="3D5E424C" w14:textId="77777777" w:rsidR="000B1943" w:rsidRDefault="000B1943" w:rsidP="00EA30FE"/>
    <w:p w14:paraId="642238F2" w14:textId="11419BE2" w:rsidR="000B1943" w:rsidRDefault="00A5307E" w:rsidP="00EA30FE">
      <w:pPr>
        <w:pStyle w:val="a3"/>
        <w:numPr>
          <w:ilvl w:val="2"/>
          <w:numId w:val="5"/>
        </w:numPr>
      </w:pPr>
      <w:r w:rsidRPr="00EA30FE">
        <w:rPr>
          <w:highlight w:val="yellow"/>
        </w:rPr>
        <w:t xml:space="preserve">Place </w:t>
      </w:r>
      <w:r w:rsidR="00BE52E9">
        <w:rPr>
          <w:highlight w:val="yellow"/>
        </w:rPr>
        <w:t xml:space="preserve">the </w:t>
      </w:r>
      <w:r w:rsidR="000B1943" w:rsidRPr="00EA30FE">
        <w:rPr>
          <w:highlight w:val="yellow"/>
        </w:rPr>
        <w:t>PCR plate</w:t>
      </w:r>
      <w:r w:rsidRPr="00EA30FE">
        <w:rPr>
          <w:highlight w:val="yellow"/>
        </w:rPr>
        <w:t xml:space="preserve"> with </w:t>
      </w:r>
      <w:r w:rsidR="00BE52E9">
        <w:rPr>
          <w:highlight w:val="yellow"/>
        </w:rPr>
        <w:t xml:space="preserve">the </w:t>
      </w:r>
      <w:r w:rsidRPr="00EA30FE">
        <w:rPr>
          <w:highlight w:val="yellow"/>
        </w:rPr>
        <w:t>samples and VILO</w:t>
      </w:r>
      <w:r w:rsidR="000B1943" w:rsidRPr="00EA30FE">
        <w:rPr>
          <w:highlight w:val="yellow"/>
        </w:rPr>
        <w:t xml:space="preserve"> in</w:t>
      </w:r>
      <w:r w:rsidRPr="00EA30FE">
        <w:rPr>
          <w:highlight w:val="yellow"/>
        </w:rPr>
        <w:t>to</w:t>
      </w:r>
      <w:r w:rsidR="000B1943" w:rsidRPr="00EA30FE">
        <w:rPr>
          <w:highlight w:val="yellow"/>
        </w:rPr>
        <w:t xml:space="preserve"> </w:t>
      </w:r>
      <w:r w:rsidR="003F1B72">
        <w:rPr>
          <w:highlight w:val="yellow"/>
        </w:rPr>
        <w:t xml:space="preserve">the </w:t>
      </w:r>
      <w:r w:rsidR="000B1943" w:rsidRPr="00EA30FE">
        <w:rPr>
          <w:highlight w:val="yellow"/>
        </w:rPr>
        <w:t>thermocycler</w:t>
      </w:r>
      <w:r w:rsidRPr="00EA30FE">
        <w:rPr>
          <w:highlight w:val="yellow"/>
        </w:rPr>
        <w:t xml:space="preserve"> and heat at 65</w:t>
      </w:r>
      <w:r w:rsidR="00BB5D76">
        <w:rPr>
          <w:highlight w:val="yellow"/>
        </w:rPr>
        <w:t xml:space="preserve"> °C</w:t>
      </w:r>
      <w:r w:rsidRPr="00EA30FE">
        <w:rPr>
          <w:highlight w:val="yellow"/>
        </w:rPr>
        <w:t xml:space="preserve"> for 1.5 min. Spin </w:t>
      </w:r>
      <w:r w:rsidR="003F1B72">
        <w:rPr>
          <w:highlight w:val="yellow"/>
        </w:rPr>
        <w:t xml:space="preserve">the </w:t>
      </w:r>
      <w:r w:rsidRPr="00EA30FE">
        <w:rPr>
          <w:highlight w:val="yellow"/>
        </w:rPr>
        <w:t>plate for 1 min at 1</w:t>
      </w:r>
      <w:r w:rsidR="00BB5D76">
        <w:rPr>
          <w:highlight w:val="yellow"/>
        </w:rPr>
        <w:t>,</w:t>
      </w:r>
      <w:r w:rsidR="00AF7B49" w:rsidRPr="00EA30FE">
        <w:rPr>
          <w:highlight w:val="yellow"/>
        </w:rPr>
        <w:t>3</w:t>
      </w:r>
      <w:r w:rsidRPr="00EA30FE">
        <w:rPr>
          <w:highlight w:val="yellow"/>
        </w:rPr>
        <w:t>00</w:t>
      </w:r>
      <w:r w:rsidR="00AF7B49" w:rsidRPr="00EA30FE">
        <w:rPr>
          <w:highlight w:val="yellow"/>
        </w:rPr>
        <w:t xml:space="preserve"> x </w:t>
      </w:r>
      <w:r w:rsidR="00AF7B49" w:rsidRPr="000F5526">
        <w:rPr>
          <w:i/>
          <w:iCs/>
          <w:highlight w:val="yellow"/>
        </w:rPr>
        <w:t>g</w:t>
      </w:r>
      <w:r w:rsidR="00AF7B49" w:rsidRPr="00EA30FE">
        <w:rPr>
          <w:highlight w:val="yellow"/>
        </w:rPr>
        <w:t xml:space="preserve"> </w:t>
      </w:r>
      <w:r w:rsidR="001B7992" w:rsidRPr="00EA30FE">
        <w:rPr>
          <w:highlight w:val="yellow"/>
        </w:rPr>
        <w:t xml:space="preserve">at </w:t>
      </w:r>
      <w:r w:rsidRPr="00EA30FE">
        <w:rPr>
          <w:highlight w:val="yellow"/>
        </w:rPr>
        <w:t>4</w:t>
      </w:r>
      <w:r w:rsidR="00BB5D76">
        <w:rPr>
          <w:highlight w:val="yellow"/>
        </w:rPr>
        <w:t xml:space="preserve"> °C</w:t>
      </w:r>
      <w:r w:rsidRPr="00EA30FE">
        <w:rPr>
          <w:highlight w:val="yellow"/>
        </w:rPr>
        <w:t xml:space="preserve"> and place </w:t>
      </w:r>
      <w:r w:rsidR="003F1B72">
        <w:rPr>
          <w:highlight w:val="yellow"/>
        </w:rPr>
        <w:t xml:space="preserve">the </w:t>
      </w:r>
      <w:r w:rsidRPr="00EA30FE">
        <w:rPr>
          <w:highlight w:val="yellow"/>
        </w:rPr>
        <w:t>plate on ice.</w:t>
      </w:r>
    </w:p>
    <w:p w14:paraId="0FEF85DE" w14:textId="77777777" w:rsidR="00A5307E" w:rsidRDefault="00A5307E" w:rsidP="00EA30FE"/>
    <w:p w14:paraId="72EF42FA" w14:textId="2D4D4222" w:rsidR="001B7992" w:rsidRPr="00EA30FE" w:rsidRDefault="00A5307E" w:rsidP="00EA30FE">
      <w:pPr>
        <w:pStyle w:val="a3"/>
        <w:numPr>
          <w:ilvl w:val="2"/>
          <w:numId w:val="5"/>
        </w:numPr>
        <w:rPr>
          <w:highlight w:val="yellow"/>
        </w:rPr>
      </w:pPr>
      <w:r w:rsidRPr="00EA30FE">
        <w:rPr>
          <w:highlight w:val="yellow"/>
        </w:rPr>
        <w:t xml:space="preserve">Add 0.15 </w:t>
      </w:r>
      <w:r w:rsidR="00BB5D76">
        <w:rPr>
          <w:highlight w:val="yellow"/>
        </w:rPr>
        <w:t>μL of</w:t>
      </w:r>
      <w:r w:rsidRPr="00EA30FE">
        <w:rPr>
          <w:highlight w:val="yellow"/>
        </w:rPr>
        <w:t xml:space="preserve"> 10</w:t>
      </w:r>
      <w:r w:rsidR="00B71F3E" w:rsidRPr="00EA30FE">
        <w:rPr>
          <w:highlight w:val="yellow"/>
        </w:rPr>
        <w:t>x</w:t>
      </w:r>
      <w:r w:rsidRPr="00EA30FE">
        <w:rPr>
          <w:highlight w:val="yellow"/>
        </w:rPr>
        <w:t xml:space="preserve"> </w:t>
      </w:r>
      <w:r w:rsidR="00724CAD" w:rsidRPr="00EA30FE">
        <w:rPr>
          <w:highlight w:val="yellow"/>
        </w:rPr>
        <w:t>cDNA synthesis master mix</w:t>
      </w:r>
      <w:r w:rsidRPr="00EA30FE">
        <w:rPr>
          <w:highlight w:val="yellow"/>
        </w:rPr>
        <w:t xml:space="preserve">, </w:t>
      </w:r>
      <w:r w:rsidR="001B7992" w:rsidRPr="00EA30FE">
        <w:rPr>
          <w:highlight w:val="yellow"/>
        </w:rPr>
        <w:t xml:space="preserve">0.12 </w:t>
      </w:r>
      <w:r w:rsidR="00BB5D76">
        <w:rPr>
          <w:highlight w:val="yellow"/>
        </w:rPr>
        <w:t>μL</w:t>
      </w:r>
      <w:r w:rsidR="001B7992" w:rsidRPr="00EA30FE">
        <w:rPr>
          <w:highlight w:val="yellow"/>
        </w:rPr>
        <w:t xml:space="preserve"> </w:t>
      </w:r>
      <w:r w:rsidRPr="00EA30FE">
        <w:rPr>
          <w:highlight w:val="yellow"/>
        </w:rPr>
        <w:t xml:space="preserve">T4 Gene 32 </w:t>
      </w:r>
      <w:r w:rsidR="003F1B72" w:rsidRPr="00EA30FE">
        <w:rPr>
          <w:highlight w:val="yellow"/>
        </w:rPr>
        <w:t>protein</w:t>
      </w:r>
      <w:r w:rsidR="00CD56E5">
        <w:rPr>
          <w:highlight w:val="yellow"/>
        </w:rPr>
        <w:t>,</w:t>
      </w:r>
      <w:r w:rsidR="003F1B72" w:rsidRPr="00EA30FE">
        <w:rPr>
          <w:highlight w:val="yellow"/>
        </w:rPr>
        <w:t xml:space="preserve"> </w:t>
      </w:r>
      <w:r w:rsidRPr="00EA30FE">
        <w:rPr>
          <w:highlight w:val="yellow"/>
        </w:rPr>
        <w:t xml:space="preserve">and </w:t>
      </w:r>
      <w:r w:rsidR="001B7992" w:rsidRPr="00EA30FE">
        <w:rPr>
          <w:highlight w:val="yellow"/>
        </w:rPr>
        <w:t xml:space="preserve">0.73 </w:t>
      </w:r>
      <w:r w:rsidR="00BB5D76">
        <w:rPr>
          <w:highlight w:val="yellow"/>
        </w:rPr>
        <w:t>μL</w:t>
      </w:r>
      <w:r w:rsidR="001B7992" w:rsidRPr="00EA30FE">
        <w:rPr>
          <w:highlight w:val="yellow"/>
        </w:rPr>
        <w:t xml:space="preserve"> of </w:t>
      </w:r>
      <w:r w:rsidRPr="00EA30FE">
        <w:rPr>
          <w:highlight w:val="yellow"/>
        </w:rPr>
        <w:t xml:space="preserve">DNA </w:t>
      </w:r>
      <w:r w:rsidR="003F1B72" w:rsidRPr="00EA30FE">
        <w:rPr>
          <w:highlight w:val="yellow"/>
        </w:rPr>
        <w:t xml:space="preserve">suspension buffer </w:t>
      </w:r>
      <w:r w:rsidR="001B7992" w:rsidRPr="00EA30FE">
        <w:rPr>
          <w:highlight w:val="yellow"/>
        </w:rPr>
        <w:t>to each well.</w:t>
      </w:r>
    </w:p>
    <w:p w14:paraId="5FE96CE6" w14:textId="77777777" w:rsidR="001B7992" w:rsidRPr="00733A11" w:rsidRDefault="001B7992" w:rsidP="00EA30FE">
      <w:pPr>
        <w:rPr>
          <w:highlight w:val="yellow"/>
        </w:rPr>
      </w:pPr>
    </w:p>
    <w:p w14:paraId="1903ABF8" w14:textId="6F5E99B8" w:rsidR="001B7992" w:rsidRPr="00EA30FE" w:rsidRDefault="001B7992" w:rsidP="00EA30FE">
      <w:pPr>
        <w:pStyle w:val="a3"/>
        <w:numPr>
          <w:ilvl w:val="2"/>
          <w:numId w:val="5"/>
        </w:numPr>
        <w:rPr>
          <w:highlight w:val="yellow"/>
        </w:rPr>
      </w:pPr>
      <w:r w:rsidRPr="00EA30FE">
        <w:rPr>
          <w:highlight w:val="yellow"/>
        </w:rPr>
        <w:t xml:space="preserve">Place </w:t>
      </w:r>
      <w:r w:rsidR="003F1B72">
        <w:rPr>
          <w:highlight w:val="yellow"/>
        </w:rPr>
        <w:t xml:space="preserve">the </w:t>
      </w:r>
      <w:r w:rsidRPr="00EA30FE">
        <w:rPr>
          <w:highlight w:val="yellow"/>
        </w:rPr>
        <w:t xml:space="preserve">PCR plate into </w:t>
      </w:r>
      <w:r w:rsidR="003F1B72">
        <w:rPr>
          <w:highlight w:val="yellow"/>
        </w:rPr>
        <w:t xml:space="preserve">the </w:t>
      </w:r>
      <w:r w:rsidRPr="00EA30FE">
        <w:rPr>
          <w:highlight w:val="yellow"/>
        </w:rPr>
        <w:t>the</w:t>
      </w:r>
      <w:r w:rsidR="004B2269" w:rsidRPr="00EA30FE">
        <w:rPr>
          <w:highlight w:val="yellow"/>
        </w:rPr>
        <w:t>r</w:t>
      </w:r>
      <w:r w:rsidRPr="00EA30FE">
        <w:rPr>
          <w:highlight w:val="yellow"/>
        </w:rPr>
        <w:t>mocycl</w:t>
      </w:r>
      <w:r w:rsidR="00C954CB" w:rsidRPr="00EA30FE">
        <w:rPr>
          <w:highlight w:val="yellow"/>
        </w:rPr>
        <w:t>er and run the following protocol</w:t>
      </w:r>
      <w:r w:rsidRPr="00EA30FE">
        <w:rPr>
          <w:highlight w:val="yellow"/>
        </w:rPr>
        <w:t xml:space="preserve">: 25 </w:t>
      </w:r>
      <w:r w:rsidR="003F1B72" w:rsidRPr="000F5526">
        <w:rPr>
          <w:highlight w:val="yellow"/>
        </w:rPr>
        <w:t>°</w:t>
      </w:r>
      <w:r w:rsidRPr="00EA30FE">
        <w:rPr>
          <w:highlight w:val="yellow"/>
        </w:rPr>
        <w:t xml:space="preserve">C </w:t>
      </w:r>
      <w:r w:rsidR="003F1B72">
        <w:rPr>
          <w:highlight w:val="yellow"/>
        </w:rPr>
        <w:t>for</w:t>
      </w:r>
      <w:r w:rsidRPr="00EA30FE">
        <w:rPr>
          <w:highlight w:val="yellow"/>
        </w:rPr>
        <w:t xml:space="preserve"> 5 min,</w:t>
      </w:r>
    </w:p>
    <w:p w14:paraId="3CE8F899" w14:textId="04F35DF7" w:rsidR="001B7992" w:rsidRPr="00733A11" w:rsidRDefault="001B7992" w:rsidP="00EA30FE">
      <w:pPr>
        <w:rPr>
          <w:highlight w:val="yellow"/>
        </w:rPr>
      </w:pPr>
      <w:r w:rsidRPr="00733A11">
        <w:rPr>
          <w:highlight w:val="yellow"/>
        </w:rPr>
        <w:t xml:space="preserve">50 </w:t>
      </w:r>
      <w:r w:rsidR="003F1B72" w:rsidRPr="005A07B1">
        <w:rPr>
          <w:highlight w:val="yellow"/>
        </w:rPr>
        <w:t>°</w:t>
      </w:r>
      <w:r w:rsidRPr="00733A11">
        <w:rPr>
          <w:highlight w:val="yellow"/>
        </w:rPr>
        <w:t xml:space="preserve">C </w:t>
      </w:r>
      <w:r w:rsidR="003F1B72">
        <w:rPr>
          <w:highlight w:val="yellow"/>
        </w:rPr>
        <w:t>for</w:t>
      </w:r>
      <w:r w:rsidRPr="00733A11">
        <w:rPr>
          <w:highlight w:val="yellow"/>
        </w:rPr>
        <w:t xml:space="preserve"> 30 min, 55 </w:t>
      </w:r>
      <w:r w:rsidR="003F1B72" w:rsidRPr="005A07B1">
        <w:rPr>
          <w:highlight w:val="yellow"/>
        </w:rPr>
        <w:t>°</w:t>
      </w:r>
      <w:r w:rsidRPr="00733A11">
        <w:rPr>
          <w:highlight w:val="yellow"/>
        </w:rPr>
        <w:t xml:space="preserve">C </w:t>
      </w:r>
      <w:r w:rsidR="003F1B72">
        <w:rPr>
          <w:highlight w:val="yellow"/>
        </w:rPr>
        <w:t>for</w:t>
      </w:r>
      <w:r w:rsidRPr="00733A11">
        <w:rPr>
          <w:highlight w:val="yellow"/>
        </w:rPr>
        <w:t xml:space="preserve"> 25 min, 60 </w:t>
      </w:r>
      <w:r w:rsidR="003F1B72" w:rsidRPr="005A07B1">
        <w:rPr>
          <w:highlight w:val="yellow"/>
        </w:rPr>
        <w:t>°</w:t>
      </w:r>
      <w:r w:rsidRPr="00733A11">
        <w:rPr>
          <w:highlight w:val="yellow"/>
        </w:rPr>
        <w:t xml:space="preserve">C </w:t>
      </w:r>
      <w:r w:rsidR="003F1B72">
        <w:rPr>
          <w:highlight w:val="yellow"/>
        </w:rPr>
        <w:t>for</w:t>
      </w:r>
      <w:r w:rsidRPr="00733A11">
        <w:rPr>
          <w:highlight w:val="yellow"/>
        </w:rPr>
        <w:t xml:space="preserve"> 5 min, 70 </w:t>
      </w:r>
      <w:r w:rsidR="003F1B72" w:rsidRPr="005A07B1">
        <w:rPr>
          <w:highlight w:val="yellow"/>
        </w:rPr>
        <w:t>°</w:t>
      </w:r>
      <w:r w:rsidRPr="00733A11">
        <w:rPr>
          <w:highlight w:val="yellow"/>
        </w:rPr>
        <w:t xml:space="preserve">C </w:t>
      </w:r>
      <w:r w:rsidR="003F1B72">
        <w:rPr>
          <w:highlight w:val="yellow"/>
        </w:rPr>
        <w:t>for</w:t>
      </w:r>
      <w:r w:rsidRPr="00733A11">
        <w:rPr>
          <w:highlight w:val="yellow"/>
        </w:rPr>
        <w:t xml:space="preserve"> 10 min, 4 </w:t>
      </w:r>
      <w:r w:rsidR="003F1B72" w:rsidRPr="005A07B1">
        <w:rPr>
          <w:highlight w:val="yellow"/>
        </w:rPr>
        <w:t>°</w:t>
      </w:r>
      <w:r w:rsidRPr="00733A11">
        <w:rPr>
          <w:highlight w:val="yellow"/>
        </w:rPr>
        <w:t xml:space="preserve">C </w:t>
      </w:r>
      <w:r w:rsidR="003F1B72">
        <w:rPr>
          <w:highlight w:val="yellow"/>
        </w:rPr>
        <w:t>to</w:t>
      </w:r>
      <w:r w:rsidRPr="00733A11">
        <w:rPr>
          <w:highlight w:val="yellow"/>
        </w:rPr>
        <w:t xml:space="preserve"> end.</w:t>
      </w:r>
    </w:p>
    <w:p w14:paraId="5095E591" w14:textId="77777777" w:rsidR="001B7992" w:rsidRPr="00733A11" w:rsidRDefault="001B7992" w:rsidP="00EA30FE">
      <w:pPr>
        <w:rPr>
          <w:highlight w:val="yellow"/>
        </w:rPr>
      </w:pPr>
    </w:p>
    <w:p w14:paraId="2194B94E" w14:textId="17C1C52E" w:rsidR="001B7992" w:rsidRPr="00EA30FE" w:rsidRDefault="00E728D3" w:rsidP="00EA30FE">
      <w:pPr>
        <w:pStyle w:val="a3"/>
        <w:numPr>
          <w:ilvl w:val="2"/>
          <w:numId w:val="5"/>
        </w:numPr>
        <w:rPr>
          <w:highlight w:val="yellow"/>
        </w:rPr>
      </w:pPr>
      <w:r w:rsidRPr="00EA30FE">
        <w:rPr>
          <w:highlight w:val="yellow"/>
        </w:rPr>
        <w:t xml:space="preserve">Add 7.5 μL of </w:t>
      </w:r>
      <w:r w:rsidR="00BB5D76" w:rsidRPr="00EA30FE">
        <w:rPr>
          <w:highlight w:val="yellow"/>
        </w:rPr>
        <w:t xml:space="preserve">Taq </w:t>
      </w:r>
      <w:r w:rsidR="00724CAD" w:rsidRPr="00EA30FE">
        <w:rPr>
          <w:highlight w:val="yellow"/>
        </w:rPr>
        <w:t>polymerase master mix</w:t>
      </w:r>
      <w:r w:rsidR="00E06CDF" w:rsidRPr="00EA30FE">
        <w:rPr>
          <w:highlight w:val="yellow"/>
        </w:rPr>
        <w:t xml:space="preserve"> to each well. </w:t>
      </w:r>
    </w:p>
    <w:p w14:paraId="61959FB4" w14:textId="77777777" w:rsidR="00E06CDF" w:rsidRPr="00733A11" w:rsidRDefault="00E06CDF" w:rsidP="00EA30FE">
      <w:pPr>
        <w:rPr>
          <w:highlight w:val="yellow"/>
        </w:rPr>
      </w:pPr>
    </w:p>
    <w:p w14:paraId="441CA956" w14:textId="61363B24" w:rsidR="00E06CDF" w:rsidRPr="00EA30FE" w:rsidRDefault="004B2269" w:rsidP="00EA30FE">
      <w:pPr>
        <w:pStyle w:val="a3"/>
        <w:numPr>
          <w:ilvl w:val="2"/>
          <w:numId w:val="5"/>
        </w:numPr>
        <w:rPr>
          <w:highlight w:val="yellow"/>
        </w:rPr>
      </w:pPr>
      <w:r w:rsidRPr="00EA30FE">
        <w:rPr>
          <w:highlight w:val="yellow"/>
        </w:rPr>
        <w:t>Add 1.5 μL of</w:t>
      </w:r>
      <w:r w:rsidR="00E06CDF" w:rsidRPr="00EA30FE">
        <w:rPr>
          <w:highlight w:val="yellow"/>
        </w:rPr>
        <w:t xml:space="preserve"> </w:t>
      </w:r>
      <w:r w:rsidR="003F1B72">
        <w:rPr>
          <w:highlight w:val="yellow"/>
        </w:rPr>
        <w:t xml:space="preserve">the </w:t>
      </w:r>
      <w:r w:rsidR="00E06CDF" w:rsidRPr="00EA30FE">
        <w:rPr>
          <w:highlight w:val="yellow"/>
        </w:rPr>
        <w:t>primer pool</w:t>
      </w:r>
      <w:r w:rsidRPr="00EA30FE">
        <w:rPr>
          <w:highlight w:val="yellow"/>
        </w:rPr>
        <w:t xml:space="preserve"> (see above)</w:t>
      </w:r>
      <w:r w:rsidR="00E06CDF" w:rsidRPr="00EA30FE">
        <w:rPr>
          <w:highlight w:val="yellow"/>
        </w:rPr>
        <w:t xml:space="preserve"> to each well</w:t>
      </w:r>
      <w:r w:rsidRPr="00EA30FE">
        <w:rPr>
          <w:highlight w:val="yellow"/>
        </w:rPr>
        <w:t>.</w:t>
      </w:r>
    </w:p>
    <w:p w14:paraId="1A992621" w14:textId="77777777" w:rsidR="00E06CDF" w:rsidRPr="00733A11" w:rsidRDefault="00E06CDF" w:rsidP="00EA30FE">
      <w:pPr>
        <w:rPr>
          <w:highlight w:val="yellow"/>
        </w:rPr>
      </w:pPr>
    </w:p>
    <w:p w14:paraId="00588A52" w14:textId="5A5F07AB" w:rsidR="00E06CDF" w:rsidRPr="00EA30FE" w:rsidRDefault="00E06CDF" w:rsidP="00EA30FE">
      <w:pPr>
        <w:pStyle w:val="a3"/>
        <w:numPr>
          <w:ilvl w:val="2"/>
          <w:numId w:val="5"/>
        </w:numPr>
        <w:rPr>
          <w:highlight w:val="yellow"/>
        </w:rPr>
      </w:pPr>
      <w:r w:rsidRPr="00EA30FE">
        <w:rPr>
          <w:highlight w:val="yellow"/>
        </w:rPr>
        <w:t xml:space="preserve">Place </w:t>
      </w:r>
      <w:r w:rsidR="003F1B72">
        <w:rPr>
          <w:highlight w:val="yellow"/>
        </w:rPr>
        <w:t xml:space="preserve">the </w:t>
      </w:r>
      <w:r w:rsidRPr="00EA30FE">
        <w:rPr>
          <w:highlight w:val="yellow"/>
        </w:rPr>
        <w:t xml:space="preserve">PCR plate in </w:t>
      </w:r>
      <w:r w:rsidR="003F1B72">
        <w:rPr>
          <w:highlight w:val="yellow"/>
        </w:rPr>
        <w:t xml:space="preserve">the </w:t>
      </w:r>
      <w:r w:rsidRPr="00EA30FE">
        <w:rPr>
          <w:highlight w:val="yellow"/>
        </w:rPr>
        <w:t xml:space="preserve">thermocycler and run the following preamplification protocol: 95 </w:t>
      </w:r>
      <w:r w:rsidR="003F1B72" w:rsidRPr="005A07B1">
        <w:rPr>
          <w:highlight w:val="yellow"/>
        </w:rPr>
        <w:t>°</w:t>
      </w:r>
      <w:r w:rsidRPr="00EA30FE">
        <w:rPr>
          <w:highlight w:val="yellow"/>
        </w:rPr>
        <w:t xml:space="preserve">C </w:t>
      </w:r>
      <w:r w:rsidR="003F1B72">
        <w:rPr>
          <w:highlight w:val="yellow"/>
        </w:rPr>
        <w:t xml:space="preserve">for </w:t>
      </w:r>
      <w:r w:rsidRPr="00EA30FE">
        <w:rPr>
          <w:highlight w:val="yellow"/>
        </w:rPr>
        <w:t>10 min</w:t>
      </w:r>
      <w:r w:rsidR="003F1B72">
        <w:rPr>
          <w:highlight w:val="yellow"/>
        </w:rPr>
        <w:t>, followed by</w:t>
      </w:r>
      <w:r w:rsidRPr="00EA30FE">
        <w:rPr>
          <w:highlight w:val="yellow"/>
        </w:rPr>
        <w:t xml:space="preserve"> 22 cycles of 96 </w:t>
      </w:r>
      <w:r w:rsidR="003F1B72" w:rsidRPr="005A07B1">
        <w:rPr>
          <w:highlight w:val="yellow"/>
        </w:rPr>
        <w:t>°</w:t>
      </w:r>
      <w:r w:rsidRPr="00EA30FE">
        <w:rPr>
          <w:highlight w:val="yellow"/>
        </w:rPr>
        <w:t xml:space="preserve">C </w:t>
      </w:r>
      <w:r w:rsidR="003F1B72">
        <w:rPr>
          <w:highlight w:val="yellow"/>
        </w:rPr>
        <w:t>for</w:t>
      </w:r>
      <w:r w:rsidRPr="00EA30FE">
        <w:rPr>
          <w:highlight w:val="yellow"/>
        </w:rPr>
        <w:t xml:space="preserve"> 5 sec, 60</w:t>
      </w:r>
      <w:r w:rsidR="003F1B72">
        <w:rPr>
          <w:highlight w:val="yellow"/>
        </w:rPr>
        <w:t xml:space="preserve"> </w:t>
      </w:r>
      <w:r w:rsidR="003F1B72" w:rsidRPr="005A07B1">
        <w:rPr>
          <w:highlight w:val="yellow"/>
        </w:rPr>
        <w:t>°</w:t>
      </w:r>
      <w:r w:rsidRPr="00EA30FE">
        <w:rPr>
          <w:highlight w:val="yellow"/>
        </w:rPr>
        <w:t xml:space="preserve">C </w:t>
      </w:r>
      <w:r w:rsidR="003F1B72">
        <w:rPr>
          <w:highlight w:val="yellow"/>
        </w:rPr>
        <w:t>for</w:t>
      </w:r>
      <w:r w:rsidRPr="00EA30FE">
        <w:rPr>
          <w:highlight w:val="yellow"/>
        </w:rPr>
        <w:t xml:space="preserve"> 4 min.</w:t>
      </w:r>
    </w:p>
    <w:p w14:paraId="5FBF2675" w14:textId="77777777" w:rsidR="00E06CDF" w:rsidRPr="00733A11" w:rsidRDefault="00E06CDF" w:rsidP="00EA30FE">
      <w:pPr>
        <w:rPr>
          <w:highlight w:val="yellow"/>
        </w:rPr>
      </w:pPr>
    </w:p>
    <w:p w14:paraId="433338F6" w14:textId="1795CFF5" w:rsidR="00A5307E" w:rsidRPr="00EA30FE" w:rsidRDefault="00C840E7" w:rsidP="00EA30FE">
      <w:pPr>
        <w:pStyle w:val="a3"/>
        <w:numPr>
          <w:ilvl w:val="2"/>
          <w:numId w:val="5"/>
        </w:numPr>
        <w:rPr>
          <w:b/>
          <w:highlight w:val="yellow"/>
        </w:rPr>
      </w:pPr>
      <w:r w:rsidRPr="00EA30FE">
        <w:rPr>
          <w:highlight w:val="yellow"/>
        </w:rPr>
        <w:t xml:space="preserve">Add 0.6 </w:t>
      </w:r>
      <w:r w:rsidR="00BB5D76">
        <w:rPr>
          <w:highlight w:val="yellow"/>
        </w:rPr>
        <w:t>μL</w:t>
      </w:r>
      <w:r w:rsidRPr="00EA30FE">
        <w:rPr>
          <w:highlight w:val="yellow"/>
        </w:rPr>
        <w:t xml:space="preserve"> of </w:t>
      </w:r>
      <w:r w:rsidR="003F1B72" w:rsidRPr="00EA30FE">
        <w:rPr>
          <w:highlight w:val="yellow"/>
        </w:rPr>
        <w:t xml:space="preserve">exonuclease </w:t>
      </w:r>
      <w:r w:rsidRPr="00EA30FE">
        <w:rPr>
          <w:highlight w:val="yellow"/>
        </w:rPr>
        <w:t>I reaction buffer 10</w:t>
      </w:r>
      <w:r w:rsidR="003F1B72" w:rsidRPr="00EA30FE">
        <w:rPr>
          <w:highlight w:val="yellow"/>
        </w:rPr>
        <w:t>x</w:t>
      </w:r>
      <w:r w:rsidRPr="00EA30FE">
        <w:rPr>
          <w:highlight w:val="yellow"/>
        </w:rPr>
        <w:t xml:space="preserve">, 1.2 </w:t>
      </w:r>
      <w:r w:rsidR="00BB5D76">
        <w:rPr>
          <w:highlight w:val="yellow"/>
        </w:rPr>
        <w:t>μL</w:t>
      </w:r>
      <w:r w:rsidRPr="00EA30FE">
        <w:rPr>
          <w:highlight w:val="yellow"/>
        </w:rPr>
        <w:t xml:space="preserve"> </w:t>
      </w:r>
      <w:r w:rsidR="00B71F3E" w:rsidRPr="00EA30FE">
        <w:rPr>
          <w:highlight w:val="yellow"/>
        </w:rPr>
        <w:t xml:space="preserve">exonuclease </w:t>
      </w:r>
      <w:r w:rsidRPr="00EA30FE">
        <w:rPr>
          <w:highlight w:val="yellow"/>
        </w:rPr>
        <w:t xml:space="preserve">I, and 4.2 </w:t>
      </w:r>
      <w:r w:rsidR="00BB5D76">
        <w:rPr>
          <w:highlight w:val="yellow"/>
        </w:rPr>
        <w:t>μL</w:t>
      </w:r>
      <w:r w:rsidRPr="00EA30FE">
        <w:rPr>
          <w:highlight w:val="yellow"/>
        </w:rPr>
        <w:t xml:space="preserve"> of DNA </w:t>
      </w:r>
      <w:r w:rsidR="003F1B72" w:rsidRPr="00EA30FE">
        <w:rPr>
          <w:highlight w:val="yellow"/>
        </w:rPr>
        <w:t xml:space="preserve">suspension buffer </w:t>
      </w:r>
      <w:r w:rsidRPr="00EA30FE">
        <w:rPr>
          <w:highlight w:val="yellow"/>
        </w:rPr>
        <w:t xml:space="preserve">to each well. </w:t>
      </w:r>
    </w:p>
    <w:p w14:paraId="1F1D1128" w14:textId="77777777" w:rsidR="00D62864" w:rsidRPr="00733A11" w:rsidRDefault="00D62864" w:rsidP="00EA30FE">
      <w:pPr>
        <w:rPr>
          <w:highlight w:val="yellow"/>
        </w:rPr>
      </w:pPr>
    </w:p>
    <w:p w14:paraId="3927F290" w14:textId="6374B001" w:rsidR="00C954CB" w:rsidRPr="00EA30FE" w:rsidRDefault="00C954CB" w:rsidP="00EA30FE">
      <w:pPr>
        <w:pStyle w:val="a3"/>
        <w:numPr>
          <w:ilvl w:val="2"/>
          <w:numId w:val="5"/>
        </w:numPr>
        <w:rPr>
          <w:highlight w:val="yellow"/>
        </w:rPr>
      </w:pPr>
      <w:r w:rsidRPr="00EA30FE">
        <w:rPr>
          <w:highlight w:val="yellow"/>
        </w:rPr>
        <w:t xml:space="preserve">Place </w:t>
      </w:r>
      <w:r w:rsidR="003F1B72">
        <w:rPr>
          <w:highlight w:val="yellow"/>
        </w:rPr>
        <w:t xml:space="preserve">the </w:t>
      </w:r>
      <w:r w:rsidRPr="00EA30FE">
        <w:rPr>
          <w:highlight w:val="yellow"/>
        </w:rPr>
        <w:t xml:space="preserve">PCR plate in </w:t>
      </w:r>
      <w:r w:rsidR="003F1B72">
        <w:rPr>
          <w:highlight w:val="yellow"/>
        </w:rPr>
        <w:t xml:space="preserve">the </w:t>
      </w:r>
      <w:r w:rsidRPr="00EA30FE">
        <w:rPr>
          <w:highlight w:val="yellow"/>
        </w:rPr>
        <w:t xml:space="preserve">thermocycler and run the following protocol: 37 </w:t>
      </w:r>
      <w:r w:rsidR="003F1B72" w:rsidRPr="005A07B1">
        <w:rPr>
          <w:highlight w:val="yellow"/>
        </w:rPr>
        <w:t>°</w:t>
      </w:r>
      <w:r w:rsidRPr="00EA30FE">
        <w:rPr>
          <w:highlight w:val="yellow"/>
        </w:rPr>
        <w:t xml:space="preserve">C </w:t>
      </w:r>
      <w:r w:rsidR="00B71F3E">
        <w:rPr>
          <w:highlight w:val="yellow"/>
        </w:rPr>
        <w:t>for</w:t>
      </w:r>
      <w:r w:rsidRPr="00EA30FE">
        <w:rPr>
          <w:highlight w:val="yellow"/>
        </w:rPr>
        <w:t xml:space="preserve"> 30 min</w:t>
      </w:r>
      <w:r w:rsidR="00B71F3E">
        <w:rPr>
          <w:highlight w:val="yellow"/>
        </w:rPr>
        <w:t>,</w:t>
      </w:r>
    </w:p>
    <w:p w14:paraId="4C915FA5" w14:textId="6EB9CEBE" w:rsidR="00C954CB" w:rsidRPr="00733A11" w:rsidRDefault="00C954CB" w:rsidP="00EA30FE">
      <w:pPr>
        <w:rPr>
          <w:highlight w:val="yellow"/>
        </w:rPr>
      </w:pPr>
      <w:r w:rsidRPr="00733A11">
        <w:rPr>
          <w:highlight w:val="yellow"/>
        </w:rPr>
        <w:t xml:space="preserve">80 </w:t>
      </w:r>
      <w:r w:rsidR="003F1B72" w:rsidRPr="005A07B1">
        <w:rPr>
          <w:highlight w:val="yellow"/>
        </w:rPr>
        <w:t>°</w:t>
      </w:r>
      <w:r w:rsidRPr="00733A11">
        <w:rPr>
          <w:highlight w:val="yellow"/>
        </w:rPr>
        <w:t xml:space="preserve">C </w:t>
      </w:r>
      <w:r w:rsidR="00B71F3E">
        <w:rPr>
          <w:highlight w:val="yellow"/>
        </w:rPr>
        <w:t>for</w:t>
      </w:r>
      <w:r w:rsidRPr="00733A11">
        <w:rPr>
          <w:highlight w:val="yellow"/>
        </w:rPr>
        <w:t xml:space="preserve"> 15 min</w:t>
      </w:r>
      <w:r w:rsidR="00B71F3E">
        <w:rPr>
          <w:highlight w:val="yellow"/>
        </w:rPr>
        <w:t>.</w:t>
      </w:r>
    </w:p>
    <w:p w14:paraId="000F14E9" w14:textId="77777777" w:rsidR="00A90B38" w:rsidRPr="00733A11" w:rsidRDefault="00A90B38" w:rsidP="00EA30FE">
      <w:pPr>
        <w:tabs>
          <w:tab w:val="left" w:pos="7515"/>
        </w:tabs>
        <w:rPr>
          <w:rFonts w:cs="Times New Roman"/>
          <w:color w:val="auto"/>
          <w:highlight w:val="yellow"/>
        </w:rPr>
      </w:pPr>
    </w:p>
    <w:p w14:paraId="5DA1EB8F" w14:textId="5E7FDC77" w:rsidR="00C954CB" w:rsidRDefault="00C954CB" w:rsidP="0098363A">
      <w:pPr>
        <w:pStyle w:val="a3"/>
        <w:numPr>
          <w:ilvl w:val="2"/>
          <w:numId w:val="5"/>
        </w:numPr>
      </w:pPr>
      <w:r w:rsidRPr="0098363A">
        <w:rPr>
          <w:rFonts w:cs="Times New Roman"/>
          <w:color w:val="auto"/>
          <w:highlight w:val="yellow"/>
        </w:rPr>
        <w:t xml:space="preserve">Add </w:t>
      </w:r>
      <w:r w:rsidRPr="0098363A">
        <w:rPr>
          <w:highlight w:val="yellow"/>
        </w:rPr>
        <w:t xml:space="preserve">54 </w:t>
      </w:r>
      <w:r w:rsidR="00BB5D76">
        <w:rPr>
          <w:highlight w:val="yellow"/>
        </w:rPr>
        <w:t>μL</w:t>
      </w:r>
      <w:r w:rsidRPr="0098363A">
        <w:rPr>
          <w:highlight w:val="yellow"/>
        </w:rPr>
        <w:t xml:space="preserve"> of TE buffer to each well</w:t>
      </w:r>
      <w:r w:rsidR="009773A8" w:rsidRPr="0098363A">
        <w:rPr>
          <w:highlight w:val="yellow"/>
        </w:rPr>
        <w:t xml:space="preserve">. Spin </w:t>
      </w:r>
      <w:r w:rsidR="00B71F3E">
        <w:rPr>
          <w:highlight w:val="yellow"/>
        </w:rPr>
        <w:t xml:space="preserve">the </w:t>
      </w:r>
      <w:r w:rsidR="009773A8" w:rsidRPr="0098363A">
        <w:rPr>
          <w:highlight w:val="yellow"/>
        </w:rPr>
        <w:t>PCR plate at 1</w:t>
      </w:r>
      <w:r w:rsidR="00BB5D76">
        <w:rPr>
          <w:highlight w:val="yellow"/>
        </w:rPr>
        <w:t>,</w:t>
      </w:r>
      <w:r w:rsidR="00D12EB3" w:rsidRPr="0098363A">
        <w:rPr>
          <w:highlight w:val="yellow"/>
        </w:rPr>
        <w:t>3</w:t>
      </w:r>
      <w:r w:rsidR="009773A8" w:rsidRPr="0098363A">
        <w:rPr>
          <w:highlight w:val="yellow"/>
        </w:rPr>
        <w:t xml:space="preserve">00 </w:t>
      </w:r>
      <w:r w:rsidR="00D12EB3" w:rsidRPr="0098363A">
        <w:rPr>
          <w:highlight w:val="yellow"/>
        </w:rPr>
        <w:t xml:space="preserve">x </w:t>
      </w:r>
      <w:r w:rsidR="00D12EB3" w:rsidRPr="000F5526">
        <w:rPr>
          <w:i/>
          <w:iCs/>
          <w:highlight w:val="yellow"/>
        </w:rPr>
        <w:t>g</w:t>
      </w:r>
      <w:r w:rsidR="004B2269" w:rsidRPr="0098363A">
        <w:rPr>
          <w:highlight w:val="yellow"/>
        </w:rPr>
        <w:t xml:space="preserve"> at 5 min</w:t>
      </w:r>
      <w:r w:rsidR="009773A8" w:rsidRPr="0098363A">
        <w:rPr>
          <w:highlight w:val="yellow"/>
        </w:rPr>
        <w:t>.</w:t>
      </w:r>
      <w:r w:rsidR="004B2269" w:rsidRPr="0098363A">
        <w:rPr>
          <w:highlight w:val="yellow"/>
        </w:rPr>
        <w:t xml:space="preserve"> Store at 4 </w:t>
      </w:r>
      <w:r w:rsidR="003F1B72" w:rsidRPr="005A07B1">
        <w:rPr>
          <w:highlight w:val="yellow"/>
        </w:rPr>
        <w:t>°</w:t>
      </w:r>
      <w:r w:rsidR="004B2269" w:rsidRPr="0098363A">
        <w:rPr>
          <w:highlight w:val="yellow"/>
        </w:rPr>
        <w:t xml:space="preserve">C if immediately continuing to next step. Store at -20 </w:t>
      </w:r>
      <w:r w:rsidR="003F1B72" w:rsidRPr="005A07B1">
        <w:rPr>
          <w:highlight w:val="yellow"/>
        </w:rPr>
        <w:t>°</w:t>
      </w:r>
      <w:r w:rsidR="004B2269" w:rsidRPr="0098363A">
        <w:rPr>
          <w:highlight w:val="yellow"/>
        </w:rPr>
        <w:t>C if waiting more than 12 h for next step.</w:t>
      </w:r>
    </w:p>
    <w:p w14:paraId="27D6C0A4" w14:textId="77777777" w:rsidR="00C954CB" w:rsidRDefault="00C954CB" w:rsidP="00EA30FE">
      <w:pPr>
        <w:tabs>
          <w:tab w:val="left" w:pos="7515"/>
        </w:tabs>
      </w:pPr>
    </w:p>
    <w:p w14:paraId="74A92612" w14:textId="71C909F9" w:rsidR="00C954CB" w:rsidRPr="00EA30FE" w:rsidRDefault="00C954CB" w:rsidP="0098363A">
      <w:pPr>
        <w:pStyle w:val="a3"/>
        <w:numPr>
          <w:ilvl w:val="1"/>
          <w:numId w:val="5"/>
        </w:numPr>
        <w:rPr>
          <w:rFonts w:cs="Times New Roman"/>
          <w:color w:val="auto"/>
        </w:rPr>
      </w:pPr>
      <w:r w:rsidRPr="00EA30FE">
        <w:rPr>
          <w:rFonts w:cs="Times New Roman"/>
          <w:color w:val="auto"/>
        </w:rPr>
        <w:t xml:space="preserve">Prepare </w:t>
      </w:r>
      <w:r w:rsidR="00B71F3E">
        <w:rPr>
          <w:rFonts w:cs="Times New Roman"/>
          <w:color w:val="auto"/>
        </w:rPr>
        <w:t xml:space="preserve">the </w:t>
      </w:r>
      <w:r w:rsidRPr="00EA30FE">
        <w:rPr>
          <w:rFonts w:cs="Times New Roman"/>
          <w:color w:val="auto"/>
        </w:rPr>
        <w:t xml:space="preserve">sample plate for </w:t>
      </w:r>
      <w:r w:rsidR="00B71F3E">
        <w:rPr>
          <w:rFonts w:cs="Times New Roman"/>
          <w:color w:val="auto"/>
        </w:rPr>
        <w:t xml:space="preserve">the </w:t>
      </w:r>
      <w:r w:rsidRPr="00EA30FE">
        <w:rPr>
          <w:rFonts w:cs="Times New Roman"/>
          <w:color w:val="auto"/>
        </w:rPr>
        <w:t xml:space="preserve">96.96 </w:t>
      </w:r>
      <w:r w:rsidR="006331E5" w:rsidRPr="00EA30FE">
        <w:rPr>
          <w:rFonts w:cs="Times New Roman"/>
          <w:color w:val="auto"/>
        </w:rPr>
        <w:t>Dynamic Array</w:t>
      </w:r>
      <w:r w:rsidR="00CD56E5">
        <w:rPr>
          <w:rFonts w:cs="Times New Roman"/>
          <w:color w:val="auto"/>
        </w:rPr>
        <w:t xml:space="preserve"> Chip</w:t>
      </w:r>
      <w:r w:rsidR="00B71F3E">
        <w:rPr>
          <w:rFonts w:cs="Times New Roman"/>
          <w:color w:val="auto"/>
        </w:rPr>
        <w:t>.</w:t>
      </w:r>
    </w:p>
    <w:p w14:paraId="18268038" w14:textId="77777777" w:rsidR="00C954CB" w:rsidRDefault="00C954CB" w:rsidP="00EA30FE">
      <w:pPr>
        <w:tabs>
          <w:tab w:val="left" w:pos="7515"/>
        </w:tabs>
        <w:rPr>
          <w:rFonts w:cs="Times New Roman"/>
          <w:color w:val="auto"/>
        </w:rPr>
      </w:pPr>
    </w:p>
    <w:p w14:paraId="1811AB9A" w14:textId="7C65ABCC" w:rsidR="00C954CB" w:rsidRPr="00733A11" w:rsidRDefault="00C954CB" w:rsidP="0098363A">
      <w:pPr>
        <w:pStyle w:val="a3"/>
        <w:numPr>
          <w:ilvl w:val="2"/>
          <w:numId w:val="5"/>
        </w:numPr>
        <w:rPr>
          <w:highlight w:val="yellow"/>
        </w:rPr>
      </w:pPr>
      <w:r w:rsidRPr="00733A11">
        <w:rPr>
          <w:rFonts w:cs="Times New Roman"/>
          <w:color w:val="auto"/>
          <w:highlight w:val="yellow"/>
        </w:rPr>
        <w:t xml:space="preserve">In </w:t>
      </w:r>
      <w:r w:rsidR="00B71F3E">
        <w:rPr>
          <w:rFonts w:cs="Times New Roman"/>
          <w:color w:val="auto"/>
          <w:highlight w:val="yellow"/>
        </w:rPr>
        <w:t xml:space="preserve">a </w:t>
      </w:r>
      <w:r w:rsidRPr="00733A11">
        <w:rPr>
          <w:rFonts w:cs="Times New Roman"/>
          <w:color w:val="auto"/>
          <w:highlight w:val="yellow"/>
        </w:rPr>
        <w:t xml:space="preserve">new 96 well PCR plate, add 0.45 </w:t>
      </w:r>
      <w:r w:rsidR="00BB5D76">
        <w:rPr>
          <w:highlight w:val="yellow"/>
        </w:rPr>
        <w:t>μL</w:t>
      </w:r>
      <w:r w:rsidRPr="00733A11">
        <w:rPr>
          <w:highlight w:val="yellow"/>
        </w:rPr>
        <w:t xml:space="preserve"> of </w:t>
      </w:r>
      <w:r w:rsidR="004B2269" w:rsidRPr="00733A11">
        <w:rPr>
          <w:highlight w:val="yellow"/>
        </w:rPr>
        <w:t>20</w:t>
      </w:r>
      <w:r w:rsidR="00B71F3E" w:rsidRPr="00733A11">
        <w:rPr>
          <w:highlight w:val="yellow"/>
        </w:rPr>
        <w:t>x</w:t>
      </w:r>
      <w:r w:rsidR="004B2269" w:rsidRPr="00733A11">
        <w:rPr>
          <w:highlight w:val="yellow"/>
        </w:rPr>
        <w:t xml:space="preserve"> DNA </w:t>
      </w:r>
      <w:r w:rsidR="00B71F3E" w:rsidRPr="00733A11">
        <w:rPr>
          <w:highlight w:val="yellow"/>
        </w:rPr>
        <w:t xml:space="preserve">binding dye </w:t>
      </w:r>
      <w:r w:rsidRPr="00733A11">
        <w:rPr>
          <w:highlight w:val="yellow"/>
        </w:rPr>
        <w:t xml:space="preserve">and 4.55 </w:t>
      </w:r>
      <w:r w:rsidR="00BB5D76">
        <w:rPr>
          <w:highlight w:val="yellow"/>
        </w:rPr>
        <w:t>μL</w:t>
      </w:r>
      <w:r w:rsidRPr="00733A11">
        <w:rPr>
          <w:highlight w:val="yellow"/>
        </w:rPr>
        <w:t xml:space="preserve"> of </w:t>
      </w:r>
      <w:r w:rsidR="0071094A">
        <w:t xml:space="preserve">low </w:t>
      </w:r>
      <w:r w:rsidR="00CD56E5">
        <w:t xml:space="preserve">ROX </w:t>
      </w:r>
      <w:r w:rsidR="0071094A">
        <w:t>mastermix</w:t>
      </w:r>
      <w:r w:rsidRPr="00733A11">
        <w:rPr>
          <w:highlight w:val="yellow"/>
        </w:rPr>
        <w:t xml:space="preserve"> to each well. </w:t>
      </w:r>
    </w:p>
    <w:p w14:paraId="78F102D1" w14:textId="77777777" w:rsidR="00C954CB" w:rsidRPr="00733A11" w:rsidRDefault="00C954CB" w:rsidP="00EA30FE">
      <w:pPr>
        <w:tabs>
          <w:tab w:val="left" w:pos="7515"/>
        </w:tabs>
        <w:rPr>
          <w:highlight w:val="yellow"/>
        </w:rPr>
      </w:pPr>
    </w:p>
    <w:p w14:paraId="5105FDE4" w14:textId="7DA4C27F" w:rsidR="00C954CB" w:rsidRDefault="00C954CB" w:rsidP="0098363A">
      <w:pPr>
        <w:pStyle w:val="a3"/>
        <w:numPr>
          <w:ilvl w:val="2"/>
          <w:numId w:val="5"/>
        </w:numPr>
      </w:pPr>
      <w:r w:rsidRPr="0098363A">
        <w:rPr>
          <w:rFonts w:cs="Times New Roman"/>
          <w:color w:val="auto"/>
          <w:highlight w:val="yellow"/>
        </w:rPr>
        <w:t xml:space="preserve">Add 3 </w:t>
      </w:r>
      <w:r w:rsidR="00BB5D76">
        <w:rPr>
          <w:highlight w:val="yellow"/>
        </w:rPr>
        <w:t>μL</w:t>
      </w:r>
      <w:r w:rsidRPr="0098363A">
        <w:rPr>
          <w:highlight w:val="yellow"/>
        </w:rPr>
        <w:t xml:space="preserve"> of preamplified sample to each well</w:t>
      </w:r>
      <w:r w:rsidR="009773A8" w:rsidRPr="0098363A">
        <w:rPr>
          <w:highlight w:val="yellow"/>
        </w:rPr>
        <w:t xml:space="preserve">, spin </w:t>
      </w:r>
      <w:r w:rsidR="00B71F3E">
        <w:rPr>
          <w:highlight w:val="yellow"/>
        </w:rPr>
        <w:t xml:space="preserve">the </w:t>
      </w:r>
      <w:r w:rsidR="009773A8" w:rsidRPr="0098363A">
        <w:rPr>
          <w:highlight w:val="yellow"/>
        </w:rPr>
        <w:t>PCR plate at 1</w:t>
      </w:r>
      <w:r w:rsidR="00BB5D76">
        <w:rPr>
          <w:highlight w:val="yellow"/>
        </w:rPr>
        <w:t>,</w:t>
      </w:r>
      <w:r w:rsidR="00D12EB3" w:rsidRPr="0098363A">
        <w:rPr>
          <w:highlight w:val="yellow"/>
        </w:rPr>
        <w:t>3</w:t>
      </w:r>
      <w:r w:rsidR="009773A8" w:rsidRPr="0098363A">
        <w:rPr>
          <w:highlight w:val="yellow"/>
        </w:rPr>
        <w:t>00</w:t>
      </w:r>
      <w:r w:rsidR="00D12EB3" w:rsidRPr="0098363A">
        <w:rPr>
          <w:highlight w:val="yellow"/>
        </w:rPr>
        <w:t xml:space="preserve"> x </w:t>
      </w:r>
      <w:r w:rsidR="00D12EB3" w:rsidRPr="000F5526">
        <w:rPr>
          <w:i/>
          <w:iCs/>
          <w:highlight w:val="yellow"/>
        </w:rPr>
        <w:t>g</w:t>
      </w:r>
      <w:r w:rsidR="009773A8" w:rsidRPr="0098363A">
        <w:rPr>
          <w:highlight w:val="yellow"/>
        </w:rPr>
        <w:t>,</w:t>
      </w:r>
      <w:r w:rsidRPr="0098363A">
        <w:rPr>
          <w:highlight w:val="yellow"/>
        </w:rPr>
        <w:t xml:space="preserve"> then put </w:t>
      </w:r>
      <w:r w:rsidR="00B71F3E">
        <w:rPr>
          <w:highlight w:val="yellow"/>
        </w:rPr>
        <w:t xml:space="preserve">the </w:t>
      </w:r>
      <w:r w:rsidRPr="0098363A">
        <w:rPr>
          <w:highlight w:val="yellow"/>
        </w:rPr>
        <w:t>plate on ice.</w:t>
      </w:r>
    </w:p>
    <w:p w14:paraId="6DE9F84E" w14:textId="77777777" w:rsidR="00F96AE1" w:rsidRDefault="00F96AE1" w:rsidP="00EA30FE">
      <w:pPr>
        <w:tabs>
          <w:tab w:val="left" w:pos="7515"/>
        </w:tabs>
      </w:pPr>
    </w:p>
    <w:p w14:paraId="43E7B86E" w14:textId="4F044E30" w:rsidR="00F96AE1" w:rsidRDefault="00C34E32" w:rsidP="0098363A">
      <w:pPr>
        <w:pStyle w:val="a3"/>
        <w:numPr>
          <w:ilvl w:val="1"/>
          <w:numId w:val="5"/>
        </w:numPr>
      </w:pPr>
      <w:r>
        <w:t xml:space="preserve">Prepare </w:t>
      </w:r>
      <w:r w:rsidR="00B71F3E">
        <w:t xml:space="preserve">the </w:t>
      </w:r>
      <w:r>
        <w:t>assay plate for</w:t>
      </w:r>
      <w:r w:rsidR="00F96AE1">
        <w:t xml:space="preserve"> </w:t>
      </w:r>
      <w:r w:rsidR="00B71F3E">
        <w:t xml:space="preserve">the </w:t>
      </w:r>
      <w:r w:rsidR="00F96AE1">
        <w:t xml:space="preserve">96.96 </w:t>
      </w:r>
      <w:r w:rsidR="006331E5">
        <w:t>Dynamic Array</w:t>
      </w:r>
      <w:r w:rsidR="00CD56E5">
        <w:t xml:space="preserve"> Chip</w:t>
      </w:r>
      <w:r w:rsidR="00B71F3E">
        <w:t>.</w:t>
      </w:r>
    </w:p>
    <w:p w14:paraId="2B9B239C" w14:textId="77777777" w:rsidR="00F96AE1" w:rsidRDefault="00F96AE1" w:rsidP="00EA30FE">
      <w:pPr>
        <w:tabs>
          <w:tab w:val="left" w:pos="7515"/>
        </w:tabs>
      </w:pPr>
    </w:p>
    <w:p w14:paraId="79B1F4BB" w14:textId="69C69EB2" w:rsidR="00F96AE1" w:rsidRPr="00733A11" w:rsidRDefault="00F96AE1" w:rsidP="0098363A">
      <w:pPr>
        <w:pStyle w:val="a3"/>
        <w:numPr>
          <w:ilvl w:val="2"/>
          <w:numId w:val="5"/>
        </w:numPr>
        <w:rPr>
          <w:highlight w:val="yellow"/>
        </w:rPr>
      </w:pPr>
      <w:r w:rsidRPr="00733A11">
        <w:rPr>
          <w:highlight w:val="yellow"/>
        </w:rPr>
        <w:t xml:space="preserve">In a new 96 well PCR plate, </w:t>
      </w:r>
      <w:r w:rsidR="00B71F3E">
        <w:rPr>
          <w:highlight w:val="yellow"/>
        </w:rPr>
        <w:t>add</w:t>
      </w:r>
      <w:r w:rsidR="00B71F3E" w:rsidRPr="00733A11">
        <w:rPr>
          <w:highlight w:val="yellow"/>
        </w:rPr>
        <w:t xml:space="preserve"> </w:t>
      </w:r>
      <w:r w:rsidRPr="00733A11">
        <w:rPr>
          <w:highlight w:val="yellow"/>
        </w:rPr>
        <w:t xml:space="preserve">3.75 </w:t>
      </w:r>
      <w:r w:rsidR="00BB5D76">
        <w:rPr>
          <w:highlight w:val="yellow"/>
        </w:rPr>
        <w:t>μL</w:t>
      </w:r>
      <w:r w:rsidR="004B2269" w:rsidRPr="00733A11">
        <w:rPr>
          <w:highlight w:val="yellow"/>
        </w:rPr>
        <w:t xml:space="preserve"> of 2x GE </w:t>
      </w:r>
      <w:r w:rsidR="00B71F3E" w:rsidRPr="00733A11">
        <w:rPr>
          <w:highlight w:val="yellow"/>
        </w:rPr>
        <w:t xml:space="preserve">assay loading reagent </w:t>
      </w:r>
      <w:r w:rsidRPr="00733A11">
        <w:rPr>
          <w:highlight w:val="yellow"/>
        </w:rPr>
        <w:t xml:space="preserve">and 1.25 </w:t>
      </w:r>
      <w:r w:rsidR="00BB5D76">
        <w:rPr>
          <w:highlight w:val="yellow"/>
        </w:rPr>
        <w:t>μL</w:t>
      </w:r>
      <w:r w:rsidRPr="00733A11">
        <w:rPr>
          <w:highlight w:val="yellow"/>
        </w:rPr>
        <w:t xml:space="preserve"> of DNA </w:t>
      </w:r>
      <w:r w:rsidR="00B71F3E" w:rsidRPr="00733A11">
        <w:rPr>
          <w:highlight w:val="yellow"/>
        </w:rPr>
        <w:t xml:space="preserve">suspension buffer </w:t>
      </w:r>
      <w:r w:rsidRPr="00733A11">
        <w:rPr>
          <w:highlight w:val="yellow"/>
        </w:rPr>
        <w:t xml:space="preserve">to each well. </w:t>
      </w:r>
    </w:p>
    <w:p w14:paraId="3B069AB4" w14:textId="77777777" w:rsidR="00F96AE1" w:rsidRPr="00733A11" w:rsidRDefault="00F96AE1" w:rsidP="00EA30FE">
      <w:pPr>
        <w:tabs>
          <w:tab w:val="left" w:pos="7515"/>
        </w:tabs>
        <w:rPr>
          <w:highlight w:val="yellow"/>
        </w:rPr>
      </w:pPr>
    </w:p>
    <w:p w14:paraId="0769AD1B" w14:textId="6DE59E40" w:rsidR="00F96AE1" w:rsidRDefault="00F96AE1" w:rsidP="0098363A">
      <w:pPr>
        <w:pStyle w:val="a3"/>
        <w:numPr>
          <w:ilvl w:val="2"/>
          <w:numId w:val="5"/>
        </w:numPr>
      </w:pPr>
      <w:r w:rsidRPr="00733A11">
        <w:rPr>
          <w:highlight w:val="yellow"/>
        </w:rPr>
        <w:t xml:space="preserve">Add 2.5 </w:t>
      </w:r>
      <w:r w:rsidR="00BB5D76">
        <w:rPr>
          <w:highlight w:val="yellow"/>
        </w:rPr>
        <w:t>μL</w:t>
      </w:r>
      <w:r w:rsidRPr="00733A11">
        <w:rPr>
          <w:highlight w:val="yellow"/>
        </w:rPr>
        <w:t xml:space="preserve"> of 10 μM qPCR primer to each corresponding well. </w:t>
      </w:r>
      <w:r w:rsidR="009773A8" w:rsidRPr="00733A11">
        <w:rPr>
          <w:highlight w:val="yellow"/>
        </w:rPr>
        <w:t xml:space="preserve">Spin </w:t>
      </w:r>
      <w:r w:rsidR="00B71F3E">
        <w:rPr>
          <w:highlight w:val="yellow"/>
        </w:rPr>
        <w:t xml:space="preserve">the </w:t>
      </w:r>
      <w:r w:rsidR="009773A8" w:rsidRPr="00733A11">
        <w:rPr>
          <w:highlight w:val="yellow"/>
        </w:rPr>
        <w:t>PCR plate at 1</w:t>
      </w:r>
      <w:r w:rsidR="00BB5D76">
        <w:rPr>
          <w:highlight w:val="yellow"/>
        </w:rPr>
        <w:t>,</w:t>
      </w:r>
      <w:r w:rsidR="00D12EB3">
        <w:rPr>
          <w:highlight w:val="yellow"/>
        </w:rPr>
        <w:t>3</w:t>
      </w:r>
      <w:r w:rsidR="009773A8" w:rsidRPr="00733A11">
        <w:rPr>
          <w:highlight w:val="yellow"/>
        </w:rPr>
        <w:t xml:space="preserve">00 </w:t>
      </w:r>
      <w:r w:rsidR="00D12EB3">
        <w:rPr>
          <w:highlight w:val="yellow"/>
        </w:rPr>
        <w:t xml:space="preserve">x </w:t>
      </w:r>
      <w:r w:rsidR="00D12EB3" w:rsidRPr="000F5526">
        <w:rPr>
          <w:i/>
          <w:iCs/>
          <w:highlight w:val="yellow"/>
        </w:rPr>
        <w:t>g</w:t>
      </w:r>
      <w:r w:rsidR="004B2269" w:rsidRPr="00733A11">
        <w:rPr>
          <w:highlight w:val="yellow"/>
        </w:rPr>
        <w:t xml:space="preserve"> for 5 min</w:t>
      </w:r>
      <w:r w:rsidR="009773A8" w:rsidRPr="00733A11">
        <w:rPr>
          <w:highlight w:val="yellow"/>
        </w:rPr>
        <w:t>.</w:t>
      </w:r>
    </w:p>
    <w:p w14:paraId="7C22A3BF" w14:textId="77777777" w:rsidR="009773A8" w:rsidRDefault="009773A8" w:rsidP="00EA30FE">
      <w:pPr>
        <w:tabs>
          <w:tab w:val="left" w:pos="7515"/>
        </w:tabs>
      </w:pPr>
    </w:p>
    <w:p w14:paraId="57F0C667" w14:textId="088286FE" w:rsidR="009773A8" w:rsidRDefault="00C34E32" w:rsidP="0098363A">
      <w:pPr>
        <w:pStyle w:val="a3"/>
        <w:numPr>
          <w:ilvl w:val="1"/>
          <w:numId w:val="5"/>
        </w:numPr>
      </w:pPr>
      <w:r>
        <w:t xml:space="preserve">Load </w:t>
      </w:r>
      <w:r w:rsidR="00981A83">
        <w:t xml:space="preserve">and </w:t>
      </w:r>
      <w:r w:rsidR="00B71F3E">
        <w:t xml:space="preserve">run the </w:t>
      </w:r>
      <w:r>
        <w:t>96.96 Dynamic Array Chip</w:t>
      </w:r>
      <w:r w:rsidR="00B71F3E">
        <w:t>.</w:t>
      </w:r>
    </w:p>
    <w:p w14:paraId="4AF84C89" w14:textId="77777777" w:rsidR="00C34E32" w:rsidRDefault="00C34E32" w:rsidP="00EA30FE">
      <w:pPr>
        <w:tabs>
          <w:tab w:val="left" w:pos="7515"/>
        </w:tabs>
      </w:pPr>
    </w:p>
    <w:p w14:paraId="329D0BEC" w14:textId="583460E2" w:rsidR="00C34E32" w:rsidRPr="00733A11" w:rsidRDefault="00C34E32" w:rsidP="0098363A">
      <w:pPr>
        <w:pStyle w:val="a3"/>
        <w:numPr>
          <w:ilvl w:val="2"/>
          <w:numId w:val="5"/>
        </w:numPr>
        <w:rPr>
          <w:highlight w:val="yellow"/>
        </w:rPr>
      </w:pPr>
      <w:r w:rsidRPr="00733A11">
        <w:rPr>
          <w:highlight w:val="yellow"/>
        </w:rPr>
        <w:t xml:space="preserve">Prime </w:t>
      </w:r>
      <w:r w:rsidR="00B71F3E">
        <w:rPr>
          <w:highlight w:val="yellow"/>
        </w:rPr>
        <w:t xml:space="preserve">the </w:t>
      </w:r>
      <w:r w:rsidRPr="00733A11">
        <w:rPr>
          <w:highlight w:val="yellow"/>
        </w:rPr>
        <w:t>chip with control line fluid.</w:t>
      </w:r>
    </w:p>
    <w:p w14:paraId="4DDF22A4" w14:textId="77777777" w:rsidR="00C34E32" w:rsidRPr="00733A11" w:rsidRDefault="00C34E32" w:rsidP="00EA30FE">
      <w:pPr>
        <w:tabs>
          <w:tab w:val="left" w:pos="7515"/>
        </w:tabs>
        <w:rPr>
          <w:highlight w:val="yellow"/>
        </w:rPr>
      </w:pPr>
    </w:p>
    <w:p w14:paraId="0440D97B" w14:textId="1CF4E16E" w:rsidR="00C34E32" w:rsidRPr="00733A11" w:rsidRDefault="00C34E32" w:rsidP="0098363A">
      <w:pPr>
        <w:pStyle w:val="a3"/>
        <w:numPr>
          <w:ilvl w:val="2"/>
          <w:numId w:val="5"/>
        </w:numPr>
        <w:rPr>
          <w:highlight w:val="yellow"/>
        </w:rPr>
      </w:pPr>
      <w:r w:rsidRPr="00733A11">
        <w:rPr>
          <w:highlight w:val="yellow"/>
        </w:rPr>
        <w:t xml:space="preserve">Place </w:t>
      </w:r>
      <w:r w:rsidR="00B71F3E">
        <w:rPr>
          <w:highlight w:val="yellow"/>
        </w:rPr>
        <w:t xml:space="preserve">the </w:t>
      </w:r>
      <w:r w:rsidRPr="00733A11">
        <w:rPr>
          <w:highlight w:val="yellow"/>
        </w:rPr>
        <w:t xml:space="preserve">chip in </w:t>
      </w:r>
      <w:r w:rsidR="00B71F3E">
        <w:rPr>
          <w:highlight w:val="yellow"/>
        </w:rPr>
        <w:t xml:space="preserve">an </w:t>
      </w:r>
      <w:r w:rsidRPr="00733A11">
        <w:rPr>
          <w:highlight w:val="yellow"/>
        </w:rPr>
        <w:t>IFC Controller HX and run the Prime (136X) script.</w:t>
      </w:r>
    </w:p>
    <w:p w14:paraId="46E3E660" w14:textId="77777777" w:rsidR="00C34E32" w:rsidRPr="00733A11" w:rsidRDefault="00C34E32" w:rsidP="00EA30FE">
      <w:pPr>
        <w:tabs>
          <w:tab w:val="left" w:pos="7515"/>
        </w:tabs>
        <w:rPr>
          <w:highlight w:val="yellow"/>
        </w:rPr>
      </w:pPr>
    </w:p>
    <w:p w14:paraId="3009CE89" w14:textId="79790D41" w:rsidR="00C34E32" w:rsidRPr="00733A11" w:rsidRDefault="00C34E32" w:rsidP="0098363A">
      <w:pPr>
        <w:pStyle w:val="a3"/>
        <w:numPr>
          <w:ilvl w:val="2"/>
          <w:numId w:val="5"/>
        </w:numPr>
        <w:rPr>
          <w:highlight w:val="yellow"/>
        </w:rPr>
      </w:pPr>
      <w:r w:rsidRPr="00733A11">
        <w:rPr>
          <w:highlight w:val="yellow"/>
        </w:rPr>
        <w:t xml:space="preserve">Add 6 </w:t>
      </w:r>
      <w:r w:rsidR="00BB5D76">
        <w:rPr>
          <w:highlight w:val="yellow"/>
        </w:rPr>
        <w:t>μL</w:t>
      </w:r>
      <w:r w:rsidRPr="00733A11">
        <w:rPr>
          <w:highlight w:val="yellow"/>
        </w:rPr>
        <w:t xml:space="preserve"> </w:t>
      </w:r>
      <w:r w:rsidR="0059347B">
        <w:rPr>
          <w:highlight w:val="yellow"/>
        </w:rPr>
        <w:t xml:space="preserve">of </w:t>
      </w:r>
      <w:r w:rsidR="00D42A07">
        <w:rPr>
          <w:highlight w:val="yellow"/>
        </w:rPr>
        <w:t xml:space="preserve">the </w:t>
      </w:r>
      <w:r w:rsidR="0059347B">
        <w:rPr>
          <w:highlight w:val="yellow"/>
        </w:rPr>
        <w:t xml:space="preserve">sample </w:t>
      </w:r>
      <w:r w:rsidRPr="00733A11">
        <w:rPr>
          <w:highlight w:val="yellow"/>
        </w:rPr>
        <w:t xml:space="preserve">from </w:t>
      </w:r>
      <w:r w:rsidR="00B71F3E">
        <w:rPr>
          <w:highlight w:val="yellow"/>
        </w:rPr>
        <w:t xml:space="preserve">the </w:t>
      </w:r>
      <w:r w:rsidRPr="00733A11">
        <w:rPr>
          <w:highlight w:val="yellow"/>
        </w:rPr>
        <w:t xml:space="preserve">PCR sample plate into </w:t>
      </w:r>
      <w:r w:rsidR="00B71F3E">
        <w:rPr>
          <w:highlight w:val="yellow"/>
        </w:rPr>
        <w:t xml:space="preserve">the </w:t>
      </w:r>
      <w:r w:rsidRPr="00733A11">
        <w:rPr>
          <w:highlight w:val="yellow"/>
        </w:rPr>
        <w:t>corresponding sample wells in the 96.96 Dynamic Array Chip.</w:t>
      </w:r>
    </w:p>
    <w:p w14:paraId="03453990" w14:textId="77777777" w:rsidR="00C34E32" w:rsidRPr="00733A11" w:rsidRDefault="00C34E32" w:rsidP="00EA30FE">
      <w:pPr>
        <w:tabs>
          <w:tab w:val="left" w:pos="7515"/>
        </w:tabs>
        <w:rPr>
          <w:highlight w:val="yellow"/>
        </w:rPr>
      </w:pPr>
    </w:p>
    <w:p w14:paraId="11BDE9FC" w14:textId="33FE5DB7" w:rsidR="00C34E32" w:rsidRPr="00733A11" w:rsidRDefault="00C34E32" w:rsidP="0098363A">
      <w:pPr>
        <w:pStyle w:val="a3"/>
        <w:numPr>
          <w:ilvl w:val="2"/>
          <w:numId w:val="5"/>
        </w:numPr>
        <w:rPr>
          <w:highlight w:val="yellow"/>
        </w:rPr>
      </w:pPr>
      <w:r w:rsidRPr="00733A11">
        <w:rPr>
          <w:highlight w:val="yellow"/>
        </w:rPr>
        <w:t xml:space="preserve">Add 6 </w:t>
      </w:r>
      <w:r w:rsidR="00BB5D76">
        <w:rPr>
          <w:highlight w:val="yellow"/>
        </w:rPr>
        <w:t>μL</w:t>
      </w:r>
      <w:r w:rsidRPr="00733A11">
        <w:rPr>
          <w:highlight w:val="yellow"/>
        </w:rPr>
        <w:t xml:space="preserve"> </w:t>
      </w:r>
      <w:r w:rsidR="0059347B">
        <w:rPr>
          <w:highlight w:val="yellow"/>
        </w:rPr>
        <w:t xml:space="preserve">of </w:t>
      </w:r>
      <w:r w:rsidR="00D42A07">
        <w:rPr>
          <w:highlight w:val="yellow"/>
        </w:rPr>
        <w:t xml:space="preserve">the </w:t>
      </w:r>
      <w:r w:rsidR="0059347B">
        <w:rPr>
          <w:highlight w:val="yellow"/>
        </w:rPr>
        <w:t xml:space="preserve">sample </w:t>
      </w:r>
      <w:r w:rsidRPr="00733A11">
        <w:rPr>
          <w:highlight w:val="yellow"/>
        </w:rPr>
        <w:t xml:space="preserve">from </w:t>
      </w:r>
      <w:r w:rsidR="00B71F3E">
        <w:rPr>
          <w:highlight w:val="yellow"/>
        </w:rPr>
        <w:t xml:space="preserve">the </w:t>
      </w:r>
      <w:r w:rsidRPr="00733A11">
        <w:rPr>
          <w:highlight w:val="yellow"/>
        </w:rPr>
        <w:t xml:space="preserve">PCR assay plate into </w:t>
      </w:r>
      <w:r w:rsidR="00B71F3E">
        <w:rPr>
          <w:highlight w:val="yellow"/>
        </w:rPr>
        <w:t xml:space="preserve">the </w:t>
      </w:r>
      <w:r w:rsidRPr="00733A11">
        <w:rPr>
          <w:highlight w:val="yellow"/>
        </w:rPr>
        <w:t>corresponding assay wells in the 96.96 Dynamic Array Chip.</w:t>
      </w:r>
    </w:p>
    <w:p w14:paraId="3DC62385" w14:textId="77777777" w:rsidR="00C34E32" w:rsidRPr="00733A11" w:rsidRDefault="00C34E32" w:rsidP="00EA30FE">
      <w:pPr>
        <w:tabs>
          <w:tab w:val="left" w:pos="7515"/>
        </w:tabs>
        <w:rPr>
          <w:highlight w:val="yellow"/>
        </w:rPr>
      </w:pPr>
    </w:p>
    <w:p w14:paraId="754D6DEB" w14:textId="70468F7B" w:rsidR="00C34E32" w:rsidRPr="00733A11" w:rsidRDefault="00C34E32" w:rsidP="0098363A">
      <w:pPr>
        <w:pStyle w:val="a3"/>
        <w:numPr>
          <w:ilvl w:val="2"/>
          <w:numId w:val="5"/>
        </w:numPr>
        <w:rPr>
          <w:highlight w:val="yellow"/>
        </w:rPr>
      </w:pPr>
      <w:r w:rsidRPr="00733A11">
        <w:rPr>
          <w:highlight w:val="yellow"/>
        </w:rPr>
        <w:t xml:space="preserve">Use needles to pop any air bubbles in the wells of the 96.96 Dynamic Array Chip. </w:t>
      </w:r>
    </w:p>
    <w:p w14:paraId="367ED0F3" w14:textId="77777777" w:rsidR="00C34E32" w:rsidRPr="00733A11" w:rsidRDefault="00C34E32" w:rsidP="00EA30FE">
      <w:pPr>
        <w:tabs>
          <w:tab w:val="left" w:pos="7515"/>
        </w:tabs>
        <w:rPr>
          <w:highlight w:val="yellow"/>
        </w:rPr>
      </w:pPr>
    </w:p>
    <w:p w14:paraId="3A22C86E" w14:textId="054FBCFD" w:rsidR="00C34E32" w:rsidRPr="00733A11" w:rsidRDefault="00C34E32" w:rsidP="0098363A">
      <w:pPr>
        <w:pStyle w:val="a3"/>
        <w:numPr>
          <w:ilvl w:val="2"/>
          <w:numId w:val="5"/>
        </w:numPr>
        <w:rPr>
          <w:highlight w:val="yellow"/>
        </w:rPr>
      </w:pPr>
      <w:r w:rsidRPr="00733A11">
        <w:rPr>
          <w:highlight w:val="yellow"/>
        </w:rPr>
        <w:t xml:space="preserve">Place </w:t>
      </w:r>
      <w:r w:rsidR="00B71F3E">
        <w:rPr>
          <w:highlight w:val="yellow"/>
        </w:rPr>
        <w:t xml:space="preserve">the </w:t>
      </w:r>
      <w:r w:rsidRPr="00733A11">
        <w:rPr>
          <w:highlight w:val="yellow"/>
        </w:rPr>
        <w:t xml:space="preserve">96.96 Dynamic Array Chip into </w:t>
      </w:r>
      <w:r w:rsidR="00B71F3E">
        <w:rPr>
          <w:highlight w:val="yellow"/>
        </w:rPr>
        <w:t xml:space="preserve">the </w:t>
      </w:r>
      <w:r w:rsidRPr="00733A11">
        <w:rPr>
          <w:highlight w:val="yellow"/>
        </w:rPr>
        <w:t>IFC Controller HX and run the Load Mix (136x) script.</w:t>
      </w:r>
    </w:p>
    <w:p w14:paraId="636FE8BE" w14:textId="77777777" w:rsidR="00C34E32" w:rsidRPr="00733A11" w:rsidRDefault="00C34E32" w:rsidP="00EA30FE">
      <w:pPr>
        <w:tabs>
          <w:tab w:val="left" w:pos="7515"/>
        </w:tabs>
        <w:rPr>
          <w:highlight w:val="yellow"/>
        </w:rPr>
      </w:pPr>
    </w:p>
    <w:p w14:paraId="5740B77C" w14:textId="405E0CEC" w:rsidR="00C34E32" w:rsidRDefault="00C34E32" w:rsidP="0098363A">
      <w:pPr>
        <w:pStyle w:val="a3"/>
        <w:numPr>
          <w:ilvl w:val="2"/>
          <w:numId w:val="5"/>
        </w:numPr>
      </w:pPr>
      <w:r w:rsidRPr="00733A11">
        <w:rPr>
          <w:highlight w:val="yellow"/>
        </w:rPr>
        <w:t xml:space="preserve">Remove </w:t>
      </w:r>
      <w:r w:rsidR="00B71F3E">
        <w:rPr>
          <w:highlight w:val="yellow"/>
        </w:rPr>
        <w:t xml:space="preserve">the </w:t>
      </w:r>
      <w:r w:rsidRPr="00733A11">
        <w:rPr>
          <w:highlight w:val="yellow"/>
        </w:rPr>
        <w:t xml:space="preserve">chip from </w:t>
      </w:r>
      <w:r w:rsidR="00B71F3E">
        <w:rPr>
          <w:highlight w:val="yellow"/>
        </w:rPr>
        <w:t xml:space="preserve">the </w:t>
      </w:r>
      <w:r w:rsidRPr="00733A11">
        <w:rPr>
          <w:highlight w:val="yellow"/>
        </w:rPr>
        <w:t xml:space="preserve">IFC Controller HX, peel off </w:t>
      </w:r>
      <w:r w:rsidR="00B71F3E">
        <w:rPr>
          <w:highlight w:val="yellow"/>
        </w:rPr>
        <w:t xml:space="preserve">the </w:t>
      </w:r>
      <w:r w:rsidRPr="00733A11">
        <w:rPr>
          <w:highlight w:val="yellow"/>
        </w:rPr>
        <w:t xml:space="preserve">protective sticker, and place </w:t>
      </w:r>
      <w:r w:rsidR="00B71F3E">
        <w:rPr>
          <w:highlight w:val="yellow"/>
        </w:rPr>
        <w:t xml:space="preserve">the </w:t>
      </w:r>
      <w:r w:rsidRPr="00733A11">
        <w:rPr>
          <w:highlight w:val="yellow"/>
        </w:rPr>
        <w:t xml:space="preserve">96.96 Dynamic Array Chip into </w:t>
      </w:r>
      <w:r w:rsidR="00B71F3E">
        <w:rPr>
          <w:highlight w:val="yellow"/>
        </w:rPr>
        <w:t xml:space="preserve">a </w:t>
      </w:r>
      <w:r w:rsidR="00AF5349">
        <w:rPr>
          <w:highlight w:val="yellow"/>
        </w:rPr>
        <w:t>microfluidic RT-qPCR platform</w:t>
      </w:r>
      <w:r w:rsidRPr="00733A11">
        <w:rPr>
          <w:highlight w:val="yellow"/>
        </w:rPr>
        <w:t>. Run the GE Fast 96</w:t>
      </w:r>
      <w:r w:rsidR="00B71F3E">
        <w:rPr>
          <w:highlight w:val="yellow"/>
        </w:rPr>
        <w:t xml:space="preserve"> </w:t>
      </w:r>
      <w:r w:rsidRPr="00733A11">
        <w:rPr>
          <w:highlight w:val="yellow"/>
        </w:rPr>
        <w:t>x</w:t>
      </w:r>
      <w:r w:rsidR="00B71F3E">
        <w:rPr>
          <w:highlight w:val="yellow"/>
        </w:rPr>
        <w:t xml:space="preserve"> </w:t>
      </w:r>
      <w:r w:rsidRPr="00733A11">
        <w:rPr>
          <w:highlight w:val="yellow"/>
        </w:rPr>
        <w:t>96 PCR protocol (30 cycles).</w:t>
      </w:r>
      <w:r>
        <w:t xml:space="preserve"> </w:t>
      </w:r>
    </w:p>
    <w:p w14:paraId="147D0AC6" w14:textId="408C4CDB" w:rsidR="00BC0D06" w:rsidRDefault="00BC0D06" w:rsidP="00EA30FE">
      <w:pPr>
        <w:tabs>
          <w:tab w:val="left" w:pos="7515"/>
        </w:tabs>
      </w:pPr>
    </w:p>
    <w:p w14:paraId="616D3410" w14:textId="105EE1C2" w:rsidR="00BC0D06" w:rsidRPr="00C34E32" w:rsidRDefault="00B71F3E" w:rsidP="00EA30FE">
      <w:pPr>
        <w:tabs>
          <w:tab w:val="left" w:pos="7515"/>
        </w:tabs>
      </w:pPr>
      <w:r>
        <w:t>NOTE</w:t>
      </w:r>
      <w:r w:rsidR="00BC0D06">
        <w:t xml:space="preserve">: </w:t>
      </w:r>
      <w:r>
        <w:t xml:space="preserve">The </w:t>
      </w:r>
      <w:r w:rsidR="00BC0D06">
        <w:t xml:space="preserve">RNA quality and validity </w:t>
      </w:r>
      <w:r>
        <w:t xml:space="preserve">of the results are </w:t>
      </w:r>
      <w:r w:rsidR="00BC0D06">
        <w:t>assessed by multiple methods</w:t>
      </w:r>
      <w:r>
        <w:t>,</w:t>
      </w:r>
      <w:r w:rsidR="00BC0D06">
        <w:t xml:space="preserve"> including assay validation via gel electrophoresis, melting temperature curves, sample and assay replicates, and standard dilution series plots. Additionally, transcriptional findings can be validated by independent methods on brain hemisection including Western blot and </w:t>
      </w:r>
      <w:r w:rsidR="00724CAD" w:rsidRPr="00724CAD">
        <w:t>immunofluorescence</w:t>
      </w:r>
      <w:r w:rsidR="00724CAD" w:rsidRPr="00724CAD" w:rsidDel="00724CAD">
        <w:t xml:space="preserve"> </w:t>
      </w:r>
      <w:r w:rsidR="00BC0D06">
        <w:t xml:space="preserve">assays. </w:t>
      </w:r>
    </w:p>
    <w:p w14:paraId="68CBF08D" w14:textId="77777777" w:rsidR="002C20F7" w:rsidRDefault="002C20F7" w:rsidP="00EA30FE">
      <w:pPr>
        <w:rPr>
          <w:rFonts w:cs="Times New Roman"/>
          <w:color w:val="auto"/>
        </w:rPr>
      </w:pPr>
    </w:p>
    <w:p w14:paraId="72D84FA0" w14:textId="0DDCD68A" w:rsidR="00EE3286" w:rsidRPr="0098363A" w:rsidRDefault="00F72521" w:rsidP="0098363A">
      <w:pPr>
        <w:pStyle w:val="a3"/>
        <w:numPr>
          <w:ilvl w:val="0"/>
          <w:numId w:val="5"/>
        </w:numPr>
        <w:rPr>
          <w:b/>
        </w:rPr>
      </w:pPr>
      <w:r w:rsidRPr="0098363A">
        <w:rPr>
          <w:b/>
        </w:rPr>
        <w:t xml:space="preserve">Measuring </w:t>
      </w:r>
      <w:r w:rsidR="008B3BF0">
        <w:rPr>
          <w:b/>
        </w:rPr>
        <w:t xml:space="preserve">the </w:t>
      </w:r>
      <w:r w:rsidR="00BB5D76" w:rsidRPr="0098363A">
        <w:rPr>
          <w:b/>
        </w:rPr>
        <w:t xml:space="preserve">bacterial abundance with microfluidic </w:t>
      </w:r>
      <w:r w:rsidR="00EE3286" w:rsidRPr="0098363A">
        <w:rPr>
          <w:b/>
        </w:rPr>
        <w:t>RT-qPCR</w:t>
      </w:r>
    </w:p>
    <w:p w14:paraId="6F73975F" w14:textId="77777777" w:rsidR="00F72521" w:rsidRDefault="00F72521" w:rsidP="00EA30FE">
      <w:pPr>
        <w:rPr>
          <w:b/>
        </w:rPr>
      </w:pPr>
    </w:p>
    <w:p w14:paraId="4083073B" w14:textId="556CAEA2" w:rsidR="00F72521" w:rsidRDefault="00F72521" w:rsidP="0098363A">
      <w:pPr>
        <w:pStyle w:val="a3"/>
        <w:numPr>
          <w:ilvl w:val="1"/>
          <w:numId w:val="5"/>
        </w:numPr>
      </w:pPr>
      <w:r>
        <w:t xml:space="preserve">Extract </w:t>
      </w:r>
      <w:r w:rsidR="008B3BF0">
        <w:t xml:space="preserve">the </w:t>
      </w:r>
      <w:r>
        <w:t xml:space="preserve">bacterial DNA </w:t>
      </w:r>
      <w:r w:rsidR="00782748">
        <w:t xml:space="preserve">following </w:t>
      </w:r>
      <w:r w:rsidR="005B4EB7">
        <w:t xml:space="preserve">the </w:t>
      </w:r>
      <w:r w:rsidR="00782748">
        <w:t xml:space="preserve">directions of </w:t>
      </w:r>
      <w:r w:rsidR="008B3BF0">
        <w:t xml:space="preserve">the </w:t>
      </w:r>
      <w:r w:rsidR="00782748">
        <w:t>stool DNA extraction kit.</w:t>
      </w:r>
    </w:p>
    <w:p w14:paraId="7DB935AD" w14:textId="77777777" w:rsidR="00BF3C3E" w:rsidRDefault="00BF3C3E" w:rsidP="00EA30FE"/>
    <w:p w14:paraId="454D267B" w14:textId="470630F2" w:rsidR="00BF3C3E" w:rsidRDefault="00BF3C3E" w:rsidP="0098363A">
      <w:pPr>
        <w:pStyle w:val="a3"/>
        <w:numPr>
          <w:ilvl w:val="1"/>
          <w:numId w:val="5"/>
        </w:numPr>
      </w:pPr>
      <w:r>
        <w:t xml:space="preserve">Estimate </w:t>
      </w:r>
      <w:r w:rsidR="008B3BF0">
        <w:t xml:space="preserve">the </w:t>
      </w:r>
      <w:r w:rsidR="00981A83">
        <w:t xml:space="preserve">bacterial DNA concentration using qPCR. </w:t>
      </w:r>
    </w:p>
    <w:p w14:paraId="3BCA279B" w14:textId="77777777" w:rsidR="00BF3C3E" w:rsidRDefault="00BF3C3E" w:rsidP="00EA30FE"/>
    <w:p w14:paraId="555E46DD" w14:textId="24EA68CE" w:rsidR="00BF3C3E" w:rsidRDefault="00981A83" w:rsidP="0098363A">
      <w:pPr>
        <w:pStyle w:val="a3"/>
        <w:numPr>
          <w:ilvl w:val="1"/>
          <w:numId w:val="5"/>
        </w:numPr>
      </w:pPr>
      <w:r>
        <w:t>A</w:t>
      </w:r>
      <w:r w:rsidR="00BF3C3E">
        <w:t xml:space="preserve">dd </w:t>
      </w:r>
      <w:r w:rsidR="008B3BF0">
        <w:t xml:space="preserve">the </w:t>
      </w:r>
      <w:r w:rsidR="00BF3C3E">
        <w:t xml:space="preserve">extracted bacterial DNA to </w:t>
      </w:r>
      <w:r w:rsidR="008B3BF0">
        <w:t xml:space="preserve">a </w:t>
      </w:r>
      <w:r w:rsidR="00BF3C3E">
        <w:t>new PCR plate.</w:t>
      </w:r>
      <w:r>
        <w:t xml:space="preserve"> </w:t>
      </w:r>
      <w:r w:rsidR="008B3BF0">
        <w:t xml:space="preserve">Add </w:t>
      </w:r>
      <w:r>
        <w:t>1</w:t>
      </w:r>
      <w:r w:rsidR="00BF3C3E">
        <w:t xml:space="preserve"> </w:t>
      </w:r>
      <w:r w:rsidR="00BB5D76">
        <w:t>μL</w:t>
      </w:r>
      <w:r>
        <w:t xml:space="preserve"> of extracted bacterial DNA and 9 </w:t>
      </w:r>
      <w:r w:rsidR="00BB5D76">
        <w:t>μL</w:t>
      </w:r>
      <w:r>
        <w:t xml:space="preserve"> of DNA Suspension buffer. </w:t>
      </w:r>
    </w:p>
    <w:p w14:paraId="1CD17929" w14:textId="77777777" w:rsidR="00981A83" w:rsidRDefault="00981A83" w:rsidP="00EA30FE"/>
    <w:p w14:paraId="2B21CA73" w14:textId="180FD6D6" w:rsidR="00981A83" w:rsidRDefault="00981A83" w:rsidP="0098363A">
      <w:pPr>
        <w:pStyle w:val="a3"/>
        <w:numPr>
          <w:ilvl w:val="1"/>
          <w:numId w:val="5"/>
        </w:numPr>
      </w:pPr>
      <w:r>
        <w:t xml:space="preserve">Prepare </w:t>
      </w:r>
      <w:r w:rsidR="008B3BF0">
        <w:t xml:space="preserve">the </w:t>
      </w:r>
      <w:r>
        <w:t xml:space="preserve">assay plate for </w:t>
      </w:r>
      <w:r w:rsidR="008B3BF0">
        <w:t xml:space="preserve">the </w:t>
      </w:r>
      <w:r>
        <w:t xml:space="preserve">48.48 Dynamic Array </w:t>
      </w:r>
      <w:r w:rsidR="00374160">
        <w:t xml:space="preserve">Chip </w:t>
      </w:r>
      <w:r>
        <w:t>(</w:t>
      </w:r>
      <w:r w:rsidR="008521EF">
        <w:t xml:space="preserve">see </w:t>
      </w:r>
      <w:r w:rsidR="00D04B12">
        <w:t>steps 7.2.1–7.2.2</w:t>
      </w:r>
      <w:r>
        <w:t>)</w:t>
      </w:r>
    </w:p>
    <w:p w14:paraId="4A606C3A" w14:textId="77777777" w:rsidR="00981A83" w:rsidRDefault="00981A83" w:rsidP="00EA30FE"/>
    <w:p w14:paraId="7024CDBA" w14:textId="601200DB" w:rsidR="00981A83" w:rsidRPr="0098363A" w:rsidRDefault="00981A83" w:rsidP="0098363A">
      <w:pPr>
        <w:pStyle w:val="a3"/>
        <w:numPr>
          <w:ilvl w:val="1"/>
          <w:numId w:val="5"/>
        </w:numPr>
        <w:rPr>
          <w:rFonts w:cs="Times New Roman"/>
          <w:color w:val="auto"/>
        </w:rPr>
      </w:pPr>
      <w:r w:rsidRPr="0098363A">
        <w:rPr>
          <w:rFonts w:cs="Times New Roman"/>
          <w:color w:val="auto"/>
        </w:rPr>
        <w:t xml:space="preserve">Prepare </w:t>
      </w:r>
      <w:r w:rsidR="008B3BF0">
        <w:rPr>
          <w:rFonts w:cs="Times New Roman"/>
          <w:color w:val="auto"/>
        </w:rPr>
        <w:t xml:space="preserve">the </w:t>
      </w:r>
      <w:r w:rsidRPr="0098363A">
        <w:rPr>
          <w:rFonts w:cs="Times New Roman"/>
          <w:color w:val="auto"/>
        </w:rPr>
        <w:t xml:space="preserve">sample plate for </w:t>
      </w:r>
      <w:r w:rsidR="008B3BF0">
        <w:rPr>
          <w:rFonts w:cs="Times New Roman"/>
          <w:color w:val="auto"/>
        </w:rPr>
        <w:t xml:space="preserve">the </w:t>
      </w:r>
      <w:r w:rsidRPr="0098363A">
        <w:rPr>
          <w:rFonts w:cs="Times New Roman"/>
          <w:color w:val="auto"/>
        </w:rPr>
        <w:t>48.48 Dynamic Array</w:t>
      </w:r>
      <w:r w:rsidR="004B2269" w:rsidRPr="0098363A">
        <w:rPr>
          <w:rFonts w:cs="Times New Roman"/>
          <w:color w:val="auto"/>
        </w:rPr>
        <w:t xml:space="preserve"> </w:t>
      </w:r>
      <w:r w:rsidR="00374160">
        <w:t xml:space="preserve">Chip </w:t>
      </w:r>
      <w:r w:rsidR="00D04B12" w:rsidRPr="0098363A">
        <w:rPr>
          <w:rFonts w:cs="Times New Roman"/>
          <w:color w:val="auto"/>
        </w:rPr>
        <w:t>(</w:t>
      </w:r>
      <w:r w:rsidR="008521EF">
        <w:rPr>
          <w:rFonts w:cs="Times New Roman"/>
          <w:color w:val="auto"/>
        </w:rPr>
        <w:t xml:space="preserve">see </w:t>
      </w:r>
      <w:r w:rsidR="00D04B12" w:rsidRPr="0098363A">
        <w:rPr>
          <w:rFonts w:cs="Times New Roman"/>
          <w:color w:val="auto"/>
        </w:rPr>
        <w:t>steps 7.3.1–7.3.2)</w:t>
      </w:r>
    </w:p>
    <w:p w14:paraId="4EF53E8C" w14:textId="77777777" w:rsidR="00981A83" w:rsidRDefault="00981A83" w:rsidP="00EA30FE">
      <w:pPr>
        <w:rPr>
          <w:rFonts w:cs="Times New Roman"/>
          <w:color w:val="auto"/>
        </w:rPr>
      </w:pPr>
    </w:p>
    <w:p w14:paraId="316D62F1" w14:textId="211B0C1B" w:rsidR="00981A83" w:rsidRDefault="00981A83" w:rsidP="0098363A">
      <w:pPr>
        <w:pStyle w:val="a3"/>
        <w:numPr>
          <w:ilvl w:val="2"/>
          <w:numId w:val="5"/>
        </w:numPr>
      </w:pPr>
      <w:r w:rsidRPr="0098363A">
        <w:rPr>
          <w:rFonts w:cs="Times New Roman"/>
          <w:color w:val="auto"/>
        </w:rPr>
        <w:t xml:space="preserve">In </w:t>
      </w:r>
      <w:r w:rsidR="008B3BF0">
        <w:rPr>
          <w:rFonts w:cs="Times New Roman"/>
          <w:color w:val="auto"/>
        </w:rPr>
        <w:t xml:space="preserve">a </w:t>
      </w:r>
      <w:r w:rsidRPr="0098363A">
        <w:rPr>
          <w:rFonts w:cs="Times New Roman"/>
          <w:color w:val="auto"/>
        </w:rPr>
        <w:t xml:space="preserve">new 96 well PCR plate, add 0.45 </w:t>
      </w:r>
      <w:r w:rsidR="00BB5D76">
        <w:t>μL</w:t>
      </w:r>
      <w:r>
        <w:t xml:space="preserve"> of </w:t>
      </w:r>
      <w:r w:rsidRPr="00C954CB">
        <w:t>20</w:t>
      </w:r>
      <w:r w:rsidR="008B3BF0" w:rsidRPr="00C954CB">
        <w:t>x</w:t>
      </w:r>
      <w:r w:rsidRPr="00C954CB">
        <w:t xml:space="preserve"> DNA binding dye</w:t>
      </w:r>
      <w:r>
        <w:t xml:space="preserve"> and </w:t>
      </w:r>
      <w:r w:rsidRPr="00C954CB">
        <w:t xml:space="preserve">4.55 </w:t>
      </w:r>
      <w:r w:rsidR="00BB5D76">
        <w:t>μL</w:t>
      </w:r>
      <w:r>
        <w:t xml:space="preserve"> of</w:t>
      </w:r>
      <w:r w:rsidR="0071094A" w:rsidRPr="000F5526">
        <w:t xml:space="preserve"> </w:t>
      </w:r>
      <w:r w:rsidR="0071094A" w:rsidRPr="008B3BF0">
        <w:t>low</w:t>
      </w:r>
      <w:r w:rsidR="0071094A">
        <w:t xml:space="preserve"> </w:t>
      </w:r>
      <w:r w:rsidR="008B3BF0">
        <w:t xml:space="preserve">ROX </w:t>
      </w:r>
      <w:r w:rsidR="0071094A">
        <w:t>mastermix</w:t>
      </w:r>
      <w:r w:rsidR="00B82176">
        <w:t xml:space="preserve"> </w:t>
      </w:r>
      <w:r w:rsidR="004B2269">
        <w:t>to 48</w:t>
      </w:r>
      <w:r>
        <w:t xml:space="preserve"> well</w:t>
      </w:r>
      <w:r w:rsidR="004B2269">
        <w:t>s</w:t>
      </w:r>
      <w:r>
        <w:t xml:space="preserve">. </w:t>
      </w:r>
    </w:p>
    <w:p w14:paraId="4C798879" w14:textId="77777777" w:rsidR="00981A83" w:rsidRDefault="00981A83" w:rsidP="00EA30FE">
      <w:pPr>
        <w:tabs>
          <w:tab w:val="left" w:pos="7515"/>
        </w:tabs>
      </w:pPr>
    </w:p>
    <w:p w14:paraId="6D756A63" w14:textId="4581365D" w:rsidR="00981A83" w:rsidRDefault="00981A83" w:rsidP="0098363A">
      <w:pPr>
        <w:pStyle w:val="a3"/>
        <w:numPr>
          <w:ilvl w:val="2"/>
          <w:numId w:val="5"/>
        </w:numPr>
      </w:pPr>
      <w:r w:rsidRPr="0098363A">
        <w:rPr>
          <w:rFonts w:cs="Times New Roman"/>
          <w:color w:val="auto"/>
        </w:rPr>
        <w:t xml:space="preserve">Add 3 </w:t>
      </w:r>
      <w:r w:rsidR="00BB5D76">
        <w:t>μL</w:t>
      </w:r>
      <w:r>
        <w:t xml:space="preserve"> </w:t>
      </w:r>
      <w:r w:rsidR="00720CE8">
        <w:t xml:space="preserve">of </w:t>
      </w:r>
      <w:r w:rsidR="00D42A07">
        <w:t xml:space="preserve">the </w:t>
      </w:r>
      <w:r w:rsidR="00720CE8">
        <w:t xml:space="preserve">sample </w:t>
      </w:r>
      <w:r>
        <w:t xml:space="preserve">from </w:t>
      </w:r>
      <w:r w:rsidR="008B3BF0">
        <w:t xml:space="preserve">the </w:t>
      </w:r>
      <w:r>
        <w:t>PCR plat</w:t>
      </w:r>
      <w:r w:rsidR="004B2269">
        <w:t xml:space="preserve">e containing </w:t>
      </w:r>
      <w:r w:rsidR="008B3BF0">
        <w:t xml:space="preserve">the </w:t>
      </w:r>
      <w:r w:rsidR="004B2269">
        <w:t xml:space="preserve">bacterial DNA to </w:t>
      </w:r>
      <w:r w:rsidR="008B3BF0">
        <w:t xml:space="preserve">the </w:t>
      </w:r>
      <w:r w:rsidR="004B2269">
        <w:t>48 wells</w:t>
      </w:r>
      <w:r w:rsidR="008B3BF0">
        <w:t xml:space="preserve"> and</w:t>
      </w:r>
      <w:r>
        <w:t xml:space="preserve"> spin down </w:t>
      </w:r>
      <w:r w:rsidR="008B3BF0">
        <w:t xml:space="preserve">the </w:t>
      </w:r>
      <w:r>
        <w:t>PCR plate at 1</w:t>
      </w:r>
      <w:r w:rsidR="00BB5D76">
        <w:t>,</w:t>
      </w:r>
      <w:r w:rsidR="00D12EB3">
        <w:t>3</w:t>
      </w:r>
      <w:r>
        <w:t xml:space="preserve">00 </w:t>
      </w:r>
      <w:r w:rsidR="00D12EB3">
        <w:t>x</w:t>
      </w:r>
      <w:r w:rsidR="00BB5D76" w:rsidRPr="00BB5D76">
        <w:rPr>
          <w:i/>
          <w:iCs/>
        </w:rPr>
        <w:t xml:space="preserve"> g</w:t>
      </w:r>
      <w:r w:rsidR="004B2269">
        <w:t xml:space="preserve"> for 5 min. Store at 4</w:t>
      </w:r>
      <w:r w:rsidR="00BB5D76">
        <w:t xml:space="preserve"> °C</w:t>
      </w:r>
      <w:r>
        <w:t>.</w:t>
      </w:r>
    </w:p>
    <w:p w14:paraId="4C7F4F66" w14:textId="77777777" w:rsidR="00981A83" w:rsidRDefault="00981A83" w:rsidP="00EA30FE">
      <w:pPr>
        <w:rPr>
          <w:rFonts w:cs="Times New Roman"/>
          <w:color w:val="auto"/>
        </w:rPr>
      </w:pPr>
    </w:p>
    <w:p w14:paraId="4B15EA93" w14:textId="30070B4A" w:rsidR="00981A83" w:rsidRDefault="00981A83" w:rsidP="0098363A">
      <w:pPr>
        <w:pStyle w:val="a3"/>
        <w:numPr>
          <w:ilvl w:val="1"/>
          <w:numId w:val="5"/>
        </w:numPr>
      </w:pPr>
      <w:r>
        <w:t xml:space="preserve">Load and </w:t>
      </w:r>
      <w:r w:rsidR="008B3BF0">
        <w:t xml:space="preserve">run the </w:t>
      </w:r>
      <w:r>
        <w:t>48.48 Dynamic Array Chip (</w:t>
      </w:r>
      <w:r w:rsidR="006C2D2D">
        <w:t xml:space="preserve">see </w:t>
      </w:r>
      <w:r w:rsidR="00782748">
        <w:t>steps 7.4.1–7.4.7</w:t>
      </w:r>
      <w:r>
        <w:t>)</w:t>
      </w:r>
      <w:r w:rsidR="008B3BF0">
        <w:t>.</w:t>
      </w:r>
    </w:p>
    <w:p w14:paraId="5BA8B87F" w14:textId="77777777" w:rsidR="00EE3286" w:rsidRPr="00104EFF" w:rsidRDefault="00EE3286" w:rsidP="00EA30FE">
      <w:pPr>
        <w:rPr>
          <w:rFonts w:cs="Times New Roman"/>
          <w:color w:val="auto"/>
        </w:rPr>
      </w:pPr>
    </w:p>
    <w:p w14:paraId="02BF4380" w14:textId="690DDE92" w:rsidR="00971028" w:rsidRPr="005D66AC" w:rsidRDefault="007031F8" w:rsidP="00EA30FE">
      <w:pPr>
        <w:rPr>
          <w:rFonts w:cs="Times New Roman"/>
          <w:b/>
          <w:bCs/>
          <w:color w:val="auto"/>
        </w:rPr>
      </w:pPr>
      <w:r w:rsidRPr="005D66AC">
        <w:rPr>
          <w:rFonts w:cs="Times New Roman"/>
          <w:b/>
          <w:bCs/>
          <w:color w:val="auto"/>
        </w:rPr>
        <w:t>REPRESENTATIVE RESULTS:</w:t>
      </w:r>
    </w:p>
    <w:p w14:paraId="7E8D4842" w14:textId="693ABFBF" w:rsidR="007D461D" w:rsidRDefault="00A7119C" w:rsidP="00EA30FE">
      <w:pPr>
        <w:rPr>
          <w:rFonts w:cs="Times New Roman"/>
          <w:color w:val="auto"/>
        </w:rPr>
      </w:pPr>
      <w:r>
        <w:rPr>
          <w:rFonts w:cs="Times New Roman"/>
          <w:color w:val="auto"/>
        </w:rPr>
        <w:t xml:space="preserve">The </w:t>
      </w:r>
      <w:r w:rsidR="00971028">
        <w:rPr>
          <w:rFonts w:cs="Times New Roman"/>
          <w:color w:val="auto"/>
        </w:rPr>
        <w:t xml:space="preserve">selection of </w:t>
      </w:r>
      <w:r w:rsidR="00E141A6">
        <w:rPr>
          <w:rFonts w:cs="Times New Roman"/>
          <w:color w:val="auto"/>
        </w:rPr>
        <w:t xml:space="preserve">the </w:t>
      </w:r>
      <w:r w:rsidR="00BB5D76">
        <w:rPr>
          <w:rFonts w:cs="Times New Roman"/>
          <w:color w:val="auto"/>
        </w:rPr>
        <w:t>single cell</w:t>
      </w:r>
      <w:r w:rsidR="00971028">
        <w:rPr>
          <w:rFonts w:cs="Times New Roman"/>
          <w:color w:val="auto"/>
        </w:rPr>
        <w:t xml:space="preserve">s </w:t>
      </w:r>
      <w:r w:rsidR="00E141A6">
        <w:rPr>
          <w:rFonts w:cs="Times New Roman"/>
          <w:color w:val="auto"/>
        </w:rPr>
        <w:t xml:space="preserve">was </w:t>
      </w:r>
      <w:r w:rsidR="00971028">
        <w:rPr>
          <w:rFonts w:cs="Times New Roman"/>
          <w:color w:val="auto"/>
        </w:rPr>
        <w:t xml:space="preserve">validated both visually and molecularly. Visually, cellular morphology </w:t>
      </w:r>
      <w:r w:rsidR="00E141A6">
        <w:rPr>
          <w:rFonts w:cs="Times New Roman"/>
          <w:color w:val="auto"/>
        </w:rPr>
        <w:t xml:space="preserve">was </w:t>
      </w:r>
      <w:r w:rsidR="00971028">
        <w:rPr>
          <w:rFonts w:cs="Times New Roman"/>
          <w:color w:val="auto"/>
        </w:rPr>
        <w:t xml:space="preserve">viewed before cell collection. Cells collected </w:t>
      </w:r>
      <w:r w:rsidR="00E141A6">
        <w:rPr>
          <w:rFonts w:cs="Times New Roman"/>
          <w:color w:val="auto"/>
        </w:rPr>
        <w:t xml:space="preserve">were </w:t>
      </w:r>
      <w:r w:rsidR="00971028">
        <w:rPr>
          <w:rFonts w:cs="Times New Roman"/>
          <w:color w:val="auto"/>
        </w:rPr>
        <w:t>then viewed at the QC station and the cellular nuclei stain (DAPI) overlap</w:t>
      </w:r>
      <w:r w:rsidR="00E141A6">
        <w:rPr>
          <w:rFonts w:cs="Times New Roman"/>
          <w:color w:val="auto"/>
        </w:rPr>
        <w:t>ped</w:t>
      </w:r>
      <w:r w:rsidR="00971028">
        <w:rPr>
          <w:rFonts w:cs="Times New Roman"/>
          <w:color w:val="auto"/>
        </w:rPr>
        <w:t xml:space="preserve"> with the </w:t>
      </w:r>
      <w:r w:rsidR="00BB5D76">
        <w:rPr>
          <w:rFonts w:cs="Times New Roman"/>
          <w:color w:val="auto"/>
        </w:rPr>
        <w:t>single cell</w:t>
      </w:r>
      <w:r w:rsidR="00971028">
        <w:rPr>
          <w:rFonts w:cs="Times New Roman"/>
          <w:color w:val="auto"/>
        </w:rPr>
        <w:t xml:space="preserve"> selec</w:t>
      </w:r>
      <w:r w:rsidR="00850E64">
        <w:rPr>
          <w:rFonts w:cs="Times New Roman"/>
          <w:color w:val="auto"/>
        </w:rPr>
        <w:t>tion marker fluorescence</w:t>
      </w:r>
      <w:r w:rsidR="00B73503">
        <w:rPr>
          <w:rFonts w:cs="Times New Roman"/>
          <w:color w:val="auto"/>
        </w:rPr>
        <w:t>.</w:t>
      </w:r>
      <w:r w:rsidR="00850E64">
        <w:rPr>
          <w:rFonts w:cs="Times New Roman"/>
          <w:color w:val="auto"/>
        </w:rPr>
        <w:t xml:space="preserve"> </w:t>
      </w:r>
      <w:r w:rsidR="00B73503">
        <w:rPr>
          <w:rFonts w:cs="Times New Roman"/>
          <w:b/>
          <w:color w:val="auto"/>
        </w:rPr>
        <w:t>Figure</w:t>
      </w:r>
      <w:r w:rsidR="00850E64" w:rsidRPr="00B72BF6">
        <w:rPr>
          <w:rFonts w:cs="Times New Roman"/>
          <w:b/>
          <w:color w:val="auto"/>
        </w:rPr>
        <w:t xml:space="preserve"> 2</w:t>
      </w:r>
      <w:r w:rsidR="00B73503">
        <w:rPr>
          <w:rFonts w:cs="Times New Roman"/>
          <w:b/>
          <w:color w:val="auto"/>
        </w:rPr>
        <w:t xml:space="preserve">A </w:t>
      </w:r>
      <w:r w:rsidR="00B73503">
        <w:rPr>
          <w:rFonts w:cs="Times New Roman"/>
          <w:color w:val="auto"/>
        </w:rPr>
        <w:t xml:space="preserve">shows representative images of a slide with hemisected rat forebrain containing the CeA. Subsequent images </w:t>
      </w:r>
      <w:r w:rsidR="00DB4EDC" w:rsidRPr="00DB4EDC">
        <w:rPr>
          <w:rFonts w:cs="Times New Roman"/>
          <w:color w:val="auto"/>
        </w:rPr>
        <w:t>(</w:t>
      </w:r>
      <w:r w:rsidR="00BE52E9" w:rsidRPr="00BE52E9">
        <w:rPr>
          <w:rFonts w:cs="Times New Roman"/>
          <w:b/>
          <w:color w:val="auto"/>
        </w:rPr>
        <w:t>Figure</w:t>
      </w:r>
      <w:r w:rsidR="00B73503" w:rsidRPr="00B73503">
        <w:rPr>
          <w:rFonts w:cs="Times New Roman"/>
          <w:b/>
          <w:color w:val="auto"/>
        </w:rPr>
        <w:t xml:space="preserve"> 2 B</w:t>
      </w:r>
      <w:r w:rsidRPr="00A7119C">
        <w:rPr>
          <w:rFonts w:cs="Times New Roman"/>
          <w:bCs/>
          <w:color w:val="auto"/>
        </w:rPr>
        <w:t>–</w:t>
      </w:r>
      <w:r w:rsidR="00B73503" w:rsidRPr="00B73503">
        <w:rPr>
          <w:rFonts w:cs="Times New Roman"/>
          <w:b/>
          <w:color w:val="auto"/>
        </w:rPr>
        <w:t>D</w:t>
      </w:r>
      <w:r w:rsidR="00DB4EDC" w:rsidRPr="00DB4EDC">
        <w:rPr>
          <w:rFonts w:cs="Times New Roman"/>
          <w:color w:val="auto"/>
        </w:rPr>
        <w:t>)</w:t>
      </w:r>
      <w:r w:rsidR="00B73503">
        <w:rPr>
          <w:rFonts w:cs="Times New Roman"/>
          <w:color w:val="auto"/>
        </w:rPr>
        <w:t xml:space="preserve"> show the selection of single cells and their removal from the tissue for transcriptomic analysis. </w:t>
      </w:r>
      <w:r w:rsidR="007D461D">
        <w:rPr>
          <w:rFonts w:cs="Times New Roman"/>
          <w:color w:val="auto"/>
        </w:rPr>
        <w:t xml:space="preserve">Molecularly, </w:t>
      </w:r>
      <w:r w:rsidR="00E141A6">
        <w:rPr>
          <w:rFonts w:cs="Times New Roman"/>
          <w:color w:val="auto"/>
        </w:rPr>
        <w:t xml:space="preserve">the </w:t>
      </w:r>
      <w:r w:rsidR="007D461D">
        <w:rPr>
          <w:rFonts w:cs="Times New Roman"/>
          <w:color w:val="auto"/>
        </w:rPr>
        <w:t>cell type-specific markers demonstrate</w:t>
      </w:r>
      <w:r w:rsidR="00E141A6">
        <w:rPr>
          <w:rFonts w:cs="Times New Roman"/>
          <w:color w:val="auto"/>
        </w:rPr>
        <w:t>d</w:t>
      </w:r>
      <w:r w:rsidR="007D461D">
        <w:rPr>
          <w:rFonts w:cs="Times New Roman"/>
          <w:color w:val="auto"/>
        </w:rPr>
        <w:t xml:space="preserve"> increased expression in that cell type</w:t>
      </w:r>
      <w:r w:rsidR="00850E64">
        <w:rPr>
          <w:rFonts w:cs="Times New Roman"/>
          <w:color w:val="auto"/>
        </w:rPr>
        <w:t xml:space="preserve"> </w:t>
      </w:r>
      <w:r w:rsidR="00DB4EDC" w:rsidRPr="00DB4EDC">
        <w:rPr>
          <w:rFonts w:cs="Times New Roman"/>
          <w:color w:val="auto"/>
        </w:rPr>
        <w:t>(</w:t>
      </w:r>
      <w:r w:rsidR="00BE52E9" w:rsidRPr="00BE52E9">
        <w:rPr>
          <w:rFonts w:cs="Times New Roman"/>
          <w:b/>
          <w:color w:val="auto"/>
        </w:rPr>
        <w:t>Figure</w:t>
      </w:r>
      <w:r w:rsidR="00850E64" w:rsidRPr="00B72BF6">
        <w:rPr>
          <w:rFonts w:cs="Times New Roman"/>
          <w:b/>
          <w:color w:val="auto"/>
        </w:rPr>
        <w:t xml:space="preserve"> 1C</w:t>
      </w:r>
      <w:r w:rsidR="00DB4EDC" w:rsidRPr="00DB4EDC">
        <w:rPr>
          <w:rFonts w:cs="Times New Roman"/>
          <w:color w:val="auto"/>
        </w:rPr>
        <w:t>)</w:t>
      </w:r>
      <w:r w:rsidR="007D461D">
        <w:rPr>
          <w:rFonts w:cs="Times New Roman"/>
          <w:color w:val="auto"/>
        </w:rPr>
        <w:t>.</w:t>
      </w:r>
      <w:r w:rsidR="00B73503">
        <w:rPr>
          <w:rFonts w:cs="Times New Roman"/>
          <w:color w:val="auto"/>
        </w:rPr>
        <w:t xml:space="preserve"> </w:t>
      </w:r>
      <w:r w:rsidR="007D461D">
        <w:rPr>
          <w:rFonts w:cs="Times New Roman"/>
          <w:color w:val="auto"/>
        </w:rPr>
        <w:t xml:space="preserve">We looked at neurons, microglia, and astrocytes and measured the expression of </w:t>
      </w:r>
      <w:r w:rsidR="007D461D" w:rsidRPr="007D461D">
        <w:rPr>
          <w:rFonts w:cs="Times New Roman"/>
          <w:i/>
          <w:color w:val="auto"/>
        </w:rPr>
        <w:t>NeuN</w:t>
      </w:r>
      <w:r w:rsidR="007D461D">
        <w:rPr>
          <w:rFonts w:cs="Times New Roman"/>
          <w:color w:val="auto"/>
        </w:rPr>
        <w:t xml:space="preserve">, </w:t>
      </w:r>
      <w:r w:rsidR="007D461D" w:rsidRPr="007D461D">
        <w:rPr>
          <w:rFonts w:cs="Times New Roman"/>
          <w:i/>
          <w:color w:val="auto"/>
        </w:rPr>
        <w:t>Maf</w:t>
      </w:r>
      <w:r w:rsidR="007D461D">
        <w:rPr>
          <w:rFonts w:cs="Times New Roman"/>
          <w:color w:val="auto"/>
        </w:rPr>
        <w:t xml:space="preserve">, and </w:t>
      </w:r>
      <w:r w:rsidR="007D461D" w:rsidRPr="007D461D">
        <w:rPr>
          <w:rFonts w:cs="Times New Roman"/>
          <w:i/>
          <w:color w:val="auto"/>
        </w:rPr>
        <w:t>Gfap</w:t>
      </w:r>
      <w:r w:rsidR="007D461D">
        <w:rPr>
          <w:rFonts w:cs="Times New Roman"/>
          <w:color w:val="auto"/>
        </w:rPr>
        <w:t xml:space="preserve">, respectively. </w:t>
      </w:r>
      <w:r w:rsidR="00E141A6">
        <w:rPr>
          <w:rFonts w:cs="Times New Roman"/>
          <w:color w:val="auto"/>
        </w:rPr>
        <w:t>The figures were o</w:t>
      </w:r>
      <w:r w:rsidR="00E141A6">
        <w:rPr>
          <w:rFonts w:cs="Times New Roman"/>
          <w:color w:val="auto"/>
        </w:rPr>
        <w:t xml:space="preserve">riginally published in </w:t>
      </w:r>
      <w:r w:rsidR="00E141A6">
        <w:rPr>
          <w:rFonts w:cs="Times New Roman"/>
          <w:noProof/>
          <w:color w:val="auto"/>
        </w:rPr>
        <w:t>O’Sullivan et al.</w:t>
      </w:r>
      <w:r w:rsidR="00E141A6" w:rsidRPr="0034472B">
        <w:rPr>
          <w:rFonts w:cs="Times New Roman"/>
          <w:noProof/>
          <w:color w:val="auto"/>
          <w:vertAlign w:val="superscript"/>
        </w:rPr>
        <w:t>4</w:t>
      </w:r>
      <w:r w:rsidR="00E141A6">
        <w:rPr>
          <w:rFonts w:cs="Times New Roman"/>
          <w:color w:val="auto"/>
        </w:rPr>
        <w:t>.</w:t>
      </w:r>
    </w:p>
    <w:p w14:paraId="0D1A061E" w14:textId="77777777" w:rsidR="007D461D" w:rsidRDefault="007D461D" w:rsidP="00EA30FE">
      <w:pPr>
        <w:rPr>
          <w:rFonts w:cs="Times New Roman"/>
          <w:color w:val="auto"/>
        </w:rPr>
      </w:pPr>
    </w:p>
    <w:p w14:paraId="3A6953F0" w14:textId="0414F21C" w:rsidR="007D461D" w:rsidRDefault="007D461D" w:rsidP="00EA30FE">
      <w:pPr>
        <w:rPr>
          <w:rFonts w:cs="Times New Roman"/>
          <w:color w:val="auto"/>
        </w:rPr>
      </w:pPr>
      <w:r>
        <w:rPr>
          <w:rFonts w:cs="Times New Roman"/>
          <w:color w:val="auto"/>
        </w:rPr>
        <w:t>Further, controls can also be run</w:t>
      </w:r>
      <w:r w:rsidR="00B73503">
        <w:rPr>
          <w:rFonts w:cs="Times New Roman"/>
          <w:color w:val="auto"/>
        </w:rPr>
        <w:t xml:space="preserve"> in the microfluidic platform</w:t>
      </w:r>
      <w:r>
        <w:rPr>
          <w:rFonts w:cs="Times New Roman"/>
          <w:color w:val="auto"/>
        </w:rPr>
        <w:t xml:space="preserve"> to validate </w:t>
      </w:r>
      <w:r w:rsidR="00EB7181">
        <w:rPr>
          <w:rFonts w:cs="Times New Roman"/>
          <w:color w:val="auto"/>
        </w:rPr>
        <w:t xml:space="preserve">the </w:t>
      </w:r>
      <w:r>
        <w:rPr>
          <w:rFonts w:cs="Times New Roman"/>
          <w:color w:val="auto"/>
        </w:rPr>
        <w:t>expression findings</w:t>
      </w:r>
      <w:r w:rsidR="00EB7181">
        <w:rPr>
          <w:rFonts w:cs="Times New Roman"/>
          <w:color w:val="auto"/>
        </w:rPr>
        <w:t xml:space="preserve"> (e.g., </w:t>
      </w:r>
      <w:r>
        <w:rPr>
          <w:rFonts w:cs="Times New Roman"/>
          <w:color w:val="auto"/>
        </w:rPr>
        <w:t>analysis of other areas of the same tissue to demonstrate nucleus specificity</w:t>
      </w:r>
      <w:r w:rsidR="00EB7181">
        <w:rPr>
          <w:rFonts w:cs="Times New Roman"/>
          <w:color w:val="auto"/>
        </w:rPr>
        <w:t>)</w:t>
      </w:r>
      <w:r>
        <w:rPr>
          <w:rFonts w:cs="Times New Roman"/>
          <w:color w:val="auto"/>
        </w:rPr>
        <w:t xml:space="preserve">. A separate tissue could also be </w:t>
      </w:r>
      <w:r w:rsidR="002C44EA">
        <w:rPr>
          <w:rFonts w:cs="Times New Roman"/>
          <w:color w:val="auto"/>
        </w:rPr>
        <w:t xml:space="preserve">compared to </w:t>
      </w:r>
      <w:r w:rsidR="008521EF">
        <w:rPr>
          <w:rFonts w:cs="Times New Roman"/>
          <w:color w:val="auto"/>
        </w:rPr>
        <w:t xml:space="preserve">the </w:t>
      </w:r>
      <w:r w:rsidR="002C44EA">
        <w:rPr>
          <w:rFonts w:cs="Times New Roman"/>
          <w:color w:val="auto"/>
        </w:rPr>
        <w:t xml:space="preserve">desired sample </w:t>
      </w:r>
      <w:r>
        <w:rPr>
          <w:rFonts w:cs="Times New Roman"/>
          <w:color w:val="auto"/>
        </w:rPr>
        <w:t>to demonstrate primer specificity in the tissue of interest. Positive and negative control genes can also be included</w:t>
      </w:r>
      <w:r w:rsidR="002C44EA">
        <w:rPr>
          <w:rFonts w:cs="Times New Roman"/>
          <w:color w:val="auto"/>
        </w:rPr>
        <w:t xml:space="preserve"> (e.g., </w:t>
      </w:r>
      <w:r>
        <w:rPr>
          <w:rFonts w:cs="Times New Roman"/>
          <w:color w:val="auto"/>
        </w:rPr>
        <w:t xml:space="preserve">genes known to </w:t>
      </w:r>
      <w:r w:rsidR="002C44EA">
        <w:rPr>
          <w:rFonts w:cs="Times New Roman"/>
          <w:color w:val="auto"/>
        </w:rPr>
        <w:t xml:space="preserve">either </w:t>
      </w:r>
      <w:r>
        <w:rPr>
          <w:rFonts w:cs="Times New Roman"/>
          <w:color w:val="auto"/>
        </w:rPr>
        <w:t xml:space="preserve">be absent from </w:t>
      </w:r>
      <w:r w:rsidR="00EB7181">
        <w:rPr>
          <w:rFonts w:cs="Times New Roman"/>
          <w:color w:val="auto"/>
        </w:rPr>
        <w:t xml:space="preserve">the </w:t>
      </w:r>
      <w:r>
        <w:rPr>
          <w:rFonts w:cs="Times New Roman"/>
          <w:color w:val="auto"/>
        </w:rPr>
        <w:t>selected tissue or expressed highly</w:t>
      </w:r>
      <w:r w:rsidR="002C44EA">
        <w:rPr>
          <w:rFonts w:cs="Times New Roman"/>
          <w:color w:val="auto"/>
        </w:rPr>
        <w:t>)</w:t>
      </w:r>
      <w:r>
        <w:rPr>
          <w:rFonts w:cs="Times New Roman"/>
          <w:color w:val="auto"/>
        </w:rPr>
        <w:t xml:space="preserve">. </w:t>
      </w:r>
      <w:r w:rsidR="00EB7181" w:rsidRPr="00555A7F">
        <w:rPr>
          <w:rFonts w:cs="Times New Roman"/>
          <w:color w:val="auto"/>
        </w:rPr>
        <w:t>Three</w:t>
      </w:r>
      <w:r w:rsidR="00EB7181">
        <w:rPr>
          <w:rFonts w:cs="Times New Roman"/>
          <w:color w:val="auto"/>
        </w:rPr>
        <w:t xml:space="preserve"> </w:t>
      </w:r>
      <w:r>
        <w:rPr>
          <w:rFonts w:cs="Times New Roman"/>
          <w:color w:val="auto"/>
        </w:rPr>
        <w:t xml:space="preserve">or </w:t>
      </w:r>
      <w:r w:rsidR="00EB7181" w:rsidRPr="00555A7F">
        <w:rPr>
          <w:rFonts w:cs="Times New Roman"/>
          <w:color w:val="auto"/>
        </w:rPr>
        <w:t>four</w:t>
      </w:r>
      <w:r w:rsidR="00EB7181">
        <w:rPr>
          <w:rFonts w:cs="Times New Roman"/>
          <w:color w:val="auto"/>
        </w:rPr>
        <w:t xml:space="preserve"> </w:t>
      </w:r>
      <w:r>
        <w:rPr>
          <w:rFonts w:cs="Times New Roman"/>
          <w:color w:val="auto"/>
        </w:rPr>
        <w:t xml:space="preserve">housekeeping genes should also be included </w:t>
      </w:r>
      <w:r w:rsidR="00EB7181">
        <w:rPr>
          <w:rFonts w:cs="Times New Roman"/>
          <w:color w:val="auto"/>
        </w:rPr>
        <w:t xml:space="preserve">not only </w:t>
      </w:r>
      <w:r>
        <w:rPr>
          <w:rFonts w:cs="Times New Roman"/>
          <w:color w:val="auto"/>
        </w:rPr>
        <w:t xml:space="preserve">for data normalization purposes but also as a measure of experimental quality. These genes should demonstrate the lowest variance in expression across all samples and treatments. In this representative experiment, no alternate brain region was assayed, but housekeeping genes </w:t>
      </w:r>
      <w:r w:rsidRPr="007D461D">
        <w:rPr>
          <w:rFonts w:cs="Times New Roman"/>
          <w:i/>
          <w:color w:val="auto"/>
        </w:rPr>
        <w:t>Ldha</w:t>
      </w:r>
      <w:r>
        <w:rPr>
          <w:rFonts w:cs="Times New Roman"/>
          <w:color w:val="auto"/>
        </w:rPr>
        <w:t xml:space="preserve"> and </w:t>
      </w:r>
      <w:r w:rsidRPr="007D461D">
        <w:rPr>
          <w:rFonts w:cs="Times New Roman"/>
          <w:i/>
          <w:color w:val="auto"/>
        </w:rPr>
        <w:t>Actb</w:t>
      </w:r>
      <w:r>
        <w:rPr>
          <w:rFonts w:cs="Times New Roman"/>
          <w:color w:val="auto"/>
        </w:rPr>
        <w:t xml:space="preserve"> were used for normalization. </w:t>
      </w:r>
      <w:r w:rsidRPr="007D461D">
        <w:rPr>
          <w:rFonts w:cs="Times New Roman"/>
          <w:i/>
          <w:color w:val="auto"/>
        </w:rPr>
        <w:t>Gapdh</w:t>
      </w:r>
      <w:r>
        <w:rPr>
          <w:rFonts w:cs="Times New Roman"/>
          <w:color w:val="auto"/>
        </w:rPr>
        <w:t xml:space="preserve"> was used as an internal control.</w:t>
      </w:r>
    </w:p>
    <w:p w14:paraId="75C5EA03" w14:textId="77777777" w:rsidR="00850E64" w:rsidRDefault="00850E64" w:rsidP="00EA30FE">
      <w:pPr>
        <w:rPr>
          <w:rFonts w:cs="Times New Roman"/>
          <w:color w:val="auto"/>
        </w:rPr>
      </w:pPr>
    </w:p>
    <w:p w14:paraId="192B1BE5" w14:textId="03653FE2" w:rsidR="007031F8" w:rsidRPr="00104EFF" w:rsidRDefault="00BE52E9" w:rsidP="00EA30FE">
      <w:pPr>
        <w:rPr>
          <w:rFonts w:cs="Times New Roman"/>
          <w:color w:val="auto"/>
        </w:rPr>
      </w:pPr>
      <w:r w:rsidRPr="00BE52E9">
        <w:rPr>
          <w:rFonts w:cs="Times New Roman"/>
          <w:b/>
          <w:color w:val="auto"/>
        </w:rPr>
        <w:t>Figure</w:t>
      </w:r>
      <w:r w:rsidR="00850E64" w:rsidRPr="00B72BF6">
        <w:rPr>
          <w:rFonts w:cs="Times New Roman"/>
          <w:b/>
          <w:color w:val="auto"/>
        </w:rPr>
        <w:t xml:space="preserve"> 3</w:t>
      </w:r>
      <w:r w:rsidR="00850E64">
        <w:rPr>
          <w:rFonts w:cs="Times New Roman"/>
          <w:color w:val="auto"/>
        </w:rPr>
        <w:t xml:space="preserve"> displays some of the multivariate methods our group use</w:t>
      </w:r>
      <w:r w:rsidR="008521EF">
        <w:rPr>
          <w:rFonts w:cs="Times New Roman"/>
          <w:color w:val="auto"/>
        </w:rPr>
        <w:t>d</w:t>
      </w:r>
      <w:r w:rsidR="00850E64">
        <w:rPr>
          <w:rFonts w:cs="Times New Roman"/>
          <w:color w:val="auto"/>
        </w:rPr>
        <w:t xml:space="preserve"> to analyze our data. We </w:t>
      </w:r>
      <w:r w:rsidR="008521EF">
        <w:rPr>
          <w:rFonts w:cs="Times New Roman"/>
          <w:color w:val="auto"/>
        </w:rPr>
        <w:t xml:space="preserve">found </w:t>
      </w:r>
      <w:r w:rsidR="00850E64">
        <w:rPr>
          <w:rFonts w:cs="Times New Roman"/>
          <w:color w:val="auto"/>
        </w:rPr>
        <w:t xml:space="preserve">that astrocytes in </w:t>
      </w:r>
      <w:r w:rsidR="002C44EA">
        <w:rPr>
          <w:rFonts w:cs="Times New Roman"/>
          <w:color w:val="auto"/>
        </w:rPr>
        <w:t xml:space="preserve">the </w:t>
      </w:r>
      <w:r w:rsidR="00850E64">
        <w:rPr>
          <w:rFonts w:cs="Times New Roman"/>
          <w:color w:val="auto"/>
        </w:rPr>
        <w:t xml:space="preserve">Withdrawal </w:t>
      </w:r>
      <w:r w:rsidR="002C44EA">
        <w:rPr>
          <w:rFonts w:cs="Times New Roman"/>
          <w:color w:val="auto"/>
        </w:rPr>
        <w:t xml:space="preserve">group </w:t>
      </w:r>
      <w:r w:rsidR="00850E64">
        <w:rPr>
          <w:rFonts w:cs="Times New Roman"/>
          <w:color w:val="auto"/>
        </w:rPr>
        <w:t>were the most affected cell</w:t>
      </w:r>
      <w:r w:rsidR="002C44EA">
        <w:rPr>
          <w:rFonts w:cs="Times New Roman"/>
          <w:color w:val="auto"/>
        </w:rPr>
        <w:t xml:space="preserve"> </w:t>
      </w:r>
      <w:r w:rsidR="00850E64">
        <w:rPr>
          <w:rFonts w:cs="Times New Roman"/>
          <w:color w:val="auto"/>
        </w:rPr>
        <w:t xml:space="preserve">type. </w:t>
      </w:r>
      <w:r w:rsidR="002C44EA">
        <w:rPr>
          <w:rFonts w:cs="Times New Roman"/>
          <w:color w:val="auto"/>
        </w:rPr>
        <w:t xml:space="preserve">Based </w:t>
      </w:r>
      <w:r w:rsidR="00850E64">
        <w:rPr>
          <w:rFonts w:cs="Times New Roman"/>
          <w:color w:val="auto"/>
        </w:rPr>
        <w:t xml:space="preserve">on these data in the context of other studies </w:t>
      </w:r>
      <w:r w:rsidR="002C44EA">
        <w:rPr>
          <w:rFonts w:cs="Times New Roman"/>
          <w:color w:val="auto"/>
        </w:rPr>
        <w:t xml:space="preserve">we speculate </w:t>
      </w:r>
      <w:r w:rsidR="00850E64">
        <w:rPr>
          <w:rFonts w:cs="Times New Roman"/>
          <w:color w:val="auto"/>
        </w:rPr>
        <w:t xml:space="preserve">that astrocytes play a key role in inflammation in the CeA during opioid withdrawal and that this contributes to the physical and emotional symptoms that drive drug-seeking via negative reinforcement. We also show </w:t>
      </w:r>
      <w:r w:rsidR="002C44EA">
        <w:rPr>
          <w:rFonts w:cs="Times New Roman"/>
          <w:color w:val="auto"/>
        </w:rPr>
        <w:t xml:space="preserve">the </w:t>
      </w:r>
      <w:r w:rsidR="00850E64">
        <w:rPr>
          <w:rFonts w:cs="Times New Roman"/>
          <w:color w:val="auto"/>
        </w:rPr>
        <w:t>gut microflora</w:t>
      </w:r>
      <w:r w:rsidR="00273F50">
        <w:rPr>
          <w:rFonts w:cs="Times New Roman"/>
          <w:color w:val="auto"/>
        </w:rPr>
        <w:t xml:space="preserve"> data </w:t>
      </w:r>
      <w:r w:rsidR="00DB4EDC" w:rsidRPr="00DB4EDC">
        <w:rPr>
          <w:rFonts w:cs="Times New Roman"/>
          <w:color w:val="auto"/>
        </w:rPr>
        <w:t>(</w:t>
      </w:r>
      <w:r w:rsidRPr="00BE52E9">
        <w:rPr>
          <w:rFonts w:cs="Times New Roman"/>
          <w:b/>
          <w:color w:val="auto"/>
        </w:rPr>
        <w:t>Figure</w:t>
      </w:r>
      <w:r w:rsidR="00273F50" w:rsidRPr="00B72BF6">
        <w:rPr>
          <w:rFonts w:cs="Times New Roman"/>
          <w:b/>
          <w:color w:val="auto"/>
        </w:rPr>
        <w:t xml:space="preserve"> 4</w:t>
      </w:r>
      <w:r w:rsidR="00DB4EDC" w:rsidRPr="00DB4EDC">
        <w:rPr>
          <w:rFonts w:cs="Times New Roman"/>
          <w:color w:val="auto"/>
        </w:rPr>
        <w:t>)</w:t>
      </w:r>
      <w:r w:rsidR="00850E64">
        <w:rPr>
          <w:rFonts w:cs="Times New Roman"/>
          <w:color w:val="auto"/>
        </w:rPr>
        <w:t xml:space="preserve">. </w:t>
      </w:r>
    </w:p>
    <w:p w14:paraId="25D9D5B1" w14:textId="77777777" w:rsidR="00104EFF" w:rsidRPr="00104EFF" w:rsidRDefault="00104EFF" w:rsidP="00EA30FE">
      <w:pPr>
        <w:rPr>
          <w:rFonts w:cs="Times New Roman"/>
          <w:color w:val="auto"/>
        </w:rPr>
      </w:pPr>
    </w:p>
    <w:p w14:paraId="30E7B54D" w14:textId="77777777" w:rsidR="007031F8" w:rsidRPr="005D66AC" w:rsidRDefault="007031F8" w:rsidP="00EA30FE">
      <w:pPr>
        <w:rPr>
          <w:rFonts w:cs="Times New Roman"/>
          <w:b/>
          <w:bCs/>
          <w:color w:val="auto"/>
        </w:rPr>
      </w:pPr>
      <w:r w:rsidRPr="005D66AC">
        <w:rPr>
          <w:rFonts w:cs="Times New Roman"/>
          <w:b/>
          <w:bCs/>
          <w:color w:val="auto"/>
        </w:rPr>
        <w:t>FIGURE AND TABLE LEGENDS:</w:t>
      </w:r>
    </w:p>
    <w:p w14:paraId="4423282F" w14:textId="02649309" w:rsidR="00EB3B17" w:rsidRPr="00EB3B17" w:rsidRDefault="00BB5D76" w:rsidP="00EA30FE">
      <w:pPr>
        <w:rPr>
          <w:rFonts w:cs="Times New Roman"/>
          <w:color w:val="auto"/>
        </w:rPr>
      </w:pPr>
      <w:r w:rsidRPr="00BB5D76">
        <w:rPr>
          <w:rFonts w:cs="Times New Roman"/>
          <w:b/>
          <w:bCs/>
          <w:color w:val="auto"/>
        </w:rPr>
        <w:t>Figure</w:t>
      </w:r>
      <w:r w:rsidR="00EB3B17" w:rsidRPr="00EB3B17">
        <w:rPr>
          <w:rFonts w:cs="Times New Roman"/>
          <w:b/>
          <w:bCs/>
          <w:color w:val="auto"/>
        </w:rPr>
        <w:t xml:space="preserve"> 1</w:t>
      </w:r>
      <w:r w:rsidR="002C44EA">
        <w:rPr>
          <w:rFonts w:cs="Times New Roman"/>
          <w:b/>
          <w:bCs/>
          <w:color w:val="auto"/>
        </w:rPr>
        <w:t>:</w:t>
      </w:r>
      <w:r w:rsidR="00EB3B17" w:rsidRPr="00EB3B17">
        <w:rPr>
          <w:rFonts w:cs="Times New Roman"/>
          <w:b/>
          <w:bCs/>
          <w:color w:val="auto"/>
        </w:rPr>
        <w:t xml:space="preserve"> Single-cell RT-qPCR workflow and transcriptional heterogeneity. </w:t>
      </w:r>
      <w:r w:rsidR="00DB4EDC" w:rsidRPr="00DB4EDC">
        <w:rPr>
          <w:rFonts w:cs="Times New Roman"/>
          <w:bCs/>
          <w:color w:val="auto"/>
        </w:rPr>
        <w:t>(</w:t>
      </w:r>
      <w:r w:rsidR="00EB3B17" w:rsidRPr="00EB3B17">
        <w:rPr>
          <w:rFonts w:cs="Times New Roman"/>
          <w:b/>
          <w:bCs/>
          <w:color w:val="auto"/>
        </w:rPr>
        <w:t>A</w:t>
      </w:r>
      <w:r w:rsidR="00DB4EDC" w:rsidRPr="00DB4EDC">
        <w:rPr>
          <w:rFonts w:cs="Times New Roman"/>
          <w:bCs/>
          <w:color w:val="auto"/>
        </w:rPr>
        <w:t>)</w:t>
      </w:r>
      <w:r w:rsidR="00EB3B17" w:rsidRPr="00EB3B17">
        <w:rPr>
          <w:rFonts w:cs="Times New Roman"/>
          <w:b/>
          <w:bCs/>
          <w:color w:val="auto"/>
        </w:rPr>
        <w:t xml:space="preserve"> </w:t>
      </w:r>
      <w:r w:rsidR="00EB3B17" w:rsidRPr="00EB3B17">
        <w:rPr>
          <w:rFonts w:cs="Times New Roman"/>
          <w:color w:val="auto"/>
        </w:rPr>
        <w:t>Experimental protocol (n</w:t>
      </w:r>
      <w:r w:rsidR="00C94CBB">
        <w:rPr>
          <w:rFonts w:cs="Times New Roman"/>
          <w:color w:val="auto"/>
        </w:rPr>
        <w:t xml:space="preserve"> </w:t>
      </w:r>
      <w:r w:rsidR="00EB3B17" w:rsidRPr="00EB3B17">
        <w:rPr>
          <w:rFonts w:cs="Times New Roman"/>
          <w:color w:val="auto"/>
        </w:rPr>
        <w:t>=</w:t>
      </w:r>
      <w:r w:rsidR="00C94CBB">
        <w:rPr>
          <w:rFonts w:cs="Times New Roman"/>
          <w:color w:val="auto"/>
        </w:rPr>
        <w:t xml:space="preserve"> </w:t>
      </w:r>
      <w:r w:rsidR="00EB3B17" w:rsidRPr="00EB3B17">
        <w:rPr>
          <w:rFonts w:cs="Times New Roman"/>
          <w:color w:val="auto"/>
        </w:rPr>
        <w:t xml:space="preserve">4 for each condition) </w:t>
      </w:r>
      <w:r w:rsidR="00DB4EDC" w:rsidRPr="00DB4EDC">
        <w:rPr>
          <w:rFonts w:cs="Times New Roman"/>
          <w:bCs/>
          <w:color w:val="auto"/>
        </w:rPr>
        <w:t>(</w:t>
      </w:r>
      <w:r w:rsidR="00EB3B17" w:rsidRPr="00EB3B17">
        <w:rPr>
          <w:rFonts w:cs="Times New Roman"/>
          <w:b/>
          <w:bCs/>
          <w:color w:val="auto"/>
        </w:rPr>
        <w:t>B</w:t>
      </w:r>
      <w:r w:rsidR="00DB4EDC" w:rsidRPr="00DB4EDC">
        <w:rPr>
          <w:rFonts w:cs="Times New Roman"/>
          <w:bCs/>
          <w:color w:val="auto"/>
        </w:rPr>
        <w:t>)</w:t>
      </w:r>
      <w:r w:rsidR="00EB3B17" w:rsidRPr="00EB3B17">
        <w:rPr>
          <w:rFonts w:cs="Times New Roman"/>
          <w:color w:val="auto"/>
        </w:rPr>
        <w:t xml:space="preserve"> </w:t>
      </w:r>
      <w:r w:rsidR="00C94CBB">
        <w:rPr>
          <w:rFonts w:cs="Times New Roman"/>
          <w:color w:val="auto"/>
        </w:rPr>
        <w:t>Ten</w:t>
      </w:r>
      <w:r w:rsidR="002C4280">
        <w:rPr>
          <w:rFonts w:cs="Times New Roman"/>
          <w:color w:val="auto"/>
        </w:rPr>
        <w:t xml:space="preserve">-cell pooled sample transcriptome measurement. </w:t>
      </w:r>
      <w:r w:rsidR="00DB4EDC" w:rsidRPr="00DB4EDC">
        <w:rPr>
          <w:rFonts w:cs="Times New Roman"/>
          <w:bCs/>
          <w:color w:val="auto"/>
        </w:rPr>
        <w:t>(</w:t>
      </w:r>
      <w:r w:rsidR="00EB3B17" w:rsidRPr="00EB3B17">
        <w:rPr>
          <w:rFonts w:cs="Times New Roman"/>
          <w:b/>
          <w:bCs/>
          <w:color w:val="auto"/>
        </w:rPr>
        <w:t>C</w:t>
      </w:r>
      <w:r w:rsidR="00DB4EDC" w:rsidRPr="00DB4EDC">
        <w:rPr>
          <w:rFonts w:cs="Times New Roman"/>
          <w:bCs/>
          <w:color w:val="auto"/>
        </w:rPr>
        <w:t>)</w:t>
      </w:r>
      <w:r w:rsidR="00EB3B17" w:rsidRPr="00EB3B17">
        <w:rPr>
          <w:rFonts w:cs="Times New Roman"/>
          <w:b/>
          <w:bCs/>
          <w:color w:val="auto"/>
        </w:rPr>
        <w:t xml:space="preserve"> </w:t>
      </w:r>
      <w:r w:rsidR="00EB3B17" w:rsidRPr="00EB3B17">
        <w:rPr>
          <w:rFonts w:cs="Times New Roman"/>
          <w:color w:val="auto"/>
        </w:rPr>
        <w:t xml:space="preserve">Bar plot displays median -∆∆Ct expression values. Neurons </w:t>
      </w:r>
      <w:r w:rsidR="00C94CBB">
        <w:rPr>
          <w:rFonts w:cs="Times New Roman"/>
          <w:color w:val="auto"/>
        </w:rPr>
        <w:t>=</w:t>
      </w:r>
      <w:r w:rsidR="00C94CBB" w:rsidRPr="00EB3B17">
        <w:rPr>
          <w:rFonts w:cs="Times New Roman"/>
          <w:color w:val="auto"/>
        </w:rPr>
        <w:t xml:space="preserve"> </w:t>
      </w:r>
      <w:r w:rsidR="00EB3B17" w:rsidRPr="00EB3B17">
        <w:rPr>
          <w:rFonts w:cs="Times New Roman"/>
          <w:color w:val="auto"/>
        </w:rPr>
        <w:t>purple</w:t>
      </w:r>
      <w:r w:rsidR="00C94CBB">
        <w:rPr>
          <w:rFonts w:cs="Times New Roman"/>
          <w:color w:val="auto"/>
        </w:rPr>
        <w:t>;</w:t>
      </w:r>
      <w:r w:rsidR="00EB3B17" w:rsidRPr="00EB3B17">
        <w:rPr>
          <w:rFonts w:cs="Times New Roman"/>
          <w:color w:val="auto"/>
        </w:rPr>
        <w:t xml:space="preserve"> microglia </w:t>
      </w:r>
      <w:r w:rsidR="00C94CBB">
        <w:rPr>
          <w:rFonts w:cs="Times New Roman"/>
          <w:color w:val="auto"/>
        </w:rPr>
        <w:t>=</w:t>
      </w:r>
      <w:r w:rsidR="00C94CBB" w:rsidRPr="00EB3B17">
        <w:rPr>
          <w:rFonts w:cs="Times New Roman"/>
          <w:color w:val="auto"/>
        </w:rPr>
        <w:t xml:space="preserve"> </w:t>
      </w:r>
      <w:r w:rsidR="00EB3B17" w:rsidRPr="00EB3B17">
        <w:rPr>
          <w:rFonts w:cs="Times New Roman"/>
          <w:color w:val="auto"/>
        </w:rPr>
        <w:t>yellow</w:t>
      </w:r>
      <w:r w:rsidR="00C94CBB">
        <w:rPr>
          <w:rFonts w:cs="Times New Roman"/>
          <w:color w:val="auto"/>
        </w:rPr>
        <w:t>;</w:t>
      </w:r>
      <w:r w:rsidR="00EB3B17" w:rsidRPr="00EB3B17">
        <w:rPr>
          <w:rFonts w:cs="Times New Roman"/>
          <w:color w:val="auto"/>
        </w:rPr>
        <w:t xml:space="preserve"> astrocytes </w:t>
      </w:r>
      <w:r w:rsidR="00C94CBB">
        <w:rPr>
          <w:rFonts w:cs="Times New Roman"/>
          <w:color w:val="auto"/>
        </w:rPr>
        <w:t>=</w:t>
      </w:r>
      <w:r w:rsidR="00C94CBB" w:rsidRPr="00EB3B17">
        <w:rPr>
          <w:rFonts w:cs="Times New Roman"/>
          <w:color w:val="auto"/>
        </w:rPr>
        <w:t xml:space="preserve"> </w:t>
      </w:r>
      <w:r w:rsidR="00EB3B17" w:rsidRPr="00EB3B17">
        <w:rPr>
          <w:rFonts w:cs="Times New Roman"/>
          <w:color w:val="auto"/>
        </w:rPr>
        <w:t>green. Error bars show standard error. *p</w:t>
      </w:r>
      <w:r w:rsidR="00C94CBB">
        <w:rPr>
          <w:rFonts w:cs="Times New Roman"/>
          <w:color w:val="auto"/>
        </w:rPr>
        <w:t xml:space="preserve"> </w:t>
      </w:r>
      <w:r w:rsidR="00EB3B17" w:rsidRPr="00EB3B17">
        <w:rPr>
          <w:rFonts w:cs="Times New Roman"/>
          <w:color w:val="auto"/>
        </w:rPr>
        <w:t>&lt;</w:t>
      </w:r>
      <w:r w:rsidR="00C94CBB">
        <w:rPr>
          <w:rFonts w:cs="Times New Roman"/>
          <w:color w:val="auto"/>
        </w:rPr>
        <w:t xml:space="preserve"> </w:t>
      </w:r>
      <w:r w:rsidR="00EB3B17" w:rsidRPr="00EB3B17">
        <w:rPr>
          <w:rFonts w:cs="Times New Roman"/>
          <w:color w:val="auto"/>
        </w:rPr>
        <w:t>0.05, ***p</w:t>
      </w:r>
      <w:r w:rsidR="00C94CBB">
        <w:rPr>
          <w:rFonts w:cs="Times New Roman"/>
          <w:color w:val="auto"/>
        </w:rPr>
        <w:t xml:space="preserve"> </w:t>
      </w:r>
      <w:r w:rsidR="00EB3B17" w:rsidRPr="00EB3B17">
        <w:rPr>
          <w:rFonts w:cs="Times New Roman"/>
          <w:color w:val="auto"/>
        </w:rPr>
        <w:t>&lt;</w:t>
      </w:r>
      <w:r w:rsidR="00C94CBB">
        <w:rPr>
          <w:rFonts w:cs="Times New Roman"/>
          <w:color w:val="auto"/>
        </w:rPr>
        <w:t xml:space="preserve"> </w:t>
      </w:r>
      <w:r w:rsidR="00EB3B17" w:rsidRPr="00EB3B17">
        <w:rPr>
          <w:rFonts w:cs="Times New Roman"/>
          <w:color w:val="auto"/>
        </w:rPr>
        <w:t>0.0003</w:t>
      </w:r>
      <w:r w:rsidR="00C94CBB">
        <w:rPr>
          <w:rFonts w:cs="Times New Roman"/>
          <w:color w:val="auto"/>
        </w:rPr>
        <w:t>;</w:t>
      </w:r>
      <w:r w:rsidR="00EB3B17" w:rsidRPr="00EB3B17">
        <w:rPr>
          <w:rFonts w:cs="Times New Roman"/>
          <w:color w:val="auto"/>
        </w:rPr>
        <w:t xml:space="preserve"> Tukey’s honest significance test. </w:t>
      </w:r>
      <w:r w:rsidR="00DB4EDC" w:rsidRPr="00DB4EDC">
        <w:rPr>
          <w:rFonts w:cs="Times New Roman"/>
          <w:bCs/>
          <w:color w:val="auto"/>
        </w:rPr>
        <w:t>(</w:t>
      </w:r>
      <w:r w:rsidR="00EB3B17" w:rsidRPr="00EB3B17">
        <w:rPr>
          <w:rFonts w:cs="Times New Roman"/>
          <w:b/>
          <w:bCs/>
          <w:color w:val="auto"/>
        </w:rPr>
        <w:t>D</w:t>
      </w:r>
      <w:r w:rsidR="00DB4EDC" w:rsidRPr="00DB4EDC">
        <w:rPr>
          <w:rFonts w:cs="Times New Roman"/>
          <w:bCs/>
          <w:color w:val="auto"/>
        </w:rPr>
        <w:t>)</w:t>
      </w:r>
      <w:r w:rsidR="00EB3B17" w:rsidRPr="00EB3B17">
        <w:rPr>
          <w:rFonts w:cs="Times New Roman"/>
          <w:b/>
          <w:bCs/>
          <w:color w:val="auto"/>
        </w:rPr>
        <w:t xml:space="preserve"> </w:t>
      </w:r>
      <w:r w:rsidR="00C94CBB" w:rsidRPr="00C94CBB">
        <w:rPr>
          <w:rFonts w:cs="Times New Roman"/>
          <w:color w:val="auto"/>
        </w:rPr>
        <w:t>The</w:t>
      </w:r>
      <w:r w:rsidR="00C94CBB">
        <w:rPr>
          <w:rFonts w:cs="Times New Roman"/>
          <w:b/>
          <w:bCs/>
          <w:color w:val="auto"/>
        </w:rPr>
        <w:t xml:space="preserve"> </w:t>
      </w:r>
      <w:r w:rsidR="00C94CBB" w:rsidRPr="00EB3B17">
        <w:rPr>
          <w:rFonts w:cs="Times New Roman"/>
          <w:color w:val="auto"/>
        </w:rPr>
        <w:t xml:space="preserve">heat </w:t>
      </w:r>
      <w:r w:rsidR="00EB3B17" w:rsidRPr="00EB3B17">
        <w:rPr>
          <w:rFonts w:cs="Times New Roman"/>
          <w:color w:val="auto"/>
        </w:rPr>
        <w:t xml:space="preserve">map shows </w:t>
      </w:r>
      <w:r w:rsidR="00C94CBB">
        <w:rPr>
          <w:rFonts w:cs="Times New Roman"/>
          <w:color w:val="auto"/>
        </w:rPr>
        <w:t xml:space="preserve">the </w:t>
      </w:r>
      <w:r w:rsidR="00EB3B17" w:rsidRPr="00EB3B17">
        <w:rPr>
          <w:rFonts w:cs="Times New Roman"/>
          <w:color w:val="auto"/>
        </w:rPr>
        <w:t xml:space="preserve">expression of all samples across 40 assayed genes. Rows are </w:t>
      </w:r>
      <w:r w:rsidR="002C4280">
        <w:rPr>
          <w:rFonts w:cs="Times New Roman"/>
          <w:color w:val="auto"/>
        </w:rPr>
        <w:t xml:space="preserve">10-cell pooled </w:t>
      </w:r>
      <w:r w:rsidR="00EB3B17" w:rsidRPr="00EB3B17">
        <w:rPr>
          <w:rFonts w:cs="Times New Roman"/>
          <w:color w:val="auto"/>
        </w:rPr>
        <w:t>samples</w:t>
      </w:r>
      <w:r w:rsidR="002C4280">
        <w:rPr>
          <w:rFonts w:cs="Times New Roman"/>
          <w:color w:val="auto"/>
        </w:rPr>
        <w:t xml:space="preserve"> (930 neuronal samples, 950 microglial samples, 840 astrocyte samples</w:t>
      </w:r>
      <w:r w:rsidR="00466848">
        <w:rPr>
          <w:rFonts w:cs="Times New Roman"/>
          <w:color w:val="auto"/>
        </w:rPr>
        <w:t xml:space="preserve"> as denoted</w:t>
      </w:r>
      <w:r w:rsidR="002C4280">
        <w:rPr>
          <w:rFonts w:cs="Times New Roman"/>
          <w:color w:val="auto"/>
        </w:rPr>
        <w:t>);</w:t>
      </w:r>
      <w:r w:rsidR="00EB3B17" w:rsidRPr="00EB3B17">
        <w:rPr>
          <w:rFonts w:cs="Times New Roman"/>
          <w:color w:val="auto"/>
        </w:rPr>
        <w:t xml:space="preserve"> </w:t>
      </w:r>
      <w:r w:rsidR="00C94CBB">
        <w:rPr>
          <w:rFonts w:cs="Times New Roman"/>
          <w:color w:val="auto"/>
        </w:rPr>
        <w:t xml:space="preserve">the </w:t>
      </w:r>
      <w:r w:rsidR="00EB3B17" w:rsidRPr="00EB3B17">
        <w:rPr>
          <w:rFonts w:cs="Times New Roman"/>
          <w:color w:val="auto"/>
        </w:rPr>
        <w:t xml:space="preserve">numbers denote </w:t>
      </w:r>
      <w:r w:rsidR="00C94CBB">
        <w:rPr>
          <w:rFonts w:cs="Times New Roman"/>
          <w:color w:val="auto"/>
        </w:rPr>
        <w:t xml:space="preserve">the </w:t>
      </w:r>
      <w:r w:rsidR="00EB3B17" w:rsidRPr="00EB3B17">
        <w:rPr>
          <w:rFonts w:cs="Times New Roman"/>
          <w:color w:val="auto"/>
        </w:rPr>
        <w:t xml:space="preserve">sample clusters and </w:t>
      </w:r>
      <w:r w:rsidR="00C94CBB">
        <w:rPr>
          <w:rFonts w:cs="Times New Roman"/>
          <w:color w:val="auto"/>
        </w:rPr>
        <w:t xml:space="preserve">the </w:t>
      </w:r>
      <w:r w:rsidR="00EB3B17" w:rsidRPr="00EB3B17">
        <w:rPr>
          <w:rFonts w:cs="Times New Roman"/>
          <w:color w:val="auto"/>
        </w:rPr>
        <w:t xml:space="preserve">columns are </w:t>
      </w:r>
      <w:r w:rsidR="00C94CBB">
        <w:rPr>
          <w:rFonts w:cs="Times New Roman"/>
          <w:color w:val="auto"/>
        </w:rPr>
        <w:t xml:space="preserve">the </w:t>
      </w:r>
      <w:r w:rsidR="00EB3B17" w:rsidRPr="00EB3B17">
        <w:rPr>
          <w:rFonts w:cs="Times New Roman"/>
          <w:color w:val="auto"/>
        </w:rPr>
        <w:t xml:space="preserve">genes. </w:t>
      </w:r>
      <w:r w:rsidR="002C44EA">
        <w:rPr>
          <w:rFonts w:cs="Times New Roman"/>
          <w:color w:val="auto"/>
        </w:rPr>
        <w:t>The f</w:t>
      </w:r>
      <w:r w:rsidR="002C44EA">
        <w:rPr>
          <w:rFonts w:cs="Times New Roman"/>
          <w:bCs/>
          <w:color w:val="auto"/>
        </w:rPr>
        <w:t>igure is m</w:t>
      </w:r>
      <w:r w:rsidR="002C44EA">
        <w:rPr>
          <w:rFonts w:cs="Times New Roman"/>
          <w:bCs/>
          <w:color w:val="auto"/>
        </w:rPr>
        <w:t>odified from O’Sullivan et al.</w:t>
      </w:r>
      <w:r w:rsidR="002C44EA" w:rsidRPr="0034472B">
        <w:rPr>
          <w:rFonts w:cs="Times New Roman"/>
          <w:noProof/>
          <w:color w:val="auto"/>
          <w:vertAlign w:val="superscript"/>
        </w:rPr>
        <w:t>4</w:t>
      </w:r>
      <w:r w:rsidR="002C44EA">
        <w:rPr>
          <w:rFonts w:cs="Times New Roman"/>
          <w:bCs/>
          <w:color w:val="auto"/>
        </w:rPr>
        <w:t>.</w:t>
      </w:r>
    </w:p>
    <w:p w14:paraId="13C96B6B" w14:textId="77777777" w:rsidR="00EB3B17" w:rsidRDefault="00EB3B17" w:rsidP="00EA30FE">
      <w:pPr>
        <w:rPr>
          <w:rFonts w:cs="Times New Roman"/>
          <w:color w:val="auto"/>
        </w:rPr>
      </w:pPr>
    </w:p>
    <w:p w14:paraId="312AA144" w14:textId="68101EC6" w:rsidR="00EB3B17" w:rsidRPr="00EB3B17" w:rsidRDefault="00BB5D76" w:rsidP="00EA30FE">
      <w:pPr>
        <w:rPr>
          <w:rFonts w:cs="Times New Roman"/>
          <w:color w:val="auto"/>
        </w:rPr>
      </w:pPr>
      <w:r w:rsidRPr="00BB5D76">
        <w:rPr>
          <w:rFonts w:cs="Times New Roman"/>
          <w:b/>
          <w:bCs/>
          <w:color w:val="auto"/>
        </w:rPr>
        <w:t>Figure</w:t>
      </w:r>
      <w:r w:rsidR="00EB3B17" w:rsidRPr="00EB3B17">
        <w:rPr>
          <w:rFonts w:cs="Times New Roman"/>
          <w:b/>
          <w:bCs/>
          <w:color w:val="auto"/>
        </w:rPr>
        <w:t xml:space="preserve"> 2</w:t>
      </w:r>
      <w:r w:rsidR="002C44EA">
        <w:rPr>
          <w:rFonts w:cs="Times New Roman"/>
          <w:b/>
          <w:bCs/>
          <w:color w:val="auto"/>
        </w:rPr>
        <w:t>:</w:t>
      </w:r>
      <w:r w:rsidR="00EB3B17" w:rsidRPr="00EB3B17">
        <w:rPr>
          <w:rFonts w:cs="Times New Roman"/>
          <w:b/>
          <w:bCs/>
          <w:color w:val="auto"/>
        </w:rPr>
        <w:t xml:space="preserve"> Laser </w:t>
      </w:r>
      <w:r w:rsidR="002C44EA" w:rsidRPr="00EB3B17">
        <w:rPr>
          <w:rFonts w:cs="Times New Roman"/>
          <w:b/>
          <w:bCs/>
          <w:color w:val="auto"/>
        </w:rPr>
        <w:t>capture microdissection images</w:t>
      </w:r>
      <w:r w:rsidR="00EB3B17" w:rsidRPr="00EB3B17">
        <w:rPr>
          <w:rFonts w:cs="Times New Roman"/>
          <w:b/>
          <w:bCs/>
          <w:color w:val="auto"/>
        </w:rPr>
        <w:t xml:space="preserve">. </w:t>
      </w:r>
      <w:r w:rsidR="00DB4EDC" w:rsidRPr="00DB4EDC">
        <w:rPr>
          <w:rFonts w:cs="Times New Roman"/>
          <w:bCs/>
          <w:color w:val="auto"/>
        </w:rPr>
        <w:t>(</w:t>
      </w:r>
      <w:r w:rsidR="00EB3B17" w:rsidRPr="00EB3B17">
        <w:rPr>
          <w:rFonts w:cs="Times New Roman"/>
          <w:b/>
          <w:bCs/>
          <w:color w:val="auto"/>
        </w:rPr>
        <w:t>A</w:t>
      </w:r>
      <w:r w:rsidR="00DB4EDC" w:rsidRPr="00DB4EDC">
        <w:rPr>
          <w:rFonts w:cs="Times New Roman"/>
          <w:bCs/>
          <w:color w:val="auto"/>
        </w:rPr>
        <w:t>)</w:t>
      </w:r>
      <w:r w:rsidR="00EB3B17" w:rsidRPr="00EB3B17">
        <w:rPr>
          <w:rFonts w:cs="Times New Roman"/>
          <w:b/>
          <w:bCs/>
          <w:color w:val="auto"/>
        </w:rPr>
        <w:t xml:space="preserve"> </w:t>
      </w:r>
      <w:r w:rsidR="00EB3B17" w:rsidRPr="00EB3B17">
        <w:rPr>
          <w:rFonts w:cs="Times New Roman"/>
          <w:color w:val="auto"/>
        </w:rPr>
        <w:t xml:space="preserve">Four slices of dehydrated hemisected rat forebrain containing </w:t>
      </w:r>
      <w:r w:rsidR="002C44EA">
        <w:rPr>
          <w:rFonts w:cs="Times New Roman"/>
          <w:color w:val="auto"/>
        </w:rPr>
        <w:t xml:space="preserve">the </w:t>
      </w:r>
      <w:r w:rsidR="00EB3B17" w:rsidRPr="00EB3B17">
        <w:rPr>
          <w:rFonts w:cs="Times New Roman"/>
          <w:color w:val="auto"/>
        </w:rPr>
        <w:t xml:space="preserve">CeA on a slide. Slices were placed on </w:t>
      </w:r>
      <w:r w:rsidR="002C44EA">
        <w:rPr>
          <w:rFonts w:cs="Times New Roman"/>
          <w:color w:val="auto"/>
        </w:rPr>
        <w:t xml:space="preserve">the </w:t>
      </w:r>
      <w:r w:rsidR="00EB3B17" w:rsidRPr="00EB3B17">
        <w:rPr>
          <w:rFonts w:cs="Times New Roman"/>
          <w:color w:val="auto"/>
        </w:rPr>
        <w:t xml:space="preserve">slide exactly 10 </w:t>
      </w:r>
      <w:r w:rsidR="00EB3B17" w:rsidRPr="00EB3B17">
        <w:rPr>
          <w:rFonts w:cs="Times New Roman"/>
          <w:color w:val="auto"/>
          <w:lang w:val="el-GR"/>
        </w:rPr>
        <w:t>μ</w:t>
      </w:r>
      <w:r w:rsidR="00EB3B17" w:rsidRPr="00EB3B17">
        <w:rPr>
          <w:rFonts w:cs="Times New Roman"/>
          <w:color w:val="auto"/>
        </w:rPr>
        <w:t xml:space="preserve">m from </w:t>
      </w:r>
      <w:r w:rsidR="002C44EA">
        <w:rPr>
          <w:rFonts w:cs="Times New Roman"/>
          <w:color w:val="auto"/>
        </w:rPr>
        <w:t xml:space="preserve">the </w:t>
      </w:r>
      <w:r w:rsidR="00EB3B17" w:rsidRPr="00EB3B17">
        <w:rPr>
          <w:rFonts w:cs="Times New Roman"/>
          <w:color w:val="auto"/>
        </w:rPr>
        <w:t xml:space="preserve">previous slice. Left is anterior and right is posterior. </w:t>
      </w:r>
      <w:r w:rsidR="002C44EA">
        <w:rPr>
          <w:rFonts w:cs="Times New Roman"/>
          <w:color w:val="auto"/>
        </w:rPr>
        <w:t>The d</w:t>
      </w:r>
      <w:r w:rsidR="00EB3B17" w:rsidRPr="00EB3B17">
        <w:rPr>
          <w:rFonts w:cs="Times New Roman"/>
          <w:color w:val="auto"/>
        </w:rPr>
        <w:t xml:space="preserve">istance from </w:t>
      </w:r>
      <w:r w:rsidR="002C44EA">
        <w:rPr>
          <w:rFonts w:cs="Times New Roman"/>
          <w:color w:val="auto"/>
        </w:rPr>
        <w:t xml:space="preserve">the </w:t>
      </w:r>
      <w:r w:rsidR="00EB3B17" w:rsidRPr="00EB3B17">
        <w:rPr>
          <w:rFonts w:cs="Times New Roman"/>
          <w:color w:val="auto"/>
        </w:rPr>
        <w:t xml:space="preserve">bregma can be estimated using </w:t>
      </w:r>
      <w:r w:rsidR="002C44EA">
        <w:rPr>
          <w:rFonts w:cs="Times New Roman"/>
          <w:color w:val="auto"/>
        </w:rPr>
        <w:t xml:space="preserve">a </w:t>
      </w:r>
      <w:r w:rsidR="00EB3B17" w:rsidRPr="00EB3B17">
        <w:rPr>
          <w:rFonts w:cs="Times New Roman"/>
          <w:color w:val="auto"/>
        </w:rPr>
        <w:t>rat brain atlas and landmarks</w:t>
      </w:r>
      <w:r w:rsidR="002C44EA">
        <w:rPr>
          <w:rFonts w:cs="Times New Roman"/>
          <w:color w:val="auto"/>
        </w:rPr>
        <w:t>,</w:t>
      </w:r>
      <w:r w:rsidR="00EB3B17" w:rsidRPr="00EB3B17">
        <w:rPr>
          <w:rFonts w:cs="Times New Roman"/>
          <w:color w:val="auto"/>
        </w:rPr>
        <w:t xml:space="preserve"> including the optic tract and stria terminalis. </w:t>
      </w:r>
      <w:r w:rsidR="00DB4EDC" w:rsidRPr="00DB4EDC">
        <w:rPr>
          <w:rFonts w:cs="Times New Roman"/>
          <w:bCs/>
          <w:color w:val="auto"/>
        </w:rPr>
        <w:t>(</w:t>
      </w:r>
      <w:r w:rsidR="00EB3B17" w:rsidRPr="00EB3B17">
        <w:rPr>
          <w:rFonts w:cs="Times New Roman"/>
          <w:b/>
          <w:bCs/>
          <w:color w:val="auto"/>
        </w:rPr>
        <w:t>B</w:t>
      </w:r>
      <w:r w:rsidR="002C44EA" w:rsidRPr="00555A7F">
        <w:rPr>
          <w:rFonts w:cs="Times New Roman"/>
          <w:color w:val="auto"/>
        </w:rPr>
        <w:t>–</w:t>
      </w:r>
      <w:r w:rsidR="00EB3B17" w:rsidRPr="00EB3B17">
        <w:rPr>
          <w:rFonts w:cs="Times New Roman"/>
          <w:b/>
          <w:bCs/>
          <w:color w:val="auto"/>
        </w:rPr>
        <w:t>D</w:t>
      </w:r>
      <w:r w:rsidR="00DB4EDC" w:rsidRPr="00DB4EDC">
        <w:rPr>
          <w:rFonts w:cs="Times New Roman"/>
          <w:bCs/>
          <w:color w:val="auto"/>
        </w:rPr>
        <w:t>)</w:t>
      </w:r>
      <w:r w:rsidR="00EB3B17" w:rsidRPr="00EB3B17">
        <w:rPr>
          <w:rFonts w:cs="Times New Roman"/>
          <w:b/>
          <w:bCs/>
          <w:color w:val="auto"/>
        </w:rPr>
        <w:t xml:space="preserve"> </w:t>
      </w:r>
      <w:r w:rsidR="00EB3B17" w:rsidRPr="00EB3B17">
        <w:rPr>
          <w:rFonts w:cs="Times New Roman"/>
          <w:color w:val="auto"/>
        </w:rPr>
        <w:t xml:space="preserve">Sequence of images showing the selection of </w:t>
      </w:r>
      <w:r>
        <w:rPr>
          <w:rFonts w:cs="Times New Roman"/>
          <w:color w:val="auto"/>
        </w:rPr>
        <w:t>single cell</w:t>
      </w:r>
      <w:r w:rsidR="00EB3B17" w:rsidRPr="00EB3B17">
        <w:rPr>
          <w:rFonts w:cs="Times New Roman"/>
          <w:color w:val="auto"/>
        </w:rPr>
        <w:t>s in the CeA</w:t>
      </w:r>
      <w:r w:rsidR="00C717C5">
        <w:rPr>
          <w:rFonts w:cs="Times New Roman"/>
          <w:color w:val="auto"/>
        </w:rPr>
        <w:t xml:space="preserve"> (</w:t>
      </w:r>
      <w:r w:rsidR="00C717C5" w:rsidRPr="000F5526">
        <w:rPr>
          <w:rFonts w:cs="Times New Roman"/>
          <w:b/>
          <w:bCs/>
          <w:color w:val="auto"/>
        </w:rPr>
        <w:t>C</w:t>
      </w:r>
      <w:r w:rsidR="00C717C5">
        <w:rPr>
          <w:rFonts w:cs="Times New Roman"/>
          <w:color w:val="auto"/>
        </w:rPr>
        <w:t>)</w:t>
      </w:r>
      <w:r w:rsidR="00EB3B17" w:rsidRPr="00EB3B17">
        <w:rPr>
          <w:rFonts w:cs="Times New Roman"/>
          <w:color w:val="auto"/>
        </w:rPr>
        <w:t xml:space="preserve"> and their removal from the tissue</w:t>
      </w:r>
      <w:r w:rsidR="00C717C5">
        <w:rPr>
          <w:rFonts w:cs="Times New Roman"/>
          <w:color w:val="auto"/>
        </w:rPr>
        <w:t xml:space="preserve"> (</w:t>
      </w:r>
      <w:r w:rsidR="00C717C5" w:rsidRPr="000F5526">
        <w:rPr>
          <w:rFonts w:cs="Times New Roman"/>
          <w:b/>
          <w:bCs/>
          <w:color w:val="auto"/>
        </w:rPr>
        <w:t>D</w:t>
      </w:r>
      <w:r w:rsidR="00C717C5">
        <w:rPr>
          <w:rFonts w:cs="Times New Roman"/>
          <w:color w:val="auto"/>
        </w:rPr>
        <w:t>)</w:t>
      </w:r>
      <w:r w:rsidR="00EB3B17" w:rsidRPr="00EB3B17">
        <w:rPr>
          <w:rFonts w:cs="Times New Roman"/>
          <w:color w:val="auto"/>
        </w:rPr>
        <w:t>.</w:t>
      </w:r>
      <w:r w:rsidR="00C717C5">
        <w:rPr>
          <w:rFonts w:cs="Times New Roman"/>
          <w:color w:val="auto"/>
        </w:rPr>
        <w:t xml:space="preserve"> Multiple </w:t>
      </w:r>
      <w:r w:rsidR="00D66DE6">
        <w:rPr>
          <w:rFonts w:cs="Times New Roman"/>
          <w:color w:val="auto"/>
        </w:rPr>
        <w:t xml:space="preserve">LCM </w:t>
      </w:r>
      <w:r w:rsidR="00C717C5">
        <w:rPr>
          <w:rFonts w:cs="Times New Roman"/>
          <w:color w:val="auto"/>
        </w:rPr>
        <w:t>caps were used to select these cells.</w:t>
      </w:r>
      <w:r w:rsidR="00EB3B17" w:rsidRPr="00EB3B17">
        <w:rPr>
          <w:rFonts w:cs="Times New Roman"/>
          <w:color w:val="auto"/>
        </w:rPr>
        <w:t xml:space="preserve"> </w:t>
      </w:r>
      <w:r w:rsidR="002C44EA" w:rsidRPr="006331E5">
        <w:rPr>
          <w:rFonts w:cs="Times New Roman"/>
          <w:color w:val="auto"/>
        </w:rPr>
        <w:t>One</w:t>
      </w:r>
      <w:r w:rsidR="002C44EA">
        <w:rPr>
          <w:rFonts w:cs="Times New Roman"/>
          <w:color w:val="auto"/>
        </w:rPr>
        <w:t xml:space="preserve"> </w:t>
      </w:r>
      <w:r w:rsidR="0003259D">
        <w:rPr>
          <w:rFonts w:cs="Times New Roman"/>
          <w:color w:val="auto"/>
        </w:rPr>
        <w:t xml:space="preserve">cap </w:t>
      </w:r>
      <w:r w:rsidR="002C5F9A">
        <w:rPr>
          <w:rFonts w:cs="Times New Roman"/>
          <w:color w:val="auto"/>
        </w:rPr>
        <w:t>is used to pick</w:t>
      </w:r>
      <w:r w:rsidR="0003259D">
        <w:rPr>
          <w:rFonts w:cs="Times New Roman"/>
          <w:color w:val="auto"/>
        </w:rPr>
        <w:t xml:space="preserve"> 10 cells of one cell type. </w:t>
      </w:r>
    </w:p>
    <w:p w14:paraId="4B798CC9" w14:textId="77777777" w:rsidR="00EB3B17" w:rsidRDefault="00EB3B17" w:rsidP="00EA30FE">
      <w:pPr>
        <w:rPr>
          <w:rFonts w:cs="Times New Roman"/>
          <w:color w:val="auto"/>
        </w:rPr>
      </w:pPr>
    </w:p>
    <w:p w14:paraId="542D770A" w14:textId="27046603" w:rsidR="003164A7" w:rsidRDefault="00BB5D76" w:rsidP="00EA30FE">
      <w:pPr>
        <w:rPr>
          <w:rFonts w:cs="Times New Roman"/>
          <w:color w:val="auto"/>
        </w:rPr>
      </w:pPr>
      <w:r w:rsidRPr="00BB5D76">
        <w:rPr>
          <w:rFonts w:cs="Times New Roman"/>
          <w:b/>
          <w:bCs/>
          <w:color w:val="auto"/>
        </w:rPr>
        <w:t>Figure</w:t>
      </w:r>
      <w:r w:rsidR="00EB3B17" w:rsidRPr="00EB3B17">
        <w:rPr>
          <w:rFonts w:cs="Times New Roman"/>
          <w:b/>
          <w:bCs/>
          <w:color w:val="auto"/>
        </w:rPr>
        <w:t xml:space="preserve"> 3</w:t>
      </w:r>
      <w:r w:rsidR="002C44EA">
        <w:rPr>
          <w:rFonts w:cs="Times New Roman"/>
          <w:b/>
          <w:bCs/>
          <w:color w:val="auto"/>
        </w:rPr>
        <w:t>:</w:t>
      </w:r>
      <w:r w:rsidR="00EB3B17" w:rsidRPr="00EB3B17">
        <w:rPr>
          <w:rFonts w:cs="Times New Roman"/>
          <w:b/>
          <w:bCs/>
          <w:color w:val="auto"/>
        </w:rPr>
        <w:t xml:space="preserve"> Representative </w:t>
      </w:r>
      <w:r w:rsidR="002C44EA" w:rsidRPr="00EB3B17">
        <w:rPr>
          <w:rFonts w:cs="Times New Roman"/>
          <w:b/>
          <w:bCs/>
          <w:color w:val="auto"/>
        </w:rPr>
        <w:t>results</w:t>
      </w:r>
      <w:r w:rsidR="002C44EA">
        <w:rPr>
          <w:rFonts w:cs="Times New Roman"/>
          <w:b/>
          <w:bCs/>
          <w:color w:val="auto"/>
        </w:rPr>
        <w:t xml:space="preserve"> </w:t>
      </w:r>
      <w:r w:rsidR="003164A7">
        <w:rPr>
          <w:rFonts w:cs="Times New Roman"/>
          <w:b/>
          <w:bCs/>
          <w:color w:val="auto"/>
        </w:rPr>
        <w:t>1</w:t>
      </w:r>
      <w:r w:rsidR="00EB3B17" w:rsidRPr="00EB3B17">
        <w:rPr>
          <w:rFonts w:cs="Times New Roman"/>
          <w:b/>
          <w:bCs/>
          <w:color w:val="auto"/>
        </w:rPr>
        <w:t>.</w:t>
      </w:r>
      <w:r w:rsidR="00FA613F">
        <w:rPr>
          <w:rFonts w:cs="Times New Roman"/>
          <w:b/>
          <w:bCs/>
          <w:color w:val="auto"/>
        </w:rPr>
        <w:t xml:space="preserve"> </w:t>
      </w:r>
      <w:r w:rsidR="00DB4EDC" w:rsidRPr="00DB4EDC">
        <w:rPr>
          <w:rFonts w:cs="Times New Roman"/>
          <w:bCs/>
          <w:color w:val="auto"/>
        </w:rPr>
        <w:t>(</w:t>
      </w:r>
      <w:r w:rsidR="00EB3B17" w:rsidRPr="00EB3B17">
        <w:rPr>
          <w:rFonts w:cs="Times New Roman"/>
          <w:b/>
          <w:bCs/>
          <w:color w:val="auto"/>
        </w:rPr>
        <w:t>A</w:t>
      </w:r>
      <w:r w:rsidR="00DB4EDC" w:rsidRPr="00DB4EDC">
        <w:rPr>
          <w:rFonts w:cs="Times New Roman"/>
          <w:bCs/>
          <w:color w:val="auto"/>
        </w:rPr>
        <w:t>)</w:t>
      </w:r>
      <w:r w:rsidR="00EB3B17" w:rsidRPr="00EB3B17">
        <w:rPr>
          <w:rFonts w:cs="Times New Roman"/>
          <w:b/>
          <w:bCs/>
          <w:color w:val="auto"/>
        </w:rPr>
        <w:t xml:space="preserve"> </w:t>
      </w:r>
      <w:r w:rsidR="002C44EA" w:rsidRPr="000F5526">
        <w:rPr>
          <w:rFonts w:cs="Times New Roman"/>
          <w:color w:val="auto"/>
        </w:rPr>
        <w:t>A</w:t>
      </w:r>
      <w:r w:rsidR="002C44EA">
        <w:rPr>
          <w:rFonts w:cs="Times New Roman"/>
          <w:bCs/>
          <w:color w:val="auto"/>
        </w:rPr>
        <w:t xml:space="preserve"> cartoon </w:t>
      </w:r>
      <w:r w:rsidR="00E86BE8">
        <w:rPr>
          <w:rFonts w:cs="Times New Roman"/>
          <w:bCs/>
          <w:color w:val="auto"/>
        </w:rPr>
        <w:t xml:space="preserve">schematic of </w:t>
      </w:r>
      <w:r w:rsidR="002C44EA">
        <w:rPr>
          <w:rFonts w:cs="Times New Roman"/>
          <w:bCs/>
          <w:color w:val="auto"/>
        </w:rPr>
        <w:t xml:space="preserve">a </w:t>
      </w:r>
      <w:r w:rsidR="00E86BE8">
        <w:rPr>
          <w:rFonts w:cs="Times New Roman"/>
          <w:bCs/>
          <w:color w:val="auto"/>
        </w:rPr>
        <w:t xml:space="preserve">cell displaying </w:t>
      </w:r>
      <w:r w:rsidR="002C44EA">
        <w:rPr>
          <w:rFonts w:cs="Times New Roman"/>
          <w:bCs/>
          <w:color w:val="auto"/>
        </w:rPr>
        <w:t xml:space="preserve">the </w:t>
      </w:r>
      <w:r w:rsidR="00E86BE8">
        <w:rPr>
          <w:rFonts w:cs="Times New Roman"/>
          <w:bCs/>
          <w:color w:val="auto"/>
        </w:rPr>
        <w:t xml:space="preserve">genes assayed and their location. </w:t>
      </w:r>
      <w:r w:rsidR="002C44EA">
        <w:rPr>
          <w:rFonts w:cs="Times New Roman"/>
          <w:bCs/>
          <w:color w:val="auto"/>
        </w:rPr>
        <w:t>The g</w:t>
      </w:r>
      <w:r w:rsidR="00E86BE8">
        <w:rPr>
          <w:rFonts w:cs="Times New Roman"/>
          <w:bCs/>
          <w:color w:val="auto"/>
        </w:rPr>
        <w:t>ene symbols labeled here are a reference for panel B</w:t>
      </w:r>
      <w:r w:rsidR="00EB3B17" w:rsidRPr="00EB3B17">
        <w:rPr>
          <w:rFonts w:cs="Times New Roman"/>
          <w:color w:val="auto"/>
        </w:rPr>
        <w:t xml:space="preserve">. </w:t>
      </w:r>
      <w:r w:rsidR="00DB4EDC" w:rsidRPr="00DB4EDC">
        <w:rPr>
          <w:rFonts w:cs="Times New Roman"/>
          <w:bCs/>
          <w:color w:val="auto"/>
        </w:rPr>
        <w:t>(</w:t>
      </w:r>
      <w:r w:rsidR="00EB3B17" w:rsidRPr="00EB3B17">
        <w:rPr>
          <w:rFonts w:cs="Times New Roman"/>
          <w:b/>
          <w:bCs/>
          <w:color w:val="auto"/>
        </w:rPr>
        <w:t>B</w:t>
      </w:r>
      <w:r w:rsidR="00DB4EDC" w:rsidRPr="00DB4EDC">
        <w:rPr>
          <w:rFonts w:cs="Times New Roman"/>
          <w:bCs/>
          <w:color w:val="auto"/>
        </w:rPr>
        <w:t>)</w:t>
      </w:r>
      <w:r w:rsidR="00EB3B17" w:rsidRPr="00EB3B17">
        <w:rPr>
          <w:rFonts w:cs="Times New Roman"/>
          <w:color w:val="auto"/>
        </w:rPr>
        <w:t xml:space="preserve"> </w:t>
      </w:r>
      <w:r w:rsidR="002C44EA">
        <w:rPr>
          <w:rFonts w:cs="Times New Roman"/>
          <w:color w:val="auto"/>
        </w:rPr>
        <w:t xml:space="preserve">The </w:t>
      </w:r>
      <w:r w:rsidR="002C44EA" w:rsidRPr="00EB3B17">
        <w:rPr>
          <w:rFonts w:cs="Times New Roman"/>
          <w:color w:val="auto"/>
        </w:rPr>
        <w:t xml:space="preserve">colored </w:t>
      </w:r>
      <w:r w:rsidR="00EB3B17" w:rsidRPr="00EB3B17">
        <w:rPr>
          <w:rFonts w:cs="Times New Roman"/>
          <w:color w:val="auto"/>
        </w:rPr>
        <w:t>squares represent relative gene expression (median –</w:t>
      </w:r>
      <w:r w:rsidR="00EB3B17" w:rsidRPr="00EB3B17">
        <w:rPr>
          <w:rFonts w:cs="Times New Roman"/>
          <w:color w:val="auto"/>
          <w:lang w:val="el-GR"/>
        </w:rPr>
        <w:t>ΔΔ</w:t>
      </w:r>
      <w:r w:rsidR="00EB3B17" w:rsidRPr="00EB3B17">
        <w:rPr>
          <w:rFonts w:cs="Times New Roman"/>
          <w:color w:val="auto"/>
        </w:rPr>
        <w:t>Ct value</w:t>
      </w:r>
      <w:r w:rsidR="003164A7">
        <w:rPr>
          <w:rFonts w:cs="Times New Roman"/>
          <w:color w:val="auto"/>
        </w:rPr>
        <w:t>)</w:t>
      </w:r>
      <w:r w:rsidR="00EB3B17" w:rsidRPr="00EB3B17">
        <w:rPr>
          <w:rFonts w:cs="Times New Roman"/>
          <w:color w:val="auto"/>
        </w:rPr>
        <w:t xml:space="preserve"> for </w:t>
      </w:r>
      <w:r w:rsidR="002C44EA">
        <w:rPr>
          <w:rFonts w:cs="Times New Roman"/>
          <w:color w:val="auto"/>
        </w:rPr>
        <w:t xml:space="preserve">the </w:t>
      </w:r>
      <w:r w:rsidR="00EB3B17" w:rsidRPr="00EB3B17">
        <w:rPr>
          <w:rFonts w:cs="Times New Roman"/>
          <w:color w:val="auto"/>
        </w:rPr>
        <w:t>gene</w:t>
      </w:r>
      <w:r w:rsidR="002C44EA">
        <w:rPr>
          <w:rFonts w:cs="Times New Roman"/>
          <w:color w:val="auto"/>
        </w:rPr>
        <w:t>s</w:t>
      </w:r>
      <w:r w:rsidR="00EB3B17" w:rsidRPr="00EB3B17">
        <w:rPr>
          <w:rFonts w:cs="Times New Roman"/>
          <w:color w:val="auto"/>
        </w:rPr>
        <w:t xml:space="preserve"> </w:t>
      </w:r>
      <w:r w:rsidR="002C44EA" w:rsidRPr="00EB3B17">
        <w:rPr>
          <w:rFonts w:cs="Times New Roman"/>
          <w:color w:val="auto"/>
        </w:rPr>
        <w:t>represented</w:t>
      </w:r>
      <w:r w:rsidR="00EB3B17" w:rsidRPr="00EB3B17">
        <w:rPr>
          <w:rFonts w:cs="Times New Roman"/>
          <w:color w:val="auto"/>
        </w:rPr>
        <w:t xml:space="preserve"> in panel A. </w:t>
      </w:r>
      <w:r w:rsidR="002C44EA">
        <w:rPr>
          <w:rFonts w:cs="Times New Roman"/>
          <w:color w:val="auto"/>
        </w:rPr>
        <w:t>The l</w:t>
      </w:r>
      <w:r w:rsidR="00EB3B17" w:rsidRPr="00EB3B17">
        <w:rPr>
          <w:rFonts w:cs="Times New Roman"/>
          <w:color w:val="auto"/>
        </w:rPr>
        <w:t xml:space="preserve">ocation of </w:t>
      </w:r>
      <w:r w:rsidR="002C44EA">
        <w:rPr>
          <w:rFonts w:cs="Times New Roman"/>
          <w:color w:val="auto"/>
        </w:rPr>
        <w:t xml:space="preserve">the </w:t>
      </w:r>
      <w:r w:rsidR="00EB3B17" w:rsidRPr="00EB3B17">
        <w:rPr>
          <w:rFonts w:cs="Times New Roman"/>
          <w:color w:val="auto"/>
        </w:rPr>
        <w:t xml:space="preserve">squares represents </w:t>
      </w:r>
      <w:r w:rsidR="002C44EA">
        <w:rPr>
          <w:rFonts w:cs="Times New Roman"/>
          <w:color w:val="auto"/>
        </w:rPr>
        <w:t xml:space="preserve">the </w:t>
      </w:r>
      <w:r w:rsidR="00EB3B17" w:rsidRPr="00EB3B17">
        <w:rPr>
          <w:rFonts w:cs="Times New Roman"/>
          <w:color w:val="auto"/>
        </w:rPr>
        <w:t xml:space="preserve">cellular localization or function of the corresponding protein. </w:t>
      </w:r>
      <w:r w:rsidR="002C44EA">
        <w:rPr>
          <w:rFonts w:cs="Times New Roman"/>
          <w:color w:val="auto"/>
        </w:rPr>
        <w:t>The p</w:t>
      </w:r>
      <w:r w:rsidR="00EB3B17" w:rsidRPr="00EB3B17">
        <w:rPr>
          <w:rFonts w:cs="Times New Roman"/>
          <w:color w:val="auto"/>
        </w:rPr>
        <w:t xml:space="preserve">anels display </w:t>
      </w:r>
      <w:r w:rsidR="002C44EA">
        <w:rPr>
          <w:rFonts w:cs="Times New Roman"/>
          <w:color w:val="auto"/>
        </w:rPr>
        <w:t xml:space="preserve">the </w:t>
      </w:r>
      <w:r w:rsidR="00EB3B17" w:rsidRPr="00EB3B17">
        <w:rPr>
          <w:rFonts w:cs="Times New Roman"/>
          <w:color w:val="auto"/>
        </w:rPr>
        <w:t xml:space="preserve">relative gene expression represented by color across treatments and cell types. Yellow </w:t>
      </w:r>
      <w:r w:rsidR="002C44EA">
        <w:rPr>
          <w:rFonts w:cs="Times New Roman"/>
          <w:color w:val="auto"/>
        </w:rPr>
        <w:t>=</w:t>
      </w:r>
      <w:r w:rsidR="002C44EA" w:rsidRPr="00EB3B17">
        <w:rPr>
          <w:rFonts w:cs="Times New Roman"/>
          <w:color w:val="auto"/>
        </w:rPr>
        <w:t xml:space="preserve"> </w:t>
      </w:r>
      <w:r w:rsidR="00EB3B17" w:rsidRPr="00EB3B17">
        <w:rPr>
          <w:rFonts w:cs="Times New Roman"/>
          <w:color w:val="auto"/>
        </w:rPr>
        <w:t>high expression</w:t>
      </w:r>
      <w:r w:rsidR="002C44EA">
        <w:rPr>
          <w:rFonts w:cs="Times New Roman"/>
          <w:color w:val="auto"/>
        </w:rPr>
        <w:t>;</w:t>
      </w:r>
      <w:r w:rsidR="00EB3B17" w:rsidRPr="00EB3B17">
        <w:rPr>
          <w:rFonts w:cs="Times New Roman"/>
          <w:color w:val="auto"/>
        </w:rPr>
        <w:t xml:space="preserve"> blue </w:t>
      </w:r>
      <w:r w:rsidR="002C44EA">
        <w:rPr>
          <w:rFonts w:cs="Times New Roman"/>
          <w:color w:val="auto"/>
        </w:rPr>
        <w:t>=</w:t>
      </w:r>
      <w:r w:rsidR="002C44EA" w:rsidRPr="00EB3B17">
        <w:rPr>
          <w:rFonts w:cs="Times New Roman"/>
          <w:color w:val="auto"/>
        </w:rPr>
        <w:t xml:space="preserve"> </w:t>
      </w:r>
      <w:r w:rsidR="00EB3B17" w:rsidRPr="00EB3B17">
        <w:rPr>
          <w:rFonts w:cs="Times New Roman"/>
          <w:color w:val="auto"/>
        </w:rPr>
        <w:t>low expression</w:t>
      </w:r>
      <w:r w:rsidR="002C44EA">
        <w:rPr>
          <w:rFonts w:cs="Times New Roman"/>
          <w:color w:val="auto"/>
        </w:rPr>
        <w:t>;</w:t>
      </w:r>
      <w:r w:rsidR="00EB3B17" w:rsidRPr="00EB3B17">
        <w:rPr>
          <w:rFonts w:cs="Times New Roman"/>
          <w:color w:val="auto"/>
        </w:rPr>
        <w:t xml:space="preserve"> white </w:t>
      </w:r>
      <w:r w:rsidR="002C44EA">
        <w:rPr>
          <w:rFonts w:cs="Times New Roman"/>
          <w:color w:val="auto"/>
        </w:rPr>
        <w:t>=</w:t>
      </w:r>
      <w:r w:rsidR="002C44EA" w:rsidRPr="00EB3B17">
        <w:rPr>
          <w:rFonts w:cs="Times New Roman"/>
          <w:color w:val="auto"/>
        </w:rPr>
        <w:t xml:space="preserve"> </w:t>
      </w:r>
      <w:r w:rsidR="00EB3B17" w:rsidRPr="00EB3B17">
        <w:rPr>
          <w:rFonts w:cs="Times New Roman"/>
          <w:color w:val="auto"/>
        </w:rPr>
        <w:t xml:space="preserve">neutral expression. </w:t>
      </w:r>
      <w:r w:rsidR="002C44EA">
        <w:rPr>
          <w:rFonts w:cs="Times New Roman"/>
          <w:color w:val="auto"/>
        </w:rPr>
        <w:t>The f</w:t>
      </w:r>
      <w:r w:rsidR="002C44EA">
        <w:rPr>
          <w:rFonts w:cs="Times New Roman"/>
          <w:bCs/>
          <w:color w:val="auto"/>
        </w:rPr>
        <w:t>igure is modified from O’Sullivan et al.</w:t>
      </w:r>
      <w:r w:rsidR="002C44EA" w:rsidRPr="0034472B">
        <w:rPr>
          <w:rFonts w:cs="Times New Roman"/>
          <w:noProof/>
          <w:color w:val="auto"/>
          <w:vertAlign w:val="superscript"/>
        </w:rPr>
        <w:t>4</w:t>
      </w:r>
      <w:r w:rsidR="002C44EA">
        <w:rPr>
          <w:rFonts w:cs="Times New Roman"/>
          <w:bCs/>
          <w:color w:val="auto"/>
        </w:rPr>
        <w:t>.</w:t>
      </w:r>
    </w:p>
    <w:p w14:paraId="4CAB0EC9" w14:textId="77777777" w:rsidR="003164A7" w:rsidRDefault="003164A7" w:rsidP="00EA30FE">
      <w:pPr>
        <w:rPr>
          <w:rFonts w:cs="Times New Roman"/>
          <w:color w:val="auto"/>
        </w:rPr>
      </w:pPr>
    </w:p>
    <w:p w14:paraId="111AE81E" w14:textId="7037F074" w:rsidR="00EB3B17" w:rsidRPr="00EB3B17" w:rsidRDefault="00BB5D76" w:rsidP="00EA30FE">
      <w:pPr>
        <w:rPr>
          <w:rFonts w:cs="Times New Roman"/>
          <w:color w:val="auto"/>
        </w:rPr>
      </w:pPr>
      <w:r w:rsidRPr="00BB5D76">
        <w:rPr>
          <w:rFonts w:cs="Times New Roman"/>
          <w:b/>
          <w:bCs/>
          <w:color w:val="auto"/>
        </w:rPr>
        <w:t>Figure</w:t>
      </w:r>
      <w:r w:rsidR="003164A7" w:rsidRPr="005D66AC">
        <w:rPr>
          <w:rFonts w:cs="Times New Roman"/>
          <w:b/>
          <w:bCs/>
          <w:color w:val="auto"/>
        </w:rPr>
        <w:t xml:space="preserve"> 4</w:t>
      </w:r>
      <w:r w:rsidR="002C44EA">
        <w:rPr>
          <w:rFonts w:cs="Times New Roman"/>
          <w:b/>
          <w:bCs/>
          <w:color w:val="auto"/>
        </w:rPr>
        <w:t>:</w:t>
      </w:r>
      <w:r w:rsidR="003164A7" w:rsidRPr="005D66AC">
        <w:rPr>
          <w:rFonts w:cs="Times New Roman"/>
          <w:b/>
          <w:bCs/>
          <w:color w:val="auto"/>
        </w:rPr>
        <w:t xml:space="preserve"> Representative </w:t>
      </w:r>
      <w:r w:rsidR="00C94CBB" w:rsidRPr="005D66AC">
        <w:rPr>
          <w:rFonts w:cs="Times New Roman"/>
          <w:b/>
          <w:bCs/>
          <w:color w:val="auto"/>
        </w:rPr>
        <w:t xml:space="preserve">results </w:t>
      </w:r>
      <w:r w:rsidR="003164A7" w:rsidRPr="005D66AC">
        <w:rPr>
          <w:rFonts w:cs="Times New Roman"/>
          <w:b/>
          <w:bCs/>
          <w:color w:val="auto"/>
        </w:rPr>
        <w:t>2</w:t>
      </w:r>
      <w:r w:rsidR="003164A7">
        <w:rPr>
          <w:rFonts w:cs="Times New Roman"/>
          <w:color w:val="auto"/>
        </w:rPr>
        <w:t xml:space="preserve">. </w:t>
      </w:r>
      <w:r w:rsidR="00DB4EDC" w:rsidRPr="00DB4EDC">
        <w:rPr>
          <w:rFonts w:cs="Times New Roman"/>
          <w:bCs/>
          <w:color w:val="auto"/>
        </w:rPr>
        <w:t>(</w:t>
      </w:r>
      <w:r w:rsidR="003164A7">
        <w:rPr>
          <w:rFonts w:cs="Times New Roman"/>
          <w:b/>
          <w:bCs/>
          <w:color w:val="auto"/>
        </w:rPr>
        <w:t>A</w:t>
      </w:r>
      <w:r w:rsidR="00DB4EDC" w:rsidRPr="00DB4EDC">
        <w:rPr>
          <w:rFonts w:cs="Times New Roman"/>
          <w:bCs/>
          <w:color w:val="auto"/>
        </w:rPr>
        <w:t>)</w:t>
      </w:r>
      <w:r w:rsidR="00EB3B17" w:rsidRPr="00EB3B17">
        <w:rPr>
          <w:rFonts w:cs="Times New Roman"/>
          <w:b/>
          <w:bCs/>
          <w:color w:val="auto"/>
        </w:rPr>
        <w:t xml:space="preserve"> </w:t>
      </w:r>
      <w:r w:rsidR="00EB3B17" w:rsidRPr="00EB3B17">
        <w:rPr>
          <w:rFonts w:cs="Times New Roman"/>
          <w:color w:val="auto"/>
        </w:rPr>
        <w:t>Gene correlation networks. Pearson correlation was performed on the -∆∆C</w:t>
      </w:r>
      <w:r w:rsidR="00EB3B17" w:rsidRPr="00EB3B17">
        <w:rPr>
          <w:rFonts w:cs="Times New Roman"/>
          <w:color w:val="auto"/>
          <w:vertAlign w:val="subscript"/>
        </w:rPr>
        <w:t>t</w:t>
      </w:r>
      <w:r w:rsidR="00EB3B17" w:rsidRPr="00EB3B17">
        <w:rPr>
          <w:rFonts w:cs="Times New Roman"/>
          <w:color w:val="auto"/>
        </w:rPr>
        <w:t xml:space="preserve"> values within a treatment and cell type. </w:t>
      </w:r>
      <w:r w:rsidR="002C44EA">
        <w:rPr>
          <w:rFonts w:cs="Times New Roman"/>
          <w:color w:val="auto"/>
        </w:rPr>
        <w:t>The n</w:t>
      </w:r>
      <w:r w:rsidR="00EB3B17" w:rsidRPr="00EB3B17">
        <w:rPr>
          <w:rFonts w:cs="Times New Roman"/>
          <w:color w:val="auto"/>
        </w:rPr>
        <w:t xml:space="preserve">odes denote </w:t>
      </w:r>
      <w:r w:rsidR="002C44EA">
        <w:rPr>
          <w:rFonts w:cs="Times New Roman"/>
          <w:color w:val="auto"/>
        </w:rPr>
        <w:t xml:space="preserve">the </w:t>
      </w:r>
      <w:r w:rsidR="00EB3B17" w:rsidRPr="00EB3B17">
        <w:rPr>
          <w:rFonts w:cs="Times New Roman"/>
          <w:color w:val="auto"/>
        </w:rPr>
        <w:t xml:space="preserve">genes and their color signifies </w:t>
      </w:r>
      <w:r w:rsidR="002C44EA">
        <w:rPr>
          <w:rFonts w:cs="Times New Roman"/>
          <w:color w:val="auto"/>
        </w:rPr>
        <w:t xml:space="preserve">the </w:t>
      </w:r>
      <w:r w:rsidR="00EB3B17" w:rsidRPr="00EB3B17">
        <w:rPr>
          <w:rFonts w:cs="Times New Roman"/>
          <w:color w:val="auto"/>
        </w:rPr>
        <w:t>relative expression levels (</w:t>
      </w:r>
      <w:r w:rsidR="00AD5494">
        <w:rPr>
          <w:rFonts w:cs="Times New Roman"/>
          <w:color w:val="auto"/>
        </w:rPr>
        <w:t xml:space="preserve">the </w:t>
      </w:r>
      <w:r w:rsidR="00EB3B17" w:rsidRPr="00EB3B17">
        <w:rPr>
          <w:rFonts w:cs="Times New Roman"/>
          <w:color w:val="auto"/>
        </w:rPr>
        <w:t xml:space="preserve">median -∆∆Ct value for each gene). </w:t>
      </w:r>
      <w:r w:rsidR="00AD5494">
        <w:rPr>
          <w:rFonts w:cs="Times New Roman"/>
          <w:color w:val="auto"/>
        </w:rPr>
        <w:t>The e</w:t>
      </w:r>
      <w:r w:rsidR="00EB3B17" w:rsidRPr="00EB3B17">
        <w:rPr>
          <w:rFonts w:cs="Times New Roman"/>
          <w:color w:val="auto"/>
        </w:rPr>
        <w:t>dges denote expression correlations</w:t>
      </w:r>
      <w:r w:rsidR="00AD5494">
        <w:rPr>
          <w:rFonts w:cs="Times New Roman"/>
          <w:color w:val="auto"/>
        </w:rPr>
        <w:t xml:space="preserve"> and the</w:t>
      </w:r>
      <w:r w:rsidR="00EB3B17" w:rsidRPr="00EB3B17">
        <w:rPr>
          <w:rFonts w:cs="Times New Roman"/>
          <w:color w:val="auto"/>
        </w:rPr>
        <w:t xml:space="preserve"> thickness signifies </w:t>
      </w:r>
      <w:r w:rsidR="00AD5494">
        <w:rPr>
          <w:rFonts w:cs="Times New Roman"/>
          <w:color w:val="auto"/>
        </w:rPr>
        <w:t xml:space="preserve">the </w:t>
      </w:r>
      <w:r w:rsidR="00EB3B17" w:rsidRPr="00EB3B17">
        <w:rPr>
          <w:rFonts w:cs="Times New Roman"/>
          <w:color w:val="auto"/>
        </w:rPr>
        <w:t xml:space="preserve">strength of </w:t>
      </w:r>
      <w:r w:rsidR="00AD5494">
        <w:rPr>
          <w:rFonts w:cs="Times New Roman"/>
          <w:color w:val="auto"/>
        </w:rPr>
        <w:t xml:space="preserve">the </w:t>
      </w:r>
      <w:r w:rsidR="003164A7">
        <w:rPr>
          <w:rFonts w:cs="Times New Roman"/>
          <w:color w:val="auto"/>
        </w:rPr>
        <w:t xml:space="preserve">expression </w:t>
      </w:r>
      <w:r w:rsidR="00EB3B17" w:rsidRPr="00EB3B17">
        <w:rPr>
          <w:rFonts w:cs="Times New Roman"/>
          <w:color w:val="auto"/>
        </w:rPr>
        <w:t>correlation</w:t>
      </w:r>
      <w:r w:rsidR="003164A7">
        <w:rPr>
          <w:rFonts w:cs="Times New Roman"/>
          <w:color w:val="auto"/>
        </w:rPr>
        <w:t xml:space="preserve"> (</w:t>
      </w:r>
      <w:r w:rsidR="003164A7" w:rsidRPr="003164A7">
        <w:rPr>
          <w:rFonts w:cs="Times New Roman"/>
          <w:color w:val="auto"/>
        </w:rPr>
        <w:t>ρ</w:t>
      </w:r>
      <w:r w:rsidR="003164A7">
        <w:rPr>
          <w:rFonts w:cs="Times New Roman"/>
          <w:color w:val="auto"/>
        </w:rPr>
        <w:t>)</w:t>
      </w:r>
      <w:r w:rsidR="00EB3B17" w:rsidRPr="00EB3B17">
        <w:rPr>
          <w:rFonts w:cs="Times New Roman"/>
          <w:color w:val="auto"/>
        </w:rPr>
        <w:t xml:space="preserve">. Correlations </w:t>
      </w:r>
      <w:r w:rsidR="003164A7">
        <w:rPr>
          <w:rFonts w:cs="Times New Roman"/>
          <w:color w:val="auto"/>
        </w:rPr>
        <w:t xml:space="preserve">with a </w:t>
      </w:r>
      <w:r w:rsidR="00EB3B17" w:rsidRPr="00EB3B17">
        <w:rPr>
          <w:rFonts w:cs="Times New Roman"/>
          <w:color w:val="auto"/>
        </w:rPr>
        <w:t>q</w:t>
      </w:r>
      <w:r w:rsidR="003164A7">
        <w:rPr>
          <w:rFonts w:cs="Times New Roman"/>
          <w:color w:val="auto"/>
        </w:rPr>
        <w:t xml:space="preserve">-value </w:t>
      </w:r>
      <w:r w:rsidR="00EB3B17" w:rsidRPr="00EB3B17">
        <w:rPr>
          <w:rFonts w:cs="Times New Roman"/>
          <w:color w:val="auto"/>
        </w:rPr>
        <w:t xml:space="preserve">&lt;0.001 are displayed. </w:t>
      </w:r>
      <w:r w:rsidR="00C94CBB">
        <w:rPr>
          <w:rFonts w:cs="Times New Roman"/>
          <w:color w:val="auto"/>
        </w:rPr>
        <w:t>B</w:t>
      </w:r>
      <w:r w:rsidR="00C94CBB" w:rsidRPr="00EB3B17">
        <w:rPr>
          <w:rFonts w:cs="Times New Roman"/>
          <w:color w:val="auto"/>
        </w:rPr>
        <w:t xml:space="preserve">lack </w:t>
      </w:r>
      <w:r w:rsidR="00EB3B17" w:rsidRPr="00EB3B17">
        <w:rPr>
          <w:rFonts w:cs="Times New Roman"/>
          <w:color w:val="auto"/>
        </w:rPr>
        <w:t xml:space="preserve">edges </w:t>
      </w:r>
      <w:r w:rsidR="00C94CBB">
        <w:rPr>
          <w:rFonts w:cs="Times New Roman"/>
          <w:color w:val="auto"/>
        </w:rPr>
        <w:t>=</w:t>
      </w:r>
      <w:r w:rsidR="00C94CBB" w:rsidRPr="00EB3B17">
        <w:rPr>
          <w:rFonts w:cs="Times New Roman"/>
          <w:color w:val="auto"/>
        </w:rPr>
        <w:t xml:space="preserve"> </w:t>
      </w:r>
      <w:r w:rsidR="00EB3B17" w:rsidRPr="00EB3B17">
        <w:rPr>
          <w:rFonts w:cs="Times New Roman"/>
          <w:color w:val="auto"/>
        </w:rPr>
        <w:t>positive correlations</w:t>
      </w:r>
      <w:r w:rsidR="00C94CBB">
        <w:rPr>
          <w:rFonts w:cs="Times New Roman"/>
          <w:color w:val="auto"/>
        </w:rPr>
        <w:t>;</w:t>
      </w:r>
      <w:r w:rsidR="00EB3B17" w:rsidRPr="00EB3B17">
        <w:rPr>
          <w:rFonts w:cs="Times New Roman"/>
          <w:color w:val="auto"/>
        </w:rPr>
        <w:t xml:space="preserve"> green edges </w:t>
      </w:r>
      <w:r w:rsidR="00C94CBB">
        <w:rPr>
          <w:rFonts w:cs="Times New Roman"/>
          <w:color w:val="auto"/>
        </w:rPr>
        <w:t>=</w:t>
      </w:r>
      <w:r w:rsidR="00C94CBB" w:rsidRPr="00EB3B17">
        <w:rPr>
          <w:rFonts w:cs="Times New Roman"/>
          <w:color w:val="auto"/>
        </w:rPr>
        <w:t xml:space="preserve"> </w:t>
      </w:r>
      <w:r w:rsidR="00EB3B17" w:rsidRPr="00EB3B17">
        <w:rPr>
          <w:rFonts w:cs="Times New Roman"/>
          <w:color w:val="auto"/>
        </w:rPr>
        <w:t xml:space="preserve">negative correlations. </w:t>
      </w:r>
      <w:r w:rsidR="00DB4EDC" w:rsidRPr="00DB4EDC">
        <w:rPr>
          <w:rFonts w:cs="Times New Roman"/>
          <w:bCs/>
          <w:color w:val="auto"/>
        </w:rPr>
        <w:t>(</w:t>
      </w:r>
      <w:r w:rsidR="003164A7">
        <w:rPr>
          <w:rFonts w:cs="Times New Roman"/>
          <w:b/>
          <w:bCs/>
          <w:color w:val="auto"/>
        </w:rPr>
        <w:t>B</w:t>
      </w:r>
      <w:r w:rsidR="00DB4EDC" w:rsidRPr="00DB4EDC">
        <w:rPr>
          <w:rFonts w:cs="Times New Roman"/>
          <w:bCs/>
          <w:color w:val="auto"/>
        </w:rPr>
        <w:t>)</w:t>
      </w:r>
      <w:r w:rsidR="00EB3B17" w:rsidRPr="00EB3B17">
        <w:rPr>
          <w:rFonts w:cs="Times New Roman"/>
          <w:b/>
          <w:bCs/>
          <w:color w:val="auto"/>
        </w:rPr>
        <w:t xml:space="preserve"> </w:t>
      </w:r>
      <w:r w:rsidR="00EB3B17" w:rsidRPr="00EB3B17">
        <w:rPr>
          <w:rFonts w:cs="Times New Roman"/>
          <w:color w:val="auto"/>
        </w:rPr>
        <w:t xml:space="preserve">Bar plots of select genes demonstrating significant differential gene expression. </w:t>
      </w:r>
      <w:r w:rsidR="00AD5494">
        <w:rPr>
          <w:rFonts w:cs="Times New Roman"/>
          <w:color w:val="auto"/>
        </w:rPr>
        <w:t>The s</w:t>
      </w:r>
      <w:r w:rsidR="00EB3B17" w:rsidRPr="00EB3B17">
        <w:rPr>
          <w:rFonts w:cs="Times New Roman"/>
          <w:color w:val="auto"/>
        </w:rPr>
        <w:t>tatistics were calculated using nested ANOVA #p</w:t>
      </w:r>
      <w:r w:rsidR="00AD5494">
        <w:rPr>
          <w:rFonts w:cs="Times New Roman"/>
          <w:color w:val="auto"/>
        </w:rPr>
        <w:t xml:space="preserve"> </w:t>
      </w:r>
      <w:r w:rsidR="00EB3B17" w:rsidRPr="00EB3B17">
        <w:rPr>
          <w:rFonts w:cs="Times New Roman"/>
          <w:color w:val="auto"/>
        </w:rPr>
        <w:t>&lt;</w:t>
      </w:r>
      <w:r w:rsidR="00AD5494">
        <w:rPr>
          <w:rFonts w:cs="Times New Roman"/>
          <w:color w:val="auto"/>
        </w:rPr>
        <w:t xml:space="preserve"> </w:t>
      </w:r>
      <w:r w:rsidR="00EB3B17" w:rsidRPr="00EB3B17">
        <w:rPr>
          <w:rFonts w:cs="Times New Roman"/>
          <w:color w:val="auto"/>
        </w:rPr>
        <w:t>0.1, *p</w:t>
      </w:r>
      <w:r w:rsidR="00AD5494">
        <w:rPr>
          <w:rFonts w:cs="Times New Roman"/>
          <w:color w:val="auto"/>
        </w:rPr>
        <w:t xml:space="preserve"> </w:t>
      </w:r>
      <w:r w:rsidR="00EB3B17" w:rsidRPr="00EB3B17">
        <w:rPr>
          <w:rFonts w:cs="Times New Roman"/>
          <w:color w:val="auto"/>
        </w:rPr>
        <w:t>&lt;</w:t>
      </w:r>
      <w:r w:rsidR="00AD5494">
        <w:rPr>
          <w:rFonts w:cs="Times New Roman"/>
          <w:color w:val="auto"/>
        </w:rPr>
        <w:t xml:space="preserve"> </w:t>
      </w:r>
      <w:r w:rsidR="00EB3B17" w:rsidRPr="00EB3B17">
        <w:rPr>
          <w:rFonts w:cs="Times New Roman"/>
          <w:color w:val="auto"/>
        </w:rPr>
        <w:t>0.05, **p</w:t>
      </w:r>
      <w:r w:rsidR="00AD5494">
        <w:rPr>
          <w:rFonts w:cs="Times New Roman"/>
          <w:color w:val="auto"/>
        </w:rPr>
        <w:t xml:space="preserve"> </w:t>
      </w:r>
      <w:r w:rsidR="00EB3B17" w:rsidRPr="00EB3B17">
        <w:rPr>
          <w:rFonts w:cs="Times New Roman"/>
          <w:color w:val="auto"/>
        </w:rPr>
        <w:t>&lt;</w:t>
      </w:r>
      <w:r w:rsidR="00AD5494">
        <w:rPr>
          <w:rFonts w:cs="Times New Roman"/>
          <w:color w:val="auto"/>
        </w:rPr>
        <w:t xml:space="preserve"> </w:t>
      </w:r>
      <w:r w:rsidR="00EB3B17" w:rsidRPr="00EB3B17">
        <w:rPr>
          <w:rFonts w:cs="Times New Roman"/>
          <w:color w:val="auto"/>
        </w:rPr>
        <w:t>0.01, ***p</w:t>
      </w:r>
      <w:r w:rsidR="00AD5494">
        <w:rPr>
          <w:rFonts w:cs="Times New Roman"/>
          <w:color w:val="auto"/>
        </w:rPr>
        <w:t xml:space="preserve"> </w:t>
      </w:r>
      <w:r w:rsidR="00EB3B17" w:rsidRPr="00EB3B17">
        <w:rPr>
          <w:rFonts w:cs="Times New Roman"/>
          <w:color w:val="auto"/>
        </w:rPr>
        <w:t>&lt;</w:t>
      </w:r>
      <w:r w:rsidR="00AD5494">
        <w:rPr>
          <w:rFonts w:cs="Times New Roman"/>
          <w:color w:val="auto"/>
        </w:rPr>
        <w:t xml:space="preserve"> </w:t>
      </w:r>
      <w:r w:rsidR="00EB3B17" w:rsidRPr="00EB3B17">
        <w:rPr>
          <w:rFonts w:cs="Times New Roman"/>
          <w:color w:val="auto"/>
        </w:rPr>
        <w:t xml:space="preserve">0.0001 </w:t>
      </w:r>
      <w:r w:rsidR="00AD5494">
        <w:rPr>
          <w:rFonts w:cs="Times New Roman"/>
          <w:color w:val="auto"/>
        </w:rPr>
        <w:t>(</w:t>
      </w:r>
      <w:r w:rsidR="00EB3B17" w:rsidRPr="00EB3B17">
        <w:rPr>
          <w:rFonts w:cs="Times New Roman"/>
          <w:color w:val="auto"/>
        </w:rPr>
        <w:t>n</w:t>
      </w:r>
      <w:r w:rsidR="00AD5494">
        <w:rPr>
          <w:rFonts w:cs="Times New Roman"/>
          <w:color w:val="auto"/>
        </w:rPr>
        <w:t xml:space="preserve"> </w:t>
      </w:r>
      <w:r w:rsidR="00EB3B17" w:rsidRPr="00EB3B17">
        <w:rPr>
          <w:rFonts w:cs="Times New Roman"/>
          <w:color w:val="auto"/>
        </w:rPr>
        <w:t>=</w:t>
      </w:r>
      <w:r w:rsidR="00AD5494">
        <w:rPr>
          <w:rFonts w:cs="Times New Roman"/>
          <w:color w:val="auto"/>
        </w:rPr>
        <w:t xml:space="preserve"> </w:t>
      </w:r>
      <w:r w:rsidR="00EB3B17" w:rsidRPr="00EB3B17">
        <w:rPr>
          <w:rFonts w:cs="Times New Roman"/>
          <w:color w:val="auto"/>
        </w:rPr>
        <w:t xml:space="preserve">4 animals for all treatments). </w:t>
      </w:r>
      <w:r w:rsidR="002C44EA">
        <w:rPr>
          <w:rFonts w:cs="Times New Roman"/>
          <w:color w:val="auto"/>
        </w:rPr>
        <w:t>The f</w:t>
      </w:r>
      <w:r w:rsidR="002C44EA">
        <w:rPr>
          <w:rFonts w:cs="Times New Roman"/>
          <w:bCs/>
          <w:color w:val="auto"/>
        </w:rPr>
        <w:t>igure is modified from O’Sullivan et al.</w:t>
      </w:r>
      <w:r w:rsidR="002C44EA" w:rsidRPr="0034472B">
        <w:rPr>
          <w:rFonts w:cs="Times New Roman"/>
          <w:noProof/>
          <w:color w:val="auto"/>
          <w:vertAlign w:val="superscript"/>
        </w:rPr>
        <w:t>4</w:t>
      </w:r>
      <w:r w:rsidR="002C44EA">
        <w:rPr>
          <w:rFonts w:cs="Times New Roman"/>
          <w:bCs/>
          <w:color w:val="auto"/>
        </w:rPr>
        <w:t>.</w:t>
      </w:r>
    </w:p>
    <w:p w14:paraId="6BFD30AD" w14:textId="77777777" w:rsidR="002C44EA" w:rsidRDefault="002C44EA" w:rsidP="00EA30FE">
      <w:pPr>
        <w:rPr>
          <w:rFonts w:cs="Times New Roman"/>
          <w:color w:val="auto"/>
        </w:rPr>
      </w:pPr>
    </w:p>
    <w:p w14:paraId="63E06782" w14:textId="2A1070A3" w:rsidR="00EB3B17" w:rsidRPr="00104EFF" w:rsidRDefault="00BB5D76" w:rsidP="00EA30FE">
      <w:pPr>
        <w:rPr>
          <w:rFonts w:cs="Times New Roman"/>
          <w:color w:val="auto"/>
        </w:rPr>
      </w:pPr>
      <w:r w:rsidRPr="00BB5D76">
        <w:rPr>
          <w:rFonts w:cs="Times New Roman"/>
          <w:b/>
          <w:bCs/>
          <w:color w:val="auto"/>
        </w:rPr>
        <w:t>Figure</w:t>
      </w:r>
      <w:r w:rsidR="00EB3B17" w:rsidRPr="00EB3B17">
        <w:rPr>
          <w:rFonts w:cs="Times New Roman"/>
          <w:b/>
          <w:bCs/>
          <w:color w:val="auto"/>
        </w:rPr>
        <w:t xml:space="preserve"> </w:t>
      </w:r>
      <w:r w:rsidR="003164A7">
        <w:rPr>
          <w:rFonts w:cs="Times New Roman"/>
          <w:b/>
          <w:bCs/>
          <w:color w:val="auto"/>
        </w:rPr>
        <w:t>5</w:t>
      </w:r>
      <w:r w:rsidR="002C44EA">
        <w:rPr>
          <w:rFonts w:cs="Times New Roman"/>
          <w:b/>
          <w:bCs/>
          <w:color w:val="auto"/>
        </w:rPr>
        <w:t>:</w:t>
      </w:r>
      <w:r w:rsidR="00EB3B17" w:rsidRPr="00EB3B17">
        <w:rPr>
          <w:rFonts w:cs="Times New Roman"/>
          <w:b/>
          <w:bCs/>
          <w:color w:val="auto"/>
        </w:rPr>
        <w:t xml:space="preserve"> Relative abundance of gut microflora.</w:t>
      </w:r>
      <w:r w:rsidR="00EB3B17" w:rsidRPr="00EB3B17">
        <w:rPr>
          <w:rFonts w:cs="Times New Roman"/>
          <w:color w:val="auto"/>
        </w:rPr>
        <w:t xml:space="preserve"> </w:t>
      </w:r>
      <w:r w:rsidR="00AD5494">
        <w:rPr>
          <w:rFonts w:cs="Times New Roman"/>
          <w:color w:val="auto"/>
        </w:rPr>
        <w:t>The b</w:t>
      </w:r>
      <w:r w:rsidR="00EB3B17" w:rsidRPr="00EB3B17">
        <w:rPr>
          <w:rFonts w:cs="Times New Roman"/>
          <w:color w:val="auto"/>
        </w:rPr>
        <w:t xml:space="preserve">arplots display </w:t>
      </w:r>
      <w:r w:rsidR="00AD5494">
        <w:rPr>
          <w:rFonts w:cs="Times New Roman"/>
          <w:color w:val="auto"/>
        </w:rPr>
        <w:t xml:space="preserve">the </w:t>
      </w:r>
      <w:r w:rsidR="00EB3B17" w:rsidRPr="00EB3B17">
        <w:rPr>
          <w:rFonts w:cs="Times New Roman"/>
          <w:color w:val="auto"/>
        </w:rPr>
        <w:t>relative abundance of bacterial species (-∆∆C</w:t>
      </w:r>
      <w:r w:rsidR="00EB3B17" w:rsidRPr="00EB3B17">
        <w:rPr>
          <w:rFonts w:cs="Times New Roman"/>
          <w:color w:val="auto"/>
          <w:vertAlign w:val="subscript"/>
        </w:rPr>
        <w:t>t</w:t>
      </w:r>
      <w:r w:rsidR="00EB3B17" w:rsidRPr="00EB3B17">
        <w:rPr>
          <w:rFonts w:cs="Times New Roman"/>
          <w:color w:val="auto"/>
        </w:rPr>
        <w:t xml:space="preserve"> values). #p</w:t>
      </w:r>
      <w:r w:rsidR="00AD5494">
        <w:rPr>
          <w:rFonts w:cs="Times New Roman"/>
          <w:color w:val="auto"/>
        </w:rPr>
        <w:t xml:space="preserve"> </w:t>
      </w:r>
      <w:r w:rsidR="00EB3B17" w:rsidRPr="00EB3B17">
        <w:rPr>
          <w:rFonts w:cs="Times New Roman"/>
          <w:color w:val="auto"/>
        </w:rPr>
        <w:t>&lt;</w:t>
      </w:r>
      <w:r w:rsidR="00AD5494">
        <w:rPr>
          <w:rFonts w:cs="Times New Roman"/>
          <w:color w:val="auto"/>
        </w:rPr>
        <w:t xml:space="preserve"> </w:t>
      </w:r>
      <w:r w:rsidR="00EB3B17" w:rsidRPr="00EB3B17">
        <w:rPr>
          <w:rFonts w:cs="Times New Roman"/>
          <w:color w:val="auto"/>
        </w:rPr>
        <w:t>0.1, *p</w:t>
      </w:r>
      <w:r w:rsidR="00AD5494">
        <w:rPr>
          <w:rFonts w:cs="Times New Roman"/>
          <w:color w:val="auto"/>
        </w:rPr>
        <w:t xml:space="preserve"> </w:t>
      </w:r>
      <w:r w:rsidR="00EB3B17" w:rsidRPr="00EB3B17">
        <w:rPr>
          <w:rFonts w:cs="Times New Roman"/>
          <w:color w:val="auto"/>
        </w:rPr>
        <w:t>&lt;</w:t>
      </w:r>
      <w:r w:rsidR="00AD5494">
        <w:rPr>
          <w:rFonts w:cs="Times New Roman"/>
          <w:color w:val="auto"/>
        </w:rPr>
        <w:t xml:space="preserve"> </w:t>
      </w:r>
      <w:r w:rsidR="00EB3B17" w:rsidRPr="00EB3B17">
        <w:rPr>
          <w:rFonts w:cs="Times New Roman"/>
          <w:color w:val="auto"/>
        </w:rPr>
        <w:t>0.05, **p</w:t>
      </w:r>
      <w:r w:rsidR="00AD5494">
        <w:rPr>
          <w:rFonts w:cs="Times New Roman"/>
          <w:color w:val="auto"/>
        </w:rPr>
        <w:t xml:space="preserve"> </w:t>
      </w:r>
      <w:r w:rsidR="00EB3B17" w:rsidRPr="00EB3B17">
        <w:rPr>
          <w:rFonts w:cs="Times New Roman"/>
          <w:color w:val="auto"/>
        </w:rPr>
        <w:t>&lt;</w:t>
      </w:r>
      <w:r w:rsidR="00AD5494">
        <w:rPr>
          <w:rFonts w:cs="Times New Roman"/>
          <w:color w:val="auto"/>
        </w:rPr>
        <w:t xml:space="preserve"> </w:t>
      </w:r>
      <w:r w:rsidR="00EB3B17" w:rsidRPr="00EB3B17">
        <w:rPr>
          <w:rFonts w:cs="Times New Roman"/>
          <w:color w:val="auto"/>
        </w:rPr>
        <w:t>0.008, ***p</w:t>
      </w:r>
      <w:r w:rsidR="00AD5494">
        <w:rPr>
          <w:rFonts w:cs="Times New Roman"/>
          <w:color w:val="auto"/>
        </w:rPr>
        <w:t xml:space="preserve"> </w:t>
      </w:r>
      <w:r w:rsidR="00EB3B17" w:rsidRPr="00EB3B17">
        <w:rPr>
          <w:rFonts w:cs="Times New Roman"/>
          <w:color w:val="auto"/>
        </w:rPr>
        <w:t>=</w:t>
      </w:r>
      <w:r w:rsidR="00AD5494">
        <w:rPr>
          <w:rFonts w:cs="Times New Roman"/>
          <w:color w:val="auto"/>
        </w:rPr>
        <w:t xml:space="preserve"> </w:t>
      </w:r>
      <w:r w:rsidR="00EB3B17" w:rsidRPr="00EB3B17">
        <w:rPr>
          <w:rFonts w:cs="Times New Roman"/>
          <w:color w:val="auto"/>
        </w:rPr>
        <w:t>0.0009; two-way ANOVA</w:t>
      </w:r>
      <w:r w:rsidR="00AD5494">
        <w:rPr>
          <w:rFonts w:cs="Times New Roman"/>
          <w:color w:val="auto"/>
        </w:rPr>
        <w:t>;</w:t>
      </w:r>
      <w:r w:rsidR="00EB3B17" w:rsidRPr="00EB3B17">
        <w:rPr>
          <w:rFonts w:cs="Times New Roman"/>
          <w:color w:val="auto"/>
        </w:rPr>
        <w:t xml:space="preserve"> n</w:t>
      </w:r>
      <w:r w:rsidR="00AD5494">
        <w:rPr>
          <w:rFonts w:cs="Times New Roman"/>
          <w:color w:val="auto"/>
        </w:rPr>
        <w:t xml:space="preserve"> </w:t>
      </w:r>
      <w:r w:rsidR="00EB3B17" w:rsidRPr="00EB3B17">
        <w:rPr>
          <w:rFonts w:cs="Times New Roman"/>
          <w:color w:val="auto"/>
        </w:rPr>
        <w:t>=</w:t>
      </w:r>
      <w:r w:rsidR="00AD5494">
        <w:rPr>
          <w:rFonts w:cs="Times New Roman"/>
          <w:color w:val="auto"/>
        </w:rPr>
        <w:t xml:space="preserve"> </w:t>
      </w:r>
      <w:r w:rsidR="00EB3B17" w:rsidRPr="00EB3B17">
        <w:rPr>
          <w:rFonts w:cs="Times New Roman"/>
          <w:color w:val="auto"/>
        </w:rPr>
        <w:t>4 animals for each treatment.</w:t>
      </w:r>
      <w:r w:rsidR="002C44EA">
        <w:rPr>
          <w:rFonts w:cs="Times New Roman"/>
          <w:color w:val="auto"/>
        </w:rPr>
        <w:t xml:space="preserve"> The f</w:t>
      </w:r>
      <w:r w:rsidR="002C44EA">
        <w:rPr>
          <w:rFonts w:cs="Times New Roman"/>
          <w:bCs/>
          <w:color w:val="auto"/>
        </w:rPr>
        <w:t>igure is modified from O’Sullivan et al.</w:t>
      </w:r>
      <w:r w:rsidR="002C44EA" w:rsidRPr="0034472B">
        <w:rPr>
          <w:rFonts w:cs="Times New Roman"/>
          <w:noProof/>
          <w:color w:val="auto"/>
          <w:vertAlign w:val="superscript"/>
        </w:rPr>
        <w:t>4</w:t>
      </w:r>
      <w:r w:rsidR="002C44EA">
        <w:rPr>
          <w:rFonts w:cs="Times New Roman"/>
          <w:bCs/>
          <w:color w:val="auto"/>
        </w:rPr>
        <w:t>.</w:t>
      </w:r>
    </w:p>
    <w:p w14:paraId="32EFC802" w14:textId="77777777" w:rsidR="007031F8" w:rsidRPr="00104EFF" w:rsidRDefault="007031F8" w:rsidP="00EA30FE">
      <w:pPr>
        <w:rPr>
          <w:rFonts w:cs="Times New Roman"/>
          <w:color w:val="auto"/>
        </w:rPr>
      </w:pPr>
    </w:p>
    <w:p w14:paraId="1FB5BFA2" w14:textId="30352DEE" w:rsidR="007031F8" w:rsidRPr="005D66AC" w:rsidRDefault="007031F8" w:rsidP="00EA30FE">
      <w:pPr>
        <w:rPr>
          <w:rFonts w:asciiTheme="minorHAnsi" w:hAnsiTheme="minorHAnsi" w:cs="Times New Roman"/>
          <w:b/>
          <w:bCs/>
          <w:color w:val="auto"/>
        </w:rPr>
      </w:pPr>
      <w:r w:rsidRPr="005D66AC">
        <w:rPr>
          <w:rFonts w:asciiTheme="minorHAnsi" w:hAnsiTheme="minorHAnsi" w:cs="Times New Roman"/>
          <w:b/>
          <w:bCs/>
          <w:color w:val="auto"/>
        </w:rPr>
        <w:t>DISCUSSION:</w:t>
      </w:r>
    </w:p>
    <w:p w14:paraId="1A85796E" w14:textId="105F2506" w:rsidR="006B3E1C" w:rsidRDefault="006B3E1C" w:rsidP="00EA30FE">
      <w:pPr>
        <w:rPr>
          <w:rFonts w:asciiTheme="minorHAnsi" w:hAnsiTheme="minorHAnsi" w:cs="Times New Roman"/>
          <w:color w:val="auto"/>
        </w:rPr>
      </w:pPr>
      <w:r w:rsidRPr="006B3E1C">
        <w:rPr>
          <w:rFonts w:asciiTheme="minorHAnsi" w:hAnsiTheme="minorHAnsi" w:cs="Times New Roman"/>
          <w:color w:val="auto"/>
        </w:rPr>
        <w:t xml:space="preserve">Single-cell biology has demonstrated the heterogeneity of cellular phenotypes and robustness of tissue function. These findings have provided insight into the organization of biological systems at both macro and micro scales. Here, </w:t>
      </w:r>
      <w:r>
        <w:rPr>
          <w:rFonts w:asciiTheme="minorHAnsi" w:hAnsiTheme="minorHAnsi" w:cs="Times New Roman"/>
          <w:color w:val="auto"/>
        </w:rPr>
        <w:t>we describe the combination of two methods, LCM and microfluidic qPCR, to obtain single-cell transcriptome measures that provide anatomic specificity and transcriptional accuracy at a relatively low cost</w:t>
      </w:r>
      <w:r w:rsidR="001437FF">
        <w:rPr>
          <w:rFonts w:asciiTheme="minorHAnsi" w:hAnsiTheme="minorHAnsi" w:cs="Times New Roman"/>
          <w:color w:val="auto"/>
        </w:rPr>
        <w:t xml:space="preserve"> </w:t>
      </w:r>
      <w:r w:rsidR="00DB4EDC" w:rsidRPr="00DB4EDC">
        <w:rPr>
          <w:rFonts w:asciiTheme="minorHAnsi" w:hAnsiTheme="minorHAnsi" w:cs="Times New Roman"/>
          <w:color w:val="auto"/>
        </w:rPr>
        <w:t>(</w:t>
      </w:r>
      <w:r w:rsidR="00BE52E9" w:rsidRPr="00BE52E9">
        <w:rPr>
          <w:rFonts w:asciiTheme="minorHAnsi" w:hAnsiTheme="minorHAnsi" w:cs="Times New Roman"/>
          <w:b/>
          <w:color w:val="auto"/>
        </w:rPr>
        <w:t>Figure</w:t>
      </w:r>
      <w:r w:rsidR="001437FF" w:rsidRPr="001437FF">
        <w:rPr>
          <w:rFonts w:asciiTheme="minorHAnsi" w:hAnsiTheme="minorHAnsi" w:cs="Times New Roman"/>
          <w:b/>
          <w:color w:val="auto"/>
        </w:rPr>
        <w:t xml:space="preserve"> 1</w:t>
      </w:r>
      <w:r w:rsidR="00DB4EDC" w:rsidRPr="00DB4EDC">
        <w:rPr>
          <w:rFonts w:asciiTheme="minorHAnsi" w:hAnsiTheme="minorHAnsi" w:cs="Times New Roman"/>
          <w:color w:val="auto"/>
        </w:rPr>
        <w:t>)</w:t>
      </w:r>
      <w:r>
        <w:rPr>
          <w:rFonts w:asciiTheme="minorHAnsi" w:hAnsiTheme="minorHAnsi" w:cs="Times New Roman"/>
          <w:color w:val="auto"/>
        </w:rPr>
        <w:t>. Our group takes a systems biology approach and often measures multiple tissues in the same animal. We find these methods to be both flexible and fruitful in determining how biological systems respond to various challenges at the transcriptional level</w:t>
      </w:r>
      <w:r w:rsidR="007F7B07">
        <w:rPr>
          <w:rFonts w:asciiTheme="minorHAnsi" w:hAnsiTheme="minorHAnsi" w:cs="Times New Roman"/>
          <w:color w:val="auto"/>
        </w:rPr>
        <w:t>.</w:t>
      </w:r>
      <w:r w:rsidR="005D66AC">
        <w:rPr>
          <w:rFonts w:asciiTheme="minorHAnsi" w:hAnsiTheme="minorHAnsi" w:cs="Times New Roman"/>
          <w:color w:val="auto"/>
        </w:rPr>
        <w:t xml:space="preserve"> </w:t>
      </w:r>
      <w:r w:rsidR="007F7B07">
        <w:rPr>
          <w:rFonts w:asciiTheme="minorHAnsi" w:hAnsiTheme="minorHAnsi" w:cs="Times New Roman"/>
          <w:color w:val="auto"/>
        </w:rPr>
        <w:t>Additionally, we use these methods in the</w:t>
      </w:r>
      <w:r>
        <w:rPr>
          <w:rFonts w:asciiTheme="minorHAnsi" w:hAnsiTheme="minorHAnsi" w:cs="Times New Roman"/>
          <w:color w:val="auto"/>
        </w:rPr>
        <w:t xml:space="preserve"> anatomic mapping </w:t>
      </w:r>
      <w:r w:rsidR="001437FF">
        <w:rPr>
          <w:rFonts w:asciiTheme="minorHAnsi" w:hAnsiTheme="minorHAnsi" w:cs="Times New Roman"/>
          <w:color w:val="auto"/>
        </w:rPr>
        <w:t xml:space="preserve">of cellular phenotypes </w:t>
      </w:r>
      <w:r>
        <w:rPr>
          <w:rFonts w:asciiTheme="minorHAnsi" w:hAnsiTheme="minorHAnsi" w:cs="Times New Roman"/>
          <w:color w:val="auto"/>
        </w:rPr>
        <w:t xml:space="preserve">in baseline conditions. </w:t>
      </w:r>
    </w:p>
    <w:p w14:paraId="0D9020B2" w14:textId="77777777" w:rsidR="006B3E1C" w:rsidRDefault="006B3E1C" w:rsidP="00EA30FE">
      <w:pPr>
        <w:rPr>
          <w:rFonts w:asciiTheme="minorHAnsi" w:hAnsiTheme="minorHAnsi" w:cs="Times New Roman"/>
          <w:color w:val="auto"/>
        </w:rPr>
      </w:pPr>
    </w:p>
    <w:p w14:paraId="6D42F4D3" w14:textId="590AD80F" w:rsidR="002B7A63" w:rsidRDefault="006B3E1C" w:rsidP="00EA30FE">
      <w:pPr>
        <w:rPr>
          <w:rFonts w:asciiTheme="minorHAnsi" w:hAnsiTheme="minorHAnsi" w:cs="Times New Roman"/>
          <w:color w:val="auto"/>
        </w:rPr>
      </w:pPr>
      <w:r>
        <w:rPr>
          <w:rFonts w:asciiTheme="minorHAnsi" w:hAnsiTheme="minorHAnsi" w:cs="Times New Roman"/>
          <w:color w:val="auto"/>
        </w:rPr>
        <w:t xml:space="preserve">We provide data </w:t>
      </w:r>
      <w:r w:rsidR="007F7B07">
        <w:rPr>
          <w:rFonts w:asciiTheme="minorHAnsi" w:hAnsiTheme="minorHAnsi" w:cs="Times New Roman"/>
          <w:color w:val="auto"/>
        </w:rPr>
        <w:t xml:space="preserve">and modified figures </w:t>
      </w:r>
      <w:r>
        <w:rPr>
          <w:rFonts w:asciiTheme="minorHAnsi" w:hAnsiTheme="minorHAnsi" w:cs="Times New Roman"/>
          <w:color w:val="auto"/>
        </w:rPr>
        <w:t>from a recent publication exploring how the CeA responds to opioid dependence and withdrawal</w:t>
      </w:r>
      <w:r w:rsidR="0034472B" w:rsidRPr="0034472B">
        <w:rPr>
          <w:rFonts w:asciiTheme="minorHAnsi" w:hAnsiTheme="minorHAnsi" w:cs="Times New Roman"/>
          <w:noProof/>
          <w:color w:val="auto"/>
          <w:vertAlign w:val="superscript"/>
        </w:rPr>
        <w:t>4</w:t>
      </w:r>
      <w:r w:rsidR="00FA5E00">
        <w:rPr>
          <w:rFonts w:asciiTheme="minorHAnsi" w:hAnsiTheme="minorHAnsi" w:cs="Times New Roman"/>
          <w:color w:val="auto"/>
        </w:rPr>
        <w:t xml:space="preserve">. In this example, we used the same microfluidic qPCR platform to measure </w:t>
      </w:r>
      <w:r w:rsidR="005B3A3D">
        <w:rPr>
          <w:rFonts w:asciiTheme="minorHAnsi" w:hAnsiTheme="minorHAnsi" w:cs="Times New Roman"/>
          <w:color w:val="auto"/>
        </w:rPr>
        <w:t xml:space="preserve">the </w:t>
      </w:r>
      <w:r w:rsidR="00FA5E00">
        <w:rPr>
          <w:rFonts w:asciiTheme="minorHAnsi" w:hAnsiTheme="minorHAnsi" w:cs="Times New Roman"/>
          <w:color w:val="auto"/>
        </w:rPr>
        <w:t>relative abundanc</w:t>
      </w:r>
      <w:r w:rsidR="001437FF">
        <w:rPr>
          <w:rFonts w:asciiTheme="minorHAnsi" w:hAnsiTheme="minorHAnsi" w:cs="Times New Roman"/>
          <w:color w:val="auto"/>
        </w:rPr>
        <w:t xml:space="preserve">e of </w:t>
      </w:r>
      <w:r w:rsidR="005B3A3D">
        <w:rPr>
          <w:rFonts w:asciiTheme="minorHAnsi" w:hAnsiTheme="minorHAnsi" w:cs="Times New Roman"/>
          <w:color w:val="auto"/>
        </w:rPr>
        <w:t xml:space="preserve">the </w:t>
      </w:r>
      <w:r w:rsidR="001437FF">
        <w:rPr>
          <w:rFonts w:asciiTheme="minorHAnsi" w:hAnsiTheme="minorHAnsi" w:cs="Times New Roman"/>
          <w:color w:val="auto"/>
        </w:rPr>
        <w:t>gut microflora</w:t>
      </w:r>
      <w:r w:rsidR="00FA5E00">
        <w:rPr>
          <w:rFonts w:asciiTheme="minorHAnsi" w:hAnsiTheme="minorHAnsi" w:cs="Times New Roman"/>
          <w:color w:val="auto"/>
        </w:rPr>
        <w:t>.</w:t>
      </w:r>
      <w:r w:rsidR="001437FF">
        <w:rPr>
          <w:rFonts w:asciiTheme="minorHAnsi" w:hAnsiTheme="minorHAnsi" w:cs="Times New Roman"/>
          <w:color w:val="auto"/>
        </w:rPr>
        <w:t xml:space="preserve"> The methods and workflow are </w:t>
      </w:r>
      <w:r w:rsidR="007F7B07">
        <w:rPr>
          <w:rFonts w:asciiTheme="minorHAnsi" w:hAnsiTheme="minorHAnsi" w:cs="Times New Roman"/>
          <w:color w:val="auto"/>
        </w:rPr>
        <w:t>summarized</w:t>
      </w:r>
      <w:r w:rsidR="001437FF">
        <w:rPr>
          <w:rFonts w:asciiTheme="minorHAnsi" w:hAnsiTheme="minorHAnsi" w:cs="Times New Roman"/>
          <w:color w:val="auto"/>
        </w:rPr>
        <w:t xml:space="preserve"> in </w:t>
      </w:r>
      <w:r w:rsidR="001437FF" w:rsidRPr="001437FF">
        <w:rPr>
          <w:rFonts w:asciiTheme="minorHAnsi" w:hAnsiTheme="minorHAnsi" w:cs="Times New Roman"/>
          <w:b/>
          <w:color w:val="auto"/>
        </w:rPr>
        <w:t>Figure 1</w:t>
      </w:r>
      <w:r w:rsidR="00B73503">
        <w:rPr>
          <w:rFonts w:asciiTheme="minorHAnsi" w:hAnsiTheme="minorHAnsi" w:cs="Times New Roman"/>
          <w:color w:val="auto"/>
        </w:rPr>
        <w:t xml:space="preserve"> </w:t>
      </w:r>
      <w:r w:rsidR="005B3A3D">
        <w:rPr>
          <w:rFonts w:asciiTheme="minorHAnsi" w:hAnsiTheme="minorHAnsi" w:cs="Times New Roman"/>
          <w:color w:val="auto"/>
        </w:rPr>
        <w:t xml:space="preserve">and were originally </w:t>
      </w:r>
      <w:r w:rsidR="00B73503">
        <w:rPr>
          <w:rFonts w:asciiTheme="minorHAnsi" w:hAnsiTheme="minorHAnsi" w:cs="Times New Roman"/>
          <w:color w:val="auto"/>
        </w:rPr>
        <w:t xml:space="preserve">published in </w:t>
      </w:r>
      <w:r w:rsidR="0054095C">
        <w:rPr>
          <w:rFonts w:asciiTheme="minorHAnsi" w:hAnsiTheme="minorHAnsi" w:cs="Times New Roman"/>
          <w:noProof/>
          <w:color w:val="auto"/>
        </w:rPr>
        <w:t>O’Sullivan et al.</w:t>
      </w:r>
      <w:r w:rsidR="0034472B" w:rsidRPr="0034472B">
        <w:rPr>
          <w:rFonts w:asciiTheme="minorHAnsi" w:hAnsiTheme="minorHAnsi" w:cs="Times New Roman"/>
          <w:noProof/>
          <w:color w:val="auto"/>
          <w:vertAlign w:val="superscript"/>
        </w:rPr>
        <w:t>4</w:t>
      </w:r>
      <w:r w:rsidR="00B73503">
        <w:rPr>
          <w:rFonts w:asciiTheme="minorHAnsi" w:hAnsiTheme="minorHAnsi" w:cs="Times New Roman"/>
          <w:color w:val="auto"/>
        </w:rPr>
        <w:t>.</w:t>
      </w:r>
      <w:r w:rsidR="00FA5E00">
        <w:rPr>
          <w:rFonts w:asciiTheme="minorHAnsi" w:hAnsiTheme="minorHAnsi" w:cs="Times New Roman"/>
          <w:color w:val="auto"/>
        </w:rPr>
        <w:t xml:space="preserve"> </w:t>
      </w:r>
      <w:r w:rsidR="007F7B07">
        <w:rPr>
          <w:rFonts w:asciiTheme="minorHAnsi" w:hAnsiTheme="minorHAnsi" w:cs="Times New Roman"/>
          <w:color w:val="auto"/>
        </w:rPr>
        <w:t>Major findings from high-throughput microfluidic RT-qPCR can be</w:t>
      </w:r>
      <w:r w:rsidR="002B7A63">
        <w:rPr>
          <w:rFonts w:asciiTheme="minorHAnsi" w:hAnsiTheme="minorHAnsi" w:cs="Times New Roman"/>
          <w:color w:val="auto"/>
        </w:rPr>
        <w:t xml:space="preserve"> subsequently validated </w:t>
      </w:r>
      <w:r w:rsidR="007F7B07">
        <w:rPr>
          <w:rFonts w:asciiTheme="minorHAnsi" w:hAnsiTheme="minorHAnsi" w:cs="Times New Roman"/>
          <w:color w:val="auto"/>
        </w:rPr>
        <w:t>by</w:t>
      </w:r>
      <w:r w:rsidR="002B7A63">
        <w:rPr>
          <w:rFonts w:asciiTheme="minorHAnsi" w:hAnsiTheme="minorHAnsi" w:cs="Times New Roman"/>
          <w:color w:val="auto"/>
        </w:rPr>
        <w:t xml:space="preserve"> protein measures such as Western blot or immunofluorescence</w:t>
      </w:r>
      <w:r w:rsidR="0034472B" w:rsidRPr="0034472B">
        <w:rPr>
          <w:rFonts w:asciiTheme="minorHAnsi" w:hAnsiTheme="minorHAnsi" w:cs="Times New Roman"/>
          <w:noProof/>
          <w:color w:val="auto"/>
          <w:vertAlign w:val="superscript"/>
        </w:rPr>
        <w:t>4</w:t>
      </w:r>
      <w:r w:rsidR="002B7A63">
        <w:rPr>
          <w:rFonts w:asciiTheme="minorHAnsi" w:hAnsiTheme="minorHAnsi" w:cs="Times New Roman"/>
          <w:color w:val="auto"/>
        </w:rPr>
        <w:t>.</w:t>
      </w:r>
      <w:r w:rsidR="001437FF">
        <w:rPr>
          <w:rFonts w:asciiTheme="minorHAnsi" w:hAnsiTheme="minorHAnsi" w:cs="Times New Roman"/>
          <w:color w:val="auto"/>
        </w:rPr>
        <w:t xml:space="preserve"> </w:t>
      </w:r>
    </w:p>
    <w:p w14:paraId="3CB72A47" w14:textId="77777777" w:rsidR="002B7A63" w:rsidRDefault="002B7A63" w:rsidP="00EA30FE">
      <w:pPr>
        <w:rPr>
          <w:rFonts w:asciiTheme="minorHAnsi" w:hAnsiTheme="minorHAnsi" w:cs="Times New Roman"/>
          <w:color w:val="auto"/>
        </w:rPr>
      </w:pPr>
    </w:p>
    <w:p w14:paraId="59DDC7B9" w14:textId="10ED8EF4" w:rsidR="00FF6262" w:rsidRDefault="007F7B07" w:rsidP="00EA30FE">
      <w:pPr>
        <w:rPr>
          <w:rFonts w:asciiTheme="minorHAnsi" w:hAnsiTheme="minorHAnsi" w:cs="Times New Roman"/>
          <w:color w:val="auto"/>
        </w:rPr>
      </w:pPr>
      <w:r>
        <w:rPr>
          <w:rFonts w:asciiTheme="minorHAnsi" w:hAnsiTheme="minorHAnsi" w:cs="Times New Roman"/>
          <w:color w:val="auto"/>
        </w:rPr>
        <w:t>A major challenge</w:t>
      </w:r>
      <w:r w:rsidR="00FA5E00">
        <w:rPr>
          <w:rFonts w:asciiTheme="minorHAnsi" w:hAnsiTheme="minorHAnsi" w:cs="Times New Roman"/>
          <w:color w:val="auto"/>
        </w:rPr>
        <w:t xml:space="preserve"> of this systems biology approach is determining specific</w:t>
      </w:r>
      <w:r>
        <w:rPr>
          <w:rFonts w:asciiTheme="minorHAnsi" w:hAnsiTheme="minorHAnsi" w:cs="Times New Roman"/>
          <w:color w:val="auto"/>
        </w:rPr>
        <w:t xml:space="preserve"> causal</w:t>
      </w:r>
      <w:r w:rsidR="00FA5E00">
        <w:rPr>
          <w:rFonts w:asciiTheme="minorHAnsi" w:hAnsiTheme="minorHAnsi" w:cs="Times New Roman"/>
          <w:color w:val="auto"/>
        </w:rPr>
        <w:t xml:space="preserve"> biological mechanisms. Fuzzy</w:t>
      </w:r>
      <w:r w:rsidR="000523D0">
        <w:rPr>
          <w:rFonts w:asciiTheme="minorHAnsi" w:hAnsiTheme="minorHAnsi" w:cs="Times New Roman"/>
          <w:color w:val="auto"/>
        </w:rPr>
        <w:t xml:space="preserve"> </w:t>
      </w:r>
      <w:r w:rsidR="00FA5E00">
        <w:rPr>
          <w:rFonts w:asciiTheme="minorHAnsi" w:hAnsiTheme="minorHAnsi" w:cs="Times New Roman"/>
          <w:color w:val="auto"/>
        </w:rPr>
        <w:t>logic is a validated solution that we have employed with success</w:t>
      </w:r>
      <w:r w:rsidR="002B7A63">
        <w:rPr>
          <w:rFonts w:asciiTheme="minorHAnsi" w:hAnsiTheme="minorHAnsi" w:cs="Times New Roman"/>
          <w:color w:val="auto"/>
        </w:rPr>
        <w:t xml:space="preserve"> to infer </w:t>
      </w:r>
      <w:r>
        <w:rPr>
          <w:rFonts w:asciiTheme="minorHAnsi" w:hAnsiTheme="minorHAnsi" w:cs="Times New Roman"/>
          <w:color w:val="auto"/>
        </w:rPr>
        <w:t xml:space="preserve">agents in </w:t>
      </w:r>
      <w:r w:rsidR="002B7A63">
        <w:rPr>
          <w:rFonts w:asciiTheme="minorHAnsi" w:hAnsiTheme="minorHAnsi" w:cs="Times New Roman"/>
          <w:color w:val="auto"/>
        </w:rPr>
        <w:t>gene regulatory network</w:t>
      </w:r>
      <w:r>
        <w:rPr>
          <w:rFonts w:asciiTheme="minorHAnsi" w:hAnsiTheme="minorHAnsi" w:cs="Times New Roman"/>
          <w:color w:val="auto"/>
        </w:rPr>
        <w:t xml:space="preserve"> behavior</w:t>
      </w:r>
      <w:r w:rsidR="0034472B" w:rsidRPr="0034472B">
        <w:rPr>
          <w:rFonts w:asciiTheme="minorHAnsi" w:hAnsiTheme="minorHAnsi" w:cs="Times New Roman"/>
          <w:noProof/>
          <w:color w:val="auto"/>
          <w:vertAlign w:val="superscript"/>
        </w:rPr>
        <w:t>2</w:t>
      </w:r>
      <w:r w:rsidR="00FA5E00">
        <w:rPr>
          <w:rFonts w:asciiTheme="minorHAnsi" w:hAnsiTheme="minorHAnsi" w:cs="Times New Roman"/>
          <w:color w:val="auto"/>
        </w:rPr>
        <w:t>.</w:t>
      </w:r>
      <w:r w:rsidR="00FF6262">
        <w:rPr>
          <w:rFonts w:asciiTheme="minorHAnsi" w:hAnsiTheme="minorHAnsi" w:cs="Times New Roman"/>
          <w:color w:val="auto"/>
        </w:rPr>
        <w:t xml:space="preserve"> Animal model manipulation</w:t>
      </w:r>
      <w:r>
        <w:rPr>
          <w:rFonts w:asciiTheme="minorHAnsi" w:hAnsiTheme="minorHAnsi" w:cs="Times New Roman"/>
          <w:color w:val="auto"/>
        </w:rPr>
        <w:t xml:space="preserve"> may also be employed to</w:t>
      </w:r>
      <w:r w:rsidR="00FF6262">
        <w:rPr>
          <w:rFonts w:asciiTheme="minorHAnsi" w:hAnsiTheme="minorHAnsi" w:cs="Times New Roman"/>
          <w:color w:val="auto"/>
        </w:rPr>
        <w:t xml:space="preserve"> provide insight into</w:t>
      </w:r>
      <w:r w:rsidR="001437FF">
        <w:rPr>
          <w:rFonts w:asciiTheme="minorHAnsi" w:hAnsiTheme="minorHAnsi" w:cs="Times New Roman"/>
          <w:color w:val="auto"/>
        </w:rPr>
        <w:t xml:space="preserve"> systemic</w:t>
      </w:r>
      <w:r w:rsidR="00FF6262">
        <w:rPr>
          <w:rFonts w:asciiTheme="minorHAnsi" w:hAnsiTheme="minorHAnsi" w:cs="Times New Roman"/>
          <w:color w:val="auto"/>
        </w:rPr>
        <w:t xml:space="preserve"> mechanism</w:t>
      </w:r>
      <w:r w:rsidR="001437FF">
        <w:rPr>
          <w:rFonts w:asciiTheme="minorHAnsi" w:hAnsiTheme="minorHAnsi" w:cs="Times New Roman"/>
          <w:color w:val="auto"/>
        </w:rPr>
        <w:t>s</w:t>
      </w:r>
      <w:r w:rsidR="00FF6262">
        <w:rPr>
          <w:rFonts w:asciiTheme="minorHAnsi" w:hAnsiTheme="minorHAnsi" w:cs="Times New Roman"/>
          <w:color w:val="auto"/>
        </w:rPr>
        <w:t xml:space="preserve">. For example, </w:t>
      </w:r>
      <w:r w:rsidR="00D52544">
        <w:rPr>
          <w:rFonts w:asciiTheme="minorHAnsi" w:hAnsiTheme="minorHAnsi" w:cs="Times New Roman"/>
          <w:color w:val="auto"/>
        </w:rPr>
        <w:t xml:space="preserve">the same protocol provided herein with the addition of a rat cohort </w:t>
      </w:r>
      <w:r w:rsidR="000523D0">
        <w:rPr>
          <w:rFonts w:asciiTheme="minorHAnsi" w:hAnsiTheme="minorHAnsi" w:cs="Times New Roman"/>
          <w:color w:val="auto"/>
        </w:rPr>
        <w:t>with</w:t>
      </w:r>
      <w:r w:rsidR="00D52544">
        <w:rPr>
          <w:rFonts w:asciiTheme="minorHAnsi" w:hAnsiTheme="minorHAnsi" w:cs="Times New Roman"/>
          <w:color w:val="auto"/>
        </w:rPr>
        <w:t xml:space="preserve"> a gastric vagotomy will yield data </w:t>
      </w:r>
      <w:r w:rsidR="000523D0">
        <w:rPr>
          <w:rFonts w:asciiTheme="minorHAnsi" w:hAnsiTheme="minorHAnsi" w:cs="Times New Roman"/>
          <w:color w:val="auto"/>
        </w:rPr>
        <w:t xml:space="preserve">that </w:t>
      </w:r>
      <w:r w:rsidR="00D52544">
        <w:rPr>
          <w:rFonts w:asciiTheme="minorHAnsi" w:hAnsiTheme="minorHAnsi" w:cs="Times New Roman"/>
          <w:color w:val="auto"/>
        </w:rPr>
        <w:t>provid</w:t>
      </w:r>
      <w:r w:rsidR="000523D0">
        <w:rPr>
          <w:rFonts w:asciiTheme="minorHAnsi" w:hAnsiTheme="minorHAnsi" w:cs="Times New Roman"/>
          <w:color w:val="auto"/>
        </w:rPr>
        <w:t>e</w:t>
      </w:r>
      <w:r w:rsidR="00D52544">
        <w:rPr>
          <w:rFonts w:asciiTheme="minorHAnsi" w:hAnsiTheme="minorHAnsi" w:cs="Times New Roman"/>
          <w:color w:val="auto"/>
        </w:rPr>
        <w:t xml:space="preserve"> insight into the flow of information via the vagus nerve.</w:t>
      </w:r>
    </w:p>
    <w:p w14:paraId="2C43ED8F" w14:textId="77777777" w:rsidR="00EB3B17" w:rsidRDefault="00EB3B17" w:rsidP="00EA30FE">
      <w:pPr>
        <w:rPr>
          <w:rFonts w:asciiTheme="minorHAnsi" w:hAnsiTheme="minorHAnsi" w:cs="Times New Roman"/>
          <w:color w:val="auto"/>
        </w:rPr>
      </w:pPr>
    </w:p>
    <w:p w14:paraId="44FD4943" w14:textId="77777777" w:rsidR="00543C40" w:rsidRPr="005D66AC" w:rsidRDefault="00EB3B17" w:rsidP="00EA30FE">
      <w:pPr>
        <w:rPr>
          <w:rFonts w:asciiTheme="minorHAnsi" w:hAnsiTheme="minorHAnsi" w:cs="Times New Roman"/>
          <w:b/>
          <w:bCs/>
          <w:color w:val="auto"/>
        </w:rPr>
      </w:pPr>
      <w:r w:rsidRPr="005D66AC">
        <w:rPr>
          <w:rFonts w:asciiTheme="minorHAnsi" w:hAnsiTheme="minorHAnsi" w:cs="Times New Roman"/>
          <w:b/>
          <w:bCs/>
          <w:color w:val="auto"/>
        </w:rPr>
        <w:t>DISCLOSURES:</w:t>
      </w:r>
    </w:p>
    <w:p w14:paraId="43F05FAA" w14:textId="6ECF2265" w:rsidR="00EB3B17" w:rsidRDefault="00EB3B17" w:rsidP="00EA30FE">
      <w:pPr>
        <w:rPr>
          <w:rFonts w:asciiTheme="minorHAnsi" w:hAnsiTheme="minorHAnsi" w:cs="Times New Roman"/>
          <w:color w:val="auto"/>
        </w:rPr>
      </w:pPr>
      <w:r>
        <w:rPr>
          <w:rFonts w:asciiTheme="minorHAnsi" w:hAnsiTheme="minorHAnsi" w:cs="Times New Roman"/>
          <w:color w:val="auto"/>
        </w:rPr>
        <w:t>The authors declare that they have no competing financial interests</w:t>
      </w:r>
      <w:r w:rsidR="00EA30FE">
        <w:rPr>
          <w:rFonts w:asciiTheme="minorHAnsi" w:hAnsiTheme="minorHAnsi" w:cs="Times New Roman"/>
          <w:color w:val="auto"/>
        </w:rPr>
        <w:t>.</w:t>
      </w:r>
    </w:p>
    <w:p w14:paraId="7792CBCE" w14:textId="77777777" w:rsidR="00EB3B17" w:rsidRDefault="00EB3B17" w:rsidP="00EA30FE">
      <w:pPr>
        <w:rPr>
          <w:rFonts w:asciiTheme="minorHAnsi" w:hAnsiTheme="minorHAnsi" w:cs="Times New Roman"/>
          <w:color w:val="auto"/>
        </w:rPr>
      </w:pPr>
    </w:p>
    <w:p w14:paraId="55A18FE0" w14:textId="77777777" w:rsidR="00EB3B17" w:rsidRPr="005D66AC" w:rsidRDefault="00EB3B17" w:rsidP="00EA30FE">
      <w:pPr>
        <w:rPr>
          <w:rFonts w:asciiTheme="minorHAnsi" w:hAnsiTheme="minorHAnsi" w:cs="Times New Roman"/>
          <w:b/>
          <w:bCs/>
          <w:color w:val="auto"/>
        </w:rPr>
      </w:pPr>
      <w:r w:rsidRPr="005D66AC">
        <w:rPr>
          <w:rFonts w:asciiTheme="minorHAnsi" w:hAnsiTheme="minorHAnsi" w:cs="Times New Roman"/>
          <w:b/>
          <w:bCs/>
          <w:color w:val="auto"/>
        </w:rPr>
        <w:t>ACKNOWLEDGEMENTS:</w:t>
      </w:r>
    </w:p>
    <w:p w14:paraId="32196FE6" w14:textId="7FB346F2" w:rsidR="00EB3B17" w:rsidRPr="00FF6262" w:rsidRDefault="00EB3B17" w:rsidP="00EA30FE">
      <w:pPr>
        <w:rPr>
          <w:rFonts w:asciiTheme="minorHAnsi" w:hAnsiTheme="minorHAnsi" w:cs="Times New Roman"/>
          <w:color w:val="auto"/>
        </w:rPr>
      </w:pPr>
      <w:r>
        <w:rPr>
          <w:rFonts w:asciiTheme="minorHAnsi" w:hAnsiTheme="minorHAnsi" w:cs="Times New Roman"/>
          <w:color w:val="auto"/>
        </w:rPr>
        <w:t>The work presented here was</w:t>
      </w:r>
      <w:r w:rsidRPr="00EB3B17">
        <w:rPr>
          <w:rFonts w:asciiTheme="minorHAnsi" w:hAnsiTheme="minorHAnsi" w:cs="Times New Roman"/>
          <w:color w:val="auto"/>
        </w:rPr>
        <w:t xml:space="preserve"> funded through NIH HLB U01 HL133360 awarded to JS and RV, NIDA R21 DA036372 awarded to JS and EVB, </w:t>
      </w:r>
      <w:r>
        <w:rPr>
          <w:rFonts w:asciiTheme="minorHAnsi" w:hAnsiTheme="minorHAnsi" w:cs="Times New Roman"/>
          <w:color w:val="auto"/>
        </w:rPr>
        <w:t xml:space="preserve">and </w:t>
      </w:r>
      <w:r w:rsidRPr="00EB3B17">
        <w:rPr>
          <w:rFonts w:asciiTheme="minorHAnsi" w:hAnsiTheme="minorHAnsi" w:cs="Times New Roman"/>
          <w:color w:val="auto"/>
        </w:rPr>
        <w:t>T3</w:t>
      </w:r>
      <w:r>
        <w:rPr>
          <w:rFonts w:asciiTheme="minorHAnsi" w:hAnsiTheme="minorHAnsi" w:cs="Times New Roman"/>
          <w:color w:val="auto"/>
        </w:rPr>
        <w:t>2 AA-007463 awarded to Jan Hoek in support of</w:t>
      </w:r>
      <w:r w:rsidRPr="00EB3B17">
        <w:rPr>
          <w:rFonts w:asciiTheme="minorHAnsi" w:hAnsiTheme="minorHAnsi" w:cs="Times New Roman"/>
          <w:color w:val="auto"/>
        </w:rPr>
        <w:t xml:space="preserve"> S</w:t>
      </w:r>
      <w:r w:rsidR="002D0DDD">
        <w:rPr>
          <w:rFonts w:asciiTheme="minorHAnsi" w:hAnsiTheme="minorHAnsi" w:cs="Times New Roman"/>
          <w:color w:val="auto"/>
        </w:rPr>
        <w:t>J</w:t>
      </w:r>
      <w:r w:rsidRPr="00EB3B17">
        <w:rPr>
          <w:rFonts w:asciiTheme="minorHAnsi" w:hAnsiTheme="minorHAnsi" w:cs="Times New Roman"/>
          <w:color w:val="auto"/>
        </w:rPr>
        <w:t>O’S.</w:t>
      </w:r>
    </w:p>
    <w:p w14:paraId="14E69722" w14:textId="77777777" w:rsidR="007031F8" w:rsidRPr="00FF6262" w:rsidRDefault="007031F8" w:rsidP="00EA30FE">
      <w:pPr>
        <w:rPr>
          <w:rFonts w:asciiTheme="minorHAnsi" w:hAnsiTheme="minorHAnsi" w:cs="Times New Roman"/>
          <w:color w:val="auto"/>
        </w:rPr>
      </w:pPr>
    </w:p>
    <w:p w14:paraId="67F5FA86" w14:textId="0491E4D6" w:rsidR="00FD539F" w:rsidRDefault="00FD539F" w:rsidP="00EA30FE">
      <w:pPr>
        <w:rPr>
          <w:rFonts w:asciiTheme="minorHAnsi" w:hAnsiTheme="minorHAnsi" w:cs="Times New Roman"/>
          <w:color w:val="auto"/>
        </w:rPr>
      </w:pPr>
      <w:r w:rsidRPr="005D66AC">
        <w:rPr>
          <w:rFonts w:asciiTheme="minorHAnsi" w:hAnsiTheme="minorHAnsi" w:cs="Times New Roman"/>
          <w:b/>
          <w:bCs/>
          <w:color w:val="auto"/>
        </w:rPr>
        <w:t>REFERENCES:</w:t>
      </w:r>
    </w:p>
    <w:p w14:paraId="318BE68C" w14:textId="6C049013" w:rsidR="0034472B" w:rsidRPr="0034472B" w:rsidRDefault="0034472B" w:rsidP="00EA30FE">
      <w:pPr>
        <w:rPr>
          <w:rFonts w:cs="Times New Roman"/>
          <w:noProof/>
        </w:rPr>
      </w:pPr>
      <w:r w:rsidRPr="0034472B">
        <w:rPr>
          <w:rFonts w:cs="Times New Roman"/>
          <w:noProof/>
        </w:rPr>
        <w:t>1.</w:t>
      </w:r>
      <w:r w:rsidRPr="0034472B">
        <w:rPr>
          <w:rFonts w:cs="Times New Roman"/>
          <w:noProof/>
        </w:rPr>
        <w:tab/>
        <w:t xml:space="preserve">Park, J. </w:t>
      </w:r>
      <w:r w:rsidR="00F13820" w:rsidRPr="00F13820">
        <w:rPr>
          <w:rFonts w:cs="Times New Roman"/>
          <w:iCs/>
          <w:noProof/>
        </w:rPr>
        <w:t>et al.</w:t>
      </w:r>
      <w:r w:rsidRPr="0034472B">
        <w:rPr>
          <w:rFonts w:cs="Times New Roman"/>
          <w:noProof/>
        </w:rPr>
        <w:t xml:space="preserve"> Inputs drive cell phenotype variability. </w:t>
      </w:r>
      <w:r w:rsidRPr="0034472B">
        <w:rPr>
          <w:rFonts w:cs="Times New Roman"/>
          <w:i/>
          <w:iCs/>
          <w:noProof/>
        </w:rPr>
        <w:t>Genome Res</w:t>
      </w:r>
      <w:r>
        <w:rPr>
          <w:rFonts w:cs="Times New Roman"/>
          <w:i/>
          <w:iCs/>
          <w:noProof/>
        </w:rPr>
        <w:t>earch</w:t>
      </w:r>
      <w:r w:rsidRPr="0034472B">
        <w:rPr>
          <w:rFonts w:cs="Times New Roman"/>
          <w:i/>
          <w:iCs/>
          <w:noProof/>
        </w:rPr>
        <w:t>.</w:t>
      </w:r>
      <w:r w:rsidRPr="0034472B">
        <w:rPr>
          <w:rFonts w:cs="Times New Roman"/>
          <w:noProof/>
        </w:rPr>
        <w:t xml:space="preserve"> </w:t>
      </w:r>
      <w:r w:rsidRPr="0034472B">
        <w:rPr>
          <w:rFonts w:cs="Times New Roman"/>
          <w:b/>
          <w:bCs/>
          <w:noProof/>
        </w:rPr>
        <w:t>24</w:t>
      </w:r>
      <w:r w:rsidRPr="0034472B">
        <w:rPr>
          <w:rFonts w:cs="Times New Roman"/>
          <w:noProof/>
        </w:rPr>
        <w:t>, 930–941 (2014).</w:t>
      </w:r>
    </w:p>
    <w:p w14:paraId="5F186505" w14:textId="06181ACC" w:rsidR="0034472B" w:rsidRPr="0034472B" w:rsidRDefault="0034472B" w:rsidP="00EA30FE">
      <w:pPr>
        <w:rPr>
          <w:rFonts w:cs="Times New Roman"/>
          <w:noProof/>
        </w:rPr>
      </w:pPr>
      <w:r w:rsidRPr="0034472B">
        <w:rPr>
          <w:rFonts w:cs="Times New Roman"/>
          <w:noProof/>
        </w:rPr>
        <w:t>2.</w:t>
      </w:r>
      <w:r w:rsidRPr="0034472B">
        <w:rPr>
          <w:rFonts w:cs="Times New Roman"/>
          <w:noProof/>
        </w:rPr>
        <w:tab/>
        <w:t>Park, J., Ogunnaike, B., Schwaber, J.</w:t>
      </w:r>
      <w:r w:rsidR="00F13820">
        <w:rPr>
          <w:rFonts w:cs="Times New Roman"/>
          <w:noProof/>
        </w:rPr>
        <w:t xml:space="preserve">, </w:t>
      </w:r>
      <w:r w:rsidRPr="0034472B">
        <w:rPr>
          <w:rFonts w:cs="Times New Roman"/>
          <w:noProof/>
        </w:rPr>
        <w:t xml:space="preserve">Vadigepalli, R. Identifying functional gene regulatory network phenotypes underlying single cell transcriptional variability. </w:t>
      </w:r>
      <w:r w:rsidRPr="0034472B">
        <w:rPr>
          <w:rFonts w:cs="Times New Roman"/>
          <w:i/>
          <w:iCs/>
          <w:noProof/>
        </w:rPr>
        <w:t>Prog</w:t>
      </w:r>
      <w:r>
        <w:rPr>
          <w:rFonts w:cs="Times New Roman"/>
          <w:i/>
          <w:iCs/>
          <w:noProof/>
        </w:rPr>
        <w:t>ress in</w:t>
      </w:r>
      <w:r w:rsidRPr="0034472B">
        <w:rPr>
          <w:rFonts w:cs="Times New Roman"/>
          <w:i/>
          <w:iCs/>
          <w:noProof/>
        </w:rPr>
        <w:t xml:space="preserve"> Biophys</w:t>
      </w:r>
      <w:r>
        <w:rPr>
          <w:rFonts w:cs="Times New Roman"/>
          <w:i/>
          <w:iCs/>
          <w:noProof/>
        </w:rPr>
        <w:t>ics and</w:t>
      </w:r>
      <w:r w:rsidRPr="0034472B">
        <w:rPr>
          <w:rFonts w:cs="Times New Roman"/>
          <w:i/>
          <w:iCs/>
          <w:noProof/>
        </w:rPr>
        <w:t xml:space="preserve"> Mol</w:t>
      </w:r>
      <w:r>
        <w:rPr>
          <w:rFonts w:cs="Times New Roman"/>
          <w:i/>
          <w:iCs/>
          <w:noProof/>
        </w:rPr>
        <w:t>ecular</w:t>
      </w:r>
      <w:r w:rsidRPr="0034472B">
        <w:rPr>
          <w:rFonts w:cs="Times New Roman"/>
          <w:i/>
          <w:iCs/>
          <w:noProof/>
        </w:rPr>
        <w:t xml:space="preserve"> Biol</w:t>
      </w:r>
      <w:r>
        <w:rPr>
          <w:rFonts w:cs="Times New Roman"/>
          <w:i/>
          <w:iCs/>
          <w:noProof/>
        </w:rPr>
        <w:t>ogy</w:t>
      </w:r>
      <w:r w:rsidRPr="0034472B">
        <w:rPr>
          <w:rFonts w:cs="Times New Roman"/>
          <w:noProof/>
        </w:rPr>
        <w:t xml:space="preserve"> </w:t>
      </w:r>
      <w:r w:rsidRPr="0034472B">
        <w:rPr>
          <w:rFonts w:cs="Times New Roman"/>
          <w:b/>
          <w:bCs/>
          <w:noProof/>
        </w:rPr>
        <w:t>117</w:t>
      </w:r>
      <w:r w:rsidRPr="0034472B">
        <w:rPr>
          <w:rFonts w:cs="Times New Roman"/>
          <w:noProof/>
        </w:rPr>
        <w:t>, 87–98 (2015).</w:t>
      </w:r>
    </w:p>
    <w:p w14:paraId="45E85AB1" w14:textId="65C8BB2E" w:rsidR="0034472B" w:rsidRPr="0034472B" w:rsidRDefault="0034472B" w:rsidP="00EA30FE">
      <w:pPr>
        <w:rPr>
          <w:rFonts w:cs="Times New Roman"/>
          <w:noProof/>
        </w:rPr>
      </w:pPr>
      <w:r w:rsidRPr="0034472B">
        <w:rPr>
          <w:rFonts w:cs="Times New Roman"/>
          <w:noProof/>
        </w:rPr>
        <w:t>3.</w:t>
      </w:r>
      <w:r w:rsidRPr="0034472B">
        <w:rPr>
          <w:rFonts w:cs="Times New Roman"/>
          <w:noProof/>
        </w:rPr>
        <w:tab/>
        <w:t xml:space="preserve">Park, J. </w:t>
      </w:r>
      <w:r w:rsidR="00F13820" w:rsidRPr="00F13820">
        <w:rPr>
          <w:rFonts w:cs="Times New Roman"/>
          <w:iCs/>
          <w:noProof/>
        </w:rPr>
        <w:t>et al.</w:t>
      </w:r>
      <w:r w:rsidRPr="0034472B">
        <w:rPr>
          <w:rFonts w:cs="Times New Roman"/>
          <w:noProof/>
        </w:rPr>
        <w:t xml:space="preserve"> Single-Cell Transcriptional Analysis Reveals Novel Neuronal Phenotypes and Interaction Networks Involved in the Central Circadian Clock. </w:t>
      </w:r>
      <w:r w:rsidRPr="0034472B">
        <w:rPr>
          <w:rFonts w:cs="Times New Roman"/>
          <w:i/>
          <w:iCs/>
          <w:noProof/>
        </w:rPr>
        <w:t>Front</w:t>
      </w:r>
      <w:r>
        <w:rPr>
          <w:rFonts w:cs="Times New Roman"/>
          <w:i/>
          <w:iCs/>
          <w:noProof/>
        </w:rPr>
        <w:t>iers in</w:t>
      </w:r>
      <w:r w:rsidRPr="0034472B">
        <w:rPr>
          <w:rFonts w:cs="Times New Roman"/>
          <w:i/>
          <w:iCs/>
          <w:noProof/>
        </w:rPr>
        <w:t xml:space="preserve"> Neurosci</w:t>
      </w:r>
      <w:r>
        <w:rPr>
          <w:rFonts w:cs="Times New Roman"/>
          <w:i/>
          <w:iCs/>
          <w:noProof/>
        </w:rPr>
        <w:t>ence</w:t>
      </w:r>
      <w:r w:rsidRPr="0034472B">
        <w:rPr>
          <w:rFonts w:cs="Times New Roman"/>
          <w:i/>
          <w:iCs/>
          <w:noProof/>
        </w:rPr>
        <w:t>.</w:t>
      </w:r>
      <w:r w:rsidRPr="0034472B">
        <w:rPr>
          <w:rFonts w:cs="Times New Roman"/>
          <w:noProof/>
        </w:rPr>
        <w:t xml:space="preserve"> </w:t>
      </w:r>
      <w:r w:rsidRPr="0034472B">
        <w:rPr>
          <w:rFonts w:cs="Times New Roman"/>
          <w:b/>
          <w:bCs/>
          <w:noProof/>
        </w:rPr>
        <w:t>10</w:t>
      </w:r>
      <w:r w:rsidRPr="0034472B">
        <w:rPr>
          <w:rFonts w:cs="Times New Roman"/>
          <w:noProof/>
        </w:rPr>
        <w:t>, 481 (2016).</w:t>
      </w:r>
    </w:p>
    <w:p w14:paraId="7DEC0506" w14:textId="60C1C0F4" w:rsidR="0034472B" w:rsidRPr="0034472B" w:rsidRDefault="0034472B" w:rsidP="00EA30FE">
      <w:pPr>
        <w:rPr>
          <w:rFonts w:cs="Times New Roman"/>
          <w:noProof/>
        </w:rPr>
      </w:pPr>
      <w:r w:rsidRPr="0034472B">
        <w:rPr>
          <w:rFonts w:cs="Times New Roman"/>
          <w:noProof/>
        </w:rPr>
        <w:t>4.</w:t>
      </w:r>
      <w:r w:rsidRPr="0034472B">
        <w:rPr>
          <w:rFonts w:cs="Times New Roman"/>
          <w:noProof/>
        </w:rPr>
        <w:tab/>
        <w:t xml:space="preserve">O’Sullivan, S. J. </w:t>
      </w:r>
      <w:r w:rsidR="00F13820" w:rsidRPr="00F13820">
        <w:rPr>
          <w:rFonts w:cs="Times New Roman"/>
          <w:iCs/>
          <w:noProof/>
        </w:rPr>
        <w:t>et al.</w:t>
      </w:r>
      <w:r w:rsidRPr="0034472B">
        <w:rPr>
          <w:rFonts w:cs="Times New Roman"/>
          <w:noProof/>
        </w:rPr>
        <w:t xml:space="preserve"> Single-Cell Glia and Neuron Gene Expression in the Central Amygdala in Opioid Withdrawal Suggests Inflammation With Correlated Gut Dysbiosis. </w:t>
      </w:r>
      <w:r w:rsidRPr="0034472B">
        <w:rPr>
          <w:rFonts w:cs="Times New Roman"/>
          <w:i/>
          <w:iCs/>
          <w:noProof/>
        </w:rPr>
        <w:t>Front</w:t>
      </w:r>
      <w:r>
        <w:rPr>
          <w:rFonts w:cs="Times New Roman"/>
          <w:i/>
          <w:iCs/>
          <w:noProof/>
        </w:rPr>
        <w:t>iers in</w:t>
      </w:r>
      <w:r w:rsidRPr="0034472B">
        <w:rPr>
          <w:rFonts w:cs="Times New Roman"/>
          <w:i/>
          <w:iCs/>
          <w:noProof/>
        </w:rPr>
        <w:t xml:space="preserve"> Neurosci</w:t>
      </w:r>
      <w:r>
        <w:rPr>
          <w:rFonts w:cs="Times New Roman"/>
          <w:i/>
          <w:iCs/>
          <w:noProof/>
        </w:rPr>
        <w:t>ence</w:t>
      </w:r>
      <w:r w:rsidRPr="0034472B">
        <w:rPr>
          <w:rFonts w:cs="Times New Roman"/>
          <w:i/>
          <w:iCs/>
          <w:noProof/>
        </w:rPr>
        <w:t>.</w:t>
      </w:r>
      <w:r w:rsidRPr="0034472B">
        <w:rPr>
          <w:rFonts w:cs="Times New Roman"/>
          <w:noProof/>
        </w:rPr>
        <w:t xml:space="preserve"> </w:t>
      </w:r>
      <w:r w:rsidRPr="0034472B">
        <w:rPr>
          <w:rFonts w:cs="Times New Roman"/>
          <w:b/>
          <w:bCs/>
          <w:noProof/>
        </w:rPr>
        <w:t>13</w:t>
      </w:r>
      <w:r w:rsidRPr="0034472B">
        <w:rPr>
          <w:rFonts w:cs="Times New Roman"/>
          <w:noProof/>
        </w:rPr>
        <w:t>, 665 (2019).</w:t>
      </w:r>
    </w:p>
    <w:p w14:paraId="6289B761" w14:textId="19770B44" w:rsidR="0034472B" w:rsidRPr="0034472B" w:rsidRDefault="0034472B" w:rsidP="00EA30FE">
      <w:pPr>
        <w:rPr>
          <w:rFonts w:cs="Times New Roman"/>
          <w:noProof/>
        </w:rPr>
      </w:pPr>
      <w:r w:rsidRPr="0034472B">
        <w:rPr>
          <w:rFonts w:cs="Times New Roman"/>
          <w:noProof/>
        </w:rPr>
        <w:t>5.</w:t>
      </w:r>
      <w:r w:rsidRPr="0034472B">
        <w:rPr>
          <w:rFonts w:cs="Times New Roman"/>
          <w:noProof/>
        </w:rPr>
        <w:tab/>
        <w:t xml:space="preserve">Buettner, F. </w:t>
      </w:r>
      <w:r w:rsidR="00F13820" w:rsidRPr="00F13820">
        <w:rPr>
          <w:rFonts w:cs="Times New Roman"/>
          <w:iCs/>
          <w:noProof/>
        </w:rPr>
        <w:t>et al.</w:t>
      </w:r>
      <w:r w:rsidRPr="0034472B">
        <w:rPr>
          <w:rFonts w:cs="Times New Roman"/>
          <w:noProof/>
        </w:rPr>
        <w:t xml:space="preserve"> Computational analysis of cell-to-cell heterogeneity in </w:t>
      </w:r>
      <w:r w:rsidR="00BB5D76">
        <w:rPr>
          <w:rFonts w:cs="Times New Roman"/>
          <w:noProof/>
        </w:rPr>
        <w:t>single cell</w:t>
      </w:r>
      <w:r w:rsidRPr="0034472B">
        <w:rPr>
          <w:rFonts w:cs="Times New Roman"/>
          <w:noProof/>
        </w:rPr>
        <w:t xml:space="preserve"> RNA-sequencing data reveals hidden subpopulations of cells. </w:t>
      </w:r>
      <w:r w:rsidRPr="0034472B">
        <w:rPr>
          <w:rFonts w:cs="Times New Roman"/>
          <w:i/>
          <w:iCs/>
          <w:noProof/>
        </w:rPr>
        <w:t>Nat</w:t>
      </w:r>
      <w:r>
        <w:rPr>
          <w:rFonts w:cs="Times New Roman"/>
          <w:i/>
          <w:iCs/>
          <w:noProof/>
        </w:rPr>
        <w:t>ure</w:t>
      </w:r>
      <w:r w:rsidRPr="0034472B">
        <w:rPr>
          <w:rFonts w:cs="Times New Roman"/>
          <w:i/>
          <w:iCs/>
          <w:noProof/>
        </w:rPr>
        <w:t xml:space="preserve"> Biotechnol</w:t>
      </w:r>
      <w:r>
        <w:rPr>
          <w:rFonts w:cs="Times New Roman"/>
          <w:i/>
          <w:iCs/>
          <w:noProof/>
        </w:rPr>
        <w:t>ogy</w:t>
      </w:r>
      <w:r w:rsidRPr="0034472B">
        <w:rPr>
          <w:rFonts w:cs="Times New Roman"/>
          <w:i/>
          <w:iCs/>
          <w:noProof/>
        </w:rPr>
        <w:t>.</w:t>
      </w:r>
      <w:r w:rsidRPr="0034472B">
        <w:rPr>
          <w:rFonts w:cs="Times New Roman"/>
          <w:noProof/>
        </w:rPr>
        <w:t xml:space="preserve"> </w:t>
      </w:r>
      <w:r w:rsidRPr="0034472B">
        <w:rPr>
          <w:rFonts w:cs="Times New Roman"/>
          <w:b/>
          <w:bCs/>
          <w:noProof/>
        </w:rPr>
        <w:t>33</w:t>
      </w:r>
      <w:r w:rsidRPr="0034472B">
        <w:rPr>
          <w:rFonts w:cs="Times New Roman"/>
          <w:noProof/>
        </w:rPr>
        <w:t>, 155–160 (2015).</w:t>
      </w:r>
    </w:p>
    <w:p w14:paraId="584CFC59" w14:textId="06F7EBE0" w:rsidR="0034472B" w:rsidRPr="0034472B" w:rsidRDefault="0034472B" w:rsidP="00EA30FE">
      <w:pPr>
        <w:rPr>
          <w:rFonts w:cs="Times New Roman"/>
          <w:noProof/>
        </w:rPr>
      </w:pPr>
      <w:r w:rsidRPr="0034472B">
        <w:rPr>
          <w:rFonts w:cs="Times New Roman"/>
          <w:noProof/>
        </w:rPr>
        <w:t>6.</w:t>
      </w:r>
      <w:r w:rsidRPr="0034472B">
        <w:rPr>
          <w:rFonts w:cs="Times New Roman"/>
          <w:noProof/>
        </w:rPr>
        <w:tab/>
        <w:t>Papalexi, E.</w:t>
      </w:r>
      <w:r w:rsidR="00F13820">
        <w:rPr>
          <w:rFonts w:cs="Times New Roman"/>
          <w:noProof/>
        </w:rPr>
        <w:t xml:space="preserve">, </w:t>
      </w:r>
      <w:r w:rsidRPr="0034472B">
        <w:rPr>
          <w:rFonts w:cs="Times New Roman"/>
          <w:noProof/>
        </w:rPr>
        <w:t xml:space="preserve">Satija, R. Single-cell RNA sequencing to explore immune cell heterogeneity. </w:t>
      </w:r>
      <w:r w:rsidRPr="0034472B">
        <w:rPr>
          <w:rFonts w:cs="Times New Roman"/>
          <w:i/>
          <w:iCs/>
          <w:noProof/>
        </w:rPr>
        <w:t>Nat</w:t>
      </w:r>
      <w:r>
        <w:rPr>
          <w:rFonts w:cs="Times New Roman"/>
          <w:i/>
          <w:iCs/>
          <w:noProof/>
        </w:rPr>
        <w:t>ure</w:t>
      </w:r>
      <w:r w:rsidRPr="0034472B">
        <w:rPr>
          <w:rFonts w:cs="Times New Roman"/>
          <w:i/>
          <w:iCs/>
          <w:noProof/>
        </w:rPr>
        <w:t xml:space="preserve"> Rev</w:t>
      </w:r>
      <w:r>
        <w:rPr>
          <w:rFonts w:cs="Times New Roman"/>
          <w:i/>
          <w:iCs/>
          <w:noProof/>
        </w:rPr>
        <w:t>iews</w:t>
      </w:r>
      <w:r w:rsidRPr="0034472B">
        <w:rPr>
          <w:rFonts w:cs="Times New Roman"/>
          <w:i/>
          <w:iCs/>
          <w:noProof/>
        </w:rPr>
        <w:t xml:space="preserve"> Immunol</w:t>
      </w:r>
      <w:r>
        <w:rPr>
          <w:rFonts w:cs="Times New Roman"/>
          <w:i/>
          <w:iCs/>
          <w:noProof/>
        </w:rPr>
        <w:t>ology</w:t>
      </w:r>
      <w:r w:rsidRPr="0034472B">
        <w:rPr>
          <w:rFonts w:cs="Times New Roman"/>
          <w:i/>
          <w:iCs/>
          <w:noProof/>
        </w:rPr>
        <w:t>.</w:t>
      </w:r>
      <w:r w:rsidRPr="0034472B">
        <w:rPr>
          <w:rFonts w:cs="Times New Roman"/>
          <w:noProof/>
        </w:rPr>
        <w:t xml:space="preserve"> </w:t>
      </w:r>
      <w:r w:rsidRPr="0034472B">
        <w:rPr>
          <w:rFonts w:cs="Times New Roman"/>
          <w:b/>
          <w:bCs/>
          <w:noProof/>
        </w:rPr>
        <w:t>18</w:t>
      </w:r>
      <w:r w:rsidRPr="0034472B">
        <w:rPr>
          <w:rFonts w:cs="Times New Roman"/>
          <w:noProof/>
        </w:rPr>
        <w:t>, 35–45 (2018).</w:t>
      </w:r>
    </w:p>
    <w:p w14:paraId="1C79C2B1" w14:textId="70209E61" w:rsidR="0034472B" w:rsidRPr="0034472B" w:rsidRDefault="0034472B" w:rsidP="00EA30FE">
      <w:pPr>
        <w:rPr>
          <w:rFonts w:cs="Times New Roman"/>
          <w:noProof/>
        </w:rPr>
      </w:pPr>
      <w:r w:rsidRPr="0034472B">
        <w:rPr>
          <w:rFonts w:cs="Times New Roman"/>
          <w:noProof/>
        </w:rPr>
        <w:t>7.</w:t>
      </w:r>
      <w:r w:rsidRPr="0034472B">
        <w:rPr>
          <w:rFonts w:cs="Times New Roman"/>
          <w:noProof/>
        </w:rPr>
        <w:tab/>
        <w:t xml:space="preserve">Consortium, S.-I. </w:t>
      </w:r>
      <w:r w:rsidR="00F13820" w:rsidRPr="00F13820">
        <w:rPr>
          <w:rFonts w:cs="Times New Roman"/>
          <w:iCs/>
          <w:noProof/>
        </w:rPr>
        <w:t>et al.</w:t>
      </w:r>
      <w:r w:rsidRPr="0034472B">
        <w:rPr>
          <w:rFonts w:cs="Times New Roman"/>
          <w:noProof/>
        </w:rPr>
        <w:t xml:space="preserve"> A comprehensive assessment of RNA-seq accuracy, reproducibility and information content by the Sequencing Quality Control Consortium. </w:t>
      </w:r>
      <w:r w:rsidRPr="0034472B">
        <w:rPr>
          <w:rFonts w:cs="Times New Roman"/>
          <w:i/>
          <w:iCs/>
          <w:noProof/>
        </w:rPr>
        <w:t>Nat</w:t>
      </w:r>
      <w:r>
        <w:rPr>
          <w:rFonts w:cs="Times New Roman"/>
          <w:i/>
          <w:iCs/>
          <w:noProof/>
        </w:rPr>
        <w:t>ure</w:t>
      </w:r>
      <w:r w:rsidRPr="0034472B">
        <w:rPr>
          <w:rFonts w:cs="Times New Roman"/>
          <w:i/>
          <w:iCs/>
          <w:noProof/>
        </w:rPr>
        <w:t xml:space="preserve"> Biotechnol</w:t>
      </w:r>
      <w:r>
        <w:rPr>
          <w:rFonts w:cs="Times New Roman"/>
          <w:i/>
          <w:iCs/>
          <w:noProof/>
        </w:rPr>
        <w:t>ogy</w:t>
      </w:r>
      <w:r w:rsidRPr="0034472B">
        <w:rPr>
          <w:rFonts w:cs="Times New Roman"/>
          <w:i/>
          <w:iCs/>
          <w:noProof/>
        </w:rPr>
        <w:t>.</w:t>
      </w:r>
      <w:r w:rsidRPr="0034472B">
        <w:rPr>
          <w:rFonts w:cs="Times New Roman"/>
          <w:noProof/>
        </w:rPr>
        <w:t xml:space="preserve"> </w:t>
      </w:r>
      <w:r w:rsidRPr="0034472B">
        <w:rPr>
          <w:rFonts w:cs="Times New Roman"/>
          <w:b/>
          <w:bCs/>
          <w:noProof/>
        </w:rPr>
        <w:t>32</w:t>
      </w:r>
      <w:r w:rsidRPr="0034472B">
        <w:rPr>
          <w:rFonts w:cs="Times New Roman"/>
          <w:noProof/>
        </w:rPr>
        <w:t>, 903–914 (2014).</w:t>
      </w:r>
    </w:p>
    <w:p w14:paraId="062ECA69" w14:textId="2E68DD4F" w:rsidR="0034472B" w:rsidRPr="0034472B" w:rsidRDefault="0034472B" w:rsidP="00EA30FE">
      <w:pPr>
        <w:rPr>
          <w:rFonts w:cs="Times New Roman"/>
          <w:noProof/>
        </w:rPr>
      </w:pPr>
      <w:r w:rsidRPr="0034472B">
        <w:rPr>
          <w:rFonts w:cs="Times New Roman"/>
          <w:noProof/>
        </w:rPr>
        <w:t>8.</w:t>
      </w:r>
      <w:r w:rsidRPr="0034472B">
        <w:rPr>
          <w:rFonts w:cs="Times New Roman"/>
          <w:noProof/>
        </w:rPr>
        <w:tab/>
        <w:t>Rowin, J., Xia, Y., Jung, B.</w:t>
      </w:r>
      <w:r w:rsidR="00F13820">
        <w:rPr>
          <w:rFonts w:cs="Times New Roman"/>
          <w:noProof/>
        </w:rPr>
        <w:t xml:space="preserve">, </w:t>
      </w:r>
      <w:r w:rsidRPr="0034472B">
        <w:rPr>
          <w:rFonts w:cs="Times New Roman"/>
          <w:noProof/>
        </w:rPr>
        <w:t xml:space="preserve">Sun, J. Gut inflammation and dysbiosis in human motor neuron disease. </w:t>
      </w:r>
      <w:r w:rsidRPr="0034472B">
        <w:rPr>
          <w:rFonts w:cs="Times New Roman"/>
          <w:i/>
          <w:iCs/>
          <w:noProof/>
        </w:rPr>
        <w:t>Physiol</w:t>
      </w:r>
      <w:r>
        <w:rPr>
          <w:rFonts w:cs="Times New Roman"/>
          <w:i/>
          <w:iCs/>
          <w:noProof/>
        </w:rPr>
        <w:t>ogical</w:t>
      </w:r>
      <w:r w:rsidRPr="0034472B">
        <w:rPr>
          <w:rFonts w:cs="Times New Roman"/>
          <w:i/>
          <w:iCs/>
          <w:noProof/>
        </w:rPr>
        <w:t xml:space="preserve"> Rep</w:t>
      </w:r>
      <w:r>
        <w:rPr>
          <w:rFonts w:cs="Times New Roman"/>
          <w:i/>
          <w:iCs/>
          <w:noProof/>
        </w:rPr>
        <w:t>orts</w:t>
      </w:r>
      <w:r w:rsidRPr="0034472B">
        <w:rPr>
          <w:rFonts w:cs="Times New Roman"/>
          <w:i/>
          <w:iCs/>
          <w:noProof/>
        </w:rPr>
        <w:t>.</w:t>
      </w:r>
      <w:r w:rsidRPr="0034472B">
        <w:rPr>
          <w:rFonts w:cs="Times New Roman"/>
          <w:noProof/>
        </w:rPr>
        <w:t xml:space="preserve"> </w:t>
      </w:r>
      <w:r w:rsidRPr="0034472B">
        <w:rPr>
          <w:rFonts w:cs="Times New Roman"/>
          <w:b/>
          <w:bCs/>
          <w:noProof/>
        </w:rPr>
        <w:t>5</w:t>
      </w:r>
      <w:r w:rsidRPr="0034472B">
        <w:rPr>
          <w:rFonts w:cs="Times New Roman"/>
          <w:noProof/>
        </w:rPr>
        <w:t>, (2017).</w:t>
      </w:r>
    </w:p>
    <w:p w14:paraId="4C17C3E8" w14:textId="07FEF319" w:rsidR="0034472B" w:rsidRPr="0034472B" w:rsidRDefault="0034472B" w:rsidP="00EA30FE">
      <w:pPr>
        <w:rPr>
          <w:rFonts w:cs="Times New Roman"/>
          <w:noProof/>
        </w:rPr>
      </w:pPr>
      <w:r w:rsidRPr="0034472B">
        <w:rPr>
          <w:rFonts w:cs="Times New Roman"/>
          <w:noProof/>
        </w:rPr>
        <w:t>9.</w:t>
      </w:r>
      <w:r w:rsidRPr="0034472B">
        <w:rPr>
          <w:rFonts w:cs="Times New Roman"/>
          <w:noProof/>
        </w:rPr>
        <w:tab/>
        <w:t>Tamboli, C. P., Neut, C., Desreumaux, P.</w:t>
      </w:r>
      <w:r w:rsidR="00F13820">
        <w:rPr>
          <w:rFonts w:cs="Times New Roman"/>
          <w:noProof/>
        </w:rPr>
        <w:t xml:space="preserve">, </w:t>
      </w:r>
      <w:r w:rsidRPr="0034472B">
        <w:rPr>
          <w:rFonts w:cs="Times New Roman"/>
          <w:noProof/>
        </w:rPr>
        <w:t xml:space="preserve">Colombel, J. F. Dysbiosis in inflammatory bowel disease. </w:t>
      </w:r>
      <w:r w:rsidRPr="0034472B">
        <w:rPr>
          <w:rFonts w:cs="Times New Roman"/>
          <w:i/>
          <w:iCs/>
          <w:noProof/>
        </w:rPr>
        <w:t>Gut</w:t>
      </w:r>
      <w:r w:rsidRPr="0034472B">
        <w:rPr>
          <w:rFonts w:cs="Times New Roman"/>
          <w:noProof/>
        </w:rPr>
        <w:t xml:space="preserve"> </w:t>
      </w:r>
      <w:r w:rsidRPr="0034472B">
        <w:rPr>
          <w:rFonts w:cs="Times New Roman"/>
          <w:b/>
          <w:bCs/>
          <w:noProof/>
        </w:rPr>
        <w:t>53</w:t>
      </w:r>
      <w:r w:rsidRPr="0034472B">
        <w:rPr>
          <w:rFonts w:cs="Times New Roman"/>
          <w:noProof/>
        </w:rPr>
        <w:t>, 1–4 (2004).</w:t>
      </w:r>
    </w:p>
    <w:p w14:paraId="46C38A1A" w14:textId="5AC0BFED" w:rsidR="0034472B" w:rsidRPr="0034472B" w:rsidRDefault="0034472B" w:rsidP="00EA30FE">
      <w:pPr>
        <w:rPr>
          <w:noProof/>
        </w:rPr>
      </w:pPr>
      <w:r w:rsidRPr="0034472B">
        <w:rPr>
          <w:rFonts w:cs="Times New Roman"/>
          <w:noProof/>
        </w:rPr>
        <w:t>10.</w:t>
      </w:r>
      <w:r w:rsidRPr="0034472B">
        <w:rPr>
          <w:rFonts w:cs="Times New Roman"/>
          <w:noProof/>
        </w:rPr>
        <w:tab/>
        <w:t>Paxinos, G.</w:t>
      </w:r>
      <w:r w:rsidR="00F13820">
        <w:rPr>
          <w:rFonts w:cs="Times New Roman"/>
          <w:noProof/>
        </w:rPr>
        <w:t xml:space="preserve">, </w:t>
      </w:r>
      <w:r w:rsidRPr="0034472B">
        <w:rPr>
          <w:rFonts w:cs="Times New Roman"/>
          <w:noProof/>
        </w:rPr>
        <w:t xml:space="preserve">Watson, C. </w:t>
      </w:r>
      <w:r w:rsidRPr="0034472B">
        <w:rPr>
          <w:rFonts w:cs="Times New Roman"/>
          <w:i/>
          <w:iCs/>
          <w:noProof/>
        </w:rPr>
        <w:t>The Rat Brain in Stereotaxic Coordinates: Hard Cover Edition</w:t>
      </w:r>
      <w:r w:rsidRPr="0034472B">
        <w:rPr>
          <w:rFonts w:cs="Times New Roman"/>
          <w:noProof/>
        </w:rPr>
        <w:t>. (2006).</w:t>
      </w:r>
    </w:p>
    <w:p w14:paraId="5DD3B22B" w14:textId="4BF7389E" w:rsidR="00B337C6" w:rsidRPr="001B77D0" w:rsidRDefault="00B337C6" w:rsidP="00EA30FE">
      <w:pPr>
        <w:rPr>
          <w:rFonts w:asciiTheme="minorHAnsi" w:hAnsiTheme="minorHAnsi" w:cs="Times New Roman"/>
          <w:color w:val="auto"/>
        </w:rPr>
      </w:pPr>
    </w:p>
    <w:sectPr w:rsidR="00B337C6" w:rsidRPr="001B77D0" w:rsidSect="00B35E6A">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D82EA" w14:textId="77777777" w:rsidR="00D30E6D" w:rsidRDefault="00D30E6D" w:rsidP="0054095C">
      <w:r>
        <w:separator/>
      </w:r>
    </w:p>
  </w:endnote>
  <w:endnote w:type="continuationSeparator" w:id="0">
    <w:p w14:paraId="6E11B866" w14:textId="77777777" w:rsidR="00D30E6D" w:rsidRDefault="00D30E6D" w:rsidP="0054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F9BE5" w14:textId="77777777" w:rsidR="00D30E6D" w:rsidRDefault="00D30E6D" w:rsidP="0054095C">
      <w:r>
        <w:separator/>
      </w:r>
    </w:p>
  </w:footnote>
  <w:footnote w:type="continuationSeparator" w:id="0">
    <w:p w14:paraId="0CBA9085" w14:textId="77777777" w:rsidR="00D30E6D" w:rsidRDefault="00D30E6D" w:rsidP="00540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2BE9"/>
    <w:multiLevelType w:val="hybridMultilevel"/>
    <w:tmpl w:val="0D90B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30C5B"/>
    <w:multiLevelType w:val="hybridMultilevel"/>
    <w:tmpl w:val="198C5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A79A8"/>
    <w:multiLevelType w:val="multilevel"/>
    <w:tmpl w:val="092E8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0C7589D"/>
    <w:multiLevelType w:val="multilevel"/>
    <w:tmpl w:val="F6EA0BB4"/>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b w:val="0"/>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C621D1F"/>
    <w:multiLevelType w:val="hybridMultilevel"/>
    <w:tmpl w:val="106A387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C6"/>
    <w:rsid w:val="00001B6D"/>
    <w:rsid w:val="00001F27"/>
    <w:rsid w:val="00021822"/>
    <w:rsid w:val="0002617F"/>
    <w:rsid w:val="0003259D"/>
    <w:rsid w:val="0005051A"/>
    <w:rsid w:val="000523D0"/>
    <w:rsid w:val="000577E6"/>
    <w:rsid w:val="000A4298"/>
    <w:rsid w:val="000B1943"/>
    <w:rsid w:val="000C4557"/>
    <w:rsid w:val="000D5D77"/>
    <w:rsid w:val="000D657D"/>
    <w:rsid w:val="000F1460"/>
    <w:rsid w:val="000F5526"/>
    <w:rsid w:val="000F5C73"/>
    <w:rsid w:val="00104EFF"/>
    <w:rsid w:val="00107C80"/>
    <w:rsid w:val="001437FF"/>
    <w:rsid w:val="00144166"/>
    <w:rsid w:val="00165410"/>
    <w:rsid w:val="001709E5"/>
    <w:rsid w:val="00175652"/>
    <w:rsid w:val="00192DD6"/>
    <w:rsid w:val="001A69D0"/>
    <w:rsid w:val="001B77D0"/>
    <w:rsid w:val="001B7992"/>
    <w:rsid w:val="001C4779"/>
    <w:rsid w:val="001D40B8"/>
    <w:rsid w:val="001D4CFC"/>
    <w:rsid w:val="001F10D2"/>
    <w:rsid w:val="001F30CB"/>
    <w:rsid w:val="002001AB"/>
    <w:rsid w:val="00214AE3"/>
    <w:rsid w:val="00217547"/>
    <w:rsid w:val="00245C24"/>
    <w:rsid w:val="00255888"/>
    <w:rsid w:val="002668B5"/>
    <w:rsid w:val="00273F50"/>
    <w:rsid w:val="002911F0"/>
    <w:rsid w:val="002B1F88"/>
    <w:rsid w:val="002B7A63"/>
    <w:rsid w:val="002C12EF"/>
    <w:rsid w:val="002C20F7"/>
    <w:rsid w:val="002C4280"/>
    <w:rsid w:val="002C44EA"/>
    <w:rsid w:val="002C5F9A"/>
    <w:rsid w:val="002C68B0"/>
    <w:rsid w:val="002C7B0A"/>
    <w:rsid w:val="002D0DDD"/>
    <w:rsid w:val="002F27E6"/>
    <w:rsid w:val="003164A7"/>
    <w:rsid w:val="00321EE8"/>
    <w:rsid w:val="0034472B"/>
    <w:rsid w:val="003506BB"/>
    <w:rsid w:val="00356F49"/>
    <w:rsid w:val="00366A21"/>
    <w:rsid w:val="00370643"/>
    <w:rsid w:val="00374160"/>
    <w:rsid w:val="00377D19"/>
    <w:rsid w:val="003C135C"/>
    <w:rsid w:val="003C631B"/>
    <w:rsid w:val="003C65B9"/>
    <w:rsid w:val="003F1B72"/>
    <w:rsid w:val="00405FC0"/>
    <w:rsid w:val="00452CD1"/>
    <w:rsid w:val="00463AD8"/>
    <w:rsid w:val="00466848"/>
    <w:rsid w:val="004746F7"/>
    <w:rsid w:val="00475E7C"/>
    <w:rsid w:val="00477703"/>
    <w:rsid w:val="004B0B88"/>
    <w:rsid w:val="004B2269"/>
    <w:rsid w:val="00507A59"/>
    <w:rsid w:val="00510D0A"/>
    <w:rsid w:val="0054095C"/>
    <w:rsid w:val="00543C40"/>
    <w:rsid w:val="00555A7F"/>
    <w:rsid w:val="00581949"/>
    <w:rsid w:val="005829CF"/>
    <w:rsid w:val="005859A0"/>
    <w:rsid w:val="0059347B"/>
    <w:rsid w:val="005B3A3D"/>
    <w:rsid w:val="005B4EB7"/>
    <w:rsid w:val="005B5E99"/>
    <w:rsid w:val="005D66AC"/>
    <w:rsid w:val="00610401"/>
    <w:rsid w:val="00624D73"/>
    <w:rsid w:val="006331E5"/>
    <w:rsid w:val="0066043A"/>
    <w:rsid w:val="006662D4"/>
    <w:rsid w:val="00695D5E"/>
    <w:rsid w:val="006A63E6"/>
    <w:rsid w:val="006A6B4A"/>
    <w:rsid w:val="006B0940"/>
    <w:rsid w:val="006B285F"/>
    <w:rsid w:val="006B3E1C"/>
    <w:rsid w:val="006C24B5"/>
    <w:rsid w:val="006C2D2D"/>
    <w:rsid w:val="006F26E9"/>
    <w:rsid w:val="007031F8"/>
    <w:rsid w:val="0071094A"/>
    <w:rsid w:val="00720CE8"/>
    <w:rsid w:val="00724CAD"/>
    <w:rsid w:val="00733A11"/>
    <w:rsid w:val="00782748"/>
    <w:rsid w:val="0079079E"/>
    <w:rsid w:val="007D461D"/>
    <w:rsid w:val="007E6775"/>
    <w:rsid w:val="007F7B07"/>
    <w:rsid w:val="00820DB6"/>
    <w:rsid w:val="0083726F"/>
    <w:rsid w:val="0084439D"/>
    <w:rsid w:val="00850E64"/>
    <w:rsid w:val="008521EF"/>
    <w:rsid w:val="00867C7A"/>
    <w:rsid w:val="00891A7A"/>
    <w:rsid w:val="008B3BF0"/>
    <w:rsid w:val="008B4C56"/>
    <w:rsid w:val="008D3AD9"/>
    <w:rsid w:val="009153A0"/>
    <w:rsid w:val="00921535"/>
    <w:rsid w:val="009421E4"/>
    <w:rsid w:val="00953114"/>
    <w:rsid w:val="00971028"/>
    <w:rsid w:val="0097463D"/>
    <w:rsid w:val="009773A8"/>
    <w:rsid w:val="00981A83"/>
    <w:rsid w:val="00982D22"/>
    <w:rsid w:val="0098363A"/>
    <w:rsid w:val="009957E4"/>
    <w:rsid w:val="009B2FB7"/>
    <w:rsid w:val="009C2D42"/>
    <w:rsid w:val="009C54A6"/>
    <w:rsid w:val="00A07BA7"/>
    <w:rsid w:val="00A41AF4"/>
    <w:rsid w:val="00A5307E"/>
    <w:rsid w:val="00A63A93"/>
    <w:rsid w:val="00A7119C"/>
    <w:rsid w:val="00A75E28"/>
    <w:rsid w:val="00A82999"/>
    <w:rsid w:val="00A85644"/>
    <w:rsid w:val="00A90B38"/>
    <w:rsid w:val="00AA2A05"/>
    <w:rsid w:val="00AC7AA2"/>
    <w:rsid w:val="00AD5494"/>
    <w:rsid w:val="00AF1EC0"/>
    <w:rsid w:val="00AF5349"/>
    <w:rsid w:val="00AF7B49"/>
    <w:rsid w:val="00B17A1D"/>
    <w:rsid w:val="00B23F6A"/>
    <w:rsid w:val="00B317C2"/>
    <w:rsid w:val="00B337C6"/>
    <w:rsid w:val="00B35196"/>
    <w:rsid w:val="00B35E6A"/>
    <w:rsid w:val="00B50D62"/>
    <w:rsid w:val="00B71F3E"/>
    <w:rsid w:val="00B72BF6"/>
    <w:rsid w:val="00B73503"/>
    <w:rsid w:val="00B73BE3"/>
    <w:rsid w:val="00B82176"/>
    <w:rsid w:val="00BB5D76"/>
    <w:rsid w:val="00BC0D06"/>
    <w:rsid w:val="00BE52E9"/>
    <w:rsid w:val="00BF1CC4"/>
    <w:rsid w:val="00BF3C3E"/>
    <w:rsid w:val="00C13CE2"/>
    <w:rsid w:val="00C34E32"/>
    <w:rsid w:val="00C717C5"/>
    <w:rsid w:val="00C840E7"/>
    <w:rsid w:val="00C86B8E"/>
    <w:rsid w:val="00C94CBB"/>
    <w:rsid w:val="00C954CB"/>
    <w:rsid w:val="00CB6712"/>
    <w:rsid w:val="00CD56E5"/>
    <w:rsid w:val="00D04B12"/>
    <w:rsid w:val="00D12EB3"/>
    <w:rsid w:val="00D2379A"/>
    <w:rsid w:val="00D30B31"/>
    <w:rsid w:val="00D30E6D"/>
    <w:rsid w:val="00D42299"/>
    <w:rsid w:val="00D42A07"/>
    <w:rsid w:val="00D4382C"/>
    <w:rsid w:val="00D51794"/>
    <w:rsid w:val="00D52544"/>
    <w:rsid w:val="00D62864"/>
    <w:rsid w:val="00D66DE6"/>
    <w:rsid w:val="00D71132"/>
    <w:rsid w:val="00D725F5"/>
    <w:rsid w:val="00DA6CD5"/>
    <w:rsid w:val="00DB4EDC"/>
    <w:rsid w:val="00DC036E"/>
    <w:rsid w:val="00E05476"/>
    <w:rsid w:val="00E06CDF"/>
    <w:rsid w:val="00E10903"/>
    <w:rsid w:val="00E141A6"/>
    <w:rsid w:val="00E41B86"/>
    <w:rsid w:val="00E53909"/>
    <w:rsid w:val="00E728D3"/>
    <w:rsid w:val="00E804B3"/>
    <w:rsid w:val="00E86BE8"/>
    <w:rsid w:val="00E90D84"/>
    <w:rsid w:val="00EA03E6"/>
    <w:rsid w:val="00EA30FE"/>
    <w:rsid w:val="00EA3155"/>
    <w:rsid w:val="00EA51E0"/>
    <w:rsid w:val="00EB3B17"/>
    <w:rsid w:val="00EB7181"/>
    <w:rsid w:val="00EC3334"/>
    <w:rsid w:val="00EE3286"/>
    <w:rsid w:val="00EE6FC6"/>
    <w:rsid w:val="00F13820"/>
    <w:rsid w:val="00F30659"/>
    <w:rsid w:val="00F65568"/>
    <w:rsid w:val="00F72521"/>
    <w:rsid w:val="00F752C2"/>
    <w:rsid w:val="00F76CC9"/>
    <w:rsid w:val="00F7748E"/>
    <w:rsid w:val="00F95954"/>
    <w:rsid w:val="00F96AE1"/>
    <w:rsid w:val="00FA5E00"/>
    <w:rsid w:val="00FA613F"/>
    <w:rsid w:val="00FB6142"/>
    <w:rsid w:val="00FD539F"/>
    <w:rsid w:val="00FF6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894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337C6"/>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EFF"/>
    <w:pPr>
      <w:ind w:left="720"/>
      <w:contextualSpacing/>
    </w:pPr>
  </w:style>
  <w:style w:type="character" w:styleId="a4">
    <w:name w:val="annotation reference"/>
    <w:basedOn w:val="a0"/>
    <w:uiPriority w:val="99"/>
    <w:semiHidden/>
    <w:unhideWhenUsed/>
    <w:rsid w:val="00B72BF6"/>
    <w:rPr>
      <w:sz w:val="16"/>
      <w:szCs w:val="16"/>
    </w:rPr>
  </w:style>
  <w:style w:type="paragraph" w:styleId="a5">
    <w:name w:val="annotation text"/>
    <w:basedOn w:val="a"/>
    <w:link w:val="a6"/>
    <w:uiPriority w:val="99"/>
    <w:semiHidden/>
    <w:unhideWhenUsed/>
    <w:rsid w:val="00B72BF6"/>
    <w:rPr>
      <w:sz w:val="20"/>
      <w:szCs w:val="20"/>
    </w:rPr>
  </w:style>
  <w:style w:type="character" w:customStyle="1" w:styleId="a6">
    <w:name w:val="批注文字 字符"/>
    <w:basedOn w:val="a0"/>
    <w:link w:val="a5"/>
    <w:uiPriority w:val="99"/>
    <w:semiHidden/>
    <w:rsid w:val="00B72BF6"/>
    <w:rPr>
      <w:rFonts w:ascii="Calibri" w:eastAsia="Times New Roman" w:hAnsi="Calibri" w:cs="Calibri"/>
      <w:color w:val="000000"/>
      <w:sz w:val="20"/>
      <w:szCs w:val="20"/>
    </w:rPr>
  </w:style>
  <w:style w:type="paragraph" w:styleId="a7">
    <w:name w:val="annotation subject"/>
    <w:basedOn w:val="a5"/>
    <w:next w:val="a5"/>
    <w:link w:val="a8"/>
    <w:uiPriority w:val="99"/>
    <w:semiHidden/>
    <w:unhideWhenUsed/>
    <w:rsid w:val="00B72BF6"/>
    <w:rPr>
      <w:b/>
      <w:bCs/>
    </w:rPr>
  </w:style>
  <w:style w:type="character" w:customStyle="1" w:styleId="a8">
    <w:name w:val="批注主题 字符"/>
    <w:basedOn w:val="a6"/>
    <w:link w:val="a7"/>
    <w:uiPriority w:val="99"/>
    <w:semiHidden/>
    <w:rsid w:val="00B72BF6"/>
    <w:rPr>
      <w:rFonts w:ascii="Calibri" w:eastAsia="Times New Roman" w:hAnsi="Calibri" w:cs="Calibri"/>
      <w:b/>
      <w:bCs/>
      <w:color w:val="000000"/>
      <w:sz w:val="20"/>
      <w:szCs w:val="20"/>
    </w:rPr>
  </w:style>
  <w:style w:type="paragraph" w:styleId="a9">
    <w:name w:val="Balloon Text"/>
    <w:basedOn w:val="a"/>
    <w:link w:val="aa"/>
    <w:uiPriority w:val="99"/>
    <w:semiHidden/>
    <w:unhideWhenUsed/>
    <w:rsid w:val="00B72BF6"/>
    <w:rPr>
      <w:rFonts w:ascii="Segoe UI" w:hAnsi="Segoe UI" w:cs="Segoe UI"/>
      <w:sz w:val="18"/>
      <w:szCs w:val="18"/>
    </w:rPr>
  </w:style>
  <w:style w:type="character" w:customStyle="1" w:styleId="aa">
    <w:name w:val="批注框文本 字符"/>
    <w:basedOn w:val="a0"/>
    <w:link w:val="a9"/>
    <w:uiPriority w:val="99"/>
    <w:semiHidden/>
    <w:rsid w:val="00B72BF6"/>
    <w:rPr>
      <w:rFonts w:ascii="Segoe UI" w:eastAsia="Times New Roman" w:hAnsi="Segoe UI" w:cs="Segoe UI"/>
      <w:color w:val="000000"/>
      <w:sz w:val="18"/>
      <w:szCs w:val="18"/>
    </w:rPr>
  </w:style>
  <w:style w:type="character" w:styleId="ab">
    <w:name w:val="line number"/>
    <w:basedOn w:val="a0"/>
    <w:uiPriority w:val="99"/>
    <w:semiHidden/>
    <w:unhideWhenUsed/>
    <w:rsid w:val="00B35E6A"/>
  </w:style>
  <w:style w:type="paragraph" w:styleId="ac">
    <w:name w:val="footnote text"/>
    <w:basedOn w:val="a"/>
    <w:link w:val="ad"/>
    <w:uiPriority w:val="99"/>
    <w:semiHidden/>
    <w:unhideWhenUsed/>
    <w:rsid w:val="0054095C"/>
    <w:rPr>
      <w:sz w:val="20"/>
      <w:szCs w:val="20"/>
    </w:rPr>
  </w:style>
  <w:style w:type="character" w:customStyle="1" w:styleId="ad">
    <w:name w:val="脚注文本 字符"/>
    <w:basedOn w:val="a0"/>
    <w:link w:val="ac"/>
    <w:uiPriority w:val="99"/>
    <w:semiHidden/>
    <w:rsid w:val="0054095C"/>
    <w:rPr>
      <w:rFonts w:ascii="Calibri" w:eastAsia="Times New Roman" w:hAnsi="Calibri" w:cs="Calibri"/>
      <w:color w:val="000000"/>
      <w:sz w:val="20"/>
      <w:szCs w:val="20"/>
    </w:rPr>
  </w:style>
  <w:style w:type="character" w:styleId="ae">
    <w:name w:val="footnote reference"/>
    <w:basedOn w:val="a0"/>
    <w:uiPriority w:val="99"/>
    <w:semiHidden/>
    <w:unhideWhenUsed/>
    <w:rsid w:val="0054095C"/>
    <w:rPr>
      <w:vertAlign w:val="superscript"/>
    </w:rPr>
  </w:style>
  <w:style w:type="character" w:styleId="af">
    <w:name w:val="Hyperlink"/>
    <w:basedOn w:val="a0"/>
    <w:uiPriority w:val="99"/>
    <w:unhideWhenUsed/>
    <w:rsid w:val="00BB5D76"/>
    <w:rPr>
      <w:color w:val="0563C1" w:themeColor="hyperlink"/>
      <w:u w:val="single"/>
    </w:rPr>
  </w:style>
  <w:style w:type="character" w:styleId="af0">
    <w:name w:val="Unresolved Mention"/>
    <w:basedOn w:val="a0"/>
    <w:uiPriority w:val="99"/>
    <w:semiHidden/>
    <w:unhideWhenUsed/>
    <w:rsid w:val="00BB5D76"/>
    <w:rPr>
      <w:color w:val="605E5C"/>
      <w:shd w:val="clear" w:color="auto" w:fill="E1DFDD"/>
    </w:rPr>
  </w:style>
  <w:style w:type="paragraph" w:styleId="af1">
    <w:name w:val="header"/>
    <w:basedOn w:val="a"/>
    <w:link w:val="af2"/>
    <w:uiPriority w:val="99"/>
    <w:unhideWhenUsed/>
    <w:rsid w:val="000F5526"/>
    <w:pPr>
      <w:tabs>
        <w:tab w:val="center" w:pos="4680"/>
        <w:tab w:val="right" w:pos="9360"/>
      </w:tabs>
    </w:pPr>
  </w:style>
  <w:style w:type="character" w:customStyle="1" w:styleId="af2">
    <w:name w:val="页眉 字符"/>
    <w:basedOn w:val="a0"/>
    <w:link w:val="af1"/>
    <w:uiPriority w:val="99"/>
    <w:rsid w:val="000F5526"/>
    <w:rPr>
      <w:rFonts w:ascii="Calibri" w:eastAsia="Times New Roman" w:hAnsi="Calibri" w:cs="Calibri"/>
      <w:color w:val="000000"/>
      <w:sz w:val="24"/>
      <w:szCs w:val="24"/>
    </w:rPr>
  </w:style>
  <w:style w:type="paragraph" w:styleId="af3">
    <w:name w:val="footer"/>
    <w:basedOn w:val="a"/>
    <w:link w:val="af4"/>
    <w:uiPriority w:val="99"/>
    <w:unhideWhenUsed/>
    <w:rsid w:val="000F5526"/>
    <w:pPr>
      <w:tabs>
        <w:tab w:val="center" w:pos="4680"/>
        <w:tab w:val="right" w:pos="9360"/>
      </w:tabs>
    </w:pPr>
  </w:style>
  <w:style w:type="character" w:customStyle="1" w:styleId="af4">
    <w:name w:val="页脚 字符"/>
    <w:basedOn w:val="a0"/>
    <w:link w:val="af3"/>
    <w:uiPriority w:val="99"/>
    <w:rsid w:val="000F5526"/>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02125">
      <w:bodyDiv w:val="1"/>
      <w:marLeft w:val="0"/>
      <w:marRight w:val="0"/>
      <w:marTop w:val="0"/>
      <w:marBottom w:val="0"/>
      <w:divBdr>
        <w:top w:val="none" w:sz="0" w:space="0" w:color="auto"/>
        <w:left w:val="none" w:sz="0" w:space="0" w:color="auto"/>
        <w:bottom w:val="none" w:sz="0" w:space="0" w:color="auto"/>
        <w:right w:val="none" w:sz="0" w:space="0" w:color="auto"/>
      </w:divBdr>
    </w:div>
    <w:div w:id="333726240">
      <w:bodyDiv w:val="1"/>
      <w:marLeft w:val="0"/>
      <w:marRight w:val="0"/>
      <w:marTop w:val="0"/>
      <w:marBottom w:val="0"/>
      <w:divBdr>
        <w:top w:val="none" w:sz="0" w:space="0" w:color="auto"/>
        <w:left w:val="none" w:sz="0" w:space="0" w:color="auto"/>
        <w:bottom w:val="none" w:sz="0" w:space="0" w:color="auto"/>
        <w:right w:val="none" w:sz="0" w:space="0" w:color="auto"/>
      </w:divBdr>
    </w:div>
    <w:div w:id="559562064">
      <w:bodyDiv w:val="1"/>
      <w:marLeft w:val="0"/>
      <w:marRight w:val="0"/>
      <w:marTop w:val="0"/>
      <w:marBottom w:val="0"/>
      <w:divBdr>
        <w:top w:val="none" w:sz="0" w:space="0" w:color="auto"/>
        <w:left w:val="none" w:sz="0" w:space="0" w:color="auto"/>
        <w:bottom w:val="none" w:sz="0" w:space="0" w:color="auto"/>
        <w:right w:val="none" w:sz="0" w:space="0" w:color="auto"/>
      </w:divBdr>
    </w:div>
    <w:div w:id="1064833312">
      <w:bodyDiv w:val="1"/>
      <w:marLeft w:val="0"/>
      <w:marRight w:val="0"/>
      <w:marTop w:val="0"/>
      <w:marBottom w:val="0"/>
      <w:divBdr>
        <w:top w:val="none" w:sz="0" w:space="0" w:color="auto"/>
        <w:left w:val="none" w:sz="0" w:space="0" w:color="auto"/>
        <w:bottom w:val="none" w:sz="0" w:space="0" w:color="auto"/>
        <w:right w:val="none" w:sz="0" w:space="0" w:color="auto"/>
      </w:divBdr>
    </w:div>
    <w:div w:id="1426611679">
      <w:bodyDiv w:val="1"/>
      <w:marLeft w:val="0"/>
      <w:marRight w:val="0"/>
      <w:marTop w:val="0"/>
      <w:marBottom w:val="0"/>
      <w:divBdr>
        <w:top w:val="none" w:sz="0" w:space="0" w:color="auto"/>
        <w:left w:val="none" w:sz="0" w:space="0" w:color="auto"/>
        <w:bottom w:val="none" w:sz="0" w:space="0" w:color="auto"/>
        <w:right w:val="none" w:sz="0" w:space="0" w:color="auto"/>
      </w:divBdr>
    </w:div>
    <w:div w:id="1444227547">
      <w:bodyDiv w:val="1"/>
      <w:marLeft w:val="0"/>
      <w:marRight w:val="0"/>
      <w:marTop w:val="0"/>
      <w:marBottom w:val="0"/>
      <w:divBdr>
        <w:top w:val="none" w:sz="0" w:space="0" w:color="auto"/>
        <w:left w:val="none" w:sz="0" w:space="0" w:color="auto"/>
        <w:bottom w:val="none" w:sz="0" w:space="0" w:color="auto"/>
        <w:right w:val="none" w:sz="0" w:space="0" w:color="auto"/>
      </w:divBdr>
    </w:div>
    <w:div w:id="1744832997">
      <w:bodyDiv w:val="1"/>
      <w:marLeft w:val="0"/>
      <w:marRight w:val="0"/>
      <w:marTop w:val="0"/>
      <w:marBottom w:val="0"/>
      <w:divBdr>
        <w:top w:val="none" w:sz="0" w:space="0" w:color="auto"/>
        <w:left w:val="none" w:sz="0" w:space="0" w:color="auto"/>
        <w:bottom w:val="none" w:sz="0" w:space="0" w:color="auto"/>
        <w:right w:val="none" w:sz="0" w:space="0" w:color="auto"/>
      </w:divBdr>
    </w:div>
    <w:div w:id="1999259812">
      <w:bodyDiv w:val="1"/>
      <w:marLeft w:val="0"/>
      <w:marRight w:val="0"/>
      <w:marTop w:val="0"/>
      <w:marBottom w:val="0"/>
      <w:divBdr>
        <w:top w:val="none" w:sz="0" w:space="0" w:color="auto"/>
        <w:left w:val="none" w:sz="0" w:space="0" w:color="auto"/>
        <w:bottom w:val="none" w:sz="0" w:space="0" w:color="auto"/>
        <w:right w:val="none" w:sz="0" w:space="0" w:color="auto"/>
      </w:divBdr>
    </w:div>
    <w:div w:id="209755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758A2-F5FE-4D07-9230-7735CE18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4028</Words>
  <Characters>22964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2019-10-08T12:13:00Z</dcterms:created>
  <dcterms:modified xsi:type="dcterms:W3CDTF">2019-10-09T02:37:00Z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ebe33c32-3430-316f-aaf5-db1d278cc42c</vt:lpwstr>
  </property>
  <property fmtid="{D5CDD505-2E9C-101B-9397-08002B2CF9AE}" pid="4" name="Mendeley Citation Style_1">
    <vt:lpwstr>http://www.zotero.org/styles/nature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