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66988" w14:textId="20ADFB8A" w:rsidR="004B04E9" w:rsidRPr="009E358A" w:rsidRDefault="004B04E9" w:rsidP="00AE21A4">
      <w:pPr>
        <w:pStyle w:val="Web"/>
        <w:jc w:val="both"/>
        <w:rPr>
          <w:rStyle w:val="a3"/>
          <w:rFonts w:ascii="Arial" w:hAnsi="Arial" w:cs="Arial"/>
          <w:b w:val="0"/>
          <w:bCs w:val="0"/>
          <w:sz w:val="22"/>
        </w:rPr>
      </w:pPr>
      <w:r w:rsidRPr="009E358A">
        <w:rPr>
          <w:rFonts w:ascii="Arial" w:hAnsi="Arial" w:cs="Arial"/>
          <w:sz w:val="22"/>
        </w:rPr>
        <w:t>Based on the editorial`s and reviewers’ helpful comments, we revised the manuscript and figure and addressed the reviewers’ concerns.</w:t>
      </w:r>
    </w:p>
    <w:p w14:paraId="4DFD5B07" w14:textId="02CB067F" w:rsidR="004B04E9" w:rsidRPr="009E358A" w:rsidRDefault="00085E31" w:rsidP="00AE21A4">
      <w:pPr>
        <w:pStyle w:val="Web"/>
        <w:spacing w:line="360" w:lineRule="auto"/>
        <w:contextualSpacing/>
        <w:jc w:val="both"/>
        <w:rPr>
          <w:rFonts w:ascii="Arial" w:hAnsi="Arial" w:cs="Arial"/>
          <w:b/>
          <w:bCs/>
          <w:sz w:val="22"/>
          <w:szCs w:val="22"/>
        </w:rPr>
      </w:pPr>
      <w:r w:rsidRPr="009E358A">
        <w:rPr>
          <w:rStyle w:val="a3"/>
          <w:rFonts w:ascii="Arial" w:hAnsi="Arial" w:cs="Arial"/>
          <w:sz w:val="22"/>
          <w:szCs w:val="22"/>
        </w:rPr>
        <w:t>Editorial comments:</w:t>
      </w:r>
      <w:r w:rsidRPr="009E358A">
        <w:rPr>
          <w:rFonts w:ascii="Arial" w:hAnsi="Arial" w:cs="Arial"/>
          <w:sz w:val="22"/>
          <w:szCs w:val="22"/>
        </w:rPr>
        <w:br/>
      </w:r>
      <w:r w:rsidRPr="009E358A">
        <w:rPr>
          <w:rFonts w:ascii="Arial" w:hAnsi="Arial" w:cs="Arial"/>
          <w:b/>
          <w:bCs/>
          <w:sz w:val="22"/>
          <w:szCs w:val="22"/>
        </w:rPr>
        <w:t>General:</w:t>
      </w:r>
      <w:r w:rsidRPr="009E358A">
        <w:rPr>
          <w:rFonts w:ascii="Arial" w:hAnsi="Arial" w:cs="Arial"/>
          <w:b/>
          <w:bCs/>
          <w:sz w:val="22"/>
          <w:szCs w:val="22"/>
        </w:rPr>
        <w:br/>
        <w:t>1. Please take this opportunity to thoroughly proofread the manuscript to ensure that there are no spelling or grammar issues.</w:t>
      </w:r>
      <w:r w:rsidRPr="009E358A">
        <w:rPr>
          <w:rFonts w:ascii="Arial" w:hAnsi="Arial" w:cs="Arial"/>
          <w:b/>
          <w:bCs/>
          <w:sz w:val="22"/>
          <w:szCs w:val="22"/>
        </w:rPr>
        <w:br/>
        <w:t>2. Please use ‘mL’ and ‘µL’ instead of ‘ml’ and ‘µl’, including in figures. Please ensure there is a space between numbers and corresponding units (except %).</w:t>
      </w:r>
      <w:r w:rsidRPr="009E358A">
        <w:rPr>
          <w:rFonts w:ascii="Arial" w:hAnsi="Arial" w:cs="Arial"/>
          <w:b/>
          <w:bCs/>
          <w:sz w:val="22"/>
          <w:szCs w:val="22"/>
        </w:rPr>
        <w:br/>
        <w:t>3.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9E358A">
        <w:rPr>
          <w:rFonts w:ascii="Arial" w:hAnsi="Arial" w:cs="Arial"/>
          <w:b/>
          <w:bCs/>
          <w:sz w:val="22"/>
          <w:szCs w:val="22"/>
        </w:rPr>
        <w:br/>
        <w:t>For example: Falcon, Miltenyi Biotec, Thermo Fisher Scientific, eBioscience, BD®, FACS Canto II, abcam®, Flowjo BD</w:t>
      </w:r>
    </w:p>
    <w:p w14:paraId="5ED78792" w14:textId="77777777" w:rsidR="00AE21A4" w:rsidRPr="009E358A" w:rsidRDefault="00AE21A4" w:rsidP="00AE21A4">
      <w:pPr>
        <w:pStyle w:val="Web"/>
        <w:spacing w:line="360" w:lineRule="auto"/>
        <w:contextualSpacing/>
        <w:jc w:val="both"/>
        <w:rPr>
          <w:rFonts w:ascii="Arial" w:hAnsi="Arial" w:cs="Arial"/>
          <w:b/>
          <w:bCs/>
          <w:sz w:val="22"/>
          <w:szCs w:val="22"/>
        </w:rPr>
      </w:pPr>
    </w:p>
    <w:p w14:paraId="35C1DF60" w14:textId="751CD564" w:rsidR="001336D7" w:rsidRPr="009E358A" w:rsidRDefault="004B04E9" w:rsidP="00AE21A4">
      <w:pPr>
        <w:pStyle w:val="Web"/>
        <w:spacing w:line="360" w:lineRule="auto"/>
        <w:contextualSpacing/>
        <w:jc w:val="both"/>
        <w:rPr>
          <w:rFonts w:ascii="Arial" w:hAnsi="Arial" w:cs="Arial"/>
          <w:b/>
          <w:bCs/>
          <w:sz w:val="22"/>
          <w:szCs w:val="22"/>
        </w:rPr>
      </w:pPr>
      <w:r w:rsidRPr="009E358A">
        <w:rPr>
          <w:rStyle w:val="s1"/>
          <w:rFonts w:ascii="Arial" w:hAnsi="Arial" w:cs="Arial"/>
          <w:sz w:val="22"/>
        </w:rPr>
        <w:t>We appreciate th</w:t>
      </w:r>
      <w:r w:rsidR="001336D7" w:rsidRPr="009E358A">
        <w:rPr>
          <w:rStyle w:val="s1"/>
          <w:rFonts w:ascii="Arial" w:hAnsi="Arial" w:cs="Arial"/>
          <w:sz w:val="22"/>
        </w:rPr>
        <w:t>ese</w:t>
      </w:r>
      <w:r w:rsidRPr="009E358A">
        <w:rPr>
          <w:rStyle w:val="s1"/>
          <w:rFonts w:ascii="Arial" w:hAnsi="Arial" w:cs="Arial"/>
          <w:sz w:val="22"/>
        </w:rPr>
        <w:t xml:space="preserve"> helpful comment</w:t>
      </w:r>
      <w:r w:rsidR="001336D7" w:rsidRPr="009E358A">
        <w:rPr>
          <w:rStyle w:val="s1"/>
          <w:rFonts w:ascii="Arial" w:hAnsi="Arial" w:cs="Arial"/>
          <w:sz w:val="22"/>
        </w:rPr>
        <w:t>s</w:t>
      </w:r>
      <w:r w:rsidRPr="009E358A">
        <w:rPr>
          <w:rStyle w:val="s1"/>
          <w:rFonts w:ascii="Arial" w:hAnsi="Arial" w:cs="Arial"/>
          <w:sz w:val="22"/>
        </w:rPr>
        <w:t xml:space="preserve">. </w:t>
      </w:r>
      <w:r w:rsidR="00A93A16" w:rsidRPr="009E358A">
        <w:rPr>
          <w:rStyle w:val="s1"/>
          <w:rFonts w:ascii="Arial" w:hAnsi="Arial" w:cs="Arial"/>
          <w:sz w:val="22"/>
        </w:rPr>
        <w:t>We</w:t>
      </w:r>
      <w:r w:rsidRPr="009E358A">
        <w:rPr>
          <w:rStyle w:val="s1"/>
          <w:rFonts w:ascii="Arial" w:hAnsi="Arial" w:cs="Arial"/>
          <w:sz w:val="22"/>
        </w:rPr>
        <w:t xml:space="preserve"> edited </w:t>
      </w:r>
      <w:r w:rsidR="00A93A16" w:rsidRPr="009E358A">
        <w:rPr>
          <w:rStyle w:val="s1"/>
          <w:rFonts w:ascii="Arial" w:hAnsi="Arial" w:cs="Arial"/>
          <w:sz w:val="22"/>
        </w:rPr>
        <w:t>and corrected all relevant</w:t>
      </w:r>
      <w:r w:rsidRPr="009E358A">
        <w:rPr>
          <w:rStyle w:val="s1"/>
          <w:rFonts w:ascii="Arial" w:hAnsi="Arial" w:cs="Arial"/>
          <w:sz w:val="22"/>
        </w:rPr>
        <w:t xml:space="preserve"> units and symbols.</w:t>
      </w:r>
      <w:r w:rsidR="00085E31" w:rsidRPr="009E358A">
        <w:rPr>
          <w:rFonts w:ascii="Arial" w:hAnsi="Arial" w:cs="Arial"/>
          <w:b/>
          <w:bCs/>
          <w:sz w:val="22"/>
          <w:szCs w:val="22"/>
        </w:rPr>
        <w:br/>
      </w:r>
      <w:r w:rsidR="00085E31" w:rsidRPr="009E358A">
        <w:rPr>
          <w:rFonts w:ascii="Arial" w:hAnsi="Arial" w:cs="Arial"/>
          <w:b/>
          <w:bCs/>
          <w:sz w:val="22"/>
          <w:szCs w:val="22"/>
        </w:rPr>
        <w:br/>
        <w:t>Protocol:</w:t>
      </w:r>
      <w:r w:rsidR="00085E31" w:rsidRPr="009E358A">
        <w:rPr>
          <w:rFonts w:ascii="Arial" w:hAnsi="Arial" w:cs="Arial"/>
          <w:b/>
          <w:bCs/>
          <w:sz w:val="22"/>
          <w:szCs w:val="22"/>
        </w:rPr>
        <w:br/>
        <w:t>1. Please include an ethics statement before the numbered protocol steps, indicating that the protocol follows the guidelines of your institution’s human research ethics committee.</w:t>
      </w:r>
      <w:r w:rsidR="00085E31" w:rsidRPr="009E358A">
        <w:rPr>
          <w:rFonts w:ascii="Arial" w:hAnsi="Arial" w:cs="Arial"/>
          <w:b/>
          <w:bCs/>
          <w:sz w:val="22"/>
          <w:szCs w:val="22"/>
        </w:rPr>
        <w:br/>
        <w:t xml:space="preserve">2. For each protocol step, please ensure you answer the “how” question, i.e., how </w:t>
      </w:r>
      <w:r w:rsidR="00085E31" w:rsidRPr="009E358A">
        <w:rPr>
          <w:rFonts w:ascii="Arial" w:hAnsi="Arial" w:cs="Arial"/>
          <w:b/>
          <w:bCs/>
          <w:sz w:val="22"/>
          <w:szCs w:val="22"/>
        </w:rPr>
        <w:lastRenderedPageBreak/>
        <w:t>is the step performed? Alternatively, add references to published material specifying how to perform the protocol action. If revisions cause a step to have more than 2-3 actions and 4 sentences per step, please split into separate steps or substeps.</w:t>
      </w:r>
    </w:p>
    <w:p w14:paraId="39EFF75C" w14:textId="444A3423" w:rsidR="001336D7" w:rsidRPr="009E358A" w:rsidRDefault="00085E31" w:rsidP="00AE21A4">
      <w:pPr>
        <w:pStyle w:val="Web"/>
        <w:spacing w:line="360" w:lineRule="auto"/>
        <w:contextualSpacing/>
        <w:jc w:val="both"/>
        <w:rPr>
          <w:rFonts w:ascii="Arial" w:hAnsi="Arial" w:cs="Arial"/>
          <w:b/>
          <w:bCs/>
          <w:sz w:val="21"/>
          <w:szCs w:val="21"/>
        </w:rPr>
      </w:pPr>
      <w:r w:rsidRPr="009E358A">
        <w:rPr>
          <w:rFonts w:ascii="Arial" w:hAnsi="Arial" w:cs="Arial"/>
          <w:b/>
          <w:bCs/>
          <w:sz w:val="21"/>
          <w:szCs w:val="21"/>
        </w:rPr>
        <w:br/>
      </w:r>
      <w:r w:rsidR="00A93A16" w:rsidRPr="009E358A">
        <w:rPr>
          <w:rStyle w:val="s1"/>
          <w:rFonts w:ascii="Arial" w:hAnsi="Arial" w:cs="Arial"/>
          <w:sz w:val="22"/>
          <w:szCs w:val="22"/>
        </w:rPr>
        <w:t>T</w:t>
      </w:r>
      <w:r w:rsidR="001336D7" w:rsidRPr="009E358A">
        <w:rPr>
          <w:rStyle w:val="s1"/>
          <w:rFonts w:ascii="Arial" w:hAnsi="Arial" w:cs="Arial"/>
          <w:sz w:val="22"/>
          <w:szCs w:val="22"/>
        </w:rPr>
        <w:t xml:space="preserve">hank </w:t>
      </w:r>
      <w:r w:rsidR="00A93A16" w:rsidRPr="009E358A">
        <w:rPr>
          <w:rStyle w:val="s1"/>
          <w:rFonts w:ascii="Arial" w:hAnsi="Arial" w:cs="Arial"/>
          <w:sz w:val="22"/>
          <w:szCs w:val="22"/>
        </w:rPr>
        <w:t xml:space="preserve">you </w:t>
      </w:r>
      <w:r w:rsidR="001336D7" w:rsidRPr="009E358A">
        <w:rPr>
          <w:rStyle w:val="s1"/>
          <w:rFonts w:ascii="Arial" w:hAnsi="Arial" w:cs="Arial"/>
          <w:sz w:val="22"/>
          <w:szCs w:val="22"/>
        </w:rPr>
        <w:t>for these comments. We added an ethics statement and revised protocols.</w:t>
      </w:r>
    </w:p>
    <w:p w14:paraId="31CFC73B" w14:textId="5C7057B1" w:rsidR="001336D7"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br/>
        <w:t>Figures and Tables:</w:t>
      </w:r>
      <w:r w:rsidRPr="009E358A">
        <w:rPr>
          <w:rFonts w:ascii="Arial" w:hAnsi="Arial" w:cs="Arial"/>
          <w:b/>
          <w:bCs/>
          <w:sz w:val="22"/>
          <w:szCs w:val="22"/>
        </w:rPr>
        <w:br/>
        <w:t>1. Please remove the embedded figures and tables from the manuscript.</w:t>
      </w:r>
      <w:r w:rsidRPr="009E358A">
        <w:rPr>
          <w:rFonts w:ascii="Arial" w:hAnsi="Arial" w:cs="Arial"/>
          <w:b/>
          <w:bCs/>
          <w:sz w:val="22"/>
          <w:szCs w:val="22"/>
        </w:rPr>
        <w:br/>
        <w:t>2. Please upload Table 1 as an .xls/.xlsx file in your Editorial Manager account.</w:t>
      </w:r>
      <w:r w:rsidRPr="009E358A">
        <w:rPr>
          <w:rFonts w:ascii="Arial" w:hAnsi="Arial" w:cs="Arial"/>
          <w:b/>
          <w:bCs/>
          <w:sz w:val="22"/>
          <w:szCs w:val="22"/>
        </w:rPr>
        <w:br/>
        <w:t>3. Please upload one file per figure (2 in total). Please remove ‘Figure 1’ and ‘Figure 2’ from the figures themselves.</w:t>
      </w:r>
      <w:r w:rsidRPr="009E358A">
        <w:rPr>
          <w:rFonts w:ascii="Arial" w:hAnsi="Arial" w:cs="Arial"/>
          <w:b/>
          <w:bCs/>
          <w:sz w:val="22"/>
          <w:szCs w:val="22"/>
        </w:rPr>
        <w:br/>
        <w:t>4. Figure 2B: Please use ‘weeks’ instead of ‘w’.</w:t>
      </w:r>
      <w:r w:rsidRPr="009E358A">
        <w:rPr>
          <w:rFonts w:ascii="Arial" w:hAnsi="Arial" w:cs="Arial"/>
          <w:b/>
          <w:bCs/>
          <w:sz w:val="22"/>
          <w:szCs w:val="22"/>
        </w:rPr>
        <w:br/>
      </w:r>
    </w:p>
    <w:p w14:paraId="1084C29C" w14:textId="6DBEE9D2" w:rsidR="00AE21A4" w:rsidRPr="009E358A" w:rsidRDefault="00A93A16" w:rsidP="00AE21A4">
      <w:pPr>
        <w:pStyle w:val="Web"/>
        <w:spacing w:line="360" w:lineRule="auto"/>
        <w:contextualSpacing/>
        <w:jc w:val="both"/>
        <w:rPr>
          <w:rFonts w:ascii="Arial" w:hAnsi="Arial" w:cs="Arial"/>
          <w:sz w:val="22"/>
          <w:szCs w:val="22"/>
        </w:rPr>
      </w:pPr>
      <w:r w:rsidRPr="009E358A">
        <w:rPr>
          <w:rFonts w:ascii="Arial" w:hAnsi="Arial" w:cs="Arial"/>
          <w:sz w:val="22"/>
          <w:szCs w:val="22"/>
        </w:rPr>
        <w:t>In accordance with your</w:t>
      </w:r>
      <w:r w:rsidR="00AE21A4" w:rsidRPr="009E358A">
        <w:rPr>
          <w:rFonts w:ascii="Arial" w:hAnsi="Arial" w:cs="Arial"/>
          <w:sz w:val="22"/>
          <w:szCs w:val="22"/>
        </w:rPr>
        <w:t xml:space="preserve"> comment, we edited </w:t>
      </w:r>
      <w:r w:rsidRPr="009E358A">
        <w:rPr>
          <w:rFonts w:ascii="Arial" w:hAnsi="Arial" w:cs="Arial"/>
          <w:sz w:val="22"/>
          <w:szCs w:val="22"/>
        </w:rPr>
        <w:t xml:space="preserve">the </w:t>
      </w:r>
      <w:r w:rsidR="00AE21A4" w:rsidRPr="009E358A">
        <w:rPr>
          <w:rFonts w:ascii="Arial" w:hAnsi="Arial" w:cs="Arial"/>
          <w:sz w:val="22"/>
          <w:szCs w:val="22"/>
        </w:rPr>
        <w:t>figures and manuscripts.</w:t>
      </w:r>
    </w:p>
    <w:p w14:paraId="2102CC82" w14:textId="5CE0FB97" w:rsidR="001336D7"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br/>
        <w:t>References:</w:t>
      </w:r>
      <w:r w:rsidRPr="009E358A">
        <w:rPr>
          <w:rFonts w:ascii="Arial" w:hAnsi="Arial" w:cs="Arial"/>
          <w:b/>
          <w:bCs/>
          <w:sz w:val="22"/>
          <w:szCs w:val="22"/>
        </w:rPr>
        <w:br/>
        <w:t>1. Please do not abbreviate journal titles.</w:t>
      </w:r>
      <w:r w:rsidRPr="009E358A">
        <w:rPr>
          <w:rFonts w:ascii="Arial" w:hAnsi="Arial" w:cs="Arial"/>
          <w:b/>
          <w:bCs/>
          <w:sz w:val="22"/>
          <w:szCs w:val="22"/>
        </w:rPr>
        <w:br/>
      </w:r>
    </w:p>
    <w:p w14:paraId="05E1A83C" w14:textId="046C45B4" w:rsidR="00AE21A4" w:rsidRPr="009E358A" w:rsidRDefault="00A93A16" w:rsidP="00AE21A4">
      <w:pPr>
        <w:pStyle w:val="Web"/>
        <w:spacing w:line="360" w:lineRule="auto"/>
        <w:contextualSpacing/>
        <w:jc w:val="both"/>
        <w:rPr>
          <w:rFonts w:ascii="Arial" w:hAnsi="Arial" w:cs="Arial"/>
          <w:b/>
          <w:bCs/>
          <w:sz w:val="21"/>
          <w:szCs w:val="21"/>
        </w:rPr>
      </w:pPr>
      <w:r w:rsidRPr="009E358A">
        <w:rPr>
          <w:rStyle w:val="s1"/>
          <w:rFonts w:ascii="Arial" w:hAnsi="Arial" w:cs="Arial"/>
          <w:sz w:val="22"/>
          <w:szCs w:val="22"/>
        </w:rPr>
        <w:t>Thank you</w:t>
      </w:r>
      <w:r w:rsidR="00AE21A4" w:rsidRPr="009E358A">
        <w:rPr>
          <w:rStyle w:val="s1"/>
          <w:rFonts w:ascii="Arial" w:hAnsi="Arial" w:cs="Arial"/>
          <w:sz w:val="22"/>
          <w:szCs w:val="22"/>
        </w:rPr>
        <w:t xml:space="preserve"> for this comment. We applied </w:t>
      </w:r>
      <w:r w:rsidRPr="009E358A">
        <w:rPr>
          <w:rStyle w:val="s1"/>
          <w:rFonts w:ascii="Arial" w:hAnsi="Arial" w:cs="Arial"/>
          <w:sz w:val="22"/>
          <w:szCs w:val="22"/>
        </w:rPr>
        <w:t xml:space="preserve">the </w:t>
      </w:r>
      <w:proofErr w:type="spellStart"/>
      <w:r w:rsidR="00AE21A4" w:rsidRPr="009E358A">
        <w:rPr>
          <w:rStyle w:val="s1"/>
          <w:rFonts w:ascii="Arial" w:hAnsi="Arial" w:cs="Arial"/>
          <w:sz w:val="22"/>
          <w:szCs w:val="22"/>
        </w:rPr>
        <w:t>JoVE</w:t>
      </w:r>
      <w:proofErr w:type="spellEnd"/>
      <w:r w:rsidR="00AE21A4" w:rsidRPr="009E358A">
        <w:rPr>
          <w:rStyle w:val="s1"/>
          <w:rFonts w:ascii="Arial" w:hAnsi="Arial" w:cs="Arial"/>
          <w:sz w:val="22"/>
          <w:szCs w:val="22"/>
        </w:rPr>
        <w:t xml:space="preserve"> </w:t>
      </w:r>
      <w:r w:rsidRPr="009E358A">
        <w:rPr>
          <w:rStyle w:val="s1"/>
          <w:rFonts w:ascii="Arial" w:hAnsi="Arial" w:cs="Arial"/>
          <w:sz w:val="22"/>
          <w:szCs w:val="22"/>
        </w:rPr>
        <w:t xml:space="preserve">EndNote </w:t>
      </w:r>
      <w:r w:rsidR="00AE21A4" w:rsidRPr="009E358A">
        <w:rPr>
          <w:rStyle w:val="s1"/>
          <w:rFonts w:ascii="Arial" w:hAnsi="Arial" w:cs="Arial"/>
          <w:sz w:val="22"/>
          <w:szCs w:val="22"/>
        </w:rPr>
        <w:t>style for references.</w:t>
      </w:r>
    </w:p>
    <w:p w14:paraId="20E6381A" w14:textId="48BAC7AF" w:rsidR="00AE21A4" w:rsidRPr="009E358A" w:rsidRDefault="00085E31" w:rsidP="00AE21A4">
      <w:pPr>
        <w:pStyle w:val="Web"/>
        <w:spacing w:line="360" w:lineRule="auto"/>
        <w:contextualSpacing/>
        <w:jc w:val="both"/>
        <w:rPr>
          <w:rFonts w:ascii="Arial" w:hAnsi="Arial" w:cs="Arial"/>
          <w:sz w:val="22"/>
          <w:szCs w:val="22"/>
        </w:rPr>
      </w:pPr>
      <w:r w:rsidRPr="009E358A">
        <w:rPr>
          <w:rFonts w:ascii="Arial" w:hAnsi="Arial" w:cs="Arial"/>
          <w:b/>
          <w:bCs/>
          <w:sz w:val="22"/>
          <w:szCs w:val="22"/>
        </w:rPr>
        <w:br/>
        <w:t>Table of Materials:</w:t>
      </w:r>
      <w:r w:rsidRPr="009E358A">
        <w:rPr>
          <w:rFonts w:ascii="Arial" w:hAnsi="Arial" w:cs="Arial"/>
          <w:b/>
          <w:bCs/>
          <w:sz w:val="22"/>
          <w:szCs w:val="22"/>
        </w:rPr>
        <w:br/>
        <w:t>1. Please ensure the Table of Materials has information on all materials and equipment used, especially those mentioned in the Protocol.</w:t>
      </w:r>
      <w:r w:rsidRPr="009E358A">
        <w:rPr>
          <w:rFonts w:ascii="Arial" w:hAnsi="Arial" w:cs="Arial"/>
          <w:b/>
          <w:bCs/>
          <w:sz w:val="22"/>
          <w:szCs w:val="22"/>
        </w:rPr>
        <w:br/>
      </w:r>
      <w:r w:rsidRPr="009E358A">
        <w:rPr>
          <w:rFonts w:ascii="Arial" w:hAnsi="Arial" w:cs="Arial"/>
          <w:b/>
          <w:bCs/>
          <w:sz w:val="22"/>
          <w:szCs w:val="22"/>
        </w:rPr>
        <w:lastRenderedPageBreak/>
        <w:t>2. Please remove trademark (™) and registered (®) symbols from the Table of Materials.</w:t>
      </w:r>
      <w:r w:rsidRPr="009E358A">
        <w:rPr>
          <w:rFonts w:ascii="Arial" w:hAnsi="Arial" w:cs="Arial"/>
          <w:b/>
          <w:bCs/>
          <w:sz w:val="22"/>
          <w:szCs w:val="22"/>
        </w:rPr>
        <w:br/>
      </w:r>
      <w:r w:rsidRPr="009E358A">
        <w:rPr>
          <w:rFonts w:ascii="Arial" w:hAnsi="Arial" w:cs="Arial"/>
          <w:sz w:val="22"/>
          <w:szCs w:val="22"/>
        </w:rPr>
        <w:br/>
      </w:r>
      <w:r w:rsidR="00AE21A4" w:rsidRPr="009E358A">
        <w:rPr>
          <w:rFonts w:ascii="Arial" w:hAnsi="Arial" w:cs="Arial"/>
          <w:sz w:val="22"/>
          <w:szCs w:val="22"/>
        </w:rPr>
        <w:t xml:space="preserve">We edited </w:t>
      </w:r>
      <w:r w:rsidR="00A93A16" w:rsidRPr="009E358A">
        <w:rPr>
          <w:rFonts w:ascii="Arial" w:hAnsi="Arial" w:cs="Arial"/>
          <w:sz w:val="22"/>
          <w:szCs w:val="22"/>
        </w:rPr>
        <w:t xml:space="preserve">the </w:t>
      </w:r>
      <w:r w:rsidR="00AE21A4" w:rsidRPr="009E358A">
        <w:rPr>
          <w:rFonts w:ascii="Arial" w:hAnsi="Arial" w:cs="Arial"/>
          <w:sz w:val="22"/>
          <w:szCs w:val="22"/>
        </w:rPr>
        <w:t xml:space="preserve">Table of Materials according to </w:t>
      </w:r>
      <w:r w:rsidR="003E3A88" w:rsidRPr="009E358A">
        <w:rPr>
          <w:rFonts w:ascii="Arial" w:hAnsi="Arial" w:cs="Arial"/>
          <w:sz w:val="22"/>
          <w:szCs w:val="22"/>
        </w:rPr>
        <w:t xml:space="preserve">the </w:t>
      </w:r>
      <w:r w:rsidR="00AE21A4" w:rsidRPr="009E358A">
        <w:rPr>
          <w:rFonts w:ascii="Arial" w:hAnsi="Arial" w:cs="Arial"/>
          <w:sz w:val="22"/>
          <w:szCs w:val="22"/>
        </w:rPr>
        <w:t>editor</w:t>
      </w:r>
      <w:r w:rsidR="00A93A16" w:rsidRPr="009E358A">
        <w:rPr>
          <w:rFonts w:ascii="Arial" w:hAnsi="Arial" w:cs="Arial"/>
          <w:sz w:val="22"/>
          <w:szCs w:val="22"/>
        </w:rPr>
        <w:t>’s</w:t>
      </w:r>
      <w:r w:rsidR="00AE21A4" w:rsidRPr="009E358A">
        <w:rPr>
          <w:rFonts w:ascii="Arial" w:hAnsi="Arial" w:cs="Arial"/>
          <w:sz w:val="22"/>
          <w:szCs w:val="22"/>
        </w:rPr>
        <w:t xml:space="preserve"> comment.</w:t>
      </w:r>
    </w:p>
    <w:p w14:paraId="2AFC3315" w14:textId="47E46E82" w:rsidR="0021443A"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sz w:val="22"/>
          <w:szCs w:val="22"/>
        </w:rPr>
        <w:br/>
      </w:r>
      <w:r w:rsidRPr="009E358A">
        <w:rPr>
          <w:rStyle w:val="a3"/>
          <w:rFonts w:ascii="Arial" w:hAnsi="Arial" w:cs="Arial"/>
          <w:sz w:val="22"/>
          <w:szCs w:val="22"/>
        </w:rPr>
        <w:t>Reviewers' comments:</w:t>
      </w:r>
      <w:r w:rsidRPr="009E358A">
        <w:rPr>
          <w:rFonts w:ascii="Arial" w:hAnsi="Arial" w:cs="Arial"/>
          <w:sz w:val="22"/>
          <w:szCs w:val="22"/>
        </w:rPr>
        <w:br/>
      </w:r>
      <w:r w:rsidRPr="009E358A">
        <w:rPr>
          <w:rFonts w:ascii="Arial" w:hAnsi="Arial" w:cs="Arial"/>
          <w:b/>
          <w:bCs/>
          <w:sz w:val="22"/>
          <w:szCs w:val="22"/>
        </w:rPr>
        <w:t>Reviewer #1:</w:t>
      </w:r>
      <w:r w:rsidRPr="009E358A">
        <w:rPr>
          <w:rFonts w:ascii="Arial" w:hAnsi="Arial" w:cs="Arial"/>
          <w:sz w:val="22"/>
          <w:szCs w:val="22"/>
        </w:rPr>
        <w:br/>
      </w:r>
      <w:r w:rsidRPr="009E358A">
        <w:rPr>
          <w:rFonts w:ascii="Arial" w:hAnsi="Arial" w:cs="Arial"/>
          <w:b/>
          <w:bCs/>
          <w:sz w:val="22"/>
          <w:szCs w:val="22"/>
        </w:rPr>
        <w:t>JoVE60608</w:t>
      </w:r>
      <w:r w:rsidRPr="009E358A">
        <w:rPr>
          <w:rFonts w:ascii="Arial" w:hAnsi="Arial" w:cs="Arial"/>
          <w:b/>
          <w:bCs/>
          <w:sz w:val="22"/>
          <w:szCs w:val="22"/>
        </w:rPr>
        <w:br/>
        <w:t>Summary:</w:t>
      </w:r>
      <w:r w:rsidRPr="009E358A">
        <w:rPr>
          <w:rFonts w:ascii="Arial" w:hAnsi="Arial" w:cs="Arial"/>
          <w:b/>
          <w:bCs/>
          <w:sz w:val="22"/>
          <w:szCs w:val="22"/>
        </w:rPr>
        <w:br/>
        <w:t>In this manuscript the authors describe a simple method to identify immune related adverse events after anti-PD-1 therapy. This assay identifies the binding of PD-1 antibody to T cells and can performed using peripheral blood and as simple as glucose test. This assay is advantageous than measuring antibody concentrations as once can visualize the binding of the antibody to T cells and also can further measure other immune-related markers using flow cytometry. Overall this manuscript is a very interesting and timely. However, the following comments need to be addressed to improve the overall quality of the manuscript.</w:t>
      </w:r>
      <w:r w:rsidRPr="009E358A">
        <w:rPr>
          <w:rFonts w:ascii="Arial" w:hAnsi="Arial" w:cs="Arial"/>
          <w:b/>
          <w:bCs/>
          <w:sz w:val="22"/>
          <w:szCs w:val="22"/>
        </w:rPr>
        <w:br/>
      </w:r>
      <w:r w:rsidRPr="009E358A">
        <w:rPr>
          <w:rFonts w:ascii="Arial" w:hAnsi="Arial" w:cs="Arial"/>
          <w:b/>
          <w:bCs/>
          <w:sz w:val="22"/>
          <w:szCs w:val="22"/>
        </w:rPr>
        <w:br/>
        <w:t>Specific comments:</w:t>
      </w:r>
      <w:r w:rsidRPr="009E358A">
        <w:rPr>
          <w:rFonts w:ascii="Arial" w:hAnsi="Arial" w:cs="Arial"/>
          <w:b/>
          <w:bCs/>
          <w:sz w:val="22"/>
          <w:szCs w:val="22"/>
        </w:rPr>
        <w:br/>
        <w:t>1. A Lancet and lancet device for blood collection would be simpler than using a needle. 100-200 ul of blood can be obtained using a lancet.</w:t>
      </w:r>
    </w:p>
    <w:p w14:paraId="719EC89E" w14:textId="77777777" w:rsidR="00AE21A4" w:rsidRPr="009E358A" w:rsidRDefault="00AE21A4" w:rsidP="00AE21A4">
      <w:pPr>
        <w:pStyle w:val="Web"/>
        <w:spacing w:line="360" w:lineRule="auto"/>
        <w:contextualSpacing/>
        <w:jc w:val="both"/>
        <w:rPr>
          <w:rFonts w:ascii="Arial" w:hAnsi="Arial" w:cs="Arial"/>
          <w:b/>
          <w:bCs/>
          <w:sz w:val="22"/>
          <w:szCs w:val="22"/>
        </w:rPr>
      </w:pPr>
    </w:p>
    <w:p w14:paraId="2A8DC1D5" w14:textId="3B4AB5DB" w:rsidR="00C14289" w:rsidRPr="009E358A" w:rsidRDefault="00C14289" w:rsidP="00AE21A4">
      <w:pPr>
        <w:pStyle w:val="Web"/>
        <w:spacing w:line="360" w:lineRule="auto"/>
        <w:contextualSpacing/>
        <w:jc w:val="both"/>
        <w:rPr>
          <w:rFonts w:ascii="Arial" w:hAnsi="Arial" w:cs="Arial"/>
          <w:b/>
          <w:bCs/>
          <w:sz w:val="22"/>
          <w:szCs w:val="22"/>
        </w:rPr>
      </w:pPr>
      <w:r w:rsidRPr="009E358A">
        <w:rPr>
          <w:rStyle w:val="s1"/>
          <w:rFonts w:ascii="Arial" w:hAnsi="Arial" w:cs="Arial"/>
          <w:sz w:val="22"/>
        </w:rPr>
        <w:t xml:space="preserve">We appreciate this helpful comment. We replaced </w:t>
      </w:r>
      <w:r w:rsidR="00A93A16" w:rsidRPr="009E358A">
        <w:rPr>
          <w:rStyle w:val="s1"/>
          <w:rFonts w:ascii="Arial" w:hAnsi="Arial" w:cs="Arial"/>
          <w:sz w:val="22"/>
        </w:rPr>
        <w:t xml:space="preserve">the </w:t>
      </w:r>
      <w:r w:rsidRPr="009E358A">
        <w:rPr>
          <w:rStyle w:val="s1"/>
          <w:rFonts w:ascii="Arial" w:hAnsi="Arial" w:cs="Arial"/>
          <w:sz w:val="22"/>
        </w:rPr>
        <w:t xml:space="preserve">glucose test needle </w:t>
      </w:r>
      <w:r w:rsidR="00A93A16" w:rsidRPr="009E358A">
        <w:rPr>
          <w:rStyle w:val="s1"/>
          <w:rFonts w:ascii="Arial" w:hAnsi="Arial" w:cs="Arial"/>
          <w:sz w:val="22"/>
        </w:rPr>
        <w:t xml:space="preserve">with </w:t>
      </w:r>
      <w:r w:rsidRPr="009E358A">
        <w:rPr>
          <w:rStyle w:val="s1"/>
          <w:rFonts w:ascii="Arial" w:hAnsi="Arial" w:cs="Arial"/>
          <w:sz w:val="22"/>
        </w:rPr>
        <w:t>a blood lancet.</w:t>
      </w:r>
    </w:p>
    <w:p w14:paraId="5B8C0BC6" w14:textId="21705D5A" w:rsidR="00C14289"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lastRenderedPageBreak/>
        <w:br/>
        <w:t>2. Why does the authors perform FCR blocking prior to the RBC lysis?</w:t>
      </w:r>
    </w:p>
    <w:p w14:paraId="0E587F37" w14:textId="77777777" w:rsidR="00AE21A4" w:rsidRPr="009E358A" w:rsidRDefault="00AE21A4" w:rsidP="00AE21A4">
      <w:pPr>
        <w:pStyle w:val="Web"/>
        <w:spacing w:line="360" w:lineRule="auto"/>
        <w:contextualSpacing/>
        <w:jc w:val="both"/>
        <w:rPr>
          <w:rStyle w:val="s1"/>
          <w:rFonts w:ascii="Arial" w:hAnsi="Arial" w:cs="Arial"/>
          <w:sz w:val="22"/>
          <w:szCs w:val="22"/>
        </w:rPr>
      </w:pPr>
    </w:p>
    <w:p w14:paraId="00C4B8F2" w14:textId="1AD98CDB" w:rsidR="0021443A" w:rsidRPr="009E358A" w:rsidRDefault="00A93A16" w:rsidP="00AE21A4">
      <w:pPr>
        <w:pStyle w:val="Web"/>
        <w:spacing w:line="360" w:lineRule="auto"/>
        <w:contextualSpacing/>
        <w:jc w:val="both"/>
        <w:rPr>
          <w:rFonts w:ascii="Arial" w:hAnsi="Arial" w:cs="Arial"/>
          <w:sz w:val="22"/>
          <w:szCs w:val="22"/>
        </w:rPr>
      </w:pPr>
      <w:r w:rsidRPr="009E358A">
        <w:rPr>
          <w:rStyle w:val="s1"/>
          <w:rFonts w:ascii="Arial" w:hAnsi="Arial" w:cs="Arial"/>
          <w:sz w:val="22"/>
          <w:szCs w:val="22"/>
        </w:rPr>
        <w:t>Thank you</w:t>
      </w:r>
      <w:r w:rsidR="00C14289" w:rsidRPr="009E358A">
        <w:rPr>
          <w:rStyle w:val="s1"/>
          <w:rFonts w:ascii="Arial" w:hAnsi="Arial" w:cs="Arial"/>
          <w:sz w:val="22"/>
          <w:szCs w:val="22"/>
        </w:rPr>
        <w:t xml:space="preserve"> for this helpful comment. </w:t>
      </w:r>
      <w:r w:rsidR="008021A2" w:rsidRPr="009E358A">
        <w:rPr>
          <w:rStyle w:val="s1"/>
          <w:rFonts w:ascii="Arial" w:hAnsi="Arial" w:cs="Arial"/>
          <w:sz w:val="22"/>
          <w:szCs w:val="22"/>
        </w:rPr>
        <w:t>W</w:t>
      </w:r>
      <w:r w:rsidR="00C14289" w:rsidRPr="009E358A">
        <w:rPr>
          <w:rStyle w:val="s1"/>
          <w:rFonts w:ascii="Arial" w:hAnsi="Arial" w:cs="Arial"/>
          <w:sz w:val="22"/>
          <w:szCs w:val="22"/>
        </w:rPr>
        <w:t xml:space="preserve">e used </w:t>
      </w:r>
      <w:r w:rsidR="00C14289" w:rsidRPr="009E358A">
        <w:rPr>
          <w:rFonts w:ascii="Arial" w:hAnsi="Arial" w:cs="Arial"/>
          <w:sz w:val="22"/>
          <w:szCs w:val="22"/>
        </w:rPr>
        <w:t xml:space="preserve">eBioscience </w:t>
      </w:r>
      <w:r w:rsidR="008021A2" w:rsidRPr="009E358A">
        <w:rPr>
          <w:rFonts w:ascii="Arial" w:hAnsi="Arial" w:cs="Arial"/>
          <w:sz w:val="22"/>
          <w:szCs w:val="22"/>
        </w:rPr>
        <w:t>10X</w:t>
      </w:r>
      <w:r w:rsidR="00C14289" w:rsidRPr="009E358A">
        <w:rPr>
          <w:rFonts w:ascii="Arial" w:hAnsi="Arial" w:cs="Arial"/>
          <w:sz w:val="22"/>
          <w:szCs w:val="22"/>
        </w:rPr>
        <w:t>RBC Lysis Buffer (</w:t>
      </w:r>
      <w:r w:rsidR="008021A2" w:rsidRPr="009E358A">
        <w:rPr>
          <w:rFonts w:ascii="Arial" w:hAnsi="Arial" w:cs="Arial"/>
          <w:sz w:val="22"/>
          <w:szCs w:val="22"/>
        </w:rPr>
        <w:t>Catalog Number:</w:t>
      </w:r>
      <w:r w:rsidR="00CD7281" w:rsidRPr="009E358A">
        <w:rPr>
          <w:rFonts w:ascii="Arial" w:hAnsi="Arial" w:cs="Arial"/>
          <w:sz w:val="22"/>
          <w:szCs w:val="22"/>
        </w:rPr>
        <w:t xml:space="preserve"> </w:t>
      </w:r>
      <w:r w:rsidR="008021A2" w:rsidRPr="009E358A">
        <w:rPr>
          <w:rFonts w:ascii="Arial" w:hAnsi="Arial" w:cs="Arial"/>
          <w:sz w:val="22"/>
          <w:szCs w:val="22"/>
        </w:rPr>
        <w:t>00-4300</w:t>
      </w:r>
      <w:r w:rsidR="00C14289" w:rsidRPr="009E358A">
        <w:rPr>
          <w:rFonts w:ascii="Arial" w:hAnsi="Arial" w:cs="Arial"/>
          <w:sz w:val="22"/>
          <w:szCs w:val="22"/>
        </w:rPr>
        <w:t>)</w:t>
      </w:r>
      <w:r w:rsidR="008021A2" w:rsidRPr="009E358A">
        <w:rPr>
          <w:rFonts w:ascii="Arial" w:hAnsi="Arial" w:cs="Arial"/>
          <w:sz w:val="22"/>
          <w:szCs w:val="22"/>
        </w:rPr>
        <w:t>. According to manufacturer</w:t>
      </w:r>
      <w:r w:rsidRPr="009E358A">
        <w:rPr>
          <w:rFonts w:ascii="Arial" w:hAnsi="Arial" w:cs="Arial"/>
          <w:sz w:val="22"/>
          <w:szCs w:val="22"/>
        </w:rPr>
        <w:t>’</w:t>
      </w:r>
      <w:r w:rsidR="008021A2" w:rsidRPr="009E358A">
        <w:rPr>
          <w:rFonts w:ascii="Arial" w:hAnsi="Arial" w:cs="Arial"/>
          <w:sz w:val="22"/>
          <w:szCs w:val="22"/>
        </w:rPr>
        <w:t xml:space="preserve">s protocol, we originally performed Fc blocking and cell surface marker staining before RBC lysis. However, </w:t>
      </w:r>
      <w:r w:rsidR="00B22020" w:rsidRPr="009E358A">
        <w:rPr>
          <w:rFonts w:ascii="Arial" w:hAnsi="Arial" w:cs="Arial"/>
          <w:sz w:val="22"/>
          <w:szCs w:val="22"/>
        </w:rPr>
        <w:t>we found that this RBC lysis</w:t>
      </w:r>
      <w:r w:rsidR="003D43AE" w:rsidRPr="009E358A">
        <w:rPr>
          <w:rFonts w:ascii="Arial" w:hAnsi="Arial" w:cs="Arial"/>
          <w:sz w:val="22"/>
          <w:szCs w:val="22"/>
        </w:rPr>
        <w:t xml:space="preserve"> step</w:t>
      </w:r>
      <w:r w:rsidR="00B22020" w:rsidRPr="009E358A">
        <w:rPr>
          <w:rFonts w:ascii="Arial" w:hAnsi="Arial" w:cs="Arial"/>
          <w:sz w:val="22"/>
          <w:szCs w:val="22"/>
        </w:rPr>
        <w:t xml:space="preserve"> quench</w:t>
      </w:r>
      <w:r w:rsidRPr="009E358A">
        <w:rPr>
          <w:rFonts w:ascii="Arial" w:hAnsi="Arial" w:cs="Arial"/>
          <w:sz w:val="22"/>
          <w:szCs w:val="22"/>
        </w:rPr>
        <w:t>ed</w:t>
      </w:r>
      <w:r w:rsidR="00B22020" w:rsidRPr="009E358A">
        <w:rPr>
          <w:rFonts w:ascii="Arial" w:hAnsi="Arial" w:cs="Arial"/>
          <w:sz w:val="22"/>
          <w:szCs w:val="22"/>
        </w:rPr>
        <w:t xml:space="preserve"> </w:t>
      </w:r>
      <w:r w:rsidR="008021A2" w:rsidRPr="009E358A">
        <w:rPr>
          <w:rFonts w:ascii="Arial" w:hAnsi="Arial" w:cs="Arial"/>
          <w:sz w:val="22"/>
          <w:szCs w:val="22"/>
        </w:rPr>
        <w:t>PE</w:t>
      </w:r>
      <w:r w:rsidRPr="009E358A">
        <w:rPr>
          <w:rFonts w:ascii="Arial" w:hAnsi="Arial" w:cs="Arial"/>
          <w:sz w:val="22"/>
          <w:szCs w:val="22"/>
        </w:rPr>
        <w:t>-</w:t>
      </w:r>
      <w:r w:rsidR="008021A2" w:rsidRPr="009E358A">
        <w:rPr>
          <w:rFonts w:ascii="Arial" w:hAnsi="Arial" w:cs="Arial"/>
          <w:sz w:val="22"/>
          <w:szCs w:val="22"/>
        </w:rPr>
        <w:t>conjugated</w:t>
      </w:r>
      <w:r w:rsidRPr="009E358A">
        <w:rPr>
          <w:rFonts w:ascii="Arial" w:hAnsi="Arial" w:cs="Arial"/>
          <w:sz w:val="22"/>
          <w:szCs w:val="22"/>
        </w:rPr>
        <w:t xml:space="preserve"> </w:t>
      </w:r>
      <w:r w:rsidR="008021A2" w:rsidRPr="009E358A">
        <w:rPr>
          <w:rFonts w:ascii="Arial" w:hAnsi="Arial" w:cs="Arial"/>
          <w:sz w:val="22"/>
          <w:szCs w:val="22"/>
        </w:rPr>
        <w:t>anti</w:t>
      </w:r>
      <w:r w:rsidRPr="009E358A">
        <w:rPr>
          <w:rFonts w:ascii="Arial" w:hAnsi="Arial" w:cs="Arial"/>
          <w:sz w:val="22"/>
          <w:szCs w:val="22"/>
        </w:rPr>
        <w:t>-</w:t>
      </w:r>
      <w:r w:rsidR="008021A2" w:rsidRPr="009E358A">
        <w:rPr>
          <w:rFonts w:ascii="Arial" w:hAnsi="Arial" w:cs="Arial"/>
          <w:sz w:val="22"/>
          <w:szCs w:val="22"/>
        </w:rPr>
        <w:t>IgG4 antibody HP6025 from Abcam (ab99825)</w:t>
      </w:r>
      <w:r w:rsidR="00B22020" w:rsidRPr="009E358A">
        <w:rPr>
          <w:rFonts w:ascii="Arial" w:hAnsi="Arial" w:cs="Arial"/>
          <w:sz w:val="22"/>
          <w:szCs w:val="22"/>
        </w:rPr>
        <w:t>. Therefore, we perform</w:t>
      </w:r>
      <w:r w:rsidRPr="009E358A">
        <w:rPr>
          <w:rFonts w:ascii="Arial" w:hAnsi="Arial" w:cs="Arial"/>
          <w:sz w:val="22"/>
          <w:szCs w:val="22"/>
        </w:rPr>
        <w:t>ed</w:t>
      </w:r>
      <w:r w:rsidR="00B22020" w:rsidRPr="009E358A">
        <w:rPr>
          <w:rFonts w:ascii="Arial" w:hAnsi="Arial" w:cs="Arial"/>
          <w:sz w:val="22"/>
          <w:szCs w:val="22"/>
        </w:rPr>
        <w:t xml:space="preserve"> Fc blocking before RBC lysis</w:t>
      </w:r>
      <w:r w:rsidRPr="009E358A">
        <w:rPr>
          <w:rFonts w:ascii="Arial" w:hAnsi="Arial" w:cs="Arial"/>
          <w:sz w:val="22"/>
          <w:szCs w:val="22"/>
        </w:rPr>
        <w:t>,</w:t>
      </w:r>
      <w:r w:rsidR="00B22020" w:rsidRPr="009E358A">
        <w:rPr>
          <w:rFonts w:ascii="Arial" w:hAnsi="Arial" w:cs="Arial"/>
          <w:sz w:val="22"/>
          <w:szCs w:val="22"/>
        </w:rPr>
        <w:t xml:space="preserve"> and surface staining after RBC lysis. We describe this in</w:t>
      </w:r>
      <w:r w:rsidRPr="009E358A">
        <w:rPr>
          <w:rFonts w:ascii="Arial" w:hAnsi="Arial" w:cs="Arial"/>
          <w:sz w:val="22"/>
          <w:szCs w:val="22"/>
        </w:rPr>
        <w:t xml:space="preserve"> the</w:t>
      </w:r>
      <w:r w:rsidR="00B22020" w:rsidRPr="009E358A">
        <w:rPr>
          <w:rFonts w:ascii="Arial" w:hAnsi="Arial" w:cs="Arial"/>
          <w:sz w:val="22"/>
          <w:szCs w:val="22"/>
        </w:rPr>
        <w:t xml:space="preserve"> discussion </w:t>
      </w:r>
      <w:r w:rsidRPr="009E358A">
        <w:rPr>
          <w:rFonts w:ascii="Arial" w:hAnsi="Arial" w:cs="Arial"/>
          <w:sz w:val="22"/>
          <w:szCs w:val="22"/>
        </w:rPr>
        <w:t>section</w:t>
      </w:r>
      <w:r w:rsidR="00B22020" w:rsidRPr="009E358A">
        <w:rPr>
          <w:rFonts w:ascii="Arial" w:hAnsi="Arial" w:cs="Arial"/>
          <w:sz w:val="22"/>
          <w:szCs w:val="22"/>
        </w:rPr>
        <w:t xml:space="preserve">. </w:t>
      </w:r>
    </w:p>
    <w:p w14:paraId="3C78F37A" w14:textId="77777777" w:rsidR="00B22020" w:rsidRPr="009E358A" w:rsidRDefault="00B22020" w:rsidP="00AE21A4">
      <w:pPr>
        <w:pStyle w:val="Web"/>
        <w:spacing w:line="360" w:lineRule="auto"/>
        <w:contextualSpacing/>
        <w:jc w:val="both"/>
        <w:rPr>
          <w:rFonts w:ascii="Arial" w:hAnsi="Arial" w:cs="Arial"/>
          <w:sz w:val="22"/>
          <w:szCs w:val="22"/>
        </w:rPr>
      </w:pPr>
    </w:p>
    <w:p w14:paraId="65C4B4EF" w14:textId="07C36C7C" w:rsidR="00AE21A4"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t>3. The authors need to cite a study or perform experiments to confirm that therapeutic PD-1 antibodies block the EH12.1 PD-1 antibody binding</w:t>
      </w:r>
    </w:p>
    <w:p w14:paraId="3576EF64" w14:textId="1D030789" w:rsidR="0021443A"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br/>
      </w:r>
      <w:r w:rsidR="00B22020" w:rsidRPr="009E358A">
        <w:rPr>
          <w:rStyle w:val="s1"/>
          <w:rFonts w:ascii="Arial" w:hAnsi="Arial" w:cs="Arial"/>
          <w:sz w:val="22"/>
          <w:szCs w:val="22"/>
        </w:rPr>
        <w:t xml:space="preserve">We cited “Zelba H et al </w:t>
      </w:r>
      <w:hyperlink r:id="rId6" w:tooltip="Cancer immunology, immunotherapy : CII." w:history="1">
        <w:r w:rsidR="00B22020" w:rsidRPr="009E358A">
          <w:rPr>
            <w:rFonts w:ascii="Arial" w:hAnsi="Arial" w:cs="Arial"/>
            <w:sz w:val="22"/>
            <w:szCs w:val="22"/>
            <w:lang w:val="en"/>
          </w:rPr>
          <w:t>Cancer Immunol Immunother.</w:t>
        </w:r>
      </w:hyperlink>
      <w:r w:rsidR="00B22020" w:rsidRPr="009E358A">
        <w:rPr>
          <w:rFonts w:ascii="Arial" w:hAnsi="Arial" w:cs="Arial"/>
          <w:sz w:val="22"/>
          <w:szCs w:val="22"/>
          <w:lang w:val="en"/>
        </w:rPr>
        <w:t xml:space="preserve"> 2018 Dec;67(12):1845-1851”</w:t>
      </w:r>
      <w:r w:rsidR="00B22020" w:rsidRPr="009E358A">
        <w:rPr>
          <w:rStyle w:val="s1"/>
          <w:rFonts w:ascii="Arial" w:hAnsi="Arial" w:cs="Arial"/>
          <w:sz w:val="22"/>
          <w:szCs w:val="22"/>
        </w:rPr>
        <w:t xml:space="preserve"> as reference 1</w:t>
      </w:r>
      <w:r w:rsidR="009B439C" w:rsidRPr="009E358A">
        <w:rPr>
          <w:rStyle w:val="s1"/>
          <w:rFonts w:ascii="Arial" w:hAnsi="Arial" w:cs="Arial"/>
          <w:sz w:val="22"/>
          <w:szCs w:val="22"/>
        </w:rPr>
        <w:t>1</w:t>
      </w:r>
      <w:r w:rsidR="00B22020" w:rsidRPr="009E358A">
        <w:rPr>
          <w:rStyle w:val="s1"/>
          <w:rFonts w:ascii="Arial" w:hAnsi="Arial" w:cs="Arial"/>
          <w:sz w:val="22"/>
          <w:szCs w:val="22"/>
        </w:rPr>
        <w:t xml:space="preserve">. </w:t>
      </w:r>
    </w:p>
    <w:p w14:paraId="30330382" w14:textId="77777777" w:rsidR="0021443A" w:rsidRPr="009E358A" w:rsidRDefault="0021443A" w:rsidP="00AE21A4">
      <w:pPr>
        <w:pStyle w:val="Web"/>
        <w:spacing w:line="360" w:lineRule="auto"/>
        <w:contextualSpacing/>
        <w:jc w:val="both"/>
        <w:rPr>
          <w:rFonts w:ascii="Arial" w:hAnsi="Arial" w:cs="Arial"/>
          <w:b/>
          <w:bCs/>
          <w:sz w:val="22"/>
          <w:szCs w:val="22"/>
        </w:rPr>
      </w:pPr>
    </w:p>
    <w:p w14:paraId="268FA5F1" w14:textId="79F70CAF" w:rsidR="00AE21A4"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t>4. The authors need to describe adequately that the they are measuring anti-PD-1 antibody binding based on no binding of PD-1 antibody. While this is acceptable, this is indirect way.</w:t>
      </w:r>
    </w:p>
    <w:p w14:paraId="6037D15A" w14:textId="012A813F" w:rsidR="0021443A" w:rsidRPr="000F3AF3" w:rsidRDefault="00085E31" w:rsidP="00AE21A4">
      <w:pPr>
        <w:pStyle w:val="Web"/>
        <w:spacing w:line="360" w:lineRule="auto"/>
        <w:contextualSpacing/>
        <w:jc w:val="both"/>
        <w:rPr>
          <w:rFonts w:ascii="Arial" w:hAnsi="Arial" w:cs="Arial"/>
          <w:sz w:val="22"/>
          <w:szCs w:val="22"/>
        </w:rPr>
      </w:pPr>
      <w:r w:rsidRPr="000F3AF3">
        <w:rPr>
          <w:rFonts w:ascii="Arial" w:hAnsi="Arial" w:cs="Arial"/>
          <w:bCs/>
          <w:sz w:val="22"/>
          <w:szCs w:val="22"/>
        </w:rPr>
        <w:br/>
      </w:r>
      <w:r w:rsidR="00AE21A4" w:rsidRPr="009E358A">
        <w:rPr>
          <w:rStyle w:val="s1"/>
          <w:rFonts w:ascii="Arial" w:hAnsi="Arial" w:cs="Arial"/>
          <w:sz w:val="22"/>
          <w:szCs w:val="22"/>
        </w:rPr>
        <w:t>We appreciate this helpful co</w:t>
      </w:r>
      <w:r w:rsidR="00AE21A4" w:rsidRPr="001655CB">
        <w:rPr>
          <w:rStyle w:val="s1"/>
          <w:rFonts w:ascii="Arial" w:hAnsi="Arial" w:cs="Arial"/>
          <w:sz w:val="22"/>
          <w:szCs w:val="22"/>
        </w:rPr>
        <w:t xml:space="preserve">mment. </w:t>
      </w:r>
      <w:r w:rsidR="009B439C" w:rsidRPr="001655CB">
        <w:rPr>
          <w:rFonts w:ascii="Arial" w:hAnsi="Arial" w:cs="Arial"/>
          <w:sz w:val="22"/>
          <w:szCs w:val="22"/>
        </w:rPr>
        <w:t xml:space="preserve">We added the </w:t>
      </w:r>
      <w:r w:rsidR="00A93A16" w:rsidRPr="001655CB">
        <w:rPr>
          <w:rFonts w:ascii="Arial" w:hAnsi="Arial" w:cs="Arial"/>
          <w:sz w:val="22"/>
          <w:szCs w:val="22"/>
        </w:rPr>
        <w:t xml:space="preserve">following </w:t>
      </w:r>
      <w:r w:rsidR="009B439C" w:rsidRPr="001655CB">
        <w:rPr>
          <w:rFonts w:ascii="Arial" w:hAnsi="Arial" w:cs="Arial"/>
          <w:sz w:val="22"/>
          <w:szCs w:val="22"/>
        </w:rPr>
        <w:t xml:space="preserve">sentence </w:t>
      </w:r>
      <w:r w:rsidR="00A93A16" w:rsidRPr="001655CB">
        <w:rPr>
          <w:rFonts w:ascii="Arial" w:hAnsi="Arial" w:cs="Arial"/>
          <w:sz w:val="22"/>
          <w:szCs w:val="22"/>
        </w:rPr>
        <w:t>to the</w:t>
      </w:r>
      <w:r w:rsidR="009B439C" w:rsidRPr="001655CB">
        <w:rPr>
          <w:rFonts w:ascii="Arial" w:hAnsi="Arial" w:cs="Arial"/>
          <w:sz w:val="22"/>
          <w:szCs w:val="22"/>
        </w:rPr>
        <w:t xml:space="preserve"> representative results section</w:t>
      </w:r>
      <w:r w:rsidR="00A93A16" w:rsidRPr="001655CB">
        <w:rPr>
          <w:rFonts w:ascii="Arial" w:hAnsi="Arial" w:cs="Arial"/>
          <w:sz w:val="22"/>
          <w:szCs w:val="22"/>
        </w:rPr>
        <w:t>:</w:t>
      </w:r>
      <w:r w:rsidR="009B439C" w:rsidRPr="001655CB">
        <w:rPr>
          <w:rFonts w:ascii="Arial" w:hAnsi="Arial" w:cs="Arial"/>
          <w:sz w:val="22"/>
          <w:szCs w:val="22"/>
        </w:rPr>
        <w:t xml:space="preserve"> “</w:t>
      </w:r>
      <w:r w:rsidR="008F1CF4" w:rsidRPr="000F3AF3">
        <w:rPr>
          <w:rFonts w:ascii="Arial" w:hAnsi="Arial" w:cs="Arial"/>
          <w:sz w:val="22"/>
          <w:szCs w:val="22"/>
        </w:rPr>
        <w:t>This means that we are indirectly measuring the therapeutic binding of PD-1–blocking antibody based on the lack of binding of PD-1–detecting antibody.</w:t>
      </w:r>
      <w:r w:rsidR="009B439C" w:rsidRPr="00CE0701">
        <w:rPr>
          <w:rFonts w:ascii="Arial" w:hAnsi="Arial" w:cs="Arial"/>
          <w:sz w:val="22"/>
          <w:szCs w:val="22"/>
        </w:rPr>
        <w:t>”</w:t>
      </w:r>
    </w:p>
    <w:p w14:paraId="0E418D34" w14:textId="77777777" w:rsidR="0021443A" w:rsidRPr="009E358A" w:rsidRDefault="0021443A" w:rsidP="00AE21A4">
      <w:pPr>
        <w:pStyle w:val="Web"/>
        <w:spacing w:line="360" w:lineRule="auto"/>
        <w:contextualSpacing/>
        <w:jc w:val="both"/>
        <w:rPr>
          <w:rFonts w:ascii="Arial" w:hAnsi="Arial" w:cs="Arial"/>
          <w:b/>
          <w:bCs/>
          <w:sz w:val="22"/>
          <w:szCs w:val="22"/>
        </w:rPr>
      </w:pPr>
    </w:p>
    <w:p w14:paraId="0BF38DB5" w14:textId="647B7336" w:rsidR="00AE21A4"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t>5. Does this method work with all annti-PD-1 antibodies in the market.</w:t>
      </w:r>
    </w:p>
    <w:p w14:paraId="4580E671" w14:textId="7290E96F" w:rsidR="0021443A"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br/>
      </w:r>
      <w:r w:rsidR="00B22020" w:rsidRPr="009E358A">
        <w:rPr>
          <w:rStyle w:val="s1"/>
          <w:rFonts w:ascii="Arial" w:hAnsi="Arial" w:cs="Arial"/>
          <w:sz w:val="22"/>
          <w:szCs w:val="22"/>
        </w:rPr>
        <w:t xml:space="preserve">We appreciate this helpful comment. We confirmed </w:t>
      </w:r>
      <w:r w:rsidR="00A93A16" w:rsidRPr="009E358A">
        <w:rPr>
          <w:rStyle w:val="s1"/>
          <w:rFonts w:ascii="Arial" w:hAnsi="Arial" w:cs="Arial"/>
          <w:sz w:val="22"/>
          <w:szCs w:val="22"/>
        </w:rPr>
        <w:t xml:space="preserve">that </w:t>
      </w:r>
      <w:r w:rsidR="0033755E" w:rsidRPr="009E358A">
        <w:rPr>
          <w:rFonts w:ascii="Arial" w:hAnsi="Arial" w:cs="Arial"/>
          <w:sz w:val="22"/>
          <w:szCs w:val="22"/>
        </w:rPr>
        <w:t xml:space="preserve">PD-1 on T cells showed competitive binding with </w:t>
      </w:r>
      <w:r w:rsidR="00B22020" w:rsidRPr="009E358A">
        <w:rPr>
          <w:rFonts w:ascii="Arial" w:hAnsi="Arial" w:cs="Arial"/>
          <w:sz w:val="22"/>
          <w:szCs w:val="22"/>
        </w:rPr>
        <w:t xml:space="preserve">EH12.1 </w:t>
      </w:r>
      <w:r w:rsidR="0033755E" w:rsidRPr="009E358A">
        <w:rPr>
          <w:rFonts w:ascii="Arial" w:hAnsi="Arial" w:cs="Arial"/>
          <w:sz w:val="22"/>
          <w:szCs w:val="22"/>
        </w:rPr>
        <w:t>and both</w:t>
      </w:r>
      <w:r w:rsidR="005667F8" w:rsidRPr="009E358A">
        <w:rPr>
          <w:rFonts w:ascii="Arial" w:hAnsi="Arial" w:cs="Arial"/>
          <w:sz w:val="22"/>
          <w:szCs w:val="22"/>
        </w:rPr>
        <w:t xml:space="preserve"> nivolumab and pembrolizumab, </w:t>
      </w:r>
      <w:r w:rsidR="0033755E" w:rsidRPr="009E358A">
        <w:rPr>
          <w:rFonts w:ascii="Arial" w:hAnsi="Arial" w:cs="Arial"/>
          <w:sz w:val="22"/>
          <w:szCs w:val="22"/>
        </w:rPr>
        <w:t xml:space="preserve">the latter of </w:t>
      </w:r>
      <w:r w:rsidR="005667F8" w:rsidRPr="009E358A">
        <w:rPr>
          <w:rFonts w:ascii="Arial" w:hAnsi="Arial" w:cs="Arial"/>
          <w:sz w:val="22"/>
          <w:szCs w:val="22"/>
        </w:rPr>
        <w:t xml:space="preserve">which are clinically available for lung cancer patients in Japan. Another study </w:t>
      </w:r>
      <w:r w:rsidR="00AE21A4" w:rsidRPr="009E358A">
        <w:rPr>
          <w:rFonts w:ascii="Arial" w:hAnsi="Arial" w:cs="Arial"/>
          <w:sz w:val="22"/>
          <w:szCs w:val="22"/>
        </w:rPr>
        <w:t>(</w:t>
      </w:r>
      <w:r w:rsidR="005667F8" w:rsidRPr="009E358A">
        <w:rPr>
          <w:rFonts w:ascii="Arial" w:hAnsi="Arial" w:cs="Arial"/>
          <w:sz w:val="22"/>
          <w:szCs w:val="22"/>
        </w:rPr>
        <w:t>reference 1</w:t>
      </w:r>
      <w:r w:rsidR="009B439C" w:rsidRPr="009E358A">
        <w:rPr>
          <w:rFonts w:ascii="Arial" w:hAnsi="Arial" w:cs="Arial"/>
          <w:sz w:val="22"/>
          <w:szCs w:val="22"/>
        </w:rPr>
        <w:t>1</w:t>
      </w:r>
      <w:r w:rsidR="00AE21A4" w:rsidRPr="009E358A">
        <w:rPr>
          <w:rFonts w:ascii="Arial" w:hAnsi="Arial" w:cs="Arial"/>
          <w:sz w:val="22"/>
          <w:szCs w:val="22"/>
        </w:rPr>
        <w:t>)</w:t>
      </w:r>
      <w:r w:rsidR="005667F8" w:rsidRPr="009E358A">
        <w:rPr>
          <w:rFonts w:ascii="Arial" w:hAnsi="Arial" w:cs="Arial"/>
          <w:sz w:val="22"/>
          <w:szCs w:val="22"/>
        </w:rPr>
        <w:t xml:space="preserve"> demonstrate</w:t>
      </w:r>
      <w:r w:rsidR="0033755E" w:rsidRPr="009E358A">
        <w:rPr>
          <w:rFonts w:ascii="Arial" w:hAnsi="Arial" w:cs="Arial"/>
          <w:sz w:val="22"/>
          <w:szCs w:val="22"/>
        </w:rPr>
        <w:t>d</w:t>
      </w:r>
      <w:r w:rsidR="005667F8" w:rsidRPr="009E358A">
        <w:rPr>
          <w:rFonts w:ascii="Arial" w:hAnsi="Arial" w:cs="Arial"/>
          <w:sz w:val="22"/>
          <w:szCs w:val="22"/>
        </w:rPr>
        <w:t xml:space="preserve"> that other commercially available PD-1</w:t>
      </w:r>
      <w:r w:rsidR="0033755E" w:rsidRPr="009E358A">
        <w:rPr>
          <w:rFonts w:ascii="Arial" w:hAnsi="Arial" w:cs="Arial"/>
          <w:sz w:val="22"/>
          <w:szCs w:val="22"/>
        </w:rPr>
        <w:t>–</w:t>
      </w:r>
      <w:r w:rsidR="005667F8" w:rsidRPr="009E358A">
        <w:rPr>
          <w:rFonts w:ascii="Arial" w:hAnsi="Arial" w:cs="Arial"/>
          <w:sz w:val="22"/>
          <w:szCs w:val="22"/>
        </w:rPr>
        <w:t xml:space="preserve">detecting antibodies also </w:t>
      </w:r>
      <w:r w:rsidR="0033755E" w:rsidRPr="009E358A">
        <w:rPr>
          <w:rFonts w:ascii="Arial" w:hAnsi="Arial" w:cs="Arial"/>
          <w:sz w:val="22"/>
          <w:szCs w:val="22"/>
        </w:rPr>
        <w:t xml:space="preserve">bind PD-1 </w:t>
      </w:r>
      <w:r w:rsidR="005667F8" w:rsidRPr="009E358A">
        <w:rPr>
          <w:rFonts w:ascii="Arial" w:hAnsi="Arial" w:cs="Arial"/>
          <w:sz w:val="22"/>
          <w:szCs w:val="22"/>
        </w:rPr>
        <w:t xml:space="preserve">competitively with nivolumab and pembrolizumab. </w:t>
      </w:r>
    </w:p>
    <w:p w14:paraId="36AD7AC2" w14:textId="77777777" w:rsidR="0021443A" w:rsidRPr="009E358A" w:rsidRDefault="0021443A" w:rsidP="00AE21A4">
      <w:pPr>
        <w:pStyle w:val="Web"/>
        <w:spacing w:line="360" w:lineRule="auto"/>
        <w:contextualSpacing/>
        <w:jc w:val="both"/>
        <w:rPr>
          <w:rFonts w:ascii="Arial" w:hAnsi="Arial" w:cs="Arial"/>
          <w:b/>
          <w:bCs/>
          <w:sz w:val="22"/>
          <w:szCs w:val="22"/>
        </w:rPr>
      </w:pPr>
    </w:p>
    <w:p w14:paraId="2303AE49" w14:textId="0A9C946D" w:rsidR="00AE21A4"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t>6. The authors need to cite studies which describe multicolor flowcytometry in detail (Bommareddy PK et al J Biol Methods. 2019;6(2)</w:t>
      </w:r>
    </w:p>
    <w:p w14:paraId="3ACD6DA6" w14:textId="370369E8" w:rsidR="0021443A"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br/>
      </w:r>
      <w:r w:rsidR="0089194F" w:rsidRPr="009E358A">
        <w:rPr>
          <w:rStyle w:val="s1"/>
          <w:rFonts w:ascii="Arial" w:hAnsi="Arial" w:cs="Arial"/>
          <w:sz w:val="22"/>
          <w:szCs w:val="22"/>
        </w:rPr>
        <w:t>We cited “</w:t>
      </w:r>
      <w:r w:rsidR="0089194F" w:rsidRPr="009E358A">
        <w:rPr>
          <w:rFonts w:ascii="Arial" w:hAnsi="Arial" w:cs="Arial"/>
          <w:sz w:val="22"/>
          <w:szCs w:val="22"/>
        </w:rPr>
        <w:t>Bommareddy PK et al J Biol Methods. 2019;6(2)”</w:t>
      </w:r>
      <w:r w:rsidR="00AE21A4" w:rsidRPr="009E358A">
        <w:rPr>
          <w:rFonts w:ascii="Arial" w:hAnsi="Arial" w:cs="Arial"/>
          <w:sz w:val="22"/>
          <w:szCs w:val="22"/>
        </w:rPr>
        <w:t xml:space="preserve"> in </w:t>
      </w:r>
      <w:r w:rsidR="00A93A16" w:rsidRPr="009E358A">
        <w:rPr>
          <w:rFonts w:ascii="Arial" w:hAnsi="Arial" w:cs="Arial"/>
          <w:sz w:val="22"/>
          <w:szCs w:val="22"/>
        </w:rPr>
        <w:t xml:space="preserve">the </w:t>
      </w:r>
      <w:r w:rsidR="00AE21A4" w:rsidRPr="009E358A">
        <w:rPr>
          <w:rFonts w:ascii="Arial" w:hAnsi="Arial" w:cs="Arial"/>
          <w:sz w:val="22"/>
          <w:szCs w:val="22"/>
        </w:rPr>
        <w:t>protocol section</w:t>
      </w:r>
      <w:r w:rsidR="003D43AE" w:rsidRPr="009E358A">
        <w:rPr>
          <w:rFonts w:ascii="Arial" w:hAnsi="Arial" w:cs="Arial"/>
          <w:sz w:val="22"/>
          <w:szCs w:val="22"/>
        </w:rPr>
        <w:t xml:space="preserve"> as reference 9</w:t>
      </w:r>
      <w:r w:rsidR="0089194F" w:rsidRPr="009E358A">
        <w:rPr>
          <w:rFonts w:ascii="Arial" w:hAnsi="Arial" w:cs="Arial"/>
          <w:sz w:val="22"/>
          <w:szCs w:val="22"/>
        </w:rPr>
        <w:t>.</w:t>
      </w:r>
      <w:r w:rsidRPr="009E358A">
        <w:rPr>
          <w:rFonts w:ascii="Arial" w:hAnsi="Arial" w:cs="Arial"/>
          <w:b/>
          <w:bCs/>
          <w:sz w:val="22"/>
          <w:szCs w:val="22"/>
        </w:rPr>
        <w:br/>
      </w:r>
    </w:p>
    <w:p w14:paraId="3DCB096F" w14:textId="1FA9AED1" w:rsidR="00AE21A4"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t>Overall the manuscript is well written and interesting, these comments need to be addressed to improve the quality of the manuscript.</w:t>
      </w:r>
      <w:r w:rsidRPr="009E358A">
        <w:rPr>
          <w:rFonts w:ascii="Arial" w:hAnsi="Arial" w:cs="Arial"/>
          <w:b/>
          <w:bCs/>
          <w:sz w:val="22"/>
          <w:szCs w:val="22"/>
        </w:rPr>
        <w:br/>
      </w:r>
      <w:r w:rsidRPr="009E358A">
        <w:rPr>
          <w:rFonts w:ascii="Arial" w:hAnsi="Arial" w:cs="Arial"/>
          <w:b/>
          <w:bCs/>
          <w:sz w:val="22"/>
          <w:szCs w:val="22"/>
        </w:rPr>
        <w:br/>
      </w:r>
      <w:r w:rsidRPr="009E358A">
        <w:rPr>
          <w:rFonts w:ascii="Arial" w:hAnsi="Arial" w:cs="Arial"/>
          <w:b/>
          <w:bCs/>
          <w:sz w:val="22"/>
          <w:szCs w:val="22"/>
        </w:rPr>
        <w:br/>
        <w:t xml:space="preserve">Reviewer #2: </w:t>
      </w:r>
      <w:r w:rsidRPr="009E358A">
        <w:rPr>
          <w:rFonts w:ascii="Arial" w:hAnsi="Arial" w:cs="Arial"/>
          <w:b/>
          <w:bCs/>
          <w:sz w:val="22"/>
          <w:szCs w:val="22"/>
        </w:rPr>
        <w:br/>
        <w:t>Manuscript Summary:</w:t>
      </w:r>
      <w:r w:rsidRPr="009E358A">
        <w:rPr>
          <w:rFonts w:ascii="Arial" w:hAnsi="Arial" w:cs="Arial"/>
          <w:b/>
          <w:bCs/>
          <w:sz w:val="22"/>
          <w:szCs w:val="22"/>
        </w:rPr>
        <w:br/>
        <w:t xml:space="preserve">Immune checkpoint inhibitors, including PD-1 blocking antibodies, are now widely used as immunotheraputics for multiple types of cancer because they have been show to be highly effective at improving outcomes. Blocking the PD-1 pathway </w:t>
      </w:r>
      <w:r w:rsidRPr="009E358A">
        <w:rPr>
          <w:rFonts w:ascii="Arial" w:hAnsi="Arial" w:cs="Arial"/>
          <w:b/>
          <w:bCs/>
          <w:sz w:val="22"/>
          <w:szCs w:val="22"/>
        </w:rPr>
        <w:lastRenderedPageBreak/>
        <w:t>has been shown to increase the function and killing capacity of tumor specific T cells leading to enhanced clearance of cancer cells. However, the use of checkpoint inhibitors, including anti PD-1, are also associated with immune related adverse events and it has been shown that T cells bound to PD-1 blocking antibodies play an important role in the onset of these immune-related adverse events so determining the level of PD-1 on cell after blocking antibodies are given is potentially a way to facilitate the early diagnosis of irAEs and help determine the appropriate dosing of of anti PD-1 antibodies. This manuscript details a method to assess the level of anti PD-1 on T cell in the blood. It was designed as a screening test to determine the level of anti PD-1 binding in subject receiving PD-1 blocking antibodies as part of immunotherapy for various types of cancer in hopes that it will help predict irAEs. A rapid assay like this could be useful in may clinical setting.</w:t>
      </w:r>
      <w:r w:rsidRPr="009E358A">
        <w:rPr>
          <w:rFonts w:ascii="Arial" w:hAnsi="Arial" w:cs="Arial"/>
          <w:b/>
          <w:bCs/>
          <w:sz w:val="22"/>
          <w:szCs w:val="22"/>
        </w:rPr>
        <w:br/>
      </w:r>
      <w:r w:rsidRPr="009E358A">
        <w:rPr>
          <w:rFonts w:ascii="Arial" w:hAnsi="Arial" w:cs="Arial"/>
          <w:b/>
          <w:bCs/>
          <w:sz w:val="22"/>
          <w:szCs w:val="22"/>
        </w:rPr>
        <w:br/>
        <w:t>Major Concerns:</w:t>
      </w:r>
      <w:r w:rsidRPr="009E358A">
        <w:rPr>
          <w:rFonts w:ascii="Arial" w:hAnsi="Arial" w:cs="Arial"/>
          <w:b/>
          <w:bCs/>
          <w:sz w:val="22"/>
          <w:szCs w:val="22"/>
        </w:rPr>
        <w:br/>
        <w:t>Why use only 20 uls of blood? Is this representative and are the numbers of T cell analyzed sufficient to accurately determine the level of PD-1 binding. Using more blood would potentially make the assay more rigorous. Conversely shown data that larger volumes of blood provide the same information that 20uls does would be helpful. Only 10,000 events are collected which is fairly low for a flow cytometry-based assay.</w:t>
      </w:r>
    </w:p>
    <w:p w14:paraId="54A241C6" w14:textId="3A2AC07D" w:rsidR="00A234D6" w:rsidRPr="009E358A" w:rsidRDefault="00085E31" w:rsidP="00AE21A4">
      <w:pPr>
        <w:pStyle w:val="Web"/>
        <w:spacing w:line="360" w:lineRule="auto"/>
        <w:contextualSpacing/>
        <w:jc w:val="both"/>
        <w:rPr>
          <w:rStyle w:val="s1"/>
          <w:rFonts w:ascii="Arial" w:hAnsi="Arial" w:cs="Arial"/>
          <w:sz w:val="22"/>
          <w:szCs w:val="22"/>
        </w:rPr>
      </w:pPr>
      <w:r w:rsidRPr="009E358A">
        <w:rPr>
          <w:rFonts w:ascii="Arial" w:hAnsi="Arial" w:cs="Arial"/>
          <w:b/>
          <w:bCs/>
          <w:sz w:val="22"/>
          <w:szCs w:val="22"/>
        </w:rPr>
        <w:br/>
      </w:r>
      <w:r w:rsidR="00970F0B" w:rsidRPr="009E358A">
        <w:rPr>
          <w:rStyle w:val="s1"/>
          <w:rFonts w:ascii="Arial" w:hAnsi="Arial" w:cs="Arial"/>
          <w:sz w:val="22"/>
          <w:szCs w:val="22"/>
        </w:rPr>
        <w:t>We appreciate this very helpful comment. It is true that larger volume</w:t>
      </w:r>
      <w:r w:rsidR="0033755E" w:rsidRPr="009E358A">
        <w:rPr>
          <w:rStyle w:val="s1"/>
          <w:rFonts w:ascii="Arial" w:hAnsi="Arial" w:cs="Arial"/>
          <w:sz w:val="22"/>
          <w:szCs w:val="22"/>
        </w:rPr>
        <w:t>s</w:t>
      </w:r>
      <w:r w:rsidR="00970F0B" w:rsidRPr="009E358A">
        <w:rPr>
          <w:rStyle w:val="s1"/>
          <w:rFonts w:ascii="Arial" w:hAnsi="Arial" w:cs="Arial"/>
          <w:sz w:val="22"/>
          <w:szCs w:val="22"/>
        </w:rPr>
        <w:t xml:space="preserve"> and cell count</w:t>
      </w:r>
      <w:r w:rsidR="0033755E" w:rsidRPr="009E358A">
        <w:rPr>
          <w:rStyle w:val="s1"/>
          <w:rFonts w:ascii="Arial" w:hAnsi="Arial" w:cs="Arial"/>
          <w:sz w:val="22"/>
          <w:szCs w:val="22"/>
        </w:rPr>
        <w:t>s</w:t>
      </w:r>
      <w:r w:rsidR="00970F0B" w:rsidRPr="009E358A">
        <w:rPr>
          <w:rStyle w:val="s1"/>
          <w:rFonts w:ascii="Arial" w:hAnsi="Arial" w:cs="Arial"/>
          <w:sz w:val="22"/>
          <w:szCs w:val="22"/>
        </w:rPr>
        <w:t xml:space="preserve"> </w:t>
      </w:r>
      <w:r w:rsidR="0033755E" w:rsidRPr="009E358A">
        <w:rPr>
          <w:rStyle w:val="s1"/>
          <w:rFonts w:ascii="Arial" w:hAnsi="Arial" w:cs="Arial"/>
          <w:sz w:val="22"/>
          <w:szCs w:val="22"/>
        </w:rPr>
        <w:t xml:space="preserve">can </w:t>
      </w:r>
      <w:r w:rsidR="00970F0B" w:rsidRPr="009E358A">
        <w:rPr>
          <w:rFonts w:ascii="Arial" w:hAnsi="Arial" w:cs="Arial"/>
          <w:sz w:val="22"/>
          <w:szCs w:val="22"/>
        </w:rPr>
        <w:t>potentially make the assay more rigorous.</w:t>
      </w:r>
      <w:r w:rsidR="00970F0B" w:rsidRPr="009E358A">
        <w:rPr>
          <w:rStyle w:val="s1"/>
          <w:rFonts w:ascii="Arial" w:hAnsi="Arial" w:cs="Arial"/>
          <w:sz w:val="22"/>
          <w:szCs w:val="22"/>
        </w:rPr>
        <w:t xml:space="preserve"> </w:t>
      </w:r>
      <w:proofErr w:type="gramStart"/>
      <w:r w:rsidR="00A234D6" w:rsidRPr="009E358A">
        <w:rPr>
          <w:rStyle w:val="s1"/>
          <w:rFonts w:ascii="Arial" w:hAnsi="Arial" w:cs="Arial"/>
          <w:sz w:val="22"/>
          <w:szCs w:val="22"/>
        </w:rPr>
        <w:t>Originally</w:t>
      </w:r>
      <w:proofErr w:type="gramEnd"/>
      <w:r w:rsidR="00A234D6" w:rsidRPr="009E358A">
        <w:rPr>
          <w:rStyle w:val="s1"/>
          <w:rFonts w:ascii="Arial" w:hAnsi="Arial" w:cs="Arial"/>
          <w:sz w:val="22"/>
          <w:szCs w:val="22"/>
        </w:rPr>
        <w:t xml:space="preserve"> we evaluate</w:t>
      </w:r>
      <w:r w:rsidR="0033755E" w:rsidRPr="009E358A">
        <w:rPr>
          <w:rStyle w:val="s1"/>
          <w:rFonts w:ascii="Arial" w:hAnsi="Arial" w:cs="Arial"/>
          <w:sz w:val="22"/>
          <w:szCs w:val="22"/>
        </w:rPr>
        <w:t>d</w:t>
      </w:r>
      <w:r w:rsidR="00A234D6" w:rsidRPr="009E358A">
        <w:rPr>
          <w:rStyle w:val="s1"/>
          <w:rFonts w:ascii="Arial" w:hAnsi="Arial" w:cs="Arial"/>
          <w:sz w:val="22"/>
          <w:szCs w:val="22"/>
        </w:rPr>
        <w:t xml:space="preserve"> 100</w:t>
      </w:r>
      <w:r w:rsidR="00575B37">
        <w:rPr>
          <w:rStyle w:val="s1"/>
          <w:rFonts w:ascii="Arial" w:hAnsi="Arial" w:cs="Arial"/>
          <w:sz w:val="22"/>
          <w:szCs w:val="22"/>
        </w:rPr>
        <w:t xml:space="preserve"> </w:t>
      </w:r>
      <w:r w:rsidR="00362B86" w:rsidRPr="009E358A">
        <w:rPr>
          <w:rStyle w:val="s1"/>
          <w:rFonts w:ascii="Arial" w:hAnsi="Arial" w:cs="Arial"/>
          <w:sz w:val="22"/>
          <w:szCs w:val="22"/>
        </w:rPr>
        <w:t>µL</w:t>
      </w:r>
      <w:r w:rsidR="00A234D6" w:rsidRPr="009E358A">
        <w:rPr>
          <w:rStyle w:val="s1"/>
          <w:rFonts w:ascii="Arial" w:hAnsi="Arial" w:cs="Arial"/>
          <w:sz w:val="22"/>
          <w:szCs w:val="22"/>
        </w:rPr>
        <w:t xml:space="preserve"> blood </w:t>
      </w:r>
      <w:r w:rsidR="00A234D6" w:rsidRPr="009E358A">
        <w:rPr>
          <w:rStyle w:val="s1"/>
          <w:rFonts w:ascii="Arial" w:hAnsi="Arial" w:cs="Arial"/>
          <w:sz w:val="22"/>
          <w:szCs w:val="22"/>
        </w:rPr>
        <w:lastRenderedPageBreak/>
        <w:t>sample</w:t>
      </w:r>
      <w:r w:rsidR="0033755E" w:rsidRPr="009E358A">
        <w:rPr>
          <w:rStyle w:val="s1"/>
          <w:rFonts w:ascii="Arial" w:hAnsi="Arial" w:cs="Arial"/>
          <w:sz w:val="22"/>
          <w:szCs w:val="22"/>
        </w:rPr>
        <w:t>s</w:t>
      </w:r>
      <w:r w:rsidR="00A234D6" w:rsidRPr="009E358A">
        <w:rPr>
          <w:rStyle w:val="s1"/>
          <w:rFonts w:ascii="Arial" w:hAnsi="Arial" w:cs="Arial"/>
          <w:sz w:val="22"/>
          <w:szCs w:val="22"/>
        </w:rPr>
        <w:t xml:space="preserve"> according to the protocol of </w:t>
      </w:r>
      <w:r w:rsidR="00A234D6" w:rsidRPr="009E358A">
        <w:rPr>
          <w:rFonts w:ascii="Arial" w:hAnsi="Arial" w:cs="Arial"/>
          <w:sz w:val="22"/>
          <w:szCs w:val="22"/>
        </w:rPr>
        <w:t>eBioscience 10XRBC Lysis Buffer (Catalog Number:</w:t>
      </w:r>
      <w:r w:rsidR="00CD7281" w:rsidRPr="009E358A">
        <w:rPr>
          <w:rFonts w:ascii="Arial" w:hAnsi="Arial" w:cs="Arial"/>
          <w:sz w:val="22"/>
          <w:szCs w:val="22"/>
        </w:rPr>
        <w:t xml:space="preserve"> </w:t>
      </w:r>
      <w:r w:rsidR="00A234D6" w:rsidRPr="009E358A">
        <w:rPr>
          <w:rFonts w:ascii="Arial" w:hAnsi="Arial" w:cs="Arial"/>
          <w:sz w:val="22"/>
          <w:szCs w:val="22"/>
        </w:rPr>
        <w:t>00-4300).</w:t>
      </w:r>
      <w:r w:rsidR="00A234D6" w:rsidRPr="009E358A">
        <w:rPr>
          <w:rStyle w:val="s1"/>
          <w:rFonts w:ascii="Arial" w:hAnsi="Arial" w:cs="Arial"/>
          <w:sz w:val="22"/>
          <w:szCs w:val="22"/>
        </w:rPr>
        <w:t xml:space="preserve"> </w:t>
      </w:r>
      <w:r w:rsidR="0044660F" w:rsidRPr="009E358A">
        <w:rPr>
          <w:rStyle w:val="s1"/>
          <w:rFonts w:ascii="Arial" w:hAnsi="Arial" w:cs="Arial"/>
          <w:sz w:val="22"/>
          <w:szCs w:val="22"/>
        </w:rPr>
        <w:t>However,</w:t>
      </w:r>
      <w:r w:rsidR="0033755E" w:rsidRPr="009E358A">
        <w:rPr>
          <w:rStyle w:val="s1"/>
          <w:rFonts w:ascii="Arial" w:hAnsi="Arial" w:cs="Arial"/>
          <w:sz w:val="22"/>
          <w:szCs w:val="22"/>
        </w:rPr>
        <w:t xml:space="preserve"> </w:t>
      </w:r>
      <w:r w:rsidR="0044660F" w:rsidRPr="009E358A">
        <w:rPr>
          <w:rStyle w:val="s1"/>
          <w:rFonts w:ascii="Arial" w:hAnsi="Arial" w:cs="Arial"/>
          <w:sz w:val="22"/>
          <w:szCs w:val="22"/>
        </w:rPr>
        <w:t>titration assay</w:t>
      </w:r>
      <w:r w:rsidR="0033755E" w:rsidRPr="009E358A">
        <w:rPr>
          <w:rStyle w:val="s1"/>
          <w:rFonts w:ascii="Arial" w:hAnsi="Arial" w:cs="Arial"/>
          <w:sz w:val="22"/>
          <w:szCs w:val="22"/>
        </w:rPr>
        <w:t>s</w:t>
      </w:r>
      <w:r w:rsidR="00A234D6" w:rsidRPr="009E358A">
        <w:rPr>
          <w:rStyle w:val="s1"/>
          <w:rFonts w:ascii="Arial" w:hAnsi="Arial" w:cs="Arial"/>
          <w:sz w:val="22"/>
          <w:szCs w:val="22"/>
        </w:rPr>
        <w:t xml:space="preserve"> confirmed </w:t>
      </w:r>
      <w:r w:rsidR="0033755E" w:rsidRPr="009E358A">
        <w:rPr>
          <w:rStyle w:val="s1"/>
          <w:rFonts w:ascii="Arial" w:hAnsi="Arial" w:cs="Arial"/>
          <w:sz w:val="22"/>
          <w:szCs w:val="22"/>
        </w:rPr>
        <w:t xml:space="preserve">that </w:t>
      </w:r>
      <w:r w:rsidR="00A234D6" w:rsidRPr="009E358A">
        <w:rPr>
          <w:rStyle w:val="s1"/>
          <w:rFonts w:ascii="Arial" w:hAnsi="Arial" w:cs="Arial"/>
          <w:sz w:val="22"/>
          <w:szCs w:val="22"/>
        </w:rPr>
        <w:t xml:space="preserve">the frequency of antibody binding was </w:t>
      </w:r>
      <w:r w:rsidR="0033755E" w:rsidRPr="009E358A">
        <w:rPr>
          <w:rStyle w:val="s1"/>
          <w:rFonts w:ascii="Arial" w:hAnsi="Arial" w:cs="Arial"/>
          <w:sz w:val="22"/>
          <w:szCs w:val="22"/>
        </w:rPr>
        <w:t>no different between</w:t>
      </w:r>
      <w:r w:rsidR="0044660F" w:rsidRPr="009E358A">
        <w:rPr>
          <w:rStyle w:val="s1"/>
          <w:rFonts w:ascii="Arial" w:hAnsi="Arial" w:cs="Arial"/>
          <w:sz w:val="22"/>
          <w:szCs w:val="22"/>
        </w:rPr>
        <w:t xml:space="preserve"> </w:t>
      </w:r>
      <w:r w:rsidR="00A234D6" w:rsidRPr="009E358A">
        <w:rPr>
          <w:rStyle w:val="s1"/>
          <w:rFonts w:ascii="Arial" w:hAnsi="Arial" w:cs="Arial"/>
          <w:sz w:val="22"/>
          <w:szCs w:val="22"/>
        </w:rPr>
        <w:t>2</w:t>
      </w:r>
      <w:r w:rsidR="0044660F" w:rsidRPr="009E358A">
        <w:rPr>
          <w:rStyle w:val="s1"/>
          <w:rFonts w:ascii="Arial" w:hAnsi="Arial" w:cs="Arial"/>
          <w:sz w:val="22"/>
          <w:szCs w:val="22"/>
        </w:rPr>
        <w:t>0 µ</w:t>
      </w:r>
      <w:r w:rsidR="003D783E" w:rsidRPr="009E358A">
        <w:rPr>
          <w:rStyle w:val="s1"/>
          <w:rFonts w:ascii="Arial" w:hAnsi="Arial" w:cs="Arial"/>
          <w:sz w:val="22"/>
          <w:szCs w:val="22"/>
        </w:rPr>
        <w:t>L</w:t>
      </w:r>
      <w:r w:rsidR="0044660F" w:rsidRPr="009E358A">
        <w:rPr>
          <w:rStyle w:val="s1"/>
          <w:rFonts w:ascii="Arial" w:hAnsi="Arial" w:cs="Arial"/>
          <w:sz w:val="22"/>
          <w:szCs w:val="22"/>
        </w:rPr>
        <w:t xml:space="preserve"> </w:t>
      </w:r>
      <w:r w:rsidR="0033755E" w:rsidRPr="009E358A">
        <w:rPr>
          <w:rStyle w:val="s1"/>
          <w:rFonts w:ascii="Arial" w:hAnsi="Arial" w:cs="Arial"/>
          <w:sz w:val="22"/>
          <w:szCs w:val="22"/>
        </w:rPr>
        <w:t xml:space="preserve">and </w:t>
      </w:r>
      <w:r w:rsidR="00A234D6" w:rsidRPr="009E358A">
        <w:rPr>
          <w:rStyle w:val="s1"/>
          <w:rFonts w:ascii="Arial" w:hAnsi="Arial" w:cs="Arial"/>
          <w:sz w:val="22"/>
          <w:szCs w:val="22"/>
        </w:rPr>
        <w:t>10</w:t>
      </w:r>
      <w:r w:rsidR="0044660F" w:rsidRPr="009E358A">
        <w:rPr>
          <w:rStyle w:val="s1"/>
          <w:rFonts w:ascii="Arial" w:hAnsi="Arial" w:cs="Arial"/>
          <w:sz w:val="22"/>
          <w:szCs w:val="22"/>
        </w:rPr>
        <w:t>0 µ</w:t>
      </w:r>
      <w:r w:rsidR="003D783E" w:rsidRPr="009E358A">
        <w:rPr>
          <w:rStyle w:val="s1"/>
          <w:rFonts w:ascii="Arial" w:hAnsi="Arial" w:cs="Arial"/>
          <w:sz w:val="22"/>
          <w:szCs w:val="22"/>
        </w:rPr>
        <w:t>L</w:t>
      </w:r>
      <w:r w:rsidR="0044660F" w:rsidRPr="009E358A">
        <w:rPr>
          <w:rStyle w:val="s1"/>
          <w:rFonts w:ascii="Arial" w:hAnsi="Arial" w:cs="Arial"/>
          <w:sz w:val="22"/>
          <w:szCs w:val="22"/>
        </w:rPr>
        <w:t xml:space="preserve">. We also focused on </w:t>
      </w:r>
      <w:r w:rsidR="00AE21A4" w:rsidRPr="009E358A">
        <w:rPr>
          <w:rStyle w:val="s1"/>
          <w:rFonts w:ascii="Arial" w:hAnsi="Arial" w:cs="Arial"/>
          <w:sz w:val="22"/>
          <w:szCs w:val="22"/>
        </w:rPr>
        <w:t xml:space="preserve">reasonable </w:t>
      </w:r>
      <w:r w:rsidR="0033755E" w:rsidRPr="009E358A">
        <w:rPr>
          <w:rStyle w:val="s1"/>
          <w:rFonts w:ascii="Arial" w:hAnsi="Arial" w:cs="Arial"/>
          <w:sz w:val="22"/>
          <w:szCs w:val="22"/>
        </w:rPr>
        <w:t xml:space="preserve">antibody </w:t>
      </w:r>
      <w:r w:rsidR="0044660F" w:rsidRPr="009E358A">
        <w:rPr>
          <w:rStyle w:val="s1"/>
          <w:rFonts w:ascii="Arial" w:hAnsi="Arial" w:cs="Arial"/>
          <w:sz w:val="22"/>
          <w:szCs w:val="22"/>
        </w:rPr>
        <w:t>volume</w:t>
      </w:r>
      <w:r w:rsidR="00FB7183" w:rsidRPr="009E358A">
        <w:rPr>
          <w:rStyle w:val="s1"/>
          <w:rFonts w:ascii="Arial" w:hAnsi="Arial" w:cs="Arial"/>
          <w:sz w:val="22"/>
          <w:szCs w:val="22"/>
        </w:rPr>
        <w:t>s</w:t>
      </w:r>
      <w:r w:rsidR="0044660F" w:rsidRPr="009E358A">
        <w:rPr>
          <w:rStyle w:val="s1"/>
          <w:rFonts w:ascii="Arial" w:hAnsi="Arial" w:cs="Arial"/>
          <w:sz w:val="22"/>
          <w:szCs w:val="22"/>
        </w:rPr>
        <w:t xml:space="preserve"> and RBC lysis </w:t>
      </w:r>
      <w:r w:rsidR="00FB7183" w:rsidRPr="009E358A">
        <w:rPr>
          <w:rStyle w:val="s1"/>
          <w:rFonts w:ascii="Arial" w:hAnsi="Arial" w:cs="Arial"/>
          <w:sz w:val="22"/>
          <w:szCs w:val="22"/>
        </w:rPr>
        <w:t xml:space="preserve">efficiency </w:t>
      </w:r>
      <w:r w:rsidR="0044660F" w:rsidRPr="009E358A">
        <w:rPr>
          <w:rStyle w:val="s1"/>
          <w:rFonts w:ascii="Arial" w:hAnsi="Arial" w:cs="Arial"/>
          <w:sz w:val="22"/>
          <w:szCs w:val="22"/>
        </w:rPr>
        <w:t xml:space="preserve">to simplify the assay </w:t>
      </w:r>
      <w:r w:rsidR="0033755E" w:rsidRPr="009E358A">
        <w:rPr>
          <w:rStyle w:val="s1"/>
          <w:rFonts w:ascii="Arial" w:hAnsi="Arial" w:cs="Arial"/>
          <w:sz w:val="22"/>
          <w:szCs w:val="22"/>
        </w:rPr>
        <w:t xml:space="preserve">while still retaining </w:t>
      </w:r>
      <w:r w:rsidR="00FB7183" w:rsidRPr="009E358A">
        <w:rPr>
          <w:rStyle w:val="s1"/>
          <w:rFonts w:ascii="Arial" w:hAnsi="Arial" w:cs="Arial"/>
          <w:sz w:val="22"/>
          <w:szCs w:val="22"/>
        </w:rPr>
        <w:t xml:space="preserve">good </w:t>
      </w:r>
      <w:r w:rsidR="0044660F" w:rsidRPr="009E358A">
        <w:rPr>
          <w:rStyle w:val="s1"/>
          <w:rFonts w:ascii="Arial" w:hAnsi="Arial" w:cs="Arial"/>
          <w:sz w:val="22"/>
          <w:szCs w:val="22"/>
        </w:rPr>
        <w:t xml:space="preserve">accuracy. </w:t>
      </w:r>
    </w:p>
    <w:p w14:paraId="713E987A" w14:textId="77777777" w:rsidR="00A234D6" w:rsidRPr="009E358A" w:rsidRDefault="00A234D6" w:rsidP="00AE21A4">
      <w:pPr>
        <w:pStyle w:val="Web"/>
        <w:spacing w:line="360" w:lineRule="auto"/>
        <w:contextualSpacing/>
        <w:jc w:val="both"/>
        <w:rPr>
          <w:rStyle w:val="s1"/>
          <w:rFonts w:ascii="Arial" w:hAnsi="Arial" w:cs="Arial"/>
          <w:sz w:val="22"/>
          <w:szCs w:val="22"/>
        </w:rPr>
      </w:pPr>
    </w:p>
    <w:p w14:paraId="353906DC" w14:textId="366B7954" w:rsidR="00E760EC" w:rsidRPr="009E358A" w:rsidRDefault="00332606" w:rsidP="00A234D6">
      <w:pPr>
        <w:pStyle w:val="Web"/>
        <w:spacing w:line="360" w:lineRule="auto"/>
        <w:contextualSpacing/>
        <w:jc w:val="center"/>
        <w:rPr>
          <w:rStyle w:val="s1"/>
          <w:rFonts w:ascii="Arial" w:hAnsi="Arial" w:cs="Arial"/>
          <w:sz w:val="22"/>
          <w:szCs w:val="22"/>
        </w:rPr>
      </w:pPr>
      <w:r w:rsidRPr="009E358A">
        <w:rPr>
          <w:rStyle w:val="s1"/>
          <w:rFonts w:ascii="Arial" w:hAnsi="Arial" w:cs="Arial"/>
          <w:noProof/>
          <w:sz w:val="22"/>
          <w:szCs w:val="22"/>
        </w:rPr>
        <w:drawing>
          <wp:inline distT="0" distB="0" distL="0" distR="0" wp14:anchorId="531796BF" wp14:editId="36E5ABEF">
            <wp:extent cx="4286000" cy="2520000"/>
            <wp:effectExtent l="0" t="0" r="63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000" cy="2520000"/>
                    </a:xfrm>
                    <a:prstGeom prst="rect">
                      <a:avLst/>
                    </a:prstGeom>
                    <a:noFill/>
                    <a:ln>
                      <a:noFill/>
                    </a:ln>
                  </pic:spPr>
                </pic:pic>
              </a:graphicData>
            </a:graphic>
          </wp:inline>
        </w:drawing>
      </w:r>
    </w:p>
    <w:p w14:paraId="66765FB5" w14:textId="77777777" w:rsidR="003C3B40" w:rsidRPr="009E358A" w:rsidRDefault="003C3B40" w:rsidP="00AE21A4">
      <w:pPr>
        <w:pStyle w:val="Web"/>
        <w:spacing w:line="360" w:lineRule="auto"/>
        <w:contextualSpacing/>
        <w:jc w:val="center"/>
        <w:rPr>
          <w:rStyle w:val="s1"/>
          <w:rFonts w:ascii="Arial" w:hAnsi="Arial" w:cs="Arial"/>
          <w:sz w:val="22"/>
          <w:szCs w:val="22"/>
        </w:rPr>
      </w:pPr>
    </w:p>
    <w:p w14:paraId="63666586" w14:textId="0775C634" w:rsidR="006C1AEA" w:rsidRPr="009E358A" w:rsidRDefault="00085E31" w:rsidP="00AE21A4">
      <w:pPr>
        <w:pStyle w:val="Web"/>
        <w:spacing w:line="360" w:lineRule="auto"/>
        <w:contextualSpacing/>
        <w:rPr>
          <w:rFonts w:ascii="Arial" w:hAnsi="Arial" w:cs="Arial"/>
          <w:b/>
          <w:bCs/>
          <w:sz w:val="22"/>
          <w:szCs w:val="22"/>
        </w:rPr>
      </w:pPr>
      <w:r w:rsidRPr="009E358A">
        <w:rPr>
          <w:rFonts w:ascii="Arial" w:hAnsi="Arial" w:cs="Arial"/>
          <w:b/>
          <w:bCs/>
          <w:sz w:val="22"/>
          <w:szCs w:val="22"/>
        </w:rPr>
        <w:t>How well does PD-1 binding in the blood reflect PD-1 of T cells in tissues. All the irAEs occur in tissues and thus it is the most important site to assay.</w:t>
      </w:r>
      <w:r w:rsidR="006C1AEA" w:rsidRPr="009E358A">
        <w:rPr>
          <w:rFonts w:ascii="Arial" w:hAnsi="Arial" w:cs="Arial"/>
          <w:b/>
          <w:bCs/>
          <w:sz w:val="22"/>
          <w:szCs w:val="22"/>
        </w:rPr>
        <w:t xml:space="preserve"> </w:t>
      </w:r>
    </w:p>
    <w:p w14:paraId="223967CB" w14:textId="77777777" w:rsidR="003C3B40" w:rsidRPr="009E358A" w:rsidRDefault="003C3B40" w:rsidP="00AE21A4">
      <w:pPr>
        <w:pStyle w:val="Web"/>
        <w:spacing w:line="360" w:lineRule="auto"/>
        <w:contextualSpacing/>
        <w:rPr>
          <w:rFonts w:ascii="Arial" w:hAnsi="Arial" w:cs="Arial"/>
          <w:b/>
          <w:bCs/>
          <w:sz w:val="22"/>
          <w:szCs w:val="22"/>
        </w:rPr>
      </w:pPr>
    </w:p>
    <w:p w14:paraId="59AC141D" w14:textId="441D1084" w:rsidR="006C1AEA" w:rsidRPr="009E358A" w:rsidRDefault="00FB7183" w:rsidP="00AE21A4">
      <w:pPr>
        <w:pStyle w:val="Web"/>
        <w:spacing w:line="360" w:lineRule="auto"/>
        <w:contextualSpacing/>
        <w:jc w:val="both"/>
        <w:rPr>
          <w:rStyle w:val="e24kjd"/>
          <w:rFonts w:ascii="Arial" w:hAnsi="Arial" w:cs="Arial"/>
          <w:sz w:val="21"/>
          <w:szCs w:val="21"/>
        </w:rPr>
      </w:pPr>
      <w:r w:rsidRPr="009E358A">
        <w:rPr>
          <w:rStyle w:val="s1"/>
          <w:rFonts w:ascii="Arial" w:hAnsi="Arial" w:cs="Arial"/>
          <w:sz w:val="22"/>
          <w:szCs w:val="22"/>
        </w:rPr>
        <w:t>Thank you</w:t>
      </w:r>
      <w:r w:rsidR="00BA6A30" w:rsidRPr="009E358A">
        <w:rPr>
          <w:rStyle w:val="s1"/>
          <w:rFonts w:ascii="Arial" w:hAnsi="Arial" w:cs="Arial"/>
          <w:sz w:val="22"/>
          <w:szCs w:val="22"/>
        </w:rPr>
        <w:t xml:space="preserve"> for</w:t>
      </w:r>
      <w:r w:rsidR="006C1AEA" w:rsidRPr="009E358A">
        <w:rPr>
          <w:rStyle w:val="s1"/>
          <w:rFonts w:ascii="Arial" w:hAnsi="Arial" w:cs="Arial"/>
          <w:sz w:val="22"/>
          <w:szCs w:val="22"/>
        </w:rPr>
        <w:t xml:space="preserve"> this comment. </w:t>
      </w:r>
      <w:r w:rsidRPr="009E358A">
        <w:rPr>
          <w:rStyle w:val="s1"/>
          <w:rFonts w:ascii="Arial" w:hAnsi="Arial" w:cs="Arial"/>
          <w:sz w:val="22"/>
          <w:szCs w:val="22"/>
        </w:rPr>
        <w:t xml:space="preserve">In cases of </w:t>
      </w:r>
      <w:proofErr w:type="spellStart"/>
      <w:r w:rsidRPr="009E358A">
        <w:rPr>
          <w:rStyle w:val="s1"/>
          <w:rFonts w:ascii="Arial" w:hAnsi="Arial" w:cs="Arial"/>
          <w:sz w:val="22"/>
          <w:szCs w:val="22"/>
        </w:rPr>
        <w:t>irAEs</w:t>
      </w:r>
      <w:proofErr w:type="spellEnd"/>
      <w:r w:rsidRPr="009E358A">
        <w:rPr>
          <w:rStyle w:val="s1"/>
          <w:rFonts w:ascii="Arial" w:hAnsi="Arial" w:cs="Arial"/>
          <w:sz w:val="22"/>
          <w:szCs w:val="22"/>
        </w:rPr>
        <w:t>, s</w:t>
      </w:r>
      <w:r w:rsidR="006C1AEA" w:rsidRPr="009E358A">
        <w:rPr>
          <w:rStyle w:val="s1"/>
          <w:rFonts w:ascii="Arial" w:hAnsi="Arial" w:cs="Arial"/>
          <w:sz w:val="22"/>
          <w:szCs w:val="22"/>
        </w:rPr>
        <w:t>pecific type</w:t>
      </w:r>
      <w:r w:rsidRPr="009E358A">
        <w:rPr>
          <w:rStyle w:val="s1"/>
          <w:rFonts w:ascii="Arial" w:hAnsi="Arial" w:cs="Arial"/>
          <w:sz w:val="22"/>
          <w:szCs w:val="22"/>
        </w:rPr>
        <w:t>s</w:t>
      </w:r>
      <w:r w:rsidR="006C1AEA" w:rsidRPr="009E358A">
        <w:rPr>
          <w:rStyle w:val="s1"/>
          <w:rFonts w:ascii="Arial" w:hAnsi="Arial" w:cs="Arial"/>
          <w:sz w:val="22"/>
          <w:szCs w:val="22"/>
        </w:rPr>
        <w:t xml:space="preserve"> of tissues can be collected</w:t>
      </w:r>
      <w:r w:rsidR="003C3B40" w:rsidRPr="009E358A">
        <w:rPr>
          <w:rStyle w:val="s1"/>
          <w:rFonts w:ascii="Arial" w:hAnsi="Arial" w:cs="Arial"/>
          <w:sz w:val="22"/>
          <w:szCs w:val="22"/>
        </w:rPr>
        <w:t xml:space="preserve"> if</w:t>
      </w:r>
      <w:r w:rsidR="006C1AEA" w:rsidRPr="009E358A">
        <w:rPr>
          <w:rStyle w:val="s1"/>
          <w:rFonts w:ascii="Arial" w:hAnsi="Arial" w:cs="Arial"/>
          <w:sz w:val="22"/>
          <w:szCs w:val="22"/>
        </w:rPr>
        <w:t xml:space="preserve"> biopsies </w:t>
      </w:r>
      <w:r w:rsidRPr="009E358A">
        <w:rPr>
          <w:rStyle w:val="s1"/>
          <w:rFonts w:ascii="Arial" w:hAnsi="Arial" w:cs="Arial"/>
          <w:sz w:val="22"/>
          <w:szCs w:val="22"/>
        </w:rPr>
        <w:t>can be performed</w:t>
      </w:r>
      <w:r w:rsidR="006C1AEA" w:rsidRPr="009E358A">
        <w:rPr>
          <w:rStyle w:val="s1"/>
          <w:rFonts w:ascii="Arial" w:hAnsi="Arial" w:cs="Arial"/>
          <w:sz w:val="22"/>
          <w:szCs w:val="22"/>
        </w:rPr>
        <w:t xml:space="preserve">. </w:t>
      </w:r>
      <w:r w:rsidR="003C3B40" w:rsidRPr="009E358A">
        <w:rPr>
          <w:rStyle w:val="s1"/>
          <w:rFonts w:ascii="Arial" w:hAnsi="Arial" w:cs="Arial"/>
          <w:sz w:val="22"/>
          <w:szCs w:val="22"/>
        </w:rPr>
        <w:t>Although we do not have data from isolated biopsy sample</w:t>
      </w:r>
      <w:r w:rsidRPr="009E358A">
        <w:rPr>
          <w:rStyle w:val="s1"/>
          <w:rFonts w:ascii="Arial" w:hAnsi="Arial" w:cs="Arial"/>
          <w:sz w:val="22"/>
          <w:szCs w:val="22"/>
        </w:rPr>
        <w:t>s</w:t>
      </w:r>
      <w:r w:rsidR="003C3B40" w:rsidRPr="009E358A">
        <w:rPr>
          <w:rStyle w:val="s1"/>
          <w:rFonts w:ascii="Arial" w:hAnsi="Arial" w:cs="Arial"/>
          <w:sz w:val="22"/>
          <w:szCs w:val="22"/>
        </w:rPr>
        <w:t>,</w:t>
      </w:r>
      <w:r w:rsidR="006C1AEA" w:rsidRPr="009E358A">
        <w:rPr>
          <w:rStyle w:val="s1"/>
          <w:rFonts w:ascii="Arial" w:hAnsi="Arial" w:cs="Arial"/>
          <w:sz w:val="22"/>
          <w:szCs w:val="22"/>
        </w:rPr>
        <w:t xml:space="preserve"> we were able to confirm antibody binding </w:t>
      </w:r>
      <w:r w:rsidRPr="009E358A">
        <w:rPr>
          <w:rStyle w:val="s1"/>
          <w:rFonts w:ascii="Arial" w:hAnsi="Arial" w:cs="Arial"/>
          <w:sz w:val="22"/>
          <w:szCs w:val="22"/>
        </w:rPr>
        <w:t xml:space="preserve">to </w:t>
      </w:r>
      <w:r w:rsidR="006C1AEA" w:rsidRPr="009E358A">
        <w:rPr>
          <w:rStyle w:val="s1"/>
          <w:rFonts w:ascii="Arial" w:hAnsi="Arial" w:cs="Arial"/>
          <w:sz w:val="22"/>
          <w:szCs w:val="22"/>
        </w:rPr>
        <w:t xml:space="preserve">T cells in </w:t>
      </w:r>
      <w:r w:rsidR="00C32733" w:rsidRPr="009E358A">
        <w:rPr>
          <w:rStyle w:val="st1"/>
          <w:rFonts w:ascii="Arial" w:hAnsi="Arial" w:cs="Arial"/>
          <w:sz w:val="21"/>
          <w:szCs w:val="21"/>
        </w:rPr>
        <w:t>b</w:t>
      </w:r>
      <w:r w:rsidR="006C1AEA" w:rsidRPr="009E358A">
        <w:rPr>
          <w:rStyle w:val="st1"/>
          <w:rFonts w:ascii="Arial" w:hAnsi="Arial" w:cs="Arial"/>
          <w:sz w:val="21"/>
          <w:szCs w:val="21"/>
        </w:rPr>
        <w:t xml:space="preserve">ronchoalveolar lavage and </w:t>
      </w:r>
      <w:r w:rsidR="006C1AEA" w:rsidRPr="009E358A">
        <w:rPr>
          <w:rStyle w:val="e24kjd"/>
          <w:rFonts w:ascii="Arial" w:hAnsi="Arial" w:cs="Arial"/>
          <w:sz w:val="21"/>
          <w:szCs w:val="21"/>
        </w:rPr>
        <w:t>cerebrospinal fluid</w:t>
      </w:r>
      <w:r w:rsidR="003C3B40" w:rsidRPr="009E358A">
        <w:rPr>
          <w:rStyle w:val="e24kjd"/>
          <w:rFonts w:ascii="Arial" w:hAnsi="Arial" w:cs="Arial"/>
          <w:sz w:val="21"/>
          <w:szCs w:val="21"/>
        </w:rPr>
        <w:t xml:space="preserve"> from patients who developed interstitial lung disease and aseptic meningitis</w:t>
      </w:r>
      <w:r w:rsidRPr="009E358A">
        <w:rPr>
          <w:rStyle w:val="e24kjd"/>
          <w:rFonts w:ascii="Arial" w:hAnsi="Arial" w:cs="Arial"/>
          <w:sz w:val="21"/>
          <w:szCs w:val="21"/>
        </w:rPr>
        <w:t>,</w:t>
      </w:r>
      <w:r w:rsidR="003C3B40" w:rsidRPr="009E358A">
        <w:rPr>
          <w:rStyle w:val="e24kjd"/>
          <w:rFonts w:ascii="Arial" w:hAnsi="Arial" w:cs="Arial"/>
          <w:sz w:val="21"/>
          <w:szCs w:val="21"/>
        </w:rPr>
        <w:t xml:space="preserve"> respectively (data shown below)</w:t>
      </w:r>
      <w:r w:rsidR="006C1AEA" w:rsidRPr="009E358A">
        <w:rPr>
          <w:rStyle w:val="e24kjd"/>
          <w:rFonts w:ascii="Arial" w:hAnsi="Arial" w:cs="Arial"/>
          <w:sz w:val="21"/>
          <w:szCs w:val="21"/>
        </w:rPr>
        <w:t xml:space="preserve">. </w:t>
      </w:r>
      <w:r w:rsidR="003C3B40" w:rsidRPr="009E358A">
        <w:rPr>
          <w:rStyle w:val="e24kjd"/>
          <w:rFonts w:ascii="Arial" w:hAnsi="Arial" w:cs="Arial"/>
          <w:sz w:val="21"/>
          <w:szCs w:val="21"/>
        </w:rPr>
        <w:t>Becaus</w:t>
      </w:r>
      <w:r w:rsidRPr="009E358A">
        <w:rPr>
          <w:rStyle w:val="e24kjd"/>
          <w:rFonts w:ascii="Arial" w:hAnsi="Arial" w:cs="Arial"/>
          <w:sz w:val="21"/>
          <w:szCs w:val="21"/>
        </w:rPr>
        <w:t>e it</w:t>
      </w:r>
      <w:r w:rsidR="003C3B40" w:rsidRPr="009E358A">
        <w:rPr>
          <w:rStyle w:val="e24kjd"/>
          <w:rFonts w:ascii="Arial" w:hAnsi="Arial" w:cs="Arial"/>
          <w:sz w:val="21"/>
          <w:szCs w:val="21"/>
        </w:rPr>
        <w:t xml:space="preserve"> is very important to explore</w:t>
      </w:r>
      <w:r w:rsidRPr="009E358A">
        <w:rPr>
          <w:rStyle w:val="e24kjd"/>
          <w:rFonts w:ascii="Arial" w:hAnsi="Arial" w:cs="Arial"/>
          <w:sz w:val="21"/>
          <w:szCs w:val="21"/>
        </w:rPr>
        <w:t xml:space="preserve"> this issue</w:t>
      </w:r>
      <w:r w:rsidR="003C3B40" w:rsidRPr="009E358A">
        <w:rPr>
          <w:rStyle w:val="e24kjd"/>
          <w:rFonts w:ascii="Arial" w:hAnsi="Arial" w:cs="Arial"/>
          <w:sz w:val="21"/>
          <w:szCs w:val="21"/>
        </w:rPr>
        <w:t>, f</w:t>
      </w:r>
      <w:r w:rsidR="006C1AEA" w:rsidRPr="009E358A">
        <w:rPr>
          <w:rStyle w:val="e24kjd"/>
          <w:rFonts w:ascii="Arial" w:hAnsi="Arial" w:cs="Arial"/>
          <w:sz w:val="21"/>
          <w:szCs w:val="21"/>
        </w:rPr>
        <w:t>uture experiment</w:t>
      </w:r>
      <w:r w:rsidRPr="009E358A">
        <w:rPr>
          <w:rStyle w:val="e24kjd"/>
          <w:rFonts w:ascii="Arial" w:hAnsi="Arial" w:cs="Arial"/>
          <w:sz w:val="21"/>
          <w:szCs w:val="21"/>
        </w:rPr>
        <w:t>s</w:t>
      </w:r>
      <w:r w:rsidR="006C1AEA" w:rsidRPr="009E358A">
        <w:rPr>
          <w:rStyle w:val="e24kjd"/>
          <w:rFonts w:ascii="Arial" w:hAnsi="Arial" w:cs="Arial"/>
          <w:sz w:val="21"/>
          <w:szCs w:val="21"/>
        </w:rPr>
        <w:t xml:space="preserve"> will focus on biopsy samples.</w:t>
      </w:r>
    </w:p>
    <w:p w14:paraId="3AA80F1B" w14:textId="2401BA9B" w:rsidR="001D6CCF" w:rsidRPr="009E358A" w:rsidRDefault="001D6CCF" w:rsidP="00AE21A4">
      <w:pPr>
        <w:pStyle w:val="Web"/>
        <w:spacing w:line="360" w:lineRule="auto"/>
        <w:contextualSpacing/>
        <w:jc w:val="center"/>
        <w:rPr>
          <w:rStyle w:val="e24kjd"/>
          <w:rFonts w:ascii="Arial" w:hAnsi="Arial" w:cs="Arial"/>
          <w:sz w:val="21"/>
          <w:szCs w:val="21"/>
        </w:rPr>
      </w:pPr>
    </w:p>
    <w:p w14:paraId="475786C6" w14:textId="4C62D1B2" w:rsidR="00332606" w:rsidRPr="009E358A" w:rsidRDefault="000F0D9C" w:rsidP="00332606">
      <w:pPr>
        <w:pStyle w:val="Web"/>
        <w:spacing w:line="360" w:lineRule="auto"/>
        <w:contextualSpacing/>
        <w:jc w:val="center"/>
        <w:rPr>
          <w:rFonts w:ascii="Arial" w:hAnsi="Arial" w:cs="Arial"/>
          <w:b/>
          <w:bCs/>
          <w:sz w:val="22"/>
          <w:szCs w:val="22"/>
        </w:rPr>
      </w:pPr>
      <w:r w:rsidRPr="009E358A">
        <w:rPr>
          <w:rFonts w:ascii="Arial" w:hAnsi="Arial" w:cs="Arial"/>
          <w:b/>
          <w:bCs/>
          <w:noProof/>
          <w:sz w:val="22"/>
          <w:szCs w:val="22"/>
        </w:rPr>
        <w:drawing>
          <wp:inline distT="0" distB="0" distL="0" distR="0" wp14:anchorId="2C11DF9B" wp14:editId="53C7C486">
            <wp:extent cx="5400000" cy="31494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3149460"/>
                    </a:xfrm>
                    <a:prstGeom prst="rect">
                      <a:avLst/>
                    </a:prstGeom>
                    <a:noFill/>
                    <a:ln>
                      <a:noFill/>
                    </a:ln>
                  </pic:spPr>
                </pic:pic>
              </a:graphicData>
            </a:graphic>
          </wp:inline>
        </w:drawing>
      </w:r>
      <w:r w:rsidR="00085E31" w:rsidRPr="009E358A">
        <w:rPr>
          <w:rFonts w:ascii="Arial" w:hAnsi="Arial" w:cs="Arial"/>
          <w:b/>
          <w:bCs/>
          <w:sz w:val="22"/>
          <w:szCs w:val="22"/>
        </w:rPr>
        <w:br/>
      </w:r>
    </w:p>
    <w:p w14:paraId="5BCAF209" w14:textId="672573AF" w:rsidR="00994899" w:rsidRPr="009E358A" w:rsidRDefault="00085E31" w:rsidP="00332606">
      <w:pPr>
        <w:pStyle w:val="Web"/>
        <w:spacing w:line="360" w:lineRule="auto"/>
        <w:contextualSpacing/>
        <w:jc w:val="both"/>
        <w:rPr>
          <w:rFonts w:ascii="Arial" w:hAnsi="Arial" w:cs="Arial"/>
          <w:b/>
          <w:bCs/>
          <w:sz w:val="22"/>
          <w:szCs w:val="22"/>
        </w:rPr>
      </w:pPr>
      <w:r w:rsidRPr="009E358A">
        <w:rPr>
          <w:rFonts w:ascii="Arial" w:hAnsi="Arial" w:cs="Arial"/>
          <w:b/>
          <w:bCs/>
          <w:sz w:val="22"/>
          <w:szCs w:val="22"/>
        </w:rPr>
        <w:t>The authors mention that the RBC lysis set is critical and that if not done properly the result are suspect. Including a control to ensure that the RBC lysis work appropriately would strengthen the test.</w:t>
      </w:r>
    </w:p>
    <w:p w14:paraId="5E71245D" w14:textId="77777777" w:rsidR="003C3B40" w:rsidRPr="009E358A" w:rsidRDefault="003C3B40" w:rsidP="00AE21A4">
      <w:pPr>
        <w:pStyle w:val="Web"/>
        <w:spacing w:line="360" w:lineRule="auto"/>
        <w:contextualSpacing/>
        <w:rPr>
          <w:rFonts w:ascii="Arial" w:hAnsi="Arial" w:cs="Arial"/>
          <w:b/>
          <w:bCs/>
          <w:sz w:val="22"/>
          <w:szCs w:val="22"/>
        </w:rPr>
      </w:pPr>
    </w:p>
    <w:p w14:paraId="25E0E13B" w14:textId="6BDB3F20" w:rsidR="001E6C5C" w:rsidRPr="009E358A" w:rsidRDefault="00994899" w:rsidP="00BA6A30">
      <w:pPr>
        <w:pStyle w:val="Web"/>
        <w:spacing w:line="360" w:lineRule="auto"/>
        <w:contextualSpacing/>
        <w:jc w:val="both"/>
        <w:rPr>
          <w:rStyle w:val="s1"/>
          <w:rFonts w:ascii="Arial" w:hAnsi="Arial" w:cs="Arial"/>
          <w:sz w:val="22"/>
          <w:szCs w:val="22"/>
        </w:rPr>
      </w:pPr>
      <w:r w:rsidRPr="009E358A">
        <w:rPr>
          <w:rStyle w:val="s1"/>
          <w:rFonts w:ascii="Arial" w:hAnsi="Arial" w:cs="Arial"/>
          <w:sz w:val="22"/>
          <w:szCs w:val="22"/>
        </w:rPr>
        <w:t xml:space="preserve">We appreciate this </w:t>
      </w:r>
      <w:r w:rsidR="00BA6A30" w:rsidRPr="009E358A">
        <w:rPr>
          <w:rStyle w:val="s1"/>
          <w:rFonts w:ascii="Arial" w:hAnsi="Arial" w:cs="Arial"/>
          <w:sz w:val="22"/>
          <w:szCs w:val="22"/>
        </w:rPr>
        <w:t xml:space="preserve">helpful </w:t>
      </w:r>
      <w:r w:rsidRPr="009E358A">
        <w:rPr>
          <w:rStyle w:val="s1"/>
          <w:rFonts w:ascii="Arial" w:hAnsi="Arial" w:cs="Arial"/>
          <w:sz w:val="22"/>
          <w:szCs w:val="22"/>
        </w:rPr>
        <w:t>comment.</w:t>
      </w:r>
      <w:r w:rsidR="00017059" w:rsidRPr="009E358A">
        <w:rPr>
          <w:rStyle w:val="s1"/>
          <w:rFonts w:ascii="Arial" w:hAnsi="Arial" w:cs="Arial"/>
          <w:sz w:val="22"/>
          <w:szCs w:val="22"/>
        </w:rPr>
        <w:t xml:space="preserve"> Basically</w:t>
      </w:r>
      <w:r w:rsidR="00F205C5" w:rsidRPr="009E358A">
        <w:rPr>
          <w:rStyle w:val="s1"/>
          <w:rFonts w:ascii="Arial" w:hAnsi="Arial" w:cs="Arial"/>
          <w:sz w:val="22"/>
          <w:szCs w:val="22"/>
        </w:rPr>
        <w:t>,</w:t>
      </w:r>
      <w:r w:rsidRPr="009E358A">
        <w:rPr>
          <w:rStyle w:val="s1"/>
          <w:rFonts w:ascii="Arial" w:hAnsi="Arial" w:cs="Arial"/>
          <w:sz w:val="22"/>
          <w:szCs w:val="22"/>
        </w:rPr>
        <w:t xml:space="preserve"> </w:t>
      </w:r>
      <w:r w:rsidR="00017059" w:rsidRPr="009E358A">
        <w:rPr>
          <w:rStyle w:val="s1"/>
          <w:rFonts w:ascii="Arial" w:hAnsi="Arial" w:cs="Arial"/>
          <w:sz w:val="22"/>
          <w:szCs w:val="22"/>
        </w:rPr>
        <w:t>i</w:t>
      </w:r>
      <w:r w:rsidR="002F5A50" w:rsidRPr="009E358A">
        <w:rPr>
          <w:rStyle w:val="s1"/>
          <w:rFonts w:ascii="Arial" w:hAnsi="Arial" w:cs="Arial"/>
          <w:sz w:val="22"/>
          <w:szCs w:val="22"/>
        </w:rPr>
        <w:t xml:space="preserve">t is important to </w:t>
      </w:r>
      <w:r w:rsidR="00332606" w:rsidRPr="009E358A">
        <w:rPr>
          <w:rStyle w:val="s1"/>
          <w:rFonts w:ascii="Arial" w:hAnsi="Arial" w:cs="Arial"/>
          <w:sz w:val="22"/>
          <w:szCs w:val="22"/>
        </w:rPr>
        <w:t>check</w:t>
      </w:r>
      <w:r w:rsidR="00017059" w:rsidRPr="009E358A">
        <w:rPr>
          <w:rStyle w:val="s1"/>
          <w:rFonts w:ascii="Arial" w:hAnsi="Arial" w:cs="Arial"/>
          <w:sz w:val="22"/>
          <w:szCs w:val="22"/>
        </w:rPr>
        <w:t xml:space="preserve"> if the </w:t>
      </w:r>
      <w:r w:rsidR="00FB7183" w:rsidRPr="009E358A">
        <w:rPr>
          <w:rStyle w:val="s1"/>
          <w:rFonts w:ascii="Arial" w:hAnsi="Arial" w:cs="Arial"/>
          <w:sz w:val="22"/>
          <w:szCs w:val="22"/>
        </w:rPr>
        <w:t xml:space="preserve">macroscopic appearance of the </w:t>
      </w:r>
      <w:r w:rsidR="00017059" w:rsidRPr="009E358A">
        <w:rPr>
          <w:rStyle w:val="s1"/>
          <w:rFonts w:ascii="Arial" w:hAnsi="Arial" w:cs="Arial"/>
          <w:sz w:val="22"/>
          <w:szCs w:val="22"/>
        </w:rPr>
        <w:t xml:space="preserve">solution </w:t>
      </w:r>
      <w:r w:rsidR="00FB7183" w:rsidRPr="009E358A">
        <w:rPr>
          <w:rStyle w:val="s1"/>
          <w:rFonts w:ascii="Arial" w:hAnsi="Arial" w:cs="Arial"/>
          <w:sz w:val="22"/>
          <w:szCs w:val="22"/>
        </w:rPr>
        <w:t xml:space="preserve">is </w:t>
      </w:r>
      <w:r w:rsidR="00017059" w:rsidRPr="009E358A">
        <w:rPr>
          <w:rStyle w:val="s1"/>
          <w:rFonts w:ascii="Arial" w:hAnsi="Arial" w:cs="Arial"/>
          <w:sz w:val="22"/>
          <w:szCs w:val="22"/>
        </w:rPr>
        <w:t xml:space="preserve">clear before staining. </w:t>
      </w:r>
      <w:bookmarkStart w:id="0" w:name="_Hlk18769459"/>
      <w:proofErr w:type="gramStart"/>
      <w:r w:rsidR="00332606" w:rsidRPr="009E358A">
        <w:rPr>
          <w:rStyle w:val="s1"/>
          <w:rFonts w:ascii="Arial" w:hAnsi="Arial" w:cs="Arial"/>
          <w:sz w:val="22"/>
          <w:szCs w:val="22"/>
        </w:rPr>
        <w:t>A</w:t>
      </w:r>
      <w:r w:rsidR="00F205C5" w:rsidRPr="009E358A">
        <w:rPr>
          <w:rStyle w:val="s1"/>
          <w:rFonts w:ascii="Arial" w:hAnsi="Arial" w:cs="Arial"/>
          <w:sz w:val="22"/>
          <w:szCs w:val="22"/>
        </w:rPr>
        <w:t>s long as</w:t>
      </w:r>
      <w:proofErr w:type="gramEnd"/>
      <w:r w:rsidR="00F205C5" w:rsidRPr="009E358A">
        <w:rPr>
          <w:rStyle w:val="s1"/>
          <w:rFonts w:ascii="Arial" w:hAnsi="Arial" w:cs="Arial"/>
          <w:sz w:val="22"/>
          <w:szCs w:val="22"/>
        </w:rPr>
        <w:t xml:space="preserve"> </w:t>
      </w:r>
      <w:r w:rsidR="00FB7183" w:rsidRPr="009E358A">
        <w:rPr>
          <w:rStyle w:val="s1"/>
          <w:rFonts w:ascii="Arial" w:hAnsi="Arial" w:cs="Arial"/>
          <w:sz w:val="22"/>
          <w:szCs w:val="22"/>
        </w:rPr>
        <w:t xml:space="preserve">an </w:t>
      </w:r>
      <w:r w:rsidR="00F205C5" w:rsidRPr="009E358A">
        <w:rPr>
          <w:rStyle w:val="s1"/>
          <w:rFonts w:ascii="Arial" w:hAnsi="Arial" w:cs="Arial"/>
          <w:sz w:val="22"/>
          <w:szCs w:val="22"/>
        </w:rPr>
        <w:t xml:space="preserve">isotype control is </w:t>
      </w:r>
      <w:r w:rsidR="00FB7183" w:rsidRPr="009E358A">
        <w:rPr>
          <w:rStyle w:val="s1"/>
          <w:rFonts w:ascii="Arial" w:hAnsi="Arial" w:cs="Arial"/>
          <w:sz w:val="22"/>
          <w:szCs w:val="22"/>
        </w:rPr>
        <w:t>established</w:t>
      </w:r>
      <w:r w:rsidR="00332606" w:rsidRPr="009E358A">
        <w:rPr>
          <w:rStyle w:val="s1"/>
          <w:rFonts w:ascii="Arial" w:hAnsi="Arial" w:cs="Arial"/>
          <w:sz w:val="22"/>
          <w:szCs w:val="22"/>
        </w:rPr>
        <w:t xml:space="preserve"> for each assay</w:t>
      </w:r>
      <w:r w:rsidR="00F205C5" w:rsidRPr="009E358A">
        <w:rPr>
          <w:rStyle w:val="s1"/>
          <w:rFonts w:ascii="Arial" w:hAnsi="Arial" w:cs="Arial"/>
          <w:sz w:val="22"/>
          <w:szCs w:val="22"/>
        </w:rPr>
        <w:t xml:space="preserve"> to determine the gate of</w:t>
      </w:r>
      <w:r w:rsidR="00FB7183" w:rsidRPr="009E358A">
        <w:rPr>
          <w:rStyle w:val="s1"/>
          <w:rFonts w:ascii="Arial" w:hAnsi="Arial" w:cs="Arial"/>
          <w:sz w:val="22"/>
          <w:szCs w:val="22"/>
        </w:rPr>
        <w:t xml:space="preserve"> the</w:t>
      </w:r>
      <w:r w:rsidR="00F205C5" w:rsidRPr="009E358A">
        <w:rPr>
          <w:rStyle w:val="s1"/>
          <w:rFonts w:ascii="Arial" w:hAnsi="Arial" w:cs="Arial"/>
          <w:sz w:val="22"/>
          <w:szCs w:val="22"/>
        </w:rPr>
        <w:t xml:space="preserve"> IgG4</w:t>
      </w:r>
      <w:r w:rsidR="00FB7183" w:rsidRPr="009E358A">
        <w:rPr>
          <w:rStyle w:val="s1"/>
          <w:rFonts w:ascii="Arial" w:hAnsi="Arial" w:cs="Arial"/>
          <w:sz w:val="22"/>
          <w:szCs w:val="22"/>
        </w:rPr>
        <w:t>-</w:t>
      </w:r>
      <w:r w:rsidR="00F205C5" w:rsidRPr="009E358A">
        <w:rPr>
          <w:rStyle w:val="s1"/>
          <w:rFonts w:ascii="Arial" w:hAnsi="Arial" w:cs="Arial"/>
          <w:sz w:val="22"/>
          <w:szCs w:val="22"/>
        </w:rPr>
        <w:t>positiv</w:t>
      </w:r>
      <w:r w:rsidR="00332606" w:rsidRPr="009E358A">
        <w:rPr>
          <w:rStyle w:val="s1"/>
          <w:rFonts w:ascii="Arial" w:hAnsi="Arial" w:cs="Arial"/>
          <w:sz w:val="22"/>
          <w:szCs w:val="22"/>
        </w:rPr>
        <w:t>e</w:t>
      </w:r>
      <w:r w:rsidR="000F0D9C" w:rsidRPr="009E358A">
        <w:rPr>
          <w:rStyle w:val="s1"/>
          <w:rFonts w:ascii="Arial" w:hAnsi="Arial" w:cs="Arial"/>
          <w:sz w:val="22"/>
          <w:szCs w:val="22"/>
        </w:rPr>
        <w:t xml:space="preserve"> cluster</w:t>
      </w:r>
      <w:r w:rsidR="00F205C5" w:rsidRPr="009E358A">
        <w:rPr>
          <w:rStyle w:val="s1"/>
          <w:rFonts w:ascii="Arial" w:hAnsi="Arial" w:cs="Arial"/>
          <w:sz w:val="22"/>
          <w:szCs w:val="22"/>
        </w:rPr>
        <w:t xml:space="preserve">, the frequency is not affected. </w:t>
      </w:r>
      <w:r w:rsidR="00332606" w:rsidRPr="009E358A">
        <w:rPr>
          <w:rStyle w:val="s1"/>
          <w:rFonts w:ascii="Arial" w:hAnsi="Arial" w:cs="Arial"/>
          <w:sz w:val="22"/>
          <w:szCs w:val="22"/>
        </w:rPr>
        <w:t xml:space="preserve">However, </w:t>
      </w:r>
      <w:r w:rsidR="00FB7183" w:rsidRPr="009E358A">
        <w:rPr>
          <w:rStyle w:val="s1"/>
          <w:rFonts w:ascii="Arial" w:hAnsi="Arial" w:cs="Arial"/>
          <w:sz w:val="22"/>
          <w:szCs w:val="22"/>
        </w:rPr>
        <w:t xml:space="preserve">using this protocol, if </w:t>
      </w:r>
      <w:r w:rsidR="00F205C5" w:rsidRPr="009E358A">
        <w:rPr>
          <w:rStyle w:val="s1"/>
          <w:rFonts w:ascii="Arial" w:hAnsi="Arial" w:cs="Arial"/>
          <w:sz w:val="22"/>
          <w:szCs w:val="22"/>
        </w:rPr>
        <w:t>RBC lysis is insufficient</w:t>
      </w:r>
      <w:r w:rsidR="00FB7183" w:rsidRPr="009E358A">
        <w:rPr>
          <w:rStyle w:val="s1"/>
          <w:rFonts w:ascii="Arial" w:hAnsi="Arial" w:cs="Arial"/>
          <w:sz w:val="22"/>
          <w:szCs w:val="22"/>
        </w:rPr>
        <w:t xml:space="preserve"> there may be reductions both in the</w:t>
      </w:r>
      <w:r w:rsidR="00F205C5" w:rsidRPr="009E358A">
        <w:rPr>
          <w:rStyle w:val="s1"/>
          <w:rFonts w:ascii="Arial" w:hAnsi="Arial" w:cs="Arial"/>
          <w:sz w:val="22"/>
          <w:szCs w:val="22"/>
        </w:rPr>
        <w:t xml:space="preserve"> T cell count </w:t>
      </w:r>
      <w:r w:rsidR="00332606" w:rsidRPr="009E358A">
        <w:rPr>
          <w:rStyle w:val="s1"/>
          <w:rFonts w:ascii="Arial" w:hAnsi="Arial" w:cs="Arial"/>
          <w:sz w:val="22"/>
          <w:szCs w:val="22"/>
        </w:rPr>
        <w:t>in</w:t>
      </w:r>
      <w:r w:rsidR="00FB7183" w:rsidRPr="009E358A">
        <w:rPr>
          <w:rStyle w:val="s1"/>
          <w:rFonts w:ascii="Arial" w:hAnsi="Arial" w:cs="Arial"/>
          <w:sz w:val="22"/>
          <w:szCs w:val="22"/>
        </w:rPr>
        <w:t xml:space="preserve"> the</w:t>
      </w:r>
      <w:r w:rsidR="00332606" w:rsidRPr="009E358A">
        <w:rPr>
          <w:rStyle w:val="s1"/>
          <w:rFonts w:ascii="Arial" w:hAnsi="Arial" w:cs="Arial"/>
          <w:sz w:val="22"/>
          <w:szCs w:val="22"/>
        </w:rPr>
        <w:t xml:space="preserve"> lymphocyte gate </w:t>
      </w:r>
      <w:r w:rsidR="00F205C5" w:rsidRPr="009E358A">
        <w:rPr>
          <w:rStyle w:val="s1"/>
          <w:rFonts w:ascii="Arial" w:hAnsi="Arial" w:cs="Arial"/>
          <w:sz w:val="22"/>
          <w:szCs w:val="22"/>
        </w:rPr>
        <w:t>and</w:t>
      </w:r>
      <w:r w:rsidR="00332606" w:rsidRPr="009E358A">
        <w:rPr>
          <w:rStyle w:val="s1"/>
          <w:rFonts w:ascii="Arial" w:hAnsi="Arial" w:cs="Arial"/>
          <w:sz w:val="22"/>
          <w:szCs w:val="22"/>
        </w:rPr>
        <w:t xml:space="preserve"> </w:t>
      </w:r>
      <w:r w:rsidR="00FB7183" w:rsidRPr="009E358A">
        <w:rPr>
          <w:rStyle w:val="s1"/>
          <w:rFonts w:ascii="Arial" w:hAnsi="Arial" w:cs="Arial"/>
          <w:sz w:val="22"/>
          <w:szCs w:val="22"/>
        </w:rPr>
        <w:t>in</w:t>
      </w:r>
      <w:r w:rsidR="00F205C5" w:rsidRPr="009E358A">
        <w:rPr>
          <w:rStyle w:val="s1"/>
          <w:rFonts w:ascii="Arial" w:hAnsi="Arial" w:cs="Arial"/>
          <w:sz w:val="22"/>
          <w:szCs w:val="22"/>
        </w:rPr>
        <w:t xml:space="preserve"> the intensity of </w:t>
      </w:r>
      <w:r w:rsidR="001E6C5C" w:rsidRPr="009E358A">
        <w:rPr>
          <w:rStyle w:val="s1"/>
          <w:rFonts w:ascii="Arial" w:hAnsi="Arial" w:cs="Arial"/>
          <w:sz w:val="22"/>
          <w:szCs w:val="22"/>
        </w:rPr>
        <w:t xml:space="preserve">each surface marker. </w:t>
      </w:r>
      <w:bookmarkEnd w:id="0"/>
      <w:r w:rsidR="001E6C5C" w:rsidRPr="009E358A">
        <w:rPr>
          <w:rStyle w:val="s1"/>
          <w:rFonts w:ascii="Arial" w:hAnsi="Arial" w:cs="Arial"/>
          <w:sz w:val="22"/>
          <w:szCs w:val="22"/>
        </w:rPr>
        <w:t xml:space="preserve">We included this explanation </w:t>
      </w:r>
      <w:r w:rsidR="00FB7183" w:rsidRPr="009E358A">
        <w:rPr>
          <w:rStyle w:val="s1"/>
          <w:rFonts w:ascii="Arial" w:hAnsi="Arial" w:cs="Arial"/>
          <w:sz w:val="22"/>
          <w:szCs w:val="22"/>
        </w:rPr>
        <w:t xml:space="preserve">in the </w:t>
      </w:r>
      <w:r w:rsidR="001E6C5C" w:rsidRPr="009E358A">
        <w:rPr>
          <w:rStyle w:val="s1"/>
          <w:rFonts w:ascii="Arial" w:hAnsi="Arial" w:cs="Arial"/>
          <w:sz w:val="22"/>
          <w:szCs w:val="22"/>
        </w:rPr>
        <w:t>manuscript.</w:t>
      </w:r>
    </w:p>
    <w:p w14:paraId="0326E2FF" w14:textId="16B7983D" w:rsidR="009E5347" w:rsidRPr="009E358A" w:rsidRDefault="00085E31" w:rsidP="00AE21A4">
      <w:pPr>
        <w:pStyle w:val="Web"/>
        <w:spacing w:line="360" w:lineRule="auto"/>
        <w:contextualSpacing/>
        <w:jc w:val="center"/>
        <w:rPr>
          <w:rFonts w:ascii="Arial" w:hAnsi="Arial" w:cs="Arial"/>
          <w:b/>
          <w:bCs/>
          <w:sz w:val="22"/>
          <w:szCs w:val="22"/>
        </w:rPr>
      </w:pPr>
      <w:r w:rsidRPr="009E358A">
        <w:rPr>
          <w:rFonts w:ascii="Arial" w:hAnsi="Arial" w:cs="Arial"/>
          <w:b/>
          <w:bCs/>
          <w:sz w:val="22"/>
          <w:szCs w:val="22"/>
        </w:rPr>
        <w:lastRenderedPageBreak/>
        <w:br/>
      </w:r>
      <w:r w:rsidR="00BA6A30" w:rsidRPr="009E358A">
        <w:rPr>
          <w:rFonts w:ascii="Arial" w:hAnsi="Arial" w:cs="Arial"/>
          <w:b/>
          <w:bCs/>
          <w:noProof/>
          <w:sz w:val="22"/>
          <w:szCs w:val="22"/>
        </w:rPr>
        <w:drawing>
          <wp:inline distT="0" distB="0" distL="0" distR="0" wp14:anchorId="12103B28" wp14:editId="45C7BCC3">
            <wp:extent cx="4334379" cy="5760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4379" cy="5760000"/>
                    </a:xfrm>
                    <a:prstGeom prst="rect">
                      <a:avLst/>
                    </a:prstGeom>
                    <a:noFill/>
                    <a:ln>
                      <a:noFill/>
                    </a:ln>
                  </pic:spPr>
                </pic:pic>
              </a:graphicData>
            </a:graphic>
          </wp:inline>
        </w:drawing>
      </w:r>
    </w:p>
    <w:p w14:paraId="39B78208" w14:textId="77777777" w:rsidR="00BA6A30" w:rsidRPr="009E358A" w:rsidRDefault="00BA6A30" w:rsidP="00AE21A4">
      <w:pPr>
        <w:pStyle w:val="Web"/>
        <w:spacing w:line="360" w:lineRule="auto"/>
        <w:contextualSpacing/>
        <w:jc w:val="both"/>
        <w:rPr>
          <w:rFonts w:ascii="Arial" w:hAnsi="Arial" w:cs="Arial"/>
          <w:b/>
          <w:bCs/>
          <w:sz w:val="22"/>
          <w:szCs w:val="22"/>
        </w:rPr>
      </w:pPr>
    </w:p>
    <w:p w14:paraId="378770DE" w14:textId="37B9204A" w:rsidR="00085E31" w:rsidRPr="009E358A" w:rsidRDefault="00085E31" w:rsidP="00AE21A4">
      <w:pPr>
        <w:pStyle w:val="Web"/>
        <w:spacing w:line="360" w:lineRule="auto"/>
        <w:contextualSpacing/>
        <w:jc w:val="both"/>
        <w:rPr>
          <w:rFonts w:ascii="Arial" w:hAnsi="Arial" w:cs="Arial"/>
          <w:b/>
          <w:bCs/>
          <w:sz w:val="22"/>
          <w:szCs w:val="22"/>
        </w:rPr>
      </w:pPr>
      <w:r w:rsidRPr="009E358A">
        <w:rPr>
          <w:rFonts w:ascii="Arial" w:hAnsi="Arial" w:cs="Arial"/>
          <w:b/>
          <w:bCs/>
          <w:sz w:val="22"/>
          <w:szCs w:val="22"/>
        </w:rPr>
        <w:br/>
        <w:t>Some data that links this test with clinical outcomes would strengthen the manuscript. The authors report a similar test had been developed but it appears none of the authors on this paper were part of that study. It seems to me that they need to show this assay does indeed correlate with irAEs.</w:t>
      </w:r>
    </w:p>
    <w:p w14:paraId="6DD5C5D5" w14:textId="78318926" w:rsidR="00BA6A30" w:rsidRPr="009E358A" w:rsidRDefault="00BA6A30" w:rsidP="004D1CED">
      <w:pPr>
        <w:pStyle w:val="Web"/>
        <w:spacing w:line="360" w:lineRule="auto"/>
        <w:contextualSpacing/>
        <w:jc w:val="both"/>
        <w:rPr>
          <w:rStyle w:val="s1"/>
          <w:rFonts w:ascii="Arial" w:hAnsi="Arial" w:cs="Arial"/>
          <w:sz w:val="22"/>
          <w:szCs w:val="22"/>
        </w:rPr>
      </w:pPr>
      <w:r w:rsidRPr="009E358A">
        <w:rPr>
          <w:rStyle w:val="s1"/>
          <w:rFonts w:ascii="Arial" w:hAnsi="Arial" w:cs="Arial"/>
          <w:sz w:val="22"/>
          <w:szCs w:val="22"/>
        </w:rPr>
        <w:lastRenderedPageBreak/>
        <w:t>We appreciate this helpful comment. The authors o</w:t>
      </w:r>
      <w:r w:rsidR="00FB7183" w:rsidRPr="009E358A">
        <w:rPr>
          <w:rStyle w:val="s1"/>
          <w:rFonts w:ascii="Arial" w:hAnsi="Arial" w:cs="Arial"/>
          <w:sz w:val="22"/>
          <w:szCs w:val="22"/>
        </w:rPr>
        <w:t>f</w:t>
      </w:r>
      <w:r w:rsidRPr="009E358A">
        <w:rPr>
          <w:rStyle w:val="s1"/>
          <w:rFonts w:ascii="Arial" w:hAnsi="Arial" w:cs="Arial"/>
          <w:sz w:val="22"/>
          <w:szCs w:val="22"/>
        </w:rPr>
        <w:t xml:space="preserve"> this manuscript mainly work on developing novel and useful analy</w:t>
      </w:r>
      <w:r w:rsidR="00FB7183" w:rsidRPr="009E358A">
        <w:rPr>
          <w:rStyle w:val="s1"/>
          <w:rFonts w:ascii="Arial" w:hAnsi="Arial" w:cs="Arial"/>
          <w:sz w:val="22"/>
          <w:szCs w:val="22"/>
        </w:rPr>
        <w:t>sis</w:t>
      </w:r>
      <w:r w:rsidRPr="009E358A">
        <w:rPr>
          <w:rStyle w:val="s1"/>
          <w:rFonts w:ascii="Arial" w:hAnsi="Arial" w:cs="Arial"/>
          <w:sz w:val="22"/>
          <w:szCs w:val="22"/>
        </w:rPr>
        <w:t xml:space="preserve"> methods for clinical specimens. We also work together with physicians in our department to collect specimens. As described in </w:t>
      </w:r>
      <w:r w:rsidR="00FB7183" w:rsidRPr="009E358A">
        <w:rPr>
          <w:rStyle w:val="s1"/>
          <w:rFonts w:ascii="Arial" w:hAnsi="Arial" w:cs="Arial"/>
          <w:sz w:val="22"/>
          <w:szCs w:val="22"/>
        </w:rPr>
        <w:t>our</w:t>
      </w:r>
      <w:r w:rsidR="00575B37">
        <w:rPr>
          <w:rStyle w:val="s1"/>
          <w:rFonts w:ascii="Arial" w:hAnsi="Arial" w:cs="Arial"/>
          <w:sz w:val="22"/>
          <w:szCs w:val="22"/>
        </w:rPr>
        <w:t xml:space="preserve"> previous</w:t>
      </w:r>
      <w:r w:rsidRPr="009E358A">
        <w:rPr>
          <w:rStyle w:val="s1"/>
          <w:rFonts w:ascii="Arial" w:hAnsi="Arial" w:cs="Arial"/>
          <w:sz w:val="22"/>
          <w:szCs w:val="22"/>
        </w:rPr>
        <w:t xml:space="preserve"> repo</w:t>
      </w:r>
      <w:r w:rsidR="004D1CED" w:rsidRPr="009E358A">
        <w:rPr>
          <w:rStyle w:val="s1"/>
          <w:rFonts w:ascii="Arial" w:hAnsi="Arial" w:cs="Arial"/>
          <w:sz w:val="22"/>
          <w:szCs w:val="22"/>
        </w:rPr>
        <w:t>r</w:t>
      </w:r>
      <w:r w:rsidRPr="009E358A">
        <w:rPr>
          <w:rStyle w:val="s1"/>
          <w:rFonts w:ascii="Arial" w:hAnsi="Arial" w:cs="Arial"/>
          <w:sz w:val="22"/>
          <w:szCs w:val="22"/>
        </w:rPr>
        <w:t>t (</w:t>
      </w:r>
      <w:proofErr w:type="spellStart"/>
      <w:r w:rsidRPr="009E358A">
        <w:rPr>
          <w:rStyle w:val="s1"/>
          <w:rFonts w:ascii="Arial" w:hAnsi="Arial" w:cs="Arial"/>
          <w:sz w:val="22"/>
          <w:szCs w:val="22"/>
        </w:rPr>
        <w:t>Osa</w:t>
      </w:r>
      <w:proofErr w:type="spellEnd"/>
      <w:r w:rsidRPr="009E358A">
        <w:rPr>
          <w:rStyle w:val="s1"/>
          <w:rFonts w:ascii="Arial" w:hAnsi="Arial" w:cs="Arial"/>
          <w:sz w:val="22"/>
          <w:szCs w:val="22"/>
        </w:rPr>
        <w:t xml:space="preserve"> et al JCI insight 2018, reference 10), we would like to apply this strategy to further evaluate the efficacy of PD-1</w:t>
      </w:r>
      <w:r w:rsidR="00516350" w:rsidRPr="009E358A">
        <w:rPr>
          <w:rStyle w:val="s1"/>
          <w:rFonts w:ascii="Arial" w:hAnsi="Arial" w:cs="Arial"/>
          <w:sz w:val="22"/>
          <w:szCs w:val="22"/>
        </w:rPr>
        <w:t>–</w:t>
      </w:r>
      <w:r w:rsidRPr="009E358A">
        <w:rPr>
          <w:rStyle w:val="s1"/>
          <w:rFonts w:ascii="Arial" w:hAnsi="Arial" w:cs="Arial"/>
          <w:sz w:val="22"/>
          <w:szCs w:val="22"/>
        </w:rPr>
        <w:t xml:space="preserve">blocking antibodies </w:t>
      </w:r>
      <w:r w:rsidR="00DE2E89" w:rsidRPr="009E358A">
        <w:rPr>
          <w:rStyle w:val="s1"/>
          <w:rFonts w:ascii="Arial" w:hAnsi="Arial" w:cs="Arial"/>
          <w:sz w:val="22"/>
          <w:szCs w:val="22"/>
        </w:rPr>
        <w:t xml:space="preserve">and clarify </w:t>
      </w:r>
      <w:r w:rsidRPr="009E358A">
        <w:rPr>
          <w:rStyle w:val="s1"/>
          <w:rFonts w:ascii="Arial" w:hAnsi="Arial" w:cs="Arial"/>
          <w:sz w:val="22"/>
          <w:szCs w:val="22"/>
        </w:rPr>
        <w:t>the mechanism of irAE.</w:t>
      </w:r>
      <w:r w:rsidR="004D1CED" w:rsidRPr="009E358A">
        <w:rPr>
          <w:rStyle w:val="s1"/>
          <w:rFonts w:ascii="Arial" w:hAnsi="Arial" w:cs="Arial"/>
          <w:sz w:val="22"/>
          <w:szCs w:val="22"/>
        </w:rPr>
        <w:t xml:space="preserve"> irAE is </w:t>
      </w:r>
      <w:r w:rsidR="00DE2E89" w:rsidRPr="009E358A">
        <w:rPr>
          <w:rStyle w:val="s1"/>
          <w:rFonts w:ascii="Arial" w:hAnsi="Arial" w:cs="Arial"/>
          <w:sz w:val="22"/>
          <w:szCs w:val="22"/>
        </w:rPr>
        <w:t xml:space="preserve">a </w:t>
      </w:r>
      <w:r w:rsidR="004D1CED" w:rsidRPr="009E358A">
        <w:rPr>
          <w:rStyle w:val="s1"/>
          <w:rFonts w:ascii="Arial" w:hAnsi="Arial" w:cs="Arial"/>
          <w:sz w:val="22"/>
          <w:szCs w:val="22"/>
        </w:rPr>
        <w:t xml:space="preserve">systemic </w:t>
      </w:r>
      <w:proofErr w:type="gramStart"/>
      <w:r w:rsidR="004D1CED" w:rsidRPr="009E358A">
        <w:rPr>
          <w:rStyle w:val="s1"/>
          <w:rFonts w:ascii="Arial" w:hAnsi="Arial" w:cs="Arial"/>
          <w:sz w:val="22"/>
          <w:szCs w:val="22"/>
        </w:rPr>
        <w:t>disease</w:t>
      </w:r>
      <w:r w:rsidR="00DE2E89" w:rsidRPr="009E358A">
        <w:rPr>
          <w:rStyle w:val="s1"/>
          <w:rFonts w:ascii="Arial" w:hAnsi="Arial" w:cs="Arial"/>
          <w:sz w:val="22"/>
          <w:szCs w:val="22"/>
        </w:rPr>
        <w:t>,</w:t>
      </w:r>
      <w:r w:rsidR="004D1CED" w:rsidRPr="009E358A">
        <w:rPr>
          <w:rStyle w:val="s1"/>
          <w:rFonts w:ascii="Arial" w:hAnsi="Arial" w:cs="Arial"/>
          <w:sz w:val="22"/>
          <w:szCs w:val="22"/>
        </w:rPr>
        <w:t xml:space="preserve"> and</w:t>
      </w:r>
      <w:proofErr w:type="gramEnd"/>
      <w:r w:rsidR="004D1CED" w:rsidRPr="009E358A">
        <w:rPr>
          <w:rStyle w:val="s1"/>
          <w:rFonts w:ascii="Arial" w:hAnsi="Arial" w:cs="Arial"/>
          <w:sz w:val="22"/>
          <w:szCs w:val="22"/>
        </w:rPr>
        <w:t xml:space="preserve"> collecting biopsy samples from affected tissues is sometimes </w:t>
      </w:r>
      <w:r w:rsidR="00DE2E89" w:rsidRPr="009E358A">
        <w:rPr>
          <w:rStyle w:val="s1"/>
          <w:rFonts w:ascii="Arial" w:hAnsi="Arial" w:cs="Arial"/>
          <w:sz w:val="22"/>
          <w:szCs w:val="22"/>
        </w:rPr>
        <w:t>difficult</w:t>
      </w:r>
      <w:r w:rsidR="004D1CED" w:rsidRPr="009E358A">
        <w:rPr>
          <w:rStyle w:val="s1"/>
          <w:rFonts w:ascii="Arial" w:hAnsi="Arial" w:cs="Arial"/>
          <w:sz w:val="22"/>
          <w:szCs w:val="22"/>
        </w:rPr>
        <w:t xml:space="preserve">. At the same time, a subset of circulating T cells </w:t>
      </w:r>
      <w:r w:rsidR="00DE2E89" w:rsidRPr="009E358A">
        <w:rPr>
          <w:rStyle w:val="s1"/>
          <w:rFonts w:ascii="Arial" w:hAnsi="Arial" w:cs="Arial"/>
          <w:sz w:val="22"/>
          <w:szCs w:val="22"/>
        </w:rPr>
        <w:t xml:space="preserve">bound to </w:t>
      </w:r>
      <w:r w:rsidR="004D1CED" w:rsidRPr="009E358A">
        <w:rPr>
          <w:rStyle w:val="s1"/>
          <w:rFonts w:ascii="Arial" w:hAnsi="Arial" w:cs="Arial"/>
          <w:sz w:val="22"/>
          <w:szCs w:val="22"/>
        </w:rPr>
        <w:t>PD-1</w:t>
      </w:r>
      <w:r w:rsidR="00DE2E89" w:rsidRPr="009E358A">
        <w:rPr>
          <w:rStyle w:val="s1"/>
          <w:rFonts w:ascii="Arial" w:hAnsi="Arial" w:cs="Arial"/>
          <w:sz w:val="22"/>
          <w:szCs w:val="22"/>
        </w:rPr>
        <w:t>–</w:t>
      </w:r>
      <w:r w:rsidR="004D1CED" w:rsidRPr="009E358A">
        <w:rPr>
          <w:rStyle w:val="s1"/>
          <w:rFonts w:ascii="Arial" w:hAnsi="Arial" w:cs="Arial"/>
          <w:sz w:val="22"/>
          <w:szCs w:val="22"/>
        </w:rPr>
        <w:t xml:space="preserve">blocking antibody </w:t>
      </w:r>
      <w:r w:rsidR="00DE2E89" w:rsidRPr="009E358A">
        <w:rPr>
          <w:rStyle w:val="s1"/>
          <w:rFonts w:ascii="Arial" w:hAnsi="Arial" w:cs="Arial"/>
          <w:sz w:val="22"/>
          <w:szCs w:val="22"/>
        </w:rPr>
        <w:t>can</w:t>
      </w:r>
      <w:r w:rsidR="004D1CED" w:rsidRPr="009E358A">
        <w:rPr>
          <w:rStyle w:val="s1"/>
          <w:rFonts w:ascii="Arial" w:hAnsi="Arial" w:cs="Arial"/>
          <w:sz w:val="22"/>
          <w:szCs w:val="22"/>
        </w:rPr>
        <w:t xml:space="preserve"> recognize autoantigen because </w:t>
      </w:r>
      <w:r w:rsidR="0048362A" w:rsidRPr="009E358A">
        <w:rPr>
          <w:rStyle w:val="s1"/>
          <w:rFonts w:ascii="Arial" w:hAnsi="Arial" w:cs="Arial"/>
          <w:sz w:val="22"/>
          <w:szCs w:val="22"/>
        </w:rPr>
        <w:t>treatment trigger</w:t>
      </w:r>
      <w:r w:rsidR="00DE2E89" w:rsidRPr="009E358A">
        <w:rPr>
          <w:rStyle w:val="s1"/>
          <w:rFonts w:ascii="Arial" w:hAnsi="Arial" w:cs="Arial"/>
          <w:sz w:val="22"/>
          <w:szCs w:val="22"/>
        </w:rPr>
        <w:t>s</w:t>
      </w:r>
      <w:r w:rsidR="0048362A" w:rsidRPr="009E358A">
        <w:rPr>
          <w:rStyle w:val="s1"/>
          <w:rFonts w:ascii="Arial" w:hAnsi="Arial" w:cs="Arial"/>
          <w:sz w:val="22"/>
          <w:szCs w:val="22"/>
        </w:rPr>
        <w:t xml:space="preserve"> the onset of irAE.</w:t>
      </w:r>
      <w:r w:rsidR="004D1CED" w:rsidRPr="009E358A">
        <w:rPr>
          <w:rStyle w:val="s1"/>
          <w:rFonts w:ascii="Arial" w:hAnsi="Arial" w:cs="Arial"/>
          <w:sz w:val="22"/>
          <w:szCs w:val="22"/>
        </w:rPr>
        <w:t xml:space="preserve"> </w:t>
      </w:r>
      <w:r w:rsidR="0048362A" w:rsidRPr="009E358A">
        <w:rPr>
          <w:rStyle w:val="s1"/>
          <w:rFonts w:ascii="Arial" w:hAnsi="Arial" w:cs="Arial"/>
          <w:sz w:val="22"/>
          <w:szCs w:val="22"/>
        </w:rPr>
        <w:t>We confirmed that o</w:t>
      </w:r>
      <w:r w:rsidR="004D1CED" w:rsidRPr="009E358A">
        <w:rPr>
          <w:rStyle w:val="s1"/>
          <w:rFonts w:ascii="Arial" w:hAnsi="Arial" w:cs="Arial"/>
          <w:sz w:val="22"/>
          <w:szCs w:val="22"/>
        </w:rPr>
        <w:t>ur method</w:t>
      </w:r>
      <w:r w:rsidR="0048362A" w:rsidRPr="009E358A">
        <w:rPr>
          <w:rStyle w:val="s1"/>
          <w:rFonts w:ascii="Arial" w:hAnsi="Arial" w:cs="Arial"/>
          <w:sz w:val="22"/>
          <w:szCs w:val="22"/>
        </w:rPr>
        <w:t xml:space="preserve"> </w:t>
      </w:r>
      <w:bookmarkStart w:id="1" w:name="_GoBack"/>
      <w:bookmarkEnd w:id="1"/>
      <w:r w:rsidR="00DE2E89" w:rsidRPr="009E358A">
        <w:rPr>
          <w:rStyle w:val="s1"/>
          <w:rFonts w:ascii="Arial" w:hAnsi="Arial" w:cs="Arial"/>
          <w:sz w:val="22"/>
          <w:szCs w:val="22"/>
        </w:rPr>
        <w:t>was applicable to</w:t>
      </w:r>
      <w:r w:rsidR="004D1CED" w:rsidRPr="009E358A">
        <w:rPr>
          <w:rStyle w:val="s1"/>
          <w:rFonts w:ascii="Arial" w:hAnsi="Arial" w:cs="Arial"/>
          <w:sz w:val="22"/>
          <w:szCs w:val="22"/>
        </w:rPr>
        <w:t xml:space="preserve"> </w:t>
      </w:r>
      <w:r w:rsidR="0048362A" w:rsidRPr="009E358A">
        <w:rPr>
          <w:rStyle w:val="s1"/>
          <w:rFonts w:ascii="Arial" w:hAnsi="Arial" w:cs="Arial"/>
          <w:sz w:val="22"/>
          <w:szCs w:val="22"/>
        </w:rPr>
        <w:t>liquid sample</w:t>
      </w:r>
      <w:r w:rsidR="00DE2E89" w:rsidRPr="009E358A">
        <w:rPr>
          <w:rStyle w:val="s1"/>
          <w:rFonts w:ascii="Arial" w:hAnsi="Arial" w:cs="Arial"/>
          <w:sz w:val="22"/>
          <w:szCs w:val="22"/>
        </w:rPr>
        <w:t>s</w:t>
      </w:r>
      <w:r w:rsidR="0048362A" w:rsidRPr="009E358A">
        <w:rPr>
          <w:rStyle w:val="s1"/>
          <w:rFonts w:ascii="Arial" w:hAnsi="Arial" w:cs="Arial"/>
          <w:sz w:val="22"/>
          <w:szCs w:val="22"/>
        </w:rPr>
        <w:t xml:space="preserve"> from a l</w:t>
      </w:r>
      <w:r w:rsidR="004D1CED" w:rsidRPr="009E358A">
        <w:rPr>
          <w:rStyle w:val="s1"/>
          <w:rFonts w:ascii="Arial" w:hAnsi="Arial" w:cs="Arial"/>
          <w:sz w:val="22"/>
          <w:szCs w:val="22"/>
        </w:rPr>
        <w:t xml:space="preserve">imited number of irAE </w:t>
      </w:r>
      <w:r w:rsidR="0048362A" w:rsidRPr="009E358A">
        <w:rPr>
          <w:rStyle w:val="s1"/>
          <w:rFonts w:ascii="Arial" w:hAnsi="Arial" w:cs="Arial"/>
          <w:sz w:val="22"/>
          <w:szCs w:val="22"/>
        </w:rPr>
        <w:t>case</w:t>
      </w:r>
      <w:r w:rsidR="00DE2E89" w:rsidRPr="009E358A">
        <w:rPr>
          <w:rStyle w:val="s1"/>
          <w:rFonts w:ascii="Arial" w:hAnsi="Arial" w:cs="Arial"/>
          <w:sz w:val="22"/>
          <w:szCs w:val="22"/>
        </w:rPr>
        <w:t>s</w:t>
      </w:r>
      <w:r w:rsidR="0048362A" w:rsidRPr="009E358A">
        <w:rPr>
          <w:rStyle w:val="s1"/>
          <w:rFonts w:ascii="Arial" w:hAnsi="Arial" w:cs="Arial"/>
          <w:sz w:val="22"/>
          <w:szCs w:val="22"/>
        </w:rPr>
        <w:t xml:space="preserve">. Future </w:t>
      </w:r>
      <w:r w:rsidR="00DE2E89" w:rsidRPr="009E358A">
        <w:rPr>
          <w:rStyle w:val="s1"/>
          <w:rFonts w:ascii="Arial" w:hAnsi="Arial" w:cs="Arial"/>
          <w:sz w:val="22"/>
          <w:szCs w:val="22"/>
        </w:rPr>
        <w:t>research</w:t>
      </w:r>
      <w:r w:rsidR="0048362A" w:rsidRPr="009E358A">
        <w:rPr>
          <w:rStyle w:val="s1"/>
          <w:rFonts w:ascii="Arial" w:hAnsi="Arial" w:cs="Arial"/>
          <w:sz w:val="22"/>
          <w:szCs w:val="22"/>
        </w:rPr>
        <w:t xml:space="preserve"> will focus on applying this strategy </w:t>
      </w:r>
      <w:r w:rsidR="00DE2E89" w:rsidRPr="009E358A">
        <w:rPr>
          <w:rStyle w:val="s1"/>
          <w:rFonts w:ascii="Arial" w:hAnsi="Arial" w:cs="Arial"/>
          <w:sz w:val="22"/>
          <w:szCs w:val="22"/>
        </w:rPr>
        <w:t xml:space="preserve">to </w:t>
      </w:r>
      <w:r w:rsidR="0048362A" w:rsidRPr="009E358A">
        <w:rPr>
          <w:rStyle w:val="s1"/>
          <w:rFonts w:ascii="Arial" w:hAnsi="Arial" w:cs="Arial"/>
          <w:sz w:val="22"/>
          <w:szCs w:val="22"/>
        </w:rPr>
        <w:t>analyzing biopsy samples</w:t>
      </w:r>
      <w:r w:rsidR="00DE2E89" w:rsidRPr="009E358A">
        <w:rPr>
          <w:rStyle w:val="s1"/>
          <w:rFonts w:ascii="Arial" w:hAnsi="Arial" w:cs="Arial"/>
          <w:sz w:val="22"/>
          <w:szCs w:val="22"/>
        </w:rPr>
        <w:t>,</w:t>
      </w:r>
      <w:r w:rsidR="0048362A" w:rsidRPr="009E358A">
        <w:rPr>
          <w:rStyle w:val="s1"/>
          <w:rFonts w:ascii="Arial" w:hAnsi="Arial" w:cs="Arial"/>
          <w:sz w:val="22"/>
          <w:szCs w:val="22"/>
        </w:rPr>
        <w:t xml:space="preserve"> combining with TCR sequence</w:t>
      </w:r>
      <w:r w:rsidR="00DE2E89" w:rsidRPr="009E358A">
        <w:rPr>
          <w:rStyle w:val="s1"/>
          <w:rFonts w:ascii="Arial" w:hAnsi="Arial" w:cs="Arial"/>
          <w:sz w:val="22"/>
          <w:szCs w:val="22"/>
        </w:rPr>
        <w:t>s</w:t>
      </w:r>
      <w:r w:rsidR="0048362A" w:rsidRPr="009E358A">
        <w:rPr>
          <w:rStyle w:val="s1"/>
          <w:rFonts w:ascii="Arial" w:hAnsi="Arial" w:cs="Arial"/>
          <w:sz w:val="22"/>
          <w:szCs w:val="22"/>
        </w:rPr>
        <w:t xml:space="preserve"> </w:t>
      </w:r>
      <w:r w:rsidR="00DE2E89" w:rsidRPr="009E358A">
        <w:rPr>
          <w:rStyle w:val="s1"/>
          <w:rFonts w:ascii="Arial" w:hAnsi="Arial" w:cs="Arial"/>
          <w:sz w:val="22"/>
          <w:szCs w:val="22"/>
        </w:rPr>
        <w:t xml:space="preserve">of </w:t>
      </w:r>
      <w:r w:rsidR="0048362A" w:rsidRPr="009E358A">
        <w:rPr>
          <w:rStyle w:val="s1"/>
          <w:rFonts w:ascii="Arial" w:hAnsi="Arial" w:cs="Arial"/>
          <w:sz w:val="22"/>
          <w:szCs w:val="22"/>
        </w:rPr>
        <w:t>antibody</w:t>
      </w:r>
      <w:r w:rsidR="00DE2E89" w:rsidRPr="009E358A">
        <w:rPr>
          <w:rStyle w:val="s1"/>
          <w:rFonts w:ascii="Arial" w:hAnsi="Arial" w:cs="Arial"/>
          <w:sz w:val="22"/>
          <w:szCs w:val="22"/>
        </w:rPr>
        <w:t>-</w:t>
      </w:r>
      <w:r w:rsidR="0048362A" w:rsidRPr="009E358A">
        <w:rPr>
          <w:rStyle w:val="s1"/>
          <w:rFonts w:ascii="Arial" w:hAnsi="Arial" w:cs="Arial"/>
          <w:sz w:val="22"/>
          <w:szCs w:val="22"/>
        </w:rPr>
        <w:t>bound T cells</w:t>
      </w:r>
      <w:r w:rsidR="00DE2E89" w:rsidRPr="009E358A">
        <w:rPr>
          <w:rStyle w:val="s1"/>
          <w:rFonts w:ascii="Arial" w:hAnsi="Arial" w:cs="Arial"/>
          <w:sz w:val="22"/>
          <w:szCs w:val="22"/>
        </w:rPr>
        <w:t>,</w:t>
      </w:r>
      <w:r w:rsidR="0048362A" w:rsidRPr="009E358A">
        <w:rPr>
          <w:rStyle w:val="s1"/>
          <w:rFonts w:ascii="Arial" w:hAnsi="Arial" w:cs="Arial"/>
          <w:sz w:val="22"/>
          <w:szCs w:val="22"/>
        </w:rPr>
        <w:t xml:space="preserve"> and antigen screening using collected tissue sample</w:t>
      </w:r>
      <w:r w:rsidR="00DE2E89" w:rsidRPr="009E358A">
        <w:rPr>
          <w:rStyle w:val="s1"/>
          <w:rFonts w:ascii="Arial" w:hAnsi="Arial" w:cs="Arial"/>
          <w:sz w:val="22"/>
          <w:szCs w:val="22"/>
        </w:rPr>
        <w:t>s</w:t>
      </w:r>
      <w:r w:rsidR="0048362A" w:rsidRPr="009E358A">
        <w:rPr>
          <w:rStyle w:val="s1"/>
          <w:rFonts w:ascii="Arial" w:hAnsi="Arial" w:cs="Arial"/>
          <w:sz w:val="22"/>
          <w:szCs w:val="22"/>
        </w:rPr>
        <w:t xml:space="preserve">. </w:t>
      </w:r>
    </w:p>
    <w:p w14:paraId="0FA1AF3A" w14:textId="6CF8A69F" w:rsidR="00CB5399" w:rsidRPr="009E358A" w:rsidRDefault="000F0D9C" w:rsidP="004D1CED">
      <w:pPr>
        <w:spacing w:line="360" w:lineRule="auto"/>
        <w:contextualSpacing/>
        <w:rPr>
          <w:rFonts w:ascii="Arial" w:hAnsi="Arial" w:cs="Arial"/>
          <w:sz w:val="20"/>
          <w:szCs w:val="21"/>
        </w:rPr>
      </w:pPr>
      <w:r w:rsidRPr="009E358A">
        <w:rPr>
          <w:rFonts w:ascii="Arial" w:hAnsi="Arial" w:cs="Arial"/>
          <w:b/>
          <w:bCs/>
          <w:noProof/>
          <w:sz w:val="22"/>
        </w:rPr>
        <w:drawing>
          <wp:inline distT="0" distB="0" distL="0" distR="0" wp14:anchorId="1A1D1621" wp14:editId="68E6A6E9">
            <wp:extent cx="5400000" cy="31494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3149460"/>
                    </a:xfrm>
                    <a:prstGeom prst="rect">
                      <a:avLst/>
                    </a:prstGeom>
                    <a:noFill/>
                    <a:ln>
                      <a:noFill/>
                    </a:ln>
                  </pic:spPr>
                </pic:pic>
              </a:graphicData>
            </a:graphic>
          </wp:inline>
        </w:drawing>
      </w:r>
    </w:p>
    <w:sectPr w:rsidR="00CB5399" w:rsidRPr="009E35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A3937" w14:textId="77777777" w:rsidR="00BE5F16" w:rsidRDefault="00BE5F16" w:rsidP="0021443A">
      <w:r>
        <w:separator/>
      </w:r>
    </w:p>
  </w:endnote>
  <w:endnote w:type="continuationSeparator" w:id="0">
    <w:p w14:paraId="0E393A49" w14:textId="77777777" w:rsidR="00BE5F16" w:rsidRDefault="00BE5F16" w:rsidP="0021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49F0E" w14:textId="77777777" w:rsidR="00BE5F16" w:rsidRDefault="00BE5F16" w:rsidP="0021443A">
      <w:r>
        <w:separator/>
      </w:r>
    </w:p>
  </w:footnote>
  <w:footnote w:type="continuationSeparator" w:id="0">
    <w:p w14:paraId="0E9B791E" w14:textId="77777777" w:rsidR="00BE5F16" w:rsidRDefault="00BE5F16" w:rsidP="00214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99"/>
    <w:rsid w:val="00017059"/>
    <w:rsid w:val="000212C4"/>
    <w:rsid w:val="00071C57"/>
    <w:rsid w:val="00085E31"/>
    <w:rsid w:val="000B7466"/>
    <w:rsid w:val="000F0D9C"/>
    <w:rsid w:val="000F3AF3"/>
    <w:rsid w:val="00103F64"/>
    <w:rsid w:val="001336D7"/>
    <w:rsid w:val="001655CB"/>
    <w:rsid w:val="00195BEE"/>
    <w:rsid w:val="001D6CCF"/>
    <w:rsid w:val="001E6C5C"/>
    <w:rsid w:val="001F50FA"/>
    <w:rsid w:val="0021443A"/>
    <w:rsid w:val="002F5A50"/>
    <w:rsid w:val="0030341D"/>
    <w:rsid w:val="00332606"/>
    <w:rsid w:val="0033755E"/>
    <w:rsid w:val="003476F4"/>
    <w:rsid w:val="00362B86"/>
    <w:rsid w:val="003816A5"/>
    <w:rsid w:val="003C3B40"/>
    <w:rsid w:val="003D43AE"/>
    <w:rsid w:val="003D783E"/>
    <w:rsid w:val="003E3A88"/>
    <w:rsid w:val="0044660F"/>
    <w:rsid w:val="004755F8"/>
    <w:rsid w:val="0048362A"/>
    <w:rsid w:val="00487AB4"/>
    <w:rsid w:val="004B04E9"/>
    <w:rsid w:val="004D0D70"/>
    <w:rsid w:val="004D1CED"/>
    <w:rsid w:val="004D5E01"/>
    <w:rsid w:val="004F1D9D"/>
    <w:rsid w:val="004F6113"/>
    <w:rsid w:val="00516350"/>
    <w:rsid w:val="005667F8"/>
    <w:rsid w:val="00575B37"/>
    <w:rsid w:val="005F47C6"/>
    <w:rsid w:val="006223FA"/>
    <w:rsid w:val="00692D4D"/>
    <w:rsid w:val="006B3DCD"/>
    <w:rsid w:val="006C1AEA"/>
    <w:rsid w:val="006D48F0"/>
    <w:rsid w:val="007542B1"/>
    <w:rsid w:val="008021A2"/>
    <w:rsid w:val="00831614"/>
    <w:rsid w:val="00832075"/>
    <w:rsid w:val="0089194F"/>
    <w:rsid w:val="008A18C8"/>
    <w:rsid w:val="008F1CF4"/>
    <w:rsid w:val="00910953"/>
    <w:rsid w:val="009328C1"/>
    <w:rsid w:val="009624B6"/>
    <w:rsid w:val="00970F0B"/>
    <w:rsid w:val="00994899"/>
    <w:rsid w:val="009A768E"/>
    <w:rsid w:val="009B439C"/>
    <w:rsid w:val="009D0B21"/>
    <w:rsid w:val="009D3081"/>
    <w:rsid w:val="009E358A"/>
    <w:rsid w:val="009E5347"/>
    <w:rsid w:val="00A234D6"/>
    <w:rsid w:val="00A93A16"/>
    <w:rsid w:val="00AB6D18"/>
    <w:rsid w:val="00AE21A4"/>
    <w:rsid w:val="00B22020"/>
    <w:rsid w:val="00BA6A30"/>
    <w:rsid w:val="00BE5F16"/>
    <w:rsid w:val="00C14289"/>
    <w:rsid w:val="00C32733"/>
    <w:rsid w:val="00C74AB5"/>
    <w:rsid w:val="00CB5399"/>
    <w:rsid w:val="00CB6E12"/>
    <w:rsid w:val="00CD7281"/>
    <w:rsid w:val="00CE0701"/>
    <w:rsid w:val="00D22FE7"/>
    <w:rsid w:val="00D82B48"/>
    <w:rsid w:val="00DE2E89"/>
    <w:rsid w:val="00E5333A"/>
    <w:rsid w:val="00E760EC"/>
    <w:rsid w:val="00E96262"/>
    <w:rsid w:val="00EC0CBF"/>
    <w:rsid w:val="00F16E86"/>
    <w:rsid w:val="00F205C5"/>
    <w:rsid w:val="00F34ABD"/>
    <w:rsid w:val="00FB4188"/>
    <w:rsid w:val="00FB7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420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5E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085E31"/>
    <w:rPr>
      <w:b/>
      <w:bCs/>
    </w:rPr>
  </w:style>
  <w:style w:type="character" w:customStyle="1" w:styleId="s1">
    <w:name w:val="s1"/>
    <w:basedOn w:val="a0"/>
    <w:rsid w:val="004B04E9"/>
  </w:style>
  <w:style w:type="paragraph" w:styleId="a4">
    <w:name w:val="header"/>
    <w:basedOn w:val="a"/>
    <w:link w:val="a5"/>
    <w:uiPriority w:val="99"/>
    <w:unhideWhenUsed/>
    <w:rsid w:val="0021443A"/>
    <w:pPr>
      <w:tabs>
        <w:tab w:val="center" w:pos="4252"/>
        <w:tab w:val="right" w:pos="8504"/>
      </w:tabs>
      <w:snapToGrid w:val="0"/>
    </w:pPr>
  </w:style>
  <w:style w:type="character" w:customStyle="1" w:styleId="a5">
    <w:name w:val="ヘッダー (文字)"/>
    <w:basedOn w:val="a0"/>
    <w:link w:val="a4"/>
    <w:uiPriority w:val="99"/>
    <w:rsid w:val="0021443A"/>
  </w:style>
  <w:style w:type="paragraph" w:styleId="a6">
    <w:name w:val="footer"/>
    <w:basedOn w:val="a"/>
    <w:link w:val="a7"/>
    <w:uiPriority w:val="99"/>
    <w:unhideWhenUsed/>
    <w:rsid w:val="0021443A"/>
    <w:pPr>
      <w:tabs>
        <w:tab w:val="center" w:pos="4252"/>
        <w:tab w:val="right" w:pos="8504"/>
      </w:tabs>
      <w:snapToGrid w:val="0"/>
    </w:pPr>
  </w:style>
  <w:style w:type="character" w:customStyle="1" w:styleId="a7">
    <w:name w:val="フッター (文字)"/>
    <w:basedOn w:val="a0"/>
    <w:link w:val="a6"/>
    <w:uiPriority w:val="99"/>
    <w:rsid w:val="0021443A"/>
  </w:style>
  <w:style w:type="character" w:customStyle="1" w:styleId="st1">
    <w:name w:val="st1"/>
    <w:basedOn w:val="a0"/>
    <w:rsid w:val="006C1AEA"/>
  </w:style>
  <w:style w:type="character" w:customStyle="1" w:styleId="e24kjd">
    <w:name w:val="e24kjd"/>
    <w:basedOn w:val="a0"/>
    <w:rsid w:val="006C1AEA"/>
  </w:style>
  <w:style w:type="paragraph" w:styleId="a8">
    <w:name w:val="Balloon Text"/>
    <w:basedOn w:val="a"/>
    <w:link w:val="a9"/>
    <w:uiPriority w:val="99"/>
    <w:semiHidden/>
    <w:unhideWhenUsed/>
    <w:rsid w:val="003D43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43AE"/>
    <w:rPr>
      <w:rFonts w:asciiTheme="majorHAnsi" w:eastAsiaTheme="majorEastAsia" w:hAnsiTheme="majorHAnsi" w:cstheme="majorBidi"/>
      <w:sz w:val="18"/>
      <w:szCs w:val="18"/>
    </w:rPr>
  </w:style>
  <w:style w:type="character" w:styleId="aa">
    <w:name w:val="annotation reference"/>
    <w:basedOn w:val="a0"/>
    <w:unhideWhenUsed/>
    <w:rsid w:val="00A93A16"/>
    <w:rPr>
      <w:sz w:val="16"/>
      <w:szCs w:val="16"/>
    </w:rPr>
  </w:style>
  <w:style w:type="paragraph" w:styleId="ab">
    <w:name w:val="annotation text"/>
    <w:basedOn w:val="a"/>
    <w:link w:val="ac"/>
    <w:unhideWhenUsed/>
    <w:rsid w:val="00A93A16"/>
    <w:rPr>
      <w:sz w:val="20"/>
      <w:szCs w:val="20"/>
    </w:rPr>
  </w:style>
  <w:style w:type="character" w:customStyle="1" w:styleId="ac">
    <w:name w:val="コメント文字列 (文字)"/>
    <w:basedOn w:val="a0"/>
    <w:link w:val="ab"/>
    <w:rsid w:val="00A93A16"/>
    <w:rPr>
      <w:sz w:val="20"/>
      <w:szCs w:val="20"/>
    </w:rPr>
  </w:style>
  <w:style w:type="paragraph" w:styleId="ad">
    <w:name w:val="annotation subject"/>
    <w:basedOn w:val="ab"/>
    <w:next w:val="ab"/>
    <w:link w:val="ae"/>
    <w:uiPriority w:val="99"/>
    <w:semiHidden/>
    <w:unhideWhenUsed/>
    <w:rsid w:val="00A93A16"/>
    <w:rPr>
      <w:b/>
      <w:bCs/>
    </w:rPr>
  </w:style>
  <w:style w:type="character" w:customStyle="1" w:styleId="ae">
    <w:name w:val="コメント内容 (文字)"/>
    <w:basedOn w:val="ac"/>
    <w:link w:val="ad"/>
    <w:uiPriority w:val="99"/>
    <w:semiHidden/>
    <w:rsid w:val="00A93A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40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term=Accurate+quantification+of+T-cells+expressing+PD-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1573</Words>
  <Characters>8970</Characters>
  <Application>Microsoft Office Word</Application>
  <DocSecurity>0</DocSecurity>
  <Lines>74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2019-09-11T04:45:00Z</dcterms:created>
  <dcterms:modified xsi:type="dcterms:W3CDTF">2019-09-11T08:31:00Z</dcterms:modified>
</cp:coreProperties>
</file>