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C29CF" w14:textId="1A610EDE" w:rsidR="00143509" w:rsidRDefault="007314F2"/>
    <w:p w14:paraId="18842D4C" w14:textId="21CA7D80" w:rsidR="002F6861" w:rsidRDefault="002F6861"/>
    <w:p w14:paraId="0A93D375" w14:textId="77777777" w:rsidR="002E6F4B" w:rsidRDefault="002E6F4B" w:rsidP="00402228">
      <w:pPr>
        <w:spacing w:after="0" w:line="240" w:lineRule="auto"/>
      </w:pPr>
    </w:p>
    <w:p w14:paraId="13BCBA91" w14:textId="77777777" w:rsidR="00C57D8B" w:rsidRDefault="00C57D8B" w:rsidP="00402228">
      <w:pPr>
        <w:spacing w:after="0" w:line="240" w:lineRule="auto"/>
        <w:rPr>
          <w:sz w:val="24"/>
          <w:szCs w:val="24"/>
        </w:rPr>
      </w:pPr>
    </w:p>
    <w:p w14:paraId="2C9C9306" w14:textId="77777777" w:rsidR="00C57D8B" w:rsidRDefault="00C57D8B" w:rsidP="00402228">
      <w:pPr>
        <w:spacing w:after="0" w:line="240" w:lineRule="auto"/>
        <w:rPr>
          <w:sz w:val="24"/>
          <w:szCs w:val="24"/>
        </w:rPr>
      </w:pPr>
    </w:p>
    <w:p w14:paraId="286462A7" w14:textId="4A4DFAD5" w:rsidR="002F6861" w:rsidRPr="002E6F4B" w:rsidRDefault="002F6861" w:rsidP="00402228">
      <w:pPr>
        <w:spacing w:after="0" w:line="240" w:lineRule="auto"/>
        <w:rPr>
          <w:sz w:val="24"/>
          <w:szCs w:val="24"/>
        </w:rPr>
      </w:pPr>
      <w:r w:rsidRPr="002E6F4B">
        <w:rPr>
          <w:sz w:val="24"/>
          <w:szCs w:val="24"/>
        </w:rPr>
        <w:t xml:space="preserve">Dear </w:t>
      </w:r>
      <w:r w:rsidR="00355E1C">
        <w:rPr>
          <w:sz w:val="24"/>
          <w:szCs w:val="24"/>
        </w:rPr>
        <w:t>Editors,</w:t>
      </w:r>
    </w:p>
    <w:p w14:paraId="6EF2ADF2" w14:textId="77777777" w:rsidR="00402228" w:rsidRPr="002E6F4B" w:rsidRDefault="00402228" w:rsidP="00402228">
      <w:pPr>
        <w:spacing w:after="0" w:line="240" w:lineRule="auto"/>
        <w:rPr>
          <w:sz w:val="24"/>
          <w:szCs w:val="24"/>
        </w:rPr>
      </w:pPr>
    </w:p>
    <w:p w14:paraId="51591887" w14:textId="77777777" w:rsidR="00355E1C" w:rsidRDefault="002F6861" w:rsidP="00402228">
      <w:pPr>
        <w:spacing w:after="0" w:line="240" w:lineRule="auto"/>
        <w:rPr>
          <w:sz w:val="24"/>
          <w:szCs w:val="24"/>
        </w:rPr>
      </w:pPr>
      <w:r w:rsidRPr="002E6F4B">
        <w:rPr>
          <w:sz w:val="24"/>
          <w:szCs w:val="24"/>
        </w:rPr>
        <w:t xml:space="preserve">We </w:t>
      </w:r>
      <w:r w:rsidR="00355E1C">
        <w:rPr>
          <w:sz w:val="24"/>
          <w:szCs w:val="24"/>
        </w:rPr>
        <w:t xml:space="preserve">thank the reviewers for their generous comments on the manuscript and have edited the manuscript to address their concerns.  </w:t>
      </w:r>
    </w:p>
    <w:p w14:paraId="6B1C1FB0" w14:textId="77777777" w:rsidR="00355E1C" w:rsidRDefault="00355E1C" w:rsidP="00402228">
      <w:pPr>
        <w:spacing w:after="0" w:line="240" w:lineRule="auto"/>
        <w:rPr>
          <w:sz w:val="24"/>
          <w:szCs w:val="24"/>
        </w:rPr>
      </w:pPr>
    </w:p>
    <w:p w14:paraId="2FA764E4" w14:textId="331AE2E7" w:rsidR="002F6861" w:rsidRDefault="004F20A3" w:rsidP="00402228">
      <w:pPr>
        <w:spacing w:after="0" w:line="240" w:lineRule="auto"/>
        <w:rPr>
          <w:sz w:val="24"/>
          <w:szCs w:val="24"/>
        </w:rPr>
      </w:pPr>
      <w:r>
        <w:rPr>
          <w:sz w:val="24"/>
          <w:szCs w:val="24"/>
        </w:rPr>
        <w:t>W</w:t>
      </w:r>
      <w:r w:rsidR="00355E1C">
        <w:rPr>
          <w:sz w:val="24"/>
          <w:szCs w:val="24"/>
        </w:rPr>
        <w:t>e have</w:t>
      </w:r>
      <w:r>
        <w:rPr>
          <w:sz w:val="24"/>
          <w:szCs w:val="24"/>
        </w:rPr>
        <w:t xml:space="preserve"> clarified the rational</w:t>
      </w:r>
      <w:r w:rsidR="006A033B">
        <w:rPr>
          <w:sz w:val="24"/>
          <w:szCs w:val="24"/>
        </w:rPr>
        <w:t>e</w:t>
      </w:r>
      <w:r>
        <w:rPr>
          <w:sz w:val="24"/>
          <w:szCs w:val="24"/>
        </w:rPr>
        <w:t xml:space="preserve"> for 24 hours delayed inoculation with </w:t>
      </w:r>
      <w:r w:rsidRPr="00C57D8B">
        <w:rPr>
          <w:i/>
          <w:iCs/>
          <w:sz w:val="24"/>
          <w:szCs w:val="24"/>
        </w:rPr>
        <w:t>P. aeruginosa</w:t>
      </w:r>
      <w:r>
        <w:rPr>
          <w:sz w:val="24"/>
          <w:szCs w:val="24"/>
        </w:rPr>
        <w:t xml:space="preserve"> as opposed to other timeframes.  We have also expanded our discussion of the counting of CFUs from wounds as an alternative strategy to bioluminescent imaging for quantifying the bacterial load.  Additionally, we have made the requested formatting changes and uploaded the figures as EPS files.  </w:t>
      </w:r>
    </w:p>
    <w:p w14:paraId="69C9CD9D" w14:textId="7DE1E8C8" w:rsidR="004F20A3" w:rsidRDefault="004F20A3" w:rsidP="00402228">
      <w:pPr>
        <w:spacing w:after="0" w:line="240" w:lineRule="auto"/>
        <w:rPr>
          <w:sz w:val="24"/>
          <w:szCs w:val="24"/>
        </w:rPr>
      </w:pPr>
    </w:p>
    <w:p w14:paraId="5EAC3E4F" w14:textId="390C249B" w:rsidR="00C57D8B" w:rsidRDefault="004F20A3" w:rsidP="00402228">
      <w:pPr>
        <w:spacing w:after="0" w:line="240" w:lineRule="auto"/>
        <w:rPr>
          <w:sz w:val="24"/>
          <w:szCs w:val="24"/>
        </w:rPr>
      </w:pPr>
      <w:r>
        <w:rPr>
          <w:sz w:val="24"/>
          <w:szCs w:val="24"/>
        </w:rPr>
        <w:t>The detailed resp</w:t>
      </w:r>
      <w:bookmarkStart w:id="0" w:name="_GoBack"/>
      <w:bookmarkEnd w:id="0"/>
      <w:r>
        <w:rPr>
          <w:sz w:val="24"/>
          <w:szCs w:val="24"/>
        </w:rPr>
        <w:t xml:space="preserve">onses to the reviewers’ comments are </w:t>
      </w:r>
      <w:r w:rsidR="00C57D8B">
        <w:rPr>
          <w:sz w:val="24"/>
          <w:szCs w:val="24"/>
        </w:rPr>
        <w:t>included in the following pages.  Thank you for your consideration of this manuscript.  We look forward to hearing from you regarding our submission.  We would be glad to respond to any further questions and comments that you may have.</w:t>
      </w:r>
    </w:p>
    <w:p w14:paraId="15BD53CC" w14:textId="77777777" w:rsidR="00C57D8B" w:rsidRPr="002E6F4B" w:rsidRDefault="00C57D8B" w:rsidP="00C57D8B">
      <w:pPr>
        <w:rPr>
          <w:sz w:val="24"/>
          <w:szCs w:val="24"/>
        </w:rPr>
      </w:pPr>
    </w:p>
    <w:p w14:paraId="1B446A1E" w14:textId="77777777" w:rsidR="00C57D8B" w:rsidRPr="002E6F4B" w:rsidRDefault="00C57D8B" w:rsidP="00C57D8B">
      <w:pPr>
        <w:rPr>
          <w:sz w:val="24"/>
          <w:szCs w:val="24"/>
        </w:rPr>
      </w:pPr>
      <w:r w:rsidRPr="002E6F4B">
        <w:rPr>
          <w:sz w:val="24"/>
          <w:szCs w:val="24"/>
        </w:rPr>
        <w:t>Sincerely,</w:t>
      </w:r>
    </w:p>
    <w:p w14:paraId="2AA7BA17" w14:textId="77777777" w:rsidR="00C57D8B" w:rsidRPr="002E6F4B" w:rsidRDefault="00C57D8B" w:rsidP="00C57D8B">
      <w:pPr>
        <w:rPr>
          <w:sz w:val="24"/>
          <w:szCs w:val="24"/>
        </w:rPr>
      </w:pPr>
    </w:p>
    <w:p w14:paraId="7F9AC6AA" w14:textId="77777777" w:rsidR="00C57D8B" w:rsidRPr="002E6F4B" w:rsidRDefault="00C57D8B" w:rsidP="00C57D8B">
      <w:pPr>
        <w:spacing w:after="0" w:line="240" w:lineRule="auto"/>
        <w:rPr>
          <w:sz w:val="24"/>
          <w:szCs w:val="24"/>
        </w:rPr>
      </w:pPr>
      <w:r w:rsidRPr="002E6F4B">
        <w:rPr>
          <w:sz w:val="24"/>
          <w:szCs w:val="24"/>
        </w:rPr>
        <w:t>Christiaan R. de Vries, MD, PhD</w:t>
      </w:r>
    </w:p>
    <w:p w14:paraId="6FC45E71" w14:textId="77777777" w:rsidR="00C57D8B" w:rsidRPr="002E6F4B" w:rsidRDefault="00C57D8B" w:rsidP="00C57D8B">
      <w:pPr>
        <w:spacing w:after="0" w:line="240" w:lineRule="auto"/>
        <w:rPr>
          <w:sz w:val="24"/>
          <w:szCs w:val="24"/>
        </w:rPr>
      </w:pPr>
      <w:r w:rsidRPr="002E6F4B">
        <w:rPr>
          <w:sz w:val="24"/>
          <w:szCs w:val="24"/>
        </w:rPr>
        <w:t>Medical Fellow</w:t>
      </w:r>
    </w:p>
    <w:p w14:paraId="5B680A76" w14:textId="77777777" w:rsidR="00C57D8B" w:rsidRPr="002E6F4B" w:rsidRDefault="00C57D8B" w:rsidP="00C57D8B">
      <w:pPr>
        <w:spacing w:after="0" w:line="240" w:lineRule="auto"/>
        <w:rPr>
          <w:sz w:val="24"/>
          <w:szCs w:val="24"/>
        </w:rPr>
      </w:pPr>
      <w:r w:rsidRPr="002E6F4B">
        <w:rPr>
          <w:sz w:val="24"/>
          <w:szCs w:val="24"/>
        </w:rPr>
        <w:t>Division of Infectious Diseases and Geographic Medicine</w:t>
      </w:r>
    </w:p>
    <w:p w14:paraId="416642FC" w14:textId="77777777" w:rsidR="00C57D8B" w:rsidRPr="002E6F4B" w:rsidRDefault="00C57D8B" w:rsidP="00C57D8B">
      <w:pPr>
        <w:spacing w:after="0" w:line="240" w:lineRule="auto"/>
        <w:rPr>
          <w:sz w:val="24"/>
          <w:szCs w:val="24"/>
        </w:rPr>
      </w:pPr>
      <w:r w:rsidRPr="002E6F4B">
        <w:rPr>
          <w:sz w:val="24"/>
          <w:szCs w:val="24"/>
        </w:rPr>
        <w:t>Stanford University School of Medicine</w:t>
      </w:r>
    </w:p>
    <w:p w14:paraId="21E527B4" w14:textId="474B8DB2" w:rsidR="00C57D8B" w:rsidRDefault="00C57D8B">
      <w:pPr>
        <w:rPr>
          <w:sz w:val="24"/>
          <w:szCs w:val="24"/>
        </w:rPr>
      </w:pPr>
      <w:r>
        <w:rPr>
          <w:sz w:val="24"/>
          <w:szCs w:val="24"/>
        </w:rPr>
        <w:br w:type="page"/>
      </w:r>
    </w:p>
    <w:p w14:paraId="2C8A8ED9" w14:textId="77777777" w:rsidR="004F20A3" w:rsidRPr="00C57D8B" w:rsidRDefault="004F20A3" w:rsidP="00C57D8B">
      <w:pPr>
        <w:spacing w:after="0" w:line="240" w:lineRule="auto"/>
        <w:rPr>
          <w:rFonts w:eastAsia="Times New Roman" w:cstheme="minorHAnsi"/>
          <w:b/>
          <w:bCs/>
          <w:color w:val="323130"/>
          <w:sz w:val="24"/>
          <w:szCs w:val="24"/>
          <w:shd w:val="clear" w:color="auto" w:fill="FFFFFF"/>
        </w:rPr>
      </w:pPr>
      <w:r w:rsidRPr="00C57D8B">
        <w:rPr>
          <w:rFonts w:eastAsia="Times New Roman" w:cstheme="minorHAnsi"/>
          <w:b/>
          <w:bCs/>
          <w:color w:val="323130"/>
          <w:sz w:val="24"/>
          <w:szCs w:val="24"/>
          <w:shd w:val="clear" w:color="auto" w:fill="FFFFFF"/>
        </w:rPr>
        <w:lastRenderedPageBreak/>
        <w:t>Reviewer #1:</w:t>
      </w:r>
    </w:p>
    <w:p w14:paraId="0A5BAFEB" w14:textId="77777777" w:rsidR="00C57D8B" w:rsidRPr="00C57D8B" w:rsidRDefault="00C57D8B" w:rsidP="00C57D8B">
      <w:pPr>
        <w:spacing w:after="0" w:line="240" w:lineRule="auto"/>
        <w:rPr>
          <w:rFonts w:eastAsia="Times New Roman" w:cstheme="minorHAnsi"/>
          <w:color w:val="323130"/>
          <w:sz w:val="24"/>
          <w:szCs w:val="24"/>
          <w:shd w:val="clear" w:color="auto" w:fill="FFFFFF"/>
        </w:rPr>
      </w:pPr>
    </w:p>
    <w:p w14:paraId="381B1147" w14:textId="41E1B14D" w:rsidR="004F20A3" w:rsidRPr="00C57D8B" w:rsidRDefault="004F20A3" w:rsidP="00C57D8B">
      <w:pPr>
        <w:spacing w:after="0" w:line="240" w:lineRule="auto"/>
        <w:rPr>
          <w:rFonts w:eastAsia="Times New Roman" w:cstheme="minorHAnsi"/>
          <w:color w:val="323130"/>
          <w:sz w:val="24"/>
          <w:szCs w:val="24"/>
          <w:shd w:val="clear" w:color="auto" w:fill="FFFFFF"/>
        </w:rPr>
      </w:pPr>
      <w:r w:rsidRPr="00C57D8B">
        <w:rPr>
          <w:rFonts w:eastAsia="Times New Roman" w:cstheme="minorHAnsi"/>
          <w:color w:val="323130"/>
          <w:sz w:val="24"/>
          <w:szCs w:val="24"/>
          <w:shd w:val="clear" w:color="auto" w:fill="FFFFFF"/>
        </w:rPr>
        <w:t>Minor Concerns:</w:t>
      </w:r>
      <w:r w:rsidRPr="00C57D8B">
        <w:rPr>
          <w:rFonts w:eastAsia="Times New Roman" w:cstheme="minorHAnsi"/>
          <w:color w:val="323130"/>
          <w:sz w:val="24"/>
          <w:szCs w:val="24"/>
        </w:rPr>
        <w:br/>
      </w:r>
      <w:r w:rsidRPr="00C57D8B">
        <w:rPr>
          <w:rFonts w:eastAsia="Times New Roman" w:cstheme="minorHAnsi"/>
          <w:color w:val="323130"/>
          <w:sz w:val="24"/>
          <w:szCs w:val="24"/>
          <w:shd w:val="clear" w:color="auto" w:fill="FFFFFF"/>
        </w:rPr>
        <w:t>1) Intro: "Other models use mice that are immunocompromised due to advanced age, obesity, or diabetes." The authors might consider referencing models in which cyclophosphamide is injected to induce neutropenia, which has been used for P aeruginosa and other bacteria.</w:t>
      </w:r>
    </w:p>
    <w:p w14:paraId="0172A611" w14:textId="77777777" w:rsidR="004F20A3" w:rsidRPr="00C57D8B" w:rsidRDefault="004F20A3" w:rsidP="00C57D8B">
      <w:pPr>
        <w:spacing w:after="0" w:line="240" w:lineRule="auto"/>
        <w:rPr>
          <w:rFonts w:eastAsia="Times New Roman" w:cstheme="minorHAnsi"/>
          <w:color w:val="323130"/>
          <w:sz w:val="24"/>
          <w:szCs w:val="24"/>
          <w:shd w:val="clear" w:color="auto" w:fill="FFFFFF"/>
        </w:rPr>
      </w:pPr>
    </w:p>
    <w:p w14:paraId="2659826A" w14:textId="77777777" w:rsidR="004F20A3" w:rsidRPr="00C57D8B" w:rsidRDefault="004F20A3" w:rsidP="00C57D8B">
      <w:pPr>
        <w:spacing w:after="0" w:line="240" w:lineRule="auto"/>
        <w:rPr>
          <w:rFonts w:eastAsia="Times New Roman" w:cstheme="minorHAnsi"/>
          <w:color w:val="4472C4" w:themeColor="accent1"/>
          <w:sz w:val="24"/>
          <w:szCs w:val="24"/>
          <w:shd w:val="clear" w:color="auto" w:fill="FFFFFF"/>
        </w:rPr>
      </w:pPr>
      <w:r w:rsidRPr="00C57D8B">
        <w:rPr>
          <w:rFonts w:eastAsia="Times New Roman" w:cstheme="minorHAnsi"/>
          <w:color w:val="4472C4" w:themeColor="accent1"/>
          <w:sz w:val="24"/>
          <w:szCs w:val="24"/>
          <w:shd w:val="clear" w:color="auto" w:fill="FFFFFF"/>
        </w:rPr>
        <w:t>We have added the following reference in the Introduction regarding a model using cyclophosphamide to induce neutropenia:</w:t>
      </w:r>
    </w:p>
    <w:p w14:paraId="52ECE4BD" w14:textId="77777777" w:rsidR="004F20A3" w:rsidRPr="00C57D8B" w:rsidRDefault="004F20A3" w:rsidP="00C57D8B">
      <w:pPr>
        <w:spacing w:after="0" w:line="240" w:lineRule="auto"/>
        <w:rPr>
          <w:rFonts w:eastAsia="Times New Roman" w:cstheme="minorHAnsi"/>
          <w:color w:val="4472C4" w:themeColor="accent1"/>
          <w:sz w:val="24"/>
          <w:szCs w:val="24"/>
        </w:rPr>
      </w:pPr>
      <w:r w:rsidRPr="00C57D8B">
        <w:rPr>
          <w:rFonts w:eastAsia="Times New Roman" w:cstheme="minorHAnsi"/>
          <w:color w:val="4472C4" w:themeColor="accent1"/>
          <w:sz w:val="24"/>
          <w:szCs w:val="24"/>
        </w:rPr>
        <w:t xml:space="preserve">Lee, C., Kerrigan, C. L. &amp; Picard-Ami, L. A. Cyclophosphamide-induced neutropenia: effect on </w:t>
      </w:r>
      <w:proofErr w:type="spellStart"/>
      <w:r w:rsidRPr="00C57D8B">
        <w:rPr>
          <w:rFonts w:eastAsia="Times New Roman" w:cstheme="minorHAnsi"/>
          <w:color w:val="4472C4" w:themeColor="accent1"/>
          <w:sz w:val="24"/>
          <w:szCs w:val="24"/>
        </w:rPr>
        <w:t>postischemic</w:t>
      </w:r>
      <w:proofErr w:type="spellEnd"/>
      <w:r w:rsidRPr="00C57D8B">
        <w:rPr>
          <w:rFonts w:eastAsia="Times New Roman" w:cstheme="minorHAnsi"/>
          <w:color w:val="4472C4" w:themeColor="accent1"/>
          <w:sz w:val="24"/>
          <w:szCs w:val="24"/>
        </w:rPr>
        <w:t xml:space="preserve"> skin-flap survival. Plastic and Reconstructive Surg. 89 (6), 1092-1097 (1992).</w:t>
      </w:r>
    </w:p>
    <w:p w14:paraId="65100FE5" w14:textId="77777777" w:rsidR="004F20A3" w:rsidRPr="00C57D8B" w:rsidRDefault="004F20A3" w:rsidP="00C57D8B">
      <w:pPr>
        <w:spacing w:after="0" w:line="240" w:lineRule="auto"/>
        <w:rPr>
          <w:rFonts w:eastAsia="Times New Roman" w:cstheme="minorHAnsi"/>
          <w:color w:val="323130"/>
          <w:sz w:val="24"/>
          <w:szCs w:val="24"/>
          <w:shd w:val="clear" w:color="auto" w:fill="FFFFFF"/>
        </w:rPr>
      </w:pPr>
      <w:r w:rsidRPr="00C57D8B">
        <w:rPr>
          <w:rFonts w:eastAsia="Times New Roman" w:cstheme="minorHAnsi"/>
          <w:color w:val="323130"/>
          <w:sz w:val="24"/>
          <w:szCs w:val="24"/>
        </w:rPr>
        <w:br/>
      </w:r>
      <w:r w:rsidRPr="00C57D8B">
        <w:rPr>
          <w:rFonts w:eastAsia="Times New Roman" w:cstheme="minorHAnsi"/>
          <w:color w:val="323130"/>
          <w:sz w:val="24"/>
          <w:szCs w:val="24"/>
          <w:shd w:val="clear" w:color="auto" w:fill="FFFFFF"/>
        </w:rPr>
        <w:t>2) Section 4: The authors excise two wounds independently rather than simply punching through skin that is folded down the midline (creating two bilateral wounds) which is common for excisional mouse wounds. The authors may want to comment on the pros/cons of each method or why they chose to excise the skin using the stated method.</w:t>
      </w:r>
    </w:p>
    <w:p w14:paraId="343EB5A2" w14:textId="77777777" w:rsidR="004F20A3" w:rsidRPr="00C57D8B" w:rsidRDefault="004F20A3" w:rsidP="00C57D8B">
      <w:pPr>
        <w:spacing w:after="0" w:line="240" w:lineRule="auto"/>
        <w:rPr>
          <w:rFonts w:eastAsia="Times New Roman" w:cstheme="minorHAnsi"/>
          <w:color w:val="323130"/>
          <w:sz w:val="24"/>
          <w:szCs w:val="24"/>
          <w:shd w:val="clear" w:color="auto" w:fill="FFFFFF"/>
        </w:rPr>
      </w:pPr>
    </w:p>
    <w:p w14:paraId="64CAE1D7" w14:textId="77777777" w:rsidR="004F20A3" w:rsidRPr="00C57D8B" w:rsidRDefault="004F20A3" w:rsidP="00C57D8B">
      <w:pPr>
        <w:spacing w:after="0" w:line="240" w:lineRule="auto"/>
        <w:rPr>
          <w:rFonts w:eastAsia="Times New Roman" w:cstheme="minorHAnsi"/>
          <w:color w:val="4472C4" w:themeColor="accent1"/>
          <w:sz w:val="24"/>
          <w:szCs w:val="24"/>
        </w:rPr>
      </w:pPr>
      <w:bookmarkStart w:id="1" w:name="_Hlk17302503"/>
      <w:r w:rsidRPr="00C57D8B">
        <w:rPr>
          <w:rFonts w:eastAsia="Times New Roman" w:cstheme="minorHAnsi"/>
          <w:color w:val="4472C4" w:themeColor="accent1"/>
          <w:sz w:val="24"/>
          <w:szCs w:val="24"/>
          <w:shd w:val="clear" w:color="auto" w:fill="FFFFFF"/>
        </w:rPr>
        <w:t>We evaluated protocols involving folding the skin and “punching through” in this manner. We found that this approach was terrific for producing symmetrical wounds with clean margins. However, mice treated in this manner typically became septic quickly after bacterial inoculation and died. We believe that this may be because this folding method removes the dermal </w:t>
      </w:r>
      <w:r w:rsidRPr="00C57D8B">
        <w:rPr>
          <w:rFonts w:eastAsia="Times New Roman" w:cstheme="minorHAnsi"/>
          <w:color w:val="4472C4" w:themeColor="accent1"/>
          <w:sz w:val="24"/>
          <w:szCs w:val="24"/>
        </w:rPr>
        <w:t>Panniculus</w:t>
      </w:r>
      <w:r w:rsidRPr="00C57D8B">
        <w:rPr>
          <w:rFonts w:eastAsia="Times New Roman" w:cstheme="minorHAnsi"/>
          <w:color w:val="4472C4" w:themeColor="accent1"/>
          <w:sz w:val="24"/>
          <w:szCs w:val="24"/>
          <w:shd w:val="clear" w:color="auto" w:fill="FFFFFF"/>
        </w:rPr>
        <w:t> carnosus</w:t>
      </w:r>
      <w:r w:rsidRPr="00C57D8B">
        <w:rPr>
          <w:rFonts w:eastAsia="Times New Roman" w:cstheme="minorHAnsi"/>
          <w:color w:val="4472C4" w:themeColor="accent1"/>
          <w:sz w:val="24"/>
          <w:szCs w:val="24"/>
        </w:rPr>
        <w:t xml:space="preserve"> - a thin layer of muscle underlying the skin of mice that is not present in humans. We speculate that this barrier may help prevent bacterial dissemination. </w:t>
      </w:r>
      <w:bookmarkEnd w:id="1"/>
      <w:r w:rsidRPr="00C57D8B">
        <w:rPr>
          <w:rFonts w:eastAsia="Times New Roman" w:cstheme="minorHAnsi"/>
          <w:color w:val="4472C4" w:themeColor="accent1"/>
          <w:sz w:val="24"/>
          <w:szCs w:val="24"/>
        </w:rPr>
        <w:t xml:space="preserve">This is of course useful information and text on this point has been added to the manuscript. </w:t>
      </w:r>
    </w:p>
    <w:p w14:paraId="5646D4B7" w14:textId="77777777" w:rsidR="004F20A3" w:rsidRPr="00C57D8B" w:rsidRDefault="004F20A3" w:rsidP="00C57D8B">
      <w:pPr>
        <w:spacing w:after="0" w:line="240" w:lineRule="auto"/>
        <w:rPr>
          <w:rFonts w:eastAsia="Times New Roman" w:cstheme="minorHAnsi"/>
          <w:sz w:val="24"/>
          <w:szCs w:val="24"/>
        </w:rPr>
      </w:pPr>
    </w:p>
    <w:p w14:paraId="765B41A0" w14:textId="77777777" w:rsidR="004F20A3" w:rsidRPr="00C57D8B" w:rsidRDefault="004F20A3" w:rsidP="00C57D8B">
      <w:pPr>
        <w:spacing w:after="0" w:line="240" w:lineRule="auto"/>
        <w:rPr>
          <w:rFonts w:eastAsia="Times New Roman" w:cstheme="minorHAnsi"/>
          <w:color w:val="323130"/>
          <w:sz w:val="24"/>
          <w:szCs w:val="24"/>
        </w:rPr>
      </w:pPr>
      <w:r w:rsidRPr="00C57D8B">
        <w:rPr>
          <w:rFonts w:eastAsia="Times New Roman" w:cstheme="minorHAnsi"/>
          <w:color w:val="323130"/>
          <w:sz w:val="24"/>
          <w:szCs w:val="24"/>
          <w:shd w:val="clear" w:color="auto" w:fill="FFFFFF"/>
        </w:rPr>
        <w:t>3) Sections 4/5: It seems that minimal eschar should form at 24 hours in a wound covered with Tegaderm, yet the authors suggest eschar is important for biofilm formation. the authors could clarify or comment on this.</w:t>
      </w:r>
      <w:r w:rsidRPr="00C57D8B">
        <w:rPr>
          <w:rFonts w:eastAsia="Times New Roman" w:cstheme="minorHAnsi"/>
          <w:color w:val="323130"/>
          <w:sz w:val="24"/>
          <w:szCs w:val="24"/>
        </w:rPr>
        <w:br/>
      </w:r>
    </w:p>
    <w:p w14:paraId="25F18C77" w14:textId="77777777" w:rsidR="004F20A3" w:rsidRPr="00C57D8B" w:rsidRDefault="004F20A3" w:rsidP="00C57D8B">
      <w:pPr>
        <w:spacing w:after="0" w:line="240" w:lineRule="auto"/>
        <w:rPr>
          <w:rFonts w:eastAsia="Times New Roman" w:cstheme="minorHAnsi"/>
          <w:color w:val="4472C4" w:themeColor="accent1"/>
          <w:sz w:val="24"/>
          <w:szCs w:val="24"/>
        </w:rPr>
      </w:pPr>
      <w:r w:rsidRPr="00C57D8B">
        <w:rPr>
          <w:rFonts w:eastAsia="Times New Roman" w:cstheme="minorHAnsi"/>
          <w:color w:val="4472C4" w:themeColor="accent1"/>
          <w:sz w:val="24"/>
          <w:szCs w:val="24"/>
        </w:rPr>
        <w:t xml:space="preserve">We struggled with the correct terminology for the wound structure that is colonized by </w:t>
      </w:r>
      <w:r w:rsidRPr="00C57D8B">
        <w:rPr>
          <w:rFonts w:eastAsia="Times New Roman" w:cstheme="minorHAnsi"/>
          <w:i/>
          <w:iCs/>
          <w:color w:val="4472C4" w:themeColor="accent1"/>
          <w:sz w:val="24"/>
          <w:szCs w:val="24"/>
        </w:rPr>
        <w:t>P. aeruginosa</w:t>
      </w:r>
      <w:r w:rsidRPr="00C57D8B">
        <w:rPr>
          <w:rFonts w:eastAsia="Times New Roman" w:cstheme="minorHAnsi"/>
          <w:color w:val="4472C4" w:themeColor="accent1"/>
          <w:sz w:val="24"/>
          <w:szCs w:val="24"/>
        </w:rPr>
        <w:t xml:space="preserve"> in these early wounds. We agree that “eschar” implies dead, sloughed off tissue and this is not what is there at 24 hours after wounding.   We also considered “provisional wound matrix” but at 24 hours the material that is present is more cellular that a network of fibrin and platelets. Nonetheless, we agree that “provisional wound matrix” is closer to the truth. </w:t>
      </w:r>
      <w:proofErr w:type="gramStart"/>
      <w:r w:rsidRPr="00C57D8B">
        <w:rPr>
          <w:rFonts w:eastAsia="Times New Roman" w:cstheme="minorHAnsi"/>
          <w:color w:val="4472C4" w:themeColor="accent1"/>
          <w:sz w:val="24"/>
          <w:szCs w:val="24"/>
        </w:rPr>
        <w:t>Therefore</w:t>
      </w:r>
      <w:proofErr w:type="gramEnd"/>
      <w:r w:rsidRPr="00C57D8B">
        <w:rPr>
          <w:rFonts w:eastAsia="Times New Roman" w:cstheme="minorHAnsi"/>
          <w:color w:val="4472C4" w:themeColor="accent1"/>
          <w:sz w:val="24"/>
          <w:szCs w:val="24"/>
        </w:rPr>
        <w:t xml:space="preserve"> we have changed the text to read “provisional wound matrix” in place of “eschar”.  </w:t>
      </w:r>
    </w:p>
    <w:p w14:paraId="3EA67617" w14:textId="77777777" w:rsidR="004F20A3" w:rsidRPr="00C57D8B" w:rsidRDefault="004F20A3" w:rsidP="00C57D8B">
      <w:pPr>
        <w:spacing w:after="0" w:line="240" w:lineRule="auto"/>
        <w:rPr>
          <w:rFonts w:eastAsia="Times New Roman" w:cstheme="minorHAnsi"/>
          <w:color w:val="323130"/>
          <w:sz w:val="24"/>
          <w:szCs w:val="24"/>
          <w:shd w:val="clear" w:color="auto" w:fill="FFFFFF"/>
        </w:rPr>
      </w:pPr>
      <w:r w:rsidRPr="00C57D8B">
        <w:rPr>
          <w:rFonts w:eastAsia="Times New Roman" w:cstheme="minorHAnsi"/>
          <w:color w:val="4472C4" w:themeColor="accent1"/>
          <w:sz w:val="24"/>
          <w:szCs w:val="24"/>
        </w:rPr>
        <w:br/>
      </w:r>
      <w:r w:rsidRPr="00C57D8B">
        <w:rPr>
          <w:rFonts w:eastAsia="Times New Roman" w:cstheme="minorHAnsi"/>
          <w:color w:val="323130"/>
          <w:sz w:val="24"/>
          <w:szCs w:val="24"/>
          <w:shd w:val="clear" w:color="auto" w:fill="FFFFFF"/>
        </w:rPr>
        <w:t xml:space="preserve">4) Figure 3a: There seems to be quite a lot of variability between the two wounds. Were both wounds inoculated with the same </w:t>
      </w:r>
      <w:proofErr w:type="gramStart"/>
      <w:r w:rsidRPr="00C57D8B">
        <w:rPr>
          <w:rFonts w:eastAsia="Times New Roman" w:cstheme="minorHAnsi"/>
          <w:color w:val="323130"/>
          <w:sz w:val="24"/>
          <w:szCs w:val="24"/>
          <w:shd w:val="clear" w:color="auto" w:fill="FFFFFF"/>
        </w:rPr>
        <w:t>amount</w:t>
      </w:r>
      <w:proofErr w:type="gramEnd"/>
      <w:r w:rsidRPr="00C57D8B">
        <w:rPr>
          <w:rFonts w:eastAsia="Times New Roman" w:cstheme="minorHAnsi"/>
          <w:color w:val="323130"/>
          <w:sz w:val="24"/>
          <w:szCs w:val="24"/>
          <w:shd w:val="clear" w:color="auto" w:fill="FFFFFF"/>
        </w:rPr>
        <w:t xml:space="preserve"> of bacteria? It is assumed that separate mice should be used for non-inoculated/PBS controls (is cross-contamination a problem if one wound per mouse is inoculated and the contralateral side is not?) and that they need to be housed separately from inoculated mice. Perhaps this could be made clear in the text if this is the case.</w:t>
      </w:r>
    </w:p>
    <w:p w14:paraId="130D276D" w14:textId="77777777" w:rsidR="004F20A3" w:rsidRPr="00C57D8B" w:rsidRDefault="004F20A3" w:rsidP="00C57D8B">
      <w:pPr>
        <w:spacing w:after="0" w:line="240" w:lineRule="auto"/>
        <w:rPr>
          <w:rFonts w:eastAsia="Times New Roman" w:cstheme="minorHAnsi"/>
          <w:color w:val="323130"/>
          <w:sz w:val="24"/>
          <w:szCs w:val="24"/>
          <w:shd w:val="clear" w:color="auto" w:fill="FFFFFF"/>
        </w:rPr>
      </w:pPr>
    </w:p>
    <w:p w14:paraId="7AAE369E" w14:textId="77777777" w:rsidR="004F20A3" w:rsidRPr="00C57D8B" w:rsidRDefault="004F20A3" w:rsidP="00C57D8B">
      <w:pPr>
        <w:spacing w:after="0" w:line="240" w:lineRule="auto"/>
        <w:rPr>
          <w:rFonts w:eastAsia="Times New Roman" w:cstheme="minorHAnsi"/>
          <w:color w:val="323130"/>
          <w:sz w:val="24"/>
          <w:szCs w:val="24"/>
          <w:shd w:val="clear" w:color="auto" w:fill="FFFFFF"/>
        </w:rPr>
      </w:pPr>
      <w:r w:rsidRPr="00C57D8B">
        <w:rPr>
          <w:rFonts w:eastAsia="Times New Roman" w:cstheme="minorHAnsi"/>
          <w:color w:val="4472C4" w:themeColor="accent1"/>
          <w:sz w:val="24"/>
          <w:szCs w:val="24"/>
          <w:shd w:val="clear" w:color="auto" w:fill="FFFFFF"/>
        </w:rPr>
        <w:t xml:space="preserve">All mice were housed separately.  Infected wounds are indeed fairly heterogenous and this makes bilateral wounds and multiple animals necessary. These points have been made clear in the text. </w:t>
      </w:r>
      <w:r w:rsidRPr="00C57D8B">
        <w:rPr>
          <w:rFonts w:eastAsia="Times New Roman" w:cstheme="minorHAnsi"/>
          <w:color w:val="4472C4" w:themeColor="accent1"/>
          <w:sz w:val="24"/>
          <w:szCs w:val="24"/>
        </w:rPr>
        <w:br/>
      </w:r>
      <w:r w:rsidRPr="00C57D8B">
        <w:rPr>
          <w:rFonts w:eastAsia="Times New Roman" w:cstheme="minorHAnsi"/>
          <w:color w:val="323130"/>
          <w:sz w:val="24"/>
          <w:szCs w:val="24"/>
        </w:rPr>
        <w:br/>
      </w:r>
      <w:r w:rsidRPr="00C57D8B">
        <w:rPr>
          <w:rFonts w:eastAsia="Times New Roman" w:cstheme="minorHAnsi"/>
          <w:color w:val="323130"/>
          <w:sz w:val="24"/>
          <w:szCs w:val="24"/>
          <w:shd w:val="clear" w:color="auto" w:fill="FFFFFF"/>
        </w:rPr>
        <w:t>5) Table of Materials: Would be easier to read if the columns were fit to one page (maybe this is a PDF conversion issue).</w:t>
      </w:r>
    </w:p>
    <w:p w14:paraId="08724A2E" w14:textId="77777777" w:rsidR="004F20A3" w:rsidRPr="00C57D8B" w:rsidRDefault="004F20A3" w:rsidP="00C57D8B">
      <w:pPr>
        <w:spacing w:after="0" w:line="240" w:lineRule="auto"/>
        <w:rPr>
          <w:rFonts w:eastAsia="Times New Roman" w:cstheme="minorHAnsi"/>
          <w:color w:val="323130"/>
          <w:sz w:val="24"/>
          <w:szCs w:val="24"/>
          <w:shd w:val="clear" w:color="auto" w:fill="FFFFFF"/>
        </w:rPr>
      </w:pPr>
    </w:p>
    <w:p w14:paraId="23948714" w14:textId="43CC75F7" w:rsidR="004F20A3" w:rsidRPr="00C57D8B" w:rsidRDefault="004F20A3" w:rsidP="00C57D8B">
      <w:pPr>
        <w:spacing w:after="0" w:line="240" w:lineRule="auto"/>
        <w:rPr>
          <w:rFonts w:eastAsia="Times New Roman" w:cstheme="minorHAnsi"/>
          <w:color w:val="323130"/>
          <w:sz w:val="24"/>
          <w:szCs w:val="24"/>
          <w:shd w:val="clear" w:color="auto" w:fill="FFFFFF"/>
        </w:rPr>
      </w:pPr>
      <w:r w:rsidRPr="00C57D8B">
        <w:rPr>
          <w:rFonts w:eastAsia="Times New Roman" w:cstheme="minorHAnsi"/>
          <w:color w:val="4472C4" w:themeColor="accent1"/>
          <w:sz w:val="24"/>
          <w:szCs w:val="24"/>
          <w:shd w:val="clear" w:color="auto" w:fill="FFFFFF"/>
        </w:rPr>
        <w:t xml:space="preserve">This change has been made. </w:t>
      </w:r>
      <w:r w:rsidRPr="00C57D8B">
        <w:rPr>
          <w:rFonts w:eastAsia="Times New Roman" w:cstheme="minorHAnsi"/>
          <w:color w:val="4472C4" w:themeColor="accent1"/>
          <w:sz w:val="24"/>
          <w:szCs w:val="24"/>
        </w:rPr>
        <w:br/>
      </w:r>
      <w:r w:rsidRPr="00C57D8B">
        <w:rPr>
          <w:rFonts w:eastAsia="Times New Roman" w:cstheme="minorHAnsi"/>
          <w:color w:val="323130"/>
          <w:sz w:val="24"/>
          <w:szCs w:val="24"/>
        </w:rPr>
        <w:br/>
      </w:r>
      <w:r w:rsidRPr="00C57D8B">
        <w:rPr>
          <w:rFonts w:eastAsia="Times New Roman" w:cstheme="minorHAnsi"/>
          <w:b/>
          <w:bCs/>
          <w:color w:val="323130"/>
          <w:sz w:val="24"/>
          <w:szCs w:val="24"/>
        </w:rPr>
        <w:t>Reviewer #2: </w:t>
      </w:r>
      <w:r w:rsidRPr="00C57D8B">
        <w:rPr>
          <w:rFonts w:eastAsia="Times New Roman" w:cstheme="minorHAnsi"/>
          <w:color w:val="323130"/>
          <w:sz w:val="24"/>
          <w:szCs w:val="24"/>
        </w:rPr>
        <w:br/>
      </w:r>
      <w:r w:rsidRPr="00C57D8B">
        <w:rPr>
          <w:rFonts w:eastAsia="Times New Roman" w:cstheme="minorHAnsi"/>
          <w:color w:val="323130"/>
          <w:sz w:val="24"/>
          <w:szCs w:val="24"/>
        </w:rPr>
        <w:br/>
      </w:r>
      <w:r w:rsidRPr="00C57D8B">
        <w:rPr>
          <w:rFonts w:eastAsia="Times New Roman" w:cstheme="minorHAnsi"/>
          <w:color w:val="323130"/>
          <w:sz w:val="24"/>
          <w:szCs w:val="24"/>
          <w:shd w:val="clear" w:color="auto" w:fill="FFFFFF"/>
        </w:rPr>
        <w:t>Major Concerns:</w:t>
      </w:r>
      <w:r w:rsidRPr="00C57D8B">
        <w:rPr>
          <w:rFonts w:eastAsia="Times New Roman" w:cstheme="minorHAnsi"/>
          <w:color w:val="323130"/>
          <w:sz w:val="24"/>
          <w:szCs w:val="24"/>
        </w:rPr>
        <w:br/>
      </w:r>
      <w:r w:rsidRPr="00C57D8B">
        <w:rPr>
          <w:rFonts w:eastAsia="Times New Roman" w:cstheme="minorHAnsi"/>
          <w:color w:val="323130"/>
          <w:sz w:val="24"/>
          <w:szCs w:val="24"/>
          <w:shd w:val="clear" w:color="auto" w:fill="FFFFFF"/>
        </w:rPr>
        <w:t xml:space="preserve">1) The effect of changes in the timing of the introduction of bacteria by 24 hours to create a chronic wound for 7 days should be expanded. For example, what is the effect of no delay, 24 </w:t>
      </w:r>
      <w:proofErr w:type="spellStart"/>
      <w:r w:rsidRPr="00C57D8B">
        <w:rPr>
          <w:rFonts w:eastAsia="Times New Roman" w:cstheme="minorHAnsi"/>
          <w:color w:val="323130"/>
          <w:sz w:val="24"/>
          <w:szCs w:val="24"/>
          <w:shd w:val="clear" w:color="auto" w:fill="FFFFFF"/>
        </w:rPr>
        <w:t>hr</w:t>
      </w:r>
      <w:proofErr w:type="spellEnd"/>
      <w:r w:rsidRPr="00C57D8B">
        <w:rPr>
          <w:rFonts w:eastAsia="Times New Roman" w:cstheme="minorHAnsi"/>
          <w:color w:val="323130"/>
          <w:sz w:val="24"/>
          <w:szCs w:val="24"/>
          <w:shd w:val="clear" w:color="auto" w:fill="FFFFFF"/>
        </w:rPr>
        <w:t xml:space="preserve">, 48, 72 </w:t>
      </w:r>
      <w:proofErr w:type="spellStart"/>
      <w:r w:rsidRPr="00C57D8B">
        <w:rPr>
          <w:rFonts w:eastAsia="Times New Roman" w:cstheme="minorHAnsi"/>
          <w:color w:val="323130"/>
          <w:sz w:val="24"/>
          <w:szCs w:val="24"/>
          <w:shd w:val="clear" w:color="auto" w:fill="FFFFFF"/>
        </w:rPr>
        <w:t>hr</w:t>
      </w:r>
      <w:proofErr w:type="spellEnd"/>
      <w:r w:rsidRPr="00C57D8B">
        <w:rPr>
          <w:rFonts w:eastAsia="Times New Roman" w:cstheme="minorHAnsi"/>
          <w:color w:val="323130"/>
          <w:sz w:val="24"/>
          <w:szCs w:val="24"/>
          <w:shd w:val="clear" w:color="auto" w:fill="FFFFFF"/>
        </w:rPr>
        <w:t xml:space="preserve"> </w:t>
      </w:r>
      <w:proofErr w:type="spellStart"/>
      <w:r w:rsidRPr="00C57D8B">
        <w:rPr>
          <w:rFonts w:eastAsia="Times New Roman" w:cstheme="minorHAnsi"/>
          <w:color w:val="323130"/>
          <w:sz w:val="24"/>
          <w:szCs w:val="24"/>
          <w:shd w:val="clear" w:color="auto" w:fill="FFFFFF"/>
        </w:rPr>
        <w:t>etc</w:t>
      </w:r>
      <w:proofErr w:type="spellEnd"/>
      <w:r w:rsidRPr="00C57D8B">
        <w:rPr>
          <w:rFonts w:eastAsia="Times New Roman" w:cstheme="minorHAnsi"/>
          <w:color w:val="323130"/>
          <w:sz w:val="24"/>
          <w:szCs w:val="24"/>
          <w:shd w:val="clear" w:color="auto" w:fill="FFFFFF"/>
        </w:rPr>
        <w:t xml:space="preserve"> of the introduction on the overall outcome.</w:t>
      </w:r>
    </w:p>
    <w:p w14:paraId="140EBEDE" w14:textId="77777777" w:rsidR="004F20A3" w:rsidRPr="00C57D8B" w:rsidRDefault="004F20A3" w:rsidP="00C57D8B">
      <w:pPr>
        <w:spacing w:after="0" w:line="240" w:lineRule="auto"/>
        <w:rPr>
          <w:rFonts w:eastAsia="Times New Roman" w:cstheme="minorHAnsi"/>
          <w:color w:val="323130"/>
          <w:sz w:val="24"/>
          <w:szCs w:val="24"/>
          <w:shd w:val="clear" w:color="auto" w:fill="FFFFFF"/>
        </w:rPr>
      </w:pPr>
    </w:p>
    <w:p w14:paraId="14BD11C2" w14:textId="77777777" w:rsidR="004F20A3" w:rsidRPr="00C57D8B" w:rsidRDefault="004F20A3" w:rsidP="00C57D8B">
      <w:pPr>
        <w:spacing w:after="0" w:line="240" w:lineRule="auto"/>
        <w:rPr>
          <w:rFonts w:eastAsia="Times New Roman" w:cstheme="minorHAnsi"/>
          <w:color w:val="4472C4" w:themeColor="accent1"/>
          <w:sz w:val="24"/>
          <w:szCs w:val="24"/>
          <w:shd w:val="clear" w:color="auto" w:fill="FFFFFF"/>
        </w:rPr>
      </w:pPr>
      <w:r w:rsidRPr="00C57D8B">
        <w:rPr>
          <w:rFonts w:eastAsia="Times New Roman" w:cstheme="minorHAnsi"/>
          <w:color w:val="4472C4" w:themeColor="accent1"/>
          <w:sz w:val="24"/>
          <w:szCs w:val="24"/>
          <w:shd w:val="clear" w:color="auto" w:fill="FFFFFF"/>
        </w:rPr>
        <w:t xml:space="preserve">We performed a series of exploratory experiments around these points. In our </w:t>
      </w:r>
      <w:proofErr w:type="gramStart"/>
      <w:r w:rsidRPr="00C57D8B">
        <w:rPr>
          <w:rFonts w:eastAsia="Times New Roman" w:cstheme="minorHAnsi"/>
          <w:color w:val="4472C4" w:themeColor="accent1"/>
          <w:sz w:val="24"/>
          <w:szCs w:val="24"/>
          <w:shd w:val="clear" w:color="auto" w:fill="FFFFFF"/>
        </w:rPr>
        <w:t>experience,  immediate</w:t>
      </w:r>
      <w:proofErr w:type="gramEnd"/>
      <w:r w:rsidRPr="00C57D8B">
        <w:rPr>
          <w:rFonts w:eastAsia="Times New Roman" w:cstheme="minorHAnsi"/>
          <w:color w:val="4472C4" w:themeColor="accent1"/>
          <w:sz w:val="24"/>
          <w:szCs w:val="24"/>
          <w:shd w:val="clear" w:color="auto" w:fill="FFFFFF"/>
        </w:rPr>
        <w:t xml:space="preserve"> inoculation after wounding often results in sepsis and death.   Conversely, inoculation at 48 hours and later time points led to unacceptable levels of heterogeneity between mice and between wounds on the same mouse.  These points have been made in the text. </w:t>
      </w:r>
    </w:p>
    <w:p w14:paraId="345F016A" w14:textId="77777777" w:rsidR="004F20A3" w:rsidRPr="00C57D8B" w:rsidRDefault="004F20A3" w:rsidP="00C57D8B">
      <w:pPr>
        <w:spacing w:after="0" w:line="240" w:lineRule="auto"/>
        <w:rPr>
          <w:rFonts w:eastAsia="Times New Roman" w:cstheme="minorHAnsi"/>
          <w:color w:val="323130"/>
          <w:sz w:val="24"/>
          <w:szCs w:val="24"/>
          <w:shd w:val="clear" w:color="auto" w:fill="FFFFFF"/>
        </w:rPr>
      </w:pPr>
      <w:r w:rsidRPr="00C57D8B">
        <w:rPr>
          <w:rFonts w:eastAsia="Times New Roman" w:cstheme="minorHAnsi"/>
          <w:color w:val="323130"/>
          <w:sz w:val="24"/>
          <w:szCs w:val="24"/>
        </w:rPr>
        <w:br/>
      </w:r>
      <w:r w:rsidRPr="00C57D8B">
        <w:rPr>
          <w:rFonts w:eastAsia="Times New Roman" w:cstheme="minorHAnsi"/>
          <w:color w:val="323130"/>
          <w:sz w:val="24"/>
          <w:szCs w:val="24"/>
          <w:shd w:val="clear" w:color="auto" w:fill="FFFFFF"/>
        </w:rPr>
        <w:t xml:space="preserve">2) The study appears to use an </w:t>
      </w:r>
      <w:proofErr w:type="gramStart"/>
      <w:r w:rsidRPr="00C57D8B">
        <w:rPr>
          <w:rFonts w:eastAsia="Times New Roman" w:cstheme="minorHAnsi"/>
          <w:color w:val="323130"/>
          <w:sz w:val="24"/>
          <w:szCs w:val="24"/>
          <w:shd w:val="clear" w:color="auto" w:fill="FFFFFF"/>
        </w:rPr>
        <w:t>in house</w:t>
      </w:r>
      <w:proofErr w:type="gramEnd"/>
      <w:r w:rsidRPr="00C57D8B">
        <w:rPr>
          <w:rFonts w:eastAsia="Times New Roman" w:cstheme="minorHAnsi"/>
          <w:color w:val="323130"/>
          <w:sz w:val="24"/>
          <w:szCs w:val="24"/>
          <w:shd w:val="clear" w:color="auto" w:fill="FFFFFF"/>
        </w:rPr>
        <w:t xml:space="preserve"> luciferase bacteria. To better serve the community, there should be more clarity on how investigators could access </w:t>
      </w:r>
      <w:proofErr w:type="gramStart"/>
      <w:r w:rsidRPr="00C57D8B">
        <w:rPr>
          <w:rFonts w:eastAsia="Times New Roman" w:cstheme="minorHAnsi"/>
          <w:color w:val="323130"/>
          <w:sz w:val="24"/>
          <w:szCs w:val="24"/>
          <w:shd w:val="clear" w:color="auto" w:fill="FFFFFF"/>
        </w:rPr>
        <w:t>this bacteria</w:t>
      </w:r>
      <w:proofErr w:type="gramEnd"/>
      <w:r w:rsidRPr="00C57D8B">
        <w:rPr>
          <w:rFonts w:eastAsia="Times New Roman" w:cstheme="minorHAnsi"/>
          <w:color w:val="323130"/>
          <w:sz w:val="24"/>
          <w:szCs w:val="24"/>
          <w:shd w:val="clear" w:color="auto" w:fill="FFFFFF"/>
        </w:rPr>
        <w:t>. Having every lab make their own diminishes the cross-lab utility and the rigor of the model.</w:t>
      </w:r>
    </w:p>
    <w:p w14:paraId="3BC6135A" w14:textId="77777777" w:rsidR="004F20A3" w:rsidRPr="00C57D8B" w:rsidRDefault="004F20A3" w:rsidP="00C57D8B">
      <w:pPr>
        <w:spacing w:after="0" w:line="240" w:lineRule="auto"/>
        <w:rPr>
          <w:rFonts w:eastAsia="Times New Roman" w:cstheme="minorHAnsi"/>
          <w:color w:val="323130"/>
          <w:sz w:val="24"/>
          <w:szCs w:val="24"/>
          <w:shd w:val="clear" w:color="auto" w:fill="FFFFFF"/>
        </w:rPr>
      </w:pPr>
    </w:p>
    <w:p w14:paraId="38E1475A" w14:textId="77777777" w:rsidR="004F20A3" w:rsidRPr="00C57D8B" w:rsidRDefault="004F20A3" w:rsidP="00C57D8B">
      <w:pPr>
        <w:spacing w:after="0" w:line="240" w:lineRule="auto"/>
        <w:rPr>
          <w:rFonts w:eastAsia="Times New Roman" w:cstheme="minorHAnsi"/>
          <w:color w:val="4472C4" w:themeColor="accent1"/>
          <w:sz w:val="24"/>
          <w:szCs w:val="24"/>
          <w:shd w:val="clear" w:color="auto" w:fill="FFFFFF"/>
        </w:rPr>
      </w:pPr>
      <w:r w:rsidRPr="00C57D8B">
        <w:rPr>
          <w:rFonts w:eastAsia="Times New Roman" w:cstheme="minorHAnsi"/>
          <w:color w:val="4472C4" w:themeColor="accent1"/>
          <w:sz w:val="24"/>
          <w:szCs w:val="24"/>
          <w:shd w:val="clear" w:color="auto" w:fill="FFFFFF"/>
        </w:rPr>
        <w:t xml:space="preserve">We are of course willing to share our strain of PAO1 as this work is now published. This has been made clear in the text. </w:t>
      </w:r>
    </w:p>
    <w:p w14:paraId="357B1180" w14:textId="77777777" w:rsidR="004F20A3" w:rsidRPr="00C57D8B" w:rsidRDefault="004F20A3" w:rsidP="00C57D8B">
      <w:pPr>
        <w:spacing w:after="0" w:line="240" w:lineRule="auto"/>
        <w:rPr>
          <w:rFonts w:eastAsia="Times New Roman" w:cstheme="minorHAnsi"/>
          <w:color w:val="323130"/>
          <w:sz w:val="24"/>
          <w:szCs w:val="24"/>
          <w:shd w:val="clear" w:color="auto" w:fill="FFFFFF"/>
        </w:rPr>
      </w:pPr>
      <w:r w:rsidRPr="00C57D8B">
        <w:rPr>
          <w:rFonts w:eastAsia="Times New Roman" w:cstheme="minorHAnsi"/>
          <w:color w:val="323130"/>
          <w:sz w:val="24"/>
          <w:szCs w:val="24"/>
        </w:rPr>
        <w:br/>
      </w:r>
      <w:r w:rsidRPr="00C57D8B">
        <w:rPr>
          <w:rFonts w:eastAsia="Times New Roman" w:cstheme="minorHAnsi"/>
          <w:color w:val="323130"/>
          <w:sz w:val="24"/>
          <w:szCs w:val="24"/>
          <w:shd w:val="clear" w:color="auto" w:fill="FFFFFF"/>
        </w:rPr>
        <w:t>3) The authors need to expand on the problems and solutions for the decreasing luciferase signal that could affect the quantitation.</w:t>
      </w:r>
    </w:p>
    <w:p w14:paraId="4D5B321E" w14:textId="77777777" w:rsidR="004F20A3" w:rsidRPr="00C57D8B" w:rsidRDefault="004F20A3" w:rsidP="00C57D8B">
      <w:pPr>
        <w:spacing w:after="0" w:line="240" w:lineRule="auto"/>
        <w:rPr>
          <w:rFonts w:eastAsia="Times New Roman" w:cstheme="minorHAnsi"/>
          <w:color w:val="4472C4" w:themeColor="accent1"/>
          <w:sz w:val="24"/>
          <w:szCs w:val="24"/>
          <w:shd w:val="clear" w:color="auto" w:fill="FFFFFF"/>
        </w:rPr>
      </w:pPr>
    </w:p>
    <w:p w14:paraId="3E9E81D7" w14:textId="77777777" w:rsidR="004F20A3" w:rsidRPr="00C57D8B" w:rsidRDefault="004F20A3" w:rsidP="00C57D8B">
      <w:pPr>
        <w:spacing w:after="0" w:line="240" w:lineRule="auto"/>
        <w:rPr>
          <w:rFonts w:eastAsia="Times New Roman" w:cstheme="minorHAnsi"/>
          <w:color w:val="4472C4" w:themeColor="accent1"/>
          <w:sz w:val="24"/>
          <w:szCs w:val="24"/>
          <w:shd w:val="clear" w:color="auto" w:fill="FFFFFF"/>
        </w:rPr>
      </w:pPr>
      <w:r w:rsidRPr="00C57D8B">
        <w:rPr>
          <w:rFonts w:eastAsia="Times New Roman" w:cstheme="minorHAnsi"/>
          <w:color w:val="4472C4" w:themeColor="accent1"/>
          <w:sz w:val="24"/>
          <w:szCs w:val="24"/>
          <w:shd w:val="clear" w:color="auto" w:fill="FFFFFF"/>
        </w:rPr>
        <w:t xml:space="preserve">This is an important point. We find that after ~7 days the luciferase signal becomes unreliable. For this </w:t>
      </w:r>
      <w:proofErr w:type="gramStart"/>
      <w:r w:rsidRPr="00C57D8B">
        <w:rPr>
          <w:rFonts w:eastAsia="Times New Roman" w:cstheme="minorHAnsi"/>
          <w:color w:val="4472C4" w:themeColor="accent1"/>
          <w:sz w:val="24"/>
          <w:szCs w:val="24"/>
          <w:shd w:val="clear" w:color="auto" w:fill="FFFFFF"/>
        </w:rPr>
        <w:t>reason</w:t>
      </w:r>
      <w:proofErr w:type="gramEnd"/>
      <w:r w:rsidRPr="00C57D8B">
        <w:rPr>
          <w:rFonts w:eastAsia="Times New Roman" w:cstheme="minorHAnsi"/>
          <w:color w:val="4472C4" w:themeColor="accent1"/>
          <w:sz w:val="24"/>
          <w:szCs w:val="24"/>
          <w:shd w:val="clear" w:color="auto" w:fill="FFFFFF"/>
        </w:rPr>
        <w:t xml:space="preserve"> supplementation with CFU assays at later time points is important. This has been made clear in the text. </w:t>
      </w:r>
    </w:p>
    <w:p w14:paraId="61E7DFE2" w14:textId="0DC11843" w:rsidR="004F20A3" w:rsidRPr="00C57D8B" w:rsidRDefault="004F20A3" w:rsidP="00C57D8B">
      <w:pPr>
        <w:spacing w:after="0" w:line="240" w:lineRule="auto"/>
        <w:rPr>
          <w:rFonts w:eastAsia="Times New Roman" w:cstheme="minorHAnsi"/>
          <w:sz w:val="24"/>
          <w:szCs w:val="24"/>
        </w:rPr>
      </w:pPr>
      <w:r w:rsidRPr="00C57D8B">
        <w:rPr>
          <w:rFonts w:eastAsia="Times New Roman" w:cstheme="minorHAnsi"/>
          <w:color w:val="323130"/>
          <w:sz w:val="24"/>
          <w:szCs w:val="24"/>
        </w:rPr>
        <w:br/>
      </w:r>
      <w:r w:rsidRPr="00C57D8B">
        <w:rPr>
          <w:rFonts w:eastAsia="Times New Roman" w:cstheme="minorHAnsi"/>
          <w:color w:val="323130"/>
          <w:sz w:val="24"/>
          <w:szCs w:val="24"/>
          <w:shd w:val="clear" w:color="auto" w:fill="FFFFFF"/>
        </w:rPr>
        <w:t>Minor Concerns:</w:t>
      </w:r>
      <w:r w:rsidRPr="00C57D8B">
        <w:rPr>
          <w:rFonts w:eastAsia="Times New Roman" w:cstheme="minorHAnsi"/>
          <w:color w:val="323130"/>
          <w:sz w:val="24"/>
          <w:szCs w:val="24"/>
        </w:rPr>
        <w:br/>
      </w:r>
      <w:r w:rsidRPr="00C57D8B">
        <w:rPr>
          <w:rFonts w:eastAsia="Times New Roman" w:cstheme="minorHAnsi"/>
          <w:color w:val="323130"/>
          <w:sz w:val="24"/>
          <w:szCs w:val="24"/>
          <w:shd w:val="clear" w:color="auto" w:fill="FFFFFF"/>
        </w:rPr>
        <w:t>Not all labs have access to luminescent imaging which limits the usefulness of the protocol.</w:t>
      </w:r>
    </w:p>
    <w:p w14:paraId="1784C595" w14:textId="77777777" w:rsidR="004F20A3" w:rsidRPr="00C57D8B" w:rsidRDefault="004F20A3" w:rsidP="00C57D8B">
      <w:pPr>
        <w:spacing w:after="0" w:line="240" w:lineRule="auto"/>
        <w:rPr>
          <w:rFonts w:cstheme="minorHAnsi"/>
          <w:sz w:val="24"/>
          <w:szCs w:val="24"/>
        </w:rPr>
      </w:pPr>
    </w:p>
    <w:p w14:paraId="5F9C9BED" w14:textId="15D66458" w:rsidR="00F22639" w:rsidRPr="002E6F4B" w:rsidRDefault="004F20A3" w:rsidP="00C57D8B">
      <w:pPr>
        <w:spacing w:after="0" w:line="240" w:lineRule="auto"/>
        <w:rPr>
          <w:sz w:val="24"/>
          <w:szCs w:val="24"/>
        </w:rPr>
      </w:pPr>
      <w:r w:rsidRPr="00C57D8B">
        <w:rPr>
          <w:rFonts w:cstheme="minorHAnsi"/>
          <w:color w:val="4472C4" w:themeColor="accent1"/>
          <w:sz w:val="24"/>
          <w:szCs w:val="24"/>
        </w:rPr>
        <w:t xml:space="preserve">CFU counts is an alternative method.  We have added text to this point to the manuscript. </w:t>
      </w:r>
    </w:p>
    <w:sectPr w:rsidR="00F22639" w:rsidRPr="002E6F4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1918D" w14:textId="77777777" w:rsidR="007314F2" w:rsidRDefault="007314F2" w:rsidP="00402228">
      <w:pPr>
        <w:spacing w:after="0" w:line="240" w:lineRule="auto"/>
      </w:pPr>
      <w:r>
        <w:separator/>
      </w:r>
    </w:p>
  </w:endnote>
  <w:endnote w:type="continuationSeparator" w:id="0">
    <w:p w14:paraId="44D764E6" w14:textId="77777777" w:rsidR="007314F2" w:rsidRDefault="007314F2" w:rsidP="0040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1E7E6" w14:textId="77777777" w:rsidR="007314F2" w:rsidRDefault="007314F2" w:rsidP="00402228">
      <w:pPr>
        <w:spacing w:after="0" w:line="240" w:lineRule="auto"/>
      </w:pPr>
      <w:r>
        <w:separator/>
      </w:r>
    </w:p>
  </w:footnote>
  <w:footnote w:type="continuationSeparator" w:id="0">
    <w:p w14:paraId="1D68AA95" w14:textId="77777777" w:rsidR="007314F2" w:rsidRDefault="007314F2" w:rsidP="0040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insideH w:val="single" w:sz="12" w:space="0" w:color="C00000"/>
      </w:tblBorders>
      <w:tblLook w:val="04A0" w:firstRow="1" w:lastRow="0" w:firstColumn="1" w:lastColumn="0" w:noHBand="0" w:noVBand="1"/>
    </w:tblPr>
    <w:tblGrid>
      <w:gridCol w:w="1155"/>
      <w:gridCol w:w="3872"/>
      <w:gridCol w:w="4333"/>
    </w:tblGrid>
    <w:tr w:rsidR="00402228" w:rsidRPr="00DA63C7" w14:paraId="5158FC20" w14:textId="77777777" w:rsidTr="008160DA">
      <w:trPr>
        <w:jc w:val="center"/>
      </w:trPr>
      <w:tc>
        <w:tcPr>
          <w:tcW w:w="1161" w:type="dxa"/>
          <w:tcBorders>
            <w:top w:val="nil"/>
            <w:left w:val="nil"/>
            <w:bottom w:val="single" w:sz="12" w:space="0" w:color="C00000"/>
            <w:right w:val="nil"/>
          </w:tcBorders>
          <w:shd w:val="clear" w:color="auto" w:fill="auto"/>
          <w:hideMark/>
        </w:tcPr>
        <w:p w14:paraId="1DBA63F0" w14:textId="77777777" w:rsidR="00402228" w:rsidRPr="00BB5B5F" w:rsidRDefault="00402228" w:rsidP="00402228">
          <w:pPr>
            <w:pStyle w:val="Header"/>
          </w:pPr>
          <w:r>
            <w:rPr>
              <w:rFonts w:ascii="Arial" w:hAnsi="Arial" w:cs="Arial"/>
              <w:noProof/>
              <w:color w:val="1C4B70"/>
              <w:sz w:val="18"/>
              <w:szCs w:val="18"/>
            </w:rPr>
            <w:drawing>
              <wp:inline distT="0" distB="0" distL="0" distR="0" wp14:anchorId="0B981835" wp14:editId="64E563FF">
                <wp:extent cx="480060" cy="541020"/>
                <wp:effectExtent l="0" t="0" r="0" b="0"/>
                <wp:docPr id="1" name="Picture 1" descr="Description: Shield - 50px">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Shield - 5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0060" cy="541020"/>
                        </a:xfrm>
                        <a:prstGeom prst="rect">
                          <a:avLst/>
                        </a:prstGeom>
                        <a:noFill/>
                        <a:ln>
                          <a:noFill/>
                        </a:ln>
                      </pic:spPr>
                    </pic:pic>
                  </a:graphicData>
                </a:graphic>
              </wp:inline>
            </w:drawing>
          </w:r>
        </w:p>
      </w:tc>
      <w:tc>
        <w:tcPr>
          <w:tcW w:w="8415" w:type="dxa"/>
          <w:gridSpan w:val="2"/>
          <w:tcBorders>
            <w:top w:val="nil"/>
            <w:left w:val="nil"/>
            <w:bottom w:val="single" w:sz="12" w:space="0" w:color="C00000"/>
            <w:right w:val="nil"/>
          </w:tcBorders>
          <w:shd w:val="clear" w:color="auto" w:fill="auto"/>
        </w:tcPr>
        <w:p w14:paraId="1298B453" w14:textId="77777777" w:rsidR="00402228" w:rsidRPr="00BB5B5F" w:rsidRDefault="00402228" w:rsidP="00402228">
          <w:pPr>
            <w:pStyle w:val="Header"/>
            <w:rPr>
              <w:sz w:val="36"/>
              <w:szCs w:val="36"/>
            </w:rPr>
          </w:pPr>
          <w:r w:rsidRPr="00BB5B5F">
            <w:rPr>
              <w:sz w:val="36"/>
              <w:szCs w:val="36"/>
            </w:rPr>
            <w:t xml:space="preserve">    STANFORD UNIVERSITY SCHOOL OF MEDICINE</w:t>
          </w:r>
        </w:p>
        <w:p w14:paraId="074A883B" w14:textId="77777777" w:rsidR="00402228" w:rsidRPr="00BB5B5F" w:rsidRDefault="00402228" w:rsidP="00402228">
          <w:pPr>
            <w:pStyle w:val="Header"/>
            <w:jc w:val="both"/>
            <w:rPr>
              <w:sz w:val="36"/>
              <w:szCs w:val="36"/>
            </w:rPr>
          </w:pPr>
        </w:p>
      </w:tc>
    </w:tr>
    <w:tr w:rsidR="00402228" w:rsidRPr="00DA63C7" w14:paraId="2C95D84F" w14:textId="77777777" w:rsidTr="008160DA">
      <w:trPr>
        <w:jc w:val="center"/>
      </w:trPr>
      <w:tc>
        <w:tcPr>
          <w:tcW w:w="5148" w:type="dxa"/>
          <w:gridSpan w:val="2"/>
          <w:tcBorders>
            <w:top w:val="single" w:sz="12" w:space="0" w:color="C00000"/>
            <w:left w:val="nil"/>
            <w:bottom w:val="nil"/>
            <w:right w:val="nil"/>
          </w:tcBorders>
          <w:shd w:val="clear" w:color="auto" w:fill="auto"/>
          <w:hideMark/>
        </w:tcPr>
        <w:p w14:paraId="5DCD3668" w14:textId="77777777" w:rsidR="00402228" w:rsidRPr="00BB5B5F" w:rsidRDefault="00402228" w:rsidP="00402228">
          <w:pPr>
            <w:pStyle w:val="Header"/>
            <w:rPr>
              <w:rFonts w:ascii="Times New Roman" w:hAnsi="Times New Roman"/>
              <w:sz w:val="18"/>
              <w:szCs w:val="18"/>
            </w:rPr>
          </w:pPr>
          <w:r w:rsidRPr="00BB5B5F">
            <w:rPr>
              <w:rFonts w:ascii="Times New Roman" w:hAnsi="Times New Roman"/>
              <w:sz w:val="18"/>
              <w:szCs w:val="18"/>
            </w:rPr>
            <w:t>Department of Medicine</w:t>
          </w:r>
        </w:p>
        <w:p w14:paraId="24AD2B5E" w14:textId="77777777" w:rsidR="00402228" w:rsidRPr="00BB5B5F" w:rsidRDefault="00402228" w:rsidP="00402228">
          <w:pPr>
            <w:pStyle w:val="Header"/>
            <w:rPr>
              <w:rFonts w:ascii="Times New Roman" w:hAnsi="Times New Roman"/>
              <w:sz w:val="18"/>
              <w:szCs w:val="18"/>
            </w:rPr>
          </w:pPr>
          <w:r w:rsidRPr="00BB5B5F">
            <w:rPr>
              <w:rFonts w:ascii="Times New Roman" w:hAnsi="Times New Roman"/>
              <w:color w:val="2D2D2D"/>
              <w:sz w:val="18"/>
              <w:szCs w:val="18"/>
            </w:rPr>
            <w:t>Division of Infectious Diseases and Geographic Medicine</w:t>
          </w:r>
        </w:p>
      </w:tc>
      <w:tc>
        <w:tcPr>
          <w:tcW w:w="4428" w:type="dxa"/>
          <w:tcBorders>
            <w:top w:val="single" w:sz="12" w:space="0" w:color="C00000"/>
            <w:left w:val="nil"/>
            <w:bottom w:val="nil"/>
            <w:right w:val="nil"/>
          </w:tcBorders>
          <w:shd w:val="clear" w:color="auto" w:fill="auto"/>
          <w:hideMark/>
        </w:tcPr>
        <w:p w14:paraId="22658B18" w14:textId="67D645C8" w:rsidR="00402228" w:rsidRPr="00BB5B5F" w:rsidRDefault="00402228" w:rsidP="00402228">
          <w:pPr>
            <w:pStyle w:val="Header"/>
            <w:jc w:val="right"/>
            <w:rPr>
              <w:rFonts w:ascii="Times New Roman" w:hAnsi="Times New Roman"/>
              <w:sz w:val="18"/>
              <w:szCs w:val="18"/>
            </w:rPr>
          </w:pPr>
          <w:r w:rsidRPr="00BB5B5F">
            <w:rPr>
              <w:rFonts w:ascii="Times New Roman" w:hAnsi="Times New Roman"/>
              <w:sz w:val="18"/>
              <w:szCs w:val="18"/>
            </w:rPr>
            <w:t xml:space="preserve">300 Pasteur Drive, </w:t>
          </w:r>
          <w:r w:rsidR="002E6F4B">
            <w:rPr>
              <w:rFonts w:ascii="Times New Roman" w:hAnsi="Times New Roman"/>
              <w:color w:val="2D2D2D"/>
              <w:sz w:val="18"/>
              <w:szCs w:val="18"/>
            </w:rPr>
            <w:t>L-134</w:t>
          </w:r>
          <w:r>
            <w:rPr>
              <w:rFonts w:ascii="Times New Roman" w:hAnsi="Times New Roman"/>
              <w:sz w:val="18"/>
              <w:szCs w:val="18"/>
            </w:rPr>
            <w:br/>
            <w:t>     </w:t>
          </w:r>
          <w:r w:rsidRPr="00BB5B5F">
            <w:rPr>
              <w:rFonts w:ascii="Times New Roman" w:hAnsi="Times New Roman"/>
              <w:color w:val="2D2D2D"/>
              <w:sz w:val="18"/>
              <w:szCs w:val="18"/>
            </w:rPr>
            <w:t>Stanford, CA 94305-5107</w:t>
          </w:r>
        </w:p>
      </w:tc>
    </w:tr>
  </w:tbl>
  <w:p w14:paraId="395AB181" w14:textId="77777777" w:rsidR="00402228" w:rsidRDefault="004022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61"/>
    <w:rsid w:val="002C69DC"/>
    <w:rsid w:val="002E6F4B"/>
    <w:rsid w:val="002F6861"/>
    <w:rsid w:val="00355E1C"/>
    <w:rsid w:val="00381B93"/>
    <w:rsid w:val="00402228"/>
    <w:rsid w:val="004F20A3"/>
    <w:rsid w:val="006A033B"/>
    <w:rsid w:val="006C7AAC"/>
    <w:rsid w:val="007314F2"/>
    <w:rsid w:val="00850D5A"/>
    <w:rsid w:val="00C57D8B"/>
    <w:rsid w:val="00E96330"/>
    <w:rsid w:val="00F22639"/>
    <w:rsid w:val="00F91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66B46"/>
  <w15:chartTrackingRefBased/>
  <w15:docId w15:val="{99A397E3-DCB0-4CE6-9963-E38669F8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0D5A"/>
    <w:rPr>
      <w:color w:val="0563C1" w:themeColor="hyperlink"/>
      <w:u w:val="single"/>
    </w:rPr>
  </w:style>
  <w:style w:type="character" w:styleId="UnresolvedMention">
    <w:name w:val="Unresolved Mention"/>
    <w:basedOn w:val="DefaultParagraphFont"/>
    <w:uiPriority w:val="99"/>
    <w:semiHidden/>
    <w:unhideWhenUsed/>
    <w:rsid w:val="00850D5A"/>
    <w:rPr>
      <w:color w:val="605E5C"/>
      <w:shd w:val="clear" w:color="auto" w:fill="E1DFDD"/>
    </w:rPr>
  </w:style>
  <w:style w:type="paragraph" w:styleId="Header">
    <w:name w:val="header"/>
    <w:basedOn w:val="Normal"/>
    <w:link w:val="HeaderChar"/>
    <w:uiPriority w:val="99"/>
    <w:unhideWhenUsed/>
    <w:rsid w:val="00402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228"/>
  </w:style>
  <w:style w:type="paragraph" w:styleId="Footer">
    <w:name w:val="footer"/>
    <w:basedOn w:val="Normal"/>
    <w:link w:val="FooterChar"/>
    <w:uiPriority w:val="99"/>
    <w:unhideWhenUsed/>
    <w:rsid w:val="00402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228"/>
  </w:style>
  <w:style w:type="character" w:styleId="CommentReference">
    <w:name w:val="annotation reference"/>
    <w:basedOn w:val="DefaultParagraphFont"/>
    <w:uiPriority w:val="99"/>
    <w:semiHidden/>
    <w:unhideWhenUsed/>
    <w:rsid w:val="004F20A3"/>
    <w:rPr>
      <w:sz w:val="16"/>
      <w:szCs w:val="16"/>
    </w:rPr>
  </w:style>
  <w:style w:type="paragraph" w:styleId="CommentText">
    <w:name w:val="annotation text"/>
    <w:basedOn w:val="Normal"/>
    <w:link w:val="CommentTextChar"/>
    <w:uiPriority w:val="99"/>
    <w:semiHidden/>
    <w:unhideWhenUsed/>
    <w:rsid w:val="004F20A3"/>
    <w:pPr>
      <w:spacing w:after="0" w:line="240" w:lineRule="auto"/>
    </w:pPr>
    <w:rPr>
      <w:sz w:val="20"/>
      <w:szCs w:val="20"/>
    </w:rPr>
  </w:style>
  <w:style w:type="character" w:customStyle="1" w:styleId="CommentTextChar">
    <w:name w:val="Comment Text Char"/>
    <w:basedOn w:val="DefaultParagraphFont"/>
    <w:link w:val="CommentText"/>
    <w:uiPriority w:val="99"/>
    <w:semiHidden/>
    <w:rsid w:val="004F20A3"/>
    <w:rPr>
      <w:sz w:val="20"/>
      <w:szCs w:val="20"/>
    </w:rPr>
  </w:style>
  <w:style w:type="paragraph" w:styleId="BalloonText">
    <w:name w:val="Balloon Text"/>
    <w:basedOn w:val="Normal"/>
    <w:link w:val="BalloonTextChar"/>
    <w:uiPriority w:val="99"/>
    <w:semiHidden/>
    <w:unhideWhenUsed/>
    <w:rsid w:val="004F20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0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med.stanford.edu/irt/web/image_catalogue/som_logos/shield50.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Christiaan de Vries</dc:creator>
  <cp:keywords/>
  <dc:description/>
  <cp:lastModifiedBy>Christiaan de Vries</cp:lastModifiedBy>
  <cp:revision>4</cp:revision>
  <dcterms:created xsi:type="dcterms:W3CDTF">2019-08-24T05:08:00Z</dcterms:created>
  <dcterms:modified xsi:type="dcterms:W3CDTF">2019-08-24T05:46:00Z</dcterms:modified>
</cp:coreProperties>
</file>