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DA9" w:rsidRDefault="001A3DA9" w:rsidP="00461BF5">
      <w:pPr>
        <w:jc w:val="both"/>
        <w:rPr>
          <w:b/>
          <w:bCs/>
        </w:rPr>
      </w:pPr>
    </w:p>
    <w:p w:rsidR="001A3DA9" w:rsidRDefault="001A3DA9" w:rsidP="00461BF5">
      <w:pPr>
        <w:jc w:val="both"/>
        <w:rPr>
          <w:b/>
          <w:bCs/>
        </w:rPr>
      </w:pPr>
    </w:p>
    <w:p w:rsidR="001A3DA9" w:rsidRDefault="001A3DA9" w:rsidP="001A3DA9">
      <w:pPr>
        <w:jc w:val="center"/>
        <w:rPr>
          <w:b/>
          <w:bCs/>
        </w:rPr>
      </w:pPr>
      <w:r>
        <w:rPr>
          <w:b/>
          <w:bCs/>
        </w:rPr>
        <w:t>Res</w:t>
      </w:r>
      <w:bookmarkStart w:id="0" w:name="_GoBack"/>
      <w:bookmarkEnd w:id="0"/>
      <w:r>
        <w:rPr>
          <w:b/>
          <w:bCs/>
        </w:rPr>
        <w:t>ponse to Editorial and Reviewer comments on</w:t>
      </w:r>
    </w:p>
    <w:p w:rsidR="001A3DA9" w:rsidRDefault="001A3DA9" w:rsidP="00461BF5">
      <w:pPr>
        <w:jc w:val="both"/>
        <w:rPr>
          <w:b/>
          <w:bCs/>
        </w:rPr>
      </w:pPr>
    </w:p>
    <w:p w:rsidR="001A3DA9" w:rsidRPr="000761F9" w:rsidRDefault="001A3DA9" w:rsidP="001A3DA9">
      <w:pPr>
        <w:jc w:val="center"/>
        <w:rPr>
          <w:rFonts w:cstheme="minorHAnsi"/>
        </w:rPr>
      </w:pPr>
      <w:r w:rsidRPr="000761F9">
        <w:rPr>
          <w:rFonts w:cstheme="minorHAnsi"/>
        </w:rPr>
        <w:t>Excitonic Hamiltonians for Calculating Optical Absorption Spectra</w:t>
      </w:r>
      <w:r>
        <w:rPr>
          <w:rFonts w:cstheme="minorHAnsi"/>
        </w:rPr>
        <w:br/>
      </w:r>
      <w:r w:rsidRPr="000761F9">
        <w:rPr>
          <w:rFonts w:cstheme="minorHAnsi"/>
        </w:rPr>
        <w:t>and Optoelectronic Properties of Molecular Aggregates and Solids</w:t>
      </w:r>
    </w:p>
    <w:p w:rsidR="001A3DA9" w:rsidRDefault="001A3DA9" w:rsidP="00461BF5">
      <w:pPr>
        <w:jc w:val="both"/>
        <w:rPr>
          <w:b/>
          <w:bCs/>
        </w:rPr>
      </w:pPr>
    </w:p>
    <w:p w:rsidR="001A3DA9" w:rsidRPr="000761F9" w:rsidRDefault="001A3DA9" w:rsidP="001A3DA9">
      <w:pPr>
        <w:jc w:val="center"/>
      </w:pPr>
      <w:r w:rsidRPr="000761F9">
        <w:t>Aleksey A. Kocherzhenko,</w:t>
      </w:r>
      <w:r w:rsidRPr="000761F9">
        <w:rPr>
          <w:vertAlign w:val="superscript"/>
        </w:rPr>
        <w:t>1,*</w:t>
      </w:r>
      <w:r w:rsidRPr="000761F9">
        <w:t xml:space="preserve"> </w:t>
      </w:r>
      <w:proofErr w:type="spellStart"/>
      <w:r w:rsidRPr="000761F9">
        <w:t>Sapana</w:t>
      </w:r>
      <w:proofErr w:type="spellEnd"/>
      <w:r w:rsidRPr="000761F9">
        <w:t xml:space="preserve"> V. Shedge,</w:t>
      </w:r>
      <w:r w:rsidRPr="000761F9">
        <w:rPr>
          <w:vertAlign w:val="superscript"/>
        </w:rPr>
        <w:t>2</w:t>
      </w:r>
      <w:r w:rsidRPr="000761F9">
        <w:t xml:space="preserve"> Pauline F. Germaux,</w:t>
      </w:r>
      <w:r w:rsidRPr="000761F9">
        <w:rPr>
          <w:vertAlign w:val="superscript"/>
        </w:rPr>
        <w:t>1</w:t>
      </w:r>
    </w:p>
    <w:p w:rsidR="001A3DA9" w:rsidRPr="000761F9" w:rsidRDefault="001A3DA9" w:rsidP="001A3DA9">
      <w:pPr>
        <w:jc w:val="center"/>
        <w:rPr>
          <w:vertAlign w:val="superscript"/>
        </w:rPr>
      </w:pPr>
      <w:r w:rsidRPr="000761F9">
        <w:t>Mohammad Heidarian,</w:t>
      </w:r>
      <w:r w:rsidRPr="000761F9">
        <w:rPr>
          <w:vertAlign w:val="superscript"/>
        </w:rPr>
        <w:t>1</w:t>
      </w:r>
      <w:r w:rsidRPr="000761F9">
        <w:t xml:space="preserve"> Christine M. Isborn</w:t>
      </w:r>
      <w:r w:rsidRPr="000761F9">
        <w:rPr>
          <w:vertAlign w:val="superscript"/>
        </w:rPr>
        <w:t>2</w:t>
      </w:r>
    </w:p>
    <w:p w:rsidR="001A3DA9" w:rsidRDefault="001A3DA9" w:rsidP="00461BF5">
      <w:pPr>
        <w:jc w:val="both"/>
        <w:rPr>
          <w:b/>
          <w:bCs/>
        </w:rPr>
      </w:pPr>
    </w:p>
    <w:p w:rsidR="001A3DA9" w:rsidRDefault="001A3DA9" w:rsidP="00461BF5">
      <w:pPr>
        <w:jc w:val="both"/>
        <w:rPr>
          <w:b/>
          <w:bCs/>
        </w:rPr>
      </w:pPr>
    </w:p>
    <w:p w:rsidR="003F509E" w:rsidRPr="003F509E" w:rsidRDefault="003F509E" w:rsidP="00461BF5">
      <w:pPr>
        <w:jc w:val="both"/>
        <w:rPr>
          <w:b/>
          <w:bCs/>
        </w:rPr>
      </w:pPr>
      <w:r w:rsidRPr="003F509E">
        <w:rPr>
          <w:b/>
          <w:bCs/>
        </w:rPr>
        <w:t>Response to Editorial Comments:</w:t>
      </w:r>
    </w:p>
    <w:p w:rsidR="003F509E" w:rsidRDefault="003F509E" w:rsidP="00461BF5">
      <w:pPr>
        <w:jc w:val="both"/>
      </w:pPr>
    </w:p>
    <w:p w:rsidR="004B7472" w:rsidRDefault="004B7472" w:rsidP="00461BF5">
      <w:pPr>
        <w:jc w:val="both"/>
      </w:pPr>
      <w:r>
        <w:t>We have addressed the editorial comments as follows:</w:t>
      </w:r>
    </w:p>
    <w:p w:rsidR="004B7472" w:rsidRDefault="004B7472" w:rsidP="00461BF5">
      <w:pPr>
        <w:jc w:val="both"/>
      </w:pPr>
    </w:p>
    <w:p w:rsidR="003F509E" w:rsidRPr="003F509E" w:rsidRDefault="003F509E" w:rsidP="00461BF5">
      <w:pPr>
        <w:jc w:val="both"/>
        <w:rPr>
          <w:i/>
          <w:iCs/>
        </w:rPr>
      </w:pPr>
      <w:r w:rsidRPr="003F509E">
        <w:rPr>
          <w:i/>
          <w:iCs/>
        </w:rPr>
        <w:t>1. Please take this opportunity to thoroughly proofread the manuscript to ensure that there are no spelling or grammar issues.</w:t>
      </w:r>
    </w:p>
    <w:p w:rsidR="003F509E" w:rsidRDefault="003F509E" w:rsidP="00461BF5">
      <w:pPr>
        <w:jc w:val="both"/>
      </w:pPr>
    </w:p>
    <w:p w:rsidR="003F509E" w:rsidRDefault="003F509E" w:rsidP="00461BF5">
      <w:pPr>
        <w:jc w:val="both"/>
      </w:pPr>
      <w:r>
        <w:t>We have proofread the manuscript to the best of our ability.</w:t>
      </w:r>
    </w:p>
    <w:p w:rsidR="003F509E" w:rsidRDefault="003F509E" w:rsidP="00461BF5">
      <w:pPr>
        <w:jc w:val="both"/>
      </w:pPr>
    </w:p>
    <w:p w:rsidR="003F509E" w:rsidRPr="003F509E" w:rsidRDefault="003F509E" w:rsidP="00461BF5">
      <w:pPr>
        <w:jc w:val="both"/>
        <w:rPr>
          <w:i/>
          <w:iCs/>
        </w:rPr>
      </w:pPr>
      <w:r w:rsidRPr="003F509E">
        <w:rPr>
          <w:i/>
          <w:iCs/>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3F509E" w:rsidRDefault="003F509E" w:rsidP="00461BF5">
      <w:pPr>
        <w:jc w:val="both"/>
      </w:pPr>
    </w:p>
    <w:p w:rsidR="003F509E" w:rsidRDefault="003F509E" w:rsidP="00461BF5">
      <w:pPr>
        <w:jc w:val="both"/>
      </w:pPr>
      <w:r>
        <w:t>All figures in this paper are original and have not been published previously</w:t>
      </w:r>
      <w:r w:rsidR="00461BF5">
        <w:t>.</w:t>
      </w:r>
    </w:p>
    <w:p w:rsidR="003F509E" w:rsidRDefault="003F509E" w:rsidP="00461BF5">
      <w:pPr>
        <w:jc w:val="both"/>
      </w:pPr>
    </w:p>
    <w:p w:rsidR="003F509E" w:rsidRPr="003F509E" w:rsidRDefault="003F509E" w:rsidP="00461BF5">
      <w:pPr>
        <w:jc w:val="both"/>
        <w:rPr>
          <w:i/>
          <w:iCs/>
        </w:rPr>
      </w:pPr>
      <w:r w:rsidRPr="003F509E">
        <w:rPr>
          <w:i/>
          <w:iCs/>
        </w:rPr>
        <w:t>3. For in-text referencing, the superscripted reference number should be inserted before a period or comma.</w:t>
      </w:r>
    </w:p>
    <w:p w:rsidR="003F509E" w:rsidRDefault="003F509E" w:rsidP="00461BF5">
      <w:pPr>
        <w:jc w:val="both"/>
      </w:pPr>
    </w:p>
    <w:p w:rsidR="003F509E" w:rsidRDefault="003F509E" w:rsidP="00461BF5">
      <w:pPr>
        <w:jc w:val="both"/>
      </w:pPr>
      <w:r>
        <w:t xml:space="preserve">This issue has </w:t>
      </w:r>
      <w:r w:rsidR="00461BF5">
        <w:t xml:space="preserve">now </w:t>
      </w:r>
      <w:r>
        <w:t>been corrected.</w:t>
      </w:r>
    </w:p>
    <w:p w:rsidR="003F509E" w:rsidRDefault="003F509E" w:rsidP="00461BF5">
      <w:pPr>
        <w:jc w:val="both"/>
      </w:pPr>
    </w:p>
    <w:p w:rsidR="003F509E" w:rsidRPr="003F509E" w:rsidRDefault="003F509E" w:rsidP="00461BF5">
      <w:pPr>
        <w:jc w:val="both"/>
        <w:rPr>
          <w:i/>
          <w:iCs/>
        </w:rPr>
      </w:pPr>
      <w:r w:rsidRPr="003F509E">
        <w:rPr>
          <w:i/>
          <w:iCs/>
        </w:rPr>
        <w:t>4. Please avoid long steps (more than 4 lines).</w:t>
      </w:r>
    </w:p>
    <w:p w:rsidR="003F509E" w:rsidRDefault="003F509E" w:rsidP="00461BF5">
      <w:pPr>
        <w:jc w:val="both"/>
      </w:pPr>
    </w:p>
    <w:p w:rsidR="00461BF5" w:rsidRDefault="003F509E" w:rsidP="00461BF5">
      <w:pPr>
        <w:jc w:val="both"/>
      </w:pPr>
      <w:r>
        <w:t xml:space="preserve">We have tried to make the steps in the protocol concise. However, we feel that, in addition to providing the sequence of commands for the calculation, it is helpful to provide the users with explanations of the parameters </w:t>
      </w:r>
      <w:r w:rsidR="00461BF5">
        <w:t xml:space="preserve">that are </w:t>
      </w:r>
      <w:r>
        <w:t xml:space="preserve">passed to the programs, as well as of the options that users can modify to tailor the calculation to their specific needs. This makes the description of certain steps longer, but we believe that it contributes to </w:t>
      </w:r>
      <w:r w:rsidR="00E902D5">
        <w:t xml:space="preserve">the </w:t>
      </w:r>
      <w:r>
        <w:t>clarity</w:t>
      </w:r>
      <w:r w:rsidR="00E902D5">
        <w:t xml:space="preserve"> and user-friendliness of the protocol, even for inexperienced users</w:t>
      </w:r>
      <w:r>
        <w:t xml:space="preserve">. </w:t>
      </w:r>
      <w:r w:rsidR="00E902D5">
        <w:t>In this respect, we appreciate the comment of Reviewer 1 that “</w:t>
      </w:r>
      <w:r w:rsidR="00E902D5" w:rsidRPr="00E902D5">
        <w:t>The protocol is written in a friendly way that is easy to follow even for specialists outside the area of computer simulations</w:t>
      </w:r>
      <w:r w:rsidR="00E902D5">
        <w:t>,” as well as the comment of Reviewer 2 that “</w:t>
      </w:r>
      <w:r w:rsidR="00E902D5" w:rsidRPr="00E902D5">
        <w:t>it could be useful for newcomers in this important field of Physical Chemistry</w:t>
      </w:r>
      <w:r w:rsidR="00E902D5">
        <w:t>.”</w:t>
      </w:r>
    </w:p>
    <w:p w:rsidR="00461BF5" w:rsidRDefault="00461BF5" w:rsidP="00461BF5">
      <w:pPr>
        <w:jc w:val="both"/>
      </w:pPr>
    </w:p>
    <w:p w:rsidR="00E902D5" w:rsidRDefault="00E902D5" w:rsidP="00461BF5">
      <w:pPr>
        <w:jc w:val="both"/>
      </w:pPr>
      <w:r>
        <w:t xml:space="preserve">We hope that the </w:t>
      </w:r>
      <w:proofErr w:type="spellStart"/>
      <w:r>
        <w:t>JoVE</w:t>
      </w:r>
      <w:proofErr w:type="spellEnd"/>
      <w:r>
        <w:t xml:space="preserve"> editorial team agrees to keep the information about the options that are available to users in the protocol itself </w:t>
      </w:r>
      <w:r>
        <w:t>(</w:t>
      </w:r>
      <w:r>
        <w:t xml:space="preserve">the </w:t>
      </w:r>
      <w:r w:rsidRPr="00E902D5">
        <w:t>motivation</w:t>
      </w:r>
      <w:r>
        <w:t xml:space="preserve"> for our recommendations to use specific options is </w:t>
      </w:r>
      <w:r>
        <w:t>explained</w:t>
      </w:r>
      <w:r>
        <w:t xml:space="preserve"> in the Discussion)</w:t>
      </w:r>
      <w:r>
        <w:t>.</w:t>
      </w:r>
      <w:r w:rsidR="00461BF5">
        <w:t xml:space="preserve"> However, we are prepared to make further modifications to the protocol, if necessary.</w:t>
      </w:r>
    </w:p>
    <w:p w:rsidR="003F509E" w:rsidRDefault="003F509E" w:rsidP="00461BF5">
      <w:pPr>
        <w:jc w:val="both"/>
      </w:pPr>
    </w:p>
    <w:p w:rsidR="003F509E" w:rsidRPr="00E902D5" w:rsidRDefault="003F509E" w:rsidP="00461BF5">
      <w:pPr>
        <w:jc w:val="both"/>
        <w:rPr>
          <w:i/>
          <w:iCs/>
        </w:rPr>
      </w:pPr>
      <w:r w:rsidRPr="00E902D5">
        <w:rPr>
          <w:i/>
          <w:iCs/>
        </w:rPr>
        <w:t>5. For steps that are done using software, a step-wise description of software usage must be included in the step. Please mention what button is clicked on in the software, or which menu items need to be selected to perform the step.</w:t>
      </w:r>
    </w:p>
    <w:p w:rsidR="00E902D5" w:rsidRDefault="00E902D5" w:rsidP="00461BF5">
      <w:pPr>
        <w:jc w:val="both"/>
      </w:pPr>
    </w:p>
    <w:p w:rsidR="00913781" w:rsidRDefault="00E902D5" w:rsidP="00461BF5">
      <w:pPr>
        <w:jc w:val="both"/>
      </w:pPr>
      <w:r>
        <w:t xml:space="preserve">The protocol is to be executed in </w:t>
      </w:r>
      <w:r w:rsidR="00913781">
        <w:t>a</w:t>
      </w:r>
      <w:r>
        <w:t xml:space="preserve"> Unix</w:t>
      </w:r>
      <w:r w:rsidR="00913781">
        <w:t>/Linux</w:t>
      </w:r>
      <w:r>
        <w:t xml:space="preserve"> terminal and the sequence of commands for the calculation is provided</w:t>
      </w:r>
      <w:r w:rsidR="00913781">
        <w:t xml:space="preserve">. None of the steps in the protocol require clicking buttons or selecting menu items. The input files for the calculations can be set up in any text editor of the user’s choice (e.g., vi, emacs, </w:t>
      </w:r>
      <w:r w:rsidR="004B7472">
        <w:t xml:space="preserve">Notepad, </w:t>
      </w:r>
      <w:r w:rsidR="00913781">
        <w:t xml:space="preserve">or </w:t>
      </w:r>
      <w:proofErr w:type="spellStart"/>
      <w:r w:rsidR="00913781">
        <w:t>AlphaX</w:t>
      </w:r>
      <w:proofErr w:type="spellEnd"/>
      <w:r w:rsidR="00913781">
        <w:t>).</w:t>
      </w:r>
    </w:p>
    <w:p w:rsidR="00E902D5" w:rsidRDefault="00E902D5" w:rsidP="00461BF5">
      <w:pPr>
        <w:jc w:val="both"/>
      </w:pPr>
    </w:p>
    <w:p w:rsidR="003F509E" w:rsidRPr="00913781" w:rsidRDefault="003F509E" w:rsidP="00461BF5">
      <w:pPr>
        <w:jc w:val="both"/>
        <w:rPr>
          <w:i/>
          <w:iCs/>
        </w:rPr>
      </w:pPr>
      <w:r w:rsidRPr="00913781">
        <w:rPr>
          <w:i/>
          <w:iCs/>
        </w:rPr>
        <w:t>6. Please ensure that all text in the protocol section is written in the imperative tense as if telling someone how to do the technique (e.g., “Do this,” “Ensure that,” etc.). Any text that cannot be written in the imperative tense may be added as a “Note.”</w:t>
      </w:r>
    </w:p>
    <w:p w:rsidR="00913781" w:rsidRDefault="00913781" w:rsidP="00461BF5">
      <w:pPr>
        <w:jc w:val="both"/>
      </w:pPr>
    </w:p>
    <w:p w:rsidR="00913781" w:rsidRDefault="00461BF5" w:rsidP="00461BF5">
      <w:pPr>
        <w:jc w:val="both"/>
      </w:pPr>
      <w:r>
        <w:t>We have checked that e</w:t>
      </w:r>
      <w:r w:rsidR="004B7472">
        <w:t xml:space="preserve">ach step in the protocol contains </w:t>
      </w:r>
      <w:r>
        <w:t>an</w:t>
      </w:r>
      <w:r w:rsidR="004B7472">
        <w:t xml:space="preserve"> actionable item written in the imperative tense. </w:t>
      </w:r>
      <w:r>
        <w:t>(</w:t>
      </w:r>
      <w:r w:rsidR="004B7472">
        <w:t>Some steps additionally include explanations of user options and suggestions for specific option choices, as explained in the response to point 4 of the editorial comments.</w:t>
      </w:r>
      <w:r>
        <w:t>)</w:t>
      </w:r>
    </w:p>
    <w:p w:rsidR="00913781" w:rsidRDefault="00913781" w:rsidP="00461BF5">
      <w:pPr>
        <w:jc w:val="both"/>
      </w:pPr>
    </w:p>
    <w:p w:rsidR="003F509E" w:rsidRPr="004B7472" w:rsidRDefault="003F509E" w:rsidP="00461BF5">
      <w:pPr>
        <w:jc w:val="both"/>
        <w:rPr>
          <w:i/>
          <w:iCs/>
        </w:rPr>
      </w:pPr>
      <w:r w:rsidRPr="004B7472">
        <w:rPr>
          <w:i/>
          <w:iCs/>
        </w:rPr>
        <w:t>7. Each figure must be accompanied by a title and a description after the Representative Results of the manuscript text.</w:t>
      </w:r>
    </w:p>
    <w:p w:rsidR="004B7472" w:rsidRDefault="004B7472" w:rsidP="00461BF5">
      <w:pPr>
        <w:jc w:val="both"/>
      </w:pPr>
    </w:p>
    <w:p w:rsidR="004B7472" w:rsidRDefault="004B7472" w:rsidP="00461BF5">
      <w:pPr>
        <w:jc w:val="both"/>
      </w:pPr>
      <w:r>
        <w:t>Figure captions are provided in the “Figure and Table Legends” section that follows the “Representative Results” section.</w:t>
      </w:r>
      <w:r w:rsidR="00461BF5">
        <w:t xml:space="preserve"> Please advise if any other text </w:t>
      </w:r>
      <w:r w:rsidR="001A3DA9">
        <w:t>should accompany the figures.</w:t>
      </w:r>
    </w:p>
    <w:p w:rsidR="004B7472" w:rsidRDefault="004B7472" w:rsidP="00461BF5">
      <w:pPr>
        <w:jc w:val="both"/>
      </w:pPr>
    </w:p>
    <w:p w:rsidR="003F509E" w:rsidRPr="004B7472" w:rsidRDefault="003F509E" w:rsidP="00461BF5">
      <w:pPr>
        <w:jc w:val="both"/>
        <w:rPr>
          <w:i/>
          <w:iCs/>
        </w:rPr>
      </w:pPr>
      <w:r w:rsidRPr="004B7472">
        <w:rPr>
          <w:i/>
          <w:iCs/>
        </w:rPr>
        <w:t xml:space="preserve">8. </w:t>
      </w:r>
      <w:proofErr w:type="spellStart"/>
      <w:r w:rsidRPr="004B7472">
        <w:rPr>
          <w:i/>
          <w:iCs/>
        </w:rPr>
        <w:t>JoVE</w:t>
      </w:r>
      <w:proofErr w:type="spellEnd"/>
      <w:r w:rsidRPr="004B7472">
        <w:rPr>
          <w:i/>
          <w:iCs/>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p>
    <w:p w:rsidR="003F509E" w:rsidRDefault="003F509E" w:rsidP="00461BF5">
      <w:pPr>
        <w:jc w:val="both"/>
      </w:pPr>
    </w:p>
    <w:p w:rsidR="004B7472" w:rsidRDefault="001A3DA9" w:rsidP="00461BF5">
      <w:pPr>
        <w:jc w:val="both"/>
      </w:pPr>
      <w:r>
        <w:t>To the best of our knowledge</w:t>
      </w:r>
      <w:r w:rsidR="00461BF5">
        <w:t xml:space="preserve">, the manuscript contains no commercial language. We do specify </w:t>
      </w:r>
      <w:r>
        <w:t xml:space="preserve">the </w:t>
      </w:r>
      <w:r w:rsidR="00461BF5">
        <w:t>names of software packages (</w:t>
      </w:r>
      <w:r w:rsidR="00461BF5" w:rsidRPr="00461BF5">
        <w:rPr>
          <w:i/>
          <w:iCs/>
        </w:rPr>
        <w:t>Gaussian</w:t>
      </w:r>
      <w:r w:rsidR="00461BF5">
        <w:t xml:space="preserve"> and </w:t>
      </w:r>
      <w:proofErr w:type="spellStart"/>
      <w:r w:rsidR="00461BF5" w:rsidRPr="00461BF5">
        <w:rPr>
          <w:i/>
          <w:iCs/>
        </w:rPr>
        <w:t>Multiwfn</w:t>
      </w:r>
      <w:proofErr w:type="spellEnd"/>
      <w:r w:rsidR="00461BF5">
        <w:t xml:space="preserve">) in the text, as the protocol has been developed specifically for use with those software packages. Please advise us on </w:t>
      </w:r>
      <w:r>
        <w:t xml:space="preserve">an </w:t>
      </w:r>
      <w:r w:rsidR="00461BF5">
        <w:t>alternative if such usage is not acceptable.</w:t>
      </w:r>
    </w:p>
    <w:p w:rsidR="004B7472" w:rsidRDefault="004B7472" w:rsidP="00461BF5">
      <w:pPr>
        <w:jc w:val="both"/>
      </w:pPr>
    </w:p>
    <w:p w:rsidR="004B7472" w:rsidRDefault="004B7472" w:rsidP="00461BF5">
      <w:pPr>
        <w:jc w:val="both"/>
      </w:pPr>
      <w:r>
        <w:t>Please let us know if you have further requests regarding the manuscript</w:t>
      </w:r>
      <w:r w:rsidR="001A3DA9">
        <w:t>:</w:t>
      </w:r>
      <w:r>
        <w:t xml:space="preserve"> we will be happy to make additional modifications</w:t>
      </w:r>
      <w:r w:rsidR="00461BF5">
        <w:t>,</w:t>
      </w:r>
      <w:r>
        <w:t xml:space="preserve"> </w:t>
      </w:r>
      <w:r w:rsidR="00461BF5">
        <w:t>if necessary</w:t>
      </w:r>
      <w:r>
        <w:t>.</w:t>
      </w:r>
    </w:p>
    <w:p w:rsidR="001A3DA9" w:rsidRDefault="001A3DA9">
      <w:r>
        <w:br w:type="page"/>
      </w:r>
    </w:p>
    <w:p w:rsidR="004B7472" w:rsidRPr="003F509E" w:rsidRDefault="004B7472" w:rsidP="00461BF5">
      <w:pPr>
        <w:jc w:val="both"/>
        <w:rPr>
          <w:b/>
          <w:bCs/>
        </w:rPr>
      </w:pPr>
      <w:r w:rsidRPr="003F509E">
        <w:rPr>
          <w:b/>
          <w:bCs/>
        </w:rPr>
        <w:lastRenderedPageBreak/>
        <w:t xml:space="preserve">Response to </w:t>
      </w:r>
      <w:r>
        <w:rPr>
          <w:b/>
          <w:bCs/>
        </w:rPr>
        <w:t>Reviewer</w:t>
      </w:r>
      <w:r w:rsidRPr="003F509E">
        <w:rPr>
          <w:b/>
          <w:bCs/>
        </w:rPr>
        <w:t xml:space="preserve"> Comments:</w:t>
      </w:r>
    </w:p>
    <w:p w:rsidR="004B7472" w:rsidRDefault="004B7472" w:rsidP="00461BF5">
      <w:pPr>
        <w:jc w:val="both"/>
      </w:pPr>
    </w:p>
    <w:p w:rsidR="00AC301F" w:rsidRDefault="00152AF9" w:rsidP="00461BF5">
      <w:pPr>
        <w:jc w:val="both"/>
      </w:pPr>
      <w:r>
        <w:t>We thank the reviewers for their comments. We address these comments individually below.</w:t>
      </w:r>
    </w:p>
    <w:p w:rsidR="00152AF9" w:rsidRDefault="00152AF9" w:rsidP="00461BF5">
      <w:pPr>
        <w:jc w:val="both"/>
      </w:pPr>
    </w:p>
    <w:p w:rsidR="00152AF9" w:rsidRPr="00152AF9" w:rsidRDefault="00152AF9" w:rsidP="00461BF5">
      <w:pPr>
        <w:jc w:val="both"/>
        <w:rPr>
          <w:b/>
          <w:bCs/>
        </w:rPr>
      </w:pPr>
      <w:r w:rsidRPr="00152AF9">
        <w:rPr>
          <w:b/>
          <w:bCs/>
        </w:rPr>
        <w:t>Reviewer #1:</w:t>
      </w:r>
    </w:p>
    <w:p w:rsidR="00152AF9" w:rsidRDefault="00152AF9" w:rsidP="00461BF5">
      <w:pPr>
        <w:jc w:val="both"/>
      </w:pPr>
    </w:p>
    <w:p w:rsidR="00152AF9" w:rsidRPr="00152AF9" w:rsidRDefault="00152AF9" w:rsidP="00461BF5">
      <w:pPr>
        <w:jc w:val="both"/>
        <w:rPr>
          <w:i/>
          <w:iCs/>
        </w:rPr>
      </w:pPr>
      <w:r w:rsidRPr="00152AF9">
        <w:rPr>
          <w:i/>
          <w:iCs/>
        </w:rPr>
        <w:t>Is there interaction between transitional dipole moments of the molecular aggregate? Is the aggregate (generated at 1.1) formed from excited state molecules stable?</w:t>
      </w:r>
    </w:p>
    <w:p w:rsidR="00152AF9" w:rsidRDefault="00152AF9" w:rsidP="00461BF5">
      <w:pPr>
        <w:jc w:val="both"/>
      </w:pPr>
    </w:p>
    <w:p w:rsidR="00152AF9" w:rsidRDefault="00152AF9" w:rsidP="00461BF5">
      <w:pPr>
        <w:jc w:val="both"/>
      </w:pPr>
      <w:r>
        <w:t>The density of excitations in organic materials is typically low. Aggregates with sizes of a few hundred to a few thousand molecules that can be simulated using the method we propose will typically have only a single excitation. Therefore, there are no concerns about the stability of the aggregate and it isn’t necessary to model interactions between multiple excitations in the aggregate. However, an excited state in the material may be delocalized over multiple interacting chromophores. These interchromophore interactions are accounted for using the tight-binding Hamiltonian (line 129).</w:t>
      </w:r>
    </w:p>
    <w:p w:rsidR="00152AF9" w:rsidRDefault="00152AF9" w:rsidP="00461BF5">
      <w:pPr>
        <w:jc w:val="both"/>
      </w:pPr>
    </w:p>
    <w:p w:rsidR="00152AF9" w:rsidRDefault="00152AF9" w:rsidP="00461BF5">
      <w:pPr>
        <w:jc w:val="both"/>
        <w:rPr>
          <w:i/>
          <w:iCs/>
        </w:rPr>
      </w:pPr>
      <w:r w:rsidRPr="00152AF9">
        <w:rPr>
          <w:i/>
          <w:iCs/>
        </w:rPr>
        <w:t>The example of the protocol is given for 108 molecules (line 161). While absorption spectra Figure 3 (Representative results section) are computed for 6 molecule aggregate only (line 464).</w:t>
      </w:r>
    </w:p>
    <w:p w:rsidR="00152AF9" w:rsidRPr="00152AF9" w:rsidRDefault="00152AF9" w:rsidP="00461BF5">
      <w:pPr>
        <w:jc w:val="both"/>
      </w:pPr>
    </w:p>
    <w:p w:rsidR="00152AF9" w:rsidRPr="00152AF9" w:rsidRDefault="00621772" w:rsidP="00461BF5">
      <w:pPr>
        <w:jc w:val="both"/>
      </w:pPr>
      <w:r>
        <w:t>The protocol works for any number of molecules. We chose to present the calculated spectra for 6 molecules simply because it allows to clearly show the energies and intensities for individual transitions (“stick spectrum”) in addition to the broadened aggregate spectrum. A stick spectrum for much larger aggregates simply contains too many lines to be informative.</w:t>
      </w:r>
    </w:p>
    <w:p w:rsidR="00152AF9" w:rsidRPr="00152AF9" w:rsidRDefault="00152AF9" w:rsidP="00461BF5">
      <w:pPr>
        <w:jc w:val="both"/>
      </w:pPr>
    </w:p>
    <w:p w:rsidR="00152AF9" w:rsidRPr="00152AF9" w:rsidRDefault="00152AF9" w:rsidP="00461BF5">
      <w:pPr>
        <w:jc w:val="both"/>
        <w:rPr>
          <w:i/>
          <w:iCs/>
        </w:rPr>
      </w:pPr>
      <w:r w:rsidRPr="00152AF9">
        <w:rPr>
          <w:i/>
          <w:iCs/>
        </w:rPr>
        <w:t>For comparison of exciton model with TD-DFT calculation (Fig.</w:t>
      </w:r>
      <w:r w:rsidR="00621772">
        <w:rPr>
          <w:i/>
          <w:iCs/>
        </w:rPr>
        <w:t xml:space="preserve"> </w:t>
      </w:r>
      <w:r w:rsidRPr="00152AF9">
        <w:rPr>
          <w:i/>
          <w:iCs/>
        </w:rPr>
        <w:t xml:space="preserve">3) </w:t>
      </w:r>
      <w:proofErr w:type="spellStart"/>
      <w:r w:rsidRPr="00152AF9">
        <w:rPr>
          <w:i/>
          <w:iCs/>
        </w:rPr>
        <w:t>authours</w:t>
      </w:r>
      <w:proofErr w:type="spellEnd"/>
      <w:r w:rsidRPr="00152AF9">
        <w:rPr>
          <w:i/>
          <w:iCs/>
        </w:rPr>
        <w:t xml:space="preserve"> claim the presence of the offset. Please comment on the origin of the offset and how it depends on the number of molecules in the aggregate.</w:t>
      </w:r>
      <w:r w:rsidR="00621772">
        <w:rPr>
          <w:i/>
          <w:iCs/>
        </w:rPr>
        <w:t xml:space="preserve"> </w:t>
      </w:r>
      <w:r w:rsidRPr="00152AF9">
        <w:rPr>
          <w:i/>
          <w:iCs/>
        </w:rPr>
        <w:t>Name the model that gives more correct spectra and the model to be corrected with the offset.</w:t>
      </w:r>
    </w:p>
    <w:p w:rsidR="00152AF9" w:rsidRDefault="00152AF9" w:rsidP="00461BF5">
      <w:pPr>
        <w:jc w:val="both"/>
      </w:pPr>
    </w:p>
    <w:p w:rsidR="001A3DA9" w:rsidRDefault="00CC5BC3" w:rsidP="00461BF5">
      <w:pPr>
        <w:ind w:firstLine="426"/>
        <w:jc w:val="both"/>
      </w:pPr>
      <w:r>
        <w:t>The offset is likely related to the neglect of mutual polarization of the electron density on chromophores by surrounding chromophores.</w:t>
      </w:r>
    </w:p>
    <w:p w:rsidR="001A3DA9" w:rsidRDefault="001A3DA9" w:rsidP="00461BF5">
      <w:pPr>
        <w:ind w:firstLine="426"/>
        <w:jc w:val="both"/>
      </w:pPr>
    </w:p>
    <w:p w:rsidR="001A3DA9" w:rsidRPr="001A3DA9" w:rsidRDefault="00CC5BC3" w:rsidP="001A3DA9">
      <w:pPr>
        <w:jc w:val="both"/>
        <w:rPr>
          <w:u w:val="single"/>
        </w:rPr>
      </w:pPr>
      <w:r w:rsidRPr="001A3DA9">
        <w:rPr>
          <w:u w:val="single"/>
        </w:rPr>
        <w:t>The following statement was added to the paper</w:t>
      </w:r>
      <w:r w:rsidRPr="001A3DA9">
        <w:t>:</w:t>
      </w:r>
    </w:p>
    <w:p w:rsidR="001A3DA9" w:rsidRDefault="001A3DA9" w:rsidP="001A3DA9">
      <w:pPr>
        <w:jc w:val="both"/>
      </w:pPr>
    </w:p>
    <w:p w:rsidR="00152AF9" w:rsidRDefault="00CC5BC3" w:rsidP="00461BF5">
      <w:pPr>
        <w:ind w:firstLine="426"/>
        <w:jc w:val="both"/>
      </w:pPr>
      <w:r>
        <w:t>“Our earlier work suggests that the spectral shape is primarily determined by local electrostatic interactions between chromophores in the aggregate that are accounted for in the exciton model described in this paper, whereas the excitation energy and intensity depend considerably on the mutual polarization between the chromophore and its environment that the model neglects</w:t>
      </w:r>
      <w:r w:rsidRPr="00227F74">
        <w:rPr>
          <w:vanish/>
        </w:rPr>
        <w:t xml:space="preserve"> [Kocherzhenko2017]</w:t>
      </w:r>
      <w:r w:rsidRPr="00227F74">
        <w:rPr>
          <w:vertAlign w:val="superscript"/>
        </w:rPr>
        <w:t>29</w:t>
      </w:r>
      <w:r>
        <w:t xml:space="preserve">.” </w:t>
      </w:r>
    </w:p>
    <w:p w:rsidR="001A3DA9" w:rsidRDefault="001A3DA9">
      <w:r>
        <w:br w:type="page"/>
      </w:r>
    </w:p>
    <w:p w:rsidR="00152AF9" w:rsidRPr="00621772" w:rsidRDefault="00152AF9" w:rsidP="00461BF5">
      <w:pPr>
        <w:jc w:val="both"/>
        <w:rPr>
          <w:b/>
          <w:bCs/>
        </w:rPr>
      </w:pPr>
      <w:r w:rsidRPr="00621772">
        <w:rPr>
          <w:b/>
          <w:bCs/>
        </w:rPr>
        <w:lastRenderedPageBreak/>
        <w:t>Reviewer #2:</w:t>
      </w:r>
    </w:p>
    <w:p w:rsidR="00152AF9" w:rsidRDefault="00152AF9" w:rsidP="00461BF5">
      <w:pPr>
        <w:jc w:val="both"/>
      </w:pPr>
    </w:p>
    <w:p w:rsidR="00152AF9" w:rsidRPr="00CC5BC3" w:rsidRDefault="00152AF9" w:rsidP="00461BF5">
      <w:pPr>
        <w:jc w:val="both"/>
        <w:rPr>
          <w:i/>
          <w:iCs/>
        </w:rPr>
      </w:pPr>
      <w:r w:rsidRPr="00CC5BC3">
        <w:rPr>
          <w:i/>
          <w:iCs/>
        </w:rPr>
        <w:t>- The important issue of sampling of different configurations should be briefly discussed, which contributes considerably to the numerical effort. May be the authors could point to different situations such as aggregates and solids which have rather different demands in this respect.</w:t>
      </w:r>
    </w:p>
    <w:p w:rsidR="00152AF9" w:rsidRDefault="00152AF9" w:rsidP="00461BF5">
      <w:pPr>
        <w:jc w:val="both"/>
      </w:pPr>
    </w:p>
    <w:p w:rsidR="002928A1" w:rsidRDefault="002928A1" w:rsidP="00461BF5">
      <w:pPr>
        <w:jc w:val="both"/>
      </w:pPr>
      <w:r w:rsidRPr="001A3DA9">
        <w:rPr>
          <w:u w:val="single"/>
        </w:rPr>
        <w:t xml:space="preserve">We have added the following paragraph to the </w:t>
      </w:r>
      <w:r w:rsidR="001A3DA9">
        <w:rPr>
          <w:u w:val="single"/>
        </w:rPr>
        <w:t>D</w:t>
      </w:r>
      <w:r w:rsidRPr="001A3DA9">
        <w:rPr>
          <w:u w:val="single"/>
        </w:rPr>
        <w:t>iscussion</w:t>
      </w:r>
      <w:r>
        <w:t>:</w:t>
      </w:r>
    </w:p>
    <w:p w:rsidR="001A3DA9" w:rsidRDefault="001A3DA9" w:rsidP="00461BF5">
      <w:pPr>
        <w:jc w:val="both"/>
      </w:pPr>
    </w:p>
    <w:p w:rsidR="002928A1" w:rsidRPr="009C3EA7" w:rsidRDefault="002928A1" w:rsidP="00461BF5">
      <w:pPr>
        <w:ind w:firstLine="426"/>
        <w:jc w:val="both"/>
      </w:pPr>
      <w:r>
        <w:t>“When simulating the optoelectronic properties of bulk molecular solids, it is also important to adequately sample the various possible arrangements of chromophores in the molecular solid. A sufficiently large number of snapshots with representative arrangements of chromophores in the solid sample can be obtained, e.g., from a Monte Carlo simulation of the sample’s microstructure</w:t>
      </w:r>
      <w:r w:rsidRPr="00E949A0">
        <w:rPr>
          <w:vanish/>
        </w:rPr>
        <w:t xml:space="preserve"> [Tillack2018]</w:t>
      </w:r>
      <w:r w:rsidRPr="00E949A0">
        <w:rPr>
          <w:vertAlign w:val="superscript"/>
        </w:rPr>
        <w:t>46</w:t>
      </w:r>
      <w:r>
        <w:t>. The calculated optoelectronic properties, e.g., the calculated optical absorption spectra, should then be averaged over all snapshots.”</w:t>
      </w:r>
    </w:p>
    <w:p w:rsidR="00CC5BC3" w:rsidRDefault="00CC5BC3" w:rsidP="00461BF5">
      <w:pPr>
        <w:jc w:val="both"/>
      </w:pPr>
    </w:p>
    <w:p w:rsidR="00152AF9" w:rsidRPr="00CC5BC3" w:rsidRDefault="00152AF9" w:rsidP="00461BF5">
      <w:pPr>
        <w:jc w:val="both"/>
        <w:rPr>
          <w:i/>
          <w:iCs/>
        </w:rPr>
      </w:pPr>
      <w:r w:rsidRPr="00CC5BC3">
        <w:rPr>
          <w:i/>
          <w:iCs/>
        </w:rPr>
        <w:t>- According to the protocol interactions between all molecules are calculated. How about screening of interactions between non-nearest neighbors?</w:t>
      </w:r>
    </w:p>
    <w:p w:rsidR="00152AF9" w:rsidRDefault="00152AF9" w:rsidP="00461BF5">
      <w:pPr>
        <w:jc w:val="both"/>
      </w:pPr>
    </w:p>
    <w:p w:rsidR="002928A1" w:rsidRDefault="002928A1" w:rsidP="00461BF5">
      <w:pPr>
        <w:jc w:val="both"/>
      </w:pPr>
      <w:r>
        <w:t xml:space="preserve">For bulk molecular solids, such screening can be </w:t>
      </w:r>
      <w:r w:rsidR="00C66B7D">
        <w:t>accounted for simply by dividing the calculated values of the intermolecular interactions by the dielectric constant of the material (typically, in the 2–4 range for organic materials). For relatively small molecular aggregates, there is no simple way to account for the screening of intermolecular interactions, but screening is also much less significant than for bulk molecular solids.</w:t>
      </w:r>
    </w:p>
    <w:p w:rsidR="00CC5BC3" w:rsidRDefault="00CC5BC3" w:rsidP="00461BF5">
      <w:pPr>
        <w:jc w:val="both"/>
      </w:pPr>
    </w:p>
    <w:p w:rsidR="00152AF9" w:rsidRPr="00CC5BC3" w:rsidRDefault="00152AF9" w:rsidP="00461BF5">
      <w:pPr>
        <w:jc w:val="both"/>
        <w:rPr>
          <w:i/>
          <w:iCs/>
        </w:rPr>
      </w:pPr>
      <w:r w:rsidRPr="00CC5BC3">
        <w:rPr>
          <w:i/>
          <w:iCs/>
        </w:rPr>
        <w:t xml:space="preserve">- How about intermolecular CT transitions which have attracted considerable attention - see D. Bellinger, J. </w:t>
      </w:r>
      <w:proofErr w:type="spellStart"/>
      <w:r w:rsidRPr="00CC5BC3">
        <w:rPr>
          <w:i/>
          <w:iCs/>
        </w:rPr>
        <w:t>Pflaum</w:t>
      </w:r>
      <w:proofErr w:type="spellEnd"/>
      <w:r w:rsidRPr="00CC5BC3">
        <w:rPr>
          <w:i/>
          <w:iCs/>
        </w:rPr>
        <w:t xml:space="preserve">, C. </w:t>
      </w:r>
      <w:proofErr w:type="spellStart"/>
      <w:r w:rsidRPr="00CC5BC3">
        <w:rPr>
          <w:i/>
          <w:iCs/>
        </w:rPr>
        <w:t>Brüning</w:t>
      </w:r>
      <w:proofErr w:type="spellEnd"/>
      <w:r w:rsidRPr="00CC5BC3">
        <w:rPr>
          <w:i/>
          <w:iCs/>
        </w:rPr>
        <w:t>, V. Engel, and B. Engels, Phys. Chem. Chem. Phys. 19, 2434 (2017).</w:t>
      </w:r>
    </w:p>
    <w:p w:rsidR="00152AF9" w:rsidRDefault="00152AF9" w:rsidP="00461BF5">
      <w:pPr>
        <w:jc w:val="both"/>
      </w:pPr>
    </w:p>
    <w:p w:rsidR="009D0D97" w:rsidRDefault="00C66B7D" w:rsidP="00461BF5">
      <w:pPr>
        <w:jc w:val="both"/>
      </w:pPr>
      <w:r>
        <w:t xml:space="preserve">All excitons in the model presented </w:t>
      </w:r>
      <w:r w:rsidR="00B72BAF">
        <w:t xml:space="preserve">in this paper </w:t>
      </w:r>
      <w:r>
        <w:t>are Frenkel excitons; charge transfer excitons are neglected. It is true that intermolecular CT transitions may have non-negligible effects on the optoelectronic properties of materials in certain cases</w:t>
      </w:r>
      <w:r w:rsidR="00B72BAF">
        <w:t xml:space="preserve"> (as mentioned in lines 113–115)</w:t>
      </w:r>
      <w:r>
        <w:t>.</w:t>
      </w:r>
      <w:r w:rsidR="009D0D97">
        <w:t xml:space="preserve"> I</w:t>
      </w:r>
      <w:r w:rsidR="00B72BAF">
        <w:t xml:space="preserve">n principle, </w:t>
      </w:r>
      <w:r w:rsidR="009D0D97">
        <w:t xml:space="preserve">the </w:t>
      </w:r>
      <w:r w:rsidR="00B72BAF">
        <w:t>exciton model</w:t>
      </w:r>
      <w:r w:rsidR="009D0D97">
        <w:t xml:space="preserve"> can be extended to incorporate CT transitions</w:t>
      </w:r>
      <w:r w:rsidR="00B72BAF">
        <w:t xml:space="preserve">: e.g., as we have done in Ref. [28]. </w:t>
      </w:r>
      <w:r w:rsidR="009D0D97">
        <w:t>However, o</w:t>
      </w:r>
      <w:r w:rsidR="00B72BAF">
        <w:t xml:space="preserve">ne major downside of including </w:t>
      </w:r>
      <w:r w:rsidR="009D0D97">
        <w:t>these</w:t>
      </w:r>
      <w:r w:rsidR="00B72BAF">
        <w:t xml:space="preserve"> transitions is that the scaling of the Hamiltonian size with the number of chromophores is considerably worse than </w:t>
      </w:r>
      <w:r w:rsidR="009D0D97">
        <w:t>for models that</w:t>
      </w:r>
      <w:r w:rsidR="00B72BAF">
        <w:t xml:space="preserve"> only includ</w:t>
      </w:r>
      <w:r w:rsidR="009D0D97">
        <w:t>e</w:t>
      </w:r>
      <w:r w:rsidR="00B72BAF">
        <w:t xml:space="preserve"> Frenkel excitons, leading to </w:t>
      </w:r>
      <w:r w:rsidR="009D0D97">
        <w:t xml:space="preserve">significantly increased </w:t>
      </w:r>
      <w:r w:rsidR="00B72BAF">
        <w:t>computational costs.</w:t>
      </w:r>
    </w:p>
    <w:p w:rsidR="009D0D97" w:rsidRDefault="009D0D97" w:rsidP="00461BF5">
      <w:pPr>
        <w:jc w:val="both"/>
      </w:pPr>
    </w:p>
    <w:p w:rsidR="00CC5BC3" w:rsidRDefault="00B72BAF" w:rsidP="00461BF5">
      <w:pPr>
        <w:jc w:val="both"/>
      </w:pPr>
      <w:r>
        <w:t xml:space="preserve">Fortunately, for disordered molecular solids the effect of CT transitions on the optoelectronic properties, such as the absorption spectra, are </w:t>
      </w:r>
      <w:r w:rsidR="009D0D97">
        <w:t xml:space="preserve">often </w:t>
      </w:r>
      <w:r>
        <w:t>relatively minor (in part, because charge transfer interactions scale exponentially with intermolecular distance).</w:t>
      </w:r>
      <w:r w:rsidR="009D0D97">
        <w:t xml:space="preserve"> In such cases, the exciton model that is presented in the current paper is expected to work relatively well. Indeed, in earlier work (Ref. [29]) we have calculated spectra for aggregates of up to 10 YLD124 chromophores both using the exciton model and using TDDFT on the entire aggregate (a method that accounts for possible charge transfer between chromophores). The reasonable agreement between the two methods suggests that, at least for this system, the effect of intermolecular CT transitions on the absorption spectrum is relatively minor.</w:t>
      </w:r>
    </w:p>
    <w:p w:rsidR="007C53AD" w:rsidRDefault="007C53AD" w:rsidP="00461BF5">
      <w:pPr>
        <w:jc w:val="both"/>
      </w:pPr>
    </w:p>
    <w:p w:rsidR="007C53AD" w:rsidRDefault="007C53AD" w:rsidP="00461BF5">
      <w:pPr>
        <w:jc w:val="both"/>
      </w:pPr>
      <w:r w:rsidRPr="001A3DA9">
        <w:rPr>
          <w:u w:val="single"/>
        </w:rPr>
        <w:t xml:space="preserve">We have added the </w:t>
      </w:r>
      <w:r w:rsidR="00AC301F" w:rsidRPr="001A3DA9">
        <w:rPr>
          <w:u w:val="single"/>
        </w:rPr>
        <w:t xml:space="preserve">following paragraph to the </w:t>
      </w:r>
      <w:r w:rsidR="001A3DA9" w:rsidRPr="001A3DA9">
        <w:rPr>
          <w:u w:val="single"/>
        </w:rPr>
        <w:t>D</w:t>
      </w:r>
      <w:r w:rsidR="00AC301F" w:rsidRPr="001A3DA9">
        <w:rPr>
          <w:u w:val="single"/>
        </w:rPr>
        <w:t>iscussion</w:t>
      </w:r>
      <w:r w:rsidR="00AC301F">
        <w:t>:</w:t>
      </w:r>
    </w:p>
    <w:p w:rsidR="00AC301F" w:rsidRDefault="00AC301F" w:rsidP="00461BF5">
      <w:pPr>
        <w:jc w:val="both"/>
      </w:pPr>
    </w:p>
    <w:p w:rsidR="00AC301F" w:rsidRDefault="00AC301F" w:rsidP="00461BF5">
      <w:pPr>
        <w:ind w:firstLine="426"/>
        <w:jc w:val="both"/>
      </w:pPr>
      <w:r>
        <w:t>The molecular exciton model proposed here only includes Frenkel excitons on the individual molecules in the aggregate or molecular solid and neglects any charge transfer that may occur between molecules. Our earlier work suggests that this approximation is reasonable for aggregates of YLD 124 molecules</w:t>
      </w:r>
      <w:r w:rsidRPr="001F5B6F">
        <w:rPr>
          <w:vanish/>
        </w:rPr>
        <w:t xml:space="preserve"> </w:t>
      </w:r>
      <w:r w:rsidRPr="001E2DBE">
        <w:rPr>
          <w:vanish/>
        </w:rPr>
        <w:t>[Kocherzhenko2017]</w:t>
      </w:r>
      <w:r w:rsidRPr="001F5B6F">
        <w:rPr>
          <w:vertAlign w:val="superscript"/>
        </w:rPr>
        <w:t>29</w:t>
      </w:r>
      <w:r>
        <w:t>. However, in some cases intermolecular charge transfer states may significantly affect the optoelectronic properties of molecular materials</w:t>
      </w:r>
      <w:r w:rsidRPr="00091FE4">
        <w:rPr>
          <w:vanish/>
        </w:rPr>
        <w:t xml:space="preserve"> [Bellinger2017]</w:t>
      </w:r>
      <w:r w:rsidRPr="00091FE4">
        <w:rPr>
          <w:vertAlign w:val="superscript"/>
        </w:rPr>
        <w:t>46</w:t>
      </w:r>
      <w:r>
        <w:t>. In principle, such charge transfer can be incorporated into exciton models</w:t>
      </w:r>
      <w:r w:rsidRPr="001F64B2">
        <w:rPr>
          <w:vanish/>
        </w:rPr>
        <w:t xml:space="preserve"> [Kocherzhenko2015, Lee2017]</w:t>
      </w:r>
      <w:r w:rsidRPr="001F64B2">
        <w:rPr>
          <w:vertAlign w:val="superscript"/>
        </w:rPr>
        <w:t>27,28</w:t>
      </w:r>
      <w:r>
        <w:t>, albeit at a considerably increased computational cost compared to the case when only Frenkel excitons are accounted for.</w:t>
      </w:r>
    </w:p>
    <w:p w:rsidR="009D0D97" w:rsidRDefault="009D0D97" w:rsidP="00461BF5">
      <w:pPr>
        <w:jc w:val="both"/>
      </w:pPr>
    </w:p>
    <w:p w:rsidR="00152AF9" w:rsidRPr="00CC5BC3" w:rsidRDefault="00152AF9" w:rsidP="00461BF5">
      <w:pPr>
        <w:jc w:val="both"/>
        <w:rPr>
          <w:i/>
          <w:iCs/>
        </w:rPr>
      </w:pPr>
      <w:r w:rsidRPr="00CC5BC3">
        <w:rPr>
          <w:i/>
          <w:iCs/>
        </w:rPr>
        <w:t>- The influence of molecular vibrations (intramolecular and intermolecular) should be addressed. In this respect the computationally more efficient approach of ref.</w:t>
      </w:r>
    </w:p>
    <w:p w:rsidR="00152AF9" w:rsidRPr="00CC5BC3" w:rsidRDefault="00152AF9" w:rsidP="00461BF5">
      <w:pPr>
        <w:jc w:val="both"/>
        <w:rPr>
          <w:i/>
          <w:iCs/>
        </w:rPr>
      </w:pPr>
      <w:r w:rsidRPr="00CC5BC3">
        <w:rPr>
          <w:i/>
          <w:iCs/>
          <w:lang w:val="de-DE"/>
        </w:rPr>
        <w:t xml:space="preserve">P.-A. Plötz, J. </w:t>
      </w:r>
      <w:proofErr w:type="spellStart"/>
      <w:r w:rsidRPr="00CC5BC3">
        <w:rPr>
          <w:i/>
          <w:iCs/>
          <w:lang w:val="de-DE"/>
        </w:rPr>
        <w:t>Megow</w:t>
      </w:r>
      <w:proofErr w:type="spellEnd"/>
      <w:r w:rsidRPr="00CC5BC3">
        <w:rPr>
          <w:i/>
          <w:iCs/>
          <w:lang w:val="de-DE"/>
        </w:rPr>
        <w:t xml:space="preserve">, T. Niehaus, </w:t>
      </w:r>
      <w:proofErr w:type="spellStart"/>
      <w:r w:rsidRPr="00CC5BC3">
        <w:rPr>
          <w:i/>
          <w:iCs/>
          <w:lang w:val="de-DE"/>
        </w:rPr>
        <w:t>and</w:t>
      </w:r>
      <w:proofErr w:type="spellEnd"/>
      <w:r w:rsidRPr="00CC5BC3">
        <w:rPr>
          <w:i/>
          <w:iCs/>
          <w:lang w:val="de-DE"/>
        </w:rPr>
        <w:t xml:space="preserve"> O. Kühn, J. Chem. </w:t>
      </w:r>
      <w:r w:rsidRPr="00CC5BC3">
        <w:rPr>
          <w:i/>
          <w:iCs/>
        </w:rPr>
        <w:t xml:space="preserve">Theory </w:t>
      </w:r>
      <w:proofErr w:type="spellStart"/>
      <w:r w:rsidRPr="00CC5BC3">
        <w:rPr>
          <w:i/>
          <w:iCs/>
        </w:rPr>
        <w:t>Comput</w:t>
      </w:r>
      <w:proofErr w:type="spellEnd"/>
      <w:r w:rsidRPr="00CC5BC3">
        <w:rPr>
          <w:i/>
          <w:iCs/>
        </w:rPr>
        <w:t>. 14, 5001 (2018)</w:t>
      </w:r>
    </w:p>
    <w:p w:rsidR="00152AF9" w:rsidRPr="00CC5BC3" w:rsidRDefault="00152AF9" w:rsidP="00461BF5">
      <w:pPr>
        <w:jc w:val="both"/>
        <w:rPr>
          <w:i/>
          <w:iCs/>
        </w:rPr>
      </w:pPr>
      <w:r w:rsidRPr="00CC5BC3">
        <w:rPr>
          <w:i/>
          <w:iCs/>
        </w:rPr>
        <w:t>could be mentioned.</w:t>
      </w:r>
    </w:p>
    <w:p w:rsidR="00152AF9" w:rsidRDefault="00152AF9" w:rsidP="00461BF5">
      <w:pPr>
        <w:jc w:val="both"/>
      </w:pPr>
    </w:p>
    <w:p w:rsidR="008353CB" w:rsidRDefault="008353CB" w:rsidP="00461BF5">
      <w:pPr>
        <w:jc w:val="both"/>
      </w:pPr>
      <w:r w:rsidRPr="001A3DA9">
        <w:rPr>
          <w:u w:val="single"/>
        </w:rPr>
        <w:t xml:space="preserve">We have added the following paragraph to the </w:t>
      </w:r>
      <w:r w:rsidR="001A3DA9" w:rsidRPr="001A3DA9">
        <w:rPr>
          <w:u w:val="single"/>
        </w:rPr>
        <w:t>D</w:t>
      </w:r>
      <w:r w:rsidRPr="001A3DA9">
        <w:rPr>
          <w:u w:val="single"/>
        </w:rPr>
        <w:t>iscussion</w:t>
      </w:r>
      <w:r>
        <w:t>:</w:t>
      </w:r>
    </w:p>
    <w:p w:rsidR="008353CB" w:rsidRDefault="008353CB" w:rsidP="00461BF5">
      <w:pPr>
        <w:jc w:val="both"/>
      </w:pPr>
    </w:p>
    <w:p w:rsidR="008353CB" w:rsidRDefault="008353CB" w:rsidP="00461BF5">
      <w:pPr>
        <w:ind w:firstLine="426"/>
        <w:jc w:val="both"/>
      </w:pPr>
      <w:r>
        <w:t>“</w:t>
      </w:r>
      <w:r>
        <w:t>In the current model, the effect of molecular vibrations on the optical absorption spectrum is represented by applying Gaussian broadening to the stick spectrum that is calculated using the exciton model. This approximation is rather crude</w:t>
      </w:r>
      <w:r>
        <w:t xml:space="preserve"> and involves a fitting parameter, the width of the Gaussian function.</w:t>
      </w:r>
      <w:r>
        <w:t xml:space="preserve"> </w:t>
      </w:r>
      <w:r>
        <w:t>A</w:t>
      </w:r>
      <w:r>
        <w:t xml:space="preserve"> more accurate broadening function can be calculated</w:t>
      </w:r>
      <w:r>
        <w:t xml:space="preserve"> </w:t>
      </w:r>
      <w:r>
        <w:t>by treating the</w:t>
      </w:r>
      <w:r w:rsidRPr="00267581">
        <w:t xml:space="preserve"> temperature-dependent broadening classically through the sampling of </w:t>
      </w:r>
      <w:r>
        <w:t xml:space="preserve">the possible </w:t>
      </w:r>
      <w:r w:rsidRPr="00267581">
        <w:t xml:space="preserve">configurations </w:t>
      </w:r>
      <w:r>
        <w:t xml:space="preserve">of molecular arrangements in the material (e.g., from molecular dynamics or Monte Carlo simulations) </w:t>
      </w:r>
      <w:r w:rsidRPr="00267581">
        <w:t xml:space="preserve">and </w:t>
      </w:r>
      <w:r>
        <w:t xml:space="preserve">including the </w:t>
      </w:r>
      <w:r w:rsidRPr="00267581">
        <w:t xml:space="preserve">quantum mechanical </w:t>
      </w:r>
      <w:proofErr w:type="spellStart"/>
      <w:r w:rsidRPr="00267581">
        <w:t>vibronic</w:t>
      </w:r>
      <w:proofErr w:type="spellEnd"/>
      <w:r w:rsidRPr="00267581">
        <w:t xml:space="preserve"> contributions as a zero-temperature correction to each vertical transition</w:t>
      </w:r>
      <w:r w:rsidRPr="000E1CE3">
        <w:rPr>
          <w:vanish/>
        </w:rPr>
        <w:t xml:space="preserve"> [Zuehlsdorff2018]</w:t>
      </w:r>
      <w:r w:rsidRPr="000E1CE3">
        <w:rPr>
          <w:vertAlign w:val="superscript"/>
        </w:rPr>
        <w:t>47</w:t>
      </w:r>
      <w:r>
        <w:rPr>
          <w:vertAlign w:val="superscript"/>
        </w:rPr>
        <w:t>,48</w:t>
      </w:r>
      <w:r>
        <w:t xml:space="preserve">. Alternatively, the </w:t>
      </w:r>
      <w:r w:rsidRPr="00C803B2">
        <w:t>spectral densit</w:t>
      </w:r>
      <w:r>
        <w:t>y</w:t>
      </w:r>
      <w:r w:rsidRPr="00C803B2">
        <w:t xml:space="preserve"> for the </w:t>
      </w:r>
      <w:r>
        <w:t>vibrational bath that interacts with</w:t>
      </w:r>
      <w:r w:rsidRPr="00C803B2">
        <w:t xml:space="preserve"> Frenkel excitons in molecular assemblies</w:t>
      </w:r>
      <w:r>
        <w:t xml:space="preserve"> can be efficiently calculated using the </w:t>
      </w:r>
      <w:r w:rsidRPr="00C803B2">
        <w:t>density functional theory based tight-binding (DFTB) method</w:t>
      </w:r>
      <w:r w:rsidRPr="00C803B2">
        <w:rPr>
          <w:vanish/>
        </w:rPr>
        <w:t xml:space="preserve"> [Plötz</w:t>
      </w:r>
      <w:r>
        <w:rPr>
          <w:vanish/>
        </w:rPr>
        <w:t>2018</w:t>
      </w:r>
      <w:r w:rsidRPr="00C803B2">
        <w:rPr>
          <w:vanish/>
        </w:rPr>
        <w:t>]</w:t>
      </w:r>
      <w:r w:rsidRPr="00C803B2">
        <w:rPr>
          <w:vertAlign w:val="superscript"/>
        </w:rPr>
        <w:t>50</w:t>
      </w:r>
      <w:r>
        <w:t>.</w:t>
      </w:r>
      <w:r>
        <w:t>”</w:t>
      </w:r>
    </w:p>
    <w:p w:rsidR="00CC5BC3" w:rsidRDefault="00CC5BC3" w:rsidP="00461BF5">
      <w:pPr>
        <w:jc w:val="both"/>
      </w:pPr>
    </w:p>
    <w:p w:rsidR="00152AF9" w:rsidRPr="00621772" w:rsidRDefault="00152AF9" w:rsidP="00461BF5">
      <w:pPr>
        <w:jc w:val="both"/>
        <w:rPr>
          <w:b/>
          <w:bCs/>
        </w:rPr>
      </w:pPr>
      <w:r w:rsidRPr="00621772">
        <w:rPr>
          <w:b/>
          <w:bCs/>
        </w:rPr>
        <w:t>Reviewer #3:</w:t>
      </w:r>
    </w:p>
    <w:p w:rsidR="00152AF9" w:rsidRDefault="00152AF9" w:rsidP="00461BF5">
      <w:pPr>
        <w:jc w:val="both"/>
      </w:pPr>
    </w:p>
    <w:p w:rsidR="00152AF9" w:rsidRPr="009627DA" w:rsidRDefault="00152AF9" w:rsidP="00461BF5">
      <w:pPr>
        <w:jc w:val="both"/>
        <w:rPr>
          <w:i/>
          <w:iCs/>
        </w:rPr>
      </w:pPr>
      <w:r w:rsidRPr="009627DA">
        <w:rPr>
          <w:i/>
          <w:iCs/>
        </w:rPr>
        <w:t xml:space="preserve">1. Some care should be </w:t>
      </w:r>
      <w:proofErr w:type="spellStart"/>
      <w:r w:rsidRPr="009627DA">
        <w:rPr>
          <w:i/>
          <w:iCs/>
        </w:rPr>
        <w:t>adviced</w:t>
      </w:r>
      <w:proofErr w:type="spellEnd"/>
      <w:r w:rsidRPr="009627DA">
        <w:rPr>
          <w:i/>
          <w:iCs/>
        </w:rPr>
        <w:t xml:space="preserve"> to take into account in the treatment of high level portions: DFT is a theory developing yet (!!), and </w:t>
      </w:r>
      <w:proofErr w:type="spellStart"/>
      <w:r w:rsidRPr="009627DA">
        <w:rPr>
          <w:i/>
          <w:iCs/>
        </w:rPr>
        <w:t>specially</w:t>
      </w:r>
      <w:proofErr w:type="spellEnd"/>
      <w:r w:rsidRPr="009627DA">
        <w:rPr>
          <w:i/>
          <w:iCs/>
        </w:rPr>
        <w:t xml:space="preserve"> in the case of weak interactions as dispersive forces one is required for looking a best treatment. Though Gaussian has very modern versions to it, anyway the users should think in testing others codes, to be sure of better treatment of the point.</w:t>
      </w:r>
    </w:p>
    <w:p w:rsidR="00152AF9" w:rsidRDefault="00152AF9" w:rsidP="00461BF5">
      <w:pPr>
        <w:jc w:val="both"/>
      </w:pPr>
    </w:p>
    <w:p w:rsidR="00AA2E92" w:rsidRDefault="009627DA" w:rsidP="00461BF5">
      <w:pPr>
        <w:jc w:val="both"/>
      </w:pPr>
      <w:r>
        <w:t xml:space="preserve">We agree that DFT is a developing theory, with new density functionals regularly proposed. Because the intermolecular interactions that are accounted for in our model are electrostatic in nature, our main concern is with adequately reproducing the charge distribution within the molecules. Long-range separated density functionals, such as </w:t>
      </w:r>
      <w:r>
        <w:sym w:font="Symbol" w:char="F077"/>
      </w:r>
      <w:r>
        <w:t xml:space="preserve">B97X, </w:t>
      </w:r>
      <w:r>
        <w:sym w:font="Symbol" w:char="F077"/>
      </w:r>
      <w:r>
        <w:t xml:space="preserve">B97XD, or </w:t>
      </w:r>
      <w:proofErr w:type="spellStart"/>
      <w:r w:rsidRPr="009C3EA7">
        <w:t>ωPBE</w:t>
      </w:r>
      <w:proofErr w:type="spellEnd"/>
      <w:r>
        <w:t xml:space="preserve">, are most suitable for </w:t>
      </w:r>
      <w:r w:rsidR="00AA2E92">
        <w:t xml:space="preserve">predicting the </w:t>
      </w:r>
      <w:r>
        <w:t>intramolecular charge distribution</w:t>
      </w:r>
      <w:r w:rsidR="00AA2E92">
        <w:t xml:space="preserve"> (and, consequently, the </w:t>
      </w:r>
      <w:r w:rsidR="00AA2E92" w:rsidRPr="009C3EA7">
        <w:t>transition densities</w:t>
      </w:r>
      <w:r w:rsidR="00AA2E92">
        <w:t>),</w:t>
      </w:r>
      <w:r w:rsidR="00AA2E92" w:rsidRPr="009C3EA7">
        <w:t xml:space="preserve"> </w:t>
      </w:r>
      <w:r w:rsidR="00AA2E92">
        <w:t>as explained in the second paragraph of the discussion (lines 5</w:t>
      </w:r>
      <w:r w:rsidR="00773B53">
        <w:t>31</w:t>
      </w:r>
      <w:r w:rsidR="00AA2E92">
        <w:t>–53</w:t>
      </w:r>
      <w:r w:rsidR="00773B53">
        <w:t>6</w:t>
      </w:r>
      <w:r w:rsidR="00AA2E92">
        <w:t>).</w:t>
      </w:r>
    </w:p>
    <w:p w:rsidR="00AA2E92" w:rsidRDefault="00AA2E92" w:rsidP="00461BF5">
      <w:pPr>
        <w:jc w:val="both"/>
      </w:pPr>
    </w:p>
    <w:p w:rsidR="00E170FA" w:rsidRDefault="00AA2E92" w:rsidP="00461BF5">
      <w:pPr>
        <w:jc w:val="both"/>
      </w:pPr>
      <w:r>
        <w:t>As explained in the first paragraph of the discussion</w:t>
      </w:r>
      <w:r w:rsidR="00773B53">
        <w:t xml:space="preserve"> (lines </w:t>
      </w:r>
      <w:r w:rsidR="00CC5BC3">
        <w:t>528–530</w:t>
      </w:r>
      <w:r w:rsidR="00773B53">
        <w:t>)</w:t>
      </w:r>
      <w:r>
        <w:t>, the exciton model can be parametrized using any density functional (or, for that matter, even using a method of the user’s choice other than TDDFT). It would require minimal changes to the Gaussian input file: namely, specifying the selected method.</w:t>
      </w:r>
    </w:p>
    <w:p w:rsidR="00E170FA" w:rsidRDefault="00E170FA" w:rsidP="00461BF5">
      <w:pPr>
        <w:jc w:val="both"/>
      </w:pPr>
    </w:p>
    <w:p w:rsidR="009627DA" w:rsidRDefault="00E170FA" w:rsidP="00461BF5">
      <w:pPr>
        <w:jc w:val="both"/>
      </w:pPr>
      <w:r>
        <w:t>Parametrization of the exciton model</w:t>
      </w:r>
      <w:r w:rsidR="00AA2E92">
        <w:t xml:space="preserve"> using </w:t>
      </w:r>
      <w:r>
        <w:t xml:space="preserve">quantum chemistry packages other than Gaussian is certainly possible (see, e.g., Ref. [31] that uses </w:t>
      </w:r>
      <w:proofErr w:type="spellStart"/>
      <w:r>
        <w:t>QChem</w:t>
      </w:r>
      <w:proofErr w:type="spellEnd"/>
      <w:r>
        <w:t xml:space="preserve"> for calculating transition densities on individual molecules). However, because different quantum chemistry packages format output files differently, scripts for postprocessing of the data in these files are necessarily written for specific packages. We opted to use Gaussian because of its popularity.</w:t>
      </w:r>
    </w:p>
    <w:p w:rsidR="009627DA" w:rsidRDefault="009627DA" w:rsidP="00461BF5">
      <w:pPr>
        <w:jc w:val="both"/>
      </w:pPr>
    </w:p>
    <w:p w:rsidR="00152AF9" w:rsidRPr="00E170FA" w:rsidRDefault="00152AF9" w:rsidP="00461BF5">
      <w:pPr>
        <w:jc w:val="both"/>
        <w:rPr>
          <w:i/>
          <w:iCs/>
        </w:rPr>
      </w:pPr>
      <w:r w:rsidRPr="00E170FA">
        <w:rPr>
          <w:i/>
          <w:iCs/>
        </w:rPr>
        <w:t>2. Work have to be made, in the sense of testing more DFT functionals, and compare them with hard post-</w:t>
      </w:r>
      <w:proofErr w:type="spellStart"/>
      <w:r w:rsidRPr="00E170FA">
        <w:rPr>
          <w:i/>
          <w:iCs/>
        </w:rPr>
        <w:t>Hartre</w:t>
      </w:r>
      <w:proofErr w:type="spellEnd"/>
      <w:r w:rsidRPr="00E170FA">
        <w:rPr>
          <w:i/>
          <w:iCs/>
        </w:rPr>
        <w:t>-</w:t>
      </w:r>
      <w:proofErr w:type="spellStart"/>
      <w:r w:rsidRPr="00E170FA">
        <w:rPr>
          <w:i/>
          <w:iCs/>
        </w:rPr>
        <w:t>Fock</w:t>
      </w:r>
      <w:proofErr w:type="spellEnd"/>
      <w:r w:rsidRPr="00E170FA">
        <w:rPr>
          <w:i/>
          <w:iCs/>
        </w:rPr>
        <w:t xml:space="preserve"> methods ( as CAS, and so..).</w:t>
      </w:r>
    </w:p>
    <w:p w:rsidR="00152AF9" w:rsidRDefault="00152AF9" w:rsidP="00461BF5">
      <w:pPr>
        <w:jc w:val="both"/>
      </w:pPr>
    </w:p>
    <w:p w:rsidR="00B12CD9" w:rsidRDefault="00B12CD9" w:rsidP="00461BF5">
      <w:pPr>
        <w:jc w:val="both"/>
      </w:pPr>
      <w:r>
        <w:t>We agree that comparisons between various quantum chemical methods are important. In fact, a comparison between the parametrizations of the exciton model and the optical spectra calculated using TDDFT with the B3LYP and ωB97X density functionals, as well as using CIS, can be found in our earlier work, Ref. [29].</w:t>
      </w:r>
    </w:p>
    <w:p w:rsidR="00B12CD9" w:rsidRDefault="00B12CD9" w:rsidP="00461BF5">
      <w:pPr>
        <w:jc w:val="both"/>
      </w:pPr>
    </w:p>
    <w:p w:rsidR="00E170FA" w:rsidRDefault="00B12CD9" w:rsidP="00461BF5">
      <w:pPr>
        <w:jc w:val="both"/>
      </w:pPr>
      <w:r>
        <w:t>T</w:t>
      </w:r>
      <w:r w:rsidR="00E170FA">
        <w:t>he objective of the current paper is to present the protocol for parametrizing the exciton model</w:t>
      </w:r>
      <w:r>
        <w:t xml:space="preserve"> that can</w:t>
      </w:r>
      <w:r w:rsidR="00E170FA">
        <w:t xml:space="preserve">, in principle, be performed </w:t>
      </w:r>
      <w:r>
        <w:t>using</w:t>
      </w:r>
      <w:r w:rsidR="00E170FA">
        <w:t xml:space="preserve"> any quantum chemical method</w:t>
      </w:r>
      <w:r>
        <w:t xml:space="preserve"> without any changes to the procedure (beyond specifying the method of choice in the Gaussian input files)</w:t>
      </w:r>
      <w:r w:rsidR="00E170FA">
        <w:t xml:space="preserve">. </w:t>
      </w:r>
      <w:r>
        <w:t>We believe that benchmarking the performance of various quantum chemical methods falls beyond the scope of the current paper, particularly because the method choice</w:t>
      </w:r>
      <w:r w:rsidR="00E170FA">
        <w:t xml:space="preserve"> </w:t>
      </w:r>
      <w:r>
        <w:t>may depend on the specific molecular system to be simulated.</w:t>
      </w:r>
    </w:p>
    <w:p w:rsidR="00E170FA" w:rsidRDefault="00E170FA" w:rsidP="00461BF5">
      <w:pPr>
        <w:jc w:val="both"/>
      </w:pPr>
    </w:p>
    <w:p w:rsidR="00152AF9" w:rsidRPr="00B12CD9" w:rsidRDefault="00152AF9" w:rsidP="00461BF5">
      <w:pPr>
        <w:jc w:val="both"/>
        <w:rPr>
          <w:i/>
          <w:iCs/>
        </w:rPr>
      </w:pPr>
      <w:r w:rsidRPr="00B12CD9">
        <w:rPr>
          <w:i/>
          <w:iCs/>
        </w:rPr>
        <w:t>3. Work is also needed to test the method when a solvent is around the system. This could be hard, due to the treatment of polarization effects on the energy and orbitals levels.</w:t>
      </w:r>
    </w:p>
    <w:p w:rsidR="00152AF9" w:rsidRDefault="00152AF9" w:rsidP="00461BF5">
      <w:pPr>
        <w:jc w:val="both"/>
      </w:pPr>
    </w:p>
    <w:p w:rsidR="00B12CD9" w:rsidRDefault="00B12CD9" w:rsidP="00461BF5">
      <w:pPr>
        <w:jc w:val="both"/>
      </w:pPr>
      <w:r>
        <w:t xml:space="preserve">The current method is intended to study the properties of large molecular aggregates </w:t>
      </w:r>
      <w:r w:rsidR="00773B53">
        <w:t xml:space="preserve">(nanoparticles) </w:t>
      </w:r>
      <w:r>
        <w:t xml:space="preserve">and </w:t>
      </w:r>
      <w:r w:rsidR="00773B53">
        <w:t xml:space="preserve">of </w:t>
      </w:r>
      <w:r>
        <w:t>molecular solids.</w:t>
      </w:r>
      <w:r w:rsidR="00773B53">
        <w:t xml:space="preserve"> No solvent is present in these systems.</w:t>
      </w:r>
    </w:p>
    <w:sectPr w:rsidR="00B12CD9" w:rsidSect="00C41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F9"/>
    <w:rsid w:val="00152AF9"/>
    <w:rsid w:val="001A3DA9"/>
    <w:rsid w:val="002928A1"/>
    <w:rsid w:val="003F509E"/>
    <w:rsid w:val="00461BF5"/>
    <w:rsid w:val="004B7472"/>
    <w:rsid w:val="00621772"/>
    <w:rsid w:val="006F7DF5"/>
    <w:rsid w:val="00773B53"/>
    <w:rsid w:val="007C53AD"/>
    <w:rsid w:val="008353CB"/>
    <w:rsid w:val="00913781"/>
    <w:rsid w:val="009627DA"/>
    <w:rsid w:val="009D0D97"/>
    <w:rsid w:val="00AA2E92"/>
    <w:rsid w:val="00AC301F"/>
    <w:rsid w:val="00B12CD9"/>
    <w:rsid w:val="00B72BAF"/>
    <w:rsid w:val="00C41D45"/>
    <w:rsid w:val="00C66B7D"/>
    <w:rsid w:val="00CC5BC3"/>
    <w:rsid w:val="00E170FA"/>
    <w:rsid w:val="00E90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995B14"/>
  <w15:chartTrackingRefBased/>
  <w15:docId w15:val="{C55ED2A6-BCF4-E34B-A79B-E4CC0C05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405">
      <w:bodyDiv w:val="1"/>
      <w:marLeft w:val="0"/>
      <w:marRight w:val="0"/>
      <w:marTop w:val="0"/>
      <w:marBottom w:val="0"/>
      <w:divBdr>
        <w:top w:val="none" w:sz="0" w:space="0" w:color="auto"/>
        <w:left w:val="none" w:sz="0" w:space="0" w:color="auto"/>
        <w:bottom w:val="none" w:sz="0" w:space="0" w:color="auto"/>
        <w:right w:val="none" w:sz="0" w:space="0" w:color="auto"/>
      </w:divBdr>
    </w:div>
    <w:div w:id="216432302">
      <w:bodyDiv w:val="1"/>
      <w:marLeft w:val="0"/>
      <w:marRight w:val="0"/>
      <w:marTop w:val="0"/>
      <w:marBottom w:val="0"/>
      <w:divBdr>
        <w:top w:val="none" w:sz="0" w:space="0" w:color="auto"/>
        <w:left w:val="none" w:sz="0" w:space="0" w:color="auto"/>
        <w:bottom w:val="none" w:sz="0" w:space="0" w:color="auto"/>
        <w:right w:val="none" w:sz="0" w:space="0" w:color="auto"/>
      </w:divBdr>
    </w:div>
    <w:div w:id="1308582995">
      <w:bodyDiv w:val="1"/>
      <w:marLeft w:val="0"/>
      <w:marRight w:val="0"/>
      <w:marTop w:val="0"/>
      <w:marBottom w:val="0"/>
      <w:divBdr>
        <w:top w:val="none" w:sz="0" w:space="0" w:color="auto"/>
        <w:left w:val="none" w:sz="0" w:space="0" w:color="auto"/>
        <w:bottom w:val="none" w:sz="0" w:space="0" w:color="auto"/>
        <w:right w:val="none" w:sz="0" w:space="0" w:color="auto"/>
      </w:divBdr>
    </w:div>
    <w:div w:id="1908495997">
      <w:bodyDiv w:val="1"/>
      <w:marLeft w:val="0"/>
      <w:marRight w:val="0"/>
      <w:marTop w:val="0"/>
      <w:marBottom w:val="0"/>
      <w:divBdr>
        <w:top w:val="none" w:sz="0" w:space="0" w:color="auto"/>
        <w:left w:val="none" w:sz="0" w:space="0" w:color="auto"/>
        <w:bottom w:val="none" w:sz="0" w:space="0" w:color="auto"/>
        <w:right w:val="none" w:sz="0" w:space="0" w:color="auto"/>
      </w:divBdr>
    </w:div>
    <w:div w:id="210129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6</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2019-10-16T21:59:00Z</dcterms:created>
  <dcterms:modified xsi:type="dcterms:W3CDTF">2019-10-17T21:23:00Z</dcterms:modified>
</cp:coreProperties>
</file>