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Mount Immunohistochemistry in Zebrafish Embryos and Larvae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Dena R. Hammond-Weinberger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Gary T. ZeRuth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Murray State University, Murray, KY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Troy ZeRuth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Dena R. Hammond-Weinberger: </w:t>
      </w:r>
      <w:r>
        <w:rPr>
          <w:rFonts w:ascii="Calibri" w:hAnsi="Calibri" w:cs="Calibri" w:eastAsia="Calibri"/>
          <w:color w:val="000000"/>
          <w:spacing w:val="0"/>
          <w:position w:val="0"/>
          <w:sz w:val="24"/>
          <w:shd w:fill="auto" w:val="clear"/>
        </w:rPr>
        <w:t xml:space="preserve">dweinberger@murraystate.edu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Gary Troy ZeRuth: </w:t>
      </w:r>
      <w:r>
        <w:rPr>
          <w:rFonts w:ascii="Calibri" w:hAnsi="Calibri" w:cs="Calibri" w:eastAsia="Calibri"/>
          <w:color w:val="000000"/>
          <w:spacing w:val="0"/>
          <w:position w:val="0"/>
          <w:sz w:val="24"/>
          <w:shd w:fill="auto" w:val="clear"/>
        </w:rPr>
        <w:t xml:space="preserve">gzeruth@murraystate.edu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antibodies, immunohistochemistry, protein expression, glutamate receptors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fluorescent antibody-mediated detection of proteins in whole preparations of zebrafish embryos and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is a widely used technique to explore protein expression and localization during both normal developmental and disease states. Although many immunohistochemistry protocols have been optimized for mammalian tissue and tissue sections, these protocols often require modification and optimization for non-mammalian model organisms. Zebrafish are increasingly used as a model system in basic, biomedical, and translational research to investigate the molecular, genetic, and cell biological mechanisms of developmental processes. Zebrafish offer many advantages as a model system but also require modified techniques for optimal protein detection. Here, we provide our protocol for whole-mount fluorescence immunohistochemistry in zebrafish embryos and larvae. This protocol additionally describes several different mounting strategies that can be employed and an overview of the advantages and disadvantages each strategy provides. We also describe modifications to this protocol to allow detection of chromogenic substrates in whole mount tissue and fluorescence detection in sectioned larval tissue. This protocol is broadly applicable to the study of many developmental stages and embryonic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has emerged as a powerful model for the study of biological processes for several reasons including short generation time, rapid development, and amenability to genetic techniques. As a result, zebrafish are commonly used in high throughput small molecule screens for toxicological research and drug discovery. Zebrafish are also an attractive model for the study of developmental processes given that a single female can routinely produce 50-300 eggs at a time and the optically clear embryos develop externally allowing for efficient visualization of developmental processes. However, early research relied mostly on forward genetic screens using N-ethyl-N-nitrosourea (ENU) or other mutagens due to challenges in establishing reverse genetic techniques. Roughly two decades ago, morpholinos were first used in zebrafish to knockdown targeted genes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Morpholinos are small antisense oligonucleotides that inhibit translation of target mRNA following microinjection into an embryo at an early developmental stage. A major weakness of morpholinos is that they are diluted as the cells divide and generally lose effectiveness by 72 hours post-fertilization (hpf). While morpholinos remain a powerful tool for zebrafish gene disruption, transcription activator-like effector nucleases (TALENs), zinc-finger nucleases (ZFNs), and clustered regularly interspaced short palindromic repeats (CRISPRs) are more recently being used to directly target the zebrafish genome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reverse genetic strategies, in combination with forward genetics and high throughput screens, have established the zebrafish as a powerful model to study gene expression and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study gene function generally requires an evaluation of the spatio-temporal distribution of gene or gene product expression. The two most commonly used techniques to visualize such expression patterns during early development are in situ hybridization (ISH) and whole mount immunohistochemistry (IHC). In situ hybridization was first developed in 1969 and relies on the use of labeled antisense RNA probes to detect mRNA expression in an organism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contrast, labeled antibodies are used in immunohistochemistry to visualize protein expression. The idea of labeling proteins for detection dates back to the 1930’s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first IHC experiment was published in 1941 when FITC-labeled antibodies were used to detect pathogenic bacteria in infected tissues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ISH and IHC have evolved and improved significantly over the subsequent decades and are now both routinely used in the molecular and diagnostic research laboratory</w:t>
      </w:r>
      <w:r>
        <w:rPr>
          <w:rFonts w:ascii="Calibri" w:hAnsi="Calibri" w:cs="Calibri" w:eastAsia="Calibri"/>
          <w:color w:val="auto"/>
          <w:spacing w:val="0"/>
          <w:position w:val="0"/>
          <w:sz w:val="24"/>
          <w:shd w:fill="auto" w:val="clear"/>
          <w:vertAlign w:val="superscript"/>
        </w:rPr>
        <w:t xml:space="preserve">7,8,9,10,11</w:t>
      </w:r>
      <w:r>
        <w:rPr>
          <w:rFonts w:ascii="Calibri" w:hAnsi="Calibri" w:cs="Calibri" w:eastAsia="Calibri"/>
          <w:color w:val="auto"/>
          <w:spacing w:val="0"/>
          <w:position w:val="0"/>
          <w:sz w:val="24"/>
          <w:shd w:fill="auto" w:val="clear"/>
        </w:rPr>
        <w:t xml:space="preserve">. While both techniques have advantages and disadvantages, IHC offers several benefits over ISH. Practically, IHC is much less time consuming than ISH and is generally less expensive depending on the cost of the primary antibody. In addition, mRNA expression is not always a reliable metric of protein expression as it has been demonstrated in mice and humans that only about a third of protein abundance variation can be explained by mRNA abundance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this reason, IHC is an important supplement to confirm ISH data, when possible. Finally, IHC can provide subcellular and co-localization data that cannot be determined by ISH</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Here, we describe a step-by-step method to reliably detect proteins by immunohistochemistry in whole mount zebrafish embryos and larvae. The goal of this technique is to determine the spatial and temporal expression of a protein of interest in the whole embryo. This technology utilizes antigen-specific primary antibodies and fluorescently tagged secondary antibodies. The protocol is readily adaptable to use on slide-mounted tissue sections and for use with chromogenic substrates in lieu of fluorescence. Using this protocol, we demonstrate that developing zebrafish skeletal muscle expresses ionotropic glutamate receptors, in addition to acetylcholine receptors. NMDA-type glutamate receptor subunits are detectable on the longitudinal muscle at 23 hpf.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for working with zebrafish breeding adults and embryos described in this protocol were approved by the Institutional Animal Care and Use Committee at Murray State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Embryo collection and fixation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14"/>
          <w:shd w:fill="FFFF00" w:val="clear"/>
        </w:rPr>
      </w:pPr>
      <w:r>
        <w:rPr>
          <w:rFonts w:ascii="Calibri" w:hAnsi="Calibri" w:cs="Calibri" w:eastAsia="Calibri"/>
          <w:color w:val="auto"/>
          <w:spacing w:val="0"/>
          <w:position w:val="0"/>
          <w:sz w:val="24"/>
          <w:shd w:fill="FFFF00" w:val="clear"/>
        </w:rPr>
        <w:t xml:space="preserve">1.1.</w:t>
        <w:tab/>
        <w:t xml:space="preserve">Prepare spawning tanks by placing adult zebrafish mixed sex pairs or groups in tanks with a mesh or slotted liner filled with system water overnight.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At lights on, change the spawning tank water for fresh system water to remove feces. Use a 14 h/10 h light dark cycle with lights coming on at 9 am.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Once eggs are laid, return the adults to home tanks.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Collect eggs by drawing them up using a transfer pipet or pouring them into a mesh strainer.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Transfer the eggs to Petri dishes filled halfway with embryo medium (such as 30% Danieau or E2 embryo medium with 0.5 mg/L methylene blue), limiting the number of embryos per dish to 50.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Remove any eggs that are dead or fail to divide.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Dead embryos can be easily identified as they become opaque and often appear “cloudy”. If methylene blue is added to embryo medium, the dead embryos take on a dark blue appearance.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Incubate dishes of eggs at 28.5 &amp;#176;C until they reach the desired stage. For this experiment, raise the embryos until 23 hpf.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(Optional) Transfer the embryos at 24 hpf to 200 &amp;#181;M 1-phenyl 2-thiourea (PTU) in embryo medium to prevent melanogenesis</w:t>
      </w:r>
      <w:r>
        <w:rPr>
          <w:rFonts w:ascii="Calibri" w:hAnsi="Calibri" w:cs="Calibri" w:eastAsia="Calibri"/>
          <w:color w:val="auto"/>
          <w:spacing w:val="0"/>
          <w:position w:val="0"/>
          <w:sz w:val="24"/>
          <w:shd w:fill="FFFF00" w:val="clear"/>
          <w:vertAlign w:val="superscript"/>
        </w:rPr>
        <w:t xml:space="preserve">16,17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Alternatively, bleach embryos post-fixation (see optional section 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Change embryo medium or PTU medium daily.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auto"/>
          <w:spacing w:val="0"/>
          <w:position w:val="0"/>
          <w:sz w:val="24"/>
          <w:shd w:fill="FFFF00" w:val="clear"/>
        </w:rPr>
        <w:t xml:space="preserve">Dechorionate unhatched embryos using ultra-fine-tip forceps under a stereomicroscope. </w:t>
      </w:r>
      <w:r>
        <w:rPr>
          <w:rFonts w:ascii="Calibri" w:hAnsi="Calibri" w:cs="Calibri" w:eastAsia="Calibri"/>
          <w:color w:val="auto"/>
          <w:spacing w:val="0"/>
          <w:position w:val="0"/>
          <w:sz w:val="24"/>
          <w:shd w:fill="auto" w:val="clear"/>
        </w:rPr>
        <w:t xml:space="preserve">Alternatively, chemically dechorionate embryos by incubating in 1 mg/mL Pronase in embryo medium for several minutes at room temperature. Remove the embryos from Pronase and wash three times with embryo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Dechorionated embryos will stick to plastic. Keep them in glass or plastic Petri dishes coated with 1-2% agarose dissolved in embryo medium. Move dechorionated embryos using fire-polished Pasteur pipets to minimize damage.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Transfer the embryos to 1.5 mL centrifuge tubes using a plastic or fire-polished pipet.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Remove embryo medium with a micropipette. Leave only enough liquid to just cover the embryos after each fluid change.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4% paraformaldehyde (PFA) in 1x phosphate-buffered saline (PBS) in a chemical fume hood.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a hazardous material. Wear gloves and dispose of contaminated liquids and solids in designated areas.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4"/>
          <w:shd w:fill="FFFF00" w:val="clear"/>
        </w:rPr>
        <w:t xml:space="preserve">Fix the embryos in 4% PFA for 1-2 h with gentle rocking at room temperature. </w:t>
      </w:r>
      <w:r>
        <w:rPr>
          <w:rFonts w:ascii="Calibri" w:hAnsi="Calibri" w:cs="Calibri" w:eastAsia="Calibri"/>
          <w:color w:val="auto"/>
          <w:spacing w:val="0"/>
          <w:position w:val="0"/>
          <w:sz w:val="24"/>
          <w:shd w:fill="auto" w:val="clear"/>
        </w:rPr>
        <w:t xml:space="preserve">Alternatively, fix the embryos 4 h to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auto"/>
          <w:spacing w:val="0"/>
          <w:position w:val="0"/>
          <w:sz w:val="24"/>
          <w:shd w:fill="FFFF00" w:val="clear"/>
        </w:rPr>
        <w:t xml:space="preserve">Wash three times in 1x PBS + 1% Triton-X (PBTriton) for 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Use the embryos immediately or store at 4 &amp;#176;C for up to 1 week.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Calibri" w:hAnsi="Calibri" w:cs="Calibri" w:eastAsia="Calibri"/>
          <w:color w:val="auto"/>
          <w:spacing w:val="0"/>
          <w:position w:val="0"/>
          <w:sz w:val="24"/>
          <w:shd w:fill="FFFF00" w:val="clear"/>
        </w:rPr>
        <w:t xml:space="preserve">For long term storage, dehydrate the embryos in 100% methanol (MeOH) 2 h or overnight at -20 &amp;#176;C. Store the embryos at -20 &amp;#176;C in MeOH for several months.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MeOH is a hazardous material. Wear gloves and dispose of contaminated liquids and solids in designated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Embryo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Rehydrate the embryos through serial incubations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Incubate in 75% MeOH/25% 1x PBS for 5 min, rocking.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Incubate in 50% MeOH/50% 1x PBS for 5 min, rocking.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Incubate in 25% MeOH/75% 1x PBS for 5 min, rocking.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Incubate in 100% PBTriton for 5 min, rocking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(Optional) Prepare a fresh proteinase K working solution (10 &amp;#181;g/mL in PBTriton) on ice by adding 10 &amp;#181;L of freshly thawed proteinase K stock (10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Permeabilize the embryos by digesting up to 30 min in Proteinase 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Suggested timing is &amp;lt; 24 hpf: no digestion; 24 hpf: 15 min digestion; and 7 days old: 30 min digestion.</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Rinse permeabilized embryos in PBTriton and re-fix in 4% PFA for 20 min at room temperature.</w:t>
      </w:r>
    </w:p>
    <w:p>
      <w:pPr>
        <w:spacing w:before="0" w:after="0" w:line="240"/>
        <w:ind w:right="0" w:left="0" w:firstLine="0"/>
        <w:jc w:val="both"/>
        <w:rPr>
          <w:rFonts w:ascii="Calibri" w:hAnsi="Calibri" w:cs="Calibri" w:eastAsia="Calibri"/>
          <w:color w:val="auto"/>
          <w:spacing w:val="0"/>
          <w:position w:val="0"/>
          <w:sz w:val="1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Wash the embryos three times in PBTriton for 5 min at room temperature with gentle rocking.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Primary antibody incubation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Select a commercial blocking solution or serum matching the secondary antibody host species (ex. 10% goat serum in PBTriton) with or without 2 mg/mL Bovine Serum Albumin (BSA).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Block the embryos in blocking solution for 1-3 h at room temperature or overnight at 4 &amp;#176;C while rocking.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Incubate in primary antibody diluted in blocking solution or 1% serum in PBTriton overnight at 4 &amp;#176;C while rocking.</w:t>
      </w:r>
      <w:r>
        <w:rPr>
          <w:rFonts w:ascii="Calibri" w:hAnsi="Calibri" w:cs="Calibri" w:eastAsia="Calibri"/>
          <w:color w:val="auto"/>
          <w:spacing w:val="0"/>
          <w:position w:val="0"/>
          <w:sz w:val="24"/>
          <w:shd w:fill="auto" w:val="clear"/>
        </w:rPr>
        <w:t xml:space="preserve"> In this experiment, the primary antibodies used were anti-NMDAR1, anti-pan-AMPA receptor, and anti-phospho-Histone H3, each diluted to a final concentration of 1:500 in 1% goat serum in PBTriton.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Wash five times in PBTriton for 10 min at room temperature while rocking.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Secondary antibody incubation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Select a secondary antibody based on the host species of the primary antibody and the desired wavelength.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Incubate in secondary antibody diluted in blocking solution or 1% serum for 2 h at room temperature (or overnight at 4 &amp;#176;C) while rocking.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Fluorescent secondary antibodies are light sensitive. </w:t>
      </w:r>
      <w:r>
        <w:rPr>
          <w:rFonts w:ascii="Calibri" w:hAnsi="Calibri" w:cs="Calibri" w:eastAsia="Calibri"/>
          <w:color w:val="auto"/>
          <w:spacing w:val="0"/>
          <w:position w:val="0"/>
          <w:sz w:val="24"/>
          <w:shd w:fill="auto" w:val="clear"/>
        </w:rPr>
        <w:t xml:space="preserve">We used 1:500 goat-anti-mouse Alexa488 diluted in 1% goat serum in PBTriton.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Cover the tubes with aluminum foil or cover with a light-blocking box for this and all subsequent steps.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three times in PBTriton for 10 min at room temperature while rocking.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Transfer the embryos to a 50% glycerol solution in PBS over a bed of 2% agarose in embryo medium and proceed to documentation or proceed to further processing steps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Optional Steps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Bleaching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bleach solution in a 1.5 mL tube by adding 810.7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89.3 &amp;#181;L of 2 M KOH, and 100 &amp;#181;L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Invert the tube three times to mix.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Pipette 1 mL of bleach solution direction to the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Open the embryo tube cap to allow gas to escape. Gently tap the tube on the bench to dislodge bubbles.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Monitor the bleaching process (use a microscope if necessary) and stop the reaction when pigment is sufficiently removed (approximately 5 min for 24 hpf or 10 min for 72 hpf).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Carefully remove the bleaching solution with a micropipette and rinse embryos three times in 1 mL of PBTriton.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Embryos are sticky in this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Proceed to documentation or further processing steps below.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Embryo dissection and deyolking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To remove the yolk, transfer a small amount</w:t>
      </w:r>
      <w:r>
        <w:rPr>
          <w:rFonts w:ascii="Calibri" w:hAnsi="Calibri" w:cs="Calibri" w:eastAsia="Calibri"/>
          <w:color w:val="auto"/>
          <w:spacing w:val="0"/>
          <w:position w:val="0"/>
          <w:sz w:val="24"/>
          <w:shd w:fill="auto" w:val="clear"/>
        </w:rPr>
        <w:t xml:space="preserve"> (~ 200 &amp;#181;L or enough to completely cover the embryo but restrictive enough to limit where it can float) </w:t>
      </w:r>
      <w:r>
        <w:rPr>
          <w:rFonts w:ascii="Calibri" w:hAnsi="Calibri" w:cs="Calibri" w:eastAsia="Calibri"/>
          <w:color w:val="auto"/>
          <w:spacing w:val="0"/>
          <w:position w:val="0"/>
          <w:sz w:val="24"/>
          <w:shd w:fill="FFFF00" w:val="clear"/>
        </w:rPr>
        <w:t xml:space="preserve">of 1x PBS to a depression slide or a plain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Use a plastic transfer pipet to move 1 or more embryos to the PBS droplet.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Use ultra-fine forceps and 00 insect pins to break apart the yolk and very gently scrape yolk granules from the ventral surface of the embryo</w:t>
      </w:r>
      <w:r>
        <w:rPr>
          <w:rFonts w:ascii="Calibri" w:hAnsi="Calibri" w:cs="Calibri" w:eastAsia="Calibri"/>
          <w:color w:val="auto"/>
          <w:spacing w:val="0"/>
          <w:position w:val="0"/>
          <w:sz w:val="24"/>
          <w:shd w:fill="auto" w:val="clear"/>
        </w:rPr>
        <w:t xml:space="preserve"> (see also Cheng et al., 2014)</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Remove yolk granules and replenish PBS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Repeat until embryo is sufficiently free of yolk.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Flat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mounting on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Transfer deyolked embryos to a charged glass slide with a plastic pipette or a 1 mL micropipette with a trimmed tip (to reduce shear stress). Orient as desired with a 200 &amp;#181;L micropipette tip or insect pin.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Wick away excess PBS with a Kim wipe or paper towel.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Add 2-3 drops of mounting media to the slide and coverslip.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Air dry for approximately 5 to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Seal the cover glass onto the slide with clear nail polish.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edges of the cover glass must be completely covered with a thin, continuous layer of nail polish.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Allow to dry approximately 10 min before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Mounting in agarose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1% agarose in embryo medium by adding 0.5 g of agarose to 50 mL of embryo medium in a microwave-safe flask or beaker of at least 3x greater volume than desired.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Heat in a microwave, swirling every 30 s, until agarose is completely dissolved.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Make 1 mL aliquots in 1.5 mL centrifuge tubes. Store the aliquots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Cover tube caps with cap locks before heating.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Place agarose tubes in a floating tube holder in a beaker half-filled with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Microwave the beaker with floating tubes for 2-3 min, or until agarose is completely melted.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Transfer an embryo to the bridged slide with a plastic pipette or a 200 &amp;#181;L micropipette with a trimmed tip (to reduce shear stress).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Position the embryo on a rectangular coverslip using insect pins and add approximately 20 &amp;#181;L melted agarose directly to the embryo.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Quickly orient the region of interest closest to the coverslip using 00 insect pins.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upside-down mount.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Return the agarose tube to the hot water tube float between each use and microwave as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Image using a microscope when the agarose hardens. Keep the mounted embryo upside-down for use on an inverted microscope. Flip the coverslip over (so the agarose is under the coverslip) for use on upright microscopes.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Mounting on bridged slides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To make bridged slides, glue square coverslips to the glass slide using a small dot of superglue.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a trough at least 5 mm wide between the coverslips. Two #1 coverslips high is typically appropriate for 24-48 hpf embryos while three coverslips high may be necessary for 72 hpf.</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Transfer 1-2 deyolked embryos to the bridged slide with a plastic pipette or a 200 &amp;#181;L micropipette with a trimmed tip (to reduce shear stress).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Wick away excess fluid with a Kim wipe or paper towel.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Add a drop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glycerol directly to the embryo.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Cover with a rectangular cover glass. The droplet of glycerol should touch the cover glass.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Add more glycerol to the space between the cover glass and slide as needed to completely cover the embryo with a margin of glycerol on the sides of the embryo.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Slide the rectangular cover glass gently to roll the embryo into position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DAB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begins after step 4.2 above and replaces the rest of step 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Incubate the embryos in a blocking solution with a peroxidase-conjugated secondary antibody for 2 h at room temperature or overnight at 4 &amp;#176;C while rocking.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Wash three times in PBTriton for 10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Transfer the embryos to a culture plate or depression slide with a transfer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Mix 50 &amp;#181;L of 1% DAB (3,3’-diaminobenzidine) dissolved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50 &amp;#181;L of 0.3% hydrogen peroxide and bring to 1 mL with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DAB is a hazardous material. Wear gloves and dispose of DAB contaminated liquids and solids in designated areas.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Cover HRP-stained embryos with the DAB solution prepared above and monitor for color development (typically 1-5 min) under a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After reaching the desired level of color development, rinse the embryos briefly in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Transfer the embryos back to a 1.5 mL tube before fixation.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Re-fix the embryos for 15-20 min in 4% PFA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w:t>
        <w:tab/>
        <w:t xml:space="preserve">Wash the embryos three times in PBTriton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w:t>
        <w:tab/>
        <w:t xml:space="preserve">Proceed to documentation.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Modified protocol for staining sectioned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that is mounted on slides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Encircle tissue to be stained with a pap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Transfer the slides to a humid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1 mL ofPBS directly to the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Incubate 7 min at room temperature to remove embedding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Pour off PBS by inverting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Rehydrate 1 min in up to 1 mL of TNT buffer (100 mM Tris pH 8.0, 150 mM NaCl, 0.1% Tween20).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Block in up to 1 mL of blocking solution (commercial or 10% serum + 2% BSA)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Incubate overnight in primary antibody diluted in 1% serum or blocking solution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Wash five times in up to 1 mL of TNT buffer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Incubate in secondary antibody for 2 h at room temperature or overnight at 4 &amp;#176;C. Cover the chamber with foil or use a dark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Wash five times in TNT at room temperature. Pour off last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Mount with 2-3 drops of mounting medium and coverslip. Let sit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Seal the cover glass onto the slide using clear nail polish. Allow to dry completely before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auto"/>
          <w:spacing w:val="0"/>
          <w:position w:val="0"/>
          <w:sz w:val="24"/>
          <w:shd w:fill="FFFF00" w:val="clear"/>
        </w:rPr>
        <w:t xml:space="preserve">Documentation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Record the full procedure and any deviations in a lab notebook.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Record the concentration, name, catalog number, manufacturer, and lot number of the primary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Place appropriately mounted sample on the microscope stage. Locate the region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Select a relatively bright example. Set camera exposure and gain so that signal is sufficiently bright without saturating.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00" w:val="clear"/>
        </w:rPr>
        <w:t xml:space="preserve">Compare staining intensity of the same region of interest using the same exposure settings when comparing between experimental antibody-labeled embryos and control antibody (ex. IgG) embryos.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mount immunohistochemistry uses antibodies to detect the spatial pattern of protein expression in the intact animal. The basic workflow of immunohistochemistry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involves breeding zebrafish, raising and preparing embryos, blocking non-specific antigens, using an antigen-specific primary antibody to target the protein of interest, detecting that primary antibody with a labeled secondary antibody, mounting the specimen, and documenting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mount immunohistochemistry is a valuable tool for the study of spatial and temporal protein expression during zebrafish development. Zebrafish exhibit spontaneous contractions mediated by gap junctions beginning at before 19 hpf - before motor neuron contact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zebrafish neuromuscular junction, like other vertebrates, is mediated by acetylcholine acting at nicotinic acetylcholine receptors. These assembled receptors are first detected at approximately 16 hpf and expression expands and remodels as neurons form contacts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Studies in frogs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rats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suggest that the skeletal muscle of vertebrates can also express ionotropic glutamate receptors. Whole mount immunohistochemistry for the GluN1 subunit of the NMDA-type glutamate receptor reveals expression of glutamate receptor subunits throughout developing zebrafish muscle at 23 hpf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corresponds approximately with the timing of motor neuron innervation. Expression was compared to no primary control embryos to determine the background fluorescence of the fish and the secondary antibody and to a 2 &amp;#181;g/mL mouse IgG to determine the relative contributions of nonspecific antigen binding. AMPA type glutamate receptors were not detected in the muscles at this stage of development. Antibody concentrations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generate these images, these embryos were processed as described in this protocol with none of the optional steps except for deyolking. Embryos were flat mounted and coverslipped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Dividing cells express different histone modifications from quiescent cells that can be detected by immunohistochemistry using antibodies that recognize specific modifications, such as protein phosphorylation. Phosphorylation of histone 3 at serine 10 is associated with cell division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modifications presented to this protocol for adaptation of immunohistochemistry to sectioned tissue that is mounted on slides was used to detect proliferating cells in the larval zebrafish brain. Frozen sections of 72 hpf embryos were mounted on slides and immunostained for p-H3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Several cells express p-H3, and expression is most notable at the ventricular zones. Expression was compared to no primary control embryos and to a 2 &amp;#181;g/mL mouse IgG to determine the relative contributions of nonspecific antigen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antibodies and concentrations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of whole mount immunohistochemistry procedure. </w:t>
      </w:r>
      <w:r>
        <w:rPr>
          <w:rFonts w:ascii="Calibri" w:hAnsi="Calibri" w:cs="Calibri" w:eastAsia="Calibri"/>
          <w:color w:val="auto"/>
          <w:spacing w:val="0"/>
          <w:position w:val="0"/>
          <w:sz w:val="24"/>
          <w:shd w:fill="auto" w:val="clear"/>
        </w:rPr>
        <w:t xml:space="preserve">The basic workflow of the procedure is to breed fish; collect and prepare embryos; block non-specific antigens; incubate in primary and secondary antibodies in series; mount tissue; and document. Optional steps are indicated with small arrows at the appropriate point in the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Larvae schematic and NMDA receptor IHC representative results. </w:t>
      </w:r>
      <w:r>
        <w:rPr>
          <w:rFonts w:ascii="Calibri" w:hAnsi="Calibri" w:cs="Calibri" w:eastAsia="Calibri"/>
          <w:color w:val="auto"/>
          <w:spacing w:val="0"/>
          <w:position w:val="0"/>
          <w:sz w:val="24"/>
          <w:shd w:fill="auto" w:val="clear"/>
        </w:rPr>
        <w:t xml:space="preserve">The use of whole mount immunohistochemistry tested glutamate receptor expression in developing muscle. The orientation and region of interest at 23 hpf is indicated. No signal was detectable when primary antibodies were not included. Mouse IgG control antibody shows the low level of non-specific expression. GluN1 subunit of the NMDA-type glutamate receptor (NMDAR) is expressed across the developing muscle, with higher concentrations at somite boundaries (arrowheads). AMPA-type glutamate receptors (AMPAR) are not expressed at this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mounting schemes. (A)</w:t>
      </w:r>
      <w:r>
        <w:rPr>
          <w:rFonts w:ascii="Calibri" w:hAnsi="Calibri" w:cs="Calibri" w:eastAsia="Calibri"/>
          <w:color w:val="auto"/>
          <w:spacing w:val="0"/>
          <w:position w:val="0"/>
          <w:sz w:val="24"/>
          <w:shd w:fill="auto" w:val="clear"/>
        </w:rPr>
        <w:t xml:space="preserve"> An embryo sunk in 50% glycerol can be easily repositioned.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embryo flat-mounted on a slide in mounting medium can be preserved and imaged at a later date.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An embryo mounted in a droplet of 1% agarose can be fixed in position to view a difficult region.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embryo mounted in glycerol on a bridged slide can be rolled and repositioned.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IHC in sectioned tissue. </w:t>
      </w:r>
      <w:r>
        <w:rPr>
          <w:rFonts w:ascii="Calibri" w:hAnsi="Calibri" w:cs="Calibri" w:eastAsia="Calibri"/>
          <w:color w:val="auto"/>
          <w:spacing w:val="0"/>
          <w:position w:val="0"/>
          <w:sz w:val="24"/>
          <w:shd w:fill="auto" w:val="clear"/>
        </w:rPr>
        <w:t xml:space="preserve">Using the protocol modifications in the optional steps, immunohistochemistry tested for proliferating cells in the zebrafish larval brain at 72 hpf. Mouse IgG control antibody and excluding primary antibodies reveal a low level of non-specific expression. As a marker of proliferating cells, p-H3 is expressed in discrete locations, including the ventricular zones (arrowhead).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is a versatile tool that can be used to characterize the spatio-temporal expression of virtually any protein of interest in an organism. Immunohistochemistry is used on a wide variety of tissues and model organisms. This protocol has been optimized for use in zebrafish. Immunohistochemistry in different species may require different fixation and handling techniques, blocking solutions depending on species and the presence of endogenous peroxidases, and incubation times due to the thickness and composition of tissues. IHC in zebrafish has been integral in advancing our understanding of cancer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 metabolic disease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neurological disorders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numerous other areas of great relevance to human health. One major advantage to IHC is that the procedure is relatively short compared to other techniques such as ISH and is not technically demanding. There are, however, numerous steps that require optimization based on the age of the specimens, the antigen being targeted, and the antibodies being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duration of several steps in this protocol is flexible. Durations given for flexible steps as noted represent minimal times generally required. In general, whenever embryos are washed three or more times in PBTriton, they can be kept overnight at 4 &amp;#176;C in the last wash if needed. Permeabilization and fixation times are less flexible and should only be adjusted with deliberate intention as part of a troubleshooting strategy. We noted several points in the protocol that are optional to show how these steps can be integrated in the workflow as is experimentally relevant. For example, if pigmentation interferes with signal detection, prevent melanogensis by PTU treatment or bleach fixed embryos. Bleaching can damage tissue, so care must be taken to minimize the time embryos spend in bleach. However, bleaching may be preferable to PTU treatment, which can affect certain aspects of development</w:t>
      </w:r>
      <w:r>
        <w:rPr>
          <w:rFonts w:ascii="Calibri" w:hAnsi="Calibri" w:cs="Calibri" w:eastAsia="Calibri"/>
          <w:color w:val="auto"/>
          <w:spacing w:val="0"/>
          <w:position w:val="0"/>
          <w:sz w:val="24"/>
          <w:shd w:fill="auto" w:val="clear"/>
          <w:vertAlign w:val="superscript"/>
        </w:rPr>
        <w:t xml:space="preserve">27,28,29,30</w:t>
      </w:r>
      <w:r>
        <w:rPr>
          <w:rFonts w:ascii="Calibri" w:hAnsi="Calibri" w:cs="Calibri" w:eastAsia="Calibri"/>
          <w:color w:val="auto"/>
          <w:spacing w:val="0"/>
          <w:position w:val="0"/>
          <w:sz w:val="24"/>
          <w:shd w:fill="auto" w:val="clear"/>
        </w:rPr>
        <w:t xml:space="preserve">. We also present options for fluorescent and chromogenic detection. If fluorescence is not desired or if the antigen produces a signal that is too weak to be adequately detected by fluorescence microscopy, chromogenic detection can be achieved using a horseradish peroxidase (HRP)-conjugated antibody and DAB.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biggest challenge of IHC in zebrafish is finding suitable antibodies. Indeed, ISH is often used as a proxy for protein expression when commercial antibodies are not available for the desired protein of interest. Many commercial antibodies are designed to target mammalian targets and epitopes are not always conserved in zebrafish. When available, select commercially available antibodies that have been tested in zebrafish. We have found that antibodies that recognize antigens that are &amp;gt;80% conserved between zebrafish and the target species generally work in zebrafish. We have also found that antibodies that are demonstrated to work in either birds and/or amphibians in addition to mammals generally also work in zebrafish, even when efficacy in zebrafish has not been tested. Typically, polyclonal antibodies developed against a mammalian antigen are more likely to detect zebrafish homologs than monoclonal antibodies due to their lower specificity. Whenever testing a new antibody, it is beneficial to run a positive control experiment using a cross-linked target peptide, mammalian tissue or cells that are known to express the protein, or cells that express a reporter construct. Antibodies can also be tested by western blot to verify the size of the target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most commercial antibodies provide a suggested dilution range for IHC, it is important to empirically determine the dilution that works best. Antibody concentrations that are too high often result in non-specific staining and increased background, while too little antibody fails to provide a discernible signal. Depending on the antibody and the antigen, it may be advantageous to first permeabilize the embryos as described in step 3.2 above, however, this step may not be necessary and in some instances can result in reduced signal. This protocol uses Triton-X-100 as a detergent that permeabilizes cells, which may be sufficient for thin tissue or superficial expression. Deep or thick tissue, such as deep brain regions or older larvae, may require proteinase permeabilization. Conversely, Triton-X-100 should be excluded from all steps when immunostaining only proteins at the cell surface is desired over labeling intracellular proteins. The duration of the blocking step as well as the choice of a commercial blocking solution versus using serum and BSA can also be adjusted to correct for antibody sensitivity and background staining. High concentrations of serum used in blocking (10% in this protocol) can reduce background staining, though should be diluted when antibody is present to minimize masking antibody binding sites. Plant-based blocking solutions may be beneficial if background signal is consistently high, even at low antibody dilutions (&amp;lt; 1:1000). Finally, sensitivity can be fine-tuned by the stringency of the washes. It may be necessary to increase or decrease the duration of the post-antibody wash steps as well as adjust the amount of Triton-X-100 in the PBTriton. Typical working ranges of PBTriton span 0.2% to 1.0% Triton-X-100. It is good practice when using a new antibody to stain negative control embryos with primary IgG and labeled secondary antibodies to determine antibody specificity and identify potential false positive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antibody optimization fails to produce a positive signal, it may be due to the fixative masking the antigen. Generally, fixation in 4% PFA does not mask antigen sites to prevent antibody binding, although antigen masking does occasionally occur with some antibodies. Antigen retrieval can result in damage to the embryo but a working protocol has been described by Inoue and Wittbrodt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Alternatively, if the selected antibody is incompatible with 4% PFA or if PFA results in cellular morphology changes, methanol, 2% trichloroacetic acid, or glyoaxal can be used to fix the samples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Compatibility of an antibody with formaldehyde fixation must be determined empirically. If a positive control signal cannot be obtained following PFA fixation, it may be worth trying an alternative fixative such as methanol. Alternative fixation protocols may also be necessary for primary antibodies that were raised against conjugated antigens (such as GABA-BSA).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effective options for mounting immunostained zebrafish embryos for imaging. Embryos can be transferred to a Petri dish of glycerol, positioned with pins or forceps, and imaged either with a widefield view from above or from below imaging through the dish with an inverted microscope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method is simple, quick, and temporary. Drawbacks include the propensity for embryos to roll out of focus in the fluid glycerol, potential reflections off the surface of the glycerol in the dish, and the difficulty of imaging through the thick dish. Embryos can be mounted flat on glass sides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with mounting medium, coverslips, and nail polish. These mounts can be viewed on an upright or inverted microscope. Embryos prepared in this way can be prepared ahead of time and the slides stored at 4 &amp;#176;C until imaging or can be stored and reimaged later. This can be especially advantageous when imaging time is limited. The disadvantages of this mount include the limited options for embryo position and tissue thickness, and the inability to reposition or recover embryos. Embryos mounted in this way often need deyolking, as the yolk granules are autofluorescent in most commonly used fluorescence channels and cannot be moved or removed after mounting. When the region of interest requires difficult positioning of the embryo, it can be most advantageous to mount the embryos in 1% agarose on a cover glass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embryo can be held in position with insect pins with the region of interest closest to the cover glass until the agarose cools. The agarose will hold the embryo in position without the embryo rolling for at least several minutes. Agarose mounting is best for inverted microscopes, though the cover glass can be inverted carefully for use on an upright microscope. This mount can be time consuming and embryos are generally not repositionable or recoverable. Mounting embryos on bridged slides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offers somewhat of a compromise between these methods. The bridged mount is quick, and embryos can be repositioned and recovered. The height of the bridge can allow greater flexibility in tissue thickness and embryo position than flat mounts, while maintaining the ability to image from above or below. This method requires preparing the bridged slides ahead of time. The thickness of the tissue to be mounted dictates how many coverslips high the bridge needs to be. Bridged slides can be reused several times for one day but should be disposed of after the imaging session because the glycerol is difficult to clean off the slides and it will slowly dislodge the glue holding the bridge.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IHC is an effective method for determining the timing and pattern of protein expression in an organism or tissue. IHC has several advantages over ISH in that is relatively low cost and can be completed in a fraction of the time typically necessary for ISH (2-3 days versus 5-8 days). In addition, IHC is a better indicator of gene product expression as detection of mRNA levels do not predict posttranscriptional and posttranslational processes that can affect protein expression. IHC is also capable of providing subcellular localization data (although this is not true when using DAB staining), which is not afforded by ISH. It is possible to perform a dual ISH/IHC in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IHC also has some drawbacks, foremost amongst them being antibody availability. While there are numerous antibodies available that are of suitable quality for IHC, finding antibodies that specifically work in zebrafish is more challenging and often requires testing and troubleshooting antibodies generated against mammalian antigens. However, there are increasing numbers of zebrafish validated antibodies on the market and the emergence of CRISPR/Cas9 technology has made it possible to epitope tag endogenous proteins through genome engineering. These processes are time consuming and challenging, however, and require validation of protein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report can be used broadly on zebrafish embryos and larvae at any stage and can be applied to tissues from adult animals as well. In addition, this protocol also allows for staining of frozen or paraffin sectioned samples with little modification. Whole mount immunohistochemistry was used to examine neurotransmitter receptor populations in muscle, revealing expression of the ionotropic NMDA glutamate receptor obligatory subunit 1 in developing zebrafish muscle. This rather widespread and diffuse staining across the developing muscle is consistent with the developmental expression of the same receptor subunit in developing Xenopus larvae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suggests that the expression of glutamate receptors in developing muscle is evolutionarily conserved. Altogether, this protocol is valuable for gaining a better understanding of gene expression through the use of IHC and provides a powerful tool for determining the spatio-temporal distribution of protein expression in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information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from NIH grant 8P20GM103436 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Nasevicius, A. &amp;amp; Ekker, S. C. Effective targeted gene 'knockdown' in zebrafish.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216-220, doi:10.1038/79951,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Gaj, T., Gersbach, C. A. &amp;amp; Barbas, C. F., 3rd. ZFN, TALEN, and CRISPR/Cas-based methods for genome engineering.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397-405, doi:10.1016/j.tibtech.2013.04.004,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Irion, U., Krauss, J. &amp;amp; Nusslein-Volhard, C. Precise and efficient genome editing in zebrafish using the CRISPR/Cas9 system.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(24), 4827-4830, doi:10.1242/dev.115584,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der Ploeg, M. Cytochemical nucleic acid research during the twentieth century. </w:t>
      </w:r>
      <w:r>
        <w:rPr>
          <w:rFonts w:ascii="Calibri" w:hAnsi="Calibri" w:cs="Calibri" w:eastAsia="Calibri"/>
          <w:i/>
          <w:color w:val="auto"/>
          <w:spacing w:val="0"/>
          <w:position w:val="0"/>
          <w:sz w:val="24"/>
          <w:shd w:fill="auto" w:val="clear"/>
        </w:rPr>
        <w:t xml:space="preserve">European Journal of 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7-42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Marrack, J. Nature of Antibodies.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(3356), 292-293, doi:10.1038/133292b0, (1934).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Coons, A. H., Creech, H. J. &amp;amp; Jones, R. N. Immunological properties of an antibody containing a fluorescent group. </w:t>
      </w:r>
      <w:r>
        <w:rPr>
          <w:rFonts w:ascii="Calibri" w:hAnsi="Calibri" w:cs="Calibri" w:eastAsia="Calibri"/>
          <w:i/>
          <w:color w:val="auto"/>
          <w:spacing w:val="0"/>
          <w:position w:val="0"/>
          <w:sz w:val="24"/>
          <w:shd w:fill="auto" w:val="clear"/>
        </w:rPr>
        <w:t xml:space="preserve">Proceedings of the Society for 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200-202 (1941).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Lopez, M. E. Combined in situ Hybridization/Immunohistochemistry (ISH/IH) on Free-floating Vibratome Tissue Sections.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Morimoto, M., Morita, N., Ozawa, H., Yokoyama, K. &amp;amp; Kawata, M. Distribution of glucocorticoid receptor immunoreactivity and mRNA in the rat brain: an immunohistochemical and in situ hybridization study.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235-269, doi:</w:t>
      </w:r>
      <w:r>
        <w:rPr>
          <w:rFonts w:ascii="Calibri" w:hAnsi="Calibri" w:cs="Calibri" w:eastAsia="Calibri"/>
          <w:color w:val="000000"/>
          <w:spacing w:val="0"/>
          <w:position w:val="0"/>
          <w:sz w:val="24"/>
          <w:shd w:fill="auto" w:val="clear"/>
        </w:rPr>
        <w:t xml:space="preserve">https://doi.org/10.1016/S0168-0102(96)01105-4</w:t>
      </w:r>
      <w:r>
        <w:rPr>
          <w:rFonts w:ascii="Calibri" w:hAnsi="Calibri" w:cs="Calibri" w:eastAsia="Calibri"/>
          <w:color w:val="auto"/>
          <w:spacing w:val="0"/>
          <w:position w:val="0"/>
          <w:sz w:val="24"/>
          <w:shd w:fill="auto" w:val="clear"/>
        </w:rPr>
        <w:t xml:space="preserve">,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Newton, S. S., Dow, A., Terwilliger, R. &amp;amp; Duman, R. A simplified method for combined immunohistochemistry and in-situ hybridization in fresh-frozen, cryocut mouse brain sections. </w:t>
      </w:r>
      <w:r>
        <w:rPr>
          <w:rFonts w:ascii="Calibri" w:hAnsi="Calibri" w:cs="Calibri" w:eastAsia="Calibri"/>
          <w:i/>
          <w:color w:val="auto"/>
          <w:spacing w:val="0"/>
          <w:position w:val="0"/>
          <w:sz w:val="24"/>
          <w:shd w:fill="auto" w:val="clear"/>
        </w:rPr>
        <w:t xml:space="preserve">Brain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214-219, doi:</w:t>
      </w:r>
      <w:r>
        <w:rPr>
          <w:rFonts w:ascii="Calibri" w:hAnsi="Calibri" w:cs="Calibri" w:eastAsia="Calibri"/>
          <w:color w:val="000000"/>
          <w:spacing w:val="0"/>
          <w:position w:val="0"/>
          <w:sz w:val="24"/>
          <w:shd w:fill="auto" w:val="clear"/>
        </w:rPr>
        <w:t xml:space="preserve">https://doi.org/10.1016/S1385-299X(02)00148-4</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Corthell, J. T. in </w:t>
      </w:r>
      <w:r>
        <w:rPr>
          <w:rFonts w:ascii="Calibri" w:hAnsi="Calibri" w:cs="Calibri" w:eastAsia="Calibri"/>
          <w:i/>
          <w:color w:val="auto"/>
          <w:spacing w:val="0"/>
          <w:position w:val="0"/>
          <w:sz w:val="24"/>
          <w:shd w:fill="auto" w:val="clear"/>
        </w:rPr>
        <w:t xml:space="preserve">Basic Molecular Protocols in Neuroscience: Tips, Tricks, and Pitfalls</w:t>
      </w:r>
      <w:r>
        <w:rPr>
          <w:rFonts w:ascii="Calibri" w:hAnsi="Calibri" w:cs="Calibri" w:eastAsia="Calibri"/>
          <w:color w:val="auto"/>
          <w:spacing w:val="0"/>
          <w:position w:val="0"/>
          <w:sz w:val="24"/>
          <w:shd w:fill="auto" w:val="clear"/>
        </w:rPr>
        <w:t xml:space="preserve">   (ed John T. Corthell)  105-111 (Academic Press,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Corthell, J. T. in </w:t>
      </w:r>
      <w:r>
        <w:rPr>
          <w:rFonts w:ascii="Calibri" w:hAnsi="Calibri" w:cs="Calibri" w:eastAsia="Calibri"/>
          <w:i/>
          <w:color w:val="auto"/>
          <w:spacing w:val="0"/>
          <w:position w:val="0"/>
          <w:sz w:val="24"/>
          <w:shd w:fill="auto" w:val="clear"/>
        </w:rPr>
        <w:t xml:space="preserve">Basic Molecular Protocols in Neuroscience: Tips, Tricks, and Pitfalls</w:t>
      </w:r>
      <w:r>
        <w:rPr>
          <w:rFonts w:ascii="Calibri" w:hAnsi="Calibri" w:cs="Calibri" w:eastAsia="Calibri"/>
          <w:color w:val="auto"/>
          <w:spacing w:val="0"/>
          <w:position w:val="0"/>
          <w:sz w:val="24"/>
          <w:shd w:fill="auto" w:val="clear"/>
        </w:rPr>
        <w:t xml:space="preserve">   (ed John T. Corthell)  91-103 (Academic Press,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Vogel, C. &amp;amp; Marcotte, E. M. Insights into the regulation of protein abundance from proteomic and transcriptomic analyses.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227-232, doi:10.1038/nrg3185,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Semache, M., Ghislain, J., Zarrouki, B., Tremblay, C. &amp;amp; Poitout, V. Pancreatic and duodenal homeobox-1 nuclear localization is regulated by glucose in dispersed rat islets but not in insulin-secreting cell lines.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e982376, doi:10.4161/19382014.2014.982376,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Kang, H. S., Beak, J. Y., Kim, Y. S., Herbert, R. &amp;amp; Jetten, A. M. Glis3 is associated with primary cilia and Wwtr1/TAZ and implicated in polycystic kidney disease.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2556-2569, doi:10.1128/mcb.01620-08,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Billova, S., Galanopoulou, A. S., Seidah, N. G., Qiu, X. &amp;amp; Kumar, U. Immunohistochemical expression and colocalization of somatostatin, carboxypeptidase-E and prohormone convertases 1 and 2 in rat brain.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 403-418, doi:10.1016/j.neuroscience.2007.04.039,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(University of Oregon Press,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N&amp;#252;sslein-Volhard, C. &amp;amp; Dahm, R. </w:t>
      </w:r>
      <w:r>
        <w:rPr>
          <w:rFonts w:ascii="Calibri" w:hAnsi="Calibri" w:cs="Calibri" w:eastAsia="Calibri"/>
          <w:i/>
          <w:color w:val="auto"/>
          <w:spacing w:val="0"/>
          <w:position w:val="0"/>
          <w:sz w:val="24"/>
          <w:shd w:fill="auto" w:val="clear"/>
        </w:rPr>
        <w:t xml:space="preserve">Zebrafish: A Practical Approach</w:t>
      </w:r>
      <w:r>
        <w:rPr>
          <w:rFonts w:ascii="Calibri" w:hAnsi="Calibri" w:cs="Calibri" w:eastAsia="Calibri"/>
          <w:color w:val="auto"/>
          <w:spacing w:val="0"/>
          <w:position w:val="0"/>
          <w:sz w:val="24"/>
          <w:shd w:fill="auto" w:val="clear"/>
        </w:rPr>
        <w:t xml:space="preserve">.  (Oxford University Press,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Cheng, C. N., Li, Y., Marra, A. N., Verdun, V. &amp;amp; Wingert, R. A. Flat mount preparation for observation and analysis of zebrafish embryo specimens stained by whole mount in situ hybridization.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(89), doi:10.3791/51604,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Brennan, C., Mangoli, M., Dyer, C. E. F. &amp;amp; Ashworth, R. Acetylcholine and calcium signalling regulates muscle fibre formation in the zebrafish embryo.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(22), 5181, doi:10.1242/jcs.02625,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Liu, D. W. &amp;amp; Westerfield, M. Clustering of muscle acetylcholine receptors requires motoneurons in live embryos, but not in cell culture.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1859, doi:10.1523/JNEUROSCI.12-05-01859.1992,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Borodinsky, L. N. &amp;amp; Spitzer, N. C. Activity-dependent neurotransmitter-receptor matching at the neuromuscular junction.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 335-340, doi:10.1073/pnas.0607450104,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Brunelli,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Glutamatergic reinnervation through peripheral nerve graft dictates assembly of glutamatergic synapses at rat skeletal muscle.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(24), 8752-8757, doi:10.1073/pnas.0500530102,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Hans, F. &amp;amp; Dimitrov, S. Histone H3 phosphorylation and cell division.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(24), 3021-3027, doi:10.1038/sj.onc.1204326,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Yee, N. S. &amp;amp; Pack, M. Zebrafish as a model for pancreatic cancer research.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273-298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Seth, A., Stemple, D. L. &amp;amp; Barroso, I. The emerging use of zebrafish to model metabolic disease.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1080-1088, doi:10.1242/dmm.011346,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Fontana, B. D., Mezzomo, N. J., Kalueff, A. V. &amp;amp; Rosemberg, D. B. The developing utility of zebrafish models of neurological and neuropsychiatric disorders: A critical review.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(Pt A), 157-171, doi:10.1016/j.expneurol.2017.10.004,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Richter, K.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Glyoxal as an alternative fixative to formaldehyde in immunostaining and super-resolution microscopy.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139-159, doi:10.15252/embj.201695709,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Elsalini, O. A. &amp;amp; Rohr, K. B. Phenylthiourea disrupts thyroid function in developing zebrafish.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(12), 593-598, doi:10.1007/s00427-002-0279-3,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Wang, W.-D., Wang, Y., Wen, H.-J., Buhler, D. R. &amp;amp; Hu, C.-H. Phenylthiourea as a weak activator of aryl hydrocarbon receptor inhibiting 2,3,7,8-tetrachlorodibenzo-p-dioxin-induced CYP1A1 transcription in zebrafish embryo.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63-71, doi:10.1016/j.bcp.2004.03.010,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Bohnsack, B. L., Gallina, D. &amp;amp; Kahana, A. Phenothiourea sensitizes zebrafish cranial neural crest and extraocular muscle development to changes in retinoic acid and IGF signaling.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e22991-e22991, doi:10.1371/journal.pone.0022991,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Inoue, D. &amp;amp; Wittbrodt, J. One for all--a highly efficient and versatile method for fluorescent immunostaining in fish embryos.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e19713, doi:10.1371/journal.pone.0019713,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