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Immunofluorescence Staining Using IBA1 and TMEM119 for Microglial Density, Morphology and Peripheral Myeloid Cell Infiltration Analysis in Mouse Brain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Fernando Gonz&amp;#225;lez Ib&amp;#225;&amp;#241;ez</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Katherine Picard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Maude Bordeleau</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Kaushik Sharma</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w:t>
        <w:br/>
        <w:t xml:space="preserve">Kanchan Bisht</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Marie-Ève Tremblay</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Axe Neurosciences, Centre de Recherche du CHU de Qu&amp;#233;bec-Universit&amp;#233; Laval, Qu&amp;#233;bec, QC,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D&amp;#233;partement de M&amp;#233;decine Mol&amp;#233;culaire, Facult&amp;#233; de M&amp;#233;decine, Universit&amp;#233; Laval, Qu&amp;#233;bec, QC,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Douglas Mental Health University Institute, Department of Psychiatry, McGill University, Montr&amp;#233;al, QC, Canada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Center for Brain Immunology and Glia (BIG), University of Virginia, Charlottesville, VA,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Fernando Gonz&amp;#225;lez Ib&amp;#225;&amp;#241;ez</w:t>
        <w:tab/>
        <w:tab/>
        <w:t xml:space="preserve">(fernando.gonzalez-ibanez.1@ulaval.ca)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Katherine Picard</w:t>
        <w:tab/>
        <w:tab/>
        <w:tab/>
        <w:t xml:space="preserve">(katherine.picard.1@ulaval.ca)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Maude Bordeleau</w:t>
        <w:tab/>
        <w:tab/>
        <w:tab/>
        <w:t xml:space="preserve">(maude.bordeleau@mail.mcgill.ca)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Kaushik Sharma</w:t>
        <w:tab/>
        <w:tab/>
        <w:tab/>
        <w:t xml:space="preserve">(sharmakaushikp@gmail.com)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Kanchan Bisht</w:t>
        <w:tab/>
        <w:tab/>
        <w:tab/>
        <w:tab/>
        <w:t xml:space="preserve">(bishtkanchan8@gmail.com)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Marie-Ève Tremblay</w:t>
        <w:tab/>
        <w:tab/>
        <w:tab/>
        <w:t xml:space="preserve">(tremblay.marie-eve@crchudequebec.ulaval.ca)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mouse, brain, microglia, myeloid cells, neuroimmunology, immunofluorescence, IBA1, TMEM119,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step-by-step workflow for immunofluorescent costaining of IBA1 and TMEM119, in addition to analysis of microglial density, distribution, and morphology, as well as peripheral myeloid cell infiltration in mouse brain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a protocol for the dual visualization of microglia and infiltrating macrophages in mouse brain tissue. TMEM119 (which labels microglia selectively), when combined with IBA1 (which provides an exceptional visualization of their morphology), allows investigation of changes in density, distribution, and morphology. Quantifying these parameters is important in providing insights into the roles exerted by microglia, the resident macrophages of the brain. Under normal physiological conditions, microglia are regularly distributed in a mosaic-like pattern and present a small soma with ramified processes. Nevertheless, as a response to environmental factors (i.e., trauma, infection, disease, or injury), microglial density, distribution, and morphology are altered in various manners, depending on the insult. Additionally, the described double-staining method allows visualization of infiltrating macrophages in the brain based on their expression of IBA1 and without colocalization with TMEM119. This approach thus allows discrimination between microglia and infiltrating macrophages, which is required to provide functional insights into their distinct involvement in brain homeostasis across various contexts of health and disease. This protocol integrates the latest findings in neuroimmunology that pertain to the identification of selective markers. It also serves as a useful tool for both experienced neuroimmunologists and researchers seeking to integrate neuroimmunology into projects.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Whether acute or chronic, neuroinflammation is tightly influenced by microglia, the resident macrophages of the brain. Visualizing microglia through immunostaining is valuable for the study of neuroinflammation with the use of light microscopy, a highly accessible technique. In homeostatic conditions, microglia are typically distributed in a nonoverlapping, mosaic-like pattern. They exhibit small somas that extend ramified processes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which sometimes contact one another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Microglial ramified processes dynamically survey the brain parenchyma, interacting with neurons, other glial cells, and blood vessels during normal physiological conditions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Microglia are equipped with an arsenal of receptors that allow them to perform immunological tasks and respond to changes in the brain milieu, to cell death, or to tissue damage. In addition, they exert key physiological functions, notably in synaptic formation, maintenance, and elimination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the available markers used to study microglia, ionized calcium binding adaptor molecule 1 (IBA1) is one of the most widely used. IBA1 is a calcium binding protein that provides exceptional visualization of microglial morphology, including fine distal processes, as confirmed by electron microscopy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tool has been instrumental in characterizing microglial transformation, formerly called "activation", in a vast array of animal disease models</w:t>
      </w:r>
      <w:r>
        <w:rPr>
          <w:rFonts w:ascii="Calibri" w:hAnsi="Calibri" w:cs="Calibri" w:eastAsia="Calibri"/>
          <w:color w:val="000000"/>
          <w:spacing w:val="0"/>
          <w:position w:val="0"/>
          <w:sz w:val="24"/>
          <w:shd w:fill="auto" w:val="clear"/>
          <w:vertAlign w:val="superscript"/>
        </w:rPr>
        <w:t xml:space="preserve">7,8,9</w:t>
      </w:r>
      <w:r>
        <w:rPr>
          <w:rFonts w:ascii="Calibri" w:hAnsi="Calibri" w:cs="Calibri" w:eastAsia="Calibri"/>
          <w:color w:val="000000"/>
          <w:spacing w:val="0"/>
          <w:position w:val="0"/>
          <w:sz w:val="24"/>
          <w:shd w:fill="auto" w:val="clear"/>
        </w:rPr>
        <w:t xml:space="preserve">. In the presence of neuroinflammation, the microglial response includes: microgliosis that is defined as an increase in cellular density, changes in distribution that sometimes result in clustering, enlargement of the cell body, as well as thickening and shortening of processes associated with more ameboid shapes</w:t>
      </w:r>
      <w:r>
        <w:rPr>
          <w:rFonts w:ascii="Calibri" w:hAnsi="Calibri" w:cs="Calibri" w:eastAsia="Calibri"/>
          <w:color w:val="000000"/>
          <w:spacing w:val="0"/>
          <w:position w:val="0"/>
          <w:sz w:val="24"/>
          <w:shd w:fill="auto" w:val="clear"/>
          <w:vertAlign w:val="superscript"/>
        </w:rPr>
        <w:t xml:space="preserve">10,11,12,13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Immunostaining is limited by the availability of antibodies directed against specific markers. Importantly, IBA1 is expressed by microglia but also by peripheral macrophages that infiltrate the brain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While observation of IBA1-positive cells inside the brain has become a marker of microglia in this research field, peripheral macrophage infiltration has been reported under various conditions, even marginally in the healthy brain</w:t>
      </w:r>
      <w:r>
        <w:rPr>
          <w:rFonts w:ascii="Calibri" w:hAnsi="Calibri" w:cs="Calibri" w:eastAsia="Calibri"/>
          <w:color w:val="000000"/>
          <w:spacing w:val="0"/>
          <w:position w:val="0"/>
          <w:sz w:val="24"/>
          <w:shd w:fill="auto" w:val="clear"/>
          <w:vertAlign w:val="superscript"/>
        </w:rPr>
        <w:t xml:space="preserve">15,16,17,18</w:t>
      </w:r>
      <w:r>
        <w:rPr>
          <w:rFonts w:ascii="Calibri" w:hAnsi="Calibri" w:cs="Calibri" w:eastAsia="Calibri"/>
          <w:color w:val="000000"/>
          <w:spacing w:val="0"/>
          <w:position w:val="0"/>
          <w:sz w:val="24"/>
          <w:shd w:fill="auto" w:val="clear"/>
        </w:rPr>
        <w:t xml:space="preserve">. Consequently, the use of IBA1 alone does not allow selective visualization of microglia. In addition, macrophages adopt molecular and morphological features of resident microglia once they have infiltrated the brain, thus hindering differentiation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represents a challenge when investigating the function of both microglia and infiltrating macrophages.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microglia and peripheral macrophages have distinct origins (e.g., from the embryonic yolk sac and bone marrow, respectively</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there is an increasing number of findings indicating that the two cell populations exert different roles in the brain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It is thus crucial to use methods that discriminate between these two populations without invasive manipulations (i.e., bone marrow chimeras or parabiosis) that can modulate their density, distribution, morphology, and function. TMEM119 has emerged as a microglia-specific marker across health and disease conditions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When combined with IBA1, this marker becomes useful for differentiating these cells from infiltrating macrophages, which are TMEM119-negative and IBA1-positive. While it is developmentally regulated, TMEM119 is expressed as early as postnatal days 3 (P3) and 6 (P6), steadily increasing until reaching adult levels between P10 and P14</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IBA1 is expressed as early as embryonic day 10.5 (E10.5)</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proposed double labeling protocol is thus useful to study these two populations throughout postnatal life.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a step-by-step immunostaining procedure that allows discrimination between microglia and peripheral macrophages. It also explains how to conduct a quantitative analysis of microglial density, distribution, and morphology, as well as analysis of peripheral macrophage infiltration. While the investigation of microglia and peripheral macrophages is useful on its own, this protocol further allows localization of neuroinflammatory foyers; thus, it also serves as a platform to identify specific regions to investigate, with the use of complementary (yet, more time- and resource-consuming) techniques.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procedures were performed in agreement with the guidelines of the Institutional Animal Ethics committees, in conformity with the Canadian Council on Animal Care and the Animal Care Committee of Universit&amp;#233; Laval.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Immunostaining</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Select three mouse brain sections containing the region of interest (ROI) (i.e., the hippocampus) with the help of a brain atlas. Place the sections in a plastic multi-well plate and cover them with 350 &amp;#181;L of phosphate-buffered saline (PBS)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For optimal results, the brains should be perfused with 4% paraformaldehyde and cut to a thickness of 50 &amp;#181;m with a vibratome. For a 24 multi-well plate, each well can hold up to six sections. The recommended volume of solution for each well is 350 &amp;#181;L (for up to three sections) and 500 &amp;#181;L for wells containing six sections. For a higher number of sections, it is recommended to use a 12 multi-well plate. Make sure that the selected volume of solution for each well completely covers the tissue and allows the sections to float. The recommended volumes apply for every solution used in the rest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Wash the samples by covering them with 350 &amp;#181;L of PBS and let them rest by placing the multi-well plate on top of a multipurpose shaker at room temperature (RT). Remove the PBS after 5 min and replace it 5x with fresh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remove the solutions, a transfer pipette is recommended. When pouring in any solution, make sure to place the tip of pipette against the well wall to protect tissue integrity. Also make sure to use a new pipette for each new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Remove PBS and add 350 &amp;#181;L of 10 mM sodium citrate buffer with pH = 6.0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Seal the multi-well plate with paraffin film and let it float on a previously preheated water bath for 40 min at 70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Let the multi-well plate cool down for approximately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Remove the sodium citrate buffer and wash the sections in PBS as done in step 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Remove PBS and add 350 &amp;#181;L of freshly made 0.1% NaBH</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let incubate for 30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Remove the solution of 0.1% NaBH</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and wash the sections in PBS as done in step 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Remove PBS and add blocking buffer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1 h at RT on top of a multipurpose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to prepare doubled volumes of blocking buffer, as the same solution will be used in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Remove the blocking buffer and replace by blocking buffer containing the mixture of primary antibodies (1:150 mouse IBA1 + 1:300 TMEM119). Seal the plate with paraffin film and let it incubate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The next day, warm samples at RT for approximately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Wash the sections 5x for 5 min each in PBS with triton (PBST)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Remove PBST and add blocking buffer containing the mixture of secondary antibodies (1:300 donkey anti-mouse Alexa 488 for IBA1; 1:300 goat anti-rabbit Alexa 568 for TMEM119) for 1.5 h at RT. Starting from this point onward, protect the samples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Remove blocking buffer and wash the sections 5x as done in step 1.2, except this time with PBST.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Remove the PBST and add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,6-diamidino-2-phenylindole (DAPI) [1:20000] for 5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Remove DAPI and wash the sections 3x for 5 min each in phosphate buffer (PB).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Mount the sections on a microscope slide. Let them dry while protected from light.</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When dried, add some drops of mounting fluorescence medium and cover with a coverslip, avoiding bubble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Store the slides while protected from light, inside a histological slide box, at 4 &amp;#176;C. The samples can be preserved for several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Imaging for density and distribution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With the help of a widefield epifluorescence microscope, use a low magnification and the DAPI channel to locate the ROI (i.e., the CA1 region of the hippocampus).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Acquire images at 20x, using a numerical aperture (NA) of 0.5, with the DAPI, 488, and 568 channels and filters, at a resolution of 0.3 &amp;#181;m/pixel. Capture a mosaic picture covering the ROI. Alternatively, take individual pictures that will be stitched into a larger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mosaic image is a super image constituted by smaller images. Mosaic images are usually used to overcome the limited area of the field-of-view of high magnifications. Some software includes a mosaic function; nevertheless, images can also be manually stitched together with other photo editing software by stitching the individual images into one. Remember to add the scale information to the file. For this type of analysis, it is recommended to have at least 300 microglial cells imaged per ROI/animal (corresponding to approximately 10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pictures for the hippocampus, for example), with a minimum of five animals per experimental condition. </w:t>
      </w:r>
      <w:r>
        <w:rPr>
          <w:rFonts w:ascii="Calibri" w:hAnsi="Calibri" w:cs="Calibri" w:eastAsia="Calibri"/>
          <w:b/>
          <w:color w:val="000000"/>
          <w:spacing w:val="0"/>
          <w:position w:val="0"/>
          <w:sz w:val="24"/>
          <w:shd w:fill="auto" w:val="clear"/>
        </w:rPr>
        <w:t xml:space="preserve">Figure 1A-C</w:t>
      </w:r>
      <w:r>
        <w:rPr>
          <w:rFonts w:ascii="Calibri" w:hAnsi="Calibri" w:cs="Calibri" w:eastAsia="Calibri"/>
          <w:color w:val="000000"/>
          <w:spacing w:val="0"/>
          <w:position w:val="0"/>
          <w:sz w:val="24"/>
          <w:shd w:fill="auto" w:val="clear"/>
        </w:rPr>
        <w:t xml:space="preserve"> shows the images of colabeled microglia.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Save the image as a TIFF file.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Imaging for morphology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Using a confocal or structured illumination microscope, use the DAPI channel to locate the ROI at low magnification.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Using a 40x objective (i.e., NA 1.4 oil), locate an IBA1+/TMEM119+ cell inside the ROI. While live imaging, move in the Z-axis. As soon as the signal of the randomly selected microglia disappears, set this Z-level as the beginning of the Z-stack. Move along the Z-axis in the opposite direction until the signal of the microglia disappears and set that point as the end of the Z-stack.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Figure 2A</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shows images of IBA1+/TMEM119+ microglia.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Create a Z-stack in all three channels (DAPI, 488, 568) using a 0.33 &amp;#181;m Z-interval and pixel size of 0.15 &amp;#181;m/pixel. Add the scale information to the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recommended Z-interval depends on the resolving power of the objective (e.g., for a 40x objective such as NA 1.4 oil, it is 0.33 &amp;#181;m). For morphology analysis, it is recommended to have at least 20 cells per animal with a minimum of five animals per experimental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Save the file as a TIFF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Density and distribution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Open FIJI/ImageJ with the nearest neighbor distance (NND) plugin installed. Open the 20x image.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br/>
      </w:r>
      <w:r>
        <w:rPr>
          <w:rFonts w:ascii="Calibri" w:hAnsi="Calibri" w:cs="Calibri" w:eastAsia="Calibri"/>
          <w:color w:val="000000"/>
          <w:spacing w:val="0"/>
          <w:position w:val="0"/>
          <w:sz w:val="24"/>
          <w:shd w:fill="auto" w:val="clear"/>
        </w:rPr>
        <w:t xml:space="preserve">NOTE: Use a search engine with the keyword "Nearest Neighbor Distances Calculation with ImageJ" to find the installation instructions. The plugin Author is Yuxiong Mao.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On the menu bar, select </w:t>
      </w:r>
      <w:r>
        <w:rPr>
          <w:rFonts w:ascii="Calibri" w:hAnsi="Calibri" w:cs="Calibri" w:eastAsia="Calibri"/>
          <w:b/>
          <w:color w:val="000000"/>
          <w:spacing w:val="0"/>
          <w:position w:val="0"/>
          <w:sz w:val="24"/>
          <w:shd w:fill="FFFF00" w:val="clear"/>
        </w:rPr>
        <w:t xml:space="preserve">Analyze | Set measurements</w:t>
      </w:r>
      <w:r>
        <w:rPr>
          <w:rFonts w:ascii="Calibri" w:hAnsi="Calibri" w:cs="Calibri" w:eastAsia="Calibri"/>
          <w:color w:val="000000"/>
          <w:spacing w:val="0"/>
          <w:position w:val="0"/>
          <w:sz w:val="24"/>
          <w:shd w:fill="FFFF00" w:val="clear"/>
        </w:rPr>
        <w:t xml:space="preserve">. Check </w:t>
      </w:r>
      <w:r>
        <w:rPr>
          <w:rFonts w:ascii="Calibri" w:hAnsi="Calibri" w:cs="Calibri" w:eastAsia="Calibri"/>
          <w:b/>
          <w:color w:val="000000"/>
          <w:spacing w:val="0"/>
          <w:position w:val="0"/>
          <w:sz w:val="24"/>
          <w:shd w:fill="FFFF00" w:val="clear"/>
        </w:rPr>
        <w:t xml:space="preserve">Area</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Centroid</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Perimeter</w:t>
      </w:r>
      <w:r>
        <w:rPr>
          <w:rFonts w:ascii="Calibri" w:hAnsi="Calibri" w:cs="Calibri" w:eastAsia="Calibri"/>
          <w:color w:val="000000"/>
          <w:spacing w:val="0"/>
          <w:position w:val="0"/>
          <w:sz w:val="24"/>
          <w:shd w:fill="FFFF00" w:val="clear"/>
        </w:rPr>
        <w:t xml:space="preserve">. On the tab </w:t>
      </w:r>
      <w:r>
        <w:rPr>
          <w:rFonts w:ascii="Calibri" w:hAnsi="Calibri" w:cs="Calibri" w:eastAsia="Calibri"/>
          <w:b/>
          <w:color w:val="000000"/>
          <w:spacing w:val="0"/>
          <w:position w:val="0"/>
          <w:sz w:val="24"/>
          <w:shd w:fill="FFFF00" w:val="clear"/>
        </w:rPr>
        <w:t xml:space="preserve">Redirect to</w:t>
      </w:r>
      <w:r>
        <w:rPr>
          <w:rFonts w:ascii="Calibri" w:hAnsi="Calibri" w:cs="Calibri" w:eastAsia="Calibri"/>
          <w:color w:val="000000"/>
          <w:spacing w:val="0"/>
          <w:position w:val="0"/>
          <w:sz w:val="24"/>
          <w:shd w:fill="FFFF00" w:val="clear"/>
        </w:rPr>
        <w:t xml:space="preserve">, click and select the opened file (</w:t>
      </w:r>
      <w:r>
        <w:rPr>
          <w:rFonts w:ascii="Calibri" w:hAnsi="Calibri" w:cs="Calibri" w:eastAsia="Calibri"/>
          <w:b/>
          <w:color w:val="000000"/>
          <w:spacing w:val="0"/>
          <w:position w:val="0"/>
          <w:sz w:val="24"/>
          <w:shd w:fill="FFFF00" w:val="clear"/>
        </w:rPr>
        <w:t xml:space="preserve">Figure 3K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If the scale is contained in the metadata of the file and not automatically set from the metadata, on the menu bar, select </w:t>
      </w:r>
      <w:r>
        <w:rPr>
          <w:rFonts w:ascii="Calibri" w:hAnsi="Calibri" w:cs="Calibri" w:eastAsia="Calibri"/>
          <w:b/>
          <w:color w:val="000000"/>
          <w:spacing w:val="0"/>
          <w:position w:val="0"/>
          <w:sz w:val="24"/>
          <w:shd w:fill="FFFF00" w:val="clear"/>
        </w:rPr>
        <w:t xml:space="preserve">Analyze | Set scale</w:t>
      </w:r>
      <w:r>
        <w:rPr>
          <w:rFonts w:ascii="Calibri" w:hAnsi="Calibri" w:cs="Calibri" w:eastAsia="Calibri"/>
          <w:color w:val="000000"/>
          <w:spacing w:val="0"/>
          <w:position w:val="0"/>
          <w:sz w:val="24"/>
          <w:shd w:fill="FFFF00" w:val="clear"/>
        </w:rPr>
        <w:t xml:space="preserve">, then enter the correct information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3J</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To set the scale manually based on a scale imprinted on the image, select the straight line tool (</w:t>
      </w:r>
      <w:r>
        <w:rPr>
          <w:rFonts w:ascii="Calibri" w:hAnsi="Calibri" w:cs="Calibri" w:eastAsia="Calibri"/>
          <w:b/>
          <w:color w:val="000000"/>
          <w:spacing w:val="0"/>
          <w:position w:val="0"/>
          <w:sz w:val="24"/>
          <w:shd w:fill="FFFF00" w:val="clear"/>
        </w:rPr>
        <w:t xml:space="preserve">Figure 3E</w:t>
      </w:r>
      <w:r>
        <w:rPr>
          <w:rFonts w:ascii="Calibri" w:hAnsi="Calibri" w:cs="Calibri" w:eastAsia="Calibri"/>
          <w:color w:val="000000"/>
          <w:spacing w:val="0"/>
          <w:position w:val="0"/>
          <w:sz w:val="24"/>
          <w:shd w:fill="FFFF00" w:val="clear"/>
        </w:rPr>
        <w:t xml:space="preserve">), place the cursor on the edge of the scale, and, while pressing the shift key, draw a line as close as possible to the scale on the image (</w:t>
      </w:r>
      <w:r>
        <w:rPr>
          <w:rFonts w:ascii="Calibri" w:hAnsi="Calibri" w:cs="Calibri" w:eastAsia="Calibri"/>
          <w:b/>
          <w:color w:val="000000"/>
          <w:spacing w:val="0"/>
          <w:position w:val="0"/>
          <w:sz w:val="24"/>
          <w:shd w:fill="FFFF00" w:val="clear"/>
        </w:rPr>
        <w:t xml:space="preserve">Figure 3I</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Select </w:t>
      </w:r>
      <w:r>
        <w:rPr>
          <w:rFonts w:ascii="Calibri" w:hAnsi="Calibri" w:cs="Calibri" w:eastAsia="Calibri"/>
          <w:b/>
          <w:color w:val="000000"/>
          <w:spacing w:val="0"/>
          <w:position w:val="0"/>
          <w:sz w:val="24"/>
          <w:shd w:fill="FFFF00" w:val="clear"/>
        </w:rPr>
        <w:t xml:space="preserve">Analyze | Measure</w:t>
      </w:r>
      <w:r>
        <w:rPr>
          <w:rFonts w:ascii="Calibri" w:hAnsi="Calibri" w:cs="Calibri" w:eastAsia="Calibri"/>
          <w:color w:val="000000"/>
          <w:spacing w:val="0"/>
          <w:position w:val="0"/>
          <w:sz w:val="24"/>
          <w:shd w:fill="FFFF00" w:val="clear"/>
        </w:rPr>
        <w:t xml:space="preserve"> or press the </w:t>
      </w:r>
      <w:r>
        <w:rPr>
          <w:rFonts w:ascii="Calibri" w:hAnsi="Calibri" w:cs="Calibri" w:eastAsia="Calibri"/>
          <w:b/>
          <w:color w:val="000000"/>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 key on the keyboard to obtain the pixel length of the scale. A results window will pop up. Use the length and information imprinted at the scale to set the pixel/length unit. Make sure to insert the correct length unit.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Select </w:t>
      </w:r>
      <w:r>
        <w:rPr>
          <w:rFonts w:ascii="Calibri" w:hAnsi="Calibri" w:cs="Calibri" w:eastAsia="Calibri"/>
          <w:b/>
          <w:color w:val="000000"/>
          <w:spacing w:val="0"/>
          <w:position w:val="0"/>
          <w:sz w:val="24"/>
          <w:shd w:fill="FFFF00" w:val="clear"/>
        </w:rPr>
        <w:t xml:space="preserve">Image | Color | Do composite</w:t>
      </w:r>
      <w:r>
        <w:rPr>
          <w:rFonts w:ascii="Calibri" w:hAnsi="Calibri" w:cs="Calibri" w:eastAsia="Calibri"/>
          <w:color w:val="000000"/>
          <w:spacing w:val="0"/>
          <w:position w:val="0"/>
          <w:sz w:val="24"/>
          <w:shd w:fill="FFFF00" w:val="clear"/>
        </w:rPr>
        <w:t xml:space="preserve"> to create a composite image of all channels.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image acquisition, FIJI/ImageJ will automatically create a composite in the RGB format.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Draw a rough perimeter of the ROI with the freehand selection tool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Enable the selection brush tool by double-clicking the oval tool on the tool bar and make sure that the </w:t>
      </w:r>
      <w:r>
        <w:rPr>
          <w:rFonts w:ascii="Calibri" w:hAnsi="Calibri" w:cs="Calibri" w:eastAsia="Calibri"/>
          <w:b/>
          <w:color w:val="000000"/>
          <w:spacing w:val="0"/>
          <w:position w:val="0"/>
          <w:sz w:val="24"/>
          <w:shd w:fill="FFFF00" w:val="clear"/>
        </w:rPr>
        <w:t xml:space="preserve">Enable selection brush</w:t>
      </w:r>
      <w:r>
        <w:rPr>
          <w:rFonts w:ascii="Calibri" w:hAnsi="Calibri" w:cs="Calibri" w:eastAsia="Calibri"/>
          <w:color w:val="000000"/>
          <w:spacing w:val="0"/>
          <w:position w:val="0"/>
          <w:sz w:val="24"/>
          <w:shd w:fill="FFFF00" w:val="clear"/>
        </w:rPr>
        <w:t xml:space="preserve"> box is checked (</w:t>
      </w:r>
      <w:r>
        <w:rPr>
          <w:rFonts w:ascii="Calibri" w:hAnsi="Calibri" w:cs="Calibri" w:eastAsia="Calibri"/>
          <w:b/>
          <w:color w:val="000000"/>
          <w:spacing w:val="0"/>
          <w:position w:val="0"/>
          <w:sz w:val="24"/>
          <w:shd w:fill="FFFF00" w:val="clear"/>
        </w:rPr>
        <w:t xml:space="preserve">Figure 3G</w:t>
      </w:r>
      <w:r>
        <w:rPr>
          <w:rFonts w:ascii="Calibri" w:hAnsi="Calibri" w:cs="Calibri" w:eastAsia="Calibri"/>
          <w:color w:val="000000"/>
          <w:spacing w:val="0"/>
          <w:position w:val="0"/>
          <w:sz w:val="24"/>
          <w:shd w:fill="FFFF00" w:val="clear"/>
        </w:rPr>
        <w:t xml:space="preserve">). This tool will be used to delineate the ROI more precisely. Select an appropriate brush size between 200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Using the selection brush, adjust the perimeter to best fit the ROI. Press </w:t>
      </w:r>
      <w:r>
        <w:rPr>
          <w:rFonts w:ascii="Calibri" w:hAnsi="Calibri" w:cs="Calibri" w:eastAsia="Calibri"/>
          <w:b/>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on the keyboard to add to the ROI manager (</w:t>
      </w:r>
      <w:r>
        <w:rPr>
          <w:rFonts w:ascii="Calibri" w:hAnsi="Calibri" w:cs="Calibri" w:eastAsia="Calibri"/>
          <w:b/>
          <w:color w:val="000000"/>
          <w:spacing w:val="0"/>
          <w:position w:val="0"/>
          <w:sz w:val="24"/>
          <w:shd w:fill="FFFF00" w:val="clear"/>
        </w:rPr>
        <w:t xml:space="preserve">Figure 3L</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Select </w:t>
      </w:r>
      <w:r>
        <w:rPr>
          <w:rFonts w:ascii="Calibri" w:hAnsi="Calibri" w:cs="Calibri" w:eastAsia="Calibri"/>
          <w:b/>
          <w:color w:val="000000"/>
          <w:spacing w:val="0"/>
          <w:position w:val="0"/>
          <w:sz w:val="24"/>
          <w:shd w:fill="FFFF00" w:val="clear"/>
        </w:rPr>
        <w:t xml:space="preserve">Analyze | Measure</w:t>
      </w:r>
      <w:r>
        <w:rPr>
          <w:rFonts w:ascii="Calibri" w:hAnsi="Calibri" w:cs="Calibri" w:eastAsia="Calibri"/>
          <w:color w:val="000000"/>
          <w:spacing w:val="0"/>
          <w:position w:val="0"/>
          <w:sz w:val="24"/>
          <w:shd w:fill="FFFF00" w:val="clear"/>
        </w:rPr>
        <w:t xml:space="preserve"> or press the </w:t>
      </w:r>
      <w:r>
        <w:rPr>
          <w:rFonts w:ascii="Calibri" w:hAnsi="Calibri" w:cs="Calibri" w:eastAsia="Calibri"/>
          <w:b/>
          <w:color w:val="000000"/>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 key, and a results window will pop up. Copy and paste the results on a datasheet, then save the information regarding the area (i.e., the area of the ROI; </w:t>
      </w:r>
      <w:r>
        <w:rPr>
          <w:rFonts w:ascii="Calibri" w:hAnsi="Calibri" w:cs="Calibri" w:eastAsia="Calibri"/>
          <w:b/>
          <w:color w:val="000000"/>
          <w:spacing w:val="0"/>
          <w:position w:val="0"/>
          <w:sz w:val="24"/>
          <w:shd w:fill="FFFF00" w:val="clear"/>
        </w:rPr>
        <w:t xml:space="preserve">Figure 3R</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After copying the area of the ROI, erase the information from the results window by clicking on it and pressing the </w:t>
      </w:r>
      <w:r>
        <w:rPr>
          <w:rFonts w:ascii="Calibri" w:hAnsi="Calibri" w:cs="Calibri" w:eastAsia="Calibri"/>
          <w:b/>
          <w:color w:val="000000"/>
          <w:spacing w:val="0"/>
          <w:position w:val="0"/>
          <w:sz w:val="24"/>
          <w:shd w:fill="FFFF00" w:val="clear"/>
        </w:rPr>
        <w:t xml:space="preserve">Backspace</w:t>
      </w:r>
      <w:r>
        <w:rPr>
          <w:rFonts w:ascii="Calibri" w:hAnsi="Calibri" w:cs="Calibri" w:eastAsia="Calibri"/>
          <w:color w:val="000000"/>
          <w:spacing w:val="0"/>
          <w:position w:val="0"/>
          <w:sz w:val="24"/>
          <w:shd w:fill="FFFF00" w:val="clear"/>
        </w:rPr>
        <w:t xml:space="preserve"> key.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Go to the ROI manager window (</w:t>
      </w:r>
      <w:r>
        <w:rPr>
          <w:rFonts w:ascii="Calibri" w:hAnsi="Calibri" w:cs="Calibri" w:eastAsia="Calibri"/>
          <w:b/>
          <w:color w:val="000000"/>
          <w:spacing w:val="0"/>
          <w:position w:val="0"/>
          <w:sz w:val="24"/>
          <w:shd w:fill="FFFF00" w:val="clear"/>
        </w:rPr>
        <w:t xml:space="preserve">Figure 3L</w:t>
      </w:r>
      <w:r>
        <w:rPr>
          <w:rFonts w:ascii="Calibri" w:hAnsi="Calibri" w:cs="Calibri" w:eastAsia="Calibri"/>
          <w:color w:val="000000"/>
          <w:spacing w:val="0"/>
          <w:position w:val="0"/>
          <w:sz w:val="24"/>
          <w:shd w:fill="FFFF00" w:val="clear"/>
        </w:rPr>
        <w:t xml:space="preserve">), right-click the ROI trace, change the name to match the image’s name, then save.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Double-click the brush tool at the tool bar. Select the black color and a brush size of 10. Make sure that the option </w:t>
      </w:r>
      <w:r>
        <w:rPr>
          <w:rFonts w:ascii="Calibri" w:hAnsi="Calibri" w:cs="Calibri" w:eastAsia="Calibri"/>
          <w:b/>
          <w:color w:val="000000"/>
          <w:spacing w:val="0"/>
          <w:position w:val="0"/>
          <w:sz w:val="24"/>
          <w:shd w:fill="FFFF00" w:val="clear"/>
        </w:rPr>
        <w:t xml:space="preserve">Paint of overlay</w:t>
      </w:r>
      <w:r>
        <w:rPr>
          <w:rFonts w:ascii="Calibri" w:hAnsi="Calibri" w:cs="Calibri" w:eastAsia="Calibri"/>
          <w:color w:val="000000"/>
          <w:spacing w:val="0"/>
          <w:position w:val="0"/>
          <w:sz w:val="24"/>
          <w:shd w:fill="FFFF00" w:val="clear"/>
        </w:rPr>
        <w:t xml:space="preserve"> is unchecked (</w:t>
      </w:r>
      <w:r>
        <w:rPr>
          <w:rFonts w:ascii="Calibri" w:hAnsi="Calibri" w:cs="Calibri" w:eastAsia="Calibri"/>
          <w:b/>
          <w:color w:val="000000"/>
          <w:spacing w:val="0"/>
          <w:position w:val="0"/>
          <w:sz w:val="24"/>
          <w:shd w:fill="FFFF00" w:val="clear"/>
        </w:rPr>
        <w:t xml:space="preserve">Figure 3H</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In the TMEM119 channel, carefully place a black dot on the center the soma for each TMEM119+ microglia. With the help of keyboard arrows, change to the IBA1 channel and place a white dot on the center of the cells that are not positive for TMEM119 (to mark infiltrating macrophages). Repeat the same procedure for all cells contained in the ROI.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that all dots (black and white) are located in the same channel. The identity of the channel can be verified (red, blue, or green) by looking at the color of the image window labels.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 Select </w:t>
      </w:r>
      <w:r>
        <w:rPr>
          <w:rFonts w:ascii="Calibri" w:hAnsi="Calibri" w:cs="Calibri" w:eastAsia="Calibri"/>
          <w:b/>
          <w:color w:val="000000"/>
          <w:spacing w:val="0"/>
          <w:position w:val="0"/>
          <w:sz w:val="24"/>
          <w:shd w:fill="FFFF00" w:val="clear"/>
        </w:rPr>
        <w:t xml:space="preserve">Image | Color | Split channel</w:t>
      </w:r>
      <w:r>
        <w:rPr>
          <w:rFonts w:ascii="Calibri" w:hAnsi="Calibri" w:cs="Calibri" w:eastAsia="Calibri"/>
          <w:color w:val="000000"/>
          <w:spacing w:val="0"/>
          <w:position w:val="0"/>
          <w:sz w:val="24"/>
          <w:shd w:fill="FFFF00" w:val="clear"/>
        </w:rPr>
        <w:t xml:space="preserve">. A window for each channel will appear. Then, identify the channel that has the dot annotations and close the other two windows.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 Select </w:t>
      </w:r>
      <w:r>
        <w:rPr>
          <w:rFonts w:ascii="Calibri" w:hAnsi="Calibri" w:cs="Calibri" w:eastAsia="Calibri"/>
          <w:b/>
          <w:color w:val="000000"/>
          <w:spacing w:val="0"/>
          <w:position w:val="0"/>
          <w:sz w:val="24"/>
          <w:shd w:fill="FFFF00" w:val="clear"/>
        </w:rPr>
        <w:t xml:space="preserve">Image | Type</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8-bit</w:t>
      </w:r>
      <w:r>
        <w:rPr>
          <w:rFonts w:ascii="Calibri" w:hAnsi="Calibri" w:cs="Calibri" w:eastAsia="Calibri"/>
          <w:color w:val="000000"/>
          <w:spacing w:val="0"/>
          <w:position w:val="0"/>
          <w:sz w:val="24"/>
          <w:shd w:fill="FFFF00" w:val="clear"/>
        </w:rPr>
        <w:t xml:space="preserve">. Go to </w:t>
      </w:r>
      <w:r>
        <w:rPr>
          <w:rFonts w:ascii="Calibri" w:hAnsi="Calibri" w:cs="Calibri" w:eastAsia="Calibri"/>
          <w:b/>
          <w:color w:val="000000"/>
          <w:spacing w:val="0"/>
          <w:position w:val="0"/>
          <w:sz w:val="24"/>
          <w:shd w:fill="FFFF00" w:val="clear"/>
        </w:rPr>
        <w:t xml:space="preserve">Image | Adjust</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Threshold</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3O</w:t>
      </w:r>
      <w:r>
        <w:rPr>
          <w:rFonts w:ascii="Calibri" w:hAnsi="Calibri" w:cs="Calibri" w:eastAsia="Calibri"/>
          <w:color w:val="000000"/>
          <w:spacing w:val="0"/>
          <w:position w:val="0"/>
          <w:sz w:val="24"/>
          <w:shd w:fill="FFFF00" w:val="clear"/>
        </w:rPr>
        <w:t xml:space="preserve">). To adjust the threshold, slide the button of the second bar, all the way to the left (threshold value = 0) in both bars.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will leave only the black dots on the image, appearing black.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 Select </w:t>
      </w:r>
      <w:r>
        <w:rPr>
          <w:rFonts w:ascii="Calibri" w:hAnsi="Calibri" w:cs="Calibri" w:eastAsia="Calibri"/>
          <w:b/>
          <w:color w:val="000000"/>
          <w:spacing w:val="0"/>
          <w:position w:val="0"/>
          <w:sz w:val="24"/>
          <w:shd w:fill="FFFF00" w:val="clear"/>
        </w:rPr>
        <w:t xml:space="preserve">Analyze | Analyze particle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3N</w:t>
      </w:r>
      <w:r>
        <w:rPr>
          <w:rFonts w:ascii="Calibri" w:hAnsi="Calibri" w:cs="Calibri" w:eastAsia="Calibri"/>
          <w:color w:val="000000"/>
          <w:spacing w:val="0"/>
          <w:position w:val="0"/>
          <w:sz w:val="24"/>
          <w:shd w:fill="FFFF00" w:val="clear"/>
        </w:rPr>
        <w:t xml:space="preserve">). The summary window will pop up and will give the number of points (</w:t>
      </w:r>
      <w:r>
        <w:rPr>
          <w:rFonts w:ascii="Calibri" w:hAnsi="Calibri" w:cs="Calibri" w:eastAsia="Calibri"/>
          <w:b/>
          <w:color w:val="000000"/>
          <w:spacing w:val="0"/>
          <w:position w:val="0"/>
          <w:sz w:val="24"/>
          <w:shd w:fill="FFFF00" w:val="clear"/>
        </w:rPr>
        <w:t xml:space="preserve">Figure 3P</w:t>
      </w:r>
      <w:r>
        <w:rPr>
          <w:rFonts w:ascii="Calibri" w:hAnsi="Calibri" w:cs="Calibri" w:eastAsia="Calibri"/>
          <w:color w:val="000000"/>
          <w:spacing w:val="0"/>
          <w:position w:val="0"/>
          <w:sz w:val="24"/>
          <w:shd w:fill="FFFF00" w:val="clear"/>
        </w:rPr>
        <w:t xml:space="preserve">). Copy and paste the information to the datasheet.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4.18. Select </w:t>
      </w:r>
      <w:r>
        <w:rPr>
          <w:rFonts w:ascii="Calibri" w:hAnsi="Calibri" w:cs="Calibri" w:eastAsia="Calibri"/>
          <w:b/>
          <w:color w:val="000000"/>
          <w:spacing w:val="0"/>
          <w:position w:val="0"/>
          <w:sz w:val="24"/>
          <w:shd w:fill="FFFF00" w:val="clear"/>
        </w:rPr>
        <w:t xml:space="preserve">Plugins | NND</w:t>
      </w:r>
      <w:r>
        <w:rPr>
          <w:rFonts w:ascii="Calibri" w:hAnsi="Calibri" w:cs="Calibri" w:eastAsia="Calibri"/>
          <w:color w:val="000000"/>
          <w:spacing w:val="0"/>
          <w:position w:val="0"/>
          <w:sz w:val="24"/>
          <w:shd w:fill="FFFF00" w:val="clear"/>
        </w:rPr>
        <w:t xml:space="preserve">. The NND window will pop up (</w:t>
      </w:r>
      <w:r>
        <w:rPr>
          <w:rFonts w:ascii="Calibri" w:hAnsi="Calibri" w:cs="Calibri" w:eastAsia="Calibri"/>
          <w:b/>
          <w:color w:val="000000"/>
          <w:spacing w:val="0"/>
          <w:position w:val="0"/>
          <w:sz w:val="24"/>
          <w:shd w:fill="FFFF00" w:val="clear"/>
        </w:rPr>
        <w:t xml:space="preserve">Figure 3Q</w:t>
      </w:r>
      <w:r>
        <w:rPr>
          <w:rFonts w:ascii="Calibri" w:hAnsi="Calibri" w:cs="Calibri" w:eastAsia="Calibri"/>
          <w:color w:val="000000"/>
          <w:spacing w:val="0"/>
          <w:position w:val="0"/>
          <w:sz w:val="24"/>
          <w:shd w:fill="FFFF00" w:val="clear"/>
        </w:rPr>
        <w:t xml:space="preserve">). Copy/paste all the information to the datasheet. Each number represents the distance each microglia has to the nearest neighboring microglia.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4.19. Go back to the threshold window and slide the first bar all the way to the right (threshold value = 255 in both bars), which will leave all the white dots visible, appearing white (</w:t>
      </w:r>
      <w:r>
        <w:rPr>
          <w:rFonts w:ascii="Calibri" w:hAnsi="Calibri" w:cs="Calibri" w:eastAsia="Calibri"/>
          <w:b/>
          <w:color w:val="000000"/>
          <w:spacing w:val="0"/>
          <w:position w:val="0"/>
          <w:sz w:val="24"/>
          <w:shd w:fill="FFFF00" w:val="clear"/>
        </w:rPr>
        <w:t xml:space="preserve">Figure 3M</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4.20. Select </w:t>
      </w:r>
      <w:r>
        <w:rPr>
          <w:rFonts w:ascii="Calibri" w:hAnsi="Calibri" w:cs="Calibri" w:eastAsia="Calibri"/>
          <w:b/>
          <w:color w:val="000000"/>
          <w:spacing w:val="0"/>
          <w:position w:val="0"/>
          <w:sz w:val="24"/>
          <w:shd w:fill="FFFF00" w:val="clear"/>
        </w:rPr>
        <w:t xml:space="preserve">Analyze | Analyze particle</w:t>
      </w:r>
      <w:r>
        <w:rPr>
          <w:rFonts w:ascii="Calibri" w:hAnsi="Calibri" w:cs="Calibri" w:eastAsia="Calibri"/>
          <w:color w:val="000000"/>
          <w:spacing w:val="0"/>
          <w:position w:val="0"/>
          <w:sz w:val="24"/>
          <w:shd w:fill="FFFF00" w:val="clear"/>
        </w:rPr>
        <w:t xml:space="preserve">. The summary window that provides the number of points will pop up (</w:t>
      </w:r>
      <w:r>
        <w:rPr>
          <w:rFonts w:ascii="Calibri" w:hAnsi="Calibri" w:cs="Calibri" w:eastAsia="Calibri"/>
          <w:b/>
          <w:color w:val="000000"/>
          <w:spacing w:val="0"/>
          <w:position w:val="0"/>
          <w:sz w:val="24"/>
          <w:shd w:fill="FFFF00" w:val="clear"/>
        </w:rPr>
        <w:t xml:space="preserve">Figure 3P</w:t>
      </w:r>
      <w:r>
        <w:rPr>
          <w:rFonts w:ascii="Calibri" w:hAnsi="Calibri" w:cs="Calibri" w:eastAsia="Calibri"/>
          <w:color w:val="000000"/>
          <w:spacing w:val="0"/>
          <w:position w:val="0"/>
          <w:sz w:val="24"/>
          <w:shd w:fill="FFFF00" w:val="clear"/>
        </w:rPr>
        <w:t xml:space="preserve">). Copy and paste the information to the datasheet.</w:t>
      </w:r>
    </w:p>
    <w:p>
      <w:pPr>
        <w:spacing w:before="0" w:after="0" w:line="240"/>
        <w:ind w:right="0" w:left="0" w:firstLine="6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Go to the ROI manager select all the points, right-click, and save with the image’s name. This will allow saving of all the points in a zip file (</w:t>
      </w:r>
      <w:r>
        <w:rPr>
          <w:rFonts w:ascii="Calibri" w:hAnsi="Calibri" w:cs="Calibri" w:eastAsia="Calibri"/>
          <w:b/>
          <w:color w:val="000000"/>
          <w:spacing w:val="0"/>
          <w:position w:val="0"/>
          <w:sz w:val="24"/>
          <w:shd w:fill="FFFF00" w:val="clear"/>
        </w:rPr>
        <w:t xml:space="preserve">Figure 3L</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File | Save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as</w:t>
      </w:r>
      <w:r>
        <w:rPr>
          <w:rFonts w:ascii="Calibri" w:hAnsi="Calibri" w:cs="Calibri" w:eastAsia="Calibri"/>
          <w:color w:val="000000"/>
          <w:spacing w:val="0"/>
          <w:position w:val="0"/>
          <w:sz w:val="24"/>
          <w:shd w:fill="FFFF00" w:val="clear"/>
        </w:rPr>
        <w:t xml:space="preserve">, and save the file with a name that allows identification of the analyzed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Obtain the density of microglia (for each image) by dividing the number of IBA1+/TMEM119+ double-positive cells by the area of the ROI.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values for each picture can be averaged for each animal. The data can then be presented as mean &amp;plusmn; standard error of the mean (SEM) of all the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Determine the NND by obtaining an average per picture of the NND values of all TMEM119+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can then be presented as mean &amp;plusmn; SEM of all the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Calculate the spacing index using the formula: NND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x density.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can then be presented as mean &amp;plusmn; SEM of all the animals. The units for this measurement will be arbitrary units.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Quantify microglial clusters by identifying cells that have an NND under 12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12 &amp;#181;m is selected, as it is the approximate distance between two directly juxtaposing microglial cells touching each another with arborizations. If there are more than three microglia that meet this condition, return to the image and verify whether these cells are part of one or multiple clusters.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After confirming the number of clusters, write the number of clusters in the datasheet.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clusters can be divided by the ROI area to obtain the density of cells/mm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each animal. The data can then be presented as mean &amp;plusmn; SEM of all the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4.29. To determine the percentage of peripheral myeloid cell infiltration, calculate the % of IBA1+/TMEM119- cells over the total number of myeloid cells (TMEM119+/IBA1+ + TMEM119-/IBA1+) for each animal.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can then be presented as mean &amp;plusmn; SEM of all the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Morphology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Open FIJI/ImageJ.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Open the 40x image using Image J or FIJI. Select </w:t>
      </w:r>
      <w:r>
        <w:rPr>
          <w:rFonts w:ascii="Calibri" w:hAnsi="Calibri" w:cs="Calibri" w:eastAsia="Calibri"/>
          <w:b/>
          <w:color w:val="000000"/>
          <w:spacing w:val="0"/>
          <w:position w:val="0"/>
          <w:sz w:val="24"/>
          <w:shd w:fill="FFFF00" w:val="clear"/>
        </w:rPr>
        <w:t xml:space="preserve">View stack with: Hyperstack and color mode: Composite,</w:t>
      </w:r>
      <w:r>
        <w:rPr>
          <w:rFonts w:ascii="Calibri" w:hAnsi="Calibri" w:cs="Calibri" w:eastAsia="Calibri"/>
          <w:color w:val="000000"/>
          <w:spacing w:val="0"/>
          <w:position w:val="0"/>
          <w:sz w:val="24"/>
          <w:shd w:fill="FFFF00" w:val="clear"/>
        </w:rPr>
        <w:t xml:space="preserve"> then press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other boxes should remain unchecked.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Select </w:t>
      </w:r>
      <w:r>
        <w:rPr>
          <w:rFonts w:ascii="Calibri" w:hAnsi="Calibri" w:cs="Calibri" w:eastAsia="Calibri"/>
          <w:b/>
          <w:color w:val="000000"/>
          <w:spacing w:val="0"/>
          <w:position w:val="0"/>
          <w:sz w:val="24"/>
          <w:shd w:fill="FFFF00" w:val="clear"/>
        </w:rPr>
        <w:t xml:space="preserve">Image | Stacks | Z project</w:t>
      </w:r>
      <w:r>
        <w:rPr>
          <w:rFonts w:ascii="Calibri" w:hAnsi="Calibri" w:cs="Calibri" w:eastAsia="Calibri"/>
          <w:color w:val="000000"/>
          <w:spacing w:val="0"/>
          <w:position w:val="0"/>
          <w:sz w:val="24"/>
          <w:shd w:fill="FFFF00" w:val="clear"/>
        </w:rPr>
        <w:t xml:space="preserve">. The Z-Projection window will open. Include all slices, from the first through last slice. </w:t>
      </w:r>
      <w:r>
        <w:rPr>
          <w:rFonts w:ascii="Calibri" w:hAnsi="Calibri" w:cs="Calibri" w:eastAsia="Calibri"/>
          <w:color w:val="000000"/>
          <w:spacing w:val="0"/>
          <w:position w:val="0"/>
          <w:sz w:val="24"/>
          <w:shd w:fill="auto" w:val="clear"/>
        </w:rPr>
        <w:t xml:space="preserve">The number will vary depending on the slice number of each image. </w:t>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Projection type: Max intensity</w:t>
      </w:r>
      <w:r>
        <w:rPr>
          <w:rFonts w:ascii="Calibri" w:hAnsi="Calibri" w:cs="Calibri" w:eastAsia="Calibri"/>
          <w:color w:val="000000"/>
          <w:spacing w:val="0"/>
          <w:position w:val="0"/>
          <w:sz w:val="24"/>
          <w:shd w:fill="FFFF00" w:val="clear"/>
        </w:rPr>
        <w:t xml:space="preserve"> and press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Click on the new window with the Z project. Select </w:t>
      </w:r>
      <w:r>
        <w:rPr>
          <w:rFonts w:ascii="Calibri" w:hAnsi="Calibri" w:cs="Calibri" w:eastAsia="Calibri"/>
          <w:b/>
          <w:color w:val="000000"/>
          <w:spacing w:val="0"/>
          <w:position w:val="0"/>
          <w:sz w:val="24"/>
          <w:shd w:fill="FFFF00" w:val="clear"/>
        </w:rPr>
        <w:t xml:space="preserve">Image | Colors | Split channels</w:t>
      </w:r>
      <w:r>
        <w:rPr>
          <w:rFonts w:ascii="Calibri" w:hAnsi="Calibri" w:cs="Calibri" w:eastAsia="Calibri"/>
          <w:color w:val="000000"/>
          <w:spacing w:val="0"/>
          <w:position w:val="0"/>
          <w:sz w:val="24"/>
          <w:shd w:fill="FFFF00" w:val="clear"/>
        </w:rPr>
        <w:t xml:space="preserve">. Conduct the traces on the images of the IBA1 channel.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other channels (TMEM119 and DAPI) can be kept open and consulted as needed during the microglial morphology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On the menu bar, select </w:t>
      </w:r>
      <w:r>
        <w:rPr>
          <w:rFonts w:ascii="Calibri" w:hAnsi="Calibri" w:cs="Calibri" w:eastAsia="Calibri"/>
          <w:b/>
          <w:color w:val="000000"/>
          <w:spacing w:val="0"/>
          <w:position w:val="0"/>
          <w:sz w:val="24"/>
          <w:shd w:fill="FFFF00" w:val="clear"/>
        </w:rPr>
        <w:t xml:space="preserve">Analyze | Set measurements</w:t>
      </w:r>
      <w:r>
        <w:rPr>
          <w:rFonts w:ascii="Calibri" w:hAnsi="Calibri" w:cs="Calibri" w:eastAsia="Calibri"/>
          <w:color w:val="000000"/>
          <w:spacing w:val="0"/>
          <w:position w:val="0"/>
          <w:sz w:val="24"/>
          <w:shd w:fill="FFFF00" w:val="clear"/>
        </w:rPr>
        <w:t xml:space="preserve">. Check the </w:t>
      </w:r>
      <w:r>
        <w:rPr>
          <w:rFonts w:ascii="Calibri" w:hAnsi="Calibri" w:cs="Calibri" w:eastAsia="Calibri"/>
          <w:b/>
          <w:color w:val="000000"/>
          <w:spacing w:val="0"/>
          <w:position w:val="0"/>
          <w:sz w:val="24"/>
          <w:shd w:fill="FFFF00" w:val="clear"/>
        </w:rPr>
        <w:t xml:space="preserve">Area</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Centroid</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Perimeter</w:t>
      </w:r>
      <w:r>
        <w:rPr>
          <w:rFonts w:ascii="Calibri" w:hAnsi="Calibri" w:cs="Calibri" w:eastAsia="Calibri"/>
          <w:color w:val="000000"/>
          <w:spacing w:val="0"/>
          <w:position w:val="0"/>
          <w:sz w:val="24"/>
          <w:shd w:fill="FFFF00" w:val="clear"/>
        </w:rPr>
        <w:t xml:space="preserve">. On the tab </w:t>
      </w:r>
      <w:r>
        <w:rPr>
          <w:rFonts w:ascii="Calibri" w:hAnsi="Calibri" w:cs="Calibri" w:eastAsia="Calibri"/>
          <w:b/>
          <w:color w:val="000000"/>
          <w:spacing w:val="0"/>
          <w:position w:val="0"/>
          <w:sz w:val="24"/>
          <w:shd w:fill="FFFF00" w:val="clear"/>
        </w:rPr>
        <w:t xml:space="preserve">Redirect to</w:t>
      </w:r>
      <w:r>
        <w:rPr>
          <w:rFonts w:ascii="Calibri" w:hAnsi="Calibri" w:cs="Calibri" w:eastAsia="Calibri"/>
          <w:color w:val="000000"/>
          <w:spacing w:val="0"/>
          <w:position w:val="0"/>
          <w:sz w:val="24"/>
          <w:shd w:fill="FFFF00" w:val="clear"/>
        </w:rPr>
        <w:t xml:space="preserve">, select the opened file (</w:t>
      </w:r>
      <w:r>
        <w:rPr>
          <w:rFonts w:ascii="Calibri" w:hAnsi="Calibri" w:cs="Calibri" w:eastAsia="Calibri"/>
          <w:b/>
          <w:color w:val="000000"/>
          <w:spacing w:val="0"/>
          <w:position w:val="0"/>
          <w:sz w:val="24"/>
          <w:shd w:fill="FFFF00" w:val="clear"/>
        </w:rPr>
        <w:t xml:space="preserve">Figure 3K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Set the scale as described in steps 4.3 and 4.4.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Select </w:t>
      </w:r>
      <w:r>
        <w:rPr>
          <w:rFonts w:ascii="Calibri" w:hAnsi="Calibri" w:cs="Calibri" w:eastAsia="Calibri"/>
          <w:b/>
          <w:color w:val="000000"/>
          <w:spacing w:val="0"/>
          <w:position w:val="0"/>
          <w:sz w:val="24"/>
          <w:shd w:fill="FFFF00" w:val="clear"/>
        </w:rPr>
        <w:t xml:space="preserve">Analyze | Measure</w:t>
      </w:r>
      <w:r>
        <w:rPr>
          <w:rFonts w:ascii="Calibri" w:hAnsi="Calibri" w:cs="Calibri" w:eastAsia="Calibri"/>
          <w:color w:val="000000"/>
          <w:spacing w:val="0"/>
          <w:position w:val="0"/>
          <w:sz w:val="24"/>
          <w:shd w:fill="FFFF00" w:val="clear"/>
        </w:rPr>
        <w:t xml:space="preserve"> or press the </w:t>
      </w:r>
      <w:r>
        <w:rPr>
          <w:rFonts w:ascii="Calibri" w:hAnsi="Calibri" w:cs="Calibri" w:eastAsia="Calibri"/>
          <w:b/>
          <w:color w:val="000000"/>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 key to obtain the pixel length of the scale. A results window will pop up. Use the length and information imprinted at the scale to set the pixel/length unit. Make sure to insert the correct distance unit.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To measure the soma size in the IBA1 channel, draw a rough perimeter of the soma with the freehand selection tool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w:t>
      </w:r>
      <w:r>
        <w:rPr>
          <w:rFonts w:ascii="Calibri" w:hAnsi="Calibri" w:cs="Calibri" w:eastAsia="Calibri"/>
          <w:color w:val="000000"/>
          <w:spacing w:val="0"/>
          <w:position w:val="0"/>
          <w:sz w:val="24"/>
          <w:shd w:fill="FFFF00" w:val="clear"/>
        </w:rPr>
        <w:t xml:space="preserve">Enable the selection brush tool by double-clicking the oval tool on the tool bar, followed by checking </w:t>
      </w:r>
      <w:r>
        <w:rPr>
          <w:rFonts w:ascii="Calibri" w:hAnsi="Calibri" w:cs="Calibri" w:eastAsia="Calibri"/>
          <w:b/>
          <w:color w:val="000000"/>
          <w:spacing w:val="0"/>
          <w:position w:val="0"/>
          <w:sz w:val="24"/>
          <w:shd w:fill="FFFF00" w:val="clear"/>
        </w:rPr>
        <w:t xml:space="preserve">Enable the selection brush box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Figure 3G</w:t>
      </w:r>
      <w:r>
        <w:rPr>
          <w:rFonts w:ascii="Calibri" w:hAnsi="Calibri" w:cs="Calibri" w:eastAsia="Calibri"/>
          <w:color w:val="000000"/>
          <w:spacing w:val="0"/>
          <w:position w:val="0"/>
          <w:sz w:val="24"/>
          <w:shd w:fill="FFFF00" w:val="clear"/>
        </w:rPr>
        <w:t xml:space="preserve">). Select a selection brush size between 10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 Using the selection brush, adjust the trace to best fit the soma. Zooming in will enable precision during this step (</w:t>
      </w:r>
      <w:r>
        <w:rPr>
          <w:rFonts w:ascii="Calibri" w:hAnsi="Calibri" w:cs="Calibri" w:eastAsia="Calibri"/>
          <w:b/>
          <w:color w:val="000000"/>
          <w:spacing w:val="0"/>
          <w:position w:val="0"/>
          <w:sz w:val="24"/>
          <w:shd w:fill="FFFF00" w:val="clear"/>
        </w:rPr>
        <w:t xml:space="preserve">Figure 2I</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Press the </w:t>
      </w:r>
      <w:r>
        <w:rPr>
          <w:rFonts w:ascii="Calibri" w:hAnsi="Calibri" w:cs="Calibri" w:eastAsia="Calibri"/>
          <w:b/>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key to add the soma trace to the ROI manager (</w:t>
      </w:r>
      <w:r>
        <w:rPr>
          <w:rFonts w:ascii="Calibri" w:hAnsi="Calibri" w:cs="Calibri" w:eastAsia="Calibri"/>
          <w:b/>
          <w:color w:val="000000"/>
          <w:spacing w:val="0"/>
          <w:position w:val="0"/>
          <w:sz w:val="24"/>
          <w:shd w:fill="FFFF00" w:val="clear"/>
        </w:rPr>
        <w:t xml:space="preserve">Figure 3L</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Select </w:t>
      </w:r>
      <w:r>
        <w:rPr>
          <w:rFonts w:ascii="Calibri" w:hAnsi="Calibri" w:cs="Calibri" w:eastAsia="Calibri"/>
          <w:b/>
          <w:color w:val="000000"/>
          <w:spacing w:val="0"/>
          <w:position w:val="0"/>
          <w:sz w:val="24"/>
          <w:shd w:fill="FFFF00" w:val="clear"/>
        </w:rPr>
        <w:t xml:space="preserve">Analyze | Measure</w:t>
      </w:r>
      <w:r>
        <w:rPr>
          <w:rFonts w:ascii="Calibri" w:hAnsi="Calibri" w:cs="Calibri" w:eastAsia="Calibri"/>
          <w:color w:val="000000"/>
          <w:spacing w:val="0"/>
          <w:position w:val="0"/>
          <w:sz w:val="24"/>
          <w:shd w:fill="FFFF00" w:val="clear"/>
        </w:rPr>
        <w:t xml:space="preserve"> or press the </w:t>
      </w:r>
      <w:r>
        <w:rPr>
          <w:rFonts w:ascii="Calibri" w:hAnsi="Calibri" w:cs="Calibri" w:eastAsia="Calibri"/>
          <w:b/>
          <w:color w:val="000000"/>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 key. A results window will pop up. Copy and paste the results on a datasheet (</w:t>
      </w:r>
      <w:r>
        <w:rPr>
          <w:rFonts w:ascii="Calibri" w:hAnsi="Calibri" w:cs="Calibri" w:eastAsia="Calibri"/>
          <w:b/>
          <w:color w:val="000000"/>
          <w:spacing w:val="0"/>
          <w:position w:val="0"/>
          <w:sz w:val="24"/>
          <w:shd w:fill="FFFF00" w:val="clear"/>
        </w:rPr>
        <w:t xml:space="preserve">Figure 3R</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To save the information regarding the soma area, go to the ROI manager window, right-click on the ROI, change the name to match the image’s name, specify that the trace is for soma, then save the file.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 To measure arborization area in the IBA1 channel, click on a microglial process extremity with the polygon selection tool, which will start the polygon shape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5.15. Following the tips of the microglial processes, go around the microglia by clicking at the tips of each process extremity to form a polygon that best represents the area covered by the microglial arborizations (</w:t>
      </w:r>
      <w:r>
        <w:rPr>
          <w:rFonts w:ascii="Calibri" w:hAnsi="Calibri" w:cs="Calibri" w:eastAsia="Calibri"/>
          <w:b/>
          <w:color w:val="000000"/>
          <w:spacing w:val="0"/>
          <w:position w:val="0"/>
          <w:sz w:val="24"/>
          <w:shd w:fill="FFFF00" w:val="clear"/>
        </w:rPr>
        <w:t xml:space="preserve">Figure 2D</w:t>
      </w:r>
      <w:r>
        <w:rPr>
          <w:rFonts w:ascii="Cambria Math" w:hAnsi="Cambria Math" w:cs="Cambria Math" w:eastAsia="Cambria Math"/>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H</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Make sure that the polygon connects all the microglial process extremities. The lines forming the polygon should never intersect. When clicking around a microglial process tip, be careful to avoid cutting off any part of the process.</w:t>
      </w:r>
      <w:r>
        <w:rPr>
          <w:rFonts w:ascii="Calibri" w:hAnsi="Calibri" w:cs="Calibri" w:eastAsia="Calibri"/>
          <w:color w:val="000000"/>
          <w:spacing w:val="0"/>
          <w:position w:val="0"/>
          <w:sz w:val="24"/>
          <w:shd w:fill="auto" w:val="clear"/>
        </w:rPr>
        <w:t xml:space="preserve"> It is sometimes useful to add points. The number of points forming the polygon is not directly linked to the number of distal processes and thus is not relevant for the study.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5.16. To close the polygon, click on the starting point of the polygon.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5.17. Press the </w:t>
      </w:r>
      <w:r>
        <w:rPr>
          <w:rFonts w:ascii="Calibri" w:hAnsi="Calibri" w:cs="Calibri" w:eastAsia="Calibri"/>
          <w:b/>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key to add the trace to the ROI manager (</w:t>
      </w:r>
      <w:r>
        <w:rPr>
          <w:rFonts w:ascii="Calibri" w:hAnsi="Calibri" w:cs="Calibri" w:eastAsia="Calibri"/>
          <w:b/>
          <w:color w:val="000000"/>
          <w:spacing w:val="0"/>
          <w:position w:val="0"/>
          <w:sz w:val="24"/>
          <w:shd w:fill="FFFF00" w:val="clear"/>
        </w:rPr>
        <w:t xml:space="preserve">Figure 3L</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Analyze | Measure</w:t>
      </w:r>
      <w:r>
        <w:rPr>
          <w:rFonts w:ascii="Calibri" w:hAnsi="Calibri" w:cs="Calibri" w:eastAsia="Calibri"/>
          <w:color w:val="000000"/>
          <w:spacing w:val="0"/>
          <w:position w:val="0"/>
          <w:sz w:val="24"/>
          <w:shd w:fill="FFFF00" w:val="clear"/>
        </w:rPr>
        <w:t xml:space="preserve"> or press the </w:t>
      </w:r>
      <w:r>
        <w:rPr>
          <w:rFonts w:ascii="Calibri" w:hAnsi="Calibri" w:cs="Calibri" w:eastAsia="Calibri"/>
          <w:b/>
          <w:color w:val="000000"/>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 key. A results window will pop up. Copy and paste the results on a datasheet (</w:t>
      </w:r>
      <w:r>
        <w:rPr>
          <w:rFonts w:ascii="Calibri" w:hAnsi="Calibri" w:cs="Calibri" w:eastAsia="Calibri"/>
          <w:b/>
          <w:color w:val="000000"/>
          <w:spacing w:val="0"/>
          <w:position w:val="0"/>
          <w:sz w:val="24"/>
          <w:shd w:fill="FFFF00" w:val="clear"/>
        </w:rPr>
        <w:t xml:space="preserve">Figure 3R</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 </w:t>
      </w:r>
      <w:r>
        <w:rPr>
          <w:rFonts w:ascii="Calibri" w:hAnsi="Calibri" w:cs="Calibri" w:eastAsia="Calibri"/>
          <w:color w:val="000000"/>
          <w:spacing w:val="0"/>
          <w:position w:val="0"/>
          <w:sz w:val="24"/>
          <w:shd w:fill="FFFF00" w:val="clear"/>
        </w:rPr>
        <w:t xml:space="preserve">To save the information regarding the arborization area, go to the ROI manager window, right-click the ROI, change the name to match the image’s name, specify for arborization, then save the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 Determine the soma area by averaging all soma areas for each animal.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can be presented as mean &amp;plusmn; SEM of all the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5.20. Determine arborization area by averaging all the arborization areas for each animal.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can be presented as mean &amp;plusmn; SEM of all the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Calculate the morphology index by using the formula soma area/arborization area for each microglial cell and average per animal.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data can be presented as mean &amp;plusmn; SEM of all the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the co-labeling of microglia using IBA1 and TMEM119 in a coronal section of the dorsal hippocampus imaged at 20x by fluorescence microscopy. A successful staining reveals microglial cell bodies and their fine processes (</w:t>
      </w:r>
      <w:r>
        <w:rPr>
          <w:rFonts w:ascii="Calibri" w:hAnsi="Calibri" w:cs="Calibri" w:eastAsia="Calibri"/>
          <w:b/>
          <w:color w:val="000000"/>
          <w:spacing w:val="0"/>
          <w:position w:val="0"/>
          <w:sz w:val="24"/>
          <w:shd w:fill="auto" w:val="clear"/>
        </w:rPr>
        <w:t xml:space="preserve">Figure 1A</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staining allows determination of microglial density and distribution and identification of microglial clusters (</w:t>
      </w:r>
      <w:r>
        <w:rPr>
          <w:rFonts w:ascii="Calibri" w:hAnsi="Calibri" w:cs="Calibri" w:eastAsia="Calibri"/>
          <w:b/>
          <w:color w:val="000000"/>
          <w:spacing w:val="0"/>
          <w:position w:val="0"/>
          <w:sz w:val="24"/>
          <w:shd w:fill="auto" w:val="clear"/>
        </w:rPr>
        <w:t xml:space="preserve">Figure 1I</w:t>
      </w:r>
      <w:r>
        <w:rPr>
          <w:rFonts w:ascii="Calibri" w:hAnsi="Calibri" w:cs="Calibri" w:eastAsia="Calibri"/>
          <w:color w:val="000000"/>
          <w:spacing w:val="0"/>
          <w:position w:val="0"/>
          <w:sz w:val="24"/>
          <w:shd w:fill="auto" w:val="clear"/>
        </w:rPr>
        <w:t xml:space="preserve">) and infiltrating macrophages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IBA1+/TMEM119+ microglia (</w:t>
      </w:r>
      <w:r>
        <w:rPr>
          <w:rFonts w:ascii="Calibri" w:hAnsi="Calibri" w:cs="Calibri" w:eastAsia="Calibri"/>
          <w:b/>
          <w:color w:val="000000"/>
          <w:spacing w:val="0"/>
          <w:position w:val="0"/>
          <w:sz w:val="24"/>
          <w:shd w:fill="auto" w:val="clear"/>
        </w:rPr>
        <w:t xml:space="preserve">Figure 2A</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 a stepwise example of the microglial arborization tracing procedure (</w:t>
      </w:r>
      <w:r>
        <w:rPr>
          <w:rFonts w:ascii="Calibri" w:hAnsi="Calibri" w:cs="Calibri" w:eastAsia="Calibri"/>
          <w:b/>
          <w:color w:val="000000"/>
          <w:spacing w:val="0"/>
          <w:position w:val="0"/>
          <w:sz w:val="24"/>
          <w:shd w:fill="auto" w:val="clear"/>
        </w:rPr>
        <w:t xml:space="preserve">Figure 2D</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as well as an example of cell body tracing (</w:t>
      </w:r>
      <w:r>
        <w:rPr>
          <w:rFonts w:ascii="Calibri" w:hAnsi="Calibri" w:cs="Calibri" w:eastAsia="Calibri"/>
          <w:b/>
          <w:color w:val="000000"/>
          <w:spacing w:val="0"/>
          <w:position w:val="0"/>
          <w:sz w:val="24"/>
          <w:shd w:fill="auto" w:val="clear"/>
        </w:rPr>
        <w:t xml:space="preserve">Figure 2I</w:t>
      </w:r>
      <w:r>
        <w:rPr>
          <w:rFonts w:ascii="Calibri" w:hAnsi="Calibri" w:cs="Calibri" w:eastAsia="Calibri"/>
          <w:color w:val="000000"/>
          <w:spacing w:val="0"/>
          <w:position w:val="0"/>
          <w:sz w:val="24"/>
          <w:shd w:fill="auto" w:val="clear"/>
        </w:rPr>
        <w:t xml:space="preserve">), both imaged at 40x by confocal microscopy.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IBA1 and TMEM119 double staining of mouse brain tissue for density, distribution, clustering, and peripheral myeloid cell infiltration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Typical microglial distribution in the hippocampus of a C57BL/6 adult mouse. (</w:t>
      </w:r>
      <w:r>
        <w:rPr>
          <w:rFonts w:ascii="Calibri" w:hAnsi="Calibri" w:cs="Calibri" w:eastAsia="Calibri"/>
          <w:b/>
          <w:color w:val="000000"/>
          <w:spacing w:val="0"/>
          <w:position w:val="0"/>
          <w:sz w:val="24"/>
          <w:shd w:fill="auto" w:val="clear"/>
        </w:rPr>
        <w:t xml:space="preserve">D</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Microglia identified as IBA1+/TMEM119+ and infiltrating macrophage identified as IBA1+/TMEM119 (white arrow) in the amygdala of a male mouse. (</w:t>
      </w:r>
      <w:r>
        <w:rPr>
          <w:rFonts w:ascii="Calibri" w:hAnsi="Calibri" w:cs="Calibri" w:eastAsia="Calibri"/>
          <w:b/>
          <w:color w:val="000000"/>
          <w:spacing w:val="0"/>
          <w:position w:val="0"/>
          <w:sz w:val="24"/>
          <w:shd w:fill="auto" w:val="clear"/>
        </w:rPr>
        <w:t xml:space="preserve">G</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Cluster of two microglia (white square) in the hippocampus of a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IBA1 and TMEM119 staining for microglial morphology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Microglia. (</w:t>
      </w:r>
      <w:r>
        <w:rPr>
          <w:rFonts w:ascii="Calibri" w:hAnsi="Calibri" w:cs="Calibri" w:eastAsia="Calibri"/>
          <w:b/>
          <w:color w:val="000000"/>
          <w:spacing w:val="0"/>
          <w:position w:val="0"/>
          <w:sz w:val="24"/>
          <w:shd w:fill="auto" w:val="clear"/>
        </w:rPr>
        <w:t xml:space="preserve">D</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Step-by-step example of arborization tracing with the IBA1 channel using the polygon tool in FIJI/ImageJ.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Example of microglia soma tracing with the IBA1 channel using the freehand selection tool in FIJI/ImageJ.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FIJI/ImageJ interface and tools for microglial density, distribution, clustering, morphology, and peripheral myeloid cell infiltration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Compilation of all tools, menus, and windows used for the density, cluster, and morphology analyses.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Solutions used for immunostaining.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can be divided in two critical parts: quality of the staining and analysis. If the staining is not optimal, it will fail to represent microglial cells adequately, thus affecting the density, distribution, and morphology measurements. In addition, the proportion of infiltration peripheral myeloid cells may be underestimated. This is an optimized version of the staining protocol, but there are several factors that may result in suboptimal images. Even though the perfusion of the animal is not included in this protocol, if brain fixation is not well-executed, the quality of the staining will be compromised. Additionally, sufficient perfusion is required to ensure the absence of macrophages inside of blood vessels that may interfere with the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regards to immunostaining, the most critical details include the quality of buffers, blocking step, proper storage of antibodies, and brain sample handling. The proper preparation of buffers and their storage has a direct influence on quality of the staining. Unless specified, some buffers can be stored for long periods, but the use of any buffer that shows signs of contamination should be avoided. If buffers are prepared days or weeks in advance, the pH of every solution before use should be verified.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regarding immunostaining, the presence of background staining remains one of the most common problems. Background staining makes it difficult to analyze microglia, especially their morphology, and hence will bias the results. To prevent background, it is important that the blocking step is done correctly. The storing conditions of the antibodies also have direct effects on their efficacy. It is advised to strictly follow the storage guidelines provided by the company as well as avoid frequent thawing-freezing cycles. Finally, during the whole process, it is critical to pay attention to the physical integrity of the brain sections. It is important to use caution during each manipulation (buffer changes, washes, and mounting), especially if the experimenter is not experienced with this procedure. It is advised to avoid leaving the samples without any liquid solution when changing solutions or buffers, solutions for the subsequent step should be ready to pour into the well beforehand. The multi-well plate should be correctly sealed with paraffin film during the overnight step to avoid evaporation that may lead the samples to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 analysis of microglial density, distribution, and morphology has several advantages over qualitative reports. To prevent bias, the researcher performing the analysis should be blinded to the experimental condition. Thus, it is suggested to have different people perform the analysis and change the name of the files (while keeping the original and new names in a key sheet). The new names should have no hints of the experimental condition. The entire analysis can be done on these blinded files, and the original image identity is revealed only after the compilation of data and prior to statistical analysis. Although blinding is already practiced by experienced researchers, it remains valuable advice for those performing this type of analysis for the first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Controlling for the brain region is done during brain section selection and tracing of the ROI during analysis. Make sure to use sections from the same range of Bregma levels across animals. The same ROI should be used for the density, distribution, and morphology analyses. For density and distribution analyses, it is particularly important to be precise when drawing the ROI in FIJI/Image J. The use of a brain atlas is strongly recommended for both section selection and ROI tracing. The use of DAPI also facilitates the identification of neuroanatomical landmarks. To avoid variance, it is recommended to reject microglia that are only partially located in the ROI, as they may differ among their microenvironment. When marking microglia for density analysis, the DAPI channel can be used as a selection criterion. By only counting microglia that contain DAPI-stained nuclei, all considered microglia are in the same plane, reducing the personal bias during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measurements for the NND, spacing index, and cluster analysis are based on the locations of dots marking individual cells, and since the distances are calculated by FIJI/ImageJ, it is important to be consistent when placing these dots. Make sure to strictly place the dots in the center of the cell body, which is determined visually. Additionally, the size of the dots should remain consistent throughout the analysis. This will contribute to a better representation of the spatial distribution of the microglial population. For cluster analysis, 12 &amp;#181;m was selected as a distance threshold based on our previous analyses. Nevertheless, if there are four or more different cells with an NND below 12 &amp;#181;m, all these cells could take part of a single cluster or represent two clusters of two cells. This made it necessary to return to the images and confirm the actual number of clusters.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Unlike density and distribution, in which the ROI is determined by neuroanatomical features using a brain atlas, the selection of microglial cells for morphology analysis is based on the ability to analyze the cell. All the cells that can be analyzed should be selected for analysis in a Z-stack before moving to another Z-stack to prevent selection bias. Reasons for excluding cells include issues with the immunostaining or tissue cutting, processing (e.g., tearing), or mounting (e.g., bubble formation). Ideally, brain sections with such issues should be systematically excluded from imaging and analysis. It is also important to note that the staining for TMEM119 and IBA1 does not show 100% overlap (</w:t>
      </w:r>
      <w:r>
        <w:rPr>
          <w:rFonts w:ascii="Calibri" w:hAnsi="Calibri" w:cs="Calibri" w:eastAsia="Calibri"/>
          <w:b/>
          <w:color w:val="000000"/>
          <w:spacing w:val="0"/>
          <w:position w:val="0"/>
          <w:sz w:val="24"/>
          <w:shd w:fill="auto" w:val="clear"/>
        </w:rPr>
        <w:t xml:space="preserve">Figure 2A</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Because TMEM119 does not allow visualization of process continuity (as well as IBA1), this makes it difficult to assess where one cell ends and where another one starts. Thus, the morphology analysis is done using the IBA1 channel. Additionally, all traces and dots should be saved and visualized for future revision, allowing for increasing transparency and reproducibility of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valuable information regarding microglia and infiltrating macrophages. Examples of its applications include detecting signs of neuroinflammation through changes in microglia in different brain regions, studying the anti-inflammatory effects of a compound, and studying factors that interfere with the proper function of microglia. Considering that this protocol allows detection of infiltrating macrophages in the brain and differentiation of these cells from microglia, additional applications include: determination if the recruitment of macrophages occurs in a particular insult or with the use of other techniques (i.e., genetic tools), and confirming and studying the consequences of the absence of peripheral macrophages in the brain during insult. Keep in mind that fluorescence microscopy on its own is not sufficient to confirm infiltration inside the brain parenchyma. When IBA1+/TMEM119- cells are observed near the ventricles or perivascular space, higher spatial resolution techniques such as electron microscopy are required to confirm their localization within the parenchyma. While changes in density, distribution, and morphology are good indicators of microglial and macrophage roles, this approach is most powerful when combined with functional investigations.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 are grateful to Nathalie Vernoux for her guidance and assistance with the experiments. We would also like to thank Drs. Emmanuel Planel and Serge Rivest for the use of their fluorescence and confocal microscopes, respectively. This work was partly funded by scholarships from Mexican Council of Science and Technology (CONACYT; to F.G.I), Fondation Famille-Choquette and Centre th&amp;#233;matique de recherche en neurosciences (CTRN; to K.P.), Fonds de Recherche du Qu&amp;#233;bec - Sant&amp;#233; (to M.B.), and Shastri Indo-Canadian Institute (to K.B.), as well as a Discovery grant from Natural Sciences and Engineering Research Council of Canada (NSERC) to M.E.T. M.E.T. holds a Canada Research Chair (Tier II) of Neuroimmune Plasticity in Health and Therapy.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Lawson, L. J., Perry, V. H., Dri, P., Gordon, S. Heterogeneity in the distribution and morphology of microglia in the normal adult mouse brain.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 doi: 10.1016/0306-4522(90)90229-W (1990).</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Milior, G. et al. Fractalkine receptor deficiency impairs microglial and neuronal responsiveness to chronic stress. </w:t>
      </w:r>
      <w:r>
        <w:rPr>
          <w:rFonts w:ascii="Calibri" w:hAnsi="Calibri" w:cs="Calibri" w:eastAsia="Calibri"/>
          <w:i/>
          <w:color w:val="000000"/>
          <w:spacing w:val="0"/>
          <w:position w:val="0"/>
          <w:sz w:val="24"/>
          <w:shd w:fill="auto" w:val="clear"/>
        </w:rPr>
        <w:t xml:space="preserve">Brain, Behavior,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doi: 10.1016/j.bbi.2015.07.024 (2016).</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Nimmerjahn, A., Kirchhoff, F., Helmchen, F. Resting Microglial Cells Are Highly Dynamic Surveillants of Brain Parenchyma in Vivo.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308</w:t>
      </w:r>
      <w:r>
        <w:rPr>
          <w:rFonts w:ascii="Calibri" w:hAnsi="Calibri" w:cs="Calibri" w:eastAsia="Calibri"/>
          <w:color w:val="000000"/>
          <w:spacing w:val="0"/>
          <w:position w:val="0"/>
          <w:sz w:val="24"/>
          <w:shd w:fill="auto" w:val="clear"/>
        </w:rPr>
        <w:t xml:space="preserve"> (5726), 1314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1318, doi: 10.1126/science.1110647 (2005).</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Hickman, S., Izzy, S., Sen, P., Morsett, L., Khoury, J. E. Microglia in neurodegeneration.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(10), 1359, doi: 10.1038/s41593-018-0242-x (2018).</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Tay, T. L., Savage, J. C., Hui, C. W., Bisht, K., Tremblay, M. -È. Microglia across the lifespan: from origin to function in brain development, plasticity and cognition. </w:t>
      </w:r>
      <w:r>
        <w:rPr>
          <w:rFonts w:ascii="Calibri" w:hAnsi="Calibri" w:cs="Calibri" w:eastAsia="Calibri"/>
          <w:i/>
          <w:color w:val="000000"/>
          <w:spacing w:val="0"/>
          <w:position w:val="0"/>
          <w:sz w:val="24"/>
          <w:shd w:fill="auto" w:val="clear"/>
        </w:rPr>
        <w:t xml:space="preserve">The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595</w:t>
      </w:r>
      <w:r>
        <w:rPr>
          <w:rFonts w:ascii="Calibri" w:hAnsi="Calibri" w:cs="Calibri" w:eastAsia="Calibri"/>
          <w:color w:val="000000"/>
          <w:spacing w:val="0"/>
          <w:position w:val="0"/>
          <w:sz w:val="24"/>
          <w:shd w:fill="auto" w:val="clear"/>
        </w:rPr>
        <w:t xml:space="preserve"> (6), 1929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1945, doi: 10.1113/JP272134 (2017).</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Tremblay, M. -È., Lowery, R. L., Majewska, A. K. Microglial Interactions with Synapses Are Modulated by Visual Experience.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 doi: 10.1371/journal.pbio.1000527 (2010).</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Jakovljevic, M. et al. Induction of NTPDase1/CD39 by Reactive Microglia and Macrophages Is Associated With the Functional State During EAE.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doi: 10.3389/fnins.2019.00410 (2019).</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Taylor, A. M. W. et al. Microglia Disrupt Mesolimbic Reward Circuitry in Chronic Pain.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(22), 8442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8450, doi: 10.1523/JNEUROSCI.4036-14.2015 (2015).</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Poliani, P. L. et al. TREM2 sustains microglial expansion during aging and response to demyelination.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(5), 2161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2170, doi: 10.1172/JCI77983 (2015).</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Lu, S. -M. et al. HIV-1 Tat-Induced Microgliosis and Synaptic Damage via Interactions between Peripheral and Central Myeloid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 e23915, doi: 10.1371/journal.pone.0023915 (2011).</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Rodr&amp;#237;guez, J. J. et al. Increased densities of resting and activated microglia in the dentate gyrus follow senile plaque formation in the CA1 subfield of the hippocampus in the triple transgenic model of Alzheimer’s disease.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552</w:t>
      </w:r>
      <w:r>
        <w:rPr>
          <w:rFonts w:ascii="Calibri" w:hAnsi="Calibri" w:cs="Calibri" w:eastAsia="Calibri"/>
          <w:color w:val="000000"/>
          <w:spacing w:val="0"/>
          <w:position w:val="0"/>
          <w:sz w:val="24"/>
          <w:shd w:fill="auto" w:val="clear"/>
        </w:rPr>
        <w:t xml:space="preserve">,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 doi: 10.1016/j.neulet.2013.06.036 (2013).</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Rasmussen, S. et al. Persistent activation of microglia is associated with neuronal dysfunction of callosal projecting pathways and multiple sclerosis-like lesions in relapsing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remitting experimental autoimmune encephalomyelitis.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(11), 2816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2829, doi: 10.1093/brain/awm219 (2007).</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Walker, F. R. et al. Dynamic structural remodelling of microglia in health and disease: a review of the models, the signals and the mechanisms. </w:t>
      </w:r>
      <w:r>
        <w:rPr>
          <w:rFonts w:ascii="Calibri" w:hAnsi="Calibri" w:cs="Calibri" w:eastAsia="Calibri"/>
          <w:i/>
          <w:color w:val="000000"/>
          <w:spacing w:val="0"/>
          <w:position w:val="0"/>
          <w:sz w:val="24"/>
          <w:shd w:fill="auto" w:val="clear"/>
        </w:rPr>
        <w:t xml:space="preserve">Brain, Behavior,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doi: 10.1016/j.bbi.2013.12.010 (2014).</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Ohsawa, K., Imai, Y., Kanazawa, H., Sasaki, Y., Kohsaka, S. Involvement of Iba1 in membrane ruffling and phagocytosis of macrophages/microglia.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(17), 3073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3084 (2000).</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Yamasaki, R. et al. Differential roles of microglia and monocytes in the inflamed central nervous system.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(8), 1533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1549, doi: 10.1084/jem.20132477 (2014).</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Wohleb, E. S. et al. Peripheral innate immune challenge exaggerated microglia activation, increased the number of inflammatory CNS macrophages, and prolonged social withdrawal in socially defeated mice.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(9), 1491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1505, doi: 10.1016/j.psyneuen.2012.02.003 (2012).</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Shemer, A. et al. Engrafted parenchymal brain macrophages differ from microglia in transcriptome, chromatin landscape and response to challenge.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doi: 10.1038/s41467-018-07548-5 (2018).</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Geissmann, F. et al. Development of monocytes, macrophages and dendritic cells.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327</w:t>
      </w:r>
      <w:r>
        <w:rPr>
          <w:rFonts w:ascii="Calibri" w:hAnsi="Calibri" w:cs="Calibri" w:eastAsia="Calibri"/>
          <w:color w:val="000000"/>
          <w:spacing w:val="0"/>
          <w:position w:val="0"/>
          <w:sz w:val="24"/>
          <w:shd w:fill="auto" w:val="clear"/>
        </w:rPr>
        <w:t xml:space="preserve"> (5966), 656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661, doi: 10.1126/science.1178331 (2010).</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Minogue, A. M. Role of infiltrating monocytes/macrophages in acute and chronic neuroinflammation: Effects on cognition, learning and affective behaviour. </w:t>
      </w:r>
      <w:r>
        <w:rPr>
          <w:rFonts w:ascii="Calibri" w:hAnsi="Calibri" w:cs="Calibri" w:eastAsia="Calibri"/>
          <w:i/>
          <w:color w:val="000000"/>
          <w:spacing w:val="0"/>
          <w:position w:val="0"/>
          <w:sz w:val="24"/>
          <w:shd w:fill="auto" w:val="clear"/>
        </w:rPr>
        <w:t xml:space="preserve">Progress in Neuro-Psychopharmacology and 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doi: 10.1016/j.pnpbp.2017.02.008 (2017).</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Ginhoux, F. et al. Fate Mapping Analysis Reveals That Adult Microglia Derive from Primitive Macrophages.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330</w:t>
      </w:r>
      <w:r>
        <w:rPr>
          <w:rFonts w:ascii="Calibri" w:hAnsi="Calibri" w:cs="Calibri" w:eastAsia="Calibri"/>
          <w:color w:val="000000"/>
          <w:spacing w:val="0"/>
          <w:position w:val="0"/>
          <w:sz w:val="24"/>
          <w:shd w:fill="auto" w:val="clear"/>
        </w:rPr>
        <w:t xml:space="preserve"> (6005), 841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845, doi: 10.1126/science.1194637 (2010).</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Kierdorf, K. et al. Microglia emerge from erythromyeloid precursors via Pu.1- and Irf8-dependent pathways.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273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 doi: 10.1038/nn.3318 (2013).</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Bennett, M. L. et al. New tools for studying microglia in the mouse and human CNS.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(12), E1738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E1746, doi: 10.1073/pnas.1525528113 (2016).</w:t>
      </w:r>
    </w:p>
    <w:p>
      <w:pPr>
        <w:tabs>
          <w:tab w:val="left" w:pos="3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Mizutani, M. et al. The fractalkine receptor but not CCR2 is present on microglia from embryonic development throughout adulthood.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w:t>
      </w:r>
      <w:r>
        <w:rPr>
          <w:rFonts w:ascii="Calibri" w:hAnsi="Calibri" w:cs="Calibri" w:eastAsia="Calibri"/>
          <w:color w:val="000000"/>
          <w:spacing w:val="0"/>
          <w:position w:val="0"/>
          <w:sz w:val="24"/>
          <w:shd w:fill="auto" w:val="clear"/>
        </w:rPr>
        <w:t xml:space="preserve"> (1),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doi: 10.4049/jimmunol.1100421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