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303" w:rsidRDefault="00E01303" w:rsidP="00E01303">
      <w:pPr>
        <w:spacing w:line="240" w:lineRule="auto"/>
        <w:jc w:val="center"/>
        <w:rPr>
          <w:b/>
          <w:sz w:val="24"/>
          <w:szCs w:val="24"/>
          <w:shd w:val="clear" w:color="auto" w:fill="FFFFFF"/>
          <w:lang w:val="en-US"/>
        </w:rPr>
      </w:pPr>
      <w:r>
        <w:rPr>
          <w:b/>
          <w:sz w:val="24"/>
          <w:szCs w:val="24"/>
          <w:shd w:val="clear" w:color="auto" w:fill="FFFFFF"/>
          <w:lang w:val="en-US"/>
        </w:rPr>
        <w:t>FIGURE LEGENDS</w:t>
      </w:r>
    </w:p>
    <w:p w:rsidR="007208A0" w:rsidRPr="00EE5052" w:rsidRDefault="006D6A70" w:rsidP="00FA04F5">
      <w:pPr>
        <w:spacing w:line="240" w:lineRule="auto"/>
        <w:jc w:val="both"/>
        <w:rPr>
          <w:sz w:val="24"/>
          <w:szCs w:val="24"/>
          <w:lang w:val="en-US"/>
        </w:rPr>
      </w:pPr>
      <w:r w:rsidRPr="00EE5052">
        <w:rPr>
          <w:b/>
          <w:sz w:val="24"/>
          <w:szCs w:val="24"/>
          <w:shd w:val="clear" w:color="auto" w:fill="FFFFFF"/>
          <w:lang w:val="en-US"/>
        </w:rPr>
        <w:t>Figure 1.</w:t>
      </w:r>
      <w:r w:rsidRPr="00EE5052">
        <w:rPr>
          <w:sz w:val="24"/>
          <w:szCs w:val="24"/>
          <w:shd w:val="clear" w:color="auto" w:fill="FFFFFF"/>
          <w:lang w:val="en-US"/>
        </w:rPr>
        <w:t xml:space="preserve"> </w:t>
      </w:r>
      <w:r w:rsidRPr="00EE5052">
        <w:rPr>
          <w:b/>
          <w:sz w:val="24"/>
          <w:szCs w:val="24"/>
          <w:lang w:val="en-US"/>
        </w:rPr>
        <w:t xml:space="preserve">Coronary Angiography and Blood Collection. </w:t>
      </w:r>
      <w:r w:rsidR="00333BD1" w:rsidRPr="00EE5052">
        <w:rPr>
          <w:sz w:val="24"/>
          <w:szCs w:val="24"/>
          <w:lang w:val="en-US"/>
        </w:rPr>
        <w:t>The collage shows</w:t>
      </w:r>
      <w:r w:rsidR="00333BD1" w:rsidRPr="00EE5052">
        <w:rPr>
          <w:b/>
          <w:sz w:val="24"/>
          <w:szCs w:val="24"/>
          <w:lang w:val="en-US"/>
        </w:rPr>
        <w:t xml:space="preserve"> </w:t>
      </w:r>
      <w:r w:rsidRPr="00EE5052">
        <w:rPr>
          <w:sz w:val="24"/>
          <w:szCs w:val="24"/>
          <w:shd w:val="clear" w:color="auto" w:fill="FFFFFF"/>
          <w:lang w:val="en-US"/>
        </w:rPr>
        <w:t>heart catheterization using radial approach</w:t>
      </w:r>
      <w:r w:rsidR="00333BD1" w:rsidRPr="00EE5052">
        <w:rPr>
          <w:sz w:val="24"/>
          <w:szCs w:val="24"/>
          <w:shd w:val="clear" w:color="auto" w:fill="FFFFFF"/>
          <w:lang w:val="en-US"/>
        </w:rPr>
        <w:t>, performed</w:t>
      </w:r>
      <w:r w:rsidRPr="00EE5052">
        <w:rPr>
          <w:sz w:val="24"/>
          <w:szCs w:val="24"/>
          <w:shd w:val="clear" w:color="auto" w:fill="FFFFFF"/>
          <w:lang w:val="en-US"/>
        </w:rPr>
        <w:t xml:space="preserve"> </w:t>
      </w:r>
      <w:r w:rsidRPr="00EE5052">
        <w:rPr>
          <w:sz w:val="24"/>
          <w:szCs w:val="24"/>
          <w:lang w:val="en-US"/>
        </w:rPr>
        <w:t>under fluoroscopy guide in the hemodynamics room</w:t>
      </w:r>
      <w:r w:rsidR="00333BD1" w:rsidRPr="00EE5052">
        <w:rPr>
          <w:sz w:val="24"/>
          <w:szCs w:val="24"/>
          <w:lang w:val="en-US"/>
        </w:rPr>
        <w:t xml:space="preserve">. Then, cardiology </w:t>
      </w:r>
      <w:r w:rsidRPr="00EE5052">
        <w:rPr>
          <w:sz w:val="24"/>
          <w:szCs w:val="24"/>
          <w:lang w:val="en-US"/>
        </w:rPr>
        <w:t>experts</w:t>
      </w:r>
      <w:r w:rsidR="00333BD1" w:rsidRPr="00EE5052">
        <w:rPr>
          <w:sz w:val="24"/>
          <w:szCs w:val="24"/>
          <w:lang w:val="en-US"/>
        </w:rPr>
        <w:t xml:space="preserve"> evaluate coronary </w:t>
      </w:r>
      <w:r w:rsidRPr="00EE5052">
        <w:rPr>
          <w:sz w:val="24"/>
          <w:szCs w:val="24"/>
          <w:lang w:val="en-US"/>
        </w:rPr>
        <w:t xml:space="preserve">vessels during </w:t>
      </w:r>
      <w:r w:rsidR="00333BD1" w:rsidRPr="00EE5052">
        <w:rPr>
          <w:sz w:val="24"/>
          <w:szCs w:val="24"/>
          <w:lang w:val="en-US"/>
        </w:rPr>
        <w:t xml:space="preserve">angiography, and </w:t>
      </w:r>
      <w:r w:rsidR="00913CBB" w:rsidRPr="00EE5052">
        <w:rPr>
          <w:sz w:val="24"/>
          <w:szCs w:val="24"/>
          <w:lang w:val="en-US"/>
        </w:rPr>
        <w:t>c</w:t>
      </w:r>
      <w:r w:rsidR="00333BD1" w:rsidRPr="00EE5052">
        <w:rPr>
          <w:sz w:val="24"/>
          <w:szCs w:val="24"/>
          <w:lang w:val="en-US"/>
        </w:rPr>
        <w:t xml:space="preserve">ollect coronary </w:t>
      </w:r>
      <w:r w:rsidR="00913CBB" w:rsidRPr="00EE5052">
        <w:rPr>
          <w:sz w:val="24"/>
          <w:szCs w:val="24"/>
          <w:lang w:val="en-US"/>
        </w:rPr>
        <w:t>blood from the closest location to the atheroma plaque and/or sinus blo</w:t>
      </w:r>
      <w:r w:rsidR="000F76BA" w:rsidRPr="00EE5052">
        <w:rPr>
          <w:sz w:val="24"/>
          <w:szCs w:val="24"/>
          <w:lang w:val="en-US"/>
        </w:rPr>
        <w:t>od through heart catheter, just before balloon angioplasty</w:t>
      </w:r>
      <w:r w:rsidR="00333BD1" w:rsidRPr="00EE5052">
        <w:rPr>
          <w:sz w:val="24"/>
          <w:szCs w:val="24"/>
          <w:lang w:val="en-US"/>
        </w:rPr>
        <w:t xml:space="preserve">. </w:t>
      </w:r>
    </w:p>
    <w:p w:rsidR="0080362E" w:rsidRPr="00EE5052" w:rsidRDefault="007208A0" w:rsidP="000F76BA">
      <w:pPr>
        <w:spacing w:line="240" w:lineRule="auto"/>
        <w:jc w:val="both"/>
        <w:rPr>
          <w:sz w:val="24"/>
          <w:szCs w:val="24"/>
          <w:lang w:val="en-US"/>
        </w:rPr>
      </w:pPr>
      <w:r w:rsidRPr="00EE5052">
        <w:rPr>
          <w:b/>
          <w:sz w:val="24"/>
          <w:szCs w:val="24"/>
          <w:lang w:val="en-US"/>
        </w:rPr>
        <w:t>Figure 2</w:t>
      </w:r>
      <w:r w:rsidR="00C605C9" w:rsidRPr="00EE5052">
        <w:rPr>
          <w:b/>
          <w:sz w:val="24"/>
          <w:szCs w:val="24"/>
          <w:lang w:val="en-US"/>
        </w:rPr>
        <w:t xml:space="preserve">. </w:t>
      </w:r>
      <w:r w:rsidRPr="00EE5052">
        <w:rPr>
          <w:b/>
          <w:sz w:val="24"/>
          <w:szCs w:val="24"/>
          <w:lang w:val="en-US"/>
        </w:rPr>
        <w:t>Blood Sample Preparation and MPCs Determination by Flow Cytometry</w:t>
      </w:r>
      <w:r w:rsidR="00C605C9" w:rsidRPr="00EE5052">
        <w:rPr>
          <w:b/>
          <w:sz w:val="24"/>
          <w:szCs w:val="24"/>
          <w:lang w:val="en-US"/>
        </w:rPr>
        <w:t>.</w:t>
      </w:r>
      <w:r w:rsidR="00C605C9" w:rsidRPr="00EE5052">
        <w:rPr>
          <w:sz w:val="24"/>
          <w:szCs w:val="24"/>
          <w:lang w:val="en-US"/>
        </w:rPr>
        <w:t xml:space="preserve"> </w:t>
      </w:r>
      <w:r w:rsidRPr="00EE5052">
        <w:rPr>
          <w:sz w:val="24"/>
          <w:szCs w:val="24"/>
          <w:lang w:val="en-US"/>
        </w:rPr>
        <w:t xml:space="preserve">A. </w:t>
      </w:r>
      <w:r w:rsidR="00D14DAD">
        <w:rPr>
          <w:sz w:val="24"/>
          <w:szCs w:val="24"/>
          <w:lang w:val="en-US"/>
        </w:rPr>
        <w:t>D</w:t>
      </w:r>
      <w:bookmarkStart w:id="0" w:name="_GoBack"/>
      <w:bookmarkEnd w:id="0"/>
      <w:r w:rsidRPr="00EE5052">
        <w:rPr>
          <w:sz w:val="24"/>
          <w:szCs w:val="24"/>
          <w:lang w:val="en-US"/>
        </w:rPr>
        <w:t xml:space="preserve">ensity gradient after blood centrifugation (blue arrow indicates Lymphocyte ring). </w:t>
      </w:r>
      <w:r w:rsidR="00C605C9" w:rsidRPr="00EE5052">
        <w:rPr>
          <w:sz w:val="24"/>
          <w:szCs w:val="24"/>
          <w:lang w:val="en-US"/>
        </w:rPr>
        <w:t>B. Collection of</w:t>
      </w:r>
      <w:r w:rsidR="000F76BA" w:rsidRPr="00EE5052">
        <w:rPr>
          <w:sz w:val="24"/>
          <w:szCs w:val="24"/>
          <w:lang w:val="en-US"/>
        </w:rPr>
        <w:t xml:space="preserve"> the lymphocyte phase. C. W</w:t>
      </w:r>
      <w:r w:rsidRPr="00EE5052">
        <w:rPr>
          <w:sz w:val="24"/>
          <w:szCs w:val="24"/>
          <w:lang w:val="en-US"/>
        </w:rPr>
        <w:t>ashes</w:t>
      </w:r>
      <w:r w:rsidR="00C605C9" w:rsidRPr="00EE5052">
        <w:rPr>
          <w:sz w:val="24"/>
          <w:szCs w:val="24"/>
          <w:lang w:val="en-US"/>
        </w:rPr>
        <w:t xml:space="preserve"> w</w:t>
      </w:r>
      <w:r w:rsidR="00F9514A" w:rsidRPr="00EE5052">
        <w:rPr>
          <w:sz w:val="24"/>
          <w:szCs w:val="24"/>
          <w:lang w:val="en-US"/>
        </w:rPr>
        <w:t xml:space="preserve">ith 1X PBS. D. </w:t>
      </w:r>
      <w:r w:rsidR="000F76BA" w:rsidRPr="00EE5052">
        <w:rPr>
          <w:sz w:val="24"/>
          <w:szCs w:val="24"/>
          <w:lang w:val="en-US"/>
        </w:rPr>
        <w:t>C</w:t>
      </w:r>
      <w:r w:rsidR="00F9514A" w:rsidRPr="00EE5052">
        <w:rPr>
          <w:sz w:val="24"/>
          <w:szCs w:val="24"/>
          <w:lang w:val="en-US"/>
        </w:rPr>
        <w:t>entrifugation</w:t>
      </w:r>
      <w:r w:rsidR="00C605C9" w:rsidRPr="00EE5052">
        <w:rPr>
          <w:sz w:val="24"/>
          <w:szCs w:val="24"/>
          <w:lang w:val="en-US"/>
        </w:rPr>
        <w:t>. E. Pellet formation at the bottom of the</w:t>
      </w:r>
      <w:r w:rsidR="00F9514A" w:rsidRPr="00EE5052">
        <w:rPr>
          <w:sz w:val="24"/>
          <w:szCs w:val="24"/>
          <w:lang w:val="en-US"/>
        </w:rPr>
        <w:t xml:space="preserve"> test </w:t>
      </w:r>
      <w:r w:rsidR="00C605C9" w:rsidRPr="00EE5052">
        <w:rPr>
          <w:sz w:val="24"/>
          <w:szCs w:val="24"/>
          <w:lang w:val="en-US"/>
        </w:rPr>
        <w:t xml:space="preserve">tube. F. </w:t>
      </w:r>
      <w:r w:rsidR="00F9514A" w:rsidRPr="00EE5052">
        <w:rPr>
          <w:sz w:val="24"/>
          <w:szCs w:val="24"/>
          <w:lang w:val="en-US"/>
        </w:rPr>
        <w:t xml:space="preserve">Neubauer cell suspension load </w:t>
      </w:r>
      <w:r w:rsidR="00C605C9" w:rsidRPr="00EE5052">
        <w:rPr>
          <w:sz w:val="24"/>
          <w:szCs w:val="24"/>
          <w:lang w:val="en-US"/>
        </w:rPr>
        <w:t>G. Lymphocyte cell count</w:t>
      </w:r>
      <w:r w:rsidR="00F9514A" w:rsidRPr="00EE5052">
        <w:rPr>
          <w:sz w:val="24"/>
          <w:szCs w:val="24"/>
          <w:lang w:val="en-US"/>
        </w:rPr>
        <w:t xml:space="preserve"> at light microscopy</w:t>
      </w:r>
      <w:r w:rsidR="00C605C9" w:rsidRPr="00EE5052">
        <w:rPr>
          <w:sz w:val="24"/>
          <w:szCs w:val="24"/>
          <w:lang w:val="en-US"/>
        </w:rPr>
        <w:t xml:space="preserve">. H. Determination of cell </w:t>
      </w:r>
      <w:r w:rsidR="00F9514A" w:rsidRPr="00EE5052">
        <w:rPr>
          <w:sz w:val="24"/>
          <w:szCs w:val="24"/>
          <w:lang w:val="en-US"/>
        </w:rPr>
        <w:t>sub</w:t>
      </w:r>
      <w:r w:rsidR="00C605C9" w:rsidRPr="00EE5052">
        <w:rPr>
          <w:sz w:val="24"/>
          <w:szCs w:val="24"/>
          <w:lang w:val="en-US"/>
        </w:rPr>
        <w:t>populations by flow cytometry.</w:t>
      </w:r>
    </w:p>
    <w:p w:rsidR="000F76BA" w:rsidRPr="00E01303" w:rsidRDefault="00077850" w:rsidP="008E3C9D">
      <w:pPr>
        <w:spacing w:line="240" w:lineRule="auto"/>
        <w:jc w:val="both"/>
        <w:rPr>
          <w:b/>
          <w:sz w:val="24"/>
          <w:shd w:val="clear" w:color="auto" w:fill="FFFFFF"/>
          <w:lang w:val="en-US"/>
        </w:rPr>
      </w:pPr>
      <w:r w:rsidRPr="00EE5052">
        <w:rPr>
          <w:b/>
          <w:sz w:val="24"/>
          <w:szCs w:val="24"/>
          <w:lang w:val="en-US"/>
        </w:rPr>
        <w:t>Figure 3. Immunoassays to Determine Blood Soluble Mediators.</w:t>
      </w:r>
      <w:r w:rsidRPr="00EE5052">
        <w:rPr>
          <w:sz w:val="24"/>
          <w:szCs w:val="24"/>
          <w:lang w:val="en-US"/>
        </w:rPr>
        <w:t xml:space="preserve"> </w:t>
      </w:r>
      <w:r w:rsidR="00AB0FF9" w:rsidRPr="00EE5052">
        <w:rPr>
          <w:sz w:val="24"/>
          <w:szCs w:val="24"/>
          <w:lang w:val="en-US"/>
        </w:rPr>
        <w:t>Upper row</w:t>
      </w:r>
      <w:r w:rsidR="00DB72F8" w:rsidRPr="00EE5052">
        <w:rPr>
          <w:sz w:val="24"/>
          <w:szCs w:val="24"/>
          <w:lang w:val="en-US"/>
        </w:rPr>
        <w:t xml:space="preserve">. </w:t>
      </w:r>
      <w:r w:rsidR="00DB72F8" w:rsidRPr="00E01303">
        <w:rPr>
          <w:sz w:val="24"/>
          <w:szCs w:val="24"/>
          <w:lang w:val="en-US"/>
        </w:rPr>
        <w:t>E</w:t>
      </w:r>
      <w:r w:rsidR="00DB72F8" w:rsidRPr="00E01303">
        <w:rPr>
          <w:rFonts w:cs="Arial"/>
          <w:sz w:val="24"/>
          <w:szCs w:val="24"/>
          <w:shd w:val="clear" w:color="auto" w:fill="FFFFFF"/>
          <w:lang w:val="en-US"/>
        </w:rPr>
        <w:t>nzyme-linked Immunosorbent </w:t>
      </w:r>
      <w:r w:rsidR="00DB72F8" w:rsidRPr="00E01303">
        <w:rPr>
          <w:rStyle w:val="nfasis"/>
          <w:rFonts w:cs="Arial"/>
          <w:i w:val="0"/>
          <w:sz w:val="24"/>
          <w:szCs w:val="24"/>
          <w:shd w:val="clear" w:color="auto" w:fill="FFFFFF"/>
          <w:lang w:val="en-US"/>
        </w:rPr>
        <w:t>Assay (ELISA).</w:t>
      </w:r>
      <w:r w:rsidR="00DB72F8" w:rsidRPr="00E01303">
        <w:rPr>
          <w:rStyle w:val="nfasis"/>
          <w:rFonts w:cs="Arial"/>
          <w:sz w:val="24"/>
          <w:szCs w:val="24"/>
          <w:shd w:val="clear" w:color="auto" w:fill="FFFFFF"/>
          <w:lang w:val="en-US"/>
        </w:rPr>
        <w:t xml:space="preserve"> </w:t>
      </w:r>
      <w:r w:rsidR="00DB72F8" w:rsidRPr="00EE5052">
        <w:rPr>
          <w:sz w:val="24"/>
          <w:szCs w:val="24"/>
          <w:lang w:val="en-US"/>
        </w:rPr>
        <w:t>After sample preparation, antibodies incubation and washes, t</w:t>
      </w:r>
      <w:r w:rsidR="000F76BA" w:rsidRPr="00EE5052">
        <w:rPr>
          <w:sz w:val="24"/>
          <w:szCs w:val="24"/>
          <w:lang w:val="en-US"/>
        </w:rPr>
        <w:t>he collage shows</w:t>
      </w:r>
      <w:r w:rsidR="000F76BA" w:rsidRPr="00EE5052">
        <w:rPr>
          <w:b/>
          <w:sz w:val="24"/>
          <w:szCs w:val="24"/>
          <w:lang w:val="en-US"/>
        </w:rPr>
        <w:t xml:space="preserve"> </w:t>
      </w:r>
      <w:bookmarkStart w:id="1" w:name="PS_para_29"/>
      <w:r w:rsidR="00DB72F8" w:rsidRPr="00EE5052">
        <w:rPr>
          <w:sz w:val="24"/>
          <w:szCs w:val="24"/>
          <w:lang w:val="en-US"/>
        </w:rPr>
        <w:t xml:space="preserve">how information from map samples (notebook) is transferred to the software to start readings. </w:t>
      </w:r>
      <w:r w:rsidR="00652C2F" w:rsidRPr="00EE5052">
        <w:rPr>
          <w:sz w:val="24"/>
          <w:szCs w:val="24"/>
          <w:lang w:val="en-US"/>
        </w:rPr>
        <w:t>It also shows y</w:t>
      </w:r>
      <w:r w:rsidR="00DB72F8" w:rsidRPr="00EE5052">
        <w:rPr>
          <w:sz w:val="24"/>
          <w:szCs w:val="24"/>
          <w:lang w:val="en-US"/>
        </w:rPr>
        <w:t>ellow color development</w:t>
      </w:r>
      <w:r w:rsidR="00652C2F" w:rsidRPr="00EE5052">
        <w:rPr>
          <w:sz w:val="24"/>
          <w:szCs w:val="24"/>
          <w:lang w:val="en-US"/>
        </w:rPr>
        <w:t>, either in the standard wells (left columns in the plaque) or in the test samples (right columns in the plaque).</w:t>
      </w:r>
      <w:r w:rsidR="00AB0FF9" w:rsidRPr="00EE5052">
        <w:rPr>
          <w:sz w:val="24"/>
          <w:szCs w:val="24"/>
          <w:lang w:val="en-US"/>
        </w:rPr>
        <w:t xml:space="preserve"> Lower row</w:t>
      </w:r>
      <w:r w:rsidR="002221F6" w:rsidRPr="00EE5052">
        <w:rPr>
          <w:sz w:val="24"/>
          <w:szCs w:val="24"/>
          <w:lang w:val="en-US"/>
        </w:rPr>
        <w:t xml:space="preserve">. </w:t>
      </w:r>
      <w:r w:rsidR="002221F6" w:rsidRPr="00E01303">
        <w:rPr>
          <w:sz w:val="24"/>
          <w:szCs w:val="24"/>
          <w:lang w:val="en-US"/>
        </w:rPr>
        <w:t>Immuno-Magnetic Multiplexing Assay (MAGPIX System). Once</w:t>
      </w:r>
      <w:r w:rsidR="002221F6" w:rsidRPr="00EE5052">
        <w:rPr>
          <w:sz w:val="24"/>
          <w:szCs w:val="24"/>
          <w:lang w:val="en-US"/>
        </w:rPr>
        <w:t xml:space="preserve"> sample preparation, </w:t>
      </w:r>
      <w:r w:rsidR="002221F6" w:rsidRPr="00E01303">
        <w:rPr>
          <w:sz w:val="24"/>
          <w:szCs w:val="24"/>
          <w:lang w:val="en-US"/>
        </w:rPr>
        <w:t>magnetic beads-</w:t>
      </w:r>
      <w:r w:rsidR="002221F6" w:rsidRPr="00EE5052">
        <w:rPr>
          <w:sz w:val="24"/>
          <w:szCs w:val="24"/>
          <w:lang w:val="en-US"/>
        </w:rPr>
        <w:t>antibodies incubation and washes, it is shown</w:t>
      </w:r>
      <w:r w:rsidR="002221F6" w:rsidRPr="00EE5052">
        <w:rPr>
          <w:b/>
          <w:sz w:val="24"/>
          <w:szCs w:val="24"/>
          <w:lang w:val="en-US"/>
        </w:rPr>
        <w:t xml:space="preserve"> </w:t>
      </w:r>
      <w:r w:rsidR="002221F6" w:rsidRPr="00EE5052">
        <w:rPr>
          <w:sz w:val="24"/>
          <w:szCs w:val="24"/>
          <w:lang w:val="en-US"/>
        </w:rPr>
        <w:t xml:space="preserve">how information of samples is transferred to the appropriate software </w:t>
      </w:r>
      <w:r w:rsidR="002221F6" w:rsidRPr="00E01303">
        <w:rPr>
          <w:sz w:val="24"/>
          <w:szCs w:val="24"/>
          <w:lang w:val="en-US"/>
        </w:rPr>
        <w:t>MAGPIX System</w:t>
      </w:r>
      <w:r w:rsidR="002221F6" w:rsidRPr="00EE5052">
        <w:rPr>
          <w:sz w:val="24"/>
          <w:szCs w:val="24"/>
          <w:lang w:val="en-US"/>
        </w:rPr>
        <w:t xml:space="preserve"> </w:t>
      </w:r>
      <w:r w:rsidR="008E3C9D" w:rsidRPr="00EE5052">
        <w:rPr>
          <w:sz w:val="24"/>
          <w:szCs w:val="24"/>
          <w:lang w:val="en-US"/>
        </w:rPr>
        <w:t xml:space="preserve">reader, and a </w:t>
      </w:r>
      <w:r w:rsidR="002221F6" w:rsidRPr="00EE5052">
        <w:rPr>
          <w:sz w:val="24"/>
          <w:szCs w:val="24"/>
          <w:lang w:val="en-US"/>
        </w:rPr>
        <w:t xml:space="preserve">typical </w:t>
      </w:r>
      <w:r w:rsidR="008E3C9D" w:rsidRPr="00EE5052">
        <w:rPr>
          <w:sz w:val="24"/>
          <w:szCs w:val="24"/>
          <w:lang w:val="en-US"/>
        </w:rPr>
        <w:t>standard curve is shown in the screen.</w:t>
      </w:r>
      <w:bookmarkStart w:id="2" w:name="PS_para_30"/>
    </w:p>
    <w:bookmarkEnd w:id="1"/>
    <w:bookmarkEnd w:id="2"/>
    <w:p w:rsidR="00FA04F5" w:rsidRPr="00EE5052" w:rsidRDefault="0080362E" w:rsidP="00433F6E">
      <w:pPr>
        <w:pStyle w:val="Puesto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r w:rsidRPr="00EE5052">
        <w:rPr>
          <w:rFonts w:asciiTheme="minorHAnsi" w:hAnsiTheme="minorHAnsi"/>
          <w:b/>
          <w:lang w:val="en"/>
        </w:rPr>
        <w:t>Figure 4</w:t>
      </w:r>
      <w:r w:rsidR="008819CD" w:rsidRPr="00EE5052">
        <w:rPr>
          <w:rFonts w:asciiTheme="minorHAnsi" w:hAnsiTheme="minorHAnsi"/>
          <w:b/>
          <w:lang w:val="en"/>
        </w:rPr>
        <w:t xml:space="preserve">. Coronary </w:t>
      </w:r>
      <w:r w:rsidR="008819CD" w:rsidRPr="00EE5052">
        <w:rPr>
          <w:rFonts w:asciiTheme="minorHAnsi" w:hAnsiTheme="minorHAnsi"/>
          <w:b/>
          <w:lang w:val="en-US"/>
        </w:rPr>
        <w:t xml:space="preserve">Circulating Mononuclear Progenitor Cells (MPCs). </w:t>
      </w:r>
      <w:r w:rsidR="008819CD" w:rsidRPr="00EE5052">
        <w:rPr>
          <w:rFonts w:asciiTheme="minorHAnsi" w:hAnsiTheme="minorHAnsi"/>
          <w:lang w:val="en-US"/>
        </w:rPr>
        <w:t>The figure shows b</w:t>
      </w:r>
      <w:proofErr w:type="spellStart"/>
      <w:r w:rsidR="008819CD" w:rsidRPr="00EE5052">
        <w:rPr>
          <w:rFonts w:asciiTheme="minorHAnsi" w:hAnsiTheme="minorHAnsi"/>
          <w:lang w:val="en"/>
        </w:rPr>
        <w:t>aseline</w:t>
      </w:r>
      <w:proofErr w:type="spellEnd"/>
      <w:r w:rsidR="008819CD" w:rsidRPr="00EE5052">
        <w:rPr>
          <w:rFonts w:asciiTheme="minorHAnsi" w:hAnsiTheme="minorHAnsi"/>
          <w:lang w:val="en"/>
        </w:rPr>
        <w:t xml:space="preserve"> %MPCs subpopulations: </w:t>
      </w:r>
      <w:r w:rsidRPr="00EE5052">
        <w:rPr>
          <w:rFonts w:asciiTheme="minorHAnsi" w:hAnsiTheme="minorHAnsi"/>
          <w:lang w:val="en"/>
        </w:rPr>
        <w:t>A</w:t>
      </w:r>
      <w:r w:rsidR="000F76BA" w:rsidRPr="00EE5052">
        <w:rPr>
          <w:rFonts w:asciiTheme="minorHAnsi" w:hAnsiTheme="minorHAnsi"/>
          <w:lang w:val="en"/>
        </w:rPr>
        <w:t>.</w:t>
      </w:r>
      <w:r w:rsidRPr="00EE5052">
        <w:rPr>
          <w:rFonts w:asciiTheme="minorHAnsi" w:hAnsiTheme="minorHAnsi"/>
          <w:lang w:val="en"/>
        </w:rPr>
        <w:t xml:space="preserve"> flow cytometry representative readings; B</w:t>
      </w:r>
      <w:r w:rsidR="008819CD" w:rsidRPr="00EE5052">
        <w:rPr>
          <w:rFonts w:asciiTheme="minorHAnsi" w:hAnsiTheme="minorHAnsi"/>
          <w:lang w:val="en"/>
        </w:rPr>
        <w:t>. quantification of %M</w:t>
      </w:r>
      <w:r w:rsidRPr="00EE5052">
        <w:rPr>
          <w:rFonts w:asciiTheme="minorHAnsi" w:hAnsiTheme="minorHAnsi"/>
          <w:lang w:val="en"/>
        </w:rPr>
        <w:t>PCs subpopulations at flow cytometry</w:t>
      </w:r>
      <w:r w:rsidR="008819CD" w:rsidRPr="00EE5052">
        <w:rPr>
          <w:rFonts w:asciiTheme="minorHAnsi" w:hAnsiTheme="minorHAnsi"/>
          <w:lang w:val="en"/>
        </w:rPr>
        <w:t xml:space="preserve">, </w:t>
      </w:r>
      <w:r w:rsidRPr="00EE5052">
        <w:rPr>
          <w:rFonts w:asciiTheme="minorHAnsi" w:hAnsiTheme="minorHAnsi"/>
          <w:lang w:val="en"/>
        </w:rPr>
        <w:t>plotted according to the presentation of MACE’s.</w:t>
      </w:r>
      <w:r w:rsidR="008819CD" w:rsidRPr="00EE5052">
        <w:rPr>
          <w:rFonts w:asciiTheme="minorHAnsi" w:hAnsiTheme="minorHAnsi"/>
          <w:lang w:val="en"/>
        </w:rPr>
        <w:t xml:space="preserve"> (*) indicates significant difference p&lt;0.05.</w:t>
      </w:r>
      <w:r w:rsidR="00433F6E" w:rsidRPr="00EE5052">
        <w:rPr>
          <w:rFonts w:asciiTheme="minorHAnsi" w:hAnsiTheme="minorHAnsi"/>
          <w:lang w:val="en"/>
        </w:rPr>
        <w:t xml:space="preserve"> </w:t>
      </w:r>
      <w:proofErr w:type="spellStart"/>
      <w:r w:rsidR="00433F6E" w:rsidRPr="00EE5052">
        <w:rPr>
          <w:rFonts w:asciiTheme="minorHAnsi" w:hAnsiTheme="minorHAnsi" w:cstheme="minorHAnsi"/>
        </w:rPr>
        <w:t>This</w:t>
      </w:r>
      <w:proofErr w:type="spellEnd"/>
      <w:r w:rsidR="00433F6E" w:rsidRPr="00EE5052">
        <w:rPr>
          <w:rFonts w:asciiTheme="minorHAnsi" w:hAnsiTheme="minorHAnsi" w:cstheme="minorHAnsi"/>
        </w:rPr>
        <w:t xml:space="preserve"> figure has </w:t>
      </w:r>
      <w:proofErr w:type="spellStart"/>
      <w:r w:rsidR="00433F6E" w:rsidRPr="00EE5052">
        <w:rPr>
          <w:rFonts w:asciiTheme="minorHAnsi" w:hAnsiTheme="minorHAnsi" w:cstheme="minorHAnsi"/>
        </w:rPr>
        <w:t>been</w:t>
      </w:r>
      <w:proofErr w:type="spellEnd"/>
      <w:r w:rsidR="00433F6E" w:rsidRPr="00EE5052">
        <w:rPr>
          <w:rFonts w:asciiTheme="minorHAnsi" w:hAnsiTheme="minorHAnsi" w:cstheme="minorHAnsi"/>
        </w:rPr>
        <w:t xml:space="preserve"> </w:t>
      </w:r>
      <w:proofErr w:type="spellStart"/>
      <w:r w:rsidR="00433F6E" w:rsidRPr="00EE5052">
        <w:rPr>
          <w:rFonts w:asciiTheme="minorHAnsi" w:hAnsiTheme="minorHAnsi" w:cstheme="minorHAnsi"/>
        </w:rPr>
        <w:t>modified</w:t>
      </w:r>
      <w:proofErr w:type="spellEnd"/>
      <w:r w:rsidR="00433F6E" w:rsidRPr="00EE5052">
        <w:rPr>
          <w:rFonts w:asciiTheme="minorHAnsi" w:hAnsiTheme="minorHAnsi" w:cstheme="minorHAnsi"/>
        </w:rPr>
        <w:t xml:space="preserve"> </w:t>
      </w:r>
      <w:proofErr w:type="spellStart"/>
      <w:r w:rsidR="00433F6E" w:rsidRPr="00EE5052">
        <w:rPr>
          <w:rFonts w:asciiTheme="minorHAnsi" w:hAnsiTheme="minorHAnsi" w:cstheme="minorHAnsi"/>
        </w:rPr>
        <w:t>from</w:t>
      </w:r>
      <w:proofErr w:type="spellEnd"/>
      <w:r w:rsidR="00433F6E" w:rsidRPr="00EE5052">
        <w:rPr>
          <w:rFonts w:asciiTheme="minorHAnsi" w:hAnsiTheme="minorHAnsi" w:cstheme="minorHAnsi"/>
        </w:rPr>
        <w:t xml:space="preserve"> [</w:t>
      </w:r>
      <w:r w:rsidR="00433F6E" w:rsidRPr="00EE5052">
        <w:rPr>
          <w:rFonts w:asciiTheme="minorHAnsi" w:hAnsiTheme="minorHAnsi" w:cs="Arial"/>
        </w:rPr>
        <w:t xml:space="preserve">Suárez-Cuenca, J.A., Robledo-Nolasco, R., Alcántara-Meléndez, M.A., Díaz Hernández, L.J., Vera-Gómez, E., Hernández-Patricio, A., et al. </w:t>
      </w:r>
      <w:hyperlink r:id="rId5" w:history="1">
        <w:r w:rsidR="00433F6E" w:rsidRPr="00EE5052">
          <w:rPr>
            <w:rStyle w:val="Hipervnculo"/>
            <w:rFonts w:asciiTheme="minorHAnsi" w:hAnsiTheme="minorHAnsi" w:cs="Arial"/>
            <w:color w:val="auto"/>
            <w:u w:val="none"/>
            <w:lang w:val="en-US"/>
          </w:rPr>
          <w:t>Coronary circulating mononuclear progenitor cells and soluble biomarkers in the cardiovascular prognosis after coronary angioplasty.</w:t>
        </w:r>
      </w:hyperlink>
      <w:r w:rsidR="00433F6E" w:rsidRPr="00EE5052">
        <w:rPr>
          <w:rFonts w:asciiTheme="minorHAnsi" w:hAnsiTheme="minorHAnsi" w:cs="Arial"/>
          <w:lang w:val="en-US"/>
        </w:rPr>
        <w:t xml:space="preserve"> </w:t>
      </w:r>
      <w:r w:rsidR="00433F6E" w:rsidRPr="00EE5052">
        <w:rPr>
          <w:rStyle w:val="jrnl"/>
          <w:rFonts w:asciiTheme="minorHAnsi" w:hAnsiTheme="minorHAnsi" w:cs="Arial"/>
          <w:i/>
          <w:lang w:val="en-US"/>
        </w:rPr>
        <w:t>J Cell Mol Med</w:t>
      </w:r>
      <w:r w:rsidR="00433F6E" w:rsidRPr="00EE5052">
        <w:rPr>
          <w:rFonts w:asciiTheme="minorHAnsi" w:hAnsiTheme="minorHAnsi" w:cs="Arial"/>
          <w:i/>
          <w:lang w:val="en-US"/>
        </w:rPr>
        <w:t xml:space="preserve">. </w:t>
      </w:r>
      <w:r w:rsidR="00433F6E" w:rsidRPr="00EE5052">
        <w:rPr>
          <w:rFonts w:asciiTheme="minorHAnsi" w:hAnsiTheme="minorHAnsi" w:cs="Arial"/>
          <w:b/>
          <w:lang w:val="en-US"/>
        </w:rPr>
        <w:t>23</w:t>
      </w:r>
      <w:r w:rsidR="00433F6E" w:rsidRPr="00EE5052">
        <w:rPr>
          <w:rFonts w:asciiTheme="minorHAnsi" w:hAnsiTheme="minorHAnsi" w:cs="Arial"/>
          <w:lang w:val="en-US"/>
        </w:rPr>
        <w:t xml:space="preserve"> (7), 4844-4849 (2019).]</w:t>
      </w:r>
      <w:r w:rsidR="00433F6E" w:rsidRPr="00EE5052">
        <w:rPr>
          <w:rFonts w:asciiTheme="minorHAnsi" w:hAnsiTheme="minorHAnsi" w:cs="Arial"/>
          <w:vertAlign w:val="superscript"/>
          <w:lang w:val="en-US"/>
        </w:rPr>
        <w:t>9</w:t>
      </w:r>
      <w:r w:rsidR="00433F6E" w:rsidRPr="00EE5052">
        <w:rPr>
          <w:rFonts w:asciiTheme="minorHAnsi" w:hAnsiTheme="minorHAnsi" w:cs="Arial"/>
          <w:lang w:val="en-US"/>
        </w:rPr>
        <w:t>.</w:t>
      </w:r>
    </w:p>
    <w:p w:rsidR="00FA04F5" w:rsidRPr="00EE5052" w:rsidRDefault="00FA04F5" w:rsidP="00433F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Ninguno"/>
          <w:sz w:val="24"/>
          <w:szCs w:val="24"/>
        </w:rPr>
      </w:pPr>
    </w:p>
    <w:p w:rsidR="00826566" w:rsidRPr="00EE5052" w:rsidRDefault="00FA04F5" w:rsidP="00FA04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Ninguno"/>
          <w:sz w:val="24"/>
          <w:szCs w:val="24"/>
        </w:rPr>
      </w:pPr>
      <w:r w:rsidRPr="00EE5052">
        <w:rPr>
          <w:rStyle w:val="Ninguno"/>
          <w:rFonts w:cstheme="minorHAnsi"/>
          <w:b/>
          <w:sz w:val="24"/>
          <w:szCs w:val="24"/>
          <w:u w:color="212121"/>
          <w:shd w:val="clear" w:color="auto" w:fill="FFFFFF"/>
        </w:rPr>
        <w:t>Table 1. Baseline Blood</w:t>
      </w:r>
      <w:r w:rsidRPr="00EE5052">
        <w:rPr>
          <w:b/>
          <w:sz w:val="24"/>
          <w:szCs w:val="24"/>
          <w:lang w:val="en-US"/>
        </w:rPr>
        <w:t xml:space="preserve"> Soluble Biomarkers. </w:t>
      </w:r>
      <w:r w:rsidRPr="00EE5052">
        <w:rPr>
          <w:rStyle w:val="Ninguno"/>
          <w:sz w:val="24"/>
          <w:szCs w:val="24"/>
        </w:rPr>
        <w:t xml:space="preserve">(*) indicates p&lt;0.05 difference biomarkers from coronary blood </w:t>
      </w:r>
      <w:r w:rsidRPr="00EE5052">
        <w:rPr>
          <w:rStyle w:val="Ninguno"/>
          <w:i/>
          <w:sz w:val="24"/>
          <w:szCs w:val="24"/>
        </w:rPr>
        <w:t>vs.</w:t>
      </w:r>
      <w:r w:rsidRPr="00EE5052">
        <w:rPr>
          <w:rStyle w:val="Ninguno"/>
          <w:sz w:val="24"/>
          <w:szCs w:val="24"/>
        </w:rPr>
        <w:t xml:space="preserve"> peripheral circulation. (**) indicates p&lt;0.05, w/o MACEs </w:t>
      </w:r>
      <w:r w:rsidRPr="00EE5052">
        <w:rPr>
          <w:rStyle w:val="Ninguno"/>
          <w:i/>
          <w:sz w:val="24"/>
          <w:szCs w:val="24"/>
        </w:rPr>
        <w:t>vs</w:t>
      </w:r>
      <w:r w:rsidRPr="00EE5052">
        <w:rPr>
          <w:rStyle w:val="Ninguno"/>
          <w:sz w:val="24"/>
          <w:szCs w:val="24"/>
        </w:rPr>
        <w:t xml:space="preserve">. MACEs; one-tail, independent T-test Abbreviatures: sICAM-1, soluble </w:t>
      </w:r>
      <w:proofErr w:type="spellStart"/>
      <w:r w:rsidRPr="00EE5052">
        <w:rPr>
          <w:rStyle w:val="Ninguno"/>
          <w:sz w:val="24"/>
          <w:szCs w:val="24"/>
        </w:rPr>
        <w:t>InterCellular</w:t>
      </w:r>
      <w:proofErr w:type="spellEnd"/>
      <w:r w:rsidRPr="00EE5052">
        <w:rPr>
          <w:rStyle w:val="Ninguno"/>
          <w:sz w:val="24"/>
          <w:szCs w:val="24"/>
        </w:rPr>
        <w:t xml:space="preserve"> Adhesion Molecule 1; IL-1</w:t>
      </w:r>
      <w:r w:rsidRPr="00EE5052">
        <w:rPr>
          <w:rStyle w:val="Ninguno"/>
          <w:rFonts w:ascii="Symbol" w:hAnsi="Symbol"/>
          <w:sz w:val="24"/>
          <w:szCs w:val="24"/>
          <w:lang w:val="es-ES_tradnl"/>
        </w:rPr>
        <w:t></w:t>
      </w:r>
      <w:r w:rsidRPr="00EE5052">
        <w:rPr>
          <w:rStyle w:val="Ninguno"/>
          <w:sz w:val="24"/>
          <w:szCs w:val="24"/>
        </w:rPr>
        <w:t>, Interleukin 1 beta; MMP-9, Matrix Metalloproteinase 9.</w:t>
      </w:r>
      <w:r w:rsidR="00433F6E" w:rsidRPr="00EE5052">
        <w:rPr>
          <w:rStyle w:val="Ninguno"/>
          <w:sz w:val="24"/>
          <w:szCs w:val="24"/>
        </w:rPr>
        <w:t xml:space="preserve"> </w:t>
      </w:r>
    </w:p>
    <w:p w:rsidR="00FA04F5" w:rsidRPr="00EE5052" w:rsidRDefault="00FA04F5" w:rsidP="00FA04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433F6E" w:rsidRPr="00EE5052" w:rsidRDefault="00BA55B9" w:rsidP="00433F6E">
      <w:pPr>
        <w:pStyle w:val="Puesto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r w:rsidRPr="00EE5052">
        <w:rPr>
          <w:rFonts w:asciiTheme="minorHAnsi" w:hAnsiTheme="minorHAnsi"/>
          <w:b/>
          <w:lang w:val="en"/>
        </w:rPr>
        <w:t xml:space="preserve">Figure </w:t>
      </w:r>
      <w:r w:rsidR="003E3F8B" w:rsidRPr="00EE5052">
        <w:rPr>
          <w:rFonts w:asciiTheme="minorHAnsi" w:hAnsiTheme="minorHAnsi"/>
          <w:b/>
          <w:lang w:val="en"/>
        </w:rPr>
        <w:t>5</w:t>
      </w:r>
      <w:r w:rsidRPr="00EE5052">
        <w:rPr>
          <w:rFonts w:asciiTheme="minorHAnsi" w:hAnsiTheme="minorHAnsi"/>
          <w:b/>
          <w:lang w:val="en"/>
        </w:rPr>
        <w:t xml:space="preserve">. Coronary </w:t>
      </w:r>
      <w:r w:rsidRPr="00EE5052">
        <w:rPr>
          <w:rFonts w:asciiTheme="minorHAnsi" w:hAnsiTheme="minorHAnsi"/>
          <w:b/>
          <w:lang w:val="en-US"/>
        </w:rPr>
        <w:t xml:space="preserve">Circulating Cellular (MPCs), Soluble Biomarkers and Prognosis. </w:t>
      </w:r>
      <w:r w:rsidRPr="00EE5052">
        <w:rPr>
          <w:rFonts w:asciiTheme="minorHAnsi" w:hAnsiTheme="minorHAnsi"/>
          <w:lang w:val="en-US"/>
        </w:rPr>
        <w:t xml:space="preserve">The figure shows </w:t>
      </w:r>
      <w:r w:rsidR="003E3F8B" w:rsidRPr="00EE5052">
        <w:rPr>
          <w:rFonts w:asciiTheme="minorHAnsi" w:hAnsiTheme="minorHAnsi"/>
          <w:lang w:val="en-US"/>
        </w:rPr>
        <w:t xml:space="preserve">baseline coronary blood </w:t>
      </w:r>
      <w:r w:rsidRPr="00EE5052">
        <w:rPr>
          <w:rFonts w:asciiTheme="minorHAnsi" w:hAnsiTheme="minorHAnsi"/>
          <w:lang w:val="en-US"/>
        </w:rPr>
        <w:t xml:space="preserve">amounts of A. </w:t>
      </w:r>
      <w:r w:rsidRPr="00EE5052">
        <w:rPr>
          <w:rFonts w:asciiTheme="minorHAnsi" w:hAnsiTheme="minorHAnsi"/>
          <w:lang w:val="en"/>
        </w:rPr>
        <w:t xml:space="preserve">%MPCs subpopulations determined by flow cytometry; and B. </w:t>
      </w:r>
      <w:r w:rsidR="003E3F8B" w:rsidRPr="00EE5052">
        <w:rPr>
          <w:rFonts w:asciiTheme="minorHAnsi" w:hAnsiTheme="minorHAnsi"/>
          <w:lang w:val="en"/>
        </w:rPr>
        <w:t xml:space="preserve">plasma concentration of </w:t>
      </w:r>
      <w:r w:rsidRPr="00EE5052">
        <w:rPr>
          <w:rFonts w:asciiTheme="minorHAnsi" w:hAnsiTheme="minorHAnsi"/>
          <w:lang w:val="en"/>
        </w:rPr>
        <w:t>sICAM</w:t>
      </w:r>
      <w:r w:rsidR="003E3F8B" w:rsidRPr="00EE5052">
        <w:rPr>
          <w:rFonts w:asciiTheme="minorHAnsi" w:hAnsiTheme="minorHAnsi"/>
          <w:lang w:val="en"/>
        </w:rPr>
        <w:t>-1</w:t>
      </w:r>
      <w:r w:rsidRPr="00EE5052">
        <w:rPr>
          <w:rFonts w:asciiTheme="minorHAnsi" w:hAnsiTheme="minorHAnsi"/>
          <w:lang w:val="en"/>
        </w:rPr>
        <w:t>, determined by ELISA</w:t>
      </w:r>
      <w:r w:rsidR="003E3F8B" w:rsidRPr="00EE5052">
        <w:rPr>
          <w:rFonts w:asciiTheme="minorHAnsi" w:hAnsiTheme="minorHAnsi"/>
          <w:lang w:val="en"/>
        </w:rPr>
        <w:t xml:space="preserve">; both </w:t>
      </w:r>
      <w:r w:rsidRPr="00EE5052">
        <w:rPr>
          <w:rFonts w:asciiTheme="minorHAnsi" w:hAnsiTheme="minorHAnsi"/>
          <w:lang w:val="en"/>
        </w:rPr>
        <w:t>plotted according to the presentation of MACEs</w:t>
      </w:r>
      <w:r w:rsidR="003E3F8B" w:rsidRPr="00EE5052">
        <w:rPr>
          <w:rFonts w:asciiTheme="minorHAnsi" w:hAnsiTheme="minorHAnsi"/>
          <w:lang w:val="en"/>
        </w:rPr>
        <w:t xml:space="preserve"> during the</w:t>
      </w:r>
      <w:r w:rsidR="003E3F8B" w:rsidRPr="00EE5052">
        <w:rPr>
          <w:rFonts w:asciiTheme="minorHAnsi" w:hAnsiTheme="minorHAnsi" w:cstheme="minorHAnsi"/>
          <w:lang w:val="en"/>
        </w:rPr>
        <w:t xml:space="preserve"> next 6-months follow-up</w:t>
      </w:r>
      <w:r w:rsidRPr="00EE5052">
        <w:rPr>
          <w:rFonts w:asciiTheme="minorHAnsi" w:hAnsiTheme="minorHAnsi" w:cstheme="minorHAnsi"/>
          <w:lang w:val="en"/>
        </w:rPr>
        <w:t>. Line in blue indicates owne</w:t>
      </w:r>
      <w:r w:rsidR="003E3F8B" w:rsidRPr="00EE5052">
        <w:rPr>
          <w:rFonts w:asciiTheme="minorHAnsi" w:hAnsiTheme="minorHAnsi" w:cstheme="minorHAnsi"/>
          <w:lang w:val="en"/>
        </w:rPr>
        <w:t>rs of</w:t>
      </w:r>
      <w:r w:rsidRPr="00EE5052">
        <w:rPr>
          <w:rFonts w:asciiTheme="minorHAnsi" w:hAnsiTheme="minorHAnsi" w:cstheme="minorHAnsi"/>
          <w:lang w:val="en"/>
        </w:rPr>
        <w:t xml:space="preserve"> risk values </w:t>
      </w:r>
      <w:r w:rsidR="003E3F8B" w:rsidRPr="00EE5052">
        <w:rPr>
          <w:rFonts w:asciiTheme="minorHAnsi" w:hAnsiTheme="minorHAnsi" w:cstheme="minorHAnsi"/>
          <w:lang w:val="en"/>
        </w:rPr>
        <w:t>for</w:t>
      </w:r>
      <w:r w:rsidRPr="00EE5052">
        <w:rPr>
          <w:rFonts w:asciiTheme="minorHAnsi" w:hAnsiTheme="minorHAnsi" w:cstheme="minorHAnsi"/>
          <w:lang w:val="en"/>
        </w:rPr>
        <w:t xml:space="preserve"> each biomarker, such as lower %MPCs or higher sICAM-1.</w:t>
      </w:r>
      <w:r w:rsidR="003E3F8B" w:rsidRPr="00EE5052">
        <w:rPr>
          <w:rFonts w:asciiTheme="minorHAnsi" w:hAnsiTheme="minorHAnsi" w:cstheme="minorHAnsi"/>
          <w:lang w:val="en"/>
        </w:rPr>
        <w:t xml:space="preserve"> </w:t>
      </w:r>
      <w:r w:rsidR="0080362E" w:rsidRPr="00EE5052">
        <w:rPr>
          <w:rFonts w:asciiTheme="minorHAnsi" w:hAnsiTheme="minorHAnsi" w:cstheme="minorHAnsi"/>
          <w:iCs/>
          <w:lang w:val="en-US"/>
        </w:rPr>
        <w:t xml:space="preserve">Abbreviatures: MACEs, Major Adverse Cardiovascular Events; </w:t>
      </w:r>
      <w:r w:rsidR="003E3F8B" w:rsidRPr="00EE5052">
        <w:rPr>
          <w:rFonts w:asciiTheme="minorHAnsi" w:hAnsiTheme="minorHAnsi" w:cstheme="minorHAnsi"/>
          <w:lang w:val="en"/>
        </w:rPr>
        <w:t>MPCs,</w:t>
      </w:r>
      <w:r w:rsidR="003E3F8B" w:rsidRPr="00EE5052">
        <w:rPr>
          <w:rFonts w:asciiTheme="minorHAnsi" w:hAnsiTheme="minorHAnsi" w:cstheme="minorHAnsi"/>
          <w:lang w:val="en-US"/>
        </w:rPr>
        <w:t xml:space="preserve"> Mononuclear Progenitor Cells; </w:t>
      </w:r>
      <w:r w:rsidR="0080362E" w:rsidRPr="00EE5052">
        <w:rPr>
          <w:rFonts w:asciiTheme="minorHAnsi" w:hAnsiTheme="minorHAnsi" w:cstheme="minorHAnsi"/>
          <w:iCs/>
          <w:lang w:val="en-US"/>
        </w:rPr>
        <w:t xml:space="preserve">sICAM-1, soluble </w:t>
      </w:r>
      <w:proofErr w:type="spellStart"/>
      <w:r w:rsidR="0080362E" w:rsidRPr="00EE5052">
        <w:rPr>
          <w:rFonts w:asciiTheme="minorHAnsi" w:hAnsiTheme="minorHAnsi" w:cstheme="minorHAnsi"/>
          <w:iCs/>
          <w:lang w:val="en-US"/>
        </w:rPr>
        <w:t>InterCellular</w:t>
      </w:r>
      <w:proofErr w:type="spellEnd"/>
      <w:r w:rsidR="0080362E" w:rsidRPr="00EE5052">
        <w:rPr>
          <w:rFonts w:asciiTheme="minorHAnsi" w:hAnsiTheme="minorHAnsi" w:cstheme="minorHAnsi"/>
          <w:iCs/>
          <w:lang w:val="en-US"/>
        </w:rPr>
        <w:t xml:space="preserve"> Adhesion Molecule 1</w:t>
      </w:r>
      <w:r w:rsidR="003E3F8B" w:rsidRPr="00EE5052">
        <w:rPr>
          <w:rFonts w:asciiTheme="minorHAnsi" w:hAnsiTheme="minorHAnsi" w:cstheme="minorHAnsi"/>
          <w:iCs/>
          <w:lang w:val="en-US"/>
        </w:rPr>
        <w:t>.</w:t>
      </w:r>
      <w:r w:rsidR="00433F6E" w:rsidRPr="00EE5052">
        <w:rPr>
          <w:rFonts w:cstheme="minorHAnsi"/>
          <w:iCs/>
          <w:lang w:val="en-US"/>
        </w:rPr>
        <w:t xml:space="preserve"> </w:t>
      </w:r>
      <w:proofErr w:type="spellStart"/>
      <w:r w:rsidR="00433F6E" w:rsidRPr="00EE5052">
        <w:rPr>
          <w:rFonts w:asciiTheme="minorHAnsi" w:hAnsiTheme="minorHAnsi" w:cstheme="minorHAnsi"/>
        </w:rPr>
        <w:t>This</w:t>
      </w:r>
      <w:proofErr w:type="spellEnd"/>
      <w:r w:rsidR="00433F6E" w:rsidRPr="00EE5052">
        <w:rPr>
          <w:rFonts w:asciiTheme="minorHAnsi" w:hAnsiTheme="minorHAnsi" w:cstheme="minorHAnsi"/>
        </w:rPr>
        <w:t xml:space="preserve"> figure has </w:t>
      </w:r>
      <w:proofErr w:type="spellStart"/>
      <w:r w:rsidR="00433F6E" w:rsidRPr="00EE5052">
        <w:rPr>
          <w:rFonts w:asciiTheme="minorHAnsi" w:hAnsiTheme="minorHAnsi" w:cstheme="minorHAnsi"/>
        </w:rPr>
        <w:t>been</w:t>
      </w:r>
      <w:proofErr w:type="spellEnd"/>
      <w:r w:rsidR="00433F6E" w:rsidRPr="00EE5052">
        <w:rPr>
          <w:rFonts w:asciiTheme="minorHAnsi" w:hAnsiTheme="minorHAnsi" w:cstheme="minorHAnsi"/>
        </w:rPr>
        <w:t xml:space="preserve"> </w:t>
      </w:r>
      <w:proofErr w:type="spellStart"/>
      <w:r w:rsidR="00433F6E" w:rsidRPr="00EE5052">
        <w:rPr>
          <w:rFonts w:asciiTheme="minorHAnsi" w:hAnsiTheme="minorHAnsi" w:cstheme="minorHAnsi"/>
        </w:rPr>
        <w:t>modified</w:t>
      </w:r>
      <w:proofErr w:type="spellEnd"/>
      <w:r w:rsidR="00433F6E" w:rsidRPr="00EE5052">
        <w:rPr>
          <w:rFonts w:asciiTheme="minorHAnsi" w:hAnsiTheme="minorHAnsi" w:cstheme="minorHAnsi"/>
        </w:rPr>
        <w:t xml:space="preserve"> </w:t>
      </w:r>
      <w:proofErr w:type="spellStart"/>
      <w:r w:rsidR="00433F6E" w:rsidRPr="00EE5052">
        <w:rPr>
          <w:rFonts w:asciiTheme="minorHAnsi" w:hAnsiTheme="minorHAnsi" w:cstheme="minorHAnsi"/>
        </w:rPr>
        <w:t>from</w:t>
      </w:r>
      <w:proofErr w:type="spellEnd"/>
      <w:r w:rsidR="00433F6E" w:rsidRPr="00EE5052">
        <w:rPr>
          <w:rFonts w:asciiTheme="minorHAnsi" w:hAnsiTheme="minorHAnsi" w:cstheme="minorHAnsi"/>
        </w:rPr>
        <w:t xml:space="preserve"> [</w:t>
      </w:r>
      <w:r w:rsidR="00433F6E" w:rsidRPr="00EE5052">
        <w:rPr>
          <w:rFonts w:asciiTheme="minorHAnsi" w:hAnsiTheme="minorHAnsi" w:cs="Arial"/>
        </w:rPr>
        <w:t xml:space="preserve">Suárez-Cuenca, J.A., Robledo-Nolasco, R., Alcántara-Meléndez, M.A., Díaz </w:t>
      </w:r>
      <w:r w:rsidR="00433F6E" w:rsidRPr="00EE5052">
        <w:rPr>
          <w:rFonts w:asciiTheme="minorHAnsi" w:hAnsiTheme="minorHAnsi" w:cs="Arial"/>
        </w:rPr>
        <w:lastRenderedPageBreak/>
        <w:t xml:space="preserve">Hernández, L.J., Vera-Gómez, E., Hernández-Patricio, A., et al. </w:t>
      </w:r>
      <w:hyperlink r:id="rId6" w:history="1">
        <w:r w:rsidR="00433F6E" w:rsidRPr="00EE5052">
          <w:rPr>
            <w:rStyle w:val="Hipervnculo"/>
            <w:rFonts w:asciiTheme="minorHAnsi" w:hAnsiTheme="minorHAnsi" w:cs="Arial"/>
            <w:color w:val="auto"/>
            <w:u w:val="none"/>
            <w:lang w:val="en-US"/>
          </w:rPr>
          <w:t>Coronary circulating mononuclear progenitor cells and soluble biomarkers in the cardiovascular prognosis after coronary angioplasty.</w:t>
        </w:r>
      </w:hyperlink>
      <w:r w:rsidR="00433F6E" w:rsidRPr="00EE5052">
        <w:rPr>
          <w:rFonts w:asciiTheme="minorHAnsi" w:hAnsiTheme="minorHAnsi" w:cs="Arial"/>
          <w:lang w:val="en-US"/>
        </w:rPr>
        <w:t xml:space="preserve"> </w:t>
      </w:r>
      <w:r w:rsidR="00433F6E" w:rsidRPr="00EE5052">
        <w:rPr>
          <w:rStyle w:val="jrnl"/>
          <w:rFonts w:asciiTheme="minorHAnsi" w:hAnsiTheme="minorHAnsi" w:cs="Arial"/>
          <w:i/>
          <w:lang w:val="en-US"/>
        </w:rPr>
        <w:t>J</w:t>
      </w:r>
      <w:r w:rsidR="00E01303">
        <w:rPr>
          <w:rStyle w:val="jrnl"/>
          <w:rFonts w:asciiTheme="minorHAnsi" w:hAnsiTheme="minorHAnsi" w:cs="Arial"/>
          <w:i/>
          <w:lang w:val="en-US"/>
        </w:rPr>
        <w:t>ournal of</w:t>
      </w:r>
      <w:r w:rsidR="00433F6E" w:rsidRPr="00EE5052">
        <w:rPr>
          <w:rStyle w:val="jrnl"/>
          <w:rFonts w:asciiTheme="minorHAnsi" w:hAnsiTheme="minorHAnsi" w:cs="Arial"/>
          <w:i/>
          <w:lang w:val="en-US"/>
        </w:rPr>
        <w:t xml:space="preserve"> Cell</w:t>
      </w:r>
      <w:r w:rsidR="00E01303">
        <w:rPr>
          <w:rStyle w:val="jrnl"/>
          <w:rFonts w:asciiTheme="minorHAnsi" w:hAnsiTheme="minorHAnsi" w:cs="Arial"/>
          <w:i/>
          <w:lang w:val="en-US"/>
        </w:rPr>
        <w:t>ular</w:t>
      </w:r>
      <w:r w:rsidR="00433F6E" w:rsidRPr="00EE5052">
        <w:rPr>
          <w:rStyle w:val="jrnl"/>
          <w:rFonts w:asciiTheme="minorHAnsi" w:hAnsiTheme="minorHAnsi" w:cs="Arial"/>
          <w:i/>
          <w:lang w:val="en-US"/>
        </w:rPr>
        <w:t xml:space="preserve"> Mol</w:t>
      </w:r>
      <w:r w:rsidR="00E01303">
        <w:rPr>
          <w:rStyle w:val="jrnl"/>
          <w:rFonts w:asciiTheme="minorHAnsi" w:hAnsiTheme="minorHAnsi" w:cs="Arial"/>
          <w:i/>
          <w:lang w:val="en-US"/>
        </w:rPr>
        <w:t>ecular</w:t>
      </w:r>
      <w:r w:rsidR="00433F6E" w:rsidRPr="00EE5052">
        <w:rPr>
          <w:rStyle w:val="jrnl"/>
          <w:rFonts w:asciiTheme="minorHAnsi" w:hAnsiTheme="minorHAnsi" w:cs="Arial"/>
          <w:i/>
          <w:lang w:val="en-US"/>
        </w:rPr>
        <w:t xml:space="preserve"> Med</w:t>
      </w:r>
      <w:r w:rsidR="00E01303">
        <w:rPr>
          <w:rStyle w:val="jrnl"/>
          <w:rFonts w:asciiTheme="minorHAnsi" w:hAnsiTheme="minorHAnsi" w:cs="Arial"/>
          <w:i/>
          <w:lang w:val="en-US"/>
        </w:rPr>
        <w:t>icine</w:t>
      </w:r>
      <w:r w:rsidR="00433F6E" w:rsidRPr="00EE5052">
        <w:rPr>
          <w:rFonts w:asciiTheme="minorHAnsi" w:hAnsiTheme="minorHAnsi" w:cs="Arial"/>
          <w:i/>
          <w:lang w:val="en-US"/>
        </w:rPr>
        <w:t xml:space="preserve">. </w:t>
      </w:r>
      <w:r w:rsidR="00433F6E" w:rsidRPr="00EE5052">
        <w:rPr>
          <w:rFonts w:asciiTheme="minorHAnsi" w:hAnsiTheme="minorHAnsi" w:cs="Arial"/>
          <w:b/>
          <w:lang w:val="en-US"/>
        </w:rPr>
        <w:t>23</w:t>
      </w:r>
      <w:r w:rsidR="00433F6E" w:rsidRPr="00EE5052">
        <w:rPr>
          <w:rFonts w:asciiTheme="minorHAnsi" w:hAnsiTheme="minorHAnsi" w:cs="Arial"/>
          <w:lang w:val="en-US"/>
        </w:rPr>
        <w:t xml:space="preserve"> (7), 4844-4849 (2019).]</w:t>
      </w:r>
      <w:r w:rsidR="0012501E">
        <w:rPr>
          <w:rFonts w:asciiTheme="minorHAnsi" w:hAnsiTheme="minorHAnsi" w:cs="Arial"/>
          <w:vertAlign w:val="superscript"/>
          <w:lang w:val="en-US"/>
        </w:rPr>
        <w:t>10</w:t>
      </w:r>
      <w:r w:rsidR="00433F6E" w:rsidRPr="00EE5052">
        <w:rPr>
          <w:rFonts w:asciiTheme="minorHAnsi" w:hAnsiTheme="minorHAnsi" w:cs="Arial"/>
          <w:lang w:val="en-US"/>
        </w:rPr>
        <w:t>.</w:t>
      </w:r>
    </w:p>
    <w:p w:rsidR="00433F6E" w:rsidRDefault="00433F6E" w:rsidP="00433F6E">
      <w:pPr>
        <w:pStyle w:val="Puesto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</w:p>
    <w:p w:rsidR="00433F6E" w:rsidRPr="00E01303" w:rsidRDefault="00433F6E" w:rsidP="00433F6E">
      <w:pPr>
        <w:pStyle w:val="Puesto10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EE5052">
        <w:rPr>
          <w:rFonts w:asciiTheme="minorHAnsi" w:hAnsiTheme="minorHAnsi" w:cs="Tahoma"/>
          <w:b/>
          <w:lang w:val="en"/>
        </w:rPr>
        <w:t xml:space="preserve">Figure 6. </w:t>
      </w:r>
      <w:r w:rsidR="00634EA7" w:rsidRPr="00EE5052">
        <w:rPr>
          <w:rFonts w:asciiTheme="minorHAnsi" w:hAnsiTheme="minorHAnsi" w:cs="Tahoma"/>
          <w:b/>
          <w:lang w:val="en"/>
        </w:rPr>
        <w:t xml:space="preserve">Conditions determining Variability of </w:t>
      </w:r>
      <w:r w:rsidRPr="00EE5052">
        <w:rPr>
          <w:rFonts w:asciiTheme="minorHAnsi" w:hAnsiTheme="minorHAnsi" w:cs="Tahoma"/>
          <w:b/>
          <w:lang w:val="en"/>
        </w:rPr>
        <w:t xml:space="preserve">Coronary </w:t>
      </w:r>
      <w:r w:rsidRPr="00EE5052">
        <w:rPr>
          <w:rFonts w:asciiTheme="minorHAnsi" w:hAnsiTheme="minorHAnsi" w:cs="Tahoma"/>
          <w:b/>
          <w:lang w:val="en-US"/>
        </w:rPr>
        <w:t>Circulating</w:t>
      </w:r>
      <w:r w:rsidR="00634EA7" w:rsidRPr="00EE5052">
        <w:rPr>
          <w:rFonts w:asciiTheme="minorHAnsi" w:hAnsiTheme="minorHAnsi" w:cs="Tahoma"/>
          <w:b/>
          <w:lang w:val="en-US"/>
        </w:rPr>
        <w:t xml:space="preserve"> </w:t>
      </w:r>
      <w:r w:rsidRPr="00EE5052">
        <w:rPr>
          <w:rFonts w:asciiTheme="minorHAnsi" w:hAnsiTheme="minorHAnsi" w:cs="Tahoma"/>
          <w:b/>
          <w:lang w:val="en-US"/>
        </w:rPr>
        <w:t>So</w:t>
      </w:r>
      <w:r w:rsidR="00634EA7" w:rsidRPr="00EE5052">
        <w:rPr>
          <w:rFonts w:asciiTheme="minorHAnsi" w:hAnsiTheme="minorHAnsi" w:cs="Tahoma"/>
          <w:b/>
          <w:lang w:val="en-US"/>
        </w:rPr>
        <w:t>luble Biomarkers.</w:t>
      </w:r>
      <w:r w:rsidR="0057746C" w:rsidRPr="00EE5052">
        <w:rPr>
          <w:rFonts w:asciiTheme="minorHAnsi" w:hAnsiTheme="minorHAnsi" w:cs="Tahoma"/>
          <w:b/>
          <w:lang w:val="en-US"/>
        </w:rPr>
        <w:t xml:space="preserve"> </w:t>
      </w:r>
      <w:r w:rsidR="0057746C" w:rsidRPr="00EE5052">
        <w:rPr>
          <w:rFonts w:asciiTheme="minorHAnsi" w:hAnsiTheme="minorHAnsi" w:cs="Tahoma"/>
          <w:lang w:val="en-US"/>
        </w:rPr>
        <w:t xml:space="preserve">The figure shows </w:t>
      </w:r>
      <w:r w:rsidR="00EE4D54" w:rsidRPr="00EE5052">
        <w:rPr>
          <w:rFonts w:asciiTheme="minorHAnsi" w:hAnsiTheme="minorHAnsi" w:cs="Tahoma"/>
          <w:lang w:val="en-US"/>
        </w:rPr>
        <w:t xml:space="preserve">changes of </w:t>
      </w:r>
      <w:r w:rsidR="0057746C" w:rsidRPr="00EE5052">
        <w:rPr>
          <w:rFonts w:asciiTheme="minorHAnsi" w:hAnsiTheme="minorHAnsi" w:cs="Tahoma"/>
          <w:lang w:val="en-US"/>
        </w:rPr>
        <w:t>intracoronary concentration</w:t>
      </w:r>
      <w:r w:rsidR="00634EA7" w:rsidRPr="00E01303">
        <w:rPr>
          <w:rFonts w:asciiTheme="minorHAnsi" w:hAnsiTheme="minorHAnsi"/>
          <w:lang w:val="en-US"/>
        </w:rPr>
        <w:t xml:space="preserve"> of TNF</w:t>
      </w:r>
      <w:r w:rsidR="00634EA7" w:rsidRPr="00EE5052">
        <w:rPr>
          <w:rFonts w:ascii="Symbol" w:hAnsi="Symbol"/>
        </w:rPr>
        <w:t></w:t>
      </w:r>
      <w:r w:rsidR="00634EA7" w:rsidRPr="00E01303">
        <w:rPr>
          <w:rFonts w:asciiTheme="minorHAnsi" w:hAnsiTheme="minorHAnsi"/>
          <w:lang w:val="en-US"/>
        </w:rPr>
        <w:t xml:space="preserve"> </w:t>
      </w:r>
      <w:r w:rsidR="0057746C" w:rsidRPr="00E01303">
        <w:rPr>
          <w:rFonts w:asciiTheme="minorHAnsi" w:hAnsiTheme="minorHAnsi"/>
          <w:lang w:val="en-US"/>
        </w:rPr>
        <w:t xml:space="preserve">according to the </w:t>
      </w:r>
      <w:r w:rsidR="00634EA7" w:rsidRPr="00E01303">
        <w:rPr>
          <w:rFonts w:asciiTheme="minorHAnsi" w:hAnsiTheme="minorHAnsi"/>
          <w:lang w:val="en-US"/>
        </w:rPr>
        <w:t xml:space="preserve">time of </w:t>
      </w:r>
      <w:r w:rsidR="00634EA7" w:rsidRPr="00E01303">
        <w:rPr>
          <w:rFonts w:asciiTheme="minorHAnsi" w:hAnsiTheme="minorHAnsi" w:cstheme="minorHAnsi"/>
          <w:lang w:val="en-US"/>
        </w:rPr>
        <w:t>measure</w:t>
      </w:r>
      <w:r w:rsidR="0057746C" w:rsidRPr="00E01303">
        <w:rPr>
          <w:rFonts w:asciiTheme="minorHAnsi" w:hAnsiTheme="minorHAnsi" w:cstheme="minorHAnsi"/>
          <w:lang w:val="en-US"/>
        </w:rPr>
        <w:t xml:space="preserve"> (A. P</w:t>
      </w:r>
      <w:r w:rsidR="00634EA7" w:rsidRPr="00E01303">
        <w:rPr>
          <w:rFonts w:asciiTheme="minorHAnsi" w:hAnsiTheme="minorHAnsi" w:cstheme="minorHAnsi"/>
          <w:lang w:val="en-US"/>
        </w:rPr>
        <w:t>re-</w:t>
      </w:r>
      <w:r w:rsidR="0057746C" w:rsidRPr="00E01303">
        <w:rPr>
          <w:rFonts w:asciiTheme="minorHAnsi" w:hAnsiTheme="minorHAnsi" w:cstheme="minorHAnsi"/>
          <w:lang w:val="en-US"/>
        </w:rPr>
        <w:t xml:space="preserve">angioplasty or B. Post-angioplasty); as well as the </w:t>
      </w:r>
      <w:r w:rsidR="00634EA7" w:rsidRPr="00E01303">
        <w:rPr>
          <w:rFonts w:asciiTheme="minorHAnsi" w:hAnsiTheme="minorHAnsi" w:cstheme="minorHAnsi"/>
          <w:lang w:val="en-US"/>
        </w:rPr>
        <w:t>location of coronary sampling (com</w:t>
      </w:r>
      <w:r w:rsidR="0057746C" w:rsidRPr="00E01303">
        <w:rPr>
          <w:rFonts w:asciiTheme="minorHAnsi" w:hAnsiTheme="minorHAnsi" w:cstheme="minorHAnsi"/>
          <w:lang w:val="en-US"/>
        </w:rPr>
        <w:t xml:space="preserve">parison between two coronary lumen diameters </w:t>
      </w:r>
      <w:r w:rsidR="00EE4D54" w:rsidRPr="00E01303">
        <w:rPr>
          <w:rFonts w:asciiTheme="minorHAnsi" w:hAnsiTheme="minorHAnsi" w:cstheme="minorHAnsi"/>
          <w:lang w:val="en-US"/>
        </w:rPr>
        <w:t>at</w:t>
      </w:r>
      <w:r w:rsidR="0057746C" w:rsidRPr="00E01303">
        <w:rPr>
          <w:rFonts w:asciiTheme="minorHAnsi" w:hAnsiTheme="minorHAnsi" w:cstheme="minorHAnsi"/>
          <w:lang w:val="en-US"/>
        </w:rPr>
        <w:t xml:space="preserve"> cutoff 3.5mm, measured by </w:t>
      </w:r>
      <w:r w:rsidR="00634EA7" w:rsidRPr="00E01303">
        <w:rPr>
          <w:rFonts w:asciiTheme="minorHAnsi" w:hAnsiTheme="minorHAnsi" w:cstheme="minorHAnsi"/>
          <w:lang w:val="en-US"/>
        </w:rPr>
        <w:t>intravascular ultrasound</w:t>
      </w:r>
      <w:r w:rsidR="0057746C" w:rsidRPr="00E01303">
        <w:rPr>
          <w:rFonts w:asciiTheme="minorHAnsi" w:hAnsiTheme="minorHAnsi" w:cstheme="minorHAnsi"/>
          <w:lang w:val="en-US"/>
        </w:rPr>
        <w:t>)</w:t>
      </w:r>
      <w:r w:rsidR="00EE4D54" w:rsidRPr="00E01303">
        <w:rPr>
          <w:rFonts w:asciiTheme="minorHAnsi" w:hAnsiTheme="minorHAnsi" w:cstheme="minorHAnsi"/>
          <w:lang w:val="en-US"/>
        </w:rPr>
        <w:t xml:space="preserve">. </w:t>
      </w:r>
      <w:r w:rsidR="00EE4D54" w:rsidRPr="00EE5052">
        <w:rPr>
          <w:rStyle w:val="Ninguno"/>
          <w:rFonts w:asciiTheme="minorHAnsi" w:hAnsiTheme="minorHAnsi" w:cstheme="minorHAnsi"/>
        </w:rPr>
        <w:t xml:space="preserve">(*) indicates p&lt;0.05 difference of biomarkers </w:t>
      </w:r>
      <w:r w:rsidR="00EE4D54" w:rsidRPr="00E01303">
        <w:rPr>
          <w:rFonts w:asciiTheme="minorHAnsi" w:hAnsiTheme="minorHAnsi" w:cstheme="minorHAnsi"/>
          <w:lang w:val="en-US"/>
        </w:rPr>
        <w:t xml:space="preserve">obtained pre- </w:t>
      </w:r>
      <w:r w:rsidR="00EE4D54" w:rsidRPr="00E01303">
        <w:rPr>
          <w:rFonts w:asciiTheme="minorHAnsi" w:hAnsiTheme="minorHAnsi" w:cstheme="minorHAnsi"/>
          <w:i/>
          <w:lang w:val="en-US"/>
        </w:rPr>
        <w:t>vs</w:t>
      </w:r>
      <w:r w:rsidR="00EE4D54" w:rsidRPr="00E01303">
        <w:rPr>
          <w:rFonts w:asciiTheme="minorHAnsi" w:hAnsiTheme="minorHAnsi" w:cstheme="minorHAnsi"/>
          <w:lang w:val="en-US"/>
        </w:rPr>
        <w:t xml:space="preserve"> post-angioplasty; and difference of sampling at locations of coronary lumen diameters ≤3.5mm </w:t>
      </w:r>
      <w:r w:rsidR="00EE4D54" w:rsidRPr="00E01303">
        <w:rPr>
          <w:rFonts w:asciiTheme="minorHAnsi" w:hAnsiTheme="minorHAnsi" w:cstheme="minorHAnsi"/>
          <w:i/>
          <w:lang w:val="en-US"/>
        </w:rPr>
        <w:t>vs</w:t>
      </w:r>
      <w:r w:rsidR="00EE4D54" w:rsidRPr="00E01303">
        <w:rPr>
          <w:rFonts w:asciiTheme="minorHAnsi" w:hAnsiTheme="minorHAnsi" w:cstheme="minorHAnsi"/>
          <w:lang w:val="en-US"/>
        </w:rPr>
        <w:t xml:space="preserve"> &gt;3.5mm. </w:t>
      </w:r>
      <w:r w:rsidRPr="00E01303">
        <w:rPr>
          <w:rFonts w:asciiTheme="minorHAnsi" w:hAnsiTheme="minorHAnsi" w:cstheme="minorHAnsi"/>
          <w:lang w:val="en-US"/>
        </w:rPr>
        <w:t>This figure has been modified from [Suárez-Cuenca, J.A., Vera-Gómez, E., Hernández-Patricio, A., Gutiérrez-</w:t>
      </w:r>
      <w:proofErr w:type="spellStart"/>
      <w:r w:rsidRPr="00E01303">
        <w:rPr>
          <w:rFonts w:asciiTheme="minorHAnsi" w:hAnsiTheme="minorHAnsi" w:cstheme="minorHAnsi"/>
          <w:lang w:val="en-US"/>
        </w:rPr>
        <w:t>Buendía</w:t>
      </w:r>
      <w:proofErr w:type="spellEnd"/>
      <w:r w:rsidRPr="00E01303">
        <w:rPr>
          <w:rFonts w:asciiTheme="minorHAnsi" w:hAnsiTheme="minorHAnsi" w:cstheme="minorHAnsi"/>
          <w:lang w:val="en-US"/>
        </w:rPr>
        <w:t xml:space="preserve">, J.A., Domínguez-Pérez, G.A., Robledo-Nolasco, R., et al. </w:t>
      </w:r>
      <w:r w:rsidRPr="00EE5052">
        <w:rPr>
          <w:rFonts w:asciiTheme="minorHAnsi" w:hAnsiTheme="minorHAnsi" w:cstheme="minorHAnsi"/>
          <w:lang w:val="en-US"/>
        </w:rPr>
        <w:t xml:space="preserve">Relation of Coronary Artery Lumen with Baseline, Post-angioplasty Coronary Circulating Pro-Inflammatory Cytokines in Patients with Coronary Artery Disease. </w:t>
      </w:r>
      <w:r w:rsidRPr="00EE5052">
        <w:rPr>
          <w:rFonts w:asciiTheme="minorHAnsi" w:hAnsiTheme="minorHAnsi" w:cstheme="minorHAnsi"/>
          <w:i/>
          <w:lang w:val="en-US"/>
        </w:rPr>
        <w:t>Angiol</w:t>
      </w:r>
      <w:r w:rsidR="00E01303">
        <w:rPr>
          <w:rFonts w:asciiTheme="minorHAnsi" w:hAnsiTheme="minorHAnsi" w:cstheme="minorHAnsi"/>
          <w:i/>
          <w:lang w:val="en-US"/>
        </w:rPr>
        <w:t>ogy</w:t>
      </w:r>
      <w:r w:rsidRPr="00EE5052">
        <w:rPr>
          <w:rFonts w:asciiTheme="minorHAnsi" w:hAnsiTheme="minorHAnsi" w:cstheme="minorHAnsi"/>
          <w:i/>
          <w:lang w:val="en-US"/>
        </w:rPr>
        <w:t xml:space="preserve"> Open Access</w:t>
      </w:r>
      <w:r w:rsidRPr="00EE5052">
        <w:rPr>
          <w:rFonts w:asciiTheme="minorHAnsi" w:hAnsiTheme="minorHAnsi" w:cstheme="minorHAnsi"/>
          <w:lang w:val="en-US"/>
        </w:rPr>
        <w:t xml:space="preserve"> </w:t>
      </w:r>
      <w:r w:rsidRPr="00EE5052">
        <w:rPr>
          <w:rFonts w:asciiTheme="minorHAnsi" w:hAnsiTheme="minorHAnsi" w:cstheme="minorHAnsi"/>
          <w:b/>
          <w:lang w:val="en-US"/>
        </w:rPr>
        <w:t>7</w:t>
      </w:r>
      <w:r w:rsidRPr="00EE5052">
        <w:rPr>
          <w:rFonts w:asciiTheme="minorHAnsi" w:hAnsiTheme="minorHAnsi" w:cstheme="minorHAnsi"/>
          <w:lang w:val="en-US"/>
        </w:rPr>
        <w:t xml:space="preserve">, 01. </w:t>
      </w:r>
      <w:proofErr w:type="spellStart"/>
      <w:r w:rsidRPr="00EE5052">
        <w:rPr>
          <w:rFonts w:asciiTheme="minorHAnsi" w:hAnsiTheme="minorHAnsi" w:cstheme="minorHAnsi"/>
          <w:lang w:val="en-US"/>
        </w:rPr>
        <w:t>doi</w:t>
      </w:r>
      <w:proofErr w:type="spellEnd"/>
      <w:r w:rsidRPr="00EE5052">
        <w:rPr>
          <w:rFonts w:asciiTheme="minorHAnsi" w:hAnsiTheme="minorHAnsi" w:cstheme="minorHAnsi"/>
          <w:lang w:val="en-US"/>
        </w:rPr>
        <w:t>: 10.24105/2329-9495.7.227 (2019).]</w:t>
      </w:r>
      <w:r w:rsidRPr="00EE5052">
        <w:rPr>
          <w:rFonts w:asciiTheme="minorHAnsi" w:hAnsiTheme="minorHAnsi" w:cstheme="minorHAnsi"/>
          <w:vertAlign w:val="superscript"/>
          <w:lang w:val="en-US"/>
        </w:rPr>
        <w:t>1</w:t>
      </w:r>
      <w:r w:rsidR="0012501E">
        <w:rPr>
          <w:rFonts w:asciiTheme="minorHAnsi" w:hAnsiTheme="minorHAnsi" w:cstheme="minorHAnsi"/>
          <w:vertAlign w:val="superscript"/>
          <w:lang w:val="en-US"/>
        </w:rPr>
        <w:t>1</w:t>
      </w:r>
      <w:r w:rsidRPr="00EE5052">
        <w:rPr>
          <w:rFonts w:asciiTheme="minorHAnsi" w:hAnsiTheme="minorHAnsi" w:cstheme="minorHAnsi"/>
          <w:lang w:val="en-US"/>
        </w:rPr>
        <w:t>.</w:t>
      </w:r>
    </w:p>
    <w:p w:rsidR="00433F6E" w:rsidRPr="00EE5052" w:rsidRDefault="00433F6E" w:rsidP="00433F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80362E" w:rsidRPr="00EE5052" w:rsidRDefault="0080362E" w:rsidP="003E3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" w:eastAsia="es-MX"/>
        </w:rPr>
      </w:pPr>
    </w:p>
    <w:p w:rsidR="0080362E" w:rsidRPr="00EE5052" w:rsidRDefault="0080362E" w:rsidP="00FA04F5">
      <w:pPr>
        <w:spacing w:line="240" w:lineRule="auto"/>
        <w:jc w:val="both"/>
        <w:rPr>
          <w:sz w:val="24"/>
          <w:szCs w:val="24"/>
          <w:shd w:val="clear" w:color="auto" w:fill="FFFFFF"/>
          <w:lang w:val="en-US"/>
        </w:rPr>
      </w:pPr>
    </w:p>
    <w:p w:rsidR="00C146C8" w:rsidRPr="00EE5052" w:rsidRDefault="00C146C8" w:rsidP="00FA04F5">
      <w:pPr>
        <w:spacing w:line="240" w:lineRule="auto"/>
        <w:rPr>
          <w:sz w:val="24"/>
          <w:szCs w:val="24"/>
          <w:lang w:val="en-US"/>
        </w:rPr>
      </w:pPr>
    </w:p>
    <w:sectPr w:rsidR="00C146C8" w:rsidRPr="00EE50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94F38"/>
    <w:multiLevelType w:val="hybridMultilevel"/>
    <w:tmpl w:val="2A9631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7F54"/>
    <w:multiLevelType w:val="hybridMultilevel"/>
    <w:tmpl w:val="505C649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0456B"/>
    <w:multiLevelType w:val="multilevel"/>
    <w:tmpl w:val="9AA05F9E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70"/>
    <w:rsid w:val="00077850"/>
    <w:rsid w:val="000D69A1"/>
    <w:rsid w:val="000F76BA"/>
    <w:rsid w:val="0012501E"/>
    <w:rsid w:val="002221F6"/>
    <w:rsid w:val="002A0200"/>
    <w:rsid w:val="00333BD1"/>
    <w:rsid w:val="003E3F8B"/>
    <w:rsid w:val="00433F6E"/>
    <w:rsid w:val="0057746C"/>
    <w:rsid w:val="00634EA7"/>
    <w:rsid w:val="006355FC"/>
    <w:rsid w:val="00652C2F"/>
    <w:rsid w:val="006D6A70"/>
    <w:rsid w:val="007208A0"/>
    <w:rsid w:val="0080362E"/>
    <w:rsid w:val="00826566"/>
    <w:rsid w:val="008819CD"/>
    <w:rsid w:val="008E3C9D"/>
    <w:rsid w:val="00913CBB"/>
    <w:rsid w:val="00AB0FF9"/>
    <w:rsid w:val="00BA55B9"/>
    <w:rsid w:val="00C146C8"/>
    <w:rsid w:val="00C605C9"/>
    <w:rsid w:val="00CD6AA7"/>
    <w:rsid w:val="00D11857"/>
    <w:rsid w:val="00D14DAD"/>
    <w:rsid w:val="00DB21EF"/>
    <w:rsid w:val="00DB72F8"/>
    <w:rsid w:val="00E01303"/>
    <w:rsid w:val="00EE4D54"/>
    <w:rsid w:val="00EE5052"/>
    <w:rsid w:val="00F62427"/>
    <w:rsid w:val="00F9514A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C35B"/>
  <w15:chartTrackingRefBased/>
  <w15:docId w15:val="{755CEE17-6F0F-47FF-97E2-58A499E4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F76BA"/>
    <w:pPr>
      <w:keepNext/>
      <w:widowControl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Calibri" w:eastAsia="Times New Roman" w:hAnsi="Calibri" w:cs="Times New Roman"/>
      <w:b/>
      <w:bCs/>
      <w:color w:val="000000"/>
      <w:kern w:val="32"/>
      <w:sz w:val="28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6A70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H2">
    <w:name w:val="H2"/>
    <w:basedOn w:val="Normal"/>
    <w:rsid w:val="008819CD"/>
    <w:pPr>
      <w:spacing w:before="240" w:after="240" w:line="240" w:lineRule="auto"/>
    </w:pPr>
    <w:rPr>
      <w:rFonts w:ascii="Times New Roman" w:eastAsia="Times New Roman" w:hAnsi="Times New Roman" w:cs="Times New Roman"/>
      <w:color w:val="C0504D"/>
      <w:sz w:val="32"/>
      <w:szCs w:val="24"/>
      <w:lang w:val="en-GB"/>
    </w:rPr>
  </w:style>
  <w:style w:type="character" w:customStyle="1" w:styleId="Ninguno">
    <w:name w:val="Ninguno"/>
    <w:rsid w:val="00FA04F5"/>
    <w:rPr>
      <w:lang w:val="en-US"/>
    </w:rPr>
  </w:style>
  <w:style w:type="paragraph" w:customStyle="1" w:styleId="Puesto1">
    <w:name w:val="Puesto1"/>
    <w:basedOn w:val="Normal"/>
    <w:rsid w:val="004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433F6E"/>
    <w:rPr>
      <w:color w:val="0000FF"/>
      <w:u w:val="single"/>
    </w:rPr>
  </w:style>
  <w:style w:type="paragraph" w:customStyle="1" w:styleId="desc">
    <w:name w:val="desc"/>
    <w:basedOn w:val="Normal"/>
    <w:rsid w:val="004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tails">
    <w:name w:val="details"/>
    <w:basedOn w:val="Normal"/>
    <w:rsid w:val="004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jrnl">
    <w:name w:val="jrnl"/>
    <w:basedOn w:val="Fuentedeprrafopredeter"/>
    <w:rsid w:val="00433F6E"/>
  </w:style>
  <w:style w:type="paragraph" w:customStyle="1" w:styleId="Puesto10">
    <w:name w:val="Puesto1"/>
    <w:basedOn w:val="Normal"/>
    <w:rsid w:val="004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0F76BA"/>
    <w:rPr>
      <w:rFonts w:ascii="Calibri" w:eastAsia="Times New Roman" w:hAnsi="Calibri" w:cs="Times New Roman"/>
      <w:b/>
      <w:bCs/>
      <w:color w:val="000000"/>
      <w:kern w:val="32"/>
      <w:sz w:val="28"/>
      <w:szCs w:val="32"/>
      <w:lang w:val="en-US"/>
    </w:rPr>
  </w:style>
  <w:style w:type="character" w:styleId="nfasis">
    <w:name w:val="Emphasis"/>
    <w:basedOn w:val="Fuentedeprrafopredeter"/>
    <w:uiPriority w:val="20"/>
    <w:qFormat/>
    <w:rsid w:val="000F7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345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31069956" TargetMode="External"/><Relationship Id="rId5" Type="http://schemas.openxmlformats.org/officeDocument/2006/relationships/hyperlink" Target="https://www.ncbi.nlm.nih.gov/pubmed/310699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Suarez Cuenca</dc:creator>
  <cp:keywords/>
  <dc:description/>
  <cp:lastModifiedBy>Propietario</cp:lastModifiedBy>
  <cp:revision>21</cp:revision>
  <dcterms:created xsi:type="dcterms:W3CDTF">2019-06-25T17:11:00Z</dcterms:created>
  <dcterms:modified xsi:type="dcterms:W3CDTF">2019-08-29T19:31:00Z</dcterms:modified>
</cp:coreProperties>
</file>