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Coronary Progenitor Cells and Soluble Biomarkers in Cardiovascular Prognosis after Coronary Angioplasty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Antonio Su&amp;#225;rez-Cuenca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Rogelio </w:t>
      </w:r>
      <w:r>
        <w:rPr>
          <w:rFonts w:ascii="Calibri" w:hAnsi="Calibri" w:cs="Calibri" w:eastAsia="Calibri"/>
          <w:color w:val="auto"/>
          <w:spacing w:val="0"/>
          <w:position w:val="0"/>
          <w:sz w:val="24"/>
          <w:shd w:fill="FFFFFF" w:val="clear"/>
        </w:rPr>
        <w:t xml:space="preserve">Robledo-Nolasco</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Marco Antonio Alc&amp;#225;ntara-Mel&amp;#233;ndez</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Luis Javier D&amp;#237;az-Hern&amp;#225;ndez</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Eduardo Vera-G&amp;#243;mez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Alejandro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Hern&amp;#225;ndez-Patricio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Karla Susana S&amp;#225;nchez-D&amp;#237;az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Juan Ariel Guti&amp;#233;rrez-Buend&amp;#237;a-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Alejandra Contreras-Ramos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Atzin Su&amp;#225; Ru&amp;#237;z-Hern&amp;#225;ndez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Rebeca P&amp;#233;rez-Cabeza de Vaca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Mondrag&amp;#243;n-Ter&amp;#225;n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Experimental Metabolism and Clinical Research Laboratory &amp;amp; Regenerative Medicine and Tissue Engineering Laboratory, Mexico City, Mexico</w:t>
      </w: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Hemodynamics Unit, Cardiology Department, Centro M&amp;#233;dico Nacional “20 de Noviembre” ISSSTE, Mexico City, Mexico</w:t>
      </w: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b/>
          <w:strike w:val="true"/>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Laboratorio de Biolog&amp;#237;a del Desarrollo y Teratog&amp;#233;nesis Experimental, Hospital Infantil de M&amp;#233;xico Federico G&amp;#243;mez, Mexico City, Mexico</w:t>
      </w: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Antonio Su&amp;#225;rez-Cuenca </w:t>
        <w:tab/>
        <w:tab/>
        <w:tab/>
      </w:r>
      <w:r>
        <w:rPr>
          <w:rFonts w:ascii="Calibri" w:hAnsi="Calibri" w:cs="Calibri" w:eastAsia="Calibri"/>
          <w:color w:val="000000"/>
          <w:spacing w:val="0"/>
          <w:position w:val="0"/>
          <w:sz w:val="24"/>
          <w:shd w:fill="auto" w:val="clear"/>
        </w:rPr>
        <w:t xml:space="preserve">(suarej05@gmail.com)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auto" w:val="clear"/>
        </w:rPr>
        <w:t xml:space="preserve">Rogelio </w:t>
      </w:r>
      <w:r>
        <w:rPr>
          <w:rFonts w:ascii="Calibri" w:hAnsi="Calibri" w:cs="Calibri" w:eastAsia="Calibri"/>
          <w:color w:val="auto"/>
          <w:spacing w:val="0"/>
          <w:position w:val="0"/>
          <w:sz w:val="24"/>
          <w:shd w:fill="FFFFFF" w:val="clear"/>
        </w:rPr>
        <w:t xml:space="preserve">Robledo-Nolasco</w:t>
        <w:tab/>
        <w:tab/>
        <w:tab/>
        <w:t xml:space="preserve">(rogelio_robledo@hotmail.com)</w:t>
      </w:r>
      <w:r>
        <w:rPr>
          <w:rFonts w:ascii="Calibri" w:hAnsi="Calibri" w:cs="Calibri" w:eastAsia="Calibri"/>
          <w:b/>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Marco Antonio Alc&amp;#225;ntara-Mel&amp;#233;ndez</w:t>
      </w:r>
      <w:r>
        <w:rPr>
          <w:rFonts w:ascii="Calibri" w:hAnsi="Calibri" w:cs="Calibri" w:eastAsia="Calibri"/>
          <w:color w:val="auto"/>
          <w:spacing w:val="0"/>
          <w:position w:val="0"/>
          <w:sz w:val="24"/>
          <w:shd w:fill="FFFFFF" w:val="clear"/>
          <w:vertAlign w:val="superscript"/>
        </w:rPr>
        <w:tab/>
        <w:tab/>
      </w:r>
      <w:r>
        <w:rPr>
          <w:rFonts w:ascii="Calibri" w:hAnsi="Calibri" w:cs="Calibri" w:eastAsia="Calibri"/>
          <w:color w:val="auto"/>
          <w:spacing w:val="0"/>
          <w:position w:val="0"/>
          <w:sz w:val="24"/>
          <w:shd w:fill="FFFFFF" w:val="clear"/>
        </w:rPr>
        <w:t xml:space="preserve">(marco.alcantara@gmail.com)</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Luis Javier D&amp;#237;az-Hern&amp;#225;ndez</w:t>
        <w:tab/>
        <w:tab/>
        <w:tab/>
        <w:t xml:space="preserve">(ljdh18@hotmail.com)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Eduardo Vera-G&amp;#243;mez</w:t>
        <w:tab/>
        <w:tab/>
        <w:tab/>
        <w:tab/>
        <w:t xml:space="preserve">(eduardovera20</w:t>
      </w:r>
      <w:r>
        <w:rPr>
          <w:rFonts w:ascii="Calibri" w:hAnsi="Calibri" w:cs="Calibri" w:eastAsia="Calibri"/>
          <w:color w:val="auto"/>
          <w:spacing w:val="0"/>
          <w:position w:val="0"/>
          <w:sz w:val="24"/>
          <w:shd w:fill="FFFFFF" w:val="clear"/>
        </w:rPr>
        <w:t xml:space="preserve">@gmail.com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Alejandro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Hern&amp;#225;ndez-Patricio</w:t>
        <w:tab/>
        <w:tab/>
        <w:tab/>
        <w:t xml:space="preserve">(alejansdrospa44</w:t>
      </w:r>
      <w:r>
        <w:rPr>
          <w:rFonts w:ascii="Calibri" w:hAnsi="Calibri" w:cs="Calibri" w:eastAsia="Calibri"/>
          <w:color w:val="auto"/>
          <w:spacing w:val="0"/>
          <w:position w:val="0"/>
          <w:sz w:val="24"/>
          <w:shd w:fill="FFFFFF" w:val="clear"/>
        </w:rPr>
        <w:t xml:space="preserve">@gmail.com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Karla Susana S&amp;#225;nchez-D&amp;#237;az</w:t>
        <w:tab/>
        <w:tab/>
        <w:tab/>
        <w:t xml:space="preserve">(susacrue</w:t>
      </w:r>
      <w:r>
        <w:rPr>
          <w:rFonts w:ascii="Calibri" w:hAnsi="Calibri" w:cs="Calibri" w:eastAsia="Calibri"/>
          <w:color w:val="auto"/>
          <w:spacing w:val="0"/>
          <w:position w:val="0"/>
          <w:sz w:val="24"/>
          <w:shd w:fill="FFFFFF" w:val="clear"/>
        </w:rPr>
        <w:t xml:space="preserve">@gmail.com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Ariel Buend&amp;#237;a-Guti&amp;#233;rrez</w:t>
        <w:tab/>
        <w:tab/>
        <w:tab/>
        <w:t xml:space="preserve">(ariel.gtz.q</w:t>
      </w:r>
      <w:r>
        <w:rPr>
          <w:rFonts w:ascii="Calibri" w:hAnsi="Calibri" w:cs="Calibri" w:eastAsia="Calibri"/>
          <w:color w:val="auto"/>
          <w:spacing w:val="0"/>
          <w:position w:val="0"/>
          <w:sz w:val="24"/>
          <w:shd w:fill="FFFFFF" w:val="clear"/>
        </w:rPr>
        <w:t xml:space="preserve">@gmail.com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Alejandra Contreras-Ramos</w:t>
        <w:tab/>
        <w:tab/>
        <w:tab/>
        <w:t xml:space="preserve">(</w:t>
      </w:r>
      <w:r>
        <w:rPr>
          <w:rFonts w:ascii="Calibri" w:hAnsi="Calibri" w:cs="Calibri" w:eastAsia="Calibri"/>
          <w:color w:val="auto"/>
          <w:spacing w:val="0"/>
          <w:position w:val="0"/>
          <w:sz w:val="24"/>
          <w:shd w:fill="FFFFFF" w:val="clear"/>
        </w:rPr>
        <w:t xml:space="preserve">acora_ramos@hotmail.com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Atzin Su&amp;#225; Ru&amp;#237;z-Hern&amp;#225;ndez</w:t>
        <w:tab/>
        <w:tab/>
        <w:tab/>
        <w:t xml:space="preserve">(atzinruizh</w:t>
      </w:r>
      <w:r>
        <w:rPr>
          <w:rFonts w:ascii="Calibri" w:hAnsi="Calibri" w:cs="Calibri" w:eastAsia="Calibri"/>
          <w:color w:val="auto"/>
          <w:spacing w:val="0"/>
          <w:position w:val="0"/>
          <w:sz w:val="24"/>
          <w:shd w:fill="FFFFFF" w:val="clear"/>
        </w:rPr>
        <w:t xml:space="preserve">@gmail.com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Rebeca P&amp;#233;rez-Cabeza de Vaca</w:t>
        <w:tab/>
        <w:tab/>
        <w:t xml:space="preserve">(esderebk</w:t>
      </w:r>
      <w:r>
        <w:rPr>
          <w:rFonts w:ascii="Calibri" w:hAnsi="Calibri" w:cs="Calibri" w:eastAsia="Calibri"/>
          <w:color w:val="auto"/>
          <w:spacing w:val="0"/>
          <w:position w:val="0"/>
          <w:sz w:val="24"/>
          <w:shd w:fill="FFFFFF" w:val="clear"/>
        </w:rPr>
        <w:t xml:space="preserve">@gmail.com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Mondrag&amp;#243;n-Ter&amp;#225;n</w:t>
        <w:tab/>
        <w:tab/>
        <w:tab/>
        <w:t xml:space="preserve">(p.mondragonteran</w:t>
      </w:r>
      <w:r>
        <w:rPr>
          <w:rFonts w:ascii="Calibri" w:hAnsi="Calibri" w:cs="Calibri" w:eastAsia="Calibri"/>
          <w:color w:val="auto"/>
          <w:spacing w:val="0"/>
          <w:position w:val="0"/>
          <w:sz w:val="24"/>
          <w:shd w:fill="FFFFFF" w:val="clear"/>
        </w:rPr>
        <w:t xml:space="preserve">@gmail.com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coronary circulating MPCs, soluble biomarkers, sICAM-1, MMP-9, malondialdehyde, SOD, cardiovascular prognosis, MACEs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major adverse cardiovascular events, which impact cardiovascular prognosis after coronary angioplasty, are influenced by the extent of coronary damage and vascular repair.</w:t>
      </w:r>
      <w:r>
        <w:rPr>
          <w:rFonts w:ascii="Calibri" w:hAnsi="Calibri" w:cs="Calibri" w:eastAsia="Calibri"/>
          <w:color w:val="auto"/>
          <w:spacing w:val="0"/>
          <w:position w:val="0"/>
          <w:sz w:val="24"/>
          <w:shd w:fill="FFFFFF" w:val="clear"/>
        </w:rPr>
        <w:t xml:space="preserve"> The use of novel coronary cellular and soluble biomarkers, reactive to vascular damage and repair, are useful to predict the developme</w:t>
      </w:r>
      <w:r>
        <w:rPr>
          <w:rFonts w:ascii="Calibri" w:hAnsi="Calibri" w:cs="Calibri" w:eastAsia="Calibri"/>
          <w:color w:val="auto"/>
          <w:spacing w:val="0"/>
          <w:position w:val="0"/>
          <w:sz w:val="24"/>
          <w:shd w:fill="auto" w:val="clear"/>
        </w:rPr>
        <w:t xml:space="preserve">nt of MACEs and prognosis.</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Major adverse cardiovascular events (MACEs) negatively impact the cardiovascular prognosis of patients undergoing coronary angioplasty due to coronary ischemic injury. The extent of coronary damage and the mechanisms of vascular repair are factors influencing the future development of MACEs. Intrinsic vascular features like the plaque characteristics and coronary artery complexity have demonstrated prognostic information for MACEs. However, the use of intracoronary circulating biomarkers has been postulated as a convenient method for the early identification and prognosis of MACEs, as they more closely reflect dynamic mechanisms involving coronary</w:t>
      </w:r>
      <w:r>
        <w:rPr>
          <w:rFonts w:ascii="Calibri" w:hAnsi="Calibri" w:cs="Calibri" w:eastAsia="Calibri"/>
          <w:color w:val="auto"/>
          <w:spacing w:val="0"/>
          <w:position w:val="0"/>
          <w:sz w:val="24"/>
          <w:shd w:fill="FFFFFF" w:val="clear"/>
        </w:rPr>
        <w:t xml:space="preserve"> damage and repair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Determination of coronary circulating biomarkers during angioplasty, such as the number of subpopulations of mononuclear progenitor cells (MPCs) as well as the concentration of soluble molecules reflecting inflammation, cell adhesion, and repair, </w:t>
      </w:r>
      <w:r>
        <w:rPr>
          <w:rFonts w:ascii="Calibri" w:hAnsi="Calibri" w:cs="Calibri" w:eastAsia="Calibri"/>
          <w:color w:val="auto"/>
          <w:spacing w:val="0"/>
          <w:position w:val="0"/>
          <w:sz w:val="24"/>
          <w:shd w:fill="auto" w:val="clear"/>
        </w:rPr>
        <w:t xml:space="preserve">allows for assessment of </w:t>
      </w:r>
      <w:r>
        <w:rPr>
          <w:rFonts w:ascii="Calibri" w:hAnsi="Calibri" w:cs="Calibri" w:eastAsia="Calibri"/>
          <w:color w:val="auto"/>
          <w:spacing w:val="0"/>
          <w:position w:val="0"/>
          <w:sz w:val="24"/>
          <w:shd w:fill="FFFFFF" w:val="clear"/>
        </w:rPr>
        <w:t xml:space="preserve">future developme</w:t>
      </w:r>
      <w:r>
        <w:rPr>
          <w:rFonts w:ascii="Calibri" w:hAnsi="Calibri" w:cs="Calibri" w:eastAsia="Calibri"/>
          <w:color w:val="auto"/>
          <w:spacing w:val="0"/>
          <w:position w:val="0"/>
          <w:sz w:val="24"/>
          <w:shd w:fill="auto" w:val="clear"/>
        </w:rPr>
        <w:t xml:space="preserve">nts and the prognosis of MACEs 6 months post coronary angioplasty. This method is highlighted by its translational nature and better performance than peripheral blood circulating biomarkers regarding prediction of MACEs and its effect on the cardiovascular prognosis, which may be applied for risk stratification of patients with coronary artery disease undergoing angioplasty.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Coronary angioplasty and stenting represent a salvage procedure for patients with coronary artery disease (CAD). However, major adverse cardiovascular events (MACEs), including cardiovascular death, myocardial infarction, coronary restenosis, and episodes of angina or decompensate heart failure, may occur months after coronary intervention, prompting unscheduled visits to the hospital. MACEs are common worldwide and their morbi-mortality is high</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Coronary ischemic injury induces early vascular response and reparative mechanisms involving mobilization of MPCs due to their </w:t>
      </w:r>
      <w:r>
        <w:rPr>
          <w:rFonts w:ascii="Calibri" w:hAnsi="Calibri" w:cs="Calibri" w:eastAsia="Calibri"/>
          <w:color w:val="212121"/>
          <w:spacing w:val="0"/>
          <w:position w:val="0"/>
          <w:sz w:val="24"/>
          <w:shd w:fill="FFFFFF" w:val="clear"/>
        </w:rPr>
        <w:t xml:space="preserve">differentiation ability and/or angio-reparative potential</w:t>
      </w:r>
      <w:r>
        <w:rPr>
          <w:rFonts w:ascii="Calibri" w:hAnsi="Calibri" w:cs="Calibri" w:eastAsia="Calibri"/>
          <w:color w:val="auto"/>
          <w:spacing w:val="0"/>
          <w:position w:val="0"/>
          <w:sz w:val="24"/>
          <w:shd w:fill="FFFFFF" w:val="clear"/>
        </w:rPr>
        <w:t xml:space="preserve">, as well as the production of soluble molecules like intercellular adhesion molecules (ICAMs), matrix metalloproteinases (MMPs), and reactive oxygen species, reflecting cell adhesion, tissue remodeling, and oxidative stress. Although intrinsic vascular features like plaque characteristics and coronary artery complexity have been used to predict MACEs, some studies have suggested that biomarkers related to the mechanisms of injury and repair occurring in the coronary endothelium could be very useful for the early identification and prognosis of cardiovascular events in patients with CAD submitted to coronary angioplasty</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Continuous interest in understanding the mechanisms underlying CAD injury and repair has motivated investigators to study intracoronary circulating biomarkers, because coronary sampling more closely reflects vascular damage and repair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characterization of coronary biomarkers in human studies has been scarce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the purpose of the present study was to describe a method to determine the amount of coronary circulating MPCs and </w:t>
      </w:r>
      <w:r>
        <w:rPr>
          <w:rFonts w:ascii="Calibri" w:hAnsi="Calibri" w:cs="Calibri" w:eastAsia="Calibri"/>
          <w:color w:val="auto"/>
          <w:spacing w:val="0"/>
          <w:position w:val="0"/>
          <w:sz w:val="24"/>
          <w:shd w:fill="FFFFFF" w:val="clear"/>
        </w:rPr>
        <w:t xml:space="preserve">soluble molecules, reflecting both </w:t>
      </w:r>
      <w:r>
        <w:rPr>
          <w:rFonts w:ascii="Calibri" w:hAnsi="Calibri" w:cs="Calibri" w:eastAsia="Calibri"/>
          <w:color w:val="auto"/>
          <w:spacing w:val="0"/>
          <w:position w:val="0"/>
          <w:sz w:val="24"/>
          <w:shd w:fill="auto" w:val="clear"/>
        </w:rPr>
        <w:t xml:space="preserve">vascular injury and repair,</w:t>
      </w:r>
      <w:r>
        <w:rPr>
          <w:rFonts w:ascii="Calibri" w:hAnsi="Calibri" w:cs="Calibri" w:eastAsia="Calibri"/>
          <w:color w:val="auto"/>
          <w:spacing w:val="0"/>
          <w:position w:val="0"/>
          <w:sz w:val="24"/>
          <w:shd w:fill="FFFFFF" w:val="clear"/>
        </w:rPr>
        <w:t xml:space="preserve"> and to show</w:t>
      </w:r>
      <w:r>
        <w:rPr>
          <w:rFonts w:ascii="Calibri" w:hAnsi="Calibri" w:cs="Calibri" w:eastAsia="Calibri"/>
          <w:color w:val="auto"/>
          <w:spacing w:val="0"/>
          <w:position w:val="0"/>
          <w:sz w:val="24"/>
          <w:shd w:fill="auto" w:val="clear"/>
        </w:rPr>
        <w:t xml:space="preserve"> whether these biomarkers are associated with MACEs and the clinical prognosis of CAD patients that underwent coronary angioplasty. This method is based on the use of vascular-related, circulating MPCs and </w:t>
      </w:r>
      <w:r>
        <w:rPr>
          <w:rFonts w:ascii="Calibri" w:hAnsi="Calibri" w:cs="Calibri" w:eastAsia="Calibri"/>
          <w:color w:val="auto"/>
          <w:spacing w:val="0"/>
          <w:position w:val="0"/>
          <w:sz w:val="24"/>
          <w:shd w:fill="FFFFFF" w:val="clear"/>
        </w:rPr>
        <w:t xml:space="preserve">soluble molecules </w:t>
      </w:r>
      <w:r>
        <w:rPr>
          <w:rFonts w:ascii="Calibri" w:hAnsi="Calibri" w:cs="Calibri" w:eastAsia="Calibri"/>
          <w:color w:val="auto"/>
          <w:spacing w:val="0"/>
          <w:position w:val="0"/>
          <w:sz w:val="24"/>
          <w:shd w:fill="auto" w:val="clear"/>
        </w:rPr>
        <w:t xml:space="preserve">obtained by sampling locations closest to the vessel damage. It may also be useful for clinical studies for lower limb ischemia, stroke, vasculitis, venous thrombosis, and other injuries involving vascular injury and repair.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This protocol meets the institutional guidelines from the human research Ethics Committee.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000000"/>
          <w:spacing w:val="0"/>
          <w:position w:val="0"/>
          <w:sz w:val="24"/>
          <w:shd w:fill="FFFF00" w:val="clear"/>
        </w:rPr>
        <w:t xml:space="preserve">Coronary angiography, ultrasound, and blood sampling</w:t>
      </w: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Request baseline clinical and demographic information before coronary intervention. Collect the individual's data: age, sex, current smoking status, body mass index (BMI), high blood pressure, dyslipidemia, diabetes mellitus, medications, and the indication for current coronary angiography.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auto"/>
          <w:spacing w:val="0"/>
          <w:position w:val="0"/>
          <w:sz w:val="24"/>
          <w:shd w:fill="FFFFFF" w:val="clear"/>
        </w:rPr>
        <w:t xml:space="preserve">Perform coronary angiography through heart catheterization using a radial approach. This procedure should be performed </w:t>
      </w:r>
      <w:r>
        <w:rPr>
          <w:rFonts w:ascii="Calibri" w:hAnsi="Calibri" w:cs="Calibri" w:eastAsia="Calibri"/>
          <w:color w:val="auto"/>
          <w:spacing w:val="0"/>
          <w:position w:val="0"/>
          <w:sz w:val="24"/>
          <w:shd w:fill="auto" w:val="clear"/>
        </w:rPr>
        <w:t xml:space="preserve">under a fluoroscopy guide in the hemodynamics room by expert cardiologists.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w:t>
      </w:r>
      <w:r>
        <w:rPr>
          <w:rFonts w:ascii="Calibri" w:hAnsi="Calibri" w:cs="Calibri" w:eastAsia="Calibri"/>
          <w:color w:val="auto"/>
          <w:spacing w:val="0"/>
          <w:position w:val="0"/>
          <w:sz w:val="24"/>
          <w:shd w:fill="FFFFFF" w:val="clear"/>
        </w:rPr>
        <w:t xml:space="preserve">dentify evaluable </w:t>
      </w:r>
      <w:r>
        <w:rPr>
          <w:rFonts w:ascii="Calibri" w:hAnsi="Calibri" w:cs="Calibri" w:eastAsia="Calibri"/>
          <w:color w:val="auto"/>
          <w:spacing w:val="0"/>
          <w:position w:val="0"/>
          <w:sz w:val="24"/>
          <w:shd w:fill="auto" w:val="clear"/>
        </w:rPr>
        <w:t xml:space="preserve">vessels. For the present study, evaluable vessels were defined as arteries with sections larger than 1.5 mm</w:t>
      </w:r>
      <w:r>
        <w:rPr>
          <w:rFonts w:ascii="Calibri" w:hAnsi="Calibri" w:cs="Calibri" w:eastAsia="Calibri"/>
          <w:color w:val="auto"/>
          <w:spacing w:val="0"/>
          <w:position w:val="0"/>
          <w:sz w:val="24"/>
          <w:shd w:fill="FFFFFF" w:val="clear"/>
        </w:rPr>
        <w:t xml:space="preserve"> and lumen stenosis of more than 50%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1.3.</w:t>
        <w:tab/>
      </w:r>
      <w:r>
        <w:rPr>
          <w:rFonts w:ascii="Calibri" w:hAnsi="Calibri" w:cs="Calibri" w:eastAsia="Calibri"/>
          <w:color w:val="auto"/>
          <w:spacing w:val="0"/>
          <w:position w:val="0"/>
          <w:sz w:val="24"/>
          <w:shd w:fill="FFFFFF" w:val="clear"/>
        </w:rPr>
        <w:t xml:space="preserve">Advance the intravascular ultrasound catheter to the region of interest and record images. Use the appropriate software to locate and measure the smallest luminal area.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Calibri" w:hAnsi="Calibri" w:cs="Calibri" w:eastAsia="Calibri"/>
          <w:color w:val="auto"/>
          <w:spacing w:val="0"/>
          <w:position w:val="0"/>
          <w:sz w:val="24"/>
          <w:shd w:fill="FFFFFF" w:val="clear"/>
        </w:rPr>
        <w:t xml:space="preserve">Use a </w:t>
      </w:r>
      <w:r>
        <w:rPr>
          <w:rFonts w:ascii="Calibri" w:hAnsi="Calibri" w:cs="Calibri" w:eastAsia="Calibri"/>
          <w:color w:val="auto"/>
          <w:spacing w:val="0"/>
          <w:position w:val="0"/>
          <w:sz w:val="24"/>
          <w:shd w:fill="FFFF00" w:val="clear"/>
        </w:rPr>
        <w:t xml:space="preserve">coronary catheter to collect 10 mL of blood from the closest location to the plaque.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After patient discharge, schedule periodical medical evaluations to follow up study endpoints. If telephone contact is not possible or a physician visit is delayed for longer than 2 months, request an authorized person (previously designed) to verify the study endpoints.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 any of the following a MACE: 1) cardiovascular death, 2) new myocardial infarction,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3) unstable angina prompting an unscheduled medical visit within 24 h, 4) stent restenosis as demonstrated by coronary angiography, 5) episodes of decompensated heart failure requiring clinical attention.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000000"/>
          <w:spacing w:val="0"/>
          <w:position w:val="0"/>
          <w:sz w:val="24"/>
          <w:shd w:fill="FFFFFF" w:val="clear"/>
        </w:rPr>
        <w:t xml:space="preserve">2.</w:t>
        <w:tab/>
      </w:r>
      <w:r>
        <w:rPr>
          <w:rFonts w:ascii="Calibri" w:hAnsi="Calibri" w:cs="Calibri" w:eastAsia="Calibri"/>
          <w:b/>
          <w:color w:val="auto"/>
          <w:spacing w:val="0"/>
          <w:position w:val="0"/>
          <w:sz w:val="24"/>
          <w:shd w:fill="FFFF00" w:val="clear"/>
        </w:rPr>
        <w:t xml:space="preserve">Determination of circulating MPCs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Process the blood within 1 h from collection. Transfer 6 mL of the collected blood to a 15 mL conical tube and dilute 1:1 (v/v) with 1x </w:t>
      </w:r>
      <w:r>
        <w:rPr>
          <w:rFonts w:ascii="Calibri" w:hAnsi="Calibri" w:cs="Calibri" w:eastAsia="Calibri"/>
          <w:color w:val="auto"/>
          <w:spacing w:val="0"/>
          <w:position w:val="0"/>
          <w:sz w:val="24"/>
          <w:shd w:fill="FFFFFF" w:val="clear"/>
        </w:rPr>
        <w:t xml:space="preserve">phosphate buffered saline</w:t>
      </w:r>
      <w:r>
        <w:rPr>
          <w:rFonts w:ascii="Calibri" w:hAnsi="Calibri" w:cs="Calibri" w:eastAsia="Calibri"/>
          <w:color w:val="auto"/>
          <w:spacing w:val="0"/>
          <w:position w:val="0"/>
          <w:sz w:val="24"/>
          <w:shd w:fill="FFFF00" w:val="clear"/>
        </w:rPr>
        <w:t xml:space="preserve"> (PBS), pH = 7.4.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2 mL of </w:t>
      </w:r>
      <w:r>
        <w:rPr>
          <w:rFonts w:ascii="Calibri" w:hAnsi="Calibri" w:cs="Calibri" w:eastAsia="Calibri"/>
          <w:color w:val="000000"/>
          <w:spacing w:val="0"/>
          <w:position w:val="0"/>
          <w:sz w:val="24"/>
          <w:shd w:fill="FFFF00" w:val="clear"/>
        </w:rPr>
        <w:t xml:space="preserve">density gradient medium </w:t>
      </w:r>
      <w:r>
        <w:rPr>
          <w:rFonts w:ascii="Calibri" w:hAnsi="Calibri" w:cs="Calibri" w:eastAsia="Calibri"/>
          <w:color w:val="auto"/>
          <w:spacing w:val="0"/>
          <w:position w:val="0"/>
          <w:sz w:val="24"/>
          <w:shd w:fill="FFFF00" w:val="clear"/>
        </w:rPr>
        <w:t xml:space="preserve">to three test tubes. Carefully transfer three equal volume aliquots of diluted blood into each test tube containing the </w:t>
      </w:r>
      <w:r>
        <w:rPr>
          <w:rFonts w:ascii="Calibri" w:hAnsi="Calibri" w:cs="Calibri" w:eastAsia="Calibri"/>
          <w:color w:val="000000"/>
          <w:spacing w:val="0"/>
          <w:position w:val="0"/>
          <w:sz w:val="24"/>
          <w:shd w:fill="FFFF00" w:val="clear"/>
        </w:rPr>
        <w:t xml:space="preserve">density gradient medium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volume of </w:t>
      </w:r>
      <w:r>
        <w:rPr>
          <w:rFonts w:ascii="Calibri" w:hAnsi="Calibri" w:cs="Calibri" w:eastAsia="Calibri"/>
          <w:color w:val="000000"/>
          <w:spacing w:val="0"/>
          <w:position w:val="0"/>
          <w:sz w:val="24"/>
          <w:shd w:fill="auto" w:val="clear"/>
        </w:rPr>
        <w:t xml:space="preserve">density gradient medium</w:t>
      </w:r>
      <w:r>
        <w:rPr>
          <w:rFonts w:ascii="Calibri" w:hAnsi="Calibri" w:cs="Calibri" w:eastAsia="Calibri"/>
          <w:color w:val="auto"/>
          <w:spacing w:val="0"/>
          <w:position w:val="0"/>
          <w:sz w:val="24"/>
          <w:shd w:fill="auto" w:val="clear"/>
        </w:rPr>
        <w:t xml:space="preserve"> and diluted blood should not exceed three-fourths of the test tube maximal capacity.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Centrifuge at 1,800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30 min. Transfer the band at the interface between the layers into a new tube. Add 2 mL of PBS and centrifuge at 1,800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6 min. The pellet will contain the MPCs.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Wash the pellet several times. Aspirate off the previous solution and gently resuspend the cell pellet in fresh PBS. For subsequent washes, centrifuge at 1,800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2 min. Repeat the process 6x.</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Resuspend the cell pellet in 1 mL of PBS. Mix 20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the cell suspension with 0.4% trypan blue, diluted 1:1 (v/v). Apply a drop to a hemocytometer and count the unstained cells under a light microscope.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Proceed to MPCs determination. Label 5 mL flow cytometry tubes and aliquot out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tube. Prepare the corresponding i</w:t>
      </w:r>
      <w:r>
        <w:rPr>
          <w:rFonts w:ascii="Calibri" w:hAnsi="Calibri" w:cs="Calibri" w:eastAsia="Calibri"/>
          <w:color w:val="000000"/>
          <w:spacing w:val="0"/>
          <w:position w:val="0"/>
          <w:sz w:val="24"/>
          <w:shd w:fill="FFFFFF" w:val="clear"/>
        </w:rPr>
        <w:t xml:space="preserve">sotype-matched control antibodies. </w:t>
      </w:r>
      <w:r>
        <w:rPr>
          <w:rFonts w:ascii="Calibri" w:hAnsi="Calibri" w:cs="Calibri" w:eastAsia="Calibri"/>
          <w:color w:val="auto"/>
          <w:spacing w:val="0"/>
          <w:position w:val="0"/>
          <w:sz w:val="24"/>
          <w:shd w:fill="FFFF00" w:val="clear"/>
        </w:rPr>
        <w:t xml:space="preserve">Centrifuge at 1,800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6 min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00" w:val="clear"/>
        </w:rPr>
        <w:t xml:space="preserve">Add the primary antibody diluted in 100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an antibody incubation solution consisting of 1x PBS (pH = 7.4), 2 mM</w:t>
      </w:r>
      <w:r>
        <w:rPr>
          <w:rFonts w:ascii="Calibri" w:hAnsi="Calibri" w:cs="Calibri" w:eastAsia="Calibri"/>
          <w:color w:val="auto"/>
          <w:spacing w:val="0"/>
          <w:position w:val="0"/>
          <w:sz w:val="24"/>
          <w:shd w:fill="auto" w:val="clear"/>
        </w:rPr>
        <w:t xml:space="preserve"> ethylenediaminetetraacetic acid</w:t>
      </w:r>
      <w:r>
        <w:rPr>
          <w:rFonts w:ascii="Calibri" w:hAnsi="Calibri" w:cs="Calibri" w:eastAsia="Calibri"/>
          <w:color w:val="auto"/>
          <w:spacing w:val="0"/>
          <w:position w:val="0"/>
          <w:sz w:val="24"/>
          <w:shd w:fill="FFFF00" w:val="clear"/>
        </w:rPr>
        <w:t xml:space="preserve"> (EDTA), and 0.05%</w:t>
      </w:r>
      <w:r>
        <w:rPr>
          <w:rFonts w:ascii="Calibri" w:hAnsi="Calibri" w:cs="Calibri" w:eastAsia="Calibri"/>
          <w:color w:val="auto"/>
          <w:spacing w:val="0"/>
          <w:position w:val="0"/>
          <w:sz w:val="24"/>
          <w:shd w:fill="auto" w:val="clear"/>
        </w:rPr>
        <w:t xml:space="preserve"> bovine serum albumin</w:t>
      </w:r>
      <w:r>
        <w:rPr>
          <w:rFonts w:ascii="Calibri" w:hAnsi="Calibri" w:cs="Calibri" w:eastAsia="Calibri"/>
          <w:color w:val="auto"/>
          <w:spacing w:val="0"/>
          <w:position w:val="0"/>
          <w:sz w:val="24"/>
          <w:shd w:fill="FFFF00" w:val="clear"/>
        </w:rPr>
        <w:t xml:space="preserve"> (BSA). Resuspend for 10 s and incubate for 20 min at 4&amp;#176; C, light-protected.</w:t>
      </w:r>
      <w:r>
        <w:rPr>
          <w:rFonts w:ascii="Calibri" w:hAnsi="Calibri" w:cs="Calibri" w:eastAsia="Calibri"/>
          <w:color w:val="auto"/>
          <w:spacing w:val="0"/>
          <w:position w:val="0"/>
          <w:sz w:val="24"/>
          <w:shd w:fill="auto" w:val="clear"/>
        </w:rPr>
        <w:t xml:space="preserve"> The protocol may be paused at this step by fixing the lymphocytes in 4% paraformaldehyde in PBS and storing samples up to 24 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concentrations of the primary antibodies used in the present protocol were CD45 1:50, CD34 1:20, KDR 1:50, CD184 1:20, CD133 1:50.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00" w:val="clear"/>
        </w:rPr>
        <w:t xml:space="preserve">Centrifuge at 1,800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2 min and discard the supernatant. Resuspend in 500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1x PBS (pH = 7.4), 2 mM EDTA.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2.9.</w:t>
        <w:tab/>
      </w:r>
      <w:r>
        <w:rPr>
          <w:rFonts w:ascii="Calibri" w:hAnsi="Calibri" w:cs="Calibri" w:eastAsia="Calibri"/>
          <w:color w:val="auto"/>
          <w:spacing w:val="0"/>
          <w:position w:val="0"/>
          <w:sz w:val="24"/>
          <w:shd w:fill="FFFF00" w:val="clear"/>
        </w:rPr>
        <w:t xml:space="preserve">Perform flow cytometry analysis. Use i</w:t>
      </w:r>
      <w:r>
        <w:rPr>
          <w:rFonts w:ascii="Calibri" w:hAnsi="Calibri" w:cs="Calibri" w:eastAsia="Calibri"/>
          <w:color w:val="000000"/>
          <w:spacing w:val="0"/>
          <w:position w:val="0"/>
          <w:sz w:val="24"/>
          <w:shd w:fill="FFFFFF" w:val="clear"/>
        </w:rPr>
        <w:t xml:space="preserve">sotype-matched control antibodies to set up the background staining. Then, s</w:t>
      </w:r>
      <w:r>
        <w:rPr>
          <w:rFonts w:ascii="Calibri" w:hAnsi="Calibri" w:cs="Calibri" w:eastAsia="Calibri"/>
          <w:color w:val="auto"/>
          <w:spacing w:val="0"/>
          <w:position w:val="0"/>
          <w:sz w:val="24"/>
          <w:shd w:fill="FFFF00" w:val="clear"/>
        </w:rPr>
        <w:t xml:space="preserve">elect lymphocytes spread at the FSC/SSC plot, trying to </w:t>
      </w:r>
      <w:r>
        <w:rPr>
          <w:rFonts w:ascii="Calibri" w:hAnsi="Calibri" w:cs="Calibri" w:eastAsia="Calibri"/>
          <w:color w:val="000000"/>
          <w:spacing w:val="0"/>
          <w:position w:val="0"/>
          <w:sz w:val="24"/>
          <w:shd w:fill="FFFFFF" w:val="clear"/>
        </w:rPr>
        <w:t xml:space="preserve">exclude residual granulocytes, cellular debris, and other particles, which are usually located in the lower, left-distributed in the plot</w:t>
      </w:r>
      <w:r>
        <w:rPr>
          <w:rFonts w:ascii="Calibri" w:hAnsi="Calibri" w:cs="Calibri" w:eastAsia="Calibri"/>
          <w:color w:val="auto"/>
          <w:spacing w:val="0"/>
          <w:position w:val="0"/>
          <w:sz w:val="24"/>
          <w:shd w:fill="FFFF00" w:val="clear"/>
        </w:rPr>
        <w:t xml:space="preserve">. Such distribution is considered as 100%.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r>
      <w:r>
        <w:rPr>
          <w:rFonts w:ascii="Calibri" w:hAnsi="Calibri" w:cs="Calibri" w:eastAsia="Calibri"/>
          <w:color w:val="auto"/>
          <w:spacing w:val="0"/>
          <w:position w:val="0"/>
          <w:sz w:val="24"/>
          <w:shd w:fill="FFFF00" w:val="clear"/>
        </w:rPr>
        <w:t xml:space="preserve">Use a gate containing a high number of cells with common immunophenotype CD45</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and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For double positive immunophenotypes, use a gate previously identifying CD45</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with the addition of either KDR (VEGFR-2)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CD133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or CD184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Identify the MPC subpopulations by their specific cell surface markers. Report as the percentage of gated events.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Identify the main subpopulations of MPCs. In the present study the main immunophenotypes were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CD184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CD184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KDR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KDR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KDR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CD184.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cell surface markers used were CD45 (lymphocytes), CD34 (endothelial and/or vascular cells), KDR (VEGFR-2, membrane marker of endothelial cells), CD133 (endothelial progenitor cells), and CD184 (hematopoietic stem cells and endothelial cells).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Determination of plasma soluble biomarkers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r>
      <w:r>
        <w:rPr>
          <w:rFonts w:ascii="Calibri" w:hAnsi="Calibri" w:cs="Calibri" w:eastAsia="Calibri"/>
          <w:color w:val="auto"/>
          <w:spacing w:val="0"/>
          <w:position w:val="0"/>
          <w:sz w:val="24"/>
          <w:shd w:fill="FFFF00" w:val="clear"/>
        </w:rPr>
        <w:t xml:space="preserve">Use an e</w:t>
      </w:r>
      <w:r>
        <w:rPr>
          <w:rFonts w:ascii="Calibri" w:hAnsi="Calibri" w:cs="Calibri" w:eastAsia="Calibri"/>
          <w:color w:val="auto"/>
          <w:spacing w:val="0"/>
          <w:position w:val="0"/>
          <w:sz w:val="24"/>
          <w:shd w:fill="FFFFFF" w:val="clear"/>
        </w:rPr>
        <w:t xml:space="preserve">nzyme-linked immunosorbent assay </w:t>
      </w:r>
      <w:r>
        <w:rPr>
          <w:rFonts w:ascii="Calibri" w:hAnsi="Calibri" w:cs="Calibri" w:eastAsia="Calibri"/>
          <w:color w:val="auto"/>
          <w:spacing w:val="0"/>
          <w:position w:val="0"/>
          <w:sz w:val="24"/>
          <w:shd w:fill="FFFF00" w:val="clear"/>
        </w:rPr>
        <w:t xml:space="preserve">(ELISA) </w:t>
      </w:r>
      <w:r>
        <w:rPr>
          <w:rFonts w:ascii="Calibri" w:hAnsi="Calibri" w:cs="Calibri" w:eastAsia="Calibri"/>
          <w:color w:val="auto"/>
          <w:spacing w:val="0"/>
          <w:position w:val="0"/>
          <w:sz w:val="24"/>
          <w:shd w:fill="FFFFFF" w:val="clear"/>
        </w:rPr>
        <w:t xml:space="preserve">to determine the concentration of SICAM-1 and MMP-9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upper row).</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3.1.1.</w:t>
        <w:tab/>
      </w:r>
      <w:r>
        <w:rPr>
          <w:rFonts w:ascii="Calibri" w:hAnsi="Calibri" w:cs="Calibri" w:eastAsia="Calibri"/>
          <w:color w:val="auto"/>
          <w:spacing w:val="0"/>
          <w:position w:val="0"/>
          <w:sz w:val="24"/>
          <w:shd w:fill="FFFF00" w:val="clear"/>
        </w:rPr>
        <w:t xml:space="preserve">Centrifuge the blood samples at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room temperature for 5 min and collect the plasma.</w:t>
      </w:r>
      <w:r>
        <w:rPr>
          <w:rFonts w:ascii="Calibri" w:hAnsi="Calibri" w:cs="Calibri" w:eastAsia="Calibri"/>
          <w:color w:val="auto"/>
          <w:spacing w:val="0"/>
          <w:position w:val="0"/>
          <w:sz w:val="24"/>
          <w:shd w:fill="FFFFFF"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3.1.2.</w:t>
        <w:tab/>
      </w:r>
      <w:r>
        <w:rPr>
          <w:rFonts w:ascii="Calibri" w:hAnsi="Calibri" w:cs="Calibri" w:eastAsia="Calibri"/>
          <w:color w:val="auto"/>
          <w:spacing w:val="0"/>
          <w:position w:val="0"/>
          <w:sz w:val="24"/>
          <w:shd w:fill="FFFF00" w:val="clear"/>
        </w:rPr>
        <w:t xml:space="preserve">Label the standards, sample tubes, and control tubes. Equilibrate the pre-coated wells in the assay plate by washing 2x with the washing buffer provided in the ELISA kit.</w:t>
      </w:r>
      <w:r>
        <w:rPr>
          <w:rFonts w:ascii="Calibri" w:hAnsi="Calibri" w:cs="Calibri" w:eastAsia="Calibri"/>
          <w:color w:val="auto"/>
          <w:spacing w:val="0"/>
          <w:position w:val="0"/>
          <w:sz w:val="24"/>
          <w:shd w:fill="FFFFFF"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FFFFFF" w:val="clear"/>
        </w:rPr>
      </w:pPr>
    </w:p>
    <w:p>
      <w:pPr>
        <w:keepNext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3.1.3.</w:t>
        <w:tab/>
      </w:r>
      <w:r>
        <w:rPr>
          <w:rFonts w:ascii="Calibri" w:hAnsi="Calibri" w:cs="Calibri" w:eastAsia="Calibri"/>
          <w:color w:val="auto"/>
          <w:spacing w:val="0"/>
          <w:position w:val="0"/>
          <w:sz w:val="24"/>
          <w:shd w:fill="FFFF00" w:val="clear"/>
        </w:rPr>
        <w:t xml:space="preserve">Transfer the standards, samples, and controls to the wells. Seal and incubate at 37 &amp;#176;C for 90 min.</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Do not let the wells dry completely.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3.1.4.</w:t>
        <w:tab/>
      </w:r>
      <w:r>
        <w:rPr>
          <w:rFonts w:ascii="Calibri" w:hAnsi="Calibri" w:cs="Calibri" w:eastAsia="Calibri"/>
          <w:color w:val="auto"/>
          <w:spacing w:val="0"/>
          <w:position w:val="0"/>
          <w:sz w:val="24"/>
          <w:shd w:fill="FFFF00" w:val="clear"/>
        </w:rPr>
        <w:t xml:space="preserve">Discard the contents and add the biotin-detection antibody. Seal and incubate at 37 &amp;#176;C for 60 min.</w:t>
      </w:r>
    </w:p>
    <w:p>
      <w:pPr>
        <w:keepNext w:val="true"/>
        <w:spacing w:before="0" w:after="0" w:line="240"/>
        <w:ind w:right="0" w:left="0" w:firstLine="0"/>
        <w:jc w:val="both"/>
        <w:rPr>
          <w:rFonts w:ascii="Calibri" w:hAnsi="Calibri" w:cs="Calibri" w:eastAsia="Calibri"/>
          <w:color w:val="auto"/>
          <w:spacing w:val="0"/>
          <w:position w:val="0"/>
          <w:sz w:val="24"/>
          <w:shd w:fill="FFFFFF"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Discard the contents and wash 3x. Seal the plaque and incubate sequentially with streptavidine working solution followed by tetramethylbenzidine substrate at 37 &amp;#176;C for 30 min, light-protected. Wash 3x between incubations. When the color develops, add the stop solution, and read the optical density absorbance in a microplate ELISA reader.</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3.2.</w:t>
        <w:tab/>
        <w:t xml:space="preserve">Use an immuno-magnetic multiplexing assay</w:t>
      </w:r>
      <w:r>
        <w:rPr>
          <w:rFonts w:ascii="Calibri" w:hAnsi="Calibri" w:cs="Calibri" w:eastAsia="Calibri"/>
          <w:color w:val="auto"/>
          <w:spacing w:val="0"/>
          <w:position w:val="0"/>
          <w:sz w:val="24"/>
          <w:shd w:fill="FFFFFF" w:val="clear"/>
        </w:rPr>
        <w:t xml:space="preserve"> to determine the concentration of tumor necrosis factor alpha (</w:t>
      </w:r>
      <w:r>
        <w:rPr>
          <w:rFonts w:ascii="Calibri" w:hAnsi="Calibri" w:cs="Calibri" w:eastAsia="Calibri"/>
          <w:color w:val="auto"/>
          <w:spacing w:val="0"/>
          <w:position w:val="0"/>
          <w:sz w:val="24"/>
          <w:shd w:fill="FFFF00" w:val="clear"/>
        </w:rPr>
        <w:t xml:space="preserve">TNF</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and interleukin 1 beta (IL-1</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lower row).</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w:t>
        <w:tab/>
      </w:r>
      <w:r>
        <w:rPr>
          <w:rFonts w:ascii="Calibri" w:hAnsi="Calibri" w:cs="Calibri" w:eastAsia="Calibri"/>
          <w:color w:val="auto"/>
          <w:spacing w:val="0"/>
          <w:position w:val="0"/>
          <w:sz w:val="24"/>
          <w:shd w:fill="FFFF00" w:val="clear"/>
        </w:rPr>
        <w:t xml:space="preserve">Label the standards, sample tubes, and control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Vortex the magnetic beads vials for 30 s. Transfer the bead suspension to appropriately sized tubes, and then to the wells in the multiplexing assay plate. Periodic vortexing avoids precipitation of the beads.</w:t>
      </w:r>
    </w:p>
    <w:p>
      <w:pPr>
        <w:keepNext w:val="tru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Securely insert the hand-held magnetic plate washer. Wait 2 min for the beads to accumulate on the bottom of each well and quickly invert both the hand-held magnetic plate washer and plate assembly, over a sink or waste container. Remember to use the hand-held magnetic plate washer to maintain the beads inside the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Add 150 &amp;#181;L of wash buffer into each well and wait 30 s to allow the beads to accumulate on the bottom. Discard the contents as in step 3.2.3. Then, add 25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universal assay buffer (provided in the kit) followed by 25 &amp;#181;L of prepared standards, samples, and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3.2.5.</w:t>
        <w:tab/>
      </w:r>
      <w:r>
        <w:rPr>
          <w:rFonts w:ascii="Calibri" w:hAnsi="Calibri" w:cs="Calibri" w:eastAsia="Calibri"/>
          <w:color w:val="auto"/>
          <w:spacing w:val="0"/>
          <w:position w:val="0"/>
          <w:sz w:val="24"/>
          <w:shd w:fill="FFFF00" w:val="clear"/>
        </w:rPr>
        <w:t xml:space="preserve">Seal the plate and incubate for least 60 min at room temperature, light-protected, with constant shaking at 500 rpm.</w:t>
      </w:r>
      <w:r>
        <w:rPr>
          <w:rFonts w:ascii="Calibri" w:hAnsi="Calibri" w:cs="Calibri" w:eastAsia="Calibri"/>
          <w:color w:val="auto"/>
          <w:spacing w:val="0"/>
          <w:position w:val="0"/>
          <w:sz w:val="24"/>
          <w:shd w:fill="auto" w:val="clear"/>
        </w:rPr>
        <w:t xml:space="preserve"> Alternatively, incubate overnight at 4 &amp;#176;C, light-protected, with constant shaking at 500 rpm if possible.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r>
      <w:r>
        <w:rPr>
          <w:rFonts w:ascii="Calibri" w:hAnsi="Calibri" w:cs="Calibri" w:eastAsia="Calibri"/>
          <w:color w:val="auto"/>
          <w:spacing w:val="0"/>
          <w:position w:val="0"/>
          <w:sz w:val="24"/>
          <w:shd w:fill="FFFF00" w:val="clear"/>
        </w:rPr>
        <w:t xml:space="preserve">Wash 2x by adding 150 &amp;#181;L of wash buffer and wait 30 s. Discard the contents by inserting the hand-held magnetic plate washer. Wait 2 min and invert over a sink or waste container.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r>
      <w:r>
        <w:rPr>
          <w:rFonts w:ascii="Calibri" w:hAnsi="Calibri" w:cs="Calibri" w:eastAsia="Calibri"/>
          <w:color w:val="auto"/>
          <w:spacing w:val="0"/>
          <w:position w:val="0"/>
          <w:sz w:val="24"/>
          <w:shd w:fill="FFFF00" w:val="clear"/>
        </w:rPr>
        <w:t xml:space="preserve">Incubate sequentially with 25 &amp;#181;L of detection antibody mixture followed by 25 &amp;#181;L of streptavidin-PE solution at room temperature for 30 min, sealed and light-protected, with constant shaking at 500 rpm. Wash 2x between incubations, as described in step 3.2.6.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r>
      <w:r>
        <w:rPr>
          <w:rFonts w:ascii="Calibri" w:hAnsi="Calibri" w:cs="Calibri" w:eastAsia="Calibri"/>
          <w:color w:val="auto"/>
          <w:spacing w:val="0"/>
          <w:position w:val="0"/>
          <w:sz w:val="24"/>
          <w:shd w:fill="FFFF00" w:val="clear"/>
        </w:rPr>
        <w:t xml:space="preserve">Obtain the readings. Add 120 &amp;#181;L of reading buffer. Seal the plate and incubate 5 min at room temperature, light-protected, with constant shaking at 500 rpm. Run the reading on a multiplexing assay reader. Adjust the reading parameters according to each analyte.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Coronary, venous sinus, and peripheral blood were collected from 52 patients that underwent coronary angiography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showed a high prevalence of hypertension and dyslipidemia. At the clinical follow-up, </w:t>
      </w:r>
      <w:r>
        <w:rPr>
          <w:rFonts w:ascii="Calibri" w:hAnsi="Calibri" w:cs="Calibri" w:eastAsia="Calibri"/>
          <w:color w:val="auto"/>
          <w:spacing w:val="0"/>
          <w:position w:val="0"/>
          <w:sz w:val="24"/>
          <w:shd w:fill="FFFFFF" w:val="clear"/>
        </w:rPr>
        <w:t xml:space="preserve">11 (21.1%) </w:t>
      </w:r>
      <w:r>
        <w:rPr>
          <w:rFonts w:ascii="Calibri" w:hAnsi="Calibri" w:cs="Calibri" w:eastAsia="Calibri"/>
          <w:color w:val="auto"/>
          <w:spacing w:val="0"/>
          <w:position w:val="0"/>
          <w:sz w:val="24"/>
          <w:shd w:fill="auto" w:val="clear"/>
        </w:rPr>
        <w:t xml:space="preserve">MACEs occurred 6 months after coronary angiography: death (n = 1),</w:t>
      </w:r>
      <w:r>
        <w:rPr>
          <w:rFonts w:ascii="Calibri" w:hAnsi="Calibri" w:cs="Calibri" w:eastAsia="Calibri"/>
          <w:color w:val="auto"/>
          <w:spacing w:val="0"/>
          <w:position w:val="0"/>
          <w:sz w:val="24"/>
          <w:shd w:fill="FFFFFF" w:val="clear"/>
        </w:rPr>
        <w:t xml:space="preserve"> angina requiring hospital attendance (n = 6), myocardial infarction (n = 2), and/or evidence of heart failure (n = 4).</w:t>
      </w: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baseline </w:t>
      </w:r>
      <w:r>
        <w:rPr>
          <w:rFonts w:ascii="Calibri" w:hAnsi="Calibri" w:cs="Calibri" w:eastAsia="Calibri"/>
          <w:color w:val="auto"/>
          <w:spacing w:val="0"/>
          <w:position w:val="0"/>
          <w:sz w:val="24"/>
          <w:shd w:fill="auto" w:val="clear"/>
        </w:rPr>
        <w:t xml:space="preserve">coronary concentration of most MPCs was significantly lower in patients who developed MACEs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with a larger decrease in MPC subpopulations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CD184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Likewise, patients who developed MACEs had an</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increased baseline in coronary amounts of sICAM-1 and lower MMP-9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w:t>
      </w: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Coronary MPCs (subpopulations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CD133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CD184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sICAM-1 (dichotomized by their median values) demonstrated prognostic ability for MACE-free survival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further characterized the dynamics of soluble biomarkers under different conditions, because there is very little information regarding coronary blood determination. The expression of tumor necrosis factor alpha (TNF&amp;#945;) showed variations according to the time of measurement (pre- or post-angioplasty) and the location of coronary sampling based on a comparison of different lumen areas at same coronary artery using intravascular ultrasound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Coronary angiography and blood collection. </w:t>
      </w:r>
      <w:r>
        <w:rPr>
          <w:rFonts w:ascii="Calibri" w:hAnsi="Calibri" w:cs="Calibri" w:eastAsia="Calibri"/>
          <w:color w:val="auto"/>
          <w:spacing w:val="0"/>
          <w:position w:val="0"/>
          <w:sz w:val="24"/>
          <w:shd w:fill="auto" w:val="clear"/>
        </w:rPr>
        <w:t xml:space="preserve">The image shows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heart catheterization using a radial approach, performed </w:t>
      </w:r>
      <w:r>
        <w:rPr>
          <w:rFonts w:ascii="Calibri" w:hAnsi="Calibri" w:cs="Calibri" w:eastAsia="Calibri"/>
          <w:color w:val="auto"/>
          <w:spacing w:val="0"/>
          <w:position w:val="0"/>
          <w:sz w:val="24"/>
          <w:shd w:fill="auto" w:val="clear"/>
        </w:rPr>
        <w:t xml:space="preserve">under a fluoroscopy guide in the hemodynamics room. Cardiology experts evaluate the coronary vessels during angiography and collect coronary blood from the closest location to the atheroma plaque and/or sinus blood through a heart catheter just before balloon angioplasty.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Blood sample preparation and MPCs determination by flow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Density gradient after blood centrifugation (blue arrow = lymphocyte band).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Collection of the lymphocyte phase.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Washes with 1x PBS.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Centrifugation.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Pellet formation at the bottom of the test tube.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Neubauer cell suspension load.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Lymphocyte cell count using light microscopy.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Determination of cell subpopulations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Immunoassays to determine blood soluble mediators.</w:t>
      </w:r>
      <w:r>
        <w:rPr>
          <w:rFonts w:ascii="Calibri" w:hAnsi="Calibri" w:cs="Calibri" w:eastAsia="Calibri"/>
          <w:color w:val="auto"/>
          <w:spacing w:val="0"/>
          <w:position w:val="0"/>
          <w:sz w:val="24"/>
          <w:shd w:fill="auto" w:val="clear"/>
        </w:rPr>
        <w:t xml:space="preserve"> Upper row: E</w:t>
      </w:r>
      <w:r>
        <w:rPr>
          <w:rFonts w:ascii="Calibri" w:hAnsi="Calibri" w:cs="Calibri" w:eastAsia="Calibri"/>
          <w:color w:val="auto"/>
          <w:spacing w:val="0"/>
          <w:position w:val="0"/>
          <w:sz w:val="24"/>
          <w:shd w:fill="FFFFFF" w:val="clear"/>
        </w:rPr>
        <w:t xml:space="preserve">nzyme-linked immunosorbent assay (ELISA).</w:t>
      </w:r>
      <w:r>
        <w:rPr>
          <w:rFonts w:ascii="Calibri" w:hAnsi="Calibri" w:cs="Calibri" w:eastAsia="Calibri"/>
          <w:color w:val="auto"/>
          <w:spacing w:val="0"/>
          <w:position w:val="0"/>
          <w:sz w:val="24"/>
          <w:shd w:fill="auto" w:val="clear"/>
        </w:rPr>
        <w:t xml:space="preserve"> The image shows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 information from the map samples (notebook) was transferred to the software to start the readings after sample preparation, antibody incubation, and washes. It also shows yellow color development, either in the standard wells (left columns in the plaque) or in the test samples (right columns in the plaque). Lower row: Immuno-magnetic multiplexing assay. After sample preparation, magnetic bead-antibody incubation, and washes, the sample information was transferred to the appropriate immuno-magnetic multiplexing assay system reader software, and a typical standard curve is shown in the screen.</w:t>
      </w:r>
    </w:p>
    <w:p>
      <w:pPr>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Coronary circulating mononuclear progenitor cells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MPCs</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figure shows baseline %MPCs subpopulations.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Representative readings from flow cytometry.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Quantification of %MPCs subpopulations with flow cytometry, plotted according to the presentation of MACEs (*) = significant difference, with p &amp;lt; 0.05. This figure has been modified from Su&amp;#225;rez-Cuenca et al.</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8789"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5: Coronary circulating cellular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MPCs</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soluble biomarkers and prognosis. </w:t>
      </w:r>
      <w:r>
        <w:rPr>
          <w:rFonts w:ascii="Calibri" w:hAnsi="Calibri" w:cs="Calibri" w:eastAsia="Calibri"/>
          <w:color w:val="auto"/>
          <w:spacing w:val="0"/>
          <w:position w:val="0"/>
          <w:sz w:val="24"/>
          <w:shd w:fill="FFFFFF" w:val="clear"/>
        </w:rPr>
        <w:t xml:space="preserve">The figure shows baseline coronary blood amounts of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%MPCs subpopulations determined by flow cytometry and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plasma concentration of sICAM-1 determined by ELISA, both plotted according to the presentation of MACEs during the 6 month follow-up. The blue line indicates the number of individuals with risk values for each biomarker, such as lower %MPCs or higher sICAM-1. sICAM-1 = soluble intercellular adhesion molecule 1. This figure has been modified from Su&amp;#225;rez-Cuenca,  et al.</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6: Conditions determining variability of coronary circulating soluble biomarkers. </w:t>
      </w:r>
      <w:r>
        <w:rPr>
          <w:rFonts w:ascii="Calibri" w:hAnsi="Calibri" w:cs="Calibri" w:eastAsia="Calibri"/>
          <w:color w:val="auto"/>
          <w:spacing w:val="0"/>
          <w:position w:val="0"/>
          <w:sz w:val="24"/>
          <w:shd w:fill="FFFFFF" w:val="clear"/>
        </w:rPr>
        <w:t xml:space="preserve">The figure shows changes in the intracoronary concentration of tumor necrosis factor alpha (TNF&amp;#945;), according to the time of measurement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Pre-angioplasty or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Post-angioplasty) as well as the location of coronary sampling (comparison between two coronary lumen diameters at a 3.5 mm cutoff, measured by intravascular ultrasound). (*) = p &amp;lt; 0.05 difference of biomarkers obtained pre- vs. post-angioplasty, and difference of sampling at locations of coronary lumen diameters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3.5 mm vs. &amp;gt;3.5 mm. This figure has been modified from Su&amp;#225;rez-Cuenca et al.</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8789"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 Baseline blood soluble biomarkers. </w:t>
      </w:r>
      <w:r>
        <w:rPr>
          <w:rFonts w:ascii="Calibri" w:hAnsi="Calibri" w:cs="Calibri" w:eastAsia="Calibri"/>
          <w:color w:val="auto"/>
          <w:spacing w:val="0"/>
          <w:position w:val="0"/>
          <w:sz w:val="24"/>
          <w:shd w:fill="FFFFFF" w:val="clear"/>
        </w:rPr>
        <w:t xml:space="preserve">(*) indicates p &amp;lt; 0.05 difference biomarkers from coronary blood vs. peripheral circulation. (**) indicates p &amp;lt; 0.05, without MACEs vs. with MACEs; one-tailed independent T-test. Abbreviations: sICAM-1 = soluble intercellular adhesion molecule 1; IL-1&amp;#946; = interleukin 1 beta; MMP-9 = matrix metalloproteinase 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collection from the affected coronary artery may be difficult. </w:t>
      </w:r>
      <w:r>
        <w:rPr>
          <w:rFonts w:ascii="Calibri" w:hAnsi="Calibri" w:cs="Calibri" w:eastAsia="Calibri"/>
          <w:color w:val="auto"/>
          <w:spacing w:val="0"/>
          <w:position w:val="0"/>
          <w:sz w:val="24"/>
          <w:shd w:fill="FFFFFF" w:val="clear"/>
        </w:rPr>
        <w:t xml:space="preserve">Sometimes, the coronary artery is barely accessible. In this case, </w:t>
      </w:r>
      <w:r>
        <w:rPr>
          <w:rFonts w:ascii="Calibri" w:hAnsi="Calibri" w:cs="Calibri" w:eastAsia="Calibri"/>
          <w:color w:val="auto"/>
          <w:spacing w:val="0"/>
          <w:position w:val="0"/>
          <w:sz w:val="24"/>
          <w:shd w:fill="auto" w:val="clear"/>
        </w:rPr>
        <w:t xml:space="preserve">sampling from the venous sinus may be an alternative. We performed validation tests comparing circulating biomarkers in coronary artery vs. venous sinus, with no significant differences. However, the performance of circulating biomarkers was validated only for coronary sampling. Therefore, the performance of biomarkers obtained from the venous sinus remains to be explored.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It is best to process the samples 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MPCs within the first 3 h </w:t>
      </w:r>
      <w:r>
        <w:rPr>
          <w:rFonts w:ascii="Calibri" w:hAnsi="Calibri" w:cs="Calibri" w:eastAsia="Calibri"/>
          <w:color w:val="auto"/>
          <w:spacing w:val="0"/>
          <w:position w:val="0"/>
          <w:sz w:val="24"/>
          <w:shd w:fill="auto" w:val="clear"/>
        </w:rPr>
        <w:t xml:space="preserve">after blood collection</w:t>
      </w:r>
      <w:r>
        <w:rPr>
          <w:rFonts w:ascii="Calibri" w:hAnsi="Calibri" w:cs="Calibri" w:eastAsia="Calibri"/>
          <w:color w:val="auto"/>
          <w:spacing w:val="0"/>
          <w:position w:val="0"/>
          <w:sz w:val="24"/>
          <w:shd w:fill="FFFFFF" w:val="clear"/>
        </w:rPr>
        <w:t xml:space="preserve">. Therefore, good communication should be established between the cardiology team and the lab researchers. During MPCs isolation, care should be taken when </w:t>
      </w:r>
      <w:r>
        <w:rPr>
          <w:rFonts w:ascii="Calibri" w:hAnsi="Calibri" w:cs="Calibri" w:eastAsia="Calibri"/>
          <w:color w:val="auto"/>
          <w:spacing w:val="0"/>
          <w:position w:val="0"/>
          <w:sz w:val="24"/>
          <w:shd w:fill="auto" w:val="clear"/>
        </w:rPr>
        <w:t xml:space="preserve">depositing blood samples during density gradient preparation when washing the MPCs pellet. Finally, for convenience, we always transfer cells into a cytometry tube, add the primary antibodies, fix and store the cells overnight at 4 &amp;#176;C, and perform the flow cytometry reading the day after. </w:t>
      </w:r>
      <w:r>
        <w:rPr>
          <w:rFonts w:ascii="Calibri" w:hAnsi="Calibri" w:cs="Calibri" w:eastAsia="Calibri"/>
          <w:color w:val="auto"/>
          <w:spacing w:val="0"/>
          <w:position w:val="0"/>
          <w:sz w:val="24"/>
          <w:shd w:fill="FFFFFF" w:val="clear"/>
        </w:rPr>
        <w:t xml:space="preserve">Regarding the biomarker role of circulating MPCs, important efforts have been taken to standardize the most clinically useful immunophenotypes between progenitor cells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auto" w:val="clear"/>
        </w:rPr>
        <w:t xml:space="preserve">, but </w:t>
      </w:r>
      <w:r>
        <w:rPr>
          <w:rFonts w:ascii="Calibri" w:hAnsi="Calibri" w:cs="Calibri" w:eastAsia="Calibri"/>
          <w:color w:val="auto"/>
          <w:spacing w:val="0"/>
          <w:position w:val="0"/>
          <w:sz w:val="24"/>
          <w:shd w:fill="FFFFFF" w:val="clear"/>
        </w:rPr>
        <w:t xml:space="preserve">one limitation of the study may be the fact that specific subpopulations of circulating progenitor cells have not been fully characterized for all clinical scenarios within CAD or other vascular diseases. Therefore, different circulating progenitor cell subpopulations should be explored in each study.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During the determination of soluble markers some general recommendations for ELISA and multiplexing assays include</w:t>
      </w:r>
      <w:r>
        <w:rPr>
          <w:rFonts w:ascii="Calibri" w:hAnsi="Calibri" w:cs="Calibri" w:eastAsia="Calibri"/>
          <w:color w:val="auto"/>
          <w:spacing w:val="0"/>
          <w:position w:val="0"/>
          <w:sz w:val="24"/>
          <w:shd w:fill="auto" w:val="clear"/>
        </w:rPr>
        <w:t xml:space="preserve"> the use of a multichannel pipette, depositing solutions at the bottom of each well without touching the side walls, and avoiding the drying out of the wells during the assay. Always check the sample distribution in the plate, particularly for the multiplexing assay, to avoid precipitation of the magnetic beads by constant vortexing. Also, make sure to insert the bottom plate into the hand-held magnetic plate washer to maintain the magnetic beads inside the wells, otherwise the samples will be lost during the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that </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auto" w:val="clear"/>
        </w:rPr>
        <w:t xml:space="preserve">oronary circulating MPCs, mainly those from hematopoietic origin, as well as </w:t>
      </w:r>
      <w:r>
        <w:rPr>
          <w:rFonts w:ascii="Calibri" w:hAnsi="Calibri" w:cs="Calibri" w:eastAsia="Calibri"/>
          <w:color w:val="auto"/>
          <w:spacing w:val="0"/>
          <w:position w:val="0"/>
          <w:sz w:val="24"/>
          <w:shd w:fill="FFFFFF" w:val="clear"/>
        </w:rPr>
        <w:t xml:space="preserve">sICAM-1 and MMP-9, were outstanding biomarkers for prediction and prognosis of MACEs. This is consistent with the notion that inflammatory response and/or vascular damage mediators stimulate homing signals for MPC mobilization and recruitment, promoting local tissue repair</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Accordingly, we found variations in these biomarkers in several settings. Changes in relation to angioplasty and/or location of coronary sampling may be explained by the effect of the impact over the atheroma plaque during angioplasty, the size of the plaque, and the release of soluble mediators sequestered within the plaque into the coronary flow</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Increased IL-1&amp;#946; has been consistently involved in the development of the plaque and clinical complications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our knowledge, this is the first study prospectively evaluating the role of coronary circulating MPCs and soluble mediators of vascular injury and repair as prognostic biomarkers in a population with CAD submitted to coronary angioplasty, including characterization of changes related to angioplasty, location of coronary sampling, and comparison of coronary vs. peripheral sampling. We think that the method can be easily established in any hospital carrying out coronary angiography. However, one limitation is that we applied this methodology mainly in patients with chronic stable angina released from an emergency room department.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traditional methods used for MACEs prediction or prognosis in CAD have moderate predictive ability. There has been an increasing amount of interest in finding novel biomarkers based on the pathophysiology mechanisms responsible for repair and regeneration occurring after CAD and angioplasty. Such biomarkers have shown similar or better predictive performance compared with traditional methods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5,14,15</w:t>
      </w:r>
      <w:r>
        <w:rPr>
          <w:rFonts w:ascii="Calibri" w:hAnsi="Calibri" w:cs="Calibri" w:eastAsia="Calibri"/>
          <w:color w:val="auto"/>
          <w:spacing w:val="0"/>
          <w:position w:val="0"/>
          <w:sz w:val="24"/>
          <w:shd w:fill="auto" w:val="clear"/>
        </w:rPr>
        <w:t xml:space="preserve">. Thus, we think that the role of coronary circulating MPCs and soluble mediators in predicting the risk for MACEs will be explored further in future prospective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support of Institutional Program E015; and Fondo Sectorial FOSSIS-CONACYT, SALUD-2014-1-233947.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w:t>
        <w:tab/>
        <w:t xml:space="preserve">Cassar, A., Holmes, D. R. Jr., Rihal C. S., Gersh B. J. Chronic coronary artery disease: diagnosis and management. </w:t>
      </w:r>
      <w:r>
        <w:rPr>
          <w:rFonts w:ascii="Calibri" w:hAnsi="Calibri" w:cs="Calibri" w:eastAsia="Calibri"/>
          <w:i/>
          <w:color w:val="auto"/>
          <w:spacing w:val="0"/>
          <w:position w:val="0"/>
          <w:sz w:val="24"/>
          <w:shd w:fill="FFFFFF" w:val="clear"/>
        </w:rPr>
        <w:t xml:space="preserve">Mayo Clinic Proceedings.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84</w:t>
      </w:r>
      <w:r>
        <w:rPr>
          <w:rFonts w:ascii="Calibri" w:hAnsi="Calibri" w:cs="Calibri" w:eastAsia="Calibri"/>
          <w:color w:val="auto"/>
          <w:spacing w:val="0"/>
          <w:position w:val="0"/>
          <w:sz w:val="24"/>
          <w:shd w:fill="FFFFFF" w:val="clear"/>
        </w:rPr>
        <w:t xml:space="preserve"> (12), 1130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1146 (2009).</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w:t>
        <w:tab/>
        <w:t xml:space="preserve">Regueiro, A. et al. Mobilization of endothelial progenitor cells in acute cardiovascular events in the PROCELL study: time-course after acute myocardial infarction and stroke. </w:t>
      </w:r>
      <w:r>
        <w:rPr>
          <w:rFonts w:ascii="Calibri" w:hAnsi="Calibri" w:cs="Calibri" w:eastAsia="Calibri"/>
          <w:i/>
          <w:color w:val="auto"/>
          <w:spacing w:val="0"/>
          <w:position w:val="0"/>
          <w:sz w:val="24"/>
          <w:shd w:fill="FFFFFF" w:val="clear"/>
        </w:rPr>
        <w:t xml:space="preserve">Journal of Molecular and Cellular Cardiology.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80</w:t>
      </w:r>
      <w:r>
        <w:rPr>
          <w:rFonts w:ascii="Calibri" w:hAnsi="Calibri" w:cs="Calibri" w:eastAsia="Calibri"/>
          <w:color w:val="auto"/>
          <w:spacing w:val="0"/>
          <w:position w:val="0"/>
          <w:sz w:val="24"/>
          <w:shd w:fill="FFFFFF" w:val="clear"/>
        </w:rPr>
        <w:t xml:space="preserve">, 146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155 (2015).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w:t>
        <w:tab/>
        <w:t xml:space="preserve">Sen, S</w:t>
      </w:r>
      <w:r>
        <w:rPr>
          <w:rFonts w:ascii="Calibri" w:hAnsi="Calibri" w:cs="Calibri" w:eastAsia="Calibri"/>
          <w:color w:val="auto"/>
          <w:spacing w:val="0"/>
          <w:position w:val="0"/>
          <w:sz w:val="24"/>
          <w:u w:val="single"/>
          <w:shd w:fill="FFFFFF" w:val="clear"/>
        </w:rPr>
        <w:t xml:space="preserve">.</w:t>
      </w:r>
      <w:r>
        <w:rPr>
          <w:rFonts w:ascii="Calibri" w:hAnsi="Calibri" w:cs="Calibri" w:eastAsia="Calibri"/>
          <w:color w:val="auto"/>
          <w:spacing w:val="0"/>
          <w:position w:val="0"/>
          <w:sz w:val="24"/>
          <w:shd w:fill="FFFFFF" w:val="clear"/>
        </w:rPr>
        <w:t xml:space="preserve">, McDonald, S. P</w:t>
      </w:r>
      <w:r>
        <w:rPr>
          <w:rFonts w:ascii="Calibri" w:hAnsi="Calibri" w:cs="Calibri" w:eastAsia="Calibri"/>
          <w:color w:val="auto"/>
          <w:spacing w:val="0"/>
          <w:position w:val="0"/>
          <w:sz w:val="24"/>
          <w:u w:val="single"/>
          <w:shd w:fill="FFFFFF" w:val="clear"/>
        </w:rPr>
        <w:t xml:space="preserve">.</w:t>
      </w:r>
      <w:r>
        <w:rPr>
          <w:rFonts w:ascii="Calibri" w:hAnsi="Calibri" w:cs="Calibri" w:eastAsia="Calibri"/>
          <w:color w:val="auto"/>
          <w:spacing w:val="0"/>
          <w:position w:val="0"/>
          <w:sz w:val="24"/>
          <w:shd w:fill="FFFFFF" w:val="clear"/>
        </w:rPr>
        <w:t xml:space="preserve">, Coates, P. T</w:t>
      </w:r>
      <w:r>
        <w:rPr>
          <w:rFonts w:ascii="Calibri" w:hAnsi="Calibri" w:cs="Calibri" w:eastAsia="Calibri"/>
          <w:color w:val="auto"/>
          <w:spacing w:val="0"/>
          <w:position w:val="0"/>
          <w:sz w:val="24"/>
          <w:u w:val="single"/>
          <w:shd w:fill="FFFFFF" w:val="clear"/>
        </w:rPr>
        <w:t xml:space="preserve">.</w:t>
      </w:r>
      <w:r>
        <w:rPr>
          <w:rFonts w:ascii="Calibri" w:hAnsi="Calibri" w:cs="Calibri" w:eastAsia="Calibri"/>
          <w:color w:val="auto"/>
          <w:spacing w:val="0"/>
          <w:position w:val="0"/>
          <w:sz w:val="24"/>
          <w:shd w:fill="FFFFFF" w:val="clear"/>
        </w:rPr>
        <w:t xml:space="preserve">, Bonder, C. S. Endothelial progenitor cells: novel biomarker and promising cell therapy for cardiovascular disease. </w:t>
      </w:r>
      <w:r>
        <w:rPr>
          <w:rFonts w:ascii="Calibri" w:hAnsi="Calibri" w:cs="Calibri" w:eastAsia="Calibri"/>
          <w:i/>
          <w:color w:val="auto"/>
          <w:spacing w:val="0"/>
          <w:position w:val="0"/>
          <w:sz w:val="24"/>
          <w:shd w:fill="FFFFFF" w:val="clear"/>
        </w:rPr>
        <w:t xml:space="preserve">Clinical Science (Lond).</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120 </w:t>
      </w:r>
      <w:r>
        <w:rPr>
          <w:rFonts w:ascii="Calibri" w:hAnsi="Calibri" w:cs="Calibri" w:eastAsia="Calibri"/>
          <w:color w:val="auto"/>
          <w:spacing w:val="0"/>
          <w:position w:val="0"/>
          <w:sz w:val="24"/>
          <w:shd w:fill="FFFFFF" w:val="clear"/>
        </w:rPr>
        <w:t xml:space="preserve">(7), 263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283 (2011).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w:t>
        <w:tab/>
        <w:t xml:space="preserve">Samman Tahhan, A. et al. Progenitor Cells and Clinical Outcomes in Patients With Acute Coronary Syndromes. </w:t>
      </w:r>
      <w:r>
        <w:rPr>
          <w:rFonts w:ascii="Calibri" w:hAnsi="Calibri" w:cs="Calibri" w:eastAsia="Calibri"/>
          <w:i/>
          <w:color w:val="auto"/>
          <w:spacing w:val="0"/>
          <w:position w:val="0"/>
          <w:sz w:val="24"/>
          <w:shd w:fill="FFFFFF" w:val="clear"/>
        </w:rPr>
        <w:t xml:space="preserve">Circulation Research. </w:t>
      </w:r>
      <w:r>
        <w:rPr>
          <w:rFonts w:ascii="Calibri" w:hAnsi="Calibri" w:cs="Calibri" w:eastAsia="Calibri"/>
          <w:b/>
          <w:color w:val="auto"/>
          <w:spacing w:val="0"/>
          <w:position w:val="0"/>
          <w:sz w:val="24"/>
          <w:shd w:fill="FFFFFF" w:val="clear"/>
        </w:rPr>
        <w:t xml:space="preserve">122</w:t>
      </w:r>
      <w:r>
        <w:rPr>
          <w:rFonts w:ascii="Calibri" w:hAnsi="Calibri" w:cs="Calibri" w:eastAsia="Calibri"/>
          <w:color w:val="auto"/>
          <w:spacing w:val="0"/>
          <w:position w:val="0"/>
          <w:sz w:val="24"/>
          <w:shd w:fill="FFFFFF" w:val="clear"/>
        </w:rPr>
        <w:t xml:space="preserve"> (11), 1565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1575 (2018).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w:t>
        <w:tab/>
        <w:t xml:space="preserve">Tomuli</w:t>
      </w:r>
      <w:r>
        <w:rPr>
          <w:rFonts w:ascii="Calibri" w:hAnsi="Calibri" w:cs="Calibri" w:eastAsia="Calibri"/>
          <w:color w:val="auto"/>
          <w:spacing w:val="0"/>
          <w:position w:val="0"/>
          <w:sz w:val="24"/>
          <w:shd w:fill="FFFFFF" w:val="clear"/>
        </w:rPr>
        <w:t xml:space="preserve">ć, V., Gobić, D., Lulić, D., Židan, D., Zaputović, L. Soluble adhesion molecules in patients with acute coronary syndrome after percutaneous coronary intervention with drug-coated balloon, drug-eluting stent or bare metal stent. </w:t>
      </w:r>
      <w:r>
        <w:rPr>
          <w:rFonts w:ascii="Calibri" w:hAnsi="Calibri" w:cs="Calibri" w:eastAsia="Calibri"/>
          <w:i/>
          <w:color w:val="auto"/>
          <w:spacing w:val="0"/>
          <w:position w:val="0"/>
          <w:sz w:val="24"/>
          <w:shd w:fill="FFFFFF" w:val="clear"/>
        </w:rPr>
        <w:t xml:space="preserve">Medical Hypotheses.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95,</w:t>
      </w:r>
      <w:r>
        <w:rPr>
          <w:rFonts w:ascii="Calibri" w:hAnsi="Calibri" w:cs="Calibri" w:eastAsia="Calibri"/>
          <w:color w:val="auto"/>
          <w:spacing w:val="0"/>
          <w:position w:val="0"/>
          <w:sz w:val="24"/>
          <w:shd w:fill="FFFFFF" w:val="clear"/>
        </w:rPr>
        <w:t xml:space="preserve"> 20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23 (2016).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w:t>
        <w:tab/>
        <w:t xml:space="preserve">Jaumdally, R</w:t>
      </w:r>
      <w:r>
        <w:rPr>
          <w:rFonts w:ascii="Calibri" w:hAnsi="Calibri" w:cs="Calibri" w:eastAsia="Calibri"/>
          <w:color w:val="auto"/>
          <w:spacing w:val="0"/>
          <w:position w:val="0"/>
          <w:sz w:val="24"/>
          <w:u w:val="single"/>
          <w:shd w:fill="FFFFFF" w:val="clear"/>
        </w:rPr>
        <w:t xml:space="preserve">.</w:t>
      </w:r>
      <w:r>
        <w:rPr>
          <w:rFonts w:ascii="Calibri" w:hAnsi="Calibri" w:cs="Calibri" w:eastAsia="Calibri"/>
          <w:color w:val="auto"/>
          <w:spacing w:val="0"/>
          <w:position w:val="0"/>
          <w:sz w:val="24"/>
          <w:shd w:fill="FFFFFF" w:val="clear"/>
        </w:rPr>
        <w:t xml:space="preserve">, Varma, C</w:t>
      </w:r>
      <w:r>
        <w:rPr>
          <w:rFonts w:ascii="Calibri" w:hAnsi="Calibri" w:cs="Calibri" w:eastAsia="Calibri"/>
          <w:color w:val="auto"/>
          <w:spacing w:val="0"/>
          <w:position w:val="0"/>
          <w:sz w:val="24"/>
          <w:u w:val="single"/>
          <w:shd w:fill="FFFFFF" w:val="clear"/>
        </w:rPr>
        <w:t xml:space="preserve">.</w:t>
      </w:r>
      <w:r>
        <w:rPr>
          <w:rFonts w:ascii="Calibri" w:hAnsi="Calibri" w:cs="Calibri" w:eastAsia="Calibri"/>
          <w:color w:val="auto"/>
          <w:spacing w:val="0"/>
          <w:position w:val="0"/>
          <w:sz w:val="24"/>
          <w:shd w:fill="FFFFFF" w:val="clear"/>
        </w:rPr>
        <w:t xml:space="preserve">, Macfadyen, R. J</w:t>
      </w:r>
      <w:r>
        <w:rPr>
          <w:rFonts w:ascii="Calibri" w:hAnsi="Calibri" w:cs="Calibri" w:eastAsia="Calibri"/>
          <w:color w:val="auto"/>
          <w:spacing w:val="0"/>
          <w:position w:val="0"/>
          <w:sz w:val="24"/>
          <w:u w:val="single"/>
          <w:shd w:fill="FFFFFF" w:val="clear"/>
        </w:rPr>
        <w:t xml:space="preserve">.</w:t>
      </w:r>
      <w:r>
        <w:rPr>
          <w:rFonts w:ascii="Calibri" w:hAnsi="Calibri" w:cs="Calibri" w:eastAsia="Calibri"/>
          <w:color w:val="auto"/>
          <w:spacing w:val="0"/>
          <w:position w:val="0"/>
          <w:sz w:val="24"/>
          <w:shd w:fill="FFFFFF" w:val="clear"/>
        </w:rPr>
        <w:t xml:space="preserve">, Lip, G. Y. Coronary sinus blood sampling: an insight into local cardiac pathophysiology and treatment? </w:t>
      </w:r>
      <w:r>
        <w:rPr>
          <w:rFonts w:ascii="Calibri" w:hAnsi="Calibri" w:cs="Calibri" w:eastAsia="Calibri"/>
          <w:i/>
          <w:color w:val="auto"/>
          <w:spacing w:val="0"/>
          <w:position w:val="0"/>
          <w:sz w:val="24"/>
          <w:shd w:fill="FFFFFF" w:val="clear"/>
        </w:rPr>
        <w:t xml:space="preserve">European Heart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28 </w:t>
      </w:r>
      <w:r>
        <w:rPr>
          <w:rFonts w:ascii="Calibri" w:hAnsi="Calibri" w:cs="Calibri" w:eastAsia="Calibri"/>
          <w:color w:val="auto"/>
          <w:spacing w:val="0"/>
          <w:position w:val="0"/>
          <w:sz w:val="24"/>
          <w:shd w:fill="FFFFFF" w:val="clear"/>
        </w:rPr>
        <w:t xml:space="preserve">(8), 929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940 (2007).</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w:t>
        <w:tab/>
        <w:t xml:space="preserve">Kremastinos, D. T. et al. Intracoronary cyclic-GMP and cyclic-AMP during percutaneous transluminal coronary angioplasty. </w:t>
      </w:r>
      <w:r>
        <w:rPr>
          <w:rFonts w:ascii="Calibri" w:hAnsi="Calibri" w:cs="Calibri" w:eastAsia="Calibri"/>
          <w:i/>
          <w:color w:val="auto"/>
          <w:spacing w:val="0"/>
          <w:position w:val="0"/>
          <w:sz w:val="24"/>
          <w:shd w:fill="FFFFFF" w:val="clear"/>
        </w:rPr>
        <w:t xml:space="preserve">International Journal of Cardiology.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53 </w:t>
      </w:r>
      <w:r>
        <w:rPr>
          <w:rFonts w:ascii="Calibri" w:hAnsi="Calibri" w:cs="Calibri" w:eastAsia="Calibri"/>
          <w:color w:val="auto"/>
          <w:spacing w:val="0"/>
          <w:position w:val="0"/>
          <w:sz w:val="24"/>
          <w:shd w:fill="FFFFFF" w:val="clear"/>
        </w:rPr>
        <w:t xml:space="preserve">(3), 227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232 (1996).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tab/>
        <w:t xml:space="preserve">Karube, N</w:t>
      </w:r>
      <w:r>
        <w:rPr>
          <w:rFonts w:ascii="Calibri" w:hAnsi="Calibri" w:cs="Calibri" w:eastAsia="Calibri"/>
          <w:color w:val="auto"/>
          <w:spacing w:val="0"/>
          <w:position w:val="0"/>
          <w:sz w:val="24"/>
          <w:u w:val="single"/>
          <w:shd w:fill="FFFFFF" w:val="clear"/>
        </w:rPr>
        <w:t xml:space="preserve">.</w:t>
      </w:r>
      <w:r>
        <w:rPr>
          <w:rFonts w:ascii="Calibri" w:hAnsi="Calibri" w:cs="Calibri" w:eastAsia="Calibri"/>
          <w:color w:val="auto"/>
          <w:spacing w:val="0"/>
          <w:position w:val="0"/>
          <w:sz w:val="24"/>
          <w:shd w:fill="FFFFFF" w:val="clear"/>
        </w:rPr>
        <w:t xml:space="preserve"> et al. Measurement of cytokine levels by coronary sinus blood sampling during cardiac surgery with cardiopulmonary bypass. </w:t>
      </w:r>
      <w:r>
        <w:rPr>
          <w:rFonts w:ascii="Calibri" w:hAnsi="Calibri" w:cs="Calibri" w:eastAsia="Calibri"/>
          <w:i/>
          <w:color w:val="auto"/>
          <w:spacing w:val="0"/>
          <w:position w:val="0"/>
          <w:sz w:val="24"/>
          <w:shd w:fill="FFFFFF" w:val="clear"/>
        </w:rPr>
        <w:t xml:space="preserve">American Society for Artificial Internal Organs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42</w:t>
      </w:r>
      <w:r>
        <w:rPr>
          <w:rFonts w:ascii="Calibri" w:hAnsi="Calibri" w:cs="Calibri" w:eastAsia="Calibri"/>
          <w:color w:val="auto"/>
          <w:spacing w:val="0"/>
          <w:position w:val="0"/>
          <w:sz w:val="24"/>
          <w:shd w:fill="FFFFFF" w:val="clear"/>
        </w:rPr>
        <w:t xml:space="preserve"> (5), M787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791 (1996).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w:t>
        <w:tab/>
        <w:t xml:space="preserve">Truong, Q. A. et al. Coronary sinus biomarker sampling compared to peripheral venous blood for predicting outcomes in patients with severe heart failure undergoing cardiac resynchronization therapy: the BIOCRT study. </w:t>
      </w:r>
      <w:r>
        <w:rPr>
          <w:rFonts w:ascii="Calibri" w:hAnsi="Calibri" w:cs="Calibri" w:eastAsia="Calibri"/>
          <w:i/>
          <w:color w:val="auto"/>
          <w:spacing w:val="0"/>
          <w:position w:val="0"/>
          <w:sz w:val="24"/>
          <w:shd w:fill="FFFFFF" w:val="clear"/>
        </w:rPr>
        <w:t xml:space="preserve">Heart Rhythm.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(12), 2167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2175 (2014).</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w:t>
        <w:tab/>
        <w:t xml:space="preserve">Su&amp;#225;rez-Cuenca, J. A. et al. Coronary circulating mononuclear progenitor cells and soluble biomarkers in the cardiovascular prognosis after coronary angioplasty. </w:t>
      </w:r>
      <w:r>
        <w:rPr>
          <w:rFonts w:ascii="Calibri" w:hAnsi="Calibri" w:cs="Calibri" w:eastAsia="Calibri"/>
          <w:i/>
          <w:color w:val="auto"/>
          <w:spacing w:val="0"/>
          <w:position w:val="0"/>
          <w:sz w:val="24"/>
          <w:shd w:fill="FFFFFF" w:val="clear"/>
        </w:rPr>
        <w:t xml:space="preserve">Journal of Cellular and Molecular Medicine. </w:t>
      </w:r>
      <w:r>
        <w:rPr>
          <w:rFonts w:ascii="Calibri" w:hAnsi="Calibri" w:cs="Calibri" w:eastAsia="Calibri"/>
          <w:b/>
          <w:color w:val="auto"/>
          <w:spacing w:val="0"/>
          <w:position w:val="0"/>
          <w:sz w:val="24"/>
          <w:shd w:fill="FFFFFF" w:val="clear"/>
        </w:rPr>
        <w:t xml:space="preserve">23</w:t>
      </w:r>
      <w:r>
        <w:rPr>
          <w:rFonts w:ascii="Calibri" w:hAnsi="Calibri" w:cs="Calibri" w:eastAsia="Calibri"/>
          <w:color w:val="auto"/>
          <w:spacing w:val="0"/>
          <w:position w:val="0"/>
          <w:sz w:val="24"/>
          <w:shd w:fill="FFFFFF" w:val="clear"/>
        </w:rPr>
        <w:t xml:space="preserve"> (7), 4844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4849 (2019).</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Su&amp;#225;rez-Cuenca, J. A. et al. Relation of Coronary Artery Lumen with Baseline, Post-angioplasty Coronary Circulating Pro-Inflammatory Cytokines in Patients with Coronary Artery Disease. </w:t>
      </w:r>
      <w:r>
        <w:rPr>
          <w:rFonts w:ascii="Calibri" w:hAnsi="Calibri" w:cs="Calibri" w:eastAsia="Calibri"/>
          <w:i/>
          <w:color w:val="auto"/>
          <w:spacing w:val="0"/>
          <w:position w:val="0"/>
          <w:sz w:val="24"/>
          <w:shd w:fill="FFFFFF" w:val="clear"/>
        </w:rPr>
        <w:t xml:space="preserve">Angiology Open Access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01 (2019).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Schmidt-Lucke, C. et al. Quantification of circulating endothelial progenitor cells using the modified ISHAGE protocol.</w:t>
      </w:r>
      <w:r>
        <w:rPr>
          <w:rFonts w:ascii="Calibri" w:hAnsi="Calibri" w:cs="Calibri" w:eastAsia="Calibri"/>
          <w:i/>
          <w:color w:val="auto"/>
          <w:spacing w:val="0"/>
          <w:position w:val="0"/>
          <w:sz w:val="24"/>
          <w:shd w:fill="FFFFFF" w:val="clear"/>
        </w:rPr>
        <w:t xml:space="preserve"> 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 </w:t>
      </w:r>
      <w:r>
        <w:rPr>
          <w:rFonts w:ascii="Calibri" w:hAnsi="Calibri" w:cs="Calibri" w:eastAsia="Calibri"/>
          <w:color w:val="auto"/>
          <w:spacing w:val="0"/>
          <w:position w:val="0"/>
          <w:sz w:val="24"/>
          <w:shd w:fill="FFFFFF" w:val="clear"/>
        </w:rPr>
        <w:t xml:space="preserve">(1), e13790 (2010).</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Moyer C. F., Sajuthi D., Tulli H., Williams, J. K. Synthesis of IL-1 alpha and IL-1 beta by arterial cells in atherosclerosis. </w:t>
      </w:r>
      <w:r>
        <w:rPr>
          <w:rFonts w:ascii="Calibri" w:hAnsi="Calibri" w:cs="Calibri" w:eastAsia="Calibri"/>
          <w:i/>
          <w:color w:val="auto"/>
          <w:spacing w:val="0"/>
          <w:position w:val="0"/>
          <w:sz w:val="24"/>
          <w:shd w:fill="FFFFFF" w:val="clear"/>
        </w:rPr>
        <w:t xml:space="preserve">American Journal of Pathology.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138</w:t>
      </w:r>
      <w:r>
        <w:rPr>
          <w:rFonts w:ascii="Calibri" w:hAnsi="Calibri" w:cs="Calibri" w:eastAsia="Calibri"/>
          <w:color w:val="auto"/>
          <w:spacing w:val="0"/>
          <w:position w:val="0"/>
          <w:sz w:val="24"/>
          <w:shd w:fill="FFFFFF" w:val="clear"/>
        </w:rPr>
        <w:t xml:space="preserve"> (4), 951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960 (1991).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r>
      <w:r>
        <w:rPr>
          <w:rFonts w:ascii="Calibri" w:hAnsi="Calibri" w:cs="Calibri" w:eastAsia="Calibri"/>
          <w:color w:val="000000"/>
          <w:spacing w:val="0"/>
          <w:position w:val="0"/>
          <w:sz w:val="24"/>
          <w:shd w:fill="FFFFFF" w:val="clear"/>
        </w:rPr>
        <w:t xml:space="preserve">Morales-Portano, J. D. et al.</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Echocardiographic measurements of epicardial adipose tissue and comparative ability to predict adverse cardiovascular outcomes in patients with coronary artery disease. </w:t>
      </w:r>
      <w:r>
        <w:rPr>
          <w:rFonts w:ascii="Calibri" w:hAnsi="Calibri" w:cs="Calibri" w:eastAsia="Calibri"/>
          <w:i/>
          <w:color w:val="000000"/>
          <w:spacing w:val="0"/>
          <w:position w:val="0"/>
          <w:sz w:val="24"/>
          <w:shd w:fill="FFFFFF" w:val="clear"/>
        </w:rPr>
        <w:t xml:space="preserve">International Journal of Cardiovascular Imaging.</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34</w:t>
      </w:r>
      <w:r>
        <w:rPr>
          <w:rFonts w:ascii="Calibri" w:hAnsi="Calibri" w:cs="Calibri" w:eastAsia="Calibri"/>
          <w:color w:val="000000"/>
          <w:spacing w:val="0"/>
          <w:position w:val="0"/>
          <w:sz w:val="24"/>
          <w:shd w:fill="FFFFFF" w:val="clear"/>
        </w:rPr>
        <w:t xml:space="preserve"> (9), 1429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1437 (2018).</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15.</w:t>
        <w:tab/>
        <w:t xml:space="preserve">Huang, X. et al. Endothelial progenitor cells correlated with oxidative stress after mild traumatic brain injury. </w:t>
      </w:r>
      <w:r>
        <w:rPr>
          <w:rFonts w:ascii="Calibri" w:hAnsi="Calibri" w:cs="Calibri" w:eastAsia="Calibri"/>
          <w:i/>
          <w:color w:val="auto"/>
          <w:spacing w:val="0"/>
          <w:position w:val="0"/>
          <w:sz w:val="24"/>
          <w:shd w:fill="FFFFFF" w:val="clear"/>
        </w:rPr>
        <w:t xml:space="preserve">Yonsei Medical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58</w:t>
      </w:r>
      <w:r>
        <w:rPr>
          <w:rFonts w:ascii="Calibri" w:hAnsi="Calibri" w:cs="Calibri" w:eastAsia="Calibri"/>
          <w:color w:val="auto"/>
          <w:spacing w:val="0"/>
          <w:position w:val="0"/>
          <w:sz w:val="24"/>
          <w:shd w:fill="FFFFFF" w:val="clear"/>
        </w:rPr>
        <w:t xml:space="preserve"> (5), 1012-1017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