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2ACB7" w14:textId="5CC4FCCE" w:rsidR="00272F6B" w:rsidRPr="00DC6A13" w:rsidRDefault="00DC6A13" w:rsidP="00BD0F92">
      <w:pPr>
        <w:rPr>
          <w:b/>
          <w:color w:val="auto"/>
        </w:rPr>
      </w:pPr>
      <w:r w:rsidRPr="00DC6A13">
        <w:rPr>
          <w:b/>
          <w:color w:val="auto"/>
        </w:rPr>
        <w:t>TITLE:</w:t>
      </w:r>
    </w:p>
    <w:p w14:paraId="6EC8AACA" w14:textId="64BFC72F" w:rsidR="00272F6B" w:rsidRPr="00DC6A13" w:rsidRDefault="00A52136" w:rsidP="00BD0F92">
      <w:pPr>
        <w:rPr>
          <w:bCs/>
          <w:color w:val="auto"/>
        </w:rPr>
      </w:pPr>
      <w:r>
        <w:rPr>
          <w:bCs/>
          <w:color w:val="auto"/>
        </w:rPr>
        <w:t xml:space="preserve">A </w:t>
      </w:r>
      <w:r w:rsidR="00272F6B" w:rsidRPr="00DC6A13">
        <w:rPr>
          <w:bCs/>
          <w:color w:val="auto"/>
        </w:rPr>
        <w:t>Whole Body Dosimetry Protocol for Peptide-Receptor Radionuclide Therapy (PRRT): 2D Planar Image and Hybrid 2D+3D SPECT/CT Image Methods</w:t>
      </w:r>
    </w:p>
    <w:p w14:paraId="234CFE12" w14:textId="5FC0A028" w:rsidR="00272F6B" w:rsidRDefault="00272F6B">
      <w:pPr>
        <w:rPr>
          <w:color w:val="auto"/>
        </w:rPr>
      </w:pPr>
    </w:p>
    <w:p w14:paraId="7BCCF5D2" w14:textId="1AFCA42B" w:rsidR="00DC6A13" w:rsidRPr="00DC6A13" w:rsidRDefault="00DC6A13">
      <w:pPr>
        <w:rPr>
          <w:b/>
          <w:bCs/>
          <w:color w:val="auto"/>
        </w:rPr>
      </w:pPr>
      <w:r w:rsidRPr="00DC6A13">
        <w:rPr>
          <w:b/>
          <w:bCs/>
          <w:color w:val="auto"/>
        </w:rPr>
        <w:t xml:space="preserve">AUTHORS AND AFFILIATIONS: </w:t>
      </w:r>
    </w:p>
    <w:p w14:paraId="4DE4B788" w14:textId="47174460" w:rsidR="004A79AD" w:rsidRDefault="00272F6B">
      <w:pPr>
        <w:pStyle w:val="MDPI13authornames"/>
        <w:spacing w:after="0" w:line="240" w:lineRule="auto"/>
        <w:jc w:val="both"/>
        <w:rPr>
          <w:rFonts w:ascii="Calibri" w:eastAsia="Calibri" w:hAnsi="Calibri" w:cs="Calibri"/>
          <w:b w:val="0"/>
          <w:color w:val="auto"/>
          <w:sz w:val="24"/>
          <w:szCs w:val="24"/>
          <w:vertAlign w:val="superscript"/>
          <w:lang w:val="it-IT"/>
        </w:rPr>
      </w:pPr>
      <w:r w:rsidRPr="00DC6A13">
        <w:rPr>
          <w:rFonts w:ascii="Calibri" w:eastAsia="Calibri" w:hAnsi="Calibri" w:cs="Calibri"/>
          <w:b w:val="0"/>
          <w:color w:val="auto"/>
          <w:sz w:val="24"/>
          <w:szCs w:val="24"/>
          <w:lang w:val="it-IT"/>
        </w:rPr>
        <w:t>Maria Luisa Belli</w:t>
      </w:r>
      <w:r w:rsidRPr="00DC6A13">
        <w:rPr>
          <w:rFonts w:ascii="Calibri" w:eastAsia="Calibri" w:hAnsi="Calibri" w:cs="Calibri"/>
          <w:b w:val="0"/>
          <w:color w:val="auto"/>
          <w:sz w:val="24"/>
          <w:szCs w:val="24"/>
          <w:vertAlign w:val="superscript"/>
          <w:lang w:val="it-IT"/>
        </w:rPr>
        <w:t>1</w:t>
      </w:r>
      <w:r w:rsidRPr="00DC6A13">
        <w:rPr>
          <w:rFonts w:ascii="Calibri" w:eastAsia="Calibri" w:hAnsi="Calibri" w:cs="Calibri"/>
          <w:b w:val="0"/>
          <w:color w:val="auto"/>
          <w:sz w:val="24"/>
          <w:szCs w:val="24"/>
          <w:lang w:val="it-IT"/>
        </w:rPr>
        <w:t>, Emilio Mezzenga</w:t>
      </w:r>
      <w:r w:rsidRPr="00DC6A13">
        <w:rPr>
          <w:rFonts w:ascii="Calibri" w:eastAsia="Calibri" w:hAnsi="Calibri" w:cs="Calibri"/>
          <w:b w:val="0"/>
          <w:color w:val="auto"/>
          <w:sz w:val="24"/>
          <w:szCs w:val="24"/>
          <w:vertAlign w:val="superscript"/>
          <w:lang w:val="it-IT"/>
        </w:rPr>
        <w:t>1</w:t>
      </w:r>
      <w:r w:rsidRPr="00DC6A13">
        <w:rPr>
          <w:rFonts w:ascii="Calibri" w:eastAsia="Calibri" w:hAnsi="Calibri" w:cs="Calibri"/>
          <w:b w:val="0"/>
          <w:color w:val="auto"/>
          <w:sz w:val="24"/>
          <w:szCs w:val="24"/>
          <w:lang w:val="it-IT"/>
        </w:rPr>
        <w:t>, Valentina Di Iorio</w:t>
      </w:r>
      <w:r w:rsidRPr="00DC6A13">
        <w:rPr>
          <w:rFonts w:ascii="Calibri" w:eastAsia="Calibri" w:hAnsi="Calibri" w:cs="Calibri"/>
          <w:b w:val="0"/>
          <w:color w:val="auto"/>
          <w:sz w:val="24"/>
          <w:szCs w:val="24"/>
          <w:vertAlign w:val="superscript"/>
          <w:lang w:val="it-IT"/>
        </w:rPr>
        <w:t>2</w:t>
      </w:r>
      <w:r w:rsidRPr="00DC6A13">
        <w:rPr>
          <w:rFonts w:ascii="Calibri" w:eastAsia="Calibri" w:hAnsi="Calibri" w:cs="Calibri"/>
          <w:b w:val="0"/>
          <w:color w:val="auto"/>
          <w:sz w:val="24"/>
          <w:szCs w:val="24"/>
          <w:lang w:val="it-IT"/>
        </w:rPr>
        <w:t>, Monica Celli</w:t>
      </w:r>
      <w:r w:rsidRPr="00DC6A13">
        <w:rPr>
          <w:rFonts w:ascii="Calibri" w:eastAsia="Calibri" w:hAnsi="Calibri" w:cs="Calibri"/>
          <w:b w:val="0"/>
          <w:color w:val="auto"/>
          <w:sz w:val="24"/>
          <w:szCs w:val="24"/>
          <w:vertAlign w:val="superscript"/>
          <w:lang w:val="it-IT"/>
        </w:rPr>
        <w:t>3</w:t>
      </w:r>
      <w:r w:rsidRPr="00DC6A13">
        <w:rPr>
          <w:rFonts w:ascii="Calibri" w:eastAsia="Calibri" w:hAnsi="Calibri" w:cs="Calibri"/>
          <w:b w:val="0"/>
          <w:color w:val="auto"/>
          <w:sz w:val="24"/>
          <w:szCs w:val="24"/>
          <w:lang w:val="it-IT"/>
        </w:rPr>
        <w:t>, Paola Caroli</w:t>
      </w:r>
      <w:r w:rsidRPr="00DC6A13">
        <w:rPr>
          <w:rFonts w:ascii="Calibri" w:eastAsia="Calibri" w:hAnsi="Calibri" w:cs="Calibri"/>
          <w:b w:val="0"/>
          <w:color w:val="auto"/>
          <w:sz w:val="24"/>
          <w:szCs w:val="24"/>
          <w:vertAlign w:val="superscript"/>
          <w:lang w:val="it-IT"/>
        </w:rPr>
        <w:t>3</w:t>
      </w:r>
      <w:r w:rsidRPr="00DC6A13">
        <w:rPr>
          <w:rFonts w:ascii="Calibri" w:eastAsia="Calibri" w:hAnsi="Calibri" w:cs="Calibri"/>
          <w:b w:val="0"/>
          <w:color w:val="auto"/>
          <w:sz w:val="24"/>
          <w:szCs w:val="24"/>
          <w:lang w:val="it-IT"/>
        </w:rPr>
        <w:t>, Elisabeth Canali</w:t>
      </w:r>
      <w:r w:rsidRPr="00DC6A13">
        <w:rPr>
          <w:rFonts w:ascii="Calibri" w:eastAsia="Calibri" w:hAnsi="Calibri" w:cs="Calibri"/>
          <w:b w:val="0"/>
          <w:color w:val="auto"/>
          <w:sz w:val="24"/>
          <w:szCs w:val="24"/>
          <w:vertAlign w:val="superscript"/>
          <w:lang w:val="it-IT"/>
        </w:rPr>
        <w:t>3</w:t>
      </w:r>
      <w:r w:rsidRPr="00DC6A13">
        <w:rPr>
          <w:rFonts w:ascii="Calibri" w:eastAsia="Calibri" w:hAnsi="Calibri" w:cs="Calibri"/>
          <w:b w:val="0"/>
          <w:color w:val="auto"/>
          <w:sz w:val="24"/>
          <w:szCs w:val="24"/>
          <w:lang w:val="it-IT"/>
        </w:rPr>
        <w:t>, Federica Matteucci</w:t>
      </w:r>
      <w:r w:rsidRPr="00DC6A13">
        <w:rPr>
          <w:rFonts w:ascii="Calibri" w:eastAsia="Calibri" w:hAnsi="Calibri" w:cs="Calibri"/>
          <w:b w:val="0"/>
          <w:color w:val="auto"/>
          <w:sz w:val="24"/>
          <w:szCs w:val="24"/>
          <w:vertAlign w:val="superscript"/>
          <w:lang w:val="it-IT"/>
        </w:rPr>
        <w:t>3</w:t>
      </w:r>
      <w:r w:rsidRPr="00DC6A13">
        <w:rPr>
          <w:rFonts w:ascii="Calibri" w:eastAsia="Calibri" w:hAnsi="Calibri" w:cs="Calibri"/>
          <w:b w:val="0"/>
          <w:color w:val="auto"/>
          <w:sz w:val="24"/>
          <w:szCs w:val="24"/>
          <w:lang w:val="it-IT"/>
        </w:rPr>
        <w:t>, Elisa Tardelli</w:t>
      </w:r>
      <w:r w:rsidRPr="00DC6A13">
        <w:rPr>
          <w:rFonts w:ascii="Calibri" w:eastAsia="Calibri" w:hAnsi="Calibri" w:cs="Calibri"/>
          <w:b w:val="0"/>
          <w:color w:val="auto"/>
          <w:sz w:val="24"/>
          <w:szCs w:val="24"/>
          <w:vertAlign w:val="superscript"/>
          <w:lang w:val="it-IT"/>
        </w:rPr>
        <w:t>3</w:t>
      </w:r>
      <w:r w:rsidRPr="00DC6A13">
        <w:rPr>
          <w:rFonts w:ascii="Calibri" w:eastAsia="Calibri" w:hAnsi="Calibri" w:cs="Calibri"/>
          <w:b w:val="0"/>
          <w:color w:val="auto"/>
          <w:sz w:val="24"/>
          <w:szCs w:val="24"/>
          <w:lang w:val="it-IT"/>
        </w:rPr>
        <w:t>, Ilaria Grassi</w:t>
      </w:r>
      <w:r w:rsidRPr="00DC6A13">
        <w:rPr>
          <w:rFonts w:ascii="Calibri" w:eastAsia="Calibri" w:hAnsi="Calibri" w:cs="Calibri"/>
          <w:b w:val="0"/>
          <w:color w:val="auto"/>
          <w:sz w:val="24"/>
          <w:szCs w:val="24"/>
          <w:vertAlign w:val="superscript"/>
          <w:lang w:val="it-IT"/>
        </w:rPr>
        <w:t>3</w:t>
      </w:r>
      <w:r w:rsidRPr="00DC6A13">
        <w:rPr>
          <w:rFonts w:ascii="Calibri" w:eastAsia="Calibri" w:hAnsi="Calibri" w:cs="Calibri"/>
          <w:b w:val="0"/>
          <w:color w:val="auto"/>
          <w:sz w:val="24"/>
          <w:szCs w:val="24"/>
          <w:lang w:val="it-IT"/>
        </w:rPr>
        <w:t>, Maddalena Sansovini</w:t>
      </w:r>
      <w:r w:rsidRPr="00DC6A13">
        <w:rPr>
          <w:rFonts w:ascii="Calibri" w:eastAsia="Calibri" w:hAnsi="Calibri" w:cs="Calibri"/>
          <w:b w:val="0"/>
          <w:color w:val="auto"/>
          <w:sz w:val="24"/>
          <w:szCs w:val="24"/>
          <w:vertAlign w:val="superscript"/>
          <w:lang w:val="it-IT"/>
        </w:rPr>
        <w:t>3</w:t>
      </w:r>
      <w:r w:rsidRPr="00DC6A13">
        <w:rPr>
          <w:rFonts w:ascii="Calibri" w:eastAsia="Calibri" w:hAnsi="Calibri" w:cs="Calibri"/>
          <w:b w:val="0"/>
          <w:color w:val="auto"/>
          <w:sz w:val="24"/>
          <w:szCs w:val="24"/>
          <w:lang w:val="it-IT"/>
        </w:rPr>
        <w:t>, Silvia Nicolini</w:t>
      </w:r>
      <w:r w:rsidRPr="00DC6A13">
        <w:rPr>
          <w:rFonts w:ascii="Calibri" w:eastAsia="Calibri" w:hAnsi="Calibri" w:cs="Calibri"/>
          <w:b w:val="0"/>
          <w:color w:val="auto"/>
          <w:sz w:val="24"/>
          <w:szCs w:val="24"/>
          <w:vertAlign w:val="superscript"/>
          <w:lang w:val="it-IT"/>
        </w:rPr>
        <w:t>3</w:t>
      </w:r>
      <w:r w:rsidRPr="00DC6A13">
        <w:rPr>
          <w:rFonts w:ascii="Calibri" w:eastAsia="Calibri" w:hAnsi="Calibri" w:cs="Calibri"/>
          <w:b w:val="0"/>
          <w:color w:val="auto"/>
          <w:sz w:val="24"/>
          <w:szCs w:val="24"/>
          <w:lang w:val="it-IT"/>
        </w:rPr>
        <w:t>, Stefano Severi</w:t>
      </w:r>
      <w:r w:rsidRPr="00DC6A13">
        <w:rPr>
          <w:rFonts w:ascii="Calibri" w:eastAsia="Calibri" w:hAnsi="Calibri" w:cs="Calibri"/>
          <w:b w:val="0"/>
          <w:color w:val="auto"/>
          <w:sz w:val="24"/>
          <w:szCs w:val="24"/>
          <w:vertAlign w:val="superscript"/>
          <w:lang w:val="it-IT"/>
        </w:rPr>
        <w:t>3</w:t>
      </w:r>
      <w:r w:rsidRPr="00DC6A13">
        <w:rPr>
          <w:rFonts w:ascii="Calibri" w:eastAsia="Calibri" w:hAnsi="Calibri" w:cs="Calibri"/>
          <w:b w:val="0"/>
          <w:color w:val="auto"/>
          <w:sz w:val="24"/>
          <w:szCs w:val="24"/>
          <w:lang w:val="it-IT"/>
        </w:rPr>
        <w:t>, Marta Cremonesi</w:t>
      </w:r>
      <w:r w:rsidRPr="00DC6A13">
        <w:rPr>
          <w:rFonts w:ascii="Calibri" w:eastAsia="Calibri" w:hAnsi="Calibri" w:cs="Calibri"/>
          <w:b w:val="0"/>
          <w:color w:val="auto"/>
          <w:sz w:val="24"/>
          <w:szCs w:val="24"/>
          <w:vertAlign w:val="superscript"/>
          <w:lang w:val="it-IT"/>
        </w:rPr>
        <w:t>4</w:t>
      </w:r>
      <w:r w:rsidRPr="00DC6A13">
        <w:rPr>
          <w:rFonts w:ascii="Calibri" w:eastAsia="Calibri" w:hAnsi="Calibri" w:cs="Calibri"/>
          <w:b w:val="0"/>
          <w:color w:val="auto"/>
          <w:sz w:val="24"/>
          <w:szCs w:val="24"/>
          <w:lang w:val="it-IT"/>
        </w:rPr>
        <w:t>, Mahila Ferrari</w:t>
      </w:r>
      <w:r w:rsidRPr="00DC6A13">
        <w:rPr>
          <w:rFonts w:ascii="Calibri" w:eastAsia="Calibri" w:hAnsi="Calibri" w:cs="Calibri"/>
          <w:b w:val="0"/>
          <w:color w:val="auto"/>
          <w:sz w:val="24"/>
          <w:szCs w:val="24"/>
          <w:vertAlign w:val="superscript"/>
          <w:lang w:val="it-IT"/>
        </w:rPr>
        <w:t>4</w:t>
      </w:r>
      <w:r w:rsidRPr="00DC6A13">
        <w:rPr>
          <w:rFonts w:ascii="Calibri" w:eastAsia="Calibri" w:hAnsi="Calibri" w:cs="Calibri"/>
          <w:b w:val="0"/>
          <w:color w:val="auto"/>
          <w:sz w:val="24"/>
          <w:szCs w:val="24"/>
          <w:lang w:val="it-IT"/>
        </w:rPr>
        <w:t>, Giovanni Paganelli</w:t>
      </w:r>
      <w:r w:rsidRPr="00DC6A13">
        <w:rPr>
          <w:rFonts w:ascii="Calibri" w:eastAsia="Calibri" w:hAnsi="Calibri" w:cs="Calibri"/>
          <w:b w:val="0"/>
          <w:color w:val="auto"/>
          <w:sz w:val="24"/>
          <w:szCs w:val="24"/>
          <w:vertAlign w:val="superscript"/>
          <w:lang w:val="it-IT"/>
        </w:rPr>
        <w:t>3</w:t>
      </w:r>
      <w:r w:rsidRPr="00DC6A13">
        <w:rPr>
          <w:rFonts w:ascii="Calibri" w:eastAsia="Calibri" w:hAnsi="Calibri" w:cs="Calibri"/>
          <w:b w:val="0"/>
          <w:color w:val="auto"/>
          <w:sz w:val="24"/>
          <w:szCs w:val="24"/>
          <w:lang w:val="it-IT"/>
        </w:rPr>
        <w:t>, Anna Sarnelli</w:t>
      </w:r>
      <w:r w:rsidRPr="00DC6A13">
        <w:rPr>
          <w:rFonts w:ascii="Calibri" w:eastAsia="Calibri" w:hAnsi="Calibri" w:cs="Calibri"/>
          <w:b w:val="0"/>
          <w:color w:val="auto"/>
          <w:sz w:val="24"/>
          <w:szCs w:val="24"/>
          <w:vertAlign w:val="superscript"/>
          <w:lang w:val="it-IT"/>
        </w:rPr>
        <w:t>1</w:t>
      </w:r>
    </w:p>
    <w:p w14:paraId="62A7010C" w14:textId="77777777" w:rsidR="00A52136" w:rsidRPr="003D144A" w:rsidRDefault="00A52136" w:rsidP="003D144A">
      <w:pPr>
        <w:rPr>
          <w:rFonts w:eastAsia="Calibri"/>
          <w:b/>
          <w:lang w:val="it-IT"/>
        </w:rPr>
      </w:pPr>
    </w:p>
    <w:p w14:paraId="5A61C7C7" w14:textId="77777777" w:rsidR="00272F6B" w:rsidRPr="00DC6A13" w:rsidRDefault="00272F6B">
      <w:pPr>
        <w:rPr>
          <w:bCs/>
          <w:color w:val="auto"/>
          <w:lang w:val="it-IT"/>
        </w:rPr>
      </w:pPr>
      <w:r w:rsidRPr="00DC6A13">
        <w:rPr>
          <w:bCs/>
          <w:color w:val="auto"/>
          <w:vertAlign w:val="superscript"/>
          <w:lang w:val="it-IT"/>
        </w:rPr>
        <w:t>1</w:t>
      </w:r>
      <w:r w:rsidRPr="00DC6A13">
        <w:rPr>
          <w:bCs/>
          <w:color w:val="auto"/>
          <w:lang w:val="it-IT"/>
        </w:rPr>
        <w:t>Medical Physics Unit, Istituto Scientifico Romagnolo per lo Studio e la Cura dei Tumori (IRST) IRCCS, Meldola, Italy</w:t>
      </w:r>
    </w:p>
    <w:p w14:paraId="743A024B" w14:textId="77777777" w:rsidR="00272F6B" w:rsidRPr="00DC6A13" w:rsidRDefault="00272F6B">
      <w:pPr>
        <w:rPr>
          <w:bCs/>
          <w:color w:val="auto"/>
          <w:lang w:val="it-IT"/>
        </w:rPr>
      </w:pPr>
      <w:r w:rsidRPr="00DC6A13">
        <w:rPr>
          <w:bCs/>
          <w:color w:val="auto"/>
          <w:vertAlign w:val="superscript"/>
          <w:lang w:val="it-IT"/>
        </w:rPr>
        <w:t>2</w:t>
      </w:r>
      <w:r w:rsidRPr="00DC6A13">
        <w:rPr>
          <w:bCs/>
          <w:color w:val="auto"/>
          <w:lang w:val="it-IT"/>
        </w:rPr>
        <w:t>Oncology Pharmacy, Istituto Scientifico Romagnolo per lo Studio e la Cura dei Tumori (IRST) IRCCS, Meldola, Italy</w:t>
      </w:r>
    </w:p>
    <w:p w14:paraId="7076F1C0" w14:textId="77777777" w:rsidR="00272F6B" w:rsidRPr="00DC6A13" w:rsidRDefault="00272F6B">
      <w:pPr>
        <w:rPr>
          <w:bCs/>
          <w:color w:val="auto"/>
          <w:lang w:val="it-IT"/>
        </w:rPr>
      </w:pPr>
      <w:r w:rsidRPr="00DC6A13">
        <w:rPr>
          <w:bCs/>
          <w:color w:val="auto"/>
          <w:vertAlign w:val="superscript"/>
          <w:lang w:val="it-IT"/>
        </w:rPr>
        <w:t>3</w:t>
      </w:r>
      <w:r w:rsidRPr="00DC6A13">
        <w:rPr>
          <w:bCs/>
          <w:color w:val="auto"/>
          <w:lang w:val="it-IT"/>
        </w:rPr>
        <w:t>Nuclear Medicine Unit, Istituto Scientifico Romagnolo per lo Studio e la Cura dei Tumori (IRST) IRCCS, Meldola, Italy</w:t>
      </w:r>
    </w:p>
    <w:p w14:paraId="1E25525B" w14:textId="77777777" w:rsidR="00272F6B" w:rsidRPr="00DC6A13" w:rsidRDefault="00272F6B">
      <w:pPr>
        <w:rPr>
          <w:bCs/>
          <w:color w:val="auto"/>
        </w:rPr>
      </w:pPr>
      <w:r w:rsidRPr="00DC6A13">
        <w:rPr>
          <w:bCs/>
          <w:color w:val="auto"/>
          <w:vertAlign w:val="superscript"/>
        </w:rPr>
        <w:t>4</w:t>
      </w:r>
      <w:r w:rsidRPr="00DC6A13">
        <w:rPr>
          <w:bCs/>
          <w:color w:val="auto"/>
        </w:rPr>
        <w:t>Physics, IEO, European Institute of Oncology IRCCS, Milan, Italy</w:t>
      </w:r>
    </w:p>
    <w:p w14:paraId="18D52D6D" w14:textId="77777777" w:rsidR="00272F6B" w:rsidRPr="00DC6A13" w:rsidRDefault="00272F6B">
      <w:pPr>
        <w:pStyle w:val="NormalWeb"/>
        <w:spacing w:before="0" w:beforeAutospacing="0" w:after="0" w:afterAutospacing="0"/>
        <w:rPr>
          <w:b/>
          <w:bCs/>
          <w:color w:val="auto"/>
        </w:rPr>
      </w:pPr>
    </w:p>
    <w:p w14:paraId="73FF1C3B" w14:textId="306817EB" w:rsidR="00DC6A13" w:rsidRPr="00DC6A13" w:rsidRDefault="00272F6B">
      <w:pPr>
        <w:pStyle w:val="NormalWeb"/>
        <w:spacing w:before="0" w:beforeAutospacing="0" w:after="0" w:afterAutospacing="0"/>
        <w:rPr>
          <w:b/>
          <w:bCs/>
          <w:color w:val="auto"/>
        </w:rPr>
      </w:pPr>
      <w:r w:rsidRPr="00DC6A13">
        <w:rPr>
          <w:b/>
          <w:bCs/>
          <w:color w:val="auto"/>
        </w:rPr>
        <w:t>KEYWORDS:</w:t>
      </w:r>
      <w:r w:rsidR="00A52136">
        <w:rPr>
          <w:b/>
          <w:bCs/>
          <w:color w:val="auto"/>
        </w:rPr>
        <w:t xml:space="preserve"> </w:t>
      </w:r>
    </w:p>
    <w:p w14:paraId="453C6333" w14:textId="2A6807C7" w:rsidR="00272F6B" w:rsidRPr="00DC6A13" w:rsidRDefault="00272F6B">
      <w:pPr>
        <w:pStyle w:val="NormalWeb"/>
        <w:spacing w:before="0" w:beforeAutospacing="0" w:after="0" w:afterAutospacing="0"/>
        <w:rPr>
          <w:color w:val="auto"/>
        </w:rPr>
      </w:pPr>
      <w:r w:rsidRPr="00DC6A13">
        <w:rPr>
          <w:color w:val="auto"/>
        </w:rPr>
        <w:t>dosimetry, whole-body planar imaging, hybrid dosimetry, theragnostics, PSMA, protectors, SPECT</w:t>
      </w:r>
    </w:p>
    <w:p w14:paraId="38B662A3" w14:textId="77777777" w:rsidR="00654EC6" w:rsidRPr="00DC6A13" w:rsidRDefault="00654EC6">
      <w:pPr>
        <w:rPr>
          <w:b/>
          <w:color w:val="auto"/>
        </w:rPr>
      </w:pPr>
    </w:p>
    <w:p w14:paraId="47F2C927" w14:textId="77777777" w:rsidR="002A1A6A" w:rsidRPr="00DC6A13" w:rsidRDefault="002A1A6A">
      <w:pPr>
        <w:rPr>
          <w:b/>
          <w:color w:val="auto"/>
        </w:rPr>
      </w:pPr>
      <w:r w:rsidRPr="00DC6A13">
        <w:rPr>
          <w:b/>
          <w:color w:val="auto"/>
        </w:rPr>
        <w:t>Email addresses of co-authors:</w:t>
      </w:r>
    </w:p>
    <w:p w14:paraId="481BB103" w14:textId="77777777" w:rsidR="002A1A6A" w:rsidRPr="00DC6A13" w:rsidRDefault="002A1A6A">
      <w:pPr>
        <w:rPr>
          <w:bCs/>
          <w:color w:val="auto"/>
          <w:lang w:val="it-IT"/>
        </w:rPr>
      </w:pPr>
      <w:r w:rsidRPr="00DC6A13">
        <w:rPr>
          <w:bCs/>
          <w:color w:val="auto"/>
          <w:lang w:val="it-IT"/>
        </w:rPr>
        <w:t>Mezzenga Emilio</w:t>
      </w:r>
      <w:r w:rsidRPr="00DC6A13">
        <w:rPr>
          <w:bCs/>
          <w:color w:val="auto"/>
          <w:lang w:val="it-IT"/>
        </w:rPr>
        <w:tab/>
        <w:t>(</w:t>
      </w:r>
      <w:hyperlink r:id="rId8" w:history="1">
        <w:r w:rsidR="009D1A4F" w:rsidRPr="00DC6A13">
          <w:rPr>
            <w:rStyle w:val="Hyperlink"/>
            <w:bCs/>
            <w:color w:val="auto"/>
            <w:lang w:val="it-IT"/>
          </w:rPr>
          <w:t>emilio.mezzenga@irst.emr.it</w:t>
        </w:r>
      </w:hyperlink>
      <w:r w:rsidRPr="00DC6A13">
        <w:rPr>
          <w:bCs/>
          <w:color w:val="auto"/>
          <w:lang w:val="it-IT"/>
        </w:rPr>
        <w:t>)</w:t>
      </w:r>
    </w:p>
    <w:p w14:paraId="6962A3BE" w14:textId="77777777" w:rsidR="002A1A6A" w:rsidRPr="00DC6A13" w:rsidRDefault="002A1A6A">
      <w:pPr>
        <w:rPr>
          <w:bCs/>
          <w:color w:val="auto"/>
          <w:lang w:val="it-IT"/>
        </w:rPr>
      </w:pPr>
      <w:r w:rsidRPr="00DC6A13">
        <w:rPr>
          <w:bCs/>
          <w:color w:val="auto"/>
          <w:lang w:val="it-IT"/>
        </w:rPr>
        <w:t xml:space="preserve">Di Iorio Valentina </w:t>
      </w:r>
      <w:r w:rsidRPr="00DC6A13">
        <w:rPr>
          <w:bCs/>
          <w:color w:val="auto"/>
          <w:lang w:val="it-IT"/>
        </w:rPr>
        <w:tab/>
        <w:t>(</w:t>
      </w:r>
      <w:hyperlink r:id="rId9" w:history="1">
        <w:r w:rsidR="009D1A4F" w:rsidRPr="00DC6A13">
          <w:rPr>
            <w:rStyle w:val="Hyperlink"/>
            <w:bCs/>
            <w:color w:val="auto"/>
            <w:lang w:val="it-IT"/>
          </w:rPr>
          <w:t>valentina.diiorio@irst.emr.it</w:t>
        </w:r>
      </w:hyperlink>
      <w:r w:rsidRPr="00DC6A13">
        <w:rPr>
          <w:bCs/>
          <w:color w:val="auto"/>
          <w:lang w:val="it-IT"/>
        </w:rPr>
        <w:t>)</w:t>
      </w:r>
    </w:p>
    <w:p w14:paraId="0830A032" w14:textId="77777777" w:rsidR="002A1A6A" w:rsidRPr="00DC6A13" w:rsidRDefault="002A1A6A">
      <w:pPr>
        <w:rPr>
          <w:bCs/>
          <w:color w:val="auto"/>
          <w:lang w:val="it-IT"/>
        </w:rPr>
      </w:pPr>
      <w:r w:rsidRPr="00DC6A13">
        <w:rPr>
          <w:bCs/>
          <w:color w:val="auto"/>
          <w:lang w:val="it-IT"/>
        </w:rPr>
        <w:t xml:space="preserve">Celli Monica </w:t>
      </w:r>
      <w:r w:rsidRPr="00DC6A13">
        <w:rPr>
          <w:bCs/>
          <w:color w:val="auto"/>
          <w:lang w:val="it-IT"/>
        </w:rPr>
        <w:tab/>
      </w:r>
      <w:r w:rsidRPr="00DC6A13">
        <w:rPr>
          <w:bCs/>
          <w:color w:val="auto"/>
          <w:lang w:val="it-IT"/>
        </w:rPr>
        <w:tab/>
        <w:t>(</w:t>
      </w:r>
      <w:hyperlink r:id="rId10" w:history="1">
        <w:r w:rsidR="009D1A4F" w:rsidRPr="00DC6A13">
          <w:rPr>
            <w:rStyle w:val="Hyperlink"/>
            <w:bCs/>
            <w:color w:val="auto"/>
            <w:lang w:val="it-IT"/>
          </w:rPr>
          <w:t>monica.celli@irst.emr.it</w:t>
        </w:r>
      </w:hyperlink>
      <w:r w:rsidRPr="00DC6A13">
        <w:rPr>
          <w:bCs/>
          <w:color w:val="auto"/>
          <w:lang w:val="it-IT"/>
        </w:rPr>
        <w:t>)</w:t>
      </w:r>
    </w:p>
    <w:p w14:paraId="4C7E4E6B" w14:textId="77777777" w:rsidR="002A1A6A" w:rsidRPr="00DC6A13" w:rsidRDefault="002A1A6A">
      <w:pPr>
        <w:rPr>
          <w:bCs/>
          <w:color w:val="auto"/>
          <w:lang w:val="it-IT"/>
        </w:rPr>
      </w:pPr>
      <w:r w:rsidRPr="00DC6A13">
        <w:rPr>
          <w:bCs/>
          <w:color w:val="auto"/>
          <w:lang w:val="it-IT"/>
        </w:rPr>
        <w:t xml:space="preserve">Caroli Paola </w:t>
      </w:r>
      <w:r w:rsidRPr="00DC6A13">
        <w:rPr>
          <w:bCs/>
          <w:color w:val="auto"/>
          <w:lang w:val="it-IT"/>
        </w:rPr>
        <w:tab/>
      </w:r>
      <w:r w:rsidRPr="00DC6A13">
        <w:rPr>
          <w:bCs/>
          <w:color w:val="auto"/>
          <w:lang w:val="it-IT"/>
        </w:rPr>
        <w:tab/>
        <w:t>(</w:t>
      </w:r>
      <w:hyperlink r:id="rId11" w:history="1">
        <w:r w:rsidR="009D1A4F" w:rsidRPr="00DC6A13">
          <w:rPr>
            <w:rStyle w:val="Hyperlink"/>
            <w:bCs/>
            <w:color w:val="auto"/>
            <w:lang w:val="it-IT"/>
          </w:rPr>
          <w:t>paola.caroli@irst.emr.it</w:t>
        </w:r>
      </w:hyperlink>
      <w:r w:rsidRPr="00DC6A13">
        <w:rPr>
          <w:bCs/>
          <w:color w:val="auto"/>
          <w:lang w:val="it-IT"/>
        </w:rPr>
        <w:t>)</w:t>
      </w:r>
    </w:p>
    <w:p w14:paraId="249337D0" w14:textId="77777777" w:rsidR="002A1A6A" w:rsidRPr="00DC6A13" w:rsidRDefault="002A1A6A">
      <w:pPr>
        <w:rPr>
          <w:bCs/>
          <w:color w:val="auto"/>
          <w:lang w:val="it-IT"/>
        </w:rPr>
      </w:pPr>
      <w:r w:rsidRPr="00DC6A13">
        <w:rPr>
          <w:bCs/>
          <w:color w:val="auto"/>
          <w:lang w:val="it-IT"/>
        </w:rPr>
        <w:t xml:space="preserve">Canali Elisabeth </w:t>
      </w:r>
      <w:r w:rsidRPr="00DC6A13">
        <w:rPr>
          <w:bCs/>
          <w:color w:val="auto"/>
          <w:lang w:val="it-IT"/>
        </w:rPr>
        <w:tab/>
        <w:t>(</w:t>
      </w:r>
      <w:hyperlink r:id="rId12" w:history="1">
        <w:r w:rsidR="009D1A4F" w:rsidRPr="00DC6A13">
          <w:rPr>
            <w:rStyle w:val="Hyperlink"/>
            <w:bCs/>
            <w:color w:val="auto"/>
            <w:lang w:val="it-IT"/>
          </w:rPr>
          <w:t>elisabeth.canali@irst.emr.it</w:t>
        </w:r>
      </w:hyperlink>
      <w:r w:rsidRPr="00DC6A13">
        <w:rPr>
          <w:bCs/>
          <w:color w:val="auto"/>
          <w:lang w:val="it-IT"/>
        </w:rPr>
        <w:t>)</w:t>
      </w:r>
    </w:p>
    <w:p w14:paraId="3ED0F157" w14:textId="77777777" w:rsidR="002A1A6A" w:rsidRPr="00DC6A13" w:rsidRDefault="002A1A6A">
      <w:pPr>
        <w:rPr>
          <w:bCs/>
          <w:color w:val="auto"/>
          <w:lang w:val="it-IT"/>
        </w:rPr>
      </w:pPr>
      <w:r w:rsidRPr="00DC6A13">
        <w:rPr>
          <w:bCs/>
          <w:color w:val="auto"/>
          <w:lang w:val="it-IT"/>
        </w:rPr>
        <w:t xml:space="preserve">Matteucci Federica </w:t>
      </w:r>
      <w:r w:rsidRPr="00DC6A13">
        <w:rPr>
          <w:bCs/>
          <w:color w:val="auto"/>
          <w:lang w:val="it-IT"/>
        </w:rPr>
        <w:tab/>
        <w:t>(</w:t>
      </w:r>
      <w:hyperlink r:id="rId13" w:history="1">
        <w:r w:rsidR="009D1A4F" w:rsidRPr="00DC6A13">
          <w:rPr>
            <w:rStyle w:val="Hyperlink"/>
            <w:bCs/>
            <w:color w:val="auto"/>
            <w:lang w:val="it-IT"/>
          </w:rPr>
          <w:t>federica.matteucci@irst.emr.it</w:t>
        </w:r>
      </w:hyperlink>
      <w:r w:rsidRPr="00DC6A13">
        <w:rPr>
          <w:bCs/>
          <w:color w:val="auto"/>
          <w:lang w:val="it-IT"/>
        </w:rPr>
        <w:t>)</w:t>
      </w:r>
    </w:p>
    <w:p w14:paraId="70C77B15" w14:textId="77777777" w:rsidR="002A1A6A" w:rsidRPr="00DC6A13" w:rsidRDefault="002A1A6A">
      <w:pPr>
        <w:rPr>
          <w:bCs/>
          <w:color w:val="auto"/>
          <w:lang w:val="it-IT"/>
        </w:rPr>
      </w:pPr>
      <w:r w:rsidRPr="00DC6A13">
        <w:rPr>
          <w:bCs/>
          <w:color w:val="auto"/>
          <w:lang w:val="it-IT"/>
        </w:rPr>
        <w:t xml:space="preserve">Tardelli Elisa </w:t>
      </w:r>
      <w:r w:rsidRPr="00DC6A13">
        <w:rPr>
          <w:bCs/>
          <w:color w:val="auto"/>
          <w:lang w:val="it-IT"/>
        </w:rPr>
        <w:tab/>
      </w:r>
      <w:r w:rsidRPr="00DC6A13">
        <w:rPr>
          <w:bCs/>
          <w:color w:val="auto"/>
          <w:lang w:val="it-IT"/>
        </w:rPr>
        <w:tab/>
        <w:t>(</w:t>
      </w:r>
      <w:hyperlink r:id="rId14" w:history="1">
        <w:r w:rsidR="009D1A4F" w:rsidRPr="00DC6A13">
          <w:rPr>
            <w:rStyle w:val="Hyperlink"/>
            <w:bCs/>
            <w:color w:val="auto"/>
            <w:lang w:val="it-IT"/>
          </w:rPr>
          <w:t>elisa.tardelli@irst.emr.it</w:t>
        </w:r>
      </w:hyperlink>
      <w:r w:rsidRPr="00DC6A13">
        <w:rPr>
          <w:bCs/>
          <w:color w:val="auto"/>
          <w:lang w:val="it-IT"/>
        </w:rPr>
        <w:t>)</w:t>
      </w:r>
    </w:p>
    <w:p w14:paraId="2FC9C4B9" w14:textId="77777777" w:rsidR="002A1A6A" w:rsidRPr="00DC6A13" w:rsidRDefault="002A1A6A">
      <w:pPr>
        <w:rPr>
          <w:bCs/>
          <w:color w:val="auto"/>
          <w:lang w:val="it-IT"/>
        </w:rPr>
      </w:pPr>
      <w:r w:rsidRPr="00DC6A13">
        <w:rPr>
          <w:bCs/>
          <w:color w:val="auto"/>
          <w:lang w:val="it-IT"/>
        </w:rPr>
        <w:t xml:space="preserve">Grassi Ilaria </w:t>
      </w:r>
      <w:r w:rsidRPr="00DC6A13">
        <w:rPr>
          <w:bCs/>
          <w:color w:val="auto"/>
          <w:lang w:val="it-IT"/>
        </w:rPr>
        <w:tab/>
      </w:r>
      <w:r w:rsidRPr="00DC6A13">
        <w:rPr>
          <w:bCs/>
          <w:color w:val="auto"/>
          <w:lang w:val="it-IT"/>
        </w:rPr>
        <w:tab/>
        <w:t>(</w:t>
      </w:r>
      <w:hyperlink r:id="rId15" w:history="1">
        <w:r w:rsidR="009D1A4F" w:rsidRPr="00DC6A13">
          <w:rPr>
            <w:rStyle w:val="Hyperlink"/>
            <w:bCs/>
            <w:color w:val="auto"/>
            <w:lang w:val="it-IT"/>
          </w:rPr>
          <w:t>ilaria.grassi@irst.emr.it</w:t>
        </w:r>
      </w:hyperlink>
      <w:r w:rsidRPr="00DC6A13">
        <w:rPr>
          <w:bCs/>
          <w:color w:val="auto"/>
          <w:lang w:val="it-IT"/>
        </w:rPr>
        <w:t>)</w:t>
      </w:r>
    </w:p>
    <w:p w14:paraId="6A8CBCDB" w14:textId="77777777" w:rsidR="002A1A6A" w:rsidRPr="00DC6A13" w:rsidRDefault="002A1A6A">
      <w:pPr>
        <w:rPr>
          <w:bCs/>
          <w:color w:val="auto"/>
          <w:lang w:val="it-IT"/>
        </w:rPr>
      </w:pPr>
      <w:r w:rsidRPr="00DC6A13">
        <w:rPr>
          <w:bCs/>
          <w:color w:val="auto"/>
          <w:lang w:val="it-IT"/>
        </w:rPr>
        <w:t xml:space="preserve">Sansovini Maddalena </w:t>
      </w:r>
      <w:r w:rsidRPr="00DC6A13">
        <w:rPr>
          <w:bCs/>
          <w:color w:val="auto"/>
          <w:lang w:val="it-IT"/>
        </w:rPr>
        <w:tab/>
        <w:t>(</w:t>
      </w:r>
      <w:hyperlink r:id="rId16" w:history="1">
        <w:r w:rsidR="009D1A4F" w:rsidRPr="00DC6A13">
          <w:rPr>
            <w:rStyle w:val="Hyperlink"/>
            <w:bCs/>
            <w:color w:val="auto"/>
            <w:lang w:val="it-IT"/>
          </w:rPr>
          <w:t>maddalena.sasovini@irst.emr.it</w:t>
        </w:r>
      </w:hyperlink>
      <w:r w:rsidRPr="00DC6A13">
        <w:rPr>
          <w:bCs/>
          <w:color w:val="auto"/>
          <w:lang w:val="it-IT"/>
        </w:rPr>
        <w:t>)</w:t>
      </w:r>
    </w:p>
    <w:p w14:paraId="3435FA9F" w14:textId="77777777" w:rsidR="002A1A6A" w:rsidRPr="00DC6A13" w:rsidRDefault="002A1A6A">
      <w:pPr>
        <w:rPr>
          <w:bCs/>
          <w:color w:val="auto"/>
          <w:lang w:val="it-IT"/>
        </w:rPr>
      </w:pPr>
      <w:r w:rsidRPr="00DC6A13">
        <w:rPr>
          <w:bCs/>
          <w:color w:val="auto"/>
          <w:lang w:val="it-IT"/>
        </w:rPr>
        <w:t xml:space="preserve">Nicolini Silvia </w:t>
      </w:r>
      <w:r w:rsidRPr="00DC6A13">
        <w:rPr>
          <w:bCs/>
          <w:color w:val="auto"/>
          <w:lang w:val="it-IT"/>
        </w:rPr>
        <w:tab/>
      </w:r>
      <w:r w:rsidRPr="00DC6A13">
        <w:rPr>
          <w:bCs/>
          <w:color w:val="auto"/>
          <w:lang w:val="it-IT"/>
        </w:rPr>
        <w:tab/>
        <w:t>(</w:t>
      </w:r>
      <w:hyperlink r:id="rId17" w:history="1">
        <w:r w:rsidR="009D1A4F" w:rsidRPr="00DC6A13">
          <w:rPr>
            <w:rStyle w:val="Hyperlink"/>
            <w:bCs/>
            <w:color w:val="auto"/>
            <w:lang w:val="it-IT"/>
          </w:rPr>
          <w:t>silvia.nicolini@irst.emr.it</w:t>
        </w:r>
      </w:hyperlink>
      <w:r w:rsidRPr="00DC6A13">
        <w:rPr>
          <w:bCs/>
          <w:color w:val="auto"/>
          <w:lang w:val="it-IT"/>
        </w:rPr>
        <w:t>)</w:t>
      </w:r>
    </w:p>
    <w:p w14:paraId="15DC702B" w14:textId="77777777" w:rsidR="002A1A6A" w:rsidRPr="00DC6A13" w:rsidRDefault="002A1A6A">
      <w:pPr>
        <w:rPr>
          <w:bCs/>
          <w:color w:val="auto"/>
          <w:lang w:val="it-IT"/>
        </w:rPr>
      </w:pPr>
      <w:r w:rsidRPr="00DC6A13">
        <w:rPr>
          <w:bCs/>
          <w:color w:val="auto"/>
          <w:lang w:val="it-IT"/>
        </w:rPr>
        <w:t xml:space="preserve">Severi Stefano </w:t>
      </w:r>
      <w:r w:rsidRPr="00DC6A13">
        <w:rPr>
          <w:bCs/>
          <w:color w:val="auto"/>
          <w:lang w:val="it-IT"/>
        </w:rPr>
        <w:tab/>
        <w:t>(</w:t>
      </w:r>
      <w:hyperlink r:id="rId18" w:history="1">
        <w:r w:rsidR="009D1A4F" w:rsidRPr="00DC6A13">
          <w:rPr>
            <w:rStyle w:val="Hyperlink"/>
            <w:bCs/>
            <w:color w:val="auto"/>
            <w:lang w:val="it-IT"/>
          </w:rPr>
          <w:t>stefano.severi@irst.emr.it</w:t>
        </w:r>
      </w:hyperlink>
      <w:r w:rsidRPr="00DC6A13">
        <w:rPr>
          <w:bCs/>
          <w:color w:val="auto"/>
          <w:lang w:val="it-IT"/>
        </w:rPr>
        <w:t>)</w:t>
      </w:r>
    </w:p>
    <w:p w14:paraId="44C7E342" w14:textId="77777777" w:rsidR="002A1A6A" w:rsidRPr="00DC6A13" w:rsidRDefault="002A1A6A">
      <w:pPr>
        <w:rPr>
          <w:bCs/>
          <w:color w:val="auto"/>
          <w:lang w:val="it-IT"/>
        </w:rPr>
      </w:pPr>
      <w:r w:rsidRPr="00DC6A13">
        <w:rPr>
          <w:bCs/>
          <w:color w:val="auto"/>
          <w:lang w:val="it-IT"/>
        </w:rPr>
        <w:t>Cremonesi Marta</w:t>
      </w:r>
      <w:r w:rsidRPr="00DC6A13">
        <w:rPr>
          <w:bCs/>
          <w:color w:val="auto"/>
          <w:lang w:val="it-IT"/>
        </w:rPr>
        <w:tab/>
        <w:t>(</w:t>
      </w:r>
      <w:hyperlink r:id="rId19" w:history="1">
        <w:r w:rsidR="009D1A4F" w:rsidRPr="00DC6A13">
          <w:rPr>
            <w:rStyle w:val="Hyperlink"/>
            <w:bCs/>
            <w:color w:val="auto"/>
            <w:lang w:val="it-IT"/>
          </w:rPr>
          <w:t>marta.cremonesi@ieo.it</w:t>
        </w:r>
      </w:hyperlink>
      <w:r w:rsidRPr="00DC6A13">
        <w:rPr>
          <w:bCs/>
          <w:color w:val="auto"/>
          <w:lang w:val="it-IT"/>
        </w:rPr>
        <w:t>)</w:t>
      </w:r>
    </w:p>
    <w:p w14:paraId="43663950" w14:textId="77777777" w:rsidR="002A1A6A" w:rsidRPr="00DC6A13" w:rsidRDefault="002A1A6A">
      <w:pPr>
        <w:rPr>
          <w:bCs/>
          <w:color w:val="auto"/>
          <w:lang w:val="it-IT"/>
        </w:rPr>
      </w:pPr>
      <w:r w:rsidRPr="00DC6A13">
        <w:rPr>
          <w:bCs/>
          <w:color w:val="auto"/>
          <w:lang w:val="it-IT"/>
        </w:rPr>
        <w:t xml:space="preserve">Ferrari Mahila </w:t>
      </w:r>
      <w:r w:rsidRPr="00DC6A13">
        <w:rPr>
          <w:bCs/>
          <w:color w:val="auto"/>
          <w:lang w:val="it-IT"/>
        </w:rPr>
        <w:tab/>
      </w:r>
      <w:r w:rsidRPr="00DC6A13">
        <w:rPr>
          <w:bCs/>
          <w:color w:val="auto"/>
          <w:lang w:val="it-IT"/>
        </w:rPr>
        <w:tab/>
        <w:t>(</w:t>
      </w:r>
      <w:hyperlink r:id="rId20" w:history="1">
        <w:r w:rsidR="009D1A4F" w:rsidRPr="00DC6A13">
          <w:rPr>
            <w:rStyle w:val="Hyperlink"/>
            <w:bCs/>
            <w:color w:val="auto"/>
            <w:lang w:val="it-IT"/>
          </w:rPr>
          <w:t>mahila.ferrari@ieo.it</w:t>
        </w:r>
      </w:hyperlink>
      <w:r w:rsidRPr="00DC6A13">
        <w:rPr>
          <w:bCs/>
          <w:color w:val="auto"/>
          <w:lang w:val="it-IT"/>
        </w:rPr>
        <w:t>)</w:t>
      </w:r>
    </w:p>
    <w:p w14:paraId="43B17FD7" w14:textId="77777777" w:rsidR="002A1A6A" w:rsidRPr="00DC6A13" w:rsidRDefault="002A1A6A">
      <w:pPr>
        <w:rPr>
          <w:bCs/>
          <w:color w:val="auto"/>
          <w:lang w:val="it-IT"/>
        </w:rPr>
      </w:pPr>
      <w:r w:rsidRPr="00DC6A13">
        <w:rPr>
          <w:bCs/>
          <w:color w:val="auto"/>
          <w:lang w:val="it-IT"/>
        </w:rPr>
        <w:t xml:space="preserve">Paganelli Giorvanni </w:t>
      </w:r>
      <w:r w:rsidRPr="00DC6A13">
        <w:rPr>
          <w:bCs/>
          <w:color w:val="auto"/>
          <w:lang w:val="it-IT"/>
        </w:rPr>
        <w:tab/>
        <w:t>(</w:t>
      </w:r>
      <w:hyperlink r:id="rId21" w:history="1">
        <w:r w:rsidR="009D1A4F" w:rsidRPr="00DC6A13">
          <w:rPr>
            <w:rStyle w:val="Hyperlink"/>
            <w:bCs/>
            <w:color w:val="auto"/>
            <w:lang w:val="it-IT"/>
          </w:rPr>
          <w:t>giovanni.paganelli@irst.emr.it</w:t>
        </w:r>
      </w:hyperlink>
      <w:r w:rsidRPr="00DC6A13">
        <w:rPr>
          <w:bCs/>
          <w:color w:val="auto"/>
          <w:lang w:val="it-IT"/>
        </w:rPr>
        <w:t>)</w:t>
      </w:r>
    </w:p>
    <w:p w14:paraId="0B82236A" w14:textId="77777777" w:rsidR="002A1A6A" w:rsidRPr="00DC6A13" w:rsidRDefault="002A1A6A">
      <w:pPr>
        <w:rPr>
          <w:bCs/>
          <w:color w:val="auto"/>
          <w:lang w:val="it-IT"/>
        </w:rPr>
      </w:pPr>
      <w:r w:rsidRPr="00DC6A13">
        <w:rPr>
          <w:bCs/>
          <w:color w:val="auto"/>
          <w:lang w:val="it-IT"/>
        </w:rPr>
        <w:t xml:space="preserve">Sarnelli Anna </w:t>
      </w:r>
      <w:r w:rsidRPr="00DC6A13">
        <w:rPr>
          <w:bCs/>
          <w:color w:val="auto"/>
          <w:lang w:val="it-IT"/>
        </w:rPr>
        <w:tab/>
      </w:r>
      <w:r w:rsidRPr="00DC6A13">
        <w:rPr>
          <w:bCs/>
          <w:color w:val="auto"/>
          <w:lang w:val="it-IT"/>
        </w:rPr>
        <w:tab/>
        <w:t>(</w:t>
      </w:r>
      <w:hyperlink r:id="rId22" w:history="1">
        <w:r w:rsidR="009D1A4F" w:rsidRPr="00DC6A13">
          <w:rPr>
            <w:rStyle w:val="Hyperlink"/>
            <w:bCs/>
            <w:color w:val="auto"/>
            <w:lang w:val="it-IT"/>
          </w:rPr>
          <w:t>anna.sarnelli@irst.emr.it</w:t>
        </w:r>
      </w:hyperlink>
      <w:r w:rsidRPr="00DC6A13">
        <w:rPr>
          <w:bCs/>
          <w:color w:val="auto"/>
          <w:lang w:val="it-IT"/>
        </w:rPr>
        <w:t>)</w:t>
      </w:r>
    </w:p>
    <w:p w14:paraId="1A9557DA" w14:textId="77777777" w:rsidR="002A1A6A" w:rsidRPr="00DC6A13" w:rsidRDefault="002A1A6A">
      <w:pPr>
        <w:rPr>
          <w:bCs/>
          <w:color w:val="auto"/>
          <w:vertAlign w:val="superscript"/>
          <w:lang w:val="it-IT"/>
        </w:rPr>
      </w:pPr>
    </w:p>
    <w:p w14:paraId="6E57FE77" w14:textId="246A5C1A" w:rsidR="002A1A6A" w:rsidRPr="00DC6A13" w:rsidRDefault="002A1A6A">
      <w:pPr>
        <w:rPr>
          <w:b/>
          <w:color w:val="auto"/>
        </w:rPr>
      </w:pPr>
      <w:r w:rsidRPr="00DC6A13">
        <w:rPr>
          <w:b/>
          <w:color w:val="auto"/>
        </w:rPr>
        <w:t>Corresponding author:</w:t>
      </w:r>
      <w:r w:rsidR="00A52136">
        <w:rPr>
          <w:b/>
          <w:color w:val="auto"/>
        </w:rPr>
        <w:t xml:space="preserve"> </w:t>
      </w:r>
    </w:p>
    <w:p w14:paraId="40CA04E1" w14:textId="77777777" w:rsidR="002A1A6A" w:rsidRPr="00DC6A13" w:rsidRDefault="002A1A6A">
      <w:pPr>
        <w:rPr>
          <w:bCs/>
          <w:i/>
          <w:color w:val="auto"/>
        </w:rPr>
      </w:pPr>
      <w:r w:rsidRPr="00DC6A13">
        <w:rPr>
          <w:bCs/>
          <w:color w:val="auto"/>
        </w:rPr>
        <w:t>Maria Luisa Belli</w:t>
      </w:r>
      <w:r w:rsidRPr="00DC6A13">
        <w:rPr>
          <w:bCs/>
          <w:color w:val="auto"/>
        </w:rPr>
        <w:tab/>
        <w:t>(</w:t>
      </w:r>
      <w:hyperlink r:id="rId23" w:history="1">
        <w:r w:rsidR="009D1A4F" w:rsidRPr="00DC6A13">
          <w:rPr>
            <w:rStyle w:val="Hyperlink"/>
            <w:bCs/>
            <w:i/>
            <w:color w:val="auto"/>
          </w:rPr>
          <w:t>maria.belli@irst.emr.it</w:t>
        </w:r>
      </w:hyperlink>
      <w:r w:rsidRPr="00DC6A13">
        <w:rPr>
          <w:color w:val="auto"/>
        </w:rPr>
        <w:t>)</w:t>
      </w:r>
      <w:r w:rsidRPr="00DC6A13">
        <w:rPr>
          <w:bCs/>
          <w:i/>
          <w:color w:val="auto"/>
        </w:rPr>
        <w:t xml:space="preserve"> </w:t>
      </w:r>
    </w:p>
    <w:p w14:paraId="212A0A13" w14:textId="77777777" w:rsidR="002A1A6A" w:rsidRPr="00DC6A13" w:rsidRDefault="002A1A6A">
      <w:pPr>
        <w:pStyle w:val="NormalWeb"/>
        <w:spacing w:before="0" w:beforeAutospacing="0" w:after="0" w:afterAutospacing="0"/>
        <w:rPr>
          <w:b/>
          <w:bCs/>
          <w:color w:val="auto"/>
        </w:rPr>
      </w:pPr>
    </w:p>
    <w:p w14:paraId="4BDE0384" w14:textId="1035EC4F" w:rsidR="00A77311" w:rsidRPr="00DC6A13" w:rsidRDefault="00DC6A13">
      <w:pPr>
        <w:rPr>
          <w:color w:val="auto"/>
        </w:rPr>
      </w:pPr>
      <w:r w:rsidRPr="00DC6A13">
        <w:rPr>
          <w:b/>
          <w:bCs/>
          <w:color w:val="auto"/>
        </w:rPr>
        <w:t>SUMMARY</w:t>
      </w:r>
    </w:p>
    <w:p w14:paraId="1F39C3A9" w14:textId="24362D10" w:rsidR="00415600" w:rsidRPr="00DC6A13" w:rsidRDefault="00273849">
      <w:pPr>
        <w:rPr>
          <w:b/>
          <w:bCs/>
          <w:color w:val="auto"/>
        </w:rPr>
      </w:pPr>
      <w:r w:rsidRPr="00DC6A13">
        <w:rPr>
          <w:color w:val="auto"/>
        </w:rPr>
        <w:t>T</w:t>
      </w:r>
      <w:r w:rsidR="00820E5C" w:rsidRPr="00DC6A13">
        <w:rPr>
          <w:color w:val="auto"/>
        </w:rPr>
        <w:t xml:space="preserve">his method </w:t>
      </w:r>
      <w:r w:rsidRPr="00DC6A13">
        <w:rPr>
          <w:color w:val="auto"/>
        </w:rPr>
        <w:t>estimates</w:t>
      </w:r>
      <w:r w:rsidR="000A58BF" w:rsidRPr="00DC6A13">
        <w:rPr>
          <w:color w:val="auto"/>
        </w:rPr>
        <w:t xml:space="preserve"> </w:t>
      </w:r>
      <w:r w:rsidR="00272F6B" w:rsidRPr="00DC6A13">
        <w:rPr>
          <w:color w:val="auto"/>
        </w:rPr>
        <w:t xml:space="preserve">the </w:t>
      </w:r>
      <w:r w:rsidR="000A58BF" w:rsidRPr="00DC6A13">
        <w:rPr>
          <w:color w:val="auto"/>
        </w:rPr>
        <w:t xml:space="preserve">absorbed dose of different </w:t>
      </w:r>
      <w:r w:rsidR="00623F71" w:rsidRPr="00DC6A13">
        <w:rPr>
          <w:color w:val="auto"/>
        </w:rPr>
        <w:t>structures</w:t>
      </w:r>
      <w:r w:rsidR="000A58BF" w:rsidRPr="00DC6A13">
        <w:rPr>
          <w:color w:val="auto"/>
        </w:rPr>
        <w:t xml:space="preserve"> </w:t>
      </w:r>
      <w:r w:rsidRPr="00DC6A13">
        <w:rPr>
          <w:color w:val="auto"/>
        </w:rPr>
        <w:t>for</w:t>
      </w:r>
      <w:r w:rsidR="000A58BF" w:rsidRPr="00DC6A13">
        <w:rPr>
          <w:color w:val="auto"/>
        </w:rPr>
        <w:t xml:space="preserve"> </w:t>
      </w:r>
      <w:r w:rsidR="00623F71" w:rsidRPr="00DC6A13">
        <w:rPr>
          <w:color w:val="auto"/>
        </w:rPr>
        <w:t>peptide-receptor</w:t>
      </w:r>
      <w:r w:rsidR="00501391" w:rsidRPr="00DC6A13">
        <w:rPr>
          <w:color w:val="auto"/>
        </w:rPr>
        <w:t>-</w:t>
      </w:r>
      <w:r w:rsidR="00623F71" w:rsidRPr="00DC6A13">
        <w:rPr>
          <w:color w:val="auto"/>
        </w:rPr>
        <w:t>radionuclide</w:t>
      </w:r>
      <w:r w:rsidR="00501391" w:rsidRPr="00DC6A13">
        <w:rPr>
          <w:color w:val="auto"/>
        </w:rPr>
        <w:t>-</w:t>
      </w:r>
      <w:r w:rsidR="003400AE" w:rsidRPr="00DC6A13">
        <w:rPr>
          <w:color w:val="auto"/>
        </w:rPr>
        <w:t>therapy</w:t>
      </w:r>
      <w:r w:rsidR="00C27655" w:rsidRPr="00DC6A13">
        <w:rPr>
          <w:color w:val="auto"/>
        </w:rPr>
        <w:t xml:space="preserve"> </w:t>
      </w:r>
      <w:r w:rsidR="003400AE" w:rsidRPr="00DC6A13">
        <w:rPr>
          <w:color w:val="auto"/>
        </w:rPr>
        <w:t>(PRRT</w:t>
      </w:r>
      <w:r w:rsidR="002E47B6" w:rsidRPr="00DC6A13">
        <w:rPr>
          <w:color w:val="auto"/>
        </w:rPr>
        <w:t>) with</w:t>
      </w:r>
      <w:r w:rsidR="00235D0C" w:rsidRPr="00DC6A13">
        <w:rPr>
          <w:color w:val="auto"/>
        </w:rPr>
        <w:t xml:space="preserve"> the possibility </w:t>
      </w:r>
      <w:r w:rsidR="00272F6B" w:rsidRPr="00DC6A13">
        <w:rPr>
          <w:color w:val="auto"/>
        </w:rPr>
        <w:t>of avoiding</w:t>
      </w:r>
      <w:r w:rsidR="00235D0C" w:rsidRPr="00DC6A13">
        <w:rPr>
          <w:color w:val="auto"/>
        </w:rPr>
        <w:t xml:space="preserve"> organ overlap on 2D-projections</w:t>
      </w:r>
      <w:r w:rsidR="000A58BF" w:rsidRPr="00DC6A13">
        <w:rPr>
          <w:color w:val="auto"/>
        </w:rPr>
        <w:t xml:space="preserve">. </w:t>
      </w:r>
      <w:r w:rsidR="001E13B2" w:rsidRPr="00DC6A13">
        <w:rPr>
          <w:color w:val="auto"/>
        </w:rPr>
        <w:lastRenderedPageBreak/>
        <w:t xml:space="preserve">Serial </w:t>
      </w:r>
      <w:r w:rsidR="00F03BA6" w:rsidRPr="00DC6A13">
        <w:rPr>
          <w:color w:val="auto"/>
        </w:rPr>
        <w:t>whole-body</w:t>
      </w:r>
      <w:r w:rsidR="003400AE" w:rsidRPr="00DC6A13">
        <w:rPr>
          <w:color w:val="auto"/>
        </w:rPr>
        <w:t xml:space="preserve"> planar image</w:t>
      </w:r>
      <w:r w:rsidR="001E13B2" w:rsidRPr="00DC6A13">
        <w:rPr>
          <w:color w:val="auto"/>
        </w:rPr>
        <w:t>s</w:t>
      </w:r>
      <w:r w:rsidR="003400AE" w:rsidRPr="00DC6A13">
        <w:rPr>
          <w:color w:val="auto"/>
        </w:rPr>
        <w:t xml:space="preserve"> </w:t>
      </w:r>
      <w:r w:rsidR="00906A8D" w:rsidRPr="00DC6A13">
        <w:rPr>
          <w:color w:val="auto"/>
        </w:rPr>
        <w:t>permit</w:t>
      </w:r>
      <w:r w:rsidR="00906A8D">
        <w:rPr>
          <w:color w:val="auto"/>
        </w:rPr>
        <w:t xml:space="preserve"> </w:t>
      </w:r>
      <w:r w:rsidR="00C27655" w:rsidRPr="00DC6A13">
        <w:rPr>
          <w:color w:val="auto"/>
        </w:rPr>
        <w:t xml:space="preserve">estimation of </w:t>
      </w:r>
      <w:r w:rsidR="003400AE" w:rsidRPr="00DC6A13">
        <w:rPr>
          <w:color w:val="auto"/>
        </w:rPr>
        <w:t>mean absorbed dose</w:t>
      </w:r>
      <w:r w:rsidR="00F03BA6">
        <w:rPr>
          <w:color w:val="auto"/>
        </w:rPr>
        <w:t>s</w:t>
      </w:r>
      <w:r w:rsidR="003400AE" w:rsidRPr="00DC6A13">
        <w:rPr>
          <w:color w:val="auto"/>
        </w:rPr>
        <w:t xml:space="preserve"> </w:t>
      </w:r>
      <w:r w:rsidR="00623F71" w:rsidRPr="00DC6A13">
        <w:rPr>
          <w:color w:val="auto"/>
        </w:rPr>
        <w:t>along the whole</w:t>
      </w:r>
      <w:r w:rsidR="003400AE" w:rsidRPr="00DC6A13">
        <w:rPr>
          <w:color w:val="auto"/>
        </w:rPr>
        <w:t xml:space="preserve"> body</w:t>
      </w:r>
      <w:r w:rsidR="006E2212" w:rsidRPr="00DC6A13">
        <w:rPr>
          <w:color w:val="auto"/>
        </w:rPr>
        <w:t>,</w:t>
      </w:r>
      <w:r w:rsidR="001E13B2" w:rsidRPr="00DC6A13">
        <w:rPr>
          <w:color w:val="auto"/>
        </w:rPr>
        <w:t xml:space="preserve"> while </w:t>
      </w:r>
      <w:r w:rsidR="006E2212" w:rsidRPr="00DC6A13">
        <w:rPr>
          <w:color w:val="auto"/>
        </w:rPr>
        <w:t xml:space="preserve">the </w:t>
      </w:r>
      <w:r w:rsidR="001E13B2" w:rsidRPr="00DC6A13">
        <w:rPr>
          <w:color w:val="auto"/>
        </w:rPr>
        <w:t>h</w:t>
      </w:r>
      <w:r w:rsidR="003400AE" w:rsidRPr="00DC6A13">
        <w:rPr>
          <w:color w:val="auto"/>
        </w:rPr>
        <w:t xml:space="preserve">ybrid </w:t>
      </w:r>
      <w:r w:rsidR="001E13B2" w:rsidRPr="00DC6A13">
        <w:rPr>
          <w:color w:val="auto"/>
        </w:rPr>
        <w:t>approach,</w:t>
      </w:r>
      <w:r w:rsidR="00FA76C6" w:rsidRPr="00DC6A13">
        <w:rPr>
          <w:color w:val="auto"/>
        </w:rPr>
        <w:t xml:space="preserve"> combining</w:t>
      </w:r>
      <w:r w:rsidR="001E13B2" w:rsidRPr="00DC6A13">
        <w:rPr>
          <w:color w:val="auto"/>
        </w:rPr>
        <w:t xml:space="preserve"> planar images and </w:t>
      </w:r>
      <w:r w:rsidR="003400AE" w:rsidRPr="00DC6A13">
        <w:rPr>
          <w:color w:val="auto"/>
        </w:rPr>
        <w:t>3D</w:t>
      </w:r>
      <w:r w:rsidR="00235D0C" w:rsidRPr="00DC6A13">
        <w:rPr>
          <w:color w:val="auto"/>
        </w:rPr>
        <w:t>-</w:t>
      </w:r>
      <w:r w:rsidR="003400AE" w:rsidRPr="00DC6A13">
        <w:rPr>
          <w:color w:val="auto"/>
        </w:rPr>
        <w:t>SPECT/CT image</w:t>
      </w:r>
      <w:r w:rsidR="001E13B2" w:rsidRPr="00DC6A13">
        <w:rPr>
          <w:color w:val="auto"/>
        </w:rPr>
        <w:t>,</w:t>
      </w:r>
      <w:r w:rsidRPr="00DC6A13">
        <w:rPr>
          <w:color w:val="auto"/>
        </w:rPr>
        <w:t xml:space="preserve"> </w:t>
      </w:r>
      <w:r w:rsidR="00C54722" w:rsidRPr="00DC6A13">
        <w:rPr>
          <w:color w:val="auto"/>
        </w:rPr>
        <w:t>overcomes</w:t>
      </w:r>
      <w:r w:rsidRPr="00DC6A13">
        <w:rPr>
          <w:color w:val="auto"/>
        </w:rPr>
        <w:t xml:space="preserve"> </w:t>
      </w:r>
      <w:r w:rsidR="00FA76C6" w:rsidRPr="00DC6A13">
        <w:rPr>
          <w:color w:val="auto"/>
        </w:rPr>
        <w:t xml:space="preserve">the </w:t>
      </w:r>
      <w:r w:rsidR="001E13B2" w:rsidRPr="00DC6A13">
        <w:rPr>
          <w:color w:val="auto"/>
        </w:rPr>
        <w:t xml:space="preserve">limitations </w:t>
      </w:r>
      <w:r w:rsidR="00623F71" w:rsidRPr="00DC6A13">
        <w:rPr>
          <w:color w:val="auto"/>
        </w:rPr>
        <w:t>of</w:t>
      </w:r>
      <w:r w:rsidR="001E13B2" w:rsidRPr="00DC6A13">
        <w:rPr>
          <w:color w:val="auto"/>
        </w:rPr>
        <w:t xml:space="preserve"> </w:t>
      </w:r>
      <w:r w:rsidRPr="00DC6A13">
        <w:rPr>
          <w:color w:val="auto"/>
        </w:rPr>
        <w:t>structure overlap</w:t>
      </w:r>
      <w:r w:rsidR="001E13B2" w:rsidRPr="00DC6A13">
        <w:rPr>
          <w:color w:val="auto"/>
        </w:rPr>
        <w:t>ping</w:t>
      </w:r>
      <w:r w:rsidRPr="00DC6A13">
        <w:rPr>
          <w:color w:val="auto"/>
        </w:rPr>
        <w:t>.</w:t>
      </w:r>
    </w:p>
    <w:p w14:paraId="0613E2AB" w14:textId="77777777" w:rsidR="003C774B" w:rsidRPr="00DC6A13" w:rsidRDefault="003C774B">
      <w:pPr>
        <w:rPr>
          <w:b/>
          <w:bCs/>
          <w:color w:val="auto"/>
        </w:rPr>
      </w:pPr>
    </w:p>
    <w:p w14:paraId="43EB7D68" w14:textId="4D6B8073" w:rsidR="006305D7" w:rsidRPr="00DC6A13" w:rsidRDefault="00DC6A13">
      <w:pPr>
        <w:rPr>
          <w:color w:val="auto"/>
        </w:rPr>
      </w:pPr>
      <w:r w:rsidRPr="00DC6A13">
        <w:rPr>
          <w:b/>
          <w:bCs/>
          <w:color w:val="auto"/>
        </w:rPr>
        <w:t>ABSTRACT</w:t>
      </w:r>
      <w:r w:rsidR="00F03BA6">
        <w:rPr>
          <w:color w:val="auto"/>
        </w:rPr>
        <w:t>:</w:t>
      </w:r>
    </w:p>
    <w:p w14:paraId="3C36DCF7" w14:textId="64E57D5E" w:rsidR="00BD51D4" w:rsidRPr="00DC6A13" w:rsidRDefault="003306E9">
      <w:pPr>
        <w:rPr>
          <w:color w:val="auto"/>
        </w:rPr>
      </w:pPr>
      <w:r w:rsidRPr="00DC6A13">
        <w:rPr>
          <w:color w:val="auto"/>
        </w:rPr>
        <w:t>Peptide-receptor</w:t>
      </w:r>
      <w:r w:rsidR="00AF1539" w:rsidRPr="00DC6A13">
        <w:rPr>
          <w:color w:val="auto"/>
        </w:rPr>
        <w:t>-</w:t>
      </w:r>
      <w:r w:rsidRPr="00DC6A13">
        <w:rPr>
          <w:color w:val="auto"/>
        </w:rPr>
        <w:t>radionuclide</w:t>
      </w:r>
      <w:r w:rsidR="00AF1539" w:rsidRPr="00DC6A13">
        <w:rPr>
          <w:color w:val="auto"/>
        </w:rPr>
        <w:t>-</w:t>
      </w:r>
      <w:r w:rsidR="002E47B6" w:rsidRPr="00DC6A13">
        <w:rPr>
          <w:color w:val="auto"/>
        </w:rPr>
        <w:t>therapy (</w:t>
      </w:r>
      <w:r w:rsidRPr="00DC6A13">
        <w:rPr>
          <w:color w:val="auto"/>
        </w:rPr>
        <w:t xml:space="preserve">PPRT) is a targeted therapy </w:t>
      </w:r>
      <w:r w:rsidR="00FA76C6" w:rsidRPr="00DC6A13">
        <w:rPr>
          <w:color w:val="auto"/>
        </w:rPr>
        <w:t xml:space="preserve">that combines </w:t>
      </w:r>
      <w:r w:rsidR="00FA76C6" w:rsidRPr="00DC6A13">
        <w:rPr>
          <w:rFonts w:eastAsia="Palatino Linotype"/>
          <w:color w:val="auto"/>
        </w:rPr>
        <w:t>a short-range energy radionuclide</w:t>
      </w:r>
      <w:r w:rsidRPr="00DC6A13">
        <w:rPr>
          <w:rFonts w:eastAsia="Palatino Linotype"/>
          <w:color w:val="auto"/>
        </w:rPr>
        <w:t xml:space="preserve"> with a substrate with high specificity for cancer cell receptors. After injection, the radiotracer is distributed </w:t>
      </w:r>
      <w:r w:rsidR="006E2212" w:rsidRPr="00DC6A13">
        <w:rPr>
          <w:rFonts w:eastAsia="Palatino Linotype"/>
          <w:color w:val="auto"/>
        </w:rPr>
        <w:t>throughout</w:t>
      </w:r>
      <w:r w:rsidRPr="00DC6A13">
        <w:rPr>
          <w:rFonts w:eastAsia="Palatino Linotype"/>
          <w:color w:val="auto"/>
        </w:rPr>
        <w:t xml:space="preserve"> the </w:t>
      </w:r>
      <w:r w:rsidR="006E2212" w:rsidRPr="00DC6A13">
        <w:rPr>
          <w:rFonts w:eastAsia="Palatino Linotype"/>
          <w:color w:val="auto"/>
        </w:rPr>
        <w:t xml:space="preserve">entire </w:t>
      </w:r>
      <w:r w:rsidRPr="00DC6A13">
        <w:rPr>
          <w:rFonts w:eastAsia="Palatino Linotype"/>
          <w:color w:val="auto"/>
        </w:rPr>
        <w:t xml:space="preserve">body, with </w:t>
      </w:r>
      <w:r w:rsidR="006E2212" w:rsidRPr="00DC6A13">
        <w:rPr>
          <w:rFonts w:eastAsia="Palatino Linotype"/>
          <w:color w:val="auto"/>
        </w:rPr>
        <w:t xml:space="preserve">a </w:t>
      </w:r>
      <w:r w:rsidRPr="00DC6A13">
        <w:rPr>
          <w:rFonts w:eastAsia="Palatino Linotype"/>
          <w:color w:val="auto"/>
        </w:rPr>
        <w:t>higher uptake in tissue</w:t>
      </w:r>
      <w:r w:rsidR="00F03BA6">
        <w:rPr>
          <w:rFonts w:eastAsia="Palatino Linotype"/>
          <w:color w:val="auto"/>
        </w:rPr>
        <w:t>s</w:t>
      </w:r>
      <w:r w:rsidRPr="00DC6A13">
        <w:rPr>
          <w:rFonts w:eastAsia="Palatino Linotype"/>
          <w:color w:val="auto"/>
        </w:rPr>
        <w:t xml:space="preserve"> where targeted receptors are overexpressed. The use of </w:t>
      </w:r>
      <w:r w:rsidR="00677BE8" w:rsidRPr="00DC6A13">
        <w:rPr>
          <w:rFonts w:eastAsia="Palatino Linotype"/>
          <w:color w:val="auto"/>
        </w:rPr>
        <w:t xml:space="preserve">beta/gamma </w:t>
      </w:r>
      <w:r w:rsidRPr="00DC6A13">
        <w:rPr>
          <w:rFonts w:eastAsia="Palatino Linotype"/>
          <w:color w:val="auto"/>
        </w:rPr>
        <w:t xml:space="preserve">radionuclide </w:t>
      </w:r>
      <w:r w:rsidR="00677BE8" w:rsidRPr="00DC6A13">
        <w:rPr>
          <w:rFonts w:eastAsia="Palatino Linotype"/>
          <w:color w:val="auto"/>
        </w:rPr>
        <w:t>e</w:t>
      </w:r>
      <w:r w:rsidRPr="00DC6A13">
        <w:rPr>
          <w:rFonts w:eastAsia="Palatino Linotype"/>
          <w:color w:val="auto"/>
        </w:rPr>
        <w:t>mi</w:t>
      </w:r>
      <w:r w:rsidR="00677BE8" w:rsidRPr="00DC6A13">
        <w:rPr>
          <w:rFonts w:eastAsia="Palatino Linotype"/>
          <w:color w:val="auto"/>
        </w:rPr>
        <w:t>tters</w:t>
      </w:r>
      <w:r w:rsidRPr="00DC6A13">
        <w:rPr>
          <w:rFonts w:eastAsia="Palatino Linotype"/>
          <w:color w:val="auto"/>
        </w:rPr>
        <w:t xml:space="preserve"> </w:t>
      </w:r>
      <w:r w:rsidR="006E2212" w:rsidRPr="00DC6A13">
        <w:rPr>
          <w:rFonts w:eastAsia="Palatino Linotype"/>
          <w:color w:val="auto"/>
        </w:rPr>
        <w:t xml:space="preserve">enables </w:t>
      </w:r>
      <w:r w:rsidRPr="00DC6A13">
        <w:rPr>
          <w:rFonts w:eastAsia="Palatino Linotype"/>
          <w:color w:val="auto"/>
        </w:rPr>
        <w:t xml:space="preserve">therapy </w:t>
      </w:r>
      <w:r w:rsidR="006E2212" w:rsidRPr="00DC6A13">
        <w:rPr>
          <w:rFonts w:eastAsia="Palatino Linotype"/>
          <w:color w:val="auto"/>
        </w:rPr>
        <w:t>imaging</w:t>
      </w:r>
      <w:r w:rsidR="00F03BA6">
        <w:rPr>
          <w:rFonts w:eastAsia="Palatino Linotype"/>
          <w:color w:val="auto"/>
        </w:rPr>
        <w:t xml:space="preserve"> </w:t>
      </w:r>
      <w:r w:rsidRPr="00DC6A13">
        <w:rPr>
          <w:rFonts w:eastAsia="Palatino Linotype"/>
          <w:color w:val="auto"/>
        </w:rPr>
        <w:t>(beta</w:t>
      </w:r>
      <w:r w:rsidR="00677BE8" w:rsidRPr="00DC6A13">
        <w:rPr>
          <w:rFonts w:eastAsia="Palatino Linotype"/>
          <w:color w:val="auto"/>
        </w:rPr>
        <w:t>-</w:t>
      </w:r>
      <w:r w:rsidRPr="00DC6A13">
        <w:rPr>
          <w:rFonts w:eastAsia="Palatino Linotype"/>
          <w:color w:val="auto"/>
        </w:rPr>
        <w:t xml:space="preserve">emission) and </w:t>
      </w:r>
      <w:r w:rsidR="00612993" w:rsidRPr="00DC6A13">
        <w:rPr>
          <w:rFonts w:eastAsia="Palatino Linotype"/>
          <w:color w:val="auto"/>
        </w:rPr>
        <w:t xml:space="preserve">post-therapy </w:t>
      </w:r>
      <w:r w:rsidRPr="00DC6A13">
        <w:rPr>
          <w:rFonts w:eastAsia="Palatino Linotype"/>
          <w:color w:val="auto"/>
        </w:rPr>
        <w:t>imaging</w:t>
      </w:r>
      <w:r w:rsidR="00F03BA6">
        <w:rPr>
          <w:rFonts w:eastAsia="Palatino Linotype"/>
          <w:color w:val="auto"/>
        </w:rPr>
        <w:t xml:space="preserve"> </w:t>
      </w:r>
      <w:r w:rsidRPr="00DC6A13">
        <w:rPr>
          <w:rFonts w:eastAsia="Palatino Linotype"/>
          <w:color w:val="auto"/>
        </w:rPr>
        <w:t>(gamma</w:t>
      </w:r>
      <w:r w:rsidR="00677BE8" w:rsidRPr="00DC6A13">
        <w:rPr>
          <w:rFonts w:eastAsia="Palatino Linotype"/>
          <w:color w:val="auto"/>
        </w:rPr>
        <w:t>-</w:t>
      </w:r>
      <w:r w:rsidRPr="00DC6A13">
        <w:rPr>
          <w:rFonts w:eastAsia="Palatino Linotype"/>
          <w:color w:val="auto"/>
        </w:rPr>
        <w:t xml:space="preserve">emission) </w:t>
      </w:r>
      <w:r w:rsidR="006E2212" w:rsidRPr="00DC6A13">
        <w:rPr>
          <w:rFonts w:eastAsia="Palatino Linotype"/>
          <w:color w:val="auto"/>
        </w:rPr>
        <w:t xml:space="preserve">to be performed </w:t>
      </w:r>
      <w:r w:rsidRPr="00DC6A13">
        <w:rPr>
          <w:rFonts w:eastAsia="Palatino Linotype"/>
          <w:color w:val="auto"/>
        </w:rPr>
        <w:t>at the same time</w:t>
      </w:r>
      <w:r w:rsidR="008C1316" w:rsidRPr="00DC6A13">
        <w:rPr>
          <w:rFonts w:eastAsia="Palatino Linotype"/>
          <w:color w:val="auto"/>
        </w:rPr>
        <w:t xml:space="preserve">. </w:t>
      </w:r>
      <w:r w:rsidR="00612993" w:rsidRPr="00DC6A13">
        <w:rPr>
          <w:rFonts w:eastAsia="Palatino Linotype"/>
          <w:color w:val="auto"/>
        </w:rPr>
        <w:t xml:space="preserve">Post-treatment sequential images </w:t>
      </w:r>
      <w:r w:rsidR="00F03BA6" w:rsidRPr="00DC6A13">
        <w:rPr>
          <w:rFonts w:eastAsia="Palatino Linotype"/>
          <w:color w:val="auto"/>
        </w:rPr>
        <w:t>permit</w:t>
      </w:r>
      <w:r w:rsidR="00612993" w:rsidRPr="00DC6A13">
        <w:rPr>
          <w:rFonts w:eastAsia="Palatino Linotype"/>
          <w:color w:val="auto"/>
        </w:rPr>
        <w:t xml:space="preserve"> absorbed dose calculation based on local uptake and wash-in/wash-out kinetic</w:t>
      </w:r>
      <w:r w:rsidR="006E2212" w:rsidRPr="00DC6A13">
        <w:rPr>
          <w:rFonts w:eastAsia="Palatino Linotype"/>
          <w:color w:val="auto"/>
        </w:rPr>
        <w:t>s</w:t>
      </w:r>
      <w:r w:rsidR="00612993" w:rsidRPr="00DC6A13">
        <w:rPr>
          <w:rFonts w:eastAsia="Palatino Linotype"/>
          <w:color w:val="auto"/>
        </w:rPr>
        <w:t>.</w:t>
      </w:r>
      <w:r w:rsidR="00612993" w:rsidRPr="00DC6A13" w:rsidDel="00612993">
        <w:rPr>
          <w:rFonts w:eastAsia="Palatino Linotype"/>
          <w:color w:val="auto"/>
        </w:rPr>
        <w:t xml:space="preserve"> </w:t>
      </w:r>
      <w:r w:rsidR="00612993" w:rsidRPr="00DC6A13">
        <w:rPr>
          <w:rFonts w:eastAsia="Palatino Linotype"/>
          <w:color w:val="auto"/>
        </w:rPr>
        <w:t>We</w:t>
      </w:r>
      <w:r w:rsidR="005E2123" w:rsidRPr="00DC6A13">
        <w:rPr>
          <w:rFonts w:eastAsia="Palatino Linotype"/>
          <w:color w:val="auto"/>
        </w:rPr>
        <w:t xml:space="preserve"> implemented </w:t>
      </w:r>
      <w:r w:rsidR="00722C10" w:rsidRPr="00DC6A13">
        <w:rPr>
          <w:rFonts w:eastAsia="Palatino Linotype"/>
          <w:color w:val="auto"/>
        </w:rPr>
        <w:t xml:space="preserve">a hybrid </w:t>
      </w:r>
      <w:r w:rsidR="005E2123" w:rsidRPr="00DC6A13">
        <w:rPr>
          <w:rFonts w:eastAsia="Palatino Linotype"/>
          <w:color w:val="auto"/>
        </w:rPr>
        <w:t>method</w:t>
      </w:r>
      <w:r w:rsidR="00722C10" w:rsidRPr="00DC6A13">
        <w:rPr>
          <w:rFonts w:eastAsia="Palatino Linotype"/>
          <w:color w:val="auto"/>
        </w:rPr>
        <w:t xml:space="preserve"> that combines information derived from both 2D and 3D</w:t>
      </w:r>
      <w:r w:rsidR="003D3B8F" w:rsidRPr="00DC6A13">
        <w:rPr>
          <w:rFonts w:eastAsia="Palatino Linotype"/>
          <w:color w:val="auto"/>
        </w:rPr>
        <w:t xml:space="preserve"> </w:t>
      </w:r>
      <w:r w:rsidR="00722C10" w:rsidRPr="00DC6A13">
        <w:rPr>
          <w:rFonts w:eastAsia="Palatino Linotype"/>
          <w:color w:val="auto"/>
        </w:rPr>
        <w:t xml:space="preserve">images. </w:t>
      </w:r>
      <w:r w:rsidR="005E2123" w:rsidRPr="00DC6A13">
        <w:rPr>
          <w:rFonts w:eastAsia="Palatino Linotype"/>
          <w:color w:val="auto"/>
        </w:rPr>
        <w:t>S</w:t>
      </w:r>
      <w:r w:rsidR="00722C10" w:rsidRPr="00DC6A13">
        <w:rPr>
          <w:rFonts w:eastAsia="Palatino Linotype"/>
          <w:color w:val="auto"/>
        </w:rPr>
        <w:t>erial whole</w:t>
      </w:r>
      <w:r w:rsidR="008C1316" w:rsidRPr="00DC6A13">
        <w:rPr>
          <w:rFonts w:eastAsia="Palatino Linotype"/>
          <w:color w:val="auto"/>
        </w:rPr>
        <w:t>-</w:t>
      </w:r>
      <w:r w:rsidR="00722C10" w:rsidRPr="00DC6A13">
        <w:rPr>
          <w:rFonts w:eastAsia="Palatino Linotype"/>
          <w:color w:val="auto"/>
        </w:rPr>
        <w:t>body images</w:t>
      </w:r>
      <w:r w:rsidR="005E2123" w:rsidRPr="00DC6A13">
        <w:rPr>
          <w:rFonts w:eastAsia="Palatino Linotype"/>
          <w:color w:val="auto"/>
        </w:rPr>
        <w:t xml:space="preserve"> and blood samples</w:t>
      </w:r>
      <w:r w:rsidR="00722C10" w:rsidRPr="00DC6A13">
        <w:rPr>
          <w:rFonts w:eastAsia="Palatino Linotype"/>
          <w:color w:val="auto"/>
        </w:rPr>
        <w:t xml:space="preserve"> are </w:t>
      </w:r>
      <w:r w:rsidR="005E2123" w:rsidRPr="00DC6A13">
        <w:rPr>
          <w:rFonts w:eastAsia="Palatino Linotype"/>
          <w:color w:val="auto"/>
        </w:rPr>
        <w:t>acquired</w:t>
      </w:r>
      <w:r w:rsidR="00722C10" w:rsidRPr="00DC6A13">
        <w:rPr>
          <w:rFonts w:eastAsia="Palatino Linotype"/>
          <w:color w:val="auto"/>
        </w:rPr>
        <w:t xml:space="preserve"> to estimate the absorbed dose </w:t>
      </w:r>
      <w:r w:rsidR="00D2314A" w:rsidRPr="00DC6A13">
        <w:rPr>
          <w:rFonts w:eastAsia="Palatino Linotype"/>
          <w:color w:val="auto"/>
        </w:rPr>
        <w:t xml:space="preserve">to different organs at risk and </w:t>
      </w:r>
      <w:r w:rsidR="006E2212" w:rsidRPr="00DC6A13">
        <w:rPr>
          <w:rFonts w:eastAsia="Palatino Linotype"/>
          <w:color w:val="auto"/>
        </w:rPr>
        <w:t xml:space="preserve">to </w:t>
      </w:r>
      <w:r w:rsidR="00D2314A" w:rsidRPr="00DC6A13">
        <w:rPr>
          <w:rFonts w:eastAsia="Palatino Linotype"/>
          <w:color w:val="auto"/>
        </w:rPr>
        <w:t xml:space="preserve">lesions disseminated </w:t>
      </w:r>
      <w:r w:rsidR="006E2212" w:rsidRPr="00DC6A13">
        <w:rPr>
          <w:rFonts w:eastAsia="Palatino Linotype"/>
          <w:color w:val="auto"/>
        </w:rPr>
        <w:t xml:space="preserve">throughout </w:t>
      </w:r>
      <w:r w:rsidR="00D2314A" w:rsidRPr="00DC6A13">
        <w:rPr>
          <w:rFonts w:eastAsia="Palatino Linotype"/>
          <w:color w:val="auto"/>
        </w:rPr>
        <w:t>the body</w:t>
      </w:r>
      <w:r w:rsidR="00612993" w:rsidRPr="00DC6A13">
        <w:rPr>
          <w:rFonts w:eastAsia="Palatino Linotype"/>
          <w:color w:val="auto"/>
        </w:rPr>
        <w:t xml:space="preserve">. A single </w:t>
      </w:r>
      <w:r w:rsidR="00F13DC3" w:rsidRPr="00DC6A13">
        <w:rPr>
          <w:rFonts w:eastAsia="Palatino Linotype"/>
          <w:color w:val="auto"/>
        </w:rPr>
        <w:t>3D</w:t>
      </w:r>
      <w:r w:rsidR="008C1316" w:rsidRPr="00DC6A13">
        <w:rPr>
          <w:rFonts w:eastAsia="Palatino Linotype"/>
          <w:color w:val="auto"/>
        </w:rPr>
        <w:t>-</w:t>
      </w:r>
      <w:r w:rsidR="00F13DC3" w:rsidRPr="00DC6A13">
        <w:rPr>
          <w:rFonts w:eastAsia="Palatino Linotype"/>
          <w:color w:val="auto"/>
        </w:rPr>
        <w:t>SPECT/CT</w:t>
      </w:r>
      <w:r w:rsidR="00612993" w:rsidRPr="00DC6A13">
        <w:rPr>
          <w:rFonts w:eastAsia="Palatino Linotype"/>
          <w:color w:val="auto"/>
        </w:rPr>
        <w:t xml:space="preserve"> image</w:t>
      </w:r>
      <w:r w:rsidR="005E2123" w:rsidRPr="00DC6A13">
        <w:rPr>
          <w:rFonts w:eastAsia="Palatino Linotype"/>
          <w:color w:val="auto"/>
        </w:rPr>
        <w:t>,</w:t>
      </w:r>
      <w:r w:rsidR="00D2314A" w:rsidRPr="00DC6A13">
        <w:rPr>
          <w:rFonts w:eastAsia="Palatino Linotype"/>
          <w:color w:val="auto"/>
        </w:rPr>
        <w:t xml:space="preserve"> </w:t>
      </w:r>
      <w:r w:rsidR="00F13DC3" w:rsidRPr="00DC6A13">
        <w:rPr>
          <w:rFonts w:eastAsia="Palatino Linotype"/>
          <w:color w:val="auto"/>
        </w:rPr>
        <w:t>limited to</w:t>
      </w:r>
      <w:r w:rsidR="001C1646" w:rsidRPr="00DC6A13">
        <w:rPr>
          <w:rFonts w:eastAsia="Palatino Linotype"/>
          <w:color w:val="auto"/>
        </w:rPr>
        <w:t xml:space="preserve"> the </w:t>
      </w:r>
      <w:r w:rsidR="005E2123" w:rsidRPr="00DC6A13">
        <w:rPr>
          <w:rFonts w:eastAsia="Palatino Linotype"/>
          <w:color w:val="auto"/>
        </w:rPr>
        <w:t>abdominal region</w:t>
      </w:r>
      <w:r w:rsidR="002E47B6" w:rsidRPr="00DC6A13">
        <w:rPr>
          <w:rFonts w:eastAsia="Palatino Linotype"/>
          <w:color w:val="auto"/>
        </w:rPr>
        <w:t>, overcomes</w:t>
      </w:r>
      <w:r w:rsidR="00612993" w:rsidRPr="00DC6A13">
        <w:rPr>
          <w:rFonts w:eastAsia="Palatino Linotype"/>
          <w:color w:val="auto"/>
        </w:rPr>
        <w:t xml:space="preserve"> projection overlap </w:t>
      </w:r>
      <w:r w:rsidR="004C367E" w:rsidRPr="00DC6A13">
        <w:rPr>
          <w:rFonts w:eastAsia="Palatino Linotype"/>
          <w:color w:val="auto"/>
        </w:rPr>
        <w:t xml:space="preserve">on planar images </w:t>
      </w:r>
      <w:r w:rsidR="00612993" w:rsidRPr="00DC6A13">
        <w:rPr>
          <w:rFonts w:eastAsia="Palatino Linotype"/>
          <w:color w:val="auto"/>
        </w:rPr>
        <w:t xml:space="preserve">of different structures such as </w:t>
      </w:r>
      <w:r w:rsidR="006E2212" w:rsidRPr="00DC6A13">
        <w:rPr>
          <w:rFonts w:eastAsia="Palatino Linotype"/>
          <w:color w:val="auto"/>
        </w:rPr>
        <w:t xml:space="preserve">the </w:t>
      </w:r>
      <w:r w:rsidR="00612993" w:rsidRPr="00DC6A13">
        <w:rPr>
          <w:rFonts w:eastAsia="Palatino Linotype"/>
          <w:color w:val="auto"/>
        </w:rPr>
        <w:t>intestine</w:t>
      </w:r>
      <w:r w:rsidR="00010CEA" w:rsidRPr="00DC6A13">
        <w:rPr>
          <w:rFonts w:eastAsia="Palatino Linotype"/>
          <w:color w:val="auto"/>
        </w:rPr>
        <w:t>s</w:t>
      </w:r>
      <w:r w:rsidR="00612993" w:rsidRPr="00DC6A13">
        <w:rPr>
          <w:rFonts w:eastAsia="Palatino Linotype"/>
          <w:color w:val="auto"/>
        </w:rPr>
        <w:t xml:space="preserve"> </w:t>
      </w:r>
      <w:r w:rsidR="00010CEA" w:rsidRPr="00DC6A13">
        <w:rPr>
          <w:rFonts w:eastAsia="Palatino Linotype"/>
          <w:color w:val="auto"/>
        </w:rPr>
        <w:t>and</w:t>
      </w:r>
      <w:r w:rsidR="00612993" w:rsidRPr="00DC6A13">
        <w:rPr>
          <w:rFonts w:eastAsia="Palatino Linotype"/>
          <w:color w:val="auto"/>
        </w:rPr>
        <w:t xml:space="preserve"> kidneys. T</w:t>
      </w:r>
      <w:r w:rsidR="008C28BF" w:rsidRPr="00DC6A13">
        <w:rPr>
          <w:rFonts w:eastAsia="Palatino Linotype"/>
          <w:color w:val="auto"/>
        </w:rPr>
        <w:t>he hybrid 2D+3D</w:t>
      </w:r>
      <w:r w:rsidR="008C1316" w:rsidRPr="00DC6A13">
        <w:rPr>
          <w:rFonts w:eastAsia="Palatino Linotype"/>
          <w:color w:val="auto"/>
        </w:rPr>
        <w:t>-</w:t>
      </w:r>
      <w:r w:rsidR="008C28BF" w:rsidRPr="00DC6A13">
        <w:rPr>
          <w:rFonts w:eastAsia="Palatino Linotype"/>
          <w:color w:val="auto"/>
        </w:rPr>
        <w:t>SPECT/CT method combine</w:t>
      </w:r>
      <w:r w:rsidR="001C1646" w:rsidRPr="00DC6A13">
        <w:rPr>
          <w:rFonts w:eastAsia="Palatino Linotype"/>
          <w:color w:val="auto"/>
        </w:rPr>
        <w:t>s</w:t>
      </w:r>
      <w:r w:rsidR="008C28BF" w:rsidRPr="00DC6A13">
        <w:rPr>
          <w:rFonts w:eastAsia="Palatino Linotype"/>
          <w:color w:val="auto"/>
        </w:rPr>
        <w:t xml:space="preserve"> the effective </w:t>
      </w:r>
      <w:r w:rsidR="00F03BA6" w:rsidRPr="00DC6A13">
        <w:rPr>
          <w:rFonts w:eastAsia="Palatino Linotype"/>
          <w:color w:val="auto"/>
        </w:rPr>
        <w:t>half-life</w:t>
      </w:r>
      <w:r w:rsidR="008C28BF" w:rsidRPr="00DC6A13">
        <w:rPr>
          <w:rFonts w:eastAsia="Palatino Linotype"/>
          <w:color w:val="auto"/>
        </w:rPr>
        <w:t xml:space="preserve"> </w:t>
      </w:r>
      <w:r w:rsidR="001C1646" w:rsidRPr="00DC6A13">
        <w:rPr>
          <w:rFonts w:eastAsia="Palatino Linotype"/>
          <w:color w:val="auto"/>
        </w:rPr>
        <w:t>information derived</w:t>
      </w:r>
      <w:r w:rsidR="008C28BF" w:rsidRPr="00DC6A13">
        <w:rPr>
          <w:rFonts w:eastAsia="Palatino Linotype"/>
          <w:color w:val="auto"/>
        </w:rPr>
        <w:t xml:space="preserve"> </w:t>
      </w:r>
      <w:r w:rsidR="001C1646" w:rsidRPr="00DC6A13">
        <w:rPr>
          <w:rFonts w:eastAsia="Palatino Linotype"/>
          <w:color w:val="auto"/>
        </w:rPr>
        <w:t>from</w:t>
      </w:r>
      <w:r w:rsidR="008C28BF" w:rsidRPr="00DC6A13">
        <w:rPr>
          <w:rFonts w:eastAsia="Palatino Linotype"/>
          <w:color w:val="auto"/>
        </w:rPr>
        <w:t xml:space="preserve"> 2D planar images </w:t>
      </w:r>
      <w:r w:rsidR="001C1646" w:rsidRPr="00DC6A13">
        <w:rPr>
          <w:rFonts w:eastAsia="Palatino Linotype"/>
          <w:color w:val="auto"/>
        </w:rPr>
        <w:t>with</w:t>
      </w:r>
      <w:r w:rsidR="008C28BF" w:rsidRPr="00DC6A13">
        <w:rPr>
          <w:rFonts w:eastAsia="Palatino Linotype"/>
          <w:color w:val="auto"/>
        </w:rPr>
        <w:t xml:space="preserve"> the local uptake distribution derived from 3D images. </w:t>
      </w:r>
      <w:r w:rsidR="000866C4" w:rsidRPr="00DC6A13">
        <w:rPr>
          <w:color w:val="auto"/>
        </w:rPr>
        <w:t>We implemented</w:t>
      </w:r>
      <w:r w:rsidR="001C1646" w:rsidRPr="00DC6A13">
        <w:rPr>
          <w:color w:val="auto"/>
        </w:rPr>
        <w:t xml:space="preserve"> </w:t>
      </w:r>
      <w:r w:rsidR="000866C4" w:rsidRPr="00DC6A13">
        <w:rPr>
          <w:color w:val="auto"/>
        </w:rPr>
        <w:t xml:space="preserve">this methodology </w:t>
      </w:r>
      <w:r w:rsidR="001C1646" w:rsidRPr="00DC6A13">
        <w:rPr>
          <w:color w:val="auto"/>
        </w:rPr>
        <w:t xml:space="preserve">to estimate </w:t>
      </w:r>
      <w:r w:rsidR="00F03BA6">
        <w:rPr>
          <w:color w:val="auto"/>
        </w:rPr>
        <w:t xml:space="preserve">the </w:t>
      </w:r>
      <w:r w:rsidR="001C1646" w:rsidRPr="00DC6A13">
        <w:rPr>
          <w:color w:val="auto"/>
        </w:rPr>
        <w:t>absorbed dose for patients undergoing PRRT with</w:t>
      </w:r>
      <w:r w:rsidR="00F03BA6">
        <w:rPr>
          <w:color w:val="auto"/>
        </w:rPr>
        <w:t xml:space="preserve"> </w:t>
      </w:r>
      <w:r w:rsidR="000866C4" w:rsidRPr="00DC6A13">
        <w:rPr>
          <w:color w:val="auto"/>
          <w:vertAlign w:val="superscript"/>
        </w:rPr>
        <w:t>177</w:t>
      </w:r>
      <w:r w:rsidR="000866C4" w:rsidRPr="00DC6A13">
        <w:rPr>
          <w:color w:val="auto"/>
        </w:rPr>
        <w:t xml:space="preserve">Lu-PSMA-617. </w:t>
      </w:r>
      <w:r w:rsidR="00010CEA" w:rsidRPr="00DC6A13">
        <w:rPr>
          <w:color w:val="auto"/>
        </w:rPr>
        <w:t>T</w:t>
      </w:r>
      <w:r w:rsidR="000866C4" w:rsidRPr="00DC6A13">
        <w:rPr>
          <w:color w:val="auto"/>
        </w:rPr>
        <w:t>he methodology could</w:t>
      </w:r>
      <w:r w:rsidR="00010CEA" w:rsidRPr="00DC6A13">
        <w:rPr>
          <w:color w:val="auto"/>
        </w:rPr>
        <w:t>, however,</w:t>
      </w:r>
      <w:r w:rsidR="000866C4" w:rsidRPr="00DC6A13">
        <w:rPr>
          <w:color w:val="auto"/>
        </w:rPr>
        <w:t xml:space="preserve"> be implemented with other beta-gamma radiotracers.</w:t>
      </w:r>
      <w:r w:rsidR="00654EC6" w:rsidRPr="00DC6A13">
        <w:rPr>
          <w:color w:val="auto"/>
        </w:rPr>
        <w:t xml:space="preserve"> </w:t>
      </w:r>
      <w:r w:rsidR="00833034" w:rsidRPr="00DC6A13">
        <w:rPr>
          <w:color w:val="auto"/>
        </w:rPr>
        <w:t>To date,</w:t>
      </w:r>
      <w:r w:rsidR="008D6624" w:rsidRPr="00DC6A13">
        <w:rPr>
          <w:color w:val="auto"/>
        </w:rPr>
        <w:t xml:space="preserve"> </w:t>
      </w:r>
      <w:r w:rsidR="00AD011B" w:rsidRPr="00DC6A13">
        <w:rPr>
          <w:color w:val="auto"/>
        </w:rPr>
        <w:t>1</w:t>
      </w:r>
      <w:r w:rsidR="007B3F54" w:rsidRPr="00DC6A13">
        <w:rPr>
          <w:color w:val="auto"/>
        </w:rPr>
        <w:t>0</w:t>
      </w:r>
      <w:r w:rsidR="00AD011B" w:rsidRPr="00DC6A13">
        <w:rPr>
          <w:color w:val="auto"/>
        </w:rPr>
        <w:t xml:space="preserve"> patient</w:t>
      </w:r>
      <w:r w:rsidR="004C367E" w:rsidRPr="00DC6A13">
        <w:rPr>
          <w:color w:val="auto"/>
        </w:rPr>
        <w:t>s</w:t>
      </w:r>
      <w:r w:rsidR="00AD011B" w:rsidRPr="00DC6A13">
        <w:rPr>
          <w:color w:val="auto"/>
        </w:rPr>
        <w:t xml:space="preserve"> </w:t>
      </w:r>
      <w:r w:rsidR="00010CEA" w:rsidRPr="00DC6A13">
        <w:rPr>
          <w:color w:val="auto"/>
        </w:rPr>
        <w:t>have been</w:t>
      </w:r>
      <w:r w:rsidR="00AD011B" w:rsidRPr="00DC6A13">
        <w:rPr>
          <w:color w:val="auto"/>
        </w:rPr>
        <w:t xml:space="preserve"> enrolled </w:t>
      </w:r>
      <w:r w:rsidR="00F03BA6">
        <w:rPr>
          <w:color w:val="auto"/>
        </w:rPr>
        <w:t>i</w:t>
      </w:r>
      <w:r w:rsidR="00F03BA6" w:rsidRPr="00DC6A13">
        <w:rPr>
          <w:color w:val="auto"/>
        </w:rPr>
        <w:t xml:space="preserve">nto </w:t>
      </w:r>
      <w:r w:rsidR="00010CEA" w:rsidRPr="00DC6A13">
        <w:rPr>
          <w:color w:val="auto"/>
        </w:rPr>
        <w:t>the</w:t>
      </w:r>
      <w:r w:rsidR="00AD011B" w:rsidRPr="00DC6A13">
        <w:rPr>
          <w:color w:val="auto"/>
        </w:rPr>
        <w:t xml:space="preserve"> dosimetry study</w:t>
      </w:r>
      <w:r w:rsidR="00954595" w:rsidRPr="00DC6A13">
        <w:rPr>
          <w:color w:val="auto"/>
        </w:rPr>
        <w:t xml:space="preserve"> </w:t>
      </w:r>
      <w:r w:rsidR="009B4B5D" w:rsidRPr="00DC6A13">
        <w:rPr>
          <w:color w:val="auto"/>
        </w:rPr>
        <w:t>with</w:t>
      </w:r>
      <w:r w:rsidR="00F03BA6">
        <w:rPr>
          <w:color w:val="auto"/>
        </w:rPr>
        <w:t xml:space="preserve"> </w:t>
      </w:r>
      <w:r w:rsidR="009B4B5D" w:rsidRPr="00DC6A13">
        <w:rPr>
          <w:color w:val="auto"/>
          <w:vertAlign w:val="superscript"/>
        </w:rPr>
        <w:t>177</w:t>
      </w:r>
      <w:r w:rsidR="009B4B5D" w:rsidRPr="00DC6A13">
        <w:rPr>
          <w:color w:val="auto"/>
        </w:rPr>
        <w:t>Lu-PSMA-617</w:t>
      </w:r>
      <w:r w:rsidR="00954595" w:rsidRPr="00DC6A13">
        <w:rPr>
          <w:color w:val="auto"/>
        </w:rPr>
        <w:t xml:space="preserve"> </w:t>
      </w:r>
      <w:r w:rsidR="009B4B5D" w:rsidRPr="00DC6A13">
        <w:rPr>
          <w:color w:val="auto"/>
        </w:rPr>
        <w:t xml:space="preserve">combined with </w:t>
      </w:r>
      <w:r w:rsidR="00DF3CA0" w:rsidRPr="00DC6A13">
        <w:rPr>
          <w:color w:val="auto"/>
        </w:rPr>
        <w:t xml:space="preserve">drug protectors for kidneys and salivary glands </w:t>
      </w:r>
      <w:r w:rsidR="00954595" w:rsidRPr="00DC6A13">
        <w:rPr>
          <w:color w:val="auto"/>
        </w:rPr>
        <w:t>(</w:t>
      </w:r>
      <w:r w:rsidR="004C367E" w:rsidRPr="00DC6A13">
        <w:rPr>
          <w:color w:val="auto"/>
        </w:rPr>
        <w:t xml:space="preserve">mannitol </w:t>
      </w:r>
      <w:r w:rsidR="00BD51D4" w:rsidRPr="00DC6A13">
        <w:rPr>
          <w:color w:val="auto"/>
        </w:rPr>
        <w:t>and</w:t>
      </w:r>
      <w:r w:rsidR="009B4B5D" w:rsidRPr="00DC6A13">
        <w:rPr>
          <w:color w:val="auto"/>
        </w:rPr>
        <w:t xml:space="preserve"> </w:t>
      </w:r>
      <w:r w:rsidR="004C367E" w:rsidRPr="00DC6A13">
        <w:rPr>
          <w:color w:val="auto"/>
        </w:rPr>
        <w:t>glutamate tablets</w:t>
      </w:r>
      <w:r w:rsidR="00010CEA" w:rsidRPr="00DC6A13">
        <w:rPr>
          <w:color w:val="auto"/>
        </w:rPr>
        <w:t>,</w:t>
      </w:r>
      <w:r w:rsidR="004C367E" w:rsidRPr="00DC6A13">
        <w:rPr>
          <w:color w:val="auto"/>
        </w:rPr>
        <w:t xml:space="preserve"> </w:t>
      </w:r>
      <w:r w:rsidR="00DF3CA0" w:rsidRPr="00DC6A13">
        <w:rPr>
          <w:color w:val="auto"/>
        </w:rPr>
        <w:t>respectively</w:t>
      </w:r>
      <w:r w:rsidR="009B4B5D" w:rsidRPr="00DC6A13">
        <w:rPr>
          <w:color w:val="auto"/>
        </w:rPr>
        <w:t>)</w:t>
      </w:r>
      <w:r w:rsidR="00657E3C" w:rsidRPr="00DC6A13">
        <w:rPr>
          <w:color w:val="auto"/>
        </w:rPr>
        <w:t>.</w:t>
      </w:r>
      <w:r w:rsidR="009B4B5D" w:rsidRPr="00DC6A13">
        <w:rPr>
          <w:color w:val="auto"/>
        </w:rPr>
        <w:t xml:space="preserve"> </w:t>
      </w:r>
      <w:r w:rsidR="00BD51D4" w:rsidRPr="00DC6A13">
        <w:rPr>
          <w:rFonts w:eastAsia="Palatino Linotype"/>
          <w:color w:val="auto"/>
        </w:rPr>
        <w:t>The median ratio between kidney uptake at 24</w:t>
      </w:r>
      <w:r w:rsidR="00F03BA6">
        <w:rPr>
          <w:rFonts w:eastAsia="Palatino Linotype"/>
          <w:color w:val="auto"/>
        </w:rPr>
        <w:t xml:space="preserve"> </w:t>
      </w:r>
      <w:r w:rsidR="00BD51D4" w:rsidRPr="00DC6A13">
        <w:rPr>
          <w:rFonts w:eastAsia="Palatino Linotype"/>
          <w:color w:val="auto"/>
        </w:rPr>
        <w:t>h evaluated on planar images and 3D</w:t>
      </w:r>
      <w:r w:rsidR="009C7462" w:rsidRPr="00DC6A13">
        <w:rPr>
          <w:rFonts w:eastAsia="Palatino Linotype"/>
          <w:color w:val="auto"/>
        </w:rPr>
        <w:t>-</w:t>
      </w:r>
      <w:r w:rsidR="00BD51D4" w:rsidRPr="00DC6A13">
        <w:rPr>
          <w:rFonts w:eastAsia="Palatino Linotype"/>
          <w:color w:val="auto"/>
        </w:rPr>
        <w:t>SPECT/CT is 0.45</w:t>
      </w:r>
      <w:r w:rsidR="00AF1539" w:rsidRPr="00DC6A13">
        <w:rPr>
          <w:rFonts w:eastAsia="Palatino Linotype"/>
          <w:color w:val="auto"/>
        </w:rPr>
        <w:t xml:space="preserve"> </w:t>
      </w:r>
      <w:r w:rsidR="00BD51D4" w:rsidRPr="00DC6A13">
        <w:rPr>
          <w:rFonts w:eastAsia="Palatino Linotype"/>
          <w:color w:val="auto"/>
        </w:rPr>
        <w:t>(range</w:t>
      </w:r>
      <w:r w:rsidR="009C7462" w:rsidRPr="00DC6A13">
        <w:rPr>
          <w:rFonts w:eastAsia="Palatino Linotype"/>
          <w:color w:val="auto"/>
        </w:rPr>
        <w:t>:</w:t>
      </w:r>
      <w:r w:rsidR="00BD51D4" w:rsidRPr="00DC6A13">
        <w:rPr>
          <w:rFonts w:eastAsia="Palatino Linotype"/>
          <w:color w:val="auto"/>
        </w:rPr>
        <w:t xml:space="preserve">0.32-1.23). The comparison </w:t>
      </w:r>
      <w:r w:rsidR="00010CEA" w:rsidRPr="00DC6A13">
        <w:rPr>
          <w:rFonts w:eastAsia="Palatino Linotype"/>
          <w:color w:val="auto"/>
        </w:rPr>
        <w:t>between</w:t>
      </w:r>
      <w:r w:rsidR="00BD51D4" w:rsidRPr="00DC6A13">
        <w:rPr>
          <w:rFonts w:eastAsia="Palatino Linotype"/>
          <w:color w:val="auto"/>
        </w:rPr>
        <w:t xml:space="preserve"> hybrid and full 3D approach </w:t>
      </w:r>
      <w:r w:rsidR="00010CEA" w:rsidRPr="00DC6A13">
        <w:rPr>
          <w:rFonts w:eastAsia="Palatino Linotype"/>
          <w:color w:val="auto"/>
        </w:rPr>
        <w:t>has been</w:t>
      </w:r>
      <w:r w:rsidR="00BD51D4" w:rsidRPr="00DC6A13">
        <w:rPr>
          <w:rFonts w:eastAsia="Palatino Linotype"/>
          <w:color w:val="auto"/>
        </w:rPr>
        <w:t xml:space="preserve"> tested on one patient, resulting in </w:t>
      </w:r>
      <w:r w:rsidR="00833034" w:rsidRPr="00DC6A13">
        <w:rPr>
          <w:rFonts w:eastAsia="Palatino Linotype"/>
          <w:color w:val="auto"/>
        </w:rPr>
        <w:t xml:space="preserve">a </w:t>
      </w:r>
      <w:r w:rsidR="00010CEA" w:rsidRPr="00DC6A13">
        <w:rPr>
          <w:rFonts w:eastAsia="Palatino Linotype"/>
          <w:color w:val="auto"/>
        </w:rPr>
        <w:t>1.6%</w:t>
      </w:r>
      <w:r w:rsidR="00BD51D4" w:rsidRPr="00DC6A13">
        <w:rPr>
          <w:rFonts w:eastAsia="Palatino Linotype"/>
          <w:color w:val="auto"/>
        </w:rPr>
        <w:t xml:space="preserve"> </w:t>
      </w:r>
      <w:r w:rsidR="002E47B6" w:rsidRPr="00DC6A13">
        <w:rPr>
          <w:rFonts w:eastAsia="Palatino Linotype"/>
          <w:color w:val="auto"/>
        </w:rPr>
        <w:t>underestimation</w:t>
      </w:r>
      <w:r w:rsidR="00BD51D4" w:rsidRPr="00DC6A13">
        <w:rPr>
          <w:rFonts w:eastAsia="Palatino Linotype"/>
          <w:color w:val="auto"/>
        </w:rPr>
        <w:t xml:space="preserve"> </w:t>
      </w:r>
      <w:r w:rsidR="00010CEA" w:rsidRPr="00DC6A13">
        <w:rPr>
          <w:rFonts w:eastAsia="Palatino Linotype"/>
          <w:color w:val="auto"/>
        </w:rPr>
        <w:t xml:space="preserve">with respect to </w:t>
      </w:r>
      <w:r w:rsidR="001B0F61" w:rsidRPr="00DC6A13">
        <w:rPr>
          <w:rFonts w:eastAsia="Palatino Linotype"/>
          <w:color w:val="auto"/>
        </w:rPr>
        <w:t>full 3D (2D:</w:t>
      </w:r>
      <w:r w:rsidR="00AF1539" w:rsidRPr="00DC6A13">
        <w:rPr>
          <w:rFonts w:eastAsia="Palatino Linotype"/>
          <w:color w:val="auto"/>
        </w:rPr>
        <w:t xml:space="preserve"> </w:t>
      </w:r>
      <w:r w:rsidR="001B0F61" w:rsidRPr="00DC6A13">
        <w:rPr>
          <w:rFonts w:eastAsia="Palatino Linotype"/>
          <w:color w:val="auto"/>
        </w:rPr>
        <w:t>0.8</w:t>
      </w:r>
      <w:r w:rsidR="003F698F" w:rsidRPr="00DC6A13">
        <w:rPr>
          <w:rFonts w:eastAsia="Palatino Linotype"/>
          <w:color w:val="auto"/>
        </w:rPr>
        <w:t>29</w:t>
      </w:r>
      <w:r w:rsidR="00AF1539" w:rsidRPr="00DC6A13">
        <w:rPr>
          <w:rFonts w:eastAsia="Palatino Linotype"/>
          <w:color w:val="auto"/>
        </w:rPr>
        <w:t xml:space="preserve"> </w:t>
      </w:r>
      <w:r w:rsidR="001B0F61" w:rsidRPr="00DC6A13">
        <w:rPr>
          <w:rFonts w:eastAsia="Palatino Linotype"/>
          <w:color w:val="auto"/>
        </w:rPr>
        <w:t>mGy/MBq, hybrid:</w:t>
      </w:r>
      <w:r w:rsidR="00AF1539" w:rsidRPr="00DC6A13">
        <w:rPr>
          <w:rFonts w:eastAsia="Palatino Linotype"/>
          <w:color w:val="auto"/>
        </w:rPr>
        <w:t xml:space="preserve"> </w:t>
      </w:r>
      <w:r w:rsidR="001B0F61" w:rsidRPr="00DC6A13">
        <w:rPr>
          <w:rFonts w:eastAsia="Palatino Linotype"/>
          <w:color w:val="auto"/>
        </w:rPr>
        <w:t>0.3</w:t>
      </w:r>
      <w:r w:rsidR="003F698F" w:rsidRPr="00DC6A13">
        <w:rPr>
          <w:rFonts w:eastAsia="Palatino Linotype"/>
          <w:color w:val="auto"/>
        </w:rPr>
        <w:t>15</w:t>
      </w:r>
      <w:r w:rsidR="00AF1539" w:rsidRPr="00DC6A13">
        <w:rPr>
          <w:rFonts w:eastAsia="Palatino Linotype"/>
          <w:color w:val="auto"/>
        </w:rPr>
        <w:t xml:space="preserve"> </w:t>
      </w:r>
      <w:r w:rsidR="001B0F61" w:rsidRPr="00DC6A13">
        <w:rPr>
          <w:rFonts w:eastAsia="Palatino Linotype"/>
          <w:color w:val="auto"/>
        </w:rPr>
        <w:t>mGy/MBq, 3D:</w:t>
      </w:r>
      <w:r w:rsidR="00AF1539" w:rsidRPr="00DC6A13">
        <w:rPr>
          <w:rFonts w:eastAsia="Palatino Linotype"/>
          <w:color w:val="auto"/>
        </w:rPr>
        <w:t xml:space="preserve"> </w:t>
      </w:r>
      <w:r w:rsidR="001B0F61" w:rsidRPr="00DC6A13">
        <w:rPr>
          <w:rFonts w:eastAsia="Palatino Linotype"/>
          <w:color w:val="auto"/>
        </w:rPr>
        <w:t>0.32</w:t>
      </w:r>
      <w:r w:rsidR="003F698F" w:rsidRPr="00DC6A13">
        <w:rPr>
          <w:rFonts w:eastAsia="Palatino Linotype"/>
          <w:color w:val="auto"/>
        </w:rPr>
        <w:t>0</w:t>
      </w:r>
      <w:r w:rsidR="00AF1539" w:rsidRPr="00DC6A13">
        <w:rPr>
          <w:rFonts w:eastAsia="Palatino Linotype"/>
          <w:color w:val="auto"/>
        </w:rPr>
        <w:t xml:space="preserve"> </w:t>
      </w:r>
      <w:r w:rsidR="001B0F61" w:rsidRPr="00DC6A13">
        <w:rPr>
          <w:rFonts w:eastAsia="Palatino Linotype"/>
          <w:color w:val="auto"/>
        </w:rPr>
        <w:t xml:space="preserve">mGy/MBq). </w:t>
      </w:r>
      <w:r w:rsidR="009B4B5D" w:rsidRPr="00DC6A13">
        <w:rPr>
          <w:rFonts w:eastAsia="Palatino Linotype"/>
          <w:color w:val="auto"/>
        </w:rPr>
        <w:t>Tr</w:t>
      </w:r>
      <w:r w:rsidR="00BD51D4" w:rsidRPr="00DC6A13">
        <w:rPr>
          <w:rFonts w:eastAsia="Palatino Linotype"/>
          <w:color w:val="auto"/>
        </w:rPr>
        <w:t xml:space="preserve">eatment safety </w:t>
      </w:r>
      <w:r w:rsidR="00833034" w:rsidRPr="00DC6A13">
        <w:rPr>
          <w:rFonts w:eastAsia="Palatino Linotype"/>
          <w:color w:val="auto"/>
        </w:rPr>
        <w:t>has been confirmed</w:t>
      </w:r>
      <w:r w:rsidR="00BD51D4" w:rsidRPr="00DC6A13">
        <w:rPr>
          <w:rFonts w:eastAsia="Palatino Linotype"/>
          <w:color w:val="auto"/>
        </w:rPr>
        <w:t>, with a mean absorbed dose of</w:t>
      </w:r>
      <w:r w:rsidR="009C7462" w:rsidRPr="00DC6A13">
        <w:rPr>
          <w:rFonts w:eastAsia="Palatino Linotype"/>
          <w:color w:val="auto"/>
        </w:rPr>
        <w:t xml:space="preserve"> 0.73</w:t>
      </w:r>
      <w:r w:rsidR="00AF1539" w:rsidRPr="00DC6A13">
        <w:rPr>
          <w:rFonts w:eastAsia="Palatino Linotype"/>
          <w:color w:val="auto"/>
        </w:rPr>
        <w:t xml:space="preserve"> </w:t>
      </w:r>
      <w:r w:rsidR="009C7462" w:rsidRPr="00DC6A13">
        <w:rPr>
          <w:rFonts w:eastAsia="Palatino Linotype"/>
          <w:color w:val="auto"/>
        </w:rPr>
        <w:t>mGy/MBq</w:t>
      </w:r>
      <w:r w:rsidR="00AF1539" w:rsidRPr="00DC6A13">
        <w:rPr>
          <w:rFonts w:eastAsia="Palatino Linotype"/>
          <w:color w:val="auto"/>
        </w:rPr>
        <w:t xml:space="preserve"> </w:t>
      </w:r>
      <w:r w:rsidR="009C7462" w:rsidRPr="00DC6A13">
        <w:rPr>
          <w:rFonts w:eastAsia="Palatino Linotype"/>
          <w:color w:val="auto"/>
        </w:rPr>
        <w:t>(range:</w:t>
      </w:r>
      <w:r w:rsidR="00BD51D4" w:rsidRPr="00DC6A13">
        <w:rPr>
          <w:rFonts w:eastAsia="Palatino Linotype"/>
          <w:color w:val="auto"/>
        </w:rPr>
        <w:t>0.26-1.07) for kidneys, 0.56</w:t>
      </w:r>
      <w:r w:rsidR="00AF1539" w:rsidRPr="00DC6A13">
        <w:rPr>
          <w:rFonts w:eastAsia="Palatino Linotype"/>
          <w:color w:val="auto"/>
        </w:rPr>
        <w:t xml:space="preserve"> </w:t>
      </w:r>
      <w:r w:rsidR="00BD51D4" w:rsidRPr="00DC6A13">
        <w:rPr>
          <w:rFonts w:eastAsia="Palatino Linotype"/>
          <w:color w:val="auto"/>
        </w:rPr>
        <w:t>mGy/MBq</w:t>
      </w:r>
      <w:r w:rsidR="00AF1539" w:rsidRPr="00DC6A13">
        <w:rPr>
          <w:rFonts w:eastAsia="Palatino Linotype"/>
          <w:color w:val="auto"/>
        </w:rPr>
        <w:t xml:space="preserve"> </w:t>
      </w:r>
      <w:r w:rsidR="00BD51D4" w:rsidRPr="00DC6A13">
        <w:rPr>
          <w:rFonts w:eastAsia="Palatino Linotype"/>
          <w:color w:val="auto"/>
        </w:rPr>
        <w:t xml:space="preserve">(0.33-2.63) for </w:t>
      </w:r>
      <w:r w:rsidR="00833034" w:rsidRPr="00DC6A13">
        <w:rPr>
          <w:rFonts w:eastAsia="Palatino Linotype"/>
          <w:color w:val="auto"/>
        </w:rPr>
        <w:t xml:space="preserve">the </w:t>
      </w:r>
      <w:r w:rsidR="00BD51D4" w:rsidRPr="00DC6A13">
        <w:rPr>
          <w:rFonts w:eastAsia="Palatino Linotype"/>
          <w:color w:val="auto"/>
        </w:rPr>
        <w:t xml:space="preserve">parotid </w:t>
      </w:r>
      <w:r w:rsidR="00833034" w:rsidRPr="00DC6A13">
        <w:rPr>
          <w:rFonts w:eastAsia="Palatino Linotype"/>
          <w:color w:val="auto"/>
        </w:rPr>
        <w:t xml:space="preserve">glands </w:t>
      </w:r>
      <w:r w:rsidR="009C7462" w:rsidRPr="00DC6A13">
        <w:rPr>
          <w:rFonts w:eastAsia="Palatino Linotype"/>
          <w:color w:val="auto"/>
        </w:rPr>
        <w:t>and</w:t>
      </w:r>
      <w:r w:rsidR="00BD51D4" w:rsidRPr="00DC6A13">
        <w:rPr>
          <w:rFonts w:eastAsia="Palatino Linotype"/>
          <w:color w:val="auto"/>
        </w:rPr>
        <w:t xml:space="preserve"> 0.63</w:t>
      </w:r>
      <w:r w:rsidR="00AF1539" w:rsidRPr="00DC6A13">
        <w:rPr>
          <w:rFonts w:eastAsia="Palatino Linotype"/>
          <w:color w:val="auto"/>
        </w:rPr>
        <w:t xml:space="preserve"> </w:t>
      </w:r>
      <w:r w:rsidR="00BD51D4" w:rsidRPr="00DC6A13">
        <w:rPr>
          <w:rFonts w:eastAsia="Palatino Linotype"/>
          <w:color w:val="auto"/>
        </w:rPr>
        <w:t>mGy/MBq</w:t>
      </w:r>
      <w:r w:rsidR="00AF1539" w:rsidRPr="00DC6A13">
        <w:rPr>
          <w:rFonts w:eastAsia="Palatino Linotype"/>
          <w:color w:val="auto"/>
        </w:rPr>
        <w:t xml:space="preserve"> </w:t>
      </w:r>
      <w:r w:rsidR="00BD51D4" w:rsidRPr="00DC6A13">
        <w:rPr>
          <w:rFonts w:eastAsia="Palatino Linotype"/>
          <w:color w:val="auto"/>
        </w:rPr>
        <w:t>(0.23-1.20</w:t>
      </w:r>
      <w:r w:rsidR="00BD51D4" w:rsidRPr="00DC6A13">
        <w:rPr>
          <w:color w:val="auto"/>
        </w:rPr>
        <w:t>) for submandibular glands</w:t>
      </w:r>
      <w:r w:rsidR="008C1316" w:rsidRPr="00DC6A13">
        <w:rPr>
          <w:color w:val="auto"/>
        </w:rPr>
        <w:t>, values in accordance with previously published data</w:t>
      </w:r>
      <w:r w:rsidR="00BD51D4" w:rsidRPr="00DC6A13">
        <w:rPr>
          <w:color w:val="auto"/>
        </w:rPr>
        <w:t xml:space="preserve">. </w:t>
      </w:r>
    </w:p>
    <w:p w14:paraId="1FC7D5EF" w14:textId="77777777" w:rsidR="005E2123" w:rsidRPr="00DC6A13" w:rsidRDefault="005E2123">
      <w:pPr>
        <w:rPr>
          <w:rFonts w:eastAsia="Palatino Linotype"/>
          <w:color w:val="auto"/>
        </w:rPr>
      </w:pPr>
    </w:p>
    <w:p w14:paraId="1AD2DA78" w14:textId="44B0941D" w:rsidR="00C0435B" w:rsidRPr="00DC6A13" w:rsidRDefault="00DC6A13">
      <w:pPr>
        <w:rPr>
          <w:i/>
          <w:color w:val="auto"/>
        </w:rPr>
      </w:pPr>
      <w:r w:rsidRPr="00DC6A13">
        <w:rPr>
          <w:b/>
          <w:color w:val="auto"/>
        </w:rPr>
        <w:t>INTRODUCTION</w:t>
      </w:r>
    </w:p>
    <w:p w14:paraId="2613ECE9" w14:textId="5D8E80D4" w:rsidR="002C07D9" w:rsidRPr="00DC6A13" w:rsidRDefault="003306E9">
      <w:pPr>
        <w:pStyle w:val="ListParagraph"/>
        <w:tabs>
          <w:tab w:val="left" w:pos="0"/>
        </w:tabs>
        <w:ind w:left="0"/>
        <w:rPr>
          <w:rFonts w:eastAsia="Palatino Linotype"/>
          <w:color w:val="auto"/>
        </w:rPr>
      </w:pPr>
      <w:r w:rsidRPr="00DC6A13">
        <w:rPr>
          <w:rFonts w:eastAsia="Palatino Linotype"/>
          <w:color w:val="auto"/>
        </w:rPr>
        <w:t xml:space="preserve">Among </w:t>
      </w:r>
      <w:r w:rsidR="00840394" w:rsidRPr="00DC6A13">
        <w:rPr>
          <w:color w:val="auto"/>
        </w:rPr>
        <w:t>peptide-receptor radionuclide</w:t>
      </w:r>
      <w:r w:rsidRPr="00DC6A13">
        <w:rPr>
          <w:rFonts w:eastAsia="Palatino Linotype"/>
          <w:color w:val="auto"/>
        </w:rPr>
        <w:t xml:space="preserve"> therapies, </w:t>
      </w:r>
      <w:r w:rsidRPr="00DC6A13">
        <w:rPr>
          <w:rFonts w:eastAsia="Palatino Linotype"/>
          <w:color w:val="auto"/>
          <w:vertAlign w:val="superscript"/>
        </w:rPr>
        <w:t>177</w:t>
      </w:r>
      <w:r w:rsidRPr="00DC6A13">
        <w:rPr>
          <w:rFonts w:eastAsia="Palatino Linotype"/>
          <w:color w:val="auto"/>
        </w:rPr>
        <w:t xml:space="preserve">Lu-PSMA-617 </w:t>
      </w:r>
      <w:r w:rsidR="00050964" w:rsidRPr="00DC6A13">
        <w:rPr>
          <w:rFonts w:eastAsia="Palatino Linotype"/>
          <w:color w:val="auto"/>
        </w:rPr>
        <w:t xml:space="preserve">PRRT </w:t>
      </w:r>
      <w:r w:rsidRPr="00DC6A13">
        <w:rPr>
          <w:rFonts w:eastAsia="Palatino Linotype"/>
          <w:color w:val="auto"/>
        </w:rPr>
        <w:t>comb</w:t>
      </w:r>
      <w:r w:rsidR="00833034" w:rsidRPr="00DC6A13">
        <w:rPr>
          <w:rFonts w:eastAsia="Palatino Linotype"/>
          <w:color w:val="auto"/>
        </w:rPr>
        <w:t>ines a short-range beta emitter</w:t>
      </w:r>
      <w:r w:rsidRPr="00DC6A13">
        <w:rPr>
          <w:rFonts w:eastAsia="Palatino Linotype"/>
          <w:color w:val="auto"/>
        </w:rPr>
        <w:t xml:space="preserve"> </w:t>
      </w:r>
      <w:r w:rsidR="00050964" w:rsidRPr="00DC6A13">
        <w:rPr>
          <w:rFonts w:eastAsia="Palatino Linotype"/>
          <w:color w:val="auto"/>
          <w:vertAlign w:val="superscript"/>
        </w:rPr>
        <w:t>177</w:t>
      </w:r>
      <w:r w:rsidR="00050964" w:rsidRPr="00DC6A13">
        <w:rPr>
          <w:rFonts w:eastAsia="Palatino Linotype"/>
          <w:color w:val="auto"/>
        </w:rPr>
        <w:t xml:space="preserve">Lu </w:t>
      </w:r>
      <w:r w:rsidRPr="00DC6A13">
        <w:rPr>
          <w:rFonts w:eastAsia="Palatino Linotype"/>
          <w:color w:val="auto"/>
        </w:rPr>
        <w:t xml:space="preserve">(1.9 mm maximum range in water, </w:t>
      </w:r>
      <w:r w:rsidR="00F03BA6" w:rsidRPr="00DC6A13">
        <w:rPr>
          <w:rFonts w:eastAsia="Palatino Linotype"/>
          <w:color w:val="auto"/>
        </w:rPr>
        <w:t>half-life</w:t>
      </w:r>
      <w:r w:rsidR="00833034" w:rsidRPr="00DC6A13">
        <w:rPr>
          <w:rFonts w:eastAsia="Palatino Linotype"/>
          <w:color w:val="auto"/>
        </w:rPr>
        <w:t xml:space="preserve"> </w:t>
      </w:r>
      <w:r w:rsidRPr="00DC6A13">
        <w:rPr>
          <w:rFonts w:eastAsia="Palatino Linotype"/>
          <w:color w:val="auto"/>
        </w:rPr>
        <w:t>6.71 days) with a prostate-specific membrane antigen (PSMA) ligand. The overexpre</w:t>
      </w:r>
      <w:r w:rsidR="004C367E" w:rsidRPr="00DC6A13">
        <w:rPr>
          <w:rFonts w:eastAsia="Palatino Linotype"/>
          <w:color w:val="auto"/>
        </w:rPr>
        <w:t>s</w:t>
      </w:r>
      <w:r w:rsidRPr="00DC6A13">
        <w:rPr>
          <w:rFonts w:eastAsia="Palatino Linotype"/>
          <w:color w:val="auto"/>
        </w:rPr>
        <w:t>sion of PSMA in 90</w:t>
      </w:r>
      <w:r w:rsidR="00833034" w:rsidRPr="00DC6A13">
        <w:rPr>
          <w:rFonts w:eastAsia="Palatino Linotype"/>
          <w:color w:val="auto"/>
        </w:rPr>
        <w:t>-</w:t>
      </w:r>
      <w:r w:rsidRPr="00DC6A13">
        <w:rPr>
          <w:rFonts w:eastAsia="Palatino Linotype"/>
          <w:color w:val="auto"/>
        </w:rPr>
        <w:t xml:space="preserve">100% of local prostate cancer lesions and metastatic disease (lymph node and bone) is the key </w:t>
      </w:r>
      <w:r w:rsidR="00833034" w:rsidRPr="00DC6A13">
        <w:rPr>
          <w:rFonts w:eastAsia="Palatino Linotype"/>
          <w:color w:val="auto"/>
        </w:rPr>
        <w:t>to</w:t>
      </w:r>
      <w:r w:rsidRPr="00DC6A13">
        <w:rPr>
          <w:rFonts w:eastAsia="Palatino Linotype"/>
          <w:color w:val="auto"/>
        </w:rPr>
        <w:t xml:space="preserve"> this therapy. </w:t>
      </w:r>
      <w:r w:rsidR="00833034" w:rsidRPr="00DC6A13">
        <w:rPr>
          <w:rFonts w:eastAsia="Palatino Linotype"/>
          <w:color w:val="auto"/>
        </w:rPr>
        <w:t>However,</w:t>
      </w:r>
      <w:r w:rsidRPr="00DC6A13">
        <w:rPr>
          <w:rFonts w:eastAsia="Palatino Linotype"/>
          <w:color w:val="auto"/>
        </w:rPr>
        <w:t xml:space="preserve"> </w:t>
      </w:r>
      <w:r w:rsidR="00840394" w:rsidRPr="00DC6A13">
        <w:rPr>
          <w:rFonts w:eastAsia="Palatino Linotype"/>
          <w:color w:val="auto"/>
        </w:rPr>
        <w:t xml:space="preserve">PSMA receptors are </w:t>
      </w:r>
      <w:r w:rsidR="00833034" w:rsidRPr="00DC6A13">
        <w:rPr>
          <w:rFonts w:eastAsia="Palatino Linotype"/>
          <w:color w:val="auto"/>
        </w:rPr>
        <w:t xml:space="preserve">also </w:t>
      </w:r>
      <w:r w:rsidR="00840394" w:rsidRPr="00DC6A13">
        <w:rPr>
          <w:rFonts w:eastAsia="Palatino Linotype"/>
          <w:color w:val="auto"/>
        </w:rPr>
        <w:t xml:space="preserve">expressed </w:t>
      </w:r>
      <w:r w:rsidRPr="00DC6A13">
        <w:rPr>
          <w:rFonts w:eastAsia="Palatino Linotype"/>
          <w:color w:val="auto"/>
        </w:rPr>
        <w:t>in different healthy tissues</w:t>
      </w:r>
      <w:r w:rsidR="006540DE" w:rsidRPr="00DC6A13">
        <w:rPr>
          <w:rFonts w:eastAsia="Palatino Linotype"/>
          <w:color w:val="auto"/>
        </w:rPr>
        <w:t xml:space="preserve"> </w:t>
      </w:r>
      <w:r w:rsidR="00840394" w:rsidRPr="00DC6A13">
        <w:rPr>
          <w:rFonts w:eastAsia="Palatino Linotype"/>
          <w:color w:val="auto"/>
        </w:rPr>
        <w:t xml:space="preserve">where </w:t>
      </w:r>
      <w:r w:rsidR="002C319C" w:rsidRPr="00DC6A13">
        <w:rPr>
          <w:rFonts w:eastAsia="Palatino Linotype"/>
          <w:color w:val="auto"/>
        </w:rPr>
        <w:t>high</w:t>
      </w:r>
      <w:r w:rsidR="006540DE" w:rsidRPr="00DC6A13">
        <w:rPr>
          <w:rFonts w:eastAsia="Palatino Linotype"/>
          <w:color w:val="auto"/>
        </w:rPr>
        <w:t xml:space="preserve"> uptake is </w:t>
      </w:r>
      <w:r w:rsidR="00833034" w:rsidRPr="00DC6A13">
        <w:rPr>
          <w:rFonts w:eastAsia="Palatino Linotype"/>
          <w:color w:val="auto"/>
        </w:rPr>
        <w:t xml:space="preserve">often </w:t>
      </w:r>
      <w:r w:rsidR="006540DE" w:rsidRPr="00DC6A13">
        <w:rPr>
          <w:rFonts w:eastAsia="Palatino Linotype"/>
          <w:color w:val="auto"/>
        </w:rPr>
        <w:t>observed during treatments</w:t>
      </w:r>
      <w:r w:rsidRPr="00DC6A13">
        <w:rPr>
          <w:rFonts w:eastAsia="Palatino Linotype"/>
          <w:color w:val="auto"/>
        </w:rPr>
        <w:t xml:space="preserve">. </w:t>
      </w:r>
      <w:r w:rsidR="00F03BA6">
        <w:rPr>
          <w:rFonts w:eastAsia="Palatino Linotype"/>
          <w:color w:val="auto"/>
        </w:rPr>
        <w:t>The m</w:t>
      </w:r>
      <w:r w:rsidR="00F03BA6" w:rsidRPr="00DC6A13">
        <w:rPr>
          <w:rFonts w:eastAsia="Palatino Linotype"/>
          <w:color w:val="auto"/>
        </w:rPr>
        <w:t xml:space="preserve">ain </w:t>
      </w:r>
      <w:r w:rsidR="000133ED" w:rsidRPr="00DC6A13">
        <w:rPr>
          <w:rFonts w:eastAsia="Palatino Linotype"/>
          <w:color w:val="auto"/>
        </w:rPr>
        <w:t>organ</w:t>
      </w:r>
      <w:r w:rsidR="00050964" w:rsidRPr="00DC6A13">
        <w:rPr>
          <w:rFonts w:eastAsia="Palatino Linotype"/>
          <w:color w:val="auto"/>
        </w:rPr>
        <w:t>s</w:t>
      </w:r>
      <w:r w:rsidR="000133ED" w:rsidRPr="00DC6A13">
        <w:rPr>
          <w:rFonts w:eastAsia="Palatino Linotype"/>
          <w:color w:val="auto"/>
        </w:rPr>
        <w:t xml:space="preserve"> </w:t>
      </w:r>
      <w:r w:rsidR="00050964" w:rsidRPr="00DC6A13">
        <w:rPr>
          <w:rFonts w:eastAsia="Palatino Linotype"/>
          <w:color w:val="auto"/>
        </w:rPr>
        <w:t xml:space="preserve">at risk </w:t>
      </w:r>
      <w:r w:rsidR="000133ED" w:rsidRPr="00DC6A13">
        <w:rPr>
          <w:rFonts w:eastAsia="Palatino Linotype"/>
          <w:color w:val="auto"/>
        </w:rPr>
        <w:t xml:space="preserve">are </w:t>
      </w:r>
      <w:r w:rsidR="00F03BA6">
        <w:rPr>
          <w:rFonts w:eastAsia="Palatino Linotype"/>
          <w:color w:val="auto"/>
        </w:rPr>
        <w:t xml:space="preserve">the </w:t>
      </w:r>
      <w:r w:rsidRPr="00DC6A13">
        <w:rPr>
          <w:rFonts w:eastAsia="Palatino Linotype"/>
          <w:color w:val="auto"/>
        </w:rPr>
        <w:t xml:space="preserve">kidneys, </w:t>
      </w:r>
      <w:r w:rsidR="000133ED" w:rsidRPr="00DC6A13">
        <w:rPr>
          <w:rFonts w:eastAsia="Palatino Linotype"/>
          <w:color w:val="auto"/>
        </w:rPr>
        <w:t xml:space="preserve">red marrow, </w:t>
      </w:r>
      <w:r w:rsidR="00833034" w:rsidRPr="00DC6A13">
        <w:rPr>
          <w:rFonts w:eastAsia="Palatino Linotype"/>
          <w:color w:val="auto"/>
        </w:rPr>
        <w:t xml:space="preserve">and </w:t>
      </w:r>
      <w:r w:rsidRPr="00DC6A13">
        <w:rPr>
          <w:rFonts w:eastAsia="Palatino Linotype"/>
          <w:color w:val="auto"/>
        </w:rPr>
        <w:t>salivary and lacrimal glands</w:t>
      </w:r>
      <w:r w:rsidR="00833034" w:rsidRPr="00DC6A13">
        <w:rPr>
          <w:rFonts w:eastAsia="Palatino Linotype"/>
          <w:color w:val="auto"/>
        </w:rPr>
        <w:t>,</w:t>
      </w:r>
      <w:r w:rsidR="006540DE" w:rsidRPr="00DC6A13">
        <w:rPr>
          <w:rFonts w:eastAsia="Palatino Linotype"/>
          <w:color w:val="auto"/>
        </w:rPr>
        <w:t xml:space="preserve"> and th</w:t>
      </w:r>
      <w:r w:rsidR="00050964" w:rsidRPr="00DC6A13">
        <w:rPr>
          <w:rFonts w:eastAsia="Palatino Linotype"/>
          <w:color w:val="auto"/>
        </w:rPr>
        <w:t xml:space="preserve">e dose to these organs </w:t>
      </w:r>
      <w:r w:rsidR="006540DE" w:rsidRPr="00DC6A13">
        <w:rPr>
          <w:rFonts w:eastAsia="Palatino Linotype"/>
          <w:color w:val="auto"/>
        </w:rPr>
        <w:t>may reduce</w:t>
      </w:r>
      <w:r w:rsidRPr="00DC6A13">
        <w:rPr>
          <w:rFonts w:eastAsia="Palatino Linotype"/>
          <w:color w:val="auto"/>
        </w:rPr>
        <w:t xml:space="preserve"> maximum injectable activity, </w:t>
      </w:r>
      <w:r w:rsidR="006540DE" w:rsidRPr="00DC6A13">
        <w:rPr>
          <w:rFonts w:eastAsia="Palatino Linotype"/>
          <w:color w:val="auto"/>
        </w:rPr>
        <w:t xml:space="preserve">impairing </w:t>
      </w:r>
      <w:r w:rsidR="000F427A" w:rsidRPr="00DC6A13">
        <w:rPr>
          <w:rFonts w:eastAsia="Palatino Linotype"/>
          <w:color w:val="auto"/>
        </w:rPr>
        <w:t>the therapeutic ratio.</w:t>
      </w:r>
    </w:p>
    <w:p w14:paraId="65746CC7" w14:textId="77777777" w:rsidR="003E6AA1" w:rsidRPr="00DC6A13" w:rsidRDefault="003E6AA1">
      <w:pPr>
        <w:pStyle w:val="ListParagraph"/>
        <w:tabs>
          <w:tab w:val="left" w:pos="0"/>
        </w:tabs>
        <w:ind w:left="0"/>
        <w:rPr>
          <w:rFonts w:eastAsia="Palatino Linotype"/>
          <w:color w:val="auto"/>
        </w:rPr>
      </w:pPr>
    </w:p>
    <w:p w14:paraId="3E7DE8BB" w14:textId="13ABA2B9" w:rsidR="006540DE" w:rsidRPr="00DC6A13" w:rsidRDefault="00FB7830">
      <w:pPr>
        <w:pStyle w:val="ListParagraph"/>
        <w:tabs>
          <w:tab w:val="left" w:pos="0"/>
        </w:tabs>
        <w:ind w:left="0"/>
        <w:rPr>
          <w:rFonts w:eastAsia="Palatino Linotype"/>
          <w:color w:val="auto"/>
        </w:rPr>
      </w:pPr>
      <w:r w:rsidRPr="00DC6A13">
        <w:rPr>
          <w:rFonts w:eastAsia="Palatino Linotype"/>
          <w:color w:val="auto"/>
        </w:rPr>
        <w:t xml:space="preserve">Our </w:t>
      </w:r>
      <w:r w:rsidR="00833034" w:rsidRPr="00DC6A13">
        <w:rPr>
          <w:rFonts w:eastAsia="Palatino Linotype"/>
          <w:color w:val="auto"/>
        </w:rPr>
        <w:t>i</w:t>
      </w:r>
      <w:r w:rsidR="003306E9" w:rsidRPr="00DC6A13">
        <w:rPr>
          <w:rFonts w:eastAsia="Palatino Linotype"/>
          <w:color w:val="auto"/>
        </w:rPr>
        <w:t xml:space="preserve">nstitute </w:t>
      </w:r>
      <w:r w:rsidR="00833034" w:rsidRPr="00DC6A13">
        <w:rPr>
          <w:rFonts w:eastAsia="Palatino Linotype"/>
          <w:color w:val="auto"/>
        </w:rPr>
        <w:t xml:space="preserve">(IRST IRCCS) </w:t>
      </w:r>
      <w:r w:rsidRPr="00DC6A13">
        <w:rPr>
          <w:rFonts w:eastAsia="Palatino Linotype"/>
          <w:color w:val="auto"/>
        </w:rPr>
        <w:t xml:space="preserve">activated </w:t>
      </w:r>
      <w:r w:rsidR="003306E9" w:rsidRPr="00DC6A13">
        <w:rPr>
          <w:rFonts w:eastAsia="Palatino Linotype"/>
          <w:color w:val="auto"/>
        </w:rPr>
        <w:t xml:space="preserve">a protocol with the aim </w:t>
      </w:r>
      <w:r w:rsidRPr="00DC6A13">
        <w:rPr>
          <w:rFonts w:eastAsia="Palatino Linotype"/>
          <w:color w:val="auto"/>
        </w:rPr>
        <w:t>of increasing</w:t>
      </w:r>
      <w:r w:rsidR="003306E9" w:rsidRPr="00DC6A13">
        <w:rPr>
          <w:rFonts w:eastAsia="Palatino Linotype"/>
          <w:color w:val="auto"/>
        </w:rPr>
        <w:t xml:space="preserve"> </w:t>
      </w:r>
      <w:r w:rsidR="000739E3" w:rsidRPr="00DC6A13">
        <w:rPr>
          <w:rFonts w:eastAsia="Palatino Linotype"/>
          <w:color w:val="auto"/>
        </w:rPr>
        <w:t xml:space="preserve">the </w:t>
      </w:r>
      <w:r w:rsidR="003306E9" w:rsidRPr="00DC6A13">
        <w:rPr>
          <w:rFonts w:eastAsia="Palatino Linotype"/>
          <w:color w:val="auto"/>
        </w:rPr>
        <w:t>therapeutic ratio between lesions and healthy tissue</w:t>
      </w:r>
      <w:r w:rsidR="000739E3" w:rsidRPr="00DC6A13">
        <w:rPr>
          <w:rFonts w:eastAsia="Palatino Linotype"/>
          <w:color w:val="auto"/>
        </w:rPr>
        <w:t>s</w:t>
      </w:r>
      <w:r w:rsidR="003306E9" w:rsidRPr="00DC6A13">
        <w:rPr>
          <w:rFonts w:eastAsia="Palatino Linotype"/>
          <w:color w:val="auto"/>
        </w:rPr>
        <w:t xml:space="preserve">, providing drug protectors combined with </w:t>
      </w:r>
      <w:r w:rsidR="003306E9" w:rsidRPr="00DC6A13">
        <w:rPr>
          <w:rFonts w:eastAsia="Palatino Linotype"/>
          <w:color w:val="auto"/>
          <w:vertAlign w:val="superscript"/>
        </w:rPr>
        <w:t>177</w:t>
      </w:r>
      <w:r w:rsidR="003306E9" w:rsidRPr="00DC6A13">
        <w:rPr>
          <w:rFonts w:eastAsia="Palatino Linotype"/>
          <w:color w:val="auto"/>
        </w:rPr>
        <w:t>Lu-PSMA-617 therapy.</w:t>
      </w:r>
      <w:r w:rsidR="00A52136">
        <w:rPr>
          <w:rFonts w:eastAsia="Palatino Linotype"/>
          <w:color w:val="auto"/>
        </w:rPr>
        <w:t xml:space="preserve"> </w:t>
      </w:r>
      <w:r w:rsidR="003306E9" w:rsidRPr="00DC6A13">
        <w:rPr>
          <w:rFonts w:eastAsia="Palatino Linotype"/>
          <w:color w:val="auto"/>
        </w:rPr>
        <w:t xml:space="preserve">Mannitol, polyglutamate folate tablets combined with </w:t>
      </w:r>
      <w:r w:rsidRPr="00DC6A13">
        <w:rPr>
          <w:rFonts w:eastAsia="Palatino Linotype"/>
          <w:color w:val="auto"/>
        </w:rPr>
        <w:t xml:space="preserve">externally applied </w:t>
      </w:r>
      <w:r w:rsidR="003306E9" w:rsidRPr="00DC6A13">
        <w:rPr>
          <w:rFonts w:eastAsia="Palatino Linotype"/>
          <w:color w:val="auto"/>
        </w:rPr>
        <w:t>ice pack</w:t>
      </w:r>
      <w:r w:rsidRPr="00DC6A13">
        <w:rPr>
          <w:rFonts w:eastAsia="Palatino Linotype"/>
          <w:color w:val="auto"/>
        </w:rPr>
        <w:t>s</w:t>
      </w:r>
      <w:r w:rsidR="003306E9" w:rsidRPr="00DC6A13">
        <w:rPr>
          <w:rFonts w:eastAsia="Palatino Linotype"/>
          <w:color w:val="auto"/>
        </w:rPr>
        <w:t xml:space="preserve"> and </w:t>
      </w:r>
      <w:r w:rsidR="00642785" w:rsidRPr="00DC6A13">
        <w:rPr>
          <w:rFonts w:eastAsia="Palatino Linotype"/>
          <w:color w:val="auto"/>
        </w:rPr>
        <w:lastRenderedPageBreak/>
        <w:t>N-acet</w:t>
      </w:r>
      <w:r w:rsidRPr="00DC6A13">
        <w:rPr>
          <w:rFonts w:eastAsia="Palatino Linotype"/>
          <w:color w:val="auto"/>
        </w:rPr>
        <w:t>y</w:t>
      </w:r>
      <w:r w:rsidR="00642785" w:rsidRPr="00DC6A13">
        <w:rPr>
          <w:rFonts w:eastAsia="Palatino Linotype"/>
          <w:color w:val="auto"/>
        </w:rPr>
        <w:t>laspart</w:t>
      </w:r>
      <w:r w:rsidRPr="00DC6A13">
        <w:rPr>
          <w:rFonts w:eastAsia="Palatino Linotype"/>
          <w:color w:val="auto"/>
        </w:rPr>
        <w:t>y</w:t>
      </w:r>
      <w:r w:rsidR="00642785" w:rsidRPr="00DC6A13">
        <w:rPr>
          <w:rFonts w:eastAsia="Palatino Linotype"/>
          <w:color w:val="auto"/>
        </w:rPr>
        <w:t>lglutammate acid</w:t>
      </w:r>
      <w:r w:rsidR="000F427A" w:rsidRPr="00DC6A13">
        <w:rPr>
          <w:rFonts w:eastAsia="Palatino Linotype"/>
          <w:color w:val="auto"/>
        </w:rPr>
        <w:t xml:space="preserve"> eye drops</w:t>
      </w:r>
      <w:r w:rsidR="003306E9" w:rsidRPr="00DC6A13">
        <w:rPr>
          <w:rFonts w:eastAsia="Palatino Linotype"/>
          <w:color w:val="auto"/>
        </w:rPr>
        <w:t xml:space="preserve"> are used for kidney</w:t>
      </w:r>
      <w:r w:rsidR="003E6AA1" w:rsidRPr="00DC6A13">
        <w:rPr>
          <w:rFonts w:eastAsia="Palatino Linotype"/>
          <w:color w:val="auto"/>
        </w:rPr>
        <w:t xml:space="preserve"> and</w:t>
      </w:r>
      <w:r w:rsidR="003306E9" w:rsidRPr="00DC6A13">
        <w:rPr>
          <w:rFonts w:eastAsia="Palatino Linotype"/>
          <w:color w:val="auto"/>
        </w:rPr>
        <w:t xml:space="preserve"> salivary and lacrimal gland preservation</w:t>
      </w:r>
      <w:r w:rsidR="000739E3" w:rsidRPr="00DC6A13">
        <w:rPr>
          <w:rFonts w:eastAsia="Palatino Linotype"/>
          <w:color w:val="auto"/>
        </w:rPr>
        <w:t>,</w:t>
      </w:r>
      <w:r w:rsidR="003306E9" w:rsidRPr="00DC6A13">
        <w:rPr>
          <w:rFonts w:eastAsia="Palatino Linotype"/>
          <w:color w:val="auto"/>
        </w:rPr>
        <w:t xml:space="preserve"> respectively</w:t>
      </w:r>
      <w:r w:rsidR="00D042A0" w:rsidRPr="00DC6A13">
        <w:rPr>
          <w:rStyle w:val="FootnoteReference"/>
          <w:rFonts w:eastAsia="Palatino Linotype"/>
          <w:color w:val="auto"/>
        </w:rPr>
        <w:fldChar w:fldCharType="begin" w:fldLock="1"/>
      </w:r>
      <w:r w:rsidR="00DD6478" w:rsidRPr="00DC6A13">
        <w:rPr>
          <w:rFonts w:eastAsia="Palatino Linotype"/>
          <w:color w:val="auto"/>
        </w:rPr>
        <w:instrText>ADDIN CSL_CITATION {"citationItems":[{"id":"ITEM-1","itemData":{"DOI":"10.1007/s00259-017-3791-4","ISBN":"0025901737","ISSN":"16197089","abstract":"© 2017 Springer-Verlag GmbH Germany Purpose: Urea-based prostate-specific membrane antigen (PSMA) ligands labelled with 68 Ga or 177 Lu are new tracers with great potential for theranostic approaches in prostate cancer. However, clinical studies have shown that the kidneys are one of the off-target organs along with the salivary and lacrimal glands. In the kidneys, PSMA is physiologically expressed in the apical epithelium of the proximal tubules, and mannitol acts as an osmotic diuretic in these tubules. We investigated the potential of mannitol to reduce renal uptake of 68 Ga-PSMA. Methods: Kidney uptake (SUVmax) was calculated in nine patients undergoing 68 Ga-PSMA PET/CT at baseline (b-PET/CT) and after intravenous infusion of 500 ml of 10% mannitol (m-PET/CT). Two different infusion schemes for mannitol were used: (1) 500 ml mannitol was infused over 40 min after 68 Ga-PSMA administration (A-infusion) and (2) 250 ml mannitol was infused over 15 min before and again after 68 Ga-PSMA administration (B-infusion). Results: In patients receiving the A-infusion, mean SUV max increased by 11.9% and 7.4% in the right and left kidney, respectively. In patients receiving the B-infusion, mean SUV max decreased by 24.3% and 22.4% in the right and left kidney, respectively. Conclusion: Our preliminary findings indicate that mannitol may play a role in reducing off-target 68 Ga-PSMA renal uptake. Administration of the osmotic diuretic should be rapid and start before 68 Ga-PSMA injection. These results warrant dosimetric studies in patients treated with 177 Lu-PSMA to find the best scheme for mannitol administration.","author":[{"dropping-particle":"","family":"Matteucci","given":"Federica","non-dropping-particle":"","parse-names":false,"suffix":""},{"dropping-particle":"","family":"Mezzenga","given":"Emilio","non-dropping-particle":"","parse-names":false,"suffix":""},{"dropping-particle":"","family":"Caroli","given":"Paola","non-dropping-particle":"","parse-names":false,"suffix":""},{"dropping-particle":"","family":"Iorio","given":"Valentina","non-dropping-particle":"Di","parse-names":false,"suffix":""},{"dropping-particle":"","family":"Sarnelli","given":"Anna","non-dropping-particle":"","parse-names":false,"suffix":""},{"dropping-particle":"","family":"Celli","given":"Monica","non-dropping-particle":"","parse-names":false,"suffix":""},{"dropping-particle":"","family":"Fantini","given":"Lorenzo","non-dropping-particle":"","parse-names":false,"suffix":""},{"dropping-particle":"","family":"Moretti","given":"Andrea","non-dropping-particle":"","parse-names":false,"suffix":""},{"dropping-particle":"","family":"Galassi","given":"Riccardo","non-dropping-particle":"","parse-names":false,"suffix":""},{"dropping-particle":"","family":"Giorgi","given":"Ugo","non-dropping-particle":"de","parse-names":false,"suffix":""},{"dropping-particle":"","family":"Paganelli","given":"Giovanni","non-dropping-particle":"","parse-names":false,"suffix":""}],"container-title":"European Journal of Nuclear Medicine and Molecular Imaging","id":"ITEM-1","issued":{"date-parts":[["2017"]]},"page":"1-6","publisher":"European Journal of Nuclear Medicine and Molecular Imaging","title":"Reduction of 68Ga-PSMA renal uptake with mannitol infusion: preliminary results","type":"article-journal"},"uris":["http://www.mendeley.com/documents/?uuid=7683fbaf-a895-4190-a309-c233fefcf694"]}],"mendeley":{"formattedCitation":"&lt;sup&gt;1&lt;/sup&gt;","plainTextFormattedCitation":"1","previouslyFormattedCitation":"&lt;sup&gt;1&lt;/sup&gt;"},"properties":{"noteIndex":0},"schema":"https://github.com/citation-style-language/schema/raw/master/csl-citation.json"}</w:instrText>
      </w:r>
      <w:r w:rsidR="00D042A0" w:rsidRPr="00DC6A13">
        <w:rPr>
          <w:rStyle w:val="FootnoteReference"/>
          <w:rFonts w:eastAsia="Palatino Linotype"/>
          <w:color w:val="auto"/>
        </w:rPr>
        <w:fldChar w:fldCharType="separate"/>
      </w:r>
      <w:r w:rsidR="00975AF0" w:rsidRPr="00DC6A13">
        <w:rPr>
          <w:rFonts w:eastAsia="Palatino Linotype"/>
          <w:bCs/>
          <w:noProof/>
          <w:color w:val="auto"/>
          <w:vertAlign w:val="superscript"/>
        </w:rPr>
        <w:t>1</w:t>
      </w:r>
      <w:r w:rsidR="00D042A0" w:rsidRPr="00DC6A13">
        <w:rPr>
          <w:rStyle w:val="FootnoteReference"/>
          <w:rFonts w:eastAsia="Palatino Linotype"/>
          <w:color w:val="auto"/>
        </w:rPr>
        <w:fldChar w:fldCharType="end"/>
      </w:r>
      <w:r w:rsidR="003306E9" w:rsidRPr="00DC6A13">
        <w:rPr>
          <w:rFonts w:eastAsia="Palatino Linotype"/>
          <w:color w:val="auto"/>
        </w:rPr>
        <w:t>.</w:t>
      </w:r>
      <w:r w:rsidR="000739E3" w:rsidRPr="00DC6A13">
        <w:rPr>
          <w:rFonts w:eastAsia="Palatino Linotype"/>
          <w:color w:val="auto"/>
        </w:rPr>
        <w:t xml:space="preserve"> </w:t>
      </w:r>
      <w:r w:rsidR="003306E9" w:rsidRPr="00DC6A13">
        <w:rPr>
          <w:rFonts w:eastAsia="Palatino Linotype"/>
          <w:color w:val="auto"/>
        </w:rPr>
        <w:t xml:space="preserve">Post-infusion dosimetric studies are required to estimate the effective </w:t>
      </w:r>
      <w:r w:rsidR="00F03BA6" w:rsidRPr="00DC6A13">
        <w:rPr>
          <w:rFonts w:eastAsia="Palatino Linotype"/>
          <w:color w:val="auto"/>
        </w:rPr>
        <w:t>half-life</w:t>
      </w:r>
      <w:r w:rsidR="003306E9" w:rsidRPr="00DC6A13">
        <w:rPr>
          <w:rFonts w:eastAsia="Palatino Linotype"/>
          <w:color w:val="auto"/>
        </w:rPr>
        <w:t xml:space="preserve"> (</w:t>
      </w:r>
      <w:r w:rsidR="003306E9" w:rsidRPr="003D144A">
        <w:rPr>
          <w:rFonts w:eastAsia="Palatino Linotype"/>
          <w:iCs/>
          <w:color w:val="auto"/>
        </w:rPr>
        <w:t>i.e.</w:t>
      </w:r>
      <w:r w:rsidR="00F03BA6" w:rsidRPr="003D144A">
        <w:rPr>
          <w:rFonts w:eastAsia="Palatino Linotype"/>
          <w:iCs/>
          <w:color w:val="auto"/>
        </w:rPr>
        <w:t>,</w:t>
      </w:r>
      <w:r w:rsidR="003306E9" w:rsidRPr="00591C54">
        <w:rPr>
          <w:rFonts w:eastAsia="Palatino Linotype"/>
          <w:iCs/>
          <w:color w:val="auto"/>
        </w:rPr>
        <w:t xml:space="preserve"> </w:t>
      </w:r>
      <w:r w:rsidR="003306E9" w:rsidRPr="00DC6A13">
        <w:rPr>
          <w:rFonts w:eastAsia="Palatino Linotype"/>
          <w:color w:val="auto"/>
        </w:rPr>
        <w:t xml:space="preserve">combination of physical and biological </w:t>
      </w:r>
      <w:r w:rsidR="00F03BA6" w:rsidRPr="00DC6A13">
        <w:rPr>
          <w:rFonts w:eastAsia="Palatino Linotype"/>
          <w:color w:val="auto"/>
        </w:rPr>
        <w:t>half-life</w:t>
      </w:r>
      <w:r w:rsidR="003306E9" w:rsidRPr="00DC6A13">
        <w:rPr>
          <w:rFonts w:eastAsia="Palatino Linotype"/>
          <w:color w:val="auto"/>
        </w:rPr>
        <w:t>) and absorbed dose for different structures</w:t>
      </w:r>
      <w:r w:rsidR="00622380" w:rsidRPr="00DC6A13">
        <w:rPr>
          <w:rFonts w:eastAsia="Palatino Linotype"/>
          <w:color w:val="auto"/>
        </w:rPr>
        <w:t xml:space="preserve"> </w:t>
      </w:r>
      <w:r w:rsidR="00994DF4" w:rsidRPr="00DC6A13">
        <w:rPr>
          <w:rFonts w:eastAsia="Palatino Linotype"/>
          <w:color w:val="auto"/>
        </w:rPr>
        <w:t>of interest localize</w:t>
      </w:r>
      <w:r w:rsidR="00622380" w:rsidRPr="00DC6A13">
        <w:rPr>
          <w:rFonts w:eastAsia="Palatino Linotype"/>
          <w:color w:val="auto"/>
        </w:rPr>
        <w:t>d</w:t>
      </w:r>
      <w:r w:rsidR="00994DF4" w:rsidRPr="00DC6A13">
        <w:rPr>
          <w:rFonts w:eastAsia="Palatino Linotype"/>
          <w:color w:val="auto"/>
        </w:rPr>
        <w:t xml:space="preserve"> </w:t>
      </w:r>
      <w:r w:rsidR="003E6AA1" w:rsidRPr="00DC6A13">
        <w:rPr>
          <w:rFonts w:eastAsia="Palatino Linotype"/>
          <w:color w:val="auto"/>
        </w:rPr>
        <w:t>throughout</w:t>
      </w:r>
      <w:r w:rsidR="00994DF4" w:rsidRPr="00DC6A13">
        <w:rPr>
          <w:rFonts w:eastAsia="Palatino Linotype"/>
          <w:color w:val="auto"/>
        </w:rPr>
        <w:t xml:space="preserve"> the body (</w:t>
      </w:r>
      <w:r w:rsidR="00994DF4" w:rsidRPr="003D144A">
        <w:rPr>
          <w:rFonts w:eastAsia="Palatino Linotype"/>
          <w:iCs/>
          <w:color w:val="auto"/>
        </w:rPr>
        <w:t>e.g.</w:t>
      </w:r>
      <w:r w:rsidR="00F03BA6" w:rsidRPr="003D144A">
        <w:rPr>
          <w:rFonts w:eastAsia="Palatino Linotype"/>
          <w:iCs/>
          <w:color w:val="auto"/>
        </w:rPr>
        <w:t>,</w:t>
      </w:r>
      <w:r w:rsidR="00994DF4" w:rsidRPr="00591C54">
        <w:rPr>
          <w:rFonts w:eastAsia="Palatino Linotype"/>
          <w:iCs/>
          <w:color w:val="auto"/>
        </w:rPr>
        <w:t xml:space="preserve"> </w:t>
      </w:r>
      <w:r w:rsidR="00994DF4" w:rsidRPr="00DC6A13">
        <w:rPr>
          <w:rFonts w:eastAsia="Palatino Linotype"/>
          <w:color w:val="auto"/>
        </w:rPr>
        <w:t xml:space="preserve">kidneys, salivary </w:t>
      </w:r>
      <w:r w:rsidR="00195B5F" w:rsidRPr="00DC6A13">
        <w:rPr>
          <w:rFonts w:eastAsia="Palatino Linotype"/>
          <w:color w:val="auto"/>
        </w:rPr>
        <w:t>glands, disseminated lesions). T</w:t>
      </w:r>
      <w:r w:rsidR="00994DF4" w:rsidRPr="00DC6A13">
        <w:rPr>
          <w:rFonts w:eastAsia="Palatino Linotype"/>
          <w:color w:val="auto"/>
        </w:rPr>
        <w:t xml:space="preserve">his scenario </w:t>
      </w:r>
      <w:r w:rsidR="00195B5F" w:rsidRPr="00DC6A13">
        <w:rPr>
          <w:rFonts w:eastAsia="Palatino Linotype"/>
          <w:color w:val="auto"/>
        </w:rPr>
        <w:t>require</w:t>
      </w:r>
      <w:r w:rsidR="00622380" w:rsidRPr="00DC6A13">
        <w:rPr>
          <w:rFonts w:eastAsia="Palatino Linotype"/>
          <w:color w:val="auto"/>
        </w:rPr>
        <w:t xml:space="preserve">s </w:t>
      </w:r>
      <w:r w:rsidR="00994DF4" w:rsidRPr="00DC6A13">
        <w:rPr>
          <w:rFonts w:eastAsia="Palatino Linotype"/>
          <w:color w:val="auto"/>
        </w:rPr>
        <w:t xml:space="preserve">whole body </w:t>
      </w:r>
      <w:r w:rsidR="009B10BF" w:rsidRPr="00DC6A13">
        <w:rPr>
          <w:rFonts w:eastAsia="Palatino Linotype"/>
          <w:color w:val="auto"/>
        </w:rPr>
        <w:t>informatio</w:t>
      </w:r>
      <w:r w:rsidR="00622380" w:rsidRPr="00DC6A13">
        <w:rPr>
          <w:rFonts w:eastAsia="Palatino Linotype"/>
          <w:color w:val="auto"/>
        </w:rPr>
        <w:t xml:space="preserve">n </w:t>
      </w:r>
      <w:r w:rsidR="003E6AA1" w:rsidRPr="00DC6A13">
        <w:rPr>
          <w:rFonts w:eastAsia="Palatino Linotype"/>
          <w:color w:val="auto"/>
        </w:rPr>
        <w:t>obtained</w:t>
      </w:r>
      <w:r w:rsidR="00195B5F" w:rsidRPr="00DC6A13">
        <w:rPr>
          <w:rFonts w:eastAsia="Palatino Linotype"/>
          <w:color w:val="auto"/>
        </w:rPr>
        <w:t xml:space="preserve"> by acquiring </w:t>
      </w:r>
      <w:r w:rsidR="009B10BF" w:rsidRPr="00DC6A13">
        <w:rPr>
          <w:rFonts w:eastAsia="Palatino Linotype"/>
          <w:color w:val="auto"/>
        </w:rPr>
        <w:t>sequential post-infusion whole-body planar images</w:t>
      </w:r>
      <w:r w:rsidR="00D042A0" w:rsidRPr="00DC6A13">
        <w:rPr>
          <w:rStyle w:val="FootnoteReference"/>
          <w:rFonts w:eastAsia="Palatino Linotype"/>
          <w:color w:val="auto"/>
        </w:rPr>
        <w:fldChar w:fldCharType="begin" w:fldLock="1"/>
      </w:r>
      <w:r w:rsidR="00DD6478" w:rsidRPr="00DC6A13">
        <w:rPr>
          <w:rFonts w:eastAsia="Palatino Linotype"/>
          <w:color w:val="auto"/>
        </w:rPr>
        <w:instrText>ADDIN CSL_CITATION {"citationItems":[{"id":"ITEM-1","itemData":{"DOI":"10.3390/molecules24030621","ISSN":"14203049","abstract":"Radio-ligand therapy (RLT) with177Lu-PSMA-617 is a promising option for patients with metastatic castration-resistant prostate-cancer (mCRPC). A prospective phase-II study (EUDRACT/RSO,2016-002732-32) on mCRPC is ongoing at IRST (Meldola, Italy). A total of 9 patients (median age: 68 y, range: 53–85) were enrolled for dosimetry evaluation of parotid glands (PGs), kidneys, red marrow (RM) and whole body (WB). Folic polyglutamate tablets were orally administered as PGs protectors and 500 mL of a 10% mannitol solution was intravenously infused to reduce kidney uptake. The whole body planar image (WBI) and blood samples were acquired at different times post infusion (1 h, 16–24 h, 36–48 h and 120 h). Dose calculation was performed with MIRD formalism (OLINDA/EXM software). The median effective half-life was 33.0 h (range: 25.6–60.7) for PGs, 31.4 h (12.2–80.6) for kidneys, 8.2 h (2.5–14.7) for RM and 40.1 h (31.6–79.7) for WB. The median doses were 0.48 mGy/MBq (range: 0.33–2.63) for PGs, 0.70 mGy/MBq (0.26–1.07) for kidneys, 0.044 mGy/MBq (0.023–0.067) for RM and 0.04 mGy/MBq (0.02–0.11) for WB. A comparison with previously published dosimetric data was performed and a significant difference was found for PGs while no significant difference was observed for the kidneys. For PGs, the possibility of reducing uptake by administering glutamate tablets during RLT seems feasible while further research is warranted for a more focused evaluation of the reduction in kidney uptake.","author":[{"dropping-particle":"","family":"Sarnelli","given":"Anna","non-dropping-particle":"","parse-names":false,"suffix":""},{"dropping-particle":"","family":"Belli","given":"Maria Luisa","non-dropping-particle":"","parse-names":false,"suffix":""},{"dropping-particle":"","family":"Iorio","given":"Valentina","non-dropping-particle":"Di","parse-names":false,"suffix":""},{"dropping-particle":"","family":"Mezzenga","given":"Emilio","non-dropping-particle":"","parse-names":false,"suffix":""},{"dropping-particle":"","family":"Celli","given":"Monica","non-dropping-particle":"","parse-names":false,"suffix":""},{"dropping-particle":"","family":"Severi","given":"Stefano","non-dropping-particle":"","parse-names":false,"suffix":""},{"dropping-particle":"","family":"Tardelli","given":"Elisa","non-dropping-particle":"","parse-names":false,"suffix":""},{"dropping-particle":"","family":"Nicolini","given":"Silvia","non-dropping-particle":"","parse-names":false,"suffix":""},{"dropping-particle":"","family":"Oboldi","given":"Devil","non-dropping-particle":"","parse-names":false,"suffix":""},{"dropping-particle":"","family":"Uccelli","given":"Licia","non-dropping-particle":"","parse-names":false,"suffix":""},{"dropping-particle":"","family":"Cittanti","given":"Corrado","non-dropping-particle":"","parse-names":false,"suffix":""},{"dropping-particle":"","family":"Monti","given":"Manuela","non-dropping-particle":"","parse-names":false,"suffix":""},{"dropping-particle":"","family":"Ferrari","given":"Mahila","non-dropping-particle":"","parse-names":false,"suffix":""},{"dropping-particle":"","family":"Paganelli","given":"Giovanni","non-dropping-particle":"","parse-names":false,"suffix":""}],"container-title":"Molecules","id":"ITEM-1","issue":"3","issued":{"date-parts":[["2019"]]},"title":"Dosimetry of 177 Lu-PSMA-617 after mannitol infusion and glutamate tablet administration: Preliminary results of EUDRACT/RSO 2016-002732-32 IRST protocol","type":"article-journal","volume":"24"},"uris":["http://www.mendeley.com/documents/?uuid=276af37d-fde4-42e6-b27f-b7fd655b5092"]}],"mendeley":{"formattedCitation":"&lt;sup&gt;2&lt;/sup&gt;","plainTextFormattedCitation":"2","previouslyFormattedCitation":"&lt;sup&gt;2&lt;/sup&gt;"},"properties":{"noteIndex":0},"schema":"https://github.com/citation-style-language/schema/raw/master/csl-citation.json"}</w:instrText>
      </w:r>
      <w:r w:rsidR="00D042A0" w:rsidRPr="00DC6A13">
        <w:rPr>
          <w:rStyle w:val="FootnoteReference"/>
          <w:rFonts w:eastAsia="Palatino Linotype"/>
          <w:color w:val="auto"/>
        </w:rPr>
        <w:fldChar w:fldCharType="separate"/>
      </w:r>
      <w:r w:rsidR="00975AF0" w:rsidRPr="00DC6A13">
        <w:rPr>
          <w:rFonts w:eastAsia="Palatino Linotype"/>
          <w:bCs/>
          <w:noProof/>
          <w:color w:val="auto"/>
          <w:vertAlign w:val="superscript"/>
        </w:rPr>
        <w:t>2</w:t>
      </w:r>
      <w:r w:rsidR="00D042A0" w:rsidRPr="00DC6A13">
        <w:rPr>
          <w:rStyle w:val="FootnoteReference"/>
          <w:rFonts w:eastAsia="Palatino Linotype"/>
          <w:color w:val="auto"/>
        </w:rPr>
        <w:fldChar w:fldCharType="end"/>
      </w:r>
      <w:r w:rsidR="00994DF4" w:rsidRPr="00DC6A13">
        <w:rPr>
          <w:rFonts w:eastAsia="Palatino Linotype"/>
          <w:color w:val="auto"/>
        </w:rPr>
        <w:t xml:space="preserve">. </w:t>
      </w:r>
      <w:r w:rsidR="003E6AA1" w:rsidRPr="00DC6A13">
        <w:rPr>
          <w:rFonts w:eastAsia="Palatino Linotype"/>
          <w:color w:val="auto"/>
        </w:rPr>
        <w:t>However</w:t>
      </w:r>
      <w:r w:rsidR="009B10BF" w:rsidRPr="00DC6A13">
        <w:rPr>
          <w:rFonts w:eastAsia="Palatino Linotype"/>
          <w:color w:val="auto"/>
        </w:rPr>
        <w:t xml:space="preserve">, </w:t>
      </w:r>
      <w:r w:rsidR="00354C2A" w:rsidRPr="00DC6A13">
        <w:rPr>
          <w:rFonts w:eastAsia="Palatino Linotype"/>
          <w:color w:val="auto"/>
        </w:rPr>
        <w:t xml:space="preserve">the </w:t>
      </w:r>
      <w:r w:rsidR="00994DF4" w:rsidRPr="00DC6A13">
        <w:rPr>
          <w:rFonts w:eastAsia="Palatino Linotype"/>
          <w:color w:val="auto"/>
        </w:rPr>
        <w:t>overlap of high uptake structures (</w:t>
      </w:r>
      <w:r w:rsidR="00994DF4" w:rsidRPr="003D144A">
        <w:rPr>
          <w:rFonts w:eastAsia="Palatino Linotype"/>
          <w:iCs/>
          <w:color w:val="auto"/>
        </w:rPr>
        <w:t>e.g.</w:t>
      </w:r>
      <w:r w:rsidR="00F03BA6" w:rsidRPr="003D144A">
        <w:rPr>
          <w:rFonts w:eastAsia="Palatino Linotype"/>
          <w:iCs/>
          <w:color w:val="auto"/>
        </w:rPr>
        <w:t>,</w:t>
      </w:r>
      <w:r w:rsidR="00994DF4" w:rsidRPr="00591C54">
        <w:rPr>
          <w:rFonts w:eastAsia="Palatino Linotype"/>
          <w:iCs/>
          <w:color w:val="auto"/>
        </w:rPr>
        <w:t xml:space="preserve"> </w:t>
      </w:r>
      <w:r w:rsidR="00994DF4" w:rsidRPr="00DC6A13">
        <w:rPr>
          <w:rFonts w:eastAsia="Palatino Linotype"/>
          <w:color w:val="auto"/>
        </w:rPr>
        <w:t xml:space="preserve">transient </w:t>
      </w:r>
      <w:r w:rsidR="009B10BF" w:rsidRPr="00DC6A13">
        <w:rPr>
          <w:rFonts w:eastAsia="Palatino Linotype"/>
          <w:color w:val="auto"/>
        </w:rPr>
        <w:t xml:space="preserve">intestine uptake </w:t>
      </w:r>
      <w:r w:rsidR="003E6AA1" w:rsidRPr="00DC6A13">
        <w:rPr>
          <w:rFonts w:eastAsia="Palatino Linotype"/>
          <w:color w:val="auto"/>
        </w:rPr>
        <w:t xml:space="preserve">above the </w:t>
      </w:r>
      <w:r w:rsidR="009B10BF" w:rsidRPr="00DC6A13">
        <w:rPr>
          <w:rFonts w:eastAsia="Palatino Linotype"/>
          <w:color w:val="auto"/>
        </w:rPr>
        <w:t>kidneys</w:t>
      </w:r>
      <w:r w:rsidR="00994DF4" w:rsidRPr="00DC6A13">
        <w:rPr>
          <w:rFonts w:eastAsia="Palatino Linotype"/>
          <w:color w:val="auto"/>
        </w:rPr>
        <w:t>)</w:t>
      </w:r>
      <w:r w:rsidR="009B10BF" w:rsidRPr="00DC6A13">
        <w:rPr>
          <w:rFonts w:eastAsia="Palatino Linotype"/>
          <w:color w:val="auto"/>
        </w:rPr>
        <w:t xml:space="preserve"> requires 3D information </w:t>
      </w:r>
      <w:r w:rsidR="003E6AA1" w:rsidRPr="00DC6A13">
        <w:rPr>
          <w:rFonts w:eastAsia="Palatino Linotype"/>
          <w:color w:val="auto"/>
        </w:rPr>
        <w:t>capable of discriminating</w:t>
      </w:r>
      <w:r w:rsidR="009B10BF" w:rsidRPr="00DC6A13">
        <w:rPr>
          <w:rFonts w:eastAsia="Palatino Linotype"/>
          <w:color w:val="auto"/>
        </w:rPr>
        <w:t xml:space="preserve"> </w:t>
      </w:r>
      <w:r w:rsidR="003E6AA1" w:rsidRPr="00DC6A13">
        <w:rPr>
          <w:rFonts w:eastAsia="Palatino Linotype"/>
          <w:color w:val="auto"/>
        </w:rPr>
        <w:t>between</w:t>
      </w:r>
      <w:r w:rsidR="009B10BF" w:rsidRPr="00DC6A13">
        <w:rPr>
          <w:rFonts w:eastAsia="Palatino Linotype"/>
          <w:color w:val="auto"/>
        </w:rPr>
        <w:t xml:space="preserve"> different local uptake</w:t>
      </w:r>
      <w:r w:rsidR="003E6AA1" w:rsidRPr="00DC6A13">
        <w:rPr>
          <w:rFonts w:eastAsia="Palatino Linotype"/>
          <w:color w:val="auto"/>
        </w:rPr>
        <w:t>s</w:t>
      </w:r>
      <w:r w:rsidR="009B10BF" w:rsidRPr="00DC6A13">
        <w:rPr>
          <w:rFonts w:eastAsia="Palatino Linotype"/>
          <w:color w:val="auto"/>
        </w:rPr>
        <w:t xml:space="preserve"> that are blended on 2D projections. </w:t>
      </w:r>
      <w:r w:rsidR="00523EEB" w:rsidRPr="00DC6A13">
        <w:rPr>
          <w:rFonts w:eastAsia="Palatino Linotype"/>
          <w:color w:val="auto"/>
        </w:rPr>
        <w:t xml:space="preserve">We implemented a hybrid method </w:t>
      </w:r>
      <w:r w:rsidR="003E6AA1" w:rsidRPr="00DC6A13">
        <w:rPr>
          <w:rFonts w:eastAsia="Palatino Linotype"/>
          <w:color w:val="auto"/>
        </w:rPr>
        <w:t>capable of providing a</w:t>
      </w:r>
      <w:r w:rsidR="00523EEB" w:rsidRPr="00DC6A13">
        <w:rPr>
          <w:rFonts w:eastAsia="Palatino Linotype"/>
          <w:color w:val="auto"/>
        </w:rPr>
        <w:t xml:space="preserve"> dosimetric evaluation </w:t>
      </w:r>
      <w:r w:rsidR="003E6AA1" w:rsidRPr="00DC6A13">
        <w:rPr>
          <w:rFonts w:eastAsia="Palatino Linotype"/>
          <w:color w:val="auto"/>
        </w:rPr>
        <w:t xml:space="preserve">of the entire </w:t>
      </w:r>
      <w:r w:rsidR="00523EEB" w:rsidRPr="00DC6A13">
        <w:rPr>
          <w:rFonts w:eastAsia="Palatino Linotype"/>
          <w:color w:val="auto"/>
        </w:rPr>
        <w:t>body thanks to 2D planar images</w:t>
      </w:r>
      <w:r w:rsidR="00D042A0" w:rsidRPr="00DC6A13">
        <w:rPr>
          <w:rStyle w:val="FootnoteReference"/>
          <w:rFonts w:eastAsia="Palatino Linotype"/>
          <w:color w:val="auto"/>
        </w:rPr>
        <w:fldChar w:fldCharType="begin" w:fldLock="1"/>
      </w:r>
      <w:r w:rsidR="00DD6478" w:rsidRPr="00DC6A13">
        <w:rPr>
          <w:rFonts w:eastAsia="Palatino Linotype"/>
          <w:color w:val="auto"/>
        </w:rPr>
        <w:instrText>ADDIN CSL_CITATION {"citationItems":[{"id":"ITEM-1","itemData":{"DOI":"10.3390/molecules24030621","ISSN":"14203049","abstract":"Radio-ligand therapy (RLT) with177Lu-PSMA-617 is a promising option for patients with metastatic castration-resistant prostate-cancer (mCRPC). A prospective phase-II study (EUDRACT/RSO,2016-002732-32) on mCRPC is ongoing at IRST (Meldola, Italy). A total of 9 patients (median age: 68 y, range: 53–85) were enrolled for dosimetry evaluation of parotid glands (PGs), kidneys, red marrow (RM) and whole body (WB). Folic polyglutamate tablets were orally administered as PGs protectors and 500 mL of a 10% mannitol solution was intravenously infused to reduce kidney uptake. The whole body planar image (WBI) and blood samples were acquired at different times post infusion (1 h, 16–24 h, 36–48 h and 120 h). Dose calculation was performed with MIRD formalism (OLINDA/EXM software). The median effective half-life was 33.0 h (range: 25.6–60.7) for PGs, 31.4 h (12.2–80.6) for kidneys, 8.2 h (2.5–14.7) for RM and 40.1 h (31.6–79.7) for WB. The median doses were 0.48 mGy/MBq (range: 0.33–2.63) for PGs, 0.70 mGy/MBq (0.26–1.07) for kidneys, 0.044 mGy/MBq (0.023–0.067) for RM and 0.04 mGy/MBq (0.02–0.11) for WB. A comparison with previously published dosimetric data was performed and a significant difference was found for PGs while no significant difference was observed for the kidneys. For PGs, the possibility of reducing uptake by administering glutamate tablets during RLT seems feasible while further research is warranted for a more focused evaluation of the reduction in kidney uptake.","author":[{"dropping-particle":"","family":"Sarnelli","given":"Anna","non-dropping-particle":"","parse-names":false,"suffix":""},{"dropping-particle":"","family":"Belli","given":"Maria Luisa","non-dropping-particle":"","parse-names":false,"suffix":""},{"dropping-particle":"","family":"Iorio","given":"Valentina","non-dropping-particle":"Di","parse-names":false,"suffix":""},{"dropping-particle":"","family":"Mezzenga","given":"Emilio","non-dropping-particle":"","parse-names":false,"suffix":""},{"dropping-particle":"","family":"Celli","given":"Monica","non-dropping-particle":"","parse-names":false,"suffix":""},{"dropping-particle":"","family":"Severi","given":"Stefano","non-dropping-particle":"","parse-names":false,"suffix":""},{"dropping-particle":"","family":"Tardelli","given":"Elisa","non-dropping-particle":"","parse-names":false,"suffix":""},{"dropping-particle":"","family":"Nicolini","given":"Silvia","non-dropping-particle":"","parse-names":false,"suffix":""},{"dropping-particle":"","family":"Oboldi","given":"Devil","non-dropping-particle":"","parse-names":false,"suffix":""},{"dropping-particle":"","family":"Uccelli","given":"Licia","non-dropping-particle":"","parse-names":false,"suffix":""},{"dropping-particle":"","family":"Cittanti","given":"Corrado","non-dropping-particle":"","parse-names":false,"suffix":""},{"dropping-particle":"","family":"Monti","given":"Manuela","non-dropping-particle":"","parse-names":false,"suffix":""},{"dropping-particle":"","family":"Ferrari","given":"Mahila","non-dropping-particle":"","parse-names":false,"suffix":""},{"dropping-particle":"","family":"Paganelli","given":"Giovanni","non-dropping-particle":"","parse-names":false,"suffix":""}],"container-title":"Molecules","id":"ITEM-1","issue":"3","issued":{"date-parts":[["2019"]]},"title":"Dosimetry of 177 Lu-PSMA-617 after mannitol infusion and glutamate tablet administration: Preliminary results of EUDRACT/RSO 2016-002732-32 IRST protocol","type":"article-journal","volume":"24"},"uris":["http://www.mendeley.com/documents/?uuid=276af37d-fde4-42e6-b27f-b7fd655b5092"]}],"mendeley":{"formattedCitation":"&lt;sup&gt;2&lt;/sup&gt;","plainTextFormattedCitation":"2","previouslyFormattedCitation":"&lt;sup&gt;2&lt;/sup&gt;"},"properties":{"noteIndex":0},"schema":"https://github.com/citation-style-language/schema/raw/master/csl-citation.json"}</w:instrText>
      </w:r>
      <w:r w:rsidR="00D042A0" w:rsidRPr="00DC6A13">
        <w:rPr>
          <w:rStyle w:val="FootnoteReference"/>
          <w:rFonts w:eastAsia="Palatino Linotype"/>
          <w:color w:val="auto"/>
        </w:rPr>
        <w:fldChar w:fldCharType="separate"/>
      </w:r>
      <w:r w:rsidR="00975AF0" w:rsidRPr="00DC6A13">
        <w:rPr>
          <w:rFonts w:eastAsia="Palatino Linotype"/>
          <w:noProof/>
          <w:color w:val="auto"/>
          <w:vertAlign w:val="superscript"/>
        </w:rPr>
        <w:t>2</w:t>
      </w:r>
      <w:r w:rsidR="00D042A0" w:rsidRPr="00DC6A13">
        <w:rPr>
          <w:rStyle w:val="FootnoteReference"/>
          <w:rFonts w:eastAsia="Palatino Linotype"/>
          <w:color w:val="auto"/>
        </w:rPr>
        <w:fldChar w:fldCharType="end"/>
      </w:r>
      <w:r w:rsidR="00523EEB" w:rsidRPr="00DC6A13">
        <w:rPr>
          <w:rFonts w:eastAsia="Palatino Linotype"/>
          <w:color w:val="auto"/>
        </w:rPr>
        <w:t xml:space="preserve">, </w:t>
      </w:r>
      <w:r w:rsidR="003E6AA1" w:rsidRPr="00DC6A13">
        <w:rPr>
          <w:rFonts w:eastAsia="Palatino Linotype"/>
          <w:color w:val="auto"/>
        </w:rPr>
        <w:t>maintaining</w:t>
      </w:r>
      <w:r w:rsidR="00523EEB" w:rsidRPr="00DC6A13">
        <w:rPr>
          <w:rFonts w:eastAsia="Palatino Linotype"/>
          <w:color w:val="auto"/>
        </w:rPr>
        <w:t xml:space="preserve"> 3D information on a selected region (</w:t>
      </w:r>
      <w:r w:rsidR="00F03BA6" w:rsidRPr="00B2582B">
        <w:rPr>
          <w:rFonts w:eastAsia="Palatino Linotype"/>
          <w:iCs/>
          <w:color w:val="auto"/>
        </w:rPr>
        <w:t xml:space="preserve">e.g., </w:t>
      </w:r>
      <w:r w:rsidR="00523EEB" w:rsidRPr="00DC6A13">
        <w:rPr>
          <w:rFonts w:eastAsia="Palatino Linotype"/>
          <w:color w:val="auto"/>
        </w:rPr>
        <w:t xml:space="preserve">abdominal region). </w:t>
      </w:r>
      <w:r w:rsidR="00AF11B4" w:rsidRPr="00DC6A13">
        <w:rPr>
          <w:rFonts w:eastAsia="Palatino Linotype"/>
          <w:color w:val="auto"/>
        </w:rPr>
        <w:t xml:space="preserve">This </w:t>
      </w:r>
      <w:r w:rsidR="002E47B6" w:rsidRPr="00DC6A13">
        <w:rPr>
          <w:rFonts w:eastAsia="Palatino Linotype"/>
          <w:color w:val="auto"/>
        </w:rPr>
        <w:t>method combines</w:t>
      </w:r>
      <w:r w:rsidR="009B10BF" w:rsidRPr="00DC6A13">
        <w:rPr>
          <w:rFonts w:eastAsia="Palatino Linotype"/>
          <w:color w:val="auto"/>
        </w:rPr>
        <w:t xml:space="preserve"> the activity distribution </w:t>
      </w:r>
      <w:r w:rsidR="00354C2A" w:rsidRPr="00DC6A13">
        <w:rPr>
          <w:rFonts w:eastAsia="Palatino Linotype"/>
          <w:color w:val="auto"/>
        </w:rPr>
        <w:t>provided by</w:t>
      </w:r>
      <w:r w:rsidR="009B10BF" w:rsidRPr="00DC6A13">
        <w:rPr>
          <w:rFonts w:eastAsia="Palatino Linotype"/>
          <w:color w:val="auto"/>
        </w:rPr>
        <w:t xml:space="preserve"> 3D SPECT/CT image</w:t>
      </w:r>
      <w:r w:rsidR="003E6AA1" w:rsidRPr="00DC6A13">
        <w:rPr>
          <w:rFonts w:eastAsia="Palatino Linotype"/>
          <w:color w:val="auto"/>
        </w:rPr>
        <w:t>s</w:t>
      </w:r>
      <w:r w:rsidR="009B10BF" w:rsidRPr="00DC6A13">
        <w:rPr>
          <w:rFonts w:eastAsia="Palatino Linotype"/>
          <w:color w:val="auto"/>
        </w:rPr>
        <w:t xml:space="preserve"> with the effective </w:t>
      </w:r>
      <w:r w:rsidR="00F03BA6" w:rsidRPr="00DC6A13">
        <w:rPr>
          <w:rFonts w:eastAsia="Palatino Linotype"/>
          <w:color w:val="auto"/>
        </w:rPr>
        <w:t>half-life</w:t>
      </w:r>
      <w:r w:rsidR="009B10BF" w:rsidRPr="00DC6A13">
        <w:rPr>
          <w:rFonts w:eastAsia="Palatino Linotype"/>
          <w:color w:val="auto"/>
        </w:rPr>
        <w:t xml:space="preserve"> calculated from planar images.</w:t>
      </w:r>
      <w:r w:rsidR="003D0BD3" w:rsidRPr="00DC6A13">
        <w:rPr>
          <w:rFonts w:eastAsia="Palatino Linotype"/>
          <w:color w:val="auto"/>
        </w:rPr>
        <w:t xml:space="preserve"> </w:t>
      </w:r>
      <w:r w:rsidR="003E6AA1" w:rsidRPr="00DC6A13">
        <w:rPr>
          <w:rFonts w:eastAsia="Palatino Linotype"/>
          <w:color w:val="auto"/>
        </w:rPr>
        <w:t>I</w:t>
      </w:r>
      <w:r w:rsidR="003D0BD3" w:rsidRPr="00DC6A13">
        <w:rPr>
          <w:rFonts w:eastAsia="Palatino Linotype"/>
          <w:color w:val="auto"/>
        </w:rPr>
        <w:t xml:space="preserve">nformation </w:t>
      </w:r>
      <w:r w:rsidR="003E6AA1" w:rsidRPr="00DC6A13">
        <w:rPr>
          <w:rFonts w:eastAsia="Palatino Linotype"/>
          <w:color w:val="auto"/>
        </w:rPr>
        <w:t>obtained from</w:t>
      </w:r>
      <w:r w:rsidR="003D0BD3" w:rsidRPr="00DC6A13">
        <w:rPr>
          <w:rFonts w:eastAsia="Palatino Linotype"/>
          <w:color w:val="auto"/>
        </w:rPr>
        <w:t xml:space="preserve"> other </w:t>
      </w:r>
      <w:r w:rsidR="00F03BA6" w:rsidRPr="00DC6A13">
        <w:rPr>
          <w:rFonts w:eastAsia="Palatino Linotype"/>
          <w:color w:val="auto"/>
        </w:rPr>
        <w:t>non-overlapping</w:t>
      </w:r>
      <w:r w:rsidR="003D0BD3" w:rsidRPr="00DC6A13">
        <w:rPr>
          <w:rFonts w:eastAsia="Palatino Linotype"/>
          <w:color w:val="auto"/>
        </w:rPr>
        <w:t xml:space="preserve"> structures (</w:t>
      </w:r>
      <w:r w:rsidR="00F03BA6" w:rsidRPr="00B2582B">
        <w:rPr>
          <w:rFonts w:eastAsia="Palatino Linotype"/>
          <w:iCs/>
          <w:color w:val="auto"/>
        </w:rPr>
        <w:t xml:space="preserve">e.g., </w:t>
      </w:r>
      <w:r w:rsidR="003D0BD3" w:rsidRPr="00DC6A13">
        <w:rPr>
          <w:rFonts w:eastAsia="Palatino Linotype"/>
          <w:color w:val="auto"/>
        </w:rPr>
        <w:t xml:space="preserve">salivary glands) </w:t>
      </w:r>
      <w:r w:rsidR="00E74F9F" w:rsidRPr="00DC6A13">
        <w:rPr>
          <w:rFonts w:eastAsia="Palatino Linotype"/>
          <w:color w:val="auto"/>
        </w:rPr>
        <w:t xml:space="preserve">are derived from </w:t>
      </w:r>
      <w:r w:rsidR="003D0BD3" w:rsidRPr="00DC6A13">
        <w:rPr>
          <w:rFonts w:eastAsia="Palatino Linotype"/>
          <w:color w:val="auto"/>
        </w:rPr>
        <w:t>planar image study</w:t>
      </w:r>
      <w:r w:rsidR="00AF11B4" w:rsidRPr="00DC6A13">
        <w:rPr>
          <w:rFonts w:eastAsia="Palatino Linotype"/>
          <w:color w:val="auto"/>
        </w:rPr>
        <w:t xml:space="preserve"> only</w:t>
      </w:r>
      <w:r w:rsidR="003D0BD3" w:rsidRPr="00DC6A13">
        <w:rPr>
          <w:rFonts w:eastAsia="Palatino Linotype"/>
          <w:color w:val="auto"/>
        </w:rPr>
        <w:t xml:space="preserve">. </w:t>
      </w:r>
      <w:r w:rsidR="00962228" w:rsidRPr="00DC6A13">
        <w:rPr>
          <w:rFonts w:eastAsia="Palatino Linotype"/>
          <w:color w:val="auto"/>
        </w:rPr>
        <w:t>T</w:t>
      </w:r>
      <w:r w:rsidR="003E6AA1" w:rsidRPr="00DC6A13">
        <w:rPr>
          <w:rFonts w:eastAsia="Palatino Linotype"/>
          <w:color w:val="auto"/>
        </w:rPr>
        <w:t xml:space="preserve">he </w:t>
      </w:r>
      <w:r w:rsidR="003D0BD3" w:rsidRPr="00DC6A13">
        <w:rPr>
          <w:rFonts w:eastAsia="Palatino Linotype"/>
          <w:color w:val="auto"/>
        </w:rPr>
        <w:t>blood sample method used</w:t>
      </w:r>
      <w:r w:rsidR="00962228" w:rsidRPr="00DC6A13">
        <w:rPr>
          <w:rFonts w:eastAsia="Palatino Linotype"/>
          <w:color w:val="auto"/>
        </w:rPr>
        <w:t xml:space="preserve"> for </w:t>
      </w:r>
      <w:r w:rsidR="00591C54" w:rsidRPr="00DC6A13">
        <w:rPr>
          <w:rFonts w:eastAsia="Palatino Linotype"/>
          <w:color w:val="auto"/>
        </w:rPr>
        <w:t xml:space="preserve">red marrow </w:t>
      </w:r>
      <w:r w:rsidR="00962228" w:rsidRPr="00DC6A13">
        <w:rPr>
          <w:rFonts w:eastAsia="Palatino Linotype"/>
          <w:color w:val="auto"/>
        </w:rPr>
        <w:t>evaluation is described in another section</w:t>
      </w:r>
      <w:r w:rsidR="003D0BD3" w:rsidRPr="00DC6A13">
        <w:rPr>
          <w:rFonts w:eastAsia="Palatino Linotype"/>
          <w:color w:val="auto"/>
        </w:rPr>
        <w:t>.</w:t>
      </w:r>
    </w:p>
    <w:p w14:paraId="7F5630FC" w14:textId="77777777" w:rsidR="003E6AA1" w:rsidRPr="00DC6A13" w:rsidRDefault="003E6AA1">
      <w:pPr>
        <w:pStyle w:val="ListParagraph"/>
        <w:tabs>
          <w:tab w:val="left" w:pos="0"/>
        </w:tabs>
        <w:ind w:left="0"/>
        <w:rPr>
          <w:rFonts w:eastAsia="Palatino Linotype"/>
          <w:color w:val="auto"/>
        </w:rPr>
      </w:pPr>
    </w:p>
    <w:p w14:paraId="28A238B2" w14:textId="73B0B15F" w:rsidR="00447BD8" w:rsidRPr="00DC6A13" w:rsidRDefault="00F8682A">
      <w:pPr>
        <w:pStyle w:val="ListParagraph"/>
        <w:tabs>
          <w:tab w:val="left" w:pos="0"/>
        </w:tabs>
        <w:ind w:left="0"/>
        <w:rPr>
          <w:rFonts w:eastAsia="Palatino Linotype"/>
          <w:color w:val="auto"/>
        </w:rPr>
      </w:pPr>
      <w:r w:rsidRPr="00DC6A13">
        <w:rPr>
          <w:rFonts w:eastAsia="Palatino Linotype"/>
          <w:color w:val="auto"/>
        </w:rPr>
        <w:t xml:space="preserve">The advantage of </w:t>
      </w:r>
      <w:r w:rsidR="00FF0CA2" w:rsidRPr="00DC6A13">
        <w:rPr>
          <w:rFonts w:eastAsia="Palatino Linotype"/>
          <w:color w:val="auto"/>
        </w:rPr>
        <w:t>the hybrid approach</w:t>
      </w:r>
      <w:r w:rsidRPr="00DC6A13">
        <w:rPr>
          <w:rFonts w:eastAsia="Palatino Linotype"/>
          <w:color w:val="auto"/>
        </w:rPr>
        <w:t xml:space="preserve"> is </w:t>
      </w:r>
      <w:r w:rsidR="00720DFC" w:rsidRPr="00DC6A13">
        <w:rPr>
          <w:rFonts w:eastAsia="Palatino Linotype"/>
          <w:color w:val="auto"/>
        </w:rPr>
        <w:t xml:space="preserve">that </w:t>
      </w:r>
      <w:r w:rsidRPr="00DC6A13">
        <w:rPr>
          <w:rFonts w:eastAsia="Palatino Linotype"/>
          <w:color w:val="auto"/>
        </w:rPr>
        <w:t>the entire body</w:t>
      </w:r>
      <w:r w:rsidR="00720DFC" w:rsidRPr="00DC6A13">
        <w:rPr>
          <w:rFonts w:eastAsia="Palatino Linotype"/>
          <w:color w:val="auto"/>
        </w:rPr>
        <w:t xml:space="preserve"> can be scanned</w:t>
      </w:r>
      <w:r w:rsidRPr="00DC6A13">
        <w:rPr>
          <w:rFonts w:eastAsia="Palatino Linotype"/>
          <w:color w:val="auto"/>
        </w:rPr>
        <w:t>, wh</w:t>
      </w:r>
      <w:r w:rsidR="00720DFC" w:rsidRPr="00DC6A13">
        <w:rPr>
          <w:rFonts w:eastAsia="Palatino Linotype"/>
          <w:color w:val="auto"/>
        </w:rPr>
        <w:t xml:space="preserve">ereas </w:t>
      </w:r>
      <w:r w:rsidR="009B10BF" w:rsidRPr="00DC6A13">
        <w:rPr>
          <w:rFonts w:eastAsia="Palatino Linotype"/>
          <w:color w:val="auto"/>
        </w:rPr>
        <w:t>a full</w:t>
      </w:r>
      <w:r w:rsidRPr="00DC6A13">
        <w:rPr>
          <w:rFonts w:eastAsia="Palatino Linotype"/>
          <w:color w:val="auto"/>
        </w:rPr>
        <w:t xml:space="preserve"> 3D SPECT/CT </w:t>
      </w:r>
      <w:r w:rsidR="009B10BF" w:rsidRPr="00DC6A13">
        <w:rPr>
          <w:rFonts w:eastAsia="Palatino Linotype"/>
          <w:color w:val="auto"/>
        </w:rPr>
        <w:t>method</w:t>
      </w:r>
      <w:r w:rsidRPr="00DC6A13">
        <w:rPr>
          <w:rFonts w:eastAsia="Palatino Linotype"/>
          <w:color w:val="auto"/>
        </w:rPr>
        <w:t xml:space="preserve"> </w:t>
      </w:r>
      <w:r w:rsidR="00720DFC" w:rsidRPr="00DC6A13">
        <w:rPr>
          <w:rFonts w:eastAsia="Palatino Linotype"/>
          <w:color w:val="auto"/>
        </w:rPr>
        <w:t xml:space="preserve">limits </w:t>
      </w:r>
      <w:r w:rsidRPr="00DC6A13">
        <w:rPr>
          <w:rFonts w:eastAsia="Palatino Linotype"/>
          <w:color w:val="auto"/>
        </w:rPr>
        <w:t>cranio-caudal image extension</w:t>
      </w:r>
      <w:r w:rsidR="00591C54">
        <w:rPr>
          <w:rFonts w:eastAsia="Palatino Linotype"/>
          <w:color w:val="auto"/>
        </w:rPr>
        <w:t>,</w:t>
      </w:r>
      <w:r w:rsidRPr="00DC6A13">
        <w:rPr>
          <w:rFonts w:eastAsia="Palatino Linotype"/>
          <w:color w:val="auto"/>
        </w:rPr>
        <w:t xml:space="preserve"> </w:t>
      </w:r>
      <w:r w:rsidR="00720DFC" w:rsidRPr="00DC6A13">
        <w:rPr>
          <w:rFonts w:eastAsia="Palatino Linotype"/>
          <w:color w:val="auto"/>
        </w:rPr>
        <w:t>which</w:t>
      </w:r>
      <w:r w:rsidRPr="00DC6A13">
        <w:rPr>
          <w:rFonts w:eastAsia="Palatino Linotype"/>
          <w:color w:val="auto"/>
        </w:rPr>
        <w:t xml:space="preserve"> may </w:t>
      </w:r>
      <w:r w:rsidR="00962228" w:rsidRPr="00DC6A13">
        <w:rPr>
          <w:rFonts w:eastAsia="Palatino Linotype"/>
          <w:color w:val="auto"/>
        </w:rPr>
        <w:t xml:space="preserve">make it </w:t>
      </w:r>
      <w:r w:rsidR="0021671D" w:rsidRPr="00DC6A13">
        <w:rPr>
          <w:rFonts w:eastAsia="Palatino Linotype"/>
          <w:color w:val="auto"/>
        </w:rPr>
        <w:t>impossible</w:t>
      </w:r>
      <w:r w:rsidR="00962228" w:rsidRPr="00DC6A13">
        <w:rPr>
          <w:rFonts w:eastAsia="Palatino Linotype"/>
          <w:color w:val="auto"/>
        </w:rPr>
        <w:t xml:space="preserve"> </w:t>
      </w:r>
      <w:r w:rsidRPr="00DC6A13">
        <w:rPr>
          <w:rFonts w:eastAsia="Palatino Linotype"/>
          <w:color w:val="auto"/>
        </w:rPr>
        <w:t xml:space="preserve">to study structures </w:t>
      </w:r>
      <w:r w:rsidR="00962228" w:rsidRPr="00DC6A13">
        <w:rPr>
          <w:rFonts w:eastAsia="Palatino Linotype"/>
          <w:color w:val="auto"/>
        </w:rPr>
        <w:t xml:space="preserve">that are </w:t>
      </w:r>
      <w:r w:rsidRPr="00DC6A13">
        <w:rPr>
          <w:rFonts w:eastAsia="Palatino Linotype"/>
          <w:color w:val="auto"/>
        </w:rPr>
        <w:t xml:space="preserve">distant from each other. </w:t>
      </w:r>
      <w:r w:rsidR="00447BD8" w:rsidRPr="00DC6A13">
        <w:rPr>
          <w:rFonts w:eastAsia="Palatino Linotype"/>
          <w:color w:val="auto"/>
        </w:rPr>
        <w:t xml:space="preserve">However, the low image resolution of planar imaging and the need to implement an overlap correction using a single 3D SPECT/CT acquisition represent the </w:t>
      </w:r>
      <w:r w:rsidRPr="00DC6A13">
        <w:rPr>
          <w:rFonts w:eastAsia="Palatino Linotype"/>
          <w:color w:val="auto"/>
        </w:rPr>
        <w:t>main drawbacks</w:t>
      </w:r>
      <w:r w:rsidR="00447BD8" w:rsidRPr="00DC6A13">
        <w:rPr>
          <w:rFonts w:eastAsia="Palatino Linotype"/>
          <w:color w:val="auto"/>
        </w:rPr>
        <w:t xml:space="preserve">. </w:t>
      </w:r>
    </w:p>
    <w:p w14:paraId="7265D5F5" w14:textId="77777777" w:rsidR="003E6AA1" w:rsidRPr="00DC6A13" w:rsidRDefault="003E6AA1">
      <w:pPr>
        <w:pStyle w:val="ListParagraph"/>
        <w:tabs>
          <w:tab w:val="left" w:pos="0"/>
        </w:tabs>
        <w:ind w:left="0"/>
        <w:rPr>
          <w:rFonts w:eastAsia="Palatino Linotype"/>
          <w:color w:val="auto"/>
        </w:rPr>
      </w:pPr>
    </w:p>
    <w:p w14:paraId="47CE1B47" w14:textId="0013B3CA" w:rsidR="000F427A" w:rsidRPr="00DC6A13" w:rsidRDefault="002C07D9">
      <w:pPr>
        <w:pStyle w:val="ListParagraph"/>
        <w:tabs>
          <w:tab w:val="left" w:pos="0"/>
        </w:tabs>
        <w:ind w:left="0"/>
        <w:rPr>
          <w:rFonts w:eastAsia="Palatino Linotype"/>
          <w:color w:val="auto"/>
        </w:rPr>
      </w:pPr>
      <w:r w:rsidRPr="00DC6A13">
        <w:rPr>
          <w:rFonts w:eastAsia="Palatino Linotype"/>
          <w:color w:val="auto"/>
        </w:rPr>
        <w:t xml:space="preserve">In order to test the safety and efficacy of PRRT therapies, it is important to compare single </w:t>
      </w:r>
      <w:r w:rsidR="009C426C" w:rsidRPr="00DC6A13">
        <w:rPr>
          <w:rFonts w:eastAsia="Palatino Linotype"/>
          <w:color w:val="auto"/>
        </w:rPr>
        <w:t>i</w:t>
      </w:r>
      <w:r w:rsidRPr="00DC6A13">
        <w:rPr>
          <w:rFonts w:eastAsia="Palatino Linotype"/>
          <w:color w:val="auto"/>
        </w:rPr>
        <w:t xml:space="preserve">nstitution data with </w:t>
      </w:r>
      <w:r w:rsidR="00447BD8" w:rsidRPr="00DC6A13">
        <w:rPr>
          <w:rFonts w:eastAsia="Palatino Linotype"/>
          <w:color w:val="auto"/>
        </w:rPr>
        <w:t xml:space="preserve">data </w:t>
      </w:r>
      <w:r w:rsidRPr="00DC6A13">
        <w:rPr>
          <w:rFonts w:eastAsia="Palatino Linotype"/>
          <w:color w:val="auto"/>
        </w:rPr>
        <w:t>previously published by other group</w:t>
      </w:r>
      <w:r w:rsidR="009C426C" w:rsidRPr="00DC6A13">
        <w:rPr>
          <w:rFonts w:eastAsia="Palatino Linotype"/>
          <w:color w:val="auto"/>
        </w:rPr>
        <w:t>s</w:t>
      </w:r>
      <w:r w:rsidRPr="00DC6A13">
        <w:rPr>
          <w:rFonts w:eastAsia="Palatino Linotype"/>
          <w:color w:val="auto"/>
        </w:rPr>
        <w:t>.</w:t>
      </w:r>
      <w:r w:rsidR="00657E3C" w:rsidRPr="00DC6A13">
        <w:rPr>
          <w:rFonts w:eastAsia="Palatino Linotype"/>
          <w:color w:val="auto"/>
        </w:rPr>
        <w:t xml:space="preserve"> </w:t>
      </w:r>
      <w:r w:rsidR="009C426C" w:rsidRPr="00DC6A13">
        <w:rPr>
          <w:rFonts w:eastAsia="Palatino Linotype"/>
          <w:color w:val="auto"/>
        </w:rPr>
        <w:t>The majority</w:t>
      </w:r>
      <w:r w:rsidR="00657E3C" w:rsidRPr="00DC6A13">
        <w:rPr>
          <w:rFonts w:eastAsia="Palatino Linotype"/>
          <w:color w:val="auto"/>
        </w:rPr>
        <w:t xml:space="preserve"> of published data with </w:t>
      </w:r>
      <w:r w:rsidR="00657E3C" w:rsidRPr="00DC6A13">
        <w:rPr>
          <w:rFonts w:eastAsia="Palatino Linotype"/>
          <w:color w:val="auto"/>
          <w:vertAlign w:val="superscript"/>
        </w:rPr>
        <w:t>177</w:t>
      </w:r>
      <w:r w:rsidR="00657E3C" w:rsidRPr="00DC6A13">
        <w:rPr>
          <w:rFonts w:eastAsia="Palatino Linotype"/>
          <w:color w:val="auto"/>
        </w:rPr>
        <w:t>Lu-PSMA-617 are based on planar images. Th</w:t>
      </w:r>
      <w:r w:rsidR="009C426C" w:rsidRPr="00DC6A13">
        <w:rPr>
          <w:rFonts w:eastAsia="Palatino Linotype"/>
          <w:color w:val="auto"/>
        </w:rPr>
        <w:t>us</w:t>
      </w:r>
      <w:r w:rsidR="00447BD8" w:rsidRPr="00DC6A13">
        <w:rPr>
          <w:rFonts w:eastAsia="Palatino Linotype"/>
          <w:color w:val="auto"/>
        </w:rPr>
        <w:t>,</w:t>
      </w:r>
      <w:r w:rsidR="00657E3C" w:rsidRPr="00DC6A13">
        <w:rPr>
          <w:rFonts w:eastAsia="Palatino Linotype"/>
          <w:color w:val="auto"/>
        </w:rPr>
        <w:t xml:space="preserve"> the </w:t>
      </w:r>
      <w:r w:rsidR="00CE13C1" w:rsidRPr="00DC6A13">
        <w:rPr>
          <w:rFonts w:eastAsia="Palatino Linotype"/>
          <w:color w:val="auto"/>
        </w:rPr>
        <w:t xml:space="preserve">described </w:t>
      </w:r>
      <w:r w:rsidR="009C426C" w:rsidRPr="00DC6A13">
        <w:rPr>
          <w:rFonts w:eastAsia="Palatino Linotype"/>
          <w:color w:val="auto"/>
        </w:rPr>
        <w:t>method could</w:t>
      </w:r>
      <w:r w:rsidR="00657E3C" w:rsidRPr="00DC6A13">
        <w:rPr>
          <w:rFonts w:eastAsia="Palatino Linotype"/>
          <w:color w:val="auto"/>
        </w:rPr>
        <w:t xml:space="preserve"> </w:t>
      </w:r>
      <w:r w:rsidR="003C774B" w:rsidRPr="00DC6A13">
        <w:rPr>
          <w:rFonts w:eastAsia="Palatino Linotype"/>
          <w:color w:val="auto"/>
        </w:rPr>
        <w:t xml:space="preserve">also </w:t>
      </w:r>
      <w:r w:rsidR="009C426C" w:rsidRPr="00DC6A13">
        <w:rPr>
          <w:rFonts w:eastAsia="Palatino Linotype"/>
          <w:color w:val="auto"/>
        </w:rPr>
        <w:t xml:space="preserve">be </w:t>
      </w:r>
      <w:r w:rsidR="00657E3C" w:rsidRPr="00DC6A13">
        <w:rPr>
          <w:rFonts w:eastAsia="Palatino Linotype"/>
          <w:color w:val="auto"/>
        </w:rPr>
        <w:t>useful</w:t>
      </w:r>
      <w:r w:rsidR="009C426C" w:rsidRPr="00DC6A13">
        <w:rPr>
          <w:rFonts w:eastAsia="Palatino Linotype"/>
          <w:color w:val="auto"/>
        </w:rPr>
        <w:t xml:space="preserve"> for the </w:t>
      </w:r>
      <w:r w:rsidR="00657E3C" w:rsidRPr="00DC6A13">
        <w:rPr>
          <w:rFonts w:eastAsia="Palatino Linotype"/>
          <w:color w:val="auto"/>
        </w:rPr>
        <w:t>standardization of the methodologies used.</w:t>
      </w:r>
      <w:r w:rsidR="00A52136">
        <w:rPr>
          <w:rFonts w:eastAsia="Palatino Linotype"/>
          <w:color w:val="auto"/>
        </w:rPr>
        <w:t xml:space="preserve"> </w:t>
      </w:r>
      <w:r w:rsidR="000F427A" w:rsidRPr="00DC6A13">
        <w:rPr>
          <w:rFonts w:eastAsia="Palatino Linotype"/>
          <w:color w:val="auto"/>
        </w:rPr>
        <w:t>Finally, it is worth</w:t>
      </w:r>
      <w:r w:rsidR="009C426C" w:rsidRPr="00DC6A13">
        <w:rPr>
          <w:rFonts w:eastAsia="Palatino Linotype"/>
          <w:color w:val="auto"/>
        </w:rPr>
        <w:t xml:space="preserve">y of </w:t>
      </w:r>
      <w:r w:rsidR="002E47B6" w:rsidRPr="00DC6A13">
        <w:rPr>
          <w:rFonts w:eastAsia="Palatino Linotype"/>
          <w:color w:val="auto"/>
        </w:rPr>
        <w:t>note that</w:t>
      </w:r>
      <w:r w:rsidR="000F427A" w:rsidRPr="00DC6A13">
        <w:rPr>
          <w:rFonts w:eastAsia="Palatino Linotype"/>
          <w:color w:val="auto"/>
        </w:rPr>
        <w:t xml:space="preserve"> the implementation of the methodology requires a high degree of collaboration between different professional</w:t>
      </w:r>
      <w:r w:rsidR="009C426C" w:rsidRPr="00DC6A13">
        <w:rPr>
          <w:rFonts w:eastAsia="Palatino Linotype"/>
          <w:color w:val="auto"/>
        </w:rPr>
        <w:t xml:space="preserve"> figures</w:t>
      </w:r>
      <w:r w:rsidR="000F427A" w:rsidRPr="00DC6A13">
        <w:rPr>
          <w:rFonts w:eastAsia="Palatino Linotype"/>
          <w:color w:val="auto"/>
        </w:rPr>
        <w:t xml:space="preserve"> involved (</w:t>
      </w:r>
      <w:r w:rsidR="00591C54" w:rsidRPr="00591C54">
        <w:rPr>
          <w:rFonts w:eastAsia="Palatino Linotype"/>
          <w:color w:val="auto"/>
        </w:rPr>
        <w:t xml:space="preserve">i.e., </w:t>
      </w:r>
      <w:r w:rsidR="009C426C" w:rsidRPr="00DC6A13">
        <w:rPr>
          <w:rFonts w:eastAsia="Palatino Linotype"/>
          <w:color w:val="auto"/>
        </w:rPr>
        <w:t>physicians, physicists, medical radiology technicians, nurses</w:t>
      </w:r>
      <w:r w:rsidR="000F427A" w:rsidRPr="00DC6A13">
        <w:rPr>
          <w:rFonts w:eastAsia="Palatino Linotype"/>
          <w:color w:val="auto"/>
        </w:rPr>
        <w:t>).</w:t>
      </w:r>
    </w:p>
    <w:p w14:paraId="48F955A0" w14:textId="77777777" w:rsidR="00447BD8" w:rsidRPr="00DC6A13" w:rsidRDefault="00447BD8">
      <w:pPr>
        <w:pStyle w:val="ListParagraph"/>
        <w:tabs>
          <w:tab w:val="left" w:pos="0"/>
        </w:tabs>
        <w:ind w:left="0"/>
        <w:rPr>
          <w:rFonts w:eastAsia="Palatino Linotype"/>
          <w:color w:val="auto"/>
        </w:rPr>
      </w:pPr>
    </w:p>
    <w:p w14:paraId="3704F4F3" w14:textId="0B4E2147" w:rsidR="006305D7" w:rsidRDefault="00F877EB">
      <w:pPr>
        <w:rPr>
          <w:color w:val="auto"/>
        </w:rPr>
      </w:pPr>
      <w:r w:rsidRPr="00DC6A13">
        <w:rPr>
          <w:b/>
          <w:color w:val="auto"/>
        </w:rPr>
        <w:t>PROTOCOL:</w:t>
      </w:r>
      <w:r w:rsidRPr="00DC6A13">
        <w:rPr>
          <w:color w:val="auto"/>
        </w:rPr>
        <w:t xml:space="preserve"> </w:t>
      </w:r>
    </w:p>
    <w:p w14:paraId="4F5F63EE" w14:textId="77777777" w:rsidR="00591C54" w:rsidRPr="00DC6A13" w:rsidRDefault="00591C54">
      <w:pPr>
        <w:rPr>
          <w:color w:val="auto"/>
        </w:rPr>
      </w:pPr>
    </w:p>
    <w:p w14:paraId="5435E318" w14:textId="7EF9B1F7" w:rsidR="00767D5A" w:rsidRPr="00DC6A13" w:rsidRDefault="007809C2">
      <w:pPr>
        <w:rPr>
          <w:color w:val="auto"/>
        </w:rPr>
      </w:pPr>
      <w:r w:rsidRPr="00DC6A13">
        <w:rPr>
          <w:color w:val="auto"/>
        </w:rPr>
        <w:t xml:space="preserve">The dosimetry procedure </w:t>
      </w:r>
      <w:r w:rsidR="006C7C5B" w:rsidRPr="00DC6A13">
        <w:rPr>
          <w:color w:val="auto"/>
        </w:rPr>
        <w:t>was</w:t>
      </w:r>
      <w:r w:rsidR="0079619E" w:rsidRPr="00DC6A13">
        <w:rPr>
          <w:color w:val="auto"/>
        </w:rPr>
        <w:t xml:space="preserve"> performed </w:t>
      </w:r>
      <w:r w:rsidR="00F23433" w:rsidRPr="00DC6A13">
        <w:rPr>
          <w:color w:val="auto"/>
        </w:rPr>
        <w:t>according</w:t>
      </w:r>
      <w:r w:rsidR="00562F17" w:rsidRPr="00DC6A13">
        <w:rPr>
          <w:color w:val="auto"/>
        </w:rPr>
        <w:t xml:space="preserve"> to </w:t>
      </w:r>
      <w:r w:rsidR="00591C54">
        <w:rPr>
          <w:color w:val="auto"/>
        </w:rPr>
        <w:t>the</w:t>
      </w:r>
      <w:r w:rsidR="00591C54" w:rsidRPr="00DC6A13">
        <w:rPr>
          <w:color w:val="auto"/>
        </w:rPr>
        <w:t xml:space="preserve"> </w:t>
      </w:r>
      <w:r w:rsidR="0079619E" w:rsidRPr="00DC6A13">
        <w:rPr>
          <w:color w:val="auto"/>
        </w:rPr>
        <w:t xml:space="preserve">treatment protocol "Radiometabolic Therapy (RMT) with </w:t>
      </w:r>
      <w:r w:rsidR="0079619E" w:rsidRPr="00DC6A13">
        <w:rPr>
          <w:color w:val="auto"/>
          <w:vertAlign w:val="superscript"/>
        </w:rPr>
        <w:t>177</w:t>
      </w:r>
      <w:r w:rsidR="0079619E" w:rsidRPr="00DC6A13">
        <w:rPr>
          <w:color w:val="auto"/>
        </w:rPr>
        <w:t>Lu</w:t>
      </w:r>
      <w:r w:rsidR="000F1ED9" w:rsidRPr="00DC6A13">
        <w:rPr>
          <w:color w:val="auto"/>
        </w:rPr>
        <w:t>-PSMA-</w:t>
      </w:r>
      <w:r w:rsidR="0079619E" w:rsidRPr="00DC6A13">
        <w:rPr>
          <w:color w:val="auto"/>
        </w:rPr>
        <w:t>617 in advanced castration resistant prostate cancer (CRPC): efficacy and toxicity evaluation" (EUDRACT/RSO number: 2016-002732-32)</w:t>
      </w:r>
      <w:r w:rsidRPr="00DC6A13">
        <w:rPr>
          <w:color w:val="auto"/>
        </w:rPr>
        <w:t xml:space="preserve"> </w:t>
      </w:r>
      <w:r w:rsidRPr="003D144A">
        <w:rPr>
          <w:b/>
          <w:bCs/>
          <w:color w:val="auto"/>
        </w:rPr>
        <w:t>(Figure 1</w:t>
      </w:r>
      <w:r w:rsidRPr="00DC6A13">
        <w:rPr>
          <w:color w:val="auto"/>
        </w:rPr>
        <w:t>)</w:t>
      </w:r>
      <w:r w:rsidR="0079619E" w:rsidRPr="00DC6A13">
        <w:rPr>
          <w:color w:val="auto"/>
        </w:rPr>
        <w:t xml:space="preserve">. </w:t>
      </w:r>
      <w:r w:rsidR="003400AE" w:rsidRPr="00DC6A13">
        <w:rPr>
          <w:color w:val="auto"/>
        </w:rPr>
        <w:t>Selected patients under</w:t>
      </w:r>
      <w:r w:rsidR="006C7C5B" w:rsidRPr="00DC6A13">
        <w:rPr>
          <w:color w:val="auto"/>
        </w:rPr>
        <w:t>went</w:t>
      </w:r>
      <w:r w:rsidR="003400AE" w:rsidRPr="00DC6A13">
        <w:rPr>
          <w:color w:val="auto"/>
        </w:rPr>
        <w:t xml:space="preserve"> dosimetry evaluation </w:t>
      </w:r>
      <w:r w:rsidR="002C319C" w:rsidRPr="00DC6A13">
        <w:rPr>
          <w:color w:val="auto"/>
        </w:rPr>
        <w:t xml:space="preserve">based on </w:t>
      </w:r>
      <w:r w:rsidR="00CC00E7" w:rsidRPr="00DC6A13">
        <w:rPr>
          <w:color w:val="auto"/>
        </w:rPr>
        <w:t>performance status</w:t>
      </w:r>
      <w:r w:rsidR="003400AE" w:rsidRPr="00DC6A13">
        <w:rPr>
          <w:color w:val="auto"/>
        </w:rPr>
        <w:t>. All patients signed informed consen</w:t>
      </w:r>
      <w:r w:rsidR="00F23433" w:rsidRPr="00DC6A13">
        <w:rPr>
          <w:color w:val="auto"/>
        </w:rPr>
        <w:t xml:space="preserve">t. </w:t>
      </w:r>
      <w:r w:rsidR="00767D5A" w:rsidRPr="00DC6A13">
        <w:rPr>
          <w:color w:val="auto"/>
        </w:rPr>
        <w:t xml:space="preserve">Prior </w:t>
      </w:r>
      <w:r w:rsidR="00F23433" w:rsidRPr="00DC6A13">
        <w:rPr>
          <w:color w:val="auto"/>
        </w:rPr>
        <w:t xml:space="preserve">to </w:t>
      </w:r>
      <w:r w:rsidR="00767D5A" w:rsidRPr="00DC6A13">
        <w:rPr>
          <w:color w:val="auto"/>
        </w:rPr>
        <w:t>treatment delivery, each patient under</w:t>
      </w:r>
      <w:r w:rsidR="00F23433" w:rsidRPr="00DC6A13">
        <w:rPr>
          <w:color w:val="auto"/>
        </w:rPr>
        <w:t>went</w:t>
      </w:r>
      <w:r w:rsidR="00767D5A" w:rsidRPr="00DC6A13">
        <w:rPr>
          <w:color w:val="auto"/>
        </w:rPr>
        <w:t xml:space="preserve"> a </w:t>
      </w:r>
      <w:r w:rsidR="00767D5A" w:rsidRPr="00DC6A13">
        <w:rPr>
          <w:color w:val="auto"/>
          <w:vertAlign w:val="superscript"/>
        </w:rPr>
        <w:t>68</w:t>
      </w:r>
      <w:r w:rsidR="00767D5A" w:rsidRPr="00DC6A13">
        <w:rPr>
          <w:color w:val="auto"/>
        </w:rPr>
        <w:t>Ga-PSMA-11 PET/CT whole body scan.</w:t>
      </w:r>
    </w:p>
    <w:p w14:paraId="3256013C" w14:textId="77777777" w:rsidR="00D478C5" w:rsidRPr="00DC6A13" w:rsidRDefault="00D478C5">
      <w:pPr>
        <w:rPr>
          <w:color w:val="auto"/>
        </w:rPr>
      </w:pPr>
    </w:p>
    <w:p w14:paraId="287A3BC1" w14:textId="1E93BDD0" w:rsidR="00D478C5" w:rsidRPr="00DC6A13" w:rsidRDefault="00DC6A13">
      <w:pPr>
        <w:rPr>
          <w:color w:val="auto"/>
        </w:rPr>
      </w:pPr>
      <w:r>
        <w:rPr>
          <w:color w:val="auto"/>
        </w:rPr>
        <w:t xml:space="preserve">NOTE: </w:t>
      </w:r>
      <w:r w:rsidR="00562F17" w:rsidRPr="00DC6A13">
        <w:rPr>
          <w:color w:val="auto"/>
        </w:rPr>
        <w:t xml:space="preserve">It is important to underline that </w:t>
      </w:r>
      <w:r w:rsidR="00D478C5" w:rsidRPr="00DC6A13">
        <w:rPr>
          <w:color w:val="auto"/>
        </w:rPr>
        <w:t xml:space="preserve">some steps are </w:t>
      </w:r>
      <w:r w:rsidR="00F23433" w:rsidRPr="00DC6A13">
        <w:rPr>
          <w:color w:val="auto"/>
        </w:rPr>
        <w:t xml:space="preserve">linked specifically to </w:t>
      </w:r>
      <w:r w:rsidR="00D478C5" w:rsidRPr="00DC6A13">
        <w:rPr>
          <w:color w:val="auto"/>
        </w:rPr>
        <w:t xml:space="preserve">the scanner used. </w:t>
      </w:r>
    </w:p>
    <w:p w14:paraId="74533699" w14:textId="77777777" w:rsidR="00CC00E7" w:rsidRPr="00DC6A13" w:rsidRDefault="00CC00E7">
      <w:pPr>
        <w:pStyle w:val="ListParagraph"/>
        <w:ind w:left="0"/>
        <w:rPr>
          <w:color w:val="auto"/>
        </w:rPr>
      </w:pPr>
    </w:p>
    <w:p w14:paraId="37628378" w14:textId="77777777" w:rsidR="002C319C" w:rsidRPr="00DC6A13" w:rsidRDefault="002C319C" w:rsidP="003D144A">
      <w:pPr>
        <w:pStyle w:val="ListParagraph"/>
        <w:numPr>
          <w:ilvl w:val="0"/>
          <w:numId w:val="3"/>
        </w:numPr>
        <w:ind w:left="0" w:firstLine="0"/>
        <w:rPr>
          <w:b/>
          <w:color w:val="auto"/>
        </w:rPr>
      </w:pPr>
      <w:r w:rsidRPr="00DC6A13">
        <w:rPr>
          <w:b/>
          <w:color w:val="auto"/>
        </w:rPr>
        <w:t>Pre</w:t>
      </w:r>
      <w:r w:rsidR="00F23433" w:rsidRPr="00DC6A13">
        <w:rPr>
          <w:b/>
          <w:color w:val="auto"/>
        </w:rPr>
        <w:t>-</w:t>
      </w:r>
      <w:r w:rsidRPr="00DC6A13">
        <w:rPr>
          <w:b/>
          <w:color w:val="auto"/>
        </w:rPr>
        <w:t xml:space="preserve">infusion imaging: transmission </w:t>
      </w:r>
      <w:r w:rsidR="00AA3F3A" w:rsidRPr="00DC6A13">
        <w:rPr>
          <w:b/>
          <w:color w:val="auto"/>
        </w:rPr>
        <w:t xml:space="preserve">and blank </w:t>
      </w:r>
      <w:r w:rsidRPr="00DC6A13">
        <w:rPr>
          <w:b/>
          <w:color w:val="auto"/>
        </w:rPr>
        <w:t>image acquisition</w:t>
      </w:r>
    </w:p>
    <w:p w14:paraId="595A5E0C" w14:textId="77777777" w:rsidR="003C2297" w:rsidRPr="00DC6A13" w:rsidRDefault="003C2297">
      <w:pPr>
        <w:pStyle w:val="ListParagraph"/>
        <w:ind w:left="0"/>
        <w:rPr>
          <w:color w:val="auto"/>
        </w:rPr>
      </w:pPr>
    </w:p>
    <w:p w14:paraId="7AD6C8D3" w14:textId="75B68B49" w:rsidR="006F360B" w:rsidRPr="003D144A" w:rsidRDefault="00591C54">
      <w:pPr>
        <w:pStyle w:val="ListParagraph"/>
        <w:ind w:left="0"/>
        <w:rPr>
          <w:iCs/>
          <w:color w:val="auto"/>
        </w:rPr>
      </w:pPr>
      <w:r>
        <w:rPr>
          <w:iCs/>
          <w:color w:val="auto"/>
        </w:rPr>
        <w:t xml:space="preserve">NOTE: </w:t>
      </w:r>
      <w:r w:rsidR="00F23433" w:rsidRPr="003D144A">
        <w:rPr>
          <w:iCs/>
          <w:color w:val="auto"/>
        </w:rPr>
        <w:t>In</w:t>
      </w:r>
      <w:r w:rsidR="006F360B" w:rsidRPr="003D144A">
        <w:rPr>
          <w:iCs/>
          <w:color w:val="auto"/>
        </w:rPr>
        <w:t xml:space="preserve"> this first image acquisition the patient's water equivalent thickness is evaluated. This value is used for attenuation correction of counts derived from 2D planar images acquired post </w:t>
      </w:r>
      <w:r w:rsidR="006F360B" w:rsidRPr="003D144A">
        <w:rPr>
          <w:iCs/>
          <w:color w:val="auto"/>
          <w:vertAlign w:val="superscript"/>
        </w:rPr>
        <w:t>177</w:t>
      </w:r>
      <w:r w:rsidR="006F360B" w:rsidRPr="003D144A">
        <w:rPr>
          <w:iCs/>
          <w:color w:val="auto"/>
        </w:rPr>
        <w:t>Lu-PSMA-617 injection.</w:t>
      </w:r>
    </w:p>
    <w:p w14:paraId="1CE33805" w14:textId="77777777" w:rsidR="003C2297" w:rsidRPr="00DC6A13" w:rsidRDefault="003C2297">
      <w:pPr>
        <w:pStyle w:val="ListParagraph"/>
        <w:ind w:left="0"/>
        <w:rPr>
          <w:color w:val="auto"/>
        </w:rPr>
      </w:pPr>
    </w:p>
    <w:p w14:paraId="53E8EAE9" w14:textId="77777777" w:rsidR="00AE43CD" w:rsidRPr="00DC6A13" w:rsidRDefault="002C319C" w:rsidP="003D144A">
      <w:pPr>
        <w:pStyle w:val="ListParagraph"/>
        <w:numPr>
          <w:ilvl w:val="1"/>
          <w:numId w:val="4"/>
        </w:numPr>
        <w:ind w:left="0" w:firstLine="0"/>
        <w:rPr>
          <w:color w:val="auto"/>
        </w:rPr>
      </w:pPr>
      <w:r w:rsidRPr="00DC6A13">
        <w:rPr>
          <w:color w:val="auto"/>
        </w:rPr>
        <w:t>Set low energy high resolution collimators (LEHR)</w:t>
      </w:r>
      <w:r w:rsidR="00CC00E7" w:rsidRPr="00DC6A13">
        <w:rPr>
          <w:color w:val="auto"/>
        </w:rPr>
        <w:t>.</w:t>
      </w:r>
    </w:p>
    <w:p w14:paraId="2988D758" w14:textId="77777777" w:rsidR="003C2297" w:rsidRPr="00DC6A13" w:rsidRDefault="003C2297">
      <w:pPr>
        <w:pStyle w:val="ListParagraph"/>
        <w:ind w:left="0"/>
        <w:rPr>
          <w:color w:val="auto"/>
        </w:rPr>
      </w:pPr>
    </w:p>
    <w:p w14:paraId="01BA17A0" w14:textId="77777777" w:rsidR="007101DE" w:rsidRPr="00DC6A13" w:rsidRDefault="007101DE" w:rsidP="003D144A">
      <w:pPr>
        <w:pStyle w:val="ListParagraph"/>
        <w:numPr>
          <w:ilvl w:val="1"/>
          <w:numId w:val="4"/>
        </w:numPr>
        <w:ind w:left="0" w:firstLine="0"/>
        <w:rPr>
          <w:color w:val="auto"/>
        </w:rPr>
      </w:pPr>
      <w:r w:rsidRPr="00DC6A13">
        <w:rPr>
          <w:color w:val="auto"/>
        </w:rPr>
        <w:t>Open the image protocol acquisition on the workstation</w:t>
      </w:r>
      <w:r w:rsidR="008C2E09" w:rsidRPr="00DC6A13">
        <w:rPr>
          <w:color w:val="auto"/>
        </w:rPr>
        <w:t xml:space="preserve"> and s</w:t>
      </w:r>
      <w:r w:rsidRPr="00DC6A13">
        <w:rPr>
          <w:color w:val="auto"/>
        </w:rPr>
        <w:t>elect transmission scan whole body planar image acquisition</w:t>
      </w:r>
      <w:r w:rsidR="00CC00E7" w:rsidRPr="00DC6A13">
        <w:rPr>
          <w:color w:val="auto"/>
        </w:rPr>
        <w:t>.</w:t>
      </w:r>
    </w:p>
    <w:p w14:paraId="5B2901A2" w14:textId="77777777" w:rsidR="003C2297" w:rsidRPr="00DC6A13" w:rsidRDefault="003C2297">
      <w:pPr>
        <w:pStyle w:val="ListParagraph"/>
        <w:ind w:left="0"/>
        <w:rPr>
          <w:color w:val="auto"/>
        </w:rPr>
      </w:pPr>
    </w:p>
    <w:p w14:paraId="4F3079A5" w14:textId="3C25C703" w:rsidR="003C2297" w:rsidRPr="00DC6A13" w:rsidRDefault="009F2BED" w:rsidP="003D144A">
      <w:pPr>
        <w:pStyle w:val="ListParagraph"/>
        <w:numPr>
          <w:ilvl w:val="1"/>
          <w:numId w:val="4"/>
        </w:numPr>
        <w:ind w:left="0" w:firstLine="0"/>
        <w:rPr>
          <w:color w:val="auto"/>
        </w:rPr>
      </w:pPr>
      <w:r w:rsidRPr="00DC6A13">
        <w:rPr>
          <w:color w:val="auto"/>
        </w:rPr>
        <w:t>Check the table velocity (</w:t>
      </w:r>
      <w:r w:rsidR="00591C54" w:rsidRPr="00591C54">
        <w:rPr>
          <w:color w:val="auto"/>
        </w:rPr>
        <w:t xml:space="preserve">e.g., </w:t>
      </w:r>
      <w:r w:rsidRPr="00DC6A13">
        <w:rPr>
          <w:color w:val="auto"/>
        </w:rPr>
        <w:t xml:space="preserve">7 cm/min) and </w:t>
      </w:r>
      <w:r w:rsidR="0046715A">
        <w:rPr>
          <w:color w:val="auto"/>
        </w:rPr>
        <w:t>z</w:t>
      </w:r>
      <w:r w:rsidR="0046715A" w:rsidRPr="00DC6A13">
        <w:rPr>
          <w:color w:val="auto"/>
        </w:rPr>
        <w:t xml:space="preserve">oom </w:t>
      </w:r>
      <w:r w:rsidRPr="00DC6A13">
        <w:rPr>
          <w:color w:val="auto"/>
        </w:rPr>
        <w:t>(</w:t>
      </w:r>
      <w:r w:rsidR="00591C54" w:rsidRPr="00591C54">
        <w:rPr>
          <w:color w:val="auto"/>
        </w:rPr>
        <w:t xml:space="preserve">e.g., </w:t>
      </w:r>
      <w:r w:rsidRPr="00DC6A13">
        <w:rPr>
          <w:color w:val="auto"/>
        </w:rPr>
        <w:t xml:space="preserve">1). </w:t>
      </w:r>
      <w:r w:rsidR="00591C54">
        <w:rPr>
          <w:color w:val="auto"/>
        </w:rPr>
        <w:t>Keep these</w:t>
      </w:r>
      <w:r w:rsidR="00591C54" w:rsidRPr="00DC6A13">
        <w:rPr>
          <w:color w:val="auto"/>
        </w:rPr>
        <w:t xml:space="preserve"> </w:t>
      </w:r>
      <w:r w:rsidRPr="00DC6A13">
        <w:rPr>
          <w:color w:val="auto"/>
        </w:rPr>
        <w:t>values equal for the blank scan acquisition</w:t>
      </w:r>
      <w:r w:rsidR="008C2E09" w:rsidRPr="00DC6A13">
        <w:rPr>
          <w:color w:val="auto"/>
        </w:rPr>
        <w:t xml:space="preserve">. </w:t>
      </w:r>
      <w:r w:rsidR="007101DE" w:rsidRPr="00DC6A13">
        <w:rPr>
          <w:color w:val="auto"/>
        </w:rPr>
        <w:t xml:space="preserve">Check that the option </w:t>
      </w:r>
      <w:r w:rsidR="007101DE" w:rsidRPr="003D144A">
        <w:rPr>
          <w:b/>
          <w:bCs/>
          <w:color w:val="auto"/>
        </w:rPr>
        <w:t>Body Contour</w:t>
      </w:r>
      <w:r w:rsidR="007101DE" w:rsidRPr="00DC6A13">
        <w:rPr>
          <w:color w:val="auto"/>
        </w:rPr>
        <w:t xml:space="preserve"> is disabled</w:t>
      </w:r>
      <w:r w:rsidR="008C2E09" w:rsidRPr="00DC6A13">
        <w:rPr>
          <w:color w:val="auto"/>
        </w:rPr>
        <w:t xml:space="preserve">. </w:t>
      </w:r>
    </w:p>
    <w:p w14:paraId="11B79EF6" w14:textId="77777777" w:rsidR="00C95290" w:rsidRPr="00DC6A13" w:rsidRDefault="00C95290">
      <w:pPr>
        <w:pStyle w:val="ListParagraph"/>
        <w:ind w:left="0"/>
        <w:rPr>
          <w:color w:val="auto"/>
        </w:rPr>
      </w:pPr>
    </w:p>
    <w:p w14:paraId="4C5A0C0C" w14:textId="1F98941B" w:rsidR="00AC0781" w:rsidRPr="00DC6A13" w:rsidRDefault="003C1B6C" w:rsidP="003D144A">
      <w:pPr>
        <w:pStyle w:val="ListParagraph"/>
        <w:numPr>
          <w:ilvl w:val="1"/>
          <w:numId w:val="4"/>
        </w:numPr>
        <w:ind w:left="0" w:firstLine="0"/>
        <w:rPr>
          <w:color w:val="auto"/>
          <w:highlight w:val="yellow"/>
        </w:rPr>
      </w:pPr>
      <w:bookmarkStart w:id="0" w:name="_Hlk21417388"/>
      <w:r w:rsidRPr="00DC6A13">
        <w:rPr>
          <w:color w:val="auto"/>
          <w:highlight w:val="yellow"/>
        </w:rPr>
        <w:t>P</w:t>
      </w:r>
      <w:r w:rsidR="00AC0781" w:rsidRPr="00DC6A13">
        <w:rPr>
          <w:color w:val="auto"/>
          <w:highlight w:val="yellow"/>
        </w:rPr>
        <w:t xml:space="preserve">osition the patient on the couch feet-first supine with arms </w:t>
      </w:r>
      <w:r w:rsidR="004464D0" w:rsidRPr="00DC6A13">
        <w:rPr>
          <w:color w:val="auto"/>
          <w:highlight w:val="yellow"/>
        </w:rPr>
        <w:t xml:space="preserve">at-rest along the side of the body. </w:t>
      </w:r>
      <w:r w:rsidR="0046715A">
        <w:rPr>
          <w:color w:val="auto"/>
          <w:highlight w:val="yellow"/>
        </w:rPr>
        <w:t>Use this</w:t>
      </w:r>
      <w:r w:rsidR="0046715A" w:rsidRPr="00DC6A13">
        <w:rPr>
          <w:color w:val="auto"/>
          <w:highlight w:val="yellow"/>
        </w:rPr>
        <w:t xml:space="preserve"> </w:t>
      </w:r>
      <w:r w:rsidR="004464D0" w:rsidRPr="00DC6A13">
        <w:rPr>
          <w:color w:val="auto"/>
          <w:highlight w:val="yellow"/>
        </w:rPr>
        <w:t xml:space="preserve">position </w:t>
      </w:r>
      <w:r w:rsidR="00AC0781" w:rsidRPr="00DC6A13">
        <w:rPr>
          <w:color w:val="auto"/>
          <w:highlight w:val="yellow"/>
        </w:rPr>
        <w:t xml:space="preserve">for </w:t>
      </w:r>
      <w:r w:rsidR="0046715A" w:rsidRPr="00DC6A13">
        <w:rPr>
          <w:color w:val="auto"/>
          <w:highlight w:val="yellow"/>
        </w:rPr>
        <w:t>all</w:t>
      </w:r>
      <w:r w:rsidR="004464D0" w:rsidRPr="00DC6A13">
        <w:rPr>
          <w:color w:val="auto"/>
          <w:highlight w:val="yellow"/>
        </w:rPr>
        <w:t xml:space="preserve"> </w:t>
      </w:r>
      <w:r w:rsidR="00AC0781" w:rsidRPr="00DC6A13">
        <w:rPr>
          <w:color w:val="auto"/>
          <w:highlight w:val="yellow"/>
        </w:rPr>
        <w:t>the</w:t>
      </w:r>
      <w:r w:rsidR="0046715A">
        <w:rPr>
          <w:color w:val="auto"/>
          <w:highlight w:val="yellow"/>
        </w:rPr>
        <w:t xml:space="preserve"> i</w:t>
      </w:r>
      <w:r w:rsidR="00AC0781" w:rsidRPr="00DC6A13">
        <w:rPr>
          <w:color w:val="auto"/>
          <w:highlight w:val="yellow"/>
        </w:rPr>
        <w:t>mages. If necessary, use available supports (arm support, knee wedge, pillow, blanket)</w:t>
      </w:r>
      <w:r w:rsidR="00CC00E7" w:rsidRPr="00DC6A13">
        <w:rPr>
          <w:color w:val="auto"/>
          <w:highlight w:val="yellow"/>
        </w:rPr>
        <w:t>.</w:t>
      </w:r>
    </w:p>
    <w:p w14:paraId="358D098B" w14:textId="77777777" w:rsidR="003C2297" w:rsidRPr="00DC6A13" w:rsidRDefault="003C2297">
      <w:pPr>
        <w:pStyle w:val="ListParagraph"/>
        <w:ind w:left="0"/>
        <w:rPr>
          <w:color w:val="auto"/>
        </w:rPr>
      </w:pPr>
    </w:p>
    <w:p w14:paraId="7EB3E386" w14:textId="77777777" w:rsidR="00AC0781" w:rsidRPr="00DC6A13" w:rsidRDefault="00AC0781" w:rsidP="003D144A">
      <w:pPr>
        <w:pStyle w:val="ListParagraph"/>
        <w:numPr>
          <w:ilvl w:val="1"/>
          <w:numId w:val="4"/>
        </w:numPr>
        <w:ind w:left="0" w:firstLine="0"/>
        <w:rPr>
          <w:color w:val="auto"/>
        </w:rPr>
      </w:pPr>
      <w:r w:rsidRPr="00DC6A13">
        <w:rPr>
          <w:color w:val="auto"/>
        </w:rPr>
        <w:t xml:space="preserve">Take note of the exact position of the patient, using the scale number along the couch: vertex head position, knee position, foot position, couch </w:t>
      </w:r>
      <w:r w:rsidR="004464D0" w:rsidRPr="00DC6A13">
        <w:rPr>
          <w:color w:val="auto"/>
        </w:rPr>
        <w:t>height</w:t>
      </w:r>
      <w:r w:rsidRPr="00DC6A13">
        <w:rPr>
          <w:color w:val="auto"/>
        </w:rPr>
        <w:t>, all supports</w:t>
      </w:r>
      <w:r w:rsidR="004464D0" w:rsidRPr="00DC6A13">
        <w:rPr>
          <w:color w:val="auto"/>
        </w:rPr>
        <w:t xml:space="preserve"> used</w:t>
      </w:r>
      <w:r w:rsidRPr="00DC6A13">
        <w:rPr>
          <w:color w:val="auto"/>
        </w:rPr>
        <w:t xml:space="preserve">. Take note </w:t>
      </w:r>
      <w:r w:rsidR="004464D0" w:rsidRPr="00DC6A13">
        <w:rPr>
          <w:color w:val="auto"/>
        </w:rPr>
        <w:t>of the</w:t>
      </w:r>
      <w:r w:rsidRPr="00DC6A13">
        <w:rPr>
          <w:color w:val="auto"/>
        </w:rPr>
        <w:t xml:space="preserve"> patient's weight and </w:t>
      </w:r>
      <w:r w:rsidR="004464D0" w:rsidRPr="00DC6A13">
        <w:rPr>
          <w:color w:val="auto"/>
        </w:rPr>
        <w:t>height</w:t>
      </w:r>
      <w:r w:rsidR="00CC00E7" w:rsidRPr="00DC6A13">
        <w:rPr>
          <w:color w:val="auto"/>
        </w:rPr>
        <w:t>.</w:t>
      </w:r>
    </w:p>
    <w:p w14:paraId="562C7733" w14:textId="77777777" w:rsidR="003C2297" w:rsidRPr="00DC6A13" w:rsidRDefault="003C2297">
      <w:pPr>
        <w:pStyle w:val="ListParagraph"/>
        <w:ind w:left="0"/>
        <w:rPr>
          <w:color w:val="auto"/>
        </w:rPr>
      </w:pPr>
    </w:p>
    <w:p w14:paraId="02E5D28C" w14:textId="4DD66AD6" w:rsidR="008C2E09" w:rsidRPr="00DC6A13" w:rsidRDefault="002C319C" w:rsidP="003D144A">
      <w:pPr>
        <w:pStyle w:val="ListParagraph"/>
        <w:numPr>
          <w:ilvl w:val="1"/>
          <w:numId w:val="4"/>
        </w:numPr>
        <w:ind w:left="0" w:firstLine="0"/>
        <w:rPr>
          <w:color w:val="auto"/>
        </w:rPr>
      </w:pPr>
      <w:r w:rsidRPr="00DC6A13">
        <w:rPr>
          <w:color w:val="auto"/>
          <w:highlight w:val="yellow"/>
        </w:rPr>
        <w:t>Set the SPECT dual head</w:t>
      </w:r>
      <w:r w:rsidR="009745B5" w:rsidRPr="00DC6A13">
        <w:rPr>
          <w:color w:val="auto"/>
          <w:highlight w:val="yellow"/>
        </w:rPr>
        <w:t>s</w:t>
      </w:r>
      <w:r w:rsidRPr="00DC6A13">
        <w:rPr>
          <w:color w:val="auto"/>
          <w:highlight w:val="yellow"/>
        </w:rPr>
        <w:t xml:space="preserve"> at </w:t>
      </w:r>
      <w:r w:rsidR="004464D0" w:rsidRPr="00DC6A13">
        <w:rPr>
          <w:color w:val="auto"/>
          <w:highlight w:val="yellow"/>
        </w:rPr>
        <w:t xml:space="preserve">the </w:t>
      </w:r>
      <w:r w:rsidRPr="00DC6A13">
        <w:rPr>
          <w:color w:val="auto"/>
          <w:highlight w:val="yellow"/>
        </w:rPr>
        <w:t>opposite position</w:t>
      </w:r>
      <w:r w:rsidR="004C535A" w:rsidRPr="00DC6A13">
        <w:rPr>
          <w:color w:val="auto"/>
          <w:highlight w:val="yellow"/>
        </w:rPr>
        <w:t>s</w:t>
      </w:r>
      <w:r w:rsidRPr="00DC6A13">
        <w:rPr>
          <w:color w:val="auto"/>
          <w:highlight w:val="yellow"/>
        </w:rPr>
        <w:t xml:space="preserve"> (</w:t>
      </w:r>
      <w:r w:rsidR="00591C54" w:rsidRPr="00591C54">
        <w:rPr>
          <w:color w:val="auto"/>
          <w:highlight w:val="yellow"/>
        </w:rPr>
        <w:t xml:space="preserve">i.e., </w:t>
      </w:r>
      <w:r w:rsidRPr="00DC6A13">
        <w:rPr>
          <w:color w:val="auto"/>
          <w:highlight w:val="yellow"/>
        </w:rPr>
        <w:t>0° and 180°) and at the maximum distance from the FOV center</w:t>
      </w:r>
      <w:r w:rsidR="008C2E09" w:rsidRPr="00DC6A13">
        <w:rPr>
          <w:color w:val="auto"/>
          <w:highlight w:val="yellow"/>
        </w:rPr>
        <w:t>. R</w:t>
      </w:r>
      <w:r w:rsidR="009D57A5" w:rsidRPr="00DC6A13">
        <w:rPr>
          <w:color w:val="auto"/>
          <w:highlight w:val="yellow"/>
        </w:rPr>
        <w:t>a</w:t>
      </w:r>
      <w:r w:rsidR="008C2E09" w:rsidRPr="00DC6A13">
        <w:rPr>
          <w:color w:val="auto"/>
          <w:highlight w:val="yellow"/>
        </w:rPr>
        <w:t xml:space="preserve">ise the </w:t>
      </w:r>
      <w:r w:rsidR="001F6D8D" w:rsidRPr="00DC6A13">
        <w:rPr>
          <w:color w:val="auto"/>
          <w:highlight w:val="yellow"/>
        </w:rPr>
        <w:t>couch</w:t>
      </w:r>
      <w:r w:rsidR="008C2E09" w:rsidRPr="00DC6A13">
        <w:rPr>
          <w:color w:val="auto"/>
          <w:highlight w:val="yellow"/>
        </w:rPr>
        <w:t xml:space="preserve"> </w:t>
      </w:r>
      <w:r w:rsidR="004464D0" w:rsidRPr="00DC6A13">
        <w:rPr>
          <w:color w:val="auto"/>
          <w:highlight w:val="yellow"/>
        </w:rPr>
        <w:t>so that</w:t>
      </w:r>
      <w:r w:rsidR="008C2E09" w:rsidRPr="00DC6A13">
        <w:rPr>
          <w:color w:val="auto"/>
          <w:highlight w:val="yellow"/>
        </w:rPr>
        <w:t xml:space="preserve"> the patient </w:t>
      </w:r>
      <w:r w:rsidR="00C9074B" w:rsidRPr="00DC6A13">
        <w:rPr>
          <w:color w:val="auto"/>
          <w:highlight w:val="yellow"/>
        </w:rPr>
        <w:t xml:space="preserve">is positioned at the FOV center and with </w:t>
      </w:r>
      <w:r w:rsidR="008C2E09" w:rsidRPr="00DC6A13">
        <w:rPr>
          <w:color w:val="auto"/>
          <w:highlight w:val="yellow"/>
        </w:rPr>
        <w:t xml:space="preserve">head at the </w:t>
      </w:r>
      <w:r w:rsidR="00C9074B" w:rsidRPr="00DC6A13">
        <w:rPr>
          <w:color w:val="auto"/>
          <w:highlight w:val="yellow"/>
        </w:rPr>
        <w:t>detector</w:t>
      </w:r>
      <w:r w:rsidR="008C2E09" w:rsidRPr="00DC6A13">
        <w:rPr>
          <w:color w:val="auto"/>
          <w:highlight w:val="yellow"/>
        </w:rPr>
        <w:t xml:space="preserve"> center.</w:t>
      </w:r>
      <w:r w:rsidR="008C2E09" w:rsidRPr="00DC6A13">
        <w:rPr>
          <w:color w:val="auto"/>
        </w:rPr>
        <w:t xml:space="preserve"> </w:t>
      </w:r>
    </w:p>
    <w:p w14:paraId="45CAF15E" w14:textId="77777777" w:rsidR="003C2297" w:rsidRPr="00DC6A13" w:rsidRDefault="003C2297">
      <w:pPr>
        <w:pStyle w:val="ListParagraph"/>
        <w:ind w:left="0"/>
        <w:rPr>
          <w:color w:val="auto"/>
        </w:rPr>
      </w:pPr>
    </w:p>
    <w:p w14:paraId="159A78F2" w14:textId="77777777" w:rsidR="008D426F" w:rsidRPr="00DC6A13" w:rsidRDefault="007101DE" w:rsidP="003D144A">
      <w:pPr>
        <w:pStyle w:val="ListParagraph"/>
        <w:numPr>
          <w:ilvl w:val="1"/>
          <w:numId w:val="4"/>
        </w:numPr>
        <w:ind w:left="0" w:firstLine="0"/>
        <w:rPr>
          <w:color w:val="auto"/>
          <w:highlight w:val="yellow"/>
        </w:rPr>
      </w:pPr>
      <w:r w:rsidRPr="00DC6A13">
        <w:rPr>
          <w:color w:val="auto"/>
          <w:highlight w:val="yellow"/>
        </w:rPr>
        <w:t xml:space="preserve">Position the </w:t>
      </w:r>
      <w:r w:rsidRPr="00DC6A13">
        <w:rPr>
          <w:color w:val="auto"/>
          <w:highlight w:val="yellow"/>
          <w:vertAlign w:val="superscript"/>
        </w:rPr>
        <w:t>57</w:t>
      </w:r>
      <w:r w:rsidRPr="00DC6A13">
        <w:rPr>
          <w:color w:val="auto"/>
          <w:highlight w:val="yellow"/>
        </w:rPr>
        <w:t xml:space="preserve">Co flood support on the </w:t>
      </w:r>
      <w:r w:rsidR="00EC0F56" w:rsidRPr="00DC6A13">
        <w:rPr>
          <w:color w:val="auto"/>
          <w:highlight w:val="yellow"/>
        </w:rPr>
        <w:t xml:space="preserve">posterior </w:t>
      </w:r>
      <w:r w:rsidRPr="00DC6A13">
        <w:rPr>
          <w:color w:val="auto"/>
          <w:highlight w:val="yellow"/>
        </w:rPr>
        <w:t>camera</w:t>
      </w:r>
      <w:r w:rsidR="009D57A5" w:rsidRPr="00DC6A13">
        <w:rPr>
          <w:color w:val="auto"/>
          <w:highlight w:val="yellow"/>
        </w:rPr>
        <w:t xml:space="preserve"> and</w:t>
      </w:r>
      <w:r w:rsidR="005B282F" w:rsidRPr="00DC6A13">
        <w:rPr>
          <w:color w:val="auto"/>
          <w:highlight w:val="yellow"/>
        </w:rPr>
        <w:t xml:space="preserve"> then </w:t>
      </w:r>
      <w:r w:rsidR="00C61F49" w:rsidRPr="00DC6A13">
        <w:rPr>
          <w:color w:val="auto"/>
          <w:highlight w:val="yellow"/>
        </w:rPr>
        <w:t xml:space="preserve">the </w:t>
      </w:r>
      <w:r w:rsidR="00C61F49" w:rsidRPr="00DC6A13">
        <w:rPr>
          <w:color w:val="auto"/>
          <w:highlight w:val="yellow"/>
          <w:vertAlign w:val="superscript"/>
        </w:rPr>
        <w:t>57</w:t>
      </w:r>
      <w:r w:rsidR="00C61F49" w:rsidRPr="00DC6A13">
        <w:rPr>
          <w:color w:val="auto"/>
          <w:highlight w:val="yellow"/>
        </w:rPr>
        <w:t xml:space="preserve">Co flood </w:t>
      </w:r>
      <w:r w:rsidR="005B282F" w:rsidRPr="00DC6A13">
        <w:rPr>
          <w:color w:val="auto"/>
          <w:highlight w:val="yellow"/>
        </w:rPr>
        <w:t xml:space="preserve">itself </w:t>
      </w:r>
      <w:r w:rsidR="00C61F49" w:rsidRPr="00DC6A13">
        <w:rPr>
          <w:color w:val="auto"/>
          <w:highlight w:val="yellow"/>
        </w:rPr>
        <w:t>on the support</w:t>
      </w:r>
      <w:r w:rsidR="00C95290" w:rsidRPr="00DC6A13">
        <w:rPr>
          <w:color w:val="auto"/>
          <w:highlight w:val="yellow"/>
        </w:rPr>
        <w:t xml:space="preserve">. Start image </w:t>
      </w:r>
      <w:r w:rsidR="001158DA" w:rsidRPr="00DC6A13">
        <w:rPr>
          <w:color w:val="auto"/>
          <w:highlight w:val="yellow"/>
        </w:rPr>
        <w:t>acquisition</w:t>
      </w:r>
      <w:r w:rsidR="00C95290" w:rsidRPr="00DC6A13">
        <w:rPr>
          <w:color w:val="auto"/>
          <w:highlight w:val="yellow"/>
        </w:rPr>
        <w:t xml:space="preserve">. </w:t>
      </w:r>
    </w:p>
    <w:p w14:paraId="621EA591" w14:textId="77777777" w:rsidR="008D426F" w:rsidRPr="00DC6A13" w:rsidRDefault="008D426F">
      <w:pPr>
        <w:pStyle w:val="ListParagraph"/>
        <w:ind w:left="0"/>
        <w:rPr>
          <w:color w:val="auto"/>
        </w:rPr>
      </w:pPr>
    </w:p>
    <w:p w14:paraId="4CC29AB8" w14:textId="3B9D003A" w:rsidR="00C61F49" w:rsidRPr="00DC6A13" w:rsidRDefault="00C61F49" w:rsidP="003D144A">
      <w:pPr>
        <w:pStyle w:val="ListParagraph"/>
        <w:numPr>
          <w:ilvl w:val="1"/>
          <w:numId w:val="4"/>
        </w:numPr>
        <w:ind w:left="0" w:firstLine="0"/>
        <w:rPr>
          <w:color w:val="auto"/>
        </w:rPr>
      </w:pPr>
      <w:r w:rsidRPr="00DC6A13">
        <w:rPr>
          <w:color w:val="auto"/>
        </w:rPr>
        <w:t xml:space="preserve">At the end of image acquisition, remove the </w:t>
      </w:r>
      <w:r w:rsidRPr="00DC6A13">
        <w:rPr>
          <w:color w:val="auto"/>
          <w:vertAlign w:val="superscript"/>
        </w:rPr>
        <w:t>57</w:t>
      </w:r>
      <w:r w:rsidRPr="00DC6A13">
        <w:rPr>
          <w:color w:val="auto"/>
        </w:rPr>
        <w:t>Co flood and support</w:t>
      </w:r>
      <w:r w:rsidR="003C2297" w:rsidRPr="00DC6A13">
        <w:rPr>
          <w:color w:val="auto"/>
        </w:rPr>
        <w:t>.</w:t>
      </w:r>
      <w:r w:rsidR="00C95290" w:rsidRPr="00DC6A13">
        <w:rPr>
          <w:color w:val="auto"/>
        </w:rPr>
        <w:t xml:space="preserve"> </w:t>
      </w:r>
      <w:r w:rsidRPr="00DC6A13">
        <w:rPr>
          <w:color w:val="auto"/>
        </w:rPr>
        <w:t xml:space="preserve">Press </w:t>
      </w:r>
      <w:r w:rsidRPr="008A3C95">
        <w:rPr>
          <w:b/>
          <w:bCs/>
          <w:color w:val="auto"/>
        </w:rPr>
        <w:t>Unload</w:t>
      </w:r>
      <w:r w:rsidRPr="00DC6A13">
        <w:rPr>
          <w:color w:val="auto"/>
        </w:rPr>
        <w:t xml:space="preserve"> on the </w:t>
      </w:r>
      <w:r w:rsidR="009D57A5" w:rsidRPr="00DC6A13">
        <w:rPr>
          <w:color w:val="auto"/>
        </w:rPr>
        <w:t xml:space="preserve">teach </w:t>
      </w:r>
      <w:r w:rsidRPr="00DC6A13">
        <w:rPr>
          <w:color w:val="auto"/>
        </w:rPr>
        <w:t>pendant</w:t>
      </w:r>
      <w:r w:rsidR="00052FD2" w:rsidRPr="00DC6A13">
        <w:rPr>
          <w:color w:val="auto"/>
        </w:rPr>
        <w:t xml:space="preserve">. </w:t>
      </w:r>
      <w:r w:rsidRPr="00DC6A13">
        <w:rPr>
          <w:color w:val="auto"/>
        </w:rPr>
        <w:t>Help the patient to get up</w:t>
      </w:r>
      <w:r w:rsidR="00CC00E7" w:rsidRPr="00DC6A13">
        <w:rPr>
          <w:color w:val="auto"/>
        </w:rPr>
        <w:t>.</w:t>
      </w:r>
    </w:p>
    <w:p w14:paraId="60B66606" w14:textId="77777777" w:rsidR="003C2297" w:rsidRPr="00DC6A13" w:rsidRDefault="003C2297">
      <w:pPr>
        <w:pStyle w:val="ListParagraph"/>
        <w:ind w:left="0"/>
        <w:rPr>
          <w:color w:val="auto"/>
        </w:rPr>
      </w:pPr>
    </w:p>
    <w:p w14:paraId="379A178A" w14:textId="77777777" w:rsidR="00DC6A13" w:rsidRDefault="00C61F49" w:rsidP="003D144A">
      <w:pPr>
        <w:pStyle w:val="ListParagraph"/>
        <w:numPr>
          <w:ilvl w:val="1"/>
          <w:numId w:val="4"/>
        </w:numPr>
        <w:ind w:left="0" w:firstLine="0"/>
        <w:rPr>
          <w:color w:val="auto"/>
          <w:highlight w:val="yellow"/>
        </w:rPr>
      </w:pPr>
      <w:r w:rsidRPr="00DC6A13">
        <w:rPr>
          <w:color w:val="auto"/>
          <w:highlight w:val="yellow"/>
        </w:rPr>
        <w:t>Repeat the image acquisition in the same way but with</w:t>
      </w:r>
      <w:r w:rsidR="009D57A5" w:rsidRPr="00DC6A13">
        <w:rPr>
          <w:color w:val="auto"/>
          <w:highlight w:val="yellow"/>
        </w:rPr>
        <w:t>out the</w:t>
      </w:r>
      <w:r w:rsidRPr="00DC6A13">
        <w:rPr>
          <w:color w:val="auto"/>
          <w:highlight w:val="yellow"/>
        </w:rPr>
        <w:t xml:space="preserve"> patient positioned on the couch. </w:t>
      </w:r>
    </w:p>
    <w:p w14:paraId="46AEC97E" w14:textId="77777777" w:rsidR="00DC6A13" w:rsidRPr="00DC6A13" w:rsidRDefault="00DC6A13" w:rsidP="003D144A">
      <w:pPr>
        <w:pStyle w:val="ListParagraph"/>
        <w:ind w:left="0"/>
        <w:rPr>
          <w:color w:val="auto"/>
          <w:highlight w:val="yellow"/>
        </w:rPr>
      </w:pPr>
    </w:p>
    <w:p w14:paraId="5074E492" w14:textId="27EFBD9A" w:rsidR="00C61F49" w:rsidRPr="00771DC3" w:rsidRDefault="00771DC3">
      <w:pPr>
        <w:pStyle w:val="ListParagraph"/>
        <w:ind w:left="0"/>
        <w:rPr>
          <w:color w:val="auto"/>
        </w:rPr>
      </w:pPr>
      <w:r w:rsidRPr="00771DC3">
        <w:rPr>
          <w:color w:val="auto"/>
        </w:rPr>
        <w:t>NOTE</w:t>
      </w:r>
      <w:r w:rsidR="00C61F49" w:rsidRPr="00771DC3">
        <w:rPr>
          <w:color w:val="auto"/>
        </w:rPr>
        <w:t xml:space="preserve">: </w:t>
      </w:r>
      <w:r w:rsidR="0046715A" w:rsidRPr="00771DC3">
        <w:rPr>
          <w:color w:val="auto"/>
        </w:rPr>
        <w:t xml:space="preserve">Couch </w:t>
      </w:r>
      <w:r w:rsidR="00C61F49" w:rsidRPr="00771DC3">
        <w:rPr>
          <w:color w:val="auto"/>
        </w:rPr>
        <w:t xml:space="preserve">velocity, table </w:t>
      </w:r>
      <w:r w:rsidR="009D57A5" w:rsidRPr="00771DC3">
        <w:rPr>
          <w:color w:val="auto"/>
        </w:rPr>
        <w:t>height</w:t>
      </w:r>
      <w:r w:rsidR="00C61F49" w:rsidRPr="00771DC3">
        <w:rPr>
          <w:color w:val="auto"/>
        </w:rPr>
        <w:t xml:space="preserve"> and camera distance should be set at the same value as </w:t>
      </w:r>
      <w:r w:rsidR="009D57A5" w:rsidRPr="00771DC3">
        <w:rPr>
          <w:color w:val="auto"/>
        </w:rPr>
        <w:t xml:space="preserve">the </w:t>
      </w:r>
      <w:r w:rsidR="00C61F49" w:rsidRPr="00771DC3">
        <w:rPr>
          <w:color w:val="auto"/>
        </w:rPr>
        <w:t>previous transmission image</w:t>
      </w:r>
      <w:r w:rsidR="00CC00E7" w:rsidRPr="00771DC3">
        <w:rPr>
          <w:color w:val="auto"/>
        </w:rPr>
        <w:t>.</w:t>
      </w:r>
    </w:p>
    <w:p w14:paraId="2F71A090" w14:textId="77777777" w:rsidR="006E15B7" w:rsidRPr="00DC6A13" w:rsidRDefault="006E15B7">
      <w:pPr>
        <w:rPr>
          <w:color w:val="auto"/>
        </w:rPr>
      </w:pPr>
    </w:p>
    <w:p w14:paraId="352980E4" w14:textId="20453E42" w:rsidR="006E15B7" w:rsidRPr="00DC6A13" w:rsidRDefault="0079619E" w:rsidP="003D144A">
      <w:pPr>
        <w:pStyle w:val="ListParagraph"/>
        <w:numPr>
          <w:ilvl w:val="0"/>
          <w:numId w:val="4"/>
        </w:numPr>
        <w:ind w:left="0" w:firstLine="0"/>
        <w:rPr>
          <w:b/>
          <w:color w:val="auto"/>
        </w:rPr>
      </w:pPr>
      <w:r w:rsidRPr="00DC6A13">
        <w:rPr>
          <w:b/>
          <w:color w:val="auto"/>
        </w:rPr>
        <w:t>Post</w:t>
      </w:r>
      <w:r w:rsidR="009D57A5" w:rsidRPr="00DC6A13">
        <w:rPr>
          <w:b/>
          <w:color w:val="auto"/>
        </w:rPr>
        <w:t>-</w:t>
      </w:r>
      <w:r w:rsidRPr="00DC6A13">
        <w:rPr>
          <w:b/>
          <w:color w:val="auto"/>
        </w:rPr>
        <w:t>infusion image acquisition</w:t>
      </w:r>
      <w:r w:rsidR="0046715A">
        <w:rPr>
          <w:b/>
          <w:color w:val="auto"/>
        </w:rPr>
        <w:t>:</w:t>
      </w:r>
      <w:r w:rsidR="002B290E" w:rsidRPr="00DC6A13">
        <w:rPr>
          <w:b/>
          <w:color w:val="auto"/>
        </w:rPr>
        <w:t xml:space="preserve"> </w:t>
      </w:r>
      <w:r w:rsidR="0046715A">
        <w:rPr>
          <w:b/>
          <w:color w:val="auto"/>
        </w:rPr>
        <w:t>p</w:t>
      </w:r>
      <w:r w:rsidR="0046715A" w:rsidRPr="00DC6A13">
        <w:rPr>
          <w:b/>
          <w:color w:val="auto"/>
        </w:rPr>
        <w:t xml:space="preserve">lanar </w:t>
      </w:r>
      <w:r w:rsidR="002B290E" w:rsidRPr="00DC6A13">
        <w:rPr>
          <w:b/>
          <w:color w:val="auto"/>
        </w:rPr>
        <w:t>image</w:t>
      </w:r>
    </w:p>
    <w:p w14:paraId="144276BC" w14:textId="77777777" w:rsidR="003C2297" w:rsidRPr="00DC6A13" w:rsidRDefault="003C2297">
      <w:pPr>
        <w:pStyle w:val="ListParagraph"/>
        <w:ind w:left="0"/>
        <w:rPr>
          <w:b/>
          <w:color w:val="auto"/>
        </w:rPr>
      </w:pPr>
    </w:p>
    <w:p w14:paraId="6FAAEB4B" w14:textId="03FD7B86" w:rsidR="0046715A" w:rsidRDefault="0046715A">
      <w:pPr>
        <w:rPr>
          <w:iCs/>
          <w:color w:val="auto"/>
        </w:rPr>
      </w:pPr>
      <w:r w:rsidRPr="003D144A">
        <w:rPr>
          <w:iCs/>
          <w:color w:val="auto"/>
        </w:rPr>
        <w:t xml:space="preserve">NOTE: </w:t>
      </w:r>
      <w:r w:rsidR="004C535A" w:rsidRPr="003D144A">
        <w:rPr>
          <w:iCs/>
          <w:color w:val="auto"/>
        </w:rPr>
        <w:t>Planar post-</w:t>
      </w:r>
      <w:r w:rsidR="006E15B7" w:rsidRPr="003D144A">
        <w:rPr>
          <w:iCs/>
          <w:color w:val="auto"/>
        </w:rPr>
        <w:t>image acquisition</w:t>
      </w:r>
      <w:r w:rsidR="004C535A" w:rsidRPr="003D144A">
        <w:rPr>
          <w:iCs/>
          <w:color w:val="auto"/>
        </w:rPr>
        <w:t>s</w:t>
      </w:r>
      <w:r w:rsidR="006E15B7" w:rsidRPr="003D144A">
        <w:rPr>
          <w:iCs/>
          <w:color w:val="auto"/>
        </w:rPr>
        <w:t xml:space="preserve"> are used for effective </w:t>
      </w:r>
      <w:r w:rsidRPr="0046715A">
        <w:rPr>
          <w:iCs/>
          <w:color w:val="auto"/>
        </w:rPr>
        <w:t>half-life</w:t>
      </w:r>
      <w:r w:rsidR="006E15B7" w:rsidRPr="003D144A">
        <w:rPr>
          <w:iCs/>
          <w:color w:val="auto"/>
        </w:rPr>
        <w:t xml:space="preserve"> and mean absorbed dose evaluation of different structures.</w:t>
      </w:r>
      <w:r>
        <w:rPr>
          <w:iCs/>
          <w:color w:val="auto"/>
        </w:rPr>
        <w:t xml:space="preserve"> </w:t>
      </w:r>
    </w:p>
    <w:p w14:paraId="11D8375A" w14:textId="77777777" w:rsidR="0046715A" w:rsidRDefault="0046715A">
      <w:pPr>
        <w:rPr>
          <w:iCs/>
          <w:color w:val="auto"/>
        </w:rPr>
      </w:pPr>
    </w:p>
    <w:p w14:paraId="22FECB74" w14:textId="7D207016" w:rsidR="0046715A" w:rsidRDefault="0096028B" w:rsidP="003D144A">
      <w:pPr>
        <w:pStyle w:val="ListParagraph"/>
        <w:numPr>
          <w:ilvl w:val="1"/>
          <w:numId w:val="5"/>
        </w:numPr>
        <w:ind w:left="0" w:firstLine="0"/>
        <w:rPr>
          <w:iCs/>
          <w:color w:val="auto"/>
        </w:rPr>
      </w:pPr>
      <w:r w:rsidRPr="003D144A">
        <w:rPr>
          <w:iCs/>
          <w:color w:val="auto"/>
        </w:rPr>
        <w:t>Acquire</w:t>
      </w:r>
      <w:r w:rsidR="004C535A" w:rsidRPr="003D144A">
        <w:rPr>
          <w:iCs/>
          <w:color w:val="auto"/>
        </w:rPr>
        <w:t xml:space="preserve"> first</w:t>
      </w:r>
      <w:r w:rsidRPr="003D144A">
        <w:rPr>
          <w:iCs/>
          <w:color w:val="auto"/>
        </w:rPr>
        <w:t xml:space="preserve"> image </w:t>
      </w:r>
      <w:r w:rsidR="0046715A">
        <w:rPr>
          <w:iCs/>
          <w:color w:val="auto"/>
        </w:rPr>
        <w:t>0.5-1</w:t>
      </w:r>
      <w:r w:rsidR="001214B2" w:rsidRPr="003D144A">
        <w:rPr>
          <w:iCs/>
          <w:color w:val="auto"/>
        </w:rPr>
        <w:t xml:space="preserve"> </w:t>
      </w:r>
      <w:r w:rsidRPr="003D144A">
        <w:rPr>
          <w:iCs/>
          <w:color w:val="auto"/>
        </w:rPr>
        <w:t xml:space="preserve">h after </w:t>
      </w:r>
      <w:r w:rsidRPr="003D144A">
        <w:rPr>
          <w:iCs/>
          <w:color w:val="auto"/>
          <w:vertAlign w:val="superscript"/>
        </w:rPr>
        <w:t>177</w:t>
      </w:r>
      <w:r w:rsidRPr="003D144A">
        <w:rPr>
          <w:iCs/>
          <w:color w:val="auto"/>
        </w:rPr>
        <w:t>Lu-PSMA</w:t>
      </w:r>
      <w:r w:rsidR="003A3415" w:rsidRPr="003D144A">
        <w:rPr>
          <w:iCs/>
          <w:color w:val="auto"/>
        </w:rPr>
        <w:t>-617</w:t>
      </w:r>
      <w:r w:rsidRPr="003D144A">
        <w:rPr>
          <w:iCs/>
          <w:color w:val="auto"/>
        </w:rPr>
        <w:t xml:space="preserve"> infusion (day 1</w:t>
      </w:r>
      <w:r w:rsidR="00C9074B" w:rsidRPr="003D144A">
        <w:rPr>
          <w:iCs/>
          <w:color w:val="auto"/>
        </w:rPr>
        <w:t xml:space="preserve">, </w:t>
      </w:r>
      <w:r w:rsidR="00C9074B" w:rsidRPr="003D144A">
        <w:rPr>
          <w:b/>
          <w:bCs/>
          <w:iCs/>
          <w:color w:val="auto"/>
        </w:rPr>
        <w:t>Figure 1</w:t>
      </w:r>
      <w:r w:rsidRPr="003D144A">
        <w:rPr>
          <w:iCs/>
          <w:color w:val="auto"/>
        </w:rPr>
        <w:t xml:space="preserve">). </w:t>
      </w:r>
    </w:p>
    <w:p w14:paraId="2ABD9692" w14:textId="77777777" w:rsidR="0046715A" w:rsidRDefault="0046715A">
      <w:pPr>
        <w:pStyle w:val="ListParagraph"/>
        <w:ind w:left="0"/>
        <w:rPr>
          <w:iCs/>
          <w:color w:val="auto"/>
        </w:rPr>
      </w:pPr>
    </w:p>
    <w:p w14:paraId="0D6D067A" w14:textId="1DF9AA1F" w:rsidR="003C2297" w:rsidRPr="003D144A" w:rsidRDefault="0046715A" w:rsidP="003D144A">
      <w:pPr>
        <w:pStyle w:val="ListParagraph"/>
        <w:numPr>
          <w:ilvl w:val="2"/>
          <w:numId w:val="5"/>
        </w:numPr>
        <w:ind w:left="0" w:firstLine="0"/>
        <w:rPr>
          <w:iCs/>
          <w:color w:val="auto"/>
        </w:rPr>
      </w:pPr>
      <w:r w:rsidRPr="003D144A">
        <w:rPr>
          <w:b/>
          <w:bCs/>
          <w:iCs/>
          <w:color w:val="auto"/>
        </w:rPr>
        <w:t>Acquire</w:t>
      </w:r>
      <w:r w:rsidR="0061666B" w:rsidRPr="003D144A">
        <w:rPr>
          <w:iCs/>
          <w:color w:val="auto"/>
        </w:rPr>
        <w:t xml:space="preserve"> </w:t>
      </w:r>
      <w:r w:rsidR="004C535A" w:rsidRPr="003D144A">
        <w:rPr>
          <w:b/>
          <w:iCs/>
          <w:color w:val="auto"/>
        </w:rPr>
        <w:t>the f</w:t>
      </w:r>
      <w:r w:rsidR="0061666B" w:rsidRPr="003D144A">
        <w:rPr>
          <w:b/>
          <w:iCs/>
          <w:color w:val="auto"/>
        </w:rPr>
        <w:t>irst image before bladder voiding</w:t>
      </w:r>
      <w:r w:rsidR="0061666B" w:rsidRPr="003D144A">
        <w:rPr>
          <w:iCs/>
          <w:color w:val="auto"/>
        </w:rPr>
        <w:t xml:space="preserve">. If </w:t>
      </w:r>
      <w:r w:rsidR="001214B2" w:rsidRPr="003D144A">
        <w:rPr>
          <w:iCs/>
          <w:color w:val="auto"/>
        </w:rPr>
        <w:t xml:space="preserve">the </w:t>
      </w:r>
      <w:r w:rsidR="0061666B" w:rsidRPr="003D144A">
        <w:rPr>
          <w:iCs/>
          <w:color w:val="auto"/>
        </w:rPr>
        <w:t>patient feel</w:t>
      </w:r>
      <w:r w:rsidR="008B2B0D" w:rsidRPr="003D144A">
        <w:rPr>
          <w:iCs/>
          <w:color w:val="auto"/>
        </w:rPr>
        <w:t>s</w:t>
      </w:r>
      <w:r w:rsidR="004C535A" w:rsidRPr="003D144A">
        <w:rPr>
          <w:iCs/>
          <w:color w:val="auto"/>
        </w:rPr>
        <w:t xml:space="preserve"> an</w:t>
      </w:r>
      <w:r w:rsidR="0061666B" w:rsidRPr="003D144A">
        <w:rPr>
          <w:iCs/>
          <w:color w:val="auto"/>
        </w:rPr>
        <w:t xml:space="preserve"> urgent </w:t>
      </w:r>
      <w:r w:rsidR="004C535A" w:rsidRPr="003D144A">
        <w:rPr>
          <w:iCs/>
          <w:color w:val="auto"/>
        </w:rPr>
        <w:t xml:space="preserve">need </w:t>
      </w:r>
      <w:r w:rsidR="0061666B" w:rsidRPr="003D144A">
        <w:rPr>
          <w:iCs/>
          <w:color w:val="auto"/>
        </w:rPr>
        <w:t xml:space="preserve">for bladder voiding, provide a proper vessel for urine collection. Take care to </w:t>
      </w:r>
      <w:r w:rsidR="008B2B0D" w:rsidRPr="003D144A">
        <w:rPr>
          <w:iCs/>
          <w:color w:val="auto"/>
        </w:rPr>
        <w:t>i</w:t>
      </w:r>
      <w:r w:rsidR="00875721" w:rsidRPr="003D144A">
        <w:rPr>
          <w:iCs/>
          <w:color w:val="auto"/>
        </w:rPr>
        <w:t>n</w:t>
      </w:r>
      <w:r w:rsidR="008B2B0D" w:rsidRPr="003D144A">
        <w:rPr>
          <w:iCs/>
          <w:color w:val="auto"/>
        </w:rPr>
        <w:t>clude</w:t>
      </w:r>
      <w:r w:rsidR="0061666B" w:rsidRPr="003D144A">
        <w:rPr>
          <w:iCs/>
          <w:color w:val="auto"/>
        </w:rPr>
        <w:t xml:space="preserve"> the vessel (or urine bag if the patient ha</w:t>
      </w:r>
      <w:r w:rsidR="004C535A" w:rsidRPr="003D144A">
        <w:rPr>
          <w:iCs/>
          <w:color w:val="auto"/>
        </w:rPr>
        <w:t xml:space="preserve">s a </w:t>
      </w:r>
      <w:r w:rsidR="0061666B" w:rsidRPr="003D144A">
        <w:rPr>
          <w:iCs/>
          <w:color w:val="auto"/>
        </w:rPr>
        <w:t xml:space="preserve">catheter) in </w:t>
      </w:r>
      <w:r w:rsidR="000171D2" w:rsidRPr="003D144A">
        <w:rPr>
          <w:iCs/>
          <w:color w:val="auto"/>
        </w:rPr>
        <w:t>the image.</w:t>
      </w:r>
    </w:p>
    <w:p w14:paraId="2A9E253A" w14:textId="77777777" w:rsidR="00CA09CF" w:rsidRPr="00DC6A13" w:rsidRDefault="00CA09CF">
      <w:pPr>
        <w:rPr>
          <w:color w:val="auto"/>
        </w:rPr>
      </w:pPr>
    </w:p>
    <w:p w14:paraId="1006F0AC" w14:textId="6147F579" w:rsidR="00C97404" w:rsidRPr="00DC6A13" w:rsidRDefault="001F6D8D" w:rsidP="003D144A">
      <w:pPr>
        <w:pStyle w:val="ListParagraph"/>
        <w:numPr>
          <w:ilvl w:val="1"/>
          <w:numId w:val="5"/>
        </w:numPr>
        <w:ind w:left="0" w:firstLine="0"/>
        <w:rPr>
          <w:color w:val="auto"/>
        </w:rPr>
      </w:pPr>
      <w:r w:rsidRPr="00DC6A13">
        <w:rPr>
          <w:color w:val="auto"/>
        </w:rPr>
        <w:lastRenderedPageBreak/>
        <w:t>Collect</w:t>
      </w:r>
      <w:r w:rsidR="00C97404" w:rsidRPr="00DC6A13">
        <w:rPr>
          <w:color w:val="auto"/>
        </w:rPr>
        <w:t xml:space="preserve"> </w:t>
      </w:r>
      <w:r w:rsidR="004C535A" w:rsidRPr="00DC6A13">
        <w:rPr>
          <w:color w:val="auto"/>
        </w:rPr>
        <w:t>a 2</w:t>
      </w:r>
      <w:r w:rsidR="0046715A">
        <w:rPr>
          <w:color w:val="auto"/>
        </w:rPr>
        <w:t xml:space="preserve"> </w:t>
      </w:r>
      <w:r w:rsidR="0046715A" w:rsidRPr="00DC6A13">
        <w:rPr>
          <w:color w:val="auto"/>
        </w:rPr>
        <w:t>m</w:t>
      </w:r>
      <w:r w:rsidR="0046715A">
        <w:rPr>
          <w:color w:val="auto"/>
        </w:rPr>
        <w:t>L</w:t>
      </w:r>
      <w:r w:rsidR="0046715A" w:rsidRPr="00DC6A13">
        <w:rPr>
          <w:color w:val="auto"/>
        </w:rPr>
        <w:t xml:space="preserve"> </w:t>
      </w:r>
      <w:r w:rsidR="00C97404" w:rsidRPr="00DC6A13">
        <w:rPr>
          <w:color w:val="auto"/>
        </w:rPr>
        <w:t>blood sample</w:t>
      </w:r>
      <w:r w:rsidR="004C535A" w:rsidRPr="00DC6A13">
        <w:rPr>
          <w:color w:val="auto"/>
        </w:rPr>
        <w:t>, cl</w:t>
      </w:r>
      <w:r w:rsidR="00C97404" w:rsidRPr="00DC6A13">
        <w:rPr>
          <w:color w:val="auto"/>
        </w:rPr>
        <w:t xml:space="preserve">ose the </w:t>
      </w:r>
      <w:r w:rsidR="0046715A">
        <w:rPr>
          <w:color w:val="auto"/>
        </w:rPr>
        <w:t>collection tube</w:t>
      </w:r>
      <w:r w:rsidR="0046715A" w:rsidRPr="00DC6A13">
        <w:rPr>
          <w:color w:val="auto"/>
        </w:rPr>
        <w:t xml:space="preserve"> </w:t>
      </w:r>
      <w:r w:rsidR="00C97404" w:rsidRPr="00DC6A13">
        <w:rPr>
          <w:color w:val="auto"/>
        </w:rPr>
        <w:t>and place it in a shielded box</w:t>
      </w:r>
      <w:r w:rsidR="004C535A" w:rsidRPr="00DC6A13">
        <w:rPr>
          <w:color w:val="auto"/>
        </w:rPr>
        <w:t>, noting the time</w:t>
      </w:r>
      <w:r w:rsidR="00C9074B" w:rsidRPr="00DC6A13">
        <w:rPr>
          <w:color w:val="auto"/>
        </w:rPr>
        <w:t>.</w:t>
      </w:r>
    </w:p>
    <w:p w14:paraId="754BBEB6" w14:textId="77777777" w:rsidR="003C2297" w:rsidRPr="00DC6A13" w:rsidRDefault="003C2297">
      <w:pPr>
        <w:pStyle w:val="ListParagraph"/>
        <w:ind w:left="0"/>
        <w:rPr>
          <w:color w:val="auto"/>
        </w:rPr>
      </w:pPr>
    </w:p>
    <w:p w14:paraId="75E05036" w14:textId="77777777" w:rsidR="00AE43CD" w:rsidRPr="00DC6A13" w:rsidRDefault="00AE43CD" w:rsidP="003D144A">
      <w:pPr>
        <w:pStyle w:val="ListParagraph"/>
        <w:numPr>
          <w:ilvl w:val="1"/>
          <w:numId w:val="5"/>
        </w:numPr>
        <w:ind w:left="0" w:firstLine="0"/>
        <w:rPr>
          <w:color w:val="auto"/>
        </w:rPr>
      </w:pPr>
      <w:r w:rsidRPr="00DC6A13">
        <w:rPr>
          <w:color w:val="auto"/>
        </w:rPr>
        <w:t xml:space="preserve">Change to </w:t>
      </w:r>
      <w:r w:rsidR="00CF5D8E" w:rsidRPr="00DC6A13">
        <w:rPr>
          <w:color w:val="auto"/>
        </w:rPr>
        <w:t>medium</w:t>
      </w:r>
      <w:r w:rsidRPr="00DC6A13">
        <w:rPr>
          <w:color w:val="auto"/>
        </w:rPr>
        <w:t xml:space="preserve"> energy</w:t>
      </w:r>
      <w:r w:rsidR="00CF5D8E" w:rsidRPr="00DC6A13">
        <w:rPr>
          <w:color w:val="auto"/>
        </w:rPr>
        <w:t xml:space="preserve"> high resolution </w:t>
      </w:r>
      <w:r w:rsidRPr="00DC6A13">
        <w:rPr>
          <w:color w:val="auto"/>
        </w:rPr>
        <w:t>collimator</w:t>
      </w:r>
      <w:r w:rsidR="00CF5D8E" w:rsidRPr="00DC6A13">
        <w:rPr>
          <w:color w:val="auto"/>
        </w:rPr>
        <w:t xml:space="preserve"> (MEHR)</w:t>
      </w:r>
      <w:r w:rsidR="009F661D" w:rsidRPr="00DC6A13">
        <w:rPr>
          <w:color w:val="auto"/>
        </w:rPr>
        <w:t>.</w:t>
      </w:r>
    </w:p>
    <w:p w14:paraId="397230D0" w14:textId="77777777" w:rsidR="003C2297" w:rsidRPr="00DC6A13" w:rsidRDefault="003C2297">
      <w:pPr>
        <w:pStyle w:val="ListParagraph"/>
        <w:ind w:left="0"/>
        <w:rPr>
          <w:color w:val="auto"/>
        </w:rPr>
      </w:pPr>
    </w:p>
    <w:p w14:paraId="6CC76584" w14:textId="5BE07082" w:rsidR="00D478C5" w:rsidRPr="00DC6A13" w:rsidRDefault="005961E4" w:rsidP="003D144A">
      <w:pPr>
        <w:pStyle w:val="ListParagraph"/>
        <w:numPr>
          <w:ilvl w:val="1"/>
          <w:numId w:val="5"/>
        </w:numPr>
        <w:ind w:left="0" w:firstLine="0"/>
        <w:rPr>
          <w:color w:val="auto"/>
        </w:rPr>
      </w:pPr>
      <w:r w:rsidRPr="00DC6A13">
        <w:rPr>
          <w:color w:val="auto"/>
        </w:rPr>
        <w:t>Open the image protocol acquisition</w:t>
      </w:r>
      <w:r w:rsidR="00D478C5" w:rsidRPr="00DC6A13">
        <w:rPr>
          <w:color w:val="auto"/>
        </w:rPr>
        <w:t xml:space="preserve"> on the workstation</w:t>
      </w:r>
      <w:r w:rsidR="008B2B0D" w:rsidRPr="00DC6A13">
        <w:rPr>
          <w:color w:val="auto"/>
        </w:rPr>
        <w:t xml:space="preserve"> </w:t>
      </w:r>
      <w:r w:rsidR="002E47B6" w:rsidRPr="00DC6A13">
        <w:rPr>
          <w:color w:val="auto"/>
        </w:rPr>
        <w:t>and select</w:t>
      </w:r>
      <w:r w:rsidRPr="00DC6A13">
        <w:rPr>
          <w:color w:val="auto"/>
        </w:rPr>
        <w:t xml:space="preserve"> whole body planar</w:t>
      </w:r>
      <w:r w:rsidR="00D478C5" w:rsidRPr="00DC6A13">
        <w:rPr>
          <w:color w:val="auto"/>
        </w:rPr>
        <w:t xml:space="preserve"> image</w:t>
      </w:r>
      <w:r w:rsidRPr="00DC6A13">
        <w:rPr>
          <w:color w:val="auto"/>
        </w:rPr>
        <w:t xml:space="preserve"> acquisition</w:t>
      </w:r>
      <w:r w:rsidR="00C9074B" w:rsidRPr="00DC6A13">
        <w:rPr>
          <w:color w:val="auto"/>
        </w:rPr>
        <w:t xml:space="preserve">. </w:t>
      </w:r>
      <w:r w:rsidR="00D478C5" w:rsidRPr="00DC6A13">
        <w:rPr>
          <w:color w:val="auto"/>
        </w:rPr>
        <w:t>Check the table velocity</w:t>
      </w:r>
      <w:r w:rsidR="009F2BED" w:rsidRPr="00DC6A13">
        <w:rPr>
          <w:color w:val="auto"/>
        </w:rPr>
        <w:t xml:space="preserve"> (</w:t>
      </w:r>
      <w:r w:rsidR="00591C54" w:rsidRPr="00591C54">
        <w:rPr>
          <w:color w:val="auto"/>
        </w:rPr>
        <w:t xml:space="preserve">e.g., </w:t>
      </w:r>
      <w:r w:rsidR="00D478C5" w:rsidRPr="00DC6A13">
        <w:rPr>
          <w:color w:val="auto"/>
        </w:rPr>
        <w:t>7 cm/min</w:t>
      </w:r>
      <w:r w:rsidR="009F2BED" w:rsidRPr="00DC6A13">
        <w:rPr>
          <w:color w:val="auto"/>
        </w:rPr>
        <w:t xml:space="preserve">) and </w:t>
      </w:r>
      <w:r w:rsidR="0046715A">
        <w:rPr>
          <w:color w:val="auto"/>
        </w:rPr>
        <w:t>z</w:t>
      </w:r>
      <w:r w:rsidR="0046715A" w:rsidRPr="00DC6A13">
        <w:rPr>
          <w:color w:val="auto"/>
        </w:rPr>
        <w:t xml:space="preserve">oom </w:t>
      </w:r>
      <w:r w:rsidR="009F2BED" w:rsidRPr="00DC6A13">
        <w:rPr>
          <w:color w:val="auto"/>
        </w:rPr>
        <w:t>(</w:t>
      </w:r>
      <w:r w:rsidR="00591C54" w:rsidRPr="00591C54">
        <w:rPr>
          <w:color w:val="auto"/>
        </w:rPr>
        <w:t xml:space="preserve">e.g., </w:t>
      </w:r>
      <w:r w:rsidR="00E01F35" w:rsidRPr="00DC6A13">
        <w:rPr>
          <w:color w:val="auto"/>
        </w:rPr>
        <w:t>1</w:t>
      </w:r>
      <w:r w:rsidR="009F2BED" w:rsidRPr="00DC6A13">
        <w:rPr>
          <w:color w:val="auto"/>
        </w:rPr>
        <w:t xml:space="preserve">). </w:t>
      </w:r>
      <w:r w:rsidR="0046715A">
        <w:rPr>
          <w:color w:val="auto"/>
        </w:rPr>
        <w:t>Keep these</w:t>
      </w:r>
      <w:r w:rsidR="0046715A" w:rsidRPr="00DC6A13">
        <w:rPr>
          <w:color w:val="auto"/>
        </w:rPr>
        <w:t xml:space="preserve"> </w:t>
      </w:r>
      <w:r w:rsidR="009F2BED" w:rsidRPr="00DC6A13">
        <w:rPr>
          <w:color w:val="auto"/>
        </w:rPr>
        <w:t>values equal for all the other images</w:t>
      </w:r>
      <w:r w:rsidR="00C9074B" w:rsidRPr="00DC6A13">
        <w:rPr>
          <w:color w:val="auto"/>
        </w:rPr>
        <w:t xml:space="preserve">. </w:t>
      </w:r>
      <w:r w:rsidR="00980187" w:rsidRPr="00DC6A13">
        <w:rPr>
          <w:color w:val="auto"/>
        </w:rPr>
        <w:t xml:space="preserve">Check that the option </w:t>
      </w:r>
      <w:r w:rsidR="00980187" w:rsidRPr="003D144A">
        <w:rPr>
          <w:b/>
          <w:bCs/>
          <w:color w:val="auto"/>
        </w:rPr>
        <w:t>Body Contour</w:t>
      </w:r>
      <w:r w:rsidR="00980187" w:rsidRPr="00DC6A13">
        <w:rPr>
          <w:color w:val="auto"/>
        </w:rPr>
        <w:t xml:space="preserve"> is disabled</w:t>
      </w:r>
      <w:r w:rsidR="00C9074B" w:rsidRPr="00DC6A13">
        <w:rPr>
          <w:color w:val="auto"/>
        </w:rPr>
        <w:t xml:space="preserve">. </w:t>
      </w:r>
    </w:p>
    <w:p w14:paraId="388E5D82" w14:textId="77777777" w:rsidR="003C2297" w:rsidRPr="00DC6A13" w:rsidRDefault="003C2297">
      <w:pPr>
        <w:pStyle w:val="ListParagraph"/>
        <w:ind w:left="0"/>
        <w:rPr>
          <w:color w:val="auto"/>
        </w:rPr>
      </w:pPr>
    </w:p>
    <w:p w14:paraId="48A61513" w14:textId="29AD1F55" w:rsidR="00AE43CD" w:rsidRPr="00DC6A13" w:rsidRDefault="004C535A" w:rsidP="003D144A">
      <w:pPr>
        <w:pStyle w:val="ListParagraph"/>
        <w:numPr>
          <w:ilvl w:val="1"/>
          <w:numId w:val="5"/>
        </w:numPr>
        <w:ind w:left="0" w:firstLine="0"/>
        <w:rPr>
          <w:color w:val="auto"/>
        </w:rPr>
      </w:pPr>
      <w:r w:rsidRPr="00DC6A13">
        <w:rPr>
          <w:color w:val="auto"/>
        </w:rPr>
        <w:t>P</w:t>
      </w:r>
      <w:r w:rsidR="00980187" w:rsidRPr="00DC6A13">
        <w:rPr>
          <w:color w:val="auto"/>
        </w:rPr>
        <w:t>osition the patient on the couch</w:t>
      </w:r>
      <w:r w:rsidRPr="00DC6A13">
        <w:rPr>
          <w:color w:val="auto"/>
        </w:rPr>
        <w:t xml:space="preserve">, ensuring that </w:t>
      </w:r>
      <w:r w:rsidR="00AE43CD" w:rsidRPr="00DC6A13">
        <w:rPr>
          <w:color w:val="auto"/>
        </w:rPr>
        <w:t xml:space="preserve">the position is the same as </w:t>
      </w:r>
      <w:r w:rsidRPr="00DC6A13">
        <w:rPr>
          <w:color w:val="auto"/>
        </w:rPr>
        <w:t xml:space="preserve">that used for </w:t>
      </w:r>
      <w:r w:rsidR="00AE43CD" w:rsidRPr="00DC6A13">
        <w:rPr>
          <w:color w:val="auto"/>
        </w:rPr>
        <w:t>the previous image</w:t>
      </w:r>
      <w:r w:rsidR="006E15B7" w:rsidRPr="00DC6A13">
        <w:rPr>
          <w:color w:val="auto"/>
        </w:rPr>
        <w:t xml:space="preserve"> (</w:t>
      </w:r>
      <w:r w:rsidR="00591C54" w:rsidRPr="00591C54">
        <w:rPr>
          <w:color w:val="auto"/>
        </w:rPr>
        <w:t xml:space="preserve">i.e., </w:t>
      </w:r>
      <w:r w:rsidR="006E15B7" w:rsidRPr="00DC6A13">
        <w:rPr>
          <w:color w:val="auto"/>
        </w:rPr>
        <w:t>pre-infusion transmission scan).</w:t>
      </w:r>
    </w:p>
    <w:p w14:paraId="2683535E" w14:textId="77777777" w:rsidR="003C2297" w:rsidRPr="00DC6A13" w:rsidRDefault="003C2297">
      <w:pPr>
        <w:pStyle w:val="ListParagraph"/>
        <w:ind w:left="0"/>
        <w:rPr>
          <w:color w:val="auto"/>
        </w:rPr>
      </w:pPr>
    </w:p>
    <w:p w14:paraId="17221258" w14:textId="27003CDC" w:rsidR="00C9074B" w:rsidRPr="00DC6A13" w:rsidRDefault="00C9074B" w:rsidP="003D144A">
      <w:pPr>
        <w:pStyle w:val="ListParagraph"/>
        <w:numPr>
          <w:ilvl w:val="1"/>
          <w:numId w:val="5"/>
        </w:numPr>
        <w:ind w:left="0" w:firstLine="0"/>
        <w:rPr>
          <w:color w:val="auto"/>
        </w:rPr>
      </w:pPr>
      <w:r w:rsidRPr="00DC6A13">
        <w:rPr>
          <w:color w:val="auto"/>
        </w:rPr>
        <w:t>Set the SPECT dual head</w:t>
      </w:r>
      <w:r w:rsidR="009745B5" w:rsidRPr="00DC6A13">
        <w:rPr>
          <w:color w:val="auto"/>
        </w:rPr>
        <w:t>s</w:t>
      </w:r>
      <w:r w:rsidRPr="00DC6A13">
        <w:rPr>
          <w:color w:val="auto"/>
        </w:rPr>
        <w:t xml:space="preserve"> at opposite position</w:t>
      </w:r>
      <w:r w:rsidR="004C535A" w:rsidRPr="00DC6A13">
        <w:rPr>
          <w:color w:val="auto"/>
        </w:rPr>
        <w:t>s</w:t>
      </w:r>
      <w:r w:rsidRPr="00DC6A13">
        <w:rPr>
          <w:color w:val="auto"/>
        </w:rPr>
        <w:t xml:space="preserve"> (</w:t>
      </w:r>
      <w:r w:rsidR="00591C54" w:rsidRPr="00591C54">
        <w:rPr>
          <w:color w:val="auto"/>
        </w:rPr>
        <w:t xml:space="preserve">i.e., </w:t>
      </w:r>
      <w:r w:rsidRPr="00DC6A13">
        <w:rPr>
          <w:color w:val="auto"/>
        </w:rPr>
        <w:t>0° and 180°). R</w:t>
      </w:r>
      <w:r w:rsidR="0014598D" w:rsidRPr="00DC6A13">
        <w:rPr>
          <w:color w:val="auto"/>
        </w:rPr>
        <w:t>a</w:t>
      </w:r>
      <w:r w:rsidRPr="00DC6A13">
        <w:rPr>
          <w:color w:val="auto"/>
        </w:rPr>
        <w:t xml:space="preserve">ise the table </w:t>
      </w:r>
      <w:r w:rsidR="0014598D" w:rsidRPr="00DC6A13">
        <w:rPr>
          <w:color w:val="auto"/>
        </w:rPr>
        <w:t xml:space="preserve">so that </w:t>
      </w:r>
      <w:r w:rsidRPr="00DC6A13">
        <w:rPr>
          <w:color w:val="auto"/>
        </w:rPr>
        <w:t xml:space="preserve">the patient is positioned at the FOV center and with the head at the detector center. </w:t>
      </w:r>
    </w:p>
    <w:p w14:paraId="1126819A" w14:textId="77777777" w:rsidR="003C2297" w:rsidRPr="00DC6A13" w:rsidRDefault="003C2297">
      <w:pPr>
        <w:pStyle w:val="ListParagraph"/>
        <w:ind w:left="0"/>
        <w:rPr>
          <w:color w:val="auto"/>
        </w:rPr>
      </w:pPr>
    </w:p>
    <w:p w14:paraId="0D46BD4D" w14:textId="52A16971" w:rsidR="00E5771A" w:rsidRPr="00DC6A13" w:rsidRDefault="0014598D" w:rsidP="003D144A">
      <w:pPr>
        <w:pStyle w:val="ListParagraph"/>
        <w:numPr>
          <w:ilvl w:val="1"/>
          <w:numId w:val="5"/>
        </w:numPr>
        <w:ind w:left="0" w:firstLine="0"/>
        <w:rPr>
          <w:color w:val="auto"/>
          <w:highlight w:val="yellow"/>
        </w:rPr>
      </w:pPr>
      <w:r w:rsidRPr="00DC6A13">
        <w:rPr>
          <w:color w:val="auto"/>
          <w:highlight w:val="yellow"/>
        </w:rPr>
        <w:t>Using the teach pendent, m</w:t>
      </w:r>
      <w:r w:rsidR="00AE43CD" w:rsidRPr="00DC6A13">
        <w:rPr>
          <w:color w:val="auto"/>
          <w:highlight w:val="yellow"/>
        </w:rPr>
        <w:t>anually a</w:t>
      </w:r>
      <w:r w:rsidR="00E5771A" w:rsidRPr="00DC6A13">
        <w:rPr>
          <w:color w:val="auto"/>
          <w:highlight w:val="yellow"/>
        </w:rPr>
        <w:t xml:space="preserve">djust the position of </w:t>
      </w:r>
      <w:r w:rsidRPr="00DC6A13">
        <w:rPr>
          <w:color w:val="auto"/>
          <w:highlight w:val="yellow"/>
        </w:rPr>
        <w:t xml:space="preserve">the </w:t>
      </w:r>
      <w:r w:rsidR="005961E4" w:rsidRPr="00DC6A13">
        <w:rPr>
          <w:color w:val="auto"/>
          <w:highlight w:val="yellow"/>
        </w:rPr>
        <w:t>posterior</w:t>
      </w:r>
      <w:r w:rsidR="00E5771A" w:rsidRPr="00DC6A13">
        <w:rPr>
          <w:color w:val="auto"/>
          <w:highlight w:val="yellow"/>
        </w:rPr>
        <w:t xml:space="preserve"> camera (</w:t>
      </w:r>
      <w:r w:rsidR="00591C54" w:rsidRPr="00591C54">
        <w:rPr>
          <w:color w:val="auto"/>
          <w:highlight w:val="yellow"/>
        </w:rPr>
        <w:t xml:space="preserve">i.e., </w:t>
      </w:r>
      <w:r w:rsidR="00E5771A" w:rsidRPr="00DC6A13">
        <w:rPr>
          <w:color w:val="auto"/>
          <w:highlight w:val="yellow"/>
        </w:rPr>
        <w:t xml:space="preserve">positioned at 180°) to reach the minimum distance from the </w:t>
      </w:r>
      <w:r w:rsidR="005961E4" w:rsidRPr="00DC6A13">
        <w:rPr>
          <w:color w:val="auto"/>
          <w:highlight w:val="yellow"/>
        </w:rPr>
        <w:t>inferior couch profile</w:t>
      </w:r>
      <w:r w:rsidR="009F661D" w:rsidRPr="00DC6A13">
        <w:rPr>
          <w:color w:val="auto"/>
          <w:highlight w:val="yellow"/>
        </w:rPr>
        <w:t>.</w:t>
      </w:r>
    </w:p>
    <w:p w14:paraId="6DD8E9F8" w14:textId="77777777" w:rsidR="003C2297" w:rsidRPr="00DC6A13" w:rsidRDefault="003C2297">
      <w:pPr>
        <w:pStyle w:val="ListParagraph"/>
        <w:ind w:left="0"/>
        <w:rPr>
          <w:color w:val="auto"/>
        </w:rPr>
      </w:pPr>
    </w:p>
    <w:p w14:paraId="3594B55F" w14:textId="41B203DB" w:rsidR="005961E4" w:rsidRPr="00DC6A13" w:rsidRDefault="00AE43CD" w:rsidP="003D144A">
      <w:pPr>
        <w:pStyle w:val="ListParagraph"/>
        <w:numPr>
          <w:ilvl w:val="1"/>
          <w:numId w:val="5"/>
        </w:numPr>
        <w:ind w:left="0" w:firstLine="0"/>
        <w:rPr>
          <w:color w:val="auto"/>
        </w:rPr>
      </w:pPr>
      <w:r w:rsidRPr="00DC6A13">
        <w:rPr>
          <w:color w:val="auto"/>
          <w:highlight w:val="yellow"/>
        </w:rPr>
        <w:t>Manually a</w:t>
      </w:r>
      <w:r w:rsidR="005961E4" w:rsidRPr="00DC6A13">
        <w:rPr>
          <w:color w:val="auto"/>
          <w:highlight w:val="yellow"/>
        </w:rPr>
        <w:t>djust the position of anterior camera (</w:t>
      </w:r>
      <w:r w:rsidR="00591C54" w:rsidRPr="00591C54">
        <w:rPr>
          <w:color w:val="auto"/>
          <w:highlight w:val="yellow"/>
        </w:rPr>
        <w:t xml:space="preserve">i.e., </w:t>
      </w:r>
      <w:r w:rsidR="005961E4" w:rsidRPr="00DC6A13">
        <w:rPr>
          <w:color w:val="auto"/>
          <w:highlight w:val="yellow"/>
        </w:rPr>
        <w:t>positioned at 0°) to reach minimum distance fr</w:t>
      </w:r>
      <w:r w:rsidR="0014598D" w:rsidRPr="00DC6A13">
        <w:rPr>
          <w:color w:val="auto"/>
          <w:highlight w:val="yellow"/>
        </w:rPr>
        <w:t>o</w:t>
      </w:r>
      <w:r w:rsidR="005961E4" w:rsidRPr="00DC6A13">
        <w:rPr>
          <w:color w:val="auto"/>
          <w:highlight w:val="yellow"/>
        </w:rPr>
        <w:t xml:space="preserve">m </w:t>
      </w:r>
      <w:r w:rsidR="0014598D" w:rsidRPr="00DC6A13">
        <w:rPr>
          <w:color w:val="auto"/>
          <w:highlight w:val="yellow"/>
        </w:rPr>
        <w:t xml:space="preserve">the </w:t>
      </w:r>
      <w:r w:rsidR="005961E4" w:rsidRPr="00DC6A13">
        <w:rPr>
          <w:color w:val="auto"/>
          <w:highlight w:val="yellow"/>
        </w:rPr>
        <w:t>patient</w:t>
      </w:r>
      <w:r w:rsidR="0014598D" w:rsidRPr="00DC6A13">
        <w:rPr>
          <w:color w:val="auto"/>
          <w:highlight w:val="yellow"/>
        </w:rPr>
        <w:t xml:space="preserve">’s </w:t>
      </w:r>
      <w:r w:rsidR="005961E4" w:rsidRPr="00DC6A13">
        <w:rPr>
          <w:color w:val="auto"/>
          <w:highlight w:val="yellow"/>
        </w:rPr>
        <w:t xml:space="preserve">profile. </w:t>
      </w:r>
      <w:r w:rsidR="008A3C95">
        <w:rPr>
          <w:color w:val="auto"/>
          <w:highlight w:val="yellow"/>
        </w:rPr>
        <w:t>T</w:t>
      </w:r>
      <w:r w:rsidR="005961E4" w:rsidRPr="00DC6A13">
        <w:rPr>
          <w:color w:val="auto"/>
          <w:highlight w:val="yellow"/>
        </w:rPr>
        <w:t xml:space="preserve">ake into account the </w:t>
      </w:r>
      <w:r w:rsidR="0014598D" w:rsidRPr="00DC6A13">
        <w:rPr>
          <w:color w:val="auto"/>
          <w:highlight w:val="yellow"/>
        </w:rPr>
        <w:t>entire</w:t>
      </w:r>
      <w:r w:rsidR="005961E4" w:rsidRPr="00DC6A13">
        <w:rPr>
          <w:color w:val="auto"/>
          <w:highlight w:val="yellow"/>
        </w:rPr>
        <w:t xml:space="preserve"> </w:t>
      </w:r>
      <w:r w:rsidR="009745B5" w:rsidRPr="00DC6A13">
        <w:rPr>
          <w:color w:val="auto"/>
          <w:highlight w:val="yellow"/>
        </w:rPr>
        <w:t xml:space="preserve">body </w:t>
      </w:r>
      <w:r w:rsidR="005961E4" w:rsidRPr="00DC6A13">
        <w:rPr>
          <w:color w:val="auto"/>
          <w:highlight w:val="yellow"/>
        </w:rPr>
        <w:t>surface</w:t>
      </w:r>
      <w:r w:rsidR="009745B5" w:rsidRPr="00DC6A13">
        <w:rPr>
          <w:color w:val="auto"/>
          <w:highlight w:val="yellow"/>
        </w:rPr>
        <w:t xml:space="preserve"> </w:t>
      </w:r>
      <w:r w:rsidR="005961E4" w:rsidRPr="00DC6A13">
        <w:rPr>
          <w:color w:val="auto"/>
          <w:highlight w:val="yellow"/>
        </w:rPr>
        <w:t>along the whole patient height to avoid collision during scanning</w:t>
      </w:r>
      <w:r w:rsidR="009F661D" w:rsidRPr="00DC6A13">
        <w:rPr>
          <w:color w:val="auto"/>
          <w:highlight w:val="yellow"/>
        </w:rPr>
        <w:t>.</w:t>
      </w:r>
    </w:p>
    <w:p w14:paraId="24FED51B" w14:textId="77777777" w:rsidR="003C2297" w:rsidRPr="00DC6A13" w:rsidRDefault="003C2297">
      <w:pPr>
        <w:pStyle w:val="ListParagraph"/>
        <w:ind w:left="0"/>
        <w:rPr>
          <w:color w:val="auto"/>
          <w:highlight w:val="cyan"/>
        </w:rPr>
      </w:pPr>
    </w:p>
    <w:p w14:paraId="5F422D3F" w14:textId="77777777" w:rsidR="00AE43CD" w:rsidRPr="00DC6A13" w:rsidRDefault="009745B5" w:rsidP="003D144A">
      <w:pPr>
        <w:pStyle w:val="ListParagraph"/>
        <w:numPr>
          <w:ilvl w:val="1"/>
          <w:numId w:val="5"/>
        </w:numPr>
        <w:ind w:left="0" w:firstLine="0"/>
        <w:rPr>
          <w:color w:val="auto"/>
        </w:rPr>
      </w:pPr>
      <w:r w:rsidRPr="00DC6A13">
        <w:rPr>
          <w:color w:val="auto"/>
        </w:rPr>
        <w:t>Taking</w:t>
      </w:r>
      <w:r w:rsidR="00AE43CD" w:rsidRPr="00DC6A13">
        <w:rPr>
          <w:color w:val="auto"/>
        </w:rPr>
        <w:t xml:space="preserve"> note of </w:t>
      </w:r>
      <w:r w:rsidRPr="00DC6A13">
        <w:rPr>
          <w:color w:val="auto"/>
        </w:rPr>
        <w:t xml:space="preserve">the position of the duel heads, </w:t>
      </w:r>
      <w:r w:rsidR="00C95290" w:rsidRPr="00DC6A13">
        <w:rPr>
          <w:color w:val="auto"/>
        </w:rPr>
        <w:t>start image acquisition.</w:t>
      </w:r>
    </w:p>
    <w:p w14:paraId="08CEABD2" w14:textId="77777777" w:rsidR="003C2297" w:rsidRPr="00DC6A13" w:rsidRDefault="003C2297">
      <w:pPr>
        <w:pStyle w:val="ListParagraph"/>
        <w:ind w:left="0"/>
        <w:rPr>
          <w:color w:val="auto"/>
        </w:rPr>
      </w:pPr>
    </w:p>
    <w:p w14:paraId="7BA25A46" w14:textId="7F8F3A8B" w:rsidR="00C97404" w:rsidRPr="00DC6A13" w:rsidRDefault="00C97404" w:rsidP="003D144A">
      <w:pPr>
        <w:pStyle w:val="ListParagraph"/>
        <w:numPr>
          <w:ilvl w:val="1"/>
          <w:numId w:val="5"/>
        </w:numPr>
        <w:ind w:left="0" w:firstLine="0"/>
        <w:rPr>
          <w:color w:val="auto"/>
        </w:rPr>
      </w:pPr>
      <w:r w:rsidRPr="00DC6A13">
        <w:rPr>
          <w:color w:val="auto"/>
        </w:rPr>
        <w:t xml:space="preserve">At the end of image acquisition, press </w:t>
      </w:r>
      <w:r w:rsidRPr="003D144A">
        <w:rPr>
          <w:b/>
          <w:bCs/>
          <w:color w:val="auto"/>
        </w:rPr>
        <w:t>Unload</w:t>
      </w:r>
      <w:r w:rsidRPr="00DC6A13">
        <w:rPr>
          <w:color w:val="auto"/>
        </w:rPr>
        <w:t xml:space="preserve"> on the </w:t>
      </w:r>
      <w:r w:rsidR="009745B5" w:rsidRPr="00DC6A13">
        <w:rPr>
          <w:color w:val="auto"/>
        </w:rPr>
        <w:t xml:space="preserve">teach </w:t>
      </w:r>
      <w:r w:rsidRPr="00DC6A13">
        <w:rPr>
          <w:color w:val="auto"/>
        </w:rPr>
        <w:t>pendant</w:t>
      </w:r>
      <w:r w:rsidR="00C9074B" w:rsidRPr="00DC6A13">
        <w:rPr>
          <w:color w:val="auto"/>
        </w:rPr>
        <w:t xml:space="preserve"> and h</w:t>
      </w:r>
      <w:r w:rsidRPr="00DC6A13">
        <w:rPr>
          <w:color w:val="auto"/>
        </w:rPr>
        <w:t>elp the patient to get up</w:t>
      </w:r>
      <w:r w:rsidR="009F661D" w:rsidRPr="00DC6A13">
        <w:rPr>
          <w:color w:val="auto"/>
        </w:rPr>
        <w:t>.</w:t>
      </w:r>
    </w:p>
    <w:p w14:paraId="1E6E181B" w14:textId="77777777" w:rsidR="003C2297" w:rsidRPr="00DC6A13" w:rsidRDefault="003C2297">
      <w:pPr>
        <w:pStyle w:val="ListParagraph"/>
        <w:ind w:left="0"/>
        <w:rPr>
          <w:color w:val="auto"/>
        </w:rPr>
      </w:pPr>
    </w:p>
    <w:p w14:paraId="009F9436" w14:textId="77777777" w:rsidR="00B37F7A" w:rsidRPr="00DC6A13" w:rsidRDefault="0096028B" w:rsidP="003D144A">
      <w:pPr>
        <w:pStyle w:val="ListParagraph"/>
        <w:numPr>
          <w:ilvl w:val="1"/>
          <w:numId w:val="5"/>
        </w:numPr>
        <w:ind w:left="0" w:firstLine="0"/>
        <w:rPr>
          <w:color w:val="auto"/>
          <w:highlight w:val="yellow"/>
        </w:rPr>
      </w:pPr>
      <w:r w:rsidRPr="00DC6A13">
        <w:rPr>
          <w:color w:val="auto"/>
          <w:highlight w:val="yellow"/>
        </w:rPr>
        <w:t xml:space="preserve">Repeat </w:t>
      </w:r>
      <w:r w:rsidR="009745B5" w:rsidRPr="00DC6A13">
        <w:rPr>
          <w:color w:val="auto"/>
          <w:highlight w:val="yellow"/>
        </w:rPr>
        <w:t xml:space="preserve">the </w:t>
      </w:r>
      <w:r w:rsidRPr="00DC6A13">
        <w:rPr>
          <w:color w:val="auto"/>
          <w:highlight w:val="yellow"/>
        </w:rPr>
        <w:t xml:space="preserve">same image acquisition </w:t>
      </w:r>
      <w:r w:rsidR="00133A04" w:rsidRPr="00DC6A13">
        <w:rPr>
          <w:color w:val="auto"/>
          <w:highlight w:val="yellow"/>
        </w:rPr>
        <w:t xml:space="preserve">with the same camera settings </w:t>
      </w:r>
      <w:r w:rsidRPr="00DC6A13">
        <w:rPr>
          <w:color w:val="auto"/>
          <w:highlight w:val="yellow"/>
        </w:rPr>
        <w:t>at 16-24 h (</w:t>
      </w:r>
      <w:r w:rsidR="002E47B6" w:rsidRPr="00DC6A13">
        <w:rPr>
          <w:color w:val="auto"/>
          <w:highlight w:val="yellow"/>
        </w:rPr>
        <w:t>second image</w:t>
      </w:r>
      <w:r w:rsidRPr="00DC6A13">
        <w:rPr>
          <w:color w:val="auto"/>
          <w:highlight w:val="yellow"/>
        </w:rPr>
        <w:t>, day 2), 36-48 h (</w:t>
      </w:r>
      <w:r w:rsidR="009745B5" w:rsidRPr="00DC6A13">
        <w:rPr>
          <w:color w:val="auto"/>
          <w:highlight w:val="yellow"/>
        </w:rPr>
        <w:t>third</w:t>
      </w:r>
      <w:r w:rsidRPr="00DC6A13">
        <w:rPr>
          <w:color w:val="auto"/>
          <w:highlight w:val="yellow"/>
        </w:rPr>
        <w:t xml:space="preserve"> image, day 3) and 120 h (</w:t>
      </w:r>
      <w:r w:rsidR="009745B5" w:rsidRPr="00DC6A13">
        <w:rPr>
          <w:color w:val="auto"/>
          <w:highlight w:val="yellow"/>
        </w:rPr>
        <w:t xml:space="preserve">fourth </w:t>
      </w:r>
      <w:r w:rsidRPr="00DC6A13">
        <w:rPr>
          <w:color w:val="auto"/>
          <w:highlight w:val="yellow"/>
        </w:rPr>
        <w:t>image, day 6) post infusion</w:t>
      </w:r>
      <w:r w:rsidR="009F661D" w:rsidRPr="00DC6A13">
        <w:rPr>
          <w:color w:val="auto"/>
          <w:highlight w:val="yellow"/>
        </w:rPr>
        <w:t>.</w:t>
      </w:r>
    </w:p>
    <w:p w14:paraId="05058B47" w14:textId="77777777" w:rsidR="003C2297" w:rsidRPr="00DC6A13" w:rsidRDefault="003C2297">
      <w:pPr>
        <w:pStyle w:val="ListParagraph"/>
        <w:ind w:left="0"/>
        <w:rPr>
          <w:color w:val="auto"/>
        </w:rPr>
      </w:pPr>
    </w:p>
    <w:p w14:paraId="40BCC3FD" w14:textId="726B1D41" w:rsidR="00EB1548" w:rsidRPr="00DC6A13" w:rsidRDefault="00802918" w:rsidP="003D144A">
      <w:pPr>
        <w:pStyle w:val="ListParagraph"/>
        <w:numPr>
          <w:ilvl w:val="1"/>
          <w:numId w:val="5"/>
        </w:numPr>
        <w:ind w:left="0" w:firstLine="0"/>
        <w:rPr>
          <w:color w:val="auto"/>
          <w:highlight w:val="yellow"/>
        </w:rPr>
      </w:pPr>
      <w:r w:rsidRPr="00DC6A13">
        <w:rPr>
          <w:color w:val="auto"/>
          <w:highlight w:val="yellow"/>
        </w:rPr>
        <w:t>Collect</w:t>
      </w:r>
      <w:r w:rsidR="009745B5" w:rsidRPr="00DC6A13">
        <w:rPr>
          <w:color w:val="auto"/>
          <w:highlight w:val="yellow"/>
        </w:rPr>
        <w:t xml:space="preserve"> a </w:t>
      </w:r>
      <w:r w:rsidR="00C97404" w:rsidRPr="00DC6A13">
        <w:rPr>
          <w:color w:val="auto"/>
          <w:highlight w:val="yellow"/>
        </w:rPr>
        <w:t>2</w:t>
      </w:r>
      <w:r w:rsidR="00BD0F92">
        <w:rPr>
          <w:color w:val="auto"/>
          <w:highlight w:val="yellow"/>
        </w:rPr>
        <w:t xml:space="preserve"> </w:t>
      </w:r>
      <w:r w:rsidR="00BD0F92" w:rsidRPr="00DC6A13">
        <w:rPr>
          <w:color w:val="auto"/>
          <w:highlight w:val="yellow"/>
        </w:rPr>
        <w:t>m</w:t>
      </w:r>
      <w:r w:rsidR="00BD0F92">
        <w:rPr>
          <w:color w:val="auto"/>
          <w:highlight w:val="yellow"/>
        </w:rPr>
        <w:t>L</w:t>
      </w:r>
      <w:r w:rsidR="00BD0F92" w:rsidRPr="00DC6A13">
        <w:rPr>
          <w:color w:val="auto"/>
          <w:highlight w:val="yellow"/>
        </w:rPr>
        <w:t xml:space="preserve"> </w:t>
      </w:r>
      <w:r w:rsidR="009745B5" w:rsidRPr="00DC6A13">
        <w:rPr>
          <w:color w:val="auto"/>
          <w:highlight w:val="yellow"/>
        </w:rPr>
        <w:t>blood sample</w:t>
      </w:r>
      <w:r w:rsidR="00C97404" w:rsidRPr="00DC6A13">
        <w:rPr>
          <w:color w:val="auto"/>
          <w:highlight w:val="yellow"/>
        </w:rPr>
        <w:t xml:space="preserve"> at the same time </w:t>
      </w:r>
      <w:r w:rsidR="009745B5" w:rsidRPr="00DC6A13">
        <w:rPr>
          <w:color w:val="auto"/>
          <w:highlight w:val="yellow"/>
        </w:rPr>
        <w:t>as the S</w:t>
      </w:r>
      <w:r w:rsidR="00C97404" w:rsidRPr="00DC6A13">
        <w:rPr>
          <w:color w:val="auto"/>
          <w:highlight w:val="yellow"/>
        </w:rPr>
        <w:t xml:space="preserve">PECT image acquisition, close the </w:t>
      </w:r>
      <w:r w:rsidR="00BD0F92">
        <w:rPr>
          <w:color w:val="auto"/>
          <w:highlight w:val="yellow"/>
        </w:rPr>
        <w:t>collection tube</w:t>
      </w:r>
      <w:r w:rsidR="00BD0F92" w:rsidRPr="00DC6A13">
        <w:rPr>
          <w:color w:val="auto"/>
          <w:highlight w:val="yellow"/>
        </w:rPr>
        <w:t xml:space="preserve"> </w:t>
      </w:r>
      <w:r w:rsidR="00C97404" w:rsidRPr="00DC6A13">
        <w:rPr>
          <w:color w:val="auto"/>
          <w:highlight w:val="yellow"/>
        </w:rPr>
        <w:t>and place it in a shielded box</w:t>
      </w:r>
      <w:r w:rsidR="009745B5" w:rsidRPr="00DC6A13">
        <w:rPr>
          <w:color w:val="auto"/>
          <w:highlight w:val="yellow"/>
        </w:rPr>
        <w:t>, making a note of the time</w:t>
      </w:r>
      <w:r w:rsidR="00C9074B" w:rsidRPr="00DC6A13">
        <w:rPr>
          <w:color w:val="auto"/>
          <w:highlight w:val="yellow"/>
        </w:rPr>
        <w:t>.</w:t>
      </w:r>
    </w:p>
    <w:p w14:paraId="24B791CB" w14:textId="77777777" w:rsidR="00E5771A" w:rsidRPr="00DC6A13" w:rsidRDefault="00E5771A">
      <w:pPr>
        <w:rPr>
          <w:color w:val="auto"/>
        </w:rPr>
      </w:pPr>
    </w:p>
    <w:p w14:paraId="3160DAE9" w14:textId="124E343D" w:rsidR="00B37F7A" w:rsidRPr="00DC6A13" w:rsidRDefault="00B37F7A" w:rsidP="003D144A">
      <w:pPr>
        <w:pStyle w:val="ListParagraph"/>
        <w:numPr>
          <w:ilvl w:val="0"/>
          <w:numId w:val="5"/>
        </w:numPr>
        <w:ind w:left="0" w:firstLine="0"/>
        <w:rPr>
          <w:b/>
          <w:color w:val="auto"/>
        </w:rPr>
      </w:pPr>
      <w:r w:rsidRPr="00DC6A13">
        <w:rPr>
          <w:b/>
          <w:color w:val="auto"/>
        </w:rPr>
        <w:t>Post</w:t>
      </w:r>
      <w:r w:rsidR="009745B5" w:rsidRPr="00DC6A13">
        <w:rPr>
          <w:b/>
          <w:color w:val="auto"/>
        </w:rPr>
        <w:t>-</w:t>
      </w:r>
      <w:r w:rsidRPr="00DC6A13">
        <w:rPr>
          <w:b/>
          <w:color w:val="auto"/>
        </w:rPr>
        <w:t>infusion image acquisition</w:t>
      </w:r>
      <w:r w:rsidR="00BD0F92">
        <w:rPr>
          <w:b/>
          <w:color w:val="auto"/>
        </w:rPr>
        <w:t>:</w:t>
      </w:r>
      <w:r w:rsidRPr="00DC6A13">
        <w:rPr>
          <w:b/>
          <w:color w:val="auto"/>
        </w:rPr>
        <w:t xml:space="preserve"> 3D SPECT/CT</w:t>
      </w:r>
    </w:p>
    <w:p w14:paraId="6BBADF07" w14:textId="77777777" w:rsidR="003C2297" w:rsidRPr="00DC6A13" w:rsidRDefault="003C2297">
      <w:pPr>
        <w:pStyle w:val="ListParagraph"/>
        <w:ind w:left="0"/>
        <w:rPr>
          <w:b/>
          <w:color w:val="auto"/>
        </w:rPr>
      </w:pPr>
    </w:p>
    <w:p w14:paraId="7B0B0D32" w14:textId="71E2DF42" w:rsidR="00B37F7A" w:rsidRPr="00DC6A13" w:rsidRDefault="00BD0F92">
      <w:pPr>
        <w:rPr>
          <w:i/>
          <w:color w:val="auto"/>
        </w:rPr>
      </w:pPr>
      <w:r>
        <w:rPr>
          <w:iCs/>
          <w:color w:val="auto"/>
        </w:rPr>
        <w:t xml:space="preserve">NOTE: </w:t>
      </w:r>
      <w:r w:rsidR="009745B5" w:rsidRPr="003D144A">
        <w:rPr>
          <w:iCs/>
          <w:color w:val="auto"/>
        </w:rPr>
        <w:t>On</w:t>
      </w:r>
      <w:r w:rsidR="00B37F7A" w:rsidRPr="003D144A">
        <w:rPr>
          <w:iCs/>
          <w:color w:val="auto"/>
        </w:rPr>
        <w:t xml:space="preserve"> day 2 (16-24</w:t>
      </w:r>
      <w:r w:rsidR="009745B5" w:rsidRPr="003D144A">
        <w:rPr>
          <w:iCs/>
          <w:color w:val="auto"/>
        </w:rPr>
        <w:t xml:space="preserve"> </w:t>
      </w:r>
      <w:r w:rsidR="00B37F7A" w:rsidRPr="003D144A">
        <w:rPr>
          <w:iCs/>
          <w:color w:val="auto"/>
        </w:rPr>
        <w:t xml:space="preserve">h post infusion) a 3D image acquisition is performed, together with the planar image </w:t>
      </w:r>
      <w:r w:rsidR="009745B5" w:rsidRPr="003D144A">
        <w:rPr>
          <w:iCs/>
          <w:color w:val="auto"/>
        </w:rPr>
        <w:t>acquisition</w:t>
      </w:r>
      <w:r w:rsidR="00B37F7A" w:rsidRPr="003D144A">
        <w:rPr>
          <w:iCs/>
          <w:color w:val="auto"/>
        </w:rPr>
        <w:t>.</w:t>
      </w:r>
      <w:r w:rsidR="00A52136" w:rsidRPr="003D144A">
        <w:rPr>
          <w:iCs/>
          <w:color w:val="auto"/>
        </w:rPr>
        <w:t xml:space="preserve"> </w:t>
      </w:r>
      <w:r w:rsidR="00921A60" w:rsidRPr="003D144A">
        <w:rPr>
          <w:iCs/>
          <w:color w:val="auto"/>
        </w:rPr>
        <w:t>The 3D SPECT/CT image focuse</w:t>
      </w:r>
      <w:r w:rsidR="00632863" w:rsidRPr="003D144A">
        <w:rPr>
          <w:iCs/>
          <w:color w:val="auto"/>
        </w:rPr>
        <w:t>s</w:t>
      </w:r>
      <w:r w:rsidR="00921A60" w:rsidRPr="003D144A">
        <w:rPr>
          <w:iCs/>
          <w:color w:val="auto"/>
        </w:rPr>
        <w:t xml:space="preserve"> on </w:t>
      </w:r>
      <w:r w:rsidR="00632863" w:rsidRPr="003D144A">
        <w:rPr>
          <w:iCs/>
          <w:color w:val="auto"/>
        </w:rPr>
        <w:t xml:space="preserve">the </w:t>
      </w:r>
      <w:r w:rsidR="00921A60" w:rsidRPr="003D144A">
        <w:rPr>
          <w:iCs/>
          <w:color w:val="auto"/>
        </w:rPr>
        <w:t xml:space="preserve">abdominal region and </w:t>
      </w:r>
      <w:r w:rsidR="00632863" w:rsidRPr="003D144A">
        <w:rPr>
          <w:iCs/>
          <w:color w:val="auto"/>
        </w:rPr>
        <w:t>enables</w:t>
      </w:r>
      <w:r w:rsidR="00921A60" w:rsidRPr="003D144A">
        <w:rPr>
          <w:iCs/>
          <w:color w:val="auto"/>
        </w:rPr>
        <w:t xml:space="preserve"> </w:t>
      </w:r>
      <w:r w:rsidR="00632863" w:rsidRPr="003D144A">
        <w:rPr>
          <w:iCs/>
          <w:color w:val="auto"/>
        </w:rPr>
        <w:t>organ overlap</w:t>
      </w:r>
      <w:r>
        <w:rPr>
          <w:iCs/>
          <w:color w:val="auto"/>
        </w:rPr>
        <w:t xml:space="preserve"> (</w:t>
      </w:r>
      <w:r w:rsidR="00591C54" w:rsidRPr="003D144A">
        <w:rPr>
          <w:iCs/>
          <w:color w:val="auto"/>
        </w:rPr>
        <w:t xml:space="preserve">e.g., </w:t>
      </w:r>
      <w:r w:rsidR="00921A60" w:rsidRPr="003D144A">
        <w:rPr>
          <w:iCs/>
          <w:color w:val="auto"/>
        </w:rPr>
        <w:t xml:space="preserve">kidneys </w:t>
      </w:r>
      <w:r w:rsidR="00632863" w:rsidRPr="003D144A">
        <w:rPr>
          <w:iCs/>
          <w:color w:val="auto"/>
        </w:rPr>
        <w:t xml:space="preserve">or </w:t>
      </w:r>
      <w:r w:rsidR="00921A60" w:rsidRPr="003D144A">
        <w:rPr>
          <w:iCs/>
          <w:color w:val="auto"/>
        </w:rPr>
        <w:t>intestin</w:t>
      </w:r>
      <w:r w:rsidR="00632863" w:rsidRPr="003D144A">
        <w:rPr>
          <w:iCs/>
          <w:color w:val="auto"/>
        </w:rPr>
        <w:t>al</w:t>
      </w:r>
      <w:r w:rsidR="00921A60" w:rsidRPr="003D144A">
        <w:rPr>
          <w:iCs/>
          <w:color w:val="auto"/>
        </w:rPr>
        <w:t xml:space="preserve"> loops</w:t>
      </w:r>
      <w:r>
        <w:rPr>
          <w:iCs/>
          <w:color w:val="auto"/>
        </w:rPr>
        <w:t>)</w:t>
      </w:r>
      <w:r w:rsidRPr="003D144A">
        <w:rPr>
          <w:iCs/>
          <w:color w:val="auto"/>
        </w:rPr>
        <w:t xml:space="preserve"> </w:t>
      </w:r>
      <w:r w:rsidR="00632863" w:rsidRPr="003D144A">
        <w:rPr>
          <w:iCs/>
          <w:color w:val="auto"/>
        </w:rPr>
        <w:t xml:space="preserve">to be avoided </w:t>
      </w:r>
      <w:r w:rsidR="00921A60" w:rsidRPr="003D144A">
        <w:rPr>
          <w:iCs/>
          <w:color w:val="auto"/>
        </w:rPr>
        <w:t>on anterior/posterior projections.</w:t>
      </w:r>
    </w:p>
    <w:p w14:paraId="72062887" w14:textId="77777777" w:rsidR="003C2297" w:rsidRPr="00DC6A13" w:rsidRDefault="003C2297">
      <w:pPr>
        <w:rPr>
          <w:b/>
          <w:color w:val="auto"/>
        </w:rPr>
      </w:pPr>
    </w:p>
    <w:p w14:paraId="714DBC80" w14:textId="77777777" w:rsidR="00CF5D8E" w:rsidRPr="00DC6A13" w:rsidRDefault="00B37F7A" w:rsidP="003D144A">
      <w:pPr>
        <w:pStyle w:val="ListParagraph"/>
        <w:numPr>
          <w:ilvl w:val="1"/>
          <w:numId w:val="5"/>
        </w:numPr>
        <w:ind w:left="0" w:firstLine="0"/>
        <w:rPr>
          <w:color w:val="auto"/>
        </w:rPr>
      </w:pPr>
      <w:r w:rsidRPr="00DC6A13">
        <w:rPr>
          <w:color w:val="auto"/>
        </w:rPr>
        <w:t>After planar image acquisition, select the 3D SPECT/CT image inside the dosimetry protocol on the workstation</w:t>
      </w:r>
      <w:r w:rsidR="009F661D" w:rsidRPr="00DC6A13">
        <w:rPr>
          <w:color w:val="auto"/>
        </w:rPr>
        <w:t>.</w:t>
      </w:r>
    </w:p>
    <w:p w14:paraId="4E456546" w14:textId="77777777" w:rsidR="003C2297" w:rsidRPr="00DC6A13" w:rsidRDefault="003C2297">
      <w:pPr>
        <w:pStyle w:val="ListParagraph"/>
        <w:ind w:left="0"/>
        <w:rPr>
          <w:color w:val="auto"/>
        </w:rPr>
      </w:pPr>
    </w:p>
    <w:p w14:paraId="574B0220" w14:textId="35DB5763" w:rsidR="003C2297" w:rsidRPr="00DC6A13" w:rsidRDefault="00B37F7A" w:rsidP="003D144A">
      <w:pPr>
        <w:pStyle w:val="ListParagraph"/>
        <w:numPr>
          <w:ilvl w:val="1"/>
          <w:numId w:val="5"/>
        </w:numPr>
        <w:ind w:left="0" w:firstLine="0"/>
        <w:rPr>
          <w:color w:val="auto"/>
        </w:rPr>
      </w:pPr>
      <w:r w:rsidRPr="00DC6A13">
        <w:rPr>
          <w:color w:val="auto"/>
        </w:rPr>
        <w:t xml:space="preserve">Check </w:t>
      </w:r>
      <w:r w:rsidR="00632863" w:rsidRPr="00DC6A13">
        <w:rPr>
          <w:color w:val="auto"/>
        </w:rPr>
        <w:t xml:space="preserve">that the </w:t>
      </w:r>
      <w:r w:rsidRPr="00DC6A13">
        <w:rPr>
          <w:color w:val="auto"/>
        </w:rPr>
        <w:t xml:space="preserve">proper image parameters </w:t>
      </w:r>
      <w:r w:rsidR="00632863" w:rsidRPr="00DC6A13">
        <w:rPr>
          <w:color w:val="auto"/>
        </w:rPr>
        <w:t>have been set</w:t>
      </w:r>
      <w:r w:rsidRPr="00DC6A13">
        <w:rPr>
          <w:color w:val="auto"/>
        </w:rPr>
        <w:t>: acquisition modality (</w:t>
      </w:r>
      <w:r w:rsidR="00591C54" w:rsidRPr="00591C54">
        <w:rPr>
          <w:color w:val="auto"/>
        </w:rPr>
        <w:t xml:space="preserve">e.g., </w:t>
      </w:r>
      <w:r w:rsidRPr="00DC6A13">
        <w:rPr>
          <w:color w:val="auto"/>
        </w:rPr>
        <w:t xml:space="preserve">step-and-shoot), </w:t>
      </w:r>
      <w:r w:rsidR="006748B9" w:rsidRPr="00DC6A13">
        <w:rPr>
          <w:color w:val="auto"/>
        </w:rPr>
        <w:t>angle per projection (</w:t>
      </w:r>
      <w:r w:rsidR="00591C54" w:rsidRPr="00591C54">
        <w:rPr>
          <w:color w:val="auto"/>
        </w:rPr>
        <w:t xml:space="preserve">e.g., </w:t>
      </w:r>
      <w:r w:rsidR="006748B9" w:rsidRPr="00DC6A13">
        <w:rPr>
          <w:color w:val="auto"/>
        </w:rPr>
        <w:t xml:space="preserve">5°), </w:t>
      </w:r>
      <w:r w:rsidRPr="00DC6A13">
        <w:rPr>
          <w:color w:val="auto"/>
        </w:rPr>
        <w:t xml:space="preserve">number of </w:t>
      </w:r>
      <w:r w:rsidR="006748B9" w:rsidRPr="00DC6A13">
        <w:rPr>
          <w:color w:val="auto"/>
        </w:rPr>
        <w:t>frames per rotation</w:t>
      </w:r>
      <w:r w:rsidRPr="00DC6A13">
        <w:rPr>
          <w:color w:val="auto"/>
        </w:rPr>
        <w:t xml:space="preserve"> (</w:t>
      </w:r>
      <w:r w:rsidR="00591C54" w:rsidRPr="00591C54">
        <w:rPr>
          <w:color w:val="auto"/>
        </w:rPr>
        <w:t xml:space="preserve">e.g., </w:t>
      </w:r>
      <w:r w:rsidR="006748B9" w:rsidRPr="00DC6A13">
        <w:rPr>
          <w:color w:val="auto"/>
        </w:rPr>
        <w:t>72),</w:t>
      </w:r>
      <w:r w:rsidRPr="00DC6A13">
        <w:rPr>
          <w:color w:val="auto"/>
        </w:rPr>
        <w:t xml:space="preserve"> </w:t>
      </w:r>
      <w:r w:rsidR="006748B9" w:rsidRPr="00DC6A13">
        <w:rPr>
          <w:color w:val="auto"/>
        </w:rPr>
        <w:t xml:space="preserve">frame </w:t>
      </w:r>
      <w:r w:rsidR="006748B9" w:rsidRPr="00DC6A13">
        <w:rPr>
          <w:color w:val="auto"/>
        </w:rPr>
        <w:lastRenderedPageBreak/>
        <w:t>duration (</w:t>
      </w:r>
      <w:r w:rsidR="00591C54" w:rsidRPr="00591C54">
        <w:rPr>
          <w:color w:val="auto"/>
        </w:rPr>
        <w:t xml:space="preserve">e.g., </w:t>
      </w:r>
      <w:r w:rsidR="006748B9" w:rsidRPr="00DC6A13">
        <w:rPr>
          <w:color w:val="auto"/>
        </w:rPr>
        <w:t xml:space="preserve">3000 ms). </w:t>
      </w:r>
      <w:r w:rsidR="00C95290" w:rsidRPr="00DC6A13">
        <w:rPr>
          <w:color w:val="auto"/>
        </w:rPr>
        <w:t>Check that</w:t>
      </w:r>
      <w:r w:rsidRPr="00DC6A13">
        <w:rPr>
          <w:color w:val="auto"/>
        </w:rPr>
        <w:t xml:space="preserve"> </w:t>
      </w:r>
      <w:r w:rsidRPr="003D144A">
        <w:rPr>
          <w:b/>
          <w:bCs/>
          <w:color w:val="auto"/>
        </w:rPr>
        <w:t>Body Contour</w:t>
      </w:r>
      <w:r w:rsidR="00C95290" w:rsidRPr="00DC6A13">
        <w:rPr>
          <w:color w:val="auto"/>
        </w:rPr>
        <w:t xml:space="preserve"> is disabled</w:t>
      </w:r>
      <w:r w:rsidR="006748B9" w:rsidRPr="00DC6A13">
        <w:rPr>
          <w:color w:val="auto"/>
        </w:rPr>
        <w:t xml:space="preserve">. </w:t>
      </w:r>
    </w:p>
    <w:p w14:paraId="739D5B57" w14:textId="77777777" w:rsidR="00C95290" w:rsidRPr="00DC6A13" w:rsidRDefault="00C95290">
      <w:pPr>
        <w:pStyle w:val="ListParagraph"/>
        <w:ind w:left="0"/>
        <w:rPr>
          <w:color w:val="auto"/>
        </w:rPr>
      </w:pPr>
    </w:p>
    <w:p w14:paraId="76C61103" w14:textId="3070207A" w:rsidR="006748B9" w:rsidRPr="00DC6A13" w:rsidRDefault="00C95290" w:rsidP="003D144A">
      <w:pPr>
        <w:pStyle w:val="ListParagraph"/>
        <w:numPr>
          <w:ilvl w:val="1"/>
          <w:numId w:val="8"/>
        </w:numPr>
        <w:ind w:left="0" w:firstLine="0"/>
        <w:rPr>
          <w:color w:val="auto"/>
        </w:rPr>
      </w:pPr>
      <w:r w:rsidRPr="00DC6A13">
        <w:rPr>
          <w:color w:val="auto"/>
          <w:highlight w:val="yellow"/>
        </w:rPr>
        <w:t>P</w:t>
      </w:r>
      <w:r w:rsidR="006748B9" w:rsidRPr="00DC6A13">
        <w:rPr>
          <w:color w:val="auto"/>
          <w:highlight w:val="yellow"/>
        </w:rPr>
        <w:t>osition the detector at the maximum distance from the center to avoid collision</w:t>
      </w:r>
      <w:r w:rsidR="006748B9" w:rsidRPr="00DC6A13">
        <w:rPr>
          <w:color w:val="auto"/>
        </w:rPr>
        <w:t xml:space="preserve">. </w:t>
      </w:r>
      <w:r w:rsidR="006748B9" w:rsidRPr="00DC6A13">
        <w:rPr>
          <w:color w:val="auto"/>
          <w:highlight w:val="yellow"/>
        </w:rPr>
        <w:t xml:space="preserve">Position the patient with arms lifted </w:t>
      </w:r>
      <w:r w:rsidR="00632863" w:rsidRPr="00DC6A13">
        <w:rPr>
          <w:color w:val="auto"/>
          <w:highlight w:val="yellow"/>
        </w:rPr>
        <w:t xml:space="preserve">over </w:t>
      </w:r>
      <w:r w:rsidR="006748B9" w:rsidRPr="00DC6A13">
        <w:rPr>
          <w:color w:val="auto"/>
          <w:highlight w:val="yellow"/>
        </w:rPr>
        <w:t xml:space="preserve">the head. </w:t>
      </w:r>
      <w:r w:rsidRPr="00DC6A13">
        <w:rPr>
          <w:color w:val="auto"/>
          <w:highlight w:val="yellow"/>
        </w:rPr>
        <w:t>Position</w:t>
      </w:r>
      <w:r w:rsidR="006748B9" w:rsidRPr="00DC6A13">
        <w:rPr>
          <w:color w:val="auto"/>
          <w:highlight w:val="yellow"/>
        </w:rPr>
        <w:t xml:space="preserve"> the patient table inside the camera until when the desired region is centered on the detector (</w:t>
      </w:r>
      <w:r w:rsidR="00591C54" w:rsidRPr="00591C54">
        <w:rPr>
          <w:color w:val="auto"/>
          <w:highlight w:val="yellow"/>
        </w:rPr>
        <w:t xml:space="preserve">e.g., </w:t>
      </w:r>
      <w:r w:rsidR="006748B9" w:rsidRPr="00DC6A13">
        <w:rPr>
          <w:color w:val="auto"/>
          <w:highlight w:val="yellow"/>
        </w:rPr>
        <w:t xml:space="preserve">kidneys and a specific lesion situated in the same region). </w:t>
      </w:r>
      <w:r w:rsidRPr="00DC6A13">
        <w:rPr>
          <w:color w:val="auto"/>
          <w:highlight w:val="yellow"/>
        </w:rPr>
        <w:t xml:space="preserve">Start image </w:t>
      </w:r>
      <w:r w:rsidR="008A752B" w:rsidRPr="00DC6A13">
        <w:rPr>
          <w:color w:val="auto"/>
          <w:highlight w:val="yellow"/>
        </w:rPr>
        <w:t>acquisition</w:t>
      </w:r>
      <w:r w:rsidR="009F661D" w:rsidRPr="00DC6A13">
        <w:rPr>
          <w:color w:val="auto"/>
          <w:highlight w:val="yellow"/>
        </w:rPr>
        <w:t>.</w:t>
      </w:r>
    </w:p>
    <w:p w14:paraId="27879C66" w14:textId="77777777" w:rsidR="003C2297" w:rsidRPr="00DC6A13" w:rsidRDefault="003C2297">
      <w:pPr>
        <w:pStyle w:val="ListParagraph"/>
        <w:ind w:left="0"/>
        <w:rPr>
          <w:color w:val="auto"/>
        </w:rPr>
      </w:pPr>
    </w:p>
    <w:p w14:paraId="1887B5B8" w14:textId="77777777" w:rsidR="006748B9" w:rsidRPr="00DC6A13" w:rsidRDefault="006748B9" w:rsidP="003D144A">
      <w:pPr>
        <w:pStyle w:val="ListParagraph"/>
        <w:numPr>
          <w:ilvl w:val="1"/>
          <w:numId w:val="8"/>
        </w:numPr>
        <w:ind w:left="0" w:firstLine="0"/>
        <w:rPr>
          <w:color w:val="auto"/>
        </w:rPr>
      </w:pPr>
      <w:r w:rsidRPr="00DC6A13">
        <w:rPr>
          <w:color w:val="auto"/>
        </w:rPr>
        <w:t>Acquire the corresponding CT image</w:t>
      </w:r>
      <w:r w:rsidR="009F661D" w:rsidRPr="00DC6A13">
        <w:rPr>
          <w:color w:val="auto"/>
        </w:rPr>
        <w:t>.</w:t>
      </w:r>
    </w:p>
    <w:p w14:paraId="29532452" w14:textId="77777777" w:rsidR="003C2297" w:rsidRPr="00DC6A13" w:rsidRDefault="003C2297">
      <w:pPr>
        <w:pStyle w:val="ListParagraph"/>
        <w:ind w:left="0"/>
        <w:rPr>
          <w:color w:val="auto"/>
          <w:highlight w:val="cyan"/>
        </w:rPr>
      </w:pPr>
    </w:p>
    <w:p w14:paraId="75A51469" w14:textId="5C836706" w:rsidR="006748B9" w:rsidRPr="00DC6A13" w:rsidRDefault="006748B9" w:rsidP="003D144A">
      <w:pPr>
        <w:pStyle w:val="ListParagraph"/>
        <w:numPr>
          <w:ilvl w:val="1"/>
          <w:numId w:val="8"/>
        </w:numPr>
        <w:ind w:left="0" w:firstLine="0"/>
        <w:rPr>
          <w:color w:val="auto"/>
        </w:rPr>
      </w:pPr>
      <w:r w:rsidRPr="00DC6A13">
        <w:rPr>
          <w:color w:val="auto"/>
        </w:rPr>
        <w:t xml:space="preserve">At the end of image acquisition, press </w:t>
      </w:r>
      <w:r w:rsidRPr="003D144A">
        <w:rPr>
          <w:b/>
          <w:bCs/>
          <w:color w:val="auto"/>
        </w:rPr>
        <w:t>Unload</w:t>
      </w:r>
      <w:r w:rsidRPr="00DC6A13">
        <w:rPr>
          <w:color w:val="auto"/>
        </w:rPr>
        <w:t xml:space="preserve"> on the </w:t>
      </w:r>
      <w:r w:rsidR="00632863" w:rsidRPr="00DC6A13">
        <w:rPr>
          <w:color w:val="auto"/>
        </w:rPr>
        <w:t xml:space="preserve">teach </w:t>
      </w:r>
      <w:r w:rsidRPr="00DC6A13">
        <w:rPr>
          <w:color w:val="auto"/>
        </w:rPr>
        <w:t>pendant and help the patient get up</w:t>
      </w:r>
      <w:r w:rsidR="009F661D" w:rsidRPr="00DC6A13">
        <w:rPr>
          <w:color w:val="auto"/>
        </w:rPr>
        <w:t>.</w:t>
      </w:r>
    </w:p>
    <w:p w14:paraId="590CE9F1" w14:textId="77777777" w:rsidR="00CF5D8E" w:rsidRPr="00DC6A13" w:rsidRDefault="00CF5D8E">
      <w:pPr>
        <w:rPr>
          <w:color w:val="auto"/>
        </w:rPr>
      </w:pPr>
    </w:p>
    <w:p w14:paraId="5F77AEAC" w14:textId="77777777" w:rsidR="0079619E" w:rsidRPr="00DC6A13" w:rsidRDefault="0079619E" w:rsidP="003D144A">
      <w:pPr>
        <w:pStyle w:val="ListParagraph"/>
        <w:numPr>
          <w:ilvl w:val="0"/>
          <w:numId w:val="8"/>
        </w:numPr>
        <w:ind w:left="0" w:firstLine="0"/>
        <w:rPr>
          <w:b/>
          <w:color w:val="auto"/>
        </w:rPr>
      </w:pPr>
      <w:r w:rsidRPr="00DC6A13">
        <w:rPr>
          <w:b/>
          <w:color w:val="auto"/>
        </w:rPr>
        <w:t>Image analysis</w:t>
      </w:r>
    </w:p>
    <w:p w14:paraId="26678B79" w14:textId="77777777" w:rsidR="004221FA" w:rsidRDefault="004221FA" w:rsidP="00BD0F92">
      <w:pPr>
        <w:pStyle w:val="ListParagraph"/>
        <w:ind w:left="0"/>
        <w:rPr>
          <w:i/>
          <w:color w:val="auto"/>
        </w:rPr>
      </w:pPr>
    </w:p>
    <w:p w14:paraId="0D74DA73" w14:textId="381443D2" w:rsidR="00387103" w:rsidRPr="003D144A" w:rsidRDefault="004221FA">
      <w:pPr>
        <w:pStyle w:val="ListParagraph"/>
        <w:ind w:left="0"/>
        <w:rPr>
          <w:iCs/>
          <w:color w:val="auto"/>
        </w:rPr>
      </w:pPr>
      <w:r w:rsidRPr="003D144A">
        <w:rPr>
          <w:iCs/>
          <w:color w:val="auto"/>
        </w:rPr>
        <w:t xml:space="preserve">NOTE: </w:t>
      </w:r>
      <w:r w:rsidR="00A0191E" w:rsidRPr="003D144A">
        <w:rPr>
          <w:iCs/>
          <w:color w:val="auto"/>
        </w:rPr>
        <w:t xml:space="preserve">Scatter, attenuation, </w:t>
      </w:r>
      <w:r>
        <w:rPr>
          <w:iCs/>
          <w:color w:val="auto"/>
        </w:rPr>
        <w:t xml:space="preserve">and </w:t>
      </w:r>
      <w:r w:rsidR="00A0191E" w:rsidRPr="003D144A">
        <w:rPr>
          <w:iCs/>
          <w:color w:val="auto"/>
        </w:rPr>
        <w:t xml:space="preserve">background corrections are implemented. Single organ and lesion mass </w:t>
      </w:r>
      <w:r>
        <w:rPr>
          <w:iCs/>
          <w:color w:val="auto"/>
        </w:rPr>
        <w:t>are</w:t>
      </w:r>
      <w:r w:rsidRPr="003D144A">
        <w:rPr>
          <w:iCs/>
          <w:color w:val="auto"/>
        </w:rPr>
        <w:t xml:space="preserve"> </w:t>
      </w:r>
      <w:r w:rsidR="00A0191E" w:rsidRPr="003D144A">
        <w:rPr>
          <w:iCs/>
          <w:color w:val="auto"/>
        </w:rPr>
        <w:t>considered for absorbed dose evaluation. ROI and VOI are contoured on planar and 3D images.</w:t>
      </w:r>
    </w:p>
    <w:p w14:paraId="56ED18B6" w14:textId="77777777" w:rsidR="003C2297" w:rsidRPr="00DC6A13" w:rsidRDefault="003C2297">
      <w:pPr>
        <w:pStyle w:val="ListParagraph"/>
        <w:ind w:left="0"/>
        <w:rPr>
          <w:b/>
          <w:color w:val="auto"/>
        </w:rPr>
      </w:pPr>
    </w:p>
    <w:p w14:paraId="60D9DB07" w14:textId="77777777" w:rsidR="00A72E84" w:rsidRPr="00DC6A13" w:rsidRDefault="002D3234">
      <w:pPr>
        <w:pStyle w:val="ListParagraph"/>
        <w:numPr>
          <w:ilvl w:val="1"/>
          <w:numId w:val="9"/>
        </w:numPr>
        <w:rPr>
          <w:color w:val="auto"/>
        </w:rPr>
      </w:pPr>
      <w:r w:rsidRPr="00DC6A13">
        <w:rPr>
          <w:color w:val="auto"/>
        </w:rPr>
        <w:t>Send all acquired images from the acquisition workstat</w:t>
      </w:r>
      <w:r w:rsidR="0055191D" w:rsidRPr="00DC6A13">
        <w:rPr>
          <w:color w:val="auto"/>
        </w:rPr>
        <w:t>ion to the analysis workstation.</w:t>
      </w:r>
    </w:p>
    <w:p w14:paraId="20B47E60" w14:textId="77777777" w:rsidR="00A72E84" w:rsidRPr="00DC6A13" w:rsidRDefault="00A72E84">
      <w:pPr>
        <w:pStyle w:val="ListParagraph"/>
        <w:ind w:left="0"/>
        <w:rPr>
          <w:color w:val="auto"/>
        </w:rPr>
      </w:pPr>
    </w:p>
    <w:p w14:paraId="6D4DB3B2" w14:textId="48BEC5C0" w:rsidR="00703C37" w:rsidRPr="00771DC3" w:rsidRDefault="002D3234" w:rsidP="00771DC3">
      <w:pPr>
        <w:pStyle w:val="ListParagraph"/>
        <w:numPr>
          <w:ilvl w:val="1"/>
          <w:numId w:val="9"/>
        </w:numPr>
        <w:rPr>
          <w:color w:val="auto"/>
          <w:highlight w:val="yellow"/>
        </w:rPr>
      </w:pPr>
      <w:r w:rsidRPr="00DC6A13">
        <w:rPr>
          <w:color w:val="auto"/>
          <w:highlight w:val="yellow"/>
        </w:rPr>
        <w:t>For all post</w:t>
      </w:r>
      <w:r w:rsidR="00632863" w:rsidRPr="00DC6A13">
        <w:rPr>
          <w:color w:val="auto"/>
          <w:highlight w:val="yellow"/>
        </w:rPr>
        <w:t>-</w:t>
      </w:r>
      <w:r w:rsidRPr="00DC6A13">
        <w:rPr>
          <w:color w:val="auto"/>
          <w:highlight w:val="yellow"/>
        </w:rPr>
        <w:t xml:space="preserve">infusion images, </w:t>
      </w:r>
      <w:r w:rsidR="00F84748" w:rsidRPr="00DC6A13">
        <w:rPr>
          <w:color w:val="auto"/>
          <w:highlight w:val="yellow"/>
        </w:rPr>
        <w:t>select emissive, low and high scatter images</w:t>
      </w:r>
      <w:r w:rsidR="001214B2" w:rsidRPr="00DC6A13">
        <w:rPr>
          <w:color w:val="auto"/>
          <w:highlight w:val="yellow"/>
        </w:rPr>
        <w:t xml:space="preserve"> and</w:t>
      </w:r>
      <w:r w:rsidR="00F84748" w:rsidRPr="00DC6A13">
        <w:rPr>
          <w:color w:val="auto"/>
          <w:highlight w:val="yellow"/>
        </w:rPr>
        <w:t xml:space="preserve"> click on the right panel o</w:t>
      </w:r>
      <w:r w:rsidR="001214B2" w:rsidRPr="00DC6A13">
        <w:rPr>
          <w:color w:val="auto"/>
          <w:highlight w:val="yellow"/>
        </w:rPr>
        <w:t>f</w:t>
      </w:r>
      <w:r w:rsidR="00F84748" w:rsidRPr="00DC6A13">
        <w:rPr>
          <w:color w:val="auto"/>
          <w:highlight w:val="yellow"/>
        </w:rPr>
        <w:t xml:space="preserve"> the dedicated workflow to </w:t>
      </w:r>
      <w:r w:rsidRPr="00DC6A13">
        <w:rPr>
          <w:color w:val="auto"/>
          <w:highlight w:val="yellow"/>
        </w:rPr>
        <w:t>create a scatter corrected image</w:t>
      </w:r>
      <w:r w:rsidR="00787A2C" w:rsidRPr="00DC6A13">
        <w:rPr>
          <w:color w:val="auto"/>
          <w:highlight w:val="yellow"/>
        </w:rPr>
        <w:t xml:space="preserve"> </w:t>
      </w:r>
      <m:oMath>
        <m:sSub>
          <m:sSubPr>
            <m:ctrlPr>
              <w:rPr>
                <w:rFonts w:ascii="Cambria Math" w:hAnsi="Cambria Math"/>
                <w:color w:val="auto"/>
                <w:highlight w:val="yellow"/>
              </w:rPr>
            </m:ctrlPr>
          </m:sSubPr>
          <m:e>
            <m:r>
              <m:rPr>
                <m:sty m:val="p"/>
              </m:rPr>
              <w:rPr>
                <w:rFonts w:ascii="Cambria Math" w:hAnsi="Cambria Math"/>
                <w:color w:val="auto"/>
                <w:highlight w:val="yellow"/>
              </w:rPr>
              <m:t>2D</m:t>
            </m:r>
          </m:e>
          <m:sub>
            <m:r>
              <m:rPr>
                <m:sty m:val="p"/>
              </m:rPr>
              <w:rPr>
                <w:rFonts w:ascii="Cambria Math" w:hAnsi="Cambria Math"/>
                <w:color w:val="auto"/>
                <w:highlight w:val="yellow"/>
              </w:rPr>
              <m:t>SC</m:t>
            </m:r>
          </m:sub>
        </m:sSub>
      </m:oMath>
      <w:r w:rsidR="00787A2C" w:rsidRPr="00DC6A13">
        <w:rPr>
          <w:color w:val="auto"/>
          <w:highlight w:val="yellow"/>
        </w:rPr>
        <w:t>,</w:t>
      </w:r>
      <w:r w:rsidR="00A52136">
        <w:rPr>
          <w:color w:val="auto"/>
          <w:highlight w:val="yellow"/>
        </w:rPr>
        <w:t xml:space="preserve"> </w:t>
      </w:r>
      <w:r w:rsidR="00B17503" w:rsidRPr="00DC6A13">
        <w:rPr>
          <w:color w:val="auto"/>
          <w:highlight w:val="yellow"/>
        </w:rPr>
        <w:t>as follow</w:t>
      </w:r>
      <w:r w:rsidR="00632863" w:rsidRPr="00DC6A13">
        <w:rPr>
          <w:color w:val="auto"/>
          <w:highlight w:val="yellow"/>
        </w:rPr>
        <w:t>s</w:t>
      </w:r>
      <w:r w:rsidR="00C45F6E" w:rsidRPr="00DC6A13">
        <w:rPr>
          <w:color w:val="auto"/>
          <w:highlight w:val="yellow"/>
        </w:rPr>
        <w:t xml:space="preserve">: </w:t>
      </w:r>
    </w:p>
    <w:p w14:paraId="58F3AED8" w14:textId="77777777" w:rsidR="00703C37" w:rsidRPr="00DC6A13" w:rsidRDefault="00E4060C">
      <w:pPr>
        <w:pStyle w:val="ListParagraph"/>
        <w:ind w:left="0"/>
        <w:rPr>
          <w:color w:val="auto"/>
          <w:highlight w:val="yellow"/>
        </w:rPr>
      </w:pPr>
      <m:oMathPara>
        <m:oMath>
          <m:sSub>
            <m:sSubPr>
              <m:ctrlPr>
                <w:rPr>
                  <w:rFonts w:ascii="Cambria Math" w:hAnsi="Cambria Math"/>
                  <w:color w:val="auto"/>
                  <w:highlight w:val="yellow"/>
                </w:rPr>
              </m:ctrlPr>
            </m:sSubPr>
            <m:e>
              <m:r>
                <m:rPr>
                  <m:sty m:val="p"/>
                </m:rPr>
                <w:rPr>
                  <w:rFonts w:ascii="Cambria Math" w:hAnsi="Cambria Math"/>
                  <w:color w:val="auto"/>
                  <w:highlight w:val="yellow"/>
                </w:rPr>
                <m:t>2D</m:t>
              </m:r>
            </m:e>
            <m:sub>
              <m:r>
                <m:rPr>
                  <m:sty m:val="p"/>
                </m:rPr>
                <w:rPr>
                  <w:rFonts w:ascii="Cambria Math" w:hAnsi="Cambria Math"/>
                  <w:color w:val="auto"/>
                  <w:highlight w:val="yellow"/>
                </w:rPr>
                <m:t>SC</m:t>
              </m:r>
            </m:sub>
          </m:sSub>
          <m:r>
            <m:rPr>
              <m:sty m:val="p"/>
            </m:rPr>
            <w:rPr>
              <w:rFonts w:ascii="Cambria Math" w:hAnsi="Cambria Math"/>
              <w:color w:val="auto"/>
              <w:highlight w:val="yellow"/>
            </w:rPr>
            <m:t>=</m:t>
          </m:r>
          <m:sSub>
            <m:sSubPr>
              <m:ctrlPr>
                <w:rPr>
                  <w:rFonts w:ascii="Cambria Math" w:hAnsi="Cambria Math"/>
                  <w:color w:val="auto"/>
                  <w:highlight w:val="yellow"/>
                </w:rPr>
              </m:ctrlPr>
            </m:sSubPr>
            <m:e>
              <m:r>
                <m:rPr>
                  <m:sty m:val="p"/>
                </m:rPr>
                <w:rPr>
                  <w:rFonts w:ascii="Cambria Math" w:hAnsi="Cambria Math"/>
                  <w:color w:val="auto"/>
                  <w:highlight w:val="yellow"/>
                </w:rPr>
                <m:t>2D</m:t>
              </m:r>
            </m:e>
            <m:sub>
              <m:r>
                <m:rPr>
                  <m:sty m:val="p"/>
                </m:rPr>
                <w:rPr>
                  <w:rFonts w:ascii="Cambria Math" w:hAnsi="Cambria Math"/>
                  <w:color w:val="auto"/>
                  <w:highlight w:val="yellow"/>
                </w:rPr>
                <m:t>EM</m:t>
              </m:r>
            </m:sub>
          </m:sSub>
          <m:r>
            <m:rPr>
              <m:sty m:val="p"/>
            </m:rPr>
            <w:rPr>
              <w:rFonts w:ascii="Cambria Math" w:hAnsi="Cambria Math"/>
              <w:color w:val="auto"/>
              <w:highlight w:val="yellow"/>
            </w:rPr>
            <m:t>-</m:t>
          </m:r>
          <m:d>
            <m:dPr>
              <m:ctrlPr>
                <w:rPr>
                  <w:rFonts w:ascii="Cambria Math" w:hAnsi="Cambria Math"/>
                  <w:color w:val="auto"/>
                  <w:highlight w:val="yellow"/>
                </w:rPr>
              </m:ctrlPr>
            </m:dPr>
            <m:e>
              <m:f>
                <m:fPr>
                  <m:ctrlPr>
                    <w:rPr>
                      <w:rFonts w:ascii="Cambria Math" w:hAnsi="Cambria Math"/>
                      <w:color w:val="auto"/>
                      <w:highlight w:val="yellow"/>
                    </w:rPr>
                  </m:ctrlPr>
                </m:fPr>
                <m:num>
                  <m:sSub>
                    <m:sSubPr>
                      <m:ctrlPr>
                        <w:rPr>
                          <w:rFonts w:ascii="Cambria Math" w:hAnsi="Cambria Math"/>
                          <w:color w:val="auto"/>
                          <w:highlight w:val="yellow"/>
                        </w:rPr>
                      </m:ctrlPr>
                    </m:sSubPr>
                    <m:e>
                      <m:r>
                        <m:rPr>
                          <m:sty m:val="p"/>
                        </m:rPr>
                        <w:rPr>
                          <w:rFonts w:ascii="Cambria Math" w:hAnsi="Cambria Math"/>
                          <w:color w:val="auto"/>
                          <w:highlight w:val="yellow"/>
                        </w:rPr>
                        <m:t>2D</m:t>
                      </m:r>
                    </m:e>
                    <m:sub>
                      <m:r>
                        <m:rPr>
                          <m:sty m:val="p"/>
                        </m:rPr>
                        <w:rPr>
                          <w:rFonts w:ascii="Cambria Math" w:hAnsi="Cambria Math"/>
                          <w:color w:val="auto"/>
                          <w:highlight w:val="yellow"/>
                        </w:rPr>
                        <m:t>SC1</m:t>
                      </m:r>
                    </m:sub>
                  </m:sSub>
                </m:num>
                <m:den>
                  <m:sSub>
                    <m:sSubPr>
                      <m:ctrlPr>
                        <w:rPr>
                          <w:rFonts w:ascii="Cambria Math" w:hAnsi="Cambria Math"/>
                          <w:color w:val="auto"/>
                          <w:highlight w:val="yellow"/>
                        </w:rPr>
                      </m:ctrlPr>
                    </m:sSubPr>
                    <m:e>
                      <m:r>
                        <m:rPr>
                          <m:sty m:val="p"/>
                        </m:rPr>
                        <w:rPr>
                          <w:rFonts w:ascii="Cambria Math" w:hAnsi="Cambria Math"/>
                          <w:color w:val="auto"/>
                          <w:highlight w:val="yellow"/>
                        </w:rPr>
                        <m:t>W</m:t>
                      </m:r>
                    </m:e>
                    <m:sub>
                      <m:r>
                        <m:rPr>
                          <m:sty m:val="p"/>
                        </m:rPr>
                        <w:rPr>
                          <w:rFonts w:ascii="Cambria Math" w:hAnsi="Cambria Math"/>
                          <w:color w:val="auto"/>
                          <w:highlight w:val="yellow"/>
                        </w:rPr>
                        <m:t>SC1</m:t>
                      </m:r>
                    </m:sub>
                  </m:sSub>
                </m:den>
              </m:f>
              <m:r>
                <m:rPr>
                  <m:sty m:val="p"/>
                </m:rPr>
                <w:rPr>
                  <w:rFonts w:ascii="Cambria Math" w:hAnsi="Cambria Math"/>
                  <w:color w:val="auto"/>
                  <w:highlight w:val="yellow"/>
                </w:rPr>
                <m:t>+</m:t>
              </m:r>
              <m:f>
                <m:fPr>
                  <m:ctrlPr>
                    <w:rPr>
                      <w:rFonts w:ascii="Cambria Math" w:hAnsi="Cambria Math"/>
                      <w:color w:val="auto"/>
                      <w:highlight w:val="yellow"/>
                    </w:rPr>
                  </m:ctrlPr>
                </m:fPr>
                <m:num>
                  <m:sSub>
                    <m:sSubPr>
                      <m:ctrlPr>
                        <w:rPr>
                          <w:rFonts w:ascii="Cambria Math" w:hAnsi="Cambria Math"/>
                          <w:color w:val="auto"/>
                          <w:highlight w:val="yellow"/>
                        </w:rPr>
                      </m:ctrlPr>
                    </m:sSubPr>
                    <m:e>
                      <m:r>
                        <m:rPr>
                          <m:sty m:val="p"/>
                        </m:rPr>
                        <w:rPr>
                          <w:rFonts w:ascii="Cambria Math" w:hAnsi="Cambria Math"/>
                          <w:color w:val="auto"/>
                          <w:highlight w:val="yellow"/>
                        </w:rPr>
                        <m:t>2D</m:t>
                      </m:r>
                    </m:e>
                    <m:sub>
                      <m:r>
                        <m:rPr>
                          <m:sty m:val="p"/>
                        </m:rPr>
                        <w:rPr>
                          <w:rFonts w:ascii="Cambria Math" w:hAnsi="Cambria Math"/>
                          <w:color w:val="auto"/>
                          <w:highlight w:val="yellow"/>
                        </w:rPr>
                        <m:t>SC2</m:t>
                      </m:r>
                    </m:sub>
                  </m:sSub>
                </m:num>
                <m:den>
                  <m:sSub>
                    <m:sSubPr>
                      <m:ctrlPr>
                        <w:rPr>
                          <w:rFonts w:ascii="Cambria Math" w:hAnsi="Cambria Math"/>
                          <w:color w:val="auto"/>
                          <w:highlight w:val="yellow"/>
                        </w:rPr>
                      </m:ctrlPr>
                    </m:sSubPr>
                    <m:e>
                      <m:r>
                        <m:rPr>
                          <m:sty m:val="p"/>
                        </m:rPr>
                        <w:rPr>
                          <w:rFonts w:ascii="Cambria Math" w:hAnsi="Cambria Math"/>
                          <w:color w:val="auto"/>
                          <w:highlight w:val="yellow"/>
                        </w:rPr>
                        <m:t>W</m:t>
                      </m:r>
                    </m:e>
                    <m:sub>
                      <m:r>
                        <m:rPr>
                          <m:sty m:val="p"/>
                        </m:rPr>
                        <w:rPr>
                          <w:rFonts w:ascii="Cambria Math" w:hAnsi="Cambria Math"/>
                          <w:color w:val="auto"/>
                          <w:highlight w:val="yellow"/>
                        </w:rPr>
                        <m:t>SC2</m:t>
                      </m:r>
                    </m:sub>
                  </m:sSub>
                </m:den>
              </m:f>
            </m:e>
          </m:d>
          <m:r>
            <m:rPr>
              <m:sty m:val="p"/>
            </m:rPr>
            <w:rPr>
              <w:rFonts w:ascii="Cambria Math" w:hAnsi="Cambria Math"/>
              <w:color w:val="auto"/>
              <w:highlight w:val="yellow"/>
            </w:rPr>
            <m:t>*</m:t>
          </m:r>
          <m:f>
            <m:fPr>
              <m:ctrlPr>
                <w:rPr>
                  <w:rFonts w:ascii="Cambria Math" w:hAnsi="Cambria Math"/>
                  <w:color w:val="auto"/>
                  <w:highlight w:val="yellow"/>
                </w:rPr>
              </m:ctrlPr>
            </m:fPr>
            <m:num>
              <m:sSub>
                <m:sSubPr>
                  <m:ctrlPr>
                    <w:rPr>
                      <w:rFonts w:ascii="Cambria Math" w:hAnsi="Cambria Math"/>
                      <w:color w:val="auto"/>
                      <w:highlight w:val="yellow"/>
                    </w:rPr>
                  </m:ctrlPr>
                </m:sSubPr>
                <m:e>
                  <m:r>
                    <m:rPr>
                      <m:sty m:val="p"/>
                    </m:rPr>
                    <w:rPr>
                      <w:rFonts w:ascii="Cambria Math" w:hAnsi="Cambria Math"/>
                      <w:color w:val="auto"/>
                      <w:highlight w:val="yellow"/>
                    </w:rPr>
                    <m:t>W</m:t>
                  </m:r>
                </m:e>
                <m:sub>
                  <m:r>
                    <m:rPr>
                      <m:sty m:val="p"/>
                    </m:rPr>
                    <w:rPr>
                      <w:rFonts w:ascii="Cambria Math" w:hAnsi="Cambria Math"/>
                      <w:color w:val="auto"/>
                      <w:highlight w:val="yellow"/>
                    </w:rPr>
                    <m:t>EM</m:t>
                  </m:r>
                </m:sub>
              </m:sSub>
            </m:num>
            <m:den>
              <m:r>
                <m:rPr>
                  <m:sty m:val="p"/>
                </m:rPr>
                <w:rPr>
                  <w:rFonts w:ascii="Cambria Math" w:hAnsi="Cambria Math"/>
                  <w:color w:val="auto"/>
                  <w:highlight w:val="yellow"/>
                </w:rPr>
                <m:t>2</m:t>
              </m:r>
            </m:den>
          </m:f>
        </m:oMath>
      </m:oMathPara>
    </w:p>
    <w:p w14:paraId="178785FD" w14:textId="77777777" w:rsidR="00703C37" w:rsidRPr="00DC6A13" w:rsidRDefault="00703C37">
      <w:pPr>
        <w:pStyle w:val="ListParagraph"/>
        <w:ind w:left="0"/>
        <w:rPr>
          <w:color w:val="auto"/>
          <w:highlight w:val="yellow"/>
        </w:rPr>
      </w:pPr>
    </w:p>
    <w:p w14:paraId="452BF581" w14:textId="77777777" w:rsidR="00082209" w:rsidRPr="00DC6A13" w:rsidRDefault="00703C37">
      <w:pPr>
        <w:pStyle w:val="ListParagraph"/>
        <w:ind w:left="0"/>
        <w:rPr>
          <w:color w:val="auto"/>
        </w:rPr>
      </w:pPr>
      <w:r w:rsidRPr="00DC6A13">
        <w:rPr>
          <w:color w:val="auto"/>
        </w:rPr>
        <w:t>w</w:t>
      </w:r>
      <w:r w:rsidR="00632863" w:rsidRPr="00DC6A13">
        <w:rPr>
          <w:color w:val="auto"/>
        </w:rPr>
        <w:t>h</w:t>
      </w:r>
      <w:r w:rsidRPr="00DC6A13">
        <w:rPr>
          <w:color w:val="auto"/>
        </w:rPr>
        <w:t>ere</w:t>
      </w:r>
      <w:r w:rsidR="00787A2C" w:rsidRPr="00DC6A13">
        <w:rPr>
          <w:color w:val="auto"/>
        </w:rPr>
        <w:t xml:space="preserve"> </w:t>
      </w:r>
      <m:oMath>
        <m:sSub>
          <m:sSubPr>
            <m:ctrlPr>
              <w:rPr>
                <w:rFonts w:ascii="Cambria Math" w:hAnsi="Cambria Math"/>
                <w:color w:val="auto"/>
              </w:rPr>
            </m:ctrlPr>
          </m:sSubPr>
          <m:e>
            <m:r>
              <m:rPr>
                <m:sty m:val="p"/>
              </m:rPr>
              <w:rPr>
                <w:rFonts w:ascii="Cambria Math" w:hAnsi="Cambria Math"/>
                <w:color w:val="auto"/>
              </w:rPr>
              <m:t>2D</m:t>
            </m:r>
          </m:e>
          <m:sub>
            <m:r>
              <m:rPr>
                <m:sty m:val="p"/>
              </m:rPr>
              <w:rPr>
                <w:rFonts w:ascii="Cambria Math" w:hAnsi="Cambria Math"/>
                <w:color w:val="auto"/>
              </w:rPr>
              <m:t>EM</m:t>
            </m:r>
          </m:sub>
        </m:sSub>
      </m:oMath>
      <w:r w:rsidR="00787A2C" w:rsidRPr="00DC6A13">
        <w:rPr>
          <w:color w:val="auto"/>
        </w:rPr>
        <w:t xml:space="preserve">, </w:t>
      </w:r>
      <m:oMath>
        <m:sSub>
          <m:sSubPr>
            <m:ctrlPr>
              <w:rPr>
                <w:rFonts w:ascii="Cambria Math" w:hAnsi="Cambria Math"/>
                <w:color w:val="auto"/>
              </w:rPr>
            </m:ctrlPr>
          </m:sSubPr>
          <m:e>
            <m:r>
              <m:rPr>
                <m:sty m:val="p"/>
              </m:rPr>
              <w:rPr>
                <w:rFonts w:ascii="Cambria Math" w:hAnsi="Cambria Math"/>
                <w:color w:val="auto"/>
              </w:rPr>
              <m:t>2D</m:t>
            </m:r>
          </m:e>
          <m:sub>
            <m:r>
              <m:rPr>
                <m:sty m:val="p"/>
              </m:rPr>
              <w:rPr>
                <w:rFonts w:ascii="Cambria Math" w:hAnsi="Cambria Math"/>
                <w:color w:val="auto"/>
              </w:rPr>
              <m:t>SC1</m:t>
            </m:r>
          </m:sub>
        </m:sSub>
      </m:oMath>
      <w:r w:rsidR="00787A2C" w:rsidRPr="00DC6A13">
        <w:rPr>
          <w:color w:val="auto"/>
        </w:rPr>
        <w:t xml:space="preserve"> and </w:t>
      </w:r>
      <m:oMath>
        <m:sSub>
          <m:sSubPr>
            <m:ctrlPr>
              <w:rPr>
                <w:rFonts w:ascii="Cambria Math" w:hAnsi="Cambria Math"/>
                <w:color w:val="auto"/>
              </w:rPr>
            </m:ctrlPr>
          </m:sSubPr>
          <m:e>
            <m:r>
              <m:rPr>
                <m:sty m:val="p"/>
              </m:rPr>
              <w:rPr>
                <w:rFonts w:ascii="Cambria Math" w:hAnsi="Cambria Math"/>
                <w:color w:val="auto"/>
              </w:rPr>
              <m:t>2D</m:t>
            </m:r>
          </m:e>
          <m:sub>
            <m:r>
              <m:rPr>
                <m:sty m:val="p"/>
              </m:rPr>
              <w:rPr>
                <w:rFonts w:ascii="Cambria Math" w:hAnsi="Cambria Math"/>
                <w:color w:val="auto"/>
              </w:rPr>
              <m:t>SC2</m:t>
            </m:r>
          </m:sub>
        </m:sSub>
      </m:oMath>
      <w:r w:rsidR="00787A2C" w:rsidRPr="00DC6A13">
        <w:rPr>
          <w:color w:val="auto"/>
        </w:rPr>
        <w:t xml:space="preserve"> are emissive, lower scatter</w:t>
      </w:r>
      <w:r w:rsidR="00C91655" w:rsidRPr="00DC6A13">
        <w:rPr>
          <w:color w:val="auto"/>
        </w:rPr>
        <w:t xml:space="preserve"> and </w:t>
      </w:r>
      <w:r w:rsidR="00787A2C" w:rsidRPr="00DC6A13">
        <w:rPr>
          <w:color w:val="auto"/>
        </w:rPr>
        <w:t>higher scatter 2D anterior or poster</w:t>
      </w:r>
      <w:r w:rsidR="00F457FA" w:rsidRPr="00DC6A13">
        <w:rPr>
          <w:color w:val="auto"/>
        </w:rPr>
        <w:t>ior</w:t>
      </w:r>
      <w:r w:rsidR="00787A2C" w:rsidRPr="00DC6A13">
        <w:rPr>
          <w:color w:val="auto"/>
        </w:rPr>
        <w:t xml:space="preserve"> planar whole-body images</w:t>
      </w:r>
      <w:r w:rsidR="00C91655" w:rsidRPr="00DC6A13">
        <w:rPr>
          <w:color w:val="auto"/>
        </w:rPr>
        <w:t>, respectively</w:t>
      </w:r>
      <w:r w:rsidR="00787A2C" w:rsidRPr="00DC6A13">
        <w:rPr>
          <w:color w:val="auto"/>
        </w:rPr>
        <w:t xml:space="preserve">; </w:t>
      </w:r>
      <m:oMath>
        <m:sSub>
          <m:sSubPr>
            <m:ctrlPr>
              <w:rPr>
                <w:rFonts w:ascii="Cambria Math" w:hAnsi="Cambria Math"/>
                <w:color w:val="auto"/>
              </w:rPr>
            </m:ctrlPr>
          </m:sSubPr>
          <m:e>
            <m:r>
              <m:rPr>
                <m:sty m:val="p"/>
              </m:rPr>
              <w:rPr>
                <w:rFonts w:ascii="Cambria Math" w:hAnsi="Cambria Math"/>
                <w:color w:val="auto"/>
              </w:rPr>
              <m:t>W</m:t>
            </m:r>
          </m:e>
          <m:sub>
            <m:r>
              <m:rPr>
                <m:sty m:val="p"/>
              </m:rPr>
              <w:rPr>
                <w:rFonts w:ascii="Cambria Math" w:hAnsi="Cambria Math"/>
                <w:color w:val="auto"/>
              </w:rPr>
              <m:t>EM</m:t>
            </m:r>
          </m:sub>
        </m:sSub>
      </m:oMath>
      <w:r w:rsidR="00787A2C" w:rsidRPr="00DC6A13">
        <w:rPr>
          <w:color w:val="auto"/>
        </w:rPr>
        <w:t xml:space="preserve">, </w:t>
      </w:r>
      <m:oMath>
        <m:sSub>
          <m:sSubPr>
            <m:ctrlPr>
              <w:rPr>
                <w:rFonts w:ascii="Cambria Math" w:hAnsi="Cambria Math"/>
                <w:color w:val="auto"/>
              </w:rPr>
            </m:ctrlPr>
          </m:sSubPr>
          <m:e>
            <m:r>
              <m:rPr>
                <m:sty m:val="p"/>
              </m:rPr>
              <w:rPr>
                <w:rFonts w:ascii="Cambria Math" w:hAnsi="Cambria Math"/>
                <w:color w:val="auto"/>
              </w:rPr>
              <m:t>W</m:t>
            </m:r>
          </m:e>
          <m:sub>
            <m:r>
              <m:rPr>
                <m:sty m:val="p"/>
              </m:rPr>
              <w:rPr>
                <w:rFonts w:ascii="Cambria Math" w:hAnsi="Cambria Math"/>
                <w:color w:val="auto"/>
              </w:rPr>
              <m:t>SC1</m:t>
            </m:r>
          </m:sub>
        </m:sSub>
      </m:oMath>
      <w:r w:rsidR="00787A2C" w:rsidRPr="00DC6A13">
        <w:rPr>
          <w:color w:val="auto"/>
        </w:rPr>
        <w:t xml:space="preserve"> and </w:t>
      </w:r>
      <m:oMath>
        <m:sSub>
          <m:sSubPr>
            <m:ctrlPr>
              <w:rPr>
                <w:rFonts w:ascii="Cambria Math" w:hAnsi="Cambria Math"/>
                <w:color w:val="auto"/>
              </w:rPr>
            </m:ctrlPr>
          </m:sSubPr>
          <m:e>
            <m:r>
              <m:rPr>
                <m:sty m:val="p"/>
              </m:rPr>
              <w:rPr>
                <w:rFonts w:ascii="Cambria Math" w:hAnsi="Cambria Math"/>
                <w:color w:val="auto"/>
              </w:rPr>
              <m:t>W</m:t>
            </m:r>
          </m:e>
          <m:sub>
            <m:r>
              <m:rPr>
                <m:sty m:val="p"/>
              </m:rPr>
              <w:rPr>
                <w:rFonts w:ascii="Cambria Math" w:hAnsi="Cambria Math"/>
                <w:color w:val="auto"/>
              </w:rPr>
              <m:t>SC2</m:t>
            </m:r>
          </m:sub>
        </m:sSub>
      </m:oMath>
      <w:r w:rsidR="00787A2C" w:rsidRPr="00DC6A13">
        <w:rPr>
          <w:color w:val="auto"/>
        </w:rPr>
        <w:t xml:space="preserve"> are emissive, lower scatter</w:t>
      </w:r>
      <w:r w:rsidR="00C91655" w:rsidRPr="00DC6A13">
        <w:rPr>
          <w:color w:val="auto"/>
        </w:rPr>
        <w:t xml:space="preserve"> and</w:t>
      </w:r>
      <w:r w:rsidR="00787A2C" w:rsidRPr="00DC6A13">
        <w:rPr>
          <w:color w:val="auto"/>
        </w:rPr>
        <w:t xml:space="preserve"> higher scatter energy window width</w:t>
      </w:r>
      <w:r w:rsidR="00F457FA" w:rsidRPr="00DC6A13">
        <w:rPr>
          <w:color w:val="auto"/>
        </w:rPr>
        <w:t>s</w:t>
      </w:r>
      <w:r w:rsidR="00C91655" w:rsidRPr="00DC6A13">
        <w:rPr>
          <w:color w:val="auto"/>
        </w:rPr>
        <w:t>, respectively</w:t>
      </w:r>
      <w:r w:rsidRPr="00DC6A13">
        <w:rPr>
          <w:color w:val="auto"/>
        </w:rPr>
        <w:t xml:space="preserve">. </w:t>
      </w:r>
      <w:r w:rsidR="00632863" w:rsidRPr="00DC6A13">
        <w:rPr>
          <w:color w:val="auto"/>
        </w:rPr>
        <w:t>R</w:t>
      </w:r>
      <w:r w:rsidR="008900F4" w:rsidRPr="00DC6A13">
        <w:rPr>
          <w:color w:val="auto"/>
        </w:rPr>
        <w:t>otate posterior images</w:t>
      </w:r>
      <w:r w:rsidR="009F661D" w:rsidRPr="00DC6A13">
        <w:rPr>
          <w:color w:val="auto"/>
        </w:rPr>
        <w:t>.</w:t>
      </w:r>
    </w:p>
    <w:p w14:paraId="4276315A" w14:textId="77777777" w:rsidR="009416F2" w:rsidRPr="00DC6A13" w:rsidRDefault="009416F2">
      <w:pPr>
        <w:pStyle w:val="ListParagraph"/>
        <w:ind w:left="0"/>
        <w:rPr>
          <w:color w:val="auto"/>
        </w:rPr>
      </w:pPr>
    </w:p>
    <w:p w14:paraId="4B501B38" w14:textId="7788214F" w:rsidR="009416F2" w:rsidRPr="00DC6A13" w:rsidRDefault="00F84748">
      <w:pPr>
        <w:pStyle w:val="ListParagraph"/>
        <w:numPr>
          <w:ilvl w:val="1"/>
          <w:numId w:val="9"/>
        </w:numPr>
        <w:rPr>
          <w:color w:val="auto"/>
        </w:rPr>
      </w:pPr>
      <w:r w:rsidRPr="00DC6A13">
        <w:rPr>
          <w:color w:val="auto"/>
        </w:rPr>
        <w:t>Open e</w:t>
      </w:r>
      <w:r w:rsidR="00046527" w:rsidRPr="00DC6A13">
        <w:rPr>
          <w:color w:val="auto"/>
        </w:rPr>
        <w:t>ach p</w:t>
      </w:r>
      <w:r w:rsidR="009416F2" w:rsidRPr="00DC6A13">
        <w:rPr>
          <w:color w:val="auto"/>
        </w:rPr>
        <w:t>osterior image</w:t>
      </w:r>
      <w:r w:rsidR="00046527" w:rsidRPr="00DC6A13">
        <w:rPr>
          <w:color w:val="auto"/>
        </w:rPr>
        <w:t xml:space="preserve">, click on </w:t>
      </w:r>
      <w:r w:rsidR="00046527" w:rsidRPr="008A3C95">
        <w:rPr>
          <w:b/>
          <w:bCs/>
          <w:color w:val="auto"/>
        </w:rPr>
        <w:t>Image</w:t>
      </w:r>
      <w:r w:rsidR="00046527" w:rsidRPr="00DC6A13">
        <w:rPr>
          <w:color w:val="auto"/>
        </w:rPr>
        <w:t xml:space="preserve">, then </w:t>
      </w:r>
      <w:r w:rsidR="00CD125E" w:rsidRPr="008A3C95">
        <w:rPr>
          <w:b/>
          <w:bCs/>
          <w:color w:val="auto"/>
        </w:rPr>
        <w:t>Reorient</w:t>
      </w:r>
      <w:r w:rsidR="006958B4" w:rsidRPr="008A3C95">
        <w:rPr>
          <w:b/>
          <w:bCs/>
          <w:color w:val="auto"/>
        </w:rPr>
        <w:t>, Pan, Zoom...</w:t>
      </w:r>
      <w:r w:rsidR="00046527" w:rsidRPr="008A3C95">
        <w:rPr>
          <w:b/>
          <w:bCs/>
          <w:color w:val="auto"/>
        </w:rPr>
        <w:t>,</w:t>
      </w:r>
      <w:r w:rsidR="00046527" w:rsidRPr="00DC6A13">
        <w:rPr>
          <w:color w:val="auto"/>
        </w:rPr>
        <w:t xml:space="preserve"> </w:t>
      </w:r>
      <w:r w:rsidRPr="00DC6A13">
        <w:rPr>
          <w:color w:val="auto"/>
        </w:rPr>
        <w:t xml:space="preserve">flag </w:t>
      </w:r>
      <w:r w:rsidRPr="008A3C95">
        <w:rPr>
          <w:b/>
          <w:bCs/>
          <w:color w:val="auto"/>
        </w:rPr>
        <w:t>Y mirror</w:t>
      </w:r>
      <w:r w:rsidR="006958B4" w:rsidRPr="00DC6A13">
        <w:rPr>
          <w:color w:val="auto"/>
        </w:rPr>
        <w:t xml:space="preserve">, click </w:t>
      </w:r>
      <w:r w:rsidR="006958B4" w:rsidRPr="008A3C95">
        <w:rPr>
          <w:b/>
          <w:bCs/>
          <w:color w:val="auto"/>
        </w:rPr>
        <w:t>Apply &amp; Quit</w:t>
      </w:r>
      <w:r w:rsidR="006958B4" w:rsidRPr="00DC6A13">
        <w:rPr>
          <w:color w:val="auto"/>
        </w:rPr>
        <w:t xml:space="preserve">, </w:t>
      </w:r>
      <w:r w:rsidR="004221FA">
        <w:rPr>
          <w:color w:val="auto"/>
        </w:rPr>
        <w:t xml:space="preserve">and </w:t>
      </w:r>
      <w:r w:rsidR="006958B4" w:rsidRPr="00DC6A13">
        <w:rPr>
          <w:color w:val="auto"/>
        </w:rPr>
        <w:t xml:space="preserve">then </w:t>
      </w:r>
      <w:r w:rsidRPr="00DC6A13">
        <w:rPr>
          <w:color w:val="auto"/>
        </w:rPr>
        <w:t>save the rotate</w:t>
      </w:r>
      <w:r w:rsidR="001214B2" w:rsidRPr="00DC6A13">
        <w:rPr>
          <w:color w:val="auto"/>
        </w:rPr>
        <w:t>d</w:t>
      </w:r>
      <w:r w:rsidRPr="00DC6A13">
        <w:rPr>
          <w:color w:val="auto"/>
        </w:rPr>
        <w:t xml:space="preserve"> left-right image. </w:t>
      </w:r>
    </w:p>
    <w:p w14:paraId="5B30FECC" w14:textId="77777777" w:rsidR="009416F2" w:rsidRPr="00DC6A13" w:rsidRDefault="009416F2">
      <w:pPr>
        <w:pStyle w:val="ListParagraph"/>
        <w:ind w:left="0"/>
        <w:rPr>
          <w:b/>
          <w:color w:val="auto"/>
        </w:rPr>
      </w:pPr>
    </w:p>
    <w:p w14:paraId="01ABAE95" w14:textId="77777777" w:rsidR="002D3234" w:rsidRPr="00DC6A13" w:rsidRDefault="00082209">
      <w:pPr>
        <w:pStyle w:val="ListParagraph"/>
        <w:numPr>
          <w:ilvl w:val="1"/>
          <w:numId w:val="9"/>
        </w:numPr>
        <w:rPr>
          <w:color w:val="auto"/>
        </w:rPr>
      </w:pPr>
      <w:r w:rsidRPr="00DC6A13">
        <w:rPr>
          <w:color w:val="auto"/>
        </w:rPr>
        <w:t xml:space="preserve">Open </w:t>
      </w:r>
      <w:r w:rsidR="0096028B" w:rsidRPr="00DC6A13">
        <w:rPr>
          <w:color w:val="auto"/>
        </w:rPr>
        <w:t>anterior and posterior (rotated) scatter</w:t>
      </w:r>
      <w:r w:rsidR="00632863" w:rsidRPr="00DC6A13">
        <w:rPr>
          <w:color w:val="auto"/>
        </w:rPr>
        <w:t>-</w:t>
      </w:r>
      <w:r w:rsidR="0096028B" w:rsidRPr="00DC6A13">
        <w:rPr>
          <w:color w:val="auto"/>
        </w:rPr>
        <w:t xml:space="preserve">corrected </w:t>
      </w:r>
      <w:r w:rsidRPr="00DC6A13">
        <w:rPr>
          <w:color w:val="auto"/>
        </w:rPr>
        <w:t>planar</w:t>
      </w:r>
      <w:r w:rsidR="0096028B" w:rsidRPr="00DC6A13">
        <w:rPr>
          <w:color w:val="auto"/>
        </w:rPr>
        <w:t xml:space="preserve"> images acquired </w:t>
      </w:r>
      <w:r w:rsidR="00632863" w:rsidRPr="00DC6A13">
        <w:rPr>
          <w:color w:val="auto"/>
        </w:rPr>
        <w:t>on</w:t>
      </w:r>
      <w:r w:rsidR="0061666B" w:rsidRPr="00DC6A13">
        <w:rPr>
          <w:color w:val="auto"/>
        </w:rPr>
        <w:t xml:space="preserve"> </w:t>
      </w:r>
      <w:r w:rsidR="0096028B" w:rsidRPr="00DC6A13">
        <w:rPr>
          <w:color w:val="auto"/>
        </w:rPr>
        <w:t>day</w:t>
      </w:r>
      <w:r w:rsidR="00632863" w:rsidRPr="00DC6A13">
        <w:rPr>
          <w:color w:val="auto"/>
        </w:rPr>
        <w:t>s</w:t>
      </w:r>
      <w:r w:rsidR="0096028B" w:rsidRPr="00DC6A13">
        <w:rPr>
          <w:color w:val="auto"/>
        </w:rPr>
        <w:t xml:space="preserve"> </w:t>
      </w:r>
      <w:r w:rsidR="007258C3" w:rsidRPr="00DC6A13">
        <w:rPr>
          <w:color w:val="auto"/>
        </w:rPr>
        <w:t xml:space="preserve">1, </w:t>
      </w:r>
      <w:r w:rsidR="0096028B" w:rsidRPr="00DC6A13">
        <w:rPr>
          <w:color w:val="auto"/>
        </w:rPr>
        <w:t>2</w:t>
      </w:r>
      <w:r w:rsidR="007258C3" w:rsidRPr="00DC6A13">
        <w:rPr>
          <w:color w:val="auto"/>
        </w:rPr>
        <w:t xml:space="preserve">, </w:t>
      </w:r>
      <w:r w:rsidR="008900F4" w:rsidRPr="00DC6A13">
        <w:rPr>
          <w:color w:val="auto"/>
        </w:rPr>
        <w:t xml:space="preserve">3 </w:t>
      </w:r>
      <w:r w:rsidR="007258C3" w:rsidRPr="00DC6A13">
        <w:rPr>
          <w:color w:val="auto"/>
        </w:rPr>
        <w:t>and 6</w:t>
      </w:r>
      <w:r w:rsidR="0096028B" w:rsidRPr="00DC6A13">
        <w:rPr>
          <w:color w:val="auto"/>
        </w:rPr>
        <w:t xml:space="preserve"> post infusion</w:t>
      </w:r>
      <w:r w:rsidR="009F661D" w:rsidRPr="00DC6A13">
        <w:rPr>
          <w:color w:val="auto"/>
        </w:rPr>
        <w:t>.</w:t>
      </w:r>
      <w:r w:rsidR="009416F2" w:rsidRPr="00DC6A13">
        <w:rPr>
          <w:color w:val="auto"/>
        </w:rPr>
        <w:t xml:space="preserve"> </w:t>
      </w:r>
    </w:p>
    <w:p w14:paraId="32552EC5" w14:textId="77777777" w:rsidR="003C2297" w:rsidRPr="00DC6A13" w:rsidRDefault="003C2297">
      <w:pPr>
        <w:pStyle w:val="ListParagraph"/>
        <w:ind w:left="0"/>
        <w:rPr>
          <w:color w:val="auto"/>
        </w:rPr>
      </w:pPr>
    </w:p>
    <w:p w14:paraId="08F00E98" w14:textId="77777777" w:rsidR="004944AD" w:rsidRPr="00DC6A13" w:rsidRDefault="007258C3">
      <w:pPr>
        <w:pStyle w:val="ListParagraph"/>
        <w:numPr>
          <w:ilvl w:val="1"/>
          <w:numId w:val="9"/>
        </w:numPr>
        <w:rPr>
          <w:color w:val="auto"/>
          <w:highlight w:val="yellow"/>
        </w:rPr>
      </w:pPr>
      <w:r w:rsidRPr="00DC6A13">
        <w:rPr>
          <w:color w:val="auto"/>
          <w:highlight w:val="yellow"/>
        </w:rPr>
        <w:t>Select</w:t>
      </w:r>
      <w:r w:rsidR="00632863" w:rsidRPr="00DC6A13">
        <w:rPr>
          <w:color w:val="auto"/>
          <w:highlight w:val="yellow"/>
        </w:rPr>
        <w:t xml:space="preserve"> the</w:t>
      </w:r>
      <w:r w:rsidRPr="00DC6A13">
        <w:rPr>
          <w:color w:val="auto"/>
          <w:highlight w:val="yellow"/>
        </w:rPr>
        <w:t xml:space="preserve"> image acquired </w:t>
      </w:r>
      <w:r w:rsidR="00632863" w:rsidRPr="00DC6A13">
        <w:rPr>
          <w:color w:val="auto"/>
          <w:highlight w:val="yellow"/>
        </w:rPr>
        <w:t xml:space="preserve">on </w:t>
      </w:r>
      <w:r w:rsidRPr="00DC6A13">
        <w:rPr>
          <w:color w:val="auto"/>
          <w:highlight w:val="yellow"/>
        </w:rPr>
        <w:t xml:space="preserve">day 2 as </w:t>
      </w:r>
      <w:r w:rsidR="00632863" w:rsidRPr="00DC6A13">
        <w:rPr>
          <w:color w:val="auto"/>
          <w:highlight w:val="yellow"/>
        </w:rPr>
        <w:t xml:space="preserve">the </w:t>
      </w:r>
      <w:r w:rsidRPr="00DC6A13">
        <w:rPr>
          <w:color w:val="auto"/>
          <w:highlight w:val="yellow"/>
        </w:rPr>
        <w:t xml:space="preserve">most suitable for ROI delineation. </w:t>
      </w:r>
      <w:r w:rsidR="0061666B" w:rsidRPr="00DC6A13">
        <w:rPr>
          <w:color w:val="auto"/>
          <w:highlight w:val="yellow"/>
        </w:rPr>
        <w:t xml:space="preserve">Contour organs: </w:t>
      </w:r>
      <w:r w:rsidR="004944AD" w:rsidRPr="00DC6A13">
        <w:rPr>
          <w:color w:val="auto"/>
          <w:highlight w:val="yellow"/>
        </w:rPr>
        <w:t>whole body (encompassing also urine vessel or bag</w:t>
      </w:r>
      <w:r w:rsidR="00632863" w:rsidRPr="00DC6A13">
        <w:rPr>
          <w:color w:val="auto"/>
          <w:highlight w:val="yellow"/>
        </w:rPr>
        <w:t xml:space="preserve"> when needed</w:t>
      </w:r>
      <w:r w:rsidR="004944AD" w:rsidRPr="00DC6A13">
        <w:rPr>
          <w:color w:val="auto"/>
          <w:highlight w:val="yellow"/>
        </w:rPr>
        <w:t xml:space="preserve">), </w:t>
      </w:r>
      <w:r w:rsidR="0061666B" w:rsidRPr="00DC6A13">
        <w:rPr>
          <w:color w:val="auto"/>
          <w:highlight w:val="yellow"/>
        </w:rPr>
        <w:t>kidneys, liver, spleen (if visible), parotid glands, submandibular glands</w:t>
      </w:r>
      <w:r w:rsidR="003C0498" w:rsidRPr="00DC6A13">
        <w:rPr>
          <w:color w:val="auto"/>
          <w:highlight w:val="yellow"/>
        </w:rPr>
        <w:t>.</w:t>
      </w:r>
      <w:r w:rsidR="004944AD" w:rsidRPr="00DC6A13">
        <w:rPr>
          <w:color w:val="auto"/>
          <w:highlight w:val="yellow"/>
        </w:rPr>
        <w:t xml:space="preserve"> If possible, </w:t>
      </w:r>
      <w:r w:rsidR="00C91655" w:rsidRPr="00DC6A13">
        <w:rPr>
          <w:color w:val="auto"/>
          <w:highlight w:val="yellow"/>
        </w:rPr>
        <w:t xml:space="preserve">also </w:t>
      </w:r>
      <w:r w:rsidR="004944AD" w:rsidRPr="00DC6A13">
        <w:rPr>
          <w:color w:val="auto"/>
          <w:highlight w:val="yellow"/>
        </w:rPr>
        <w:t>contour some visible lesion</w:t>
      </w:r>
      <w:r w:rsidR="00765C5C" w:rsidRPr="00DC6A13">
        <w:rPr>
          <w:color w:val="auto"/>
          <w:highlight w:val="yellow"/>
        </w:rPr>
        <w:t>s</w:t>
      </w:r>
      <w:r w:rsidR="002E47B6" w:rsidRPr="00DC6A13">
        <w:rPr>
          <w:color w:val="auto"/>
          <w:highlight w:val="yellow"/>
        </w:rPr>
        <w:t>. C</w:t>
      </w:r>
      <w:r w:rsidR="004944AD" w:rsidRPr="00DC6A13">
        <w:rPr>
          <w:color w:val="auto"/>
          <w:highlight w:val="yellow"/>
        </w:rPr>
        <w:t>ontour the ROIs on the most useful image between anterior and posterior view</w:t>
      </w:r>
      <w:r w:rsidR="00F457FA" w:rsidRPr="00DC6A13">
        <w:rPr>
          <w:color w:val="auto"/>
          <w:highlight w:val="yellow"/>
        </w:rPr>
        <w:t>s</w:t>
      </w:r>
      <w:r w:rsidR="007809C2" w:rsidRPr="00DC6A13">
        <w:rPr>
          <w:color w:val="auto"/>
          <w:highlight w:val="yellow"/>
        </w:rPr>
        <w:t xml:space="preserve"> (</w:t>
      </w:r>
      <w:r w:rsidR="007809C2" w:rsidRPr="003D144A">
        <w:rPr>
          <w:b/>
          <w:bCs/>
          <w:color w:val="auto"/>
          <w:highlight w:val="yellow"/>
        </w:rPr>
        <w:t>Figure 2</w:t>
      </w:r>
      <w:r w:rsidR="007809C2" w:rsidRPr="00DC6A13">
        <w:rPr>
          <w:color w:val="auto"/>
          <w:highlight w:val="yellow"/>
        </w:rPr>
        <w:t>)</w:t>
      </w:r>
      <w:r w:rsidR="00D55455" w:rsidRPr="00DC6A13">
        <w:rPr>
          <w:color w:val="auto"/>
          <w:highlight w:val="yellow"/>
        </w:rPr>
        <w:t>. C</w:t>
      </w:r>
      <w:r w:rsidR="004944AD" w:rsidRPr="00DC6A13">
        <w:rPr>
          <w:color w:val="auto"/>
          <w:highlight w:val="yellow"/>
        </w:rPr>
        <w:t>ontour a small ROI adjacent to each contoured structure for background</w:t>
      </w:r>
      <w:r w:rsidR="009F661D" w:rsidRPr="00DC6A13">
        <w:rPr>
          <w:color w:val="auto"/>
          <w:highlight w:val="yellow"/>
        </w:rPr>
        <w:t>.</w:t>
      </w:r>
    </w:p>
    <w:p w14:paraId="7C6C8B39" w14:textId="77777777" w:rsidR="003C2297" w:rsidRPr="00DC6A13" w:rsidRDefault="003C2297">
      <w:pPr>
        <w:pStyle w:val="ListParagraph"/>
        <w:ind w:left="0"/>
        <w:rPr>
          <w:color w:val="auto"/>
        </w:rPr>
      </w:pPr>
    </w:p>
    <w:p w14:paraId="6B25F7C6" w14:textId="7330E7EA" w:rsidR="007258C3" w:rsidRPr="00DC6A13" w:rsidRDefault="007258C3">
      <w:pPr>
        <w:pStyle w:val="ListParagraph"/>
        <w:numPr>
          <w:ilvl w:val="1"/>
          <w:numId w:val="9"/>
        </w:numPr>
        <w:rPr>
          <w:color w:val="auto"/>
        </w:rPr>
      </w:pPr>
      <w:r w:rsidRPr="00DC6A13">
        <w:rPr>
          <w:color w:val="auto"/>
        </w:rPr>
        <w:t xml:space="preserve">Copy and paste all ROIs from </w:t>
      </w:r>
      <w:r w:rsidR="00C91655" w:rsidRPr="00DC6A13">
        <w:rPr>
          <w:color w:val="auto"/>
        </w:rPr>
        <w:t xml:space="preserve">the </w:t>
      </w:r>
      <w:r w:rsidRPr="00DC6A13">
        <w:rPr>
          <w:color w:val="auto"/>
        </w:rPr>
        <w:t xml:space="preserve">image </w:t>
      </w:r>
      <w:r w:rsidR="00C91655" w:rsidRPr="00DC6A13">
        <w:rPr>
          <w:color w:val="auto"/>
        </w:rPr>
        <w:t>acquired on d</w:t>
      </w:r>
      <w:r w:rsidRPr="00DC6A13">
        <w:rPr>
          <w:color w:val="auto"/>
        </w:rPr>
        <w:t xml:space="preserve">ay 2 to the </w:t>
      </w:r>
      <w:r w:rsidR="00C91655" w:rsidRPr="00DC6A13">
        <w:rPr>
          <w:color w:val="auto"/>
        </w:rPr>
        <w:t xml:space="preserve">anterior and posterior views of the </w:t>
      </w:r>
      <w:r w:rsidRPr="00DC6A13">
        <w:rPr>
          <w:color w:val="auto"/>
        </w:rPr>
        <w:t>other images (</w:t>
      </w:r>
      <w:r w:rsidR="00591C54" w:rsidRPr="00591C54">
        <w:rPr>
          <w:color w:val="auto"/>
        </w:rPr>
        <w:t xml:space="preserve">i.e., </w:t>
      </w:r>
      <w:r w:rsidRPr="00DC6A13">
        <w:rPr>
          <w:color w:val="auto"/>
        </w:rPr>
        <w:t>day</w:t>
      </w:r>
      <w:r w:rsidR="00C91655" w:rsidRPr="00DC6A13">
        <w:rPr>
          <w:color w:val="auto"/>
        </w:rPr>
        <w:t>s</w:t>
      </w:r>
      <w:r w:rsidRPr="00DC6A13">
        <w:rPr>
          <w:color w:val="auto"/>
        </w:rPr>
        <w:t xml:space="preserve"> 1, 3 and 6)</w:t>
      </w:r>
      <w:r w:rsidR="00C91655" w:rsidRPr="00DC6A13">
        <w:rPr>
          <w:color w:val="auto"/>
        </w:rPr>
        <w:t>.</w:t>
      </w:r>
    </w:p>
    <w:p w14:paraId="2A9F60B1" w14:textId="77777777" w:rsidR="003C2297" w:rsidRPr="00DC6A13" w:rsidRDefault="003C2297">
      <w:pPr>
        <w:pStyle w:val="ListParagraph"/>
        <w:ind w:left="0"/>
        <w:rPr>
          <w:color w:val="auto"/>
        </w:rPr>
      </w:pPr>
    </w:p>
    <w:p w14:paraId="3F4D2039" w14:textId="3526938B" w:rsidR="00C45F6E" w:rsidRPr="00DC6A13" w:rsidRDefault="00C91655">
      <w:pPr>
        <w:pStyle w:val="ListParagraph"/>
        <w:numPr>
          <w:ilvl w:val="1"/>
          <w:numId w:val="9"/>
        </w:numPr>
        <w:rPr>
          <w:color w:val="auto"/>
        </w:rPr>
      </w:pPr>
      <w:r w:rsidRPr="00DC6A13">
        <w:rPr>
          <w:color w:val="auto"/>
        </w:rPr>
        <w:lastRenderedPageBreak/>
        <w:t>Us</w:t>
      </w:r>
      <w:r w:rsidR="007258C3" w:rsidRPr="00DC6A13">
        <w:rPr>
          <w:color w:val="auto"/>
        </w:rPr>
        <w:t xml:space="preserve">e only ROI translation and </w:t>
      </w:r>
      <w:r w:rsidR="00493E1F" w:rsidRPr="00DC6A13">
        <w:rPr>
          <w:color w:val="auto"/>
        </w:rPr>
        <w:t>do not modify to maintain t</w:t>
      </w:r>
      <w:r w:rsidR="007258C3" w:rsidRPr="00DC6A13">
        <w:rPr>
          <w:color w:val="auto"/>
        </w:rPr>
        <w:t>he same organ dimension.</w:t>
      </w:r>
      <w:r w:rsidR="009776A6" w:rsidRPr="00DC6A13">
        <w:rPr>
          <w:color w:val="auto"/>
        </w:rPr>
        <w:t xml:space="preserve"> </w:t>
      </w:r>
      <w:r w:rsidR="007258C3" w:rsidRPr="00DC6A13">
        <w:rPr>
          <w:color w:val="auto"/>
        </w:rPr>
        <w:t>I</w:t>
      </w:r>
      <w:r w:rsidR="00493E1F" w:rsidRPr="00DC6A13">
        <w:rPr>
          <w:color w:val="auto"/>
        </w:rPr>
        <w:t>n the event</w:t>
      </w:r>
      <w:r w:rsidR="00765C5C" w:rsidRPr="00DC6A13">
        <w:rPr>
          <w:color w:val="auto"/>
        </w:rPr>
        <w:t xml:space="preserve"> of an image with </w:t>
      </w:r>
      <w:r w:rsidR="00493E1F" w:rsidRPr="00DC6A13">
        <w:rPr>
          <w:color w:val="auto"/>
        </w:rPr>
        <w:t xml:space="preserve">a </w:t>
      </w:r>
      <w:r w:rsidR="007258C3" w:rsidRPr="00DC6A13">
        <w:rPr>
          <w:color w:val="auto"/>
        </w:rPr>
        <w:t xml:space="preserve">high uptake region </w:t>
      </w:r>
      <w:r w:rsidR="00493E1F" w:rsidRPr="00DC6A13">
        <w:rPr>
          <w:color w:val="auto"/>
        </w:rPr>
        <w:t>that overlaps with t</w:t>
      </w:r>
      <w:r w:rsidR="00765C5C" w:rsidRPr="00DC6A13">
        <w:rPr>
          <w:color w:val="auto"/>
        </w:rPr>
        <w:t>he</w:t>
      </w:r>
      <w:r w:rsidR="007258C3" w:rsidRPr="00DC6A13">
        <w:rPr>
          <w:color w:val="auto"/>
        </w:rPr>
        <w:t xml:space="preserve"> delineated ROI (</w:t>
      </w:r>
      <w:r w:rsidR="00591C54" w:rsidRPr="00591C54">
        <w:rPr>
          <w:color w:val="auto"/>
        </w:rPr>
        <w:t xml:space="preserve">e.g., </w:t>
      </w:r>
      <w:r w:rsidR="007258C3" w:rsidRPr="00DC6A13">
        <w:rPr>
          <w:color w:val="auto"/>
        </w:rPr>
        <w:t xml:space="preserve">transient intestine uptake overlapped on kidney ROI), </w:t>
      </w:r>
      <w:r w:rsidR="00E44707" w:rsidRPr="00DC6A13">
        <w:rPr>
          <w:color w:val="auto"/>
        </w:rPr>
        <w:t>reduce</w:t>
      </w:r>
      <w:r w:rsidR="007258C3" w:rsidRPr="00DC6A13">
        <w:rPr>
          <w:color w:val="auto"/>
        </w:rPr>
        <w:t xml:space="preserve"> single ROI</w:t>
      </w:r>
      <w:r w:rsidR="00E44707" w:rsidRPr="00DC6A13">
        <w:rPr>
          <w:color w:val="auto"/>
        </w:rPr>
        <w:t xml:space="preserve"> to </w:t>
      </w:r>
      <w:r w:rsidR="00493E1F" w:rsidRPr="00DC6A13">
        <w:rPr>
          <w:color w:val="auto"/>
        </w:rPr>
        <w:t>eliminate the problem</w:t>
      </w:r>
      <w:r w:rsidR="00D042A0" w:rsidRPr="00DC6A13">
        <w:rPr>
          <w:rStyle w:val="FootnoteReference"/>
          <w:color w:val="auto"/>
        </w:rPr>
        <w:fldChar w:fldCharType="begin" w:fldLock="1"/>
      </w:r>
      <w:r w:rsidR="00DD6478" w:rsidRPr="00DC6A13">
        <w:rPr>
          <w:color w:val="auto"/>
        </w:rPr>
        <w:instrText>ADDIN CSL_CITATION {"citationItems":[{"id":"ITEM-1","itemData":{"ISBN":"9780387745787","author":[{"dropping-particle":"","family":"Stabin","given":"Michael G","non-dropping-particle":"","parse-names":false,"suffix":""}],"edition":"Springer","id":"ITEM-1","issued":{"date-parts":[["2008"]]},"title":"Foundamentals of nuclear medicine dosimetry","type":"book"},"uris":["http://www.mendeley.com/documents/?uuid=284afd2b-26bd-4f5c-9920-04edd91a2bb0"]}],"mendeley":{"formattedCitation":"&lt;sup&gt;3&lt;/sup&gt;","plainTextFormattedCitation":"3","previouslyFormattedCitation":"&lt;sup&gt;3&lt;/sup&gt;"},"properties":{"noteIndex":0},"schema":"https://github.com/citation-style-language/schema/raw/master/csl-citation.json"}</w:instrText>
      </w:r>
      <w:r w:rsidR="00D042A0" w:rsidRPr="00DC6A13">
        <w:rPr>
          <w:rStyle w:val="FootnoteReference"/>
          <w:color w:val="auto"/>
        </w:rPr>
        <w:fldChar w:fldCharType="separate"/>
      </w:r>
      <w:r w:rsidR="00975AF0" w:rsidRPr="00DC6A13">
        <w:rPr>
          <w:noProof/>
          <w:color w:val="auto"/>
          <w:vertAlign w:val="superscript"/>
        </w:rPr>
        <w:t>3</w:t>
      </w:r>
      <w:r w:rsidR="00D042A0" w:rsidRPr="00DC6A13">
        <w:rPr>
          <w:rStyle w:val="FootnoteReference"/>
          <w:color w:val="auto"/>
        </w:rPr>
        <w:fldChar w:fldCharType="end"/>
      </w:r>
      <w:r w:rsidR="009776A6" w:rsidRPr="00DC6A13">
        <w:rPr>
          <w:color w:val="auto"/>
        </w:rPr>
        <w:t xml:space="preserve">. </w:t>
      </w:r>
      <w:r w:rsidR="007258C3" w:rsidRPr="00DC6A13">
        <w:rPr>
          <w:color w:val="auto"/>
        </w:rPr>
        <w:t>For each image (</w:t>
      </w:r>
      <w:r w:rsidR="00591C54" w:rsidRPr="00591C54">
        <w:rPr>
          <w:color w:val="auto"/>
        </w:rPr>
        <w:t xml:space="preserve">i.e., </w:t>
      </w:r>
      <w:r w:rsidR="007258C3" w:rsidRPr="00DC6A13">
        <w:rPr>
          <w:color w:val="auto"/>
        </w:rPr>
        <w:t>day</w:t>
      </w:r>
      <w:r w:rsidR="00493E1F" w:rsidRPr="00DC6A13">
        <w:rPr>
          <w:color w:val="auto"/>
        </w:rPr>
        <w:t>s</w:t>
      </w:r>
      <w:r w:rsidR="007258C3" w:rsidRPr="00DC6A13">
        <w:rPr>
          <w:color w:val="auto"/>
        </w:rPr>
        <w:t xml:space="preserve"> 1, 2, 3 and 6), s</w:t>
      </w:r>
      <w:r w:rsidR="004944AD" w:rsidRPr="00DC6A13">
        <w:rPr>
          <w:color w:val="auto"/>
        </w:rPr>
        <w:t xml:space="preserve">elect anterior image. </w:t>
      </w:r>
      <w:r w:rsidR="0034102C" w:rsidRPr="00DC6A13">
        <w:rPr>
          <w:color w:val="auto"/>
        </w:rPr>
        <w:t>S</w:t>
      </w:r>
      <w:r w:rsidR="004944AD" w:rsidRPr="00DC6A13">
        <w:rPr>
          <w:color w:val="auto"/>
        </w:rPr>
        <w:t xml:space="preserve">ave </w:t>
      </w:r>
      <w:r w:rsidR="00E44707" w:rsidRPr="00DC6A13">
        <w:rPr>
          <w:color w:val="auto"/>
        </w:rPr>
        <w:t xml:space="preserve">contoured </w:t>
      </w:r>
      <w:r w:rsidR="004944AD" w:rsidRPr="00DC6A13">
        <w:rPr>
          <w:color w:val="auto"/>
        </w:rPr>
        <w:t>ROIs</w:t>
      </w:r>
      <w:r w:rsidR="009F661D" w:rsidRPr="00DC6A13">
        <w:rPr>
          <w:color w:val="auto"/>
        </w:rPr>
        <w:t>.</w:t>
      </w:r>
    </w:p>
    <w:p w14:paraId="0CD9EDD9" w14:textId="77777777" w:rsidR="003C2297" w:rsidRPr="00DC6A13" w:rsidRDefault="003C2297">
      <w:pPr>
        <w:pStyle w:val="ListParagraph"/>
        <w:ind w:left="0"/>
        <w:rPr>
          <w:color w:val="auto"/>
        </w:rPr>
      </w:pPr>
    </w:p>
    <w:p w14:paraId="1F8647B8" w14:textId="77777777" w:rsidR="00BF3EEF" w:rsidRPr="00DC6A13" w:rsidRDefault="007258C3">
      <w:pPr>
        <w:pStyle w:val="ListParagraph"/>
        <w:numPr>
          <w:ilvl w:val="1"/>
          <w:numId w:val="9"/>
        </w:numPr>
        <w:rPr>
          <w:color w:val="auto"/>
        </w:rPr>
      </w:pPr>
      <w:r w:rsidRPr="00DC6A13">
        <w:rPr>
          <w:color w:val="auto"/>
          <w:highlight w:val="yellow"/>
        </w:rPr>
        <w:t>For each image, t</w:t>
      </w:r>
      <w:r w:rsidR="007509D0" w:rsidRPr="00DC6A13">
        <w:rPr>
          <w:color w:val="auto"/>
          <w:highlight w:val="yellow"/>
        </w:rPr>
        <w:t xml:space="preserve">ake note of </w:t>
      </w:r>
      <w:r w:rsidRPr="00DC6A13">
        <w:rPr>
          <w:color w:val="auto"/>
          <w:highlight w:val="yellow"/>
        </w:rPr>
        <w:t>average counts</w:t>
      </w:r>
      <w:r w:rsidR="000D06EE" w:rsidRPr="00DC6A13">
        <w:rPr>
          <w:color w:val="auto"/>
          <w:highlight w:val="yellow"/>
        </w:rPr>
        <w:t xml:space="preserve"> </w:t>
      </w:r>
      <w:r w:rsidR="00E9047F" w:rsidRPr="00DC6A13">
        <w:rPr>
          <w:color w:val="auto"/>
          <w:highlight w:val="yellow"/>
        </w:rPr>
        <w:t>[c]</w:t>
      </w:r>
      <w:r w:rsidRPr="00DC6A13">
        <w:rPr>
          <w:color w:val="auto"/>
          <w:highlight w:val="yellow"/>
        </w:rPr>
        <w:t xml:space="preserve"> and pixel dimension inside each ROI (includ</w:t>
      </w:r>
      <w:r w:rsidR="00C91655" w:rsidRPr="00DC6A13">
        <w:rPr>
          <w:color w:val="auto"/>
          <w:highlight w:val="yellow"/>
        </w:rPr>
        <w:t>ing</w:t>
      </w:r>
      <w:r w:rsidRPr="00DC6A13">
        <w:rPr>
          <w:color w:val="auto"/>
          <w:highlight w:val="yellow"/>
        </w:rPr>
        <w:t xml:space="preserve"> background ROIs) </w:t>
      </w:r>
      <w:r w:rsidR="00765C5C" w:rsidRPr="00DC6A13">
        <w:rPr>
          <w:color w:val="auto"/>
          <w:highlight w:val="yellow"/>
        </w:rPr>
        <w:t xml:space="preserve">for </w:t>
      </w:r>
      <w:r w:rsidRPr="00DC6A13">
        <w:rPr>
          <w:color w:val="auto"/>
          <w:highlight w:val="yellow"/>
        </w:rPr>
        <w:t>both anterior and posterior view</w:t>
      </w:r>
      <w:r w:rsidR="00765C5C" w:rsidRPr="00DC6A13">
        <w:rPr>
          <w:color w:val="auto"/>
          <w:highlight w:val="yellow"/>
        </w:rPr>
        <w:t>s</w:t>
      </w:r>
      <w:r w:rsidR="00E44707" w:rsidRPr="00DC6A13">
        <w:rPr>
          <w:color w:val="auto"/>
          <w:highlight w:val="yellow"/>
        </w:rPr>
        <w:t>.</w:t>
      </w:r>
      <w:r w:rsidR="00E44707" w:rsidRPr="00DC6A13">
        <w:rPr>
          <w:color w:val="auto"/>
        </w:rPr>
        <w:t xml:space="preserve"> </w:t>
      </w:r>
    </w:p>
    <w:p w14:paraId="7D7A25EC" w14:textId="77777777" w:rsidR="003C2297" w:rsidRPr="00DC6A13" w:rsidRDefault="003C2297">
      <w:pPr>
        <w:pStyle w:val="ListParagraph"/>
        <w:ind w:left="0"/>
        <w:rPr>
          <w:color w:val="auto"/>
        </w:rPr>
      </w:pPr>
    </w:p>
    <w:p w14:paraId="520DC4E5" w14:textId="77777777" w:rsidR="00601098" w:rsidRPr="00DC6A13" w:rsidRDefault="00682FD8">
      <w:pPr>
        <w:pStyle w:val="ListParagraph"/>
        <w:numPr>
          <w:ilvl w:val="1"/>
          <w:numId w:val="9"/>
        </w:numPr>
        <w:rPr>
          <w:color w:val="auto"/>
        </w:rPr>
      </w:pPr>
      <w:r w:rsidRPr="00DC6A13">
        <w:rPr>
          <w:color w:val="auto"/>
        </w:rPr>
        <w:t>Open anterior transmission and blank scans, together with delineated ROIs</w:t>
      </w:r>
      <w:r w:rsidR="009776A6" w:rsidRPr="00DC6A13">
        <w:rPr>
          <w:color w:val="auto"/>
        </w:rPr>
        <w:t xml:space="preserve">. </w:t>
      </w:r>
      <w:r w:rsidRPr="00DC6A13">
        <w:rPr>
          <w:color w:val="auto"/>
        </w:rPr>
        <w:t>Copy and paste organ and lesions ROIs on</w:t>
      </w:r>
      <w:r w:rsidR="00493E1F" w:rsidRPr="00DC6A13">
        <w:rPr>
          <w:color w:val="auto"/>
        </w:rPr>
        <w:t>to</w:t>
      </w:r>
      <w:r w:rsidRPr="00DC6A13">
        <w:rPr>
          <w:color w:val="auto"/>
        </w:rPr>
        <w:t xml:space="preserve"> transmission scan</w:t>
      </w:r>
      <w:r w:rsidR="009776A6" w:rsidRPr="00DC6A13">
        <w:rPr>
          <w:color w:val="auto"/>
        </w:rPr>
        <w:t xml:space="preserve">. </w:t>
      </w:r>
      <w:r w:rsidR="00601098" w:rsidRPr="00DC6A13">
        <w:rPr>
          <w:color w:val="auto"/>
        </w:rPr>
        <w:t xml:space="preserve">Adjust for organ mismatch, and if </w:t>
      </w:r>
      <w:r w:rsidR="00493E1F" w:rsidRPr="00DC6A13">
        <w:rPr>
          <w:color w:val="auto"/>
        </w:rPr>
        <w:t>needed,</w:t>
      </w:r>
      <w:r w:rsidR="00601098" w:rsidRPr="00DC6A13">
        <w:rPr>
          <w:color w:val="auto"/>
        </w:rPr>
        <w:t xml:space="preserve"> enlarge or decrease organ </w:t>
      </w:r>
      <w:r w:rsidR="000D06EE" w:rsidRPr="00DC6A13">
        <w:rPr>
          <w:color w:val="auto"/>
        </w:rPr>
        <w:t>cont</w:t>
      </w:r>
      <w:r w:rsidR="002F0CC7" w:rsidRPr="00DC6A13">
        <w:rPr>
          <w:color w:val="auto"/>
        </w:rPr>
        <w:t>o</w:t>
      </w:r>
      <w:r w:rsidR="000D06EE" w:rsidRPr="00DC6A13">
        <w:rPr>
          <w:color w:val="auto"/>
        </w:rPr>
        <w:t>urs</w:t>
      </w:r>
      <w:r w:rsidR="00601098" w:rsidRPr="00DC6A13">
        <w:rPr>
          <w:color w:val="auto"/>
        </w:rPr>
        <w:t xml:space="preserve"> for different image magnification</w:t>
      </w:r>
      <w:r w:rsidR="009F661D" w:rsidRPr="00DC6A13">
        <w:rPr>
          <w:color w:val="auto"/>
        </w:rPr>
        <w:t>.</w:t>
      </w:r>
    </w:p>
    <w:p w14:paraId="75477043" w14:textId="77777777" w:rsidR="003C2297" w:rsidRPr="00DC6A13" w:rsidRDefault="003C2297">
      <w:pPr>
        <w:pStyle w:val="ListParagraph"/>
        <w:ind w:left="0"/>
        <w:rPr>
          <w:color w:val="auto"/>
        </w:rPr>
      </w:pPr>
    </w:p>
    <w:p w14:paraId="50AAA9D5" w14:textId="77777777" w:rsidR="00601098" w:rsidRPr="00DC6A13" w:rsidRDefault="00601098">
      <w:pPr>
        <w:pStyle w:val="ListParagraph"/>
        <w:numPr>
          <w:ilvl w:val="1"/>
          <w:numId w:val="9"/>
        </w:numPr>
        <w:rPr>
          <w:color w:val="auto"/>
        </w:rPr>
      </w:pPr>
      <w:r w:rsidRPr="00DC6A13">
        <w:rPr>
          <w:color w:val="auto"/>
        </w:rPr>
        <w:t>For body attenuation, contour a structure encompassing head, shoulders, chest and abdomen</w:t>
      </w:r>
      <w:r w:rsidR="00493E1F" w:rsidRPr="00DC6A13">
        <w:rPr>
          <w:color w:val="auto"/>
        </w:rPr>
        <w:t xml:space="preserve">, </w:t>
      </w:r>
      <w:r w:rsidR="007809C2" w:rsidRPr="00DC6A13">
        <w:rPr>
          <w:color w:val="auto"/>
        </w:rPr>
        <w:t>avoiding arms and legs</w:t>
      </w:r>
      <w:r w:rsidR="00493E1F" w:rsidRPr="00DC6A13">
        <w:rPr>
          <w:color w:val="auto"/>
        </w:rPr>
        <w:t xml:space="preserve"> (</w:t>
      </w:r>
      <w:r w:rsidR="007809C2" w:rsidRPr="003D144A">
        <w:rPr>
          <w:b/>
          <w:bCs/>
          <w:color w:val="auto"/>
        </w:rPr>
        <w:t>Figure 3</w:t>
      </w:r>
      <w:r w:rsidR="00C45F6E" w:rsidRPr="00DC6A13">
        <w:rPr>
          <w:color w:val="auto"/>
        </w:rPr>
        <w:t>).</w:t>
      </w:r>
    </w:p>
    <w:p w14:paraId="3E423502" w14:textId="77777777" w:rsidR="003C2297" w:rsidRPr="00DC6A13" w:rsidRDefault="003C2297">
      <w:pPr>
        <w:pStyle w:val="ListParagraph"/>
        <w:ind w:left="0"/>
        <w:rPr>
          <w:color w:val="auto"/>
        </w:rPr>
      </w:pPr>
    </w:p>
    <w:p w14:paraId="0CF86565" w14:textId="77777777" w:rsidR="00682FD8" w:rsidRPr="00DC6A13" w:rsidRDefault="00682FD8">
      <w:pPr>
        <w:pStyle w:val="ListParagraph"/>
        <w:numPr>
          <w:ilvl w:val="1"/>
          <w:numId w:val="9"/>
        </w:numPr>
        <w:rPr>
          <w:color w:val="auto"/>
        </w:rPr>
      </w:pPr>
      <w:r w:rsidRPr="00DC6A13">
        <w:rPr>
          <w:color w:val="auto"/>
        </w:rPr>
        <w:t xml:space="preserve">Copy and paste </w:t>
      </w:r>
      <w:r w:rsidR="00601098" w:rsidRPr="00DC6A13">
        <w:rPr>
          <w:color w:val="auto"/>
        </w:rPr>
        <w:t xml:space="preserve">all </w:t>
      </w:r>
      <w:r w:rsidRPr="00DC6A13">
        <w:rPr>
          <w:color w:val="auto"/>
        </w:rPr>
        <w:t>ROIs from transmission to blank scan</w:t>
      </w:r>
      <w:r w:rsidR="009F661D" w:rsidRPr="00DC6A13">
        <w:rPr>
          <w:color w:val="auto"/>
        </w:rPr>
        <w:t>.</w:t>
      </w:r>
    </w:p>
    <w:p w14:paraId="30569B19" w14:textId="77777777" w:rsidR="003C2297" w:rsidRPr="00DC6A13" w:rsidRDefault="003C2297">
      <w:pPr>
        <w:pStyle w:val="ListParagraph"/>
        <w:ind w:left="0"/>
        <w:rPr>
          <w:color w:val="auto"/>
        </w:rPr>
      </w:pPr>
    </w:p>
    <w:p w14:paraId="70CE738D" w14:textId="3A4243ED" w:rsidR="0097164E" w:rsidRPr="00771DC3" w:rsidRDefault="004221FA" w:rsidP="00771DC3">
      <w:pPr>
        <w:pStyle w:val="ListParagraph"/>
        <w:numPr>
          <w:ilvl w:val="1"/>
          <w:numId w:val="9"/>
        </w:numPr>
        <w:rPr>
          <w:color w:val="auto"/>
          <w:highlight w:val="yellow"/>
        </w:rPr>
      </w:pPr>
      <w:r>
        <w:rPr>
          <w:color w:val="auto"/>
          <w:highlight w:val="yellow"/>
        </w:rPr>
        <w:t>Evaluate the</w:t>
      </w:r>
      <w:r w:rsidRPr="00DC6A13">
        <w:rPr>
          <w:color w:val="auto"/>
          <w:highlight w:val="yellow"/>
        </w:rPr>
        <w:t xml:space="preserve"> </w:t>
      </w:r>
      <w:r w:rsidR="00493E1F" w:rsidRPr="00DC6A13">
        <w:rPr>
          <w:color w:val="auto"/>
          <w:highlight w:val="yellow"/>
        </w:rPr>
        <w:t xml:space="preserve">water equivalent thickness </w:t>
      </w:r>
      <w:r w:rsidR="00493E1F" w:rsidRPr="00DC6A13">
        <w:rPr>
          <w:i/>
          <w:color w:val="auto"/>
          <w:highlight w:val="yellow"/>
        </w:rPr>
        <w:t xml:space="preserve">z </w:t>
      </w:r>
      <w:r w:rsidR="00493E1F" w:rsidRPr="00DC6A13">
        <w:rPr>
          <w:color w:val="auto"/>
          <w:highlight w:val="yellow"/>
        </w:rPr>
        <w:t xml:space="preserve">for each </w:t>
      </w:r>
      <w:r w:rsidR="002E47B6" w:rsidRPr="00DC6A13">
        <w:rPr>
          <w:color w:val="auto"/>
          <w:highlight w:val="yellow"/>
        </w:rPr>
        <w:t>structure to</w:t>
      </w:r>
      <w:r w:rsidR="00DA5135" w:rsidRPr="00DC6A13">
        <w:rPr>
          <w:color w:val="auto"/>
          <w:highlight w:val="yellow"/>
        </w:rPr>
        <w:t xml:space="preserve"> estimate the </w:t>
      </w:r>
      <w:r w:rsidRPr="00DC6A13">
        <w:rPr>
          <w:color w:val="auto"/>
          <w:highlight w:val="yellow"/>
        </w:rPr>
        <w:t>self-attenuation</w:t>
      </w:r>
      <w:r w:rsidR="00493E1F" w:rsidRPr="00DC6A13">
        <w:rPr>
          <w:color w:val="auto"/>
          <w:highlight w:val="yellow"/>
        </w:rPr>
        <w:t>.</w:t>
      </w:r>
      <w:r w:rsidR="00DA5135" w:rsidRPr="00DC6A13">
        <w:rPr>
          <w:color w:val="auto"/>
          <w:highlight w:val="yellow"/>
        </w:rPr>
        <w:t xml:space="preserve"> </w:t>
      </w:r>
      <w:r w:rsidR="00682FD8" w:rsidRPr="00DC6A13">
        <w:rPr>
          <w:color w:val="auto"/>
          <w:highlight w:val="yellow"/>
        </w:rPr>
        <w:t>Take note of average counts</w:t>
      </w:r>
      <w:r w:rsidR="00AE1098" w:rsidRPr="00DC6A13">
        <w:rPr>
          <w:color w:val="auto"/>
          <w:highlight w:val="yellow"/>
        </w:rPr>
        <w:t xml:space="preserve"> </w:t>
      </w:r>
      <w:r w:rsidR="00682FD8" w:rsidRPr="00DC6A13">
        <w:rPr>
          <w:color w:val="auto"/>
          <w:highlight w:val="yellow"/>
        </w:rPr>
        <w:t>inside each ROI on both transmission</w:t>
      </w:r>
      <w:r w:rsidR="00CF5D8E" w:rsidRPr="00DC6A13">
        <w:rPr>
          <w:color w:val="auto"/>
          <w:highlight w:val="yellow"/>
        </w:rPr>
        <w:t xml:space="preserve"> (</w:t>
      </w:r>
      <m:oMath>
        <m:sSub>
          <m:sSubPr>
            <m:ctrlPr>
              <w:rPr>
                <w:rFonts w:ascii="Cambria Math" w:hAnsi="Cambria Math"/>
                <w:color w:val="auto"/>
                <w:highlight w:val="yellow"/>
              </w:rPr>
            </m:ctrlPr>
          </m:sSubPr>
          <m:e>
            <m:r>
              <m:rPr>
                <m:sty m:val="p"/>
              </m:rPr>
              <w:rPr>
                <w:rFonts w:ascii="Cambria Math" w:hAnsi="Cambria Math"/>
                <w:color w:val="auto"/>
                <w:highlight w:val="yellow"/>
              </w:rPr>
              <m:t>I</m:t>
            </m:r>
          </m:e>
          <m:sub>
            <m:r>
              <m:rPr>
                <m:sty m:val="p"/>
              </m:rPr>
              <w:rPr>
                <w:rFonts w:ascii="Cambria Math" w:hAnsi="Cambria Math"/>
                <w:color w:val="auto"/>
                <w:highlight w:val="yellow"/>
              </w:rPr>
              <m:t>transmission</m:t>
            </m:r>
          </m:sub>
        </m:sSub>
      </m:oMath>
      <w:r w:rsidR="00CF5D8E" w:rsidRPr="00DC6A13">
        <w:rPr>
          <w:color w:val="auto"/>
          <w:highlight w:val="yellow"/>
        </w:rPr>
        <w:t>)</w:t>
      </w:r>
      <w:r w:rsidR="00682FD8" w:rsidRPr="00DC6A13">
        <w:rPr>
          <w:color w:val="auto"/>
          <w:highlight w:val="yellow"/>
        </w:rPr>
        <w:t xml:space="preserve"> </w:t>
      </w:r>
      <w:r w:rsidR="00493E1F" w:rsidRPr="00DC6A13">
        <w:rPr>
          <w:color w:val="auto"/>
          <w:highlight w:val="yellow"/>
        </w:rPr>
        <w:t xml:space="preserve">transmission </w:t>
      </w:r>
      <w:r w:rsidR="00682FD8" w:rsidRPr="00DC6A13">
        <w:rPr>
          <w:color w:val="auto"/>
          <w:highlight w:val="yellow"/>
        </w:rPr>
        <w:t>and blank</w:t>
      </w:r>
      <w:r w:rsidR="00CF5D8E" w:rsidRPr="00DC6A13">
        <w:rPr>
          <w:color w:val="auto"/>
          <w:highlight w:val="yellow"/>
        </w:rPr>
        <w:t xml:space="preserve"> (</w:t>
      </w:r>
      <m:oMath>
        <m:sSub>
          <m:sSubPr>
            <m:ctrlPr>
              <w:rPr>
                <w:rFonts w:ascii="Cambria Math" w:hAnsi="Cambria Math"/>
                <w:color w:val="auto"/>
                <w:highlight w:val="yellow"/>
              </w:rPr>
            </m:ctrlPr>
          </m:sSubPr>
          <m:e>
            <m:r>
              <m:rPr>
                <m:sty m:val="p"/>
              </m:rPr>
              <w:rPr>
                <w:rFonts w:ascii="Cambria Math" w:hAnsi="Cambria Math"/>
                <w:color w:val="auto"/>
                <w:highlight w:val="yellow"/>
              </w:rPr>
              <m:t>I</m:t>
            </m:r>
          </m:e>
          <m:sub>
            <m:r>
              <m:rPr>
                <m:sty m:val="p"/>
              </m:rPr>
              <w:rPr>
                <w:rFonts w:ascii="Cambria Math" w:hAnsi="Cambria Math"/>
                <w:color w:val="auto"/>
                <w:highlight w:val="yellow"/>
              </w:rPr>
              <m:t>blank</m:t>
            </m:r>
          </m:sub>
        </m:sSub>
      </m:oMath>
      <w:r w:rsidR="00CF5D8E" w:rsidRPr="00DC6A13">
        <w:rPr>
          <w:color w:val="auto"/>
          <w:highlight w:val="yellow"/>
        </w:rPr>
        <w:t>)</w:t>
      </w:r>
      <w:r w:rsidR="00682FD8" w:rsidRPr="00DC6A13">
        <w:rPr>
          <w:color w:val="auto"/>
          <w:highlight w:val="yellow"/>
        </w:rPr>
        <w:t xml:space="preserve"> scans</w:t>
      </w:r>
      <w:r w:rsidR="009776A6" w:rsidRPr="00DC6A13">
        <w:rPr>
          <w:color w:val="auto"/>
          <w:highlight w:val="yellow"/>
        </w:rPr>
        <w:t xml:space="preserve">. </w:t>
      </w:r>
      <w:r w:rsidR="00CF5D8E" w:rsidRPr="00DC6A13">
        <w:rPr>
          <w:color w:val="auto"/>
          <w:highlight w:val="yellow"/>
        </w:rPr>
        <w:t xml:space="preserve">Calculate water equivalent thickness </w:t>
      </w:r>
      <w:r w:rsidR="00CF5D8E" w:rsidRPr="00DC6A13">
        <w:rPr>
          <w:i/>
          <w:color w:val="auto"/>
          <w:highlight w:val="yellow"/>
        </w:rPr>
        <w:t>z</w:t>
      </w:r>
      <w:r w:rsidR="00CF5D8E" w:rsidRPr="00DC6A13">
        <w:rPr>
          <w:color w:val="auto"/>
          <w:highlight w:val="yellow"/>
        </w:rPr>
        <w:t xml:space="preserve"> </w:t>
      </w:r>
      <w:r w:rsidR="00DA5135" w:rsidRPr="00DC6A13">
        <w:rPr>
          <w:color w:val="auto"/>
          <w:highlight w:val="yellow"/>
        </w:rPr>
        <w:t>as</w:t>
      </w:r>
    </w:p>
    <w:p w14:paraId="3B33CD60" w14:textId="77777777" w:rsidR="00CF5D8E" w:rsidRPr="00DC6A13" w:rsidRDefault="00CF5D8E">
      <w:pPr>
        <w:rPr>
          <w:color w:val="auto"/>
          <w:highlight w:val="yellow"/>
          <w:lang w:val="it-IT"/>
        </w:rPr>
      </w:pPr>
      <m:oMathPara>
        <m:oMath>
          <m:r>
            <m:rPr>
              <m:sty m:val="p"/>
            </m:rPr>
            <w:rPr>
              <w:rFonts w:ascii="Cambria Math" w:hAnsi="Cambria Math"/>
              <w:color w:val="auto"/>
              <w:highlight w:val="yellow"/>
            </w:rPr>
            <m:t>z=</m:t>
          </m:r>
          <m:sSub>
            <m:sSubPr>
              <m:ctrlPr>
                <w:rPr>
                  <w:rFonts w:ascii="Cambria Math" w:hAnsi="Cambria Math"/>
                  <w:color w:val="auto"/>
                  <w:highlight w:val="yellow"/>
                </w:rPr>
              </m:ctrlPr>
            </m:sSubPr>
            <m:e>
              <m:r>
                <m:rPr>
                  <m:sty m:val="p"/>
                </m:rPr>
                <w:rPr>
                  <w:rFonts w:ascii="Cambria Math" w:hAnsi="Cambria Math"/>
                  <w:color w:val="auto"/>
                  <w:highlight w:val="yellow"/>
                </w:rPr>
                <m:t>μ</m:t>
              </m:r>
            </m:e>
            <m:sub>
              <m:r>
                <m:rPr>
                  <m:sty m:val="p"/>
                </m:rPr>
                <w:rPr>
                  <w:rFonts w:ascii="Cambria Math" w:hAnsi="Cambria Math"/>
                  <w:color w:val="auto"/>
                  <w:highlight w:val="yellow"/>
                </w:rPr>
                <m:t>(57Co)</m:t>
              </m:r>
            </m:sub>
          </m:sSub>
          <m:r>
            <m:rPr>
              <m:sty m:val="p"/>
            </m:rPr>
            <w:rPr>
              <w:rFonts w:ascii="Cambria Math" w:hAnsi="Cambria Math"/>
              <w:color w:val="auto"/>
              <w:highlight w:val="yellow"/>
            </w:rPr>
            <m:t xml:space="preserve">× </m:t>
          </m:r>
          <m:func>
            <m:funcPr>
              <m:ctrlPr>
                <w:rPr>
                  <w:rFonts w:ascii="Cambria Math" w:hAnsi="Cambria Math"/>
                  <w:color w:val="auto"/>
                  <w:highlight w:val="yellow"/>
                </w:rPr>
              </m:ctrlPr>
            </m:funcPr>
            <m:fName>
              <m:r>
                <m:rPr>
                  <m:sty m:val="p"/>
                </m:rPr>
                <w:rPr>
                  <w:rFonts w:ascii="Cambria Math" w:hAnsi="Cambria Math"/>
                  <w:color w:val="auto"/>
                  <w:highlight w:val="yellow"/>
                </w:rPr>
                <m:t>ln</m:t>
              </m:r>
            </m:fName>
            <m:e>
              <m:r>
                <m:rPr>
                  <m:sty m:val="p"/>
                </m:rPr>
                <w:rPr>
                  <w:rFonts w:ascii="Cambria Math" w:hAnsi="Cambria Math"/>
                  <w:color w:val="auto"/>
                  <w:highlight w:val="yellow"/>
                </w:rPr>
                <m:t>(</m:t>
              </m:r>
              <m:f>
                <m:fPr>
                  <m:ctrlPr>
                    <w:rPr>
                      <w:rFonts w:ascii="Cambria Math" w:hAnsi="Cambria Math"/>
                      <w:color w:val="auto"/>
                      <w:highlight w:val="yellow"/>
                    </w:rPr>
                  </m:ctrlPr>
                </m:fPr>
                <m:num>
                  <m:sSub>
                    <m:sSubPr>
                      <m:ctrlPr>
                        <w:rPr>
                          <w:rFonts w:ascii="Cambria Math" w:hAnsi="Cambria Math"/>
                          <w:color w:val="auto"/>
                          <w:highlight w:val="yellow"/>
                        </w:rPr>
                      </m:ctrlPr>
                    </m:sSubPr>
                    <m:e>
                      <m:r>
                        <m:rPr>
                          <m:sty m:val="p"/>
                        </m:rPr>
                        <w:rPr>
                          <w:rFonts w:ascii="Cambria Math" w:hAnsi="Cambria Math"/>
                          <w:color w:val="auto"/>
                          <w:highlight w:val="yellow"/>
                        </w:rPr>
                        <m:t>I</m:t>
                      </m:r>
                    </m:e>
                    <m:sub>
                      <m:r>
                        <m:rPr>
                          <m:sty m:val="p"/>
                        </m:rPr>
                        <w:rPr>
                          <w:rFonts w:ascii="Cambria Math" w:hAnsi="Cambria Math"/>
                          <w:color w:val="auto"/>
                          <w:highlight w:val="yellow"/>
                        </w:rPr>
                        <m:t>transmission</m:t>
                      </m:r>
                    </m:sub>
                  </m:sSub>
                </m:num>
                <m:den>
                  <m:sSub>
                    <m:sSubPr>
                      <m:ctrlPr>
                        <w:rPr>
                          <w:rFonts w:ascii="Cambria Math" w:hAnsi="Cambria Math"/>
                          <w:color w:val="auto"/>
                          <w:highlight w:val="yellow"/>
                        </w:rPr>
                      </m:ctrlPr>
                    </m:sSubPr>
                    <m:e>
                      <m:r>
                        <m:rPr>
                          <m:sty m:val="p"/>
                        </m:rPr>
                        <w:rPr>
                          <w:rFonts w:ascii="Cambria Math" w:hAnsi="Cambria Math"/>
                          <w:color w:val="auto"/>
                          <w:highlight w:val="yellow"/>
                        </w:rPr>
                        <m:t>I</m:t>
                      </m:r>
                    </m:e>
                    <m:sub>
                      <m:r>
                        <m:rPr>
                          <m:sty m:val="p"/>
                        </m:rPr>
                        <w:rPr>
                          <w:rFonts w:ascii="Cambria Math" w:hAnsi="Cambria Math"/>
                          <w:color w:val="auto"/>
                          <w:highlight w:val="yellow"/>
                        </w:rPr>
                        <m:t>blank</m:t>
                      </m:r>
                    </m:sub>
                  </m:sSub>
                </m:den>
              </m:f>
              <m:r>
                <m:rPr>
                  <m:sty m:val="p"/>
                </m:rPr>
                <w:rPr>
                  <w:rFonts w:ascii="Cambria Math" w:hAnsi="Cambria Math"/>
                  <w:color w:val="auto"/>
                  <w:highlight w:val="yellow"/>
                </w:rPr>
                <m:t>)</m:t>
              </m:r>
            </m:e>
          </m:func>
        </m:oMath>
      </m:oMathPara>
    </w:p>
    <w:p w14:paraId="4D5ABE1B" w14:textId="77777777" w:rsidR="0097164E" w:rsidRPr="00DC6A13" w:rsidRDefault="0097164E">
      <w:pPr>
        <w:pStyle w:val="ListParagraph"/>
        <w:ind w:left="0"/>
        <w:rPr>
          <w:color w:val="auto"/>
          <w:highlight w:val="yellow"/>
        </w:rPr>
      </w:pPr>
    </w:p>
    <w:p w14:paraId="2D3BF0AB" w14:textId="77777777" w:rsidR="003C2297" w:rsidRPr="00DC6A13" w:rsidRDefault="002C319C">
      <w:pPr>
        <w:pStyle w:val="ListParagraph"/>
        <w:ind w:left="0"/>
        <w:rPr>
          <w:color w:val="auto"/>
        </w:rPr>
      </w:pPr>
      <w:r w:rsidRPr="00771DC3">
        <w:rPr>
          <w:color w:val="auto"/>
        </w:rPr>
        <w:t xml:space="preserve">where </w:t>
      </w:r>
      <m:oMath>
        <m:sSub>
          <m:sSubPr>
            <m:ctrlPr>
              <w:rPr>
                <w:rFonts w:ascii="Cambria Math" w:hAnsi="Cambria Math"/>
                <w:color w:val="auto"/>
              </w:rPr>
            </m:ctrlPr>
          </m:sSubPr>
          <m:e>
            <m:r>
              <m:rPr>
                <m:sty m:val="p"/>
              </m:rPr>
              <w:rPr>
                <w:rFonts w:ascii="Cambria Math" w:hAnsi="Cambria Math"/>
                <w:color w:val="auto"/>
              </w:rPr>
              <m:t>μ</m:t>
            </m:r>
          </m:e>
          <m:sub>
            <m:r>
              <m:rPr>
                <m:sty m:val="p"/>
              </m:rPr>
              <w:rPr>
                <w:rFonts w:ascii="Cambria Math" w:hAnsi="Cambria Math"/>
                <w:color w:val="auto"/>
              </w:rPr>
              <m:t>(57Co)</m:t>
            </m:r>
          </m:sub>
        </m:sSub>
      </m:oMath>
      <w:r w:rsidRPr="00771DC3">
        <w:rPr>
          <w:color w:val="auto"/>
        </w:rPr>
        <w:t xml:space="preserve"> is the attenuation coefficient </w:t>
      </w:r>
      <w:r w:rsidR="00C45F6E" w:rsidRPr="00771DC3">
        <w:rPr>
          <w:color w:val="auto"/>
        </w:rPr>
        <w:t xml:space="preserve">for </w:t>
      </w:r>
      <w:r w:rsidR="00C45F6E" w:rsidRPr="00771DC3">
        <w:rPr>
          <w:color w:val="auto"/>
          <w:vertAlign w:val="superscript"/>
        </w:rPr>
        <w:t>57</w:t>
      </w:r>
      <w:r w:rsidR="00C45F6E" w:rsidRPr="00771DC3">
        <w:rPr>
          <w:color w:val="auto"/>
        </w:rPr>
        <w:t>Co flood previously measured with a uniform phantom</w:t>
      </w:r>
      <w:r w:rsidR="009F661D" w:rsidRPr="00771DC3">
        <w:rPr>
          <w:color w:val="auto"/>
        </w:rPr>
        <w:t>.</w:t>
      </w:r>
    </w:p>
    <w:p w14:paraId="6F8CA84F" w14:textId="77777777" w:rsidR="00767D5A" w:rsidRPr="00DC6A13" w:rsidRDefault="00767D5A">
      <w:pPr>
        <w:pStyle w:val="ListParagraph"/>
        <w:ind w:left="0"/>
        <w:rPr>
          <w:color w:val="auto"/>
        </w:rPr>
      </w:pPr>
    </w:p>
    <w:p w14:paraId="0221D6E3" w14:textId="0B0EAF8E" w:rsidR="003C2297" w:rsidRPr="00DC6A13" w:rsidRDefault="00B07943">
      <w:pPr>
        <w:pStyle w:val="ListParagraph"/>
        <w:numPr>
          <w:ilvl w:val="1"/>
          <w:numId w:val="9"/>
        </w:numPr>
        <w:rPr>
          <w:color w:val="auto"/>
        </w:rPr>
      </w:pPr>
      <w:r>
        <w:rPr>
          <w:color w:val="auto"/>
        </w:rPr>
        <w:t>Use the</w:t>
      </w:r>
      <w:r w:rsidRPr="00DC6A13">
        <w:rPr>
          <w:color w:val="auto"/>
        </w:rPr>
        <w:t xml:space="preserve"> </w:t>
      </w:r>
      <w:r w:rsidR="00767D5A" w:rsidRPr="00DC6A13">
        <w:rPr>
          <w:color w:val="auto"/>
        </w:rPr>
        <w:t xml:space="preserve">pre-treatment </w:t>
      </w:r>
      <w:r w:rsidR="00767D5A" w:rsidRPr="00DC6A13">
        <w:rPr>
          <w:color w:val="auto"/>
          <w:vertAlign w:val="superscript"/>
        </w:rPr>
        <w:t>68</w:t>
      </w:r>
      <w:r w:rsidR="00767D5A" w:rsidRPr="00DC6A13">
        <w:rPr>
          <w:color w:val="auto"/>
        </w:rPr>
        <w:t xml:space="preserve">Ga-PSMA-11 PET/CT scan. </w:t>
      </w:r>
      <w:r w:rsidR="00472F92" w:rsidRPr="00DC6A13">
        <w:rPr>
          <w:color w:val="auto"/>
        </w:rPr>
        <w:t>Contour organs on CT image: kidney</w:t>
      </w:r>
      <w:r w:rsidR="000D06EE" w:rsidRPr="00DC6A13">
        <w:rPr>
          <w:color w:val="auto"/>
        </w:rPr>
        <w:t>s</w:t>
      </w:r>
      <w:r w:rsidR="00472F92" w:rsidRPr="00DC6A13">
        <w:rPr>
          <w:color w:val="auto"/>
        </w:rPr>
        <w:t>, liver, spleen, parotid glands</w:t>
      </w:r>
      <w:r w:rsidR="00023C65" w:rsidRPr="00DC6A13">
        <w:rPr>
          <w:color w:val="auto"/>
        </w:rPr>
        <w:t xml:space="preserve"> and </w:t>
      </w:r>
      <w:r w:rsidR="00472F92" w:rsidRPr="00DC6A13">
        <w:rPr>
          <w:color w:val="auto"/>
        </w:rPr>
        <w:t>submandibular glands</w:t>
      </w:r>
      <w:r w:rsidR="009776A6" w:rsidRPr="00DC6A13">
        <w:rPr>
          <w:color w:val="auto"/>
        </w:rPr>
        <w:t xml:space="preserve">. </w:t>
      </w:r>
      <w:r w:rsidR="00767D5A" w:rsidRPr="00DC6A13">
        <w:rPr>
          <w:color w:val="auto"/>
        </w:rPr>
        <w:t xml:space="preserve">Contour lesions on PET images. Assuming a uniform water composition for each structure, </w:t>
      </w:r>
      <w:r>
        <w:rPr>
          <w:color w:val="auto"/>
        </w:rPr>
        <w:t xml:space="preserve">calculate </w:t>
      </w:r>
      <w:r w:rsidR="00767D5A" w:rsidRPr="00DC6A13">
        <w:rPr>
          <w:color w:val="auto"/>
        </w:rPr>
        <w:t xml:space="preserve">the mass </w:t>
      </w:r>
      <w:r w:rsidR="000D06EE" w:rsidRPr="00DC6A13">
        <w:rPr>
          <w:color w:val="auto"/>
        </w:rPr>
        <w:t xml:space="preserve">of </w:t>
      </w:r>
      <w:r w:rsidR="00767D5A" w:rsidRPr="00DC6A13">
        <w:rPr>
          <w:color w:val="auto"/>
        </w:rPr>
        <w:t>each contoured structure using a unit density (1 g/m</w:t>
      </w:r>
      <w:r w:rsidR="00023C65" w:rsidRPr="00DC6A13">
        <w:rPr>
          <w:color w:val="auto"/>
        </w:rPr>
        <w:t>L</w:t>
      </w:r>
      <w:r w:rsidR="00767D5A" w:rsidRPr="00DC6A13">
        <w:rPr>
          <w:color w:val="auto"/>
        </w:rPr>
        <w:t>).</w:t>
      </w:r>
    </w:p>
    <w:p w14:paraId="673D836D" w14:textId="77777777" w:rsidR="003C2297" w:rsidRPr="00DC6A13" w:rsidRDefault="003C2297">
      <w:pPr>
        <w:pStyle w:val="ListParagraph"/>
        <w:ind w:left="0"/>
        <w:rPr>
          <w:color w:val="auto"/>
        </w:rPr>
      </w:pPr>
    </w:p>
    <w:p w14:paraId="3DE7D8F2" w14:textId="1794D6CC" w:rsidR="00833254" w:rsidRPr="00DC6A13" w:rsidRDefault="00FF49DA">
      <w:pPr>
        <w:pStyle w:val="ListParagraph"/>
        <w:numPr>
          <w:ilvl w:val="1"/>
          <w:numId w:val="9"/>
        </w:numPr>
        <w:rPr>
          <w:color w:val="auto"/>
        </w:rPr>
      </w:pPr>
      <w:r w:rsidRPr="00DC6A13">
        <w:rPr>
          <w:color w:val="auto"/>
        </w:rPr>
        <w:t>P</w:t>
      </w:r>
      <w:r w:rsidR="00833254" w:rsidRPr="00DC6A13">
        <w:rPr>
          <w:color w:val="auto"/>
        </w:rPr>
        <w:t xml:space="preserve">erform SPECT/CT image </w:t>
      </w:r>
      <w:r w:rsidRPr="00DC6A13">
        <w:rPr>
          <w:color w:val="auto"/>
        </w:rPr>
        <w:t>reconstruction</w:t>
      </w:r>
      <w:r w:rsidR="00023C65" w:rsidRPr="00DC6A13">
        <w:rPr>
          <w:color w:val="auto"/>
        </w:rPr>
        <w:t>,</w:t>
      </w:r>
      <w:r w:rsidR="00833254" w:rsidRPr="00DC6A13">
        <w:rPr>
          <w:color w:val="auto"/>
        </w:rPr>
        <w:t xml:space="preserve"> taking into account scatter correction, CT attenuation correction and </w:t>
      </w:r>
      <w:r w:rsidRPr="00DC6A13">
        <w:rPr>
          <w:color w:val="auto"/>
        </w:rPr>
        <w:t>resolution recovery</w:t>
      </w:r>
      <w:r w:rsidR="00833254" w:rsidRPr="00DC6A13">
        <w:rPr>
          <w:color w:val="auto"/>
        </w:rPr>
        <w:t xml:space="preserve">. Set </w:t>
      </w:r>
      <w:r w:rsidR="00023C65" w:rsidRPr="00DC6A13">
        <w:rPr>
          <w:color w:val="auto"/>
        </w:rPr>
        <w:t xml:space="preserve">the </w:t>
      </w:r>
      <w:r w:rsidR="00833254" w:rsidRPr="00DC6A13">
        <w:rPr>
          <w:color w:val="auto"/>
        </w:rPr>
        <w:t>same iterative reconstruction values as used for SPECT calibration (</w:t>
      </w:r>
      <w:r w:rsidR="00591C54" w:rsidRPr="00591C54">
        <w:rPr>
          <w:color w:val="auto"/>
        </w:rPr>
        <w:t xml:space="preserve">e.g., </w:t>
      </w:r>
      <w:r w:rsidR="00833254" w:rsidRPr="00DC6A13">
        <w:rPr>
          <w:color w:val="auto"/>
        </w:rPr>
        <w:t>OSEM iteration and subset numbers</w:t>
      </w:r>
      <w:r w:rsidRPr="00DC6A13">
        <w:rPr>
          <w:color w:val="auto"/>
        </w:rPr>
        <w:t>, post reconstruction filtering</w:t>
      </w:r>
      <w:r w:rsidR="00833254" w:rsidRPr="00DC6A13">
        <w:rPr>
          <w:color w:val="auto"/>
        </w:rPr>
        <w:t>)</w:t>
      </w:r>
      <w:r w:rsidRPr="00DC6A13">
        <w:rPr>
          <w:color w:val="auto"/>
        </w:rPr>
        <w:t>.</w:t>
      </w:r>
    </w:p>
    <w:p w14:paraId="027A9F6C" w14:textId="77777777" w:rsidR="00143EE3" w:rsidRPr="00DC6A13" w:rsidRDefault="00143EE3">
      <w:pPr>
        <w:rPr>
          <w:color w:val="auto"/>
        </w:rPr>
      </w:pPr>
    </w:p>
    <w:p w14:paraId="3542AE1A" w14:textId="77777777" w:rsidR="003A3415" w:rsidRPr="00DC6A13" w:rsidRDefault="003A3415" w:rsidP="003D144A">
      <w:pPr>
        <w:pStyle w:val="ListParagraph"/>
        <w:numPr>
          <w:ilvl w:val="0"/>
          <w:numId w:val="9"/>
        </w:numPr>
        <w:ind w:left="0" w:firstLine="0"/>
        <w:rPr>
          <w:b/>
          <w:color w:val="auto"/>
        </w:rPr>
      </w:pPr>
      <w:r w:rsidRPr="00DC6A13">
        <w:rPr>
          <w:b/>
          <w:color w:val="auto"/>
        </w:rPr>
        <w:t>Blood sample measurements</w:t>
      </w:r>
    </w:p>
    <w:p w14:paraId="5A1DFA4E" w14:textId="77777777" w:rsidR="003C2297" w:rsidRPr="00DC6A13" w:rsidRDefault="003C2297">
      <w:pPr>
        <w:pStyle w:val="ListParagraph"/>
        <w:ind w:left="0"/>
        <w:rPr>
          <w:b/>
          <w:color w:val="auto"/>
        </w:rPr>
      </w:pPr>
    </w:p>
    <w:p w14:paraId="119384BD" w14:textId="28254885" w:rsidR="00B42724" w:rsidRPr="00DC6A13" w:rsidRDefault="00B07943">
      <w:pPr>
        <w:rPr>
          <w:i/>
          <w:color w:val="auto"/>
        </w:rPr>
      </w:pPr>
      <w:r>
        <w:rPr>
          <w:iCs/>
          <w:color w:val="auto"/>
        </w:rPr>
        <w:t xml:space="preserve">NOTE: </w:t>
      </w:r>
      <w:r w:rsidR="00EB1548" w:rsidRPr="003D144A">
        <w:rPr>
          <w:iCs/>
          <w:color w:val="auto"/>
        </w:rPr>
        <w:t xml:space="preserve">Blood sample measurements </w:t>
      </w:r>
      <w:r w:rsidR="00023C65" w:rsidRPr="003D144A">
        <w:rPr>
          <w:iCs/>
          <w:color w:val="auto"/>
        </w:rPr>
        <w:t>are</w:t>
      </w:r>
      <w:r w:rsidR="0055191D" w:rsidRPr="003D144A">
        <w:rPr>
          <w:iCs/>
          <w:color w:val="auto"/>
        </w:rPr>
        <w:t xml:space="preserve"> performed on High Purity Germanium (HPGe)</w:t>
      </w:r>
      <w:r w:rsidR="00E45419" w:rsidRPr="003D144A">
        <w:rPr>
          <w:iCs/>
          <w:color w:val="auto"/>
        </w:rPr>
        <w:t xml:space="preserve"> detector for red marrow dose estimation.</w:t>
      </w:r>
    </w:p>
    <w:p w14:paraId="21CA628E" w14:textId="77777777" w:rsidR="00DC6A13" w:rsidRPr="00DC6A13" w:rsidRDefault="00DC6A13">
      <w:pPr>
        <w:pStyle w:val="ListParagraph"/>
        <w:ind w:left="0"/>
        <w:rPr>
          <w:color w:val="auto"/>
        </w:rPr>
      </w:pPr>
    </w:p>
    <w:p w14:paraId="63580320" w14:textId="1E0CF43A" w:rsidR="003A3415" w:rsidRPr="00DC6A13" w:rsidRDefault="00EB1548">
      <w:pPr>
        <w:pStyle w:val="ListParagraph"/>
        <w:numPr>
          <w:ilvl w:val="1"/>
          <w:numId w:val="9"/>
        </w:numPr>
        <w:rPr>
          <w:color w:val="auto"/>
        </w:rPr>
      </w:pPr>
      <w:r w:rsidRPr="00DC6A13">
        <w:rPr>
          <w:color w:val="auto"/>
        </w:rPr>
        <w:t>Let blood sample decay for approximately 2 weeks</w:t>
      </w:r>
      <w:r w:rsidR="003C61F3" w:rsidRPr="00DC6A13">
        <w:rPr>
          <w:color w:val="auto"/>
        </w:rPr>
        <w:t xml:space="preserve"> to avoid detector saturation</w:t>
      </w:r>
      <w:r w:rsidR="00502720" w:rsidRPr="00DC6A13">
        <w:rPr>
          <w:color w:val="auto"/>
        </w:rPr>
        <w:t xml:space="preserve"> and high dead time</w:t>
      </w:r>
      <w:r w:rsidR="009F661D" w:rsidRPr="00DC6A13">
        <w:rPr>
          <w:color w:val="auto"/>
        </w:rPr>
        <w:t>.</w:t>
      </w:r>
    </w:p>
    <w:p w14:paraId="427CD2DE" w14:textId="77777777" w:rsidR="003C2297" w:rsidRPr="00DC6A13" w:rsidRDefault="003C2297">
      <w:pPr>
        <w:pStyle w:val="ListParagraph"/>
        <w:ind w:left="0"/>
        <w:rPr>
          <w:color w:val="auto"/>
        </w:rPr>
      </w:pPr>
    </w:p>
    <w:p w14:paraId="49B26C3C" w14:textId="35ED68A1" w:rsidR="00EB1548" w:rsidRPr="00DC6A13" w:rsidRDefault="00EB1548">
      <w:pPr>
        <w:pStyle w:val="ListParagraph"/>
        <w:numPr>
          <w:ilvl w:val="1"/>
          <w:numId w:val="9"/>
        </w:numPr>
        <w:rPr>
          <w:color w:val="auto"/>
        </w:rPr>
      </w:pPr>
      <w:r w:rsidRPr="00DC6A13">
        <w:rPr>
          <w:color w:val="auto"/>
        </w:rPr>
        <w:lastRenderedPageBreak/>
        <w:t xml:space="preserve">After 2 weeks, </w:t>
      </w:r>
      <w:r w:rsidR="007F703D" w:rsidRPr="00DC6A13">
        <w:rPr>
          <w:color w:val="auto"/>
        </w:rPr>
        <w:t>measure</w:t>
      </w:r>
      <w:r w:rsidRPr="00DC6A13">
        <w:rPr>
          <w:color w:val="auto"/>
        </w:rPr>
        <w:t xml:space="preserve"> one sample </w:t>
      </w:r>
      <w:r w:rsidR="00023C65" w:rsidRPr="00DC6A13">
        <w:rPr>
          <w:color w:val="auto"/>
        </w:rPr>
        <w:t>at a</w:t>
      </w:r>
      <w:r w:rsidRPr="00DC6A13">
        <w:rPr>
          <w:color w:val="auto"/>
        </w:rPr>
        <w:t xml:space="preserve"> time. Because of </w:t>
      </w:r>
      <w:r w:rsidR="00023C65" w:rsidRPr="00DC6A13">
        <w:rPr>
          <w:color w:val="auto"/>
        </w:rPr>
        <w:t xml:space="preserve">the </w:t>
      </w:r>
      <w:r w:rsidRPr="00DC6A13">
        <w:rPr>
          <w:color w:val="auto"/>
        </w:rPr>
        <w:t xml:space="preserve">low activity, </w:t>
      </w:r>
      <w:r w:rsidR="00023C65" w:rsidRPr="00DC6A13">
        <w:rPr>
          <w:color w:val="auto"/>
        </w:rPr>
        <w:t>start</w:t>
      </w:r>
      <w:r w:rsidRPr="00DC6A13">
        <w:rPr>
          <w:color w:val="auto"/>
        </w:rPr>
        <w:t xml:space="preserve"> measurements f</w:t>
      </w:r>
      <w:r w:rsidR="00870016" w:rsidRPr="00DC6A13">
        <w:rPr>
          <w:color w:val="auto"/>
        </w:rPr>
        <w:t>r</w:t>
      </w:r>
      <w:r w:rsidRPr="00DC6A13">
        <w:rPr>
          <w:color w:val="auto"/>
        </w:rPr>
        <w:t>om the last acquired blood sample (</w:t>
      </w:r>
      <w:r w:rsidR="00591C54" w:rsidRPr="00591C54">
        <w:rPr>
          <w:color w:val="auto"/>
        </w:rPr>
        <w:t xml:space="preserve">i.e., </w:t>
      </w:r>
      <w:r w:rsidRPr="00DC6A13">
        <w:rPr>
          <w:color w:val="auto"/>
        </w:rPr>
        <w:t>f</w:t>
      </w:r>
      <w:r w:rsidR="00870016" w:rsidRPr="00DC6A13">
        <w:rPr>
          <w:color w:val="auto"/>
        </w:rPr>
        <w:t>r</w:t>
      </w:r>
      <w:r w:rsidRPr="00DC6A13">
        <w:rPr>
          <w:color w:val="auto"/>
        </w:rPr>
        <w:t>om day 6)</w:t>
      </w:r>
      <w:r w:rsidR="009F661D" w:rsidRPr="00DC6A13">
        <w:rPr>
          <w:color w:val="auto"/>
        </w:rPr>
        <w:t>.</w:t>
      </w:r>
    </w:p>
    <w:p w14:paraId="5CEF0E9D" w14:textId="77777777" w:rsidR="003C2297" w:rsidRPr="00DC6A13" w:rsidRDefault="003C2297">
      <w:pPr>
        <w:pStyle w:val="ListParagraph"/>
        <w:ind w:left="0"/>
        <w:rPr>
          <w:color w:val="auto"/>
        </w:rPr>
      </w:pPr>
    </w:p>
    <w:p w14:paraId="5A108E8D" w14:textId="6FD3BCA1" w:rsidR="00EB1548" w:rsidRPr="00DC6A13" w:rsidRDefault="00EB1548">
      <w:pPr>
        <w:pStyle w:val="ListParagraph"/>
        <w:numPr>
          <w:ilvl w:val="1"/>
          <w:numId w:val="9"/>
        </w:numPr>
        <w:rPr>
          <w:color w:val="auto"/>
        </w:rPr>
      </w:pPr>
      <w:r w:rsidRPr="00DC6A13">
        <w:rPr>
          <w:color w:val="auto"/>
        </w:rPr>
        <w:t xml:space="preserve">Position the blood sample </w:t>
      </w:r>
      <w:r w:rsidR="00B07943">
        <w:rPr>
          <w:color w:val="auto"/>
        </w:rPr>
        <w:t>collection tube</w:t>
      </w:r>
      <w:r w:rsidR="00B07943" w:rsidRPr="00DC6A13">
        <w:rPr>
          <w:color w:val="auto"/>
        </w:rPr>
        <w:t xml:space="preserve"> </w:t>
      </w:r>
      <w:r w:rsidRPr="00DC6A13">
        <w:rPr>
          <w:color w:val="auto"/>
        </w:rPr>
        <w:t xml:space="preserve">on the dedicated holder. Use the same geometry </w:t>
      </w:r>
      <w:r w:rsidR="00023C65" w:rsidRPr="00DC6A13">
        <w:rPr>
          <w:color w:val="auto"/>
        </w:rPr>
        <w:t xml:space="preserve">as that </w:t>
      </w:r>
      <w:r w:rsidRPr="00DC6A13">
        <w:rPr>
          <w:color w:val="auto"/>
        </w:rPr>
        <w:t>used for HPGe calibration</w:t>
      </w:r>
      <w:r w:rsidR="003E5ADA" w:rsidRPr="00DC6A13">
        <w:rPr>
          <w:color w:val="auto"/>
        </w:rPr>
        <w:t xml:space="preserve">. </w:t>
      </w:r>
      <w:r w:rsidRPr="00DC6A13">
        <w:rPr>
          <w:color w:val="auto"/>
        </w:rPr>
        <w:t>Position it on the HPGe detector and close the detector shielding</w:t>
      </w:r>
      <w:r w:rsidR="00023C65" w:rsidRPr="00DC6A13">
        <w:rPr>
          <w:color w:val="auto"/>
        </w:rPr>
        <w:t xml:space="preserve"> case</w:t>
      </w:r>
      <w:r w:rsidR="009F661D" w:rsidRPr="00DC6A13">
        <w:rPr>
          <w:color w:val="auto"/>
        </w:rPr>
        <w:t>.</w:t>
      </w:r>
    </w:p>
    <w:p w14:paraId="4839982E" w14:textId="77777777" w:rsidR="003C2297" w:rsidRPr="00DC6A13" w:rsidRDefault="003C2297">
      <w:pPr>
        <w:pStyle w:val="ListParagraph"/>
        <w:ind w:left="0"/>
        <w:rPr>
          <w:color w:val="auto"/>
        </w:rPr>
      </w:pPr>
    </w:p>
    <w:p w14:paraId="648FF832" w14:textId="5D54B549" w:rsidR="00502720" w:rsidRPr="00DC6A13" w:rsidRDefault="00EB1548">
      <w:pPr>
        <w:pStyle w:val="ListParagraph"/>
        <w:numPr>
          <w:ilvl w:val="1"/>
          <w:numId w:val="9"/>
        </w:numPr>
        <w:rPr>
          <w:color w:val="auto"/>
        </w:rPr>
      </w:pPr>
      <w:r w:rsidRPr="00DC6A13">
        <w:rPr>
          <w:color w:val="auto"/>
        </w:rPr>
        <w:t xml:space="preserve">Open </w:t>
      </w:r>
      <w:r w:rsidR="00502720" w:rsidRPr="00DC6A13">
        <w:rPr>
          <w:color w:val="auto"/>
        </w:rPr>
        <w:t>the software for spectrum acquisition and analysis. Check</w:t>
      </w:r>
      <w:r w:rsidR="00A52136">
        <w:rPr>
          <w:color w:val="auto"/>
        </w:rPr>
        <w:t xml:space="preserve"> </w:t>
      </w:r>
      <w:r w:rsidR="00502720" w:rsidRPr="00DC6A13">
        <w:rPr>
          <w:color w:val="auto"/>
        </w:rPr>
        <w:t xml:space="preserve">that the dead time is &lt;3%. If higher, wait </w:t>
      </w:r>
      <w:r w:rsidR="00023C65" w:rsidRPr="00DC6A13">
        <w:rPr>
          <w:color w:val="auto"/>
        </w:rPr>
        <w:t>a few more</w:t>
      </w:r>
      <w:r w:rsidR="00502720" w:rsidRPr="00DC6A13">
        <w:rPr>
          <w:color w:val="auto"/>
        </w:rPr>
        <w:t xml:space="preserve"> days and perform the measurements </w:t>
      </w:r>
      <w:r w:rsidR="00023C65" w:rsidRPr="00DC6A13">
        <w:rPr>
          <w:color w:val="auto"/>
        </w:rPr>
        <w:t>then</w:t>
      </w:r>
      <w:r w:rsidR="00502720" w:rsidRPr="00DC6A13">
        <w:rPr>
          <w:color w:val="auto"/>
        </w:rPr>
        <w:t>.</w:t>
      </w:r>
    </w:p>
    <w:p w14:paraId="02318E0E" w14:textId="77777777" w:rsidR="00502720" w:rsidRPr="00DC6A13" w:rsidRDefault="00502720">
      <w:pPr>
        <w:pStyle w:val="ListParagraph"/>
        <w:ind w:left="0"/>
        <w:rPr>
          <w:color w:val="auto"/>
        </w:rPr>
      </w:pPr>
    </w:p>
    <w:p w14:paraId="4223542D" w14:textId="58715049" w:rsidR="00D6498C" w:rsidRPr="00DC6A13" w:rsidRDefault="00D6498C">
      <w:pPr>
        <w:pStyle w:val="ListParagraph"/>
        <w:numPr>
          <w:ilvl w:val="1"/>
          <w:numId w:val="9"/>
        </w:numPr>
        <w:rPr>
          <w:color w:val="auto"/>
          <w:highlight w:val="yellow"/>
        </w:rPr>
      </w:pPr>
      <w:r w:rsidRPr="00DC6A13">
        <w:rPr>
          <w:color w:val="auto"/>
          <w:highlight w:val="yellow"/>
        </w:rPr>
        <w:t xml:space="preserve">Select the </w:t>
      </w:r>
      <w:r w:rsidR="00841379" w:rsidRPr="00DC6A13">
        <w:rPr>
          <w:color w:val="auto"/>
          <w:highlight w:val="yellow"/>
        </w:rPr>
        <w:t>proper</w:t>
      </w:r>
      <w:r w:rsidR="003C61F3" w:rsidRPr="00DC6A13">
        <w:rPr>
          <w:color w:val="auto"/>
          <w:highlight w:val="yellow"/>
        </w:rPr>
        <w:t xml:space="preserve"> </w:t>
      </w:r>
      <w:r w:rsidRPr="00DC6A13">
        <w:rPr>
          <w:color w:val="auto"/>
          <w:highlight w:val="yellow"/>
        </w:rPr>
        <w:t xml:space="preserve">HPGe calibration </w:t>
      </w:r>
      <w:r w:rsidR="003C61F3" w:rsidRPr="00DC6A13">
        <w:rPr>
          <w:color w:val="auto"/>
          <w:highlight w:val="yellow"/>
        </w:rPr>
        <w:t xml:space="preserve">file corresponding to </w:t>
      </w:r>
      <w:r w:rsidRPr="00DC6A13">
        <w:rPr>
          <w:color w:val="auto"/>
          <w:highlight w:val="yellow"/>
        </w:rPr>
        <w:t>the 2</w:t>
      </w:r>
      <w:r w:rsidR="00B07943">
        <w:rPr>
          <w:color w:val="auto"/>
          <w:highlight w:val="yellow"/>
        </w:rPr>
        <w:t xml:space="preserve"> </w:t>
      </w:r>
      <w:r w:rsidRPr="00DC6A13">
        <w:rPr>
          <w:color w:val="auto"/>
          <w:highlight w:val="yellow"/>
        </w:rPr>
        <w:t>m</w:t>
      </w:r>
      <w:r w:rsidR="00023C65" w:rsidRPr="00DC6A13">
        <w:rPr>
          <w:color w:val="auto"/>
          <w:highlight w:val="yellow"/>
        </w:rPr>
        <w:t>L</w:t>
      </w:r>
      <w:r w:rsidRPr="00DC6A13">
        <w:rPr>
          <w:color w:val="auto"/>
          <w:highlight w:val="yellow"/>
        </w:rPr>
        <w:t xml:space="preserve"> </w:t>
      </w:r>
      <w:r w:rsidR="00B07943">
        <w:rPr>
          <w:color w:val="auto"/>
          <w:highlight w:val="yellow"/>
        </w:rPr>
        <w:t>collection tube</w:t>
      </w:r>
      <w:r w:rsidR="00B07943" w:rsidRPr="00DC6A13">
        <w:rPr>
          <w:color w:val="auto"/>
          <w:highlight w:val="yellow"/>
        </w:rPr>
        <w:t xml:space="preserve"> </w:t>
      </w:r>
      <w:r w:rsidRPr="00DC6A13">
        <w:rPr>
          <w:color w:val="auto"/>
          <w:highlight w:val="yellow"/>
        </w:rPr>
        <w:t>geometry holder</w:t>
      </w:r>
      <w:r w:rsidR="009F661D" w:rsidRPr="00DC6A13">
        <w:rPr>
          <w:color w:val="auto"/>
          <w:highlight w:val="yellow"/>
        </w:rPr>
        <w:t>.</w:t>
      </w:r>
      <w:r w:rsidR="00841379" w:rsidRPr="00DC6A13">
        <w:rPr>
          <w:color w:val="auto"/>
          <w:highlight w:val="yellow"/>
        </w:rPr>
        <w:t xml:space="preserve"> Start sample measurements (minimum 12</w:t>
      </w:r>
      <w:r w:rsidR="00B07943">
        <w:rPr>
          <w:color w:val="auto"/>
          <w:highlight w:val="yellow"/>
        </w:rPr>
        <w:t xml:space="preserve"> </w:t>
      </w:r>
      <w:r w:rsidR="00841379" w:rsidRPr="00DC6A13">
        <w:rPr>
          <w:color w:val="auto"/>
          <w:highlight w:val="yellow"/>
        </w:rPr>
        <w:t xml:space="preserve">h measurements). </w:t>
      </w:r>
    </w:p>
    <w:p w14:paraId="606118D1" w14:textId="77777777" w:rsidR="003C2297" w:rsidRPr="00DC6A13" w:rsidRDefault="003C2297">
      <w:pPr>
        <w:pStyle w:val="ListParagraph"/>
        <w:ind w:left="0"/>
        <w:rPr>
          <w:color w:val="auto"/>
        </w:rPr>
      </w:pPr>
    </w:p>
    <w:p w14:paraId="0801EBF0" w14:textId="77777777" w:rsidR="001D3813" w:rsidRPr="00DC6A13" w:rsidRDefault="00841379">
      <w:pPr>
        <w:pStyle w:val="ListParagraph"/>
        <w:numPr>
          <w:ilvl w:val="1"/>
          <w:numId w:val="9"/>
        </w:numPr>
        <w:rPr>
          <w:color w:val="auto"/>
        </w:rPr>
      </w:pPr>
      <w:r w:rsidRPr="00DC6A13">
        <w:rPr>
          <w:color w:val="auto"/>
        </w:rPr>
        <w:t xml:space="preserve">Analyze the spectrum by identifying </w:t>
      </w:r>
      <w:r w:rsidR="00023C65" w:rsidRPr="00DC6A13">
        <w:rPr>
          <w:color w:val="auto"/>
        </w:rPr>
        <w:t xml:space="preserve">the </w:t>
      </w:r>
      <w:r w:rsidRPr="00DC6A13">
        <w:rPr>
          <w:color w:val="auto"/>
        </w:rPr>
        <w:t>mean gamma peak and</w:t>
      </w:r>
      <w:r w:rsidR="00023C65" w:rsidRPr="00DC6A13">
        <w:rPr>
          <w:color w:val="auto"/>
        </w:rPr>
        <w:t xml:space="preserve"> by</w:t>
      </w:r>
      <w:r w:rsidRPr="00DC6A13">
        <w:rPr>
          <w:color w:val="auto"/>
        </w:rPr>
        <w:t xml:space="preserve"> calculating activity concentration. </w:t>
      </w:r>
      <w:r w:rsidR="001D3813" w:rsidRPr="00DC6A13">
        <w:rPr>
          <w:color w:val="auto"/>
        </w:rPr>
        <w:t>Take note of both measured sample activity and time and date measurements</w:t>
      </w:r>
      <w:r w:rsidR="009F661D" w:rsidRPr="00DC6A13">
        <w:rPr>
          <w:color w:val="auto"/>
        </w:rPr>
        <w:t>.</w:t>
      </w:r>
    </w:p>
    <w:p w14:paraId="4CC4F9C7" w14:textId="77777777" w:rsidR="003C2297" w:rsidRPr="00DC6A13" w:rsidRDefault="003C2297">
      <w:pPr>
        <w:pStyle w:val="ListParagraph"/>
        <w:ind w:left="0"/>
        <w:rPr>
          <w:color w:val="auto"/>
        </w:rPr>
      </w:pPr>
    </w:p>
    <w:p w14:paraId="3BAF2BD9" w14:textId="77777777" w:rsidR="001D3813" w:rsidRPr="00DC6A13" w:rsidRDefault="001D3813">
      <w:pPr>
        <w:pStyle w:val="ListParagraph"/>
        <w:numPr>
          <w:ilvl w:val="1"/>
          <w:numId w:val="9"/>
        </w:numPr>
        <w:rPr>
          <w:color w:val="auto"/>
        </w:rPr>
      </w:pPr>
      <w:r w:rsidRPr="00DC6A13">
        <w:rPr>
          <w:color w:val="auto"/>
        </w:rPr>
        <w:t>Repeat the same measurements and analysis for all</w:t>
      </w:r>
      <w:r w:rsidR="00023C65" w:rsidRPr="00DC6A13">
        <w:rPr>
          <w:color w:val="auto"/>
        </w:rPr>
        <w:t xml:space="preserve"> of</w:t>
      </w:r>
      <w:r w:rsidRPr="00DC6A13">
        <w:rPr>
          <w:color w:val="auto"/>
        </w:rPr>
        <w:t xml:space="preserve"> the blood samples</w:t>
      </w:r>
      <w:r w:rsidR="009F661D" w:rsidRPr="00DC6A13">
        <w:rPr>
          <w:color w:val="auto"/>
        </w:rPr>
        <w:t>.</w:t>
      </w:r>
    </w:p>
    <w:p w14:paraId="4A31F488" w14:textId="77777777" w:rsidR="003A3415" w:rsidRPr="00DC6A13" w:rsidRDefault="003A3415">
      <w:pPr>
        <w:rPr>
          <w:b/>
          <w:color w:val="auto"/>
        </w:rPr>
      </w:pPr>
    </w:p>
    <w:p w14:paraId="797ED0EE" w14:textId="77777777" w:rsidR="00C97404" w:rsidRPr="00DC6A13" w:rsidRDefault="00C97404" w:rsidP="003D144A">
      <w:pPr>
        <w:pStyle w:val="ListParagraph"/>
        <w:numPr>
          <w:ilvl w:val="0"/>
          <w:numId w:val="9"/>
        </w:numPr>
        <w:ind w:left="0" w:firstLine="0"/>
        <w:rPr>
          <w:b/>
          <w:color w:val="auto"/>
        </w:rPr>
      </w:pPr>
      <w:r w:rsidRPr="00DC6A13">
        <w:rPr>
          <w:b/>
          <w:color w:val="auto"/>
        </w:rPr>
        <w:t>Dosimetry evaluation</w:t>
      </w:r>
    </w:p>
    <w:p w14:paraId="11223E43" w14:textId="77777777" w:rsidR="003C2297" w:rsidRPr="00DC6A13" w:rsidRDefault="003C2297">
      <w:pPr>
        <w:pStyle w:val="ListParagraph"/>
        <w:ind w:left="0"/>
        <w:rPr>
          <w:b/>
          <w:color w:val="auto"/>
        </w:rPr>
      </w:pPr>
    </w:p>
    <w:p w14:paraId="6DA5E82B" w14:textId="0E76CA70" w:rsidR="00123E44" w:rsidRPr="003D144A" w:rsidRDefault="00B07943">
      <w:pPr>
        <w:rPr>
          <w:iCs/>
          <w:color w:val="auto"/>
        </w:rPr>
      </w:pPr>
      <w:r w:rsidRPr="003D144A">
        <w:rPr>
          <w:iCs/>
          <w:color w:val="auto"/>
        </w:rPr>
        <w:t xml:space="preserve">NOTE: </w:t>
      </w:r>
      <w:r w:rsidR="00875C4B" w:rsidRPr="003D144A">
        <w:rPr>
          <w:iCs/>
          <w:color w:val="auto"/>
        </w:rPr>
        <w:t xml:space="preserve">The analysis is performed with </w:t>
      </w:r>
      <w:r w:rsidR="0055191D" w:rsidRPr="003D144A">
        <w:rPr>
          <w:iCs/>
          <w:color w:val="auto"/>
        </w:rPr>
        <w:t>a dedicated dosimetry software based on MIRD publications</w:t>
      </w:r>
      <w:r w:rsidR="00D042A0" w:rsidRPr="003D144A">
        <w:rPr>
          <w:rStyle w:val="FootnoteReference"/>
          <w:iCs/>
          <w:color w:val="auto"/>
        </w:rPr>
        <w:fldChar w:fldCharType="begin" w:fldLock="1"/>
      </w:r>
      <w:r w:rsidR="00CD125E" w:rsidRPr="003D144A">
        <w:rPr>
          <w:iCs/>
          <w:color w:val="auto"/>
        </w:rPr>
        <w:instrText xml:space="preserve">ADDIN CSL_CITATION {"citationItems":[{"id":"ITEM-1","itemData":{"author":[{"dropping-particle":"","family":"Snyder","given":"W. S.","non-dropping-particle":"","parse-names":false,"suffix":""},{"dropping-particle":"","family":"R.","given":"Ford M.","non-dropping-particle":"","parse-names":false,"suffix":""},{"dropping-particle":"","family":"Warner","given":"G. G.","non-dropping-particle":"","parse-names":false,"suffix":""},{"dropping-particle":"","family":"Watson","given":"S. B.","non-dropping-particle":"","parse-names":false,"suffix":""}],"id":"ITEM-1","issued":{"date-parts":[["1975"]]},"title":"MIRD Pamphlet No. 11: \"S\" Absorbed dose per unt cumulate activity for selected radionuclides and organs","type":"article"},"uris":["http://www.mendeley.com/documents/?uuid=d3bd9ca7-116b-498f-a5ef-3394903ede95"]},{"id":"ITEM-2","itemData":{"author":[{"dropping-particle":"","family":"Bolch","given":"Wesley E","non-dropping-particle":"","parse-names":false,"suffix":""},{"dropping-particle":"","family":"Bouchet","given":"Lionel G","non-dropping-particle":"","parse-names":false,"suffix":""},{"dropping-particle":"","family":"Robertson","given":"James S","non-dropping-particle":"","parse-names":false,"suffix":""},{"dropping-particle":"","family":"Wessels","given":"Barry W","non-dropping-particle":"","parse-names":false,"suffix":""},{"dropping-particle":"","family":"Siegel","given":"Jeffry A","non-dropping-particle":"","parse-names":false,"suffix":""},{"dropping-particle":"","family":"Howell","given":"Roger W","non-dropping-particle":"","parse-names":false,"suffix":""},{"dropping-particle":"","family":"Alev","given":"K","non-dropping-particle":"","parse-names":false,"suffix":""},{"dropping-particle":"","family":"Aydogan","given":"Bulent","non-dropping-particle":"","parse-names":false,"suffix":""},{"dropping-particle":"","family":"Costes","given":"Sylvain","non-dropping-particle":"","parse-names":false,"suffix":""},{"dropping-particle":"","family":"Watson","given":"Evelyn E","non-dropping-particle":"","parse-names":false,"suffix":""}],"container-title":"Journal of Nuclear Medicine","id":"ITEM-2","issue":"17","issued":{"date-parts":[["1998"]]},"page":"11s-36s","title":"MIRD Pamphlet No . 17 : The Dosimetry of Nonuniform Activity Distributions- Radionuclide S Values at the Voxel Level","type":"article-journal","volume":"40"},"uris":["http://www.mendeley.com/documents/?uuid=a8a72382-0dc4-4d08-a546-d1eb4f83670d"]},{"id":"ITEM-3","itemData":{"DOI":"46/6/1023 [pii]","ISBN":"0161-5505 (Print)","ISSN":"0161-5505","PMID":"15937315","abstract":"The OLINDA/EXM version 1.0 personal computer code was created as a replacement for the widely used MIRDOSE3.1 code. This paper documents the basic function of the code and how it is similar to and different from the MIRDOSE software. Methods: After creation of the code and </w:instrText>
      </w:r>
      <w:r w:rsidR="00CD125E" w:rsidRPr="003D144A">
        <w:rPr>
          <w:rFonts w:ascii="MS Gothic" w:eastAsia="MS Gothic" w:hAnsi="MS Gothic" w:cs="MS Gothic"/>
          <w:iCs/>
          <w:color w:val="auto"/>
        </w:rPr>
        <w:instrText>␣</w:instrText>
      </w:r>
      <w:r w:rsidR="00CD125E" w:rsidRPr="003D144A">
        <w:rPr>
          <w:iCs/>
          <w:color w:val="auto"/>
        </w:rPr>
        <w:instrText xml:space="preserve">-and </w:instrText>
      </w:r>
      <w:r w:rsidR="00CD125E" w:rsidRPr="003D144A">
        <w:rPr>
          <w:rFonts w:ascii="Arial Unicode MS" w:hAnsi="Arial Unicode MS" w:cs="Arial Unicode MS"/>
          <w:iCs/>
          <w:color w:val="auto"/>
        </w:rPr>
        <w:instrText>␤</w:instrText>
      </w:r>
      <w:r w:rsidR="00CD125E" w:rsidRPr="003D144A">
        <w:rPr>
          <w:iCs/>
          <w:color w:val="auto"/>
        </w:rPr>
        <w:instrText>-testing phases, a premarket notification submission (510(k)) was filed with the Food and Drug Administration to permit marketing of the code. Permission was granted in June 2004, and the code is currently being distributed through Vanderbilt University. Not all of the technical details of the dosimetry methods have been shown here, as they have been previously documented. Re-sults: Agreement of doses between the MIRDOSE3.1 and OLINDA/EXM codes was good, within 1%–2% in most cases. Conclusion: The extensive testing of the OLINDA/EXM code, based on comparison with literature-established dose calcula-tions and with the widely tested and accepted MIRDOSE3.1 code, should give users confidence in its output. The OLINDA/ EXM code should be easy for MIRDOSE users to adopt and for new users to understand. It will be useful in standardizing and automating internal dose calculations, assessing doses in clinical trials with radiopharmaceuticals, making theoretic calculations for existing pharmaceuticals, teaching, and other purposes. TheMIRDOSEpersonalcomput er software (1) was devel-oped in the early 1990s and was distributed to about 2,000 users worldwide. The code automated and standardized inter-nal dose calculations for nuclear medicine applications and found use, as well, as a teaching tool. In 2000, several factors suggested that the time had come for a rewriting of the code. First, although MIRDOSE, which was written in the BASIC programming language in the VisualBasic (Microsoft Corp.) development environment, migrated well from Windows (Mi-crosoft Corp.) version 3.11 to version 98, migration to version 2000 was not seamless. At the same time, the U.S. Food and Drug Administration (FDA) became aware and expressed con-cern that the MIRDOSE code may have been used in some applications in ways that would cause it to come under the agency's definition of a medical device. The code was subse-quently withdrawn from circulation by Oak Ridge Associated Universities (2). Limited distribution was then permitted by the FDA, with careful tracking of who took possession of copies of the code. A complete rewrite in a structured language was thought desirable, as the MIRDOSE code, which had evo…","author":[{"dropping-particle":"","family":"Stabin","given":"Michael G","non-dropping-particle":"","parse-names":false,"suffix":""},{"dropping-particle":"","family":"Sparks","given":"Richard B","non-dropping-particle":"","parse-names":false,"suffix":""},{"dropping-particle":"","family":"Crowe","given":"Eric","non-dropping-particle":"","parse-names":false,"suffix":""}],"container-title":"Journal of Nuclear Medicine","id":"ITEM-3","issued":{"date-parts":[["2005"]]},"page":"1023-1027","title":"OLINDA/EXM: The Second-Generation Personal Computer Software for Internal Dose Assessment in Nuclear Medicine","type":"article-journal","volume":"46"},"uris":["http://www.mendeley.com/documents/?uuid=b75482a4-0a8a-4ee8-b89f-b04a19976199"]},{"id":"ITEM-4","itemData":{"ISBN":"0000000000000","author":[{"dropping-particle":"","family":"Hippeläinen","given":"ET","non-dropping-particle":"","parse-names":false,"suffix":""},{"dropping-particle":"","family":"Tenhunen","given":"MJ","non-dropping-particle":"","parse-names":false,"suffix":""},{"dropping-particle":"","family":"Mäenpää","given":"HO","non-dropping-particle":"","parse-names":false,"suffix":""},{"dropping-particle":"","family":"Heikkonen","given":"JJ","non-dropping-particle":"","parse-names":false,"suffix":""},{"dropping-particle":"","family":"Sohlberg","given":"AO","non-dropping-particle":"","parse-names":false,"suffix":""}],"container-title":"Nuclear Medicine Communicationsedicine Communications","id":"ITEM-4","issue":"5","issued":{"date-parts":[["2017"]]},"page":"357-365","title":"Dosimetry software Hermes Internal Radiation Dosimetry: from quantitative image reconstruction to voxel-level absorbed dose distribution","type":"article-journal","volume":"38"},"uris":["http://www.mendeley.com/documents/?uuid=2e15b6ea-abfb-48e4-9842-d64549942f6d"]},{"id":"ITEM-5","itemData":{"author":[{"dropping-particle":"","family":"Stabin","given":"Michael G","non-dropping-particle":"","parse-names":false,"suffix":""},{"dropping-particle":"","family":"Siegel","given":"Jeffry A","non-dropping-particle":"","parse-names":false,"suffix":""}],"container-title":"Journal of Nuclear Medicine","id":"ITEM-5","issued":{"date-parts":[["2018"]]},"page":"154-160","title":"RADAR Dose estimate report: a compendium of radiopharmaceutical dose estimates based on OLINDA/EXM version 2.0","type":"article-journal","volume":"59"},"uris":["http://www.mendeley.com/documents/?uuid=94497e1c-9822-446f-ab7d-ee31ab207944"]}],"mendeley":{"formattedCitation":"&lt;sup&gt;4–8&lt;/sup&gt;","plainTextFormattedCitation":"4–8","previouslyFormattedCitation":"&lt;sup&gt;4–8&lt;/sup&gt;"},"properties":{"noteIndex":0},"schema":"https://github.com/citation-style-language/schema/raw/master/csl-citation.json"}</w:instrText>
      </w:r>
      <w:r w:rsidR="00D042A0" w:rsidRPr="003D144A">
        <w:rPr>
          <w:rStyle w:val="FootnoteReference"/>
          <w:iCs/>
          <w:color w:val="auto"/>
        </w:rPr>
        <w:fldChar w:fldCharType="separate"/>
      </w:r>
      <w:r w:rsidR="00E6518E" w:rsidRPr="003D144A">
        <w:rPr>
          <w:iCs/>
          <w:noProof/>
          <w:color w:val="auto"/>
          <w:vertAlign w:val="superscript"/>
        </w:rPr>
        <w:t>4–8</w:t>
      </w:r>
      <w:r w:rsidR="00D042A0" w:rsidRPr="003D144A">
        <w:rPr>
          <w:rStyle w:val="FootnoteReference"/>
          <w:iCs/>
          <w:color w:val="auto"/>
        </w:rPr>
        <w:fldChar w:fldCharType="end"/>
      </w:r>
      <w:r w:rsidR="00875C4B" w:rsidRPr="003D144A">
        <w:rPr>
          <w:iCs/>
          <w:color w:val="auto"/>
        </w:rPr>
        <w:t>.</w:t>
      </w:r>
      <w:r w:rsidR="001214B2" w:rsidRPr="003D144A">
        <w:rPr>
          <w:iCs/>
          <w:color w:val="auto"/>
        </w:rPr>
        <w:t xml:space="preserve"> </w:t>
      </w:r>
      <w:r w:rsidR="00A7340F" w:rsidRPr="003D144A">
        <w:rPr>
          <w:iCs/>
          <w:color w:val="auto"/>
        </w:rPr>
        <w:t>For each considered structure, effective half-life is evaluated on sequential 2D whole body images by bi</w:t>
      </w:r>
      <w:r w:rsidR="00216468" w:rsidRPr="003D144A">
        <w:rPr>
          <w:iCs/>
          <w:color w:val="auto"/>
        </w:rPr>
        <w:t>-</w:t>
      </w:r>
      <w:r w:rsidR="00A7340F" w:rsidRPr="003D144A">
        <w:rPr>
          <w:iCs/>
          <w:color w:val="auto"/>
        </w:rPr>
        <w:t xml:space="preserve"> or mono-exponential curve fitting of time-activity curves.</w:t>
      </w:r>
      <w:r w:rsidR="003A5CD4" w:rsidRPr="003D144A">
        <w:rPr>
          <w:iCs/>
          <w:color w:val="auto"/>
        </w:rPr>
        <w:t xml:space="preserve"> </w:t>
      </w:r>
      <w:r w:rsidR="00A7340F" w:rsidRPr="003D144A">
        <w:rPr>
          <w:iCs/>
          <w:color w:val="auto"/>
        </w:rPr>
        <w:t>3D SPECT/CT imag</w:t>
      </w:r>
      <w:r w:rsidR="00023C65" w:rsidRPr="003D144A">
        <w:rPr>
          <w:iCs/>
          <w:color w:val="auto"/>
        </w:rPr>
        <w:t xml:space="preserve">ing </w:t>
      </w:r>
      <w:r w:rsidR="00A7340F" w:rsidRPr="003D144A">
        <w:rPr>
          <w:iCs/>
          <w:color w:val="auto"/>
        </w:rPr>
        <w:t xml:space="preserve">is used </w:t>
      </w:r>
      <w:r w:rsidR="007C0A64" w:rsidRPr="003D144A">
        <w:rPr>
          <w:iCs/>
          <w:color w:val="auto"/>
        </w:rPr>
        <w:t xml:space="preserve">to </w:t>
      </w:r>
      <w:r w:rsidR="002E47B6" w:rsidRPr="003D144A">
        <w:rPr>
          <w:iCs/>
          <w:color w:val="auto"/>
        </w:rPr>
        <w:t>resolve</w:t>
      </w:r>
      <w:r w:rsidR="00023C65" w:rsidRPr="003D144A">
        <w:rPr>
          <w:iCs/>
          <w:color w:val="auto"/>
        </w:rPr>
        <w:t xml:space="preserve"> the problem of </w:t>
      </w:r>
      <w:r w:rsidR="00A7340F" w:rsidRPr="003D144A">
        <w:rPr>
          <w:iCs/>
          <w:color w:val="auto"/>
        </w:rPr>
        <w:t>high uptake intestine overlap o</w:t>
      </w:r>
      <w:r w:rsidR="00216468" w:rsidRPr="003D144A">
        <w:rPr>
          <w:iCs/>
          <w:color w:val="auto"/>
        </w:rPr>
        <w:t xml:space="preserve">n kidney structure by scaling the time-activity curves derived from planar images. Mean absorbed dose is then calculated </w:t>
      </w:r>
      <w:r w:rsidR="007C0A64" w:rsidRPr="003D144A">
        <w:rPr>
          <w:iCs/>
          <w:color w:val="auto"/>
        </w:rPr>
        <w:t xml:space="preserve">for each </w:t>
      </w:r>
      <w:r w:rsidR="00216468" w:rsidRPr="003D144A">
        <w:rPr>
          <w:iCs/>
          <w:color w:val="auto"/>
        </w:rPr>
        <w:t>structure mass. For red marrow dose evaluation, blood samples measurement</w:t>
      </w:r>
      <w:r w:rsidR="007C0A64" w:rsidRPr="003D144A">
        <w:rPr>
          <w:iCs/>
          <w:color w:val="auto"/>
        </w:rPr>
        <w:t>s</w:t>
      </w:r>
      <w:r w:rsidR="00216468" w:rsidRPr="003D144A">
        <w:rPr>
          <w:iCs/>
          <w:color w:val="auto"/>
        </w:rPr>
        <w:t xml:space="preserve"> are used and scale</w:t>
      </w:r>
      <w:r w:rsidR="009F5CC8" w:rsidRPr="003D144A">
        <w:rPr>
          <w:iCs/>
          <w:color w:val="auto"/>
        </w:rPr>
        <w:t>d</w:t>
      </w:r>
      <w:r w:rsidR="00216468" w:rsidRPr="003D144A">
        <w:rPr>
          <w:iCs/>
          <w:color w:val="auto"/>
        </w:rPr>
        <w:t xml:space="preserve"> to</w:t>
      </w:r>
      <w:r w:rsidR="007C0A64" w:rsidRPr="003D144A">
        <w:rPr>
          <w:iCs/>
          <w:color w:val="auto"/>
        </w:rPr>
        <w:t xml:space="preserve"> the</w:t>
      </w:r>
      <w:r w:rsidR="00216468" w:rsidRPr="003D144A">
        <w:rPr>
          <w:iCs/>
          <w:color w:val="auto"/>
        </w:rPr>
        <w:t xml:space="preserve"> patient's weight.</w:t>
      </w:r>
    </w:p>
    <w:p w14:paraId="0BDA20E7" w14:textId="77777777" w:rsidR="00DC6A13" w:rsidRPr="00DC6A13" w:rsidRDefault="00DC6A13">
      <w:pPr>
        <w:pStyle w:val="ListParagraph"/>
        <w:ind w:left="0"/>
        <w:rPr>
          <w:b/>
          <w:color w:val="auto"/>
        </w:rPr>
      </w:pPr>
    </w:p>
    <w:p w14:paraId="464582F8" w14:textId="76060A7A" w:rsidR="00092A3A" w:rsidRPr="003D144A" w:rsidRDefault="001B3CA8">
      <w:pPr>
        <w:pStyle w:val="ListParagraph"/>
        <w:numPr>
          <w:ilvl w:val="1"/>
          <w:numId w:val="9"/>
        </w:numPr>
        <w:rPr>
          <w:bCs/>
          <w:color w:val="auto"/>
        </w:rPr>
      </w:pPr>
      <w:r w:rsidRPr="003D144A">
        <w:rPr>
          <w:bCs/>
          <w:color w:val="auto"/>
        </w:rPr>
        <w:t>Planar images</w:t>
      </w:r>
    </w:p>
    <w:p w14:paraId="1FBE1F28" w14:textId="77777777" w:rsidR="00DC6A13" w:rsidRPr="00DC6A13" w:rsidRDefault="00DC6A13">
      <w:pPr>
        <w:rPr>
          <w:color w:val="auto"/>
          <w:highlight w:val="yellow"/>
        </w:rPr>
      </w:pPr>
    </w:p>
    <w:p w14:paraId="62300474" w14:textId="1EBD892E" w:rsidR="00A50A4D" w:rsidRPr="00771DC3" w:rsidRDefault="00721D89" w:rsidP="00771DC3">
      <w:pPr>
        <w:pStyle w:val="ListParagraph"/>
        <w:numPr>
          <w:ilvl w:val="2"/>
          <w:numId w:val="9"/>
        </w:numPr>
        <w:rPr>
          <w:color w:val="auto"/>
          <w:highlight w:val="yellow"/>
        </w:rPr>
      </w:pPr>
      <w:r w:rsidRPr="00DC6A13">
        <w:rPr>
          <w:color w:val="auto"/>
          <w:highlight w:val="yellow"/>
        </w:rPr>
        <w:t xml:space="preserve">For </w:t>
      </w:r>
      <w:r w:rsidR="003C61F3" w:rsidRPr="00DC6A13">
        <w:rPr>
          <w:color w:val="auto"/>
          <w:highlight w:val="yellow"/>
        </w:rPr>
        <w:t xml:space="preserve">each image and </w:t>
      </w:r>
      <w:r w:rsidRPr="00DC6A13">
        <w:rPr>
          <w:color w:val="auto"/>
          <w:highlight w:val="yellow"/>
        </w:rPr>
        <w:t>structure</w:t>
      </w:r>
      <w:r w:rsidR="00023C65" w:rsidRPr="00DC6A13">
        <w:rPr>
          <w:color w:val="auto"/>
          <w:highlight w:val="yellow"/>
        </w:rPr>
        <w:t>,</w:t>
      </w:r>
      <w:r w:rsidR="00A50A4D" w:rsidRPr="00DC6A13">
        <w:rPr>
          <w:color w:val="auto"/>
          <w:highlight w:val="yellow"/>
        </w:rPr>
        <w:t xml:space="preserve"> c</w:t>
      </w:r>
      <w:r w:rsidR="004D7F6F" w:rsidRPr="00DC6A13">
        <w:rPr>
          <w:color w:val="auto"/>
          <w:highlight w:val="yellow"/>
        </w:rPr>
        <w:t xml:space="preserve">alculate the </w:t>
      </w:r>
      <w:r w:rsidRPr="00DC6A13">
        <w:rPr>
          <w:color w:val="auto"/>
          <w:highlight w:val="yellow"/>
        </w:rPr>
        <w:t xml:space="preserve">counts on anterior </w:t>
      </w:r>
      <w:r w:rsidR="00A50A4D" w:rsidRPr="00DC6A13">
        <w:rPr>
          <w:color w:val="auto"/>
          <w:highlight w:val="yellow"/>
        </w:rPr>
        <w:t>(</w:t>
      </w:r>
      <m:oMath>
        <m:sSub>
          <m:sSubPr>
            <m:ctrlPr>
              <w:rPr>
                <w:rFonts w:ascii="Cambria Math" w:hAnsi="Cambria Math"/>
                <w:color w:val="auto"/>
                <w:highlight w:val="yellow"/>
              </w:rPr>
            </m:ctrlPr>
          </m:sSubPr>
          <m:e>
            <m:r>
              <m:rPr>
                <m:sty m:val="p"/>
              </m:rPr>
              <w:rPr>
                <w:rFonts w:ascii="Cambria Math" w:hAnsi="Cambria Math"/>
                <w:color w:val="auto"/>
                <w:highlight w:val="yellow"/>
              </w:rPr>
              <m:t>I</m:t>
            </m:r>
          </m:e>
          <m:sub>
            <m:r>
              <m:rPr>
                <m:sty m:val="p"/>
              </m:rPr>
              <w:rPr>
                <w:rFonts w:ascii="Cambria Math" w:hAnsi="Cambria Math"/>
                <w:color w:val="auto"/>
                <w:highlight w:val="yellow"/>
              </w:rPr>
              <m:t>A</m:t>
            </m:r>
          </m:sub>
        </m:sSub>
      </m:oMath>
      <w:r w:rsidR="00A50A4D" w:rsidRPr="00DC6A13">
        <w:rPr>
          <w:color w:val="auto"/>
          <w:highlight w:val="yellow"/>
        </w:rPr>
        <w:t xml:space="preserve">) </w:t>
      </w:r>
      <w:r w:rsidRPr="00DC6A13">
        <w:rPr>
          <w:color w:val="auto"/>
          <w:highlight w:val="yellow"/>
        </w:rPr>
        <w:t>and posterior</w:t>
      </w:r>
      <w:r w:rsidR="00A50A4D" w:rsidRPr="00DC6A13">
        <w:rPr>
          <w:color w:val="auto"/>
          <w:highlight w:val="yellow"/>
        </w:rPr>
        <w:t xml:space="preserve"> (</w:t>
      </w:r>
      <m:oMath>
        <m:sSub>
          <m:sSubPr>
            <m:ctrlPr>
              <w:rPr>
                <w:rFonts w:ascii="Cambria Math" w:hAnsi="Cambria Math"/>
                <w:color w:val="auto"/>
                <w:highlight w:val="yellow"/>
              </w:rPr>
            </m:ctrlPr>
          </m:sSubPr>
          <m:e>
            <m:r>
              <m:rPr>
                <m:sty m:val="p"/>
              </m:rPr>
              <w:rPr>
                <w:rFonts w:ascii="Cambria Math" w:hAnsi="Cambria Math"/>
                <w:color w:val="auto"/>
                <w:highlight w:val="yellow"/>
              </w:rPr>
              <m:t>I</m:t>
            </m:r>
          </m:e>
          <m:sub>
            <m:r>
              <m:rPr>
                <m:sty m:val="p"/>
              </m:rPr>
              <w:rPr>
                <w:rFonts w:ascii="Cambria Math" w:hAnsi="Cambria Math"/>
                <w:color w:val="auto"/>
                <w:highlight w:val="yellow"/>
              </w:rPr>
              <m:t>P</m:t>
            </m:r>
          </m:sub>
        </m:sSub>
      </m:oMath>
      <w:r w:rsidR="00A50A4D" w:rsidRPr="00DC6A13">
        <w:rPr>
          <w:color w:val="auto"/>
          <w:highlight w:val="yellow"/>
        </w:rPr>
        <w:t>)</w:t>
      </w:r>
      <w:r w:rsidRPr="00DC6A13">
        <w:rPr>
          <w:color w:val="auto"/>
          <w:highlight w:val="yellow"/>
        </w:rPr>
        <w:t xml:space="preserve"> view </w:t>
      </w:r>
      <w:r w:rsidR="00A50A4D" w:rsidRPr="00DC6A13">
        <w:rPr>
          <w:color w:val="auto"/>
          <w:highlight w:val="yellow"/>
        </w:rPr>
        <w:t>as</w:t>
      </w:r>
    </w:p>
    <w:p w14:paraId="6727CBB3" w14:textId="77777777" w:rsidR="00A50A4D" w:rsidRPr="00DC6A13" w:rsidRDefault="00E4060C">
      <w:pPr>
        <w:pStyle w:val="ListParagraph"/>
        <w:ind w:left="0"/>
        <w:rPr>
          <w:color w:val="auto"/>
          <w:highlight w:val="yellow"/>
        </w:rPr>
      </w:pPr>
      <m:oMathPara>
        <m:oMath>
          <m:sSub>
            <m:sSubPr>
              <m:ctrlPr>
                <w:rPr>
                  <w:rFonts w:ascii="Cambria Math" w:hAnsi="Cambria Math"/>
                  <w:i/>
                  <w:color w:val="auto"/>
                  <w:highlight w:val="yellow"/>
                </w:rPr>
              </m:ctrlPr>
            </m:sSubPr>
            <m:e>
              <m:r>
                <w:rPr>
                  <w:rFonts w:ascii="Cambria Math" w:hAnsi="Cambria Math"/>
                  <w:color w:val="auto"/>
                  <w:highlight w:val="yellow"/>
                </w:rPr>
                <m:t>I</m:t>
              </m:r>
            </m:e>
            <m:sub>
              <m:r>
                <w:rPr>
                  <w:rFonts w:ascii="Cambria Math" w:hAnsi="Cambria Math"/>
                  <w:color w:val="auto"/>
                  <w:highlight w:val="yellow"/>
                </w:rPr>
                <m:t>A,P</m:t>
              </m:r>
            </m:sub>
          </m:sSub>
          <m:r>
            <w:rPr>
              <w:rFonts w:ascii="Cambria Math" w:hAnsi="Cambria Math"/>
              <w:color w:val="auto"/>
              <w:highlight w:val="yellow"/>
            </w:rPr>
            <m:t>=</m:t>
          </m:r>
          <m:d>
            <m:dPr>
              <m:ctrlPr>
                <w:rPr>
                  <w:rFonts w:ascii="Cambria Math" w:hAnsi="Cambria Math"/>
                  <w:i/>
                  <w:color w:val="auto"/>
                  <w:highlight w:val="yellow"/>
                </w:rPr>
              </m:ctrlPr>
            </m:dPr>
            <m:e>
              <m:sSub>
                <m:sSubPr>
                  <m:ctrlPr>
                    <w:rPr>
                      <w:rFonts w:ascii="Cambria Math" w:hAnsi="Cambria Math"/>
                      <w:i/>
                      <w:color w:val="auto"/>
                      <w:highlight w:val="yellow"/>
                    </w:rPr>
                  </m:ctrlPr>
                </m:sSubPr>
                <m:e>
                  <m:r>
                    <w:rPr>
                      <w:rFonts w:ascii="Cambria Math" w:hAnsi="Cambria Math"/>
                      <w:color w:val="auto"/>
                      <w:highlight w:val="yellow"/>
                    </w:rPr>
                    <m:t>c</m:t>
                  </m:r>
                </m:e>
                <m:sub>
                  <m:r>
                    <w:rPr>
                      <w:rFonts w:ascii="Cambria Math" w:hAnsi="Cambria Math"/>
                      <w:color w:val="auto"/>
                      <w:highlight w:val="yellow"/>
                    </w:rPr>
                    <m:t>ROI</m:t>
                  </m:r>
                </m:sub>
              </m:sSub>
              <m:r>
                <w:rPr>
                  <w:rFonts w:ascii="Cambria Math" w:hAnsi="Cambria Math"/>
                  <w:color w:val="auto"/>
                  <w:highlight w:val="yellow"/>
                </w:rPr>
                <m:t>-</m:t>
              </m:r>
              <m:sSub>
                <m:sSubPr>
                  <m:ctrlPr>
                    <w:rPr>
                      <w:rFonts w:ascii="Cambria Math" w:hAnsi="Cambria Math"/>
                      <w:i/>
                      <w:color w:val="auto"/>
                      <w:highlight w:val="yellow"/>
                    </w:rPr>
                  </m:ctrlPr>
                </m:sSubPr>
                <m:e>
                  <m:r>
                    <w:rPr>
                      <w:rFonts w:ascii="Cambria Math" w:hAnsi="Cambria Math"/>
                      <w:color w:val="auto"/>
                      <w:highlight w:val="yellow"/>
                    </w:rPr>
                    <m:t>c</m:t>
                  </m:r>
                </m:e>
                <m:sub>
                  <m:r>
                    <w:rPr>
                      <w:rFonts w:ascii="Cambria Math" w:hAnsi="Cambria Math"/>
                      <w:color w:val="auto"/>
                      <w:highlight w:val="yellow"/>
                    </w:rPr>
                    <m:t>bkgr</m:t>
                  </m:r>
                </m:sub>
              </m:sSub>
            </m:e>
          </m:d>
          <m:r>
            <w:rPr>
              <w:rFonts w:ascii="Cambria Math" w:hAnsi="Cambria Math"/>
              <w:color w:val="auto"/>
              <w:highlight w:val="yellow"/>
            </w:rPr>
            <m:t>*p</m:t>
          </m:r>
        </m:oMath>
      </m:oMathPara>
    </w:p>
    <w:p w14:paraId="7CBE9200" w14:textId="77777777" w:rsidR="00A50A4D" w:rsidRPr="00DC6A13" w:rsidRDefault="00A50A4D">
      <w:pPr>
        <w:pStyle w:val="ListParagraph"/>
        <w:ind w:left="0"/>
        <w:rPr>
          <w:color w:val="auto"/>
          <w:highlight w:val="yellow"/>
        </w:rPr>
      </w:pPr>
    </w:p>
    <w:p w14:paraId="35F4137F" w14:textId="0E21E574" w:rsidR="003C2297" w:rsidRPr="00771DC3" w:rsidRDefault="00A50A4D">
      <w:pPr>
        <w:pStyle w:val="ListParagraph"/>
        <w:ind w:left="0"/>
        <w:rPr>
          <w:color w:val="auto"/>
        </w:rPr>
      </w:pPr>
      <w:r w:rsidRPr="00771DC3">
        <w:rPr>
          <w:color w:val="auto"/>
        </w:rPr>
        <w:t xml:space="preserve">where </w:t>
      </w:r>
      <m:oMath>
        <m:sSub>
          <m:sSubPr>
            <m:ctrlPr>
              <w:rPr>
                <w:rFonts w:ascii="Cambria Math" w:hAnsi="Cambria Math"/>
                <w:i/>
                <w:color w:val="auto"/>
              </w:rPr>
            </m:ctrlPr>
          </m:sSubPr>
          <m:e>
            <m:r>
              <w:rPr>
                <w:rFonts w:ascii="Cambria Math" w:hAnsi="Cambria Math"/>
                <w:color w:val="auto"/>
              </w:rPr>
              <m:t>c</m:t>
            </m:r>
          </m:e>
          <m:sub>
            <m:r>
              <w:rPr>
                <w:rFonts w:ascii="Cambria Math" w:hAnsi="Cambria Math"/>
                <w:color w:val="auto"/>
              </w:rPr>
              <m:t>ROI</m:t>
            </m:r>
          </m:sub>
        </m:sSub>
      </m:oMath>
      <w:r w:rsidRPr="00771DC3">
        <w:rPr>
          <w:color w:val="auto"/>
        </w:rPr>
        <w:t xml:space="preserve"> is the average count</w:t>
      </w:r>
      <w:r w:rsidR="00AE1098" w:rsidRPr="00771DC3">
        <w:rPr>
          <w:color w:val="auto"/>
        </w:rPr>
        <w:t xml:space="preserve"> </w:t>
      </w:r>
      <w:r w:rsidRPr="00771DC3">
        <w:rPr>
          <w:color w:val="auto"/>
        </w:rPr>
        <w:t>[c]</w:t>
      </w:r>
      <w:r w:rsidR="00F56B8F" w:rsidRPr="00771DC3">
        <w:rPr>
          <w:color w:val="auto"/>
        </w:rPr>
        <w:t xml:space="preserve"> </w:t>
      </w:r>
      <w:r w:rsidRPr="00771DC3">
        <w:rPr>
          <w:color w:val="auto"/>
        </w:rPr>
        <w:t xml:space="preserve">for the considered ROI, </w:t>
      </w:r>
      <m:oMath>
        <m:sSub>
          <m:sSubPr>
            <m:ctrlPr>
              <w:rPr>
                <w:rFonts w:ascii="Cambria Math" w:hAnsi="Cambria Math"/>
                <w:i/>
                <w:color w:val="auto"/>
              </w:rPr>
            </m:ctrlPr>
          </m:sSubPr>
          <m:e>
            <m:r>
              <w:rPr>
                <w:rFonts w:ascii="Cambria Math" w:hAnsi="Cambria Math"/>
                <w:color w:val="auto"/>
              </w:rPr>
              <m:t>c</m:t>
            </m:r>
          </m:e>
          <m:sub>
            <m:r>
              <w:rPr>
                <w:rFonts w:ascii="Cambria Math" w:hAnsi="Cambria Math"/>
                <w:color w:val="auto"/>
              </w:rPr>
              <m:t>bkgr</m:t>
            </m:r>
          </m:sub>
        </m:sSub>
      </m:oMath>
      <w:r w:rsidRPr="00771DC3">
        <w:rPr>
          <w:color w:val="auto"/>
        </w:rPr>
        <w:t xml:space="preserve"> is the average count</w:t>
      </w:r>
      <w:r w:rsidR="00AE1098" w:rsidRPr="00771DC3">
        <w:rPr>
          <w:color w:val="auto"/>
        </w:rPr>
        <w:t xml:space="preserve"> </w:t>
      </w:r>
      <w:r w:rsidRPr="00771DC3">
        <w:rPr>
          <w:color w:val="auto"/>
        </w:rPr>
        <w:t>[c] in the corresponding background region,</w:t>
      </w:r>
      <w:r w:rsidR="0080578F" w:rsidRPr="00771DC3">
        <w:rPr>
          <w:color w:val="auto"/>
        </w:rPr>
        <w:t xml:space="preserve"> and</w:t>
      </w:r>
      <w:r w:rsidRPr="00771DC3">
        <w:rPr>
          <w:color w:val="auto"/>
        </w:rPr>
        <w:t xml:space="preserve"> </w:t>
      </w:r>
      <m:oMath>
        <m:r>
          <w:rPr>
            <w:rFonts w:ascii="Cambria Math" w:hAnsi="Cambria Math"/>
            <w:color w:val="auto"/>
          </w:rPr>
          <m:t>p</m:t>
        </m:r>
      </m:oMath>
      <w:r w:rsidRPr="00771DC3">
        <w:rPr>
          <w:i/>
          <w:color w:val="auto"/>
        </w:rPr>
        <w:t xml:space="preserve"> </w:t>
      </w:r>
      <w:r w:rsidR="0080578F" w:rsidRPr="00771DC3">
        <w:rPr>
          <w:color w:val="auto"/>
        </w:rPr>
        <w:t xml:space="preserve">is </w:t>
      </w:r>
      <w:r w:rsidRPr="00771DC3">
        <w:rPr>
          <w:color w:val="auto"/>
        </w:rPr>
        <w:t xml:space="preserve">the </w:t>
      </w:r>
      <w:r w:rsidR="00F56B8F" w:rsidRPr="00771DC3">
        <w:rPr>
          <w:color w:val="auto"/>
        </w:rPr>
        <w:t>pixel number inside the ROI</w:t>
      </w:r>
      <w:r w:rsidR="009F661D" w:rsidRPr="00771DC3">
        <w:rPr>
          <w:color w:val="auto"/>
        </w:rPr>
        <w:t>.</w:t>
      </w:r>
      <w:r w:rsidR="00A52136" w:rsidRPr="00771DC3">
        <w:rPr>
          <w:color w:val="auto"/>
        </w:rPr>
        <w:t xml:space="preserve"> </w:t>
      </w:r>
    </w:p>
    <w:p w14:paraId="6F9CAE99" w14:textId="77777777" w:rsidR="003C2297" w:rsidRPr="00DC6A13" w:rsidRDefault="003C2297">
      <w:pPr>
        <w:pStyle w:val="ListParagraph"/>
        <w:ind w:left="0"/>
        <w:rPr>
          <w:color w:val="auto"/>
          <w:highlight w:val="yellow"/>
        </w:rPr>
      </w:pPr>
    </w:p>
    <w:p w14:paraId="6C0351CC" w14:textId="277DE3FB" w:rsidR="00A50A4D" w:rsidRPr="00771DC3" w:rsidRDefault="00E805A0" w:rsidP="00771DC3">
      <w:pPr>
        <w:pStyle w:val="ListParagraph"/>
        <w:numPr>
          <w:ilvl w:val="2"/>
          <w:numId w:val="9"/>
        </w:numPr>
        <w:rPr>
          <w:color w:val="auto"/>
          <w:highlight w:val="yellow"/>
        </w:rPr>
      </w:pPr>
      <w:r w:rsidRPr="00DC6A13">
        <w:rPr>
          <w:color w:val="auto"/>
          <w:highlight w:val="yellow"/>
        </w:rPr>
        <w:t>For each ROI, c</w:t>
      </w:r>
      <w:r w:rsidR="004D7F6F" w:rsidRPr="00DC6A13">
        <w:rPr>
          <w:color w:val="auto"/>
          <w:highlight w:val="yellow"/>
        </w:rPr>
        <w:t>alculate the uptake at each image time point as</w:t>
      </w:r>
    </w:p>
    <w:p w14:paraId="5665F0D9" w14:textId="77777777" w:rsidR="00162CF0" w:rsidRPr="00DC6A13" w:rsidRDefault="00E4060C">
      <w:pPr>
        <w:pStyle w:val="ListParagraph"/>
        <w:ind w:left="0"/>
        <w:rPr>
          <w:color w:val="auto"/>
          <w:highlight w:val="yellow"/>
        </w:rPr>
      </w:pPr>
      <m:oMathPara>
        <m:oMath>
          <m:sSub>
            <m:sSubPr>
              <m:ctrlPr>
                <w:rPr>
                  <w:rFonts w:ascii="Cambria Math" w:hAnsi="Cambria Math"/>
                  <w:color w:val="auto"/>
                  <w:highlight w:val="yellow"/>
                </w:rPr>
              </m:ctrlPr>
            </m:sSubPr>
            <m:e>
              <m:r>
                <m:rPr>
                  <m:sty m:val="p"/>
                </m:rPr>
                <w:rPr>
                  <w:rFonts w:ascii="Cambria Math" w:hAnsi="Cambria Math"/>
                  <w:color w:val="auto"/>
                  <w:highlight w:val="yellow"/>
                </w:rPr>
                <m:t>A</m:t>
              </m:r>
            </m:e>
            <m:sub>
              <m:r>
                <m:rPr>
                  <m:sty m:val="p"/>
                </m:rPr>
                <w:rPr>
                  <w:rFonts w:ascii="Cambria Math" w:hAnsi="Cambria Math"/>
                  <w:color w:val="auto"/>
                  <w:highlight w:val="yellow"/>
                </w:rPr>
                <m:t>ROI</m:t>
              </m:r>
            </m:sub>
          </m:sSub>
          <m:r>
            <m:rPr>
              <m:sty m:val="p"/>
            </m:rPr>
            <w:rPr>
              <w:rFonts w:ascii="Cambria Math" w:hAnsi="Cambria Math"/>
              <w:color w:val="auto"/>
              <w:highlight w:val="yellow"/>
            </w:rPr>
            <m:t>=</m:t>
          </m:r>
          <m:rad>
            <m:radPr>
              <m:degHide m:val="1"/>
              <m:ctrlPr>
                <w:rPr>
                  <w:rFonts w:ascii="Cambria Math" w:hAnsi="Cambria Math"/>
                  <w:color w:val="auto"/>
                  <w:highlight w:val="yellow"/>
                </w:rPr>
              </m:ctrlPr>
            </m:radPr>
            <m:deg/>
            <m:e>
              <m:f>
                <m:fPr>
                  <m:ctrlPr>
                    <w:rPr>
                      <w:rFonts w:ascii="Cambria Math" w:hAnsi="Cambria Math"/>
                      <w:color w:val="auto"/>
                      <w:highlight w:val="yellow"/>
                    </w:rPr>
                  </m:ctrlPr>
                </m:fPr>
                <m:num>
                  <m:sSub>
                    <m:sSubPr>
                      <m:ctrlPr>
                        <w:rPr>
                          <w:rFonts w:ascii="Cambria Math" w:hAnsi="Cambria Math"/>
                          <w:color w:val="auto"/>
                          <w:highlight w:val="yellow"/>
                        </w:rPr>
                      </m:ctrlPr>
                    </m:sSubPr>
                    <m:e>
                      <m:r>
                        <m:rPr>
                          <m:sty m:val="p"/>
                        </m:rPr>
                        <w:rPr>
                          <w:rFonts w:ascii="Cambria Math" w:hAnsi="Cambria Math"/>
                          <w:color w:val="auto"/>
                          <w:highlight w:val="yellow"/>
                        </w:rPr>
                        <m:t>I</m:t>
                      </m:r>
                    </m:e>
                    <m:sub>
                      <m:r>
                        <m:rPr>
                          <m:sty m:val="p"/>
                        </m:rPr>
                        <w:rPr>
                          <w:rFonts w:ascii="Cambria Math" w:hAnsi="Cambria Math"/>
                          <w:color w:val="auto"/>
                          <w:highlight w:val="yellow"/>
                        </w:rPr>
                        <m:t>A</m:t>
                      </m:r>
                    </m:sub>
                  </m:sSub>
                  <m:r>
                    <m:rPr>
                      <m:sty m:val="p"/>
                    </m:rPr>
                    <w:rPr>
                      <w:rFonts w:ascii="Cambria Math" w:hAnsi="Cambria Math"/>
                      <w:color w:val="auto"/>
                      <w:highlight w:val="yellow"/>
                    </w:rPr>
                    <m:t>*</m:t>
                  </m:r>
                  <m:sSub>
                    <m:sSubPr>
                      <m:ctrlPr>
                        <w:rPr>
                          <w:rFonts w:ascii="Cambria Math" w:hAnsi="Cambria Math"/>
                          <w:color w:val="auto"/>
                          <w:highlight w:val="yellow"/>
                        </w:rPr>
                      </m:ctrlPr>
                    </m:sSubPr>
                    <m:e>
                      <m:r>
                        <m:rPr>
                          <m:sty m:val="p"/>
                        </m:rPr>
                        <w:rPr>
                          <w:rFonts w:ascii="Cambria Math" w:hAnsi="Cambria Math"/>
                          <w:color w:val="auto"/>
                          <w:highlight w:val="yellow"/>
                        </w:rPr>
                        <m:t>I</m:t>
                      </m:r>
                    </m:e>
                    <m:sub>
                      <m:r>
                        <m:rPr>
                          <m:sty m:val="p"/>
                        </m:rPr>
                        <w:rPr>
                          <w:rFonts w:ascii="Cambria Math" w:hAnsi="Cambria Math"/>
                          <w:color w:val="auto"/>
                          <w:highlight w:val="yellow"/>
                        </w:rPr>
                        <m:t>P</m:t>
                      </m:r>
                    </m:sub>
                  </m:sSub>
                </m:num>
                <m:den>
                  <m:sSup>
                    <m:sSupPr>
                      <m:ctrlPr>
                        <w:rPr>
                          <w:rFonts w:ascii="Cambria Math" w:hAnsi="Cambria Math"/>
                          <w:color w:val="auto"/>
                          <w:highlight w:val="yellow"/>
                        </w:rPr>
                      </m:ctrlPr>
                    </m:sSupPr>
                    <m:e>
                      <m:r>
                        <m:rPr>
                          <m:sty m:val="p"/>
                        </m:rPr>
                        <w:rPr>
                          <w:rFonts w:ascii="Cambria Math" w:hAnsi="Cambria Math"/>
                          <w:color w:val="auto"/>
                          <w:highlight w:val="yellow"/>
                        </w:rPr>
                        <m:t>e</m:t>
                      </m:r>
                    </m:e>
                    <m:sup>
                      <m:r>
                        <m:rPr>
                          <m:sty m:val="p"/>
                        </m:rPr>
                        <w:rPr>
                          <w:rFonts w:ascii="Cambria Math" w:hAnsi="Cambria Math"/>
                          <w:color w:val="auto"/>
                          <w:highlight w:val="yellow"/>
                        </w:rPr>
                        <m:t>-</m:t>
                      </m:r>
                      <m:sSub>
                        <m:sSubPr>
                          <m:ctrlPr>
                            <w:rPr>
                              <w:rFonts w:ascii="Cambria Math" w:hAnsi="Cambria Math"/>
                              <w:color w:val="auto"/>
                              <w:highlight w:val="yellow"/>
                            </w:rPr>
                          </m:ctrlPr>
                        </m:sSubPr>
                        <m:e>
                          <m:r>
                            <m:rPr>
                              <m:sty m:val="p"/>
                            </m:rPr>
                            <w:rPr>
                              <w:rFonts w:ascii="Cambria Math" w:hAnsi="Cambria Math"/>
                              <w:color w:val="auto"/>
                              <w:highlight w:val="yellow"/>
                            </w:rPr>
                            <m:t>μ</m:t>
                          </m:r>
                        </m:e>
                        <m:sub>
                          <m:r>
                            <m:rPr>
                              <m:sty m:val="p"/>
                            </m:rPr>
                            <w:rPr>
                              <w:rFonts w:ascii="Cambria Math" w:hAnsi="Cambria Math"/>
                              <w:color w:val="auto"/>
                              <w:highlight w:val="yellow"/>
                            </w:rPr>
                            <m:t>(177Lu)</m:t>
                          </m:r>
                        </m:sub>
                      </m:sSub>
                      <m:r>
                        <m:rPr>
                          <m:sty m:val="p"/>
                        </m:rPr>
                        <w:rPr>
                          <w:rFonts w:ascii="Cambria Math" w:hAnsi="Cambria Math"/>
                          <w:color w:val="auto"/>
                          <w:highlight w:val="yellow"/>
                        </w:rPr>
                        <m:t>*z</m:t>
                      </m:r>
                    </m:sup>
                  </m:sSup>
                </m:den>
              </m:f>
            </m:e>
          </m:rad>
          <m:r>
            <m:rPr>
              <m:sty m:val="p"/>
            </m:rPr>
            <w:rPr>
              <w:rFonts w:ascii="Cambria Math" w:hAnsi="Cambria Math"/>
              <w:color w:val="auto"/>
              <w:highlight w:val="yellow"/>
            </w:rPr>
            <m:t>*</m:t>
          </m:r>
          <m:sSup>
            <m:sSupPr>
              <m:ctrlPr>
                <w:rPr>
                  <w:rFonts w:ascii="Cambria Math" w:hAnsi="Cambria Math"/>
                  <w:color w:val="auto"/>
                  <w:highlight w:val="yellow"/>
                </w:rPr>
              </m:ctrlPr>
            </m:sSupPr>
            <m:e>
              <m:r>
                <m:rPr>
                  <m:sty m:val="p"/>
                </m:rPr>
                <w:rPr>
                  <w:rFonts w:ascii="Cambria Math" w:hAnsi="Cambria Math"/>
                  <w:color w:val="auto"/>
                  <w:highlight w:val="yellow"/>
                </w:rPr>
                <m:t>e</m:t>
              </m:r>
            </m:e>
            <m:sup>
              <m:r>
                <m:rPr>
                  <m:sty m:val="p"/>
                </m:rPr>
                <w:rPr>
                  <w:rFonts w:ascii="Cambria Math" w:hAnsi="Cambria Math"/>
                  <w:color w:val="auto"/>
                  <w:highlight w:val="yellow"/>
                </w:rPr>
                <m:t>τ×∆t</m:t>
              </m:r>
            </m:sup>
          </m:sSup>
        </m:oMath>
      </m:oMathPara>
    </w:p>
    <w:p w14:paraId="1FD5AAD9" w14:textId="77777777" w:rsidR="0066511D" w:rsidRPr="00DC6A13" w:rsidRDefault="0066511D">
      <w:pPr>
        <w:pStyle w:val="ListParagraph"/>
        <w:ind w:left="0"/>
        <w:rPr>
          <w:color w:val="auto"/>
          <w:highlight w:val="yellow"/>
        </w:rPr>
      </w:pPr>
    </w:p>
    <w:p w14:paraId="6307FD87" w14:textId="77777777" w:rsidR="00A50A4D" w:rsidRPr="00DC6A13" w:rsidRDefault="00A50A4D">
      <w:pPr>
        <w:pStyle w:val="ListParagraph"/>
        <w:ind w:left="0"/>
        <w:rPr>
          <w:color w:val="auto"/>
        </w:rPr>
      </w:pPr>
      <w:r w:rsidRPr="00771DC3">
        <w:rPr>
          <w:color w:val="auto"/>
        </w:rPr>
        <w:t xml:space="preserve">where </w:t>
      </w:r>
      <m:oMath>
        <m:sSub>
          <m:sSubPr>
            <m:ctrlPr>
              <w:rPr>
                <w:rFonts w:ascii="Cambria Math" w:hAnsi="Cambria Math"/>
                <w:color w:val="auto"/>
              </w:rPr>
            </m:ctrlPr>
          </m:sSubPr>
          <m:e>
            <m:r>
              <m:rPr>
                <m:sty m:val="p"/>
              </m:rPr>
              <w:rPr>
                <w:rFonts w:ascii="Cambria Math" w:hAnsi="Cambria Math"/>
                <w:color w:val="auto"/>
              </w:rPr>
              <m:t>μ</m:t>
            </m:r>
          </m:e>
          <m:sub>
            <m:r>
              <m:rPr>
                <m:sty m:val="p"/>
              </m:rPr>
              <w:rPr>
                <w:rFonts w:ascii="Cambria Math" w:hAnsi="Cambria Math"/>
                <w:color w:val="auto"/>
              </w:rPr>
              <m:t>(177Lu)</m:t>
            </m:r>
          </m:sub>
        </m:sSub>
      </m:oMath>
      <w:r w:rsidRPr="00771DC3">
        <w:rPr>
          <w:color w:val="auto"/>
        </w:rPr>
        <w:t xml:space="preserve"> is the attenuation correction factor for </w:t>
      </w:r>
      <w:r w:rsidRPr="00771DC3">
        <w:rPr>
          <w:color w:val="auto"/>
          <w:vertAlign w:val="superscript"/>
        </w:rPr>
        <w:t>177</w:t>
      </w:r>
      <w:r w:rsidRPr="00771DC3">
        <w:rPr>
          <w:color w:val="auto"/>
        </w:rPr>
        <w:t xml:space="preserve">Lu, </w:t>
      </w:r>
      <m:oMath>
        <m:r>
          <m:rPr>
            <m:sty m:val="p"/>
          </m:rPr>
          <w:rPr>
            <w:rFonts w:ascii="Cambria Math" w:hAnsi="Cambria Math"/>
            <w:color w:val="auto"/>
          </w:rPr>
          <m:t>τ</m:t>
        </m:r>
      </m:oMath>
      <w:r w:rsidRPr="00771DC3">
        <w:rPr>
          <w:color w:val="auto"/>
        </w:rPr>
        <w:t xml:space="preserve"> is the </w:t>
      </w:r>
      <w:r w:rsidRPr="00771DC3">
        <w:rPr>
          <w:color w:val="auto"/>
          <w:vertAlign w:val="superscript"/>
        </w:rPr>
        <w:t>177</w:t>
      </w:r>
      <w:r w:rsidRPr="00771DC3">
        <w:rPr>
          <w:color w:val="auto"/>
        </w:rPr>
        <w:t xml:space="preserve">Lu physical half-life, </w:t>
      </w:r>
      <m:oMath>
        <m:r>
          <m:rPr>
            <m:sty m:val="p"/>
          </m:rPr>
          <w:rPr>
            <w:rFonts w:ascii="Cambria Math" w:hAnsi="Cambria Math"/>
            <w:color w:val="auto"/>
          </w:rPr>
          <m:t>∆t</m:t>
        </m:r>
      </m:oMath>
      <w:r w:rsidRPr="00771DC3">
        <w:rPr>
          <w:color w:val="auto"/>
        </w:rPr>
        <w:t xml:space="preserve"> is the time difference between infusion and image acquisition</w:t>
      </w:r>
      <w:r w:rsidR="00D042A0" w:rsidRPr="00771DC3">
        <w:rPr>
          <w:rStyle w:val="FootnoteReference"/>
          <w:color w:val="auto"/>
        </w:rPr>
        <w:fldChar w:fldCharType="begin" w:fldLock="1"/>
      </w:r>
      <w:r w:rsidR="004321CB" w:rsidRPr="00771DC3">
        <w:rPr>
          <w:color w:val="auto"/>
        </w:rPr>
        <w:instrText>ADDIN CSL_CITATION {"citationItems":[{"id":"ITEM-1","itemData":{"DOI":"10025848","ISBN":"0161-5505 (Print)","ISSN":"0161-5505","PMID":"10025848","abstract":"This report describes recommended techniques for radiopharmaceutical biodistribution data acquisition and analysis in human subjects to estimate radiation absorbed dose using the Medical Internal Radiation Dose (MIRD) schema. The document has been prepared in a format to address two audiences: individuals with a primary interest in designing clinical trials who are not experts in dosimetry and individuals with extensive experience with dosimetry-based protocols and calculational methodology. For the first group, the general concepts involved in biodistribution data acquisition are presented, with guidance provided for the number of measurements (data points) required. For those with expertise in dosimetry, highlighted sections, examples and appendices have been included to provide calculational details, as well as references, for the techniques involved. This document is intended also to serve as a guide for the investigator in choosing the appropriate methodologies when acquiring and preparing product data for review by national regulatory agencies. The emphasis is on planar imaging techniques commonly available in most nuclear medicine departments and laboratories. The measurement of the biodistribution of radiopharmaceuticals is an important aspect in calculating absorbed dose from internally deposited radionuclides. Three phases are presented: data collection, data analysis and data processing. In the first phase, data collection, the identification of source regions, the determination of their appropriate temporal sampling and the acquisition of data are discussed. In the second phase, quantitative measurement techniques involving imaging by planar scintillation camera, SPECT and PET for the calculation of activity in source regions as a function of time are discussed. In addition, nonimaging measurement techniques, including external radiation monitoring, tissue-sample counting (blood and biopsy) and excreta counting are also considered. The third phase, data processing, involves curve-fitting techniques to integrate the source time-activity curves (determining the area under these curves). For some applications, compartmental modeling procedures may be used. Last, appendices are included that provide a table of symbols and definitions, a checklist for study protocol design, example formats for quantitative imaging protocols, temporal sampling error analysis techniques and selected calculational examples. The utilization of the presented approach …","author":[{"dropping-particle":"","family":"Siegel","given":"J a","non-dropping-particle":"","parse-names":false,"suffix":""},{"dropping-particle":"","family":"Thomas","given":"S R","non-dropping-particle":"","parse-names":false,"suffix":""},{"dropping-particle":"","family":"Stubbs","given":"J B","non-dropping-particle":"","parse-names":false,"suffix":""},{"dropping-particle":"","family":"Stabin","given":"M G","non-dropping-particle":"","parse-names":false,"suffix":""},{"dropping-particle":"","family":"Hays","given":"M T","non-dropping-particle":"","parse-names":false,"suffix":""},{"dropping-particle":"","family":"Koral","given":"K F","non-dropping-particle":"","parse-names":false,"suffix":""},{"dropping-particle":"","family":"Robertson","given":"J S","non-dropping-particle":"","parse-names":false,"suffix":""},{"dropping-particle":"","family":"Howell","given":"R W","non-dropping-particle":"","parse-names":false,"suffix":""},{"dropping-particle":"","family":"Wessels","given":"B W","non-dropping-particle":"","parse-names":false,"suffix":""},{"dropping-particle":"","family":"Fisher","given":"D R","non-dropping-particle":"","parse-names":false,"suffix":""},{"dropping-particle":"","family":"Weber","given":"D a","non-dropping-particle":"","parse-names":false,"suffix":""},{"dropping-particle":"","family":"Brill","given":"a B","non-dropping-particle":"","parse-names":false,"suffix":""}],"container-title":"Journal of Nuclear Medicine","id":"ITEM-1","issue":"2","issued":{"date-parts":[["1999"]]},"page":"37S-61S","title":"MIRD pamphlet no. 16: Techniques for quantitative radiopharmaceutical biodistribution data acquisition and analysis for use in human radiation dose estimates.","type":"article-journal","volume":"40"},"uris":["http://www.mendeley.com/documents/?uuid=ac8e4268-6de7-4efe-a45a-d9cea179677b"]}],"mendeley":{"formattedCitation":"&lt;sup&gt;9&lt;/sup&gt;","plainTextFormattedCitation":"9","previouslyFormattedCitation":"&lt;sup&gt;9&lt;/sup&gt;"},"properties":{"noteIndex":0},"schema":"https://github.com/citation-style-language/schema/raw/master/csl-citation.json"}</w:instrText>
      </w:r>
      <w:r w:rsidR="00D042A0" w:rsidRPr="00771DC3">
        <w:rPr>
          <w:rStyle w:val="FootnoteReference"/>
          <w:color w:val="auto"/>
        </w:rPr>
        <w:fldChar w:fldCharType="separate"/>
      </w:r>
      <w:r w:rsidR="00975AF0" w:rsidRPr="00771DC3">
        <w:rPr>
          <w:bCs/>
          <w:noProof/>
          <w:color w:val="auto"/>
          <w:vertAlign w:val="superscript"/>
        </w:rPr>
        <w:t>9</w:t>
      </w:r>
      <w:r w:rsidR="00D042A0" w:rsidRPr="00771DC3">
        <w:rPr>
          <w:rStyle w:val="FootnoteReference"/>
          <w:color w:val="auto"/>
        </w:rPr>
        <w:fldChar w:fldCharType="end"/>
      </w:r>
      <w:r w:rsidR="00C45F6E" w:rsidRPr="00771DC3">
        <w:rPr>
          <w:color w:val="auto"/>
        </w:rPr>
        <w:t>,</w:t>
      </w:r>
      <w:r w:rsidR="0080578F" w:rsidRPr="00771DC3">
        <w:rPr>
          <w:color w:val="auto"/>
        </w:rPr>
        <w:t xml:space="preserve"> and</w:t>
      </w:r>
      <w:r w:rsidR="00C45F6E" w:rsidRPr="00771DC3">
        <w:rPr>
          <w:color w:val="auto"/>
        </w:rPr>
        <w:t xml:space="preserve"> z is the water equivalent </w:t>
      </w:r>
      <w:r w:rsidR="00C45F6E" w:rsidRPr="00771DC3">
        <w:rPr>
          <w:color w:val="auto"/>
        </w:rPr>
        <w:lastRenderedPageBreak/>
        <w:t>thickness evaluated on transmission scan.</w:t>
      </w:r>
    </w:p>
    <w:p w14:paraId="449614CF" w14:textId="77777777" w:rsidR="003C2297" w:rsidRPr="00DC6A13" w:rsidRDefault="003C2297">
      <w:pPr>
        <w:pStyle w:val="ListParagraph"/>
        <w:ind w:left="0"/>
        <w:rPr>
          <w:color w:val="auto"/>
        </w:rPr>
      </w:pPr>
    </w:p>
    <w:p w14:paraId="11D14FDD" w14:textId="76974035" w:rsidR="00E805A0" w:rsidRPr="0049766C" w:rsidRDefault="00E805A0" w:rsidP="0049766C">
      <w:pPr>
        <w:pStyle w:val="ListParagraph"/>
        <w:numPr>
          <w:ilvl w:val="2"/>
          <w:numId w:val="9"/>
        </w:numPr>
        <w:rPr>
          <w:color w:val="auto"/>
          <w:highlight w:val="yellow"/>
        </w:rPr>
      </w:pPr>
      <w:r w:rsidRPr="00DC6A13">
        <w:rPr>
          <w:color w:val="auto"/>
          <w:highlight w:val="yellow"/>
        </w:rPr>
        <w:t>Calculate the relative uptake as</w:t>
      </w:r>
      <w:bookmarkStart w:id="1" w:name="_GoBack"/>
      <w:bookmarkEnd w:id="1"/>
    </w:p>
    <w:p w14:paraId="25F19F10" w14:textId="77777777" w:rsidR="00E805A0" w:rsidRPr="00DC6A13" w:rsidRDefault="00E4060C">
      <w:pPr>
        <w:pStyle w:val="ListParagraph"/>
        <w:ind w:left="0"/>
        <w:rPr>
          <w:color w:val="auto"/>
          <w:highlight w:val="yellow"/>
        </w:rPr>
      </w:pPr>
      <m:oMathPara>
        <m:oMath>
          <m:sSub>
            <m:sSubPr>
              <m:ctrlPr>
                <w:rPr>
                  <w:rFonts w:ascii="Cambria Math" w:hAnsi="Cambria Math"/>
                  <w:i/>
                  <w:color w:val="auto"/>
                  <w:highlight w:val="yellow"/>
                </w:rPr>
              </m:ctrlPr>
            </m:sSubPr>
            <m:e>
              <m:r>
                <w:rPr>
                  <w:rFonts w:ascii="Cambria Math" w:hAnsi="Cambria Math"/>
                  <w:color w:val="auto"/>
                  <w:highlight w:val="yellow"/>
                </w:rPr>
                <m:t>%IA</m:t>
              </m:r>
            </m:e>
            <m:sub>
              <m:r>
                <w:rPr>
                  <w:rFonts w:ascii="Cambria Math" w:hAnsi="Cambria Math"/>
                  <w:color w:val="auto"/>
                  <w:highlight w:val="yellow"/>
                </w:rPr>
                <m:t>2D</m:t>
              </m:r>
            </m:sub>
          </m:sSub>
          <m:r>
            <w:rPr>
              <w:rFonts w:ascii="Cambria Math" w:hAnsi="Cambria Math"/>
              <w:color w:val="auto"/>
              <w:highlight w:val="yellow"/>
            </w:rPr>
            <m:t>=</m:t>
          </m:r>
          <m:f>
            <m:fPr>
              <m:ctrlPr>
                <w:rPr>
                  <w:rFonts w:ascii="Cambria Math" w:hAnsi="Cambria Math"/>
                  <w:i/>
                  <w:color w:val="auto"/>
                  <w:highlight w:val="yellow"/>
                </w:rPr>
              </m:ctrlPr>
            </m:fPr>
            <m:num>
              <m:sSub>
                <m:sSubPr>
                  <m:ctrlPr>
                    <w:rPr>
                      <w:rFonts w:ascii="Cambria Math" w:hAnsi="Cambria Math"/>
                      <w:i/>
                      <w:color w:val="auto"/>
                      <w:highlight w:val="yellow"/>
                    </w:rPr>
                  </m:ctrlPr>
                </m:sSubPr>
                <m:e>
                  <m:r>
                    <w:rPr>
                      <w:rFonts w:ascii="Cambria Math" w:hAnsi="Cambria Math"/>
                      <w:color w:val="auto"/>
                      <w:highlight w:val="yellow"/>
                    </w:rPr>
                    <m:t>A</m:t>
                  </m:r>
                </m:e>
                <m:sub>
                  <m:r>
                    <w:rPr>
                      <w:rFonts w:ascii="Cambria Math" w:hAnsi="Cambria Math"/>
                      <w:color w:val="auto"/>
                      <w:highlight w:val="yellow"/>
                    </w:rPr>
                    <m:t>ROI</m:t>
                  </m:r>
                </m:sub>
              </m:sSub>
            </m:num>
            <m:den>
              <m:sSub>
                <m:sSubPr>
                  <m:ctrlPr>
                    <w:rPr>
                      <w:rFonts w:ascii="Cambria Math" w:hAnsi="Cambria Math"/>
                      <w:i/>
                      <w:color w:val="auto"/>
                      <w:highlight w:val="yellow"/>
                    </w:rPr>
                  </m:ctrlPr>
                </m:sSubPr>
                <m:e>
                  <m:r>
                    <w:rPr>
                      <w:rFonts w:ascii="Cambria Math" w:hAnsi="Cambria Math"/>
                      <w:color w:val="auto"/>
                      <w:highlight w:val="yellow"/>
                    </w:rPr>
                    <m:t>A</m:t>
                  </m:r>
                </m:e>
                <m:sub>
                  <m:r>
                    <w:rPr>
                      <w:rFonts w:ascii="Cambria Math" w:hAnsi="Cambria Math"/>
                      <w:color w:val="auto"/>
                      <w:highlight w:val="yellow"/>
                    </w:rPr>
                    <m:t>WB1</m:t>
                  </m:r>
                </m:sub>
              </m:sSub>
            </m:den>
          </m:f>
          <m:r>
            <w:rPr>
              <w:rFonts w:ascii="Cambria Math" w:hAnsi="Cambria Math"/>
              <w:color w:val="auto"/>
              <w:highlight w:val="yellow"/>
            </w:rPr>
            <m:t>*100</m:t>
          </m:r>
        </m:oMath>
      </m:oMathPara>
    </w:p>
    <w:p w14:paraId="416FF11E" w14:textId="77777777" w:rsidR="00E805A0" w:rsidRPr="00DC6A13" w:rsidRDefault="00E805A0">
      <w:pPr>
        <w:pStyle w:val="ListParagraph"/>
        <w:ind w:left="0"/>
        <w:rPr>
          <w:color w:val="auto"/>
          <w:highlight w:val="yellow"/>
        </w:rPr>
      </w:pPr>
    </w:p>
    <w:p w14:paraId="7E81F099" w14:textId="77777777" w:rsidR="00E805A0" w:rsidRPr="00DC6A13" w:rsidRDefault="00E805A0">
      <w:pPr>
        <w:pStyle w:val="ListParagraph"/>
        <w:ind w:left="0"/>
        <w:rPr>
          <w:color w:val="auto"/>
        </w:rPr>
      </w:pPr>
      <w:r w:rsidRPr="00771DC3">
        <w:rPr>
          <w:color w:val="auto"/>
        </w:rPr>
        <w:t xml:space="preserve">where </w:t>
      </w:r>
      <m:oMath>
        <m:sSub>
          <m:sSubPr>
            <m:ctrlPr>
              <w:rPr>
                <w:rFonts w:ascii="Cambria Math" w:hAnsi="Cambria Math"/>
                <w:i/>
                <w:color w:val="auto"/>
              </w:rPr>
            </m:ctrlPr>
          </m:sSubPr>
          <m:e>
            <m:r>
              <w:rPr>
                <w:rFonts w:ascii="Cambria Math" w:hAnsi="Cambria Math"/>
                <w:color w:val="auto"/>
              </w:rPr>
              <m:t>A</m:t>
            </m:r>
          </m:e>
          <m:sub>
            <m:r>
              <w:rPr>
                <w:rFonts w:ascii="Cambria Math" w:hAnsi="Cambria Math"/>
                <w:color w:val="auto"/>
              </w:rPr>
              <m:t>WB1</m:t>
            </m:r>
          </m:sub>
        </m:sSub>
      </m:oMath>
      <w:r w:rsidRPr="00771DC3">
        <w:rPr>
          <w:color w:val="auto"/>
        </w:rPr>
        <w:t xml:space="preserve">is </w:t>
      </w:r>
      <m:oMath>
        <m:sSub>
          <m:sSubPr>
            <m:ctrlPr>
              <w:rPr>
                <w:rFonts w:ascii="Cambria Math" w:hAnsi="Cambria Math"/>
                <w:i/>
                <w:color w:val="auto"/>
              </w:rPr>
            </m:ctrlPr>
          </m:sSubPr>
          <m:e>
            <m:r>
              <w:rPr>
                <w:rFonts w:ascii="Cambria Math" w:hAnsi="Cambria Math"/>
                <w:color w:val="auto"/>
              </w:rPr>
              <m:t>A</m:t>
            </m:r>
          </m:e>
          <m:sub>
            <m:r>
              <w:rPr>
                <w:rFonts w:ascii="Cambria Math" w:hAnsi="Cambria Math"/>
                <w:color w:val="auto"/>
              </w:rPr>
              <m:t>ROI</m:t>
            </m:r>
          </m:sub>
        </m:sSub>
      </m:oMath>
      <w:r w:rsidRPr="00771DC3">
        <w:rPr>
          <w:color w:val="auto"/>
        </w:rPr>
        <w:t xml:space="preserve"> evaluated for whole body on the first post</w:t>
      </w:r>
      <w:r w:rsidR="0080578F" w:rsidRPr="00771DC3">
        <w:rPr>
          <w:color w:val="auto"/>
        </w:rPr>
        <w:t>-</w:t>
      </w:r>
      <w:r w:rsidRPr="00771DC3">
        <w:rPr>
          <w:color w:val="auto"/>
        </w:rPr>
        <w:t>infusion</w:t>
      </w:r>
      <w:r w:rsidR="00C527B3" w:rsidRPr="00771DC3">
        <w:rPr>
          <w:color w:val="auto"/>
        </w:rPr>
        <w:t xml:space="preserve"> image</w:t>
      </w:r>
      <w:r w:rsidRPr="00771DC3">
        <w:rPr>
          <w:color w:val="auto"/>
        </w:rPr>
        <w:t xml:space="preserve">. As whole urine </w:t>
      </w:r>
      <w:r w:rsidR="0080578F" w:rsidRPr="00771DC3">
        <w:rPr>
          <w:color w:val="auto"/>
        </w:rPr>
        <w:t>is</w:t>
      </w:r>
      <w:r w:rsidRPr="00771DC3">
        <w:rPr>
          <w:color w:val="auto"/>
        </w:rPr>
        <w:t xml:space="preserve"> </w:t>
      </w:r>
      <w:r w:rsidR="0080578F" w:rsidRPr="00771DC3">
        <w:rPr>
          <w:color w:val="auto"/>
        </w:rPr>
        <w:t xml:space="preserve">included in </w:t>
      </w:r>
      <w:r w:rsidRPr="00771DC3">
        <w:rPr>
          <w:color w:val="auto"/>
        </w:rPr>
        <w:t>the image, this is considered as a reference for the total effective infused activity</w:t>
      </w:r>
      <w:r w:rsidR="009F661D" w:rsidRPr="00771DC3">
        <w:rPr>
          <w:color w:val="auto"/>
        </w:rPr>
        <w:t>.</w:t>
      </w:r>
    </w:p>
    <w:p w14:paraId="59F82294" w14:textId="77777777" w:rsidR="001B3CA8" w:rsidRPr="00DC6A13" w:rsidRDefault="001B3CA8">
      <w:pPr>
        <w:pStyle w:val="ListParagraph"/>
        <w:ind w:left="0"/>
        <w:rPr>
          <w:color w:val="auto"/>
        </w:rPr>
      </w:pPr>
    </w:p>
    <w:p w14:paraId="1F53717E" w14:textId="77777777" w:rsidR="001B3CA8" w:rsidRPr="003D144A" w:rsidRDefault="00642785">
      <w:pPr>
        <w:pStyle w:val="ListParagraph"/>
        <w:numPr>
          <w:ilvl w:val="1"/>
          <w:numId w:val="9"/>
        </w:numPr>
        <w:rPr>
          <w:bCs/>
          <w:color w:val="auto"/>
        </w:rPr>
      </w:pPr>
      <w:r w:rsidRPr="003D144A">
        <w:rPr>
          <w:bCs/>
          <w:color w:val="auto"/>
        </w:rPr>
        <w:t>Hybrid 2D+</w:t>
      </w:r>
      <w:r w:rsidR="001B3CA8" w:rsidRPr="003D144A">
        <w:rPr>
          <w:bCs/>
          <w:color w:val="auto"/>
        </w:rPr>
        <w:t>3D SCPET/CT image</w:t>
      </w:r>
      <w:r w:rsidRPr="003D144A">
        <w:rPr>
          <w:bCs/>
          <w:color w:val="auto"/>
        </w:rPr>
        <w:t>s</w:t>
      </w:r>
    </w:p>
    <w:p w14:paraId="5F35AD90" w14:textId="77777777" w:rsidR="003C2297" w:rsidRPr="00DC6A13" w:rsidRDefault="003C2297">
      <w:pPr>
        <w:pStyle w:val="ListParagraph"/>
        <w:ind w:left="0"/>
        <w:rPr>
          <w:b/>
          <w:color w:val="auto"/>
        </w:rPr>
      </w:pPr>
    </w:p>
    <w:p w14:paraId="763580E7" w14:textId="45455553" w:rsidR="003C56A9" w:rsidRPr="0049766C" w:rsidRDefault="00B07943" w:rsidP="0049766C">
      <w:pPr>
        <w:pStyle w:val="ListParagraph"/>
        <w:numPr>
          <w:ilvl w:val="2"/>
          <w:numId w:val="9"/>
        </w:numPr>
        <w:rPr>
          <w:color w:val="auto"/>
        </w:rPr>
      </w:pPr>
      <w:r>
        <w:rPr>
          <w:color w:val="auto"/>
        </w:rPr>
        <w:t xml:space="preserve">For </w:t>
      </w:r>
      <w:r w:rsidR="00523EEB" w:rsidRPr="00DC6A13">
        <w:rPr>
          <w:color w:val="auto"/>
        </w:rPr>
        <w:t>SPECT/CT activity calibration</w:t>
      </w:r>
      <w:r>
        <w:rPr>
          <w:color w:val="auto"/>
        </w:rPr>
        <w:t>, i</w:t>
      </w:r>
      <w:r w:rsidR="00DC48C0" w:rsidRPr="00DC6A13">
        <w:rPr>
          <w:color w:val="auto"/>
        </w:rPr>
        <w:t>mage a cylindrical phantom with a cen</w:t>
      </w:r>
      <w:r w:rsidR="003D16DD" w:rsidRPr="00DC6A13">
        <w:rPr>
          <w:color w:val="auto"/>
        </w:rPr>
        <w:t>tral sphere of known activity</w:t>
      </w:r>
      <w:r w:rsidR="009F341A" w:rsidRPr="00DC6A13">
        <w:rPr>
          <w:color w:val="auto"/>
        </w:rPr>
        <w:t>. Contour the central sphere VOI and calculate the calibration factor</w:t>
      </w:r>
      <w:r w:rsidR="00D31C9D" w:rsidRPr="00DC6A13">
        <w:rPr>
          <w:color w:val="auto"/>
        </w:rPr>
        <w:t xml:space="preserve"> [cps/MBq]</w:t>
      </w:r>
      <w:r w:rsidR="009F341A" w:rsidRPr="00DC6A13">
        <w:rPr>
          <w:color w:val="auto"/>
        </w:rPr>
        <w:t xml:space="preserve"> as</w:t>
      </w:r>
    </w:p>
    <w:p w14:paraId="7D9F0DB5" w14:textId="77777777" w:rsidR="009F341A" w:rsidRPr="00DC6A13" w:rsidRDefault="00D31C9D">
      <w:pPr>
        <w:rPr>
          <w:color w:val="auto"/>
        </w:rPr>
      </w:pPr>
      <m:oMathPara>
        <m:oMath>
          <m:r>
            <w:rPr>
              <w:rFonts w:ascii="Cambria Math" w:hAnsi="Cambria Math"/>
              <w:color w:val="auto"/>
            </w:rPr>
            <m:t>S=</m:t>
          </m:r>
          <m:f>
            <m:fPr>
              <m:ctrlPr>
                <w:rPr>
                  <w:rFonts w:ascii="Cambria Math" w:hAnsi="Cambria Math"/>
                  <w:i/>
                  <w:color w:val="auto"/>
                </w:rPr>
              </m:ctrlPr>
            </m:fPr>
            <m:num>
              <m:r>
                <w:rPr>
                  <w:rFonts w:ascii="Cambria Math" w:hAnsi="Cambria Math"/>
                  <w:color w:val="auto"/>
                </w:rPr>
                <m:t>C</m:t>
              </m:r>
            </m:num>
            <m:den>
              <m:r>
                <w:rPr>
                  <w:rFonts w:ascii="Cambria Math" w:hAnsi="Cambria Math"/>
                  <w:color w:val="auto"/>
                </w:rPr>
                <m:t>t</m:t>
              </m:r>
            </m:den>
          </m:f>
          <m:r>
            <w:rPr>
              <w:rFonts w:ascii="Cambria Math" w:hAnsi="Cambria Math"/>
              <w:color w:val="auto"/>
            </w:rPr>
            <m:t>*</m:t>
          </m:r>
          <m:f>
            <m:fPr>
              <m:ctrlPr>
                <w:rPr>
                  <w:rFonts w:ascii="Cambria Math" w:hAnsi="Cambria Math"/>
                  <w:i/>
                  <w:color w:val="auto"/>
                </w:rPr>
              </m:ctrlPr>
            </m:fPr>
            <m:num>
              <m:r>
                <w:rPr>
                  <w:rFonts w:ascii="Cambria Math" w:hAnsi="Cambria Math"/>
                  <w:color w:val="auto"/>
                </w:rPr>
                <m:t>1</m:t>
              </m:r>
            </m:num>
            <m:den>
              <m:sSub>
                <m:sSubPr>
                  <m:ctrlPr>
                    <w:rPr>
                      <w:rFonts w:ascii="Cambria Math" w:hAnsi="Cambria Math"/>
                      <w:i/>
                      <w:color w:val="auto"/>
                    </w:rPr>
                  </m:ctrlPr>
                </m:sSubPr>
                <m:e>
                  <m:r>
                    <w:rPr>
                      <w:rFonts w:ascii="Cambria Math" w:hAnsi="Cambria Math"/>
                      <w:color w:val="auto"/>
                    </w:rPr>
                    <m:t>A</m:t>
                  </m:r>
                </m:e>
                <m:sub>
                  <m:r>
                    <w:rPr>
                      <w:rFonts w:ascii="Cambria Math" w:hAnsi="Cambria Math"/>
                      <w:color w:val="auto"/>
                    </w:rPr>
                    <m:t>k</m:t>
                  </m:r>
                </m:sub>
              </m:sSub>
            </m:den>
          </m:f>
        </m:oMath>
      </m:oMathPara>
    </w:p>
    <w:p w14:paraId="59DDD941" w14:textId="77777777" w:rsidR="003C56A9" w:rsidRPr="00DC6A13" w:rsidRDefault="003C56A9">
      <w:pPr>
        <w:rPr>
          <w:color w:val="auto"/>
        </w:rPr>
      </w:pPr>
    </w:p>
    <w:p w14:paraId="2EE4803C" w14:textId="4160BD68" w:rsidR="009F341A" w:rsidRPr="00DC6A13" w:rsidRDefault="00D31C9D">
      <w:pPr>
        <w:pStyle w:val="ListParagraph"/>
        <w:ind w:left="0"/>
        <w:rPr>
          <w:color w:val="auto"/>
        </w:rPr>
      </w:pPr>
      <w:r w:rsidRPr="00DC6A13">
        <w:rPr>
          <w:color w:val="auto"/>
        </w:rPr>
        <w:t xml:space="preserve">where </w:t>
      </w:r>
      <w:r w:rsidRPr="00DC6A13">
        <w:rPr>
          <w:i/>
          <w:color w:val="auto"/>
        </w:rPr>
        <w:t>C</w:t>
      </w:r>
      <w:r w:rsidRPr="00DC6A13">
        <w:rPr>
          <w:color w:val="auto"/>
        </w:rPr>
        <w:t xml:space="preserve"> are the total counts inside the VOI [c], </w:t>
      </w:r>
      <w:r w:rsidRPr="00DC6A13">
        <w:rPr>
          <w:i/>
          <w:color w:val="auto"/>
        </w:rPr>
        <w:t>t</w:t>
      </w:r>
      <w:r w:rsidRPr="00DC6A13">
        <w:rPr>
          <w:color w:val="auto"/>
        </w:rPr>
        <w:t xml:space="preserve"> the image acquisition time [sec] and</w:t>
      </w:r>
      <w:r w:rsidR="00A52136">
        <w:rPr>
          <w:color w:val="auto"/>
        </w:rPr>
        <w:t xml:space="preserve"> </w:t>
      </w:r>
      <m:oMath>
        <m:sSub>
          <m:sSubPr>
            <m:ctrlPr>
              <w:rPr>
                <w:rFonts w:ascii="Cambria Math" w:hAnsi="Cambria Math"/>
                <w:i/>
                <w:color w:val="auto"/>
              </w:rPr>
            </m:ctrlPr>
          </m:sSubPr>
          <m:e>
            <m:r>
              <w:rPr>
                <w:rFonts w:ascii="Cambria Math" w:hAnsi="Cambria Math"/>
                <w:color w:val="auto"/>
              </w:rPr>
              <m:t>A</m:t>
            </m:r>
          </m:e>
          <m:sub>
            <m:r>
              <w:rPr>
                <w:rFonts w:ascii="Cambria Math" w:hAnsi="Cambria Math"/>
                <w:color w:val="auto"/>
              </w:rPr>
              <m:t>k</m:t>
            </m:r>
          </m:sub>
        </m:sSub>
      </m:oMath>
      <w:r w:rsidRPr="00DC6A13">
        <w:rPr>
          <w:color w:val="auto"/>
        </w:rPr>
        <w:t xml:space="preserve"> the known injected activity [MBq] inside the central sphere.</w:t>
      </w:r>
      <w:r w:rsidR="003D16DD" w:rsidRPr="00DC6A13">
        <w:rPr>
          <w:color w:val="auto"/>
        </w:rPr>
        <w:t xml:space="preserve"> SPECT/CT image for the patient </w:t>
      </w:r>
      <w:r w:rsidR="0080578F" w:rsidRPr="00DC6A13">
        <w:rPr>
          <w:color w:val="auto"/>
        </w:rPr>
        <w:t>is</w:t>
      </w:r>
      <w:r w:rsidR="003D16DD" w:rsidRPr="00DC6A13">
        <w:rPr>
          <w:color w:val="auto"/>
        </w:rPr>
        <w:t xml:space="preserve"> performed with the same acquisition and reconstruction parameter settings.</w:t>
      </w:r>
    </w:p>
    <w:p w14:paraId="0F184DAC" w14:textId="77777777" w:rsidR="00DC48C0" w:rsidRPr="00DC6A13" w:rsidRDefault="00DC48C0">
      <w:pPr>
        <w:pStyle w:val="ListParagraph"/>
        <w:ind w:left="0"/>
        <w:rPr>
          <w:color w:val="auto"/>
        </w:rPr>
      </w:pPr>
    </w:p>
    <w:p w14:paraId="6FACAF65" w14:textId="6399CAF5" w:rsidR="00642785" w:rsidRPr="00771DC3" w:rsidRDefault="00D45CA0" w:rsidP="00771DC3">
      <w:pPr>
        <w:pStyle w:val="ListParagraph"/>
        <w:numPr>
          <w:ilvl w:val="2"/>
          <w:numId w:val="9"/>
        </w:numPr>
        <w:rPr>
          <w:color w:val="auto"/>
          <w:highlight w:val="yellow"/>
          <w:lang w:val="it-IT"/>
        </w:rPr>
      </w:pPr>
      <w:r w:rsidRPr="00DC6A13">
        <w:rPr>
          <w:color w:val="auto"/>
          <w:highlight w:val="yellow"/>
        </w:rPr>
        <w:t xml:space="preserve">Open the SPECT/CT image. Contour </w:t>
      </w:r>
      <w:r w:rsidR="005366C3" w:rsidRPr="00DC6A13">
        <w:rPr>
          <w:color w:val="auto"/>
          <w:highlight w:val="yellow"/>
        </w:rPr>
        <w:t>v</w:t>
      </w:r>
      <w:r w:rsidR="00C527B3" w:rsidRPr="00DC6A13">
        <w:rPr>
          <w:color w:val="auto"/>
          <w:highlight w:val="yellow"/>
        </w:rPr>
        <w:t>olumes of interest (VOIs)</w:t>
      </w:r>
      <w:r w:rsidR="003A1F43" w:rsidRPr="00DC6A13">
        <w:rPr>
          <w:color w:val="auto"/>
          <w:highlight w:val="yellow"/>
        </w:rPr>
        <w:t xml:space="preserve"> </w:t>
      </w:r>
      <w:r w:rsidRPr="00DC6A13">
        <w:rPr>
          <w:color w:val="auto"/>
          <w:highlight w:val="yellow"/>
        </w:rPr>
        <w:t>(</w:t>
      </w:r>
      <w:r w:rsidR="00591C54" w:rsidRPr="00591C54">
        <w:rPr>
          <w:color w:val="auto"/>
          <w:highlight w:val="yellow"/>
        </w:rPr>
        <w:t xml:space="preserve">e.g., </w:t>
      </w:r>
      <w:r w:rsidRPr="00DC6A13">
        <w:rPr>
          <w:color w:val="auto"/>
          <w:highlight w:val="yellow"/>
        </w:rPr>
        <w:t>kidneys, visible lesion)</w:t>
      </w:r>
      <w:r w:rsidR="0080578F" w:rsidRPr="00DC6A13">
        <w:rPr>
          <w:color w:val="auto"/>
          <w:highlight w:val="yellow"/>
        </w:rPr>
        <w:t xml:space="preserve"> are</w:t>
      </w:r>
      <w:r w:rsidRPr="00DC6A13">
        <w:rPr>
          <w:color w:val="auto"/>
          <w:highlight w:val="yellow"/>
        </w:rPr>
        <w:t xml:space="preserve"> based on both uptake information and CT morphology</w:t>
      </w:r>
      <w:r w:rsidR="009F661D" w:rsidRPr="00DC6A13">
        <w:rPr>
          <w:color w:val="auto"/>
          <w:highlight w:val="yellow"/>
        </w:rPr>
        <w:t>.</w:t>
      </w:r>
      <w:r w:rsidR="00D31C9D" w:rsidRPr="00DC6A13">
        <w:rPr>
          <w:color w:val="auto"/>
          <w:highlight w:val="yellow"/>
        </w:rPr>
        <w:t xml:space="preserve"> </w:t>
      </w:r>
      <w:r w:rsidR="00523EEB" w:rsidRPr="00DC6A13">
        <w:rPr>
          <w:color w:val="auto"/>
          <w:highlight w:val="yellow"/>
        </w:rPr>
        <w:t>Calculate the activity</w:t>
      </w:r>
      <w:r w:rsidR="00523EEB" w:rsidRPr="00DC6A13">
        <w:rPr>
          <w:color w:val="auto"/>
          <w:highlight w:val="yellow"/>
          <w:lang w:val="it-IT"/>
        </w:rPr>
        <w:t xml:space="preserve"> in the structure as </w:t>
      </w:r>
    </w:p>
    <w:p w14:paraId="4ED19ED1" w14:textId="77777777" w:rsidR="003A1F43" w:rsidRPr="00DC6A13" w:rsidRDefault="00E4060C">
      <w:pPr>
        <w:pStyle w:val="ListParagraph"/>
        <w:ind w:left="0"/>
        <w:rPr>
          <w:color w:val="auto"/>
          <w:highlight w:val="yellow"/>
        </w:rPr>
      </w:pPr>
      <m:oMathPara>
        <m:oMath>
          <m:sSub>
            <m:sSubPr>
              <m:ctrlPr>
                <w:rPr>
                  <w:rFonts w:ascii="Cambria Math" w:hAnsi="Cambria Math"/>
                  <w:i/>
                  <w:color w:val="auto"/>
                  <w:highlight w:val="yellow"/>
                </w:rPr>
              </m:ctrlPr>
            </m:sSubPr>
            <m:e>
              <m:r>
                <w:rPr>
                  <w:rFonts w:ascii="Cambria Math" w:hAnsi="Cambria Math"/>
                  <w:color w:val="auto"/>
                  <w:highlight w:val="yellow"/>
                </w:rPr>
                <m:t>A</m:t>
              </m:r>
            </m:e>
            <m:sub>
              <m:r>
                <w:rPr>
                  <w:rFonts w:ascii="Cambria Math" w:hAnsi="Cambria Math"/>
                  <w:color w:val="auto"/>
                  <w:highlight w:val="yellow"/>
                </w:rPr>
                <m:t>VOI</m:t>
              </m:r>
            </m:sub>
          </m:sSub>
          <m:r>
            <w:rPr>
              <w:rFonts w:ascii="Cambria Math" w:hAnsi="Cambria Math"/>
              <w:color w:val="auto"/>
              <w:highlight w:val="yellow"/>
            </w:rPr>
            <m:t>=</m:t>
          </m:r>
          <m:f>
            <m:fPr>
              <m:ctrlPr>
                <w:rPr>
                  <w:rFonts w:ascii="Cambria Math" w:hAnsi="Cambria Math"/>
                  <w:i/>
                  <w:color w:val="auto"/>
                  <w:highlight w:val="yellow"/>
                </w:rPr>
              </m:ctrlPr>
            </m:fPr>
            <m:num>
              <m:r>
                <w:rPr>
                  <w:rFonts w:ascii="Cambria Math" w:hAnsi="Cambria Math"/>
                  <w:color w:val="auto"/>
                  <w:highlight w:val="yellow"/>
                </w:rPr>
                <m:t>C</m:t>
              </m:r>
            </m:num>
            <m:den>
              <m:r>
                <w:rPr>
                  <w:rFonts w:ascii="Cambria Math" w:hAnsi="Cambria Math"/>
                  <w:color w:val="auto"/>
                  <w:highlight w:val="yellow"/>
                </w:rPr>
                <m:t>t</m:t>
              </m:r>
            </m:den>
          </m:f>
          <m:r>
            <w:rPr>
              <w:rFonts w:ascii="Cambria Math" w:hAnsi="Cambria Math"/>
              <w:color w:val="auto"/>
              <w:highlight w:val="yellow"/>
            </w:rPr>
            <m:t>*S</m:t>
          </m:r>
        </m:oMath>
      </m:oMathPara>
    </w:p>
    <w:p w14:paraId="5AC68BC5" w14:textId="77777777" w:rsidR="003C2297" w:rsidRPr="00DC6A13" w:rsidRDefault="003C2297">
      <w:pPr>
        <w:pStyle w:val="ListParagraph"/>
        <w:ind w:left="0"/>
        <w:rPr>
          <w:color w:val="auto"/>
        </w:rPr>
      </w:pPr>
    </w:p>
    <w:p w14:paraId="0DECE839" w14:textId="4284F432" w:rsidR="00642785" w:rsidRPr="00DC6A13" w:rsidRDefault="005407AD">
      <w:pPr>
        <w:pStyle w:val="ListParagraph"/>
        <w:numPr>
          <w:ilvl w:val="2"/>
          <w:numId w:val="9"/>
        </w:numPr>
        <w:rPr>
          <w:color w:val="auto"/>
          <w:highlight w:val="yellow"/>
        </w:rPr>
      </w:pPr>
      <w:r w:rsidRPr="00DC6A13">
        <w:rPr>
          <w:color w:val="auto"/>
          <w:highlight w:val="yellow"/>
        </w:rPr>
        <w:t>Calculate</w:t>
      </w:r>
    </w:p>
    <w:p w14:paraId="54959C83" w14:textId="77777777" w:rsidR="00642785" w:rsidRPr="00DC6A13" w:rsidRDefault="00E4060C">
      <w:pPr>
        <w:rPr>
          <w:color w:val="auto"/>
          <w:highlight w:val="yellow"/>
        </w:rPr>
      </w:pPr>
      <m:oMathPara>
        <m:oMath>
          <m:sSub>
            <m:sSubPr>
              <m:ctrlPr>
                <w:rPr>
                  <w:rFonts w:ascii="Cambria Math" w:hAnsi="Cambria Math"/>
                  <w:i/>
                  <w:color w:val="auto"/>
                  <w:highlight w:val="yellow"/>
                </w:rPr>
              </m:ctrlPr>
            </m:sSubPr>
            <m:e>
              <m:r>
                <w:rPr>
                  <w:rFonts w:ascii="Cambria Math" w:hAnsi="Cambria Math"/>
                  <w:color w:val="auto"/>
                  <w:highlight w:val="yellow"/>
                </w:rPr>
                <m:t>%IA</m:t>
              </m:r>
            </m:e>
            <m:sub>
              <m:r>
                <w:rPr>
                  <w:rFonts w:ascii="Cambria Math" w:hAnsi="Cambria Math"/>
                  <w:color w:val="auto"/>
                  <w:highlight w:val="yellow"/>
                </w:rPr>
                <m:t>3D-24</m:t>
              </m:r>
              <m:r>
                <w:rPr>
                  <w:rFonts w:ascii="Cambria Math" w:hAnsi="Cambria Math"/>
                  <w:color w:val="auto"/>
                  <w:highlight w:val="yellow"/>
                </w:rPr>
                <m:t>h</m:t>
              </m:r>
            </m:sub>
          </m:sSub>
          <m:r>
            <w:rPr>
              <w:rFonts w:ascii="Cambria Math" w:hAnsi="Cambria Math"/>
              <w:color w:val="auto"/>
              <w:highlight w:val="yellow"/>
            </w:rPr>
            <m:t>=</m:t>
          </m:r>
          <m:f>
            <m:fPr>
              <m:ctrlPr>
                <w:rPr>
                  <w:rFonts w:ascii="Cambria Math" w:hAnsi="Cambria Math"/>
                  <w:i/>
                  <w:color w:val="auto"/>
                  <w:highlight w:val="yellow"/>
                </w:rPr>
              </m:ctrlPr>
            </m:fPr>
            <m:num>
              <m:sSub>
                <m:sSubPr>
                  <m:ctrlPr>
                    <w:rPr>
                      <w:rFonts w:ascii="Cambria Math" w:hAnsi="Cambria Math"/>
                      <w:i/>
                      <w:color w:val="auto"/>
                      <w:highlight w:val="yellow"/>
                    </w:rPr>
                  </m:ctrlPr>
                </m:sSubPr>
                <m:e>
                  <m:r>
                    <w:rPr>
                      <w:rFonts w:ascii="Cambria Math" w:hAnsi="Cambria Math"/>
                      <w:color w:val="auto"/>
                      <w:highlight w:val="yellow"/>
                    </w:rPr>
                    <m:t>A</m:t>
                  </m:r>
                </m:e>
                <m:sub>
                  <m:r>
                    <w:rPr>
                      <w:rFonts w:ascii="Cambria Math" w:hAnsi="Cambria Math"/>
                      <w:color w:val="auto"/>
                      <w:highlight w:val="yellow"/>
                    </w:rPr>
                    <m:t>VOI</m:t>
                  </m:r>
                </m:sub>
              </m:sSub>
            </m:num>
            <m:den>
              <m:sSub>
                <m:sSubPr>
                  <m:ctrlPr>
                    <w:rPr>
                      <w:rFonts w:ascii="Cambria Math" w:hAnsi="Cambria Math"/>
                      <w:i/>
                      <w:color w:val="auto"/>
                      <w:highlight w:val="yellow"/>
                    </w:rPr>
                  </m:ctrlPr>
                </m:sSubPr>
                <m:e>
                  <m:r>
                    <w:rPr>
                      <w:rFonts w:ascii="Cambria Math" w:hAnsi="Cambria Math"/>
                      <w:color w:val="auto"/>
                      <w:highlight w:val="yellow"/>
                    </w:rPr>
                    <m:t>A</m:t>
                  </m:r>
                </m:e>
                <m:sub>
                  <m:r>
                    <w:rPr>
                      <w:rFonts w:ascii="Cambria Math" w:hAnsi="Cambria Math"/>
                      <w:color w:val="auto"/>
                      <w:highlight w:val="yellow"/>
                    </w:rPr>
                    <m:t>inj</m:t>
                  </m:r>
                </m:sub>
              </m:sSub>
            </m:den>
          </m:f>
          <m:r>
            <w:rPr>
              <w:rFonts w:ascii="Cambria Math" w:hAnsi="Cambria Math"/>
              <w:color w:val="auto"/>
              <w:highlight w:val="yellow"/>
            </w:rPr>
            <m:t>*100</m:t>
          </m:r>
        </m:oMath>
      </m:oMathPara>
    </w:p>
    <w:p w14:paraId="0AA22436" w14:textId="77777777" w:rsidR="00642785" w:rsidRPr="00DC6A13" w:rsidRDefault="00642785">
      <w:pPr>
        <w:pStyle w:val="ListParagraph"/>
        <w:ind w:left="0"/>
        <w:rPr>
          <w:color w:val="auto"/>
          <w:highlight w:val="yellow"/>
        </w:rPr>
      </w:pPr>
    </w:p>
    <w:p w14:paraId="0953DE33" w14:textId="77777777" w:rsidR="003A1F43" w:rsidRPr="00DC6A13" w:rsidRDefault="003A1F43">
      <w:pPr>
        <w:pStyle w:val="ListParagraph"/>
        <w:ind w:left="0"/>
        <w:rPr>
          <w:color w:val="auto"/>
        </w:rPr>
      </w:pPr>
      <w:r w:rsidRPr="00771DC3">
        <w:rPr>
          <w:color w:val="auto"/>
        </w:rPr>
        <w:t xml:space="preserve">where </w:t>
      </w:r>
      <m:oMath>
        <m:sSub>
          <m:sSubPr>
            <m:ctrlPr>
              <w:rPr>
                <w:rFonts w:ascii="Cambria Math" w:hAnsi="Cambria Math"/>
                <w:color w:val="auto"/>
              </w:rPr>
            </m:ctrlPr>
          </m:sSubPr>
          <m:e>
            <m:r>
              <m:rPr>
                <m:sty m:val="p"/>
              </m:rPr>
              <w:rPr>
                <w:rFonts w:ascii="Cambria Math" w:hAnsi="Cambria Math"/>
                <w:color w:val="auto"/>
              </w:rPr>
              <m:t>A</m:t>
            </m:r>
          </m:e>
          <m:sub>
            <m:r>
              <m:rPr>
                <m:sty m:val="p"/>
              </m:rPr>
              <w:rPr>
                <w:rFonts w:ascii="Cambria Math" w:hAnsi="Cambria Math"/>
                <w:color w:val="auto"/>
              </w:rPr>
              <m:t>inj</m:t>
            </m:r>
          </m:sub>
        </m:sSub>
      </m:oMath>
      <w:r w:rsidRPr="00771DC3">
        <w:rPr>
          <w:color w:val="auto"/>
        </w:rPr>
        <w:t xml:space="preserve"> is the injected activity</w:t>
      </w:r>
      <w:r w:rsidR="00D31C9D" w:rsidRPr="00771DC3">
        <w:rPr>
          <w:color w:val="auto"/>
        </w:rPr>
        <w:t xml:space="preserve"> during treatment</w:t>
      </w:r>
      <w:r w:rsidR="009F661D" w:rsidRPr="00771DC3">
        <w:rPr>
          <w:color w:val="auto"/>
        </w:rPr>
        <w:t>.</w:t>
      </w:r>
    </w:p>
    <w:p w14:paraId="717FEEF1" w14:textId="77777777" w:rsidR="003C2297" w:rsidRPr="00DC6A13" w:rsidRDefault="003C2297">
      <w:pPr>
        <w:pStyle w:val="ListParagraph"/>
        <w:ind w:left="0"/>
        <w:rPr>
          <w:color w:val="auto"/>
          <w:highlight w:val="cyan"/>
        </w:rPr>
      </w:pPr>
    </w:p>
    <w:p w14:paraId="644F94B5" w14:textId="2301D979" w:rsidR="00642785" w:rsidRPr="00771DC3" w:rsidRDefault="00BA4BF4" w:rsidP="00771DC3">
      <w:pPr>
        <w:pStyle w:val="ListParagraph"/>
        <w:numPr>
          <w:ilvl w:val="2"/>
          <w:numId w:val="9"/>
        </w:numPr>
        <w:rPr>
          <w:color w:val="auto"/>
          <w:highlight w:val="yellow"/>
        </w:rPr>
      </w:pPr>
      <w:r w:rsidRPr="00DC6A13">
        <w:rPr>
          <w:color w:val="auto"/>
          <w:highlight w:val="yellow"/>
        </w:rPr>
        <w:t xml:space="preserve">Calculate the scaling factor for </w:t>
      </w:r>
      <w:r w:rsidR="0080578F" w:rsidRPr="00DC6A13">
        <w:rPr>
          <w:color w:val="auto"/>
          <w:highlight w:val="yellow"/>
        </w:rPr>
        <w:t xml:space="preserve">the </w:t>
      </w:r>
      <w:r w:rsidRPr="00DC6A13">
        <w:rPr>
          <w:color w:val="auto"/>
          <w:highlight w:val="yellow"/>
        </w:rPr>
        <w:t>time activity curve as</w:t>
      </w:r>
    </w:p>
    <w:p w14:paraId="5C08E0BC" w14:textId="77777777" w:rsidR="00BA4BF4" w:rsidRPr="00DC6A13" w:rsidRDefault="00BA4BF4">
      <w:pPr>
        <w:pStyle w:val="ListParagraph"/>
        <w:ind w:left="0"/>
        <w:rPr>
          <w:color w:val="auto"/>
          <w:highlight w:val="yellow"/>
        </w:rPr>
      </w:pPr>
      <m:oMathPara>
        <m:oMath>
          <m:r>
            <w:rPr>
              <w:rFonts w:ascii="Cambria Math" w:hAnsi="Cambria Math"/>
              <w:color w:val="auto"/>
              <w:highlight w:val="yellow"/>
            </w:rPr>
            <m:t>F=</m:t>
          </m:r>
          <m:f>
            <m:fPr>
              <m:ctrlPr>
                <w:rPr>
                  <w:rFonts w:ascii="Cambria Math" w:hAnsi="Cambria Math"/>
                  <w:i/>
                  <w:color w:val="auto"/>
                  <w:highlight w:val="yellow"/>
                </w:rPr>
              </m:ctrlPr>
            </m:fPr>
            <m:num>
              <m:sSub>
                <m:sSubPr>
                  <m:ctrlPr>
                    <w:rPr>
                      <w:rFonts w:ascii="Cambria Math" w:hAnsi="Cambria Math"/>
                      <w:i/>
                      <w:color w:val="auto"/>
                      <w:highlight w:val="yellow"/>
                    </w:rPr>
                  </m:ctrlPr>
                </m:sSubPr>
                <m:e>
                  <m:r>
                    <w:rPr>
                      <w:rFonts w:ascii="Cambria Math" w:hAnsi="Cambria Math"/>
                      <w:color w:val="auto"/>
                      <w:highlight w:val="yellow"/>
                    </w:rPr>
                    <m:t>%IA</m:t>
                  </m:r>
                </m:e>
                <m:sub>
                  <m:r>
                    <w:rPr>
                      <w:rFonts w:ascii="Cambria Math" w:hAnsi="Cambria Math"/>
                      <w:color w:val="auto"/>
                      <w:highlight w:val="yellow"/>
                    </w:rPr>
                    <m:t>3D-24</m:t>
                  </m:r>
                  <m:r>
                    <w:rPr>
                      <w:rFonts w:ascii="Cambria Math" w:hAnsi="Cambria Math"/>
                      <w:color w:val="auto"/>
                      <w:highlight w:val="yellow"/>
                    </w:rPr>
                    <m:t>h</m:t>
                  </m:r>
                </m:sub>
              </m:sSub>
            </m:num>
            <m:den>
              <m:sSub>
                <m:sSubPr>
                  <m:ctrlPr>
                    <w:rPr>
                      <w:rFonts w:ascii="Cambria Math" w:hAnsi="Cambria Math"/>
                      <w:i/>
                      <w:color w:val="auto"/>
                      <w:highlight w:val="yellow"/>
                    </w:rPr>
                  </m:ctrlPr>
                </m:sSubPr>
                <m:e>
                  <m:r>
                    <w:rPr>
                      <w:rFonts w:ascii="Cambria Math" w:hAnsi="Cambria Math"/>
                      <w:color w:val="auto"/>
                      <w:highlight w:val="yellow"/>
                    </w:rPr>
                    <m:t>%IA</m:t>
                  </m:r>
                </m:e>
                <m:sub>
                  <m:r>
                    <w:rPr>
                      <w:rFonts w:ascii="Cambria Math" w:hAnsi="Cambria Math"/>
                      <w:color w:val="auto"/>
                      <w:highlight w:val="yellow"/>
                    </w:rPr>
                    <m:t>2D-24</m:t>
                  </m:r>
                  <m:r>
                    <w:rPr>
                      <w:rFonts w:ascii="Cambria Math" w:hAnsi="Cambria Math"/>
                      <w:color w:val="auto"/>
                      <w:highlight w:val="yellow"/>
                    </w:rPr>
                    <m:t>h</m:t>
                  </m:r>
                </m:sub>
              </m:sSub>
            </m:den>
          </m:f>
        </m:oMath>
      </m:oMathPara>
    </w:p>
    <w:p w14:paraId="5BA2653C" w14:textId="77777777" w:rsidR="00642785" w:rsidRPr="00771DC3" w:rsidRDefault="00642785">
      <w:pPr>
        <w:pStyle w:val="ListParagraph"/>
        <w:ind w:left="0"/>
        <w:rPr>
          <w:color w:val="auto"/>
        </w:rPr>
      </w:pPr>
    </w:p>
    <w:p w14:paraId="00129FF1" w14:textId="77777777" w:rsidR="00CD46B2" w:rsidRPr="00DC6A13" w:rsidRDefault="00BA4BF4">
      <w:pPr>
        <w:pStyle w:val="ListParagraph"/>
        <w:ind w:left="0"/>
        <w:rPr>
          <w:color w:val="auto"/>
        </w:rPr>
      </w:pPr>
      <w:r w:rsidRPr="00771DC3">
        <w:rPr>
          <w:color w:val="auto"/>
        </w:rPr>
        <w:t xml:space="preserve">where </w:t>
      </w:r>
      <m:oMath>
        <m:sSub>
          <m:sSubPr>
            <m:ctrlPr>
              <w:rPr>
                <w:rFonts w:ascii="Cambria Math" w:hAnsi="Cambria Math"/>
                <w:i/>
                <w:color w:val="auto"/>
              </w:rPr>
            </m:ctrlPr>
          </m:sSubPr>
          <m:e>
            <m:r>
              <w:rPr>
                <w:rFonts w:ascii="Cambria Math" w:hAnsi="Cambria Math"/>
                <w:color w:val="auto"/>
              </w:rPr>
              <m:t>%IA</m:t>
            </m:r>
          </m:e>
          <m:sub>
            <m:r>
              <w:rPr>
                <w:rFonts w:ascii="Cambria Math" w:hAnsi="Cambria Math"/>
                <w:color w:val="auto"/>
              </w:rPr>
              <m:t>2D-24</m:t>
            </m:r>
            <m:r>
              <w:rPr>
                <w:rFonts w:ascii="Cambria Math" w:hAnsi="Cambria Math"/>
                <w:color w:val="auto"/>
              </w:rPr>
              <m:t>h</m:t>
            </m:r>
          </m:sub>
        </m:sSub>
      </m:oMath>
      <w:r w:rsidRPr="00771DC3">
        <w:rPr>
          <w:color w:val="auto"/>
        </w:rPr>
        <w:t xml:space="preserve"> is the </w:t>
      </w:r>
      <m:oMath>
        <m:sSub>
          <m:sSubPr>
            <m:ctrlPr>
              <w:rPr>
                <w:rFonts w:ascii="Cambria Math" w:hAnsi="Cambria Math"/>
                <w:i/>
                <w:color w:val="auto"/>
              </w:rPr>
            </m:ctrlPr>
          </m:sSubPr>
          <m:e>
            <m:r>
              <w:rPr>
                <w:rFonts w:ascii="Cambria Math" w:hAnsi="Cambria Math"/>
                <w:color w:val="auto"/>
              </w:rPr>
              <m:t>%IA</m:t>
            </m:r>
          </m:e>
          <m:sub>
            <m:r>
              <w:rPr>
                <w:rFonts w:ascii="Cambria Math" w:hAnsi="Cambria Math"/>
                <w:color w:val="auto"/>
              </w:rPr>
              <m:t>2D</m:t>
            </m:r>
          </m:sub>
        </m:sSub>
      </m:oMath>
      <w:r w:rsidRPr="00771DC3">
        <w:rPr>
          <w:color w:val="auto"/>
        </w:rPr>
        <w:t xml:space="preserve"> calculated on planar image </w:t>
      </w:r>
      <w:r w:rsidR="0080578F" w:rsidRPr="00771DC3">
        <w:rPr>
          <w:color w:val="auto"/>
        </w:rPr>
        <w:t>on</w:t>
      </w:r>
      <w:r w:rsidRPr="00771DC3">
        <w:rPr>
          <w:color w:val="auto"/>
        </w:rPr>
        <w:t xml:space="preserve"> day 2 (16-24</w:t>
      </w:r>
      <w:r w:rsidR="0080578F" w:rsidRPr="00771DC3">
        <w:rPr>
          <w:color w:val="auto"/>
        </w:rPr>
        <w:t xml:space="preserve"> </w:t>
      </w:r>
      <w:r w:rsidRPr="00771DC3">
        <w:rPr>
          <w:color w:val="auto"/>
        </w:rPr>
        <w:t>h)</w:t>
      </w:r>
      <w:r w:rsidR="00CD1373" w:rsidRPr="00771DC3">
        <w:rPr>
          <w:color w:val="auto"/>
        </w:rPr>
        <w:t xml:space="preserve"> </w:t>
      </w:r>
      <w:r w:rsidR="00CD46B2" w:rsidRPr="00771DC3">
        <w:rPr>
          <w:color w:val="auto"/>
        </w:rPr>
        <w:t>decay</w:t>
      </w:r>
      <w:r w:rsidR="006348C6" w:rsidRPr="00771DC3">
        <w:rPr>
          <w:color w:val="auto"/>
        </w:rPr>
        <w:t>-</w:t>
      </w:r>
      <w:r w:rsidR="00CD46B2" w:rsidRPr="00771DC3">
        <w:rPr>
          <w:color w:val="auto"/>
        </w:rPr>
        <w:t xml:space="preserve">corrected </w:t>
      </w:r>
      <w:r w:rsidR="006415AF" w:rsidRPr="00771DC3">
        <w:rPr>
          <w:color w:val="auto"/>
        </w:rPr>
        <w:t>for</w:t>
      </w:r>
      <w:r w:rsidR="00CD46B2" w:rsidRPr="00771DC3">
        <w:rPr>
          <w:color w:val="auto"/>
        </w:rPr>
        <w:t xml:space="preserve"> physical half life</w:t>
      </w:r>
      <w:r w:rsidR="006415AF" w:rsidRPr="00771DC3">
        <w:rPr>
          <w:color w:val="auto"/>
        </w:rPr>
        <w:t xml:space="preserve"> </w:t>
      </w:r>
      <w:r w:rsidR="001214B2" w:rsidRPr="00771DC3">
        <w:rPr>
          <w:color w:val="auto"/>
        </w:rPr>
        <w:t xml:space="preserve">at </w:t>
      </w:r>
      <w:r w:rsidR="006415AF" w:rsidRPr="00771DC3">
        <w:rPr>
          <w:color w:val="auto"/>
        </w:rPr>
        <w:t>the time of injection</w:t>
      </w:r>
      <w:r w:rsidR="00CD46B2" w:rsidRPr="00771DC3">
        <w:rPr>
          <w:color w:val="auto"/>
        </w:rPr>
        <w:t>.</w:t>
      </w:r>
      <w:r w:rsidR="006348C6" w:rsidRPr="00DC6A13">
        <w:rPr>
          <w:color w:val="auto"/>
        </w:rPr>
        <w:t xml:space="preserve"> </w:t>
      </w:r>
    </w:p>
    <w:p w14:paraId="658E9EAA" w14:textId="77777777" w:rsidR="003C2297" w:rsidRPr="00DC6A13" w:rsidRDefault="003C2297">
      <w:pPr>
        <w:pStyle w:val="ListParagraph"/>
        <w:ind w:left="0"/>
        <w:rPr>
          <w:color w:val="auto"/>
        </w:rPr>
      </w:pPr>
    </w:p>
    <w:p w14:paraId="2B69CFDA" w14:textId="77777777" w:rsidR="00BA4BF4" w:rsidRPr="00DC6A13" w:rsidRDefault="00642785">
      <w:pPr>
        <w:pStyle w:val="ListParagraph"/>
        <w:numPr>
          <w:ilvl w:val="2"/>
          <w:numId w:val="9"/>
        </w:numPr>
        <w:rPr>
          <w:color w:val="auto"/>
          <w:highlight w:val="yellow"/>
        </w:rPr>
      </w:pPr>
      <w:r w:rsidRPr="00DC6A13">
        <w:rPr>
          <w:color w:val="auto"/>
          <w:highlight w:val="yellow"/>
        </w:rPr>
        <w:t xml:space="preserve">Rescale the </w:t>
      </w:r>
      <w:r w:rsidR="0080578F" w:rsidRPr="00DC6A13">
        <w:rPr>
          <w:color w:val="auto"/>
          <w:highlight w:val="yellow"/>
        </w:rPr>
        <w:t>kidney</w:t>
      </w:r>
      <w:r w:rsidR="00B85D88" w:rsidRPr="00DC6A13">
        <w:rPr>
          <w:color w:val="auto"/>
          <w:highlight w:val="yellow"/>
        </w:rPr>
        <w:t xml:space="preserve"> </w:t>
      </w:r>
      <w:r w:rsidRPr="00DC6A13">
        <w:rPr>
          <w:color w:val="auto"/>
          <w:highlight w:val="yellow"/>
        </w:rPr>
        <w:t xml:space="preserve">2D time activity curve </w:t>
      </w:r>
      <m:oMath>
        <m:sSub>
          <m:sSubPr>
            <m:ctrlPr>
              <w:rPr>
                <w:rFonts w:ascii="Cambria Math" w:hAnsi="Cambria Math"/>
                <w:i/>
                <w:color w:val="auto"/>
                <w:highlight w:val="yellow"/>
              </w:rPr>
            </m:ctrlPr>
          </m:sSubPr>
          <m:e>
            <m:r>
              <w:rPr>
                <w:rFonts w:ascii="Cambria Math" w:hAnsi="Cambria Math"/>
                <w:color w:val="auto"/>
                <w:highlight w:val="yellow"/>
              </w:rPr>
              <m:t>%IA</m:t>
            </m:r>
          </m:e>
          <m:sub>
            <m:r>
              <w:rPr>
                <w:rFonts w:ascii="Cambria Math" w:hAnsi="Cambria Math"/>
                <w:color w:val="auto"/>
                <w:highlight w:val="yellow"/>
              </w:rPr>
              <m:t>2D</m:t>
            </m:r>
          </m:sub>
        </m:sSub>
      </m:oMath>
      <w:r w:rsidRPr="00DC6A13">
        <w:rPr>
          <w:color w:val="auto"/>
          <w:highlight w:val="yellow"/>
        </w:rPr>
        <w:t xml:space="preserve"> with </w:t>
      </w:r>
      <w:r w:rsidRPr="00DC6A13">
        <w:rPr>
          <w:i/>
          <w:color w:val="auto"/>
          <w:highlight w:val="yellow"/>
        </w:rPr>
        <w:t>F</w:t>
      </w:r>
      <w:r w:rsidRPr="00DC6A13">
        <w:rPr>
          <w:color w:val="auto"/>
          <w:highlight w:val="yellow"/>
        </w:rPr>
        <w:t xml:space="preserve"> factor</w:t>
      </w:r>
      <w:r w:rsidR="0080578F" w:rsidRPr="00DC6A13">
        <w:rPr>
          <w:color w:val="auto"/>
          <w:highlight w:val="yellow"/>
        </w:rPr>
        <w:t xml:space="preserve"> accordingly</w:t>
      </w:r>
      <w:r w:rsidRPr="00DC6A13">
        <w:rPr>
          <w:color w:val="auto"/>
          <w:highlight w:val="yellow"/>
        </w:rPr>
        <w:t xml:space="preserve">. Perform dosimetry evaluation with OLINDA/EXM as described </w:t>
      </w:r>
      <w:r w:rsidR="0080578F" w:rsidRPr="00DC6A13">
        <w:rPr>
          <w:color w:val="auto"/>
          <w:highlight w:val="yellow"/>
        </w:rPr>
        <w:t>below.</w:t>
      </w:r>
    </w:p>
    <w:p w14:paraId="1557BB7C" w14:textId="77777777" w:rsidR="001B3CA8" w:rsidRPr="00DC6A13" w:rsidRDefault="001B3CA8">
      <w:pPr>
        <w:rPr>
          <w:b/>
          <w:color w:val="auto"/>
        </w:rPr>
      </w:pPr>
    </w:p>
    <w:p w14:paraId="61C03CFE" w14:textId="77777777" w:rsidR="00123E44" w:rsidRPr="003D144A" w:rsidRDefault="00123E44">
      <w:pPr>
        <w:pStyle w:val="ListParagraph"/>
        <w:numPr>
          <w:ilvl w:val="1"/>
          <w:numId w:val="9"/>
        </w:numPr>
        <w:rPr>
          <w:bCs/>
          <w:color w:val="auto"/>
        </w:rPr>
      </w:pPr>
      <w:r w:rsidRPr="003D144A">
        <w:rPr>
          <w:bCs/>
          <w:color w:val="auto"/>
        </w:rPr>
        <w:t>Adult male phantom</w:t>
      </w:r>
    </w:p>
    <w:p w14:paraId="26F0B7EA" w14:textId="77777777" w:rsidR="003C2297" w:rsidRPr="00DC6A13" w:rsidRDefault="003C2297">
      <w:pPr>
        <w:pStyle w:val="ListParagraph"/>
        <w:ind w:left="0"/>
        <w:rPr>
          <w:b/>
          <w:color w:val="auto"/>
        </w:rPr>
      </w:pPr>
    </w:p>
    <w:p w14:paraId="56C3B49A" w14:textId="77777777" w:rsidR="00FC4767" w:rsidRPr="00DC6A13" w:rsidRDefault="00FC4767" w:rsidP="003D144A">
      <w:pPr>
        <w:pStyle w:val="ListParagraph"/>
        <w:numPr>
          <w:ilvl w:val="1"/>
          <w:numId w:val="13"/>
        </w:numPr>
        <w:ind w:left="0" w:firstLine="0"/>
        <w:rPr>
          <w:vanish/>
          <w:color w:val="auto"/>
        </w:rPr>
      </w:pPr>
    </w:p>
    <w:p w14:paraId="2CF4602C" w14:textId="7A9C13B7" w:rsidR="00C97404" w:rsidRPr="00DC6A13" w:rsidRDefault="00875C4B">
      <w:pPr>
        <w:pStyle w:val="ListParagraph"/>
        <w:numPr>
          <w:ilvl w:val="2"/>
          <w:numId w:val="9"/>
        </w:numPr>
        <w:rPr>
          <w:color w:val="auto"/>
        </w:rPr>
      </w:pPr>
      <w:r w:rsidRPr="00DC6A13">
        <w:rPr>
          <w:color w:val="auto"/>
        </w:rPr>
        <w:t xml:space="preserve">Open </w:t>
      </w:r>
      <w:r w:rsidR="00887673" w:rsidRPr="00DC6A13">
        <w:rPr>
          <w:color w:val="auto"/>
        </w:rPr>
        <w:t>dosimetry</w:t>
      </w:r>
      <w:r w:rsidRPr="00DC6A13">
        <w:rPr>
          <w:color w:val="auto"/>
        </w:rPr>
        <w:t xml:space="preserve"> software</w:t>
      </w:r>
      <w:r w:rsidR="001B3CA8" w:rsidRPr="00DC6A13">
        <w:rPr>
          <w:color w:val="auto"/>
        </w:rPr>
        <w:t>. Select</w:t>
      </w:r>
      <w:r w:rsidR="00654635" w:rsidRPr="00DC6A13">
        <w:rPr>
          <w:color w:val="auto"/>
        </w:rPr>
        <w:t xml:space="preserve"> t</w:t>
      </w:r>
      <w:r w:rsidR="001B3CA8" w:rsidRPr="00DC6A13">
        <w:rPr>
          <w:color w:val="auto"/>
        </w:rPr>
        <w:t>he radionuclide</w:t>
      </w:r>
      <w:r w:rsidR="00654635" w:rsidRPr="00DC6A13">
        <w:rPr>
          <w:color w:val="auto"/>
        </w:rPr>
        <w:t xml:space="preserve"> (</w:t>
      </w:r>
      <w:r w:rsidR="00591C54" w:rsidRPr="00591C54">
        <w:rPr>
          <w:color w:val="auto"/>
        </w:rPr>
        <w:t xml:space="preserve">e.g., </w:t>
      </w:r>
      <w:r w:rsidR="00654635" w:rsidRPr="00DC6A13">
        <w:rPr>
          <w:color w:val="auto"/>
          <w:vertAlign w:val="superscript"/>
        </w:rPr>
        <w:t>177</w:t>
      </w:r>
      <w:r w:rsidR="00654635" w:rsidRPr="00DC6A13">
        <w:rPr>
          <w:color w:val="auto"/>
        </w:rPr>
        <w:t>Lu)</w:t>
      </w:r>
      <w:r w:rsidR="001B3CA8" w:rsidRPr="00DC6A13">
        <w:rPr>
          <w:color w:val="auto"/>
        </w:rPr>
        <w:t xml:space="preserve"> inside the </w:t>
      </w:r>
      <w:r w:rsidR="00654635" w:rsidRPr="008A3C95">
        <w:rPr>
          <w:b/>
          <w:bCs/>
          <w:color w:val="auto"/>
        </w:rPr>
        <w:t>Nuclide Input</w:t>
      </w:r>
      <w:r w:rsidR="0047313D" w:rsidRPr="00DC6A13">
        <w:rPr>
          <w:color w:val="auto"/>
        </w:rPr>
        <w:t>.</w:t>
      </w:r>
      <w:r w:rsidR="00654635" w:rsidRPr="00DC6A13">
        <w:rPr>
          <w:color w:val="auto"/>
        </w:rPr>
        <w:t xml:space="preserve"> </w:t>
      </w:r>
      <w:r w:rsidR="000D4364" w:rsidRPr="00DC6A13">
        <w:rPr>
          <w:color w:val="auto"/>
        </w:rPr>
        <w:t xml:space="preserve">Select </w:t>
      </w:r>
      <w:r w:rsidR="00654635" w:rsidRPr="00DC6A13">
        <w:rPr>
          <w:color w:val="auto"/>
        </w:rPr>
        <w:t>the model (</w:t>
      </w:r>
      <w:r w:rsidR="00591C54" w:rsidRPr="00591C54">
        <w:rPr>
          <w:color w:val="auto"/>
        </w:rPr>
        <w:t xml:space="preserve">e.g., </w:t>
      </w:r>
      <w:r w:rsidR="00654635" w:rsidRPr="008A3C95">
        <w:rPr>
          <w:b/>
          <w:bCs/>
          <w:color w:val="auto"/>
        </w:rPr>
        <w:t>Adult Male</w:t>
      </w:r>
      <w:r w:rsidR="00654635" w:rsidRPr="00DC6A13">
        <w:rPr>
          <w:color w:val="auto"/>
        </w:rPr>
        <w:t xml:space="preserve">) inside the </w:t>
      </w:r>
      <w:r w:rsidR="00654635" w:rsidRPr="008A3C95">
        <w:rPr>
          <w:b/>
          <w:bCs/>
          <w:color w:val="auto"/>
        </w:rPr>
        <w:t>Model Input Form</w:t>
      </w:r>
      <w:r w:rsidR="00654635" w:rsidRPr="00DC6A13">
        <w:rPr>
          <w:color w:val="auto"/>
        </w:rPr>
        <w:t xml:space="preserve"> module</w:t>
      </w:r>
      <w:r w:rsidR="009F661D" w:rsidRPr="00DC6A13">
        <w:rPr>
          <w:color w:val="auto"/>
        </w:rPr>
        <w:t>.</w:t>
      </w:r>
    </w:p>
    <w:p w14:paraId="361A44DD" w14:textId="77777777" w:rsidR="003C2297" w:rsidRPr="00DC6A13" w:rsidRDefault="003C2297">
      <w:pPr>
        <w:pStyle w:val="ListParagraph"/>
        <w:ind w:left="0"/>
        <w:rPr>
          <w:color w:val="auto"/>
        </w:rPr>
      </w:pPr>
    </w:p>
    <w:p w14:paraId="28D093B3" w14:textId="1EAAB294" w:rsidR="00B25E7E" w:rsidRPr="00DC6A13" w:rsidRDefault="00875C4B">
      <w:pPr>
        <w:pStyle w:val="ListParagraph"/>
        <w:numPr>
          <w:ilvl w:val="2"/>
          <w:numId w:val="9"/>
        </w:numPr>
        <w:rPr>
          <w:color w:val="auto"/>
        </w:rPr>
      </w:pPr>
      <w:bookmarkStart w:id="2" w:name="_Ref11340177"/>
      <w:r w:rsidRPr="00DC6A13">
        <w:rPr>
          <w:color w:val="auto"/>
        </w:rPr>
        <w:t>Go to</w:t>
      </w:r>
      <w:r w:rsidR="00B07943">
        <w:rPr>
          <w:color w:val="auto"/>
        </w:rPr>
        <w:t xml:space="preserve"> the</w:t>
      </w:r>
      <w:r w:rsidRPr="00DC6A13">
        <w:rPr>
          <w:color w:val="auto"/>
        </w:rPr>
        <w:t xml:space="preserve"> </w:t>
      </w:r>
      <w:r w:rsidRPr="008A3C95">
        <w:rPr>
          <w:b/>
          <w:bCs/>
          <w:color w:val="auto"/>
        </w:rPr>
        <w:t>Kinetic Input Form</w:t>
      </w:r>
      <w:r w:rsidR="00B25E7E" w:rsidRPr="00DC6A13">
        <w:rPr>
          <w:color w:val="auto"/>
        </w:rPr>
        <w:t xml:space="preserve"> </w:t>
      </w:r>
      <w:r w:rsidR="00494625" w:rsidRPr="00DC6A13">
        <w:rPr>
          <w:color w:val="auto"/>
        </w:rPr>
        <w:t xml:space="preserve">module </w:t>
      </w:r>
      <w:r w:rsidR="00B25E7E" w:rsidRPr="00DC6A13">
        <w:rPr>
          <w:color w:val="auto"/>
        </w:rPr>
        <w:t xml:space="preserve">and click </w:t>
      </w:r>
      <w:r w:rsidR="00B25E7E" w:rsidRPr="008A3C95">
        <w:rPr>
          <w:b/>
          <w:bCs/>
          <w:color w:val="auto"/>
        </w:rPr>
        <w:t>Clear All Data</w:t>
      </w:r>
      <w:bookmarkEnd w:id="2"/>
      <w:r w:rsidR="00654635" w:rsidRPr="00DC6A13">
        <w:rPr>
          <w:color w:val="auto"/>
        </w:rPr>
        <w:t xml:space="preserve">. </w:t>
      </w:r>
      <w:r w:rsidR="00B25E7E" w:rsidRPr="00DC6A13">
        <w:rPr>
          <w:color w:val="auto"/>
        </w:rPr>
        <w:t xml:space="preserve">Click on </w:t>
      </w:r>
      <w:r w:rsidR="00B25E7E" w:rsidRPr="008A3C95">
        <w:rPr>
          <w:b/>
          <w:bCs/>
          <w:color w:val="auto"/>
        </w:rPr>
        <w:t>Fit to Model</w:t>
      </w:r>
      <w:r w:rsidR="0047313D" w:rsidRPr="00DC6A13">
        <w:rPr>
          <w:color w:val="auto"/>
        </w:rPr>
        <w:t xml:space="preserve"> and </w:t>
      </w:r>
      <w:r w:rsidR="002E47B6" w:rsidRPr="00DC6A13">
        <w:rPr>
          <w:color w:val="auto"/>
        </w:rPr>
        <w:t>a separate</w:t>
      </w:r>
      <w:r w:rsidR="00B25E7E" w:rsidRPr="00DC6A13">
        <w:rPr>
          <w:color w:val="auto"/>
        </w:rPr>
        <w:t xml:space="preserve"> window will open</w:t>
      </w:r>
      <w:r w:rsidR="009F661D" w:rsidRPr="00DC6A13">
        <w:rPr>
          <w:color w:val="auto"/>
        </w:rPr>
        <w:t>.</w:t>
      </w:r>
    </w:p>
    <w:p w14:paraId="64BF0375" w14:textId="77777777" w:rsidR="003C2297" w:rsidRPr="00DC6A13" w:rsidRDefault="003C2297">
      <w:pPr>
        <w:pStyle w:val="ListParagraph"/>
        <w:ind w:left="0"/>
        <w:rPr>
          <w:color w:val="auto"/>
        </w:rPr>
      </w:pPr>
    </w:p>
    <w:p w14:paraId="0EF479A5" w14:textId="02A4F5C6" w:rsidR="00654635" w:rsidRPr="00DC6A13" w:rsidRDefault="00B25E7E">
      <w:pPr>
        <w:pStyle w:val="ListParagraph"/>
        <w:numPr>
          <w:ilvl w:val="2"/>
          <w:numId w:val="9"/>
        </w:numPr>
        <w:rPr>
          <w:color w:val="auto"/>
        </w:rPr>
      </w:pPr>
      <w:r w:rsidRPr="00DC6A13">
        <w:rPr>
          <w:color w:val="auto"/>
        </w:rPr>
        <w:t xml:space="preserve">In the </w:t>
      </w:r>
      <w:r w:rsidRPr="008A3C95">
        <w:rPr>
          <w:b/>
          <w:bCs/>
          <w:color w:val="auto"/>
        </w:rPr>
        <w:t>Time (Hr)</w:t>
      </w:r>
      <w:r w:rsidRPr="00DC6A13">
        <w:rPr>
          <w:color w:val="auto"/>
        </w:rPr>
        <w:t xml:space="preserve"> column, insert the hour</w:t>
      </w:r>
      <w:r w:rsidR="000D4364" w:rsidRPr="00DC6A13">
        <w:rPr>
          <w:color w:val="auto"/>
        </w:rPr>
        <w:t>s</w:t>
      </w:r>
      <w:r w:rsidRPr="00DC6A13">
        <w:rPr>
          <w:color w:val="auto"/>
        </w:rPr>
        <w:t xml:space="preserve"> post infusion for each image acquisition, in hour format (</w:t>
      </w:r>
      <w:r w:rsidR="00591C54" w:rsidRPr="00591C54">
        <w:rPr>
          <w:color w:val="auto"/>
        </w:rPr>
        <w:t xml:space="preserve">e.g., </w:t>
      </w:r>
      <w:r w:rsidRPr="00DC6A13">
        <w:rPr>
          <w:color w:val="auto"/>
        </w:rPr>
        <w:t>1 h and 30 min will be 1.50)</w:t>
      </w:r>
      <w:r w:rsidR="00654635" w:rsidRPr="00DC6A13">
        <w:rPr>
          <w:color w:val="auto"/>
        </w:rPr>
        <w:t xml:space="preserve">. </w:t>
      </w:r>
      <w:r w:rsidRPr="00DC6A13">
        <w:rPr>
          <w:color w:val="auto"/>
        </w:rPr>
        <w:t>Scroll down the organ menu and select organs</w:t>
      </w:r>
      <w:r w:rsidR="00654635" w:rsidRPr="00DC6A13">
        <w:rPr>
          <w:color w:val="auto"/>
        </w:rPr>
        <w:t xml:space="preserve"> of interest (</w:t>
      </w:r>
      <w:r w:rsidR="00591C54" w:rsidRPr="00591C54">
        <w:rPr>
          <w:color w:val="auto"/>
        </w:rPr>
        <w:t xml:space="preserve">e.g., </w:t>
      </w:r>
      <w:r w:rsidRPr="00DC6A13">
        <w:rPr>
          <w:color w:val="auto"/>
        </w:rPr>
        <w:t>kidneys, liver, spleen</w:t>
      </w:r>
      <w:r w:rsidR="00654635" w:rsidRPr="00DC6A13">
        <w:rPr>
          <w:color w:val="auto"/>
        </w:rPr>
        <w:t xml:space="preserve">). </w:t>
      </w:r>
      <w:bookmarkStart w:id="3" w:name="_Ref11337565"/>
    </w:p>
    <w:p w14:paraId="53EB761F" w14:textId="77777777" w:rsidR="003C2297" w:rsidRPr="00DC6A13" w:rsidRDefault="003C2297">
      <w:pPr>
        <w:pStyle w:val="ListParagraph"/>
        <w:ind w:left="0"/>
        <w:rPr>
          <w:color w:val="auto"/>
        </w:rPr>
      </w:pPr>
    </w:p>
    <w:p w14:paraId="0B1F7289" w14:textId="532FCFA4" w:rsidR="00F84748" w:rsidRPr="00DC6A13" w:rsidRDefault="00B25E7E">
      <w:pPr>
        <w:pStyle w:val="ListParagraph"/>
        <w:numPr>
          <w:ilvl w:val="2"/>
          <w:numId w:val="9"/>
        </w:numPr>
        <w:rPr>
          <w:color w:val="auto"/>
        </w:rPr>
      </w:pPr>
      <w:r w:rsidRPr="00DC6A13">
        <w:rPr>
          <w:color w:val="auto"/>
          <w:highlight w:val="yellow"/>
        </w:rPr>
        <w:t>For each organ</w:t>
      </w:r>
      <w:r w:rsidR="000D4364" w:rsidRPr="00DC6A13">
        <w:rPr>
          <w:color w:val="auto"/>
          <w:highlight w:val="yellow"/>
        </w:rPr>
        <w:t>,</w:t>
      </w:r>
      <w:r w:rsidRPr="00DC6A13">
        <w:rPr>
          <w:color w:val="auto"/>
          <w:highlight w:val="yellow"/>
        </w:rPr>
        <w:t xml:space="preserve"> insert the relative uptake </w:t>
      </w:r>
      <w:r w:rsidR="00E805A0" w:rsidRPr="00DC6A13">
        <w:rPr>
          <w:i/>
          <w:color w:val="auto"/>
          <w:highlight w:val="yellow"/>
        </w:rPr>
        <w:t>%IA</w:t>
      </w:r>
      <w:r w:rsidR="00E805A0" w:rsidRPr="00DC6A13">
        <w:rPr>
          <w:color w:val="auto"/>
          <w:highlight w:val="yellow"/>
        </w:rPr>
        <w:t xml:space="preserve"> </w:t>
      </w:r>
      <w:r w:rsidRPr="00DC6A13">
        <w:rPr>
          <w:color w:val="auto"/>
          <w:highlight w:val="yellow"/>
        </w:rPr>
        <w:t xml:space="preserve">at each image time point. </w:t>
      </w:r>
      <w:r w:rsidR="00F84748" w:rsidRPr="00DC6A13">
        <w:rPr>
          <w:color w:val="auto"/>
          <w:highlight w:val="yellow"/>
        </w:rPr>
        <w:t xml:space="preserve">Click </w:t>
      </w:r>
      <w:r w:rsidR="00F84748" w:rsidRPr="008A3C95">
        <w:rPr>
          <w:b/>
          <w:bCs/>
          <w:color w:val="auto"/>
          <w:highlight w:val="yellow"/>
        </w:rPr>
        <w:t>Refresh</w:t>
      </w:r>
      <w:r w:rsidR="00F84748" w:rsidRPr="00DC6A13">
        <w:rPr>
          <w:color w:val="auto"/>
          <w:highlight w:val="yellow"/>
        </w:rPr>
        <w:t>.</w:t>
      </w:r>
    </w:p>
    <w:p w14:paraId="50799B21" w14:textId="77777777" w:rsidR="00F84748" w:rsidRPr="00DC6A13" w:rsidRDefault="00F84748">
      <w:pPr>
        <w:pStyle w:val="ListParagraph"/>
        <w:ind w:left="0"/>
        <w:rPr>
          <w:color w:val="auto"/>
        </w:rPr>
      </w:pPr>
    </w:p>
    <w:p w14:paraId="64412504" w14:textId="6859E5F9" w:rsidR="00B25E7E" w:rsidRPr="00DC6A13" w:rsidRDefault="00B25E7E">
      <w:pPr>
        <w:pStyle w:val="ListParagraph"/>
        <w:numPr>
          <w:ilvl w:val="2"/>
          <w:numId w:val="9"/>
        </w:numPr>
        <w:rPr>
          <w:color w:val="auto"/>
        </w:rPr>
      </w:pPr>
      <w:r w:rsidRPr="00DC6A13">
        <w:rPr>
          <w:color w:val="auto"/>
        </w:rPr>
        <w:t>For paired organs (</w:t>
      </w:r>
      <w:r w:rsidR="00591C54" w:rsidRPr="00591C54">
        <w:rPr>
          <w:color w:val="auto"/>
        </w:rPr>
        <w:t xml:space="preserve">i.e., </w:t>
      </w:r>
      <w:r w:rsidRPr="00DC6A13">
        <w:rPr>
          <w:color w:val="auto"/>
        </w:rPr>
        <w:t>kidneys) insert a single value as sum of left and right single relative uptake</w:t>
      </w:r>
      <w:bookmarkEnd w:id="3"/>
      <w:r w:rsidR="000D4364" w:rsidRPr="00DC6A13">
        <w:rPr>
          <w:color w:val="auto"/>
        </w:rPr>
        <w:t>s</w:t>
      </w:r>
      <w:r w:rsidR="00704C60" w:rsidRPr="00DC6A13">
        <w:rPr>
          <w:color w:val="auto"/>
        </w:rPr>
        <w:t xml:space="preserve"> </w:t>
      </w:r>
      <w:r w:rsidR="00704C60" w:rsidRPr="00DC6A13">
        <w:rPr>
          <w:i/>
          <w:color w:val="auto"/>
        </w:rPr>
        <w:t>%IA</w:t>
      </w:r>
      <w:r w:rsidR="00654635" w:rsidRPr="00DC6A13">
        <w:rPr>
          <w:i/>
          <w:color w:val="auto"/>
        </w:rPr>
        <w:t xml:space="preserve">. </w:t>
      </w:r>
      <w:bookmarkStart w:id="4" w:name="_Ref11337688"/>
      <w:r w:rsidRPr="00DC6A13">
        <w:rPr>
          <w:color w:val="auto"/>
        </w:rPr>
        <w:t xml:space="preserve">Click Refresh and check </w:t>
      </w:r>
      <w:r w:rsidR="000D4364" w:rsidRPr="00DC6A13">
        <w:rPr>
          <w:color w:val="auto"/>
        </w:rPr>
        <w:t xml:space="preserve">the point distributions </w:t>
      </w:r>
      <w:r w:rsidRPr="00DC6A13">
        <w:rPr>
          <w:color w:val="auto"/>
        </w:rPr>
        <w:t>on the left-end side plot</w:t>
      </w:r>
      <w:bookmarkEnd w:id="4"/>
      <w:r w:rsidR="009F661D" w:rsidRPr="00DC6A13">
        <w:rPr>
          <w:color w:val="auto"/>
        </w:rPr>
        <w:t>.</w:t>
      </w:r>
    </w:p>
    <w:p w14:paraId="3235F71A" w14:textId="77777777" w:rsidR="003C2297" w:rsidRPr="00DC6A13" w:rsidRDefault="003C2297">
      <w:pPr>
        <w:pStyle w:val="ListParagraph"/>
        <w:ind w:left="0"/>
        <w:rPr>
          <w:color w:val="auto"/>
        </w:rPr>
      </w:pPr>
    </w:p>
    <w:p w14:paraId="75AEFD50" w14:textId="175DA127" w:rsidR="0097164E" w:rsidRPr="00771DC3" w:rsidRDefault="00401227" w:rsidP="00771DC3">
      <w:pPr>
        <w:pStyle w:val="ListParagraph"/>
        <w:numPr>
          <w:ilvl w:val="2"/>
          <w:numId w:val="9"/>
        </w:numPr>
        <w:rPr>
          <w:color w:val="auto"/>
          <w:highlight w:val="yellow"/>
        </w:rPr>
      </w:pPr>
      <w:r w:rsidRPr="00DC6A13">
        <w:rPr>
          <w:color w:val="auto"/>
          <w:highlight w:val="yellow"/>
        </w:rPr>
        <w:t>P</w:t>
      </w:r>
      <w:r w:rsidR="00FD7B62" w:rsidRPr="00DC6A13">
        <w:rPr>
          <w:color w:val="auto"/>
          <w:highlight w:val="yellow"/>
        </w:rPr>
        <w:t>erform</w:t>
      </w:r>
      <w:r w:rsidRPr="00DC6A13">
        <w:rPr>
          <w:color w:val="auto"/>
          <w:highlight w:val="yellow"/>
        </w:rPr>
        <w:t xml:space="preserve"> a curve fitting </w:t>
      </w:r>
      <w:r w:rsidR="000D4364" w:rsidRPr="00DC6A13">
        <w:rPr>
          <w:color w:val="auto"/>
          <w:highlight w:val="yellow"/>
        </w:rPr>
        <w:t xml:space="preserve">using an </w:t>
      </w:r>
      <w:r w:rsidR="00FD7B62" w:rsidRPr="00DC6A13">
        <w:rPr>
          <w:color w:val="auto"/>
          <w:highlight w:val="yellow"/>
        </w:rPr>
        <w:t>exponential</w:t>
      </w:r>
      <w:r w:rsidR="000D4364" w:rsidRPr="00DC6A13">
        <w:rPr>
          <w:color w:val="auto"/>
          <w:highlight w:val="yellow"/>
        </w:rPr>
        <w:t xml:space="preserve"> curve</w:t>
      </w:r>
      <w:r w:rsidR="00FD7B62" w:rsidRPr="00DC6A13">
        <w:rPr>
          <w:color w:val="auto"/>
          <w:highlight w:val="yellow"/>
        </w:rPr>
        <w:t xml:space="preserve"> as</w:t>
      </w:r>
    </w:p>
    <w:p w14:paraId="5538EBF5" w14:textId="77777777" w:rsidR="00FD7B62" w:rsidRPr="00DC6A13" w:rsidRDefault="00494625">
      <w:pPr>
        <w:pStyle w:val="ListParagraph"/>
        <w:ind w:left="0"/>
        <w:rPr>
          <w:color w:val="auto"/>
          <w:highlight w:val="yellow"/>
        </w:rPr>
      </w:pPr>
      <m:oMathPara>
        <m:oMath>
          <m:r>
            <w:rPr>
              <w:rFonts w:ascii="Cambria Math" w:hAnsi="Cambria Math"/>
              <w:color w:val="auto"/>
              <w:highlight w:val="yellow"/>
            </w:rPr>
            <m:t>Activity(t)=A</m:t>
          </m:r>
          <m:sSup>
            <m:sSupPr>
              <m:ctrlPr>
                <w:rPr>
                  <w:rFonts w:ascii="Cambria Math" w:hAnsi="Cambria Math"/>
                  <w:i/>
                  <w:color w:val="auto"/>
                  <w:highlight w:val="yellow"/>
                </w:rPr>
              </m:ctrlPr>
            </m:sSupPr>
            <m:e>
              <m:r>
                <w:rPr>
                  <w:rFonts w:ascii="Cambria Math" w:hAnsi="Cambria Math"/>
                  <w:color w:val="auto"/>
                  <w:highlight w:val="yellow"/>
                </w:rPr>
                <m:t>e</m:t>
              </m:r>
            </m:e>
            <m:sup>
              <m:r>
                <w:rPr>
                  <w:rFonts w:ascii="Cambria Math" w:hAnsi="Cambria Math"/>
                  <w:color w:val="auto"/>
                  <w:highlight w:val="yellow"/>
                </w:rPr>
                <m:t>-at</m:t>
              </m:r>
            </m:sup>
          </m:sSup>
          <m:r>
            <w:rPr>
              <w:rFonts w:ascii="Cambria Math" w:hAnsi="Cambria Math"/>
              <w:color w:val="auto"/>
              <w:highlight w:val="yellow"/>
            </w:rPr>
            <m:t>+B</m:t>
          </m:r>
          <m:sSup>
            <m:sSupPr>
              <m:ctrlPr>
                <w:rPr>
                  <w:rFonts w:ascii="Cambria Math" w:hAnsi="Cambria Math"/>
                  <w:i/>
                  <w:color w:val="auto"/>
                  <w:highlight w:val="yellow"/>
                </w:rPr>
              </m:ctrlPr>
            </m:sSupPr>
            <m:e>
              <m:r>
                <w:rPr>
                  <w:rFonts w:ascii="Cambria Math" w:hAnsi="Cambria Math"/>
                  <w:color w:val="auto"/>
                  <w:highlight w:val="yellow"/>
                </w:rPr>
                <m:t>e</m:t>
              </m:r>
            </m:e>
            <m:sup>
              <m:r>
                <w:rPr>
                  <w:rFonts w:ascii="Cambria Math" w:hAnsi="Cambria Math"/>
                  <w:color w:val="auto"/>
                  <w:highlight w:val="yellow"/>
                </w:rPr>
                <m:t>-bt</m:t>
              </m:r>
            </m:sup>
          </m:sSup>
          <m:r>
            <w:rPr>
              <w:rFonts w:ascii="Cambria Math" w:hAnsi="Cambria Math"/>
              <w:color w:val="auto"/>
              <w:highlight w:val="yellow"/>
            </w:rPr>
            <m:t>+C</m:t>
          </m:r>
          <m:sSup>
            <m:sSupPr>
              <m:ctrlPr>
                <w:rPr>
                  <w:rFonts w:ascii="Cambria Math" w:hAnsi="Cambria Math"/>
                  <w:i/>
                  <w:color w:val="auto"/>
                  <w:highlight w:val="yellow"/>
                </w:rPr>
              </m:ctrlPr>
            </m:sSupPr>
            <m:e>
              <m:r>
                <w:rPr>
                  <w:rFonts w:ascii="Cambria Math" w:hAnsi="Cambria Math"/>
                  <w:color w:val="auto"/>
                  <w:highlight w:val="yellow"/>
                </w:rPr>
                <m:t>e</m:t>
              </m:r>
            </m:e>
            <m:sup>
              <m:r>
                <w:rPr>
                  <w:rFonts w:ascii="Cambria Math" w:hAnsi="Cambria Math"/>
                  <w:color w:val="auto"/>
                  <w:highlight w:val="yellow"/>
                </w:rPr>
                <m:t>-ct</m:t>
              </m:r>
            </m:sup>
          </m:sSup>
        </m:oMath>
      </m:oMathPara>
    </w:p>
    <w:p w14:paraId="03C106A0" w14:textId="77777777" w:rsidR="0097164E" w:rsidRPr="00DC6A13" w:rsidRDefault="0097164E">
      <w:pPr>
        <w:rPr>
          <w:color w:val="auto"/>
          <w:highlight w:val="yellow"/>
        </w:rPr>
      </w:pPr>
    </w:p>
    <w:p w14:paraId="1F27DBD4" w14:textId="2982E03C" w:rsidR="00821BDA" w:rsidRPr="00DC6A13" w:rsidRDefault="00FD7B62">
      <w:pPr>
        <w:pStyle w:val="ListParagraph"/>
        <w:ind w:left="0"/>
        <w:rPr>
          <w:color w:val="auto"/>
          <w:highlight w:val="yellow"/>
        </w:rPr>
      </w:pPr>
      <w:r w:rsidRPr="00771DC3">
        <w:rPr>
          <w:i/>
          <w:color w:val="auto"/>
        </w:rPr>
        <w:t>A, B</w:t>
      </w:r>
      <w:r w:rsidRPr="00771DC3">
        <w:rPr>
          <w:color w:val="auto"/>
        </w:rPr>
        <w:t xml:space="preserve"> and </w:t>
      </w:r>
      <w:r w:rsidRPr="00771DC3">
        <w:rPr>
          <w:i/>
          <w:color w:val="auto"/>
        </w:rPr>
        <w:t>C</w:t>
      </w:r>
      <w:r w:rsidRPr="00771DC3">
        <w:rPr>
          <w:color w:val="auto"/>
        </w:rPr>
        <w:t xml:space="preserve"> parameters may assume positive or negative values for wash-in and wash-out phase modeling</w:t>
      </w:r>
      <w:r w:rsidR="000D4364" w:rsidRPr="00771DC3">
        <w:rPr>
          <w:color w:val="auto"/>
        </w:rPr>
        <w:t>,</w:t>
      </w:r>
      <w:r w:rsidRPr="00771DC3">
        <w:rPr>
          <w:color w:val="auto"/>
        </w:rPr>
        <w:t xml:space="preserve"> respectively</w:t>
      </w:r>
      <w:r w:rsidR="0097164E" w:rsidRPr="00771DC3">
        <w:rPr>
          <w:color w:val="auto"/>
        </w:rPr>
        <w:t xml:space="preserve">. </w:t>
      </w:r>
      <w:r w:rsidR="00821BDA" w:rsidRPr="00771DC3">
        <w:rPr>
          <w:color w:val="auto"/>
        </w:rPr>
        <w:t>If data of</w:t>
      </w:r>
      <w:r w:rsidR="006348C6" w:rsidRPr="00771DC3">
        <w:rPr>
          <w:color w:val="auto"/>
        </w:rPr>
        <w:t xml:space="preserve"> time activity curves are decay-</w:t>
      </w:r>
      <w:r w:rsidR="00821BDA" w:rsidRPr="00771DC3">
        <w:rPr>
          <w:color w:val="auto"/>
        </w:rPr>
        <w:t xml:space="preserve">corrected, </w:t>
      </w:r>
      <w:r w:rsidR="0097164E" w:rsidRPr="00771DC3">
        <w:rPr>
          <w:i/>
          <w:color w:val="auto"/>
        </w:rPr>
        <w:t>a, b</w:t>
      </w:r>
      <w:r w:rsidR="0097164E" w:rsidRPr="00771DC3">
        <w:rPr>
          <w:color w:val="auto"/>
        </w:rPr>
        <w:t xml:space="preserve"> and </w:t>
      </w:r>
      <w:r w:rsidR="0097164E" w:rsidRPr="00771DC3">
        <w:rPr>
          <w:i/>
          <w:color w:val="auto"/>
        </w:rPr>
        <w:t>c</w:t>
      </w:r>
      <w:r w:rsidR="0097164E" w:rsidRPr="00771DC3">
        <w:rPr>
          <w:color w:val="auto"/>
        </w:rPr>
        <w:t xml:space="preserve"> parameters</w:t>
      </w:r>
      <w:r w:rsidR="00821BDA" w:rsidRPr="00771DC3">
        <w:rPr>
          <w:color w:val="auto"/>
        </w:rPr>
        <w:t xml:space="preserve"> represent biological half life </w:t>
      </w:r>
      <m:oMath>
        <m:sSub>
          <m:sSubPr>
            <m:ctrlPr>
              <w:rPr>
                <w:rFonts w:ascii="Cambria Math" w:hAnsi="Cambria Math"/>
                <w:i/>
                <w:color w:val="auto"/>
              </w:rPr>
            </m:ctrlPr>
          </m:sSubPr>
          <m:e>
            <m:r>
              <w:rPr>
                <w:rFonts w:ascii="Cambria Math" w:hAnsi="Cambria Math"/>
                <w:color w:val="auto"/>
              </w:rPr>
              <m:t>λ</m:t>
            </m:r>
          </m:e>
          <m:sub>
            <m:r>
              <w:rPr>
                <w:rFonts w:ascii="Cambria Math" w:hAnsi="Cambria Math"/>
                <w:color w:val="auto"/>
              </w:rPr>
              <m:t>biol</m:t>
            </m:r>
          </m:sub>
        </m:sSub>
      </m:oMath>
      <w:r w:rsidR="00821BDA" w:rsidRPr="00771DC3">
        <w:rPr>
          <w:color w:val="auto"/>
        </w:rPr>
        <w:t xml:space="preserve"> and</w:t>
      </w:r>
      <w:r w:rsidR="0097164E" w:rsidRPr="00771DC3">
        <w:rPr>
          <w:color w:val="auto"/>
        </w:rPr>
        <w:t xml:space="preserve"> are all positive</w:t>
      </w:r>
      <w:r w:rsidR="00821BDA" w:rsidRPr="00DC6A13">
        <w:rPr>
          <w:color w:val="auto"/>
          <w:highlight w:val="yellow"/>
        </w:rPr>
        <w:t>.</w:t>
      </w:r>
      <w:r w:rsidR="00401227" w:rsidRPr="00DC6A13">
        <w:rPr>
          <w:color w:val="auto"/>
          <w:highlight w:val="yellow"/>
        </w:rPr>
        <w:t xml:space="preserve"> </w:t>
      </w:r>
      <w:r w:rsidR="00821BDA" w:rsidRPr="00DC6A13">
        <w:rPr>
          <w:color w:val="auto"/>
          <w:highlight w:val="yellow"/>
        </w:rPr>
        <w:t xml:space="preserve">Choose </w:t>
      </w:r>
      <w:r w:rsidR="006348C6" w:rsidRPr="00DC6A13">
        <w:rPr>
          <w:color w:val="auto"/>
          <w:highlight w:val="yellow"/>
        </w:rPr>
        <w:t xml:space="preserve">an appropriate </w:t>
      </w:r>
      <w:r w:rsidR="00821BDA" w:rsidRPr="00DC6A13">
        <w:rPr>
          <w:color w:val="auto"/>
          <w:highlight w:val="yellow"/>
        </w:rPr>
        <w:t>curve</w:t>
      </w:r>
      <w:r w:rsidR="006348C6" w:rsidRPr="00DC6A13">
        <w:rPr>
          <w:color w:val="auto"/>
          <w:highlight w:val="yellow"/>
        </w:rPr>
        <w:t>-</w:t>
      </w:r>
      <w:r w:rsidR="00821BDA" w:rsidRPr="00DC6A13">
        <w:rPr>
          <w:color w:val="auto"/>
          <w:highlight w:val="yellow"/>
        </w:rPr>
        <w:t>fitting model between mono, bi or tri-exponential curves.</w:t>
      </w:r>
      <w:r w:rsidR="00F84748" w:rsidRPr="00DC6A13">
        <w:rPr>
          <w:color w:val="auto"/>
          <w:highlight w:val="yellow"/>
        </w:rPr>
        <w:t xml:space="preserve"> Flag </w:t>
      </w:r>
      <w:r w:rsidR="004F2062" w:rsidRPr="00DC6A13">
        <w:rPr>
          <w:color w:val="auto"/>
          <w:highlight w:val="yellow"/>
        </w:rPr>
        <w:t xml:space="preserve">the required parameters, </w:t>
      </w:r>
      <w:r w:rsidR="00F84748" w:rsidRPr="00DC6A13">
        <w:rPr>
          <w:color w:val="auto"/>
          <w:highlight w:val="yellow"/>
        </w:rPr>
        <w:t>insert starting values</w:t>
      </w:r>
      <w:r w:rsidR="004F2062" w:rsidRPr="00DC6A13">
        <w:rPr>
          <w:color w:val="auto"/>
          <w:highlight w:val="yellow"/>
        </w:rPr>
        <w:t xml:space="preserve"> and </w:t>
      </w:r>
      <w:r w:rsidR="00F84748" w:rsidRPr="00DC6A13">
        <w:rPr>
          <w:color w:val="auto"/>
          <w:highlight w:val="yellow"/>
        </w:rPr>
        <w:t xml:space="preserve">click </w:t>
      </w:r>
      <w:r w:rsidR="00F84748" w:rsidRPr="003D144A">
        <w:rPr>
          <w:b/>
          <w:bCs/>
          <w:color w:val="auto"/>
          <w:highlight w:val="yellow"/>
        </w:rPr>
        <w:t>Fit</w:t>
      </w:r>
      <w:r w:rsidR="00F84748" w:rsidRPr="00DC6A13">
        <w:rPr>
          <w:color w:val="auto"/>
          <w:highlight w:val="yellow"/>
        </w:rPr>
        <w:t xml:space="preserve"> until the</w:t>
      </w:r>
      <w:r w:rsidR="004F2062" w:rsidRPr="00DC6A13">
        <w:rPr>
          <w:color w:val="auto"/>
          <w:highlight w:val="yellow"/>
        </w:rPr>
        <w:t xml:space="preserve"> fit is performed.</w:t>
      </w:r>
      <w:r w:rsidR="00F84748" w:rsidRPr="00DC6A13">
        <w:rPr>
          <w:color w:val="auto"/>
          <w:highlight w:val="yellow"/>
        </w:rPr>
        <w:t xml:space="preserve"> </w:t>
      </w:r>
    </w:p>
    <w:p w14:paraId="5729143A" w14:textId="77777777" w:rsidR="003C2297" w:rsidRPr="00DC6A13" w:rsidRDefault="003C2297">
      <w:pPr>
        <w:pStyle w:val="ListParagraph"/>
        <w:ind w:left="0"/>
        <w:rPr>
          <w:color w:val="auto"/>
        </w:rPr>
      </w:pPr>
    </w:p>
    <w:p w14:paraId="5757C637" w14:textId="2C8BDC7C" w:rsidR="00855420" w:rsidRPr="0049766C" w:rsidRDefault="00CF5AFE" w:rsidP="0049766C">
      <w:pPr>
        <w:pStyle w:val="ListParagraph"/>
        <w:numPr>
          <w:ilvl w:val="2"/>
          <w:numId w:val="9"/>
        </w:numPr>
        <w:rPr>
          <w:color w:val="auto"/>
        </w:rPr>
      </w:pPr>
      <w:r w:rsidRPr="00DC6A13">
        <w:rPr>
          <w:color w:val="auto"/>
        </w:rPr>
        <w:t>Take note of curve</w:t>
      </w:r>
      <w:r w:rsidR="006348C6" w:rsidRPr="00DC6A13">
        <w:rPr>
          <w:color w:val="auto"/>
        </w:rPr>
        <w:t>-</w:t>
      </w:r>
      <w:r w:rsidRPr="00DC6A13">
        <w:rPr>
          <w:color w:val="auto"/>
        </w:rPr>
        <w:t>fitting parameters</w:t>
      </w:r>
      <w:r w:rsidR="00654635" w:rsidRPr="00DC6A13">
        <w:rPr>
          <w:color w:val="auto"/>
        </w:rPr>
        <w:t xml:space="preserve">. </w:t>
      </w:r>
      <w:bookmarkStart w:id="5" w:name="_Ref11401014"/>
      <w:r w:rsidR="001966C6" w:rsidRPr="00DC6A13">
        <w:rPr>
          <w:color w:val="auto"/>
        </w:rPr>
        <w:t xml:space="preserve">Calculate effective </w:t>
      </w:r>
      <w:r w:rsidR="00B07943" w:rsidRPr="00DC6A13">
        <w:rPr>
          <w:color w:val="auto"/>
        </w:rPr>
        <w:t>half-life</w:t>
      </w:r>
      <w:r w:rsidR="001966C6" w:rsidRPr="00DC6A13">
        <w:rPr>
          <w:color w:val="auto"/>
        </w:rPr>
        <w:t xml:space="preserve"> as</w:t>
      </w:r>
      <w:bookmarkEnd w:id="5"/>
      <w:r w:rsidR="001966C6" w:rsidRPr="00DC6A13">
        <w:rPr>
          <w:color w:val="auto"/>
        </w:rPr>
        <w:t xml:space="preserve"> </w:t>
      </w:r>
    </w:p>
    <w:p w14:paraId="5D5C1388" w14:textId="77777777" w:rsidR="00855420" w:rsidRPr="00DC6A13" w:rsidRDefault="00855420">
      <w:pPr>
        <w:rPr>
          <w:color w:val="auto"/>
        </w:rPr>
      </w:pPr>
      <m:oMathPara>
        <m:oMath>
          <m:r>
            <w:rPr>
              <w:rFonts w:ascii="Cambria Math" w:hAnsi="Cambria Math"/>
              <w:color w:val="auto"/>
            </w:rPr>
            <m:t>eHL=</m:t>
          </m:r>
          <m:f>
            <m:fPr>
              <m:ctrlPr>
                <w:rPr>
                  <w:rFonts w:ascii="Cambria Math" w:hAnsi="Cambria Math"/>
                  <w:i/>
                  <w:color w:val="auto"/>
                </w:rPr>
              </m:ctrlPr>
            </m:fPr>
            <m:num>
              <m:r>
                <m:rPr>
                  <m:sty m:val="p"/>
                </m:rPr>
                <w:rPr>
                  <w:rFonts w:ascii="Cambria Math" w:hAnsi="Cambria Math"/>
                  <w:color w:val="auto"/>
                </w:rPr>
                <m:t>ln⁡</m:t>
              </m:r>
              <m:r>
                <w:rPr>
                  <w:rFonts w:ascii="Cambria Math" w:hAnsi="Cambria Math"/>
                  <w:color w:val="auto"/>
                </w:rPr>
                <m:t>(2)</m:t>
              </m:r>
            </m:num>
            <m:den>
              <m:sSub>
                <m:sSubPr>
                  <m:ctrlPr>
                    <w:rPr>
                      <w:rFonts w:ascii="Cambria Math" w:hAnsi="Cambria Math"/>
                      <w:i/>
                      <w:color w:val="auto"/>
                    </w:rPr>
                  </m:ctrlPr>
                </m:sSubPr>
                <m:e>
                  <m:r>
                    <w:rPr>
                      <w:rFonts w:ascii="Cambria Math" w:hAnsi="Cambria Math"/>
                      <w:color w:val="auto"/>
                    </w:rPr>
                    <m:t>λ</m:t>
                  </m:r>
                </m:e>
                <m:sub>
                  <m:r>
                    <w:rPr>
                      <w:rFonts w:ascii="Cambria Math" w:hAnsi="Cambria Math"/>
                      <w:color w:val="auto"/>
                    </w:rPr>
                    <m:t>phys</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λ</m:t>
                  </m:r>
                </m:e>
                <m:sub>
                  <m:r>
                    <w:rPr>
                      <w:rFonts w:ascii="Cambria Math" w:hAnsi="Cambria Math"/>
                      <w:color w:val="auto"/>
                    </w:rPr>
                    <m:t>biol</m:t>
                  </m:r>
                </m:sub>
              </m:sSub>
            </m:den>
          </m:f>
        </m:oMath>
      </m:oMathPara>
    </w:p>
    <w:p w14:paraId="3066234C" w14:textId="77777777" w:rsidR="00855420" w:rsidRPr="00DC6A13" w:rsidRDefault="00855420">
      <w:pPr>
        <w:pStyle w:val="ListParagraph"/>
        <w:ind w:left="0"/>
        <w:rPr>
          <w:color w:val="auto"/>
        </w:rPr>
      </w:pPr>
    </w:p>
    <w:p w14:paraId="5964DABF" w14:textId="148FA470" w:rsidR="00855420" w:rsidRPr="00DC6A13" w:rsidRDefault="00855420">
      <w:pPr>
        <w:pStyle w:val="ListParagraph"/>
        <w:ind w:left="0"/>
        <w:rPr>
          <w:color w:val="auto"/>
        </w:rPr>
      </w:pPr>
      <w:r w:rsidRPr="00DC6A13">
        <w:rPr>
          <w:color w:val="auto"/>
        </w:rPr>
        <w:t xml:space="preserve">where </w:t>
      </w:r>
      <m:oMath>
        <m:sSub>
          <m:sSubPr>
            <m:ctrlPr>
              <w:rPr>
                <w:rFonts w:ascii="Cambria Math" w:hAnsi="Cambria Math"/>
                <w:i/>
                <w:color w:val="auto"/>
              </w:rPr>
            </m:ctrlPr>
          </m:sSubPr>
          <m:e>
            <m:r>
              <w:rPr>
                <w:rFonts w:ascii="Cambria Math" w:hAnsi="Cambria Math"/>
                <w:color w:val="auto"/>
              </w:rPr>
              <m:t>λ</m:t>
            </m:r>
          </m:e>
          <m:sub>
            <m:r>
              <w:rPr>
                <w:rFonts w:ascii="Cambria Math" w:hAnsi="Cambria Math"/>
                <w:color w:val="auto"/>
              </w:rPr>
              <m:t>phys</m:t>
            </m:r>
          </m:sub>
        </m:sSub>
      </m:oMath>
      <w:r w:rsidRPr="00DC6A13">
        <w:rPr>
          <w:color w:val="auto"/>
        </w:rPr>
        <w:t xml:space="preserve"> is the physical half life of </w:t>
      </w:r>
      <w:r w:rsidRPr="00DC6A13">
        <w:rPr>
          <w:color w:val="auto"/>
          <w:vertAlign w:val="superscript"/>
        </w:rPr>
        <w:t>177</w:t>
      </w:r>
      <w:r w:rsidRPr="00DC6A13">
        <w:rPr>
          <w:color w:val="auto"/>
        </w:rPr>
        <w:t xml:space="preserve">Lu, and </w:t>
      </w:r>
      <m:oMath>
        <m:sSub>
          <m:sSubPr>
            <m:ctrlPr>
              <w:rPr>
                <w:rFonts w:ascii="Cambria Math" w:hAnsi="Cambria Math"/>
                <w:i/>
                <w:color w:val="auto"/>
              </w:rPr>
            </m:ctrlPr>
          </m:sSubPr>
          <m:e>
            <m:r>
              <w:rPr>
                <w:rFonts w:ascii="Cambria Math" w:hAnsi="Cambria Math"/>
                <w:color w:val="auto"/>
              </w:rPr>
              <m:t>λ</m:t>
            </m:r>
          </m:e>
          <m:sub>
            <m:r>
              <w:rPr>
                <w:rFonts w:ascii="Cambria Math" w:hAnsi="Cambria Math"/>
                <w:color w:val="auto"/>
              </w:rPr>
              <m:t>biol</m:t>
            </m:r>
          </m:sub>
        </m:sSub>
      </m:oMath>
      <w:r w:rsidRPr="00DC6A13">
        <w:rPr>
          <w:color w:val="auto"/>
        </w:rPr>
        <w:t xml:space="preserve"> is the biological half life of </w:t>
      </w:r>
      <w:r w:rsidRPr="00DC6A13">
        <w:rPr>
          <w:color w:val="auto"/>
          <w:vertAlign w:val="superscript"/>
        </w:rPr>
        <w:t>177</w:t>
      </w:r>
      <w:r w:rsidRPr="00DC6A13">
        <w:rPr>
          <w:color w:val="auto"/>
        </w:rPr>
        <w:t xml:space="preserve">Lu-PSMA-617 compound. </w:t>
      </w:r>
      <w:r w:rsidR="006348C6" w:rsidRPr="00DC6A13">
        <w:rPr>
          <w:color w:val="auto"/>
        </w:rPr>
        <w:t xml:space="preserve">For </w:t>
      </w:r>
      <m:oMath>
        <m:sSub>
          <m:sSubPr>
            <m:ctrlPr>
              <w:rPr>
                <w:rFonts w:ascii="Cambria Math" w:hAnsi="Cambria Math"/>
                <w:i/>
                <w:color w:val="auto"/>
              </w:rPr>
            </m:ctrlPr>
          </m:sSubPr>
          <m:e>
            <m:r>
              <w:rPr>
                <w:rFonts w:ascii="Cambria Math" w:hAnsi="Cambria Math"/>
                <w:color w:val="auto"/>
              </w:rPr>
              <m:t>λ</m:t>
            </m:r>
          </m:e>
          <m:sub>
            <m:r>
              <w:rPr>
                <w:rFonts w:ascii="Cambria Math" w:hAnsi="Cambria Math"/>
                <w:color w:val="auto"/>
              </w:rPr>
              <m:t>biol</m:t>
            </m:r>
          </m:sub>
        </m:sSub>
      </m:oMath>
      <w:r w:rsidRPr="00DC6A13">
        <w:rPr>
          <w:color w:val="auto"/>
        </w:rPr>
        <w:t xml:space="preserve">, consider the </w:t>
      </w:r>
      <w:r w:rsidR="006348C6" w:rsidRPr="00DC6A13">
        <w:rPr>
          <w:color w:val="auto"/>
        </w:rPr>
        <w:t xml:space="preserve">lowest values among </w:t>
      </w:r>
      <w:r w:rsidRPr="00DC6A13">
        <w:rPr>
          <w:i/>
          <w:color w:val="auto"/>
        </w:rPr>
        <w:t>a</w:t>
      </w:r>
      <w:r w:rsidRPr="00DC6A13">
        <w:rPr>
          <w:color w:val="auto"/>
        </w:rPr>
        <w:t xml:space="preserve">, </w:t>
      </w:r>
      <w:r w:rsidRPr="00DC6A13">
        <w:rPr>
          <w:i/>
          <w:color w:val="auto"/>
        </w:rPr>
        <w:t>b</w:t>
      </w:r>
      <w:r w:rsidRPr="00DC6A13">
        <w:rPr>
          <w:color w:val="auto"/>
        </w:rPr>
        <w:t xml:space="preserve"> and </w:t>
      </w:r>
      <w:r w:rsidRPr="00DC6A13">
        <w:rPr>
          <w:i/>
          <w:color w:val="auto"/>
        </w:rPr>
        <w:t>c</w:t>
      </w:r>
      <w:r w:rsidRPr="00DC6A13">
        <w:rPr>
          <w:color w:val="auto"/>
        </w:rPr>
        <w:t xml:space="preserve"> curve</w:t>
      </w:r>
      <w:r w:rsidR="006348C6" w:rsidRPr="00DC6A13">
        <w:rPr>
          <w:color w:val="auto"/>
        </w:rPr>
        <w:t>-</w:t>
      </w:r>
      <w:r w:rsidRPr="00DC6A13">
        <w:rPr>
          <w:color w:val="auto"/>
        </w:rPr>
        <w:t>fitting parameters</w:t>
      </w:r>
      <w:r w:rsidR="009616CB" w:rsidRPr="00DC6A13">
        <w:rPr>
          <w:color w:val="auto"/>
        </w:rPr>
        <w:t xml:space="preserve"> (</w:t>
      </w:r>
      <w:r w:rsidR="00591C54" w:rsidRPr="00591C54">
        <w:rPr>
          <w:color w:val="auto"/>
        </w:rPr>
        <w:t xml:space="preserve">i.e., </w:t>
      </w:r>
      <w:r w:rsidR="009616CB" w:rsidRPr="00DC6A13">
        <w:rPr>
          <w:color w:val="auto"/>
        </w:rPr>
        <w:t>corresponding to the higher effective half life)</w:t>
      </w:r>
      <w:r w:rsidR="005A792D" w:rsidRPr="00DC6A13">
        <w:rPr>
          <w:color w:val="auto"/>
        </w:rPr>
        <w:t>.</w:t>
      </w:r>
    </w:p>
    <w:p w14:paraId="0D28BDD0" w14:textId="77777777" w:rsidR="003C2297" w:rsidRPr="00DC6A13" w:rsidRDefault="003C2297">
      <w:pPr>
        <w:pStyle w:val="ListParagraph"/>
        <w:ind w:left="0"/>
        <w:rPr>
          <w:color w:val="auto"/>
        </w:rPr>
      </w:pPr>
    </w:p>
    <w:p w14:paraId="6F0681AB" w14:textId="551C3B30" w:rsidR="003C2297" w:rsidRPr="00DC6A13" w:rsidRDefault="00B25E7E">
      <w:pPr>
        <w:pStyle w:val="ListParagraph"/>
        <w:numPr>
          <w:ilvl w:val="2"/>
          <w:numId w:val="9"/>
        </w:numPr>
        <w:rPr>
          <w:color w:val="auto"/>
        </w:rPr>
      </w:pPr>
      <w:r w:rsidRPr="00DC6A13">
        <w:rPr>
          <w:color w:val="auto"/>
        </w:rPr>
        <w:t xml:space="preserve">Repeat from </w:t>
      </w:r>
      <w:r w:rsidR="008A3C95">
        <w:rPr>
          <w:color w:val="auto"/>
        </w:rPr>
        <w:t>step</w:t>
      </w:r>
      <w:r w:rsidRPr="00DC6A13">
        <w:rPr>
          <w:color w:val="auto"/>
        </w:rPr>
        <w:t xml:space="preserve"> </w:t>
      </w:r>
      <w:r w:rsidR="00DC6A13" w:rsidRPr="00DC6A13">
        <w:rPr>
          <w:color w:val="auto"/>
        </w:rPr>
        <w:fldChar w:fldCharType="begin"/>
      </w:r>
      <w:r w:rsidR="00DC6A13" w:rsidRPr="00DC6A13">
        <w:rPr>
          <w:color w:val="auto"/>
        </w:rPr>
        <w:instrText xml:space="preserve"> REF _Ref11337565 \r \h  \* MERGEFORMAT </w:instrText>
      </w:r>
      <w:r w:rsidR="00DC6A13" w:rsidRPr="00DC6A13">
        <w:rPr>
          <w:color w:val="auto"/>
        </w:rPr>
      </w:r>
      <w:r w:rsidR="00DC6A13" w:rsidRPr="00DC6A13">
        <w:rPr>
          <w:color w:val="auto"/>
        </w:rPr>
        <w:fldChar w:fldCharType="separate"/>
      </w:r>
      <w:r w:rsidR="009D1A4F" w:rsidRPr="00DC6A13">
        <w:rPr>
          <w:color w:val="auto"/>
        </w:rPr>
        <w:t>6.3.3</w:t>
      </w:r>
      <w:r w:rsidR="00DC6A13" w:rsidRPr="00DC6A13">
        <w:rPr>
          <w:color w:val="auto"/>
        </w:rPr>
        <w:fldChar w:fldCharType="end"/>
      </w:r>
      <w:r w:rsidRPr="00DC6A13">
        <w:rPr>
          <w:color w:val="auto"/>
        </w:rPr>
        <w:t xml:space="preserve"> to </w:t>
      </w:r>
      <w:r w:rsidR="008A3C95">
        <w:rPr>
          <w:color w:val="auto"/>
        </w:rPr>
        <w:t>step</w:t>
      </w:r>
      <w:r w:rsidRPr="00DC6A13">
        <w:rPr>
          <w:color w:val="auto"/>
        </w:rPr>
        <w:t xml:space="preserve"> </w:t>
      </w:r>
      <w:r w:rsidR="00DC6A13" w:rsidRPr="00DC6A13">
        <w:rPr>
          <w:color w:val="auto"/>
        </w:rPr>
        <w:fldChar w:fldCharType="begin"/>
      </w:r>
      <w:r w:rsidR="00DC6A13" w:rsidRPr="00DC6A13">
        <w:rPr>
          <w:color w:val="auto"/>
        </w:rPr>
        <w:instrText xml:space="preserve"> REF _Ref11401014 \r \h  \* MERGEFORMAT </w:instrText>
      </w:r>
      <w:r w:rsidR="00DC6A13" w:rsidRPr="00DC6A13">
        <w:rPr>
          <w:color w:val="auto"/>
        </w:rPr>
      </w:r>
      <w:r w:rsidR="00DC6A13" w:rsidRPr="00DC6A13">
        <w:rPr>
          <w:color w:val="auto"/>
        </w:rPr>
        <w:fldChar w:fldCharType="separate"/>
      </w:r>
      <w:r w:rsidR="009D1A4F" w:rsidRPr="00DC6A13">
        <w:rPr>
          <w:color w:val="auto"/>
        </w:rPr>
        <w:t>6.3.7</w:t>
      </w:r>
      <w:r w:rsidR="00DC6A13" w:rsidRPr="00DC6A13">
        <w:rPr>
          <w:color w:val="auto"/>
        </w:rPr>
        <w:fldChar w:fldCharType="end"/>
      </w:r>
      <w:r w:rsidR="006348C6" w:rsidRPr="00DC6A13">
        <w:rPr>
          <w:color w:val="auto"/>
        </w:rPr>
        <w:t xml:space="preserve">. </w:t>
      </w:r>
      <w:r w:rsidRPr="00DC6A13">
        <w:rPr>
          <w:color w:val="auto"/>
        </w:rPr>
        <w:t>for each organ</w:t>
      </w:r>
      <w:r w:rsidR="009F661D" w:rsidRPr="00DC6A13">
        <w:rPr>
          <w:color w:val="auto"/>
        </w:rPr>
        <w:t>.</w:t>
      </w:r>
      <w:r w:rsidR="004F2062" w:rsidRPr="00DC6A13">
        <w:rPr>
          <w:color w:val="auto"/>
        </w:rPr>
        <w:t xml:space="preserve"> </w:t>
      </w:r>
    </w:p>
    <w:p w14:paraId="67A9644C" w14:textId="77777777" w:rsidR="004F2062" w:rsidRPr="00DC6A13" w:rsidRDefault="004F2062">
      <w:pPr>
        <w:pStyle w:val="ListParagraph"/>
        <w:ind w:left="0"/>
        <w:rPr>
          <w:color w:val="auto"/>
        </w:rPr>
      </w:pPr>
    </w:p>
    <w:p w14:paraId="68799618" w14:textId="654E876C" w:rsidR="00B25E7E" w:rsidRPr="00DC6A13" w:rsidRDefault="00B25E7E">
      <w:pPr>
        <w:pStyle w:val="ListParagraph"/>
        <w:numPr>
          <w:ilvl w:val="2"/>
          <w:numId w:val="9"/>
        </w:numPr>
        <w:rPr>
          <w:color w:val="auto"/>
        </w:rPr>
      </w:pPr>
      <w:r w:rsidRPr="00DC6A13">
        <w:rPr>
          <w:color w:val="auto"/>
        </w:rPr>
        <w:t xml:space="preserve">Insert the relative uptake at each image time point for </w:t>
      </w:r>
      <w:r w:rsidR="002D044E" w:rsidRPr="00DC6A13">
        <w:rPr>
          <w:color w:val="auto"/>
        </w:rPr>
        <w:t xml:space="preserve">the </w:t>
      </w:r>
      <w:r w:rsidRPr="00DC6A13">
        <w:rPr>
          <w:color w:val="auto"/>
        </w:rPr>
        <w:t xml:space="preserve">remainder of the body </w:t>
      </w:r>
      <w:r w:rsidR="005A4019" w:rsidRPr="00DC6A13">
        <w:rPr>
          <w:color w:val="auto"/>
        </w:rPr>
        <w:t xml:space="preserve">(namely </w:t>
      </w:r>
      <w:r w:rsidR="005A4019" w:rsidRPr="008A3C95">
        <w:rPr>
          <w:b/>
          <w:bCs/>
          <w:color w:val="auto"/>
        </w:rPr>
        <w:t>Total Body/Rem Body</w:t>
      </w:r>
      <w:r w:rsidR="005A4019" w:rsidRPr="00DC6A13">
        <w:rPr>
          <w:color w:val="auto"/>
        </w:rPr>
        <w:t xml:space="preserve">) </w:t>
      </w:r>
      <w:r w:rsidR="002D044E" w:rsidRPr="00DC6A13">
        <w:rPr>
          <w:color w:val="auto"/>
        </w:rPr>
        <w:t xml:space="preserve">by subtracting </w:t>
      </w:r>
      <w:r w:rsidR="00203B87" w:rsidRPr="00DC6A13">
        <w:rPr>
          <w:color w:val="auto"/>
        </w:rPr>
        <w:t xml:space="preserve">the relative uptake of all considered organs from </w:t>
      </w:r>
      <w:r w:rsidR="002D044E" w:rsidRPr="00DC6A13">
        <w:rPr>
          <w:color w:val="auto"/>
        </w:rPr>
        <w:t xml:space="preserve">the </w:t>
      </w:r>
      <w:r w:rsidR="00B07943" w:rsidRPr="00DC6A13">
        <w:rPr>
          <w:color w:val="auto"/>
        </w:rPr>
        <w:t>whole-body</w:t>
      </w:r>
      <w:r w:rsidRPr="00DC6A13">
        <w:rPr>
          <w:color w:val="auto"/>
        </w:rPr>
        <w:t xml:space="preserve"> uptake</w:t>
      </w:r>
      <w:r w:rsidR="00203B87" w:rsidRPr="00DC6A13">
        <w:rPr>
          <w:color w:val="auto"/>
        </w:rPr>
        <w:t>.</w:t>
      </w:r>
      <w:r w:rsidR="00654635" w:rsidRPr="00DC6A13">
        <w:rPr>
          <w:color w:val="auto"/>
        </w:rPr>
        <w:t xml:space="preserve"> </w:t>
      </w:r>
      <w:r w:rsidRPr="00DC6A13">
        <w:rPr>
          <w:color w:val="auto"/>
        </w:rPr>
        <w:t xml:space="preserve">Repeat from </w:t>
      </w:r>
      <w:r w:rsidR="008A3C95">
        <w:rPr>
          <w:color w:val="auto"/>
        </w:rPr>
        <w:t>step</w:t>
      </w:r>
      <w:r w:rsidRPr="00DC6A13">
        <w:rPr>
          <w:color w:val="auto"/>
        </w:rPr>
        <w:t xml:space="preserve"> </w:t>
      </w:r>
      <w:r w:rsidR="00DC6A13" w:rsidRPr="00DC6A13">
        <w:rPr>
          <w:color w:val="auto"/>
        </w:rPr>
        <w:fldChar w:fldCharType="begin"/>
      </w:r>
      <w:r w:rsidR="00DC6A13" w:rsidRPr="00DC6A13">
        <w:rPr>
          <w:color w:val="auto"/>
        </w:rPr>
        <w:instrText xml:space="preserve"> REF _Ref11337688 \r \h  \* MERGEFORMAT </w:instrText>
      </w:r>
      <w:r w:rsidR="00DC6A13" w:rsidRPr="00DC6A13">
        <w:rPr>
          <w:color w:val="auto"/>
        </w:rPr>
      </w:r>
      <w:r w:rsidR="00DC6A13" w:rsidRPr="00DC6A13">
        <w:rPr>
          <w:color w:val="auto"/>
        </w:rPr>
        <w:fldChar w:fldCharType="separate"/>
      </w:r>
      <w:r w:rsidR="009D1A4F" w:rsidRPr="00DC6A13">
        <w:rPr>
          <w:color w:val="auto"/>
        </w:rPr>
        <w:t>6.3.5</w:t>
      </w:r>
      <w:r w:rsidR="00DC6A13" w:rsidRPr="00DC6A13">
        <w:rPr>
          <w:color w:val="auto"/>
        </w:rPr>
        <w:fldChar w:fldCharType="end"/>
      </w:r>
      <w:r w:rsidRPr="00DC6A13">
        <w:rPr>
          <w:color w:val="auto"/>
        </w:rPr>
        <w:t xml:space="preserve"> to</w:t>
      </w:r>
      <w:r w:rsidR="0097164E" w:rsidRPr="00DC6A13">
        <w:rPr>
          <w:color w:val="auto"/>
        </w:rPr>
        <w:t xml:space="preserve"> </w:t>
      </w:r>
      <w:r w:rsidR="008A3C95">
        <w:rPr>
          <w:color w:val="auto"/>
        </w:rPr>
        <w:t>step</w:t>
      </w:r>
      <w:r w:rsidR="00656867" w:rsidRPr="00DC6A13">
        <w:rPr>
          <w:color w:val="auto"/>
        </w:rPr>
        <w:t xml:space="preserve"> </w:t>
      </w:r>
      <w:r w:rsidR="00DC6A13" w:rsidRPr="00DC6A13">
        <w:rPr>
          <w:color w:val="auto"/>
        </w:rPr>
        <w:fldChar w:fldCharType="begin"/>
      </w:r>
      <w:r w:rsidR="00DC6A13" w:rsidRPr="00DC6A13">
        <w:rPr>
          <w:color w:val="auto"/>
        </w:rPr>
        <w:instrText xml:space="preserve"> REF _Ref11401014 \r \h  \* MERGEFORMAT </w:instrText>
      </w:r>
      <w:r w:rsidR="00DC6A13" w:rsidRPr="00DC6A13">
        <w:rPr>
          <w:color w:val="auto"/>
        </w:rPr>
      </w:r>
      <w:r w:rsidR="00DC6A13" w:rsidRPr="00DC6A13">
        <w:rPr>
          <w:color w:val="auto"/>
        </w:rPr>
        <w:fldChar w:fldCharType="separate"/>
      </w:r>
      <w:r w:rsidR="009D1A4F" w:rsidRPr="00DC6A13">
        <w:rPr>
          <w:color w:val="auto"/>
        </w:rPr>
        <w:t>6.3.7</w:t>
      </w:r>
      <w:r w:rsidR="00DC6A13" w:rsidRPr="00DC6A13">
        <w:rPr>
          <w:color w:val="auto"/>
        </w:rPr>
        <w:fldChar w:fldCharType="end"/>
      </w:r>
      <w:r w:rsidRPr="00DC6A13">
        <w:rPr>
          <w:color w:val="auto"/>
        </w:rPr>
        <w:t xml:space="preserve"> for </w:t>
      </w:r>
      <w:r w:rsidRPr="008A3C95">
        <w:rPr>
          <w:b/>
          <w:bCs/>
          <w:color w:val="auto"/>
        </w:rPr>
        <w:t>Total</w:t>
      </w:r>
      <w:r w:rsidR="005A4019" w:rsidRPr="008A3C95">
        <w:rPr>
          <w:b/>
          <w:bCs/>
          <w:color w:val="auto"/>
        </w:rPr>
        <w:t xml:space="preserve"> Body</w:t>
      </w:r>
      <w:r w:rsidRPr="008A3C95">
        <w:rPr>
          <w:b/>
          <w:bCs/>
          <w:color w:val="auto"/>
        </w:rPr>
        <w:t>/Rem Body</w:t>
      </w:r>
      <w:r w:rsidR="005A4019" w:rsidRPr="00DC6A13">
        <w:rPr>
          <w:color w:val="auto"/>
        </w:rPr>
        <w:t xml:space="preserve">. </w:t>
      </w:r>
      <w:r w:rsidR="00B07943" w:rsidRPr="00DC6A13">
        <w:rPr>
          <w:color w:val="auto"/>
        </w:rPr>
        <w:t>Generally,</w:t>
      </w:r>
      <w:r w:rsidR="005A4019" w:rsidRPr="00DC6A13">
        <w:rPr>
          <w:color w:val="auto"/>
        </w:rPr>
        <w:t xml:space="preserve"> a bi-exponential curve fitting is </w:t>
      </w:r>
      <w:r w:rsidR="0097164E" w:rsidRPr="00DC6A13">
        <w:rPr>
          <w:color w:val="auto"/>
        </w:rPr>
        <w:t>recommended</w:t>
      </w:r>
      <w:r w:rsidR="00203B87" w:rsidRPr="00DC6A13">
        <w:rPr>
          <w:color w:val="auto"/>
        </w:rPr>
        <w:t>.</w:t>
      </w:r>
      <w:r w:rsidR="002D044E" w:rsidRPr="00DC6A13">
        <w:rPr>
          <w:color w:val="auto"/>
        </w:rPr>
        <w:t xml:space="preserve"> </w:t>
      </w:r>
    </w:p>
    <w:p w14:paraId="1B7FF26F" w14:textId="77777777" w:rsidR="003C2297" w:rsidRPr="00DC6A13" w:rsidRDefault="003C2297">
      <w:pPr>
        <w:pStyle w:val="ListParagraph"/>
        <w:ind w:left="0"/>
        <w:rPr>
          <w:color w:val="auto"/>
        </w:rPr>
      </w:pPr>
    </w:p>
    <w:p w14:paraId="16844C64" w14:textId="314E6924" w:rsidR="00494625" w:rsidRPr="00DC6A13" w:rsidRDefault="00494625">
      <w:pPr>
        <w:pStyle w:val="ListParagraph"/>
        <w:numPr>
          <w:ilvl w:val="2"/>
          <w:numId w:val="9"/>
        </w:numPr>
        <w:rPr>
          <w:color w:val="auto"/>
        </w:rPr>
      </w:pPr>
      <w:bookmarkStart w:id="6" w:name="_Ref20299899"/>
      <w:r w:rsidRPr="00DC6A13">
        <w:rPr>
          <w:color w:val="auto"/>
        </w:rPr>
        <w:t xml:space="preserve">Click </w:t>
      </w:r>
      <w:r w:rsidRPr="003D144A">
        <w:rPr>
          <w:b/>
          <w:bCs/>
          <w:color w:val="auto"/>
        </w:rPr>
        <w:t>Done</w:t>
      </w:r>
      <w:r w:rsidR="00565B66" w:rsidRPr="00DC6A13">
        <w:rPr>
          <w:color w:val="auto"/>
        </w:rPr>
        <w:t xml:space="preserve"> and s</w:t>
      </w:r>
      <w:r w:rsidRPr="00DC6A13">
        <w:rPr>
          <w:color w:val="auto"/>
        </w:rPr>
        <w:t xml:space="preserve">ave the </w:t>
      </w:r>
      <w:r w:rsidR="00B07943">
        <w:rPr>
          <w:color w:val="auto"/>
        </w:rPr>
        <w:t>m</w:t>
      </w:r>
      <w:r w:rsidR="00B07943" w:rsidRPr="00DC6A13">
        <w:rPr>
          <w:color w:val="auto"/>
        </w:rPr>
        <w:t>odel</w:t>
      </w:r>
      <w:r w:rsidR="00654635" w:rsidRPr="00DC6A13">
        <w:rPr>
          <w:color w:val="auto"/>
        </w:rPr>
        <w:t xml:space="preserve">. </w:t>
      </w:r>
      <w:r w:rsidRPr="00DC6A13">
        <w:rPr>
          <w:color w:val="auto"/>
        </w:rPr>
        <w:t xml:space="preserve">The program </w:t>
      </w:r>
      <w:r w:rsidR="00A04046" w:rsidRPr="00DC6A13">
        <w:rPr>
          <w:color w:val="auto"/>
        </w:rPr>
        <w:t>goe</w:t>
      </w:r>
      <w:r w:rsidR="00070C9F" w:rsidRPr="00DC6A13">
        <w:rPr>
          <w:color w:val="auto"/>
        </w:rPr>
        <w:t>s</w:t>
      </w:r>
      <w:r w:rsidRPr="00DC6A13">
        <w:rPr>
          <w:color w:val="auto"/>
        </w:rPr>
        <w:t xml:space="preserve"> back to the </w:t>
      </w:r>
      <w:r w:rsidRPr="003D144A">
        <w:rPr>
          <w:b/>
          <w:bCs/>
          <w:color w:val="auto"/>
        </w:rPr>
        <w:t>Kinetic Input Form</w:t>
      </w:r>
      <w:r w:rsidRPr="00DC6A13">
        <w:rPr>
          <w:color w:val="auto"/>
        </w:rPr>
        <w:t xml:space="preserve"> module and the number of disintegration</w:t>
      </w:r>
      <w:r w:rsidR="00070C9F" w:rsidRPr="00DC6A13">
        <w:rPr>
          <w:color w:val="auto"/>
        </w:rPr>
        <w:t>s</w:t>
      </w:r>
      <w:r w:rsidRPr="00DC6A13">
        <w:rPr>
          <w:color w:val="auto"/>
        </w:rPr>
        <w:t xml:space="preserve"> per unit </w:t>
      </w:r>
      <w:r w:rsidR="00A04046" w:rsidRPr="00DC6A13">
        <w:rPr>
          <w:color w:val="auto"/>
        </w:rPr>
        <w:t xml:space="preserve">of </w:t>
      </w:r>
      <w:r w:rsidRPr="00DC6A13">
        <w:rPr>
          <w:color w:val="auto"/>
        </w:rPr>
        <w:t>injected activity (</w:t>
      </w:r>
      <w:r w:rsidR="003777FB" w:rsidRPr="00DC6A13">
        <w:rPr>
          <w:color w:val="auto"/>
        </w:rPr>
        <w:t xml:space="preserve">namely </w:t>
      </w:r>
      <w:r w:rsidR="003777FB" w:rsidRPr="00DC6A13">
        <w:rPr>
          <w:i/>
          <w:color w:val="auto"/>
        </w:rPr>
        <w:t>ND</w:t>
      </w:r>
      <w:r w:rsidR="003777FB" w:rsidRPr="00DC6A13">
        <w:rPr>
          <w:color w:val="auto"/>
        </w:rPr>
        <w:t xml:space="preserve">, </w:t>
      </w:r>
      <w:r w:rsidRPr="00DC6A13">
        <w:rPr>
          <w:color w:val="auto"/>
        </w:rPr>
        <w:t xml:space="preserve">expressed in Bq*h/Bq) </w:t>
      </w:r>
      <w:r w:rsidR="00943BFB" w:rsidRPr="00DC6A13">
        <w:rPr>
          <w:color w:val="auto"/>
        </w:rPr>
        <w:t xml:space="preserve">is visualized </w:t>
      </w:r>
      <w:r w:rsidRPr="00DC6A13">
        <w:rPr>
          <w:color w:val="auto"/>
        </w:rPr>
        <w:t>for each considered organ</w:t>
      </w:r>
      <w:r w:rsidR="009F661D" w:rsidRPr="00DC6A13">
        <w:rPr>
          <w:color w:val="auto"/>
        </w:rPr>
        <w:t>.</w:t>
      </w:r>
      <w:bookmarkEnd w:id="6"/>
    </w:p>
    <w:p w14:paraId="6C73576A" w14:textId="77777777" w:rsidR="003C2297" w:rsidRPr="00DC6A13" w:rsidRDefault="003C2297">
      <w:pPr>
        <w:pStyle w:val="ListParagraph"/>
        <w:ind w:left="0"/>
        <w:rPr>
          <w:color w:val="auto"/>
        </w:rPr>
      </w:pPr>
    </w:p>
    <w:p w14:paraId="1FED7B77" w14:textId="7B387542" w:rsidR="00203B87" w:rsidRPr="00DC6A13" w:rsidRDefault="00494625">
      <w:pPr>
        <w:pStyle w:val="ListParagraph"/>
        <w:numPr>
          <w:ilvl w:val="2"/>
          <w:numId w:val="9"/>
        </w:numPr>
        <w:rPr>
          <w:color w:val="auto"/>
          <w:highlight w:val="yellow"/>
        </w:rPr>
      </w:pPr>
      <w:r w:rsidRPr="00DC6A13">
        <w:rPr>
          <w:color w:val="auto"/>
          <w:highlight w:val="yellow"/>
        </w:rPr>
        <w:lastRenderedPageBreak/>
        <w:t xml:space="preserve">Go to </w:t>
      </w:r>
      <w:r w:rsidRPr="008A3C95">
        <w:rPr>
          <w:b/>
          <w:bCs/>
          <w:color w:val="auto"/>
          <w:highlight w:val="yellow"/>
        </w:rPr>
        <w:t>Main Input Form</w:t>
      </w:r>
      <w:r w:rsidR="00654635" w:rsidRPr="00DC6A13">
        <w:rPr>
          <w:color w:val="auto"/>
          <w:highlight w:val="yellow"/>
        </w:rPr>
        <w:t xml:space="preserve">. </w:t>
      </w:r>
      <w:r w:rsidRPr="00DC6A13">
        <w:rPr>
          <w:color w:val="auto"/>
          <w:highlight w:val="yellow"/>
        </w:rPr>
        <w:t xml:space="preserve">Click on </w:t>
      </w:r>
      <w:r w:rsidRPr="008A3C95">
        <w:rPr>
          <w:b/>
          <w:bCs/>
          <w:color w:val="auto"/>
          <w:highlight w:val="yellow"/>
        </w:rPr>
        <w:t>Doses</w:t>
      </w:r>
      <w:r w:rsidR="00654635" w:rsidRPr="00DC6A13">
        <w:rPr>
          <w:color w:val="auto"/>
          <w:highlight w:val="yellow"/>
        </w:rPr>
        <w:t xml:space="preserve">, </w:t>
      </w:r>
      <w:r w:rsidR="00B07943">
        <w:rPr>
          <w:color w:val="auto"/>
          <w:highlight w:val="yellow"/>
        </w:rPr>
        <w:t xml:space="preserve">and </w:t>
      </w:r>
      <w:r w:rsidR="00654635" w:rsidRPr="00DC6A13">
        <w:rPr>
          <w:color w:val="auto"/>
          <w:highlight w:val="yellow"/>
        </w:rPr>
        <w:t xml:space="preserve">then </w:t>
      </w:r>
      <w:r w:rsidRPr="008A3C95">
        <w:rPr>
          <w:b/>
          <w:bCs/>
          <w:color w:val="auto"/>
          <w:highlight w:val="yellow"/>
        </w:rPr>
        <w:t>Modify Input Data</w:t>
      </w:r>
      <w:r w:rsidR="00654635" w:rsidRPr="00DC6A13">
        <w:rPr>
          <w:color w:val="auto"/>
          <w:highlight w:val="yellow"/>
        </w:rPr>
        <w:t xml:space="preserve">. </w:t>
      </w:r>
      <w:r w:rsidRPr="00DC6A13">
        <w:rPr>
          <w:color w:val="auto"/>
          <w:highlight w:val="yellow"/>
        </w:rPr>
        <w:t xml:space="preserve">In the box </w:t>
      </w:r>
      <w:r w:rsidR="00A04046" w:rsidRPr="00DC6A13">
        <w:rPr>
          <w:color w:val="auto"/>
          <w:highlight w:val="yellow"/>
        </w:rPr>
        <w:t>at</w:t>
      </w:r>
      <w:r w:rsidRPr="00DC6A13">
        <w:rPr>
          <w:color w:val="auto"/>
          <w:highlight w:val="yellow"/>
        </w:rPr>
        <w:t xml:space="preserve"> the bottom </w:t>
      </w:r>
      <w:r w:rsidRPr="008A3C95">
        <w:rPr>
          <w:b/>
          <w:bCs/>
          <w:color w:val="auto"/>
          <w:highlight w:val="yellow"/>
        </w:rPr>
        <w:t>Multiply all masses by:</w:t>
      </w:r>
      <w:r w:rsidR="008A3C95">
        <w:rPr>
          <w:color w:val="auto"/>
          <w:highlight w:val="yellow"/>
        </w:rPr>
        <w:t>,</w:t>
      </w:r>
      <w:r w:rsidRPr="00DC6A13">
        <w:rPr>
          <w:color w:val="auto"/>
          <w:highlight w:val="yellow"/>
        </w:rPr>
        <w:t xml:space="preserve"> insert the ratio between </w:t>
      </w:r>
      <w:r w:rsidR="00A04046" w:rsidRPr="00DC6A13">
        <w:rPr>
          <w:color w:val="auto"/>
          <w:highlight w:val="yellow"/>
        </w:rPr>
        <w:t xml:space="preserve">the </w:t>
      </w:r>
      <w:r w:rsidRPr="00DC6A13">
        <w:rPr>
          <w:color w:val="auto"/>
          <w:highlight w:val="yellow"/>
        </w:rPr>
        <w:t>patient's weight and Adult Male phantom weight (</w:t>
      </w:r>
      <w:r w:rsidR="00591C54" w:rsidRPr="00591C54">
        <w:rPr>
          <w:color w:val="auto"/>
          <w:highlight w:val="yellow"/>
        </w:rPr>
        <w:t xml:space="preserve">i.e., </w:t>
      </w:r>
      <w:r w:rsidRPr="00DC6A13">
        <w:rPr>
          <w:color w:val="auto"/>
          <w:highlight w:val="yellow"/>
        </w:rPr>
        <w:t xml:space="preserve">73.7 kg). </w:t>
      </w:r>
      <w:r w:rsidR="002F3D86" w:rsidRPr="00DC6A13">
        <w:rPr>
          <w:color w:val="auto"/>
          <w:highlight w:val="yellow"/>
        </w:rPr>
        <w:t xml:space="preserve">Click on </w:t>
      </w:r>
      <w:r w:rsidR="00A04046" w:rsidRPr="00DC6A13">
        <w:rPr>
          <w:color w:val="auto"/>
          <w:highlight w:val="yellow"/>
        </w:rPr>
        <w:t xml:space="preserve">the </w:t>
      </w:r>
      <w:r w:rsidR="002F3D86" w:rsidRPr="008A3C95">
        <w:rPr>
          <w:b/>
          <w:bCs/>
          <w:color w:val="auto"/>
          <w:highlight w:val="yellow"/>
        </w:rPr>
        <w:t>Multiply all masses by:</w:t>
      </w:r>
      <w:r w:rsidR="002F3D86" w:rsidRPr="00DC6A13">
        <w:rPr>
          <w:color w:val="auto"/>
          <w:highlight w:val="yellow"/>
        </w:rPr>
        <w:t xml:space="preserve"> button. </w:t>
      </w:r>
      <w:r w:rsidRPr="00DC6A13">
        <w:rPr>
          <w:color w:val="auto"/>
          <w:highlight w:val="yellow"/>
        </w:rPr>
        <w:t xml:space="preserve">All organ masses will be </w:t>
      </w:r>
      <w:r w:rsidR="002F3D86" w:rsidRPr="00DC6A13">
        <w:rPr>
          <w:color w:val="auto"/>
          <w:highlight w:val="yellow"/>
        </w:rPr>
        <w:t>then rescaled accordingly</w:t>
      </w:r>
      <w:r w:rsidR="00654635" w:rsidRPr="00DC6A13">
        <w:rPr>
          <w:color w:val="auto"/>
          <w:highlight w:val="yellow"/>
        </w:rPr>
        <w:t xml:space="preserve">. </w:t>
      </w:r>
      <w:r w:rsidR="002F3D86" w:rsidRPr="00DC6A13">
        <w:rPr>
          <w:color w:val="auto"/>
          <w:highlight w:val="yellow"/>
        </w:rPr>
        <w:t>Insert single organ masses as calculated fr</w:t>
      </w:r>
      <w:r w:rsidR="00E83CA1" w:rsidRPr="00DC6A13">
        <w:rPr>
          <w:color w:val="auto"/>
          <w:highlight w:val="yellow"/>
        </w:rPr>
        <w:t>o</w:t>
      </w:r>
      <w:r w:rsidR="002F3D86" w:rsidRPr="00DC6A13">
        <w:rPr>
          <w:color w:val="auto"/>
          <w:highlight w:val="yellow"/>
        </w:rPr>
        <w:t xml:space="preserve">m CT delineation for the analyzed organs. </w:t>
      </w:r>
      <w:r w:rsidR="00A04046" w:rsidRPr="00DC6A13">
        <w:rPr>
          <w:color w:val="auto"/>
          <w:highlight w:val="yellow"/>
        </w:rPr>
        <w:t>F</w:t>
      </w:r>
      <w:r w:rsidR="002F3D86" w:rsidRPr="00DC6A13">
        <w:rPr>
          <w:color w:val="auto"/>
          <w:highlight w:val="yellow"/>
        </w:rPr>
        <w:t>or paired organs such as kidneys, insert the sum of left and right kidney masses</w:t>
      </w:r>
      <w:r w:rsidR="00565B66" w:rsidRPr="00DC6A13">
        <w:rPr>
          <w:color w:val="auto"/>
          <w:highlight w:val="yellow"/>
        </w:rPr>
        <w:t xml:space="preserve">. </w:t>
      </w:r>
      <w:r w:rsidR="002F3D86" w:rsidRPr="00DC6A13">
        <w:rPr>
          <w:color w:val="auto"/>
          <w:highlight w:val="yellow"/>
        </w:rPr>
        <w:t xml:space="preserve">Click </w:t>
      </w:r>
      <w:r w:rsidR="002F3D86" w:rsidRPr="008A3C95">
        <w:rPr>
          <w:b/>
          <w:bCs/>
          <w:color w:val="auto"/>
          <w:highlight w:val="yellow"/>
        </w:rPr>
        <w:t>Done</w:t>
      </w:r>
      <w:r w:rsidR="009F661D" w:rsidRPr="00DC6A13">
        <w:rPr>
          <w:color w:val="auto"/>
          <w:highlight w:val="yellow"/>
        </w:rPr>
        <w:t>.</w:t>
      </w:r>
    </w:p>
    <w:p w14:paraId="74A644BE" w14:textId="77777777" w:rsidR="00203B87" w:rsidRPr="00DC6A13" w:rsidRDefault="00203B87">
      <w:pPr>
        <w:pStyle w:val="ListParagraph"/>
        <w:ind w:left="0"/>
        <w:rPr>
          <w:color w:val="auto"/>
        </w:rPr>
      </w:pPr>
    </w:p>
    <w:p w14:paraId="29A815ED" w14:textId="100B71CF" w:rsidR="00C95861" w:rsidRPr="00DC6A13" w:rsidRDefault="00AD2C36">
      <w:pPr>
        <w:pStyle w:val="ListParagraph"/>
        <w:numPr>
          <w:ilvl w:val="2"/>
          <w:numId w:val="9"/>
        </w:numPr>
        <w:rPr>
          <w:color w:val="auto"/>
          <w:highlight w:val="yellow"/>
        </w:rPr>
      </w:pPr>
      <w:r w:rsidRPr="00DC6A13">
        <w:rPr>
          <w:color w:val="auto"/>
          <w:highlight w:val="yellow"/>
        </w:rPr>
        <w:t xml:space="preserve">The report will display the </w:t>
      </w:r>
      <w:r w:rsidR="00CF5AFE" w:rsidRPr="00DC6A13">
        <w:rPr>
          <w:color w:val="auto"/>
          <w:highlight w:val="yellow"/>
        </w:rPr>
        <w:t xml:space="preserve">mean </w:t>
      </w:r>
      <w:r w:rsidRPr="00DC6A13">
        <w:rPr>
          <w:color w:val="auto"/>
          <w:highlight w:val="yellow"/>
        </w:rPr>
        <w:t>absorbed dose normalized to injected activity, expresse</w:t>
      </w:r>
      <w:r w:rsidR="00A04046" w:rsidRPr="00DC6A13">
        <w:rPr>
          <w:color w:val="auto"/>
          <w:highlight w:val="yellow"/>
        </w:rPr>
        <w:t>d in mGy/MBq. Take note of the t</w:t>
      </w:r>
      <w:r w:rsidRPr="00DC6A13">
        <w:rPr>
          <w:color w:val="auto"/>
          <w:highlight w:val="yellow"/>
        </w:rPr>
        <w:t>otal absorbed dose for considered organs (</w:t>
      </w:r>
      <w:r w:rsidR="00591C54" w:rsidRPr="00591C54">
        <w:rPr>
          <w:color w:val="auto"/>
          <w:highlight w:val="yellow"/>
        </w:rPr>
        <w:t xml:space="preserve">i.e., </w:t>
      </w:r>
      <w:r w:rsidRPr="00DC6A13">
        <w:rPr>
          <w:color w:val="auto"/>
          <w:highlight w:val="yellow"/>
        </w:rPr>
        <w:t>kidneys, liver, spleen</w:t>
      </w:r>
      <w:r w:rsidR="001F3C71" w:rsidRPr="00DC6A13">
        <w:rPr>
          <w:color w:val="auto"/>
          <w:highlight w:val="yellow"/>
        </w:rPr>
        <w:t xml:space="preserve">, </w:t>
      </w:r>
      <w:r w:rsidR="00A04046" w:rsidRPr="00DC6A13">
        <w:rPr>
          <w:color w:val="auto"/>
          <w:highlight w:val="yellow"/>
        </w:rPr>
        <w:t xml:space="preserve">and </w:t>
      </w:r>
      <w:r w:rsidR="001F3C71" w:rsidRPr="00DC6A13">
        <w:rPr>
          <w:color w:val="auto"/>
          <w:highlight w:val="yellow"/>
        </w:rPr>
        <w:t>Total Body</w:t>
      </w:r>
      <w:r w:rsidRPr="00DC6A13">
        <w:rPr>
          <w:color w:val="auto"/>
          <w:highlight w:val="yellow"/>
        </w:rPr>
        <w:t>)</w:t>
      </w:r>
      <w:r w:rsidR="001F3C71" w:rsidRPr="00DC6A13">
        <w:rPr>
          <w:color w:val="auto"/>
          <w:highlight w:val="yellow"/>
        </w:rPr>
        <w:t xml:space="preserve">. </w:t>
      </w:r>
    </w:p>
    <w:p w14:paraId="305DE3F7" w14:textId="77777777" w:rsidR="003C2297" w:rsidRPr="00DC6A13" w:rsidRDefault="003C2297">
      <w:pPr>
        <w:pStyle w:val="ListParagraph"/>
        <w:ind w:left="0"/>
        <w:rPr>
          <w:color w:val="auto"/>
        </w:rPr>
      </w:pPr>
    </w:p>
    <w:p w14:paraId="1CFF3D6B" w14:textId="77777777" w:rsidR="00BA4BF4" w:rsidRPr="00DC6A13" w:rsidRDefault="00BA4BF4">
      <w:pPr>
        <w:pStyle w:val="ListParagraph"/>
        <w:numPr>
          <w:ilvl w:val="2"/>
          <w:numId w:val="9"/>
        </w:numPr>
        <w:rPr>
          <w:color w:val="auto"/>
          <w:highlight w:val="yellow"/>
        </w:rPr>
      </w:pPr>
      <w:r w:rsidRPr="00DC6A13">
        <w:rPr>
          <w:color w:val="auto"/>
          <w:highlight w:val="yellow"/>
        </w:rPr>
        <w:t>Repeat for time activity curves derived from the hybrid 2D+3D SPECT/CT method</w:t>
      </w:r>
      <w:r w:rsidR="009F661D" w:rsidRPr="00DC6A13">
        <w:rPr>
          <w:color w:val="auto"/>
          <w:highlight w:val="yellow"/>
        </w:rPr>
        <w:t>.</w:t>
      </w:r>
    </w:p>
    <w:p w14:paraId="06E3FEAD" w14:textId="77777777" w:rsidR="00123E44" w:rsidRPr="00DC6A13" w:rsidRDefault="00123E44">
      <w:pPr>
        <w:pStyle w:val="ListParagraph"/>
        <w:ind w:left="0"/>
        <w:rPr>
          <w:color w:val="auto"/>
        </w:rPr>
      </w:pPr>
    </w:p>
    <w:p w14:paraId="73ADED4A" w14:textId="2219BC9C" w:rsidR="00123E44" w:rsidRPr="003D144A" w:rsidRDefault="00123E44">
      <w:pPr>
        <w:pStyle w:val="ListParagraph"/>
        <w:numPr>
          <w:ilvl w:val="1"/>
          <w:numId w:val="9"/>
        </w:numPr>
        <w:rPr>
          <w:bCs/>
          <w:color w:val="auto"/>
        </w:rPr>
      </w:pPr>
      <w:r w:rsidRPr="003D144A">
        <w:rPr>
          <w:bCs/>
          <w:color w:val="auto"/>
        </w:rPr>
        <w:t xml:space="preserve">Red </w:t>
      </w:r>
      <w:r w:rsidR="00B07943">
        <w:rPr>
          <w:bCs/>
          <w:color w:val="auto"/>
        </w:rPr>
        <w:t>m</w:t>
      </w:r>
      <w:r w:rsidR="00B07943" w:rsidRPr="003D144A">
        <w:rPr>
          <w:bCs/>
          <w:color w:val="auto"/>
        </w:rPr>
        <w:t>arrow</w:t>
      </w:r>
    </w:p>
    <w:p w14:paraId="727523CB" w14:textId="77777777" w:rsidR="003C2297" w:rsidRPr="00DC6A13" w:rsidRDefault="003C2297">
      <w:pPr>
        <w:pStyle w:val="ListParagraph"/>
        <w:ind w:left="0"/>
        <w:rPr>
          <w:b/>
          <w:color w:val="auto"/>
        </w:rPr>
      </w:pPr>
    </w:p>
    <w:p w14:paraId="6A6515FA" w14:textId="60CC6DEF" w:rsidR="00410778" w:rsidRPr="00DC6A13" w:rsidRDefault="00084D79">
      <w:pPr>
        <w:pStyle w:val="ListParagraph"/>
        <w:numPr>
          <w:ilvl w:val="2"/>
          <w:numId w:val="9"/>
        </w:numPr>
        <w:rPr>
          <w:color w:val="auto"/>
        </w:rPr>
      </w:pPr>
      <w:r>
        <w:rPr>
          <w:color w:val="auto"/>
        </w:rPr>
        <w:t>Perform s</w:t>
      </w:r>
      <w:r w:rsidR="00A04046" w:rsidRPr="00DC6A13">
        <w:rPr>
          <w:color w:val="auto"/>
        </w:rPr>
        <w:t xml:space="preserve">caling for blood values to calculate </w:t>
      </w:r>
      <w:r w:rsidR="00410778" w:rsidRPr="00DC6A13">
        <w:rPr>
          <w:color w:val="auto"/>
        </w:rPr>
        <w:t>Red Marrow dose</w:t>
      </w:r>
      <w:r w:rsidR="00A04046" w:rsidRPr="00DC6A13">
        <w:rPr>
          <w:color w:val="auto"/>
        </w:rPr>
        <w:t>.</w:t>
      </w:r>
      <w:r w:rsidR="00410778" w:rsidRPr="00DC6A13">
        <w:rPr>
          <w:color w:val="auto"/>
        </w:rPr>
        <w:t xml:space="preserve"> </w:t>
      </w:r>
    </w:p>
    <w:p w14:paraId="430912A1" w14:textId="77777777" w:rsidR="003C2297" w:rsidRPr="00DC6A13" w:rsidRDefault="003C2297">
      <w:pPr>
        <w:pStyle w:val="ListParagraph"/>
        <w:ind w:left="0"/>
        <w:rPr>
          <w:color w:val="auto"/>
        </w:rPr>
      </w:pPr>
    </w:p>
    <w:p w14:paraId="35610F75" w14:textId="5BFB5784" w:rsidR="00410778" w:rsidRPr="0049766C" w:rsidRDefault="00410778" w:rsidP="0049766C">
      <w:pPr>
        <w:pStyle w:val="ListParagraph"/>
        <w:numPr>
          <w:ilvl w:val="2"/>
          <w:numId w:val="9"/>
        </w:numPr>
        <w:rPr>
          <w:color w:val="auto"/>
        </w:rPr>
      </w:pPr>
      <w:r w:rsidRPr="00DC6A13">
        <w:rPr>
          <w:color w:val="auto"/>
        </w:rPr>
        <w:t>Calculate the blood uptake at each blood sample acquisition as</w:t>
      </w:r>
    </w:p>
    <w:p w14:paraId="679AD51E" w14:textId="77777777" w:rsidR="00C246B4" w:rsidRPr="00DC6A13" w:rsidRDefault="00E4060C">
      <w:pPr>
        <w:pStyle w:val="ListParagraph"/>
        <w:ind w:left="0"/>
        <w:rPr>
          <w:color w:val="auto"/>
        </w:rPr>
      </w:pPr>
      <m:oMathPara>
        <m:oMath>
          <m:sSub>
            <m:sSubPr>
              <m:ctrlPr>
                <w:rPr>
                  <w:rFonts w:ascii="Cambria Math" w:hAnsi="Cambria Math"/>
                  <w:i/>
                  <w:color w:val="auto"/>
                </w:rPr>
              </m:ctrlPr>
            </m:sSubPr>
            <m:e>
              <m:r>
                <w:rPr>
                  <w:rFonts w:ascii="Cambria Math" w:hAnsi="Cambria Math"/>
                  <w:color w:val="auto"/>
                </w:rPr>
                <m:t>A</m:t>
              </m:r>
            </m:e>
            <m:sub>
              <m:r>
                <w:rPr>
                  <w:rFonts w:ascii="Cambria Math" w:hAnsi="Cambria Math"/>
                  <w:color w:val="auto"/>
                </w:rPr>
                <m:t>blood, 2ml</m:t>
              </m:r>
            </m:sub>
          </m:sSub>
          <m:r>
            <w:rPr>
              <w:rFonts w:ascii="Cambria Math" w:hAnsi="Cambria Math"/>
              <w:color w:val="auto"/>
            </w:rPr>
            <m:t>=M*</m:t>
          </m:r>
          <m:sSup>
            <m:sSupPr>
              <m:ctrlPr>
                <w:rPr>
                  <w:rFonts w:ascii="Cambria Math" w:hAnsi="Cambria Math"/>
                  <w:i/>
                  <w:color w:val="auto"/>
                </w:rPr>
              </m:ctrlPr>
            </m:sSupPr>
            <m:e>
              <m:r>
                <w:rPr>
                  <w:rFonts w:ascii="Cambria Math" w:hAnsi="Cambria Math"/>
                  <w:color w:val="auto"/>
                </w:rPr>
                <m:t>e</m:t>
              </m:r>
            </m:e>
            <m:sup>
              <m:f>
                <m:fPr>
                  <m:ctrlPr>
                    <w:rPr>
                      <w:rFonts w:ascii="Cambria Math" w:hAnsi="Cambria Math"/>
                      <w:i/>
                      <w:color w:val="auto"/>
                    </w:rPr>
                  </m:ctrlPr>
                </m:fPr>
                <m:num>
                  <m:func>
                    <m:funcPr>
                      <m:ctrlPr>
                        <w:rPr>
                          <w:rFonts w:ascii="Cambria Math" w:hAnsi="Cambria Math"/>
                          <w:color w:val="auto"/>
                        </w:rPr>
                      </m:ctrlPr>
                    </m:funcPr>
                    <m:fName>
                      <m:r>
                        <m:rPr>
                          <m:sty m:val="p"/>
                        </m:rPr>
                        <w:rPr>
                          <w:rFonts w:ascii="Cambria Math" w:hAnsi="Cambria Math"/>
                          <w:color w:val="auto"/>
                        </w:rPr>
                        <m:t>ln</m:t>
                      </m:r>
                    </m:fName>
                    <m:e>
                      <m:d>
                        <m:dPr>
                          <m:ctrlPr>
                            <w:rPr>
                              <w:rFonts w:ascii="Cambria Math" w:hAnsi="Cambria Math"/>
                              <w:i/>
                              <w:color w:val="auto"/>
                            </w:rPr>
                          </m:ctrlPr>
                        </m:dPr>
                        <m:e>
                          <m:r>
                            <w:rPr>
                              <w:rFonts w:ascii="Cambria Math" w:hAnsi="Cambria Math"/>
                              <w:color w:val="auto"/>
                            </w:rPr>
                            <m:t>2</m:t>
                          </m:r>
                        </m:e>
                      </m:d>
                      <m:ctrlPr>
                        <w:rPr>
                          <w:rFonts w:ascii="Cambria Math" w:hAnsi="Cambria Math"/>
                          <w:i/>
                          <w:color w:val="auto"/>
                        </w:rPr>
                      </m:ctrlPr>
                    </m:e>
                  </m:func>
                  <m:r>
                    <w:rPr>
                      <w:rFonts w:ascii="Cambria Math" w:hAnsi="Cambria Math"/>
                      <w:color w:val="auto"/>
                    </w:rPr>
                    <m:t>*</m:t>
                  </m:r>
                  <m:r>
                    <m:rPr>
                      <m:sty m:val="p"/>
                    </m:rPr>
                    <w:rPr>
                      <w:rFonts w:ascii="Cambria Math" w:hAnsi="Cambria Math"/>
                      <w:color w:val="auto"/>
                    </w:rPr>
                    <m:t>∆t</m:t>
                  </m:r>
                </m:num>
                <m:den>
                  <m:r>
                    <m:rPr>
                      <m:sty m:val="p"/>
                    </m:rPr>
                    <w:rPr>
                      <w:rFonts w:ascii="Cambria Math" w:hAnsi="Cambria Math"/>
                      <w:color w:val="auto"/>
                    </w:rPr>
                    <m:t>τ</m:t>
                  </m:r>
                  <m:r>
                    <m:rPr>
                      <m:sty m:val="p"/>
                    </m:rPr>
                    <w:rPr>
                      <w:rFonts w:ascii="Cambria Math" w:eastAsia="Palatino Linotype" w:hAnsi="Cambria Math"/>
                      <w:color w:val="auto"/>
                    </w:rPr>
                    <m:t xml:space="preserve"> </m:t>
                  </m:r>
                </m:den>
              </m:f>
            </m:sup>
          </m:sSup>
        </m:oMath>
      </m:oMathPara>
    </w:p>
    <w:p w14:paraId="39EEC307" w14:textId="77777777" w:rsidR="00143EE3" w:rsidRPr="00DC6A13" w:rsidRDefault="00143EE3">
      <w:pPr>
        <w:pStyle w:val="ListParagraph"/>
        <w:ind w:left="0"/>
        <w:rPr>
          <w:rFonts w:eastAsia="Palatino Linotype"/>
          <w:color w:val="auto"/>
        </w:rPr>
      </w:pPr>
    </w:p>
    <w:p w14:paraId="17BCC94C" w14:textId="2B9027ED" w:rsidR="003C2297" w:rsidRPr="00DC6A13" w:rsidRDefault="00410778">
      <w:pPr>
        <w:pStyle w:val="ListParagraph"/>
        <w:ind w:left="0"/>
        <w:rPr>
          <w:rFonts w:eastAsia="Palatino Linotype"/>
          <w:color w:val="auto"/>
        </w:rPr>
      </w:pPr>
      <w:r w:rsidRPr="00DC6A13">
        <w:rPr>
          <w:rFonts w:eastAsia="Palatino Linotype"/>
          <w:color w:val="auto"/>
        </w:rPr>
        <w:t xml:space="preserve">where </w:t>
      </w:r>
      <w:r w:rsidRPr="00DC6A13">
        <w:rPr>
          <w:rFonts w:eastAsia="Palatino Linotype"/>
          <w:i/>
          <w:color w:val="auto"/>
        </w:rPr>
        <w:t>M</w:t>
      </w:r>
      <w:r w:rsidRPr="00DC6A13">
        <w:rPr>
          <w:rFonts w:eastAsia="Palatino Linotype"/>
          <w:color w:val="auto"/>
        </w:rPr>
        <w:t xml:space="preserve"> is the activity measurement [MBq] obtained with HPGe </w:t>
      </w:r>
      <w:r w:rsidR="00C92F06" w:rsidRPr="00DC6A13">
        <w:rPr>
          <w:rFonts w:eastAsia="Palatino Linotype"/>
          <w:color w:val="auto"/>
        </w:rPr>
        <w:t>2</w:t>
      </w:r>
      <w:r w:rsidR="00771DC3">
        <w:rPr>
          <w:rFonts w:eastAsia="Palatino Linotype"/>
          <w:color w:val="auto"/>
        </w:rPr>
        <w:t xml:space="preserve"> </w:t>
      </w:r>
      <w:r w:rsidR="00C92F06" w:rsidRPr="00DC6A13">
        <w:rPr>
          <w:rFonts w:eastAsia="Palatino Linotype"/>
          <w:color w:val="auto"/>
        </w:rPr>
        <w:t>m</w:t>
      </w:r>
      <w:r w:rsidR="00771DC3">
        <w:rPr>
          <w:rFonts w:eastAsia="Palatino Linotype"/>
          <w:color w:val="auto"/>
        </w:rPr>
        <w:t>L</w:t>
      </w:r>
      <w:r w:rsidR="00C92F06" w:rsidRPr="00DC6A13">
        <w:rPr>
          <w:rFonts w:eastAsia="Palatino Linotype"/>
          <w:color w:val="auto"/>
        </w:rPr>
        <w:t xml:space="preserve"> </w:t>
      </w:r>
      <w:r w:rsidRPr="00DC6A13">
        <w:rPr>
          <w:rFonts w:eastAsia="Palatino Linotype"/>
          <w:color w:val="auto"/>
        </w:rPr>
        <w:t>blood sample measurement</w:t>
      </w:r>
      <w:r w:rsidR="009F661D" w:rsidRPr="00DC6A13">
        <w:rPr>
          <w:rFonts w:eastAsia="Palatino Linotype"/>
          <w:color w:val="auto"/>
        </w:rPr>
        <w:t>.</w:t>
      </w:r>
    </w:p>
    <w:p w14:paraId="408335B6" w14:textId="77777777" w:rsidR="003C2297" w:rsidRPr="00DC6A13" w:rsidRDefault="003C2297">
      <w:pPr>
        <w:pStyle w:val="ListParagraph"/>
        <w:ind w:left="0"/>
        <w:rPr>
          <w:rFonts w:eastAsia="Palatino Linotype"/>
          <w:color w:val="auto"/>
        </w:rPr>
      </w:pPr>
    </w:p>
    <w:p w14:paraId="7CFD4EC0" w14:textId="35C9D0B3" w:rsidR="00410778" w:rsidRPr="00771DC3" w:rsidRDefault="00410778" w:rsidP="00771DC3">
      <w:pPr>
        <w:pStyle w:val="ListParagraph"/>
        <w:numPr>
          <w:ilvl w:val="2"/>
          <w:numId w:val="9"/>
        </w:numPr>
        <w:rPr>
          <w:color w:val="auto"/>
          <w:highlight w:val="yellow"/>
        </w:rPr>
      </w:pPr>
      <w:r w:rsidRPr="00DC6A13">
        <w:rPr>
          <w:color w:val="auto"/>
          <w:highlight w:val="yellow"/>
        </w:rPr>
        <w:t>Calculate the blood relative uptake</w:t>
      </w:r>
      <w:r w:rsidR="000A378E" w:rsidRPr="00DC6A13">
        <w:rPr>
          <w:color w:val="auto"/>
          <w:highlight w:val="yellow"/>
        </w:rPr>
        <w:t xml:space="preserve"> </w:t>
      </w:r>
      <m:oMath>
        <m:sSub>
          <m:sSubPr>
            <m:ctrlPr>
              <w:rPr>
                <w:rFonts w:ascii="Cambria Math" w:hAnsi="Cambria Math"/>
                <w:i/>
                <w:color w:val="auto"/>
                <w:highlight w:val="yellow"/>
              </w:rPr>
            </m:ctrlPr>
          </m:sSubPr>
          <m:e>
            <m:r>
              <w:rPr>
                <w:rFonts w:ascii="Cambria Math" w:hAnsi="Cambria Math"/>
                <w:color w:val="auto"/>
                <w:highlight w:val="yellow"/>
              </w:rPr>
              <m:t>%IA</m:t>
            </m:r>
          </m:e>
          <m:sub>
            <m:r>
              <w:rPr>
                <w:rFonts w:ascii="Cambria Math" w:hAnsi="Cambria Math"/>
                <w:color w:val="auto"/>
                <w:highlight w:val="yellow"/>
              </w:rPr>
              <m:t>blood</m:t>
            </m:r>
          </m:sub>
        </m:sSub>
      </m:oMath>
      <w:r w:rsidRPr="00DC6A13">
        <w:rPr>
          <w:color w:val="auto"/>
          <w:highlight w:val="yellow"/>
        </w:rPr>
        <w:t xml:space="preserve"> as</w:t>
      </w:r>
    </w:p>
    <w:p w14:paraId="1CC31D61" w14:textId="193BCD3E" w:rsidR="00410778" w:rsidRPr="00DC6A13" w:rsidRDefault="00E4060C">
      <w:pPr>
        <w:pStyle w:val="ListParagraph"/>
        <w:ind w:left="0"/>
        <w:rPr>
          <w:color w:val="auto"/>
          <w:highlight w:val="yellow"/>
        </w:rPr>
      </w:pPr>
      <m:oMathPara>
        <m:oMath>
          <m:sSub>
            <m:sSubPr>
              <m:ctrlPr>
                <w:rPr>
                  <w:rFonts w:ascii="Cambria Math" w:hAnsi="Cambria Math"/>
                  <w:i/>
                  <w:color w:val="auto"/>
                  <w:highlight w:val="yellow"/>
                </w:rPr>
              </m:ctrlPr>
            </m:sSubPr>
            <m:e>
              <m:r>
                <w:rPr>
                  <w:rFonts w:ascii="Cambria Math" w:hAnsi="Cambria Math"/>
                  <w:color w:val="auto"/>
                  <w:highlight w:val="yellow"/>
                </w:rPr>
                <m:t>%IA</m:t>
              </m:r>
            </m:e>
            <m:sub>
              <m:r>
                <w:rPr>
                  <w:rFonts w:ascii="Cambria Math" w:hAnsi="Cambria Math"/>
                  <w:color w:val="auto"/>
                  <w:highlight w:val="yellow"/>
                </w:rPr>
                <m:t>blood</m:t>
              </m:r>
            </m:sub>
          </m:sSub>
          <m:r>
            <w:rPr>
              <w:rFonts w:ascii="Cambria Math" w:hAnsi="Cambria Math"/>
              <w:color w:val="auto"/>
              <w:highlight w:val="yellow"/>
            </w:rPr>
            <m:t>=</m:t>
          </m:r>
          <m:f>
            <m:fPr>
              <m:ctrlPr>
                <w:rPr>
                  <w:rFonts w:ascii="Cambria Math" w:hAnsi="Cambria Math"/>
                  <w:i/>
                  <w:color w:val="auto"/>
                  <w:highlight w:val="yellow"/>
                </w:rPr>
              </m:ctrlPr>
            </m:fPr>
            <m:num>
              <m:sSub>
                <m:sSubPr>
                  <m:ctrlPr>
                    <w:rPr>
                      <w:rFonts w:ascii="Cambria Math" w:hAnsi="Cambria Math"/>
                      <w:i/>
                      <w:color w:val="auto"/>
                      <w:highlight w:val="yellow"/>
                    </w:rPr>
                  </m:ctrlPr>
                </m:sSubPr>
                <m:e>
                  <m:r>
                    <w:rPr>
                      <w:rFonts w:ascii="Cambria Math" w:hAnsi="Cambria Math"/>
                      <w:color w:val="auto"/>
                      <w:highlight w:val="yellow"/>
                    </w:rPr>
                    <m:t>A</m:t>
                  </m:r>
                </m:e>
                <m:sub>
                  <m:r>
                    <w:rPr>
                      <w:rFonts w:ascii="Cambria Math" w:hAnsi="Cambria Math"/>
                      <w:color w:val="auto"/>
                      <w:highlight w:val="yellow"/>
                    </w:rPr>
                    <m:t>blood, 2ml</m:t>
                  </m:r>
                </m:sub>
              </m:sSub>
            </m:num>
            <m:den>
              <m:sSub>
                <m:sSubPr>
                  <m:ctrlPr>
                    <w:rPr>
                      <w:rFonts w:ascii="Cambria Math" w:hAnsi="Cambria Math"/>
                      <w:i/>
                      <w:color w:val="auto"/>
                      <w:highlight w:val="yellow"/>
                    </w:rPr>
                  </m:ctrlPr>
                </m:sSubPr>
                <m:e>
                  <m:r>
                    <w:rPr>
                      <w:rFonts w:ascii="Cambria Math" w:hAnsi="Cambria Math"/>
                      <w:color w:val="auto"/>
                      <w:highlight w:val="yellow"/>
                    </w:rPr>
                    <m:t>A</m:t>
                  </m:r>
                </m:e>
                <m:sub>
                  <m:r>
                    <w:rPr>
                      <w:rFonts w:ascii="Cambria Math" w:hAnsi="Cambria Math"/>
                      <w:color w:val="auto"/>
                      <w:highlight w:val="yellow"/>
                    </w:rPr>
                    <m:t>inj</m:t>
                  </m:r>
                </m:sub>
              </m:sSub>
            </m:den>
          </m:f>
          <m:r>
            <w:rPr>
              <w:rFonts w:ascii="Cambria Math" w:hAnsi="Cambria Math"/>
              <w:color w:val="auto"/>
              <w:highlight w:val="yellow"/>
            </w:rPr>
            <m:t>*</m:t>
          </m:r>
          <m:f>
            <m:fPr>
              <m:ctrlPr>
                <w:rPr>
                  <w:rFonts w:ascii="Cambria Math" w:hAnsi="Cambria Math"/>
                  <w:i/>
                  <w:color w:val="auto"/>
                  <w:highlight w:val="yellow"/>
                </w:rPr>
              </m:ctrlPr>
            </m:fPr>
            <m:num>
              <m:r>
                <w:rPr>
                  <w:rFonts w:ascii="Cambria Math" w:hAnsi="Cambria Math"/>
                  <w:color w:val="auto"/>
                  <w:highlight w:val="yellow"/>
                </w:rPr>
                <m:t>2 mL</m:t>
              </m:r>
            </m:num>
            <m:den>
              <m:r>
                <w:rPr>
                  <w:rFonts w:ascii="Cambria Math" w:hAnsi="Cambria Math"/>
                  <w:color w:val="auto"/>
                  <w:highlight w:val="yellow"/>
                </w:rPr>
                <m:t>blood volume [ml]</m:t>
              </m:r>
            </m:den>
          </m:f>
          <m:r>
            <w:rPr>
              <w:rFonts w:ascii="Cambria Math" w:hAnsi="Cambria Math"/>
              <w:color w:val="auto"/>
              <w:highlight w:val="yellow"/>
            </w:rPr>
            <m:t>*100</m:t>
          </m:r>
        </m:oMath>
      </m:oMathPara>
    </w:p>
    <w:p w14:paraId="044ACF02" w14:textId="77777777" w:rsidR="00410778" w:rsidRPr="00DC6A13" w:rsidRDefault="00410778">
      <w:pPr>
        <w:pStyle w:val="ListParagraph"/>
        <w:ind w:left="0"/>
        <w:rPr>
          <w:color w:val="auto"/>
          <w:highlight w:val="yellow"/>
        </w:rPr>
      </w:pPr>
    </w:p>
    <w:p w14:paraId="44F43F1E" w14:textId="77777777" w:rsidR="003C2297" w:rsidRPr="00DC6A13" w:rsidRDefault="00410778">
      <w:pPr>
        <w:pStyle w:val="ListParagraph"/>
        <w:ind w:left="0"/>
        <w:rPr>
          <w:color w:val="auto"/>
        </w:rPr>
      </w:pPr>
      <w:r w:rsidRPr="00771DC3">
        <w:rPr>
          <w:color w:val="auto"/>
        </w:rPr>
        <w:t xml:space="preserve">where </w:t>
      </w:r>
      <w:r w:rsidR="00C92F06" w:rsidRPr="00771DC3">
        <w:rPr>
          <w:i/>
          <w:color w:val="auto"/>
        </w:rPr>
        <w:t>blood volume</w:t>
      </w:r>
      <w:r w:rsidR="00C92F06" w:rsidRPr="00771DC3">
        <w:rPr>
          <w:color w:val="auto"/>
        </w:rPr>
        <w:t xml:space="preserve"> [m</w:t>
      </w:r>
      <w:r w:rsidR="00A04046" w:rsidRPr="00771DC3">
        <w:rPr>
          <w:color w:val="auto"/>
        </w:rPr>
        <w:t>L</w:t>
      </w:r>
      <w:r w:rsidR="00C92F06" w:rsidRPr="00771DC3">
        <w:rPr>
          <w:color w:val="auto"/>
        </w:rPr>
        <w:t>] is the total blood volume estimation for the specific patient</w:t>
      </w:r>
      <w:r w:rsidR="005F2D0C" w:rsidRPr="00771DC3">
        <w:rPr>
          <w:color w:val="auto"/>
        </w:rPr>
        <w:t>. This value is taken from the Adult Male standard phantom values</w:t>
      </w:r>
      <w:r w:rsidR="00D042A0" w:rsidRPr="00771DC3">
        <w:rPr>
          <w:rStyle w:val="FootnoteReference"/>
          <w:color w:val="auto"/>
        </w:rPr>
        <w:fldChar w:fldCharType="begin" w:fldLock="1"/>
      </w:r>
      <w:r w:rsidR="00DD6478" w:rsidRPr="00771DC3">
        <w:rPr>
          <w:color w:val="auto"/>
        </w:rPr>
        <w:instrText>ADDIN CSL_CITATION {"citationItems":[{"id":"ITEM-1","itemData":{"DOI":"10.1016/j.icrp.2006.06.001","ISSN":"01466453","abstract":"This report presents detailed information on age- and gender-related differences in the anatomical and physiological characteristics of reference individuals. These reference values provide needed input to prospective dosimetry calculations for radiation protection purposes for both workers and members of the general public. The purpose of this report is to consolidate and unify in one publication, important new information on reference anatomical and physiological values that has become available since Publication 23 was published by the ICRP in 1975. There are two aspects of this work. The first is to revise and extend the information in Publication 23 as appropriate. The second is to provide additional information on individual variation among grossly normal individuals resulting from differences in age, gender, race, or other factors. This publication collects, unifies, and expands the updated ICRP reference values for the purpose of providing a comprehensive and consistent set of age- and gender-specific reference values for anatomical and physiological features of the human body pertinent to radiation dosimetry. The reference values given in this report are based on: (a) anatomical and physiological information not published before by the ICRP; (b) recent ICRP publications containing reference value information; and (c) information in Publication 23 that is still considered valid and appropriate for radiation protection purposes. Moving from the past emphasis on 'Reference Man', the new report presents a series of reference values for both male and female subjects of six different ages: newborn, 1 year, 5 years, 10 years, 15 years, and adult. In selecting reference values, the Commission has used data on Western Europeans and North Americans because these populations have been well studied with respect to antomy, body composition, and physiology. When appropriate, comparisons are made between the chosen reference values and data from several Asian populations. The first section of the report provides summary tables of all the anatomical and physiological parameters given as reference values in this publication. These results give a comprehensive view of reference values for an individual as influenced by age and gender. The second section describes characteristics of dosimetric importance for the embryo and fetus. Information is provided on the development of the total body and the timing of appearance and development of the various organ systems.…","author":[{"dropping-particle":"","family":"Valentin","given":"J.","non-dropping-particle":"","parse-names":false,"suffix":""}],"container-title":"Annals of ICRP","id":"ITEM-1","issued":{"date-parts":[["2002"]]},"page":"5-265","title":"Basic anatomical and physiological data for use in radiological protection: reference values","type":"article-journal","volume":"32"},"uris":["http://www.mendeley.com/documents/?uuid=11609dfb-4a07-437a-a617-52cc907f1be6"]}],"mendeley":{"formattedCitation":"&lt;sup&gt;10&lt;/sup&gt;","plainTextFormattedCitation":"10","previouslyFormattedCitation":"&lt;sup&gt;10&lt;/sup&gt;"},"properties":{"noteIndex":0},"schema":"https://github.com/citation-style-language/schema/raw/master/csl-citation.json"}</w:instrText>
      </w:r>
      <w:r w:rsidR="00D042A0" w:rsidRPr="00771DC3">
        <w:rPr>
          <w:rStyle w:val="FootnoteReference"/>
          <w:color w:val="auto"/>
        </w:rPr>
        <w:fldChar w:fldCharType="separate"/>
      </w:r>
      <w:r w:rsidR="00975AF0" w:rsidRPr="00771DC3">
        <w:rPr>
          <w:bCs/>
          <w:noProof/>
          <w:color w:val="auto"/>
          <w:vertAlign w:val="superscript"/>
          <w:lang w:val="it-IT"/>
        </w:rPr>
        <w:t>10</w:t>
      </w:r>
      <w:r w:rsidR="00D042A0" w:rsidRPr="00771DC3">
        <w:rPr>
          <w:rStyle w:val="FootnoteReference"/>
          <w:color w:val="auto"/>
        </w:rPr>
        <w:fldChar w:fldCharType="end"/>
      </w:r>
      <w:r w:rsidR="009F661D" w:rsidRPr="00771DC3">
        <w:rPr>
          <w:color w:val="auto"/>
        </w:rPr>
        <w:t>.</w:t>
      </w:r>
    </w:p>
    <w:p w14:paraId="69262EFF" w14:textId="77777777" w:rsidR="003C2297" w:rsidRPr="00DC6A13" w:rsidRDefault="003C2297">
      <w:pPr>
        <w:pStyle w:val="ListParagraph"/>
        <w:ind w:left="0"/>
        <w:rPr>
          <w:color w:val="auto"/>
        </w:rPr>
      </w:pPr>
    </w:p>
    <w:p w14:paraId="2734ABDC" w14:textId="76032BBA" w:rsidR="00410778" w:rsidRPr="0049766C" w:rsidRDefault="00410778" w:rsidP="0049766C">
      <w:pPr>
        <w:pStyle w:val="ListParagraph"/>
        <w:numPr>
          <w:ilvl w:val="2"/>
          <w:numId w:val="9"/>
        </w:numPr>
        <w:rPr>
          <w:color w:val="auto"/>
          <w:highlight w:val="yellow"/>
        </w:rPr>
      </w:pPr>
      <w:r w:rsidRPr="00DC6A13">
        <w:rPr>
          <w:color w:val="auto"/>
          <w:highlight w:val="yellow"/>
        </w:rPr>
        <w:t>Rescale to Red Marrow (RM) mass</w:t>
      </w:r>
      <w:r w:rsidR="000A378E" w:rsidRPr="00DC6A13">
        <w:rPr>
          <w:color w:val="auto"/>
          <w:highlight w:val="yellow"/>
        </w:rPr>
        <w:t xml:space="preserve"> and calculate the RM relative uptake </w:t>
      </w:r>
      <m:oMath>
        <m:sSub>
          <m:sSubPr>
            <m:ctrlPr>
              <w:rPr>
                <w:rFonts w:ascii="Cambria Math" w:hAnsi="Cambria Math"/>
                <w:i/>
                <w:color w:val="auto"/>
                <w:highlight w:val="yellow"/>
              </w:rPr>
            </m:ctrlPr>
          </m:sSubPr>
          <m:e>
            <m:r>
              <w:rPr>
                <w:rFonts w:ascii="Cambria Math" w:hAnsi="Cambria Math"/>
                <w:color w:val="auto"/>
                <w:highlight w:val="yellow"/>
              </w:rPr>
              <m:t>%IA</m:t>
            </m:r>
          </m:e>
          <m:sub>
            <m:r>
              <w:rPr>
                <w:rFonts w:ascii="Cambria Math" w:hAnsi="Cambria Math"/>
                <w:color w:val="auto"/>
                <w:highlight w:val="yellow"/>
              </w:rPr>
              <m:t>RM</m:t>
            </m:r>
          </m:sub>
        </m:sSub>
      </m:oMath>
      <w:r w:rsidR="000A378E" w:rsidRPr="00DC6A13">
        <w:rPr>
          <w:color w:val="auto"/>
          <w:highlight w:val="yellow"/>
        </w:rPr>
        <w:t xml:space="preserve"> as </w:t>
      </w:r>
    </w:p>
    <w:p w14:paraId="2AB1CBE6" w14:textId="77777777" w:rsidR="00410778" w:rsidRPr="00DC6A13" w:rsidRDefault="00E4060C">
      <w:pPr>
        <w:pStyle w:val="ListParagraph"/>
        <w:ind w:left="0"/>
        <w:rPr>
          <w:color w:val="auto"/>
        </w:rPr>
      </w:pPr>
      <m:oMathPara>
        <m:oMath>
          <m:sSub>
            <m:sSubPr>
              <m:ctrlPr>
                <w:rPr>
                  <w:rFonts w:ascii="Cambria Math" w:hAnsi="Cambria Math"/>
                  <w:i/>
                  <w:color w:val="auto"/>
                  <w:highlight w:val="yellow"/>
                </w:rPr>
              </m:ctrlPr>
            </m:sSubPr>
            <m:e>
              <m:r>
                <w:rPr>
                  <w:rFonts w:ascii="Cambria Math" w:hAnsi="Cambria Math"/>
                  <w:color w:val="auto"/>
                  <w:highlight w:val="yellow"/>
                </w:rPr>
                <m:t>%IA</m:t>
              </m:r>
            </m:e>
            <m:sub>
              <m:r>
                <w:rPr>
                  <w:rFonts w:ascii="Cambria Math" w:hAnsi="Cambria Math"/>
                  <w:color w:val="auto"/>
                  <w:highlight w:val="yellow"/>
                </w:rPr>
                <m:t>RM</m:t>
              </m:r>
            </m:sub>
          </m:sSub>
          <m:r>
            <w:rPr>
              <w:rFonts w:ascii="Cambria Math" w:hAnsi="Cambria Math"/>
              <w:color w:val="auto"/>
              <w:highlight w:val="yellow"/>
            </w:rPr>
            <m:t>=</m:t>
          </m:r>
          <m:sSub>
            <m:sSubPr>
              <m:ctrlPr>
                <w:rPr>
                  <w:rFonts w:ascii="Cambria Math" w:hAnsi="Cambria Math"/>
                  <w:i/>
                  <w:color w:val="auto"/>
                  <w:highlight w:val="yellow"/>
                </w:rPr>
              </m:ctrlPr>
            </m:sSubPr>
            <m:e>
              <m:r>
                <w:rPr>
                  <w:rFonts w:ascii="Cambria Math" w:hAnsi="Cambria Math"/>
                  <w:color w:val="auto"/>
                  <w:highlight w:val="yellow"/>
                </w:rPr>
                <m:t>%IA</m:t>
              </m:r>
            </m:e>
            <m:sub>
              <m:r>
                <w:rPr>
                  <w:rFonts w:ascii="Cambria Math" w:hAnsi="Cambria Math"/>
                  <w:color w:val="auto"/>
                  <w:highlight w:val="yellow"/>
                </w:rPr>
                <m:t>blood</m:t>
              </m:r>
            </m:sub>
          </m:sSub>
          <m:r>
            <w:rPr>
              <w:rFonts w:ascii="Cambria Math" w:hAnsi="Cambria Math"/>
              <w:color w:val="auto"/>
              <w:highlight w:val="yellow"/>
            </w:rPr>
            <m:t>*</m:t>
          </m:r>
          <m:f>
            <m:fPr>
              <m:ctrlPr>
                <w:rPr>
                  <w:rFonts w:ascii="Cambria Math" w:hAnsi="Cambria Math"/>
                  <w:i/>
                  <w:color w:val="auto"/>
                  <w:highlight w:val="yellow"/>
                </w:rPr>
              </m:ctrlPr>
            </m:fPr>
            <m:num>
              <m:sSub>
                <m:sSubPr>
                  <m:ctrlPr>
                    <w:rPr>
                      <w:rFonts w:ascii="Cambria Math" w:hAnsi="Cambria Math"/>
                      <w:i/>
                      <w:color w:val="auto"/>
                      <w:highlight w:val="yellow"/>
                    </w:rPr>
                  </m:ctrlPr>
                </m:sSubPr>
                <m:e>
                  <m:r>
                    <w:rPr>
                      <w:rFonts w:ascii="Cambria Math" w:hAnsi="Cambria Math"/>
                      <w:color w:val="auto"/>
                      <w:highlight w:val="yellow"/>
                    </w:rPr>
                    <m:t>m</m:t>
                  </m:r>
                </m:e>
                <m:sub>
                  <m:r>
                    <w:rPr>
                      <w:rFonts w:ascii="Cambria Math" w:hAnsi="Cambria Math"/>
                      <w:color w:val="auto"/>
                      <w:highlight w:val="yellow"/>
                    </w:rPr>
                    <m:t>RM</m:t>
                  </m:r>
                </m:sub>
              </m:sSub>
            </m:num>
            <m:den>
              <m:sSub>
                <m:sSubPr>
                  <m:ctrlPr>
                    <w:rPr>
                      <w:rFonts w:ascii="Cambria Math" w:hAnsi="Cambria Math"/>
                      <w:i/>
                      <w:color w:val="auto"/>
                      <w:highlight w:val="yellow"/>
                    </w:rPr>
                  </m:ctrlPr>
                </m:sSubPr>
                <m:e>
                  <m:r>
                    <w:rPr>
                      <w:rFonts w:ascii="Cambria Math" w:hAnsi="Cambria Math"/>
                      <w:color w:val="auto"/>
                      <w:highlight w:val="yellow"/>
                    </w:rPr>
                    <m:t>m</m:t>
                  </m:r>
                </m:e>
                <m:sub>
                  <m:r>
                    <w:rPr>
                      <w:rFonts w:ascii="Cambria Math" w:hAnsi="Cambria Math"/>
                      <w:color w:val="auto"/>
                      <w:highlight w:val="yellow"/>
                    </w:rPr>
                    <m:t>blood</m:t>
                  </m:r>
                </m:sub>
              </m:sSub>
            </m:den>
          </m:f>
        </m:oMath>
      </m:oMathPara>
    </w:p>
    <w:bookmarkEnd w:id="0"/>
    <w:p w14:paraId="01E7FA25" w14:textId="77777777" w:rsidR="00410778" w:rsidRPr="00DC6A13" w:rsidRDefault="00410778">
      <w:pPr>
        <w:rPr>
          <w:color w:val="auto"/>
        </w:rPr>
      </w:pPr>
    </w:p>
    <w:p w14:paraId="3B740AC6" w14:textId="77777777" w:rsidR="003C2297" w:rsidRPr="00DC6A13" w:rsidRDefault="00873D55">
      <w:pPr>
        <w:pStyle w:val="ListParagraph"/>
        <w:ind w:left="0"/>
        <w:rPr>
          <w:color w:val="auto"/>
        </w:rPr>
      </w:pPr>
      <w:r w:rsidRPr="00DC6A13">
        <w:rPr>
          <w:color w:val="auto"/>
        </w:rPr>
        <w:t xml:space="preserve">where </w:t>
      </w:r>
      <m:oMath>
        <m:f>
          <m:fPr>
            <m:ctrlPr>
              <w:rPr>
                <w:rFonts w:ascii="Cambria Math" w:hAnsi="Cambria Math"/>
                <w:i/>
                <w:color w:val="auto"/>
              </w:rPr>
            </m:ctrlPr>
          </m:fPr>
          <m:num>
            <m:sSub>
              <m:sSubPr>
                <m:ctrlPr>
                  <w:rPr>
                    <w:rFonts w:ascii="Cambria Math" w:hAnsi="Cambria Math"/>
                    <w:i/>
                    <w:color w:val="auto"/>
                  </w:rPr>
                </m:ctrlPr>
              </m:sSubPr>
              <m:e>
                <m:r>
                  <w:rPr>
                    <w:rFonts w:ascii="Cambria Math" w:hAnsi="Cambria Math"/>
                    <w:color w:val="auto"/>
                  </w:rPr>
                  <m:t>m</m:t>
                </m:r>
              </m:e>
              <m:sub>
                <m:r>
                  <w:rPr>
                    <w:rFonts w:ascii="Cambria Math" w:hAnsi="Cambria Math"/>
                    <w:color w:val="auto"/>
                  </w:rPr>
                  <m:t>RM</m:t>
                </m:r>
              </m:sub>
            </m:sSub>
          </m:num>
          <m:den>
            <m:sSub>
              <m:sSubPr>
                <m:ctrlPr>
                  <w:rPr>
                    <w:rFonts w:ascii="Cambria Math" w:hAnsi="Cambria Math"/>
                    <w:i/>
                    <w:color w:val="auto"/>
                  </w:rPr>
                </m:ctrlPr>
              </m:sSubPr>
              <m:e>
                <m:r>
                  <w:rPr>
                    <w:rFonts w:ascii="Cambria Math" w:hAnsi="Cambria Math"/>
                    <w:color w:val="auto"/>
                  </w:rPr>
                  <m:t>m</m:t>
                </m:r>
              </m:e>
              <m:sub>
                <m:r>
                  <w:rPr>
                    <w:rFonts w:ascii="Cambria Math" w:hAnsi="Cambria Math"/>
                    <w:color w:val="auto"/>
                  </w:rPr>
                  <m:t>blood</m:t>
                </m:r>
              </m:sub>
            </m:sSub>
          </m:den>
        </m:f>
      </m:oMath>
      <w:r w:rsidRPr="00DC6A13">
        <w:rPr>
          <w:color w:val="auto"/>
        </w:rPr>
        <w:t xml:space="preserve"> is the ratio of standard Adult Male phantom of </w:t>
      </w:r>
      <m:oMath>
        <m:sSub>
          <m:sSubPr>
            <m:ctrlPr>
              <w:rPr>
                <w:rFonts w:ascii="Cambria Math" w:hAnsi="Cambria Math"/>
                <w:i/>
                <w:color w:val="auto"/>
              </w:rPr>
            </m:ctrlPr>
          </m:sSubPr>
          <m:e>
            <m:r>
              <w:rPr>
                <w:rFonts w:ascii="Cambria Math" w:hAnsi="Cambria Math"/>
                <w:color w:val="auto"/>
              </w:rPr>
              <m:t>m</m:t>
            </m:r>
          </m:e>
          <m:sub>
            <m:r>
              <w:rPr>
                <w:rFonts w:ascii="Cambria Math" w:hAnsi="Cambria Math"/>
                <w:color w:val="auto"/>
              </w:rPr>
              <m:t>RM</m:t>
            </m:r>
          </m:sub>
        </m:sSub>
      </m:oMath>
      <w:r w:rsidRPr="00DC6A13">
        <w:rPr>
          <w:color w:val="auto"/>
        </w:rPr>
        <w:t xml:space="preserve"> (Red Marrow mass) equal to 1120 g and </w:t>
      </w:r>
      <m:oMath>
        <m:sSub>
          <m:sSubPr>
            <m:ctrlPr>
              <w:rPr>
                <w:rFonts w:ascii="Cambria Math" w:hAnsi="Cambria Math"/>
                <w:i/>
                <w:color w:val="auto"/>
              </w:rPr>
            </m:ctrlPr>
          </m:sSubPr>
          <m:e>
            <m:r>
              <w:rPr>
                <w:rFonts w:ascii="Cambria Math" w:hAnsi="Cambria Math"/>
                <w:color w:val="auto"/>
              </w:rPr>
              <m:t>m</m:t>
            </m:r>
          </m:e>
          <m:sub>
            <m:r>
              <w:rPr>
                <w:rFonts w:ascii="Cambria Math" w:hAnsi="Cambria Math"/>
                <w:color w:val="auto"/>
              </w:rPr>
              <m:t>blood</m:t>
            </m:r>
          </m:sub>
        </m:sSub>
      </m:oMath>
      <w:r w:rsidRPr="00DC6A13">
        <w:rPr>
          <w:color w:val="auto"/>
        </w:rPr>
        <w:t xml:space="preserve"> (whole body blood mass) equal to 5000 g</w:t>
      </w:r>
      <w:r w:rsidR="009F661D" w:rsidRPr="00DC6A13">
        <w:rPr>
          <w:color w:val="auto"/>
        </w:rPr>
        <w:t>.</w:t>
      </w:r>
    </w:p>
    <w:p w14:paraId="6DCE23A6" w14:textId="77777777" w:rsidR="003C2297" w:rsidRPr="00DC6A13" w:rsidRDefault="003C2297">
      <w:pPr>
        <w:pStyle w:val="ListParagraph"/>
        <w:ind w:left="0"/>
        <w:rPr>
          <w:color w:val="auto"/>
        </w:rPr>
      </w:pPr>
    </w:p>
    <w:p w14:paraId="183A805B" w14:textId="601CB5B8" w:rsidR="00873D55" w:rsidRPr="00DC6A13" w:rsidRDefault="00887673">
      <w:pPr>
        <w:pStyle w:val="ListParagraph"/>
        <w:numPr>
          <w:ilvl w:val="2"/>
          <w:numId w:val="9"/>
        </w:numPr>
        <w:rPr>
          <w:color w:val="auto"/>
        </w:rPr>
      </w:pPr>
      <w:r w:rsidRPr="00DC6A13">
        <w:rPr>
          <w:color w:val="auto"/>
        </w:rPr>
        <w:t>G</w:t>
      </w:r>
      <w:r w:rsidR="00873D55" w:rsidRPr="00DC6A13">
        <w:rPr>
          <w:color w:val="auto"/>
        </w:rPr>
        <w:t xml:space="preserve">o to </w:t>
      </w:r>
      <w:r w:rsidR="00873D55" w:rsidRPr="008A3C95">
        <w:rPr>
          <w:b/>
          <w:bCs/>
          <w:color w:val="auto"/>
        </w:rPr>
        <w:t>Kinetic Input Form</w:t>
      </w:r>
      <w:r w:rsidR="00873D55" w:rsidRPr="00DC6A13">
        <w:rPr>
          <w:color w:val="auto"/>
        </w:rPr>
        <w:t xml:space="preserve"> module and click </w:t>
      </w:r>
      <w:r w:rsidR="00873D55" w:rsidRPr="008A3C95">
        <w:rPr>
          <w:b/>
          <w:bCs/>
          <w:color w:val="auto"/>
        </w:rPr>
        <w:t>Clear All Data</w:t>
      </w:r>
      <w:r w:rsidR="00654635" w:rsidRPr="00DC6A13">
        <w:rPr>
          <w:color w:val="auto"/>
        </w:rPr>
        <w:t xml:space="preserve">. </w:t>
      </w:r>
      <w:r w:rsidR="00873D55" w:rsidRPr="00DC6A13">
        <w:rPr>
          <w:color w:val="auto"/>
        </w:rPr>
        <w:t xml:space="preserve">Click on </w:t>
      </w:r>
      <w:r w:rsidR="00873D55" w:rsidRPr="008A3C95">
        <w:rPr>
          <w:b/>
          <w:bCs/>
          <w:color w:val="auto"/>
        </w:rPr>
        <w:t>Fit to Model</w:t>
      </w:r>
      <w:r w:rsidR="00654635" w:rsidRPr="00DC6A13">
        <w:rPr>
          <w:color w:val="auto"/>
        </w:rPr>
        <w:t xml:space="preserve">. </w:t>
      </w:r>
      <w:r w:rsidR="00873D55" w:rsidRPr="00DC6A13">
        <w:rPr>
          <w:color w:val="auto"/>
        </w:rPr>
        <w:t>Scroll down the organ menu and select Red Marrow</w:t>
      </w:r>
      <w:r w:rsidR="009F661D" w:rsidRPr="00DC6A13">
        <w:rPr>
          <w:color w:val="auto"/>
        </w:rPr>
        <w:t>.</w:t>
      </w:r>
    </w:p>
    <w:p w14:paraId="5A784353" w14:textId="77777777" w:rsidR="00DC6A13" w:rsidRPr="00DC6A13" w:rsidRDefault="00DC6A13">
      <w:pPr>
        <w:pStyle w:val="ListParagraph"/>
        <w:ind w:left="0"/>
        <w:rPr>
          <w:color w:val="auto"/>
        </w:rPr>
      </w:pPr>
    </w:p>
    <w:p w14:paraId="175AF003" w14:textId="53061386" w:rsidR="00656867" w:rsidRPr="00DC6A13" w:rsidRDefault="00873D55">
      <w:pPr>
        <w:pStyle w:val="ListParagraph"/>
        <w:numPr>
          <w:ilvl w:val="2"/>
          <w:numId w:val="9"/>
        </w:numPr>
        <w:rPr>
          <w:color w:val="auto"/>
        </w:rPr>
      </w:pPr>
      <w:r w:rsidRPr="00DC6A13">
        <w:rPr>
          <w:color w:val="auto"/>
        </w:rPr>
        <w:t xml:space="preserve">In the </w:t>
      </w:r>
      <w:r w:rsidRPr="008A3C95">
        <w:rPr>
          <w:b/>
          <w:bCs/>
          <w:color w:val="auto"/>
        </w:rPr>
        <w:t>Time (Hr)</w:t>
      </w:r>
      <w:r w:rsidRPr="00DC6A13">
        <w:rPr>
          <w:color w:val="auto"/>
        </w:rPr>
        <w:t xml:space="preserve"> column, insert the hour</w:t>
      </w:r>
      <w:r w:rsidR="000A378E" w:rsidRPr="00DC6A13">
        <w:rPr>
          <w:color w:val="auto"/>
        </w:rPr>
        <w:t>s</w:t>
      </w:r>
      <w:r w:rsidRPr="00DC6A13">
        <w:rPr>
          <w:color w:val="auto"/>
        </w:rPr>
        <w:t xml:space="preserve"> post infusion for each blood sample acquisition in hour format (</w:t>
      </w:r>
      <w:r w:rsidR="00591C54" w:rsidRPr="00591C54">
        <w:rPr>
          <w:color w:val="auto"/>
        </w:rPr>
        <w:t xml:space="preserve">i.e., </w:t>
      </w:r>
      <w:r w:rsidRPr="00DC6A13">
        <w:rPr>
          <w:color w:val="auto"/>
        </w:rPr>
        <w:t>1 h and 30 min will be 1.50)</w:t>
      </w:r>
      <w:r w:rsidR="00654635" w:rsidRPr="00DC6A13">
        <w:rPr>
          <w:color w:val="auto"/>
        </w:rPr>
        <w:t xml:space="preserve">. </w:t>
      </w:r>
      <w:r w:rsidRPr="00DC6A13">
        <w:rPr>
          <w:color w:val="auto"/>
        </w:rPr>
        <w:t xml:space="preserve">Insert the values of </w:t>
      </w:r>
      <m:oMath>
        <m:sSub>
          <m:sSubPr>
            <m:ctrlPr>
              <w:rPr>
                <w:rFonts w:ascii="Cambria Math" w:hAnsi="Cambria Math"/>
                <w:i/>
                <w:color w:val="auto"/>
              </w:rPr>
            </m:ctrlPr>
          </m:sSubPr>
          <m:e>
            <m:r>
              <w:rPr>
                <w:rFonts w:ascii="Cambria Math" w:hAnsi="Cambria Math"/>
                <w:color w:val="auto"/>
              </w:rPr>
              <m:t>%IA</m:t>
            </m:r>
          </m:e>
          <m:sub>
            <m:r>
              <w:rPr>
                <w:rFonts w:ascii="Cambria Math" w:hAnsi="Cambria Math"/>
                <w:color w:val="auto"/>
              </w:rPr>
              <m:t>RM</m:t>
            </m:r>
          </m:sub>
        </m:sSub>
      </m:oMath>
      <w:r w:rsidR="00654635" w:rsidRPr="00DC6A13">
        <w:rPr>
          <w:color w:val="auto"/>
        </w:rPr>
        <w:t xml:space="preserve">. </w:t>
      </w:r>
      <w:r w:rsidR="00084D79">
        <w:rPr>
          <w:color w:val="auto"/>
        </w:rPr>
        <w:t>Repeat steps</w:t>
      </w:r>
      <w:r w:rsidR="00656867" w:rsidRPr="00DC6A13">
        <w:rPr>
          <w:color w:val="auto"/>
        </w:rPr>
        <w:t xml:space="preserve"> </w:t>
      </w:r>
      <w:r w:rsidR="00DC6A13" w:rsidRPr="00DC6A13">
        <w:rPr>
          <w:color w:val="auto"/>
        </w:rPr>
        <w:fldChar w:fldCharType="begin"/>
      </w:r>
      <w:r w:rsidR="00DC6A13" w:rsidRPr="00DC6A13">
        <w:rPr>
          <w:color w:val="auto"/>
        </w:rPr>
        <w:instrText xml:space="preserve"> REF _Ref11337688 \r \h  \* MERGEFORMAT </w:instrText>
      </w:r>
      <w:r w:rsidR="00DC6A13" w:rsidRPr="00DC6A13">
        <w:rPr>
          <w:color w:val="auto"/>
        </w:rPr>
      </w:r>
      <w:r w:rsidR="00DC6A13" w:rsidRPr="00DC6A13">
        <w:rPr>
          <w:color w:val="auto"/>
        </w:rPr>
        <w:fldChar w:fldCharType="separate"/>
      </w:r>
      <w:r w:rsidR="009D1A4F" w:rsidRPr="00DC6A13">
        <w:rPr>
          <w:color w:val="auto"/>
        </w:rPr>
        <w:t>6.3.5</w:t>
      </w:r>
      <w:r w:rsidR="00DC6A13" w:rsidRPr="00DC6A13">
        <w:rPr>
          <w:color w:val="auto"/>
        </w:rPr>
        <w:fldChar w:fldCharType="end"/>
      </w:r>
      <w:r w:rsidR="00084D79">
        <w:rPr>
          <w:color w:val="auto"/>
        </w:rPr>
        <w:t>-</w:t>
      </w:r>
      <w:r w:rsidR="00DC6A13" w:rsidRPr="00DC6A13">
        <w:rPr>
          <w:color w:val="auto"/>
        </w:rPr>
        <w:fldChar w:fldCharType="begin"/>
      </w:r>
      <w:r w:rsidR="00DC6A13" w:rsidRPr="00DC6A13">
        <w:rPr>
          <w:color w:val="auto"/>
        </w:rPr>
        <w:instrText xml:space="preserve"> REF _Ref11401014 \r \h  \* MERGEFORMAT </w:instrText>
      </w:r>
      <w:r w:rsidR="00DC6A13" w:rsidRPr="00DC6A13">
        <w:rPr>
          <w:color w:val="auto"/>
        </w:rPr>
      </w:r>
      <w:r w:rsidR="00DC6A13" w:rsidRPr="00DC6A13">
        <w:rPr>
          <w:color w:val="auto"/>
        </w:rPr>
        <w:fldChar w:fldCharType="separate"/>
      </w:r>
      <w:r w:rsidR="009D1A4F" w:rsidRPr="00DC6A13">
        <w:rPr>
          <w:color w:val="auto"/>
        </w:rPr>
        <w:t>6.3.7</w:t>
      </w:r>
      <w:r w:rsidR="00DC6A13" w:rsidRPr="00DC6A13">
        <w:rPr>
          <w:color w:val="auto"/>
        </w:rPr>
        <w:fldChar w:fldCharType="end"/>
      </w:r>
      <w:r w:rsidR="006348C6" w:rsidRPr="00DC6A13">
        <w:rPr>
          <w:color w:val="auto"/>
        </w:rPr>
        <w:t xml:space="preserve">. </w:t>
      </w:r>
      <w:r w:rsidR="00656867" w:rsidRPr="00DC6A13">
        <w:rPr>
          <w:color w:val="auto"/>
        </w:rPr>
        <w:t>for Red Marrow</w:t>
      </w:r>
      <w:r w:rsidR="009F661D" w:rsidRPr="00DC6A13">
        <w:rPr>
          <w:color w:val="auto"/>
        </w:rPr>
        <w:t>.</w:t>
      </w:r>
    </w:p>
    <w:p w14:paraId="16B66B79" w14:textId="77777777" w:rsidR="003C2297" w:rsidRPr="00DC6A13" w:rsidRDefault="003C2297">
      <w:pPr>
        <w:pStyle w:val="ListParagraph"/>
        <w:ind w:left="0"/>
        <w:rPr>
          <w:color w:val="auto"/>
        </w:rPr>
      </w:pPr>
    </w:p>
    <w:p w14:paraId="6F45C643" w14:textId="2B27EBD9" w:rsidR="00873D55" w:rsidRPr="00DC6A13" w:rsidRDefault="00873D55">
      <w:pPr>
        <w:pStyle w:val="ListParagraph"/>
        <w:numPr>
          <w:ilvl w:val="2"/>
          <w:numId w:val="9"/>
        </w:numPr>
        <w:rPr>
          <w:color w:val="auto"/>
        </w:rPr>
      </w:pPr>
      <w:r w:rsidRPr="00DC6A13">
        <w:rPr>
          <w:color w:val="auto"/>
        </w:rPr>
        <w:t>Scroll down the organ menu and select Total Body/Rem Body</w:t>
      </w:r>
      <w:r w:rsidR="00654635" w:rsidRPr="00DC6A13">
        <w:rPr>
          <w:color w:val="auto"/>
        </w:rPr>
        <w:t xml:space="preserve">. </w:t>
      </w:r>
      <w:r w:rsidRPr="00DC6A13">
        <w:rPr>
          <w:color w:val="auto"/>
        </w:rPr>
        <w:t xml:space="preserve">In the </w:t>
      </w:r>
      <w:r w:rsidRPr="008A3C95">
        <w:rPr>
          <w:b/>
          <w:bCs/>
          <w:color w:val="auto"/>
        </w:rPr>
        <w:t>Time (Hr)</w:t>
      </w:r>
      <w:r w:rsidRPr="00DC6A13">
        <w:rPr>
          <w:color w:val="auto"/>
        </w:rPr>
        <w:t xml:space="preserve"> column, insert the hour</w:t>
      </w:r>
      <w:r w:rsidR="000A378E" w:rsidRPr="00DC6A13">
        <w:rPr>
          <w:color w:val="auto"/>
        </w:rPr>
        <w:t>s</w:t>
      </w:r>
      <w:r w:rsidRPr="00DC6A13">
        <w:rPr>
          <w:color w:val="auto"/>
        </w:rPr>
        <w:t xml:space="preserve"> post infusion for each image acquisition in hour format (</w:t>
      </w:r>
      <w:r w:rsidR="00591C54" w:rsidRPr="00591C54">
        <w:rPr>
          <w:color w:val="auto"/>
        </w:rPr>
        <w:t xml:space="preserve">i.e., </w:t>
      </w:r>
      <w:r w:rsidRPr="00DC6A13">
        <w:rPr>
          <w:color w:val="auto"/>
        </w:rPr>
        <w:t>1 h and 30 min will be 1.50)</w:t>
      </w:r>
      <w:r w:rsidR="00654635" w:rsidRPr="00DC6A13">
        <w:rPr>
          <w:color w:val="auto"/>
        </w:rPr>
        <w:t xml:space="preserve">. </w:t>
      </w:r>
      <w:r w:rsidRPr="00DC6A13">
        <w:rPr>
          <w:color w:val="auto"/>
        </w:rPr>
        <w:t xml:space="preserve">Insert the values of </w:t>
      </w:r>
      <m:oMath>
        <m:sSub>
          <m:sSubPr>
            <m:ctrlPr>
              <w:rPr>
                <w:rFonts w:ascii="Cambria Math" w:hAnsi="Cambria Math"/>
                <w:i/>
                <w:color w:val="auto"/>
              </w:rPr>
            </m:ctrlPr>
          </m:sSubPr>
          <m:e>
            <m:r>
              <w:rPr>
                <w:rFonts w:ascii="Cambria Math" w:hAnsi="Cambria Math"/>
                <w:color w:val="auto"/>
              </w:rPr>
              <m:t>%IA</m:t>
            </m:r>
          </m:e>
          <m:sub>
            <m:r>
              <w:rPr>
                <w:rFonts w:ascii="Cambria Math" w:hAnsi="Cambria Math"/>
                <w:color w:val="auto"/>
              </w:rPr>
              <m:t>Rem Body</m:t>
            </m:r>
          </m:sub>
        </m:sSub>
      </m:oMath>
      <w:r w:rsidRPr="00DC6A13">
        <w:rPr>
          <w:color w:val="auto"/>
        </w:rPr>
        <w:t xml:space="preserve"> equal to the difference between</w:t>
      </w:r>
      <w:r w:rsidR="008A3C95">
        <w:rPr>
          <w:color w:val="auto"/>
        </w:rPr>
        <w:t xml:space="preserve"> </w:t>
      </w:r>
      <w:r w:rsidRPr="00DC6A13">
        <w:rPr>
          <w:i/>
          <w:color w:val="auto"/>
        </w:rPr>
        <w:t>%IA</w:t>
      </w:r>
      <w:r w:rsidRPr="00DC6A13">
        <w:rPr>
          <w:color w:val="auto"/>
        </w:rPr>
        <w:t xml:space="preserve"> of whole body calculated on planar images and </w:t>
      </w:r>
      <m:oMath>
        <m:sSub>
          <m:sSubPr>
            <m:ctrlPr>
              <w:rPr>
                <w:rFonts w:ascii="Cambria Math" w:hAnsi="Cambria Math"/>
                <w:i/>
                <w:color w:val="auto"/>
              </w:rPr>
            </m:ctrlPr>
          </m:sSubPr>
          <m:e>
            <m:r>
              <w:rPr>
                <w:rFonts w:ascii="Cambria Math" w:hAnsi="Cambria Math"/>
                <w:color w:val="auto"/>
              </w:rPr>
              <m:t>%IA</m:t>
            </m:r>
          </m:e>
          <m:sub>
            <m:r>
              <w:rPr>
                <w:rFonts w:ascii="Cambria Math" w:hAnsi="Cambria Math"/>
                <w:color w:val="auto"/>
              </w:rPr>
              <m:t>RM</m:t>
            </m:r>
          </m:sub>
        </m:sSub>
      </m:oMath>
      <w:r w:rsidR="009F661D" w:rsidRPr="00DC6A13">
        <w:rPr>
          <w:color w:val="auto"/>
        </w:rPr>
        <w:t>.</w:t>
      </w:r>
    </w:p>
    <w:p w14:paraId="62D3F937" w14:textId="77777777" w:rsidR="003C2297" w:rsidRPr="00DC6A13" w:rsidRDefault="003C2297">
      <w:pPr>
        <w:pStyle w:val="ListParagraph"/>
        <w:ind w:left="0"/>
        <w:rPr>
          <w:color w:val="auto"/>
        </w:rPr>
      </w:pPr>
    </w:p>
    <w:p w14:paraId="790C9D00" w14:textId="65F0A6B7" w:rsidR="00873D55" w:rsidRPr="00DC6A13" w:rsidRDefault="00084D79">
      <w:pPr>
        <w:pStyle w:val="ListParagraph"/>
        <w:numPr>
          <w:ilvl w:val="2"/>
          <w:numId w:val="9"/>
        </w:numPr>
        <w:rPr>
          <w:color w:val="auto"/>
        </w:rPr>
      </w:pPr>
      <w:r>
        <w:rPr>
          <w:color w:val="auto"/>
        </w:rPr>
        <w:t>Repeat</w:t>
      </w:r>
      <w:r w:rsidRPr="00DC6A13">
        <w:rPr>
          <w:color w:val="auto"/>
        </w:rPr>
        <w:t xml:space="preserve"> </w:t>
      </w:r>
      <w:r w:rsidR="00656867" w:rsidRPr="00DC6A13">
        <w:rPr>
          <w:color w:val="auto"/>
        </w:rPr>
        <w:t xml:space="preserve">from </w:t>
      </w:r>
      <w:r>
        <w:rPr>
          <w:color w:val="auto"/>
        </w:rPr>
        <w:t>step</w:t>
      </w:r>
      <w:r w:rsidRPr="00DC6A13">
        <w:rPr>
          <w:color w:val="auto"/>
        </w:rPr>
        <w:t xml:space="preserve"> </w:t>
      </w:r>
      <w:r w:rsidR="00DC6A13" w:rsidRPr="00DC6A13">
        <w:rPr>
          <w:color w:val="auto"/>
        </w:rPr>
        <w:fldChar w:fldCharType="begin"/>
      </w:r>
      <w:r w:rsidR="00DC6A13" w:rsidRPr="00DC6A13">
        <w:rPr>
          <w:color w:val="auto"/>
        </w:rPr>
        <w:instrText xml:space="preserve"> REF _Ref11337688 \r \h  \* MERGEFORMAT </w:instrText>
      </w:r>
      <w:r w:rsidR="00DC6A13" w:rsidRPr="00DC6A13">
        <w:rPr>
          <w:color w:val="auto"/>
        </w:rPr>
      </w:r>
      <w:r w:rsidR="00DC6A13" w:rsidRPr="00DC6A13">
        <w:rPr>
          <w:color w:val="auto"/>
        </w:rPr>
        <w:fldChar w:fldCharType="separate"/>
      </w:r>
      <w:r w:rsidR="009D1A4F" w:rsidRPr="00DC6A13">
        <w:rPr>
          <w:color w:val="auto"/>
        </w:rPr>
        <w:t>6.3.5</w:t>
      </w:r>
      <w:r w:rsidR="00DC6A13" w:rsidRPr="00DC6A13">
        <w:rPr>
          <w:color w:val="auto"/>
        </w:rPr>
        <w:fldChar w:fldCharType="end"/>
      </w:r>
      <w:r w:rsidR="00656867" w:rsidRPr="00DC6A13">
        <w:rPr>
          <w:color w:val="auto"/>
        </w:rPr>
        <w:t xml:space="preserve"> to point for Red Marrow</w:t>
      </w:r>
      <w:r w:rsidR="009F661D" w:rsidRPr="00DC6A13">
        <w:rPr>
          <w:color w:val="auto"/>
        </w:rPr>
        <w:t>.</w:t>
      </w:r>
    </w:p>
    <w:p w14:paraId="73F00A06" w14:textId="77777777" w:rsidR="003C2297" w:rsidRPr="00DC6A13" w:rsidRDefault="003C2297">
      <w:pPr>
        <w:pStyle w:val="ListParagraph"/>
        <w:ind w:left="0"/>
        <w:rPr>
          <w:color w:val="auto"/>
        </w:rPr>
      </w:pPr>
    </w:p>
    <w:p w14:paraId="5ABD804A" w14:textId="3AE93BA4" w:rsidR="00656867" w:rsidRPr="00DC6A13" w:rsidRDefault="00656867">
      <w:pPr>
        <w:pStyle w:val="ListParagraph"/>
        <w:numPr>
          <w:ilvl w:val="2"/>
          <w:numId w:val="9"/>
        </w:numPr>
        <w:rPr>
          <w:color w:val="auto"/>
        </w:rPr>
      </w:pPr>
      <w:r w:rsidRPr="00DC6A13">
        <w:rPr>
          <w:color w:val="auto"/>
        </w:rPr>
        <w:t xml:space="preserve">Click </w:t>
      </w:r>
      <w:r w:rsidRPr="008A3C95">
        <w:rPr>
          <w:b/>
          <w:bCs/>
          <w:color w:val="auto"/>
        </w:rPr>
        <w:t>Done</w:t>
      </w:r>
      <w:r w:rsidR="00565B66" w:rsidRPr="00DC6A13">
        <w:rPr>
          <w:color w:val="auto"/>
        </w:rPr>
        <w:t xml:space="preserve"> and s</w:t>
      </w:r>
      <w:r w:rsidRPr="00DC6A13">
        <w:rPr>
          <w:color w:val="auto"/>
        </w:rPr>
        <w:t>ave the Model</w:t>
      </w:r>
      <w:r w:rsidR="009F661D" w:rsidRPr="00DC6A13">
        <w:rPr>
          <w:color w:val="auto"/>
        </w:rPr>
        <w:t>.</w:t>
      </w:r>
    </w:p>
    <w:p w14:paraId="32EF7751" w14:textId="77777777" w:rsidR="00943BFB" w:rsidRPr="00DC6A13" w:rsidRDefault="00943BFB">
      <w:pPr>
        <w:pStyle w:val="ListParagraph"/>
        <w:ind w:left="0"/>
        <w:rPr>
          <w:color w:val="auto"/>
        </w:rPr>
      </w:pPr>
    </w:p>
    <w:p w14:paraId="27C12F80" w14:textId="79B1E7A6" w:rsidR="00943BFB" w:rsidRPr="00DC6A13" w:rsidRDefault="008A3C95">
      <w:pPr>
        <w:pStyle w:val="ListParagraph"/>
        <w:ind w:left="0"/>
        <w:rPr>
          <w:color w:val="auto"/>
        </w:rPr>
      </w:pPr>
      <w:r>
        <w:rPr>
          <w:color w:val="auto"/>
        </w:rPr>
        <w:t xml:space="preserve">NOTE: </w:t>
      </w:r>
      <w:r w:rsidR="000C427C" w:rsidRPr="00DC6A13">
        <w:rPr>
          <w:color w:val="auto"/>
        </w:rPr>
        <w:t xml:space="preserve">The program goes back to the </w:t>
      </w:r>
      <w:r w:rsidR="000C427C" w:rsidRPr="008A3C95">
        <w:rPr>
          <w:b/>
          <w:bCs/>
          <w:color w:val="auto"/>
        </w:rPr>
        <w:t>Kinetic Input Form</w:t>
      </w:r>
      <w:r w:rsidR="000C427C" w:rsidRPr="00DC6A13">
        <w:rPr>
          <w:color w:val="auto"/>
        </w:rPr>
        <w:t xml:space="preserve"> module and the number of disintegrations per unit of injected activity (namely </w:t>
      </w:r>
      <w:r w:rsidR="000C427C" w:rsidRPr="00DC6A13">
        <w:rPr>
          <w:i/>
          <w:color w:val="auto"/>
        </w:rPr>
        <w:t>ND</w:t>
      </w:r>
      <w:r w:rsidR="000C427C" w:rsidRPr="00DC6A13">
        <w:rPr>
          <w:color w:val="auto"/>
        </w:rPr>
        <w:t xml:space="preserve">, expressed in Bq*h/Bq) </w:t>
      </w:r>
      <w:r w:rsidR="00943BFB" w:rsidRPr="00DC6A13">
        <w:rPr>
          <w:color w:val="auto"/>
        </w:rPr>
        <w:t xml:space="preserve">is visualized </w:t>
      </w:r>
      <w:r w:rsidR="000C427C" w:rsidRPr="00DC6A13">
        <w:rPr>
          <w:color w:val="auto"/>
        </w:rPr>
        <w:t>for each considered</w:t>
      </w:r>
      <w:r w:rsidR="00943BFB" w:rsidRPr="00DC6A13">
        <w:rPr>
          <w:color w:val="auto"/>
        </w:rPr>
        <w:t>.</w:t>
      </w:r>
    </w:p>
    <w:p w14:paraId="39480982" w14:textId="77777777" w:rsidR="00943BFB" w:rsidRPr="00DC6A13" w:rsidRDefault="00943BFB">
      <w:pPr>
        <w:pStyle w:val="ListParagraph"/>
        <w:ind w:left="0"/>
        <w:rPr>
          <w:color w:val="auto"/>
        </w:rPr>
      </w:pPr>
    </w:p>
    <w:p w14:paraId="1BA1890F" w14:textId="12B15409" w:rsidR="00656867" w:rsidRPr="00DC6A13" w:rsidRDefault="00943BFB">
      <w:pPr>
        <w:pStyle w:val="ListParagraph"/>
        <w:numPr>
          <w:ilvl w:val="2"/>
          <w:numId w:val="9"/>
        </w:numPr>
        <w:rPr>
          <w:color w:val="auto"/>
        </w:rPr>
      </w:pPr>
      <w:r w:rsidRPr="00DC6A13">
        <w:rPr>
          <w:color w:val="auto"/>
        </w:rPr>
        <w:t xml:space="preserve"> </w:t>
      </w:r>
      <w:r w:rsidR="00656867" w:rsidRPr="00DC6A13">
        <w:rPr>
          <w:color w:val="auto"/>
        </w:rPr>
        <w:t xml:space="preserve">Go to </w:t>
      </w:r>
      <w:r w:rsidR="00656867" w:rsidRPr="008A3C95">
        <w:rPr>
          <w:b/>
          <w:bCs/>
          <w:color w:val="auto"/>
        </w:rPr>
        <w:t>Main Input Form</w:t>
      </w:r>
      <w:r w:rsidR="00654635" w:rsidRPr="00DC6A13">
        <w:rPr>
          <w:color w:val="auto"/>
        </w:rPr>
        <w:t xml:space="preserve">. </w:t>
      </w:r>
      <w:r w:rsidR="00656867" w:rsidRPr="00DC6A13">
        <w:rPr>
          <w:color w:val="auto"/>
        </w:rPr>
        <w:t xml:space="preserve">Click on </w:t>
      </w:r>
      <w:r w:rsidR="00656867" w:rsidRPr="008A3C95">
        <w:rPr>
          <w:b/>
          <w:bCs/>
          <w:color w:val="auto"/>
        </w:rPr>
        <w:t>Doses</w:t>
      </w:r>
      <w:r w:rsidR="00656867" w:rsidRPr="00DC6A13">
        <w:rPr>
          <w:color w:val="auto"/>
        </w:rPr>
        <w:t>.</w:t>
      </w:r>
      <w:r w:rsidR="00A52136">
        <w:rPr>
          <w:color w:val="auto"/>
        </w:rPr>
        <w:t xml:space="preserve"> </w:t>
      </w:r>
      <w:r w:rsidR="00084D79">
        <w:rPr>
          <w:color w:val="auto"/>
        </w:rPr>
        <w:t>Scale or</w:t>
      </w:r>
      <w:r w:rsidR="00084D79" w:rsidRPr="00DC6A13">
        <w:rPr>
          <w:color w:val="auto"/>
        </w:rPr>
        <w:t xml:space="preserve">gan </w:t>
      </w:r>
      <w:r w:rsidR="00656867" w:rsidRPr="00DC6A13">
        <w:rPr>
          <w:color w:val="auto"/>
        </w:rPr>
        <w:t xml:space="preserve">mass rescaling </w:t>
      </w:r>
      <w:r w:rsidR="00DF67B3" w:rsidRPr="00DC6A13">
        <w:rPr>
          <w:color w:val="auto"/>
        </w:rPr>
        <w:t>as</w:t>
      </w:r>
      <w:r w:rsidR="00656867" w:rsidRPr="00DC6A13">
        <w:rPr>
          <w:color w:val="auto"/>
        </w:rPr>
        <w:t xml:space="preserve"> the previous analysis on other organs</w:t>
      </w:r>
      <w:r w:rsidR="009F661D" w:rsidRPr="00DC6A13">
        <w:rPr>
          <w:color w:val="auto"/>
        </w:rPr>
        <w:t>.</w:t>
      </w:r>
    </w:p>
    <w:p w14:paraId="1F13CD35" w14:textId="77777777" w:rsidR="002C319C" w:rsidRPr="00DC6A13" w:rsidRDefault="002C319C">
      <w:pPr>
        <w:rPr>
          <w:color w:val="auto"/>
        </w:rPr>
      </w:pPr>
    </w:p>
    <w:p w14:paraId="716DE07E" w14:textId="01269E05" w:rsidR="008D2B1D" w:rsidRPr="003D144A" w:rsidRDefault="00123E44">
      <w:pPr>
        <w:pStyle w:val="ListParagraph"/>
        <w:numPr>
          <w:ilvl w:val="1"/>
          <w:numId w:val="9"/>
        </w:numPr>
        <w:rPr>
          <w:bCs/>
          <w:color w:val="auto"/>
        </w:rPr>
      </w:pPr>
      <w:r w:rsidRPr="003D144A">
        <w:rPr>
          <w:bCs/>
          <w:color w:val="auto"/>
        </w:rPr>
        <w:t>Sphere model</w:t>
      </w:r>
    </w:p>
    <w:p w14:paraId="21160CE1" w14:textId="77777777" w:rsidR="00DC6A13" w:rsidRPr="00DC6A13" w:rsidRDefault="00DC6A13">
      <w:pPr>
        <w:pStyle w:val="ListParagraph"/>
        <w:ind w:left="0"/>
        <w:rPr>
          <w:color w:val="auto"/>
          <w:highlight w:val="yellow"/>
        </w:rPr>
      </w:pPr>
    </w:p>
    <w:p w14:paraId="1F4A32B1" w14:textId="48BB0786" w:rsidR="00420C4C" w:rsidRPr="00771DC3" w:rsidRDefault="005D3707">
      <w:pPr>
        <w:pStyle w:val="ListParagraph"/>
        <w:numPr>
          <w:ilvl w:val="2"/>
          <w:numId w:val="9"/>
        </w:numPr>
        <w:rPr>
          <w:color w:val="auto"/>
        </w:rPr>
      </w:pPr>
      <w:r w:rsidRPr="00771DC3">
        <w:rPr>
          <w:color w:val="auto"/>
        </w:rPr>
        <w:t xml:space="preserve">Use a </w:t>
      </w:r>
      <w:r w:rsidR="00943BFB" w:rsidRPr="00771DC3">
        <w:rPr>
          <w:color w:val="auto"/>
        </w:rPr>
        <w:t>unit density sphere model f</w:t>
      </w:r>
      <w:r w:rsidR="003777FB" w:rsidRPr="00771DC3">
        <w:rPr>
          <w:color w:val="auto"/>
        </w:rPr>
        <w:t xml:space="preserve">or structures </w:t>
      </w:r>
      <w:r w:rsidR="00943BFB" w:rsidRPr="00771DC3">
        <w:rPr>
          <w:color w:val="auto"/>
        </w:rPr>
        <w:t xml:space="preserve">that are </w:t>
      </w:r>
      <w:r w:rsidR="003777FB" w:rsidRPr="00771DC3">
        <w:rPr>
          <w:color w:val="auto"/>
        </w:rPr>
        <w:t>not available in the phantom (</w:t>
      </w:r>
      <w:r w:rsidR="00591C54" w:rsidRPr="00771DC3">
        <w:rPr>
          <w:color w:val="auto"/>
        </w:rPr>
        <w:t xml:space="preserve">e.g., </w:t>
      </w:r>
      <w:r w:rsidR="003777FB" w:rsidRPr="00771DC3">
        <w:rPr>
          <w:color w:val="auto"/>
        </w:rPr>
        <w:t>p</w:t>
      </w:r>
      <w:r w:rsidR="00943BFB" w:rsidRPr="00771DC3">
        <w:rPr>
          <w:color w:val="auto"/>
        </w:rPr>
        <w:t>arotid and submandibular gland</w:t>
      </w:r>
      <w:r w:rsidR="003777FB" w:rsidRPr="00771DC3">
        <w:rPr>
          <w:color w:val="auto"/>
        </w:rPr>
        <w:t xml:space="preserve"> lesions)</w:t>
      </w:r>
      <w:r w:rsidR="00943BFB" w:rsidRPr="00771DC3">
        <w:rPr>
          <w:color w:val="auto"/>
        </w:rPr>
        <w:t>.</w:t>
      </w:r>
      <w:r w:rsidR="003777FB" w:rsidRPr="00771DC3">
        <w:rPr>
          <w:color w:val="auto"/>
        </w:rPr>
        <w:t xml:space="preserve"> </w:t>
      </w:r>
    </w:p>
    <w:p w14:paraId="7C877FF2" w14:textId="77777777" w:rsidR="00420C4C" w:rsidRPr="00DC6A13" w:rsidRDefault="00420C4C">
      <w:pPr>
        <w:pStyle w:val="ListParagraph"/>
        <w:ind w:left="0"/>
        <w:rPr>
          <w:color w:val="auto"/>
        </w:rPr>
      </w:pPr>
    </w:p>
    <w:p w14:paraId="75446A56" w14:textId="3E9E2EC3" w:rsidR="003777FB" w:rsidRPr="00DC6A13" w:rsidRDefault="00420C4C">
      <w:pPr>
        <w:pStyle w:val="ListParagraph"/>
        <w:numPr>
          <w:ilvl w:val="2"/>
          <w:numId w:val="9"/>
        </w:numPr>
        <w:rPr>
          <w:color w:val="auto"/>
        </w:rPr>
      </w:pPr>
      <w:r w:rsidRPr="00DC6A13">
        <w:rPr>
          <w:color w:val="auto"/>
        </w:rPr>
        <w:t>F</w:t>
      </w:r>
      <w:r w:rsidR="00277A65" w:rsidRPr="00DC6A13">
        <w:rPr>
          <w:color w:val="auto"/>
        </w:rPr>
        <w:t xml:space="preserve">or curve fitting, repeat from </w:t>
      </w:r>
      <w:r w:rsidR="008A3C95">
        <w:rPr>
          <w:color w:val="auto"/>
        </w:rPr>
        <w:t>step</w:t>
      </w:r>
      <w:r w:rsidR="00277A65" w:rsidRPr="00DC6A13">
        <w:rPr>
          <w:color w:val="auto"/>
        </w:rPr>
        <w:t xml:space="preserve"> </w:t>
      </w:r>
      <w:r w:rsidR="00DC6A13" w:rsidRPr="00DC6A13">
        <w:rPr>
          <w:color w:val="auto"/>
        </w:rPr>
        <w:fldChar w:fldCharType="begin"/>
      </w:r>
      <w:r w:rsidR="00DC6A13" w:rsidRPr="00DC6A13">
        <w:rPr>
          <w:color w:val="auto"/>
        </w:rPr>
        <w:instrText xml:space="preserve"> REF _Ref11340177 \r \h  \* MERGEFORMAT </w:instrText>
      </w:r>
      <w:r w:rsidR="00DC6A13" w:rsidRPr="00DC6A13">
        <w:rPr>
          <w:color w:val="auto"/>
        </w:rPr>
      </w:r>
      <w:r w:rsidR="00DC6A13" w:rsidRPr="00DC6A13">
        <w:rPr>
          <w:color w:val="auto"/>
        </w:rPr>
        <w:fldChar w:fldCharType="separate"/>
      </w:r>
      <w:r w:rsidR="009D1A4F" w:rsidRPr="00DC6A13">
        <w:rPr>
          <w:color w:val="auto"/>
        </w:rPr>
        <w:t>6.3.2</w:t>
      </w:r>
      <w:r w:rsidR="00DC6A13" w:rsidRPr="00DC6A13">
        <w:rPr>
          <w:color w:val="auto"/>
        </w:rPr>
        <w:fldChar w:fldCharType="end"/>
      </w:r>
      <w:r w:rsidR="00277A65" w:rsidRPr="00DC6A13">
        <w:rPr>
          <w:color w:val="auto"/>
        </w:rPr>
        <w:t xml:space="preserve"> to </w:t>
      </w:r>
      <w:r w:rsidR="008A3C95">
        <w:rPr>
          <w:color w:val="auto"/>
        </w:rPr>
        <w:t>step</w:t>
      </w:r>
      <w:r w:rsidR="00A9570C" w:rsidRPr="00DC6A13">
        <w:rPr>
          <w:color w:val="auto"/>
        </w:rPr>
        <w:t xml:space="preserve"> </w:t>
      </w:r>
      <w:r w:rsidR="00DC6A13" w:rsidRPr="00DC6A13">
        <w:rPr>
          <w:color w:val="auto"/>
        </w:rPr>
        <w:fldChar w:fldCharType="begin"/>
      </w:r>
      <w:r w:rsidR="00DC6A13" w:rsidRPr="00DC6A13">
        <w:rPr>
          <w:color w:val="auto"/>
        </w:rPr>
        <w:instrText xml:space="preserve"> REF _Ref20299899 \r \h  \* MERGEFORMAT </w:instrText>
      </w:r>
      <w:r w:rsidR="00DC6A13" w:rsidRPr="00DC6A13">
        <w:rPr>
          <w:color w:val="auto"/>
        </w:rPr>
      </w:r>
      <w:r w:rsidR="00DC6A13" w:rsidRPr="00DC6A13">
        <w:rPr>
          <w:color w:val="auto"/>
        </w:rPr>
        <w:fldChar w:fldCharType="separate"/>
      </w:r>
      <w:r w:rsidR="009D1A4F" w:rsidRPr="00DC6A13">
        <w:rPr>
          <w:color w:val="auto"/>
        </w:rPr>
        <w:t>6.3.10</w:t>
      </w:r>
      <w:r w:rsidR="00DC6A13" w:rsidRPr="00DC6A13">
        <w:rPr>
          <w:color w:val="auto"/>
        </w:rPr>
        <w:fldChar w:fldCharType="end"/>
      </w:r>
      <w:r w:rsidR="002E47B6" w:rsidRPr="00DC6A13">
        <w:rPr>
          <w:color w:val="auto"/>
        </w:rPr>
        <w:t>, substituting</w:t>
      </w:r>
      <w:r w:rsidR="00943BFB" w:rsidRPr="00DC6A13">
        <w:rPr>
          <w:color w:val="auto"/>
        </w:rPr>
        <w:t xml:space="preserve"> organ values with </w:t>
      </w:r>
      <w:r w:rsidR="00277A65" w:rsidRPr="00DC6A13">
        <w:rPr>
          <w:color w:val="auto"/>
        </w:rPr>
        <w:t>relative uptake for separated salivary glands and l</w:t>
      </w:r>
      <w:r w:rsidR="00143EE3" w:rsidRPr="00DC6A13">
        <w:rPr>
          <w:color w:val="auto"/>
        </w:rPr>
        <w:t>esions</w:t>
      </w:r>
      <w:r w:rsidRPr="00DC6A13">
        <w:rPr>
          <w:color w:val="auto"/>
        </w:rPr>
        <w:t>.</w:t>
      </w:r>
    </w:p>
    <w:p w14:paraId="5CB05628" w14:textId="77777777" w:rsidR="003C2297" w:rsidRPr="00DC6A13" w:rsidRDefault="003C2297">
      <w:pPr>
        <w:pStyle w:val="ListParagraph"/>
        <w:ind w:left="0"/>
        <w:rPr>
          <w:color w:val="auto"/>
        </w:rPr>
      </w:pPr>
    </w:p>
    <w:p w14:paraId="73E6328A" w14:textId="370E9F32" w:rsidR="00277A65" w:rsidRPr="00DC6A13" w:rsidRDefault="00277A65">
      <w:pPr>
        <w:pStyle w:val="ListParagraph"/>
        <w:numPr>
          <w:ilvl w:val="2"/>
          <w:numId w:val="9"/>
        </w:numPr>
        <w:rPr>
          <w:color w:val="auto"/>
        </w:rPr>
      </w:pPr>
      <w:r w:rsidRPr="00DC6A13">
        <w:rPr>
          <w:color w:val="auto"/>
        </w:rPr>
        <w:t xml:space="preserve">Click </w:t>
      </w:r>
      <w:r w:rsidRPr="008A3C95">
        <w:rPr>
          <w:b/>
          <w:bCs/>
          <w:color w:val="auto"/>
        </w:rPr>
        <w:t>Done</w:t>
      </w:r>
      <w:r w:rsidR="00654635" w:rsidRPr="00DC6A13">
        <w:rPr>
          <w:color w:val="auto"/>
        </w:rPr>
        <w:t xml:space="preserve"> and save the m</w:t>
      </w:r>
      <w:r w:rsidRPr="00DC6A13">
        <w:rPr>
          <w:color w:val="auto"/>
        </w:rPr>
        <w:t>odel</w:t>
      </w:r>
      <w:r w:rsidR="009F661D" w:rsidRPr="00DC6A13">
        <w:rPr>
          <w:color w:val="auto"/>
        </w:rPr>
        <w:t>.</w:t>
      </w:r>
    </w:p>
    <w:p w14:paraId="612DDB8E" w14:textId="77777777" w:rsidR="003C2297" w:rsidRPr="00DC6A13" w:rsidRDefault="003C2297">
      <w:pPr>
        <w:pStyle w:val="ListParagraph"/>
        <w:ind w:left="0"/>
        <w:rPr>
          <w:color w:val="auto"/>
        </w:rPr>
      </w:pPr>
    </w:p>
    <w:p w14:paraId="374CC781" w14:textId="1A4B2A79" w:rsidR="00277A65" w:rsidRPr="00DC6A13" w:rsidRDefault="00277A65">
      <w:pPr>
        <w:pStyle w:val="ListParagraph"/>
        <w:numPr>
          <w:ilvl w:val="2"/>
          <w:numId w:val="9"/>
        </w:numPr>
        <w:rPr>
          <w:color w:val="auto"/>
        </w:rPr>
      </w:pPr>
      <w:r w:rsidRPr="00DC6A13">
        <w:rPr>
          <w:color w:val="auto"/>
        </w:rPr>
        <w:t xml:space="preserve">The program </w:t>
      </w:r>
      <w:r w:rsidR="00943BFB" w:rsidRPr="00DC6A13">
        <w:rPr>
          <w:color w:val="auto"/>
        </w:rPr>
        <w:t>goes</w:t>
      </w:r>
      <w:r w:rsidRPr="00DC6A13">
        <w:rPr>
          <w:color w:val="auto"/>
        </w:rPr>
        <w:t xml:space="preserve"> back to the </w:t>
      </w:r>
      <w:r w:rsidRPr="008A3C95">
        <w:rPr>
          <w:b/>
          <w:bCs/>
          <w:color w:val="auto"/>
        </w:rPr>
        <w:t>Kinetic Input Form</w:t>
      </w:r>
      <w:r w:rsidRPr="00DC6A13">
        <w:rPr>
          <w:color w:val="auto"/>
        </w:rPr>
        <w:t xml:space="preserve"> module and the number of disintegration</w:t>
      </w:r>
      <w:r w:rsidR="00943BFB" w:rsidRPr="00DC6A13">
        <w:rPr>
          <w:color w:val="auto"/>
        </w:rPr>
        <w:t>s</w:t>
      </w:r>
      <w:r w:rsidRPr="00DC6A13">
        <w:rPr>
          <w:color w:val="auto"/>
        </w:rPr>
        <w:t xml:space="preserve"> per unit injected activity </w:t>
      </w:r>
      <w:r w:rsidR="005E4421" w:rsidRPr="00DC6A13">
        <w:rPr>
          <w:color w:val="auto"/>
        </w:rPr>
        <w:t>[</w:t>
      </w:r>
      <w:r w:rsidRPr="00DC6A13">
        <w:rPr>
          <w:color w:val="auto"/>
        </w:rPr>
        <w:t>Bq*h/Bq</w:t>
      </w:r>
      <w:r w:rsidR="005E4421" w:rsidRPr="00DC6A13">
        <w:rPr>
          <w:color w:val="auto"/>
        </w:rPr>
        <w:t xml:space="preserve">] </w:t>
      </w:r>
      <w:r w:rsidR="00943BFB" w:rsidRPr="00DC6A13">
        <w:rPr>
          <w:color w:val="auto"/>
        </w:rPr>
        <w:t xml:space="preserve">is visualized </w:t>
      </w:r>
      <w:r w:rsidR="005E4421" w:rsidRPr="00DC6A13">
        <w:rPr>
          <w:color w:val="auto"/>
        </w:rPr>
        <w:t>f</w:t>
      </w:r>
      <w:r w:rsidRPr="00DC6A13">
        <w:rPr>
          <w:color w:val="auto"/>
        </w:rPr>
        <w:t>or each considered organ</w:t>
      </w:r>
      <w:r w:rsidR="00654635" w:rsidRPr="00DC6A13">
        <w:rPr>
          <w:color w:val="auto"/>
        </w:rPr>
        <w:t xml:space="preserve">. </w:t>
      </w:r>
      <w:r w:rsidRPr="00DC6A13">
        <w:rPr>
          <w:color w:val="auto"/>
        </w:rPr>
        <w:t xml:space="preserve">Take note of </w:t>
      </w:r>
      <w:r w:rsidRPr="00DC6A13">
        <w:rPr>
          <w:i/>
          <w:color w:val="auto"/>
        </w:rPr>
        <w:t>ND</w:t>
      </w:r>
      <w:r w:rsidRPr="00DC6A13">
        <w:rPr>
          <w:color w:val="auto"/>
        </w:rPr>
        <w:t xml:space="preserve"> for each considered structure</w:t>
      </w:r>
      <w:r w:rsidR="009F661D" w:rsidRPr="00DC6A13">
        <w:rPr>
          <w:color w:val="auto"/>
        </w:rPr>
        <w:t>.</w:t>
      </w:r>
    </w:p>
    <w:p w14:paraId="178E6F71" w14:textId="77777777" w:rsidR="003C2297" w:rsidRPr="00DC6A13" w:rsidRDefault="003C2297">
      <w:pPr>
        <w:pStyle w:val="ListParagraph"/>
        <w:ind w:left="0"/>
        <w:rPr>
          <w:color w:val="auto"/>
        </w:rPr>
      </w:pPr>
    </w:p>
    <w:p w14:paraId="4E55F1C8" w14:textId="50AA1491" w:rsidR="00277A65" w:rsidRPr="00DC6A13" w:rsidRDefault="00277A65">
      <w:pPr>
        <w:pStyle w:val="ListParagraph"/>
        <w:numPr>
          <w:ilvl w:val="2"/>
          <w:numId w:val="9"/>
        </w:numPr>
        <w:rPr>
          <w:color w:val="auto"/>
        </w:rPr>
      </w:pPr>
      <w:r w:rsidRPr="00DC6A13">
        <w:rPr>
          <w:color w:val="auto"/>
        </w:rPr>
        <w:t xml:space="preserve">Go </w:t>
      </w:r>
      <w:r w:rsidR="000C427C" w:rsidRPr="00DC6A13">
        <w:rPr>
          <w:color w:val="auto"/>
        </w:rPr>
        <w:t>to</w:t>
      </w:r>
      <w:r w:rsidRPr="00DC6A13">
        <w:rPr>
          <w:color w:val="auto"/>
        </w:rPr>
        <w:t xml:space="preserve"> </w:t>
      </w:r>
      <w:r w:rsidRPr="008A3C95">
        <w:rPr>
          <w:b/>
          <w:bCs/>
          <w:color w:val="auto"/>
        </w:rPr>
        <w:t>Model Input Form</w:t>
      </w:r>
      <w:r w:rsidR="00654635" w:rsidRPr="00DC6A13">
        <w:rPr>
          <w:color w:val="auto"/>
        </w:rPr>
        <w:t xml:space="preserve">. </w:t>
      </w:r>
      <w:r w:rsidRPr="00DC6A13">
        <w:rPr>
          <w:color w:val="auto"/>
        </w:rPr>
        <w:t xml:space="preserve">Click on </w:t>
      </w:r>
      <w:r w:rsidRPr="008A3C95">
        <w:rPr>
          <w:b/>
          <w:bCs/>
          <w:color w:val="auto"/>
        </w:rPr>
        <w:t>Sphere</w:t>
      </w:r>
      <w:r w:rsidR="009B55DB" w:rsidRPr="008A3C95">
        <w:rPr>
          <w:b/>
          <w:bCs/>
          <w:color w:val="auto"/>
        </w:rPr>
        <w:t>s</w:t>
      </w:r>
      <w:r w:rsidR="009F661D" w:rsidRPr="00DC6A13">
        <w:rPr>
          <w:color w:val="auto"/>
        </w:rPr>
        <w:t>.</w:t>
      </w:r>
    </w:p>
    <w:p w14:paraId="5229542E" w14:textId="77777777" w:rsidR="003C2297" w:rsidRPr="00DC6A13" w:rsidRDefault="003C2297">
      <w:pPr>
        <w:pStyle w:val="ListParagraph"/>
        <w:ind w:left="0"/>
        <w:rPr>
          <w:color w:val="auto"/>
        </w:rPr>
      </w:pPr>
    </w:p>
    <w:p w14:paraId="168F5057" w14:textId="69D69E8E" w:rsidR="002F0CC7" w:rsidRPr="00DC6A13" w:rsidRDefault="00127287">
      <w:pPr>
        <w:pStyle w:val="ListParagraph"/>
        <w:numPr>
          <w:ilvl w:val="2"/>
          <w:numId w:val="9"/>
        </w:numPr>
        <w:rPr>
          <w:color w:val="auto"/>
        </w:rPr>
      </w:pPr>
      <w:r w:rsidRPr="00DC6A13">
        <w:rPr>
          <w:color w:val="auto"/>
        </w:rPr>
        <w:t xml:space="preserve">For each structure, enter the calculated </w:t>
      </w:r>
      <w:r w:rsidRPr="00DC6A13">
        <w:rPr>
          <w:i/>
          <w:color w:val="auto"/>
        </w:rPr>
        <w:t>ND</w:t>
      </w:r>
      <w:r w:rsidR="00654635" w:rsidRPr="00DC6A13">
        <w:rPr>
          <w:i/>
          <w:color w:val="auto"/>
        </w:rPr>
        <w:t xml:space="preserve">. </w:t>
      </w:r>
      <w:r w:rsidRPr="00DC6A13">
        <w:rPr>
          <w:color w:val="auto"/>
        </w:rPr>
        <w:t xml:space="preserve">Click on </w:t>
      </w:r>
      <w:r w:rsidRPr="008A3C95">
        <w:rPr>
          <w:b/>
          <w:bCs/>
          <w:color w:val="auto"/>
        </w:rPr>
        <w:t>Calculate Doses</w:t>
      </w:r>
      <w:r w:rsidR="003F0D7B" w:rsidRPr="00DC6A13">
        <w:rPr>
          <w:color w:val="auto"/>
        </w:rPr>
        <w:t xml:space="preserve">. </w:t>
      </w:r>
      <w:r w:rsidR="00CF5AFE" w:rsidRPr="00DC6A13">
        <w:rPr>
          <w:color w:val="auto"/>
        </w:rPr>
        <w:t xml:space="preserve">The report will display the mean absorbed dose normalized to injected activity, expressed in mGy/MBq, for </w:t>
      </w:r>
      <w:r w:rsidR="00143EE3" w:rsidRPr="00DC6A13">
        <w:rPr>
          <w:color w:val="auto"/>
        </w:rPr>
        <w:t xml:space="preserve">discrete </w:t>
      </w:r>
      <w:r w:rsidR="00CF5AFE" w:rsidRPr="00DC6A13">
        <w:rPr>
          <w:color w:val="auto"/>
        </w:rPr>
        <w:t>increasing sphere mass</w:t>
      </w:r>
      <w:r w:rsidR="003F0D7B" w:rsidRPr="00DC6A13">
        <w:rPr>
          <w:color w:val="auto"/>
        </w:rPr>
        <w:t>es</w:t>
      </w:r>
      <w:r w:rsidR="00CF5AFE" w:rsidRPr="00DC6A13">
        <w:rPr>
          <w:color w:val="auto"/>
        </w:rPr>
        <w:t xml:space="preserve"> (g)</w:t>
      </w:r>
      <w:r w:rsidR="00654635" w:rsidRPr="00DC6A13">
        <w:rPr>
          <w:color w:val="auto"/>
        </w:rPr>
        <w:t>.</w:t>
      </w:r>
      <w:r w:rsidR="004B3D54" w:rsidRPr="00DC6A13">
        <w:rPr>
          <w:color w:val="auto"/>
        </w:rPr>
        <w:t xml:space="preserve"> </w:t>
      </w:r>
      <w:r w:rsidR="00CF5AFE" w:rsidRPr="00DC6A13">
        <w:rPr>
          <w:color w:val="auto"/>
        </w:rPr>
        <w:t>Fit the curve with mono-exponential fitting and calculate the absorbed dose normalized to injected activity (mGy/</w:t>
      </w:r>
      <w:r w:rsidR="002E47B6" w:rsidRPr="00DC6A13">
        <w:rPr>
          <w:color w:val="auto"/>
        </w:rPr>
        <w:t>MBq)</w:t>
      </w:r>
      <w:r w:rsidR="00CF5AFE" w:rsidRPr="00DC6A13">
        <w:rPr>
          <w:color w:val="auto"/>
        </w:rPr>
        <w:t xml:space="preserve"> for the </w:t>
      </w:r>
      <w:r w:rsidR="00143EE3" w:rsidRPr="00DC6A13">
        <w:rPr>
          <w:color w:val="auto"/>
        </w:rPr>
        <w:t>specific</w:t>
      </w:r>
      <w:r w:rsidR="00CF5AFE" w:rsidRPr="00DC6A13">
        <w:rPr>
          <w:color w:val="auto"/>
        </w:rPr>
        <w:t xml:space="preserve"> structure mass</w:t>
      </w:r>
      <w:r w:rsidR="009F661D" w:rsidRPr="00DC6A13">
        <w:rPr>
          <w:color w:val="auto"/>
        </w:rPr>
        <w:t>.</w:t>
      </w:r>
      <w:r w:rsidR="004B3D54" w:rsidRPr="00DC6A13">
        <w:rPr>
          <w:color w:val="auto"/>
        </w:rPr>
        <w:t xml:space="preserve"> </w:t>
      </w:r>
    </w:p>
    <w:p w14:paraId="1309D51A" w14:textId="77777777" w:rsidR="002F0CC7" w:rsidRPr="00DC6A13" w:rsidRDefault="002F0CC7">
      <w:pPr>
        <w:pStyle w:val="ListParagraph"/>
        <w:ind w:left="0"/>
        <w:rPr>
          <w:color w:val="auto"/>
        </w:rPr>
      </w:pPr>
    </w:p>
    <w:p w14:paraId="7B410276" w14:textId="437F9D31" w:rsidR="00656867" w:rsidRPr="00DC6A13" w:rsidRDefault="00CF5AFE">
      <w:pPr>
        <w:pStyle w:val="ListParagraph"/>
        <w:numPr>
          <w:ilvl w:val="2"/>
          <w:numId w:val="9"/>
        </w:numPr>
        <w:rPr>
          <w:color w:val="auto"/>
        </w:rPr>
      </w:pPr>
      <w:r w:rsidRPr="00DC6A13">
        <w:rPr>
          <w:color w:val="auto"/>
        </w:rPr>
        <w:t>For paired organs (</w:t>
      </w:r>
      <w:r w:rsidR="00591C54" w:rsidRPr="00591C54">
        <w:rPr>
          <w:color w:val="auto"/>
        </w:rPr>
        <w:t xml:space="preserve">e.g., </w:t>
      </w:r>
      <w:r w:rsidRPr="00DC6A13">
        <w:rPr>
          <w:color w:val="auto"/>
        </w:rPr>
        <w:t>salivary glands), perform the sphere model evaluation separately for left and right organs. Sum the mean absorbed dose for whole organ dose evaluation</w:t>
      </w:r>
      <w:r w:rsidR="009F661D" w:rsidRPr="00DC6A13">
        <w:rPr>
          <w:color w:val="auto"/>
        </w:rPr>
        <w:t>.</w:t>
      </w:r>
    </w:p>
    <w:p w14:paraId="080855AB" w14:textId="77777777" w:rsidR="00601671" w:rsidRPr="00DC6A13" w:rsidRDefault="00601671">
      <w:pPr>
        <w:pStyle w:val="NormalWeb"/>
        <w:spacing w:before="0" w:beforeAutospacing="0" w:after="0" w:afterAutospacing="0"/>
        <w:rPr>
          <w:b/>
          <w:color w:val="auto"/>
        </w:rPr>
      </w:pPr>
    </w:p>
    <w:p w14:paraId="07323454" w14:textId="77777777" w:rsidR="006305D7" w:rsidRPr="00DC6A13" w:rsidRDefault="006305D7">
      <w:pPr>
        <w:pStyle w:val="NormalWeb"/>
        <w:spacing w:before="0" w:beforeAutospacing="0" w:after="0" w:afterAutospacing="0"/>
        <w:rPr>
          <w:color w:val="auto"/>
        </w:rPr>
      </w:pPr>
      <w:r w:rsidRPr="00DC6A13">
        <w:rPr>
          <w:b/>
          <w:color w:val="auto"/>
        </w:rPr>
        <w:t>REPRESENTATIVE RESULTS</w:t>
      </w:r>
      <w:r w:rsidR="00EF1462" w:rsidRPr="00DC6A13">
        <w:rPr>
          <w:b/>
          <w:color w:val="auto"/>
        </w:rPr>
        <w:t>:</w:t>
      </w:r>
      <w:r w:rsidRPr="00DC6A13">
        <w:rPr>
          <w:b/>
          <w:bCs/>
          <w:color w:val="auto"/>
        </w:rPr>
        <w:t xml:space="preserve"> </w:t>
      </w:r>
    </w:p>
    <w:p w14:paraId="2C0E3470" w14:textId="11BE432F" w:rsidR="00B4231A" w:rsidRDefault="00B4231A" w:rsidP="00BD0F92">
      <w:pPr>
        <w:rPr>
          <w:color w:val="auto"/>
        </w:rPr>
      </w:pPr>
      <w:r w:rsidRPr="00DC6A13">
        <w:rPr>
          <w:color w:val="auto"/>
        </w:rPr>
        <w:t>Dosimetry was performed for 1</w:t>
      </w:r>
      <w:r w:rsidR="0072781A" w:rsidRPr="00DC6A13">
        <w:rPr>
          <w:color w:val="auto"/>
        </w:rPr>
        <w:t>0</w:t>
      </w:r>
      <w:r w:rsidRPr="00DC6A13">
        <w:rPr>
          <w:color w:val="auto"/>
        </w:rPr>
        <w:t xml:space="preserve"> patients (</w:t>
      </w:r>
      <w:r w:rsidR="0072781A" w:rsidRPr="00DC6A13">
        <w:rPr>
          <w:color w:val="auto"/>
        </w:rPr>
        <w:t>7</w:t>
      </w:r>
      <w:r w:rsidRPr="00DC6A13">
        <w:rPr>
          <w:color w:val="auto"/>
        </w:rPr>
        <w:t xml:space="preserve"> </w:t>
      </w:r>
      <w:r w:rsidR="00296E75" w:rsidRPr="00DC6A13">
        <w:rPr>
          <w:color w:val="auto"/>
        </w:rPr>
        <w:t>undergoing first</w:t>
      </w:r>
      <w:r w:rsidRPr="00DC6A13">
        <w:rPr>
          <w:color w:val="auto"/>
        </w:rPr>
        <w:t xml:space="preserve"> treatment cycle, </w:t>
      </w:r>
      <w:r w:rsidR="0072781A" w:rsidRPr="00DC6A13">
        <w:rPr>
          <w:color w:val="auto"/>
        </w:rPr>
        <w:t>3</w:t>
      </w:r>
      <w:r w:rsidRPr="00DC6A13">
        <w:rPr>
          <w:color w:val="auto"/>
        </w:rPr>
        <w:t xml:space="preserve"> </w:t>
      </w:r>
      <w:r w:rsidR="00296E75" w:rsidRPr="00DC6A13">
        <w:rPr>
          <w:color w:val="auto"/>
        </w:rPr>
        <w:t xml:space="preserve">second </w:t>
      </w:r>
      <w:r w:rsidR="00717A7F" w:rsidRPr="00DC6A13">
        <w:rPr>
          <w:color w:val="auto"/>
        </w:rPr>
        <w:t>cycle</w:t>
      </w:r>
      <w:r w:rsidRPr="00DC6A13">
        <w:rPr>
          <w:color w:val="auto"/>
        </w:rPr>
        <w:t xml:space="preserve">). </w:t>
      </w:r>
      <w:r w:rsidRPr="00DC6A13">
        <w:rPr>
          <w:color w:val="auto"/>
        </w:rPr>
        <w:lastRenderedPageBreak/>
        <w:t>Four image</w:t>
      </w:r>
      <w:r w:rsidR="003F0D7B" w:rsidRPr="00DC6A13">
        <w:rPr>
          <w:color w:val="auto"/>
        </w:rPr>
        <w:t>s</w:t>
      </w:r>
      <w:r w:rsidRPr="00DC6A13">
        <w:rPr>
          <w:color w:val="auto"/>
        </w:rPr>
        <w:t xml:space="preserve"> after infusion were acquired for all patients, </w:t>
      </w:r>
      <w:r w:rsidR="00296E75" w:rsidRPr="00DC6A13">
        <w:rPr>
          <w:color w:val="auto"/>
        </w:rPr>
        <w:t xml:space="preserve">with the exception of </w:t>
      </w:r>
      <w:r w:rsidRPr="00DC6A13">
        <w:rPr>
          <w:color w:val="auto"/>
        </w:rPr>
        <w:t xml:space="preserve">patient no. 7 </w:t>
      </w:r>
      <w:r w:rsidR="003F0D7B" w:rsidRPr="00DC6A13">
        <w:rPr>
          <w:color w:val="auto"/>
        </w:rPr>
        <w:t>for wh</w:t>
      </w:r>
      <w:r w:rsidR="00296E75" w:rsidRPr="00DC6A13">
        <w:rPr>
          <w:color w:val="auto"/>
        </w:rPr>
        <w:t xml:space="preserve">om </w:t>
      </w:r>
      <w:r w:rsidR="003F0D7B" w:rsidRPr="00DC6A13">
        <w:rPr>
          <w:color w:val="auto"/>
        </w:rPr>
        <w:t>it</w:t>
      </w:r>
      <w:r w:rsidRPr="00DC6A13">
        <w:rPr>
          <w:color w:val="auto"/>
        </w:rPr>
        <w:t xml:space="preserve"> was not possible to acquire the last image at 120 h. Blood sample</w:t>
      </w:r>
      <w:r w:rsidR="003F0D7B" w:rsidRPr="00DC6A13">
        <w:rPr>
          <w:color w:val="auto"/>
        </w:rPr>
        <w:t>s</w:t>
      </w:r>
      <w:r w:rsidRPr="00DC6A13">
        <w:rPr>
          <w:color w:val="auto"/>
        </w:rPr>
        <w:t xml:space="preserve"> were a</w:t>
      </w:r>
      <w:r w:rsidR="0080310C" w:rsidRPr="00DC6A13">
        <w:rPr>
          <w:color w:val="auto"/>
        </w:rPr>
        <w:t>c</w:t>
      </w:r>
      <w:r w:rsidR="0072781A" w:rsidRPr="00DC6A13">
        <w:rPr>
          <w:color w:val="auto"/>
        </w:rPr>
        <w:t>quire</w:t>
      </w:r>
      <w:r w:rsidR="006C7C5B" w:rsidRPr="00DC6A13">
        <w:rPr>
          <w:color w:val="auto"/>
        </w:rPr>
        <w:t>d</w:t>
      </w:r>
      <w:r w:rsidR="0072781A" w:rsidRPr="00DC6A13">
        <w:rPr>
          <w:color w:val="auto"/>
        </w:rPr>
        <w:t xml:space="preserve"> </w:t>
      </w:r>
      <w:r w:rsidR="0041685F">
        <w:rPr>
          <w:color w:val="auto"/>
        </w:rPr>
        <w:t>from</w:t>
      </w:r>
      <w:r w:rsidR="0041685F" w:rsidRPr="00DC6A13">
        <w:rPr>
          <w:color w:val="auto"/>
        </w:rPr>
        <w:t xml:space="preserve"> </w:t>
      </w:r>
      <w:r w:rsidR="0072781A" w:rsidRPr="00DC6A13">
        <w:rPr>
          <w:color w:val="auto"/>
        </w:rPr>
        <w:t xml:space="preserve">all </w:t>
      </w:r>
      <w:r w:rsidR="00296E75" w:rsidRPr="00DC6A13">
        <w:rPr>
          <w:color w:val="auto"/>
        </w:rPr>
        <w:t>but 3 patients.</w:t>
      </w:r>
      <w:r w:rsidR="0072781A" w:rsidRPr="00DC6A13">
        <w:rPr>
          <w:color w:val="auto"/>
        </w:rPr>
        <w:t xml:space="preserve"> One</w:t>
      </w:r>
      <w:r w:rsidR="0080310C" w:rsidRPr="00DC6A13">
        <w:rPr>
          <w:color w:val="auto"/>
        </w:rPr>
        <w:t xml:space="preserve"> patient voided the bladder before </w:t>
      </w:r>
      <w:r w:rsidR="00296E75" w:rsidRPr="00DC6A13">
        <w:rPr>
          <w:color w:val="auto"/>
        </w:rPr>
        <w:t xml:space="preserve">the first </w:t>
      </w:r>
      <w:r w:rsidR="0080310C" w:rsidRPr="00DC6A13">
        <w:rPr>
          <w:color w:val="auto"/>
        </w:rPr>
        <w:t>post</w:t>
      </w:r>
      <w:r w:rsidR="00296E75" w:rsidRPr="00DC6A13">
        <w:rPr>
          <w:color w:val="auto"/>
        </w:rPr>
        <w:t>-</w:t>
      </w:r>
      <w:r w:rsidR="0080310C" w:rsidRPr="00DC6A13">
        <w:rPr>
          <w:color w:val="auto"/>
        </w:rPr>
        <w:t>infusion image acquisition.</w:t>
      </w:r>
      <w:r w:rsidR="00717A7F" w:rsidRPr="00DC6A13">
        <w:rPr>
          <w:color w:val="auto"/>
        </w:rPr>
        <w:t xml:space="preserve"> Injected activity was 5.5 GBq for 5 patients and 4.4 GBq for 5 patients.</w:t>
      </w:r>
    </w:p>
    <w:p w14:paraId="46E576D0" w14:textId="77777777" w:rsidR="00084D79" w:rsidRPr="00DC6A13" w:rsidRDefault="00084D79">
      <w:pPr>
        <w:rPr>
          <w:color w:val="auto"/>
        </w:rPr>
      </w:pPr>
    </w:p>
    <w:p w14:paraId="37FE6FD3" w14:textId="77777777" w:rsidR="003315C7" w:rsidRPr="00DC6A13" w:rsidRDefault="00296E75">
      <w:pPr>
        <w:rPr>
          <w:rFonts w:eastAsia="Palatino Linotype"/>
          <w:color w:val="auto"/>
        </w:rPr>
      </w:pPr>
      <w:r w:rsidRPr="00DC6A13">
        <w:rPr>
          <w:color w:val="auto"/>
        </w:rPr>
        <w:t>With regard to</w:t>
      </w:r>
      <w:r w:rsidR="003315C7" w:rsidRPr="00DC6A13">
        <w:rPr>
          <w:color w:val="auto"/>
        </w:rPr>
        <w:t xml:space="preserve"> curve fitting, mono or bi-exponential curve fitting was used for organ time-activity-curves. Bi-exponential curve fitting with </w:t>
      </w:r>
      <w:r w:rsidR="003315C7" w:rsidRPr="00DC6A13">
        <w:rPr>
          <w:rFonts w:eastAsia="Palatino Linotype"/>
          <w:color w:val="auto"/>
        </w:rPr>
        <w:t>wash-in and wash-out phases was used for salivary glands</w:t>
      </w:r>
      <w:r w:rsidR="003F0D7B" w:rsidRPr="00DC6A13">
        <w:rPr>
          <w:rFonts w:eastAsia="Palatino Linotype"/>
          <w:color w:val="auto"/>
        </w:rPr>
        <w:t xml:space="preserve"> and a</w:t>
      </w:r>
      <w:r w:rsidR="003315C7" w:rsidRPr="00DC6A13">
        <w:rPr>
          <w:rFonts w:eastAsia="Palatino Linotype"/>
          <w:color w:val="auto"/>
        </w:rPr>
        <w:t xml:space="preserve"> maximum uptake was observed around 16 h after infusion. </w:t>
      </w:r>
      <w:r w:rsidR="009418D7" w:rsidRPr="00DC6A13">
        <w:rPr>
          <w:rFonts w:eastAsia="Palatino Linotype"/>
          <w:color w:val="auto"/>
        </w:rPr>
        <w:t>For kidneys</w:t>
      </w:r>
      <w:r w:rsidRPr="00DC6A13">
        <w:rPr>
          <w:rFonts w:eastAsia="Palatino Linotype"/>
          <w:color w:val="auto"/>
        </w:rPr>
        <w:t>,</w:t>
      </w:r>
      <w:r w:rsidR="003315C7" w:rsidRPr="00DC6A13">
        <w:rPr>
          <w:rFonts w:eastAsia="Palatino Linotype"/>
          <w:color w:val="auto"/>
        </w:rPr>
        <w:t xml:space="preserve"> comb</w:t>
      </w:r>
      <w:r w:rsidR="009418D7" w:rsidRPr="00DC6A13">
        <w:rPr>
          <w:rFonts w:eastAsia="Palatino Linotype"/>
          <w:color w:val="auto"/>
        </w:rPr>
        <w:t>ined wash-in/wash-out (</w:t>
      </w:r>
      <w:r w:rsidR="0072781A" w:rsidRPr="00DC6A13">
        <w:rPr>
          <w:rFonts w:eastAsia="Palatino Linotype"/>
          <w:color w:val="auto"/>
        </w:rPr>
        <w:t>5</w:t>
      </w:r>
      <w:r w:rsidR="009418D7" w:rsidRPr="00DC6A13">
        <w:rPr>
          <w:rFonts w:eastAsia="Palatino Linotype"/>
          <w:color w:val="auto"/>
        </w:rPr>
        <w:t xml:space="preserve"> patients) and pure wash-out</w:t>
      </w:r>
      <w:r w:rsidR="003315C7" w:rsidRPr="00DC6A13">
        <w:rPr>
          <w:rFonts w:eastAsia="Palatino Linotype"/>
          <w:color w:val="auto"/>
        </w:rPr>
        <w:t xml:space="preserve"> (</w:t>
      </w:r>
      <w:r w:rsidR="0072781A" w:rsidRPr="00DC6A13">
        <w:rPr>
          <w:rFonts w:eastAsia="Palatino Linotype"/>
          <w:color w:val="auto"/>
        </w:rPr>
        <w:t>5</w:t>
      </w:r>
      <w:r w:rsidR="003315C7" w:rsidRPr="00DC6A13">
        <w:rPr>
          <w:rFonts w:eastAsia="Palatino Linotype"/>
          <w:color w:val="auto"/>
        </w:rPr>
        <w:t xml:space="preserve"> patients)</w:t>
      </w:r>
      <w:r w:rsidR="009418D7" w:rsidRPr="00DC6A13">
        <w:rPr>
          <w:rFonts w:eastAsia="Palatino Linotype"/>
          <w:color w:val="auto"/>
        </w:rPr>
        <w:t xml:space="preserve"> phases</w:t>
      </w:r>
      <w:r w:rsidR="003315C7" w:rsidRPr="00DC6A13">
        <w:rPr>
          <w:rFonts w:eastAsia="Palatino Linotype"/>
          <w:color w:val="auto"/>
        </w:rPr>
        <w:t xml:space="preserve"> were observed for kidneys. Bi- and mono-exponential fitting models were used.</w:t>
      </w:r>
      <w:r w:rsidRPr="00DC6A13">
        <w:rPr>
          <w:rFonts w:eastAsia="Palatino Linotype"/>
          <w:color w:val="auto"/>
        </w:rPr>
        <w:t xml:space="preserve"> A p</w:t>
      </w:r>
      <w:r w:rsidR="009418D7" w:rsidRPr="00DC6A13">
        <w:rPr>
          <w:rFonts w:eastAsia="Palatino Linotype"/>
          <w:color w:val="auto"/>
        </w:rPr>
        <w:t>ure wash-out phase was observed for whole body (bi-exponential), red marrow (bi-exponential) and liver (mono-exponential).</w:t>
      </w:r>
    </w:p>
    <w:p w14:paraId="3714C1E7" w14:textId="77777777" w:rsidR="00654EC6" w:rsidRPr="00DC6A13" w:rsidRDefault="00654EC6">
      <w:pPr>
        <w:rPr>
          <w:rFonts w:eastAsia="Palatino Linotype"/>
          <w:color w:val="auto"/>
        </w:rPr>
      </w:pPr>
    </w:p>
    <w:p w14:paraId="325F8300" w14:textId="4B242882" w:rsidR="00DB4676" w:rsidRDefault="00296E75">
      <w:pPr>
        <w:pStyle w:val="MDPI31text"/>
        <w:spacing w:line="240" w:lineRule="auto"/>
        <w:ind w:firstLine="0"/>
        <w:rPr>
          <w:rFonts w:ascii="Calibri" w:eastAsia="Palatino Linotype" w:hAnsi="Calibri" w:cs="Calibri"/>
          <w:snapToGrid/>
          <w:color w:val="auto"/>
          <w:sz w:val="24"/>
          <w:szCs w:val="24"/>
          <w:lang w:eastAsia="en-US" w:bidi="ar-SA"/>
        </w:rPr>
      </w:pPr>
      <w:r w:rsidRPr="00DC6A13">
        <w:rPr>
          <w:rFonts w:ascii="Calibri" w:eastAsia="Palatino Linotype" w:hAnsi="Calibri" w:cs="Calibri"/>
          <w:snapToGrid/>
          <w:color w:val="auto"/>
          <w:sz w:val="24"/>
          <w:szCs w:val="24"/>
          <w:lang w:eastAsia="en-US" w:bidi="ar-SA"/>
        </w:rPr>
        <w:t>With regard to</w:t>
      </w:r>
      <w:r w:rsidR="008D7A6D" w:rsidRPr="00DC6A13">
        <w:rPr>
          <w:rFonts w:ascii="Calibri" w:eastAsia="Palatino Linotype" w:hAnsi="Calibri" w:cs="Calibri"/>
          <w:snapToGrid/>
          <w:color w:val="auto"/>
          <w:sz w:val="24"/>
          <w:szCs w:val="24"/>
          <w:lang w:eastAsia="en-US" w:bidi="ar-SA"/>
        </w:rPr>
        <w:t xml:space="preserve"> </w:t>
      </w:r>
      <w:r w:rsidRPr="00DC6A13">
        <w:rPr>
          <w:rFonts w:ascii="Calibri" w:eastAsia="Palatino Linotype" w:hAnsi="Calibri" w:cs="Calibri"/>
          <w:snapToGrid/>
          <w:color w:val="auto"/>
          <w:sz w:val="24"/>
          <w:szCs w:val="24"/>
          <w:lang w:eastAsia="en-US" w:bidi="ar-SA"/>
        </w:rPr>
        <w:t xml:space="preserve">the </w:t>
      </w:r>
      <w:r w:rsidR="008D7A6D" w:rsidRPr="00DC6A13">
        <w:rPr>
          <w:rFonts w:ascii="Calibri" w:eastAsia="Palatino Linotype" w:hAnsi="Calibri" w:cs="Calibri"/>
          <w:snapToGrid/>
          <w:color w:val="auto"/>
          <w:sz w:val="24"/>
          <w:szCs w:val="24"/>
          <w:lang w:eastAsia="en-US" w:bidi="ar-SA"/>
        </w:rPr>
        <w:t>2D planar imaging method, m</w:t>
      </w:r>
      <w:r w:rsidR="00A6617A" w:rsidRPr="00DC6A13">
        <w:rPr>
          <w:rFonts w:ascii="Calibri" w:eastAsia="Palatino Linotype" w:hAnsi="Calibri" w:cs="Calibri"/>
          <w:snapToGrid/>
          <w:color w:val="auto"/>
          <w:sz w:val="24"/>
          <w:szCs w:val="24"/>
          <w:lang w:eastAsia="en-US" w:bidi="ar-SA"/>
        </w:rPr>
        <w:t>edian e</w:t>
      </w:r>
      <w:r w:rsidR="00DB4676" w:rsidRPr="00DC6A13">
        <w:rPr>
          <w:rFonts w:ascii="Calibri" w:eastAsia="Palatino Linotype" w:hAnsi="Calibri" w:cs="Calibri"/>
          <w:snapToGrid/>
          <w:color w:val="auto"/>
          <w:sz w:val="24"/>
          <w:szCs w:val="24"/>
          <w:lang w:eastAsia="en-US" w:bidi="ar-SA"/>
        </w:rPr>
        <w:t xml:space="preserve">ffective </w:t>
      </w:r>
      <w:r w:rsidR="0041685F" w:rsidRPr="00DC6A13">
        <w:rPr>
          <w:rFonts w:ascii="Calibri" w:eastAsia="Palatino Linotype" w:hAnsi="Calibri" w:cs="Calibri"/>
          <w:snapToGrid/>
          <w:color w:val="auto"/>
          <w:sz w:val="24"/>
          <w:szCs w:val="24"/>
          <w:lang w:eastAsia="en-US" w:bidi="ar-SA"/>
        </w:rPr>
        <w:t>half-life</w:t>
      </w:r>
      <w:r w:rsidR="00A6617A" w:rsidRPr="00DC6A13">
        <w:rPr>
          <w:rFonts w:ascii="Calibri" w:eastAsia="Palatino Linotype" w:hAnsi="Calibri" w:cs="Calibri"/>
          <w:snapToGrid/>
          <w:color w:val="auto"/>
          <w:sz w:val="24"/>
          <w:szCs w:val="24"/>
          <w:lang w:eastAsia="en-US" w:bidi="ar-SA"/>
        </w:rPr>
        <w:t xml:space="preserve"> w</w:t>
      </w:r>
      <w:r w:rsidRPr="00DC6A13">
        <w:rPr>
          <w:rFonts w:ascii="Calibri" w:eastAsia="Palatino Linotype" w:hAnsi="Calibri" w:cs="Calibri"/>
          <w:snapToGrid/>
          <w:color w:val="auto"/>
          <w:sz w:val="24"/>
          <w:szCs w:val="24"/>
          <w:lang w:eastAsia="en-US" w:bidi="ar-SA"/>
        </w:rPr>
        <w:t>as</w:t>
      </w:r>
      <w:r w:rsidR="00DB4676" w:rsidRPr="00DC6A13">
        <w:rPr>
          <w:rFonts w:ascii="Calibri" w:eastAsia="Palatino Linotype" w:hAnsi="Calibri" w:cs="Calibri"/>
          <w:snapToGrid/>
          <w:color w:val="auto"/>
          <w:sz w:val="24"/>
          <w:szCs w:val="24"/>
          <w:lang w:eastAsia="en-US" w:bidi="ar-SA"/>
        </w:rPr>
        <w:t xml:space="preserve"> </w:t>
      </w:r>
      <w:r w:rsidR="007466C5" w:rsidRPr="00DC6A13">
        <w:rPr>
          <w:rFonts w:ascii="Calibri" w:eastAsia="Palatino Linotype" w:hAnsi="Calibri" w:cs="Calibri"/>
          <w:snapToGrid/>
          <w:color w:val="auto"/>
          <w:sz w:val="24"/>
          <w:szCs w:val="24"/>
          <w:lang w:eastAsia="en-US" w:bidi="ar-SA"/>
        </w:rPr>
        <w:t xml:space="preserve">30.4 h (range 12.2-80.6) for kidneys, 23.5 h (12.5-62.9) for liver, 31.6 </w:t>
      </w:r>
      <w:r w:rsidR="00081FCA" w:rsidRPr="00DC6A13">
        <w:rPr>
          <w:rFonts w:ascii="Calibri" w:eastAsia="Palatino Linotype" w:hAnsi="Calibri" w:cs="Calibri"/>
          <w:snapToGrid/>
          <w:color w:val="auto"/>
          <w:sz w:val="24"/>
          <w:szCs w:val="24"/>
          <w:lang w:eastAsia="en-US" w:bidi="ar-SA"/>
        </w:rPr>
        <w:t xml:space="preserve">h </w:t>
      </w:r>
      <w:r w:rsidR="007466C5" w:rsidRPr="00DC6A13">
        <w:rPr>
          <w:rFonts w:ascii="Calibri" w:eastAsia="Palatino Linotype" w:hAnsi="Calibri" w:cs="Calibri"/>
          <w:snapToGrid/>
          <w:color w:val="auto"/>
          <w:sz w:val="24"/>
          <w:szCs w:val="24"/>
          <w:lang w:eastAsia="en-US" w:bidi="ar-SA"/>
        </w:rPr>
        <w:t>(25.6-60.7) for parotid glands, 31.0 h (5.3-61.0) for submandibular glands, 7.7 h (2.5-14.7) for red marrow and 51.1 h (31.6-79.7) for the whole body</w:t>
      </w:r>
      <w:r w:rsidR="002C6D82" w:rsidRPr="00DC6A13">
        <w:rPr>
          <w:rFonts w:ascii="Calibri" w:eastAsia="Palatino Linotype" w:hAnsi="Calibri" w:cs="Calibri"/>
          <w:snapToGrid/>
          <w:color w:val="auto"/>
          <w:sz w:val="24"/>
          <w:szCs w:val="24"/>
          <w:lang w:eastAsia="en-US" w:bidi="ar-SA"/>
        </w:rPr>
        <w:t xml:space="preserve">. </w:t>
      </w:r>
      <w:r w:rsidR="00A6617A" w:rsidRPr="00DC6A13">
        <w:rPr>
          <w:rFonts w:ascii="Calibri" w:eastAsia="Palatino Linotype" w:hAnsi="Calibri" w:cs="Calibri"/>
          <w:snapToGrid/>
          <w:color w:val="auto"/>
          <w:sz w:val="24"/>
          <w:szCs w:val="24"/>
          <w:lang w:eastAsia="en-US" w:bidi="ar-SA"/>
        </w:rPr>
        <w:t>With the 2D planar image method, m</w:t>
      </w:r>
      <w:r w:rsidR="008D59BE" w:rsidRPr="00DC6A13">
        <w:rPr>
          <w:rFonts w:ascii="Calibri" w:eastAsia="Palatino Linotype" w:hAnsi="Calibri" w:cs="Calibri"/>
          <w:snapToGrid/>
          <w:color w:val="auto"/>
          <w:sz w:val="24"/>
          <w:szCs w:val="24"/>
          <w:lang w:eastAsia="en-US" w:bidi="ar-SA"/>
        </w:rPr>
        <w:t xml:space="preserve">edian values of mean absorbed dose were 0.73 mGy/MBq (range 0.26-1.07) for kidneys, 0.12 mGy/MBq (0.05-0.53) for liver, </w:t>
      </w:r>
      <w:r w:rsidR="0032362C" w:rsidRPr="00DC6A13">
        <w:rPr>
          <w:rFonts w:ascii="Calibri" w:eastAsia="Palatino Linotype" w:hAnsi="Calibri" w:cs="Calibri"/>
          <w:snapToGrid/>
          <w:color w:val="auto"/>
          <w:sz w:val="24"/>
          <w:szCs w:val="24"/>
          <w:lang w:eastAsia="en-US" w:bidi="ar-SA"/>
        </w:rPr>
        <w:t>0.56</w:t>
      </w:r>
      <w:r w:rsidR="008D59BE" w:rsidRPr="00DC6A13">
        <w:rPr>
          <w:rFonts w:ascii="Calibri" w:eastAsia="Palatino Linotype" w:hAnsi="Calibri" w:cs="Calibri"/>
          <w:snapToGrid/>
          <w:color w:val="auto"/>
          <w:sz w:val="24"/>
          <w:szCs w:val="24"/>
          <w:lang w:eastAsia="en-US" w:bidi="ar-SA"/>
        </w:rPr>
        <w:t xml:space="preserve"> mGy/MBq (</w:t>
      </w:r>
      <w:r w:rsidR="0032362C" w:rsidRPr="00DC6A13">
        <w:rPr>
          <w:rFonts w:ascii="Calibri" w:eastAsia="Palatino Linotype" w:hAnsi="Calibri" w:cs="Calibri"/>
          <w:snapToGrid/>
          <w:color w:val="auto"/>
          <w:sz w:val="24"/>
          <w:szCs w:val="24"/>
          <w:lang w:eastAsia="en-US" w:bidi="ar-SA"/>
        </w:rPr>
        <w:t>0.33-2.63</w:t>
      </w:r>
      <w:r w:rsidR="008D59BE" w:rsidRPr="00DC6A13">
        <w:rPr>
          <w:rFonts w:ascii="Calibri" w:eastAsia="Palatino Linotype" w:hAnsi="Calibri" w:cs="Calibri"/>
          <w:snapToGrid/>
          <w:color w:val="auto"/>
          <w:sz w:val="24"/>
          <w:szCs w:val="24"/>
          <w:lang w:eastAsia="en-US" w:bidi="ar-SA"/>
        </w:rPr>
        <w:t xml:space="preserve">) for parotid glands, </w:t>
      </w:r>
      <w:r w:rsidR="003057B5" w:rsidRPr="00DC6A13">
        <w:rPr>
          <w:rFonts w:ascii="Calibri" w:eastAsia="Palatino Linotype" w:hAnsi="Calibri" w:cs="Calibri"/>
          <w:snapToGrid/>
          <w:color w:val="auto"/>
          <w:sz w:val="24"/>
          <w:szCs w:val="24"/>
          <w:lang w:eastAsia="en-US" w:bidi="ar-SA"/>
        </w:rPr>
        <w:t>0.63</w:t>
      </w:r>
      <w:r w:rsidR="008D59BE" w:rsidRPr="00DC6A13">
        <w:rPr>
          <w:rFonts w:ascii="Calibri" w:eastAsia="Palatino Linotype" w:hAnsi="Calibri" w:cs="Calibri"/>
          <w:snapToGrid/>
          <w:color w:val="auto"/>
          <w:sz w:val="24"/>
          <w:szCs w:val="24"/>
          <w:lang w:eastAsia="en-US" w:bidi="ar-SA"/>
        </w:rPr>
        <w:t xml:space="preserve"> mGy/MBq (</w:t>
      </w:r>
      <w:r w:rsidR="003057B5" w:rsidRPr="00DC6A13">
        <w:rPr>
          <w:rFonts w:ascii="Calibri" w:eastAsia="Palatino Linotype" w:hAnsi="Calibri" w:cs="Calibri"/>
          <w:snapToGrid/>
          <w:color w:val="auto"/>
          <w:sz w:val="24"/>
          <w:szCs w:val="24"/>
          <w:lang w:eastAsia="en-US" w:bidi="ar-SA"/>
        </w:rPr>
        <w:t>0.23-1.20</w:t>
      </w:r>
      <w:r w:rsidR="008D59BE" w:rsidRPr="00DC6A13">
        <w:rPr>
          <w:rFonts w:ascii="Calibri" w:eastAsia="Palatino Linotype" w:hAnsi="Calibri" w:cs="Calibri"/>
          <w:snapToGrid/>
          <w:color w:val="auto"/>
          <w:sz w:val="24"/>
          <w:szCs w:val="24"/>
          <w:lang w:eastAsia="en-US" w:bidi="ar-SA"/>
        </w:rPr>
        <w:t>) for submandibular glands, 0.04 mGy/MBq (0.02-0.07) for red marrow and 0.04 mGy/MBq (0.02-0.14) for the whole body</w:t>
      </w:r>
      <w:r w:rsidR="00A6617A" w:rsidRPr="00DC6A13">
        <w:rPr>
          <w:rFonts w:ascii="Calibri" w:eastAsia="Palatino Linotype" w:hAnsi="Calibri" w:cs="Calibri"/>
          <w:snapToGrid/>
          <w:color w:val="auto"/>
          <w:sz w:val="24"/>
          <w:szCs w:val="24"/>
          <w:lang w:eastAsia="en-US" w:bidi="ar-SA"/>
        </w:rPr>
        <w:t>.</w:t>
      </w:r>
    </w:p>
    <w:p w14:paraId="2F099BD0" w14:textId="77777777" w:rsidR="00DC6A13" w:rsidRPr="00DC6A13" w:rsidRDefault="00DC6A13">
      <w:pPr>
        <w:pStyle w:val="MDPI31text"/>
        <w:spacing w:line="240" w:lineRule="auto"/>
        <w:ind w:firstLine="0"/>
        <w:rPr>
          <w:rFonts w:ascii="Calibri" w:eastAsia="Palatino Linotype" w:hAnsi="Calibri" w:cs="Calibri"/>
          <w:snapToGrid/>
          <w:color w:val="auto"/>
          <w:sz w:val="24"/>
          <w:szCs w:val="24"/>
          <w:lang w:eastAsia="en-US" w:bidi="ar-SA"/>
        </w:rPr>
      </w:pPr>
    </w:p>
    <w:p w14:paraId="153166CD" w14:textId="205A12A8" w:rsidR="00D07429" w:rsidRPr="00DC6A13" w:rsidRDefault="0041685F">
      <w:pPr>
        <w:rPr>
          <w:rFonts w:eastAsia="Palatino Linotype"/>
          <w:color w:val="auto"/>
        </w:rPr>
      </w:pPr>
      <w:r>
        <w:rPr>
          <w:rFonts w:eastAsia="Palatino Linotype"/>
          <w:color w:val="auto"/>
        </w:rPr>
        <w:t>The hy</w:t>
      </w:r>
      <w:r w:rsidRPr="00DC6A13">
        <w:rPr>
          <w:rFonts w:eastAsia="Palatino Linotype"/>
          <w:color w:val="auto"/>
        </w:rPr>
        <w:t xml:space="preserve">brid </w:t>
      </w:r>
      <w:r w:rsidR="00F877EB" w:rsidRPr="00DC6A13">
        <w:rPr>
          <w:rFonts w:eastAsia="Palatino Linotype"/>
          <w:color w:val="auto"/>
        </w:rPr>
        <w:t xml:space="preserve">2D+3D SPECT/CT method was used for kidney uptake evaluation. </w:t>
      </w:r>
      <w:r w:rsidR="0064456A" w:rsidRPr="00DC6A13">
        <w:rPr>
          <w:rFonts w:eastAsia="Palatino Linotype"/>
          <w:color w:val="auto"/>
        </w:rPr>
        <w:t>High intestin</w:t>
      </w:r>
      <w:r w:rsidR="00296E75" w:rsidRPr="00DC6A13">
        <w:rPr>
          <w:rFonts w:eastAsia="Palatino Linotype"/>
          <w:color w:val="auto"/>
        </w:rPr>
        <w:t>al</w:t>
      </w:r>
      <w:r w:rsidR="0064456A" w:rsidRPr="00DC6A13">
        <w:rPr>
          <w:rFonts w:eastAsia="Palatino Linotype"/>
          <w:color w:val="auto"/>
        </w:rPr>
        <w:t xml:space="preserve"> uptake was observed from day 2 up to day 6, and largely overlapp</w:t>
      </w:r>
      <w:r w:rsidR="00296E75" w:rsidRPr="00DC6A13">
        <w:rPr>
          <w:rFonts w:eastAsia="Palatino Linotype"/>
          <w:color w:val="auto"/>
        </w:rPr>
        <w:t>ed the</w:t>
      </w:r>
      <w:r w:rsidR="0064456A" w:rsidRPr="00DC6A13">
        <w:rPr>
          <w:rFonts w:eastAsia="Palatino Linotype"/>
          <w:color w:val="auto"/>
        </w:rPr>
        <w:t xml:space="preserve"> kidneys. </w:t>
      </w:r>
      <w:r w:rsidR="00296E75" w:rsidRPr="00DC6A13">
        <w:rPr>
          <w:rFonts w:eastAsia="Palatino Linotype"/>
          <w:color w:val="auto"/>
        </w:rPr>
        <w:t>The median ratio between kidney</w:t>
      </w:r>
      <w:r w:rsidR="0064456A" w:rsidRPr="00DC6A13">
        <w:rPr>
          <w:rFonts w:eastAsia="Palatino Linotype"/>
          <w:color w:val="auto"/>
        </w:rPr>
        <w:t xml:space="preserve"> uptake at 24</w:t>
      </w:r>
      <w:r w:rsidR="00296E75" w:rsidRPr="00DC6A13">
        <w:rPr>
          <w:rFonts w:eastAsia="Palatino Linotype"/>
          <w:color w:val="auto"/>
        </w:rPr>
        <w:t xml:space="preserve"> </w:t>
      </w:r>
      <w:r w:rsidR="0064456A" w:rsidRPr="00DC6A13">
        <w:rPr>
          <w:rFonts w:eastAsia="Palatino Linotype"/>
          <w:color w:val="auto"/>
        </w:rPr>
        <w:t>h (day 2)</w:t>
      </w:r>
      <w:r w:rsidR="00296E75" w:rsidRPr="00DC6A13">
        <w:rPr>
          <w:rFonts w:eastAsia="Palatino Linotype"/>
          <w:color w:val="auto"/>
        </w:rPr>
        <w:t>,</w:t>
      </w:r>
      <w:r w:rsidR="0064456A" w:rsidRPr="00DC6A13">
        <w:rPr>
          <w:rFonts w:eastAsia="Palatino Linotype"/>
          <w:color w:val="auto"/>
        </w:rPr>
        <w:t xml:space="preserve"> evaluated on planar images (</w:t>
      </w:r>
      <m:oMath>
        <m:sSub>
          <m:sSubPr>
            <m:ctrlPr>
              <w:rPr>
                <w:rFonts w:ascii="Cambria Math" w:hAnsi="Cambria Math"/>
                <w:i/>
                <w:color w:val="auto"/>
              </w:rPr>
            </m:ctrlPr>
          </m:sSubPr>
          <m:e>
            <m:r>
              <w:rPr>
                <w:rFonts w:ascii="Cambria Math" w:hAnsi="Cambria Math"/>
                <w:color w:val="auto"/>
              </w:rPr>
              <m:t>%IA</m:t>
            </m:r>
          </m:e>
          <m:sub>
            <m:r>
              <w:rPr>
                <w:rFonts w:ascii="Cambria Math" w:hAnsi="Cambria Math"/>
                <w:color w:val="auto"/>
              </w:rPr>
              <m:t>2D-24</m:t>
            </m:r>
            <m:r>
              <w:rPr>
                <w:rFonts w:ascii="Cambria Math" w:hAnsi="Cambria Math"/>
                <w:color w:val="auto"/>
              </w:rPr>
              <m:t>h</m:t>
            </m:r>
          </m:sub>
        </m:sSub>
      </m:oMath>
      <w:r w:rsidR="0064456A" w:rsidRPr="00DC6A13">
        <w:rPr>
          <w:rFonts w:eastAsia="Palatino Linotype"/>
          <w:color w:val="auto"/>
        </w:rPr>
        <w:t>) and 3D SPECT/CT (</w:t>
      </w:r>
      <m:oMath>
        <m:sSub>
          <m:sSubPr>
            <m:ctrlPr>
              <w:rPr>
                <w:rFonts w:ascii="Cambria Math" w:hAnsi="Cambria Math"/>
                <w:i/>
                <w:color w:val="auto"/>
              </w:rPr>
            </m:ctrlPr>
          </m:sSubPr>
          <m:e>
            <m:r>
              <w:rPr>
                <w:rFonts w:ascii="Cambria Math" w:hAnsi="Cambria Math"/>
                <w:color w:val="auto"/>
              </w:rPr>
              <m:t>%IA</m:t>
            </m:r>
          </m:e>
          <m:sub>
            <m:r>
              <w:rPr>
                <w:rFonts w:ascii="Cambria Math" w:hAnsi="Cambria Math"/>
                <w:color w:val="auto"/>
              </w:rPr>
              <m:t>3D-24</m:t>
            </m:r>
            <m:r>
              <w:rPr>
                <w:rFonts w:ascii="Cambria Math" w:hAnsi="Cambria Math"/>
                <w:color w:val="auto"/>
              </w:rPr>
              <m:t>h</m:t>
            </m:r>
          </m:sub>
        </m:sSub>
      </m:oMath>
      <w:r w:rsidR="0064456A" w:rsidRPr="00DC6A13">
        <w:rPr>
          <w:rFonts w:eastAsia="Palatino Linotype"/>
          <w:color w:val="auto"/>
        </w:rPr>
        <w:t>)</w:t>
      </w:r>
      <w:r w:rsidR="00296E75" w:rsidRPr="00DC6A13">
        <w:rPr>
          <w:rFonts w:eastAsia="Palatino Linotype"/>
          <w:color w:val="auto"/>
        </w:rPr>
        <w:t>, was</w:t>
      </w:r>
      <w:r w:rsidR="0064456A" w:rsidRPr="00DC6A13">
        <w:rPr>
          <w:rFonts w:eastAsia="Palatino Linotype"/>
          <w:color w:val="auto"/>
        </w:rPr>
        <w:t xml:space="preserve"> 0.45</w:t>
      </w:r>
      <w:r w:rsidR="00296E75" w:rsidRPr="00DC6A13">
        <w:rPr>
          <w:rFonts w:eastAsia="Palatino Linotype"/>
          <w:color w:val="auto"/>
        </w:rPr>
        <w:t xml:space="preserve"> (range</w:t>
      </w:r>
      <w:r w:rsidR="0064456A" w:rsidRPr="00DC6A13">
        <w:rPr>
          <w:rFonts w:eastAsia="Palatino Linotype"/>
          <w:color w:val="auto"/>
        </w:rPr>
        <w:t xml:space="preserve"> 0.32-1.23</w:t>
      </w:r>
      <w:r w:rsidR="00296E75" w:rsidRPr="00DC6A13">
        <w:rPr>
          <w:rFonts w:eastAsia="Palatino Linotype"/>
          <w:color w:val="auto"/>
        </w:rPr>
        <w:t>)</w:t>
      </w:r>
      <w:r w:rsidR="0064456A" w:rsidRPr="00DC6A13">
        <w:rPr>
          <w:rFonts w:eastAsia="Palatino Linotype"/>
          <w:color w:val="auto"/>
        </w:rPr>
        <w:t xml:space="preserve">. For one patient, a full 3D SPECT/CT evaluation was </w:t>
      </w:r>
      <w:r w:rsidR="00296E75" w:rsidRPr="00DC6A13">
        <w:rPr>
          <w:rFonts w:eastAsia="Palatino Linotype"/>
          <w:color w:val="auto"/>
        </w:rPr>
        <w:t xml:space="preserve">also </w:t>
      </w:r>
      <w:r w:rsidR="0064456A" w:rsidRPr="00DC6A13">
        <w:rPr>
          <w:rFonts w:eastAsia="Palatino Linotype"/>
          <w:color w:val="auto"/>
        </w:rPr>
        <w:t>performed by acquiring both planar images and 3D SPECT/C</w:t>
      </w:r>
      <w:r w:rsidR="00D07429" w:rsidRPr="00DC6A13">
        <w:rPr>
          <w:rFonts w:eastAsia="Palatino Linotype"/>
          <w:color w:val="auto"/>
        </w:rPr>
        <w:t>T</w:t>
      </w:r>
      <w:r w:rsidR="0064456A" w:rsidRPr="00DC6A13">
        <w:rPr>
          <w:rFonts w:eastAsia="Palatino Linotype"/>
          <w:color w:val="auto"/>
        </w:rPr>
        <w:t xml:space="preserve"> </w:t>
      </w:r>
      <w:r w:rsidR="006C7C5B" w:rsidRPr="00DC6A13">
        <w:rPr>
          <w:rFonts w:eastAsia="Palatino Linotype"/>
          <w:color w:val="auto"/>
        </w:rPr>
        <w:t>for</w:t>
      </w:r>
      <w:r w:rsidR="0064456A" w:rsidRPr="00DC6A13">
        <w:rPr>
          <w:rFonts w:eastAsia="Palatino Linotype"/>
          <w:color w:val="auto"/>
        </w:rPr>
        <w:t xml:space="preserve"> all</w:t>
      </w:r>
      <w:r w:rsidR="00296E75" w:rsidRPr="00DC6A13">
        <w:rPr>
          <w:rFonts w:eastAsia="Palatino Linotype"/>
          <w:color w:val="auto"/>
        </w:rPr>
        <w:t xml:space="preserve"> the</w:t>
      </w:r>
      <w:r w:rsidR="0064456A" w:rsidRPr="00DC6A13">
        <w:rPr>
          <w:rFonts w:eastAsia="Palatino Linotype"/>
          <w:color w:val="auto"/>
        </w:rPr>
        <w:t xml:space="preserve"> days </w:t>
      </w:r>
      <w:r w:rsidR="006C7C5B" w:rsidRPr="00DC6A13">
        <w:rPr>
          <w:rFonts w:eastAsia="Palatino Linotype"/>
          <w:color w:val="auto"/>
        </w:rPr>
        <w:t xml:space="preserve">dedicated to the </w:t>
      </w:r>
      <w:r w:rsidR="0064456A" w:rsidRPr="00DC6A13">
        <w:rPr>
          <w:rFonts w:eastAsia="Palatino Linotype"/>
          <w:color w:val="auto"/>
        </w:rPr>
        <w:t>dosime</w:t>
      </w:r>
      <w:r w:rsidR="00D07429" w:rsidRPr="00DC6A13">
        <w:rPr>
          <w:rFonts w:eastAsia="Palatino Linotype"/>
          <w:color w:val="auto"/>
        </w:rPr>
        <w:t>try (</w:t>
      </w:r>
      <w:r w:rsidR="00D07429" w:rsidRPr="003D144A">
        <w:rPr>
          <w:rFonts w:eastAsia="Palatino Linotype"/>
          <w:b/>
          <w:bCs/>
          <w:color w:val="auto"/>
        </w:rPr>
        <w:t>Figure 4</w:t>
      </w:r>
      <w:r w:rsidR="00D07429" w:rsidRPr="00DC6A13">
        <w:rPr>
          <w:rFonts w:eastAsia="Palatino Linotype"/>
          <w:color w:val="auto"/>
        </w:rPr>
        <w:t>).</w:t>
      </w:r>
      <w:r w:rsidR="0064456A" w:rsidRPr="00DC6A13">
        <w:rPr>
          <w:rFonts w:eastAsia="Palatino Linotype"/>
          <w:color w:val="auto"/>
        </w:rPr>
        <w:t xml:space="preserve"> </w:t>
      </w:r>
      <w:r w:rsidR="00D07429" w:rsidRPr="00DC6A13">
        <w:rPr>
          <w:rFonts w:eastAsia="Palatino Linotype"/>
          <w:color w:val="auto"/>
        </w:rPr>
        <w:t xml:space="preserve">The time-activity curves derived </w:t>
      </w:r>
      <w:r w:rsidR="00296E75" w:rsidRPr="00DC6A13">
        <w:rPr>
          <w:rFonts w:eastAsia="Palatino Linotype"/>
          <w:color w:val="auto"/>
        </w:rPr>
        <w:t>from</w:t>
      </w:r>
      <w:r w:rsidR="00D07429" w:rsidRPr="00DC6A13">
        <w:rPr>
          <w:rFonts w:eastAsia="Palatino Linotype"/>
          <w:color w:val="auto"/>
        </w:rPr>
        <w:t xml:space="preserve"> the three different methods </w:t>
      </w:r>
      <w:r w:rsidR="00296E75" w:rsidRPr="00DC6A13">
        <w:rPr>
          <w:rFonts w:eastAsia="Palatino Linotype"/>
          <w:color w:val="auto"/>
        </w:rPr>
        <w:t>were</w:t>
      </w:r>
      <w:r w:rsidR="00D07429" w:rsidRPr="00DC6A13">
        <w:rPr>
          <w:rFonts w:eastAsia="Palatino Linotype"/>
          <w:color w:val="auto"/>
        </w:rPr>
        <w:t xml:space="preserve"> compared for left and right kidneys</w:t>
      </w:r>
      <w:r w:rsidR="00296E75" w:rsidRPr="00DC6A13">
        <w:rPr>
          <w:rFonts w:eastAsia="Palatino Linotype"/>
          <w:color w:val="auto"/>
        </w:rPr>
        <w:t xml:space="preserve"> (</w:t>
      </w:r>
      <w:r w:rsidR="00296E75" w:rsidRPr="003D144A">
        <w:rPr>
          <w:rFonts w:eastAsia="Palatino Linotype"/>
          <w:b/>
          <w:bCs/>
          <w:color w:val="auto"/>
        </w:rPr>
        <w:t>Figure 4</w:t>
      </w:r>
      <w:r w:rsidR="00296E75" w:rsidRPr="00DC6A13">
        <w:rPr>
          <w:rFonts w:eastAsia="Palatino Linotype"/>
          <w:color w:val="auto"/>
        </w:rPr>
        <w:t>)</w:t>
      </w:r>
      <w:r w:rsidR="00D07429" w:rsidRPr="00DC6A13">
        <w:rPr>
          <w:rFonts w:eastAsia="Palatino Linotype"/>
          <w:color w:val="auto"/>
        </w:rPr>
        <w:t xml:space="preserve">. The hybrid method assumes </w:t>
      </w:r>
      <w:r w:rsidR="00172990" w:rsidRPr="00DC6A13">
        <w:rPr>
          <w:rFonts w:eastAsia="Palatino Linotype"/>
          <w:color w:val="auto"/>
        </w:rPr>
        <w:t xml:space="preserve">that </w:t>
      </w:r>
      <w:r w:rsidR="00D07429" w:rsidRPr="00DC6A13">
        <w:rPr>
          <w:rFonts w:eastAsia="Palatino Linotype"/>
          <w:color w:val="auto"/>
        </w:rPr>
        <w:t>the intestine overlap uptake correction observed on SPECT/CT acquired at 24</w:t>
      </w:r>
      <w:r w:rsidR="004C5ECE" w:rsidRPr="00DC6A13">
        <w:rPr>
          <w:rFonts w:eastAsia="Palatino Linotype"/>
          <w:color w:val="auto"/>
        </w:rPr>
        <w:t xml:space="preserve"> </w:t>
      </w:r>
      <w:r w:rsidR="00D07429" w:rsidRPr="00DC6A13">
        <w:rPr>
          <w:rFonts w:eastAsia="Palatino Linotype"/>
          <w:color w:val="auto"/>
        </w:rPr>
        <w:t xml:space="preserve">h </w:t>
      </w:r>
      <w:r w:rsidR="00172990" w:rsidRPr="00DC6A13">
        <w:rPr>
          <w:rFonts w:eastAsia="Palatino Linotype"/>
          <w:color w:val="auto"/>
        </w:rPr>
        <w:t xml:space="preserve">was </w:t>
      </w:r>
      <w:r w:rsidR="00D07429" w:rsidRPr="00DC6A13">
        <w:rPr>
          <w:rFonts w:eastAsia="Palatino Linotype"/>
          <w:color w:val="auto"/>
        </w:rPr>
        <w:t xml:space="preserve">valid for all </w:t>
      </w:r>
      <w:r w:rsidR="00172990" w:rsidRPr="00DC6A13">
        <w:rPr>
          <w:rFonts w:eastAsia="Palatino Linotype"/>
          <w:color w:val="auto"/>
        </w:rPr>
        <w:t xml:space="preserve">the </w:t>
      </w:r>
      <w:r w:rsidR="00D07429" w:rsidRPr="00DC6A13">
        <w:rPr>
          <w:rFonts w:eastAsia="Palatino Linotype"/>
          <w:color w:val="auto"/>
        </w:rPr>
        <w:t>other planar images acquired at different tim</w:t>
      </w:r>
      <w:r w:rsidR="00172990" w:rsidRPr="00DC6A13">
        <w:rPr>
          <w:rFonts w:eastAsia="Palatino Linotype"/>
          <w:color w:val="auto"/>
        </w:rPr>
        <w:t>es</w:t>
      </w:r>
      <w:r w:rsidR="00D07429" w:rsidRPr="00DC6A13">
        <w:rPr>
          <w:rFonts w:eastAsia="Palatino Linotype"/>
          <w:color w:val="auto"/>
        </w:rPr>
        <w:t>. Fo</w:t>
      </w:r>
      <w:r w:rsidR="004C5ECE" w:rsidRPr="00DC6A13">
        <w:rPr>
          <w:rFonts w:eastAsia="Palatino Linotype"/>
          <w:color w:val="auto"/>
        </w:rPr>
        <w:t>r this patient, the correction was</w:t>
      </w:r>
      <w:r w:rsidR="00D07429" w:rsidRPr="00DC6A13">
        <w:rPr>
          <w:rFonts w:eastAsia="Palatino Linotype"/>
          <w:color w:val="auto"/>
        </w:rPr>
        <w:t xml:space="preserve"> valid for all time points for</w:t>
      </w:r>
      <w:r w:rsidR="004C5ECE" w:rsidRPr="00DC6A13">
        <w:rPr>
          <w:rFonts w:eastAsia="Palatino Linotype"/>
          <w:color w:val="auto"/>
        </w:rPr>
        <w:t xml:space="preserve"> the</w:t>
      </w:r>
      <w:r w:rsidR="00D07429" w:rsidRPr="00DC6A13">
        <w:rPr>
          <w:rFonts w:eastAsia="Palatino Linotype"/>
          <w:color w:val="auto"/>
        </w:rPr>
        <w:t xml:space="preserve"> right kidney</w:t>
      </w:r>
      <w:r w:rsidR="00940BBA" w:rsidRPr="00DC6A13">
        <w:rPr>
          <w:rFonts w:eastAsia="Palatino Linotype"/>
          <w:color w:val="auto"/>
        </w:rPr>
        <w:t xml:space="preserve"> (</w:t>
      </w:r>
      <w:r w:rsidR="00940BBA" w:rsidRPr="003D144A">
        <w:rPr>
          <w:rFonts w:eastAsia="Palatino Linotype"/>
          <w:b/>
          <w:bCs/>
          <w:color w:val="auto"/>
        </w:rPr>
        <w:t xml:space="preserve">Figure </w:t>
      </w:r>
      <w:r w:rsidRPr="003D144A">
        <w:rPr>
          <w:rFonts w:eastAsia="Palatino Linotype"/>
          <w:b/>
          <w:bCs/>
          <w:color w:val="auto"/>
        </w:rPr>
        <w:t>4</w:t>
      </w:r>
      <w:r>
        <w:rPr>
          <w:rFonts w:eastAsia="Palatino Linotype"/>
          <w:b/>
          <w:bCs/>
          <w:color w:val="auto"/>
        </w:rPr>
        <w:t>B</w:t>
      </w:r>
      <w:r w:rsidR="00940BBA" w:rsidRPr="00DC6A13">
        <w:rPr>
          <w:rFonts w:eastAsia="Palatino Linotype"/>
          <w:color w:val="auto"/>
        </w:rPr>
        <w:t>)</w:t>
      </w:r>
      <w:r w:rsidR="00D07429" w:rsidRPr="00DC6A13">
        <w:rPr>
          <w:rFonts w:eastAsia="Palatino Linotype"/>
          <w:color w:val="auto"/>
        </w:rPr>
        <w:t xml:space="preserve">, </w:t>
      </w:r>
      <w:r w:rsidR="004C5ECE" w:rsidRPr="00DC6A13">
        <w:rPr>
          <w:rFonts w:eastAsia="Palatino Linotype"/>
          <w:color w:val="auto"/>
        </w:rPr>
        <w:t>whereas</w:t>
      </w:r>
      <w:r w:rsidR="00D07429" w:rsidRPr="00DC6A13">
        <w:rPr>
          <w:rFonts w:eastAsia="Palatino Linotype"/>
          <w:color w:val="auto"/>
        </w:rPr>
        <w:t xml:space="preserve"> an underestimation of </w:t>
      </w:r>
      <w:r w:rsidR="006C7C5B" w:rsidRPr="00DC6A13">
        <w:rPr>
          <w:rFonts w:eastAsia="Palatino Linotype"/>
          <w:color w:val="auto"/>
        </w:rPr>
        <w:t>relative</w:t>
      </w:r>
      <w:r w:rsidR="004C5ECE" w:rsidRPr="00DC6A13">
        <w:rPr>
          <w:rFonts w:eastAsia="Palatino Linotype"/>
          <w:color w:val="auto"/>
        </w:rPr>
        <w:t xml:space="preserve"> uptake was observed on</w:t>
      </w:r>
      <w:r w:rsidR="00D07429" w:rsidRPr="00DC6A13">
        <w:rPr>
          <w:rFonts w:eastAsia="Palatino Linotype"/>
          <w:color w:val="auto"/>
        </w:rPr>
        <w:t xml:space="preserve"> day 1 for </w:t>
      </w:r>
      <w:r w:rsidR="004C5ECE" w:rsidRPr="00DC6A13">
        <w:rPr>
          <w:rFonts w:eastAsia="Palatino Linotype"/>
          <w:color w:val="auto"/>
        </w:rPr>
        <w:t xml:space="preserve">the </w:t>
      </w:r>
      <w:r w:rsidR="00D07429" w:rsidRPr="00DC6A13">
        <w:rPr>
          <w:rFonts w:eastAsia="Palatino Linotype"/>
          <w:color w:val="auto"/>
        </w:rPr>
        <w:t>left kidney</w:t>
      </w:r>
      <w:r w:rsidR="00940BBA" w:rsidRPr="00DC6A13">
        <w:rPr>
          <w:rFonts w:eastAsia="Palatino Linotype"/>
          <w:color w:val="auto"/>
        </w:rPr>
        <w:t xml:space="preserve"> (</w:t>
      </w:r>
      <w:r w:rsidR="00940BBA" w:rsidRPr="003D144A">
        <w:rPr>
          <w:rFonts w:eastAsia="Palatino Linotype"/>
          <w:b/>
          <w:bCs/>
          <w:color w:val="auto"/>
        </w:rPr>
        <w:t xml:space="preserve">Figure </w:t>
      </w:r>
      <w:r w:rsidRPr="003D144A">
        <w:rPr>
          <w:rFonts w:eastAsia="Palatino Linotype"/>
          <w:b/>
          <w:bCs/>
          <w:color w:val="auto"/>
        </w:rPr>
        <w:t>4</w:t>
      </w:r>
      <w:r>
        <w:rPr>
          <w:rFonts w:eastAsia="Palatino Linotype"/>
          <w:b/>
          <w:bCs/>
          <w:color w:val="auto"/>
        </w:rPr>
        <w:t>A</w:t>
      </w:r>
      <w:r w:rsidR="00940BBA" w:rsidRPr="00DC6A13">
        <w:rPr>
          <w:rFonts w:eastAsia="Palatino Linotype"/>
          <w:color w:val="auto"/>
        </w:rPr>
        <w:t>)</w:t>
      </w:r>
      <w:r w:rsidR="00D07429" w:rsidRPr="00DC6A13">
        <w:rPr>
          <w:rFonts w:eastAsia="Palatino Linotype"/>
          <w:color w:val="auto"/>
        </w:rPr>
        <w:t>.</w:t>
      </w:r>
      <w:r w:rsidR="00993852" w:rsidRPr="00DC6A13">
        <w:rPr>
          <w:rFonts w:eastAsia="Palatino Linotype"/>
          <w:color w:val="auto"/>
        </w:rPr>
        <w:t xml:space="preserve"> </w:t>
      </w:r>
      <w:r w:rsidR="007D787A" w:rsidRPr="00DC6A13">
        <w:rPr>
          <w:rFonts w:eastAsia="Palatino Linotype"/>
          <w:color w:val="auto"/>
        </w:rPr>
        <w:t>Nevertheless</w:t>
      </w:r>
      <w:r w:rsidR="00D46C4F" w:rsidRPr="00DC6A13">
        <w:rPr>
          <w:rFonts w:eastAsia="Palatino Linotype"/>
          <w:color w:val="auto"/>
        </w:rPr>
        <w:t>,</w:t>
      </w:r>
      <w:r w:rsidR="007D787A" w:rsidRPr="00DC6A13">
        <w:rPr>
          <w:rFonts w:eastAsia="Palatino Linotype"/>
          <w:color w:val="auto"/>
        </w:rPr>
        <w:t xml:space="preserve"> </w:t>
      </w:r>
      <w:r w:rsidR="00172990" w:rsidRPr="00DC6A13">
        <w:rPr>
          <w:rFonts w:eastAsia="Palatino Linotype"/>
          <w:color w:val="auto"/>
        </w:rPr>
        <w:t>a discrepancy of only 1.6 % was observed</w:t>
      </w:r>
      <w:r w:rsidR="0074486E" w:rsidRPr="00DC6A13">
        <w:rPr>
          <w:rFonts w:eastAsia="Palatino Linotype"/>
          <w:color w:val="auto"/>
        </w:rPr>
        <w:t xml:space="preserve"> between </w:t>
      </w:r>
      <w:r w:rsidR="00172990" w:rsidRPr="00DC6A13">
        <w:rPr>
          <w:rFonts w:eastAsia="Palatino Linotype"/>
          <w:color w:val="auto"/>
        </w:rPr>
        <w:t xml:space="preserve">the </w:t>
      </w:r>
      <w:r w:rsidR="0074486E" w:rsidRPr="00DC6A13">
        <w:rPr>
          <w:rFonts w:eastAsia="Palatino Linotype"/>
          <w:color w:val="auto"/>
        </w:rPr>
        <w:t xml:space="preserve">hybrid and 2D methods in terms of </w:t>
      </w:r>
      <w:r w:rsidR="00D46C4F" w:rsidRPr="00DC6A13">
        <w:rPr>
          <w:rFonts w:eastAsia="Palatino Linotype"/>
          <w:color w:val="auto"/>
        </w:rPr>
        <w:t xml:space="preserve">mean </w:t>
      </w:r>
      <w:r w:rsidR="007D787A" w:rsidRPr="00DC6A13">
        <w:rPr>
          <w:rFonts w:eastAsia="Palatino Linotype"/>
          <w:color w:val="auto"/>
        </w:rPr>
        <w:t>absorbed</w:t>
      </w:r>
      <w:r w:rsidR="00D46C4F" w:rsidRPr="00DC6A13">
        <w:rPr>
          <w:rFonts w:eastAsia="Palatino Linotype"/>
          <w:color w:val="auto"/>
        </w:rPr>
        <w:t xml:space="preserve"> dose of </w:t>
      </w:r>
      <w:r w:rsidR="00172990" w:rsidRPr="00DC6A13">
        <w:rPr>
          <w:rFonts w:eastAsia="Palatino Linotype"/>
          <w:color w:val="auto"/>
        </w:rPr>
        <w:t xml:space="preserve">the </w:t>
      </w:r>
      <w:r w:rsidR="00D46C4F" w:rsidRPr="00DC6A13">
        <w:rPr>
          <w:rFonts w:eastAsia="Palatino Linotype"/>
          <w:color w:val="auto"/>
        </w:rPr>
        <w:t>hybrid method</w:t>
      </w:r>
      <w:r w:rsidR="007D787A" w:rsidRPr="00DC6A13">
        <w:rPr>
          <w:rFonts w:eastAsia="Palatino Linotype"/>
          <w:color w:val="auto"/>
        </w:rPr>
        <w:t>, with 0</w:t>
      </w:r>
      <w:r w:rsidR="001B0F61" w:rsidRPr="00DC6A13">
        <w:rPr>
          <w:rFonts w:eastAsia="Palatino Linotype"/>
          <w:color w:val="auto"/>
        </w:rPr>
        <w:t>.3</w:t>
      </w:r>
      <w:r w:rsidR="003F698F" w:rsidRPr="00DC6A13">
        <w:rPr>
          <w:rFonts w:eastAsia="Palatino Linotype"/>
          <w:color w:val="auto"/>
        </w:rPr>
        <w:t>20</w:t>
      </w:r>
      <w:r w:rsidR="001B0F61" w:rsidRPr="00DC6A13">
        <w:rPr>
          <w:rFonts w:eastAsia="Palatino Linotype"/>
          <w:color w:val="auto"/>
        </w:rPr>
        <w:t xml:space="preserve"> mGy/MBq for</w:t>
      </w:r>
      <w:r w:rsidR="00172990" w:rsidRPr="00DC6A13">
        <w:rPr>
          <w:rFonts w:eastAsia="Palatino Linotype"/>
          <w:color w:val="auto"/>
        </w:rPr>
        <w:t xml:space="preserve"> the</w:t>
      </w:r>
      <w:r w:rsidR="001B0F61" w:rsidRPr="00DC6A13">
        <w:rPr>
          <w:rFonts w:eastAsia="Palatino Linotype"/>
          <w:color w:val="auto"/>
        </w:rPr>
        <w:t xml:space="preserve"> 3D method, 0.3</w:t>
      </w:r>
      <w:r w:rsidR="003F698F" w:rsidRPr="00DC6A13">
        <w:rPr>
          <w:rFonts w:eastAsia="Palatino Linotype"/>
          <w:color w:val="auto"/>
        </w:rPr>
        <w:t>15</w:t>
      </w:r>
      <w:r w:rsidR="007D787A" w:rsidRPr="00DC6A13">
        <w:rPr>
          <w:rFonts w:eastAsia="Palatino Linotype"/>
          <w:color w:val="auto"/>
        </w:rPr>
        <w:t xml:space="preserve"> mG</w:t>
      </w:r>
      <w:r w:rsidR="001B0F61" w:rsidRPr="00DC6A13">
        <w:rPr>
          <w:rFonts w:eastAsia="Palatino Linotype"/>
          <w:color w:val="auto"/>
        </w:rPr>
        <w:t xml:space="preserve">y/MBq for </w:t>
      </w:r>
      <w:r w:rsidR="00172990" w:rsidRPr="00DC6A13">
        <w:rPr>
          <w:rFonts w:eastAsia="Palatino Linotype"/>
          <w:color w:val="auto"/>
        </w:rPr>
        <w:t xml:space="preserve">the </w:t>
      </w:r>
      <w:r w:rsidR="001B0F61" w:rsidRPr="00DC6A13">
        <w:rPr>
          <w:rFonts w:eastAsia="Palatino Linotype"/>
          <w:color w:val="auto"/>
        </w:rPr>
        <w:t>hybrid method and 0.8</w:t>
      </w:r>
      <w:r w:rsidR="003F698F" w:rsidRPr="00DC6A13">
        <w:rPr>
          <w:rFonts w:eastAsia="Palatino Linotype"/>
          <w:color w:val="auto"/>
        </w:rPr>
        <w:t>29</w:t>
      </w:r>
      <w:r w:rsidR="007D787A" w:rsidRPr="00DC6A13">
        <w:rPr>
          <w:rFonts w:eastAsia="Palatino Linotype"/>
          <w:color w:val="auto"/>
        </w:rPr>
        <w:t xml:space="preserve"> mGy/MBq for </w:t>
      </w:r>
      <w:r w:rsidR="00172990" w:rsidRPr="00DC6A13">
        <w:rPr>
          <w:rFonts w:eastAsia="Palatino Linotype"/>
          <w:color w:val="auto"/>
        </w:rPr>
        <w:t xml:space="preserve">the </w:t>
      </w:r>
      <w:r w:rsidR="007D787A" w:rsidRPr="00DC6A13">
        <w:rPr>
          <w:rFonts w:eastAsia="Palatino Linotype"/>
          <w:color w:val="auto"/>
        </w:rPr>
        <w:t>2D method.</w:t>
      </w:r>
    </w:p>
    <w:p w14:paraId="23418B1C" w14:textId="77777777" w:rsidR="000251EF" w:rsidRPr="00DC6A13" w:rsidRDefault="000251EF">
      <w:pPr>
        <w:rPr>
          <w:rFonts w:eastAsia="Palatino Linotype"/>
          <w:color w:val="auto"/>
        </w:rPr>
      </w:pPr>
    </w:p>
    <w:p w14:paraId="3B8F6CA1" w14:textId="77777777" w:rsidR="003942EE" w:rsidRPr="00DC6A13" w:rsidRDefault="003942EE">
      <w:pPr>
        <w:rPr>
          <w:bCs/>
          <w:color w:val="auto"/>
        </w:rPr>
      </w:pPr>
      <w:r w:rsidRPr="00DC6A13">
        <w:rPr>
          <w:b/>
          <w:color w:val="auto"/>
        </w:rPr>
        <w:t>FIGURE LEGENDS:</w:t>
      </w:r>
    </w:p>
    <w:p w14:paraId="084733C9" w14:textId="77777777" w:rsidR="003942EE" w:rsidRPr="00DC6A13" w:rsidRDefault="003942EE">
      <w:pPr>
        <w:rPr>
          <w:rFonts w:eastAsia="Palatino Linotype"/>
          <w:color w:val="auto"/>
        </w:rPr>
      </w:pPr>
      <w:r w:rsidRPr="00DC6A13">
        <w:rPr>
          <w:rFonts w:eastAsia="Palatino Linotype"/>
          <w:b/>
          <w:color w:val="auto"/>
        </w:rPr>
        <w:t>Figure 1.</w:t>
      </w:r>
      <w:r w:rsidRPr="00DC6A13">
        <w:rPr>
          <w:rFonts w:eastAsia="Palatino Linotype"/>
          <w:color w:val="auto"/>
        </w:rPr>
        <w:t xml:space="preserve"> </w:t>
      </w:r>
      <w:r w:rsidRPr="00DC6A13">
        <w:rPr>
          <w:rFonts w:eastAsia="Palatino Linotype"/>
          <w:b/>
          <w:color w:val="auto"/>
        </w:rPr>
        <w:t>Image acquisition workflow for dosimetry evaluation.</w:t>
      </w:r>
      <w:r w:rsidR="007430F2" w:rsidRPr="00DC6A13">
        <w:rPr>
          <w:rFonts w:eastAsia="Palatino Linotype"/>
          <w:b/>
          <w:color w:val="auto"/>
        </w:rPr>
        <w:t xml:space="preserve"> </w:t>
      </w:r>
      <w:r w:rsidR="007430F2" w:rsidRPr="00DC6A13">
        <w:rPr>
          <w:rFonts w:eastAsia="Palatino Linotype"/>
          <w:color w:val="auto"/>
        </w:rPr>
        <w:t xml:space="preserve">Main steps and timing of hybrid dosimetry procedure. </w:t>
      </w:r>
    </w:p>
    <w:p w14:paraId="2E9A4A96" w14:textId="77777777" w:rsidR="003942EE" w:rsidRPr="00DC6A13" w:rsidRDefault="003942EE">
      <w:pPr>
        <w:rPr>
          <w:color w:val="auto"/>
        </w:rPr>
      </w:pPr>
    </w:p>
    <w:p w14:paraId="702C288B" w14:textId="3A8A7A2B" w:rsidR="003942EE" w:rsidRPr="00DC6A13" w:rsidRDefault="003942EE">
      <w:pPr>
        <w:rPr>
          <w:rFonts w:eastAsia="Palatino Linotype"/>
          <w:color w:val="auto"/>
        </w:rPr>
      </w:pPr>
      <w:r w:rsidRPr="00DC6A13">
        <w:rPr>
          <w:rFonts w:eastAsia="Palatino Linotype"/>
          <w:b/>
          <w:color w:val="auto"/>
        </w:rPr>
        <w:t>Figure 2.</w:t>
      </w:r>
      <w:r w:rsidRPr="00DC6A13">
        <w:rPr>
          <w:rFonts w:eastAsia="Palatino Linotype"/>
          <w:color w:val="auto"/>
        </w:rPr>
        <w:t xml:space="preserve"> </w:t>
      </w:r>
      <w:r w:rsidRPr="00DC6A13">
        <w:rPr>
          <w:rFonts w:eastAsia="Palatino Linotype"/>
          <w:b/>
          <w:color w:val="auto"/>
        </w:rPr>
        <w:t xml:space="preserve">Sequential planar </w:t>
      </w:r>
      <w:r w:rsidR="0041685F" w:rsidRPr="00DC6A13">
        <w:rPr>
          <w:rFonts w:eastAsia="Palatino Linotype"/>
          <w:b/>
          <w:color w:val="auto"/>
        </w:rPr>
        <w:t>whole-body</w:t>
      </w:r>
      <w:r w:rsidRPr="00DC6A13">
        <w:rPr>
          <w:rFonts w:eastAsia="Palatino Linotype"/>
          <w:b/>
          <w:color w:val="auto"/>
        </w:rPr>
        <w:t xml:space="preserve"> images (posterior projection) acquired at</w:t>
      </w:r>
      <w:r w:rsidR="00AE7DDD" w:rsidRPr="00DC6A13">
        <w:rPr>
          <w:rFonts w:eastAsia="Palatino Linotype"/>
          <w:b/>
          <w:color w:val="auto"/>
        </w:rPr>
        <w:t xml:space="preserve"> 1 h, 16-24 h, 36-</w:t>
      </w:r>
      <w:r w:rsidRPr="00DC6A13">
        <w:rPr>
          <w:rFonts w:eastAsia="Palatino Linotype"/>
          <w:b/>
          <w:color w:val="auto"/>
        </w:rPr>
        <w:t>48 h and 120 h post infusion.</w:t>
      </w:r>
      <w:r w:rsidRPr="00DC6A13">
        <w:rPr>
          <w:rFonts w:eastAsia="Palatino Linotype"/>
          <w:color w:val="auto"/>
        </w:rPr>
        <w:t xml:space="preserve"> Delineated organs: kidneys, parotid glands, sub</w:t>
      </w:r>
      <w:r w:rsidR="008A64DB" w:rsidRPr="00DC6A13">
        <w:rPr>
          <w:rFonts w:eastAsia="Palatino Linotype"/>
          <w:color w:val="auto"/>
        </w:rPr>
        <w:t>mandibular glands</w:t>
      </w:r>
      <w:r w:rsidRPr="00DC6A13">
        <w:rPr>
          <w:rFonts w:eastAsia="Palatino Linotype"/>
          <w:color w:val="auto"/>
        </w:rPr>
        <w:t xml:space="preserve">, lacrimal glands, liver, spleen, whole body, dorsal rachis lesion (red). Each delineated organ has a corresponding background region. </w:t>
      </w:r>
      <w:r w:rsidR="00C749AF" w:rsidRPr="00DC6A13">
        <w:rPr>
          <w:rFonts w:eastAsia="Palatino Linotype"/>
          <w:color w:val="auto"/>
        </w:rPr>
        <w:t xml:space="preserve">This figure has been modified from Sarnelli et </w:t>
      </w:r>
      <w:r w:rsidR="00C749AF" w:rsidRPr="00DC6A13">
        <w:rPr>
          <w:rFonts w:eastAsia="Palatino Linotype"/>
          <w:color w:val="auto"/>
        </w:rPr>
        <w:lastRenderedPageBreak/>
        <w:t>al</w:t>
      </w:r>
      <w:r w:rsidR="00AE7DDD" w:rsidRPr="00DC6A13">
        <w:rPr>
          <w:rFonts w:eastAsia="Palatino Linotype"/>
          <w:color w:val="auto"/>
        </w:rPr>
        <w:t>.</w:t>
      </w:r>
      <w:r w:rsidR="00D042A0" w:rsidRPr="00DC6A13">
        <w:rPr>
          <w:rStyle w:val="FootnoteReference"/>
          <w:rFonts w:eastAsia="Palatino Linotype"/>
          <w:color w:val="auto"/>
        </w:rPr>
        <w:fldChar w:fldCharType="begin" w:fldLock="1"/>
      </w:r>
      <w:r w:rsidR="00DD6478" w:rsidRPr="00DC6A13">
        <w:rPr>
          <w:rFonts w:eastAsia="Palatino Linotype"/>
          <w:color w:val="auto"/>
        </w:rPr>
        <w:instrText>ADDIN CSL_CITATION {"citationItems":[{"id":"ITEM-1","itemData":{"DOI":"10.3390/molecules24030621","ISSN":"14203049","abstract":"Radio-ligand therapy (RLT) with177Lu-PSMA-617 is a promising option for patients with metastatic castration-resistant prostate-cancer (mCRPC). A prospective phase-II study (EUDRACT/RSO,2016-002732-32) on mCRPC is ongoing at IRST (Meldola, Italy). A total of 9 patients (median age: 68 y, range: 53–85) were enrolled for dosimetry evaluation of parotid glands (PGs), kidneys, red marrow (RM) and whole body (WB). Folic polyglutamate tablets were orally administered as PGs protectors and 500 mL of a 10% mannitol solution was intravenously infused to reduce kidney uptake. The whole body planar image (WBI) and blood samples were acquired at different times post infusion (1 h, 16–24 h, 36–48 h and 120 h). Dose calculation was performed with MIRD formalism (OLINDA/EXM software). The median effective half-life was 33.0 h (range: 25.6–60.7) for PGs, 31.4 h (12.2–80.6) for kidneys, 8.2 h (2.5–14.7) for RM and 40.1 h (31.6–79.7) for WB. The median doses were 0.48 mGy/MBq (range: 0.33–2.63) for PGs, 0.70 mGy/MBq (0.26–1.07) for kidneys, 0.044 mGy/MBq (0.023–0.067) for RM and 0.04 mGy/MBq (0.02–0.11) for WB. A comparison with previously published dosimetric data was performed and a significant difference was found for PGs while no significant difference was observed for the kidneys. For PGs, the possibility of reducing uptake by administering glutamate tablets during RLT seems feasible while further research is warranted for a more focused evaluation of the reduction in kidney uptake.","author":[{"dropping-particle":"","family":"Sarnelli","given":"Anna","non-dropping-particle":"","parse-names":false,"suffix":""},{"dropping-particle":"","family":"Belli","given":"Maria Luisa","non-dropping-particle":"","parse-names":false,"suffix":""},{"dropping-particle":"","family":"Iorio","given":"Valentina","non-dropping-particle":"Di","parse-names":false,"suffix":""},{"dropping-particle":"","family":"Mezzenga","given":"Emilio","non-dropping-particle":"","parse-names":false,"suffix":""},{"dropping-particle":"","family":"Celli","given":"Monica","non-dropping-particle":"","parse-names":false,"suffix":""},{"dropping-particle":"","family":"Severi","given":"Stefano","non-dropping-particle":"","parse-names":false,"suffix":""},{"dropping-particle":"","family":"Tardelli","given":"Elisa","non-dropping-particle":"","parse-names":false,"suffix":""},{"dropping-particle":"","family":"Nicolini","given":"Silvia","non-dropping-particle":"","parse-names":false,"suffix":""},{"dropping-particle":"","family":"Oboldi","given":"Devil","non-dropping-particle":"","parse-names":false,"suffix":""},{"dropping-particle":"","family":"Uccelli","given":"Licia","non-dropping-particle":"","parse-names":false,"suffix":""},{"dropping-particle":"","family":"Cittanti","given":"Corrado","non-dropping-particle":"","parse-names":false,"suffix":""},{"dropping-particle":"","family":"Monti","given":"Manuela","non-dropping-particle":"","parse-names":false,"suffix":""},{"dropping-particle":"","family":"Ferrari","given":"Mahila","non-dropping-particle":"","parse-names":false,"suffix":""},{"dropping-particle":"","family":"Paganelli","given":"Giovanni","non-dropping-particle":"","parse-names":false,"suffix":""}],"container-title":"Molecules","id":"ITEM-1","issue":"3","issued":{"date-parts":[["2019"]]},"title":"Dosimetry of 177 Lu-PSMA-617 after mannitol infusion and glutamate tablet administration: Preliminary results of EUDRACT/RSO 2016-002732-32 IRST protocol","type":"article-journal","volume":"24"},"uris":["http://www.mendeley.com/documents/?uuid=276af37d-fde4-42e6-b27f-b7fd655b5092"]}],"mendeley":{"formattedCitation":"&lt;sup&gt;2&lt;/sup&gt;","plainTextFormattedCitation":"2","previouslyFormattedCitation":"&lt;sup&gt;2&lt;/sup&gt;"},"properties":{"noteIndex":0},"schema":"https://github.com/citation-style-language/schema/raw/master/csl-citation.json"}</w:instrText>
      </w:r>
      <w:r w:rsidR="00D042A0" w:rsidRPr="00DC6A13">
        <w:rPr>
          <w:rStyle w:val="FootnoteReference"/>
          <w:rFonts w:eastAsia="Palatino Linotype"/>
          <w:color w:val="auto"/>
        </w:rPr>
        <w:fldChar w:fldCharType="separate"/>
      </w:r>
      <w:r w:rsidR="00975AF0" w:rsidRPr="00DC6A13">
        <w:rPr>
          <w:rFonts w:eastAsia="Palatino Linotype"/>
          <w:noProof/>
          <w:color w:val="auto"/>
          <w:vertAlign w:val="superscript"/>
        </w:rPr>
        <w:t>2</w:t>
      </w:r>
      <w:r w:rsidR="00D042A0" w:rsidRPr="00DC6A13">
        <w:rPr>
          <w:rStyle w:val="FootnoteReference"/>
          <w:rFonts w:eastAsia="Palatino Linotype"/>
          <w:color w:val="auto"/>
        </w:rPr>
        <w:fldChar w:fldCharType="end"/>
      </w:r>
      <w:r w:rsidR="00C749AF" w:rsidRPr="00DC6A13">
        <w:rPr>
          <w:rFonts w:eastAsia="Palatino Linotype"/>
          <w:color w:val="auto"/>
        </w:rPr>
        <w:t>.</w:t>
      </w:r>
    </w:p>
    <w:p w14:paraId="691C4458" w14:textId="77777777" w:rsidR="003942EE" w:rsidRPr="00DC6A13" w:rsidRDefault="003942EE">
      <w:pPr>
        <w:rPr>
          <w:rFonts w:eastAsia="Palatino Linotype"/>
          <w:color w:val="auto"/>
        </w:rPr>
      </w:pPr>
    </w:p>
    <w:p w14:paraId="76B7CDB1" w14:textId="6D7D93DE" w:rsidR="003942EE" w:rsidRPr="00DC6A13" w:rsidRDefault="003942EE">
      <w:pPr>
        <w:rPr>
          <w:rFonts w:eastAsia="Palatino Linotype"/>
          <w:color w:val="auto"/>
        </w:rPr>
      </w:pPr>
      <w:r w:rsidRPr="00DC6A13">
        <w:rPr>
          <w:rFonts w:eastAsia="Palatino Linotype"/>
          <w:b/>
          <w:color w:val="auto"/>
        </w:rPr>
        <w:t>Figure 3.</w:t>
      </w:r>
      <w:r w:rsidRPr="00DC6A13">
        <w:rPr>
          <w:rFonts w:eastAsia="Palatino Linotype"/>
          <w:color w:val="auto"/>
        </w:rPr>
        <w:t xml:space="preserve"> </w:t>
      </w:r>
      <w:r w:rsidRPr="00DC6A13">
        <w:rPr>
          <w:rFonts w:eastAsia="Palatino Linotype"/>
          <w:b/>
          <w:color w:val="auto"/>
        </w:rPr>
        <w:t>Tra</w:t>
      </w:r>
      <w:r w:rsidR="002E47B6" w:rsidRPr="00DC6A13">
        <w:rPr>
          <w:rFonts w:eastAsia="Palatino Linotype"/>
          <w:b/>
          <w:color w:val="auto"/>
        </w:rPr>
        <w:t>n</w:t>
      </w:r>
      <w:r w:rsidRPr="00DC6A13">
        <w:rPr>
          <w:rFonts w:eastAsia="Palatino Linotype"/>
          <w:b/>
          <w:color w:val="auto"/>
        </w:rPr>
        <w:t xml:space="preserve">smissive and blank anterior scan obtained with </w:t>
      </w:r>
      <w:r w:rsidRPr="00DC6A13">
        <w:rPr>
          <w:rFonts w:eastAsia="Palatino Linotype"/>
          <w:b/>
          <w:color w:val="auto"/>
          <w:vertAlign w:val="superscript"/>
        </w:rPr>
        <w:t>57</w:t>
      </w:r>
      <w:r w:rsidRPr="00DC6A13">
        <w:rPr>
          <w:rFonts w:eastAsia="Palatino Linotype"/>
          <w:b/>
          <w:color w:val="auto"/>
        </w:rPr>
        <w:t xml:space="preserve">Co flood. </w:t>
      </w:r>
      <w:r w:rsidRPr="00DC6A13">
        <w:rPr>
          <w:rFonts w:eastAsia="Palatino Linotype"/>
          <w:color w:val="auto"/>
        </w:rPr>
        <w:t xml:space="preserve">Delineated organs as described in </w:t>
      </w:r>
      <w:r w:rsidRPr="003D144A">
        <w:rPr>
          <w:rFonts w:eastAsia="Palatino Linotype"/>
          <w:b/>
          <w:bCs/>
          <w:color w:val="auto"/>
        </w:rPr>
        <w:t>Figure 2</w:t>
      </w:r>
      <w:r w:rsidRPr="00DC6A13">
        <w:rPr>
          <w:rFonts w:eastAsia="Palatino Linotype"/>
          <w:color w:val="auto"/>
        </w:rPr>
        <w:t>.</w:t>
      </w:r>
      <w:r w:rsidR="00C749AF" w:rsidRPr="00DC6A13">
        <w:rPr>
          <w:rFonts w:eastAsia="Palatino Linotype"/>
          <w:color w:val="auto"/>
        </w:rPr>
        <w:t xml:space="preserve"> This figure has been modified from Sarnelli et al</w:t>
      </w:r>
      <w:r w:rsidR="0041685F">
        <w:rPr>
          <w:rFonts w:eastAsia="Palatino Linotype"/>
          <w:color w:val="auto"/>
        </w:rPr>
        <w:t>.</w:t>
      </w:r>
      <w:r w:rsidR="00D042A0" w:rsidRPr="00DC6A13">
        <w:rPr>
          <w:rStyle w:val="FootnoteReference"/>
          <w:rFonts w:eastAsia="Palatino Linotype"/>
          <w:color w:val="auto"/>
        </w:rPr>
        <w:fldChar w:fldCharType="begin" w:fldLock="1"/>
      </w:r>
      <w:r w:rsidR="00DD6478" w:rsidRPr="00DC6A13">
        <w:rPr>
          <w:rFonts w:eastAsia="Palatino Linotype"/>
          <w:color w:val="auto"/>
        </w:rPr>
        <w:instrText>ADDIN CSL_CITATION {"citationItems":[{"id":"ITEM-1","itemData":{"DOI":"10.3390/molecules24030621","ISSN":"14203049","abstract":"Radio-ligand therapy (RLT) with177Lu-PSMA-617 is a promising option for patients with metastatic castration-resistant prostate-cancer (mCRPC). A prospective phase-II study (EUDRACT/RSO,2016-002732-32) on mCRPC is ongoing at IRST (Meldola, Italy). A total of 9 patients (median age: 68 y, range: 53–85) were enrolled for dosimetry evaluation of parotid glands (PGs), kidneys, red marrow (RM) and whole body (WB). Folic polyglutamate tablets were orally administered as PGs protectors and 500 mL of a 10% mannitol solution was intravenously infused to reduce kidney uptake. The whole body planar image (WBI) and blood samples were acquired at different times post infusion (1 h, 16–24 h, 36–48 h and 120 h). Dose calculation was performed with MIRD formalism (OLINDA/EXM software). The median effective half-life was 33.0 h (range: 25.6–60.7) for PGs, 31.4 h (12.2–80.6) for kidneys, 8.2 h (2.5–14.7) for RM and 40.1 h (31.6–79.7) for WB. The median doses were 0.48 mGy/MBq (range: 0.33–2.63) for PGs, 0.70 mGy/MBq (0.26–1.07) for kidneys, 0.044 mGy/MBq (0.023–0.067) for RM and 0.04 mGy/MBq (0.02–0.11) for WB. A comparison with previously published dosimetric data was performed and a significant difference was found for PGs while no significant difference was observed for the kidneys. For PGs, the possibility of reducing uptake by administering glutamate tablets during RLT seems feasible while further research is warranted for a more focused evaluation of the reduction in kidney uptake.","author":[{"dropping-particle":"","family":"Sarnelli","given":"Anna","non-dropping-particle":"","parse-names":false,"suffix":""},{"dropping-particle":"","family":"Belli","given":"Maria Luisa","non-dropping-particle":"","parse-names":false,"suffix":""},{"dropping-particle":"","family":"Iorio","given":"Valentina","non-dropping-particle":"Di","parse-names":false,"suffix":""},{"dropping-particle":"","family":"Mezzenga","given":"Emilio","non-dropping-particle":"","parse-names":false,"suffix":""},{"dropping-particle":"","family":"Celli","given":"Monica","non-dropping-particle":"","parse-names":false,"suffix":""},{"dropping-particle":"","family":"Severi","given":"Stefano","non-dropping-particle":"","parse-names":false,"suffix":""},{"dropping-particle":"","family":"Tardelli","given":"Elisa","non-dropping-particle":"","parse-names":false,"suffix":""},{"dropping-particle":"","family":"Nicolini","given":"Silvia","non-dropping-particle":"","parse-names":false,"suffix":""},{"dropping-particle":"","family":"Oboldi","given":"Devil","non-dropping-particle":"","parse-names":false,"suffix":""},{"dropping-particle":"","family":"Uccelli","given":"Licia","non-dropping-particle":"","parse-names":false,"suffix":""},{"dropping-particle":"","family":"Cittanti","given":"Corrado","non-dropping-particle":"","parse-names":false,"suffix":""},{"dropping-particle":"","family":"Monti","given":"Manuela","non-dropping-particle":"","parse-names":false,"suffix":""},{"dropping-particle":"","family":"Ferrari","given":"Mahila","non-dropping-particle":"","parse-names":false,"suffix":""},{"dropping-particle":"","family":"Paganelli","given":"Giovanni","non-dropping-particle":"","parse-names":false,"suffix":""}],"container-title":"Molecules","id":"ITEM-1","issue":"3","issued":{"date-parts":[["2019"]]},"title":"Dosimetry of 177 Lu-PSMA-617 after mannitol infusion and glutamate tablet administration: Preliminary results of EUDRACT/RSO 2016-002732-32 IRST protocol","type":"article-journal","volume":"24"},"uris":["http://www.mendeley.com/documents/?uuid=276af37d-fde4-42e6-b27f-b7fd655b5092"]}],"mendeley":{"formattedCitation":"&lt;sup&gt;2&lt;/sup&gt;","plainTextFormattedCitation":"2","previouslyFormattedCitation":"&lt;sup&gt;2&lt;/sup&gt;"},"properties":{"noteIndex":0},"schema":"https://github.com/citation-style-language/schema/raw/master/csl-citation.json"}</w:instrText>
      </w:r>
      <w:r w:rsidR="00D042A0" w:rsidRPr="00DC6A13">
        <w:rPr>
          <w:rStyle w:val="FootnoteReference"/>
          <w:rFonts w:eastAsia="Palatino Linotype"/>
          <w:color w:val="auto"/>
        </w:rPr>
        <w:fldChar w:fldCharType="separate"/>
      </w:r>
      <w:r w:rsidR="00975AF0" w:rsidRPr="00DC6A13">
        <w:rPr>
          <w:rFonts w:eastAsia="Palatino Linotype"/>
          <w:noProof/>
          <w:color w:val="auto"/>
          <w:vertAlign w:val="superscript"/>
        </w:rPr>
        <w:t>2</w:t>
      </w:r>
      <w:r w:rsidR="00D042A0" w:rsidRPr="00DC6A13">
        <w:rPr>
          <w:rStyle w:val="FootnoteReference"/>
          <w:rFonts w:eastAsia="Palatino Linotype"/>
          <w:color w:val="auto"/>
        </w:rPr>
        <w:fldChar w:fldCharType="end"/>
      </w:r>
      <w:r w:rsidR="00C749AF" w:rsidRPr="00DC6A13">
        <w:rPr>
          <w:rFonts w:eastAsia="Palatino Linotype"/>
          <w:color w:val="auto"/>
        </w:rPr>
        <w:t>.</w:t>
      </w:r>
    </w:p>
    <w:p w14:paraId="045AE522" w14:textId="77777777" w:rsidR="003942EE" w:rsidRPr="00DC6A13" w:rsidRDefault="003942EE">
      <w:pPr>
        <w:rPr>
          <w:b/>
          <w:color w:val="auto"/>
        </w:rPr>
      </w:pPr>
    </w:p>
    <w:p w14:paraId="2E14F722" w14:textId="0004714E" w:rsidR="00C749AF" w:rsidRPr="00DC6A13" w:rsidRDefault="003942EE">
      <w:pPr>
        <w:rPr>
          <w:rFonts w:eastAsia="Palatino Linotype"/>
          <w:color w:val="auto"/>
        </w:rPr>
      </w:pPr>
      <w:r w:rsidRPr="00DC6A13">
        <w:rPr>
          <w:rFonts w:eastAsia="Palatino Linotype"/>
          <w:b/>
          <w:color w:val="auto"/>
        </w:rPr>
        <w:t>Figure 4.</w:t>
      </w:r>
      <w:r w:rsidRPr="00DC6A13">
        <w:rPr>
          <w:rFonts w:eastAsia="Palatino Linotype"/>
          <w:color w:val="auto"/>
        </w:rPr>
        <w:t xml:space="preserve"> </w:t>
      </w:r>
      <w:r w:rsidRPr="00DC6A13">
        <w:rPr>
          <w:rFonts w:eastAsia="Palatino Linotype"/>
          <w:b/>
          <w:color w:val="auto"/>
        </w:rPr>
        <w:t>Comparison of 2D, hybrid 2D+3D, 3D SPECT/CT methods for transient intestine uptake overlap on kidneys.</w:t>
      </w:r>
      <w:r w:rsidRPr="00DC6A13">
        <w:rPr>
          <w:rFonts w:eastAsia="Palatino Linotype"/>
          <w:color w:val="auto"/>
        </w:rPr>
        <w:t xml:space="preserve"> Time activity of left (</w:t>
      </w:r>
      <w:r w:rsidRPr="003D144A">
        <w:rPr>
          <w:rFonts w:eastAsia="Palatino Linotype"/>
          <w:b/>
          <w:bCs/>
          <w:color w:val="auto"/>
        </w:rPr>
        <w:t>A</w:t>
      </w:r>
      <w:r w:rsidRPr="00DC6A13">
        <w:rPr>
          <w:rFonts w:eastAsia="Palatino Linotype"/>
          <w:color w:val="auto"/>
        </w:rPr>
        <w:t>) and right (</w:t>
      </w:r>
      <w:r w:rsidRPr="003D144A">
        <w:rPr>
          <w:rFonts w:eastAsia="Palatino Linotype"/>
          <w:b/>
          <w:bCs/>
          <w:color w:val="auto"/>
        </w:rPr>
        <w:t>B</w:t>
      </w:r>
      <w:r w:rsidRPr="00DC6A13">
        <w:rPr>
          <w:rFonts w:eastAsia="Palatino Linotype"/>
          <w:color w:val="auto"/>
        </w:rPr>
        <w:t>) kidney curves (</w:t>
      </w:r>
      <w:r w:rsidR="00337DA5" w:rsidRPr="00DC6A13">
        <w:rPr>
          <w:rFonts w:eastAsia="Palatino Linotype"/>
          <w:color w:val="auto"/>
        </w:rPr>
        <w:t>data refer to the same</w:t>
      </w:r>
      <w:r w:rsidRPr="00DC6A13">
        <w:rPr>
          <w:rFonts w:eastAsia="Palatino Linotype"/>
          <w:color w:val="auto"/>
        </w:rPr>
        <w:t xml:space="preserve"> patient) derived </w:t>
      </w:r>
      <w:r w:rsidR="00337DA5" w:rsidRPr="00DC6A13">
        <w:rPr>
          <w:rFonts w:eastAsia="Palatino Linotype"/>
          <w:color w:val="auto"/>
        </w:rPr>
        <w:t>using</w:t>
      </w:r>
      <w:r w:rsidRPr="00DC6A13">
        <w:rPr>
          <w:rFonts w:eastAsia="Palatino Linotype"/>
          <w:color w:val="auto"/>
        </w:rPr>
        <w:t xml:space="preserve"> different methods: 2D whole body planar imaging (red line), hybrid 2D+3D SPECT/CT imaging (green line), full 3D SPECT/CT imaging (blue line). For</w:t>
      </w:r>
      <w:r w:rsidR="00023C65" w:rsidRPr="00DC6A13">
        <w:rPr>
          <w:rFonts w:eastAsia="Palatino Linotype"/>
          <w:color w:val="auto"/>
        </w:rPr>
        <w:t xml:space="preserve"> the</w:t>
      </w:r>
      <w:r w:rsidRPr="00DC6A13">
        <w:rPr>
          <w:rFonts w:eastAsia="Palatino Linotype"/>
          <w:color w:val="auto"/>
        </w:rPr>
        <w:t xml:space="preserve"> hybrid method</w:t>
      </w:r>
      <w:r w:rsidR="00023C65" w:rsidRPr="00DC6A13">
        <w:rPr>
          <w:rFonts w:eastAsia="Palatino Linotype"/>
          <w:color w:val="auto"/>
        </w:rPr>
        <w:t xml:space="preserve">, the </w:t>
      </w:r>
      <w:r w:rsidRPr="00DC6A13">
        <w:rPr>
          <w:rFonts w:eastAsia="Palatino Linotype"/>
          <w:color w:val="auto"/>
        </w:rPr>
        <w:t xml:space="preserve">time activity curve is rescaled </w:t>
      </w:r>
      <w:r w:rsidR="00023C65" w:rsidRPr="00DC6A13">
        <w:rPr>
          <w:rFonts w:eastAsia="Palatino Linotype"/>
          <w:color w:val="auto"/>
        </w:rPr>
        <w:t xml:space="preserve">on the basis of </w:t>
      </w:r>
      <w:r w:rsidRPr="00DC6A13">
        <w:rPr>
          <w:rFonts w:eastAsia="Palatino Linotype"/>
          <w:color w:val="auto"/>
        </w:rPr>
        <w:t>the image acquired 24</w:t>
      </w:r>
      <w:r w:rsidR="00023C65" w:rsidRPr="00DC6A13">
        <w:rPr>
          <w:rFonts w:eastAsia="Palatino Linotype"/>
          <w:color w:val="auto"/>
        </w:rPr>
        <w:t xml:space="preserve"> </w:t>
      </w:r>
      <w:r w:rsidRPr="00DC6A13">
        <w:rPr>
          <w:rFonts w:eastAsia="Palatino Linotype"/>
          <w:color w:val="auto"/>
        </w:rPr>
        <w:t>h post injection. The transient intestine uptake overlapping</w:t>
      </w:r>
      <w:r w:rsidR="00023C65" w:rsidRPr="00DC6A13">
        <w:rPr>
          <w:rFonts w:eastAsia="Palatino Linotype"/>
          <w:color w:val="auto"/>
        </w:rPr>
        <w:t xml:space="preserve"> the </w:t>
      </w:r>
      <w:r w:rsidRPr="00DC6A13">
        <w:rPr>
          <w:rFonts w:eastAsia="Palatino Linotype"/>
          <w:color w:val="auto"/>
        </w:rPr>
        <w:t>kidneys is also show</w:t>
      </w:r>
      <w:r w:rsidR="00023C65" w:rsidRPr="00DC6A13">
        <w:rPr>
          <w:rFonts w:eastAsia="Palatino Linotype"/>
          <w:color w:val="auto"/>
        </w:rPr>
        <w:t>n</w:t>
      </w:r>
      <w:r w:rsidRPr="00DC6A13">
        <w:rPr>
          <w:rFonts w:eastAsia="Palatino Linotype"/>
          <w:color w:val="auto"/>
        </w:rPr>
        <w:t xml:space="preserve"> on planar images (C).</w:t>
      </w:r>
      <w:r w:rsidR="00C749AF" w:rsidRPr="00DC6A13">
        <w:rPr>
          <w:rFonts w:eastAsia="Palatino Linotype"/>
          <w:color w:val="auto"/>
        </w:rPr>
        <w:t xml:space="preserve"> This figure has been modified from Sarnelli et al</w:t>
      </w:r>
      <w:r w:rsidR="0041685F">
        <w:rPr>
          <w:rFonts w:eastAsia="Palatino Linotype"/>
          <w:color w:val="auto"/>
        </w:rPr>
        <w:t>.</w:t>
      </w:r>
      <w:r w:rsidR="00D042A0" w:rsidRPr="00DC6A13">
        <w:rPr>
          <w:rStyle w:val="FootnoteReference"/>
          <w:rFonts w:eastAsia="Palatino Linotype"/>
          <w:color w:val="auto"/>
        </w:rPr>
        <w:fldChar w:fldCharType="begin" w:fldLock="1"/>
      </w:r>
      <w:r w:rsidR="00DD6478" w:rsidRPr="00DC6A13">
        <w:rPr>
          <w:rFonts w:eastAsia="Palatino Linotype"/>
          <w:color w:val="auto"/>
        </w:rPr>
        <w:instrText>ADDIN CSL_CITATION {"citationItems":[{"id":"ITEM-1","itemData":{"DOI":"10.3390/molecules24030621","ISSN":"14203049","abstract":"Radio-ligand therapy (RLT) with177Lu-PSMA-617 is a promising option for patients with metastatic castration-resistant prostate-cancer (mCRPC). A prospective phase-II study (EUDRACT/RSO,2016-002732-32) on mCRPC is ongoing at IRST (Meldola, Italy). A total of 9 patients (median age: 68 y, range: 53–85) were enrolled for dosimetry evaluation of parotid glands (PGs), kidneys, red marrow (RM) and whole body (WB). Folic polyglutamate tablets were orally administered as PGs protectors and 500 mL of a 10% mannitol solution was intravenously infused to reduce kidney uptake. The whole body planar image (WBI) and blood samples were acquired at different times post infusion (1 h, 16–24 h, 36–48 h and 120 h). Dose calculation was performed with MIRD formalism (OLINDA/EXM software). The median effective half-life was 33.0 h (range: 25.6–60.7) for PGs, 31.4 h (12.2–80.6) for kidneys, 8.2 h (2.5–14.7) for RM and 40.1 h (31.6–79.7) for WB. The median doses were 0.48 mGy/MBq (range: 0.33–2.63) for PGs, 0.70 mGy/MBq (0.26–1.07) for kidneys, 0.044 mGy/MBq (0.023–0.067) for RM and 0.04 mGy/MBq (0.02–0.11) for WB. A comparison with previously published dosimetric data was performed and a significant difference was found for PGs while no significant difference was observed for the kidneys. For PGs, the possibility of reducing uptake by administering glutamate tablets during RLT seems feasible while further research is warranted for a more focused evaluation of the reduction in kidney uptake.","author":[{"dropping-particle":"","family":"Sarnelli","given":"Anna","non-dropping-particle":"","parse-names":false,"suffix":""},{"dropping-particle":"","family":"Belli","given":"Maria Luisa","non-dropping-particle":"","parse-names":false,"suffix":""},{"dropping-particle":"","family":"Iorio","given":"Valentina","non-dropping-particle":"Di","parse-names":false,"suffix":""},{"dropping-particle":"","family":"Mezzenga","given":"Emilio","non-dropping-particle":"","parse-names":false,"suffix":""},{"dropping-particle":"","family":"Celli","given":"Monica","non-dropping-particle":"","parse-names":false,"suffix":""},{"dropping-particle":"","family":"Severi","given":"Stefano","non-dropping-particle":"","parse-names":false,"suffix":""},{"dropping-particle":"","family":"Tardelli","given":"Elisa","non-dropping-particle":"","parse-names":false,"suffix":""},{"dropping-particle":"","family":"Nicolini","given":"Silvia","non-dropping-particle":"","parse-names":false,"suffix":""},{"dropping-particle":"","family":"Oboldi","given":"Devil","non-dropping-particle":"","parse-names":false,"suffix":""},{"dropping-particle":"","family":"Uccelli","given":"Licia","non-dropping-particle":"","parse-names":false,"suffix":""},{"dropping-particle":"","family":"Cittanti","given":"Corrado","non-dropping-particle":"","parse-names":false,"suffix":""},{"dropping-particle":"","family":"Monti","given":"Manuela","non-dropping-particle":"","parse-names":false,"suffix":""},{"dropping-particle":"","family":"Ferrari","given":"Mahila","non-dropping-particle":"","parse-names":false,"suffix":""},{"dropping-particle":"","family":"Paganelli","given":"Giovanni","non-dropping-particle":"","parse-names":false,"suffix":""}],"container-title":"Molecules","id":"ITEM-1","issue":"3","issued":{"date-parts":[["2019"]]},"title":"Dosimetry of 177 Lu-PSMA-617 after mannitol infusion and glutamate tablet administration: Preliminary results of EUDRACT/RSO 2016-002732-32 IRST protocol","type":"article-journal","volume":"24"},"uris":["http://www.mendeley.com/documents/?uuid=276af37d-fde4-42e6-b27f-b7fd655b5092"]}],"mendeley":{"formattedCitation":"&lt;sup&gt;2&lt;/sup&gt;","plainTextFormattedCitation":"2","previouslyFormattedCitation":"&lt;sup&gt;2&lt;/sup&gt;"},"properties":{"noteIndex":0},"schema":"https://github.com/citation-style-language/schema/raw/master/csl-citation.json"}</w:instrText>
      </w:r>
      <w:r w:rsidR="00D042A0" w:rsidRPr="00DC6A13">
        <w:rPr>
          <w:rStyle w:val="FootnoteReference"/>
          <w:rFonts w:eastAsia="Palatino Linotype"/>
          <w:color w:val="auto"/>
        </w:rPr>
        <w:fldChar w:fldCharType="separate"/>
      </w:r>
      <w:r w:rsidR="00975AF0" w:rsidRPr="00DC6A13">
        <w:rPr>
          <w:rFonts w:eastAsia="Palatino Linotype"/>
          <w:noProof/>
          <w:color w:val="auto"/>
          <w:vertAlign w:val="superscript"/>
        </w:rPr>
        <w:t>2</w:t>
      </w:r>
      <w:r w:rsidR="00D042A0" w:rsidRPr="00DC6A13">
        <w:rPr>
          <w:rStyle w:val="FootnoteReference"/>
          <w:rFonts w:eastAsia="Palatino Linotype"/>
          <w:color w:val="auto"/>
        </w:rPr>
        <w:fldChar w:fldCharType="end"/>
      </w:r>
      <w:r w:rsidR="00C749AF" w:rsidRPr="00DC6A13">
        <w:rPr>
          <w:rFonts w:eastAsia="Palatino Linotype"/>
          <w:color w:val="auto"/>
        </w:rPr>
        <w:t>.</w:t>
      </w:r>
    </w:p>
    <w:p w14:paraId="7559AC83" w14:textId="77777777" w:rsidR="00654EC6" w:rsidRPr="00DC6A13" w:rsidRDefault="00654EC6">
      <w:pPr>
        <w:rPr>
          <w:b/>
          <w:color w:val="auto"/>
        </w:rPr>
      </w:pPr>
    </w:p>
    <w:p w14:paraId="7A2FFC67" w14:textId="77777777" w:rsidR="006305D7" w:rsidRPr="00DC6A13" w:rsidRDefault="006305D7">
      <w:pPr>
        <w:rPr>
          <w:b/>
          <w:color w:val="auto"/>
        </w:rPr>
      </w:pPr>
      <w:r w:rsidRPr="00DC6A13">
        <w:rPr>
          <w:b/>
          <w:color w:val="auto"/>
        </w:rPr>
        <w:t>DISCUSSION</w:t>
      </w:r>
      <w:r w:rsidRPr="00DC6A13">
        <w:rPr>
          <w:b/>
          <w:bCs/>
          <w:color w:val="auto"/>
        </w:rPr>
        <w:t>:</w:t>
      </w:r>
      <w:r w:rsidR="00023C65" w:rsidRPr="00DC6A13">
        <w:rPr>
          <w:b/>
          <w:bCs/>
          <w:color w:val="auto"/>
        </w:rPr>
        <w:t xml:space="preserve"> </w:t>
      </w:r>
    </w:p>
    <w:p w14:paraId="1DF2F39B" w14:textId="059E9A19" w:rsidR="005062E7" w:rsidRPr="00DC6A13" w:rsidRDefault="005062E7">
      <w:pPr>
        <w:pStyle w:val="ListParagraph"/>
        <w:ind w:left="0"/>
        <w:rPr>
          <w:color w:val="auto"/>
        </w:rPr>
      </w:pPr>
      <w:r w:rsidRPr="00DC6A13">
        <w:rPr>
          <w:rFonts w:eastAsia="Palatino Linotype"/>
          <w:color w:val="auto"/>
        </w:rPr>
        <w:t xml:space="preserve">The </w:t>
      </w:r>
      <w:r w:rsidR="004720D2" w:rsidRPr="00DC6A13">
        <w:rPr>
          <w:rFonts w:eastAsia="Palatino Linotype"/>
          <w:color w:val="auto"/>
        </w:rPr>
        <w:t xml:space="preserve">method </w:t>
      </w:r>
      <w:r w:rsidRPr="00DC6A13">
        <w:rPr>
          <w:rFonts w:eastAsia="Palatino Linotype"/>
          <w:color w:val="auto"/>
        </w:rPr>
        <w:t xml:space="preserve">described </w:t>
      </w:r>
      <w:r w:rsidR="004720D2" w:rsidRPr="00DC6A13">
        <w:rPr>
          <w:rFonts w:eastAsia="Palatino Linotype"/>
          <w:color w:val="auto"/>
        </w:rPr>
        <w:t>enables</w:t>
      </w:r>
      <w:r w:rsidRPr="00DC6A13">
        <w:rPr>
          <w:rFonts w:eastAsia="Palatino Linotype"/>
          <w:color w:val="auto"/>
        </w:rPr>
        <w:t xml:space="preserve"> whole body dosimetry </w:t>
      </w:r>
      <w:r w:rsidR="004720D2" w:rsidRPr="00DC6A13">
        <w:rPr>
          <w:rFonts w:eastAsia="Palatino Linotype"/>
          <w:color w:val="auto"/>
        </w:rPr>
        <w:t xml:space="preserve">to be performed </w:t>
      </w:r>
      <w:r w:rsidRPr="00DC6A13">
        <w:rPr>
          <w:rFonts w:eastAsia="Palatino Linotype"/>
          <w:color w:val="auto"/>
        </w:rPr>
        <w:t>for PRRT therapies</w:t>
      </w:r>
      <w:r w:rsidR="004720D2" w:rsidRPr="00DC6A13">
        <w:rPr>
          <w:rFonts w:eastAsia="Palatino Linotype"/>
          <w:color w:val="auto"/>
        </w:rPr>
        <w:t xml:space="preserve"> and </w:t>
      </w:r>
      <w:r w:rsidRPr="00DC6A13">
        <w:rPr>
          <w:color w:val="auto"/>
        </w:rPr>
        <w:t xml:space="preserve">is </w:t>
      </w:r>
      <w:r w:rsidR="00D43678" w:rsidRPr="00DC6A13">
        <w:rPr>
          <w:color w:val="auto"/>
        </w:rPr>
        <w:t>a valid compromise between 2D whole-body and 3D dosimetry information</w:t>
      </w:r>
      <w:r w:rsidR="004720D2" w:rsidRPr="00DC6A13">
        <w:rPr>
          <w:color w:val="auto"/>
        </w:rPr>
        <w:t xml:space="preserve"> in that it </w:t>
      </w:r>
      <w:r w:rsidR="00D43678" w:rsidRPr="00DC6A13">
        <w:rPr>
          <w:color w:val="auto"/>
        </w:rPr>
        <w:t>provide</w:t>
      </w:r>
      <w:r w:rsidR="004720D2" w:rsidRPr="00DC6A13">
        <w:rPr>
          <w:color w:val="auto"/>
        </w:rPr>
        <w:t>s</w:t>
      </w:r>
      <w:r w:rsidR="00D43678" w:rsidRPr="00DC6A13">
        <w:rPr>
          <w:color w:val="auto"/>
        </w:rPr>
        <w:t xml:space="preserve"> valuable information </w:t>
      </w:r>
      <w:r w:rsidRPr="00DC6A13">
        <w:rPr>
          <w:color w:val="auto"/>
        </w:rPr>
        <w:t xml:space="preserve">without </w:t>
      </w:r>
      <w:r w:rsidR="004720D2" w:rsidRPr="00DC6A13">
        <w:rPr>
          <w:color w:val="auto"/>
        </w:rPr>
        <w:t>significantly</w:t>
      </w:r>
      <w:r w:rsidR="000F1D06" w:rsidRPr="00DC6A13">
        <w:rPr>
          <w:color w:val="auto"/>
        </w:rPr>
        <w:t xml:space="preserve"> </w:t>
      </w:r>
      <w:r w:rsidRPr="00DC6A13">
        <w:rPr>
          <w:color w:val="auto"/>
        </w:rPr>
        <w:t xml:space="preserve">increasing </w:t>
      </w:r>
      <w:r w:rsidR="00F877EB" w:rsidRPr="00DC6A13">
        <w:rPr>
          <w:color w:val="auto"/>
        </w:rPr>
        <w:t xml:space="preserve">image acquisition </w:t>
      </w:r>
      <w:r w:rsidR="00D95E14" w:rsidRPr="00DC6A13">
        <w:rPr>
          <w:color w:val="auto"/>
        </w:rPr>
        <w:t>load</w:t>
      </w:r>
      <w:r w:rsidRPr="00DC6A13">
        <w:rPr>
          <w:color w:val="auto"/>
        </w:rPr>
        <w:t xml:space="preserve">. </w:t>
      </w:r>
      <w:r w:rsidR="004720D2" w:rsidRPr="00DC6A13">
        <w:rPr>
          <w:color w:val="auto"/>
        </w:rPr>
        <w:t xml:space="preserve">The method is </w:t>
      </w:r>
      <w:r w:rsidR="002E47B6" w:rsidRPr="00DC6A13">
        <w:rPr>
          <w:color w:val="auto"/>
        </w:rPr>
        <w:t>also useful</w:t>
      </w:r>
      <w:r w:rsidRPr="00DC6A13">
        <w:rPr>
          <w:color w:val="auto"/>
        </w:rPr>
        <w:t xml:space="preserve"> for </w:t>
      </w:r>
      <w:r w:rsidR="007F7E6E" w:rsidRPr="00DC6A13">
        <w:rPr>
          <w:color w:val="auto"/>
        </w:rPr>
        <w:t xml:space="preserve">the evaluation of the </w:t>
      </w:r>
      <w:r w:rsidRPr="00DC6A13">
        <w:rPr>
          <w:color w:val="auto"/>
        </w:rPr>
        <w:t xml:space="preserve">absorbed dose of overlapping structures </w:t>
      </w:r>
      <w:r w:rsidR="007F7E6E" w:rsidRPr="00DC6A13">
        <w:rPr>
          <w:color w:val="auto"/>
        </w:rPr>
        <w:t xml:space="preserve">and provides information on the </w:t>
      </w:r>
      <w:r w:rsidR="004720D2" w:rsidRPr="00DC6A13">
        <w:rPr>
          <w:color w:val="auto"/>
        </w:rPr>
        <w:t>structures l</w:t>
      </w:r>
      <w:r w:rsidRPr="00DC6A13">
        <w:rPr>
          <w:color w:val="auto"/>
        </w:rPr>
        <w:t xml:space="preserve">ying outside </w:t>
      </w:r>
      <w:r w:rsidR="004720D2" w:rsidRPr="00DC6A13">
        <w:rPr>
          <w:color w:val="auto"/>
        </w:rPr>
        <w:t xml:space="preserve">the </w:t>
      </w:r>
      <w:r w:rsidRPr="00DC6A13">
        <w:rPr>
          <w:color w:val="auto"/>
        </w:rPr>
        <w:t xml:space="preserve">3D SPCET/CT limited field of view. </w:t>
      </w:r>
    </w:p>
    <w:p w14:paraId="0C784246" w14:textId="77777777" w:rsidR="00654EC6" w:rsidRPr="00DC6A13" w:rsidRDefault="00654EC6">
      <w:pPr>
        <w:pStyle w:val="ListParagraph"/>
        <w:ind w:left="0"/>
        <w:rPr>
          <w:color w:val="auto"/>
        </w:rPr>
      </w:pPr>
    </w:p>
    <w:p w14:paraId="7C933D69" w14:textId="46C524B1" w:rsidR="005062E7" w:rsidRPr="00DC6A13" w:rsidRDefault="005062E7">
      <w:pPr>
        <w:rPr>
          <w:color w:val="auto"/>
        </w:rPr>
      </w:pPr>
      <w:r w:rsidRPr="00DC6A13">
        <w:rPr>
          <w:rFonts w:eastAsia="Palatino Linotype"/>
          <w:color w:val="auto"/>
        </w:rPr>
        <w:t>The implementation of the methodology require</w:t>
      </w:r>
      <w:r w:rsidR="00081FCA" w:rsidRPr="00DC6A13">
        <w:rPr>
          <w:rFonts w:eastAsia="Palatino Linotype"/>
          <w:color w:val="auto"/>
        </w:rPr>
        <w:t>s</w:t>
      </w:r>
      <w:r w:rsidRPr="00DC6A13">
        <w:rPr>
          <w:rFonts w:eastAsia="Palatino Linotype"/>
          <w:color w:val="auto"/>
        </w:rPr>
        <w:t xml:space="preserve"> a high degree of collaboration between different subject</w:t>
      </w:r>
      <w:r w:rsidR="006C7C5B" w:rsidRPr="00DC6A13">
        <w:rPr>
          <w:rFonts w:eastAsia="Palatino Linotype"/>
          <w:color w:val="auto"/>
        </w:rPr>
        <w:t>s</w:t>
      </w:r>
      <w:r w:rsidRPr="00DC6A13">
        <w:rPr>
          <w:rFonts w:eastAsia="Palatino Linotype"/>
          <w:color w:val="auto"/>
        </w:rPr>
        <w:t xml:space="preserve"> involved (</w:t>
      </w:r>
      <w:r w:rsidR="00591C54" w:rsidRPr="00591C54">
        <w:rPr>
          <w:rFonts w:eastAsia="Palatino Linotype"/>
          <w:color w:val="auto"/>
        </w:rPr>
        <w:t xml:space="preserve">i.e., </w:t>
      </w:r>
      <w:r w:rsidR="007F7E6E" w:rsidRPr="00DC6A13">
        <w:rPr>
          <w:rFonts w:eastAsia="Palatino Linotype"/>
          <w:color w:val="auto"/>
        </w:rPr>
        <w:t>physicians, physicists</w:t>
      </w:r>
      <w:r w:rsidRPr="00DC6A13">
        <w:rPr>
          <w:rFonts w:eastAsia="Palatino Linotype"/>
          <w:color w:val="auto"/>
        </w:rPr>
        <w:t xml:space="preserve">, </w:t>
      </w:r>
      <w:r w:rsidR="007F7E6E" w:rsidRPr="00DC6A13">
        <w:rPr>
          <w:rFonts w:eastAsia="Palatino Linotype"/>
          <w:color w:val="auto"/>
        </w:rPr>
        <w:t>medical radiology technicians,</w:t>
      </w:r>
      <w:r w:rsidRPr="00DC6A13">
        <w:rPr>
          <w:rFonts w:eastAsia="Palatino Linotype"/>
          <w:color w:val="auto"/>
        </w:rPr>
        <w:t xml:space="preserve"> nurses</w:t>
      </w:r>
      <w:r w:rsidR="006C7C5B" w:rsidRPr="00DC6A13">
        <w:rPr>
          <w:rFonts w:eastAsia="Palatino Linotype"/>
          <w:color w:val="auto"/>
        </w:rPr>
        <w:t>)</w:t>
      </w:r>
      <w:r w:rsidR="006C7C5B" w:rsidRPr="00DC6A13">
        <w:rPr>
          <w:color w:val="auto"/>
        </w:rPr>
        <w:t xml:space="preserve"> and </w:t>
      </w:r>
      <w:r w:rsidR="007F7E6E" w:rsidRPr="00DC6A13">
        <w:rPr>
          <w:color w:val="auto"/>
        </w:rPr>
        <w:t xml:space="preserve">is </w:t>
      </w:r>
      <w:r w:rsidR="002E47B6" w:rsidRPr="00DC6A13">
        <w:rPr>
          <w:color w:val="auto"/>
        </w:rPr>
        <w:t xml:space="preserve">a </w:t>
      </w:r>
      <w:r w:rsidR="007F7E6E" w:rsidRPr="00DC6A13">
        <w:rPr>
          <w:color w:val="auto"/>
        </w:rPr>
        <w:t>time-consuming process in terms of</w:t>
      </w:r>
      <w:r w:rsidR="006C7C5B" w:rsidRPr="00DC6A13">
        <w:rPr>
          <w:color w:val="auto"/>
        </w:rPr>
        <w:t xml:space="preserve"> image acquisition and post-processing analysis</w:t>
      </w:r>
      <w:r w:rsidR="00081FCA" w:rsidRPr="00DC6A13">
        <w:rPr>
          <w:color w:val="auto"/>
        </w:rPr>
        <w:t>.</w:t>
      </w:r>
    </w:p>
    <w:p w14:paraId="37A7D803" w14:textId="77777777" w:rsidR="00654EC6" w:rsidRPr="00DC6A13" w:rsidRDefault="00654EC6">
      <w:pPr>
        <w:rPr>
          <w:color w:val="auto"/>
        </w:rPr>
      </w:pPr>
    </w:p>
    <w:p w14:paraId="3D16B019" w14:textId="77777777" w:rsidR="00E61941" w:rsidRPr="00DC6A13" w:rsidRDefault="007F7E6E">
      <w:pPr>
        <w:pStyle w:val="ListParagraph"/>
        <w:tabs>
          <w:tab w:val="left" w:pos="0"/>
        </w:tabs>
        <w:ind w:left="0"/>
        <w:rPr>
          <w:rFonts w:eastAsia="Palatino Linotype"/>
          <w:color w:val="auto"/>
        </w:rPr>
      </w:pPr>
      <w:r w:rsidRPr="00DC6A13">
        <w:rPr>
          <w:rFonts w:eastAsia="Palatino Linotype"/>
          <w:color w:val="auto"/>
        </w:rPr>
        <w:t xml:space="preserve">Our method could be further optimized. </w:t>
      </w:r>
      <w:r w:rsidR="00E61941" w:rsidRPr="00DC6A13">
        <w:rPr>
          <w:rFonts w:eastAsia="Palatino Linotype"/>
          <w:color w:val="auto"/>
        </w:rPr>
        <w:t xml:space="preserve">The number of image acquisitions </w:t>
      </w:r>
      <w:r w:rsidRPr="00DC6A13">
        <w:rPr>
          <w:rFonts w:eastAsia="Palatino Linotype"/>
          <w:color w:val="auto"/>
        </w:rPr>
        <w:t>could</w:t>
      </w:r>
      <w:r w:rsidR="00E61941" w:rsidRPr="00DC6A13">
        <w:rPr>
          <w:rFonts w:eastAsia="Palatino Linotype"/>
          <w:color w:val="auto"/>
        </w:rPr>
        <w:t xml:space="preserve"> be reduced by avoiding the pre-injection transmission scan and evaluating the attenuation correction </w:t>
      </w:r>
      <w:r w:rsidR="006C7C5B" w:rsidRPr="00DC6A13">
        <w:rPr>
          <w:rFonts w:eastAsia="Palatino Linotype"/>
          <w:color w:val="auto"/>
        </w:rPr>
        <w:t xml:space="preserve">directly </w:t>
      </w:r>
      <w:r w:rsidR="00E61941" w:rsidRPr="00DC6A13">
        <w:rPr>
          <w:rFonts w:eastAsia="Palatino Linotype"/>
          <w:color w:val="auto"/>
        </w:rPr>
        <w:t>on whole-body CT or SCOUT images</w:t>
      </w:r>
      <w:r w:rsidR="00D042A0" w:rsidRPr="00DC6A13">
        <w:rPr>
          <w:rStyle w:val="FootnoteReference"/>
          <w:rFonts w:eastAsia="Palatino Linotype"/>
          <w:color w:val="auto"/>
        </w:rPr>
        <w:fldChar w:fldCharType="begin" w:fldLock="1"/>
      </w:r>
      <w:r w:rsidR="00DD6478" w:rsidRPr="00DC6A13">
        <w:rPr>
          <w:rFonts w:eastAsia="Palatino Linotype"/>
          <w:color w:val="auto"/>
        </w:rPr>
        <w:instrText>ADDIN CSL_CITATION {"citationItems":[{"id":"ITEM-1","itemData":{"DOI":"10.1053/j.semnuclmed.2011.11.003","ISBN":"1558-4623 (Electronic)\\n0001-2998 (Linking)","ISSN":"00012998","PMID":"22475429","abstract":"The ability to reliably quantify activity in nuclear medicine has a number of increasingly important applications. Dosimetry for targeted therapy treatment planning or for approval of new imaging agents requires accurate estimation of the activity in organs, tumors, or voxels at several imaging time points. Another important application is the use of quantitative metrics derived from images, such as the standard uptake value commonly used in positron emission tomography (PET), to diagnose and follow treatment of tumors. These measures require quantification of organ or tumor activities in nuclear medicine images. However, there are a number of physical, patient, and technical factors that limit the quantitative reliability of nuclear medicine images. There have been a large number of improvements in instrumentation, including the development of hybrid single-photon emission computed tomography/computed tomography and PET/computed tomography systems, and reconstruction methods, including the use of statistical iterative reconstruction methods, which have substantially improved the ability to obtain reliable quantitative information from planar, single-photon emission computed tomography, and PET images. © 2012 Elsevier Inc. All rights reserved.","author":[{"dropping-particle":"","family":"Frey","given":"Eric C.","non-dropping-particle":"","parse-names":false,"suffix":""},{"dropping-particle":"","family":"Humm","given":"John L.","non-dropping-particle":"","parse-names":false,"suffix":""},{"dropping-particle":"","family":"Ljungberg","given":"Michael","non-dropping-particle":"","parse-names":false,"suffix":""}],"container-title":"Seminars in Nuclear Medicine","id":"ITEM-1","issue":"3","issued":{"date-parts":[["2012"]]},"page":"208-218","publisher":"Elsevier Inc.","title":"Accuracy and precision of radioactivity quantification in nuclear medicine images","type":"article-journal","volume":"42"},"uris":["http://www.mendeley.com/documents/?uuid=c9ed6b8c-f88d-40d2-92e7-9ea671edc3ed"]}],"mendeley":{"formattedCitation":"&lt;sup&gt;11&lt;/sup&gt;","plainTextFormattedCitation":"11","previouslyFormattedCitation":"&lt;sup&gt;11&lt;/sup&gt;"},"properties":{"noteIndex":0},"schema":"https://github.com/citation-style-language/schema/raw/master/csl-citation.json"}</w:instrText>
      </w:r>
      <w:r w:rsidR="00D042A0" w:rsidRPr="00DC6A13">
        <w:rPr>
          <w:rStyle w:val="FootnoteReference"/>
          <w:rFonts w:eastAsia="Palatino Linotype"/>
          <w:color w:val="auto"/>
        </w:rPr>
        <w:fldChar w:fldCharType="separate"/>
      </w:r>
      <w:r w:rsidR="00975AF0" w:rsidRPr="00DC6A13">
        <w:rPr>
          <w:rFonts w:eastAsia="Palatino Linotype"/>
          <w:bCs/>
          <w:noProof/>
          <w:color w:val="auto"/>
          <w:vertAlign w:val="superscript"/>
        </w:rPr>
        <w:t>11</w:t>
      </w:r>
      <w:r w:rsidR="00D042A0" w:rsidRPr="00DC6A13">
        <w:rPr>
          <w:rStyle w:val="FootnoteReference"/>
          <w:rFonts w:eastAsia="Palatino Linotype"/>
          <w:color w:val="auto"/>
        </w:rPr>
        <w:fldChar w:fldCharType="end"/>
      </w:r>
      <w:r w:rsidRPr="00DC6A13">
        <w:rPr>
          <w:rFonts w:eastAsia="Palatino Linotype"/>
          <w:color w:val="auto"/>
        </w:rPr>
        <w:t xml:space="preserve">. With regard to </w:t>
      </w:r>
      <w:r w:rsidR="00E61941" w:rsidRPr="00DC6A13">
        <w:rPr>
          <w:rFonts w:eastAsia="Palatino Linotype"/>
          <w:color w:val="auto"/>
        </w:rPr>
        <w:t>red marrow, as suggested by other authors</w:t>
      </w:r>
      <w:r w:rsidR="00D042A0" w:rsidRPr="00DC6A13">
        <w:rPr>
          <w:rStyle w:val="FootnoteReference"/>
          <w:rFonts w:eastAsia="Palatino Linotype"/>
          <w:color w:val="auto"/>
        </w:rPr>
        <w:fldChar w:fldCharType="begin" w:fldLock="1"/>
      </w:r>
      <w:r w:rsidR="00DD6478" w:rsidRPr="00DC6A13">
        <w:rPr>
          <w:rFonts w:eastAsia="Palatino Linotype"/>
          <w:color w:val="auto"/>
        </w:rPr>
        <w:instrText>ADDIN CSL_CITATION {"citationItems":[{"id":"ITEM-1","itemData":{"DOI":"10.2967/jnumed.118.219352","ISBN":"1261500091","ISSN":"0161-5505","author":[{"dropping-particle":"","family":"Violet","given":"John A","non-dropping-particle":"","parse-names":false,"suffix":""},{"dropping-particle":"","family":"Jackson","given":"Price","non-dropping-particle":"","parse-names":false,"suffix":""},{"dropping-particle":"","family":"Ferdinandus","given":"Justin","non-dropping-particle":"","parse-names":false,"suffix":""},{"dropping-particle":"","family":"Sandhu","given":"Shahneen","non-dropping-particle":"","parse-names":false,"suffix":""},{"dropping-particle":"","family":"Akhurst","given":"Tim","non-dropping-particle":"","parse-names":false,"suffix":""},{"dropping-particle":"","family":"Iravani","given":"Amir","non-dropping-particle":"","parse-names":false,"suffix":""},{"dropping-particle":"","family":"Kong","given":"Grace","non-dropping-particle":"","parse-names":false,"suffix":""},{"dropping-particle":"","family":"Ravi Kumar","given":"Aravind","non-dropping-particle":"","parse-names":false,"suffix":""},{"dropping-particle":"","family":"Thang","given":"Sue Ping","non-dropping-particle":"","parse-names":false,"suffix":""},{"dropping-particle":"","family":"Eu","given":"Peter","non-dropping-particle":"","parse-names":false,"suffix":""},{"dropping-particle":"","family":"Scalzo","given":"Mark","non-dropping-particle":"","parse-names":false,"suffix":""},{"dropping-particle":"","family":"Murphy","given":"Declan","non-dropping-particle":"","parse-names":false,"suffix":""},{"dropping-particle":"","family":"Williams","given":"Scott G","non-dropping-particle":"","parse-names":false,"suffix":""},{"dropping-particle":"","family":"Hicks","given":"Rodney J","non-dropping-particle":"","parse-names":false,"suffix":""},{"dropping-particle":"","family":"Hofman","given":"Michael S","non-dropping-particle":"","parse-names":false,"suffix":""}],"container-title":"Journal of Nuclear Medicine","id":"ITEM-1","issued":{"date-parts":[["2018"]]},"page":"jnumed.118.219352","title":"Dosimetry of Lu-177 PSMA-617 in metastatic castration-resistant prostate cancer: correlations between pre-therapeutic imaging and “whole body” tumor dosimetry with treatment outcomes","type":"article-journal"},"uris":["http://www.mendeley.com/documents/?uuid=12dbd1ed-0e50-42b9-8e23-5e5c7f707e58"]}],"mendeley":{"formattedCitation":"&lt;sup&gt;12&lt;/sup&gt;","plainTextFormattedCitation":"12","previouslyFormattedCitation":"&lt;sup&gt;12&lt;/sup&gt;"},"properties":{"noteIndex":0},"schema":"https://github.com/citation-style-language/schema/raw/master/csl-citation.json"}</w:instrText>
      </w:r>
      <w:r w:rsidR="00D042A0" w:rsidRPr="00DC6A13">
        <w:rPr>
          <w:rStyle w:val="FootnoteReference"/>
          <w:rFonts w:eastAsia="Palatino Linotype"/>
          <w:color w:val="auto"/>
        </w:rPr>
        <w:fldChar w:fldCharType="separate"/>
      </w:r>
      <w:r w:rsidR="00975AF0" w:rsidRPr="00DC6A13">
        <w:rPr>
          <w:rFonts w:eastAsia="Palatino Linotype"/>
          <w:noProof/>
          <w:color w:val="auto"/>
          <w:vertAlign w:val="superscript"/>
        </w:rPr>
        <w:t>12</w:t>
      </w:r>
      <w:r w:rsidR="00D042A0" w:rsidRPr="00DC6A13">
        <w:rPr>
          <w:rStyle w:val="FootnoteReference"/>
          <w:rFonts w:eastAsia="Palatino Linotype"/>
          <w:color w:val="auto"/>
        </w:rPr>
        <w:fldChar w:fldCharType="end"/>
      </w:r>
      <w:r w:rsidR="00E61941" w:rsidRPr="00DC6A13">
        <w:rPr>
          <w:rFonts w:eastAsia="Palatino Linotype"/>
          <w:color w:val="auto"/>
        </w:rPr>
        <w:t xml:space="preserve">, the absorbed dose </w:t>
      </w:r>
      <w:r w:rsidRPr="00DC6A13">
        <w:rPr>
          <w:rFonts w:eastAsia="Palatino Linotype"/>
          <w:color w:val="auto"/>
        </w:rPr>
        <w:t>could</w:t>
      </w:r>
      <w:r w:rsidR="00E61941" w:rsidRPr="00DC6A13">
        <w:rPr>
          <w:rFonts w:eastAsia="Palatino Linotype"/>
          <w:color w:val="auto"/>
        </w:rPr>
        <w:t xml:space="preserve"> be evaluated </w:t>
      </w:r>
      <w:r w:rsidRPr="00DC6A13">
        <w:rPr>
          <w:rFonts w:eastAsia="Palatino Linotype"/>
          <w:color w:val="auto"/>
        </w:rPr>
        <w:t>on the basis of ve</w:t>
      </w:r>
      <w:r w:rsidR="00E61941" w:rsidRPr="00DC6A13">
        <w:rPr>
          <w:rFonts w:eastAsia="Palatino Linotype"/>
          <w:color w:val="auto"/>
        </w:rPr>
        <w:t>rtebra uptake rather than on blood sample</w:t>
      </w:r>
      <w:r w:rsidR="006C7C5B" w:rsidRPr="00DC6A13">
        <w:rPr>
          <w:rFonts w:eastAsia="Palatino Linotype"/>
          <w:color w:val="auto"/>
        </w:rPr>
        <w:t>s</w:t>
      </w:r>
      <w:r w:rsidR="00E61941" w:rsidRPr="00DC6A13">
        <w:rPr>
          <w:rFonts w:eastAsia="Palatino Linotype"/>
          <w:color w:val="auto"/>
        </w:rPr>
        <w:t>.</w:t>
      </w:r>
      <w:r w:rsidRPr="00DC6A13">
        <w:rPr>
          <w:rFonts w:eastAsia="Palatino Linotype"/>
          <w:color w:val="auto"/>
        </w:rPr>
        <w:t xml:space="preserve"> T</w:t>
      </w:r>
      <w:r w:rsidR="00E61941" w:rsidRPr="00DC6A13">
        <w:rPr>
          <w:rFonts w:eastAsia="Palatino Linotype"/>
          <w:color w:val="auto"/>
        </w:rPr>
        <w:t xml:space="preserve">he </w:t>
      </w:r>
      <w:r w:rsidR="0020300E" w:rsidRPr="00DC6A13">
        <w:rPr>
          <w:rFonts w:eastAsia="Palatino Linotype"/>
          <w:color w:val="auto"/>
        </w:rPr>
        <w:t xml:space="preserve">contribution of bone lesions </w:t>
      </w:r>
      <w:r w:rsidRPr="00DC6A13">
        <w:rPr>
          <w:rFonts w:eastAsia="Palatino Linotype"/>
          <w:color w:val="auto"/>
        </w:rPr>
        <w:t xml:space="preserve">to the </w:t>
      </w:r>
      <w:r w:rsidR="0020300E" w:rsidRPr="00DC6A13">
        <w:rPr>
          <w:rFonts w:eastAsia="Palatino Linotype"/>
          <w:color w:val="auto"/>
        </w:rPr>
        <w:t xml:space="preserve">red marrow absorbed dose should </w:t>
      </w:r>
      <w:r w:rsidRPr="00DC6A13">
        <w:rPr>
          <w:rFonts w:eastAsia="Palatino Linotype"/>
          <w:color w:val="auto"/>
        </w:rPr>
        <w:t xml:space="preserve">also </w:t>
      </w:r>
      <w:r w:rsidR="0020300E" w:rsidRPr="00DC6A13">
        <w:rPr>
          <w:rFonts w:eastAsia="Palatino Linotype"/>
          <w:color w:val="auto"/>
        </w:rPr>
        <w:t xml:space="preserve">be taken into account. </w:t>
      </w:r>
    </w:p>
    <w:p w14:paraId="2A6E9416" w14:textId="77777777" w:rsidR="00654EC6" w:rsidRPr="00DC6A13" w:rsidRDefault="00654EC6">
      <w:pPr>
        <w:pStyle w:val="ListParagraph"/>
        <w:tabs>
          <w:tab w:val="left" w:pos="0"/>
        </w:tabs>
        <w:ind w:left="0"/>
        <w:rPr>
          <w:rFonts w:eastAsia="Palatino Linotype"/>
          <w:color w:val="auto"/>
        </w:rPr>
      </w:pPr>
    </w:p>
    <w:p w14:paraId="6F33E422" w14:textId="49F48FA1" w:rsidR="0020300E" w:rsidRPr="00DC6A13" w:rsidRDefault="007F7E6E">
      <w:pPr>
        <w:pStyle w:val="ListParagraph"/>
        <w:tabs>
          <w:tab w:val="left" w:pos="0"/>
        </w:tabs>
        <w:ind w:left="0"/>
        <w:rPr>
          <w:rFonts w:eastAsia="Palatino Linotype"/>
          <w:color w:val="auto"/>
        </w:rPr>
      </w:pPr>
      <w:r w:rsidRPr="00DC6A13">
        <w:rPr>
          <w:rFonts w:eastAsia="Palatino Linotype"/>
          <w:color w:val="auto"/>
        </w:rPr>
        <w:t>A f</w:t>
      </w:r>
      <w:r w:rsidR="003E519B" w:rsidRPr="00DC6A13">
        <w:rPr>
          <w:rFonts w:eastAsia="Palatino Linotype"/>
          <w:color w:val="auto"/>
        </w:rPr>
        <w:t>uture application of the model will be the evaluation of dose-volume histogram (DVH) of structures imaged with the 3D SCPET/CT (</w:t>
      </w:r>
      <w:r w:rsidR="00591C54" w:rsidRPr="00591C54">
        <w:rPr>
          <w:rFonts w:eastAsia="Palatino Linotype"/>
          <w:color w:val="auto"/>
        </w:rPr>
        <w:t xml:space="preserve">e.g., </w:t>
      </w:r>
      <w:r w:rsidR="003E519B" w:rsidRPr="00DC6A13">
        <w:rPr>
          <w:rFonts w:eastAsia="Palatino Linotype"/>
          <w:color w:val="auto"/>
        </w:rPr>
        <w:t>kidneys, liver). The DVH provide</w:t>
      </w:r>
      <w:r w:rsidR="003E0099" w:rsidRPr="00DC6A13">
        <w:rPr>
          <w:rFonts w:eastAsia="Palatino Linotype"/>
          <w:color w:val="auto"/>
        </w:rPr>
        <w:t>s</w:t>
      </w:r>
      <w:r w:rsidR="003E519B" w:rsidRPr="00DC6A13">
        <w:rPr>
          <w:rFonts w:eastAsia="Palatino Linotype"/>
          <w:color w:val="auto"/>
        </w:rPr>
        <w:t xml:space="preserve"> more accurate </w:t>
      </w:r>
      <w:r w:rsidR="003E0099" w:rsidRPr="00DC6A13">
        <w:rPr>
          <w:rFonts w:eastAsia="Palatino Linotype"/>
          <w:color w:val="auto"/>
        </w:rPr>
        <w:t xml:space="preserve">information on </w:t>
      </w:r>
      <w:r w:rsidR="003E519B" w:rsidRPr="00DC6A13">
        <w:rPr>
          <w:rFonts w:eastAsia="Palatino Linotype"/>
          <w:color w:val="auto"/>
        </w:rPr>
        <w:t xml:space="preserve">dose evaluation </w:t>
      </w:r>
      <w:r w:rsidR="003E0099" w:rsidRPr="00DC6A13">
        <w:rPr>
          <w:rFonts w:eastAsia="Palatino Linotype"/>
          <w:color w:val="auto"/>
        </w:rPr>
        <w:t xml:space="preserve">than that of the mean absorbed dose and could be useful for </w:t>
      </w:r>
      <w:r w:rsidR="003E519B" w:rsidRPr="00DC6A13">
        <w:rPr>
          <w:rFonts w:eastAsia="Palatino Linotype"/>
          <w:color w:val="auto"/>
        </w:rPr>
        <w:t>comparison</w:t>
      </w:r>
      <w:r w:rsidR="003E0099" w:rsidRPr="00DC6A13">
        <w:rPr>
          <w:rFonts w:eastAsia="Palatino Linotype"/>
          <w:color w:val="auto"/>
        </w:rPr>
        <w:t>s</w:t>
      </w:r>
      <w:r w:rsidR="003E519B" w:rsidRPr="00DC6A13">
        <w:rPr>
          <w:rFonts w:eastAsia="Palatino Linotype"/>
          <w:color w:val="auto"/>
        </w:rPr>
        <w:t xml:space="preserve"> with external beam radiotherapy dose </w:t>
      </w:r>
      <w:r w:rsidR="00DC3DE6" w:rsidRPr="00DC6A13">
        <w:rPr>
          <w:rFonts w:eastAsia="Palatino Linotype"/>
          <w:color w:val="auto"/>
        </w:rPr>
        <w:t>constraints</w:t>
      </w:r>
      <w:r w:rsidR="006C7C5B" w:rsidRPr="00DC6A13">
        <w:rPr>
          <w:rFonts w:eastAsia="Palatino Linotype"/>
          <w:color w:val="auto"/>
        </w:rPr>
        <w:t xml:space="preserve"> in terms of biological equivalent dose</w:t>
      </w:r>
      <w:r w:rsidR="003E519B" w:rsidRPr="00DC6A13">
        <w:rPr>
          <w:rFonts w:eastAsia="Palatino Linotype"/>
          <w:color w:val="auto"/>
        </w:rPr>
        <w:t>.</w:t>
      </w:r>
    </w:p>
    <w:p w14:paraId="34C3EBE1" w14:textId="77777777" w:rsidR="00654EC6" w:rsidRPr="00DC6A13" w:rsidRDefault="00654EC6">
      <w:pPr>
        <w:pStyle w:val="ListParagraph"/>
        <w:tabs>
          <w:tab w:val="left" w:pos="0"/>
        </w:tabs>
        <w:ind w:left="0"/>
        <w:rPr>
          <w:rFonts w:eastAsia="Palatino Linotype"/>
          <w:color w:val="auto"/>
        </w:rPr>
      </w:pPr>
    </w:p>
    <w:p w14:paraId="5B3CF692" w14:textId="77777777" w:rsidR="00191F6A" w:rsidRPr="00DC6A13" w:rsidRDefault="003E519B">
      <w:pPr>
        <w:pStyle w:val="ListParagraph"/>
        <w:ind w:left="0"/>
        <w:rPr>
          <w:b/>
          <w:bCs/>
          <w:color w:val="auto"/>
        </w:rPr>
      </w:pPr>
      <w:r w:rsidRPr="00DC6A13">
        <w:rPr>
          <w:rFonts w:eastAsia="Palatino Linotype"/>
          <w:color w:val="auto"/>
        </w:rPr>
        <w:t xml:space="preserve">The method was developed for </w:t>
      </w:r>
      <w:r w:rsidRPr="00DC6A13">
        <w:rPr>
          <w:rFonts w:eastAsia="Palatino Linotype"/>
          <w:color w:val="auto"/>
          <w:vertAlign w:val="superscript"/>
        </w:rPr>
        <w:t>177</w:t>
      </w:r>
      <w:r w:rsidRPr="00DC6A13">
        <w:rPr>
          <w:rFonts w:eastAsia="Palatino Linotype"/>
          <w:color w:val="auto"/>
        </w:rPr>
        <w:t xml:space="preserve">Lu-PSMA-617 radiotracer but </w:t>
      </w:r>
      <w:r w:rsidR="00D9214C" w:rsidRPr="00DC6A13">
        <w:rPr>
          <w:rFonts w:eastAsia="Palatino Linotype"/>
          <w:color w:val="auto"/>
        </w:rPr>
        <w:t>can</w:t>
      </w:r>
      <w:r w:rsidRPr="00DC6A13">
        <w:rPr>
          <w:rFonts w:eastAsia="Palatino Linotype"/>
          <w:color w:val="auto"/>
        </w:rPr>
        <w:t xml:space="preserve"> </w:t>
      </w:r>
      <w:r w:rsidR="00D9214C" w:rsidRPr="00DC6A13">
        <w:rPr>
          <w:rFonts w:eastAsia="Palatino Linotype"/>
          <w:color w:val="auto"/>
        </w:rPr>
        <w:t xml:space="preserve">also be used </w:t>
      </w:r>
      <w:r w:rsidRPr="00DC6A13">
        <w:rPr>
          <w:color w:val="auto"/>
        </w:rPr>
        <w:t xml:space="preserve">with </w:t>
      </w:r>
      <w:r w:rsidR="002E47B6" w:rsidRPr="00DC6A13">
        <w:rPr>
          <w:color w:val="auto"/>
        </w:rPr>
        <w:t>other beta</w:t>
      </w:r>
      <w:r w:rsidRPr="00DC6A13">
        <w:rPr>
          <w:color w:val="auto"/>
        </w:rPr>
        <w:t>-gamma radiotracers</w:t>
      </w:r>
      <w:r w:rsidRPr="00DC6A13">
        <w:rPr>
          <w:rFonts w:eastAsia="Palatino Linotype"/>
          <w:color w:val="auto"/>
        </w:rPr>
        <w:t xml:space="preserve">. </w:t>
      </w:r>
      <w:bookmarkStart w:id="7" w:name="Acknowledgments"/>
    </w:p>
    <w:p w14:paraId="4CCC2517" w14:textId="77777777" w:rsidR="00654EC6" w:rsidRPr="00DC6A13" w:rsidRDefault="00654EC6">
      <w:pPr>
        <w:pStyle w:val="ListParagraph"/>
        <w:ind w:left="0"/>
        <w:rPr>
          <w:b/>
          <w:bCs/>
          <w:color w:val="auto"/>
        </w:rPr>
      </w:pPr>
    </w:p>
    <w:bookmarkEnd w:id="7"/>
    <w:p w14:paraId="4EB7CC54" w14:textId="360F6C80" w:rsidR="00AA03DF" w:rsidRPr="00DC6A13" w:rsidRDefault="0041685F">
      <w:pPr>
        <w:pStyle w:val="NormalWeb"/>
        <w:spacing w:before="0" w:beforeAutospacing="0" w:after="0" w:afterAutospacing="0"/>
        <w:rPr>
          <w:color w:val="auto"/>
        </w:rPr>
      </w:pPr>
      <w:r w:rsidRPr="00DC6A13">
        <w:rPr>
          <w:b/>
          <w:bCs/>
          <w:color w:val="auto"/>
        </w:rPr>
        <w:t>ACKNOWLEDGEMENTS</w:t>
      </w:r>
      <w:r>
        <w:rPr>
          <w:b/>
          <w:bCs/>
          <w:color w:val="auto"/>
        </w:rPr>
        <w:t>:</w:t>
      </w:r>
    </w:p>
    <w:p w14:paraId="7C269EB5" w14:textId="42CB91BE" w:rsidR="003E519B" w:rsidRPr="00DC6A13" w:rsidRDefault="00E826D6">
      <w:pPr>
        <w:rPr>
          <w:color w:val="auto"/>
        </w:rPr>
      </w:pPr>
      <w:r w:rsidRPr="00DC6A13">
        <w:rPr>
          <w:color w:val="auto"/>
        </w:rPr>
        <w:t>Our thanks go to</w:t>
      </w:r>
      <w:r w:rsidR="003E519B" w:rsidRPr="00DC6A13">
        <w:rPr>
          <w:color w:val="auto"/>
        </w:rPr>
        <w:t xml:space="preserve"> the professional</w:t>
      </w:r>
      <w:r w:rsidRPr="00DC6A13">
        <w:rPr>
          <w:color w:val="auto"/>
        </w:rPr>
        <w:t xml:space="preserve"> figures </w:t>
      </w:r>
      <w:r w:rsidR="003E519B" w:rsidRPr="00DC6A13">
        <w:rPr>
          <w:color w:val="auto"/>
        </w:rPr>
        <w:t xml:space="preserve">involved in the protocol </w:t>
      </w:r>
      <w:r w:rsidR="003E519B" w:rsidRPr="00DC6A13">
        <w:rPr>
          <w:rFonts w:eastAsia="Palatino Linotype"/>
          <w:color w:val="auto"/>
        </w:rPr>
        <w:t>(</w:t>
      </w:r>
      <w:r w:rsidR="00591C54" w:rsidRPr="00591C54">
        <w:rPr>
          <w:rFonts w:eastAsia="Palatino Linotype"/>
          <w:color w:val="auto"/>
        </w:rPr>
        <w:t xml:space="preserve">i.e., </w:t>
      </w:r>
      <w:r w:rsidRPr="00DC6A13">
        <w:rPr>
          <w:rFonts w:eastAsia="Palatino Linotype"/>
          <w:color w:val="auto"/>
        </w:rPr>
        <w:t>p</w:t>
      </w:r>
      <w:r w:rsidR="003E519B" w:rsidRPr="00DC6A13">
        <w:rPr>
          <w:rFonts w:eastAsia="Palatino Linotype"/>
          <w:color w:val="auto"/>
        </w:rPr>
        <w:t xml:space="preserve">hysicians, </w:t>
      </w:r>
      <w:r w:rsidRPr="00DC6A13">
        <w:rPr>
          <w:rFonts w:eastAsia="Palatino Linotype"/>
          <w:color w:val="auto"/>
        </w:rPr>
        <w:t>p</w:t>
      </w:r>
      <w:r w:rsidR="003E519B" w:rsidRPr="00DC6A13">
        <w:rPr>
          <w:rFonts w:eastAsia="Palatino Linotype"/>
          <w:color w:val="auto"/>
        </w:rPr>
        <w:t xml:space="preserve">hysicists </w:t>
      </w:r>
      <w:r w:rsidRPr="00DC6A13">
        <w:rPr>
          <w:rFonts w:eastAsia="Palatino Linotype"/>
          <w:color w:val="auto"/>
        </w:rPr>
        <w:t xml:space="preserve">and </w:t>
      </w:r>
      <w:r w:rsidR="003E519B" w:rsidRPr="00DC6A13">
        <w:rPr>
          <w:rFonts w:eastAsia="Palatino Linotype"/>
          <w:color w:val="auto"/>
        </w:rPr>
        <w:t xml:space="preserve">nurses) and </w:t>
      </w:r>
      <w:r w:rsidR="00AE7DDD" w:rsidRPr="00DC6A13">
        <w:rPr>
          <w:rFonts w:eastAsia="Palatino Linotype"/>
          <w:color w:val="auto"/>
        </w:rPr>
        <w:t>to</w:t>
      </w:r>
      <w:r w:rsidR="003E519B" w:rsidRPr="00DC6A13">
        <w:rPr>
          <w:rFonts w:eastAsia="Palatino Linotype"/>
          <w:color w:val="auto"/>
        </w:rPr>
        <w:t xml:space="preserve"> the patients </w:t>
      </w:r>
      <w:r w:rsidRPr="00DC6A13">
        <w:rPr>
          <w:rFonts w:eastAsia="Palatino Linotype"/>
          <w:color w:val="auto"/>
        </w:rPr>
        <w:t>who ag</w:t>
      </w:r>
      <w:r w:rsidR="00853B6D" w:rsidRPr="00DC6A13">
        <w:rPr>
          <w:rFonts w:eastAsia="Palatino Linotype"/>
          <w:color w:val="auto"/>
        </w:rPr>
        <w:t>reed to take part in the study</w:t>
      </w:r>
      <w:r w:rsidR="00DE46B1" w:rsidRPr="00DC6A13">
        <w:rPr>
          <w:rFonts w:eastAsia="Palatino Linotype"/>
          <w:color w:val="auto"/>
        </w:rPr>
        <w:t xml:space="preserve">. </w:t>
      </w:r>
      <w:r w:rsidR="00AE7DDD" w:rsidRPr="00DC6A13">
        <w:rPr>
          <w:rFonts w:eastAsia="Palatino Linotype"/>
          <w:color w:val="auto"/>
        </w:rPr>
        <w:t>W</w:t>
      </w:r>
      <w:r w:rsidR="00853B6D" w:rsidRPr="00DC6A13">
        <w:rPr>
          <w:rFonts w:eastAsia="Palatino Linotype"/>
          <w:color w:val="auto"/>
        </w:rPr>
        <w:t xml:space="preserve">e are </w:t>
      </w:r>
      <w:r w:rsidR="00AE7DDD" w:rsidRPr="00DC6A13">
        <w:rPr>
          <w:rFonts w:eastAsia="Palatino Linotype"/>
          <w:color w:val="auto"/>
        </w:rPr>
        <w:t xml:space="preserve">also </w:t>
      </w:r>
      <w:r w:rsidR="00853B6D" w:rsidRPr="00DC6A13">
        <w:rPr>
          <w:rFonts w:eastAsia="Palatino Linotype"/>
          <w:color w:val="auto"/>
        </w:rPr>
        <w:t xml:space="preserve">grateful to the </w:t>
      </w:r>
      <w:r w:rsidR="00AE7DDD" w:rsidRPr="00DC6A13">
        <w:rPr>
          <w:rFonts w:eastAsia="Palatino Linotype"/>
          <w:color w:val="auto"/>
        </w:rPr>
        <w:t xml:space="preserve">medical radiology technicians of the </w:t>
      </w:r>
      <w:r w:rsidR="000968B1" w:rsidRPr="00DC6A13">
        <w:rPr>
          <w:rFonts w:eastAsia="Palatino Linotype"/>
          <w:color w:val="auto"/>
        </w:rPr>
        <w:t>Nuclear Medicine</w:t>
      </w:r>
      <w:r w:rsidR="00AE7DDD" w:rsidRPr="00DC6A13">
        <w:rPr>
          <w:rFonts w:eastAsia="Palatino Linotype"/>
          <w:color w:val="auto"/>
        </w:rPr>
        <w:t xml:space="preserve"> Unit for their help with </w:t>
      </w:r>
      <w:r w:rsidR="000968B1" w:rsidRPr="00DC6A13">
        <w:rPr>
          <w:rFonts w:eastAsia="Palatino Linotype"/>
          <w:color w:val="auto"/>
        </w:rPr>
        <w:t xml:space="preserve">protocol </w:t>
      </w:r>
      <w:r w:rsidR="000968B1" w:rsidRPr="00DC6A13">
        <w:rPr>
          <w:rFonts w:eastAsia="Palatino Linotype"/>
          <w:color w:val="auto"/>
        </w:rPr>
        <w:lastRenderedPageBreak/>
        <w:t>implementation: Valentina Mautone, Maria Caternicchia, Monia Pan</w:t>
      </w:r>
      <w:r w:rsidR="000F1D06" w:rsidRPr="00DC6A13">
        <w:rPr>
          <w:rFonts w:eastAsia="Palatino Linotype"/>
          <w:color w:val="auto"/>
        </w:rPr>
        <w:t>cisi, Daniela Fichera</w:t>
      </w:r>
      <w:r w:rsidR="00853B6D" w:rsidRPr="00DC6A13">
        <w:rPr>
          <w:rFonts w:eastAsia="Palatino Linotype"/>
          <w:color w:val="auto"/>
        </w:rPr>
        <w:t xml:space="preserve"> and</w:t>
      </w:r>
      <w:r w:rsidR="000F1D06" w:rsidRPr="00DC6A13">
        <w:rPr>
          <w:rFonts w:eastAsia="Palatino Linotype"/>
          <w:color w:val="auto"/>
        </w:rPr>
        <w:t xml:space="preserve"> Delia Be</w:t>
      </w:r>
      <w:r w:rsidR="000968B1" w:rsidRPr="00DC6A13">
        <w:rPr>
          <w:rFonts w:eastAsia="Palatino Linotype"/>
          <w:color w:val="auto"/>
        </w:rPr>
        <w:t>vilacqua.</w:t>
      </w:r>
      <w:r w:rsidR="00AE7DDD" w:rsidRPr="00DC6A13">
        <w:rPr>
          <w:color w:val="auto"/>
        </w:rPr>
        <w:t xml:space="preserve"> The work was partially supported by AIRC (Italian Association for Cancer Research, grant number: L2P1367 - L2P1520).</w:t>
      </w:r>
    </w:p>
    <w:p w14:paraId="70A3910B" w14:textId="77777777" w:rsidR="00086619" w:rsidRPr="00DC6A13" w:rsidRDefault="00086619">
      <w:pPr>
        <w:pStyle w:val="NormalWeb"/>
        <w:spacing w:before="0" w:beforeAutospacing="0" w:after="0" w:afterAutospacing="0"/>
        <w:rPr>
          <w:b/>
          <w:color w:val="auto"/>
        </w:rPr>
      </w:pPr>
    </w:p>
    <w:p w14:paraId="4E00469C" w14:textId="77777777" w:rsidR="0081619A" w:rsidRPr="00DC6A13" w:rsidRDefault="00AA03DF">
      <w:pPr>
        <w:pStyle w:val="NormalWeb"/>
        <w:spacing w:before="0" w:beforeAutospacing="0" w:after="0" w:afterAutospacing="0"/>
        <w:rPr>
          <w:color w:val="auto"/>
        </w:rPr>
      </w:pPr>
      <w:r w:rsidRPr="00DC6A13">
        <w:rPr>
          <w:b/>
          <w:color w:val="auto"/>
        </w:rPr>
        <w:t>DISCLOSURES</w:t>
      </w:r>
      <w:r w:rsidRPr="00DC6A13">
        <w:rPr>
          <w:b/>
          <w:bCs/>
          <w:color w:val="auto"/>
        </w:rPr>
        <w:t xml:space="preserve">: </w:t>
      </w:r>
    </w:p>
    <w:p w14:paraId="7BA1B2FF" w14:textId="77777777" w:rsidR="00790EA0" w:rsidRPr="00DC6A13" w:rsidRDefault="00790EA0">
      <w:pPr>
        <w:rPr>
          <w:color w:val="auto"/>
        </w:rPr>
      </w:pPr>
      <w:r w:rsidRPr="00DC6A13">
        <w:rPr>
          <w:color w:val="auto"/>
        </w:rPr>
        <w:t>The authors have nothing to disclose.</w:t>
      </w:r>
    </w:p>
    <w:p w14:paraId="38B60CAB" w14:textId="77777777" w:rsidR="00DC6A13" w:rsidRPr="00DC6A13" w:rsidRDefault="00DC6A13">
      <w:pPr>
        <w:rPr>
          <w:color w:val="auto"/>
        </w:rPr>
      </w:pPr>
    </w:p>
    <w:p w14:paraId="61B67A49" w14:textId="783F8AA0" w:rsidR="00B32616" w:rsidRPr="00DC6A13" w:rsidRDefault="009726EE">
      <w:pPr>
        <w:rPr>
          <w:color w:val="auto"/>
        </w:rPr>
      </w:pPr>
      <w:r w:rsidRPr="00DC6A13">
        <w:rPr>
          <w:b/>
          <w:bCs/>
          <w:color w:val="auto"/>
        </w:rPr>
        <w:t>REFERENCES</w:t>
      </w:r>
      <w:r w:rsidR="00D04760" w:rsidRPr="00DC6A13">
        <w:rPr>
          <w:b/>
          <w:bCs/>
          <w:color w:val="auto"/>
        </w:rPr>
        <w:t>:</w:t>
      </w:r>
      <w:r w:rsidRPr="00DC6A13">
        <w:rPr>
          <w:color w:val="auto"/>
        </w:rPr>
        <w:t xml:space="preserve"> </w:t>
      </w:r>
    </w:p>
    <w:p w14:paraId="307E3217" w14:textId="70BD2D0B" w:rsidR="00CD125E" w:rsidRPr="00DC6A13" w:rsidRDefault="00D042A0" w:rsidP="003D144A">
      <w:pPr>
        <w:rPr>
          <w:rFonts w:cs="Times New Roman"/>
          <w:noProof/>
          <w:color w:val="auto"/>
        </w:rPr>
      </w:pPr>
      <w:r w:rsidRPr="00DC6A13">
        <w:rPr>
          <w:color w:val="auto"/>
          <w:lang w:val="it-IT"/>
        </w:rPr>
        <w:fldChar w:fldCharType="begin" w:fldLock="1"/>
      </w:r>
      <w:r w:rsidR="00143EE3" w:rsidRPr="00DC6A13">
        <w:rPr>
          <w:color w:val="auto"/>
        </w:rPr>
        <w:instrText xml:space="preserve">ADDIN Mendeley Bibliography CSL_BIBLIOGRAPHY </w:instrText>
      </w:r>
      <w:r w:rsidRPr="00DC6A13">
        <w:rPr>
          <w:color w:val="auto"/>
          <w:lang w:val="it-IT"/>
        </w:rPr>
        <w:fldChar w:fldCharType="separate"/>
      </w:r>
      <w:r w:rsidR="00CD125E" w:rsidRPr="00DC6A13">
        <w:rPr>
          <w:rFonts w:cs="Times New Roman"/>
          <w:noProof/>
          <w:color w:val="auto"/>
        </w:rPr>
        <w:t>1.</w:t>
      </w:r>
      <w:r w:rsidR="00CD125E" w:rsidRPr="00DC6A13">
        <w:rPr>
          <w:rFonts w:cs="Times New Roman"/>
          <w:noProof/>
          <w:color w:val="auto"/>
        </w:rPr>
        <w:tab/>
        <w:t xml:space="preserve">Matteucci, F. </w:t>
      </w:r>
      <w:r w:rsidR="00591C54" w:rsidRPr="00591C54">
        <w:rPr>
          <w:rFonts w:cs="Times New Roman"/>
          <w:noProof/>
          <w:color w:val="auto"/>
        </w:rPr>
        <w:t xml:space="preserve">et al. </w:t>
      </w:r>
      <w:r w:rsidR="00CD125E" w:rsidRPr="00DC6A13">
        <w:rPr>
          <w:rFonts w:cs="Times New Roman"/>
          <w:noProof/>
          <w:color w:val="auto"/>
        </w:rPr>
        <w:t xml:space="preserve">Reduction of 68Ga-PSMA renal uptake with mannitol infusion: preliminary results. </w:t>
      </w:r>
      <w:r w:rsidR="00CD125E" w:rsidRPr="00DC6A13">
        <w:rPr>
          <w:rFonts w:cs="Times New Roman"/>
          <w:i/>
          <w:iCs/>
          <w:noProof/>
          <w:color w:val="auto"/>
        </w:rPr>
        <w:t>European Journal of Nuclear Medicine and Molecular Imaging</w:t>
      </w:r>
      <w:r w:rsidR="00CD125E" w:rsidRPr="00DC6A13">
        <w:rPr>
          <w:rFonts w:cs="Times New Roman"/>
          <w:noProof/>
          <w:color w:val="auto"/>
        </w:rPr>
        <w:t>. 1–6 (2017).</w:t>
      </w:r>
    </w:p>
    <w:p w14:paraId="74546196" w14:textId="25DDDAE2" w:rsidR="00CD125E" w:rsidRPr="00DC6A13" w:rsidRDefault="00CD125E" w:rsidP="003D144A">
      <w:pPr>
        <w:rPr>
          <w:rFonts w:cs="Times New Roman"/>
          <w:noProof/>
          <w:color w:val="auto"/>
        </w:rPr>
      </w:pPr>
      <w:r w:rsidRPr="00DC6A13">
        <w:rPr>
          <w:rFonts w:cs="Times New Roman"/>
          <w:noProof/>
          <w:color w:val="auto"/>
        </w:rPr>
        <w:t>2.</w:t>
      </w:r>
      <w:r w:rsidRPr="00DC6A13">
        <w:rPr>
          <w:rFonts w:cs="Times New Roman"/>
          <w:noProof/>
          <w:color w:val="auto"/>
        </w:rPr>
        <w:tab/>
        <w:t xml:space="preserve">Sarnelli, A. </w:t>
      </w:r>
      <w:r w:rsidR="00591C54" w:rsidRPr="00591C54">
        <w:rPr>
          <w:rFonts w:cs="Times New Roman"/>
          <w:noProof/>
          <w:color w:val="auto"/>
        </w:rPr>
        <w:t xml:space="preserve">et al. </w:t>
      </w:r>
      <w:r w:rsidRPr="00DC6A13">
        <w:rPr>
          <w:rFonts w:cs="Times New Roman"/>
          <w:noProof/>
          <w:color w:val="auto"/>
        </w:rPr>
        <w:t xml:space="preserve">Dosimetry of 177 Lu-PSMA-617 after mannitol infusion and glutamate tablet administration: Preliminary results of EUDRACT/RSO 2016-002732-32 IRST protocol. </w:t>
      </w:r>
      <w:r w:rsidRPr="00DC6A13">
        <w:rPr>
          <w:rFonts w:cs="Times New Roman"/>
          <w:i/>
          <w:iCs/>
          <w:noProof/>
          <w:color w:val="auto"/>
        </w:rPr>
        <w:t>Molecules</w:t>
      </w:r>
      <w:r w:rsidRPr="00DC6A13">
        <w:rPr>
          <w:rFonts w:cs="Times New Roman"/>
          <w:noProof/>
          <w:color w:val="auto"/>
        </w:rPr>
        <w:t xml:space="preserve">. </w:t>
      </w:r>
      <w:r w:rsidRPr="00DC6A13">
        <w:rPr>
          <w:rFonts w:cs="Times New Roman"/>
          <w:b/>
          <w:bCs/>
          <w:noProof/>
          <w:color w:val="auto"/>
        </w:rPr>
        <w:t>24</w:t>
      </w:r>
      <w:r w:rsidRPr="00DC6A13">
        <w:rPr>
          <w:rFonts w:cs="Times New Roman"/>
          <w:noProof/>
          <w:color w:val="auto"/>
        </w:rPr>
        <w:t xml:space="preserve"> (3) (2019).</w:t>
      </w:r>
    </w:p>
    <w:p w14:paraId="6430B166" w14:textId="4B22D3E9" w:rsidR="00CD125E" w:rsidRPr="00DC6A13" w:rsidRDefault="00CD125E" w:rsidP="003D144A">
      <w:pPr>
        <w:rPr>
          <w:rFonts w:cs="Times New Roman"/>
          <w:noProof/>
          <w:color w:val="auto"/>
        </w:rPr>
      </w:pPr>
      <w:r w:rsidRPr="00DC6A13">
        <w:rPr>
          <w:rFonts w:cs="Times New Roman"/>
          <w:noProof/>
          <w:color w:val="auto"/>
        </w:rPr>
        <w:t>3.</w:t>
      </w:r>
      <w:r w:rsidRPr="00DC6A13">
        <w:rPr>
          <w:rFonts w:cs="Times New Roman"/>
          <w:noProof/>
          <w:color w:val="auto"/>
        </w:rPr>
        <w:tab/>
        <w:t xml:space="preserve">Stabin, M.G. </w:t>
      </w:r>
      <w:r w:rsidRPr="00DC6A13">
        <w:rPr>
          <w:rFonts w:cs="Times New Roman"/>
          <w:i/>
          <w:iCs/>
          <w:noProof/>
          <w:color w:val="auto"/>
        </w:rPr>
        <w:t>Fundamentals of nuclear medicine dosimetry</w:t>
      </w:r>
      <w:r w:rsidRPr="00DC6A13">
        <w:rPr>
          <w:rFonts w:cs="Times New Roman"/>
          <w:noProof/>
          <w:color w:val="auto"/>
        </w:rPr>
        <w:t xml:space="preserve">. </w:t>
      </w:r>
      <w:r w:rsidR="0041685F">
        <w:rPr>
          <w:rFonts w:cs="Times New Roman"/>
          <w:noProof/>
          <w:color w:val="auto"/>
        </w:rPr>
        <w:t xml:space="preserve">Springer </w:t>
      </w:r>
      <w:r w:rsidRPr="00DC6A13">
        <w:rPr>
          <w:rFonts w:cs="Times New Roman"/>
          <w:noProof/>
          <w:color w:val="auto"/>
        </w:rPr>
        <w:t>(2008).</w:t>
      </w:r>
    </w:p>
    <w:p w14:paraId="3B128446" w14:textId="12287A3F" w:rsidR="00CD125E" w:rsidRPr="00DC6A13" w:rsidRDefault="00CD125E" w:rsidP="003D144A">
      <w:pPr>
        <w:rPr>
          <w:rFonts w:cs="Times New Roman"/>
          <w:noProof/>
          <w:color w:val="auto"/>
        </w:rPr>
      </w:pPr>
      <w:r w:rsidRPr="00DC6A13">
        <w:rPr>
          <w:rFonts w:cs="Times New Roman"/>
          <w:noProof/>
          <w:color w:val="auto"/>
        </w:rPr>
        <w:t>4.</w:t>
      </w:r>
      <w:r w:rsidRPr="00DC6A13">
        <w:rPr>
          <w:rFonts w:cs="Times New Roman"/>
          <w:noProof/>
          <w:color w:val="auto"/>
        </w:rPr>
        <w:tab/>
        <w:t>Snyder, W.S., R., F.M., Warner, G.G., Watson, S.B. MIRD Pamphlet No. 11: “S” Absorbed dose per unt cumulate activity for selected radionuclides and organs</w:t>
      </w:r>
      <w:r w:rsidR="0041685F">
        <w:rPr>
          <w:rFonts w:cs="Times New Roman"/>
          <w:noProof/>
          <w:color w:val="auto"/>
        </w:rPr>
        <w:t xml:space="preserve">. </w:t>
      </w:r>
      <w:r w:rsidR="0041685F">
        <w:rPr>
          <w:rFonts w:cs="Times New Roman"/>
          <w:i/>
          <w:iCs/>
          <w:noProof/>
          <w:color w:val="auto"/>
        </w:rPr>
        <w:t xml:space="preserve">Soceity of Nuclear Medicine </w:t>
      </w:r>
      <w:r w:rsidRPr="00DC6A13">
        <w:rPr>
          <w:rFonts w:cs="Times New Roman"/>
          <w:noProof/>
          <w:color w:val="auto"/>
        </w:rPr>
        <w:t>(1975).</w:t>
      </w:r>
    </w:p>
    <w:p w14:paraId="506952B0" w14:textId="689EF9B1" w:rsidR="00CD125E" w:rsidRPr="00DC6A13" w:rsidRDefault="00CD125E" w:rsidP="003D144A">
      <w:pPr>
        <w:rPr>
          <w:rFonts w:cs="Times New Roman"/>
          <w:noProof/>
          <w:color w:val="auto"/>
        </w:rPr>
      </w:pPr>
      <w:r w:rsidRPr="00DC6A13">
        <w:rPr>
          <w:rFonts w:cs="Times New Roman"/>
          <w:noProof/>
          <w:color w:val="auto"/>
          <w:lang w:val="it-IT"/>
        </w:rPr>
        <w:t>5.</w:t>
      </w:r>
      <w:r w:rsidRPr="00DC6A13">
        <w:rPr>
          <w:rFonts w:cs="Times New Roman"/>
          <w:noProof/>
          <w:color w:val="auto"/>
          <w:lang w:val="it-IT"/>
        </w:rPr>
        <w:tab/>
        <w:t xml:space="preserve">Bolch, W.E. </w:t>
      </w:r>
      <w:r w:rsidR="00591C54" w:rsidRPr="00591C54">
        <w:rPr>
          <w:rFonts w:cs="Times New Roman"/>
          <w:noProof/>
          <w:color w:val="auto"/>
          <w:lang w:val="it-IT"/>
        </w:rPr>
        <w:t xml:space="preserve">et al. </w:t>
      </w:r>
      <w:r w:rsidRPr="00DC6A13">
        <w:rPr>
          <w:rFonts w:cs="Times New Roman"/>
          <w:noProof/>
          <w:color w:val="auto"/>
        </w:rPr>
        <w:t xml:space="preserve">MIRD Pamphlet No . 17 : The Dosimetry of Nonuniform Activity Distributions- Radionuclide S Values at the Voxel Level. </w:t>
      </w:r>
      <w:r w:rsidRPr="00DC6A13">
        <w:rPr>
          <w:rFonts w:cs="Times New Roman"/>
          <w:i/>
          <w:iCs/>
          <w:noProof/>
          <w:color w:val="auto"/>
        </w:rPr>
        <w:t>Journal of Nuclear Medicine</w:t>
      </w:r>
      <w:r w:rsidRPr="00DC6A13">
        <w:rPr>
          <w:rFonts w:cs="Times New Roman"/>
          <w:noProof/>
          <w:color w:val="auto"/>
        </w:rPr>
        <w:t xml:space="preserve">. </w:t>
      </w:r>
      <w:r w:rsidRPr="00DC6A13">
        <w:rPr>
          <w:rFonts w:cs="Times New Roman"/>
          <w:b/>
          <w:bCs/>
          <w:noProof/>
          <w:color w:val="auto"/>
        </w:rPr>
        <w:t>40</w:t>
      </w:r>
      <w:r w:rsidRPr="00DC6A13">
        <w:rPr>
          <w:rFonts w:cs="Times New Roman"/>
          <w:noProof/>
          <w:color w:val="auto"/>
        </w:rPr>
        <w:t xml:space="preserve"> (17), 11s-36s (1998).</w:t>
      </w:r>
    </w:p>
    <w:p w14:paraId="7395FAEF" w14:textId="35DDECF8" w:rsidR="00CD125E" w:rsidRPr="00DC6A13" w:rsidRDefault="00CD125E" w:rsidP="003D144A">
      <w:pPr>
        <w:rPr>
          <w:rFonts w:cs="Times New Roman"/>
          <w:noProof/>
          <w:color w:val="auto"/>
        </w:rPr>
      </w:pPr>
      <w:r w:rsidRPr="00DC6A13">
        <w:rPr>
          <w:rFonts w:cs="Times New Roman"/>
          <w:noProof/>
          <w:color w:val="auto"/>
        </w:rPr>
        <w:t>6.</w:t>
      </w:r>
      <w:r w:rsidRPr="00DC6A13">
        <w:rPr>
          <w:rFonts w:cs="Times New Roman"/>
          <w:noProof/>
          <w:color w:val="auto"/>
        </w:rPr>
        <w:tab/>
        <w:t xml:space="preserve">Stabin, M.G., Sparks, R.B., Crowe, E. OLINDA/EXM: The Second-Generation Personal Computer Software for Internal Dose Assessment in Nuclear Medicine. </w:t>
      </w:r>
      <w:r w:rsidRPr="00DC6A13">
        <w:rPr>
          <w:rFonts w:cs="Times New Roman"/>
          <w:i/>
          <w:iCs/>
          <w:noProof/>
          <w:color w:val="auto"/>
        </w:rPr>
        <w:t>Journal of Nuclear Medicine</w:t>
      </w:r>
      <w:r w:rsidRPr="00DC6A13">
        <w:rPr>
          <w:rFonts w:cs="Times New Roman"/>
          <w:noProof/>
          <w:color w:val="auto"/>
        </w:rPr>
        <w:t xml:space="preserve">. </w:t>
      </w:r>
      <w:r w:rsidRPr="00DC6A13">
        <w:rPr>
          <w:rFonts w:cs="Times New Roman"/>
          <w:b/>
          <w:bCs/>
          <w:noProof/>
          <w:color w:val="auto"/>
        </w:rPr>
        <w:t>46</w:t>
      </w:r>
      <w:r w:rsidRPr="00DC6A13">
        <w:rPr>
          <w:rFonts w:cs="Times New Roman"/>
          <w:noProof/>
          <w:color w:val="auto"/>
        </w:rPr>
        <w:t>, 1023–1027 (2005).</w:t>
      </w:r>
    </w:p>
    <w:p w14:paraId="5BC88A39" w14:textId="77777777" w:rsidR="00CD125E" w:rsidRPr="00DC6A13" w:rsidRDefault="00CD125E" w:rsidP="003D144A">
      <w:pPr>
        <w:rPr>
          <w:rFonts w:cs="Times New Roman"/>
          <w:noProof/>
          <w:color w:val="auto"/>
        </w:rPr>
      </w:pPr>
      <w:r w:rsidRPr="00DC6A13">
        <w:rPr>
          <w:rFonts w:cs="Times New Roman"/>
          <w:noProof/>
          <w:color w:val="auto"/>
        </w:rPr>
        <w:t>7.</w:t>
      </w:r>
      <w:r w:rsidRPr="00DC6A13">
        <w:rPr>
          <w:rFonts w:cs="Times New Roman"/>
          <w:noProof/>
          <w:color w:val="auto"/>
        </w:rPr>
        <w:tab/>
        <w:t xml:space="preserve">Hippeläinen, E., Tenhunen, M., Mäenpää, H., Heikkonen, J., Sohlberg, A. Dosimetry software Hermes Internal Radiation Dosimetry: from quantitative image reconstruction to voxel-level absorbed dose distribution. </w:t>
      </w:r>
      <w:r w:rsidRPr="00DC6A13">
        <w:rPr>
          <w:rFonts w:cs="Times New Roman"/>
          <w:i/>
          <w:iCs/>
          <w:noProof/>
          <w:color w:val="auto"/>
        </w:rPr>
        <w:t>Nuclear Medicine Communicationsedicine Communications</w:t>
      </w:r>
      <w:r w:rsidRPr="00DC6A13">
        <w:rPr>
          <w:rFonts w:cs="Times New Roman"/>
          <w:noProof/>
          <w:color w:val="auto"/>
        </w:rPr>
        <w:t xml:space="preserve">. </w:t>
      </w:r>
      <w:r w:rsidRPr="00DC6A13">
        <w:rPr>
          <w:rFonts w:cs="Times New Roman"/>
          <w:b/>
          <w:bCs/>
          <w:noProof/>
          <w:color w:val="auto"/>
        </w:rPr>
        <w:t>38</w:t>
      </w:r>
      <w:r w:rsidRPr="00DC6A13">
        <w:rPr>
          <w:rFonts w:cs="Times New Roman"/>
          <w:noProof/>
          <w:color w:val="auto"/>
        </w:rPr>
        <w:t xml:space="preserve"> (5), 357–365 (2017).</w:t>
      </w:r>
    </w:p>
    <w:p w14:paraId="376BA006" w14:textId="77777777" w:rsidR="00CD125E" w:rsidRPr="00DC6A13" w:rsidRDefault="00CD125E" w:rsidP="003D144A">
      <w:pPr>
        <w:rPr>
          <w:rFonts w:cs="Times New Roman"/>
          <w:noProof/>
          <w:color w:val="auto"/>
        </w:rPr>
      </w:pPr>
      <w:r w:rsidRPr="00DC6A13">
        <w:rPr>
          <w:rFonts w:cs="Times New Roman"/>
          <w:noProof/>
          <w:color w:val="auto"/>
        </w:rPr>
        <w:t>8.</w:t>
      </w:r>
      <w:r w:rsidRPr="00DC6A13">
        <w:rPr>
          <w:rFonts w:cs="Times New Roman"/>
          <w:noProof/>
          <w:color w:val="auto"/>
        </w:rPr>
        <w:tab/>
        <w:t xml:space="preserve">Stabin, M.G., Siegel, J.A. RADAR Dose estimate report: a compendium of radiopharmaceutical dose estimates based on OLINDA/EXM version 2.0. </w:t>
      </w:r>
      <w:r w:rsidRPr="00DC6A13">
        <w:rPr>
          <w:rFonts w:cs="Times New Roman"/>
          <w:i/>
          <w:iCs/>
          <w:noProof/>
          <w:color w:val="auto"/>
        </w:rPr>
        <w:t>Journal of Nuclear Medicine</w:t>
      </w:r>
      <w:r w:rsidRPr="00DC6A13">
        <w:rPr>
          <w:rFonts w:cs="Times New Roman"/>
          <w:noProof/>
          <w:color w:val="auto"/>
        </w:rPr>
        <w:t xml:space="preserve">. </w:t>
      </w:r>
      <w:r w:rsidRPr="00DC6A13">
        <w:rPr>
          <w:rFonts w:cs="Times New Roman"/>
          <w:b/>
          <w:bCs/>
          <w:noProof/>
          <w:color w:val="auto"/>
        </w:rPr>
        <w:t>59</w:t>
      </w:r>
      <w:r w:rsidRPr="00DC6A13">
        <w:rPr>
          <w:rFonts w:cs="Times New Roman"/>
          <w:noProof/>
          <w:color w:val="auto"/>
        </w:rPr>
        <w:t>, 154–160 (2018).</w:t>
      </w:r>
    </w:p>
    <w:p w14:paraId="36E6CE90" w14:textId="277E25C9" w:rsidR="00CD125E" w:rsidRPr="00DC6A13" w:rsidRDefault="00CD125E" w:rsidP="003D144A">
      <w:pPr>
        <w:rPr>
          <w:rFonts w:cs="Times New Roman"/>
          <w:noProof/>
          <w:color w:val="auto"/>
        </w:rPr>
      </w:pPr>
      <w:r w:rsidRPr="00DC6A13">
        <w:rPr>
          <w:rFonts w:cs="Times New Roman"/>
          <w:noProof/>
          <w:color w:val="auto"/>
        </w:rPr>
        <w:t>9.</w:t>
      </w:r>
      <w:r w:rsidRPr="00DC6A13">
        <w:rPr>
          <w:rFonts w:cs="Times New Roman"/>
          <w:noProof/>
          <w:color w:val="auto"/>
        </w:rPr>
        <w:tab/>
        <w:t xml:space="preserve">Siegel, J. a </w:t>
      </w:r>
      <w:r w:rsidR="00591C54" w:rsidRPr="00591C54">
        <w:rPr>
          <w:rFonts w:cs="Times New Roman"/>
          <w:noProof/>
          <w:color w:val="auto"/>
        </w:rPr>
        <w:t xml:space="preserve">et al. </w:t>
      </w:r>
      <w:r w:rsidRPr="00DC6A13">
        <w:rPr>
          <w:rFonts w:cs="Times New Roman"/>
          <w:noProof/>
          <w:color w:val="auto"/>
        </w:rPr>
        <w:t xml:space="preserve">MIRD pamphlet no. 16: Techniques for quantitative radiopharmaceutical biodistribution data acquisition and analysis for use in human radiation dose estimates. </w:t>
      </w:r>
      <w:r w:rsidRPr="00DC6A13">
        <w:rPr>
          <w:rFonts w:cs="Times New Roman"/>
          <w:i/>
          <w:iCs/>
          <w:noProof/>
          <w:color w:val="auto"/>
        </w:rPr>
        <w:t>Journal of Nuclear Medicine</w:t>
      </w:r>
      <w:r w:rsidRPr="00DC6A13">
        <w:rPr>
          <w:rFonts w:cs="Times New Roman"/>
          <w:noProof/>
          <w:color w:val="auto"/>
        </w:rPr>
        <w:t xml:space="preserve">. </w:t>
      </w:r>
      <w:r w:rsidRPr="00DC6A13">
        <w:rPr>
          <w:rFonts w:cs="Times New Roman"/>
          <w:b/>
          <w:bCs/>
          <w:noProof/>
          <w:color w:val="auto"/>
        </w:rPr>
        <w:t>40</w:t>
      </w:r>
      <w:r w:rsidRPr="00DC6A13">
        <w:rPr>
          <w:rFonts w:cs="Times New Roman"/>
          <w:noProof/>
          <w:color w:val="auto"/>
        </w:rPr>
        <w:t xml:space="preserve"> (2), 37S-61S (1999).</w:t>
      </w:r>
    </w:p>
    <w:p w14:paraId="4F8F2F9F" w14:textId="2D7C546E" w:rsidR="00CD125E" w:rsidRPr="00DC6A13" w:rsidRDefault="00CD125E" w:rsidP="003D144A">
      <w:pPr>
        <w:rPr>
          <w:rFonts w:cs="Times New Roman"/>
          <w:noProof/>
          <w:color w:val="auto"/>
        </w:rPr>
      </w:pPr>
      <w:r w:rsidRPr="00DC6A13">
        <w:rPr>
          <w:rFonts w:cs="Times New Roman"/>
          <w:noProof/>
          <w:color w:val="auto"/>
        </w:rPr>
        <w:t>10.</w:t>
      </w:r>
      <w:r w:rsidRPr="00DC6A13">
        <w:rPr>
          <w:rFonts w:cs="Times New Roman"/>
          <w:noProof/>
          <w:color w:val="auto"/>
        </w:rPr>
        <w:tab/>
        <w:t xml:space="preserve">Valentin, J. Basic anatomical and physiological data for use in radiological protection: reference values. </w:t>
      </w:r>
      <w:r w:rsidRPr="00DC6A13">
        <w:rPr>
          <w:rFonts w:cs="Times New Roman"/>
          <w:i/>
          <w:iCs/>
          <w:noProof/>
          <w:color w:val="auto"/>
        </w:rPr>
        <w:t>Annals of ICRP</w:t>
      </w:r>
      <w:r w:rsidRPr="00DC6A13">
        <w:rPr>
          <w:rFonts w:cs="Times New Roman"/>
          <w:noProof/>
          <w:color w:val="auto"/>
        </w:rPr>
        <w:t xml:space="preserve">. </w:t>
      </w:r>
      <w:r w:rsidRPr="00DC6A13">
        <w:rPr>
          <w:rFonts w:cs="Times New Roman"/>
          <w:b/>
          <w:bCs/>
          <w:noProof/>
          <w:color w:val="auto"/>
        </w:rPr>
        <w:t>32</w:t>
      </w:r>
      <w:r w:rsidRPr="00DC6A13">
        <w:rPr>
          <w:rFonts w:cs="Times New Roman"/>
          <w:noProof/>
          <w:color w:val="auto"/>
        </w:rPr>
        <w:t>, 5–265 (2002).</w:t>
      </w:r>
    </w:p>
    <w:p w14:paraId="4322C146" w14:textId="15BFD395" w:rsidR="00CD125E" w:rsidRPr="00DC6A13" w:rsidRDefault="00CD125E" w:rsidP="003D144A">
      <w:pPr>
        <w:rPr>
          <w:rFonts w:cs="Times New Roman"/>
          <w:noProof/>
          <w:color w:val="auto"/>
        </w:rPr>
      </w:pPr>
      <w:r w:rsidRPr="00DC6A13">
        <w:rPr>
          <w:rFonts w:cs="Times New Roman"/>
          <w:noProof/>
          <w:color w:val="auto"/>
        </w:rPr>
        <w:t>11.</w:t>
      </w:r>
      <w:r w:rsidRPr="00DC6A13">
        <w:rPr>
          <w:rFonts w:cs="Times New Roman"/>
          <w:noProof/>
          <w:color w:val="auto"/>
        </w:rPr>
        <w:tab/>
        <w:t xml:space="preserve">Frey, E.C., Humm, J.L., Ljungberg, M. Accuracy and precision of radioactivity quantification in nuclear medicine images. </w:t>
      </w:r>
      <w:r w:rsidRPr="00DC6A13">
        <w:rPr>
          <w:rFonts w:cs="Times New Roman"/>
          <w:i/>
          <w:iCs/>
          <w:noProof/>
          <w:color w:val="auto"/>
        </w:rPr>
        <w:t>Seminars in Nuclear Medicine</w:t>
      </w:r>
      <w:r w:rsidRPr="00DC6A13">
        <w:rPr>
          <w:rFonts w:cs="Times New Roman"/>
          <w:noProof/>
          <w:color w:val="auto"/>
        </w:rPr>
        <w:t xml:space="preserve">. </w:t>
      </w:r>
      <w:r w:rsidRPr="00DC6A13">
        <w:rPr>
          <w:rFonts w:cs="Times New Roman"/>
          <w:b/>
          <w:bCs/>
          <w:noProof/>
          <w:color w:val="auto"/>
        </w:rPr>
        <w:t>42</w:t>
      </w:r>
      <w:r w:rsidRPr="00DC6A13">
        <w:rPr>
          <w:rFonts w:cs="Times New Roman"/>
          <w:noProof/>
          <w:color w:val="auto"/>
        </w:rPr>
        <w:t xml:space="preserve"> (3), 208–218 (2012).</w:t>
      </w:r>
    </w:p>
    <w:p w14:paraId="275D8474" w14:textId="4496862D" w:rsidR="00CD125E" w:rsidRPr="00DC6A13" w:rsidRDefault="00CD125E" w:rsidP="003D144A">
      <w:pPr>
        <w:rPr>
          <w:noProof/>
          <w:color w:val="auto"/>
        </w:rPr>
      </w:pPr>
      <w:r w:rsidRPr="00DC6A13">
        <w:rPr>
          <w:rFonts w:cs="Times New Roman"/>
          <w:noProof/>
          <w:color w:val="auto"/>
        </w:rPr>
        <w:t>12.</w:t>
      </w:r>
      <w:r w:rsidRPr="00DC6A13">
        <w:rPr>
          <w:rFonts w:cs="Times New Roman"/>
          <w:noProof/>
          <w:color w:val="auto"/>
        </w:rPr>
        <w:tab/>
        <w:t xml:space="preserve">Violet, J.A. </w:t>
      </w:r>
      <w:r w:rsidR="00591C54" w:rsidRPr="00591C54">
        <w:rPr>
          <w:rFonts w:cs="Times New Roman"/>
          <w:noProof/>
          <w:color w:val="auto"/>
        </w:rPr>
        <w:t xml:space="preserve">et al. </w:t>
      </w:r>
      <w:r w:rsidRPr="00DC6A13">
        <w:rPr>
          <w:rFonts w:cs="Times New Roman"/>
          <w:noProof/>
          <w:color w:val="auto"/>
        </w:rPr>
        <w:t xml:space="preserve">Dosimetry of Lu-177 PSMA-617 in metastatic castration-resistant prostate cancer: correlations between pre-therapeutic imaging and “whole body” tumor dosimetry with treatment outcomes. </w:t>
      </w:r>
      <w:r w:rsidRPr="00DC6A13">
        <w:rPr>
          <w:rFonts w:cs="Times New Roman"/>
          <w:i/>
          <w:iCs/>
          <w:noProof/>
          <w:color w:val="auto"/>
        </w:rPr>
        <w:t>Journal of Nuclear Medicine</w:t>
      </w:r>
      <w:r w:rsidRPr="00DC6A13">
        <w:rPr>
          <w:rFonts w:cs="Times New Roman"/>
          <w:noProof/>
          <w:color w:val="auto"/>
        </w:rPr>
        <w:t>. (2018).</w:t>
      </w:r>
    </w:p>
    <w:p w14:paraId="60F0206E" w14:textId="5DA64656" w:rsidR="00B832D1" w:rsidRPr="00DC6A13" w:rsidRDefault="00D042A0">
      <w:pPr>
        <w:rPr>
          <w:b/>
          <w:color w:val="auto"/>
        </w:rPr>
      </w:pPr>
      <w:r w:rsidRPr="00DC6A13">
        <w:rPr>
          <w:color w:val="auto"/>
          <w:lang w:val="it-IT"/>
        </w:rPr>
        <w:fldChar w:fldCharType="end"/>
      </w:r>
    </w:p>
    <w:p w14:paraId="771914BE" w14:textId="77777777" w:rsidR="004045F2" w:rsidRPr="00DC6A13" w:rsidRDefault="004045F2">
      <w:pPr>
        <w:widowControl/>
        <w:autoSpaceDE/>
        <w:autoSpaceDN/>
        <w:adjustRightInd/>
        <w:rPr>
          <w:vanish/>
          <w:color w:val="auto"/>
          <w:specVanish/>
        </w:rPr>
      </w:pPr>
    </w:p>
    <w:sectPr w:rsidR="004045F2" w:rsidRPr="00DC6A13" w:rsidSect="00CE032A">
      <w:headerReference w:type="default" r:id="rId24"/>
      <w:headerReference w:type="first" r:id="rId25"/>
      <w:footerReference w:type="first" r:id="rId2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8F997" w14:textId="77777777" w:rsidR="00E4060C" w:rsidRDefault="00E4060C" w:rsidP="00621C4E">
      <w:r>
        <w:separator/>
      </w:r>
    </w:p>
  </w:endnote>
  <w:endnote w:type="continuationSeparator" w:id="0">
    <w:p w14:paraId="1215C57F" w14:textId="77777777" w:rsidR="00E4060C" w:rsidRDefault="00E4060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1061E" w14:textId="77777777" w:rsidR="00DC6A13" w:rsidRDefault="00DC6A1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FFCF7" w14:textId="77777777" w:rsidR="00E4060C" w:rsidRDefault="00E4060C" w:rsidP="00621C4E">
      <w:r>
        <w:separator/>
      </w:r>
    </w:p>
  </w:footnote>
  <w:footnote w:type="continuationSeparator" w:id="0">
    <w:p w14:paraId="7D9D2EC9" w14:textId="77777777" w:rsidR="00E4060C" w:rsidRDefault="00E4060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79F1D" w14:textId="77777777" w:rsidR="00DC6A13" w:rsidRPr="006F06E4" w:rsidRDefault="00DC6A13"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5500C" w14:textId="77777777" w:rsidR="00DC6A13" w:rsidRPr="006F06E4" w:rsidRDefault="00DC6A1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44DB"/>
    <w:multiLevelType w:val="multilevel"/>
    <w:tmpl w:val="0410001F"/>
    <w:numStyleLink w:val="Stile1"/>
  </w:abstractNum>
  <w:abstractNum w:abstractNumId="1" w15:restartNumberingAfterBreak="0">
    <w:nsid w:val="1AD21E7D"/>
    <w:multiLevelType w:val="multilevel"/>
    <w:tmpl w:val="AA1458F6"/>
    <w:numStyleLink w:val="Stile3"/>
  </w:abstractNum>
  <w:abstractNum w:abstractNumId="2" w15:restartNumberingAfterBreak="0">
    <w:nsid w:val="27842691"/>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917826"/>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FA459A"/>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1646C70"/>
    <w:multiLevelType w:val="multilevel"/>
    <w:tmpl w:val="1302BA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E1714E"/>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445E82"/>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990175"/>
    <w:multiLevelType w:val="multilevel"/>
    <w:tmpl w:val="0410001D"/>
    <w:styleLink w:val="Sti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5030B9A"/>
    <w:multiLevelType w:val="multilevel"/>
    <w:tmpl w:val="C5107F0E"/>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5F7357D"/>
    <w:multiLevelType w:val="multilevel"/>
    <w:tmpl w:val="0410001F"/>
    <w:styleLink w:val="Sti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8B20AB"/>
    <w:multiLevelType w:val="multilevel"/>
    <w:tmpl w:val="AA1458F6"/>
    <w:styleLink w:val="Stile3"/>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652A4003"/>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6465229"/>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DC567AF"/>
    <w:multiLevelType w:val="hybridMultilevel"/>
    <w:tmpl w:val="1302BA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F042BB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2"/>
  </w:num>
  <w:num w:numId="3">
    <w:abstractNumId w:val="14"/>
  </w:num>
  <w:num w:numId="4">
    <w:abstractNumId w:val="6"/>
  </w:num>
  <w:num w:numId="5">
    <w:abstractNumId w:val="0"/>
  </w:num>
  <w:num w:numId="6">
    <w:abstractNumId w:val="10"/>
  </w:num>
  <w:num w:numId="7">
    <w:abstractNumId w:val="8"/>
  </w:num>
  <w:num w:numId="8">
    <w:abstractNumId w:val="9"/>
  </w:num>
  <w:num w:numId="9">
    <w:abstractNumId w:val="1"/>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2520" w:hanging="360"/>
        </w:pPr>
        <w:rPr>
          <w:rFonts w:hint="default"/>
        </w:rPr>
      </w:lvl>
    </w:lvlOverride>
    <w:lvlOverride w:ilvl="4">
      <w:lvl w:ilvl="4">
        <w:start w:val="1"/>
        <w:numFmt w:val="decimal"/>
        <w:lvlText w:val="%1.%2.%3.%4.%5."/>
        <w:lvlJc w:val="left"/>
        <w:pPr>
          <w:ind w:left="3240" w:hanging="360"/>
        </w:pPr>
        <w:rPr>
          <w:rFonts w:hint="default"/>
        </w:rPr>
      </w:lvl>
    </w:lvlOverride>
    <w:lvlOverride w:ilvl="5">
      <w:lvl w:ilvl="5">
        <w:start w:val="1"/>
        <w:numFmt w:val="decimal"/>
        <w:lvlText w:val="%1.%2.%3.%4.%5.%6."/>
        <w:lvlJc w:val="left"/>
        <w:pPr>
          <w:ind w:left="3960" w:hanging="360"/>
        </w:pPr>
        <w:rPr>
          <w:rFonts w:hint="default"/>
        </w:rPr>
      </w:lvl>
    </w:lvlOverride>
    <w:lvlOverride w:ilvl="6">
      <w:lvl w:ilvl="6">
        <w:start w:val="1"/>
        <w:numFmt w:val="decimal"/>
        <w:lvlText w:val="%1.%2.%3.%4.%5.%6.%7."/>
        <w:lvlJc w:val="left"/>
        <w:pPr>
          <w:ind w:left="4680" w:hanging="360"/>
        </w:pPr>
        <w:rPr>
          <w:rFonts w:hint="default"/>
        </w:rPr>
      </w:lvl>
    </w:lvlOverride>
    <w:lvlOverride w:ilvl="7">
      <w:lvl w:ilvl="7">
        <w:start w:val="1"/>
        <w:numFmt w:val="decimal"/>
        <w:lvlText w:val="%1.%2.%3.%4.%5.%6.%7.%8."/>
        <w:lvlJc w:val="left"/>
        <w:pPr>
          <w:ind w:left="5400" w:hanging="360"/>
        </w:pPr>
        <w:rPr>
          <w:rFonts w:hint="default"/>
        </w:rPr>
      </w:lvl>
    </w:lvlOverride>
    <w:lvlOverride w:ilvl="8">
      <w:lvl w:ilvl="8">
        <w:start w:val="1"/>
        <w:numFmt w:val="decimal"/>
        <w:lvlText w:val="%1.%2.%3.%4.%5.%6.%7.%8.%9."/>
        <w:lvlJc w:val="left"/>
        <w:pPr>
          <w:ind w:left="6120" w:hanging="360"/>
        </w:pPr>
        <w:rPr>
          <w:rFonts w:hint="default"/>
        </w:rPr>
      </w:lvl>
    </w:lvlOverride>
  </w:num>
  <w:num w:numId="10">
    <w:abstractNumId w:val="11"/>
  </w:num>
  <w:num w:numId="11">
    <w:abstractNumId w:val="15"/>
  </w:num>
  <w:num w:numId="12">
    <w:abstractNumId w:val="13"/>
  </w:num>
  <w:num w:numId="13">
    <w:abstractNumId w:val="7"/>
  </w:num>
  <w:num w:numId="14">
    <w:abstractNumId w:val="3"/>
  </w:num>
  <w:num w:numId="15">
    <w:abstractNumId w:val="4"/>
  </w:num>
  <w:num w:numId="1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705F"/>
    <w:rsid w:val="0000025A"/>
    <w:rsid w:val="00001169"/>
    <w:rsid w:val="00001806"/>
    <w:rsid w:val="00005815"/>
    <w:rsid w:val="00007DBC"/>
    <w:rsid w:val="00007EA1"/>
    <w:rsid w:val="000100F0"/>
    <w:rsid w:val="00010CEA"/>
    <w:rsid w:val="00012A7E"/>
    <w:rsid w:val="00012FF9"/>
    <w:rsid w:val="000133ED"/>
    <w:rsid w:val="00014314"/>
    <w:rsid w:val="000146CB"/>
    <w:rsid w:val="000171D2"/>
    <w:rsid w:val="00021434"/>
    <w:rsid w:val="00021774"/>
    <w:rsid w:val="00021DF3"/>
    <w:rsid w:val="00023776"/>
    <w:rsid w:val="00023869"/>
    <w:rsid w:val="00023C65"/>
    <w:rsid w:val="00024598"/>
    <w:rsid w:val="000251EF"/>
    <w:rsid w:val="000257A2"/>
    <w:rsid w:val="00030B63"/>
    <w:rsid w:val="00032769"/>
    <w:rsid w:val="00037B58"/>
    <w:rsid w:val="00042114"/>
    <w:rsid w:val="000444B9"/>
    <w:rsid w:val="00046527"/>
    <w:rsid w:val="00050964"/>
    <w:rsid w:val="00051B73"/>
    <w:rsid w:val="00052FD2"/>
    <w:rsid w:val="0005515A"/>
    <w:rsid w:val="00056EF4"/>
    <w:rsid w:val="00060ABE"/>
    <w:rsid w:val="00061A50"/>
    <w:rsid w:val="00061FA1"/>
    <w:rsid w:val="00064104"/>
    <w:rsid w:val="00066025"/>
    <w:rsid w:val="000701D1"/>
    <w:rsid w:val="00070C9F"/>
    <w:rsid w:val="00073503"/>
    <w:rsid w:val="000739E3"/>
    <w:rsid w:val="000748B6"/>
    <w:rsid w:val="00074D2C"/>
    <w:rsid w:val="00075FCE"/>
    <w:rsid w:val="00080A20"/>
    <w:rsid w:val="00081FCA"/>
    <w:rsid w:val="00082209"/>
    <w:rsid w:val="00082796"/>
    <w:rsid w:val="00084D79"/>
    <w:rsid w:val="00086619"/>
    <w:rsid w:val="000866C4"/>
    <w:rsid w:val="00087C0A"/>
    <w:rsid w:val="000901C1"/>
    <w:rsid w:val="00092A3A"/>
    <w:rsid w:val="00093B17"/>
    <w:rsid w:val="00093BC4"/>
    <w:rsid w:val="000949C3"/>
    <w:rsid w:val="00094C5A"/>
    <w:rsid w:val="000968B1"/>
    <w:rsid w:val="00097929"/>
    <w:rsid w:val="000A1E80"/>
    <w:rsid w:val="000A378E"/>
    <w:rsid w:val="000A3B70"/>
    <w:rsid w:val="000A5153"/>
    <w:rsid w:val="000A58BF"/>
    <w:rsid w:val="000B10AE"/>
    <w:rsid w:val="000B113B"/>
    <w:rsid w:val="000B2204"/>
    <w:rsid w:val="000B30BF"/>
    <w:rsid w:val="000B566B"/>
    <w:rsid w:val="000B662E"/>
    <w:rsid w:val="000B6B81"/>
    <w:rsid w:val="000B7294"/>
    <w:rsid w:val="000B75D0"/>
    <w:rsid w:val="000C1CF8"/>
    <w:rsid w:val="000C427C"/>
    <w:rsid w:val="000C49CF"/>
    <w:rsid w:val="000C52E9"/>
    <w:rsid w:val="000C5CDC"/>
    <w:rsid w:val="000C65DC"/>
    <w:rsid w:val="000C66F3"/>
    <w:rsid w:val="000C6900"/>
    <w:rsid w:val="000D06EE"/>
    <w:rsid w:val="000D1401"/>
    <w:rsid w:val="000D31E8"/>
    <w:rsid w:val="000D3469"/>
    <w:rsid w:val="000D3FE6"/>
    <w:rsid w:val="000D4364"/>
    <w:rsid w:val="000D5A61"/>
    <w:rsid w:val="000D6D38"/>
    <w:rsid w:val="000D76E4"/>
    <w:rsid w:val="000E3816"/>
    <w:rsid w:val="000E4F77"/>
    <w:rsid w:val="000E5706"/>
    <w:rsid w:val="000F1839"/>
    <w:rsid w:val="000F1D06"/>
    <w:rsid w:val="000F1ED9"/>
    <w:rsid w:val="000F265C"/>
    <w:rsid w:val="000F3AFA"/>
    <w:rsid w:val="000F427A"/>
    <w:rsid w:val="000F5712"/>
    <w:rsid w:val="000F6611"/>
    <w:rsid w:val="000F6FB3"/>
    <w:rsid w:val="000F7E22"/>
    <w:rsid w:val="001008FF"/>
    <w:rsid w:val="00103B3E"/>
    <w:rsid w:val="001104F3"/>
    <w:rsid w:val="00112EEB"/>
    <w:rsid w:val="001158DA"/>
    <w:rsid w:val="00116E58"/>
    <w:rsid w:val="001214B2"/>
    <w:rsid w:val="0012243F"/>
    <w:rsid w:val="00123E44"/>
    <w:rsid w:val="0012563A"/>
    <w:rsid w:val="00126633"/>
    <w:rsid w:val="00127287"/>
    <w:rsid w:val="001313A7"/>
    <w:rsid w:val="0013276F"/>
    <w:rsid w:val="00133A04"/>
    <w:rsid w:val="0013621E"/>
    <w:rsid w:val="0013642E"/>
    <w:rsid w:val="00142751"/>
    <w:rsid w:val="00143EE3"/>
    <w:rsid w:val="0014598D"/>
    <w:rsid w:val="00152A23"/>
    <w:rsid w:val="00157900"/>
    <w:rsid w:val="00162AAD"/>
    <w:rsid w:val="00162CB7"/>
    <w:rsid w:val="00162CF0"/>
    <w:rsid w:val="00163658"/>
    <w:rsid w:val="0016368D"/>
    <w:rsid w:val="00166171"/>
    <w:rsid w:val="00171E5B"/>
    <w:rsid w:val="00171F94"/>
    <w:rsid w:val="00172482"/>
    <w:rsid w:val="00172990"/>
    <w:rsid w:val="00175D4E"/>
    <w:rsid w:val="0017668A"/>
    <w:rsid w:val="001766FE"/>
    <w:rsid w:val="001771E7"/>
    <w:rsid w:val="00180D93"/>
    <w:rsid w:val="00181454"/>
    <w:rsid w:val="00183447"/>
    <w:rsid w:val="0018344C"/>
    <w:rsid w:val="00185051"/>
    <w:rsid w:val="00190997"/>
    <w:rsid w:val="001911FF"/>
    <w:rsid w:val="00191F6A"/>
    <w:rsid w:val="00192006"/>
    <w:rsid w:val="00193180"/>
    <w:rsid w:val="00195B5F"/>
    <w:rsid w:val="001966C6"/>
    <w:rsid w:val="001A7D29"/>
    <w:rsid w:val="001B0F61"/>
    <w:rsid w:val="001B1519"/>
    <w:rsid w:val="001B2E2D"/>
    <w:rsid w:val="001B2FDA"/>
    <w:rsid w:val="001B3CA8"/>
    <w:rsid w:val="001B5CD2"/>
    <w:rsid w:val="001C0745"/>
    <w:rsid w:val="001C0BEE"/>
    <w:rsid w:val="001C1646"/>
    <w:rsid w:val="001C1E49"/>
    <w:rsid w:val="001C2A98"/>
    <w:rsid w:val="001C4BE1"/>
    <w:rsid w:val="001D3813"/>
    <w:rsid w:val="001D3D7D"/>
    <w:rsid w:val="001D3FFF"/>
    <w:rsid w:val="001D5D97"/>
    <w:rsid w:val="001D625F"/>
    <w:rsid w:val="001D7576"/>
    <w:rsid w:val="001E13B2"/>
    <w:rsid w:val="001E14A0"/>
    <w:rsid w:val="001E3F67"/>
    <w:rsid w:val="001E6C2D"/>
    <w:rsid w:val="001E7376"/>
    <w:rsid w:val="001F225C"/>
    <w:rsid w:val="001F382B"/>
    <w:rsid w:val="001F3C71"/>
    <w:rsid w:val="001F5118"/>
    <w:rsid w:val="001F6D8D"/>
    <w:rsid w:val="0020131E"/>
    <w:rsid w:val="00201C66"/>
    <w:rsid w:val="00201CFA"/>
    <w:rsid w:val="0020220D"/>
    <w:rsid w:val="00202448"/>
    <w:rsid w:val="00202D15"/>
    <w:rsid w:val="0020300E"/>
    <w:rsid w:val="00203B87"/>
    <w:rsid w:val="00212EAE"/>
    <w:rsid w:val="00214BEE"/>
    <w:rsid w:val="00216468"/>
    <w:rsid w:val="0021671D"/>
    <w:rsid w:val="00216C4F"/>
    <w:rsid w:val="002205B8"/>
    <w:rsid w:val="00221DC6"/>
    <w:rsid w:val="00225720"/>
    <w:rsid w:val="002259E5"/>
    <w:rsid w:val="00226140"/>
    <w:rsid w:val="002274F3"/>
    <w:rsid w:val="0023094C"/>
    <w:rsid w:val="00234BE3"/>
    <w:rsid w:val="00235A90"/>
    <w:rsid w:val="00235D0C"/>
    <w:rsid w:val="00236983"/>
    <w:rsid w:val="00241836"/>
    <w:rsid w:val="00241B74"/>
    <w:rsid w:val="00241E48"/>
    <w:rsid w:val="0024214E"/>
    <w:rsid w:val="00242623"/>
    <w:rsid w:val="00244130"/>
    <w:rsid w:val="00250558"/>
    <w:rsid w:val="00252FA5"/>
    <w:rsid w:val="00260652"/>
    <w:rsid w:val="00261F25"/>
    <w:rsid w:val="002648A9"/>
    <w:rsid w:val="0026536F"/>
    <w:rsid w:val="0026553C"/>
    <w:rsid w:val="00267DD5"/>
    <w:rsid w:val="00272F6B"/>
    <w:rsid w:val="00273849"/>
    <w:rsid w:val="00274A0A"/>
    <w:rsid w:val="00277593"/>
    <w:rsid w:val="00277A65"/>
    <w:rsid w:val="00280918"/>
    <w:rsid w:val="00282545"/>
    <w:rsid w:val="00282AF6"/>
    <w:rsid w:val="00287085"/>
    <w:rsid w:val="00290540"/>
    <w:rsid w:val="00290AF9"/>
    <w:rsid w:val="00292209"/>
    <w:rsid w:val="00292FEC"/>
    <w:rsid w:val="002967CF"/>
    <w:rsid w:val="00296E75"/>
    <w:rsid w:val="00297788"/>
    <w:rsid w:val="002A1854"/>
    <w:rsid w:val="002A1A6A"/>
    <w:rsid w:val="002A41E2"/>
    <w:rsid w:val="002A46CB"/>
    <w:rsid w:val="002A484B"/>
    <w:rsid w:val="002A57E7"/>
    <w:rsid w:val="002A64A6"/>
    <w:rsid w:val="002A7294"/>
    <w:rsid w:val="002B152B"/>
    <w:rsid w:val="002B290E"/>
    <w:rsid w:val="002B663E"/>
    <w:rsid w:val="002C07D9"/>
    <w:rsid w:val="002C319C"/>
    <w:rsid w:val="002C47D4"/>
    <w:rsid w:val="002C4E68"/>
    <w:rsid w:val="002C6D82"/>
    <w:rsid w:val="002C7E2B"/>
    <w:rsid w:val="002D044E"/>
    <w:rsid w:val="002D0502"/>
    <w:rsid w:val="002D0F38"/>
    <w:rsid w:val="002D2A81"/>
    <w:rsid w:val="002D3234"/>
    <w:rsid w:val="002D421E"/>
    <w:rsid w:val="002D77E3"/>
    <w:rsid w:val="002E0A8C"/>
    <w:rsid w:val="002E224B"/>
    <w:rsid w:val="002E47B6"/>
    <w:rsid w:val="002E5CC4"/>
    <w:rsid w:val="002E6407"/>
    <w:rsid w:val="002E755B"/>
    <w:rsid w:val="002F0C2C"/>
    <w:rsid w:val="002F0CC7"/>
    <w:rsid w:val="002F2859"/>
    <w:rsid w:val="002F3D86"/>
    <w:rsid w:val="002F3F52"/>
    <w:rsid w:val="002F6E3C"/>
    <w:rsid w:val="0030117D"/>
    <w:rsid w:val="00301345"/>
    <w:rsid w:val="00301F30"/>
    <w:rsid w:val="00302057"/>
    <w:rsid w:val="00303C87"/>
    <w:rsid w:val="00304BF6"/>
    <w:rsid w:val="003057B5"/>
    <w:rsid w:val="00306AF5"/>
    <w:rsid w:val="003108E5"/>
    <w:rsid w:val="003120CB"/>
    <w:rsid w:val="0031480C"/>
    <w:rsid w:val="00320153"/>
    <w:rsid w:val="00320367"/>
    <w:rsid w:val="003218DC"/>
    <w:rsid w:val="00322871"/>
    <w:rsid w:val="0032362C"/>
    <w:rsid w:val="003264A6"/>
    <w:rsid w:val="00326FB3"/>
    <w:rsid w:val="003306E9"/>
    <w:rsid w:val="003315C7"/>
    <w:rsid w:val="003316D4"/>
    <w:rsid w:val="00333822"/>
    <w:rsid w:val="00336715"/>
    <w:rsid w:val="00337DA5"/>
    <w:rsid w:val="003400AE"/>
    <w:rsid w:val="00340DFD"/>
    <w:rsid w:val="0034102C"/>
    <w:rsid w:val="00342851"/>
    <w:rsid w:val="00344954"/>
    <w:rsid w:val="00347C7D"/>
    <w:rsid w:val="0035052D"/>
    <w:rsid w:val="00350CD7"/>
    <w:rsid w:val="0035156C"/>
    <w:rsid w:val="00354C2A"/>
    <w:rsid w:val="00354FF4"/>
    <w:rsid w:val="00360C17"/>
    <w:rsid w:val="003621C6"/>
    <w:rsid w:val="003622B8"/>
    <w:rsid w:val="00366B76"/>
    <w:rsid w:val="00373051"/>
    <w:rsid w:val="00373B8F"/>
    <w:rsid w:val="00376D95"/>
    <w:rsid w:val="00377776"/>
    <w:rsid w:val="003777FB"/>
    <w:rsid w:val="00377FBB"/>
    <w:rsid w:val="003846A8"/>
    <w:rsid w:val="00385140"/>
    <w:rsid w:val="00387103"/>
    <w:rsid w:val="003930FC"/>
    <w:rsid w:val="003942EE"/>
    <w:rsid w:val="003A16FC"/>
    <w:rsid w:val="003A1F43"/>
    <w:rsid w:val="003A2AE5"/>
    <w:rsid w:val="003A3415"/>
    <w:rsid w:val="003A4FCD"/>
    <w:rsid w:val="003A55BE"/>
    <w:rsid w:val="003A5CD4"/>
    <w:rsid w:val="003B04D7"/>
    <w:rsid w:val="003B0944"/>
    <w:rsid w:val="003B1593"/>
    <w:rsid w:val="003B4381"/>
    <w:rsid w:val="003C0498"/>
    <w:rsid w:val="003C1043"/>
    <w:rsid w:val="003C1A30"/>
    <w:rsid w:val="003C1B6C"/>
    <w:rsid w:val="003C2297"/>
    <w:rsid w:val="003C30D4"/>
    <w:rsid w:val="003C56A9"/>
    <w:rsid w:val="003C61F3"/>
    <w:rsid w:val="003C6779"/>
    <w:rsid w:val="003C774B"/>
    <w:rsid w:val="003D0BD3"/>
    <w:rsid w:val="003D144A"/>
    <w:rsid w:val="003D16DD"/>
    <w:rsid w:val="003D1E75"/>
    <w:rsid w:val="003D2998"/>
    <w:rsid w:val="003D2F0A"/>
    <w:rsid w:val="003D3891"/>
    <w:rsid w:val="003D3B8F"/>
    <w:rsid w:val="003D5D30"/>
    <w:rsid w:val="003D5D84"/>
    <w:rsid w:val="003E0099"/>
    <w:rsid w:val="003E0F4F"/>
    <w:rsid w:val="003E18AC"/>
    <w:rsid w:val="003E210B"/>
    <w:rsid w:val="003E2572"/>
    <w:rsid w:val="003E2A12"/>
    <w:rsid w:val="003E3384"/>
    <w:rsid w:val="003E519B"/>
    <w:rsid w:val="003E548E"/>
    <w:rsid w:val="003E5ADA"/>
    <w:rsid w:val="003E6AA1"/>
    <w:rsid w:val="003F059E"/>
    <w:rsid w:val="003F0D7B"/>
    <w:rsid w:val="003F1A05"/>
    <w:rsid w:val="003F36AA"/>
    <w:rsid w:val="003F698F"/>
    <w:rsid w:val="00401227"/>
    <w:rsid w:val="004045F2"/>
    <w:rsid w:val="0040527B"/>
    <w:rsid w:val="00407E4A"/>
    <w:rsid w:val="00410778"/>
    <w:rsid w:val="004148E1"/>
    <w:rsid w:val="00414CFA"/>
    <w:rsid w:val="004155E0"/>
    <w:rsid w:val="00415600"/>
    <w:rsid w:val="00415EBC"/>
    <w:rsid w:val="0041685F"/>
    <w:rsid w:val="00416D55"/>
    <w:rsid w:val="00420BE9"/>
    <w:rsid w:val="00420C4C"/>
    <w:rsid w:val="004221FA"/>
    <w:rsid w:val="00423AD8"/>
    <w:rsid w:val="00424C85"/>
    <w:rsid w:val="004260BD"/>
    <w:rsid w:val="0043012F"/>
    <w:rsid w:val="00430F1F"/>
    <w:rsid w:val="00431705"/>
    <w:rsid w:val="0043198A"/>
    <w:rsid w:val="004321CB"/>
    <w:rsid w:val="004326EA"/>
    <w:rsid w:val="00435B2D"/>
    <w:rsid w:val="0044434C"/>
    <w:rsid w:val="0044456B"/>
    <w:rsid w:val="00446499"/>
    <w:rsid w:val="004464D0"/>
    <w:rsid w:val="00447BD1"/>
    <w:rsid w:val="00447BD8"/>
    <w:rsid w:val="004507F3"/>
    <w:rsid w:val="00450AF4"/>
    <w:rsid w:val="0046715A"/>
    <w:rsid w:val="004671C7"/>
    <w:rsid w:val="004718E3"/>
    <w:rsid w:val="004720D2"/>
    <w:rsid w:val="00472F4D"/>
    <w:rsid w:val="00472F92"/>
    <w:rsid w:val="004730BF"/>
    <w:rsid w:val="0047313D"/>
    <w:rsid w:val="00473938"/>
    <w:rsid w:val="00474DCB"/>
    <w:rsid w:val="0047535C"/>
    <w:rsid w:val="00476A70"/>
    <w:rsid w:val="00481909"/>
    <w:rsid w:val="00485870"/>
    <w:rsid w:val="00485FE8"/>
    <w:rsid w:val="00492EB5"/>
    <w:rsid w:val="00493E1F"/>
    <w:rsid w:val="004944AD"/>
    <w:rsid w:val="00494625"/>
    <w:rsid w:val="00494F77"/>
    <w:rsid w:val="0049766C"/>
    <w:rsid w:val="00497721"/>
    <w:rsid w:val="00497C4D"/>
    <w:rsid w:val="004A002C"/>
    <w:rsid w:val="004A0229"/>
    <w:rsid w:val="004A2B77"/>
    <w:rsid w:val="004A35D2"/>
    <w:rsid w:val="004A71E4"/>
    <w:rsid w:val="004A79AD"/>
    <w:rsid w:val="004B208A"/>
    <w:rsid w:val="004B2F00"/>
    <w:rsid w:val="004B3D54"/>
    <w:rsid w:val="004B6E31"/>
    <w:rsid w:val="004C0031"/>
    <w:rsid w:val="004C1D66"/>
    <w:rsid w:val="004C1F1E"/>
    <w:rsid w:val="004C3046"/>
    <w:rsid w:val="004C31D7"/>
    <w:rsid w:val="004C367E"/>
    <w:rsid w:val="004C4AD2"/>
    <w:rsid w:val="004C535A"/>
    <w:rsid w:val="004C5ECE"/>
    <w:rsid w:val="004D1F21"/>
    <w:rsid w:val="004D59D8"/>
    <w:rsid w:val="004D5DA1"/>
    <w:rsid w:val="004D7F6F"/>
    <w:rsid w:val="004E150F"/>
    <w:rsid w:val="004E1DCA"/>
    <w:rsid w:val="004E23A1"/>
    <w:rsid w:val="004E3489"/>
    <w:rsid w:val="004E358A"/>
    <w:rsid w:val="004E3AFA"/>
    <w:rsid w:val="004E4A3D"/>
    <w:rsid w:val="004E6588"/>
    <w:rsid w:val="004F2062"/>
    <w:rsid w:val="004F775E"/>
    <w:rsid w:val="00500EBF"/>
    <w:rsid w:val="00501391"/>
    <w:rsid w:val="005013AB"/>
    <w:rsid w:val="00502720"/>
    <w:rsid w:val="00502A0A"/>
    <w:rsid w:val="00504C85"/>
    <w:rsid w:val="005062E7"/>
    <w:rsid w:val="00507C50"/>
    <w:rsid w:val="00513094"/>
    <w:rsid w:val="005154AF"/>
    <w:rsid w:val="00517C3A"/>
    <w:rsid w:val="005207FE"/>
    <w:rsid w:val="00522756"/>
    <w:rsid w:val="00523EEB"/>
    <w:rsid w:val="00526834"/>
    <w:rsid w:val="00527BF4"/>
    <w:rsid w:val="005324BE"/>
    <w:rsid w:val="0053319F"/>
    <w:rsid w:val="00534F6C"/>
    <w:rsid w:val="00535994"/>
    <w:rsid w:val="0053646D"/>
    <w:rsid w:val="005366C3"/>
    <w:rsid w:val="005407AD"/>
    <w:rsid w:val="00540AAD"/>
    <w:rsid w:val="005438B8"/>
    <w:rsid w:val="00543EC1"/>
    <w:rsid w:val="00546458"/>
    <w:rsid w:val="00547C0A"/>
    <w:rsid w:val="0055087C"/>
    <w:rsid w:val="0055191D"/>
    <w:rsid w:val="00553413"/>
    <w:rsid w:val="00554ADC"/>
    <w:rsid w:val="00556B0B"/>
    <w:rsid w:val="00560E31"/>
    <w:rsid w:val="00562F17"/>
    <w:rsid w:val="00565B66"/>
    <w:rsid w:val="00581B23"/>
    <w:rsid w:val="0058219C"/>
    <w:rsid w:val="00582B2C"/>
    <w:rsid w:val="005853E6"/>
    <w:rsid w:val="0058707F"/>
    <w:rsid w:val="00590C4D"/>
    <w:rsid w:val="00591C54"/>
    <w:rsid w:val="005931FE"/>
    <w:rsid w:val="005961E4"/>
    <w:rsid w:val="00597F57"/>
    <w:rsid w:val="005A04D4"/>
    <w:rsid w:val="005A2F3B"/>
    <w:rsid w:val="005A4019"/>
    <w:rsid w:val="005A792D"/>
    <w:rsid w:val="005B0072"/>
    <w:rsid w:val="005B0732"/>
    <w:rsid w:val="005B0912"/>
    <w:rsid w:val="005B282F"/>
    <w:rsid w:val="005B38A0"/>
    <w:rsid w:val="005B491C"/>
    <w:rsid w:val="005B4DBF"/>
    <w:rsid w:val="005B5DE2"/>
    <w:rsid w:val="005B674C"/>
    <w:rsid w:val="005B702A"/>
    <w:rsid w:val="005C7561"/>
    <w:rsid w:val="005D1E57"/>
    <w:rsid w:val="005D2A04"/>
    <w:rsid w:val="005D2C94"/>
    <w:rsid w:val="005D2F57"/>
    <w:rsid w:val="005D34F6"/>
    <w:rsid w:val="005D3707"/>
    <w:rsid w:val="005D4F1A"/>
    <w:rsid w:val="005D76A0"/>
    <w:rsid w:val="005E12DB"/>
    <w:rsid w:val="005E1884"/>
    <w:rsid w:val="005E2123"/>
    <w:rsid w:val="005E3F88"/>
    <w:rsid w:val="005E4421"/>
    <w:rsid w:val="005E4EFB"/>
    <w:rsid w:val="005E7643"/>
    <w:rsid w:val="005F2915"/>
    <w:rsid w:val="005F2D0C"/>
    <w:rsid w:val="005F373A"/>
    <w:rsid w:val="005F4F87"/>
    <w:rsid w:val="005F6B0E"/>
    <w:rsid w:val="005F760E"/>
    <w:rsid w:val="005F7A4B"/>
    <w:rsid w:val="005F7B1D"/>
    <w:rsid w:val="00601098"/>
    <w:rsid w:val="00601671"/>
    <w:rsid w:val="0060222A"/>
    <w:rsid w:val="0060256F"/>
    <w:rsid w:val="006029CE"/>
    <w:rsid w:val="00603D16"/>
    <w:rsid w:val="00610C21"/>
    <w:rsid w:val="00611907"/>
    <w:rsid w:val="00611A39"/>
    <w:rsid w:val="00612993"/>
    <w:rsid w:val="00613116"/>
    <w:rsid w:val="006163A0"/>
    <w:rsid w:val="0061666B"/>
    <w:rsid w:val="006202A6"/>
    <w:rsid w:val="0062054B"/>
    <w:rsid w:val="00621C4E"/>
    <w:rsid w:val="00621EDD"/>
    <w:rsid w:val="00622380"/>
    <w:rsid w:val="00623F71"/>
    <w:rsid w:val="006240F6"/>
    <w:rsid w:val="00624EAE"/>
    <w:rsid w:val="00626AD2"/>
    <w:rsid w:val="006305D7"/>
    <w:rsid w:val="00632863"/>
    <w:rsid w:val="00633A01"/>
    <w:rsid w:val="00633B97"/>
    <w:rsid w:val="006341F7"/>
    <w:rsid w:val="006348C6"/>
    <w:rsid w:val="00635014"/>
    <w:rsid w:val="006369CE"/>
    <w:rsid w:val="0064044E"/>
    <w:rsid w:val="006411CA"/>
    <w:rsid w:val="006415AF"/>
    <w:rsid w:val="00642785"/>
    <w:rsid w:val="00643A06"/>
    <w:rsid w:val="0064456A"/>
    <w:rsid w:val="006540DE"/>
    <w:rsid w:val="00654635"/>
    <w:rsid w:val="00654EC6"/>
    <w:rsid w:val="00656867"/>
    <w:rsid w:val="00657E3C"/>
    <w:rsid w:val="00661994"/>
    <w:rsid w:val="006619C8"/>
    <w:rsid w:val="00662D92"/>
    <w:rsid w:val="0066511D"/>
    <w:rsid w:val="00671710"/>
    <w:rsid w:val="00673414"/>
    <w:rsid w:val="006748B9"/>
    <w:rsid w:val="00676079"/>
    <w:rsid w:val="00676ECD"/>
    <w:rsid w:val="00677BE8"/>
    <w:rsid w:val="00677D0A"/>
    <w:rsid w:val="0068185F"/>
    <w:rsid w:val="00682FD8"/>
    <w:rsid w:val="00691B47"/>
    <w:rsid w:val="006958B4"/>
    <w:rsid w:val="00696F8B"/>
    <w:rsid w:val="006A01CF"/>
    <w:rsid w:val="006A60DD"/>
    <w:rsid w:val="006B074C"/>
    <w:rsid w:val="006B3B84"/>
    <w:rsid w:val="006B4E7C"/>
    <w:rsid w:val="006B590F"/>
    <w:rsid w:val="006B5D8C"/>
    <w:rsid w:val="006B72D4"/>
    <w:rsid w:val="006C11CC"/>
    <w:rsid w:val="006C1AEB"/>
    <w:rsid w:val="006C238A"/>
    <w:rsid w:val="006C57FE"/>
    <w:rsid w:val="006C69BC"/>
    <w:rsid w:val="006C7530"/>
    <w:rsid w:val="006C7C5B"/>
    <w:rsid w:val="006D2055"/>
    <w:rsid w:val="006E15B7"/>
    <w:rsid w:val="006E2212"/>
    <w:rsid w:val="006E4B63"/>
    <w:rsid w:val="006F06E4"/>
    <w:rsid w:val="006F360B"/>
    <w:rsid w:val="006F7B41"/>
    <w:rsid w:val="00702B5D"/>
    <w:rsid w:val="00702B6B"/>
    <w:rsid w:val="00702FF5"/>
    <w:rsid w:val="00703C37"/>
    <w:rsid w:val="00703ED2"/>
    <w:rsid w:val="00704C60"/>
    <w:rsid w:val="00707B8D"/>
    <w:rsid w:val="00707D3F"/>
    <w:rsid w:val="007101DE"/>
    <w:rsid w:val="00713636"/>
    <w:rsid w:val="00713C98"/>
    <w:rsid w:val="00714631"/>
    <w:rsid w:val="00714B8C"/>
    <w:rsid w:val="00715AB4"/>
    <w:rsid w:val="0071675D"/>
    <w:rsid w:val="0071777A"/>
    <w:rsid w:val="00717A7F"/>
    <w:rsid w:val="00720DFC"/>
    <w:rsid w:val="00721D89"/>
    <w:rsid w:val="00722C10"/>
    <w:rsid w:val="00725430"/>
    <w:rsid w:val="007258C3"/>
    <w:rsid w:val="0072781A"/>
    <w:rsid w:val="00734A91"/>
    <w:rsid w:val="00735CF5"/>
    <w:rsid w:val="0074063A"/>
    <w:rsid w:val="00740717"/>
    <w:rsid w:val="0074240F"/>
    <w:rsid w:val="00742AA4"/>
    <w:rsid w:val="007430F2"/>
    <w:rsid w:val="00743BA1"/>
    <w:rsid w:val="0074486E"/>
    <w:rsid w:val="00745D24"/>
    <w:rsid w:val="00745F1E"/>
    <w:rsid w:val="007466C5"/>
    <w:rsid w:val="007509D0"/>
    <w:rsid w:val="007515FE"/>
    <w:rsid w:val="007601D0"/>
    <w:rsid w:val="00760B04"/>
    <w:rsid w:val="0076109D"/>
    <w:rsid w:val="007627B5"/>
    <w:rsid w:val="00765C5C"/>
    <w:rsid w:val="00767107"/>
    <w:rsid w:val="00767D5A"/>
    <w:rsid w:val="00771DC3"/>
    <w:rsid w:val="0077370D"/>
    <w:rsid w:val="00773BFD"/>
    <w:rsid w:val="00773EDB"/>
    <w:rsid w:val="007743B3"/>
    <w:rsid w:val="00774490"/>
    <w:rsid w:val="007809C2"/>
    <w:rsid w:val="00780C03"/>
    <w:rsid w:val="007819FF"/>
    <w:rsid w:val="00784A4C"/>
    <w:rsid w:val="00784BC6"/>
    <w:rsid w:val="0078523D"/>
    <w:rsid w:val="00785CBA"/>
    <w:rsid w:val="00787A2C"/>
    <w:rsid w:val="00790EA0"/>
    <w:rsid w:val="007931DF"/>
    <w:rsid w:val="00793A3A"/>
    <w:rsid w:val="0079619E"/>
    <w:rsid w:val="00797ACB"/>
    <w:rsid w:val="007A0172"/>
    <w:rsid w:val="007A2511"/>
    <w:rsid w:val="007A260E"/>
    <w:rsid w:val="007A4D4C"/>
    <w:rsid w:val="007A4DD6"/>
    <w:rsid w:val="007A5A9A"/>
    <w:rsid w:val="007A5CB9"/>
    <w:rsid w:val="007B3F54"/>
    <w:rsid w:val="007B6398"/>
    <w:rsid w:val="007B64CE"/>
    <w:rsid w:val="007B6B07"/>
    <w:rsid w:val="007B6D43"/>
    <w:rsid w:val="007B749A"/>
    <w:rsid w:val="007B7C6E"/>
    <w:rsid w:val="007C0A64"/>
    <w:rsid w:val="007C2D3C"/>
    <w:rsid w:val="007C5F57"/>
    <w:rsid w:val="007D1682"/>
    <w:rsid w:val="007D44D7"/>
    <w:rsid w:val="007D621A"/>
    <w:rsid w:val="007D72D0"/>
    <w:rsid w:val="007D787A"/>
    <w:rsid w:val="007E058A"/>
    <w:rsid w:val="007E1089"/>
    <w:rsid w:val="007E2887"/>
    <w:rsid w:val="007E2E25"/>
    <w:rsid w:val="007E5278"/>
    <w:rsid w:val="007E749C"/>
    <w:rsid w:val="007F1689"/>
    <w:rsid w:val="007F1B5C"/>
    <w:rsid w:val="007F703D"/>
    <w:rsid w:val="007F7BC6"/>
    <w:rsid w:val="007F7E6E"/>
    <w:rsid w:val="00801257"/>
    <w:rsid w:val="00802918"/>
    <w:rsid w:val="0080310C"/>
    <w:rsid w:val="00803B0A"/>
    <w:rsid w:val="00804DED"/>
    <w:rsid w:val="0080578F"/>
    <w:rsid w:val="00805B96"/>
    <w:rsid w:val="008105BE"/>
    <w:rsid w:val="008115A5"/>
    <w:rsid w:val="00811D46"/>
    <w:rsid w:val="0081415D"/>
    <w:rsid w:val="0081619A"/>
    <w:rsid w:val="00820229"/>
    <w:rsid w:val="00820B82"/>
    <w:rsid w:val="00820E5C"/>
    <w:rsid w:val="00821BDA"/>
    <w:rsid w:val="00822448"/>
    <w:rsid w:val="00822ABE"/>
    <w:rsid w:val="008244D1"/>
    <w:rsid w:val="00827F51"/>
    <w:rsid w:val="0083104E"/>
    <w:rsid w:val="00833034"/>
    <w:rsid w:val="00833254"/>
    <w:rsid w:val="008343BE"/>
    <w:rsid w:val="00840394"/>
    <w:rsid w:val="00840FB4"/>
    <w:rsid w:val="008410B2"/>
    <w:rsid w:val="00841379"/>
    <w:rsid w:val="00843BCA"/>
    <w:rsid w:val="008444B1"/>
    <w:rsid w:val="00844772"/>
    <w:rsid w:val="0084561F"/>
    <w:rsid w:val="008500A0"/>
    <w:rsid w:val="00851267"/>
    <w:rsid w:val="00851E29"/>
    <w:rsid w:val="008524E5"/>
    <w:rsid w:val="00852EA3"/>
    <w:rsid w:val="0085351C"/>
    <w:rsid w:val="00853B6D"/>
    <w:rsid w:val="008549CA"/>
    <w:rsid w:val="00855420"/>
    <w:rsid w:val="008556C3"/>
    <w:rsid w:val="0085687C"/>
    <w:rsid w:val="00860B74"/>
    <w:rsid w:val="00870016"/>
    <w:rsid w:val="008706C5"/>
    <w:rsid w:val="00873707"/>
    <w:rsid w:val="00873729"/>
    <w:rsid w:val="00873D55"/>
    <w:rsid w:val="008748C0"/>
    <w:rsid w:val="00874B20"/>
    <w:rsid w:val="00875721"/>
    <w:rsid w:val="00875C4B"/>
    <w:rsid w:val="008763E1"/>
    <w:rsid w:val="0087775C"/>
    <w:rsid w:val="00877EC8"/>
    <w:rsid w:val="00880F36"/>
    <w:rsid w:val="00885530"/>
    <w:rsid w:val="00887673"/>
    <w:rsid w:val="008900F4"/>
    <w:rsid w:val="008910D1"/>
    <w:rsid w:val="0089296C"/>
    <w:rsid w:val="00894D55"/>
    <w:rsid w:val="00896ABD"/>
    <w:rsid w:val="008A3380"/>
    <w:rsid w:val="008A3C95"/>
    <w:rsid w:val="008A3C98"/>
    <w:rsid w:val="008A64DB"/>
    <w:rsid w:val="008A752B"/>
    <w:rsid w:val="008A7A9C"/>
    <w:rsid w:val="008B2B0D"/>
    <w:rsid w:val="008B3F00"/>
    <w:rsid w:val="008B5218"/>
    <w:rsid w:val="008B7102"/>
    <w:rsid w:val="008C1316"/>
    <w:rsid w:val="008C1A7C"/>
    <w:rsid w:val="008C28BF"/>
    <w:rsid w:val="008C2E09"/>
    <w:rsid w:val="008C3B7D"/>
    <w:rsid w:val="008C5FD9"/>
    <w:rsid w:val="008C6B4D"/>
    <w:rsid w:val="008D0F90"/>
    <w:rsid w:val="008D2B1D"/>
    <w:rsid w:val="008D2D2D"/>
    <w:rsid w:val="008D3715"/>
    <w:rsid w:val="008D426F"/>
    <w:rsid w:val="008D5465"/>
    <w:rsid w:val="008D59BE"/>
    <w:rsid w:val="008D5C76"/>
    <w:rsid w:val="008D6624"/>
    <w:rsid w:val="008D7A6D"/>
    <w:rsid w:val="008D7EB7"/>
    <w:rsid w:val="008E1549"/>
    <w:rsid w:val="008E2B0A"/>
    <w:rsid w:val="008E3684"/>
    <w:rsid w:val="008E57F5"/>
    <w:rsid w:val="008E7606"/>
    <w:rsid w:val="008F1DAA"/>
    <w:rsid w:val="008F3EBD"/>
    <w:rsid w:val="008F57C4"/>
    <w:rsid w:val="008F60B2"/>
    <w:rsid w:val="008F64E4"/>
    <w:rsid w:val="008F7C41"/>
    <w:rsid w:val="009031E2"/>
    <w:rsid w:val="00906A8D"/>
    <w:rsid w:val="009114F4"/>
    <w:rsid w:val="0091276C"/>
    <w:rsid w:val="0091396D"/>
    <w:rsid w:val="009165AC"/>
    <w:rsid w:val="0092053F"/>
    <w:rsid w:val="00921A60"/>
    <w:rsid w:val="0092340A"/>
    <w:rsid w:val="00924F9F"/>
    <w:rsid w:val="00930BE7"/>
    <w:rsid w:val="009313D9"/>
    <w:rsid w:val="00935ADE"/>
    <w:rsid w:val="00935B7F"/>
    <w:rsid w:val="00937DED"/>
    <w:rsid w:val="00940BBA"/>
    <w:rsid w:val="00941293"/>
    <w:rsid w:val="009416F2"/>
    <w:rsid w:val="009418D7"/>
    <w:rsid w:val="009429AB"/>
    <w:rsid w:val="00943BFB"/>
    <w:rsid w:val="00946372"/>
    <w:rsid w:val="00947783"/>
    <w:rsid w:val="00950C17"/>
    <w:rsid w:val="00951FAF"/>
    <w:rsid w:val="00954595"/>
    <w:rsid w:val="00954740"/>
    <w:rsid w:val="0096028B"/>
    <w:rsid w:val="009616CB"/>
    <w:rsid w:val="00962228"/>
    <w:rsid w:val="00962959"/>
    <w:rsid w:val="00963ABC"/>
    <w:rsid w:val="00965D21"/>
    <w:rsid w:val="00967197"/>
    <w:rsid w:val="00967764"/>
    <w:rsid w:val="00967C86"/>
    <w:rsid w:val="00970B0E"/>
    <w:rsid w:val="00970BB9"/>
    <w:rsid w:val="0097164E"/>
    <w:rsid w:val="009726EE"/>
    <w:rsid w:val="009745B5"/>
    <w:rsid w:val="00975573"/>
    <w:rsid w:val="00975AF0"/>
    <w:rsid w:val="00976D03"/>
    <w:rsid w:val="009776A6"/>
    <w:rsid w:val="00977B30"/>
    <w:rsid w:val="00980187"/>
    <w:rsid w:val="00982F41"/>
    <w:rsid w:val="00983E97"/>
    <w:rsid w:val="00985090"/>
    <w:rsid w:val="00987710"/>
    <w:rsid w:val="009904AB"/>
    <w:rsid w:val="00993852"/>
    <w:rsid w:val="00994DF4"/>
    <w:rsid w:val="00995688"/>
    <w:rsid w:val="009958A6"/>
    <w:rsid w:val="00996456"/>
    <w:rsid w:val="009A04F5"/>
    <w:rsid w:val="009A15EF"/>
    <w:rsid w:val="009A38A5"/>
    <w:rsid w:val="009A6FDA"/>
    <w:rsid w:val="009B10BF"/>
    <w:rsid w:val="009B118B"/>
    <w:rsid w:val="009B1737"/>
    <w:rsid w:val="009B3D4B"/>
    <w:rsid w:val="009B4B5D"/>
    <w:rsid w:val="009B55DB"/>
    <w:rsid w:val="009B5B99"/>
    <w:rsid w:val="009B6EFC"/>
    <w:rsid w:val="009C2DF8"/>
    <w:rsid w:val="009C31BF"/>
    <w:rsid w:val="009C426C"/>
    <w:rsid w:val="009C461F"/>
    <w:rsid w:val="009C4B75"/>
    <w:rsid w:val="009C68B7"/>
    <w:rsid w:val="009C7462"/>
    <w:rsid w:val="009D0834"/>
    <w:rsid w:val="009D0A1E"/>
    <w:rsid w:val="009D1A4F"/>
    <w:rsid w:val="009D2AE3"/>
    <w:rsid w:val="009D52BC"/>
    <w:rsid w:val="009D57A5"/>
    <w:rsid w:val="009D5E2B"/>
    <w:rsid w:val="009D7D0A"/>
    <w:rsid w:val="009E09D9"/>
    <w:rsid w:val="009E4A08"/>
    <w:rsid w:val="009E5337"/>
    <w:rsid w:val="009E5A71"/>
    <w:rsid w:val="009E645B"/>
    <w:rsid w:val="009F01B1"/>
    <w:rsid w:val="009F0DBB"/>
    <w:rsid w:val="009F2BED"/>
    <w:rsid w:val="009F341A"/>
    <w:rsid w:val="009F3887"/>
    <w:rsid w:val="009F5CC8"/>
    <w:rsid w:val="009F661D"/>
    <w:rsid w:val="009F6947"/>
    <w:rsid w:val="009F732B"/>
    <w:rsid w:val="00A00CFB"/>
    <w:rsid w:val="00A0191E"/>
    <w:rsid w:val="00A01FE0"/>
    <w:rsid w:val="00A04046"/>
    <w:rsid w:val="00A10656"/>
    <w:rsid w:val="00A113C0"/>
    <w:rsid w:val="00A114E6"/>
    <w:rsid w:val="00A12FA6"/>
    <w:rsid w:val="00A1339B"/>
    <w:rsid w:val="00A14ABA"/>
    <w:rsid w:val="00A16744"/>
    <w:rsid w:val="00A176EB"/>
    <w:rsid w:val="00A24CB6"/>
    <w:rsid w:val="00A26CD2"/>
    <w:rsid w:val="00A27667"/>
    <w:rsid w:val="00A32979"/>
    <w:rsid w:val="00A34A67"/>
    <w:rsid w:val="00A3608F"/>
    <w:rsid w:val="00A37462"/>
    <w:rsid w:val="00A4345E"/>
    <w:rsid w:val="00A459E1"/>
    <w:rsid w:val="00A466B4"/>
    <w:rsid w:val="00A50A4D"/>
    <w:rsid w:val="00A50DB3"/>
    <w:rsid w:val="00A52136"/>
    <w:rsid w:val="00A52296"/>
    <w:rsid w:val="00A531D5"/>
    <w:rsid w:val="00A53906"/>
    <w:rsid w:val="00A55661"/>
    <w:rsid w:val="00A61B70"/>
    <w:rsid w:val="00A61FA8"/>
    <w:rsid w:val="00A637F4"/>
    <w:rsid w:val="00A65485"/>
    <w:rsid w:val="00A6617A"/>
    <w:rsid w:val="00A66E05"/>
    <w:rsid w:val="00A70753"/>
    <w:rsid w:val="00A712D2"/>
    <w:rsid w:val="00A72E84"/>
    <w:rsid w:val="00A7340F"/>
    <w:rsid w:val="00A7717F"/>
    <w:rsid w:val="00A77311"/>
    <w:rsid w:val="00A82C8A"/>
    <w:rsid w:val="00A8346B"/>
    <w:rsid w:val="00A8434E"/>
    <w:rsid w:val="00A8488C"/>
    <w:rsid w:val="00A852FF"/>
    <w:rsid w:val="00A87337"/>
    <w:rsid w:val="00A87D9C"/>
    <w:rsid w:val="00A90C97"/>
    <w:rsid w:val="00A9570C"/>
    <w:rsid w:val="00A960C8"/>
    <w:rsid w:val="00A96604"/>
    <w:rsid w:val="00AA03DF"/>
    <w:rsid w:val="00AA1B4F"/>
    <w:rsid w:val="00AA21D8"/>
    <w:rsid w:val="00AA3F3A"/>
    <w:rsid w:val="00AA54F3"/>
    <w:rsid w:val="00AA57BC"/>
    <w:rsid w:val="00AA6B43"/>
    <w:rsid w:val="00AA789E"/>
    <w:rsid w:val="00AA7D49"/>
    <w:rsid w:val="00AB3083"/>
    <w:rsid w:val="00AB367A"/>
    <w:rsid w:val="00AC01D1"/>
    <w:rsid w:val="00AC05C8"/>
    <w:rsid w:val="00AC0781"/>
    <w:rsid w:val="00AC52A5"/>
    <w:rsid w:val="00AC5D63"/>
    <w:rsid w:val="00AC6499"/>
    <w:rsid w:val="00AC6EFD"/>
    <w:rsid w:val="00AC7151"/>
    <w:rsid w:val="00AD011B"/>
    <w:rsid w:val="00AD07F3"/>
    <w:rsid w:val="00AD2C36"/>
    <w:rsid w:val="00AD460A"/>
    <w:rsid w:val="00AD523E"/>
    <w:rsid w:val="00AD6A05"/>
    <w:rsid w:val="00AE1098"/>
    <w:rsid w:val="00AE272B"/>
    <w:rsid w:val="00AE3E3A"/>
    <w:rsid w:val="00AE43CD"/>
    <w:rsid w:val="00AE47EE"/>
    <w:rsid w:val="00AE4F9D"/>
    <w:rsid w:val="00AE77B4"/>
    <w:rsid w:val="00AE7C1A"/>
    <w:rsid w:val="00AE7DDD"/>
    <w:rsid w:val="00AE7DF8"/>
    <w:rsid w:val="00AF0D9C"/>
    <w:rsid w:val="00AF11B4"/>
    <w:rsid w:val="00AF13AB"/>
    <w:rsid w:val="00AF1539"/>
    <w:rsid w:val="00AF1D36"/>
    <w:rsid w:val="00AF280B"/>
    <w:rsid w:val="00AF41FB"/>
    <w:rsid w:val="00AF4711"/>
    <w:rsid w:val="00AF5F75"/>
    <w:rsid w:val="00AF6001"/>
    <w:rsid w:val="00B01A16"/>
    <w:rsid w:val="00B07943"/>
    <w:rsid w:val="00B07F45"/>
    <w:rsid w:val="00B1021A"/>
    <w:rsid w:val="00B1481A"/>
    <w:rsid w:val="00B1517C"/>
    <w:rsid w:val="00B15A1F"/>
    <w:rsid w:val="00B15AB1"/>
    <w:rsid w:val="00B15FE9"/>
    <w:rsid w:val="00B17503"/>
    <w:rsid w:val="00B20C2C"/>
    <w:rsid w:val="00B2148A"/>
    <w:rsid w:val="00B220C2"/>
    <w:rsid w:val="00B244B3"/>
    <w:rsid w:val="00B25B32"/>
    <w:rsid w:val="00B25E7E"/>
    <w:rsid w:val="00B30BA6"/>
    <w:rsid w:val="00B32616"/>
    <w:rsid w:val="00B35A2D"/>
    <w:rsid w:val="00B36C42"/>
    <w:rsid w:val="00B37F7A"/>
    <w:rsid w:val="00B4231A"/>
    <w:rsid w:val="00B42724"/>
    <w:rsid w:val="00B42EA7"/>
    <w:rsid w:val="00B4397A"/>
    <w:rsid w:val="00B44FF5"/>
    <w:rsid w:val="00B45688"/>
    <w:rsid w:val="00B5337C"/>
    <w:rsid w:val="00B53FDE"/>
    <w:rsid w:val="00B56096"/>
    <w:rsid w:val="00B56397"/>
    <w:rsid w:val="00B5687E"/>
    <w:rsid w:val="00B6027B"/>
    <w:rsid w:val="00B608F4"/>
    <w:rsid w:val="00B65EDB"/>
    <w:rsid w:val="00B67AFF"/>
    <w:rsid w:val="00B70B59"/>
    <w:rsid w:val="00B73657"/>
    <w:rsid w:val="00B74620"/>
    <w:rsid w:val="00B76349"/>
    <w:rsid w:val="00B832D1"/>
    <w:rsid w:val="00B85D88"/>
    <w:rsid w:val="00BA1735"/>
    <w:rsid w:val="00BA19FA"/>
    <w:rsid w:val="00BA24E8"/>
    <w:rsid w:val="00BA4288"/>
    <w:rsid w:val="00BA4BF4"/>
    <w:rsid w:val="00BA65F3"/>
    <w:rsid w:val="00BB48E5"/>
    <w:rsid w:val="00BB5607"/>
    <w:rsid w:val="00BB5ACA"/>
    <w:rsid w:val="00BB627F"/>
    <w:rsid w:val="00BC344F"/>
    <w:rsid w:val="00BC3823"/>
    <w:rsid w:val="00BC5841"/>
    <w:rsid w:val="00BD0F92"/>
    <w:rsid w:val="00BD17FD"/>
    <w:rsid w:val="00BD1C09"/>
    <w:rsid w:val="00BD374C"/>
    <w:rsid w:val="00BD43B7"/>
    <w:rsid w:val="00BD51D4"/>
    <w:rsid w:val="00BD5EE2"/>
    <w:rsid w:val="00BD60B4"/>
    <w:rsid w:val="00BD796B"/>
    <w:rsid w:val="00BE40C0"/>
    <w:rsid w:val="00BE47F1"/>
    <w:rsid w:val="00BE5F4A"/>
    <w:rsid w:val="00BE7AEF"/>
    <w:rsid w:val="00BF09B0"/>
    <w:rsid w:val="00BF1544"/>
    <w:rsid w:val="00BF1B53"/>
    <w:rsid w:val="00BF1BF2"/>
    <w:rsid w:val="00BF246D"/>
    <w:rsid w:val="00BF3EEF"/>
    <w:rsid w:val="00C0435B"/>
    <w:rsid w:val="00C06BC6"/>
    <w:rsid w:val="00C06F06"/>
    <w:rsid w:val="00C143C3"/>
    <w:rsid w:val="00C149DF"/>
    <w:rsid w:val="00C205D2"/>
    <w:rsid w:val="00C20FAD"/>
    <w:rsid w:val="00C22EC2"/>
    <w:rsid w:val="00C2375F"/>
    <w:rsid w:val="00C246B4"/>
    <w:rsid w:val="00C247CB"/>
    <w:rsid w:val="00C258FD"/>
    <w:rsid w:val="00C27655"/>
    <w:rsid w:val="00C27C0D"/>
    <w:rsid w:val="00C32E66"/>
    <w:rsid w:val="00C3325F"/>
    <w:rsid w:val="00C3355F"/>
    <w:rsid w:val="00C34BBE"/>
    <w:rsid w:val="00C3569A"/>
    <w:rsid w:val="00C43F48"/>
    <w:rsid w:val="00C448FF"/>
    <w:rsid w:val="00C45D84"/>
    <w:rsid w:val="00C45E57"/>
    <w:rsid w:val="00C45F6E"/>
    <w:rsid w:val="00C527B3"/>
    <w:rsid w:val="00C52F29"/>
    <w:rsid w:val="00C54722"/>
    <w:rsid w:val="00C55BD5"/>
    <w:rsid w:val="00C56CE6"/>
    <w:rsid w:val="00C5745F"/>
    <w:rsid w:val="00C60005"/>
    <w:rsid w:val="00C61A98"/>
    <w:rsid w:val="00C61F49"/>
    <w:rsid w:val="00C62087"/>
    <w:rsid w:val="00C63201"/>
    <w:rsid w:val="00C64E62"/>
    <w:rsid w:val="00C651D5"/>
    <w:rsid w:val="00C65CCC"/>
    <w:rsid w:val="00C749AF"/>
    <w:rsid w:val="00C7618F"/>
    <w:rsid w:val="00C765A9"/>
    <w:rsid w:val="00C8162D"/>
    <w:rsid w:val="00C824B1"/>
    <w:rsid w:val="00C83A0B"/>
    <w:rsid w:val="00C842D0"/>
    <w:rsid w:val="00C84ED1"/>
    <w:rsid w:val="00C9038F"/>
    <w:rsid w:val="00C9074B"/>
    <w:rsid w:val="00C91655"/>
    <w:rsid w:val="00C92552"/>
    <w:rsid w:val="00C926B7"/>
    <w:rsid w:val="00C92AAB"/>
    <w:rsid w:val="00C92F06"/>
    <w:rsid w:val="00C95290"/>
    <w:rsid w:val="00C95861"/>
    <w:rsid w:val="00C95E9F"/>
    <w:rsid w:val="00C97404"/>
    <w:rsid w:val="00CA09CF"/>
    <w:rsid w:val="00CA2435"/>
    <w:rsid w:val="00CA4068"/>
    <w:rsid w:val="00CB01F7"/>
    <w:rsid w:val="00CB37F8"/>
    <w:rsid w:val="00CB6BA6"/>
    <w:rsid w:val="00CB7DC3"/>
    <w:rsid w:val="00CC00E7"/>
    <w:rsid w:val="00CC3639"/>
    <w:rsid w:val="00CC5501"/>
    <w:rsid w:val="00CD006E"/>
    <w:rsid w:val="00CD0E2F"/>
    <w:rsid w:val="00CD125E"/>
    <w:rsid w:val="00CD1373"/>
    <w:rsid w:val="00CD1D49"/>
    <w:rsid w:val="00CD2F20"/>
    <w:rsid w:val="00CD46B2"/>
    <w:rsid w:val="00CD6B20"/>
    <w:rsid w:val="00CE0271"/>
    <w:rsid w:val="00CE032A"/>
    <w:rsid w:val="00CE1339"/>
    <w:rsid w:val="00CE13C1"/>
    <w:rsid w:val="00CE61CC"/>
    <w:rsid w:val="00CE6E42"/>
    <w:rsid w:val="00CF1282"/>
    <w:rsid w:val="00CF20B7"/>
    <w:rsid w:val="00CF5AFE"/>
    <w:rsid w:val="00CF5D8E"/>
    <w:rsid w:val="00CF6692"/>
    <w:rsid w:val="00CF7441"/>
    <w:rsid w:val="00D00D16"/>
    <w:rsid w:val="00D01272"/>
    <w:rsid w:val="00D0392D"/>
    <w:rsid w:val="00D03C6C"/>
    <w:rsid w:val="00D042A0"/>
    <w:rsid w:val="00D04760"/>
    <w:rsid w:val="00D04A95"/>
    <w:rsid w:val="00D05A61"/>
    <w:rsid w:val="00D06288"/>
    <w:rsid w:val="00D068C7"/>
    <w:rsid w:val="00D07429"/>
    <w:rsid w:val="00D128A4"/>
    <w:rsid w:val="00D148EC"/>
    <w:rsid w:val="00D15131"/>
    <w:rsid w:val="00D16FA2"/>
    <w:rsid w:val="00D20954"/>
    <w:rsid w:val="00D21C39"/>
    <w:rsid w:val="00D21FC6"/>
    <w:rsid w:val="00D2243A"/>
    <w:rsid w:val="00D2314A"/>
    <w:rsid w:val="00D31C9D"/>
    <w:rsid w:val="00D33393"/>
    <w:rsid w:val="00D33D36"/>
    <w:rsid w:val="00D34D94"/>
    <w:rsid w:val="00D371A1"/>
    <w:rsid w:val="00D409E2"/>
    <w:rsid w:val="00D427D7"/>
    <w:rsid w:val="00D43678"/>
    <w:rsid w:val="00D44E62"/>
    <w:rsid w:val="00D45CA0"/>
    <w:rsid w:val="00D46C4F"/>
    <w:rsid w:val="00D478C5"/>
    <w:rsid w:val="00D47C55"/>
    <w:rsid w:val="00D51570"/>
    <w:rsid w:val="00D55455"/>
    <w:rsid w:val="00D556AD"/>
    <w:rsid w:val="00D60381"/>
    <w:rsid w:val="00D616DE"/>
    <w:rsid w:val="00D62201"/>
    <w:rsid w:val="00D626FF"/>
    <w:rsid w:val="00D6498C"/>
    <w:rsid w:val="00D651D1"/>
    <w:rsid w:val="00D717BB"/>
    <w:rsid w:val="00D7226B"/>
    <w:rsid w:val="00D72707"/>
    <w:rsid w:val="00D75A9C"/>
    <w:rsid w:val="00D90871"/>
    <w:rsid w:val="00D9155F"/>
    <w:rsid w:val="00D9214C"/>
    <w:rsid w:val="00D94033"/>
    <w:rsid w:val="00D9403F"/>
    <w:rsid w:val="00D94B77"/>
    <w:rsid w:val="00D959B4"/>
    <w:rsid w:val="00D95E14"/>
    <w:rsid w:val="00DA44DE"/>
    <w:rsid w:val="00DA4592"/>
    <w:rsid w:val="00DA4A50"/>
    <w:rsid w:val="00DA5135"/>
    <w:rsid w:val="00DA78A9"/>
    <w:rsid w:val="00DB1C8B"/>
    <w:rsid w:val="00DB4676"/>
    <w:rsid w:val="00DB620A"/>
    <w:rsid w:val="00DC06BF"/>
    <w:rsid w:val="00DC0910"/>
    <w:rsid w:val="00DC3832"/>
    <w:rsid w:val="00DC3DE6"/>
    <w:rsid w:val="00DC48C0"/>
    <w:rsid w:val="00DC6A13"/>
    <w:rsid w:val="00DC7A51"/>
    <w:rsid w:val="00DD2B9F"/>
    <w:rsid w:val="00DD3B1E"/>
    <w:rsid w:val="00DD6478"/>
    <w:rsid w:val="00DE0C17"/>
    <w:rsid w:val="00DE46B1"/>
    <w:rsid w:val="00DE5B5F"/>
    <w:rsid w:val="00DE5F25"/>
    <w:rsid w:val="00DF3CA0"/>
    <w:rsid w:val="00DF40D3"/>
    <w:rsid w:val="00DF4EB3"/>
    <w:rsid w:val="00DF67B3"/>
    <w:rsid w:val="00E00696"/>
    <w:rsid w:val="00E01F35"/>
    <w:rsid w:val="00E03651"/>
    <w:rsid w:val="00E03808"/>
    <w:rsid w:val="00E03D1E"/>
    <w:rsid w:val="00E060C2"/>
    <w:rsid w:val="00E06324"/>
    <w:rsid w:val="00E10B5A"/>
    <w:rsid w:val="00E12FB0"/>
    <w:rsid w:val="00E14814"/>
    <w:rsid w:val="00E1591B"/>
    <w:rsid w:val="00E16A50"/>
    <w:rsid w:val="00E213A0"/>
    <w:rsid w:val="00E249D5"/>
    <w:rsid w:val="00E24D81"/>
    <w:rsid w:val="00E26F73"/>
    <w:rsid w:val="00E3147E"/>
    <w:rsid w:val="00E33C68"/>
    <w:rsid w:val="00E34EEB"/>
    <w:rsid w:val="00E35246"/>
    <w:rsid w:val="00E3641C"/>
    <w:rsid w:val="00E3687C"/>
    <w:rsid w:val="00E36DA0"/>
    <w:rsid w:val="00E4060C"/>
    <w:rsid w:val="00E44707"/>
    <w:rsid w:val="00E44EB9"/>
    <w:rsid w:val="00E45419"/>
    <w:rsid w:val="00E46358"/>
    <w:rsid w:val="00E471DC"/>
    <w:rsid w:val="00E50EB4"/>
    <w:rsid w:val="00E532FC"/>
    <w:rsid w:val="00E53A02"/>
    <w:rsid w:val="00E559B4"/>
    <w:rsid w:val="00E55BB0"/>
    <w:rsid w:val="00E56F0F"/>
    <w:rsid w:val="00E5771A"/>
    <w:rsid w:val="00E609E5"/>
    <w:rsid w:val="00E60F27"/>
    <w:rsid w:val="00E61941"/>
    <w:rsid w:val="00E64D93"/>
    <w:rsid w:val="00E6518E"/>
    <w:rsid w:val="00E65EDB"/>
    <w:rsid w:val="00E66927"/>
    <w:rsid w:val="00E66F7F"/>
    <w:rsid w:val="00E677B8"/>
    <w:rsid w:val="00E67FA1"/>
    <w:rsid w:val="00E7276D"/>
    <w:rsid w:val="00E7387D"/>
    <w:rsid w:val="00E73D53"/>
    <w:rsid w:val="00E74F9F"/>
    <w:rsid w:val="00E75111"/>
    <w:rsid w:val="00E77296"/>
    <w:rsid w:val="00E805A0"/>
    <w:rsid w:val="00E826D6"/>
    <w:rsid w:val="00E82EB7"/>
    <w:rsid w:val="00E83CA1"/>
    <w:rsid w:val="00E86DA7"/>
    <w:rsid w:val="00E9047F"/>
    <w:rsid w:val="00E93763"/>
    <w:rsid w:val="00E93BC7"/>
    <w:rsid w:val="00E96C4C"/>
    <w:rsid w:val="00EA2AAE"/>
    <w:rsid w:val="00EA2EC0"/>
    <w:rsid w:val="00EA3B1F"/>
    <w:rsid w:val="00EA427A"/>
    <w:rsid w:val="00EA723B"/>
    <w:rsid w:val="00EB0DB7"/>
    <w:rsid w:val="00EB1548"/>
    <w:rsid w:val="00EB39B7"/>
    <w:rsid w:val="00EB6350"/>
    <w:rsid w:val="00EB687A"/>
    <w:rsid w:val="00EC0F56"/>
    <w:rsid w:val="00EC2F62"/>
    <w:rsid w:val="00EC622B"/>
    <w:rsid w:val="00EC62EB"/>
    <w:rsid w:val="00EC6E9F"/>
    <w:rsid w:val="00ED0947"/>
    <w:rsid w:val="00ED35AF"/>
    <w:rsid w:val="00ED44F0"/>
    <w:rsid w:val="00ED49F1"/>
    <w:rsid w:val="00ED4B33"/>
    <w:rsid w:val="00ED4C23"/>
    <w:rsid w:val="00ED733C"/>
    <w:rsid w:val="00ED7DD6"/>
    <w:rsid w:val="00EE060B"/>
    <w:rsid w:val="00EE0741"/>
    <w:rsid w:val="00EE12DC"/>
    <w:rsid w:val="00EE15A1"/>
    <w:rsid w:val="00EE1864"/>
    <w:rsid w:val="00EE2A7C"/>
    <w:rsid w:val="00EE2C42"/>
    <w:rsid w:val="00EE2EAF"/>
    <w:rsid w:val="00EE341B"/>
    <w:rsid w:val="00EE39C4"/>
    <w:rsid w:val="00EE4453"/>
    <w:rsid w:val="00EE49E4"/>
    <w:rsid w:val="00EE5FCE"/>
    <w:rsid w:val="00EE6473"/>
    <w:rsid w:val="00EE6BBD"/>
    <w:rsid w:val="00EE6E1E"/>
    <w:rsid w:val="00EE705F"/>
    <w:rsid w:val="00EF1462"/>
    <w:rsid w:val="00EF2B6A"/>
    <w:rsid w:val="00EF54FD"/>
    <w:rsid w:val="00EF7701"/>
    <w:rsid w:val="00F023CF"/>
    <w:rsid w:val="00F02D92"/>
    <w:rsid w:val="00F02DD8"/>
    <w:rsid w:val="00F03BA6"/>
    <w:rsid w:val="00F13112"/>
    <w:rsid w:val="00F13DC3"/>
    <w:rsid w:val="00F16FE6"/>
    <w:rsid w:val="00F23433"/>
    <w:rsid w:val="00F238BD"/>
    <w:rsid w:val="00F244F7"/>
    <w:rsid w:val="00F24992"/>
    <w:rsid w:val="00F30FF7"/>
    <w:rsid w:val="00F32F2F"/>
    <w:rsid w:val="00F33F3F"/>
    <w:rsid w:val="00F35BDD"/>
    <w:rsid w:val="00F403FD"/>
    <w:rsid w:val="00F410FD"/>
    <w:rsid w:val="00F41911"/>
    <w:rsid w:val="00F41E72"/>
    <w:rsid w:val="00F42B30"/>
    <w:rsid w:val="00F42EF1"/>
    <w:rsid w:val="00F44C84"/>
    <w:rsid w:val="00F457FA"/>
    <w:rsid w:val="00F45BDF"/>
    <w:rsid w:val="00F45F3B"/>
    <w:rsid w:val="00F50300"/>
    <w:rsid w:val="00F56B8F"/>
    <w:rsid w:val="00F56E39"/>
    <w:rsid w:val="00F602B9"/>
    <w:rsid w:val="00F623E9"/>
    <w:rsid w:val="00F63951"/>
    <w:rsid w:val="00F63C11"/>
    <w:rsid w:val="00F63C86"/>
    <w:rsid w:val="00F67DAC"/>
    <w:rsid w:val="00F766BE"/>
    <w:rsid w:val="00F77EB9"/>
    <w:rsid w:val="00F80635"/>
    <w:rsid w:val="00F80DA3"/>
    <w:rsid w:val="00F815D1"/>
    <w:rsid w:val="00F81E7E"/>
    <w:rsid w:val="00F81F0F"/>
    <w:rsid w:val="00F825F4"/>
    <w:rsid w:val="00F83203"/>
    <w:rsid w:val="00F84748"/>
    <w:rsid w:val="00F8682A"/>
    <w:rsid w:val="00F877EB"/>
    <w:rsid w:val="00F92AA1"/>
    <w:rsid w:val="00F932DE"/>
    <w:rsid w:val="00F94673"/>
    <w:rsid w:val="00F95B1A"/>
    <w:rsid w:val="00F963DD"/>
    <w:rsid w:val="00F9641A"/>
    <w:rsid w:val="00F97004"/>
    <w:rsid w:val="00FA2045"/>
    <w:rsid w:val="00FA2367"/>
    <w:rsid w:val="00FA76C6"/>
    <w:rsid w:val="00FA7A66"/>
    <w:rsid w:val="00FB1AA9"/>
    <w:rsid w:val="00FB4B5A"/>
    <w:rsid w:val="00FB520E"/>
    <w:rsid w:val="00FB5963"/>
    <w:rsid w:val="00FB5DAA"/>
    <w:rsid w:val="00FB7830"/>
    <w:rsid w:val="00FC04B9"/>
    <w:rsid w:val="00FC0F7C"/>
    <w:rsid w:val="00FC161A"/>
    <w:rsid w:val="00FC175A"/>
    <w:rsid w:val="00FC23D5"/>
    <w:rsid w:val="00FC37EF"/>
    <w:rsid w:val="00FC4767"/>
    <w:rsid w:val="00FC4C1A"/>
    <w:rsid w:val="00FC6468"/>
    <w:rsid w:val="00FC6D49"/>
    <w:rsid w:val="00FD137E"/>
    <w:rsid w:val="00FD4922"/>
    <w:rsid w:val="00FD6461"/>
    <w:rsid w:val="00FD7B62"/>
    <w:rsid w:val="00FE0281"/>
    <w:rsid w:val="00FE20C8"/>
    <w:rsid w:val="00FE6799"/>
    <w:rsid w:val="00FE7083"/>
    <w:rsid w:val="00FE742E"/>
    <w:rsid w:val="00FF019F"/>
    <w:rsid w:val="00FF0CA2"/>
    <w:rsid w:val="00FF1B2A"/>
    <w:rsid w:val="00FF30DE"/>
    <w:rsid w:val="00FF3C8A"/>
    <w:rsid w:val="00FF49DA"/>
    <w:rsid w:val="00FF644B"/>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CD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MDPI13authornames">
    <w:name w:val="MDPI_1.3_authornames"/>
    <w:basedOn w:val="Normal"/>
    <w:next w:val="Normal"/>
    <w:qFormat/>
    <w:rsid w:val="00967197"/>
    <w:pPr>
      <w:widowControl/>
      <w:autoSpaceDE/>
      <w:autoSpaceDN/>
      <w:snapToGrid w:val="0"/>
      <w:spacing w:after="120" w:line="260" w:lineRule="atLeast"/>
      <w:jc w:val="left"/>
    </w:pPr>
    <w:rPr>
      <w:rFonts w:ascii="Palatino Linotype" w:hAnsi="Palatino Linotype" w:cs="Times New Roman"/>
      <w:b/>
      <w:sz w:val="20"/>
      <w:szCs w:val="22"/>
      <w:lang w:eastAsia="de-DE" w:bidi="en-US"/>
    </w:rPr>
  </w:style>
  <w:style w:type="paragraph" w:customStyle="1" w:styleId="MDPI16affiliation">
    <w:name w:val="MDPI_1.6_affiliation"/>
    <w:basedOn w:val="Normal"/>
    <w:qFormat/>
    <w:rsid w:val="00E86DA7"/>
    <w:pPr>
      <w:widowControl/>
      <w:autoSpaceDE/>
      <w:autoSpaceDN/>
      <w:snapToGrid w:val="0"/>
      <w:spacing w:line="200" w:lineRule="atLeast"/>
      <w:ind w:left="311" w:hanging="198"/>
      <w:jc w:val="left"/>
    </w:pPr>
    <w:rPr>
      <w:rFonts w:ascii="Palatino Linotype" w:hAnsi="Palatino Linotype" w:cs="Times New Roman"/>
      <w:sz w:val="18"/>
      <w:szCs w:val="18"/>
      <w:lang w:eastAsia="de-DE" w:bidi="en-US"/>
    </w:rPr>
  </w:style>
  <w:style w:type="character" w:styleId="PlaceholderText">
    <w:name w:val="Placeholder Text"/>
    <w:basedOn w:val="DefaultParagraphFont"/>
    <w:uiPriority w:val="99"/>
    <w:semiHidden/>
    <w:rsid w:val="00FD7B62"/>
    <w:rPr>
      <w:color w:val="808080"/>
    </w:rPr>
  </w:style>
  <w:style w:type="paragraph" w:customStyle="1" w:styleId="MDPI31text">
    <w:name w:val="MDPI_3.1_text"/>
    <w:qFormat/>
    <w:rsid w:val="004D7F6F"/>
    <w:pPr>
      <w:adjustRightInd w:val="0"/>
      <w:snapToGrid w:val="0"/>
      <w:spacing w:line="260" w:lineRule="atLeast"/>
      <w:ind w:firstLine="425"/>
      <w:jc w:val="both"/>
    </w:pPr>
    <w:rPr>
      <w:rFonts w:ascii="Palatino Linotype" w:hAnsi="Palatino Linotype"/>
      <w:snapToGrid w:val="0"/>
      <w:color w:val="000000"/>
      <w:szCs w:val="22"/>
      <w:lang w:eastAsia="de-DE" w:bidi="en-US"/>
    </w:rPr>
  </w:style>
  <w:style w:type="paragraph" w:customStyle="1" w:styleId="MDPI41tablecaption">
    <w:name w:val="MDPI_4.1_table_caption"/>
    <w:basedOn w:val="Normal"/>
    <w:qFormat/>
    <w:rsid w:val="00B4231A"/>
    <w:pPr>
      <w:widowControl/>
      <w:autoSpaceDE/>
      <w:autoSpaceDN/>
      <w:snapToGrid w:val="0"/>
      <w:spacing w:before="240" w:after="120" w:line="260" w:lineRule="atLeast"/>
      <w:ind w:left="425" w:right="425"/>
    </w:pPr>
    <w:rPr>
      <w:rFonts w:ascii="Palatino Linotype" w:hAnsi="Palatino Linotype" w:cs="Times New Roman"/>
      <w:sz w:val="18"/>
      <w:szCs w:val="22"/>
      <w:lang w:eastAsia="de-DE" w:bidi="en-US"/>
    </w:rPr>
  </w:style>
  <w:style w:type="paragraph" w:customStyle="1" w:styleId="MDPI51figurecaption">
    <w:name w:val="MDPI_5.1_figure_caption"/>
    <w:basedOn w:val="Normal"/>
    <w:qFormat/>
    <w:rsid w:val="00B4231A"/>
    <w:pPr>
      <w:widowControl/>
      <w:autoSpaceDE/>
      <w:autoSpaceDN/>
      <w:snapToGrid w:val="0"/>
      <w:spacing w:before="120" w:after="240" w:line="260" w:lineRule="atLeast"/>
      <w:ind w:left="425" w:right="425"/>
    </w:pPr>
    <w:rPr>
      <w:rFonts w:ascii="Palatino Linotype" w:hAnsi="Palatino Linotype" w:cs="Times New Roman"/>
      <w:sz w:val="18"/>
      <w:szCs w:val="20"/>
      <w:lang w:eastAsia="de-DE" w:bidi="en-US"/>
    </w:rPr>
  </w:style>
  <w:style w:type="paragraph" w:customStyle="1" w:styleId="MDPI52figure">
    <w:name w:val="MDPI_5.2_figure"/>
    <w:qFormat/>
    <w:rsid w:val="00B4231A"/>
    <w:pPr>
      <w:jc w:val="center"/>
    </w:pPr>
    <w:rPr>
      <w:rFonts w:ascii="Palatino Linotype" w:hAnsi="Palatino Linotype"/>
      <w:snapToGrid w:val="0"/>
      <w:color w:val="000000"/>
      <w:sz w:val="24"/>
      <w:lang w:eastAsia="de-DE" w:bidi="en-US"/>
    </w:rPr>
  </w:style>
  <w:style w:type="character" w:styleId="LineNumber">
    <w:name w:val="line number"/>
    <w:basedOn w:val="DefaultParagraphFont"/>
    <w:uiPriority w:val="99"/>
    <w:semiHidden/>
    <w:unhideWhenUsed/>
    <w:rsid w:val="00CE032A"/>
  </w:style>
  <w:style w:type="numbering" w:customStyle="1" w:styleId="Stile1">
    <w:name w:val="Stile1"/>
    <w:uiPriority w:val="99"/>
    <w:rsid w:val="00ED0947"/>
    <w:pPr>
      <w:numPr>
        <w:numId w:val="6"/>
      </w:numPr>
    </w:pPr>
  </w:style>
  <w:style w:type="numbering" w:customStyle="1" w:styleId="Stile2">
    <w:name w:val="Stile2"/>
    <w:uiPriority w:val="99"/>
    <w:rsid w:val="00ED0947"/>
    <w:pPr>
      <w:numPr>
        <w:numId w:val="7"/>
      </w:numPr>
    </w:pPr>
  </w:style>
  <w:style w:type="numbering" w:customStyle="1" w:styleId="Stile3">
    <w:name w:val="Stile3"/>
    <w:uiPriority w:val="99"/>
    <w:rsid w:val="00B42724"/>
    <w:pPr>
      <w:numPr>
        <w:numId w:val="10"/>
      </w:numPr>
    </w:pPr>
  </w:style>
  <w:style w:type="paragraph" w:styleId="FootnoteText">
    <w:name w:val="footnote text"/>
    <w:basedOn w:val="Normal"/>
    <w:link w:val="FootnoteTextChar"/>
    <w:uiPriority w:val="99"/>
    <w:semiHidden/>
    <w:unhideWhenUsed/>
    <w:rsid w:val="00975AF0"/>
    <w:rPr>
      <w:sz w:val="20"/>
      <w:szCs w:val="20"/>
    </w:rPr>
  </w:style>
  <w:style w:type="character" w:customStyle="1" w:styleId="FootnoteTextChar">
    <w:name w:val="Footnote Text Char"/>
    <w:basedOn w:val="DefaultParagraphFont"/>
    <w:link w:val="FootnoteText"/>
    <w:uiPriority w:val="99"/>
    <w:semiHidden/>
    <w:rsid w:val="00975AF0"/>
    <w:rPr>
      <w:rFonts w:ascii="Calibri" w:hAnsi="Calibri" w:cs="Calibri"/>
      <w:color w:val="000000"/>
    </w:rPr>
  </w:style>
  <w:style w:type="character" w:styleId="FootnoteReference">
    <w:name w:val="footnote reference"/>
    <w:basedOn w:val="DefaultParagraphFont"/>
    <w:uiPriority w:val="99"/>
    <w:semiHidden/>
    <w:unhideWhenUsed/>
    <w:rsid w:val="00975A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227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io.mezzenga@irst.emr.it" TargetMode="External"/><Relationship Id="rId13" Type="http://schemas.openxmlformats.org/officeDocument/2006/relationships/hyperlink" Target="mailto:federica.matteucci@irst.emr.it" TargetMode="External"/><Relationship Id="rId18" Type="http://schemas.openxmlformats.org/officeDocument/2006/relationships/hyperlink" Target="mailto:stefano.severi@irst.emr.i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giovanni.paganelli@irst.emr.it" TargetMode="External"/><Relationship Id="rId7" Type="http://schemas.openxmlformats.org/officeDocument/2006/relationships/endnotes" Target="endnotes.xml"/><Relationship Id="rId12" Type="http://schemas.openxmlformats.org/officeDocument/2006/relationships/hyperlink" Target="mailto:elisabeth.canali@irst.emr.it" TargetMode="External"/><Relationship Id="rId17" Type="http://schemas.openxmlformats.org/officeDocument/2006/relationships/hyperlink" Target="mailto:silvia.nicolini@irst.emr.it"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maddalena.sasovini@irst.emr.it" TargetMode="External"/><Relationship Id="rId20" Type="http://schemas.openxmlformats.org/officeDocument/2006/relationships/hyperlink" Target="mailto:mahila.ferrari@ieo.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ola.caroli@irst.emr.i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ilaria.grassi@irst.emr.it" TargetMode="External"/><Relationship Id="rId23" Type="http://schemas.openxmlformats.org/officeDocument/2006/relationships/hyperlink" Target="mailto:maria.belli@irst.emr.it" TargetMode="External"/><Relationship Id="rId28" Type="http://schemas.openxmlformats.org/officeDocument/2006/relationships/theme" Target="theme/theme1.xml"/><Relationship Id="rId10" Type="http://schemas.openxmlformats.org/officeDocument/2006/relationships/hyperlink" Target="mailto:monica.celli@irst.emr.it" TargetMode="External"/><Relationship Id="rId19" Type="http://schemas.openxmlformats.org/officeDocument/2006/relationships/hyperlink" Target="mailto:marta.cremonesi@ieo.it" TargetMode="External"/><Relationship Id="rId4" Type="http://schemas.openxmlformats.org/officeDocument/2006/relationships/settings" Target="settings.xml"/><Relationship Id="rId9" Type="http://schemas.openxmlformats.org/officeDocument/2006/relationships/hyperlink" Target="mailto:valentina.diiorio@irst.emr.it" TargetMode="External"/><Relationship Id="rId14" Type="http://schemas.openxmlformats.org/officeDocument/2006/relationships/hyperlink" Target="mailto:elisa.tardelli@irst.emr.it" TargetMode="External"/><Relationship Id="rId22" Type="http://schemas.openxmlformats.org/officeDocument/2006/relationships/hyperlink" Target="mailto:anna.sarnelli@irst.emr.i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54816-0851-4753-A586-04E8BE77F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12328</Words>
  <Characters>70272</Characters>
  <Application>Microsoft Office Word</Application>
  <DocSecurity>0</DocSecurity>
  <Lines>585</Lines>
  <Paragraphs>164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82436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2019-10-02T08:38:00Z</dcterms:created>
  <dcterms:modified xsi:type="dcterms:W3CDTF">2019-10-08T13:02:00Z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http://www.zotero.org/styles/apa</vt:lpwstr>
  </property>
  <property fmtid="{D5CDD505-2E9C-101B-9397-08002B2CF9AE}" pid="9" name="Mendeley Recent Style Name 0_1">
    <vt:lpwstr>American Psychological Association 6th edition</vt:lpwstr>
  </property>
  <property fmtid="{D5CDD505-2E9C-101B-9397-08002B2CF9AE}" pid="10" name="Mendeley Recent Style Id 1_1">
    <vt:lpwstr>http://www.zotero.org/styles/american-sociological-association</vt:lpwstr>
  </property>
  <property fmtid="{D5CDD505-2E9C-101B-9397-08002B2CF9AE}" pid="11" name="Mendeley Recent Style Name 1_1">
    <vt:lpwstr>American Sociological Association</vt:lpwstr>
  </property>
  <property fmtid="{D5CDD505-2E9C-101B-9397-08002B2CF9AE}" pid="12" name="Mendeley Recent Style Id 2_1">
    <vt:lpwstr>http://www.zotero.org/styles/harvard1</vt:lpwstr>
  </property>
  <property fmtid="{D5CDD505-2E9C-101B-9397-08002B2CF9AE}" pid="13" name="Mendeley Recent Style Name 2_1">
    <vt:lpwstr>Harvard reference format 1 (deprecated)</vt:lpwstr>
  </property>
  <property fmtid="{D5CDD505-2E9C-101B-9397-08002B2CF9AE}" pid="14" name="Mendeley Recent Style Id 3_1">
    <vt:lpwstr>http://www.zotero.org/styles/ieee</vt:lpwstr>
  </property>
  <property fmtid="{D5CDD505-2E9C-101B-9397-08002B2CF9AE}" pid="15" name="Mendeley Recent Style Name 3_1">
    <vt:lpwstr>IEEE</vt:lpwstr>
  </property>
  <property fmtid="{D5CDD505-2E9C-101B-9397-08002B2CF9AE}" pid="16" name="Mendeley Recent Style Id 4_1">
    <vt:lpwstr>https://csl.mendeley.com/styles/454277601/journal-of-visualized-experiments</vt:lpwstr>
  </property>
  <property fmtid="{D5CDD505-2E9C-101B-9397-08002B2CF9AE}" pid="17" name="Mendeley Recent Style Name 4_1">
    <vt:lpwstr>Journal of Visualized Experiments - Maria Luisa Belli</vt:lpwstr>
  </property>
  <property fmtid="{D5CDD505-2E9C-101B-9397-08002B2CF9AE}" pid="18" name="Mendeley Recent Style Id 5_1">
    <vt:lpwstr>http://csl.mendeley.com/styles/454277601/journal-of-visualized-experiments</vt:lpwstr>
  </property>
  <property fmtid="{D5CDD505-2E9C-101B-9397-08002B2CF9AE}" pid="19" name="Mendeley Recent Style Name 5_1">
    <vt:lpwstr>Journal of Visualized Experiments - Maria Luisa Belli</vt:lpwstr>
  </property>
  <property fmtid="{D5CDD505-2E9C-101B-9397-08002B2CF9AE}" pid="20" name="Mendeley Recent Style Id 6_1">
    <vt:lpwstr>http://csl.mendeley.com/styles/454277601/journal-of-visualized-experiments-3</vt:lpwstr>
  </property>
  <property fmtid="{D5CDD505-2E9C-101B-9397-08002B2CF9AE}" pid="21" name="Mendeley Recent Style Name 6_1">
    <vt:lpwstr>Journal of Visualized Experiments - Maria Luisa Belli</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http://www.zotero.org/styles/national-library-of-medicine</vt:lpwstr>
  </property>
  <property fmtid="{D5CDD505-2E9C-101B-9397-08002B2CF9AE}" pid="25" name="Mendeley Recent Style Name 8_1">
    <vt:lpwstr>National Library of Medicine</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48f27159-9621-3cc4-916e-ba11c1465832</vt:lpwstr>
  </property>
  <property fmtid="{D5CDD505-2E9C-101B-9397-08002B2CF9AE}" pid="30" name="Mendeley Citation Style_1">
    <vt:lpwstr>http://csl.mendeley.com/styles/454277601/journal-of-visualized-experiments-3</vt:lpwstr>
  </property>
</Properties>
</file>