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43CBC" w14:textId="79D3AE35" w:rsidR="008855DF" w:rsidRDefault="00144B7F" w:rsidP="005D53A7">
      <w:pPr>
        <w:jc w:val="both"/>
        <w:rPr>
          <w:rFonts w:ascii="Calibri" w:hAnsi="Calibri" w:cs="Calibri"/>
          <w:b/>
          <w:bCs/>
          <w:szCs w:val="24"/>
        </w:rPr>
      </w:pPr>
      <w:r w:rsidRPr="005D53A7">
        <w:rPr>
          <w:rFonts w:ascii="Calibri" w:hAnsi="Calibri" w:cs="Calibri"/>
          <w:b/>
          <w:bCs/>
          <w:szCs w:val="24"/>
        </w:rPr>
        <w:t xml:space="preserve">TITLE: </w:t>
      </w:r>
    </w:p>
    <w:p w14:paraId="01D2E8EC" w14:textId="3291A20D" w:rsidR="00022CCA" w:rsidRPr="00045C71" w:rsidRDefault="00144B7F" w:rsidP="005D53A7">
      <w:pPr>
        <w:jc w:val="both"/>
        <w:rPr>
          <w:rFonts w:ascii="Calibri" w:hAnsi="Calibri" w:cs="Calibri"/>
          <w:b/>
          <w:bCs/>
          <w:szCs w:val="24"/>
        </w:rPr>
      </w:pPr>
      <w:r w:rsidRPr="00045C71">
        <w:rPr>
          <w:rFonts w:ascii="Calibri" w:hAnsi="Calibri" w:cs="Calibri"/>
          <w:b/>
          <w:bCs/>
          <w:szCs w:val="24"/>
        </w:rPr>
        <w:t xml:space="preserve">Measurement </w:t>
      </w:r>
      <w:r w:rsidR="00314E6A" w:rsidRPr="00B70634">
        <w:rPr>
          <w:rFonts w:ascii="Calibri" w:hAnsi="Calibri" w:cs="Calibri"/>
          <w:b/>
          <w:bCs/>
          <w:szCs w:val="24"/>
        </w:rPr>
        <w:t xml:space="preserve">of Mitochondrial Mass and Membrane Potential in Hematopoietic Stem Cells and </w:t>
      </w:r>
      <w:r w:rsidR="00F260FA" w:rsidRPr="00045C71">
        <w:rPr>
          <w:rFonts w:ascii="Calibri" w:hAnsi="Calibri" w:cs="Calibri"/>
          <w:b/>
          <w:bCs/>
          <w:szCs w:val="24"/>
        </w:rPr>
        <w:t>T</w:t>
      </w:r>
      <w:r w:rsidR="00314E6A" w:rsidRPr="00B70634">
        <w:rPr>
          <w:rFonts w:ascii="Calibri" w:hAnsi="Calibri" w:cs="Calibri"/>
          <w:b/>
          <w:bCs/>
          <w:szCs w:val="24"/>
        </w:rPr>
        <w:t>-Cells by Flow Cytometry</w:t>
      </w:r>
    </w:p>
    <w:p w14:paraId="133E5C36" w14:textId="77777777" w:rsidR="004C1544" w:rsidRPr="005D53A7" w:rsidRDefault="004C1544" w:rsidP="005D53A7">
      <w:pPr>
        <w:jc w:val="both"/>
        <w:rPr>
          <w:rFonts w:ascii="Calibri" w:hAnsi="Calibri" w:cs="Calibri"/>
          <w:b/>
          <w:bCs/>
          <w:szCs w:val="24"/>
        </w:rPr>
      </w:pPr>
    </w:p>
    <w:p w14:paraId="3502221C" w14:textId="77777777" w:rsidR="00045C71" w:rsidRDefault="00144B7F" w:rsidP="005D53A7">
      <w:pPr>
        <w:jc w:val="both"/>
        <w:rPr>
          <w:rFonts w:ascii="Calibri" w:hAnsi="Calibri" w:cs="Calibri"/>
          <w:b/>
          <w:bCs/>
          <w:szCs w:val="24"/>
        </w:rPr>
      </w:pPr>
      <w:r w:rsidRPr="005D53A7">
        <w:rPr>
          <w:rFonts w:ascii="Calibri" w:hAnsi="Calibri" w:cs="Calibri"/>
          <w:b/>
          <w:bCs/>
          <w:szCs w:val="24"/>
        </w:rPr>
        <w:t xml:space="preserve">AUTHORS: </w:t>
      </w:r>
    </w:p>
    <w:p w14:paraId="5A64391E" w14:textId="4982ABB5" w:rsidR="00144B7F" w:rsidRPr="005D53A7" w:rsidRDefault="00144B7F" w:rsidP="005D53A7">
      <w:pPr>
        <w:jc w:val="both"/>
        <w:rPr>
          <w:rFonts w:ascii="Calibri" w:hAnsi="Calibri" w:cs="Calibri"/>
          <w:szCs w:val="24"/>
        </w:rPr>
      </w:pPr>
      <w:r w:rsidRPr="005D53A7">
        <w:rPr>
          <w:rFonts w:ascii="Calibri" w:hAnsi="Calibri" w:cs="Calibri"/>
          <w:szCs w:val="24"/>
        </w:rPr>
        <w:t>Mukul Girotra</w:t>
      </w:r>
      <w:r w:rsidR="008E2BDA" w:rsidRPr="005D53A7">
        <w:rPr>
          <w:rFonts w:ascii="Calibri" w:hAnsi="Calibri" w:cs="Calibri"/>
          <w:bCs/>
          <w:szCs w:val="24"/>
          <w:vertAlign w:val="superscript"/>
        </w:rPr>
        <w:t>1,2</w:t>
      </w:r>
      <w:r w:rsidR="008E2BDA" w:rsidRPr="005D53A7">
        <w:rPr>
          <w:rFonts w:ascii="Calibri" w:hAnsi="Calibri" w:cs="Calibri"/>
          <w:bCs/>
          <w:szCs w:val="24"/>
        </w:rPr>
        <w:t>*</w:t>
      </w:r>
      <w:r w:rsidRPr="005D53A7">
        <w:rPr>
          <w:rFonts w:ascii="Calibri" w:hAnsi="Calibri" w:cs="Calibri"/>
          <w:szCs w:val="24"/>
        </w:rPr>
        <w:t xml:space="preserve">, </w:t>
      </w:r>
      <w:r w:rsidR="000B5693" w:rsidRPr="005D53A7">
        <w:rPr>
          <w:rFonts w:ascii="Calibri" w:hAnsi="Calibri" w:cs="Calibri"/>
          <w:szCs w:val="24"/>
        </w:rPr>
        <w:t>Thierry Anne-</w:t>
      </w:r>
      <w:r w:rsidR="002D7595" w:rsidRPr="005D53A7">
        <w:rPr>
          <w:rFonts w:ascii="Calibri" w:hAnsi="Calibri" w:cs="Calibri"/>
          <w:szCs w:val="24"/>
        </w:rPr>
        <w:t>Christine</w:t>
      </w:r>
      <w:r w:rsidR="002D7595" w:rsidRPr="005D53A7">
        <w:rPr>
          <w:rFonts w:ascii="Calibri" w:hAnsi="Calibri" w:cs="Calibri"/>
          <w:szCs w:val="24"/>
          <w:vertAlign w:val="superscript"/>
        </w:rPr>
        <w:t>3</w:t>
      </w:r>
      <w:r w:rsidR="000B5693" w:rsidRPr="005D53A7">
        <w:rPr>
          <w:rFonts w:ascii="Calibri" w:hAnsi="Calibri" w:cs="Calibri"/>
          <w:szCs w:val="24"/>
        </w:rPr>
        <w:t xml:space="preserve">, </w:t>
      </w:r>
      <w:r w:rsidR="009C20A7" w:rsidRPr="005D53A7">
        <w:rPr>
          <w:rFonts w:ascii="Calibri" w:hAnsi="Calibri" w:cs="Calibri"/>
          <w:szCs w:val="24"/>
        </w:rPr>
        <w:t>Alex</w:t>
      </w:r>
      <w:r w:rsidR="00535F13" w:rsidRPr="005D53A7">
        <w:rPr>
          <w:rFonts w:ascii="Calibri" w:hAnsi="Calibri" w:cs="Calibri"/>
          <w:szCs w:val="24"/>
        </w:rPr>
        <w:t>andre</w:t>
      </w:r>
      <w:r w:rsidR="009C20A7" w:rsidRPr="005D53A7">
        <w:rPr>
          <w:rFonts w:ascii="Calibri" w:hAnsi="Calibri" w:cs="Calibri"/>
          <w:szCs w:val="24"/>
        </w:rPr>
        <w:t xml:space="preserve"> Harari</w:t>
      </w:r>
      <w:r w:rsidR="009C20A7" w:rsidRPr="005D53A7">
        <w:rPr>
          <w:rFonts w:ascii="Calibri" w:hAnsi="Calibri" w:cs="Calibri"/>
          <w:szCs w:val="24"/>
          <w:vertAlign w:val="superscript"/>
        </w:rPr>
        <w:t>1</w:t>
      </w:r>
      <w:r w:rsidR="002D7595" w:rsidRPr="005D53A7">
        <w:rPr>
          <w:rFonts w:ascii="Calibri" w:hAnsi="Calibri" w:cs="Calibri"/>
          <w:szCs w:val="24"/>
          <w:vertAlign w:val="superscript"/>
        </w:rPr>
        <w:t>,3</w:t>
      </w:r>
      <w:r w:rsidR="009C20A7" w:rsidRPr="005D53A7">
        <w:rPr>
          <w:rFonts w:ascii="Calibri" w:hAnsi="Calibri" w:cs="Calibri"/>
          <w:szCs w:val="24"/>
        </w:rPr>
        <w:t xml:space="preserve">, </w:t>
      </w:r>
      <w:r w:rsidRPr="005D53A7">
        <w:rPr>
          <w:rFonts w:ascii="Calibri" w:hAnsi="Calibri" w:cs="Calibri"/>
          <w:szCs w:val="24"/>
        </w:rPr>
        <w:t>George Coukos</w:t>
      </w:r>
      <w:r w:rsidR="008E2BDA" w:rsidRPr="005D53A7">
        <w:rPr>
          <w:rFonts w:ascii="Calibri" w:hAnsi="Calibri" w:cs="Calibri"/>
          <w:szCs w:val="24"/>
          <w:vertAlign w:val="superscript"/>
        </w:rPr>
        <w:t>1</w:t>
      </w:r>
      <w:r w:rsidRPr="005D53A7">
        <w:rPr>
          <w:rFonts w:ascii="Calibri" w:hAnsi="Calibri" w:cs="Calibri"/>
          <w:szCs w:val="24"/>
        </w:rPr>
        <w:t xml:space="preserve">, </w:t>
      </w:r>
      <w:proofErr w:type="spellStart"/>
      <w:r w:rsidRPr="005D53A7">
        <w:rPr>
          <w:rFonts w:ascii="Calibri" w:hAnsi="Calibri" w:cs="Calibri"/>
          <w:szCs w:val="24"/>
        </w:rPr>
        <w:t>Olaia</w:t>
      </w:r>
      <w:proofErr w:type="spellEnd"/>
      <w:r w:rsidRPr="005D53A7">
        <w:rPr>
          <w:rFonts w:ascii="Calibri" w:hAnsi="Calibri" w:cs="Calibri"/>
          <w:szCs w:val="24"/>
        </w:rPr>
        <w:t xml:space="preserve"> Naveiras</w:t>
      </w:r>
      <w:r w:rsidR="008E2BDA" w:rsidRPr="005D53A7">
        <w:rPr>
          <w:rFonts w:ascii="Calibri" w:hAnsi="Calibri" w:cs="Calibri"/>
          <w:szCs w:val="24"/>
          <w:vertAlign w:val="superscript"/>
        </w:rPr>
        <w:t>2,</w:t>
      </w:r>
      <w:r w:rsidR="002D7595" w:rsidRPr="005D53A7">
        <w:rPr>
          <w:rFonts w:ascii="Calibri" w:hAnsi="Calibri" w:cs="Calibri"/>
          <w:szCs w:val="24"/>
          <w:vertAlign w:val="superscript"/>
        </w:rPr>
        <w:t>4</w:t>
      </w:r>
      <w:r w:rsidRPr="005D53A7">
        <w:rPr>
          <w:rFonts w:ascii="Calibri" w:hAnsi="Calibri" w:cs="Calibri"/>
          <w:szCs w:val="24"/>
        </w:rPr>
        <w:t>, Nicola Vannini</w:t>
      </w:r>
      <w:r w:rsidR="008E2BDA" w:rsidRPr="005D53A7">
        <w:rPr>
          <w:rFonts w:ascii="Calibri" w:hAnsi="Calibri" w:cs="Calibri"/>
          <w:szCs w:val="24"/>
          <w:vertAlign w:val="superscript"/>
        </w:rPr>
        <w:t>1</w:t>
      </w:r>
      <w:r w:rsidR="008E2BDA" w:rsidRPr="005D53A7">
        <w:rPr>
          <w:rFonts w:ascii="Calibri" w:hAnsi="Calibri" w:cs="Calibri"/>
          <w:szCs w:val="24"/>
        </w:rPr>
        <w:t>*</w:t>
      </w:r>
    </w:p>
    <w:p w14:paraId="51F018E7" w14:textId="77777777" w:rsidR="004C1544" w:rsidRPr="005D53A7" w:rsidRDefault="004C1544" w:rsidP="005D53A7">
      <w:pPr>
        <w:jc w:val="both"/>
        <w:rPr>
          <w:rFonts w:ascii="Calibri" w:hAnsi="Calibri" w:cs="Calibri"/>
          <w:b/>
          <w:bCs/>
          <w:szCs w:val="24"/>
        </w:rPr>
      </w:pPr>
    </w:p>
    <w:p w14:paraId="02F82A11" w14:textId="20FB7B60" w:rsidR="004C1544" w:rsidRPr="005D53A7" w:rsidRDefault="00144B7F" w:rsidP="005D53A7">
      <w:pPr>
        <w:jc w:val="both"/>
        <w:rPr>
          <w:rFonts w:ascii="Calibri" w:hAnsi="Calibri" w:cs="Calibri"/>
          <w:b/>
          <w:bCs/>
          <w:szCs w:val="24"/>
        </w:rPr>
      </w:pPr>
      <w:r w:rsidRPr="005D53A7">
        <w:rPr>
          <w:rFonts w:ascii="Calibri" w:hAnsi="Calibri" w:cs="Calibri"/>
          <w:b/>
          <w:bCs/>
          <w:szCs w:val="24"/>
        </w:rPr>
        <w:t>AFFILIATIONS:</w:t>
      </w:r>
    </w:p>
    <w:p w14:paraId="6AB8C8DF" w14:textId="07E8A83C" w:rsidR="008E2BDA" w:rsidRPr="005D53A7" w:rsidRDefault="008E2BDA" w:rsidP="005D53A7">
      <w:pPr>
        <w:jc w:val="both"/>
        <w:rPr>
          <w:rFonts w:ascii="Calibri" w:hAnsi="Calibri" w:cs="Calibri"/>
        </w:rPr>
      </w:pPr>
      <w:r w:rsidRPr="005D53A7">
        <w:rPr>
          <w:rFonts w:ascii="Calibri" w:hAnsi="Calibri" w:cs="Calibri"/>
          <w:vertAlign w:val="superscript"/>
        </w:rPr>
        <w:t>1</w:t>
      </w:r>
      <w:r w:rsidRPr="005D53A7">
        <w:rPr>
          <w:rFonts w:ascii="Calibri" w:hAnsi="Calibri" w:cs="Calibri"/>
        </w:rPr>
        <w:t>Department of Oncology UNIL CHUV, Ludwig Institute for Cancer Research Lausanne, University of Lausanne, Switzerland.</w:t>
      </w:r>
    </w:p>
    <w:p w14:paraId="3832CED7" w14:textId="7DFDAC90" w:rsidR="008E2BDA" w:rsidRPr="005D53A7" w:rsidRDefault="008E2BDA" w:rsidP="005D53A7">
      <w:pPr>
        <w:jc w:val="both"/>
        <w:rPr>
          <w:rFonts w:ascii="Calibri" w:hAnsi="Calibri" w:cs="Calibri"/>
        </w:rPr>
      </w:pPr>
      <w:r w:rsidRPr="005D53A7">
        <w:rPr>
          <w:rFonts w:ascii="Calibri" w:hAnsi="Calibri" w:cs="Calibri"/>
          <w:bCs/>
          <w:szCs w:val="24"/>
          <w:vertAlign w:val="superscript"/>
        </w:rPr>
        <w:t>2</w:t>
      </w:r>
      <w:r w:rsidRPr="005D53A7">
        <w:rPr>
          <w:rFonts w:ascii="Calibri" w:hAnsi="Calibri" w:cs="Calibri"/>
        </w:rPr>
        <w:t>Swiss Institute for Experimental Cancer Research (ISREC), School of Life Sciences</w:t>
      </w:r>
      <w:r w:rsidR="00AF19C5">
        <w:rPr>
          <w:rFonts w:ascii="Calibri" w:hAnsi="Calibri" w:cs="Calibri"/>
        </w:rPr>
        <w:t>,</w:t>
      </w:r>
      <w:r w:rsidRPr="005D53A7">
        <w:rPr>
          <w:rFonts w:ascii="Calibri" w:hAnsi="Calibri" w:cs="Calibri"/>
        </w:rPr>
        <w:t xml:space="preserve"> Swiss Federal Institute of Technology Lausanne (EPFL), Lausanne, Switzerland</w:t>
      </w:r>
    </w:p>
    <w:p w14:paraId="7824221C" w14:textId="673CB7DF" w:rsidR="002D7595" w:rsidRPr="005D53A7" w:rsidRDefault="00314E6A" w:rsidP="005D53A7">
      <w:pPr>
        <w:jc w:val="both"/>
        <w:rPr>
          <w:rFonts w:ascii="Calibri" w:hAnsi="Calibri" w:cs="Calibri"/>
        </w:rPr>
      </w:pPr>
      <w:r>
        <w:rPr>
          <w:rFonts w:ascii="Calibri" w:hAnsi="Calibri" w:cs="Calibri"/>
          <w:vertAlign w:val="superscript"/>
        </w:rPr>
        <w:t>3</w:t>
      </w:r>
      <w:r w:rsidR="00280283" w:rsidRPr="005D53A7">
        <w:rPr>
          <w:rFonts w:ascii="Calibri" w:hAnsi="Calibri" w:cs="Calibri"/>
        </w:rPr>
        <w:t xml:space="preserve">Center of Experimental Therapeutics, Department of Oncology, Centre </w:t>
      </w:r>
      <w:proofErr w:type="spellStart"/>
      <w:r w:rsidR="00280283" w:rsidRPr="005D53A7">
        <w:rPr>
          <w:rFonts w:ascii="Calibri" w:hAnsi="Calibri" w:cs="Calibri"/>
        </w:rPr>
        <w:t>Hospitalier</w:t>
      </w:r>
      <w:proofErr w:type="spellEnd"/>
      <w:r w:rsidR="00280283" w:rsidRPr="005D53A7">
        <w:rPr>
          <w:rFonts w:ascii="Calibri" w:hAnsi="Calibri" w:cs="Calibri"/>
        </w:rPr>
        <w:t xml:space="preserve"> </w:t>
      </w:r>
      <w:proofErr w:type="spellStart"/>
      <w:r w:rsidR="00280283" w:rsidRPr="005D53A7">
        <w:rPr>
          <w:rFonts w:ascii="Calibri" w:hAnsi="Calibri" w:cs="Calibri"/>
        </w:rPr>
        <w:t>Universitaire</w:t>
      </w:r>
      <w:proofErr w:type="spellEnd"/>
      <w:r w:rsidR="00280283" w:rsidRPr="005D53A7">
        <w:rPr>
          <w:rFonts w:ascii="Calibri" w:hAnsi="Calibri" w:cs="Calibri"/>
        </w:rPr>
        <w:t xml:space="preserve"> Vaudois, Lausanne, Switzerland</w:t>
      </w:r>
    </w:p>
    <w:p w14:paraId="2CDF177B" w14:textId="1F66DDAD" w:rsidR="008E2BDA" w:rsidRPr="005D53A7" w:rsidRDefault="002D7595" w:rsidP="005D53A7">
      <w:pPr>
        <w:jc w:val="both"/>
        <w:rPr>
          <w:rFonts w:ascii="Calibri" w:hAnsi="Calibri" w:cs="Calibri"/>
        </w:rPr>
      </w:pPr>
      <w:r w:rsidRPr="005D53A7">
        <w:rPr>
          <w:rFonts w:ascii="Calibri" w:hAnsi="Calibri" w:cs="Calibri"/>
          <w:vertAlign w:val="superscript"/>
        </w:rPr>
        <w:t>4</w:t>
      </w:r>
      <w:r w:rsidR="008E2BDA" w:rsidRPr="005D53A7">
        <w:rPr>
          <w:rFonts w:ascii="Calibri" w:hAnsi="Calibri" w:cs="Calibri"/>
        </w:rPr>
        <w:t>Hematology Service,</w:t>
      </w:r>
      <w:r w:rsidR="008E2BDA" w:rsidRPr="005D53A7">
        <w:rPr>
          <w:rFonts w:ascii="Calibri" w:hAnsi="Calibri" w:cs="Calibri"/>
          <w:vertAlign w:val="superscript"/>
        </w:rPr>
        <w:t xml:space="preserve"> </w:t>
      </w:r>
      <w:r w:rsidR="008E2BDA" w:rsidRPr="005D53A7">
        <w:rPr>
          <w:rFonts w:ascii="Calibri" w:hAnsi="Calibri" w:cs="Calibri"/>
        </w:rPr>
        <w:t xml:space="preserve">Department of Oncology, Centre </w:t>
      </w:r>
      <w:proofErr w:type="spellStart"/>
      <w:r w:rsidR="008E2BDA" w:rsidRPr="005D53A7">
        <w:rPr>
          <w:rFonts w:ascii="Calibri" w:hAnsi="Calibri" w:cs="Calibri"/>
        </w:rPr>
        <w:t>Hospitalier</w:t>
      </w:r>
      <w:proofErr w:type="spellEnd"/>
      <w:r w:rsidR="008E2BDA" w:rsidRPr="005D53A7">
        <w:rPr>
          <w:rFonts w:ascii="Calibri" w:hAnsi="Calibri" w:cs="Calibri"/>
        </w:rPr>
        <w:t xml:space="preserve"> </w:t>
      </w:r>
      <w:proofErr w:type="spellStart"/>
      <w:r w:rsidR="008E2BDA" w:rsidRPr="005D53A7">
        <w:rPr>
          <w:rFonts w:ascii="Calibri" w:hAnsi="Calibri" w:cs="Calibri"/>
        </w:rPr>
        <w:t>Universitaire</w:t>
      </w:r>
      <w:proofErr w:type="spellEnd"/>
      <w:r w:rsidR="008E2BDA" w:rsidRPr="005D53A7">
        <w:rPr>
          <w:rFonts w:ascii="Calibri" w:hAnsi="Calibri" w:cs="Calibri"/>
        </w:rPr>
        <w:t xml:space="preserve"> Vaudois (CHUV), Lausanne, Switzerland</w:t>
      </w:r>
    </w:p>
    <w:p w14:paraId="2FE1E291" w14:textId="77777777" w:rsidR="008E2BDA" w:rsidRPr="005D53A7" w:rsidRDefault="008E2BDA" w:rsidP="005D53A7">
      <w:pPr>
        <w:jc w:val="both"/>
        <w:rPr>
          <w:rFonts w:ascii="Calibri" w:hAnsi="Calibri" w:cs="Calibri"/>
          <w:b/>
          <w:bCs/>
          <w:szCs w:val="24"/>
          <w:vertAlign w:val="superscript"/>
        </w:rPr>
      </w:pPr>
    </w:p>
    <w:p w14:paraId="6722DA7A" w14:textId="77777777" w:rsidR="00314E6A" w:rsidRDefault="00314E6A" w:rsidP="00314E6A">
      <w:pPr>
        <w:jc w:val="both"/>
        <w:rPr>
          <w:rFonts w:ascii="Calibri" w:hAnsi="Calibri" w:cs="Calibri"/>
          <w:bCs/>
          <w:szCs w:val="24"/>
        </w:rPr>
      </w:pPr>
      <w:r w:rsidRPr="005D53A7">
        <w:rPr>
          <w:rFonts w:ascii="Calibri" w:hAnsi="Calibri" w:cs="Calibri"/>
          <w:b/>
          <w:bCs/>
          <w:szCs w:val="24"/>
        </w:rPr>
        <w:t>Corresponding Author</w:t>
      </w:r>
      <w:r>
        <w:rPr>
          <w:rFonts w:ascii="Calibri" w:hAnsi="Calibri" w:cs="Calibri"/>
          <w:b/>
          <w:bCs/>
          <w:szCs w:val="24"/>
        </w:rPr>
        <w:t>s</w:t>
      </w:r>
      <w:r w:rsidRPr="005D53A7">
        <w:rPr>
          <w:rFonts w:ascii="Calibri" w:hAnsi="Calibri" w:cs="Calibri"/>
          <w:b/>
          <w:bCs/>
          <w:szCs w:val="24"/>
        </w:rPr>
        <w:t>:</w:t>
      </w:r>
      <w:r w:rsidRPr="005D53A7">
        <w:rPr>
          <w:rFonts w:ascii="Calibri" w:hAnsi="Calibri" w:cs="Calibri"/>
          <w:bCs/>
          <w:szCs w:val="24"/>
        </w:rPr>
        <w:t xml:space="preserve"> </w:t>
      </w:r>
    </w:p>
    <w:p w14:paraId="4484951E" w14:textId="4852EC65" w:rsidR="00314E6A" w:rsidRPr="005D53A7" w:rsidRDefault="00314E6A" w:rsidP="00314E6A">
      <w:pPr>
        <w:jc w:val="both"/>
        <w:rPr>
          <w:rFonts w:ascii="Calibri" w:hAnsi="Calibri" w:cs="Calibri"/>
          <w:szCs w:val="24"/>
          <w:u w:val="single"/>
        </w:rPr>
      </w:pPr>
      <w:r w:rsidRPr="005D53A7">
        <w:rPr>
          <w:rFonts w:ascii="Calibri" w:hAnsi="Calibri" w:cs="Calibri"/>
          <w:szCs w:val="24"/>
        </w:rPr>
        <w:t xml:space="preserve">Mukul </w:t>
      </w:r>
      <w:proofErr w:type="spellStart"/>
      <w:r w:rsidRPr="005D53A7">
        <w:rPr>
          <w:rFonts w:ascii="Calibri" w:hAnsi="Calibri" w:cs="Calibri"/>
          <w:szCs w:val="24"/>
        </w:rPr>
        <w:t>Girotra</w:t>
      </w:r>
      <w:proofErr w:type="spellEnd"/>
      <w:r w:rsidRPr="005D53A7">
        <w:rPr>
          <w:rFonts w:ascii="Calibri" w:hAnsi="Calibri" w:cs="Calibri"/>
          <w:szCs w:val="24"/>
        </w:rPr>
        <w:t xml:space="preserve"> </w:t>
      </w:r>
      <w:r>
        <w:rPr>
          <w:rFonts w:ascii="Calibri" w:hAnsi="Calibri" w:cs="Calibri"/>
          <w:szCs w:val="24"/>
        </w:rPr>
        <w:tab/>
      </w:r>
      <w:r>
        <w:rPr>
          <w:rFonts w:ascii="Calibri" w:hAnsi="Calibri" w:cs="Calibri"/>
          <w:szCs w:val="24"/>
        </w:rPr>
        <w:tab/>
      </w:r>
      <w:r>
        <w:rPr>
          <w:rFonts w:ascii="Calibri" w:hAnsi="Calibri" w:cs="Calibri"/>
          <w:szCs w:val="24"/>
        </w:rPr>
        <w:tab/>
      </w:r>
      <w:r w:rsidRPr="00045C71">
        <w:rPr>
          <w:rFonts w:ascii="Calibri" w:hAnsi="Calibri" w:cs="Calibri"/>
          <w:szCs w:val="24"/>
        </w:rPr>
        <w:t>(</w:t>
      </w:r>
      <w:r w:rsidRPr="00FB319C">
        <w:rPr>
          <w:rFonts w:ascii="Calibri" w:hAnsi="Calibri" w:cs="Calibri"/>
          <w:szCs w:val="24"/>
        </w:rPr>
        <w:t>mukul.girotra@unil.ch</w:t>
      </w:r>
      <w:r w:rsidRPr="00045C71">
        <w:rPr>
          <w:rStyle w:val="Hyperlink"/>
          <w:rFonts w:ascii="Calibri" w:hAnsi="Calibri" w:cs="Calibri"/>
          <w:color w:val="auto"/>
          <w:szCs w:val="24"/>
          <w:u w:val="none"/>
        </w:rPr>
        <w:t>) (</w:t>
      </w:r>
      <w:r w:rsidRPr="00FB319C">
        <w:rPr>
          <w:rFonts w:ascii="Calibri" w:hAnsi="Calibri" w:cs="Calibri"/>
          <w:szCs w:val="24"/>
        </w:rPr>
        <w:t>mukul.girotra@epfl.ch</w:t>
      </w:r>
      <w:r w:rsidRPr="00045C71">
        <w:rPr>
          <w:rFonts w:ascii="Calibri" w:hAnsi="Calibri" w:cs="Calibri"/>
          <w:szCs w:val="24"/>
        </w:rPr>
        <w:t>)</w:t>
      </w:r>
    </w:p>
    <w:p w14:paraId="2033E48A" w14:textId="77777777" w:rsidR="00314E6A" w:rsidRPr="005D53A7" w:rsidRDefault="00314E6A" w:rsidP="00314E6A">
      <w:pPr>
        <w:jc w:val="both"/>
        <w:rPr>
          <w:rFonts w:ascii="Calibri" w:hAnsi="Calibri" w:cs="Calibri"/>
          <w:szCs w:val="24"/>
        </w:rPr>
      </w:pPr>
      <w:r w:rsidRPr="005D53A7">
        <w:rPr>
          <w:rFonts w:ascii="Calibri" w:hAnsi="Calibri" w:cs="Calibri"/>
          <w:szCs w:val="24"/>
        </w:rPr>
        <w:t xml:space="preserve">Nicola </w:t>
      </w:r>
      <w:proofErr w:type="spellStart"/>
      <w:r w:rsidRPr="005D53A7">
        <w:rPr>
          <w:rFonts w:ascii="Calibri" w:hAnsi="Calibri" w:cs="Calibri"/>
          <w:szCs w:val="24"/>
        </w:rPr>
        <w:t>Vannini</w:t>
      </w:r>
      <w:proofErr w:type="spellEnd"/>
      <w:r w:rsidRPr="005D53A7">
        <w:rPr>
          <w:rFonts w:ascii="Calibri" w:hAnsi="Calibri" w:cs="Calibri"/>
          <w:szCs w:val="24"/>
        </w:rPr>
        <w:t xml:space="preserve"> </w:t>
      </w:r>
      <w:r>
        <w:rPr>
          <w:rFonts w:ascii="Calibri" w:hAnsi="Calibri" w:cs="Calibri"/>
          <w:szCs w:val="24"/>
        </w:rPr>
        <w:tab/>
      </w:r>
      <w:r>
        <w:rPr>
          <w:rFonts w:ascii="Calibri" w:hAnsi="Calibri" w:cs="Calibri"/>
          <w:szCs w:val="24"/>
        </w:rPr>
        <w:tab/>
      </w:r>
      <w:r>
        <w:rPr>
          <w:rFonts w:ascii="Calibri" w:hAnsi="Calibri" w:cs="Calibri"/>
          <w:szCs w:val="24"/>
        </w:rPr>
        <w:tab/>
      </w:r>
      <w:r w:rsidRPr="005D53A7">
        <w:rPr>
          <w:rFonts w:ascii="Calibri" w:hAnsi="Calibri" w:cs="Calibri"/>
          <w:szCs w:val="24"/>
        </w:rPr>
        <w:t>(</w:t>
      </w:r>
      <w:r w:rsidRPr="00FB319C">
        <w:rPr>
          <w:rFonts w:ascii="Calibri" w:hAnsi="Calibri" w:cs="Calibri"/>
          <w:szCs w:val="24"/>
        </w:rPr>
        <w:t>nicola.vannini@unil.ch</w:t>
      </w:r>
      <w:r w:rsidRPr="005D53A7">
        <w:rPr>
          <w:rFonts w:ascii="Calibri" w:hAnsi="Calibri" w:cs="Calibri"/>
          <w:szCs w:val="24"/>
        </w:rPr>
        <w:t>)</w:t>
      </w:r>
    </w:p>
    <w:p w14:paraId="057280FB" w14:textId="77777777" w:rsidR="004C1544" w:rsidRPr="005D53A7" w:rsidRDefault="004C1544" w:rsidP="005D53A7">
      <w:pPr>
        <w:jc w:val="both"/>
        <w:rPr>
          <w:rFonts w:ascii="Calibri" w:hAnsi="Calibri" w:cs="Calibri"/>
          <w:b/>
          <w:bCs/>
          <w:szCs w:val="24"/>
        </w:rPr>
      </w:pPr>
    </w:p>
    <w:p w14:paraId="14CAD682" w14:textId="18E98FD4" w:rsidR="004C1544" w:rsidRPr="005D53A7" w:rsidRDefault="00314E6A" w:rsidP="005D53A7">
      <w:pPr>
        <w:jc w:val="both"/>
        <w:rPr>
          <w:rFonts w:ascii="Calibri" w:hAnsi="Calibri" w:cs="Calibri"/>
          <w:b/>
          <w:bCs/>
          <w:szCs w:val="24"/>
        </w:rPr>
      </w:pPr>
      <w:r w:rsidRPr="005D53A7">
        <w:rPr>
          <w:rFonts w:ascii="Calibri" w:hAnsi="Calibri" w:cs="Calibri"/>
          <w:b/>
          <w:bCs/>
          <w:szCs w:val="24"/>
        </w:rPr>
        <w:t>Email Address</w:t>
      </w:r>
      <w:r>
        <w:rPr>
          <w:rFonts w:ascii="Calibri" w:hAnsi="Calibri" w:cs="Calibri"/>
          <w:b/>
          <w:bCs/>
          <w:szCs w:val="24"/>
        </w:rPr>
        <w:t>es</w:t>
      </w:r>
      <w:r w:rsidRPr="005D53A7">
        <w:rPr>
          <w:rFonts w:ascii="Calibri" w:hAnsi="Calibri" w:cs="Calibri"/>
          <w:b/>
          <w:bCs/>
          <w:szCs w:val="24"/>
        </w:rPr>
        <w:t xml:space="preserve"> of </w:t>
      </w:r>
      <w:r>
        <w:rPr>
          <w:rFonts w:ascii="Calibri" w:hAnsi="Calibri" w:cs="Calibri"/>
          <w:b/>
          <w:bCs/>
          <w:szCs w:val="24"/>
        </w:rPr>
        <w:t>Co-</w:t>
      </w:r>
      <w:r w:rsidRPr="005D53A7">
        <w:rPr>
          <w:rFonts w:ascii="Calibri" w:hAnsi="Calibri" w:cs="Calibri"/>
          <w:b/>
          <w:bCs/>
          <w:szCs w:val="24"/>
        </w:rPr>
        <w:t>authors:</w:t>
      </w:r>
    </w:p>
    <w:p w14:paraId="5B81AFD6" w14:textId="6468EC30" w:rsidR="003B1D82" w:rsidRPr="005D53A7" w:rsidRDefault="003B1D82" w:rsidP="005D53A7">
      <w:pPr>
        <w:jc w:val="both"/>
        <w:rPr>
          <w:rFonts w:ascii="Calibri" w:hAnsi="Calibri" w:cs="Calibri"/>
          <w:szCs w:val="24"/>
        </w:rPr>
      </w:pPr>
      <w:r w:rsidRPr="005D53A7">
        <w:rPr>
          <w:rFonts w:ascii="Calibri" w:hAnsi="Calibri" w:cs="Calibri"/>
          <w:szCs w:val="24"/>
        </w:rPr>
        <w:t xml:space="preserve">Thierry Anne-Christine </w:t>
      </w:r>
      <w:r w:rsidR="00314E6A">
        <w:rPr>
          <w:rFonts w:ascii="Calibri" w:hAnsi="Calibri" w:cs="Calibri"/>
          <w:szCs w:val="24"/>
        </w:rPr>
        <w:tab/>
      </w:r>
      <w:r w:rsidRPr="005D53A7">
        <w:rPr>
          <w:rFonts w:ascii="Calibri" w:hAnsi="Calibri" w:cs="Calibri"/>
          <w:szCs w:val="24"/>
        </w:rPr>
        <w:t>(</w:t>
      </w:r>
      <w:r w:rsidRPr="00FB319C">
        <w:rPr>
          <w:rFonts w:ascii="Calibri" w:hAnsi="Calibri" w:cs="Calibri"/>
          <w:szCs w:val="24"/>
        </w:rPr>
        <w:t>Anne-Christine.Thierry@chuv.ch</w:t>
      </w:r>
      <w:r w:rsidRPr="005D53A7">
        <w:rPr>
          <w:rFonts w:ascii="Calibri" w:hAnsi="Calibri" w:cs="Calibri"/>
          <w:szCs w:val="24"/>
        </w:rPr>
        <w:t>)</w:t>
      </w:r>
    </w:p>
    <w:p w14:paraId="45AF9580" w14:textId="6638A89C" w:rsidR="003B1D82" w:rsidRPr="005D53A7" w:rsidRDefault="003B1D82" w:rsidP="005D53A7">
      <w:pPr>
        <w:jc w:val="both"/>
        <w:rPr>
          <w:rFonts w:ascii="Calibri" w:hAnsi="Calibri" w:cs="Calibri"/>
          <w:szCs w:val="24"/>
        </w:rPr>
      </w:pPr>
      <w:r w:rsidRPr="005D53A7">
        <w:rPr>
          <w:rFonts w:ascii="Calibri" w:hAnsi="Calibri" w:cs="Calibri"/>
          <w:szCs w:val="24"/>
        </w:rPr>
        <w:t>Alex</w:t>
      </w:r>
      <w:r w:rsidR="00C40B10" w:rsidRPr="005D53A7">
        <w:rPr>
          <w:rFonts w:ascii="Calibri" w:hAnsi="Calibri" w:cs="Calibri"/>
          <w:szCs w:val="24"/>
        </w:rPr>
        <w:t>andre</w:t>
      </w:r>
      <w:r w:rsidRPr="005D53A7">
        <w:rPr>
          <w:rFonts w:ascii="Calibri" w:hAnsi="Calibri" w:cs="Calibri"/>
          <w:szCs w:val="24"/>
        </w:rPr>
        <w:t xml:space="preserve"> Harari</w:t>
      </w:r>
      <w:r w:rsidR="00314E6A">
        <w:rPr>
          <w:rFonts w:ascii="Calibri" w:hAnsi="Calibri" w:cs="Calibri"/>
          <w:szCs w:val="24"/>
        </w:rPr>
        <w:tab/>
      </w:r>
      <w:r w:rsidR="00314E6A">
        <w:rPr>
          <w:rFonts w:ascii="Calibri" w:hAnsi="Calibri" w:cs="Calibri"/>
          <w:szCs w:val="24"/>
        </w:rPr>
        <w:tab/>
      </w:r>
      <w:r w:rsidR="00314E6A">
        <w:rPr>
          <w:rFonts w:ascii="Calibri" w:hAnsi="Calibri" w:cs="Calibri"/>
          <w:szCs w:val="24"/>
        </w:rPr>
        <w:tab/>
      </w:r>
      <w:r w:rsidRPr="005D53A7">
        <w:rPr>
          <w:rFonts w:ascii="Calibri" w:hAnsi="Calibri" w:cs="Calibri"/>
          <w:szCs w:val="24"/>
        </w:rPr>
        <w:t>(Alexandre.Harari</w:t>
      </w:r>
      <w:r w:rsidR="005C66EB" w:rsidRPr="005D53A7">
        <w:rPr>
          <w:rFonts w:ascii="Calibri" w:hAnsi="Calibri" w:cs="Calibri"/>
          <w:szCs w:val="24"/>
        </w:rPr>
        <w:t>@</w:t>
      </w:r>
      <w:r w:rsidRPr="005D53A7">
        <w:rPr>
          <w:rFonts w:ascii="Calibri" w:hAnsi="Calibri" w:cs="Calibri"/>
          <w:szCs w:val="24"/>
        </w:rPr>
        <w:t>chuv.ch)</w:t>
      </w:r>
    </w:p>
    <w:p w14:paraId="449401F9" w14:textId="4E9AF425" w:rsidR="004C1544" w:rsidRPr="005D53A7" w:rsidRDefault="00F93923" w:rsidP="005D53A7">
      <w:pPr>
        <w:jc w:val="both"/>
        <w:rPr>
          <w:rFonts w:ascii="Calibri" w:hAnsi="Calibri" w:cs="Calibri"/>
          <w:szCs w:val="24"/>
        </w:rPr>
      </w:pPr>
      <w:r w:rsidRPr="005D53A7">
        <w:rPr>
          <w:rFonts w:ascii="Calibri" w:hAnsi="Calibri" w:cs="Calibri"/>
          <w:szCs w:val="24"/>
        </w:rPr>
        <w:t xml:space="preserve">George </w:t>
      </w:r>
      <w:proofErr w:type="spellStart"/>
      <w:r w:rsidRPr="005D53A7">
        <w:rPr>
          <w:rFonts w:ascii="Calibri" w:hAnsi="Calibri" w:cs="Calibri"/>
          <w:szCs w:val="24"/>
        </w:rPr>
        <w:t>Coukos</w:t>
      </w:r>
      <w:proofErr w:type="spellEnd"/>
      <w:r w:rsidRPr="005D53A7">
        <w:rPr>
          <w:rFonts w:ascii="Calibri" w:hAnsi="Calibri" w:cs="Calibri"/>
          <w:szCs w:val="24"/>
        </w:rPr>
        <w:t xml:space="preserve"> </w:t>
      </w:r>
      <w:r w:rsidR="00314E6A">
        <w:rPr>
          <w:rFonts w:ascii="Calibri" w:hAnsi="Calibri" w:cs="Calibri"/>
          <w:szCs w:val="24"/>
        </w:rPr>
        <w:tab/>
      </w:r>
      <w:r w:rsidR="00314E6A">
        <w:rPr>
          <w:rFonts w:ascii="Calibri" w:hAnsi="Calibri" w:cs="Calibri"/>
          <w:szCs w:val="24"/>
        </w:rPr>
        <w:tab/>
      </w:r>
      <w:r w:rsidR="00314E6A">
        <w:rPr>
          <w:rFonts w:ascii="Calibri" w:hAnsi="Calibri" w:cs="Calibri"/>
          <w:szCs w:val="24"/>
        </w:rPr>
        <w:tab/>
      </w:r>
      <w:r w:rsidRPr="005D53A7">
        <w:rPr>
          <w:rFonts w:ascii="Calibri" w:hAnsi="Calibri" w:cs="Calibri"/>
          <w:szCs w:val="24"/>
        </w:rPr>
        <w:t>(</w:t>
      </w:r>
      <w:r w:rsidR="003C5C60" w:rsidRPr="00FB319C">
        <w:rPr>
          <w:rFonts w:ascii="Calibri" w:hAnsi="Calibri" w:cs="Calibri"/>
          <w:szCs w:val="24"/>
        </w:rPr>
        <w:t>george.coukos@chuv.ch</w:t>
      </w:r>
      <w:r w:rsidRPr="005D53A7">
        <w:rPr>
          <w:rFonts w:ascii="Calibri" w:hAnsi="Calibri" w:cs="Calibri"/>
          <w:szCs w:val="24"/>
        </w:rPr>
        <w:t>)</w:t>
      </w:r>
    </w:p>
    <w:p w14:paraId="3967C531" w14:textId="3DF0D5D2" w:rsidR="003246F6" w:rsidRPr="005D53A7" w:rsidRDefault="003246F6" w:rsidP="005D53A7">
      <w:pPr>
        <w:jc w:val="both"/>
        <w:rPr>
          <w:rFonts w:ascii="Calibri" w:hAnsi="Calibri" w:cs="Calibri"/>
          <w:szCs w:val="24"/>
          <w:lang w:val="fr-FR"/>
        </w:rPr>
      </w:pPr>
      <w:r w:rsidRPr="005D53A7">
        <w:rPr>
          <w:rFonts w:ascii="Calibri" w:hAnsi="Calibri" w:cs="Calibri"/>
          <w:szCs w:val="24"/>
          <w:lang w:val="fr-FR"/>
        </w:rPr>
        <w:t xml:space="preserve">Olaia Naveiras </w:t>
      </w:r>
      <w:r w:rsidR="00314E6A">
        <w:rPr>
          <w:rFonts w:ascii="Calibri" w:hAnsi="Calibri" w:cs="Calibri"/>
          <w:szCs w:val="24"/>
          <w:lang w:val="fr-FR"/>
        </w:rPr>
        <w:tab/>
      </w:r>
      <w:r w:rsidR="00314E6A">
        <w:rPr>
          <w:rFonts w:ascii="Calibri" w:hAnsi="Calibri" w:cs="Calibri"/>
          <w:szCs w:val="24"/>
          <w:lang w:val="fr-FR"/>
        </w:rPr>
        <w:tab/>
      </w:r>
      <w:r w:rsidR="00314E6A">
        <w:rPr>
          <w:rFonts w:ascii="Calibri" w:hAnsi="Calibri" w:cs="Calibri"/>
          <w:szCs w:val="24"/>
          <w:lang w:val="fr-FR"/>
        </w:rPr>
        <w:tab/>
      </w:r>
      <w:r w:rsidRPr="005D53A7">
        <w:rPr>
          <w:rFonts w:ascii="Calibri" w:hAnsi="Calibri" w:cs="Calibri"/>
          <w:szCs w:val="24"/>
          <w:lang w:val="fr-FR"/>
        </w:rPr>
        <w:t>(</w:t>
      </w:r>
      <w:r w:rsidRPr="00FB319C">
        <w:rPr>
          <w:rFonts w:ascii="Calibri" w:hAnsi="Calibri" w:cs="Calibri"/>
          <w:szCs w:val="24"/>
          <w:lang w:val="fr-FR"/>
        </w:rPr>
        <w:t>olaia.naveiras@epfl.ch</w:t>
      </w:r>
      <w:r w:rsidRPr="005D53A7">
        <w:rPr>
          <w:rFonts w:ascii="Calibri" w:hAnsi="Calibri" w:cs="Calibri"/>
          <w:szCs w:val="24"/>
          <w:lang w:val="fr-FR"/>
        </w:rPr>
        <w:t>)</w:t>
      </w:r>
    </w:p>
    <w:p w14:paraId="4A5B51EF" w14:textId="77777777" w:rsidR="004C1544" w:rsidRPr="005D53A7" w:rsidRDefault="004C1544" w:rsidP="005D53A7">
      <w:pPr>
        <w:jc w:val="both"/>
        <w:rPr>
          <w:rFonts w:ascii="Calibri" w:hAnsi="Calibri" w:cs="Calibri"/>
          <w:b/>
          <w:bCs/>
          <w:szCs w:val="24"/>
        </w:rPr>
      </w:pPr>
      <w:bookmarkStart w:id="0" w:name="_GoBack"/>
      <w:bookmarkEnd w:id="0"/>
    </w:p>
    <w:p w14:paraId="1163E37A" w14:textId="77777777" w:rsidR="00045C71" w:rsidRDefault="00144B7F" w:rsidP="005D53A7">
      <w:pPr>
        <w:jc w:val="both"/>
        <w:rPr>
          <w:rFonts w:ascii="Calibri" w:hAnsi="Calibri" w:cs="Calibri"/>
          <w:b/>
          <w:bCs/>
          <w:szCs w:val="24"/>
        </w:rPr>
      </w:pPr>
      <w:r w:rsidRPr="005D53A7">
        <w:rPr>
          <w:rFonts w:ascii="Calibri" w:hAnsi="Calibri" w:cs="Calibri"/>
          <w:b/>
          <w:bCs/>
          <w:szCs w:val="24"/>
        </w:rPr>
        <w:t>KEYWORDS:</w:t>
      </w:r>
      <w:r w:rsidR="00F638C1" w:rsidRPr="005D53A7">
        <w:rPr>
          <w:rFonts w:ascii="Calibri" w:hAnsi="Calibri" w:cs="Calibri"/>
          <w:b/>
          <w:bCs/>
          <w:szCs w:val="24"/>
        </w:rPr>
        <w:t xml:space="preserve"> </w:t>
      </w:r>
    </w:p>
    <w:p w14:paraId="2C6327D9" w14:textId="7B4E9981" w:rsidR="004C1544" w:rsidRPr="005D53A7" w:rsidRDefault="00314E6A" w:rsidP="005D53A7">
      <w:pPr>
        <w:jc w:val="both"/>
        <w:rPr>
          <w:rFonts w:ascii="Calibri" w:hAnsi="Calibri" w:cs="Calibri"/>
          <w:szCs w:val="24"/>
        </w:rPr>
      </w:pPr>
      <w:r w:rsidRPr="005D53A7">
        <w:rPr>
          <w:rFonts w:ascii="Calibri" w:hAnsi="Calibri" w:cs="Calibri"/>
          <w:szCs w:val="24"/>
        </w:rPr>
        <w:t xml:space="preserve">hematopoietic stem </w:t>
      </w:r>
      <w:r w:rsidR="00144B7F" w:rsidRPr="005D53A7">
        <w:rPr>
          <w:rFonts w:ascii="Calibri" w:hAnsi="Calibri" w:cs="Calibri"/>
          <w:szCs w:val="24"/>
        </w:rPr>
        <w:t>cell</w:t>
      </w:r>
      <w:r w:rsidR="005C66EB" w:rsidRPr="005D53A7">
        <w:rPr>
          <w:rFonts w:ascii="Calibri" w:hAnsi="Calibri" w:cs="Calibri"/>
          <w:szCs w:val="24"/>
        </w:rPr>
        <w:t>s</w:t>
      </w:r>
      <w:r w:rsidR="00B71284" w:rsidRPr="005D53A7">
        <w:rPr>
          <w:rFonts w:ascii="Calibri" w:hAnsi="Calibri" w:cs="Calibri"/>
          <w:szCs w:val="24"/>
        </w:rPr>
        <w:t>,</w:t>
      </w:r>
      <w:r w:rsidR="00FA72CB" w:rsidRPr="005D53A7">
        <w:rPr>
          <w:rFonts w:ascii="Calibri" w:hAnsi="Calibri" w:cs="Calibri"/>
          <w:szCs w:val="24"/>
        </w:rPr>
        <w:t xml:space="preserve"> T cells, </w:t>
      </w:r>
      <w:r w:rsidRPr="005D53A7">
        <w:rPr>
          <w:rFonts w:ascii="Calibri" w:hAnsi="Calibri" w:cs="Calibri"/>
          <w:szCs w:val="24"/>
        </w:rPr>
        <w:t>tumor infiltrating lymphocytes</w:t>
      </w:r>
      <w:r w:rsidR="00FA72CB" w:rsidRPr="005D53A7">
        <w:rPr>
          <w:rFonts w:ascii="Calibri" w:hAnsi="Calibri" w:cs="Calibri"/>
          <w:szCs w:val="24"/>
        </w:rPr>
        <w:t>,</w:t>
      </w:r>
      <w:r w:rsidR="00B71284" w:rsidRPr="005D53A7">
        <w:rPr>
          <w:rFonts w:ascii="Calibri" w:hAnsi="Calibri" w:cs="Calibri"/>
          <w:szCs w:val="24"/>
        </w:rPr>
        <w:t xml:space="preserve"> </w:t>
      </w:r>
      <w:r w:rsidRPr="005D53A7">
        <w:rPr>
          <w:rFonts w:ascii="Calibri" w:hAnsi="Calibri" w:cs="Calibri"/>
          <w:szCs w:val="24"/>
        </w:rPr>
        <w:t>mitochondria</w:t>
      </w:r>
      <w:r w:rsidR="00FA72CB" w:rsidRPr="005D53A7">
        <w:rPr>
          <w:rFonts w:ascii="Calibri" w:hAnsi="Calibri" w:cs="Calibri"/>
          <w:szCs w:val="24"/>
        </w:rPr>
        <w:t xml:space="preserve">, </w:t>
      </w:r>
      <w:r w:rsidRPr="005D53A7">
        <w:rPr>
          <w:rFonts w:ascii="Calibri" w:hAnsi="Calibri" w:cs="Calibri"/>
          <w:szCs w:val="24"/>
        </w:rPr>
        <w:t xml:space="preserve">mitochondrial membrane </w:t>
      </w:r>
      <w:r w:rsidR="00B71284" w:rsidRPr="005D53A7">
        <w:rPr>
          <w:rFonts w:ascii="Calibri" w:hAnsi="Calibri" w:cs="Calibri"/>
          <w:szCs w:val="24"/>
        </w:rPr>
        <w:t xml:space="preserve">potential, </w:t>
      </w:r>
      <w:r w:rsidRPr="005D53A7">
        <w:rPr>
          <w:rFonts w:ascii="Calibri" w:hAnsi="Calibri" w:cs="Calibri"/>
          <w:szCs w:val="24"/>
        </w:rPr>
        <w:t xml:space="preserve">mitochondrial </w:t>
      </w:r>
      <w:r w:rsidR="006D08DA" w:rsidRPr="005D53A7">
        <w:rPr>
          <w:rFonts w:ascii="Calibri" w:hAnsi="Calibri" w:cs="Calibri"/>
          <w:szCs w:val="24"/>
        </w:rPr>
        <w:t xml:space="preserve">mass, </w:t>
      </w:r>
      <w:r w:rsidRPr="005D53A7">
        <w:rPr>
          <w:rFonts w:ascii="Calibri" w:hAnsi="Calibri" w:cs="Calibri"/>
          <w:szCs w:val="24"/>
        </w:rPr>
        <w:t>metabolism</w:t>
      </w:r>
    </w:p>
    <w:p w14:paraId="72FC8A7E" w14:textId="77777777" w:rsidR="004C1544" w:rsidRPr="005D53A7" w:rsidRDefault="004C1544" w:rsidP="005D53A7">
      <w:pPr>
        <w:jc w:val="both"/>
        <w:rPr>
          <w:rFonts w:ascii="Calibri" w:hAnsi="Calibri" w:cs="Calibri"/>
          <w:b/>
          <w:bCs/>
          <w:szCs w:val="24"/>
        </w:rPr>
      </w:pPr>
    </w:p>
    <w:p w14:paraId="4EC02DCD" w14:textId="77777777" w:rsidR="00045C71" w:rsidRDefault="00144B7F" w:rsidP="00B70634">
      <w:pPr>
        <w:rPr>
          <w:rFonts w:ascii="Calibri" w:hAnsi="Calibri" w:cs="Calibri"/>
          <w:b/>
          <w:bCs/>
          <w:szCs w:val="24"/>
        </w:rPr>
      </w:pPr>
      <w:r w:rsidRPr="005D53A7">
        <w:rPr>
          <w:rFonts w:ascii="Calibri" w:hAnsi="Calibri" w:cs="Calibri"/>
          <w:b/>
          <w:bCs/>
          <w:szCs w:val="24"/>
        </w:rPr>
        <w:t xml:space="preserve">SUMMARY: </w:t>
      </w:r>
    </w:p>
    <w:p w14:paraId="7FBFEEA3" w14:textId="6228B54D" w:rsidR="006B2198" w:rsidRPr="00B70634" w:rsidRDefault="00144B7F" w:rsidP="00B70634">
      <w:r w:rsidRPr="005D53A7">
        <w:rPr>
          <w:rFonts w:ascii="Calibri" w:hAnsi="Calibri" w:cs="Calibri"/>
          <w:szCs w:val="24"/>
        </w:rPr>
        <w:t xml:space="preserve">Here we </w:t>
      </w:r>
      <w:r w:rsidR="00971B2B" w:rsidRPr="005D53A7">
        <w:rPr>
          <w:rFonts w:ascii="Calibri" w:hAnsi="Calibri" w:cs="Calibri"/>
          <w:szCs w:val="24"/>
        </w:rPr>
        <w:t xml:space="preserve">describe </w:t>
      </w:r>
      <w:r w:rsidRPr="005D53A7">
        <w:rPr>
          <w:rFonts w:ascii="Calibri" w:hAnsi="Calibri" w:cs="Calibri"/>
          <w:szCs w:val="24"/>
        </w:rPr>
        <w:t xml:space="preserve">a </w:t>
      </w:r>
      <w:r w:rsidR="00971B2B" w:rsidRPr="005D53A7">
        <w:rPr>
          <w:rFonts w:ascii="Calibri" w:hAnsi="Calibri" w:cs="Calibri"/>
          <w:szCs w:val="24"/>
        </w:rPr>
        <w:t xml:space="preserve">reliable </w:t>
      </w:r>
      <w:r w:rsidR="00EB0D3C" w:rsidRPr="005D53A7">
        <w:rPr>
          <w:rFonts w:ascii="Calibri" w:hAnsi="Calibri" w:cs="Calibri"/>
          <w:szCs w:val="24"/>
        </w:rPr>
        <w:t>method to measure mi</w:t>
      </w:r>
      <w:r w:rsidR="00971B2B" w:rsidRPr="005D53A7">
        <w:rPr>
          <w:rFonts w:ascii="Calibri" w:hAnsi="Calibri" w:cs="Calibri"/>
          <w:szCs w:val="24"/>
        </w:rPr>
        <w:t xml:space="preserve">tochondrial mass and membrane potential in </w:t>
      </w:r>
      <w:r w:rsidR="00B70634" w:rsidRPr="005C116B">
        <w:rPr>
          <w:rFonts w:cstheme="minorHAnsi"/>
        </w:rPr>
        <w:t>ex vivo</w:t>
      </w:r>
      <w:r w:rsidR="00971B2B" w:rsidRPr="005D53A7">
        <w:rPr>
          <w:rFonts w:ascii="Calibri" w:hAnsi="Calibri" w:cs="Calibri"/>
          <w:szCs w:val="24"/>
        </w:rPr>
        <w:t xml:space="preserve"> cultured hematopoietic stem cells</w:t>
      </w:r>
      <w:r w:rsidR="009F5742" w:rsidRPr="005D53A7">
        <w:rPr>
          <w:rFonts w:ascii="Calibri" w:hAnsi="Calibri" w:cs="Calibri"/>
          <w:szCs w:val="24"/>
        </w:rPr>
        <w:t xml:space="preserve"> and T cells</w:t>
      </w:r>
      <w:r w:rsidR="00971B2B" w:rsidRPr="005D53A7">
        <w:rPr>
          <w:rFonts w:ascii="Calibri" w:hAnsi="Calibri" w:cs="Calibri"/>
          <w:szCs w:val="24"/>
        </w:rPr>
        <w:t>.</w:t>
      </w:r>
      <w:r w:rsidR="00B70634" w:rsidRPr="00B70634" w:rsidDel="00B70634">
        <w:t xml:space="preserve"> </w:t>
      </w:r>
    </w:p>
    <w:p w14:paraId="601B2DCB" w14:textId="77777777" w:rsidR="004C1544" w:rsidRPr="005D53A7" w:rsidRDefault="004C1544" w:rsidP="005D53A7">
      <w:pPr>
        <w:jc w:val="both"/>
        <w:rPr>
          <w:rFonts w:ascii="Calibri" w:hAnsi="Calibri" w:cs="Calibri"/>
          <w:b/>
          <w:bCs/>
          <w:szCs w:val="24"/>
        </w:rPr>
      </w:pPr>
    </w:p>
    <w:p w14:paraId="0DB89E10" w14:textId="5ED8D4BE" w:rsidR="004C1544" w:rsidRPr="005D53A7" w:rsidRDefault="00144B7F" w:rsidP="00045C71">
      <w:pPr>
        <w:rPr>
          <w:rFonts w:ascii="Calibri" w:hAnsi="Calibri" w:cs="Calibri"/>
          <w:b/>
          <w:bCs/>
          <w:szCs w:val="24"/>
        </w:rPr>
      </w:pPr>
      <w:r w:rsidRPr="005D53A7">
        <w:rPr>
          <w:rFonts w:ascii="Calibri" w:hAnsi="Calibri" w:cs="Calibri"/>
          <w:b/>
          <w:bCs/>
          <w:szCs w:val="24"/>
        </w:rPr>
        <w:t>ABSTRACT:</w:t>
      </w:r>
    </w:p>
    <w:p w14:paraId="27D177D6" w14:textId="1001C3D6" w:rsidR="004E1734" w:rsidRPr="005D53A7" w:rsidRDefault="00313F99" w:rsidP="005D53A7">
      <w:pPr>
        <w:jc w:val="both"/>
        <w:rPr>
          <w:rFonts w:ascii="Calibri" w:hAnsi="Calibri" w:cs="Calibri"/>
          <w:szCs w:val="24"/>
        </w:rPr>
      </w:pPr>
      <w:r w:rsidRPr="005D53A7">
        <w:rPr>
          <w:rFonts w:ascii="Calibri" w:hAnsi="Calibri" w:cs="Calibri"/>
          <w:szCs w:val="24"/>
        </w:rPr>
        <w:t>A fine balance of quiescence, self-renewal</w:t>
      </w:r>
      <w:r w:rsidR="00314E6A">
        <w:rPr>
          <w:rFonts w:ascii="Calibri" w:hAnsi="Calibri" w:cs="Calibri"/>
          <w:szCs w:val="24"/>
        </w:rPr>
        <w:t>,</w:t>
      </w:r>
      <w:r w:rsidRPr="005D53A7">
        <w:rPr>
          <w:rFonts w:ascii="Calibri" w:hAnsi="Calibri" w:cs="Calibri"/>
          <w:szCs w:val="24"/>
        </w:rPr>
        <w:t xml:space="preserve"> and differentiation is key to preserve the hematopoietic stem cell (HSC) pool and maintain lifelong production of all mature blood cells. In recent years cellular metabolism has emerged as a crucial regulator </w:t>
      </w:r>
      <w:r w:rsidR="005E2734" w:rsidRPr="005D53A7">
        <w:rPr>
          <w:rFonts w:ascii="Calibri" w:hAnsi="Calibri" w:cs="Calibri"/>
          <w:szCs w:val="24"/>
        </w:rPr>
        <w:t>of</w:t>
      </w:r>
      <w:r w:rsidRPr="005D53A7">
        <w:rPr>
          <w:rFonts w:ascii="Calibri" w:hAnsi="Calibri" w:cs="Calibri"/>
          <w:szCs w:val="24"/>
        </w:rPr>
        <w:t xml:space="preserve"> HSC </w:t>
      </w:r>
      <w:r w:rsidR="005E2734" w:rsidRPr="005D53A7">
        <w:rPr>
          <w:rFonts w:ascii="Calibri" w:hAnsi="Calibri" w:cs="Calibri"/>
          <w:szCs w:val="24"/>
        </w:rPr>
        <w:t xml:space="preserve">function and </w:t>
      </w:r>
      <w:r w:rsidRPr="005D53A7">
        <w:rPr>
          <w:rFonts w:ascii="Calibri" w:hAnsi="Calibri" w:cs="Calibri"/>
          <w:szCs w:val="24"/>
        </w:rPr>
        <w:t xml:space="preserve">fate. </w:t>
      </w:r>
      <w:r w:rsidR="00740E43" w:rsidRPr="005D53A7">
        <w:rPr>
          <w:rFonts w:ascii="Calibri" w:hAnsi="Calibri" w:cs="Calibri"/>
          <w:szCs w:val="24"/>
        </w:rPr>
        <w:t xml:space="preserve">We </w:t>
      </w:r>
      <w:r w:rsidR="00493B5B" w:rsidRPr="005D53A7">
        <w:rPr>
          <w:rFonts w:ascii="Calibri" w:hAnsi="Calibri" w:cs="Calibri"/>
          <w:szCs w:val="24"/>
        </w:rPr>
        <w:t xml:space="preserve">have </w:t>
      </w:r>
      <w:r w:rsidR="00740E43" w:rsidRPr="005D53A7">
        <w:rPr>
          <w:rFonts w:ascii="Calibri" w:hAnsi="Calibri" w:cs="Calibri"/>
          <w:szCs w:val="24"/>
        </w:rPr>
        <w:t>previously demonstrated that modulation of mitochondrial metabolism influences HSC fate</w:t>
      </w:r>
      <w:r w:rsidR="00493B5B" w:rsidRPr="005D53A7">
        <w:rPr>
          <w:rFonts w:ascii="Calibri" w:hAnsi="Calibri" w:cs="Calibri"/>
          <w:szCs w:val="24"/>
        </w:rPr>
        <w:t xml:space="preserve">. </w:t>
      </w:r>
      <w:r w:rsidR="001B4ECD" w:rsidRPr="005D53A7">
        <w:rPr>
          <w:rFonts w:ascii="Calibri" w:hAnsi="Calibri" w:cs="Calibri"/>
          <w:szCs w:val="24"/>
        </w:rPr>
        <w:t xml:space="preserve">Specifically, </w:t>
      </w:r>
      <w:r w:rsidR="00740E43" w:rsidRPr="005D53A7">
        <w:rPr>
          <w:rFonts w:ascii="Calibri" w:hAnsi="Calibri" w:cs="Calibri"/>
          <w:szCs w:val="24"/>
        </w:rPr>
        <w:t>by chemically uncoupling the electron transport chain we were able to maintain HSC function in culture conditions that normally induce rapid differentiation. However, limiting HSC numbers often preclude</w:t>
      </w:r>
      <w:r w:rsidR="00C64DA5">
        <w:rPr>
          <w:rFonts w:ascii="Calibri" w:hAnsi="Calibri" w:cs="Calibri"/>
          <w:szCs w:val="24"/>
        </w:rPr>
        <w:t>s</w:t>
      </w:r>
      <w:r w:rsidR="00740E43" w:rsidRPr="005D53A7">
        <w:rPr>
          <w:rFonts w:ascii="Calibri" w:hAnsi="Calibri" w:cs="Calibri"/>
          <w:szCs w:val="24"/>
        </w:rPr>
        <w:t xml:space="preserve"> the use of standard assays to measure HSC metabolism and therefore </w:t>
      </w:r>
      <w:r w:rsidR="00740E43" w:rsidRPr="005D53A7">
        <w:rPr>
          <w:rFonts w:ascii="Calibri" w:hAnsi="Calibri" w:cs="Calibri"/>
          <w:szCs w:val="24"/>
        </w:rPr>
        <w:lastRenderedPageBreak/>
        <w:t>predict their function.</w:t>
      </w:r>
      <w:r w:rsidR="006B2198">
        <w:rPr>
          <w:rFonts w:ascii="Calibri" w:hAnsi="Calibri" w:cs="Calibri"/>
          <w:szCs w:val="24"/>
        </w:rPr>
        <w:t xml:space="preserve"> </w:t>
      </w:r>
      <w:r w:rsidR="00740E43" w:rsidRPr="005D53A7">
        <w:rPr>
          <w:rFonts w:ascii="Calibri" w:hAnsi="Calibri" w:cs="Calibri"/>
          <w:szCs w:val="24"/>
        </w:rPr>
        <w:t>Here</w:t>
      </w:r>
      <w:r w:rsidR="00C64DA5">
        <w:rPr>
          <w:rFonts w:ascii="Calibri" w:hAnsi="Calibri" w:cs="Calibri"/>
          <w:szCs w:val="24"/>
        </w:rPr>
        <w:t>,</w:t>
      </w:r>
      <w:r w:rsidR="00740E43" w:rsidRPr="005D53A7">
        <w:rPr>
          <w:rFonts w:ascii="Calibri" w:hAnsi="Calibri" w:cs="Calibri"/>
          <w:szCs w:val="24"/>
        </w:rPr>
        <w:t xml:space="preserve"> we report a simple flow cytometry assay that allows reliable measurement of mitochondrial membrane potential and mitochondrial mass in </w:t>
      </w:r>
      <w:r w:rsidR="006B2198">
        <w:rPr>
          <w:rFonts w:ascii="Calibri" w:hAnsi="Calibri" w:cs="Calibri"/>
          <w:szCs w:val="24"/>
        </w:rPr>
        <w:t>scarce</w:t>
      </w:r>
      <w:r w:rsidR="006B2198" w:rsidRPr="005D53A7" w:rsidDel="006B2198">
        <w:rPr>
          <w:rFonts w:ascii="Calibri" w:hAnsi="Calibri" w:cs="Calibri"/>
          <w:szCs w:val="24"/>
        </w:rPr>
        <w:t xml:space="preserve"> </w:t>
      </w:r>
      <w:r w:rsidR="00740E43" w:rsidRPr="005D53A7">
        <w:rPr>
          <w:rFonts w:ascii="Calibri" w:hAnsi="Calibri" w:cs="Calibri"/>
          <w:szCs w:val="24"/>
        </w:rPr>
        <w:t xml:space="preserve">cells such as HSCs. We </w:t>
      </w:r>
      <w:r w:rsidR="00EC1A06" w:rsidRPr="005D53A7">
        <w:rPr>
          <w:rFonts w:ascii="Calibri" w:hAnsi="Calibri" w:cs="Calibri"/>
          <w:szCs w:val="24"/>
        </w:rPr>
        <w:t xml:space="preserve">discuss the isolation of HSCs from mouse bone marrow and measurement of mitochondrial mass and membrane potential post ex vivo culture. As an example, we show the modulation of these parameters in HSCs via </w:t>
      </w:r>
      <w:r w:rsidR="009A1AE6" w:rsidRPr="005D53A7">
        <w:rPr>
          <w:rFonts w:ascii="Calibri" w:hAnsi="Calibri" w:cs="Calibri"/>
          <w:szCs w:val="24"/>
        </w:rPr>
        <w:t xml:space="preserve">treatment with </w:t>
      </w:r>
      <w:r w:rsidR="006779C4" w:rsidRPr="005D53A7">
        <w:rPr>
          <w:rFonts w:ascii="Calibri" w:hAnsi="Calibri" w:cs="Calibri"/>
          <w:szCs w:val="24"/>
        </w:rPr>
        <w:t xml:space="preserve">a </w:t>
      </w:r>
      <w:r w:rsidR="00EC1A06" w:rsidRPr="005D53A7">
        <w:rPr>
          <w:rFonts w:ascii="Calibri" w:hAnsi="Calibri" w:cs="Calibri"/>
          <w:szCs w:val="24"/>
        </w:rPr>
        <w:t xml:space="preserve">metabolic modulator. </w:t>
      </w:r>
      <w:r w:rsidR="00221C7B" w:rsidRPr="005D53A7">
        <w:rPr>
          <w:rFonts w:ascii="Calibri" w:hAnsi="Calibri" w:cs="Calibri"/>
          <w:szCs w:val="24"/>
        </w:rPr>
        <w:t>Moreover, w</w:t>
      </w:r>
      <w:r w:rsidR="00F260FA" w:rsidRPr="005D53A7">
        <w:rPr>
          <w:rFonts w:ascii="Calibri" w:hAnsi="Calibri" w:cs="Calibri"/>
          <w:szCs w:val="24"/>
        </w:rPr>
        <w:t>e extend the application of this methodology on human peripheral blood</w:t>
      </w:r>
      <w:r w:rsidR="00C64DA5">
        <w:rPr>
          <w:rFonts w:ascii="Calibri" w:hAnsi="Calibri" w:cs="Calibri"/>
          <w:szCs w:val="24"/>
        </w:rPr>
        <w:t>-</w:t>
      </w:r>
      <w:r w:rsidR="00F260FA" w:rsidRPr="005D53A7">
        <w:rPr>
          <w:rFonts w:ascii="Calibri" w:hAnsi="Calibri" w:cs="Calibri"/>
          <w:szCs w:val="24"/>
        </w:rPr>
        <w:t xml:space="preserve">derived </w:t>
      </w:r>
      <w:r w:rsidR="00314E6A">
        <w:rPr>
          <w:rFonts w:ascii="Calibri" w:hAnsi="Calibri" w:cs="Calibri"/>
          <w:szCs w:val="24"/>
        </w:rPr>
        <w:t>T cell</w:t>
      </w:r>
      <w:r w:rsidR="00F260FA" w:rsidRPr="005D53A7">
        <w:rPr>
          <w:rFonts w:ascii="Calibri" w:hAnsi="Calibri" w:cs="Calibri"/>
          <w:szCs w:val="24"/>
        </w:rPr>
        <w:t>s and human tumor infiltrating lymphocytes</w:t>
      </w:r>
      <w:r w:rsidR="00221C7B" w:rsidRPr="005D53A7">
        <w:rPr>
          <w:rFonts w:ascii="Calibri" w:hAnsi="Calibri" w:cs="Calibri"/>
          <w:szCs w:val="24"/>
        </w:rPr>
        <w:t xml:space="preserve"> (TILs)</w:t>
      </w:r>
      <w:r w:rsidR="00723577" w:rsidRPr="005D53A7">
        <w:rPr>
          <w:rFonts w:ascii="Calibri" w:hAnsi="Calibri" w:cs="Calibri"/>
          <w:szCs w:val="24"/>
        </w:rPr>
        <w:t>,</w:t>
      </w:r>
      <w:r w:rsidR="00F260FA" w:rsidRPr="005D53A7">
        <w:rPr>
          <w:rFonts w:ascii="Calibri" w:hAnsi="Calibri" w:cs="Calibri"/>
          <w:szCs w:val="24"/>
        </w:rPr>
        <w:t xml:space="preserve"> showing dramatic differences in their mitochondrial profiles</w:t>
      </w:r>
      <w:r w:rsidR="00221C7B" w:rsidRPr="005D53A7">
        <w:rPr>
          <w:rFonts w:ascii="Calibri" w:hAnsi="Calibri" w:cs="Calibri"/>
          <w:szCs w:val="24"/>
        </w:rPr>
        <w:t>, possibly</w:t>
      </w:r>
      <w:r w:rsidR="00F260FA" w:rsidRPr="005D53A7">
        <w:rPr>
          <w:rFonts w:ascii="Calibri" w:hAnsi="Calibri" w:cs="Calibri"/>
          <w:szCs w:val="24"/>
        </w:rPr>
        <w:t xml:space="preserve"> reflecting</w:t>
      </w:r>
      <w:r w:rsidR="00221C7B" w:rsidRPr="005D53A7">
        <w:rPr>
          <w:rFonts w:ascii="Calibri" w:hAnsi="Calibri" w:cs="Calibri"/>
          <w:szCs w:val="24"/>
        </w:rPr>
        <w:t xml:space="preserve"> different </w:t>
      </w:r>
      <w:r w:rsidR="00314E6A">
        <w:rPr>
          <w:rFonts w:ascii="Calibri" w:hAnsi="Calibri" w:cs="Calibri"/>
          <w:szCs w:val="24"/>
        </w:rPr>
        <w:t>T cell</w:t>
      </w:r>
      <w:r w:rsidR="00221C7B" w:rsidRPr="005D53A7">
        <w:rPr>
          <w:rFonts w:ascii="Calibri" w:hAnsi="Calibri" w:cs="Calibri"/>
          <w:szCs w:val="24"/>
        </w:rPr>
        <w:t xml:space="preserve"> functionality.</w:t>
      </w:r>
      <w:r w:rsidR="00F260FA" w:rsidRPr="005D53A7">
        <w:rPr>
          <w:rFonts w:ascii="Calibri" w:hAnsi="Calibri" w:cs="Calibri"/>
          <w:szCs w:val="24"/>
        </w:rPr>
        <w:t xml:space="preserve"> </w:t>
      </w:r>
      <w:r w:rsidR="00221C7B" w:rsidRPr="005D53A7">
        <w:rPr>
          <w:rFonts w:ascii="Calibri" w:hAnsi="Calibri" w:cs="Calibri"/>
          <w:szCs w:val="24"/>
        </w:rPr>
        <w:t xml:space="preserve">We </w:t>
      </w:r>
      <w:r w:rsidR="001B6AE9" w:rsidRPr="005D53A7">
        <w:rPr>
          <w:rFonts w:ascii="Calibri" w:hAnsi="Calibri" w:cs="Calibri"/>
          <w:szCs w:val="24"/>
        </w:rPr>
        <w:t>believe</w:t>
      </w:r>
      <w:r w:rsidR="00EC1A06" w:rsidRPr="005D53A7">
        <w:rPr>
          <w:rFonts w:ascii="Calibri" w:hAnsi="Calibri" w:cs="Calibri"/>
          <w:szCs w:val="24"/>
        </w:rPr>
        <w:t xml:space="preserve"> this assay can be employed in</w:t>
      </w:r>
      <w:r w:rsidR="006779C4" w:rsidRPr="005D53A7">
        <w:rPr>
          <w:rFonts w:ascii="Calibri" w:hAnsi="Calibri" w:cs="Calibri"/>
          <w:szCs w:val="24"/>
        </w:rPr>
        <w:t xml:space="preserve"> </w:t>
      </w:r>
      <w:r w:rsidR="00EC1A06" w:rsidRPr="005D53A7">
        <w:rPr>
          <w:rFonts w:ascii="Calibri" w:hAnsi="Calibri" w:cs="Calibri"/>
          <w:szCs w:val="24"/>
        </w:rPr>
        <w:t>screenings to identify modulators of mitochondrial metabolism in various cell types in different contexts.</w:t>
      </w:r>
    </w:p>
    <w:p w14:paraId="103725B3" w14:textId="77777777" w:rsidR="00313F99" w:rsidRPr="005D53A7" w:rsidRDefault="00313F99" w:rsidP="005D53A7">
      <w:pPr>
        <w:jc w:val="both"/>
        <w:rPr>
          <w:rFonts w:ascii="Calibri" w:hAnsi="Calibri" w:cs="Calibri"/>
          <w:b/>
          <w:bCs/>
          <w:szCs w:val="24"/>
        </w:rPr>
      </w:pPr>
    </w:p>
    <w:p w14:paraId="24DAE96A" w14:textId="5CB47B4A" w:rsidR="004C1544" w:rsidRPr="005D53A7" w:rsidRDefault="00144B7F" w:rsidP="005D53A7">
      <w:pPr>
        <w:jc w:val="both"/>
        <w:rPr>
          <w:rFonts w:ascii="Calibri" w:hAnsi="Calibri" w:cs="Calibri"/>
          <w:b/>
          <w:bCs/>
          <w:szCs w:val="24"/>
        </w:rPr>
      </w:pPr>
      <w:r w:rsidRPr="005D53A7">
        <w:rPr>
          <w:rFonts w:ascii="Calibri" w:hAnsi="Calibri" w:cs="Calibri"/>
          <w:b/>
          <w:bCs/>
          <w:szCs w:val="24"/>
        </w:rPr>
        <w:t>INTRODUCTION:</w:t>
      </w:r>
    </w:p>
    <w:p w14:paraId="2C57A627" w14:textId="674E52FB" w:rsidR="005A7DF2" w:rsidRDefault="00313F99" w:rsidP="005D53A7">
      <w:pPr>
        <w:jc w:val="both"/>
        <w:rPr>
          <w:rFonts w:ascii="Calibri" w:hAnsi="Calibri" w:cs="Calibri"/>
          <w:szCs w:val="24"/>
        </w:rPr>
      </w:pPr>
      <w:r w:rsidRPr="005D53A7">
        <w:rPr>
          <w:rFonts w:ascii="Calibri" w:hAnsi="Calibri" w:cs="Calibri"/>
          <w:szCs w:val="24"/>
        </w:rPr>
        <w:t>Hematopoietic stem cells (HSCs)</w:t>
      </w:r>
      <w:r w:rsidR="006779C4" w:rsidRPr="005D53A7">
        <w:rPr>
          <w:rFonts w:ascii="Calibri" w:hAnsi="Calibri" w:cs="Calibri"/>
          <w:szCs w:val="24"/>
        </w:rPr>
        <w:t xml:space="preserve"> are </w:t>
      </w:r>
      <w:r w:rsidRPr="005D53A7">
        <w:rPr>
          <w:rFonts w:ascii="Calibri" w:hAnsi="Calibri" w:cs="Calibri"/>
          <w:szCs w:val="24"/>
        </w:rPr>
        <w:t>a small</w:t>
      </w:r>
      <w:r w:rsidR="00493B5B" w:rsidRPr="005D53A7">
        <w:rPr>
          <w:rFonts w:ascii="Calibri" w:hAnsi="Calibri" w:cs="Calibri"/>
          <w:szCs w:val="24"/>
        </w:rPr>
        <w:t xml:space="preserve"> population</w:t>
      </w:r>
      <w:r w:rsidRPr="005D53A7">
        <w:rPr>
          <w:rFonts w:ascii="Calibri" w:hAnsi="Calibri" w:cs="Calibri"/>
          <w:szCs w:val="24"/>
        </w:rPr>
        <w:t xml:space="preserve"> </w:t>
      </w:r>
      <w:r w:rsidR="006779C4" w:rsidRPr="005D53A7">
        <w:rPr>
          <w:rFonts w:ascii="Calibri" w:hAnsi="Calibri" w:cs="Calibri"/>
          <w:szCs w:val="24"/>
        </w:rPr>
        <w:t xml:space="preserve">of cells </w:t>
      </w:r>
      <w:r w:rsidRPr="005D53A7">
        <w:rPr>
          <w:rFonts w:ascii="Calibri" w:hAnsi="Calibri" w:cs="Calibri"/>
          <w:szCs w:val="24"/>
        </w:rPr>
        <w:t xml:space="preserve">residing in the </w:t>
      </w:r>
      <w:r w:rsidR="00C64DA5">
        <w:rPr>
          <w:rFonts w:ascii="Calibri" w:hAnsi="Calibri" w:cs="Calibri"/>
          <w:szCs w:val="24"/>
        </w:rPr>
        <w:t>bone marrow</w:t>
      </w:r>
      <w:r w:rsidRPr="005D53A7">
        <w:rPr>
          <w:rFonts w:ascii="Calibri" w:hAnsi="Calibri" w:cs="Calibri"/>
          <w:szCs w:val="24"/>
        </w:rPr>
        <w:t xml:space="preserve"> ensuring </w:t>
      </w:r>
      <w:r w:rsidR="00493B5B" w:rsidRPr="005D53A7">
        <w:rPr>
          <w:rFonts w:ascii="Calibri" w:hAnsi="Calibri" w:cs="Calibri"/>
          <w:szCs w:val="24"/>
        </w:rPr>
        <w:t xml:space="preserve">blood </w:t>
      </w:r>
      <w:r w:rsidRPr="005D53A7">
        <w:rPr>
          <w:rFonts w:ascii="Calibri" w:hAnsi="Calibri" w:cs="Calibri"/>
          <w:szCs w:val="24"/>
        </w:rPr>
        <w:t>production</w:t>
      </w:r>
      <w:r w:rsidR="00493B5B" w:rsidRPr="005D53A7">
        <w:rPr>
          <w:rFonts w:ascii="Calibri" w:hAnsi="Calibri" w:cs="Calibri"/>
          <w:szCs w:val="24"/>
        </w:rPr>
        <w:t xml:space="preserve"> and homeostasis</w:t>
      </w:r>
      <w:r w:rsidRPr="005D53A7">
        <w:rPr>
          <w:rFonts w:ascii="Calibri" w:hAnsi="Calibri" w:cs="Calibri"/>
          <w:szCs w:val="24"/>
        </w:rPr>
        <w:t xml:space="preserve"> throughout an organism</w:t>
      </w:r>
      <w:r w:rsidR="00FB319C" w:rsidRPr="00FB319C">
        <w:rPr>
          <w:rFonts w:ascii="Calibri" w:hAnsi="Calibri" w:cs="Calibri"/>
          <w:szCs w:val="24"/>
        </w:rPr>
        <w:t>’s</w:t>
      </w:r>
      <w:r w:rsidRPr="005D53A7">
        <w:rPr>
          <w:rFonts w:ascii="Calibri" w:hAnsi="Calibri" w:cs="Calibri"/>
          <w:szCs w:val="24"/>
        </w:rPr>
        <w:t xml:space="preserve"> lifetime. HSCs mediate this process by giving rise to progenitors that in turn produce terminally differentiated mature blood cell lineages via several rounds of cell division and well-orchestrated differentiation steps</w:t>
      </w:r>
      <w:r w:rsidR="00F7048D" w:rsidRPr="005D53A7">
        <w:rPr>
          <w:rFonts w:ascii="Calibri" w:hAnsi="Calibri" w:cs="Calibri"/>
          <w:noProof/>
          <w:szCs w:val="24"/>
          <w:vertAlign w:val="superscript"/>
        </w:rPr>
        <w:t>1</w:t>
      </w:r>
      <w:r w:rsidRPr="005D53A7">
        <w:rPr>
          <w:rFonts w:ascii="Calibri" w:hAnsi="Calibri" w:cs="Calibri"/>
          <w:szCs w:val="24"/>
        </w:rPr>
        <w:t>.</w:t>
      </w:r>
      <w:r w:rsidR="00375ED7" w:rsidRPr="005D53A7">
        <w:rPr>
          <w:rFonts w:ascii="Calibri" w:hAnsi="Calibri" w:cs="Calibri"/>
          <w:szCs w:val="24"/>
        </w:rPr>
        <w:t xml:space="preserve"> </w:t>
      </w:r>
      <w:r w:rsidR="0059230D" w:rsidRPr="005D53A7">
        <w:rPr>
          <w:rFonts w:ascii="Calibri" w:hAnsi="Calibri" w:cs="Calibri"/>
          <w:szCs w:val="24"/>
        </w:rPr>
        <w:t xml:space="preserve">Importantly, </w:t>
      </w:r>
      <w:r w:rsidR="00375ED7" w:rsidRPr="005D53A7">
        <w:rPr>
          <w:rFonts w:ascii="Calibri" w:hAnsi="Calibri" w:cs="Calibri"/>
          <w:szCs w:val="24"/>
        </w:rPr>
        <w:t xml:space="preserve">HSCs </w:t>
      </w:r>
      <w:r w:rsidR="0059230D" w:rsidRPr="005D53A7">
        <w:rPr>
          <w:rFonts w:ascii="Calibri" w:hAnsi="Calibri" w:cs="Calibri"/>
          <w:szCs w:val="24"/>
        </w:rPr>
        <w:t xml:space="preserve">produce their energy </w:t>
      </w:r>
      <w:r w:rsidR="0059230D" w:rsidRPr="00045C71">
        <w:rPr>
          <w:rFonts w:ascii="Calibri" w:hAnsi="Calibri" w:cs="Calibri"/>
          <w:iCs/>
          <w:szCs w:val="24"/>
        </w:rPr>
        <w:t>via</w:t>
      </w:r>
      <w:r w:rsidR="0059230D" w:rsidRPr="005D53A7">
        <w:rPr>
          <w:rFonts w:ascii="Calibri" w:hAnsi="Calibri" w:cs="Calibri"/>
          <w:szCs w:val="24"/>
        </w:rPr>
        <w:t xml:space="preserve"> anaerobic glycolysis</w:t>
      </w:r>
      <w:r w:rsidR="007965F7">
        <w:rPr>
          <w:rFonts w:ascii="Calibri" w:hAnsi="Calibri" w:cs="Calibri"/>
          <w:szCs w:val="24"/>
        </w:rPr>
        <w:t>.</w:t>
      </w:r>
      <w:r w:rsidR="0059230D" w:rsidRPr="005D53A7">
        <w:rPr>
          <w:rFonts w:ascii="Calibri" w:hAnsi="Calibri" w:cs="Calibri"/>
          <w:szCs w:val="24"/>
        </w:rPr>
        <w:t xml:space="preserve"> </w:t>
      </w:r>
      <w:r w:rsidR="007965F7">
        <w:rPr>
          <w:rFonts w:ascii="Calibri" w:hAnsi="Calibri" w:cs="Calibri"/>
          <w:szCs w:val="24"/>
        </w:rPr>
        <w:t>In contrast</w:t>
      </w:r>
      <w:r w:rsidR="006779C4" w:rsidRPr="005D53A7">
        <w:rPr>
          <w:rFonts w:ascii="Calibri" w:hAnsi="Calibri" w:cs="Calibri"/>
          <w:szCs w:val="24"/>
        </w:rPr>
        <w:t>,</w:t>
      </w:r>
      <w:r w:rsidR="0059230D" w:rsidRPr="005D53A7">
        <w:rPr>
          <w:rFonts w:ascii="Calibri" w:hAnsi="Calibri" w:cs="Calibri"/>
          <w:szCs w:val="24"/>
        </w:rPr>
        <w:t xml:space="preserve"> more committed and active hematopoietic progenitors switch their metabolism toward mitochondrial metabolism</w:t>
      </w:r>
      <w:r w:rsidR="00A70315" w:rsidRPr="005D53A7">
        <w:rPr>
          <w:rFonts w:ascii="Calibri" w:hAnsi="Calibri" w:cs="Calibri"/>
          <w:noProof/>
          <w:szCs w:val="24"/>
          <w:vertAlign w:val="superscript"/>
        </w:rPr>
        <w:t>2-4</w:t>
      </w:r>
      <w:r w:rsidR="00375ED7" w:rsidRPr="005D53A7">
        <w:rPr>
          <w:rFonts w:ascii="Calibri" w:hAnsi="Calibri" w:cs="Calibri"/>
          <w:szCs w:val="24"/>
        </w:rPr>
        <w:t xml:space="preserve">. This distinct metabolic state is believed to protect the HSCs from cellular damage inflicted by reactive oxygen species (ROS) </w:t>
      </w:r>
      <w:r w:rsidR="009A1AE6" w:rsidRPr="005D53A7">
        <w:rPr>
          <w:rFonts w:ascii="Calibri" w:hAnsi="Calibri" w:cs="Calibri"/>
          <w:szCs w:val="24"/>
        </w:rPr>
        <w:t xml:space="preserve">produced by </w:t>
      </w:r>
      <w:r w:rsidR="00375ED7" w:rsidRPr="005D53A7">
        <w:rPr>
          <w:rFonts w:ascii="Calibri" w:hAnsi="Calibri" w:cs="Calibri"/>
          <w:szCs w:val="24"/>
        </w:rPr>
        <w:t>active mitochondria, there</w:t>
      </w:r>
      <w:r w:rsidR="007965F7">
        <w:rPr>
          <w:rFonts w:ascii="Calibri" w:hAnsi="Calibri" w:cs="Calibri"/>
          <w:szCs w:val="24"/>
        </w:rPr>
        <w:t>by</w:t>
      </w:r>
      <w:r w:rsidR="00375ED7" w:rsidRPr="005D53A7">
        <w:rPr>
          <w:rFonts w:ascii="Calibri" w:hAnsi="Calibri" w:cs="Calibri"/>
          <w:szCs w:val="24"/>
        </w:rPr>
        <w:t xml:space="preserve"> maintaining their long-term in vivo function</w:t>
      </w:r>
      <w:r w:rsidR="00770915" w:rsidRPr="005D53A7">
        <w:rPr>
          <w:rFonts w:ascii="Calibri" w:hAnsi="Calibri" w:cs="Calibri"/>
          <w:noProof/>
          <w:szCs w:val="24"/>
          <w:vertAlign w:val="superscript"/>
        </w:rPr>
        <w:t>5-8</w:t>
      </w:r>
      <w:r w:rsidR="00A004B6" w:rsidRPr="005D53A7">
        <w:rPr>
          <w:rFonts w:ascii="Calibri" w:hAnsi="Calibri" w:cs="Calibri"/>
          <w:szCs w:val="24"/>
        </w:rPr>
        <w:t xml:space="preserve">. Direct measurement of </w:t>
      </w:r>
      <w:r w:rsidR="007965F7">
        <w:rPr>
          <w:rFonts w:ascii="Calibri" w:hAnsi="Calibri" w:cs="Calibri"/>
          <w:szCs w:val="24"/>
        </w:rPr>
        <w:t xml:space="preserve">the </w:t>
      </w:r>
      <w:r w:rsidR="00A004B6" w:rsidRPr="005D53A7">
        <w:rPr>
          <w:rFonts w:ascii="Calibri" w:hAnsi="Calibri" w:cs="Calibri"/>
          <w:szCs w:val="24"/>
        </w:rPr>
        <w:t xml:space="preserve">HSC metabolic state is challenging and often low throughput due to their </w:t>
      </w:r>
      <w:r w:rsidR="007965F7" w:rsidRPr="005D53A7">
        <w:rPr>
          <w:rFonts w:ascii="Calibri" w:hAnsi="Calibri" w:cs="Calibri"/>
          <w:szCs w:val="24"/>
        </w:rPr>
        <w:t>limit</w:t>
      </w:r>
      <w:r w:rsidR="007965F7">
        <w:rPr>
          <w:rFonts w:ascii="Calibri" w:hAnsi="Calibri" w:cs="Calibri"/>
          <w:szCs w:val="24"/>
        </w:rPr>
        <w:t>ed</w:t>
      </w:r>
      <w:r w:rsidR="007965F7" w:rsidRPr="005D53A7">
        <w:rPr>
          <w:rFonts w:ascii="Calibri" w:hAnsi="Calibri" w:cs="Calibri"/>
          <w:szCs w:val="24"/>
        </w:rPr>
        <w:t xml:space="preserve"> </w:t>
      </w:r>
      <w:r w:rsidR="00A004B6" w:rsidRPr="005D53A7">
        <w:rPr>
          <w:rFonts w:ascii="Calibri" w:hAnsi="Calibri" w:cs="Calibri"/>
          <w:szCs w:val="24"/>
        </w:rPr>
        <w:t>numbers. Here</w:t>
      </w:r>
      <w:r w:rsidR="007965F7">
        <w:rPr>
          <w:rFonts w:ascii="Calibri" w:hAnsi="Calibri" w:cs="Calibri"/>
          <w:szCs w:val="24"/>
        </w:rPr>
        <w:t>,</w:t>
      </w:r>
      <w:r w:rsidR="00A004B6" w:rsidRPr="005D53A7">
        <w:rPr>
          <w:rFonts w:ascii="Calibri" w:hAnsi="Calibri" w:cs="Calibri"/>
          <w:szCs w:val="24"/>
        </w:rPr>
        <w:t xml:space="preserve"> we describe a flow cytometry-based assay for robust measurement of </w:t>
      </w:r>
      <w:r w:rsidR="00A004B6" w:rsidRPr="006B2198">
        <w:rPr>
          <w:rFonts w:ascii="Calibri" w:hAnsi="Calibri" w:cs="Calibri"/>
          <w:szCs w:val="24"/>
        </w:rPr>
        <w:t>mitochondrial membrane potential</w:t>
      </w:r>
      <w:r w:rsidR="0046232A" w:rsidRPr="006B2198">
        <w:rPr>
          <w:rFonts w:ascii="Calibri" w:hAnsi="Calibri" w:cs="Calibri"/>
          <w:szCs w:val="24"/>
        </w:rPr>
        <w:t xml:space="preserve"> (</w:t>
      </w:r>
      <w:proofErr w:type="spellStart"/>
      <w:r w:rsidR="00627AE6" w:rsidRPr="006B2198">
        <w:rPr>
          <w:rFonts w:ascii="Calibri" w:hAnsi="Calibri" w:cs="Calibri"/>
          <w:szCs w:val="24"/>
        </w:rPr>
        <w:t>ΔΨ</w:t>
      </w:r>
      <w:r w:rsidR="0046232A" w:rsidRPr="006B2198">
        <w:rPr>
          <w:rFonts w:ascii="Calibri" w:hAnsi="Calibri" w:cs="Calibri"/>
          <w:szCs w:val="24"/>
        </w:rPr>
        <w:t>m</w:t>
      </w:r>
      <w:proofErr w:type="spellEnd"/>
      <w:r w:rsidR="0046232A" w:rsidRPr="006B2198">
        <w:rPr>
          <w:rFonts w:ascii="Calibri" w:hAnsi="Calibri" w:cs="Calibri"/>
          <w:szCs w:val="24"/>
        </w:rPr>
        <w:t>)</w:t>
      </w:r>
      <w:r w:rsidR="00A004B6" w:rsidRPr="006B2198">
        <w:rPr>
          <w:rFonts w:ascii="Calibri" w:hAnsi="Calibri" w:cs="Calibri"/>
          <w:szCs w:val="24"/>
        </w:rPr>
        <w:t xml:space="preserve"> using </w:t>
      </w:r>
      <w:proofErr w:type="spellStart"/>
      <w:r w:rsidR="00A004B6" w:rsidRPr="006B2198">
        <w:rPr>
          <w:rFonts w:ascii="Calibri" w:hAnsi="Calibri" w:cs="Calibri"/>
          <w:szCs w:val="24"/>
        </w:rPr>
        <w:t>tetramethylrhodamine</w:t>
      </w:r>
      <w:proofErr w:type="spellEnd"/>
      <w:r w:rsidR="00A004B6" w:rsidRPr="006B2198">
        <w:rPr>
          <w:rFonts w:ascii="Calibri" w:hAnsi="Calibri" w:cs="Calibri"/>
          <w:szCs w:val="24"/>
        </w:rPr>
        <w:t xml:space="preserve"> methyl ester (TMRM) fluorescence</w:t>
      </w:r>
      <w:r w:rsidR="006B2198">
        <w:rPr>
          <w:rFonts w:ascii="Calibri" w:hAnsi="Calibri" w:cs="Calibri"/>
          <w:szCs w:val="24"/>
        </w:rPr>
        <w:t>,</w:t>
      </w:r>
      <w:r w:rsidR="00A004B6" w:rsidRPr="005D53A7">
        <w:rPr>
          <w:rFonts w:ascii="Calibri" w:hAnsi="Calibri" w:cs="Calibri"/>
          <w:szCs w:val="24"/>
        </w:rPr>
        <w:t xml:space="preserve"> and mitochondrial mass using </w:t>
      </w:r>
      <w:r w:rsidR="00F11C32">
        <w:rPr>
          <w:rFonts w:ascii="Calibri" w:hAnsi="Calibri" w:cs="Calibri"/>
          <w:szCs w:val="24"/>
        </w:rPr>
        <w:t xml:space="preserve">a </w:t>
      </w:r>
      <w:r w:rsidR="00365A5D">
        <w:rPr>
          <w:rFonts w:ascii="Calibri" w:hAnsi="Calibri" w:cs="Calibri"/>
          <w:szCs w:val="24"/>
        </w:rPr>
        <w:t>green fluorescent</w:t>
      </w:r>
      <w:r w:rsidR="00F11C32">
        <w:rPr>
          <w:rFonts w:ascii="Calibri" w:hAnsi="Calibri" w:cs="Calibri"/>
          <w:szCs w:val="24"/>
        </w:rPr>
        <w:t xml:space="preserve"> mitochondrial stain </w:t>
      </w:r>
      <w:r w:rsidR="00F71752">
        <w:rPr>
          <w:rFonts w:ascii="Calibri" w:hAnsi="Calibri" w:cs="Calibri"/>
          <w:szCs w:val="24"/>
        </w:rPr>
        <w:t>(</w:t>
      </w:r>
      <w:proofErr w:type="spellStart"/>
      <w:r w:rsidR="00F71752">
        <w:rPr>
          <w:rFonts w:ascii="Calibri" w:hAnsi="Calibri" w:cs="Calibri"/>
          <w:szCs w:val="24"/>
        </w:rPr>
        <w:t>Mitotracker</w:t>
      </w:r>
      <w:proofErr w:type="spellEnd"/>
      <w:r w:rsidR="00D30EAC">
        <w:rPr>
          <w:rFonts w:ascii="Calibri" w:hAnsi="Calibri" w:cs="Calibri"/>
          <w:szCs w:val="24"/>
        </w:rPr>
        <w:t xml:space="preserve"> Green</w:t>
      </w:r>
      <w:r w:rsidR="00F71752">
        <w:rPr>
          <w:rFonts w:ascii="Calibri" w:hAnsi="Calibri" w:cs="Calibri"/>
          <w:szCs w:val="24"/>
        </w:rPr>
        <w:t xml:space="preserve">) </w:t>
      </w:r>
      <w:r w:rsidR="00AA1399" w:rsidRPr="005D53A7">
        <w:rPr>
          <w:rFonts w:ascii="Calibri" w:hAnsi="Calibri" w:cs="Calibri"/>
          <w:szCs w:val="24"/>
        </w:rPr>
        <w:t>in HSCs</w:t>
      </w:r>
      <w:r w:rsidR="002D548B" w:rsidRPr="005D53A7">
        <w:rPr>
          <w:rFonts w:ascii="Calibri" w:hAnsi="Calibri" w:cs="Calibri"/>
          <w:szCs w:val="24"/>
        </w:rPr>
        <w:t xml:space="preserve">. </w:t>
      </w:r>
      <w:r w:rsidR="005A7DF2" w:rsidRPr="005D53A7">
        <w:rPr>
          <w:rFonts w:ascii="Calibri" w:hAnsi="Calibri" w:cs="Calibri"/>
          <w:szCs w:val="24"/>
        </w:rPr>
        <w:t xml:space="preserve">We have previously demonstrated that low </w:t>
      </w:r>
      <w:r w:rsidR="00627AE6">
        <w:rPr>
          <w:rFonts w:ascii="Calibri" w:hAnsi="Calibri" w:cs="Calibri"/>
          <w:szCs w:val="24"/>
        </w:rPr>
        <w:t>ΔΨ</w:t>
      </w:r>
      <w:r w:rsidR="005A7DF2" w:rsidRPr="005D53A7">
        <w:rPr>
          <w:rFonts w:ascii="Calibri" w:hAnsi="Calibri" w:cs="Calibri"/>
          <w:szCs w:val="24"/>
        </w:rPr>
        <w:t xml:space="preserve">m is a </w:t>
      </w:r>
      <w:r w:rsidR="005A7DF2" w:rsidRPr="00045C71">
        <w:rPr>
          <w:rFonts w:ascii="Calibri" w:hAnsi="Calibri" w:cs="Calibri"/>
          <w:iCs/>
          <w:szCs w:val="24"/>
        </w:rPr>
        <w:t>bona-fide</w:t>
      </w:r>
      <w:r w:rsidR="005A7DF2" w:rsidRPr="005D53A7">
        <w:rPr>
          <w:rFonts w:ascii="Calibri" w:hAnsi="Calibri" w:cs="Calibri"/>
          <w:szCs w:val="24"/>
        </w:rPr>
        <w:t xml:space="preserve"> functional marker of highly purified HSCs</w:t>
      </w:r>
      <w:r w:rsidR="00E172DB" w:rsidRPr="005D53A7">
        <w:rPr>
          <w:rFonts w:ascii="Calibri" w:hAnsi="Calibri" w:cs="Calibri"/>
          <w:noProof/>
          <w:szCs w:val="24"/>
          <w:vertAlign w:val="superscript"/>
        </w:rPr>
        <w:t>9</w:t>
      </w:r>
      <w:r w:rsidR="005A7DF2" w:rsidRPr="005D53A7">
        <w:rPr>
          <w:rFonts w:ascii="Calibri" w:hAnsi="Calibri" w:cs="Calibri"/>
          <w:szCs w:val="24"/>
        </w:rPr>
        <w:t xml:space="preserve"> and metabolic modulators capable of lowering </w:t>
      </w:r>
      <w:r w:rsidR="00627AE6">
        <w:rPr>
          <w:rFonts w:ascii="Calibri" w:hAnsi="Calibri" w:cs="Calibri"/>
          <w:szCs w:val="24"/>
        </w:rPr>
        <w:t>ΔΨ</w:t>
      </w:r>
      <w:r w:rsidR="005A7DF2" w:rsidRPr="005D53A7">
        <w:rPr>
          <w:rFonts w:ascii="Calibri" w:hAnsi="Calibri" w:cs="Calibri"/>
          <w:szCs w:val="24"/>
        </w:rPr>
        <w:t xml:space="preserve">m enhance HSCs function </w:t>
      </w:r>
      <w:r w:rsidR="002D548B" w:rsidRPr="005D53A7">
        <w:rPr>
          <w:rFonts w:ascii="Calibri" w:hAnsi="Calibri" w:cs="Calibri"/>
          <w:noProof/>
          <w:szCs w:val="24"/>
          <w:vertAlign w:val="superscript"/>
        </w:rPr>
        <w:t>9,10</w:t>
      </w:r>
      <w:r w:rsidR="005A7DF2" w:rsidRPr="005D53A7">
        <w:rPr>
          <w:rFonts w:ascii="Calibri" w:hAnsi="Calibri" w:cs="Calibri"/>
          <w:szCs w:val="24"/>
        </w:rPr>
        <w:t xml:space="preserve">. Here we propose </w:t>
      </w:r>
      <w:r w:rsidR="00D90E86">
        <w:rPr>
          <w:rFonts w:ascii="Calibri" w:hAnsi="Calibri" w:cs="Calibri"/>
          <w:szCs w:val="24"/>
        </w:rPr>
        <w:t xml:space="preserve">use of </w:t>
      </w:r>
      <w:r w:rsidR="005A7DF2" w:rsidRPr="005D53A7">
        <w:rPr>
          <w:rFonts w:ascii="Calibri" w:hAnsi="Calibri" w:cs="Calibri"/>
          <w:szCs w:val="24"/>
        </w:rPr>
        <w:t xml:space="preserve">our method on HSCs mitochondrial profiling as strategy to identify novel molecules capable </w:t>
      </w:r>
      <w:r w:rsidR="008B5314" w:rsidRPr="005D53A7">
        <w:rPr>
          <w:rFonts w:ascii="Calibri" w:hAnsi="Calibri" w:cs="Calibri"/>
          <w:szCs w:val="24"/>
        </w:rPr>
        <w:t xml:space="preserve">of </w:t>
      </w:r>
      <w:r w:rsidR="005A7DF2" w:rsidRPr="005D53A7">
        <w:rPr>
          <w:rFonts w:ascii="Calibri" w:hAnsi="Calibri" w:cs="Calibri"/>
          <w:szCs w:val="24"/>
        </w:rPr>
        <w:t>improv</w:t>
      </w:r>
      <w:r w:rsidR="008B5314" w:rsidRPr="005D53A7">
        <w:rPr>
          <w:rFonts w:ascii="Calibri" w:hAnsi="Calibri" w:cs="Calibri"/>
          <w:szCs w:val="24"/>
        </w:rPr>
        <w:t>ing</w:t>
      </w:r>
      <w:r w:rsidR="005A7DF2" w:rsidRPr="005D53A7">
        <w:rPr>
          <w:rFonts w:ascii="Calibri" w:hAnsi="Calibri" w:cs="Calibri"/>
          <w:szCs w:val="24"/>
        </w:rPr>
        <w:t xml:space="preserve"> </w:t>
      </w:r>
      <w:r w:rsidR="00872462">
        <w:rPr>
          <w:rFonts w:ascii="Calibri" w:hAnsi="Calibri" w:cs="Calibri"/>
          <w:szCs w:val="24"/>
        </w:rPr>
        <w:t xml:space="preserve">the </w:t>
      </w:r>
      <w:r w:rsidR="005A7DF2" w:rsidRPr="005D53A7">
        <w:rPr>
          <w:rFonts w:ascii="Calibri" w:hAnsi="Calibri" w:cs="Calibri"/>
          <w:szCs w:val="24"/>
        </w:rPr>
        <w:t>HSCs</w:t>
      </w:r>
      <w:r w:rsidR="00872462">
        <w:rPr>
          <w:rFonts w:ascii="Calibri" w:hAnsi="Calibri" w:cs="Calibri"/>
          <w:szCs w:val="24"/>
        </w:rPr>
        <w:t>'</w:t>
      </w:r>
      <w:r w:rsidR="005A7DF2" w:rsidRPr="005D53A7">
        <w:rPr>
          <w:rFonts w:ascii="Calibri" w:hAnsi="Calibri" w:cs="Calibri"/>
          <w:szCs w:val="24"/>
        </w:rPr>
        <w:t xml:space="preserve"> long-term blood reconstitution potential</w:t>
      </w:r>
      <w:r w:rsidR="00AA1399" w:rsidRPr="005D53A7">
        <w:rPr>
          <w:rFonts w:ascii="Calibri" w:hAnsi="Calibri" w:cs="Calibri"/>
          <w:szCs w:val="24"/>
        </w:rPr>
        <w:t>.</w:t>
      </w:r>
    </w:p>
    <w:p w14:paraId="01C467DB" w14:textId="77777777" w:rsidR="00627AE6" w:rsidRPr="005D53A7" w:rsidRDefault="00627AE6" w:rsidP="005D53A7">
      <w:pPr>
        <w:jc w:val="both"/>
        <w:rPr>
          <w:rFonts w:ascii="Calibri" w:hAnsi="Calibri" w:cs="Calibri"/>
          <w:szCs w:val="24"/>
        </w:rPr>
      </w:pPr>
    </w:p>
    <w:p w14:paraId="03539A84" w14:textId="7D2F22AD" w:rsidR="00B11C57" w:rsidRPr="005D53A7" w:rsidRDefault="005A7DF2" w:rsidP="005D53A7">
      <w:pPr>
        <w:jc w:val="both"/>
        <w:rPr>
          <w:rFonts w:ascii="Calibri" w:hAnsi="Calibri" w:cs="Calibri"/>
          <w:szCs w:val="24"/>
        </w:rPr>
      </w:pPr>
      <w:r w:rsidRPr="005D53A7">
        <w:rPr>
          <w:rFonts w:ascii="Calibri" w:hAnsi="Calibri" w:cs="Calibri"/>
          <w:szCs w:val="24"/>
        </w:rPr>
        <w:t>A</w:t>
      </w:r>
      <w:r w:rsidR="00E74AD8" w:rsidRPr="005D53A7">
        <w:rPr>
          <w:rFonts w:ascii="Calibri" w:hAnsi="Calibri" w:cs="Calibri"/>
          <w:szCs w:val="24"/>
        </w:rPr>
        <w:t xml:space="preserve">s an </w:t>
      </w:r>
      <w:r w:rsidR="008B5314" w:rsidRPr="005D53A7">
        <w:rPr>
          <w:rFonts w:ascii="Calibri" w:hAnsi="Calibri" w:cs="Calibri"/>
          <w:szCs w:val="24"/>
        </w:rPr>
        <w:t>example,</w:t>
      </w:r>
      <w:r w:rsidR="00E74AD8" w:rsidRPr="005D53A7">
        <w:rPr>
          <w:rFonts w:ascii="Calibri" w:hAnsi="Calibri" w:cs="Calibri"/>
          <w:szCs w:val="24"/>
        </w:rPr>
        <w:t xml:space="preserve"> </w:t>
      </w:r>
      <w:r w:rsidR="00B91B49" w:rsidRPr="005D53A7">
        <w:rPr>
          <w:rFonts w:ascii="Calibri" w:hAnsi="Calibri" w:cs="Calibri"/>
          <w:szCs w:val="24"/>
        </w:rPr>
        <w:t xml:space="preserve">we demonstrate that </w:t>
      </w:r>
      <w:r w:rsidR="00E74AD8" w:rsidRPr="005D53A7">
        <w:rPr>
          <w:rFonts w:ascii="Calibri" w:hAnsi="Calibri" w:cs="Calibri"/>
          <w:szCs w:val="24"/>
        </w:rPr>
        <w:t xml:space="preserve">this assay reliably measures the lowering of HSC </w:t>
      </w:r>
      <w:proofErr w:type="spellStart"/>
      <w:r w:rsidR="00286029">
        <w:rPr>
          <w:rFonts w:ascii="Calibri" w:hAnsi="Calibri" w:cs="Calibri"/>
          <w:szCs w:val="24"/>
        </w:rPr>
        <w:t>ΔΨm</w:t>
      </w:r>
      <w:proofErr w:type="spellEnd"/>
      <w:r w:rsidR="00E74AD8" w:rsidRPr="005D53A7">
        <w:rPr>
          <w:rFonts w:ascii="Calibri" w:hAnsi="Calibri" w:cs="Calibri"/>
          <w:szCs w:val="24"/>
        </w:rPr>
        <w:t xml:space="preserve"> upon </w:t>
      </w:r>
      <w:r w:rsidR="00B91B49" w:rsidRPr="005D53A7">
        <w:rPr>
          <w:rFonts w:ascii="Calibri" w:hAnsi="Calibri" w:cs="Calibri"/>
          <w:szCs w:val="24"/>
        </w:rPr>
        <w:t xml:space="preserve">exposure to vitamin B3 </w:t>
      </w:r>
      <w:r w:rsidRPr="005D53A7">
        <w:rPr>
          <w:rFonts w:ascii="Calibri" w:hAnsi="Calibri" w:cs="Calibri"/>
          <w:szCs w:val="24"/>
        </w:rPr>
        <w:t xml:space="preserve">analog </w:t>
      </w:r>
      <w:r w:rsidR="007965F7" w:rsidRPr="005D53A7">
        <w:rPr>
          <w:rFonts w:ascii="Calibri" w:hAnsi="Calibri" w:cs="Calibri"/>
          <w:szCs w:val="24"/>
        </w:rPr>
        <w:t xml:space="preserve">nicotinamide riboside </w:t>
      </w:r>
      <w:r w:rsidR="00462EEB" w:rsidRPr="005D53A7">
        <w:rPr>
          <w:rFonts w:ascii="Calibri" w:hAnsi="Calibri" w:cs="Calibri"/>
          <w:szCs w:val="24"/>
        </w:rPr>
        <w:t>(NR)</w:t>
      </w:r>
      <w:r w:rsidR="00E74AD8" w:rsidRPr="005D53A7">
        <w:rPr>
          <w:rFonts w:ascii="Calibri" w:hAnsi="Calibri" w:cs="Calibri"/>
          <w:szCs w:val="24"/>
        </w:rPr>
        <w:t>.</w:t>
      </w:r>
      <w:r w:rsidRPr="005D53A7">
        <w:rPr>
          <w:rFonts w:ascii="Calibri" w:hAnsi="Calibri" w:cs="Calibri"/>
          <w:szCs w:val="24"/>
        </w:rPr>
        <w:t xml:space="preserve"> Accordingly, in our recently published study we demonstrate that NR strongly ameliorates blood recovery posttransplant in both mouse and humanized mouse systems by directly improving </w:t>
      </w:r>
      <w:r w:rsidR="008B5314" w:rsidRPr="005D53A7">
        <w:rPr>
          <w:rFonts w:ascii="Calibri" w:hAnsi="Calibri" w:cs="Calibri"/>
          <w:szCs w:val="24"/>
        </w:rPr>
        <w:t>hematopoietic</w:t>
      </w:r>
      <w:r w:rsidRPr="005D53A7">
        <w:rPr>
          <w:rFonts w:ascii="Calibri" w:hAnsi="Calibri" w:cs="Calibri"/>
          <w:szCs w:val="24"/>
        </w:rPr>
        <w:t xml:space="preserve"> stem and progenitor functions</w:t>
      </w:r>
      <w:r w:rsidR="00E172DB" w:rsidRPr="005D53A7">
        <w:rPr>
          <w:rFonts w:ascii="Calibri" w:hAnsi="Calibri" w:cs="Calibri"/>
          <w:noProof/>
          <w:szCs w:val="24"/>
          <w:vertAlign w:val="superscript"/>
        </w:rPr>
        <w:t>10</w:t>
      </w:r>
      <w:r w:rsidR="008979C2" w:rsidRPr="005D53A7">
        <w:rPr>
          <w:rFonts w:ascii="Calibri" w:hAnsi="Calibri" w:cs="Calibri"/>
          <w:szCs w:val="24"/>
        </w:rPr>
        <w:t>. The capacity of such metabolic modulators is of great clinical value considering th</w:t>
      </w:r>
      <w:r w:rsidR="00E81534" w:rsidRPr="005D53A7">
        <w:rPr>
          <w:rFonts w:ascii="Calibri" w:hAnsi="Calibri" w:cs="Calibri"/>
          <w:szCs w:val="24"/>
        </w:rPr>
        <w:t>at</w:t>
      </w:r>
      <w:r w:rsidR="008979C2" w:rsidRPr="005D53A7">
        <w:rPr>
          <w:rFonts w:ascii="Calibri" w:hAnsi="Calibri" w:cs="Calibri"/>
          <w:szCs w:val="24"/>
        </w:rPr>
        <w:t xml:space="preserve"> </w:t>
      </w:r>
      <w:r w:rsidR="007965F7">
        <w:rPr>
          <w:rFonts w:ascii="Calibri" w:hAnsi="Calibri" w:cs="Calibri"/>
          <w:szCs w:val="24"/>
        </w:rPr>
        <w:t xml:space="preserve">a </w:t>
      </w:r>
      <w:r w:rsidR="008979C2" w:rsidRPr="005D53A7">
        <w:rPr>
          <w:rFonts w:ascii="Calibri" w:hAnsi="Calibri" w:cs="Calibri"/>
          <w:szCs w:val="24"/>
        </w:rPr>
        <w:t>2</w:t>
      </w:r>
      <w:r w:rsidR="00B90BF2" w:rsidRPr="005D53A7">
        <w:rPr>
          <w:rFonts w:ascii="Calibri" w:hAnsi="Calibri" w:cs="Calibri"/>
          <w:szCs w:val="24"/>
        </w:rPr>
        <w:t>5</w:t>
      </w:r>
      <w:r w:rsidR="008979C2" w:rsidRPr="005D53A7">
        <w:rPr>
          <w:rFonts w:ascii="Calibri" w:hAnsi="Calibri" w:cs="Calibri"/>
          <w:szCs w:val="24"/>
        </w:rPr>
        <w:t xml:space="preserve">% death rate </w:t>
      </w:r>
      <w:r w:rsidR="00E81534" w:rsidRPr="005D53A7">
        <w:rPr>
          <w:rFonts w:ascii="Calibri" w:hAnsi="Calibri" w:cs="Calibri"/>
          <w:szCs w:val="24"/>
        </w:rPr>
        <w:t xml:space="preserve">is </w:t>
      </w:r>
      <w:r w:rsidR="008979C2" w:rsidRPr="005D53A7">
        <w:rPr>
          <w:rFonts w:ascii="Calibri" w:hAnsi="Calibri" w:cs="Calibri"/>
          <w:szCs w:val="24"/>
        </w:rPr>
        <w:t xml:space="preserve">linked to delay </w:t>
      </w:r>
      <w:r w:rsidR="00E81534" w:rsidRPr="005D53A7">
        <w:rPr>
          <w:rFonts w:ascii="Calibri" w:hAnsi="Calibri" w:cs="Calibri"/>
          <w:szCs w:val="24"/>
        </w:rPr>
        <w:t>i</w:t>
      </w:r>
      <w:r w:rsidR="008979C2" w:rsidRPr="005D53A7">
        <w:rPr>
          <w:rFonts w:ascii="Calibri" w:hAnsi="Calibri" w:cs="Calibri"/>
          <w:szCs w:val="24"/>
        </w:rPr>
        <w:t xml:space="preserve">n blood </w:t>
      </w:r>
      <w:r w:rsidR="00E85359" w:rsidRPr="005D53A7">
        <w:rPr>
          <w:rFonts w:ascii="Calibri" w:hAnsi="Calibri" w:cs="Calibri"/>
          <w:szCs w:val="24"/>
        </w:rPr>
        <w:t xml:space="preserve">and immune </w:t>
      </w:r>
      <w:r w:rsidR="008979C2" w:rsidRPr="005D53A7">
        <w:rPr>
          <w:rFonts w:ascii="Calibri" w:hAnsi="Calibri" w:cs="Calibri"/>
          <w:szCs w:val="24"/>
        </w:rPr>
        <w:t xml:space="preserve">recovery </w:t>
      </w:r>
      <w:r w:rsidR="00AC5D1C" w:rsidRPr="005D53A7">
        <w:rPr>
          <w:rFonts w:ascii="Calibri" w:hAnsi="Calibri" w:cs="Calibri"/>
          <w:szCs w:val="24"/>
        </w:rPr>
        <w:t>in</w:t>
      </w:r>
      <w:r w:rsidR="008979C2" w:rsidRPr="005D53A7">
        <w:rPr>
          <w:rFonts w:ascii="Calibri" w:hAnsi="Calibri" w:cs="Calibri"/>
          <w:szCs w:val="24"/>
        </w:rPr>
        <w:t xml:space="preserve"> </w:t>
      </w:r>
      <w:proofErr w:type="spellStart"/>
      <w:r w:rsidR="008979C2" w:rsidRPr="005D53A7">
        <w:rPr>
          <w:rFonts w:ascii="Calibri" w:hAnsi="Calibri" w:cs="Calibri"/>
          <w:szCs w:val="24"/>
        </w:rPr>
        <w:t>posttransplanted</w:t>
      </w:r>
      <w:proofErr w:type="spellEnd"/>
      <w:r w:rsidR="008979C2" w:rsidRPr="005D53A7">
        <w:rPr>
          <w:rFonts w:ascii="Calibri" w:hAnsi="Calibri" w:cs="Calibri"/>
          <w:szCs w:val="24"/>
        </w:rPr>
        <w:t xml:space="preserve"> patients</w:t>
      </w:r>
      <w:r w:rsidR="00826815" w:rsidRPr="005D53A7">
        <w:rPr>
          <w:rFonts w:ascii="Calibri" w:hAnsi="Calibri" w:cs="Calibri"/>
          <w:noProof/>
          <w:szCs w:val="24"/>
          <w:vertAlign w:val="superscript"/>
        </w:rPr>
        <w:t>11,12</w:t>
      </w:r>
      <w:r w:rsidR="008979C2" w:rsidRPr="005D53A7">
        <w:rPr>
          <w:rFonts w:ascii="Calibri" w:hAnsi="Calibri" w:cs="Calibri"/>
          <w:szCs w:val="24"/>
        </w:rPr>
        <w:t>.</w:t>
      </w:r>
      <w:r w:rsidRPr="005D53A7">
        <w:rPr>
          <w:rFonts w:ascii="Calibri" w:hAnsi="Calibri" w:cs="Calibri"/>
          <w:szCs w:val="24"/>
        </w:rPr>
        <w:t xml:space="preserve"> </w:t>
      </w:r>
    </w:p>
    <w:p w14:paraId="464E0EF1" w14:textId="14524A46" w:rsidR="00B11C57" w:rsidRPr="005D53A7" w:rsidRDefault="006B2198" w:rsidP="005D53A7">
      <w:pPr>
        <w:jc w:val="both"/>
        <w:rPr>
          <w:rFonts w:ascii="Calibri" w:hAnsi="Calibri" w:cs="Calibri"/>
          <w:szCs w:val="24"/>
        </w:rPr>
      </w:pPr>
      <w:r>
        <w:rPr>
          <w:rFonts w:ascii="Calibri" w:hAnsi="Calibri" w:cs="Calibri"/>
          <w:szCs w:val="24"/>
        </w:rPr>
        <w:t xml:space="preserve"> </w:t>
      </w:r>
    </w:p>
    <w:p w14:paraId="57647F97" w14:textId="15FB5EC1" w:rsidR="00CE39C6" w:rsidRDefault="00CE39C6" w:rsidP="005D53A7">
      <w:pPr>
        <w:jc w:val="both"/>
        <w:rPr>
          <w:rFonts w:ascii="Calibri" w:hAnsi="Calibri" w:cs="Calibri"/>
          <w:szCs w:val="24"/>
        </w:rPr>
      </w:pPr>
      <w:r w:rsidRPr="005D53A7">
        <w:rPr>
          <w:rFonts w:ascii="Calibri" w:hAnsi="Calibri" w:cs="Calibri"/>
          <w:szCs w:val="24"/>
        </w:rPr>
        <w:t xml:space="preserve">Moreover, we provide evidence that this methodology can be applied </w:t>
      </w:r>
      <w:r w:rsidR="000E4F20" w:rsidRPr="005D53A7">
        <w:rPr>
          <w:rFonts w:ascii="Calibri" w:hAnsi="Calibri" w:cs="Calibri"/>
          <w:szCs w:val="24"/>
        </w:rPr>
        <w:t>for the</w:t>
      </w:r>
      <w:r w:rsidRPr="005D53A7">
        <w:rPr>
          <w:rFonts w:ascii="Calibri" w:hAnsi="Calibri" w:cs="Calibri"/>
          <w:szCs w:val="24"/>
        </w:rPr>
        <w:t xml:space="preserve"> characteriz</w:t>
      </w:r>
      <w:r w:rsidR="000E4F20" w:rsidRPr="005D53A7">
        <w:rPr>
          <w:rFonts w:ascii="Calibri" w:hAnsi="Calibri" w:cs="Calibri"/>
          <w:szCs w:val="24"/>
        </w:rPr>
        <w:t>ation</w:t>
      </w:r>
      <w:r w:rsidR="00B65298" w:rsidRPr="005D53A7">
        <w:rPr>
          <w:rFonts w:ascii="Calibri" w:hAnsi="Calibri" w:cs="Calibri"/>
          <w:szCs w:val="24"/>
        </w:rPr>
        <w:t xml:space="preserve"> of </w:t>
      </w:r>
      <w:r w:rsidRPr="005D53A7">
        <w:rPr>
          <w:rFonts w:ascii="Calibri" w:hAnsi="Calibri" w:cs="Calibri"/>
          <w:szCs w:val="24"/>
        </w:rPr>
        <w:t>the metabolic profile and function of human T cells. In recent years, the development of adoptive cell therapy (ACT) using autologous tumor infiltrating lymphocytes (TILs) has become the most effective approach for certain types of advanced cancer with extremely unfavorable prognosis</w:t>
      </w:r>
      <w:r w:rsidR="00FE3049" w:rsidRPr="005D53A7">
        <w:rPr>
          <w:rFonts w:ascii="Calibri" w:hAnsi="Calibri" w:cs="Calibri"/>
          <w:szCs w:val="24"/>
        </w:rPr>
        <w:t xml:space="preserve"> </w:t>
      </w:r>
      <w:r w:rsidRPr="005D53A7">
        <w:rPr>
          <w:rFonts w:ascii="Calibri" w:hAnsi="Calibri" w:cs="Calibri"/>
          <w:szCs w:val="24"/>
        </w:rPr>
        <w:t>(</w:t>
      </w:r>
      <w:r w:rsidR="00872462">
        <w:rPr>
          <w:rFonts w:ascii="Calibri" w:hAnsi="Calibri" w:cs="Calibri"/>
          <w:szCs w:val="24"/>
        </w:rPr>
        <w:t>e.g</w:t>
      </w:r>
      <w:r w:rsidRPr="005D53A7">
        <w:rPr>
          <w:rFonts w:ascii="Calibri" w:hAnsi="Calibri" w:cs="Calibri"/>
          <w:szCs w:val="24"/>
        </w:rPr>
        <w:t>.</w:t>
      </w:r>
      <w:r w:rsidR="007965F7">
        <w:rPr>
          <w:rFonts w:ascii="Calibri" w:hAnsi="Calibri" w:cs="Calibri"/>
          <w:szCs w:val="24"/>
        </w:rPr>
        <w:t>,</w:t>
      </w:r>
      <w:r w:rsidRPr="005D53A7">
        <w:rPr>
          <w:rFonts w:ascii="Calibri" w:hAnsi="Calibri" w:cs="Calibri"/>
          <w:szCs w:val="24"/>
        </w:rPr>
        <w:t xml:space="preserve"> metastatic melanoma</w:t>
      </w:r>
      <w:r w:rsidR="007965F7">
        <w:rPr>
          <w:rFonts w:ascii="Calibri" w:hAnsi="Calibri" w:cs="Calibri"/>
          <w:szCs w:val="24"/>
        </w:rPr>
        <w:t>,</w:t>
      </w:r>
      <w:r w:rsidRPr="005D53A7">
        <w:rPr>
          <w:rFonts w:ascii="Calibri" w:hAnsi="Calibri" w:cs="Calibri"/>
          <w:szCs w:val="24"/>
        </w:rPr>
        <w:t xml:space="preserve"> where &gt;50% of patients respon</w:t>
      </w:r>
      <w:r w:rsidR="007965F7">
        <w:rPr>
          <w:rFonts w:ascii="Calibri" w:hAnsi="Calibri" w:cs="Calibri"/>
          <w:szCs w:val="24"/>
        </w:rPr>
        <w:t>d to treatment</w:t>
      </w:r>
      <w:r w:rsidRPr="005D53A7">
        <w:rPr>
          <w:rFonts w:ascii="Calibri" w:hAnsi="Calibri" w:cs="Calibri"/>
          <w:szCs w:val="24"/>
        </w:rPr>
        <w:t xml:space="preserve"> and </w:t>
      </w:r>
      <w:r w:rsidR="00FE3049" w:rsidRPr="005D53A7">
        <w:rPr>
          <w:rFonts w:ascii="Calibri" w:hAnsi="Calibri" w:cs="Calibri"/>
          <w:szCs w:val="24"/>
        </w:rPr>
        <w:t>up to</w:t>
      </w:r>
      <w:r w:rsidRPr="005D53A7">
        <w:rPr>
          <w:rFonts w:ascii="Calibri" w:hAnsi="Calibri" w:cs="Calibri"/>
          <w:szCs w:val="24"/>
        </w:rPr>
        <w:t xml:space="preserve"> 24% of patients have complete regression)</w:t>
      </w:r>
      <w:r w:rsidR="00826815" w:rsidRPr="005D53A7">
        <w:rPr>
          <w:rFonts w:ascii="Calibri" w:hAnsi="Calibri" w:cs="Calibri"/>
          <w:noProof/>
          <w:szCs w:val="24"/>
          <w:vertAlign w:val="superscript"/>
        </w:rPr>
        <w:t>13</w:t>
      </w:r>
      <w:r w:rsidRPr="005D53A7">
        <w:rPr>
          <w:rFonts w:ascii="Calibri" w:hAnsi="Calibri" w:cs="Calibri"/>
          <w:szCs w:val="24"/>
        </w:rPr>
        <w:t xml:space="preserve">. </w:t>
      </w:r>
      <w:r w:rsidR="0046232A" w:rsidRPr="005D53A7">
        <w:rPr>
          <w:rFonts w:ascii="Calibri" w:hAnsi="Calibri" w:cs="Calibri"/>
          <w:szCs w:val="24"/>
        </w:rPr>
        <w:t>However,</w:t>
      </w:r>
      <w:r w:rsidRPr="005D53A7">
        <w:rPr>
          <w:rFonts w:ascii="Calibri" w:hAnsi="Calibri" w:cs="Calibri"/>
          <w:szCs w:val="24"/>
        </w:rPr>
        <w:t xml:space="preserve"> TILs harboring sufficient antitumor activity are </w:t>
      </w:r>
      <w:r w:rsidRPr="005D53A7">
        <w:rPr>
          <w:rFonts w:ascii="Calibri" w:hAnsi="Calibri" w:cs="Calibri"/>
          <w:szCs w:val="24"/>
        </w:rPr>
        <w:lastRenderedPageBreak/>
        <w:t>difficult to generate</w:t>
      </w:r>
      <w:r w:rsidR="00826815" w:rsidRPr="005D53A7">
        <w:rPr>
          <w:rFonts w:ascii="Calibri" w:hAnsi="Calibri" w:cs="Calibri"/>
          <w:noProof/>
          <w:szCs w:val="24"/>
          <w:vertAlign w:val="superscript"/>
        </w:rPr>
        <w:t>14</w:t>
      </w:r>
      <w:r w:rsidRPr="005D53A7">
        <w:rPr>
          <w:rFonts w:ascii="Calibri" w:hAnsi="Calibri" w:cs="Calibri"/>
          <w:szCs w:val="24"/>
        </w:rPr>
        <w:t xml:space="preserve">. The extensive proliferation and stimulation that TILs undergo during ex vivo expansion cause </w:t>
      </w:r>
      <w:r w:rsidR="00314E6A">
        <w:rPr>
          <w:rFonts w:ascii="Calibri" w:hAnsi="Calibri" w:cs="Calibri"/>
          <w:szCs w:val="24"/>
        </w:rPr>
        <w:t>T cell</w:t>
      </w:r>
      <w:r w:rsidRPr="005D53A7">
        <w:rPr>
          <w:rFonts w:ascii="Calibri" w:hAnsi="Calibri" w:cs="Calibri"/>
          <w:szCs w:val="24"/>
        </w:rPr>
        <w:t xml:space="preserve"> exhaustion and senescence that dramatically impair </w:t>
      </w:r>
      <w:r w:rsidR="00314E6A">
        <w:rPr>
          <w:rFonts w:ascii="Calibri" w:hAnsi="Calibri" w:cs="Calibri"/>
          <w:szCs w:val="24"/>
        </w:rPr>
        <w:t>T cell</w:t>
      </w:r>
      <w:r w:rsidRPr="005D53A7">
        <w:rPr>
          <w:rFonts w:ascii="Calibri" w:hAnsi="Calibri" w:cs="Calibri"/>
          <w:szCs w:val="24"/>
        </w:rPr>
        <w:t xml:space="preserve"> antitumor response</w:t>
      </w:r>
      <w:r w:rsidR="00826815" w:rsidRPr="005D53A7">
        <w:rPr>
          <w:rFonts w:ascii="Calibri" w:hAnsi="Calibri" w:cs="Calibri"/>
          <w:noProof/>
          <w:szCs w:val="24"/>
          <w:vertAlign w:val="superscript"/>
        </w:rPr>
        <w:t>15</w:t>
      </w:r>
      <w:r w:rsidRPr="005D53A7">
        <w:rPr>
          <w:rFonts w:ascii="Calibri" w:hAnsi="Calibri" w:cs="Calibri"/>
          <w:szCs w:val="24"/>
        </w:rPr>
        <w:t>. Importantly</w:t>
      </w:r>
      <w:r w:rsidR="007965F7">
        <w:rPr>
          <w:rFonts w:ascii="Calibri" w:hAnsi="Calibri" w:cs="Calibri"/>
          <w:szCs w:val="24"/>
        </w:rPr>
        <w:t>,</w:t>
      </w:r>
      <w:r w:rsidRPr="005D53A7">
        <w:rPr>
          <w:rFonts w:ascii="Calibri" w:hAnsi="Calibri" w:cs="Calibri"/>
          <w:szCs w:val="24"/>
        </w:rPr>
        <w:t xml:space="preserve"> </w:t>
      </w:r>
      <w:r w:rsidR="007965F7">
        <w:rPr>
          <w:rFonts w:ascii="Calibri" w:hAnsi="Calibri" w:cs="Calibri"/>
          <w:szCs w:val="24"/>
        </w:rPr>
        <w:t xml:space="preserve">the </w:t>
      </w:r>
      <w:proofErr w:type="spellStart"/>
      <w:r w:rsidRPr="005D53A7">
        <w:rPr>
          <w:rFonts w:ascii="Calibri" w:hAnsi="Calibri" w:cs="Calibri"/>
          <w:szCs w:val="24"/>
        </w:rPr>
        <w:t>TILs</w:t>
      </w:r>
      <w:r w:rsidR="007965F7">
        <w:rPr>
          <w:rFonts w:ascii="Calibri" w:hAnsi="Calibri" w:cs="Calibri"/>
          <w:szCs w:val="24"/>
        </w:rPr>
        <w:t>'</w:t>
      </w:r>
      <w:proofErr w:type="spellEnd"/>
      <w:r w:rsidRPr="005D53A7">
        <w:rPr>
          <w:rFonts w:ascii="Calibri" w:hAnsi="Calibri" w:cs="Calibri"/>
          <w:szCs w:val="24"/>
        </w:rPr>
        <w:t xml:space="preserve"> antitumoral capacity is tightly linked to their metabolism</w:t>
      </w:r>
      <w:r w:rsidR="00826815" w:rsidRPr="005D53A7">
        <w:rPr>
          <w:rFonts w:ascii="Calibri" w:hAnsi="Calibri" w:cs="Calibri"/>
          <w:noProof/>
          <w:szCs w:val="24"/>
          <w:vertAlign w:val="superscript"/>
        </w:rPr>
        <w:t>16,17</w:t>
      </w:r>
      <w:r w:rsidR="00FE3049" w:rsidRPr="005D53A7">
        <w:rPr>
          <w:rFonts w:ascii="Calibri" w:hAnsi="Calibri" w:cs="Calibri"/>
          <w:szCs w:val="24"/>
        </w:rPr>
        <w:t xml:space="preserve"> </w:t>
      </w:r>
      <w:r w:rsidRPr="005D53A7">
        <w:rPr>
          <w:rFonts w:ascii="Calibri" w:hAnsi="Calibri" w:cs="Calibri"/>
          <w:szCs w:val="24"/>
        </w:rPr>
        <w:t>and approaches aimed to modulate metabolism through the inhibition of the PI3K/</w:t>
      </w:r>
      <w:proofErr w:type="spellStart"/>
      <w:r w:rsidRPr="005D53A7">
        <w:rPr>
          <w:rFonts w:ascii="Calibri" w:hAnsi="Calibri" w:cs="Calibri"/>
          <w:szCs w:val="24"/>
        </w:rPr>
        <w:t>Akt</w:t>
      </w:r>
      <w:proofErr w:type="spellEnd"/>
      <w:r w:rsidRPr="005D53A7">
        <w:rPr>
          <w:rFonts w:ascii="Calibri" w:hAnsi="Calibri" w:cs="Calibri"/>
          <w:szCs w:val="24"/>
        </w:rPr>
        <w:t xml:space="preserve"> pathway have produced encouraging results</w:t>
      </w:r>
      <w:r w:rsidR="00826815" w:rsidRPr="005D53A7">
        <w:rPr>
          <w:rFonts w:ascii="Calibri" w:hAnsi="Calibri" w:cs="Calibri"/>
          <w:noProof/>
          <w:szCs w:val="24"/>
          <w:vertAlign w:val="superscript"/>
        </w:rPr>
        <w:t>18,19</w:t>
      </w:r>
      <w:r w:rsidRPr="005D53A7">
        <w:rPr>
          <w:rFonts w:ascii="Calibri" w:hAnsi="Calibri" w:cs="Calibri"/>
          <w:szCs w:val="24"/>
        </w:rPr>
        <w:t xml:space="preserve">. </w:t>
      </w:r>
      <w:r w:rsidR="00920F1B" w:rsidRPr="005D53A7">
        <w:rPr>
          <w:rFonts w:ascii="Calibri" w:hAnsi="Calibri" w:cs="Calibri"/>
          <w:szCs w:val="24"/>
        </w:rPr>
        <w:t xml:space="preserve">For </w:t>
      </w:r>
      <w:r w:rsidR="00B65298" w:rsidRPr="005D53A7">
        <w:rPr>
          <w:rFonts w:ascii="Calibri" w:hAnsi="Calibri" w:cs="Calibri"/>
          <w:szCs w:val="24"/>
        </w:rPr>
        <w:t>this reason</w:t>
      </w:r>
      <w:r w:rsidR="0046232A" w:rsidRPr="005D53A7">
        <w:rPr>
          <w:rFonts w:ascii="Calibri" w:hAnsi="Calibri" w:cs="Calibri"/>
          <w:szCs w:val="24"/>
        </w:rPr>
        <w:t xml:space="preserve">, we compare </w:t>
      </w:r>
      <w:r w:rsidR="007965F7">
        <w:rPr>
          <w:rFonts w:ascii="Calibri" w:hAnsi="Calibri" w:cs="Calibri"/>
          <w:szCs w:val="24"/>
        </w:rPr>
        <w:t xml:space="preserve">the </w:t>
      </w:r>
      <w:proofErr w:type="spellStart"/>
      <w:r w:rsidR="00627AE6">
        <w:rPr>
          <w:rFonts w:ascii="Calibri" w:hAnsi="Calibri" w:cs="Calibri"/>
          <w:szCs w:val="24"/>
        </w:rPr>
        <w:t>ΔΨ</w:t>
      </w:r>
      <w:r w:rsidR="0046232A" w:rsidRPr="005D53A7">
        <w:rPr>
          <w:rFonts w:ascii="Calibri" w:hAnsi="Calibri" w:cs="Calibri"/>
          <w:szCs w:val="24"/>
        </w:rPr>
        <w:t>m</w:t>
      </w:r>
      <w:proofErr w:type="spellEnd"/>
      <w:r w:rsidR="0046232A" w:rsidRPr="005D53A7">
        <w:rPr>
          <w:rFonts w:ascii="Calibri" w:hAnsi="Calibri" w:cs="Calibri"/>
          <w:szCs w:val="24"/>
        </w:rPr>
        <w:t xml:space="preserve"> of </w:t>
      </w:r>
      <w:r w:rsidR="00872462" w:rsidRPr="005D53A7">
        <w:rPr>
          <w:rFonts w:ascii="Calibri" w:hAnsi="Calibri" w:cs="Calibri"/>
          <w:szCs w:val="24"/>
        </w:rPr>
        <w:t xml:space="preserve">T cells derived </w:t>
      </w:r>
      <w:r w:rsidR="00872462">
        <w:rPr>
          <w:rFonts w:ascii="Calibri" w:hAnsi="Calibri" w:cs="Calibri"/>
          <w:szCs w:val="24"/>
        </w:rPr>
        <w:t xml:space="preserve">from </w:t>
      </w:r>
      <w:r w:rsidR="00872462" w:rsidRPr="005D53A7">
        <w:rPr>
          <w:rFonts w:ascii="Calibri" w:hAnsi="Calibri" w:cs="Calibri"/>
          <w:color w:val="000000" w:themeColor="text1"/>
          <w:szCs w:val="24"/>
        </w:rPr>
        <w:t xml:space="preserve">peripheral blood mononuclear cells (PBMCs) </w:t>
      </w:r>
      <w:r w:rsidR="0046232A" w:rsidRPr="005D53A7">
        <w:rPr>
          <w:rFonts w:ascii="Calibri" w:hAnsi="Calibri" w:cs="Calibri"/>
          <w:szCs w:val="24"/>
        </w:rPr>
        <w:t>and patient-derived TILs</w:t>
      </w:r>
      <w:r w:rsidR="00872462">
        <w:rPr>
          <w:rFonts w:ascii="Calibri" w:hAnsi="Calibri" w:cs="Calibri"/>
          <w:szCs w:val="24"/>
        </w:rPr>
        <w:t>, and</w:t>
      </w:r>
      <w:r w:rsidR="0046232A" w:rsidRPr="005D53A7">
        <w:rPr>
          <w:rFonts w:ascii="Calibri" w:hAnsi="Calibri" w:cs="Calibri"/>
          <w:szCs w:val="24"/>
        </w:rPr>
        <w:t xml:space="preserve"> show</w:t>
      </w:r>
      <w:r w:rsidR="00872462">
        <w:rPr>
          <w:rFonts w:ascii="Calibri" w:hAnsi="Calibri" w:cs="Calibri"/>
          <w:szCs w:val="24"/>
        </w:rPr>
        <w:t xml:space="preserve"> </w:t>
      </w:r>
      <w:r w:rsidR="0046232A" w:rsidRPr="005D53A7">
        <w:rPr>
          <w:rFonts w:ascii="Calibri" w:hAnsi="Calibri" w:cs="Calibri"/>
          <w:szCs w:val="24"/>
        </w:rPr>
        <w:t xml:space="preserve">that less differentiated PBMC-derived T cells have lower </w:t>
      </w:r>
      <w:r w:rsidR="00627AE6">
        <w:rPr>
          <w:rFonts w:ascii="Calibri" w:hAnsi="Calibri" w:cs="Calibri"/>
          <w:szCs w:val="24"/>
        </w:rPr>
        <w:t>ΔΨ</w:t>
      </w:r>
      <w:r w:rsidR="0046232A" w:rsidRPr="005D53A7">
        <w:rPr>
          <w:rFonts w:ascii="Calibri" w:hAnsi="Calibri" w:cs="Calibri"/>
          <w:szCs w:val="24"/>
        </w:rPr>
        <w:t xml:space="preserve">m </w:t>
      </w:r>
      <w:r w:rsidR="006E640C" w:rsidRPr="005D53A7">
        <w:rPr>
          <w:rFonts w:ascii="Calibri" w:hAnsi="Calibri" w:cs="Calibri"/>
          <w:szCs w:val="24"/>
        </w:rPr>
        <w:t xml:space="preserve">and mitochondrial mass </w:t>
      </w:r>
      <w:r w:rsidR="0046232A" w:rsidRPr="005D53A7">
        <w:rPr>
          <w:rFonts w:ascii="Calibri" w:hAnsi="Calibri" w:cs="Calibri"/>
          <w:szCs w:val="24"/>
        </w:rPr>
        <w:t>as compared to terminally differentiated TILs.</w:t>
      </w:r>
    </w:p>
    <w:p w14:paraId="219EDD2F" w14:textId="77777777" w:rsidR="00627AE6" w:rsidRPr="005D53A7" w:rsidRDefault="00627AE6" w:rsidP="005D53A7">
      <w:pPr>
        <w:jc w:val="both"/>
        <w:rPr>
          <w:rFonts w:ascii="Calibri" w:hAnsi="Calibri" w:cs="Calibri"/>
          <w:szCs w:val="24"/>
        </w:rPr>
      </w:pPr>
    </w:p>
    <w:p w14:paraId="7A60A983" w14:textId="676EE20F" w:rsidR="00313F99" w:rsidRDefault="00E74AD8" w:rsidP="005D53A7">
      <w:pPr>
        <w:jc w:val="both"/>
        <w:rPr>
          <w:rFonts w:ascii="Calibri" w:hAnsi="Calibri" w:cs="Calibri"/>
          <w:szCs w:val="24"/>
        </w:rPr>
      </w:pPr>
      <w:r w:rsidRPr="005D53A7">
        <w:rPr>
          <w:rFonts w:ascii="Calibri" w:hAnsi="Calibri" w:cs="Calibri"/>
          <w:szCs w:val="24"/>
        </w:rPr>
        <w:t xml:space="preserve">We envision that this assay can be used to identify novel metabolic modulators that improve HSC </w:t>
      </w:r>
      <w:r w:rsidR="00115E74" w:rsidRPr="005D53A7">
        <w:rPr>
          <w:rFonts w:ascii="Calibri" w:hAnsi="Calibri" w:cs="Calibri"/>
          <w:szCs w:val="24"/>
        </w:rPr>
        <w:t xml:space="preserve">and T cell </w:t>
      </w:r>
      <w:r w:rsidRPr="005D53A7">
        <w:rPr>
          <w:rFonts w:ascii="Calibri" w:hAnsi="Calibri" w:cs="Calibri"/>
          <w:szCs w:val="24"/>
        </w:rPr>
        <w:t xml:space="preserve">function via </w:t>
      </w:r>
      <w:r w:rsidR="007965F7">
        <w:rPr>
          <w:rFonts w:ascii="Calibri" w:hAnsi="Calibri" w:cs="Calibri"/>
          <w:szCs w:val="24"/>
        </w:rPr>
        <w:t xml:space="preserve">the </w:t>
      </w:r>
      <w:r w:rsidR="00E24FAC" w:rsidRPr="005D53A7">
        <w:rPr>
          <w:rFonts w:ascii="Calibri" w:hAnsi="Calibri" w:cs="Calibri"/>
          <w:szCs w:val="24"/>
        </w:rPr>
        <w:t xml:space="preserve">modulation </w:t>
      </w:r>
      <w:r w:rsidRPr="005D53A7">
        <w:rPr>
          <w:rFonts w:ascii="Calibri" w:hAnsi="Calibri" w:cs="Calibri"/>
          <w:szCs w:val="24"/>
        </w:rPr>
        <w:t xml:space="preserve">of </w:t>
      </w:r>
      <w:proofErr w:type="spellStart"/>
      <w:r w:rsidR="00286029">
        <w:rPr>
          <w:rFonts w:ascii="Calibri" w:hAnsi="Calibri" w:cs="Calibri"/>
          <w:szCs w:val="24"/>
        </w:rPr>
        <w:t>ΔΨm</w:t>
      </w:r>
      <w:proofErr w:type="spellEnd"/>
      <w:r w:rsidRPr="005D53A7">
        <w:rPr>
          <w:rFonts w:ascii="Calibri" w:hAnsi="Calibri" w:cs="Calibri"/>
          <w:szCs w:val="24"/>
        </w:rPr>
        <w:t>.</w:t>
      </w:r>
    </w:p>
    <w:p w14:paraId="50E2213C" w14:textId="77777777" w:rsidR="00627AE6" w:rsidRPr="005D53A7" w:rsidRDefault="00627AE6" w:rsidP="005D53A7">
      <w:pPr>
        <w:jc w:val="both"/>
        <w:rPr>
          <w:rFonts w:ascii="Calibri" w:hAnsi="Calibri" w:cs="Calibri"/>
          <w:szCs w:val="24"/>
        </w:rPr>
      </w:pPr>
    </w:p>
    <w:p w14:paraId="1B3BFD52" w14:textId="69538842" w:rsidR="004C1544" w:rsidRPr="005D53A7" w:rsidRDefault="00144B7F" w:rsidP="005D53A7">
      <w:pPr>
        <w:jc w:val="both"/>
        <w:rPr>
          <w:rFonts w:ascii="Calibri" w:hAnsi="Calibri" w:cs="Calibri"/>
          <w:b/>
          <w:bCs/>
          <w:szCs w:val="24"/>
        </w:rPr>
      </w:pPr>
      <w:bookmarkStart w:id="1" w:name="_Hlk18499714"/>
      <w:r w:rsidRPr="005D53A7">
        <w:rPr>
          <w:rFonts w:ascii="Calibri" w:hAnsi="Calibri" w:cs="Calibri"/>
          <w:b/>
          <w:bCs/>
          <w:szCs w:val="24"/>
        </w:rPr>
        <w:t>PROTOCOL:</w:t>
      </w:r>
    </w:p>
    <w:p w14:paraId="449F412A" w14:textId="7B57AE40" w:rsidR="00004ACD" w:rsidRPr="005D53A7" w:rsidRDefault="00004ACD" w:rsidP="005D53A7">
      <w:pPr>
        <w:jc w:val="both"/>
        <w:rPr>
          <w:rFonts w:ascii="Calibri" w:hAnsi="Calibri" w:cs="Calibri"/>
          <w:bCs/>
          <w:szCs w:val="24"/>
        </w:rPr>
      </w:pPr>
      <w:r w:rsidRPr="005D53A7">
        <w:rPr>
          <w:rFonts w:ascii="Calibri" w:hAnsi="Calibri" w:cs="Calibri"/>
          <w:bCs/>
          <w:szCs w:val="24"/>
        </w:rPr>
        <w:t xml:space="preserve">All experiments described in the manuscript follow the guidelines of </w:t>
      </w:r>
      <w:r w:rsidR="00DE0E67" w:rsidRPr="005D53A7">
        <w:rPr>
          <w:rFonts w:ascii="Calibri" w:hAnsi="Calibri" w:cs="Calibri"/>
          <w:bCs/>
          <w:szCs w:val="24"/>
        </w:rPr>
        <w:t>our institution and were carried out in accordance</w:t>
      </w:r>
      <w:r w:rsidRPr="005D53A7">
        <w:rPr>
          <w:rFonts w:ascii="Calibri" w:hAnsi="Calibri" w:cs="Calibri"/>
          <w:bCs/>
          <w:szCs w:val="24"/>
        </w:rPr>
        <w:t xml:space="preserve"> </w:t>
      </w:r>
      <w:r w:rsidR="00DE0E67" w:rsidRPr="005D53A7">
        <w:rPr>
          <w:rFonts w:ascii="Calibri" w:hAnsi="Calibri" w:cs="Calibri"/>
          <w:bCs/>
          <w:szCs w:val="24"/>
        </w:rPr>
        <w:t>with Swiss law for animal experimentation (Authorization: VD3</w:t>
      </w:r>
      <w:r w:rsidR="00105C61" w:rsidRPr="005D53A7">
        <w:rPr>
          <w:rFonts w:ascii="Calibri" w:hAnsi="Calibri" w:cs="Calibri"/>
          <w:bCs/>
          <w:szCs w:val="24"/>
        </w:rPr>
        <w:t>194</w:t>
      </w:r>
      <w:r w:rsidR="00DE0E67" w:rsidRPr="005D53A7">
        <w:rPr>
          <w:rFonts w:ascii="Calibri" w:hAnsi="Calibri" w:cs="Calibri"/>
          <w:bCs/>
          <w:szCs w:val="24"/>
        </w:rPr>
        <w:t xml:space="preserve">) and </w:t>
      </w:r>
      <w:r w:rsidR="003F72A7" w:rsidRPr="005D53A7">
        <w:rPr>
          <w:rFonts w:ascii="Calibri" w:hAnsi="Calibri" w:cs="Calibri"/>
          <w:bCs/>
          <w:szCs w:val="24"/>
        </w:rPr>
        <w:t>for research involving human samples (</w:t>
      </w:r>
      <w:r w:rsidR="00105C61" w:rsidRPr="005D53A7">
        <w:rPr>
          <w:rFonts w:ascii="Calibri" w:hAnsi="Calibri" w:cs="Calibri"/>
          <w:bCs/>
          <w:szCs w:val="24"/>
        </w:rPr>
        <w:t>Protocol: 235/14; CER-VD 2017-00490)</w:t>
      </w:r>
    </w:p>
    <w:p w14:paraId="6771ED75" w14:textId="77777777" w:rsidR="00FF04B5" w:rsidRPr="005D53A7" w:rsidRDefault="00FF04B5" w:rsidP="005D53A7">
      <w:pPr>
        <w:jc w:val="both"/>
        <w:rPr>
          <w:rFonts w:ascii="Calibri" w:hAnsi="Calibri" w:cs="Calibri"/>
          <w:b/>
          <w:bCs/>
          <w:szCs w:val="24"/>
        </w:rPr>
      </w:pPr>
    </w:p>
    <w:p w14:paraId="18AF83F6" w14:textId="375531DD" w:rsidR="001624E6" w:rsidRDefault="001624E6" w:rsidP="005D53A7">
      <w:pPr>
        <w:pStyle w:val="ListParagraph"/>
        <w:numPr>
          <w:ilvl w:val="0"/>
          <w:numId w:val="14"/>
        </w:numPr>
        <w:jc w:val="both"/>
        <w:rPr>
          <w:rFonts w:ascii="Calibri" w:hAnsi="Calibri" w:cs="Calibri"/>
          <w:b/>
          <w:bCs/>
          <w:szCs w:val="24"/>
        </w:rPr>
      </w:pPr>
      <w:r w:rsidRPr="005D53A7">
        <w:rPr>
          <w:rFonts w:ascii="Calibri" w:hAnsi="Calibri" w:cs="Calibri"/>
          <w:b/>
          <w:bCs/>
          <w:szCs w:val="24"/>
        </w:rPr>
        <w:t>Hematopoietic stem cell extraction</w:t>
      </w:r>
    </w:p>
    <w:p w14:paraId="5A66CD84" w14:textId="77777777" w:rsidR="00627AE6" w:rsidRPr="005D53A7" w:rsidRDefault="00627AE6" w:rsidP="00627AE6">
      <w:pPr>
        <w:pStyle w:val="ListParagraph"/>
        <w:ind w:left="0"/>
        <w:jc w:val="both"/>
        <w:rPr>
          <w:rFonts w:ascii="Calibri" w:hAnsi="Calibri" w:cs="Calibri"/>
          <w:b/>
          <w:bCs/>
          <w:szCs w:val="24"/>
        </w:rPr>
      </w:pPr>
    </w:p>
    <w:p w14:paraId="206641C5" w14:textId="62DC59E2" w:rsidR="001624E6" w:rsidRDefault="00B44533" w:rsidP="005D53A7">
      <w:pPr>
        <w:pStyle w:val="ListParagraph"/>
        <w:numPr>
          <w:ilvl w:val="1"/>
          <w:numId w:val="14"/>
        </w:numPr>
        <w:jc w:val="both"/>
        <w:rPr>
          <w:rFonts w:ascii="Calibri" w:hAnsi="Calibri" w:cs="Calibri"/>
          <w:szCs w:val="24"/>
        </w:rPr>
      </w:pPr>
      <w:r w:rsidRPr="005D53A7">
        <w:rPr>
          <w:rFonts w:ascii="Calibri" w:hAnsi="Calibri" w:cs="Calibri"/>
          <w:szCs w:val="24"/>
        </w:rPr>
        <w:t>Purchase wild type C57BL6/J mice</w:t>
      </w:r>
      <w:r w:rsidR="008B5314" w:rsidRPr="005D53A7">
        <w:rPr>
          <w:rFonts w:ascii="Calibri" w:hAnsi="Calibri" w:cs="Calibri"/>
          <w:szCs w:val="24"/>
        </w:rPr>
        <w:t xml:space="preserve"> and keep them in the animal house for at least a week to reduce transport</w:t>
      </w:r>
      <w:r w:rsidR="00872462">
        <w:rPr>
          <w:rFonts w:ascii="Calibri" w:hAnsi="Calibri" w:cs="Calibri"/>
          <w:szCs w:val="24"/>
        </w:rPr>
        <w:t>-</w:t>
      </w:r>
      <w:r w:rsidR="008B5314" w:rsidRPr="005D53A7">
        <w:rPr>
          <w:rFonts w:ascii="Calibri" w:hAnsi="Calibri" w:cs="Calibri"/>
          <w:szCs w:val="24"/>
        </w:rPr>
        <w:t>associated stress.</w:t>
      </w:r>
    </w:p>
    <w:p w14:paraId="4A6C7F28" w14:textId="77777777" w:rsidR="00627AE6" w:rsidRPr="005D53A7" w:rsidRDefault="00627AE6" w:rsidP="00627AE6">
      <w:pPr>
        <w:pStyle w:val="ListParagraph"/>
        <w:ind w:left="0"/>
        <w:jc w:val="both"/>
        <w:rPr>
          <w:rFonts w:ascii="Calibri" w:hAnsi="Calibri" w:cs="Calibri"/>
          <w:szCs w:val="24"/>
        </w:rPr>
      </w:pPr>
    </w:p>
    <w:p w14:paraId="2EC76BA3" w14:textId="3A711C9A" w:rsidR="00B44533" w:rsidRDefault="008B5314" w:rsidP="005D53A7">
      <w:pPr>
        <w:pStyle w:val="ListParagraph"/>
        <w:numPr>
          <w:ilvl w:val="1"/>
          <w:numId w:val="14"/>
        </w:numPr>
        <w:jc w:val="both"/>
        <w:rPr>
          <w:rFonts w:ascii="Calibri" w:hAnsi="Calibri" w:cs="Calibri"/>
          <w:szCs w:val="24"/>
        </w:rPr>
      </w:pPr>
      <w:r w:rsidRPr="005D53A7">
        <w:rPr>
          <w:rFonts w:ascii="Calibri" w:hAnsi="Calibri" w:cs="Calibri"/>
          <w:szCs w:val="24"/>
        </w:rPr>
        <w:t>On the day of the experiment</w:t>
      </w:r>
      <w:r w:rsidR="00872462">
        <w:rPr>
          <w:rFonts w:ascii="Calibri" w:hAnsi="Calibri" w:cs="Calibri"/>
          <w:szCs w:val="24"/>
        </w:rPr>
        <w:t>,</w:t>
      </w:r>
      <w:r w:rsidRPr="005D53A7">
        <w:rPr>
          <w:rFonts w:ascii="Calibri" w:hAnsi="Calibri" w:cs="Calibri"/>
          <w:szCs w:val="24"/>
        </w:rPr>
        <w:t xml:space="preserve"> e</w:t>
      </w:r>
      <w:r w:rsidR="00E616C3" w:rsidRPr="005D53A7">
        <w:rPr>
          <w:rFonts w:ascii="Calibri" w:hAnsi="Calibri" w:cs="Calibri"/>
          <w:szCs w:val="24"/>
        </w:rPr>
        <w:t xml:space="preserve">uthanize </w:t>
      </w:r>
      <w:r w:rsidR="009F7156" w:rsidRPr="005D53A7">
        <w:rPr>
          <w:rFonts w:ascii="Calibri" w:hAnsi="Calibri" w:cs="Calibri"/>
          <w:szCs w:val="24"/>
        </w:rPr>
        <w:t xml:space="preserve">the mouse </w:t>
      </w:r>
      <w:r w:rsidR="00E616C3" w:rsidRPr="005D53A7">
        <w:rPr>
          <w:rFonts w:ascii="Calibri" w:hAnsi="Calibri" w:cs="Calibri"/>
          <w:szCs w:val="24"/>
        </w:rPr>
        <w:t>using CO</w:t>
      </w:r>
      <w:r w:rsidR="00E616C3" w:rsidRPr="005D53A7">
        <w:rPr>
          <w:rFonts w:ascii="Calibri" w:hAnsi="Calibri" w:cs="Calibri"/>
          <w:szCs w:val="24"/>
          <w:vertAlign w:val="subscript"/>
        </w:rPr>
        <w:t>2</w:t>
      </w:r>
      <w:r w:rsidR="00E616C3" w:rsidRPr="005D53A7">
        <w:rPr>
          <w:rFonts w:ascii="Calibri" w:hAnsi="Calibri" w:cs="Calibri"/>
          <w:szCs w:val="24"/>
        </w:rPr>
        <w:t xml:space="preserve"> </w:t>
      </w:r>
      <w:r w:rsidR="00175988" w:rsidRPr="005D53A7">
        <w:rPr>
          <w:rFonts w:ascii="Calibri" w:hAnsi="Calibri" w:cs="Calibri"/>
          <w:szCs w:val="24"/>
        </w:rPr>
        <w:t>asphyxiation</w:t>
      </w:r>
      <w:r w:rsidR="00E616C3" w:rsidRPr="005D53A7">
        <w:rPr>
          <w:rFonts w:ascii="Calibri" w:hAnsi="Calibri" w:cs="Calibri"/>
          <w:szCs w:val="24"/>
        </w:rPr>
        <w:t>.</w:t>
      </w:r>
    </w:p>
    <w:p w14:paraId="63DC20A5" w14:textId="77777777" w:rsidR="00681993" w:rsidRPr="005D53A7" w:rsidRDefault="00681993" w:rsidP="00681993">
      <w:pPr>
        <w:pStyle w:val="ListParagraph"/>
        <w:ind w:left="0"/>
        <w:jc w:val="both"/>
        <w:rPr>
          <w:rFonts w:ascii="Calibri" w:hAnsi="Calibri" w:cs="Calibri"/>
          <w:szCs w:val="24"/>
        </w:rPr>
      </w:pPr>
    </w:p>
    <w:p w14:paraId="4A25D3B7" w14:textId="20631032" w:rsidR="00AA0C84" w:rsidRDefault="00AA0C84" w:rsidP="005D53A7">
      <w:pPr>
        <w:pStyle w:val="ListParagraph"/>
        <w:numPr>
          <w:ilvl w:val="1"/>
          <w:numId w:val="14"/>
        </w:numPr>
        <w:jc w:val="both"/>
        <w:rPr>
          <w:rFonts w:ascii="Calibri" w:hAnsi="Calibri" w:cs="Calibri"/>
          <w:szCs w:val="24"/>
        </w:rPr>
      </w:pPr>
      <w:r w:rsidRPr="005D53A7">
        <w:rPr>
          <w:rFonts w:ascii="Calibri" w:hAnsi="Calibri" w:cs="Calibri"/>
          <w:szCs w:val="24"/>
        </w:rPr>
        <w:t xml:space="preserve">Spray the mouse with </w:t>
      </w:r>
      <w:r w:rsidR="00723577" w:rsidRPr="005D53A7">
        <w:rPr>
          <w:rFonts w:ascii="Calibri" w:hAnsi="Calibri" w:cs="Calibri"/>
          <w:szCs w:val="24"/>
        </w:rPr>
        <w:t>70</w:t>
      </w:r>
      <w:r w:rsidR="00872462">
        <w:rPr>
          <w:rFonts w:ascii="Calibri" w:hAnsi="Calibri" w:cs="Calibri"/>
          <w:szCs w:val="24"/>
        </w:rPr>
        <w:t>%</w:t>
      </w:r>
      <w:r w:rsidR="00723577" w:rsidRPr="005D53A7">
        <w:rPr>
          <w:rFonts w:ascii="Calibri" w:hAnsi="Calibri" w:cs="Calibri"/>
          <w:szCs w:val="24"/>
        </w:rPr>
        <w:t xml:space="preserve"> </w:t>
      </w:r>
      <w:r w:rsidRPr="005D53A7">
        <w:rPr>
          <w:rFonts w:ascii="Calibri" w:hAnsi="Calibri" w:cs="Calibri"/>
          <w:szCs w:val="24"/>
        </w:rPr>
        <w:t>ethanol to sterilize the fur</w:t>
      </w:r>
      <w:r w:rsidR="008B5314" w:rsidRPr="005D53A7">
        <w:rPr>
          <w:rFonts w:ascii="Calibri" w:hAnsi="Calibri" w:cs="Calibri"/>
          <w:szCs w:val="24"/>
        </w:rPr>
        <w:t xml:space="preserve"> and c</w:t>
      </w:r>
      <w:r w:rsidRPr="005D53A7">
        <w:rPr>
          <w:rFonts w:ascii="Calibri" w:hAnsi="Calibri" w:cs="Calibri"/>
          <w:szCs w:val="24"/>
        </w:rPr>
        <w:t xml:space="preserve">ut open </w:t>
      </w:r>
      <w:r w:rsidR="009F7156" w:rsidRPr="005D53A7">
        <w:rPr>
          <w:rFonts w:ascii="Calibri" w:hAnsi="Calibri" w:cs="Calibri"/>
          <w:szCs w:val="24"/>
        </w:rPr>
        <w:t xml:space="preserve">the mouse </w:t>
      </w:r>
      <w:r w:rsidRPr="005D53A7">
        <w:rPr>
          <w:rFonts w:ascii="Calibri" w:hAnsi="Calibri" w:cs="Calibri"/>
          <w:szCs w:val="24"/>
        </w:rPr>
        <w:t>at the belly</w:t>
      </w:r>
      <w:r w:rsidR="008B5314" w:rsidRPr="005D53A7">
        <w:rPr>
          <w:rFonts w:ascii="Calibri" w:hAnsi="Calibri" w:cs="Calibri"/>
          <w:szCs w:val="24"/>
        </w:rPr>
        <w:t xml:space="preserve"> using standard surgical tools, such as </w:t>
      </w:r>
      <w:r w:rsidR="00CF608F" w:rsidRPr="005D53A7">
        <w:rPr>
          <w:rFonts w:ascii="Calibri" w:hAnsi="Calibri" w:cs="Calibri"/>
          <w:szCs w:val="24"/>
        </w:rPr>
        <w:t xml:space="preserve">dissection </w:t>
      </w:r>
      <w:r w:rsidR="008B5314" w:rsidRPr="005D53A7">
        <w:rPr>
          <w:rFonts w:ascii="Calibri" w:hAnsi="Calibri" w:cs="Calibri"/>
          <w:szCs w:val="24"/>
        </w:rPr>
        <w:t>scissors and forceps,</w:t>
      </w:r>
      <w:r w:rsidR="008E161F">
        <w:rPr>
          <w:rFonts w:ascii="Calibri" w:hAnsi="Calibri" w:cs="Calibri"/>
          <w:szCs w:val="24"/>
        </w:rPr>
        <w:t xml:space="preserve"> to cut the femur and tibia bones from the hind legs.</w:t>
      </w:r>
    </w:p>
    <w:p w14:paraId="0C386F6D" w14:textId="77777777" w:rsidR="00681993" w:rsidRPr="005D53A7" w:rsidRDefault="00681993" w:rsidP="00681993">
      <w:pPr>
        <w:pStyle w:val="ListParagraph"/>
        <w:ind w:left="0"/>
        <w:jc w:val="both"/>
        <w:rPr>
          <w:rFonts w:ascii="Calibri" w:hAnsi="Calibri" w:cs="Calibri"/>
          <w:szCs w:val="24"/>
        </w:rPr>
      </w:pPr>
    </w:p>
    <w:p w14:paraId="037021C9" w14:textId="746F3EAF" w:rsidR="00022CCA" w:rsidRDefault="008B5314" w:rsidP="005D53A7">
      <w:pPr>
        <w:pStyle w:val="ListParagraph"/>
        <w:numPr>
          <w:ilvl w:val="1"/>
          <w:numId w:val="14"/>
        </w:numPr>
        <w:jc w:val="both"/>
        <w:rPr>
          <w:rFonts w:ascii="Calibri" w:hAnsi="Calibri" w:cs="Calibri"/>
          <w:szCs w:val="24"/>
        </w:rPr>
      </w:pPr>
      <w:r w:rsidRPr="005D53A7">
        <w:rPr>
          <w:rFonts w:ascii="Calibri" w:hAnsi="Calibri" w:cs="Calibri"/>
          <w:szCs w:val="24"/>
        </w:rPr>
        <w:t>R</w:t>
      </w:r>
      <w:r w:rsidR="00AA0C84" w:rsidRPr="005D53A7">
        <w:rPr>
          <w:rFonts w:ascii="Calibri" w:hAnsi="Calibri" w:cs="Calibri"/>
          <w:szCs w:val="24"/>
        </w:rPr>
        <w:t>emove the muscles attached to the femur, tibia</w:t>
      </w:r>
      <w:r w:rsidR="00872462">
        <w:rPr>
          <w:rFonts w:ascii="Calibri" w:hAnsi="Calibri" w:cs="Calibri"/>
          <w:szCs w:val="24"/>
        </w:rPr>
        <w:t>,</w:t>
      </w:r>
      <w:r w:rsidR="00AA0C84" w:rsidRPr="005D53A7">
        <w:rPr>
          <w:rFonts w:ascii="Calibri" w:hAnsi="Calibri" w:cs="Calibri"/>
          <w:szCs w:val="24"/>
        </w:rPr>
        <w:t xml:space="preserve"> and the pelvis</w:t>
      </w:r>
      <w:r w:rsidRPr="005D53A7">
        <w:rPr>
          <w:rFonts w:ascii="Calibri" w:hAnsi="Calibri" w:cs="Calibri"/>
          <w:szCs w:val="24"/>
        </w:rPr>
        <w:t xml:space="preserve"> using a soft paper towel</w:t>
      </w:r>
      <w:r w:rsidR="00503A40" w:rsidRPr="005D53A7">
        <w:rPr>
          <w:rFonts w:ascii="Calibri" w:hAnsi="Calibri" w:cs="Calibri"/>
          <w:szCs w:val="24"/>
        </w:rPr>
        <w:t xml:space="preserve"> and place the </w:t>
      </w:r>
      <w:r w:rsidR="00AA0C84" w:rsidRPr="005D53A7">
        <w:rPr>
          <w:rFonts w:ascii="Calibri" w:hAnsi="Calibri" w:cs="Calibri"/>
          <w:szCs w:val="24"/>
        </w:rPr>
        <w:t xml:space="preserve">cleaned bones in </w:t>
      </w:r>
      <w:r w:rsidR="00022CCA" w:rsidRPr="005D53A7">
        <w:rPr>
          <w:rFonts w:ascii="Calibri" w:hAnsi="Calibri" w:cs="Calibri"/>
          <w:szCs w:val="24"/>
        </w:rPr>
        <w:t xml:space="preserve">a </w:t>
      </w:r>
      <w:r w:rsidR="00503A40" w:rsidRPr="005D53A7">
        <w:rPr>
          <w:rFonts w:ascii="Calibri" w:hAnsi="Calibri" w:cs="Calibri"/>
          <w:szCs w:val="24"/>
        </w:rPr>
        <w:t>50</w:t>
      </w:r>
      <w:r w:rsidR="00165787" w:rsidRPr="005D53A7">
        <w:rPr>
          <w:rFonts w:ascii="Calibri" w:hAnsi="Calibri" w:cs="Calibri"/>
          <w:szCs w:val="24"/>
        </w:rPr>
        <w:t xml:space="preserve"> </w:t>
      </w:r>
      <w:r w:rsidR="004314BE" w:rsidRPr="005D53A7">
        <w:rPr>
          <w:rFonts w:ascii="Calibri" w:hAnsi="Calibri" w:cs="Calibri"/>
          <w:szCs w:val="24"/>
        </w:rPr>
        <w:t>mL</w:t>
      </w:r>
      <w:r w:rsidR="00503A40" w:rsidRPr="005D53A7">
        <w:rPr>
          <w:rFonts w:ascii="Calibri" w:hAnsi="Calibri" w:cs="Calibri"/>
          <w:szCs w:val="24"/>
        </w:rPr>
        <w:t xml:space="preserve"> </w:t>
      </w:r>
      <w:r w:rsidR="00AA0C84" w:rsidRPr="005D53A7">
        <w:rPr>
          <w:rFonts w:ascii="Calibri" w:hAnsi="Calibri" w:cs="Calibri"/>
          <w:szCs w:val="24"/>
        </w:rPr>
        <w:t>tube containing PBS</w:t>
      </w:r>
      <w:r w:rsidR="00681993">
        <w:rPr>
          <w:rFonts w:ascii="Calibri" w:hAnsi="Calibri" w:cs="Calibri"/>
          <w:szCs w:val="24"/>
        </w:rPr>
        <w:t xml:space="preserve"> with </w:t>
      </w:r>
      <w:r w:rsidR="00AA0C84" w:rsidRPr="005D53A7">
        <w:rPr>
          <w:rFonts w:ascii="Calibri" w:hAnsi="Calibri" w:cs="Calibri"/>
          <w:szCs w:val="24"/>
        </w:rPr>
        <w:t>1</w:t>
      </w:r>
      <w:r w:rsidR="00165787" w:rsidRPr="005D53A7">
        <w:rPr>
          <w:rFonts w:ascii="Calibri" w:hAnsi="Calibri" w:cs="Calibri"/>
          <w:szCs w:val="24"/>
        </w:rPr>
        <w:t xml:space="preserve"> </w:t>
      </w:r>
      <w:r w:rsidR="00AA0C84" w:rsidRPr="005D53A7">
        <w:rPr>
          <w:rFonts w:ascii="Calibri" w:hAnsi="Calibri" w:cs="Calibri"/>
          <w:szCs w:val="24"/>
        </w:rPr>
        <w:t>mM EDTA</w:t>
      </w:r>
      <w:r w:rsidR="00503A40" w:rsidRPr="005D53A7">
        <w:rPr>
          <w:rFonts w:ascii="Calibri" w:hAnsi="Calibri" w:cs="Calibri"/>
          <w:szCs w:val="24"/>
        </w:rPr>
        <w:t xml:space="preserve"> (buffer)</w:t>
      </w:r>
      <w:r w:rsidR="00AA0C84" w:rsidRPr="005D53A7">
        <w:rPr>
          <w:rFonts w:ascii="Calibri" w:hAnsi="Calibri" w:cs="Calibri"/>
          <w:szCs w:val="24"/>
        </w:rPr>
        <w:t xml:space="preserve"> on ice.</w:t>
      </w:r>
    </w:p>
    <w:p w14:paraId="2C790D82" w14:textId="77777777" w:rsidR="00681993" w:rsidRPr="005D53A7" w:rsidRDefault="00681993" w:rsidP="00681993">
      <w:pPr>
        <w:pStyle w:val="ListParagraph"/>
        <w:ind w:left="0"/>
        <w:jc w:val="both"/>
        <w:rPr>
          <w:rFonts w:ascii="Calibri" w:hAnsi="Calibri" w:cs="Calibri"/>
          <w:szCs w:val="24"/>
        </w:rPr>
      </w:pPr>
    </w:p>
    <w:p w14:paraId="6F8EA950" w14:textId="6183A8F9" w:rsidR="00022CCA" w:rsidRDefault="00022CCA" w:rsidP="005D53A7">
      <w:pPr>
        <w:pStyle w:val="ListParagraph"/>
        <w:numPr>
          <w:ilvl w:val="1"/>
          <w:numId w:val="14"/>
        </w:numPr>
        <w:jc w:val="both"/>
        <w:rPr>
          <w:rFonts w:ascii="Calibri" w:hAnsi="Calibri" w:cs="Calibri"/>
          <w:szCs w:val="24"/>
        </w:rPr>
      </w:pPr>
      <w:r w:rsidRPr="005D53A7">
        <w:rPr>
          <w:rFonts w:ascii="Calibri" w:hAnsi="Calibri" w:cs="Calibri"/>
          <w:szCs w:val="24"/>
        </w:rPr>
        <w:t>Spray a mortar and pestle with 70</w:t>
      </w:r>
      <w:r w:rsidR="00872462">
        <w:rPr>
          <w:rFonts w:ascii="Calibri" w:hAnsi="Calibri" w:cs="Calibri"/>
          <w:szCs w:val="24"/>
        </w:rPr>
        <w:t>%</w:t>
      </w:r>
      <w:r w:rsidRPr="005D53A7">
        <w:rPr>
          <w:rFonts w:ascii="Calibri" w:hAnsi="Calibri" w:cs="Calibri"/>
          <w:szCs w:val="24"/>
        </w:rPr>
        <w:t xml:space="preserve"> ethanol and place it in a cell culture hood. Sterilize </w:t>
      </w:r>
      <w:r w:rsidR="00503A40" w:rsidRPr="005D53A7">
        <w:rPr>
          <w:rFonts w:ascii="Calibri" w:hAnsi="Calibri" w:cs="Calibri"/>
          <w:szCs w:val="24"/>
        </w:rPr>
        <w:t xml:space="preserve">it </w:t>
      </w:r>
      <w:r w:rsidRPr="005D53A7">
        <w:rPr>
          <w:rFonts w:ascii="Calibri" w:hAnsi="Calibri" w:cs="Calibri"/>
          <w:szCs w:val="24"/>
        </w:rPr>
        <w:t xml:space="preserve">with UV for 30 </w:t>
      </w:r>
      <w:r w:rsidR="00DA08A5" w:rsidRPr="005D53A7">
        <w:rPr>
          <w:rFonts w:ascii="Calibri" w:hAnsi="Calibri" w:cs="Calibri"/>
          <w:szCs w:val="24"/>
        </w:rPr>
        <w:t>min</w:t>
      </w:r>
      <w:r w:rsidR="00503A40" w:rsidRPr="005D53A7">
        <w:rPr>
          <w:rFonts w:ascii="Calibri" w:hAnsi="Calibri" w:cs="Calibri"/>
          <w:szCs w:val="24"/>
        </w:rPr>
        <w:t>. Post</w:t>
      </w:r>
      <w:r w:rsidRPr="005D53A7">
        <w:rPr>
          <w:rFonts w:ascii="Calibri" w:hAnsi="Calibri" w:cs="Calibri"/>
          <w:szCs w:val="24"/>
        </w:rPr>
        <w:t xml:space="preserve"> sterilization rinse the mortar</w:t>
      </w:r>
      <w:r w:rsidR="00872462">
        <w:rPr>
          <w:rFonts w:ascii="Calibri" w:hAnsi="Calibri" w:cs="Calibri"/>
          <w:szCs w:val="24"/>
        </w:rPr>
        <w:t xml:space="preserve"> and </w:t>
      </w:r>
      <w:r w:rsidRPr="005D53A7">
        <w:rPr>
          <w:rFonts w:ascii="Calibri" w:hAnsi="Calibri" w:cs="Calibri"/>
          <w:szCs w:val="24"/>
        </w:rPr>
        <w:t>pestle with buffer to remove traces of ethanol.</w:t>
      </w:r>
    </w:p>
    <w:p w14:paraId="5EFAB495" w14:textId="77777777" w:rsidR="00681993" w:rsidRPr="005D53A7" w:rsidRDefault="00681993" w:rsidP="00681993">
      <w:pPr>
        <w:pStyle w:val="ListParagraph"/>
        <w:ind w:left="0"/>
        <w:jc w:val="both"/>
        <w:rPr>
          <w:rFonts w:ascii="Calibri" w:hAnsi="Calibri" w:cs="Calibri"/>
          <w:szCs w:val="24"/>
        </w:rPr>
      </w:pPr>
    </w:p>
    <w:p w14:paraId="16A5CF1C" w14:textId="6A6D0BCD" w:rsidR="00022CCA" w:rsidRDefault="00022CCA" w:rsidP="005D53A7">
      <w:pPr>
        <w:pStyle w:val="ListParagraph"/>
        <w:numPr>
          <w:ilvl w:val="1"/>
          <w:numId w:val="14"/>
        </w:numPr>
        <w:tabs>
          <w:tab w:val="left" w:pos="851"/>
        </w:tabs>
        <w:jc w:val="both"/>
        <w:rPr>
          <w:rFonts w:ascii="Calibri" w:hAnsi="Calibri" w:cs="Calibri"/>
          <w:szCs w:val="24"/>
        </w:rPr>
      </w:pPr>
      <w:r w:rsidRPr="005D53A7">
        <w:rPr>
          <w:rFonts w:ascii="Calibri" w:hAnsi="Calibri" w:cs="Calibri"/>
          <w:szCs w:val="24"/>
        </w:rPr>
        <w:t xml:space="preserve">Put the </w:t>
      </w:r>
      <w:r w:rsidR="00686A91" w:rsidRPr="005D53A7">
        <w:rPr>
          <w:rFonts w:ascii="Calibri" w:hAnsi="Calibri" w:cs="Calibri"/>
          <w:szCs w:val="24"/>
        </w:rPr>
        <w:t xml:space="preserve">clean </w:t>
      </w:r>
      <w:r w:rsidRPr="005D53A7">
        <w:rPr>
          <w:rFonts w:ascii="Calibri" w:hAnsi="Calibri" w:cs="Calibri"/>
          <w:szCs w:val="24"/>
        </w:rPr>
        <w:t xml:space="preserve">bones </w:t>
      </w:r>
      <w:r w:rsidR="00686A91" w:rsidRPr="005D53A7">
        <w:rPr>
          <w:rFonts w:ascii="Calibri" w:hAnsi="Calibri" w:cs="Calibri"/>
          <w:szCs w:val="24"/>
        </w:rPr>
        <w:t>with</w:t>
      </w:r>
      <w:r w:rsidRPr="005D53A7">
        <w:rPr>
          <w:rFonts w:ascii="Calibri" w:hAnsi="Calibri" w:cs="Calibri"/>
          <w:szCs w:val="24"/>
        </w:rPr>
        <w:t xml:space="preserve"> some buffer</w:t>
      </w:r>
      <w:r w:rsidR="000973D8" w:rsidRPr="005D53A7">
        <w:rPr>
          <w:rFonts w:ascii="Calibri" w:hAnsi="Calibri" w:cs="Calibri"/>
          <w:szCs w:val="24"/>
        </w:rPr>
        <w:t xml:space="preserve"> (</w:t>
      </w:r>
      <w:r w:rsidR="000B7A9C" w:rsidRPr="005D53A7">
        <w:rPr>
          <w:rFonts w:ascii="Calibri" w:hAnsi="Calibri" w:cs="Calibri"/>
          <w:szCs w:val="24"/>
        </w:rPr>
        <w:t>~</w:t>
      </w:r>
      <w:r w:rsidR="000973D8" w:rsidRPr="005D53A7">
        <w:rPr>
          <w:rFonts w:ascii="Calibri" w:hAnsi="Calibri" w:cs="Calibri"/>
          <w:szCs w:val="24"/>
        </w:rPr>
        <w:t>10</w:t>
      </w:r>
      <w:r w:rsidR="0068236A" w:rsidRPr="005D53A7">
        <w:rPr>
          <w:rFonts w:ascii="Calibri" w:hAnsi="Calibri" w:cs="Calibri"/>
          <w:szCs w:val="24"/>
        </w:rPr>
        <w:t xml:space="preserve"> </w:t>
      </w:r>
      <w:r w:rsidR="004314BE" w:rsidRPr="005D53A7">
        <w:rPr>
          <w:rFonts w:ascii="Calibri" w:hAnsi="Calibri" w:cs="Calibri"/>
          <w:szCs w:val="24"/>
        </w:rPr>
        <w:t>mL</w:t>
      </w:r>
      <w:r w:rsidR="000973D8" w:rsidRPr="005D53A7">
        <w:rPr>
          <w:rFonts w:ascii="Calibri" w:hAnsi="Calibri" w:cs="Calibri"/>
          <w:szCs w:val="24"/>
        </w:rPr>
        <w:t>)</w:t>
      </w:r>
      <w:r w:rsidRPr="005D53A7">
        <w:rPr>
          <w:rFonts w:ascii="Calibri" w:hAnsi="Calibri" w:cs="Calibri"/>
          <w:szCs w:val="24"/>
        </w:rPr>
        <w:t xml:space="preserve"> in the mortar</w:t>
      </w:r>
      <w:r w:rsidR="00503A40" w:rsidRPr="005D53A7">
        <w:rPr>
          <w:rFonts w:ascii="Calibri" w:hAnsi="Calibri" w:cs="Calibri"/>
          <w:szCs w:val="24"/>
        </w:rPr>
        <w:t xml:space="preserve"> and </w:t>
      </w:r>
      <w:r w:rsidR="00625CDC" w:rsidRPr="005D53A7">
        <w:rPr>
          <w:rFonts w:ascii="Calibri" w:hAnsi="Calibri" w:cs="Calibri"/>
          <w:szCs w:val="24"/>
        </w:rPr>
        <w:t>g</w:t>
      </w:r>
      <w:r w:rsidRPr="005D53A7">
        <w:rPr>
          <w:rFonts w:ascii="Calibri" w:hAnsi="Calibri" w:cs="Calibri"/>
          <w:szCs w:val="24"/>
        </w:rPr>
        <w:t>ently crush the</w:t>
      </w:r>
      <w:r w:rsidR="00686A91" w:rsidRPr="005D53A7">
        <w:rPr>
          <w:rFonts w:ascii="Calibri" w:hAnsi="Calibri" w:cs="Calibri"/>
          <w:szCs w:val="24"/>
        </w:rPr>
        <w:t>m</w:t>
      </w:r>
      <w:r w:rsidRPr="005D53A7">
        <w:rPr>
          <w:rFonts w:ascii="Calibri" w:hAnsi="Calibri" w:cs="Calibri"/>
          <w:szCs w:val="24"/>
        </w:rPr>
        <w:t xml:space="preserve"> to get the bone</w:t>
      </w:r>
      <w:r w:rsidR="000973D8" w:rsidRPr="005D53A7">
        <w:rPr>
          <w:rFonts w:ascii="Calibri" w:hAnsi="Calibri" w:cs="Calibri"/>
          <w:szCs w:val="24"/>
        </w:rPr>
        <w:t xml:space="preserve"> </w:t>
      </w:r>
      <w:r w:rsidRPr="005D53A7">
        <w:rPr>
          <w:rFonts w:ascii="Calibri" w:hAnsi="Calibri" w:cs="Calibri"/>
          <w:szCs w:val="24"/>
        </w:rPr>
        <w:t>marrow out in suspension.</w:t>
      </w:r>
      <w:r w:rsidR="00625CDC" w:rsidRPr="005D53A7">
        <w:rPr>
          <w:rFonts w:ascii="Calibri" w:hAnsi="Calibri" w:cs="Calibri"/>
          <w:szCs w:val="24"/>
        </w:rPr>
        <w:t xml:space="preserve"> Now, c</w:t>
      </w:r>
      <w:r w:rsidRPr="005D53A7">
        <w:rPr>
          <w:rFonts w:ascii="Calibri" w:hAnsi="Calibri" w:cs="Calibri"/>
          <w:szCs w:val="24"/>
        </w:rPr>
        <w:t xml:space="preserve">ollect the cell suspension and pass it </w:t>
      </w:r>
      <w:r w:rsidR="000973D8" w:rsidRPr="005D53A7">
        <w:rPr>
          <w:rFonts w:ascii="Calibri" w:hAnsi="Calibri" w:cs="Calibri"/>
          <w:szCs w:val="24"/>
        </w:rPr>
        <w:t xml:space="preserve">through </w:t>
      </w:r>
      <w:r w:rsidRPr="005D53A7">
        <w:rPr>
          <w:rFonts w:ascii="Calibri" w:hAnsi="Calibri" w:cs="Calibri"/>
          <w:szCs w:val="24"/>
        </w:rPr>
        <w:t>a 70</w:t>
      </w:r>
      <w:r w:rsidR="0068236A" w:rsidRPr="005D53A7">
        <w:rPr>
          <w:rFonts w:ascii="Calibri" w:hAnsi="Calibri" w:cs="Calibri"/>
          <w:szCs w:val="24"/>
        </w:rPr>
        <w:t xml:space="preserve"> </w:t>
      </w:r>
      <w:r w:rsidR="00681993">
        <w:rPr>
          <w:rFonts w:ascii="Calibri" w:hAnsi="Calibri" w:cs="Calibri"/>
          <w:szCs w:val="24"/>
        </w:rPr>
        <w:t>µm</w:t>
      </w:r>
      <w:r w:rsidRPr="005D53A7">
        <w:rPr>
          <w:rFonts w:ascii="Calibri" w:hAnsi="Calibri" w:cs="Calibri"/>
          <w:szCs w:val="24"/>
        </w:rPr>
        <w:t xml:space="preserve"> cell strainer </w:t>
      </w:r>
      <w:r w:rsidR="00872462" w:rsidRPr="005D53A7">
        <w:rPr>
          <w:rFonts w:ascii="Calibri" w:hAnsi="Calibri" w:cs="Calibri"/>
          <w:szCs w:val="24"/>
        </w:rPr>
        <w:t>in</w:t>
      </w:r>
      <w:r w:rsidR="00872462">
        <w:rPr>
          <w:rFonts w:ascii="Calibri" w:hAnsi="Calibri" w:cs="Calibri"/>
          <w:szCs w:val="24"/>
        </w:rPr>
        <w:t>to</w:t>
      </w:r>
      <w:r w:rsidR="00872462" w:rsidRPr="005D53A7">
        <w:rPr>
          <w:rFonts w:ascii="Calibri" w:hAnsi="Calibri" w:cs="Calibri"/>
          <w:szCs w:val="24"/>
        </w:rPr>
        <w:t xml:space="preserve"> a 50 mL tube </w:t>
      </w:r>
      <w:r w:rsidRPr="005D53A7">
        <w:rPr>
          <w:rFonts w:ascii="Calibri" w:hAnsi="Calibri" w:cs="Calibri"/>
          <w:szCs w:val="24"/>
        </w:rPr>
        <w:t>to get a single</w:t>
      </w:r>
      <w:r w:rsidR="00D132DA" w:rsidRPr="005D53A7">
        <w:rPr>
          <w:rFonts w:ascii="Calibri" w:hAnsi="Calibri" w:cs="Calibri"/>
          <w:szCs w:val="24"/>
        </w:rPr>
        <w:t xml:space="preserve"> </w:t>
      </w:r>
      <w:r w:rsidRPr="005D53A7">
        <w:rPr>
          <w:rFonts w:ascii="Calibri" w:hAnsi="Calibri" w:cs="Calibri"/>
          <w:szCs w:val="24"/>
        </w:rPr>
        <w:t>cell suspension.</w:t>
      </w:r>
    </w:p>
    <w:p w14:paraId="7B0C0DD7" w14:textId="77777777" w:rsidR="00681993" w:rsidRPr="005D53A7" w:rsidRDefault="00681993" w:rsidP="00681993">
      <w:pPr>
        <w:pStyle w:val="ListParagraph"/>
        <w:tabs>
          <w:tab w:val="left" w:pos="851"/>
        </w:tabs>
        <w:ind w:left="0"/>
        <w:jc w:val="both"/>
        <w:rPr>
          <w:rFonts w:ascii="Calibri" w:hAnsi="Calibri" w:cs="Calibri"/>
          <w:szCs w:val="24"/>
        </w:rPr>
      </w:pPr>
    </w:p>
    <w:p w14:paraId="72071A25" w14:textId="414AD9FA" w:rsidR="00022CCA" w:rsidRDefault="00022CCA" w:rsidP="005D53A7">
      <w:pPr>
        <w:pStyle w:val="ListParagraph"/>
        <w:numPr>
          <w:ilvl w:val="1"/>
          <w:numId w:val="14"/>
        </w:numPr>
        <w:tabs>
          <w:tab w:val="left" w:pos="851"/>
        </w:tabs>
        <w:jc w:val="both"/>
        <w:rPr>
          <w:rFonts w:ascii="Calibri" w:hAnsi="Calibri" w:cs="Calibri"/>
          <w:szCs w:val="24"/>
        </w:rPr>
      </w:pPr>
      <w:r w:rsidRPr="005D53A7">
        <w:rPr>
          <w:rFonts w:ascii="Calibri" w:hAnsi="Calibri" w:cs="Calibri"/>
          <w:szCs w:val="24"/>
        </w:rPr>
        <w:t xml:space="preserve">Repeat step </w:t>
      </w:r>
      <w:r w:rsidR="00625CDC" w:rsidRPr="005D53A7">
        <w:rPr>
          <w:rFonts w:ascii="Calibri" w:hAnsi="Calibri" w:cs="Calibri"/>
          <w:szCs w:val="24"/>
        </w:rPr>
        <w:t>1.6</w:t>
      </w:r>
      <w:r w:rsidRPr="005D53A7">
        <w:rPr>
          <w:rFonts w:ascii="Calibri" w:hAnsi="Calibri" w:cs="Calibri"/>
          <w:szCs w:val="24"/>
        </w:rPr>
        <w:t xml:space="preserve"> until all the bone</w:t>
      </w:r>
      <w:r w:rsidR="000973D8" w:rsidRPr="005D53A7">
        <w:rPr>
          <w:rFonts w:ascii="Calibri" w:hAnsi="Calibri" w:cs="Calibri"/>
          <w:szCs w:val="24"/>
        </w:rPr>
        <w:t xml:space="preserve"> </w:t>
      </w:r>
      <w:r w:rsidRPr="005D53A7">
        <w:rPr>
          <w:rFonts w:ascii="Calibri" w:hAnsi="Calibri" w:cs="Calibri"/>
          <w:szCs w:val="24"/>
        </w:rPr>
        <w:t>marrow has been extracted and the bone debris has turned white.</w:t>
      </w:r>
    </w:p>
    <w:p w14:paraId="593EB15A" w14:textId="77777777" w:rsidR="00681993" w:rsidRPr="005D53A7" w:rsidRDefault="00681993" w:rsidP="00681993">
      <w:pPr>
        <w:pStyle w:val="ListParagraph"/>
        <w:tabs>
          <w:tab w:val="left" w:pos="851"/>
        </w:tabs>
        <w:ind w:left="0"/>
        <w:jc w:val="both"/>
        <w:rPr>
          <w:rFonts w:ascii="Calibri" w:hAnsi="Calibri" w:cs="Calibri"/>
          <w:szCs w:val="24"/>
        </w:rPr>
      </w:pPr>
    </w:p>
    <w:p w14:paraId="59F3BB2C" w14:textId="60A2BD70" w:rsidR="00E6191E" w:rsidRDefault="00E6191E" w:rsidP="005D53A7">
      <w:pPr>
        <w:pStyle w:val="ListParagraph"/>
        <w:numPr>
          <w:ilvl w:val="1"/>
          <w:numId w:val="14"/>
        </w:numPr>
        <w:tabs>
          <w:tab w:val="left" w:pos="851"/>
        </w:tabs>
        <w:jc w:val="both"/>
        <w:rPr>
          <w:rFonts w:ascii="Calibri" w:hAnsi="Calibri" w:cs="Calibri"/>
          <w:szCs w:val="24"/>
        </w:rPr>
      </w:pPr>
      <w:r w:rsidRPr="005D53A7">
        <w:rPr>
          <w:rFonts w:ascii="Calibri" w:hAnsi="Calibri" w:cs="Calibri"/>
          <w:szCs w:val="24"/>
        </w:rPr>
        <w:t xml:space="preserve">Place the </w:t>
      </w:r>
      <w:r w:rsidR="003800BF" w:rsidRPr="005D53A7">
        <w:rPr>
          <w:rFonts w:ascii="Calibri" w:hAnsi="Calibri" w:cs="Calibri"/>
          <w:szCs w:val="24"/>
        </w:rPr>
        <w:t>50</w:t>
      </w:r>
      <w:r w:rsidR="00165787" w:rsidRPr="005D53A7">
        <w:rPr>
          <w:rFonts w:ascii="Calibri" w:hAnsi="Calibri" w:cs="Calibri"/>
          <w:szCs w:val="24"/>
        </w:rPr>
        <w:t xml:space="preserve"> </w:t>
      </w:r>
      <w:r w:rsidR="004314BE" w:rsidRPr="005D53A7">
        <w:rPr>
          <w:rFonts w:ascii="Calibri" w:hAnsi="Calibri" w:cs="Calibri"/>
          <w:szCs w:val="24"/>
        </w:rPr>
        <w:t>mL</w:t>
      </w:r>
      <w:r w:rsidR="003800BF" w:rsidRPr="005D53A7">
        <w:rPr>
          <w:rFonts w:ascii="Calibri" w:hAnsi="Calibri" w:cs="Calibri"/>
          <w:szCs w:val="24"/>
        </w:rPr>
        <w:t xml:space="preserve"> </w:t>
      </w:r>
      <w:r w:rsidRPr="005D53A7">
        <w:rPr>
          <w:rFonts w:ascii="Calibri" w:hAnsi="Calibri" w:cs="Calibri"/>
          <w:szCs w:val="24"/>
        </w:rPr>
        <w:t>tube(s) containing the bone</w:t>
      </w:r>
      <w:r w:rsidR="000973D8" w:rsidRPr="005D53A7">
        <w:rPr>
          <w:rFonts w:ascii="Calibri" w:hAnsi="Calibri" w:cs="Calibri"/>
          <w:szCs w:val="24"/>
        </w:rPr>
        <w:t xml:space="preserve"> </w:t>
      </w:r>
      <w:r w:rsidRPr="005D53A7">
        <w:rPr>
          <w:rFonts w:ascii="Calibri" w:hAnsi="Calibri" w:cs="Calibri"/>
          <w:szCs w:val="24"/>
        </w:rPr>
        <w:t>marrow single cell suspension on a centrifuge.</w:t>
      </w:r>
      <w:r w:rsidR="003800BF" w:rsidRPr="005D53A7">
        <w:rPr>
          <w:rFonts w:ascii="Calibri" w:hAnsi="Calibri" w:cs="Calibri"/>
          <w:szCs w:val="24"/>
        </w:rPr>
        <w:t xml:space="preserve"> </w:t>
      </w:r>
      <w:r w:rsidRPr="005D53A7">
        <w:rPr>
          <w:rFonts w:ascii="Calibri" w:hAnsi="Calibri" w:cs="Calibri"/>
          <w:szCs w:val="24"/>
        </w:rPr>
        <w:t xml:space="preserve">Run the centrifuge at </w:t>
      </w:r>
      <w:r w:rsidR="00FD467E" w:rsidRPr="005D53A7">
        <w:rPr>
          <w:rFonts w:ascii="Calibri" w:hAnsi="Calibri" w:cs="Calibri"/>
          <w:szCs w:val="24"/>
        </w:rPr>
        <w:t>300</w:t>
      </w:r>
      <w:r w:rsidR="00872462" w:rsidRPr="00872462">
        <w:rPr>
          <w:rFonts w:ascii="Calibri" w:hAnsi="Calibri" w:cs="Calibri"/>
          <w:i/>
          <w:iCs/>
          <w:szCs w:val="24"/>
        </w:rPr>
        <w:t xml:space="preserve"> </w:t>
      </w:r>
      <w:r w:rsidR="00872462" w:rsidRPr="00045C71">
        <w:rPr>
          <w:rFonts w:ascii="Calibri" w:hAnsi="Calibri" w:cs="Calibri"/>
          <w:szCs w:val="24"/>
        </w:rPr>
        <w:t>x</w:t>
      </w:r>
      <w:r w:rsidR="00872462" w:rsidRPr="00872462">
        <w:rPr>
          <w:rFonts w:ascii="Calibri" w:hAnsi="Calibri" w:cs="Calibri"/>
          <w:i/>
          <w:iCs/>
          <w:szCs w:val="24"/>
        </w:rPr>
        <w:t xml:space="preserve"> g</w:t>
      </w:r>
      <w:r w:rsidRPr="005D53A7">
        <w:rPr>
          <w:rFonts w:ascii="Calibri" w:hAnsi="Calibri" w:cs="Calibri"/>
          <w:szCs w:val="24"/>
        </w:rPr>
        <w:t xml:space="preserve"> for 10 </w:t>
      </w:r>
      <w:r w:rsidR="00DA08A5" w:rsidRPr="005D53A7">
        <w:rPr>
          <w:rFonts w:ascii="Calibri" w:hAnsi="Calibri" w:cs="Calibri"/>
          <w:szCs w:val="24"/>
        </w:rPr>
        <w:t>min</w:t>
      </w:r>
      <w:r w:rsidRPr="005D53A7">
        <w:rPr>
          <w:rFonts w:ascii="Calibri" w:hAnsi="Calibri" w:cs="Calibri"/>
          <w:szCs w:val="24"/>
        </w:rPr>
        <w:t xml:space="preserve"> at </w:t>
      </w:r>
      <w:r w:rsidR="003E68D3" w:rsidRPr="005D53A7">
        <w:rPr>
          <w:rFonts w:ascii="Calibri" w:hAnsi="Calibri" w:cs="Calibri"/>
          <w:szCs w:val="24"/>
        </w:rPr>
        <w:t xml:space="preserve">4 </w:t>
      </w:r>
      <w:r w:rsidR="008F345A">
        <w:rPr>
          <w:rFonts w:ascii="Calibri" w:hAnsi="Calibri" w:cs="Calibri"/>
          <w:szCs w:val="24"/>
        </w:rPr>
        <w:t>°</w:t>
      </w:r>
      <w:r w:rsidR="003E68D3" w:rsidRPr="005D53A7">
        <w:rPr>
          <w:rFonts w:ascii="Calibri" w:hAnsi="Calibri" w:cs="Calibri"/>
          <w:szCs w:val="24"/>
        </w:rPr>
        <w:t>C</w:t>
      </w:r>
      <w:r w:rsidR="00FD467E" w:rsidRPr="005D53A7">
        <w:rPr>
          <w:rFonts w:ascii="Calibri" w:hAnsi="Calibri" w:cs="Calibri"/>
          <w:szCs w:val="24"/>
        </w:rPr>
        <w:t xml:space="preserve"> to pellet the cells.</w:t>
      </w:r>
    </w:p>
    <w:p w14:paraId="751622E2" w14:textId="77777777" w:rsidR="00681993" w:rsidRPr="005D53A7" w:rsidRDefault="00681993" w:rsidP="00681993">
      <w:pPr>
        <w:pStyle w:val="ListParagraph"/>
        <w:tabs>
          <w:tab w:val="left" w:pos="851"/>
        </w:tabs>
        <w:ind w:left="0"/>
        <w:jc w:val="both"/>
        <w:rPr>
          <w:rFonts w:ascii="Calibri" w:hAnsi="Calibri" w:cs="Calibri"/>
          <w:szCs w:val="24"/>
        </w:rPr>
      </w:pPr>
    </w:p>
    <w:p w14:paraId="41FFDB46" w14:textId="5E4A4FDF" w:rsidR="00165787" w:rsidRDefault="008F345A" w:rsidP="005D53A7">
      <w:pPr>
        <w:pStyle w:val="ListParagraph"/>
        <w:numPr>
          <w:ilvl w:val="1"/>
          <w:numId w:val="14"/>
        </w:numPr>
        <w:tabs>
          <w:tab w:val="left" w:pos="851"/>
        </w:tabs>
        <w:jc w:val="both"/>
        <w:rPr>
          <w:rFonts w:ascii="Calibri" w:hAnsi="Calibri" w:cs="Calibri"/>
          <w:szCs w:val="24"/>
        </w:rPr>
      </w:pPr>
      <w:r w:rsidRPr="005D53A7">
        <w:rPr>
          <w:rFonts w:ascii="Calibri" w:hAnsi="Calibri" w:cs="Calibri"/>
          <w:szCs w:val="24"/>
        </w:rPr>
        <w:t>Meanwhile</w:t>
      </w:r>
      <w:r w:rsidR="00E6191E" w:rsidRPr="005D53A7">
        <w:rPr>
          <w:rFonts w:ascii="Calibri" w:hAnsi="Calibri" w:cs="Calibri"/>
          <w:szCs w:val="24"/>
        </w:rPr>
        <w:t xml:space="preserve">, </w:t>
      </w:r>
      <w:r w:rsidR="002E25A2" w:rsidRPr="005D53A7">
        <w:rPr>
          <w:rFonts w:ascii="Calibri" w:hAnsi="Calibri" w:cs="Calibri"/>
          <w:szCs w:val="24"/>
        </w:rPr>
        <w:t>prepare 10</w:t>
      </w:r>
      <w:r w:rsidR="0068236A" w:rsidRPr="005D53A7">
        <w:rPr>
          <w:rFonts w:ascii="Calibri" w:hAnsi="Calibri" w:cs="Calibri"/>
          <w:szCs w:val="24"/>
        </w:rPr>
        <w:t xml:space="preserve"> </w:t>
      </w:r>
      <w:r w:rsidR="004314BE" w:rsidRPr="005D53A7">
        <w:rPr>
          <w:rFonts w:ascii="Calibri" w:hAnsi="Calibri" w:cs="Calibri"/>
          <w:szCs w:val="24"/>
        </w:rPr>
        <w:t>mL</w:t>
      </w:r>
      <w:r w:rsidR="00E6191E" w:rsidRPr="005D53A7">
        <w:rPr>
          <w:rFonts w:ascii="Calibri" w:hAnsi="Calibri" w:cs="Calibri"/>
          <w:szCs w:val="24"/>
        </w:rPr>
        <w:t xml:space="preserve"> of 1x RBC</w:t>
      </w:r>
      <w:r w:rsidR="006610DE" w:rsidRPr="005D53A7">
        <w:rPr>
          <w:rFonts w:ascii="Calibri" w:hAnsi="Calibri" w:cs="Calibri"/>
          <w:szCs w:val="24"/>
        </w:rPr>
        <w:t xml:space="preserve"> </w:t>
      </w:r>
      <w:r w:rsidR="00E6191E" w:rsidRPr="005D53A7">
        <w:rPr>
          <w:rFonts w:ascii="Calibri" w:hAnsi="Calibri" w:cs="Calibri"/>
          <w:szCs w:val="24"/>
        </w:rPr>
        <w:t>lysis buffer</w:t>
      </w:r>
      <w:r w:rsidR="006610DE" w:rsidRPr="005D53A7">
        <w:rPr>
          <w:rFonts w:ascii="Calibri" w:hAnsi="Calibri" w:cs="Calibri"/>
          <w:szCs w:val="24"/>
        </w:rPr>
        <w:t xml:space="preserve"> </w:t>
      </w:r>
      <w:r w:rsidR="00E6191E" w:rsidRPr="005D53A7">
        <w:rPr>
          <w:rFonts w:ascii="Calibri" w:hAnsi="Calibri" w:cs="Calibri"/>
          <w:szCs w:val="24"/>
        </w:rPr>
        <w:t xml:space="preserve">in autoclaved </w:t>
      </w:r>
      <w:r w:rsidR="00E47FC9" w:rsidRPr="005D53A7">
        <w:rPr>
          <w:rFonts w:ascii="Calibri" w:hAnsi="Calibri" w:cs="Calibri"/>
          <w:szCs w:val="24"/>
        </w:rPr>
        <w:t xml:space="preserve">distilled </w:t>
      </w:r>
      <w:r w:rsidR="00E6191E" w:rsidRPr="005D53A7">
        <w:rPr>
          <w:rFonts w:ascii="Calibri" w:hAnsi="Calibri" w:cs="Calibri"/>
          <w:szCs w:val="24"/>
        </w:rPr>
        <w:t xml:space="preserve">water. Filter the solution </w:t>
      </w:r>
      <w:r w:rsidR="00A8448D" w:rsidRPr="005D53A7">
        <w:rPr>
          <w:rFonts w:ascii="Calibri" w:hAnsi="Calibri" w:cs="Calibri"/>
          <w:szCs w:val="24"/>
        </w:rPr>
        <w:t xml:space="preserve">through </w:t>
      </w:r>
      <w:r w:rsidR="00E6191E" w:rsidRPr="005D53A7">
        <w:rPr>
          <w:rFonts w:ascii="Calibri" w:hAnsi="Calibri" w:cs="Calibri"/>
          <w:szCs w:val="24"/>
        </w:rPr>
        <w:t>a 0.22</w:t>
      </w:r>
      <w:r w:rsidR="0068236A" w:rsidRPr="005D53A7">
        <w:rPr>
          <w:rFonts w:ascii="Calibri" w:hAnsi="Calibri" w:cs="Calibri"/>
          <w:szCs w:val="24"/>
        </w:rPr>
        <w:t xml:space="preserve"> </w:t>
      </w:r>
      <w:r w:rsidR="00681993">
        <w:rPr>
          <w:rFonts w:ascii="Calibri" w:hAnsi="Calibri" w:cs="Calibri"/>
          <w:szCs w:val="24"/>
        </w:rPr>
        <w:t>µm</w:t>
      </w:r>
      <w:r w:rsidR="00E6191E" w:rsidRPr="005D53A7">
        <w:rPr>
          <w:rFonts w:ascii="Calibri" w:hAnsi="Calibri" w:cs="Calibri"/>
          <w:szCs w:val="24"/>
        </w:rPr>
        <w:t xml:space="preserve"> filter.</w:t>
      </w:r>
    </w:p>
    <w:p w14:paraId="1F440E16" w14:textId="77777777" w:rsidR="00681993" w:rsidRPr="005D53A7" w:rsidRDefault="00681993" w:rsidP="00681993">
      <w:pPr>
        <w:pStyle w:val="ListParagraph"/>
        <w:tabs>
          <w:tab w:val="left" w:pos="851"/>
        </w:tabs>
        <w:ind w:left="0"/>
        <w:jc w:val="both"/>
        <w:rPr>
          <w:rFonts w:ascii="Calibri" w:hAnsi="Calibri" w:cs="Calibri"/>
          <w:szCs w:val="24"/>
        </w:rPr>
      </w:pPr>
    </w:p>
    <w:p w14:paraId="53ACE23A" w14:textId="63E70436" w:rsidR="00F33CC2" w:rsidRPr="0078328A" w:rsidRDefault="00253AC8" w:rsidP="005D53A7">
      <w:pPr>
        <w:pStyle w:val="ListParagraph"/>
        <w:numPr>
          <w:ilvl w:val="1"/>
          <w:numId w:val="14"/>
        </w:numPr>
        <w:jc w:val="both"/>
        <w:rPr>
          <w:rFonts w:ascii="Calibri" w:hAnsi="Calibri" w:cs="Calibri"/>
        </w:rPr>
      </w:pPr>
      <w:r w:rsidRPr="005D53A7">
        <w:rPr>
          <w:rFonts w:ascii="Calibri" w:hAnsi="Calibri" w:cs="Calibri"/>
          <w:szCs w:val="24"/>
        </w:rPr>
        <w:t xml:space="preserve">Collect </w:t>
      </w:r>
      <w:r w:rsidRPr="0078328A">
        <w:rPr>
          <w:rFonts w:ascii="Calibri" w:hAnsi="Calibri" w:cs="Calibri"/>
          <w:szCs w:val="24"/>
        </w:rPr>
        <w:t xml:space="preserve">the </w:t>
      </w:r>
      <w:r w:rsidR="00E47FC9" w:rsidRPr="0078328A">
        <w:rPr>
          <w:rFonts w:ascii="Calibri" w:hAnsi="Calibri" w:cs="Calibri"/>
          <w:szCs w:val="24"/>
        </w:rPr>
        <w:t xml:space="preserve">sample </w:t>
      </w:r>
      <w:r w:rsidRPr="0078328A">
        <w:rPr>
          <w:rFonts w:ascii="Calibri" w:hAnsi="Calibri" w:cs="Calibri"/>
          <w:szCs w:val="24"/>
        </w:rPr>
        <w:t>tube from the centrifuge and decant the supernatant.</w:t>
      </w:r>
      <w:r w:rsidR="00E47FC9" w:rsidRPr="0078328A">
        <w:rPr>
          <w:rFonts w:ascii="Calibri" w:hAnsi="Calibri" w:cs="Calibri"/>
          <w:szCs w:val="24"/>
        </w:rPr>
        <w:t xml:space="preserve"> </w:t>
      </w:r>
      <w:r w:rsidR="00885A51" w:rsidRPr="0078328A">
        <w:rPr>
          <w:rFonts w:ascii="Calibri" w:hAnsi="Calibri" w:cs="Calibri"/>
        </w:rPr>
        <w:t xml:space="preserve">Pipette the 1x RBC lysis buffer </w:t>
      </w:r>
      <w:r w:rsidR="00E60F9F" w:rsidRPr="0078328A">
        <w:rPr>
          <w:rFonts w:ascii="Calibri" w:hAnsi="Calibri" w:cs="Calibri"/>
        </w:rPr>
        <w:t>(</w:t>
      </w:r>
      <w:r w:rsidR="0078328A" w:rsidRPr="0078328A">
        <w:rPr>
          <w:rFonts w:ascii="Calibri" w:hAnsi="Calibri"/>
          <w:b/>
          <w:bCs/>
        </w:rPr>
        <w:t>Table of Materials</w:t>
      </w:r>
      <w:r w:rsidR="00E60F9F" w:rsidRPr="0078328A">
        <w:rPr>
          <w:rFonts w:ascii="Calibri" w:hAnsi="Calibri" w:cs="Calibri"/>
        </w:rPr>
        <w:t xml:space="preserve">) </w:t>
      </w:r>
      <w:r w:rsidR="00885A51" w:rsidRPr="0078328A">
        <w:rPr>
          <w:rFonts w:ascii="Calibri" w:hAnsi="Calibri" w:cs="Calibri"/>
        </w:rPr>
        <w:t>on the cell pellet. Dislodge the pellet and prepare a homogenous solution by pipetting up and down a few times.</w:t>
      </w:r>
      <w:r w:rsidR="00E47FC9" w:rsidRPr="0078328A">
        <w:rPr>
          <w:rFonts w:ascii="Calibri" w:hAnsi="Calibri" w:cs="Calibri"/>
        </w:rPr>
        <w:t xml:space="preserve"> Allow</w:t>
      </w:r>
      <w:r w:rsidR="00F33CC2" w:rsidRPr="0078328A">
        <w:rPr>
          <w:rFonts w:ascii="Calibri" w:hAnsi="Calibri" w:cs="Calibri"/>
        </w:rPr>
        <w:t xml:space="preserve"> the tube </w:t>
      </w:r>
      <w:r w:rsidR="00E47FC9" w:rsidRPr="0078328A">
        <w:rPr>
          <w:rFonts w:ascii="Calibri" w:hAnsi="Calibri" w:cs="Calibri"/>
        </w:rPr>
        <w:t xml:space="preserve">to be </w:t>
      </w:r>
      <w:r w:rsidR="00F33CC2" w:rsidRPr="0078328A">
        <w:rPr>
          <w:rFonts w:ascii="Calibri" w:hAnsi="Calibri" w:cs="Calibri"/>
        </w:rPr>
        <w:t>at room temperature for 1</w:t>
      </w:r>
      <w:r w:rsidR="008F345A" w:rsidRPr="00C174C3">
        <w:rPr>
          <w:rFonts w:ascii="Calibri" w:hAnsi="Calibri" w:cs="Calibri"/>
        </w:rPr>
        <w:t>–</w:t>
      </w:r>
      <w:r w:rsidR="00F33CC2" w:rsidRPr="0078328A">
        <w:rPr>
          <w:rFonts w:ascii="Calibri" w:hAnsi="Calibri" w:cs="Calibri"/>
        </w:rPr>
        <w:t xml:space="preserve">2 </w:t>
      </w:r>
      <w:r w:rsidR="00DA08A5" w:rsidRPr="0078328A">
        <w:rPr>
          <w:rFonts w:ascii="Calibri" w:hAnsi="Calibri" w:cs="Calibri"/>
        </w:rPr>
        <w:t>min</w:t>
      </w:r>
      <w:r w:rsidR="00F33CC2" w:rsidRPr="0078328A">
        <w:rPr>
          <w:rFonts w:ascii="Calibri" w:hAnsi="Calibri" w:cs="Calibri"/>
        </w:rPr>
        <w:t xml:space="preserve"> for the RBC lysis to occur. Stop the lysis process by filling up the tube with the buffer</w:t>
      </w:r>
      <w:r w:rsidR="00AA1051" w:rsidRPr="0078328A">
        <w:rPr>
          <w:rFonts w:ascii="Calibri" w:hAnsi="Calibri" w:cs="Calibri"/>
        </w:rPr>
        <w:t>.</w:t>
      </w:r>
    </w:p>
    <w:p w14:paraId="6BB05E46" w14:textId="77777777" w:rsidR="00681993" w:rsidRPr="0078328A" w:rsidRDefault="00681993" w:rsidP="00681993">
      <w:pPr>
        <w:pStyle w:val="ListParagraph"/>
        <w:ind w:left="0"/>
        <w:jc w:val="both"/>
        <w:rPr>
          <w:rFonts w:ascii="Calibri" w:hAnsi="Calibri" w:cs="Calibri"/>
        </w:rPr>
      </w:pPr>
    </w:p>
    <w:p w14:paraId="011268A9" w14:textId="5C301450" w:rsidR="009F7156" w:rsidRPr="0078328A" w:rsidRDefault="00E47FC9" w:rsidP="005D53A7">
      <w:pPr>
        <w:pStyle w:val="ListParagraph"/>
        <w:numPr>
          <w:ilvl w:val="1"/>
          <w:numId w:val="14"/>
        </w:numPr>
        <w:tabs>
          <w:tab w:val="left" w:pos="851"/>
        </w:tabs>
        <w:jc w:val="both"/>
        <w:rPr>
          <w:rFonts w:ascii="Calibri" w:hAnsi="Calibri" w:cs="Calibri"/>
          <w:szCs w:val="24"/>
        </w:rPr>
      </w:pPr>
      <w:r w:rsidRPr="0078328A">
        <w:rPr>
          <w:rFonts w:ascii="Calibri" w:hAnsi="Calibri" w:cs="Calibri"/>
          <w:szCs w:val="24"/>
        </w:rPr>
        <w:t>Place the tube on a centrifuge and spin</w:t>
      </w:r>
      <w:r w:rsidR="00AA1051" w:rsidRPr="0078328A">
        <w:rPr>
          <w:rFonts w:ascii="Calibri" w:hAnsi="Calibri" w:cs="Calibri"/>
          <w:szCs w:val="24"/>
        </w:rPr>
        <w:t xml:space="preserve"> at </w:t>
      </w:r>
      <w:r w:rsidR="00FD467E" w:rsidRPr="0078328A">
        <w:rPr>
          <w:rFonts w:ascii="Calibri" w:hAnsi="Calibri" w:cs="Calibri"/>
          <w:szCs w:val="24"/>
        </w:rPr>
        <w:t>300</w:t>
      </w:r>
      <w:r w:rsidR="00872462" w:rsidRPr="00872462">
        <w:rPr>
          <w:rFonts w:ascii="Calibri" w:hAnsi="Calibri" w:cs="Calibri"/>
          <w:iCs/>
          <w:szCs w:val="24"/>
        </w:rPr>
        <w:t xml:space="preserve"> x </w:t>
      </w:r>
      <w:r w:rsidR="00872462" w:rsidRPr="00872462">
        <w:rPr>
          <w:rFonts w:ascii="Calibri" w:hAnsi="Calibri" w:cs="Calibri"/>
          <w:i/>
          <w:iCs/>
          <w:szCs w:val="24"/>
        </w:rPr>
        <w:t>g</w:t>
      </w:r>
      <w:r w:rsidR="00AA1051" w:rsidRPr="0078328A">
        <w:rPr>
          <w:rFonts w:ascii="Calibri" w:hAnsi="Calibri" w:cs="Calibri"/>
          <w:szCs w:val="24"/>
        </w:rPr>
        <w:t xml:space="preserve"> for 5 </w:t>
      </w:r>
      <w:r w:rsidR="00DA08A5" w:rsidRPr="0078328A">
        <w:rPr>
          <w:rFonts w:ascii="Calibri" w:hAnsi="Calibri" w:cs="Calibri"/>
          <w:szCs w:val="24"/>
        </w:rPr>
        <w:t>min</w:t>
      </w:r>
      <w:r w:rsidR="00AA1051" w:rsidRPr="0078328A">
        <w:rPr>
          <w:rFonts w:ascii="Calibri" w:hAnsi="Calibri" w:cs="Calibri"/>
          <w:szCs w:val="24"/>
        </w:rPr>
        <w:t xml:space="preserve"> at 4</w:t>
      </w:r>
      <w:r w:rsidR="003E68D3" w:rsidRPr="0078328A">
        <w:rPr>
          <w:rFonts w:ascii="Calibri" w:hAnsi="Calibri" w:cs="Calibri"/>
          <w:szCs w:val="24"/>
        </w:rPr>
        <w:t xml:space="preserve"> </w:t>
      </w:r>
      <w:r w:rsidR="008F345A">
        <w:rPr>
          <w:rFonts w:ascii="Calibri" w:hAnsi="Calibri" w:cs="Calibri"/>
          <w:szCs w:val="24"/>
        </w:rPr>
        <w:t>°</w:t>
      </w:r>
      <w:r w:rsidR="00AA1051" w:rsidRPr="0078328A">
        <w:rPr>
          <w:rFonts w:ascii="Calibri" w:hAnsi="Calibri" w:cs="Calibri"/>
          <w:szCs w:val="24"/>
        </w:rPr>
        <w:t>C</w:t>
      </w:r>
      <w:r w:rsidR="009F7156" w:rsidRPr="0078328A">
        <w:rPr>
          <w:rFonts w:ascii="Calibri" w:hAnsi="Calibri" w:cs="Calibri"/>
          <w:szCs w:val="24"/>
        </w:rPr>
        <w:t>.</w:t>
      </w:r>
      <w:r w:rsidRPr="0078328A">
        <w:rPr>
          <w:rFonts w:ascii="Calibri" w:hAnsi="Calibri" w:cs="Calibri"/>
          <w:szCs w:val="24"/>
        </w:rPr>
        <w:t xml:space="preserve"> </w:t>
      </w:r>
      <w:r w:rsidR="009F7156" w:rsidRPr="0078328A">
        <w:rPr>
          <w:rFonts w:ascii="Calibri" w:hAnsi="Calibri" w:cs="Calibri"/>
          <w:szCs w:val="24"/>
        </w:rPr>
        <w:t>Collect the tube from the centrifuge and decant the supernatant.</w:t>
      </w:r>
      <w:r w:rsidR="006C5022" w:rsidRPr="0078328A">
        <w:rPr>
          <w:rFonts w:ascii="Calibri" w:hAnsi="Calibri" w:cs="Calibri"/>
          <w:szCs w:val="24"/>
        </w:rPr>
        <w:t xml:space="preserve"> </w:t>
      </w:r>
      <w:r w:rsidR="009F7156" w:rsidRPr="0078328A">
        <w:rPr>
          <w:rFonts w:ascii="Calibri" w:hAnsi="Calibri" w:cs="Calibri"/>
          <w:szCs w:val="24"/>
        </w:rPr>
        <w:t>Resuspend the pellet by adding 10</w:t>
      </w:r>
      <w:r w:rsidR="00165787" w:rsidRPr="0078328A">
        <w:rPr>
          <w:rFonts w:ascii="Calibri" w:hAnsi="Calibri" w:cs="Calibri"/>
          <w:szCs w:val="24"/>
        </w:rPr>
        <w:t xml:space="preserve"> </w:t>
      </w:r>
      <w:r w:rsidR="008F345A">
        <w:rPr>
          <w:rFonts w:ascii="Calibri" w:hAnsi="Calibri" w:cs="Calibri"/>
          <w:szCs w:val="24"/>
        </w:rPr>
        <w:t>mL of</w:t>
      </w:r>
      <w:r w:rsidR="009F7156" w:rsidRPr="0078328A">
        <w:rPr>
          <w:rFonts w:ascii="Calibri" w:hAnsi="Calibri" w:cs="Calibri"/>
          <w:szCs w:val="24"/>
        </w:rPr>
        <w:t xml:space="preserve"> buffer and filter the solution into a new </w:t>
      </w:r>
      <w:r w:rsidR="006C5022" w:rsidRPr="0078328A">
        <w:rPr>
          <w:rFonts w:ascii="Calibri" w:hAnsi="Calibri" w:cs="Calibri"/>
          <w:szCs w:val="24"/>
        </w:rPr>
        <w:t xml:space="preserve">50 </w:t>
      </w:r>
      <w:r w:rsidR="004314BE" w:rsidRPr="0078328A">
        <w:rPr>
          <w:rFonts w:ascii="Calibri" w:hAnsi="Calibri" w:cs="Calibri"/>
          <w:szCs w:val="24"/>
        </w:rPr>
        <w:t>mL</w:t>
      </w:r>
      <w:r w:rsidR="006C5022" w:rsidRPr="0078328A">
        <w:rPr>
          <w:rFonts w:ascii="Calibri" w:hAnsi="Calibri" w:cs="Calibri"/>
          <w:szCs w:val="24"/>
        </w:rPr>
        <w:t xml:space="preserve"> </w:t>
      </w:r>
      <w:r w:rsidR="009F7156" w:rsidRPr="0078328A">
        <w:rPr>
          <w:rFonts w:ascii="Calibri" w:hAnsi="Calibri" w:cs="Calibri"/>
          <w:szCs w:val="24"/>
        </w:rPr>
        <w:t xml:space="preserve">tube via a </w:t>
      </w:r>
      <w:r w:rsidR="00397110" w:rsidRPr="0078328A">
        <w:rPr>
          <w:rFonts w:ascii="Calibri" w:hAnsi="Calibri" w:cs="Calibri"/>
          <w:szCs w:val="24"/>
        </w:rPr>
        <w:t>70</w:t>
      </w:r>
      <w:r w:rsidR="0068236A" w:rsidRPr="0078328A">
        <w:rPr>
          <w:rFonts w:ascii="Calibri" w:hAnsi="Calibri" w:cs="Calibri"/>
          <w:szCs w:val="24"/>
        </w:rPr>
        <w:t xml:space="preserve"> </w:t>
      </w:r>
      <w:r w:rsidR="00681993" w:rsidRPr="0078328A">
        <w:rPr>
          <w:rFonts w:ascii="Calibri" w:hAnsi="Calibri" w:cs="Calibri"/>
          <w:szCs w:val="24"/>
        </w:rPr>
        <w:t>µm</w:t>
      </w:r>
      <w:r w:rsidR="00397110" w:rsidRPr="0078328A">
        <w:rPr>
          <w:rFonts w:ascii="Calibri" w:hAnsi="Calibri" w:cs="Calibri"/>
          <w:szCs w:val="24"/>
        </w:rPr>
        <w:t xml:space="preserve"> </w:t>
      </w:r>
      <w:r w:rsidR="009F7156" w:rsidRPr="0078328A">
        <w:rPr>
          <w:rFonts w:ascii="Calibri" w:hAnsi="Calibri" w:cs="Calibri"/>
          <w:szCs w:val="24"/>
        </w:rPr>
        <w:t>cell strainer to remove the debris due to RBC lysis.</w:t>
      </w:r>
    </w:p>
    <w:p w14:paraId="12CF5567" w14:textId="77777777" w:rsidR="00681993" w:rsidRPr="0078328A" w:rsidRDefault="00681993" w:rsidP="00681993">
      <w:pPr>
        <w:pStyle w:val="ListParagraph"/>
        <w:tabs>
          <w:tab w:val="left" w:pos="851"/>
        </w:tabs>
        <w:ind w:left="0"/>
        <w:jc w:val="both"/>
        <w:rPr>
          <w:rFonts w:ascii="Calibri" w:hAnsi="Calibri" w:cs="Calibri"/>
          <w:szCs w:val="24"/>
        </w:rPr>
      </w:pPr>
    </w:p>
    <w:p w14:paraId="1699FE87" w14:textId="681C70E8" w:rsidR="009F7156" w:rsidRPr="0078328A" w:rsidRDefault="009F7156" w:rsidP="005D53A7">
      <w:pPr>
        <w:pStyle w:val="ListParagraph"/>
        <w:numPr>
          <w:ilvl w:val="1"/>
          <w:numId w:val="14"/>
        </w:numPr>
        <w:tabs>
          <w:tab w:val="left" w:pos="851"/>
        </w:tabs>
        <w:jc w:val="both"/>
        <w:rPr>
          <w:rFonts w:ascii="Calibri" w:hAnsi="Calibri" w:cs="Calibri"/>
          <w:szCs w:val="24"/>
        </w:rPr>
      </w:pPr>
      <w:r w:rsidRPr="0078328A">
        <w:rPr>
          <w:rFonts w:ascii="Calibri" w:hAnsi="Calibri" w:cs="Calibri"/>
          <w:szCs w:val="24"/>
        </w:rPr>
        <w:t>Centrifuge the tube at 300</w:t>
      </w:r>
      <w:r w:rsidR="00872462" w:rsidRPr="00872462">
        <w:rPr>
          <w:rFonts w:ascii="Calibri" w:hAnsi="Calibri" w:cs="Calibri"/>
          <w:iCs/>
          <w:szCs w:val="24"/>
        </w:rPr>
        <w:t xml:space="preserve"> x </w:t>
      </w:r>
      <w:r w:rsidR="00872462" w:rsidRPr="00872462">
        <w:rPr>
          <w:rFonts w:ascii="Calibri" w:hAnsi="Calibri" w:cs="Calibri"/>
          <w:i/>
          <w:iCs/>
          <w:szCs w:val="24"/>
        </w:rPr>
        <w:t>g</w:t>
      </w:r>
      <w:r w:rsidRPr="0078328A">
        <w:rPr>
          <w:rFonts w:ascii="Calibri" w:hAnsi="Calibri" w:cs="Calibri"/>
          <w:szCs w:val="24"/>
        </w:rPr>
        <w:t xml:space="preserve"> for 5 </w:t>
      </w:r>
      <w:r w:rsidR="00DA08A5" w:rsidRPr="0078328A">
        <w:rPr>
          <w:rFonts w:ascii="Calibri" w:hAnsi="Calibri" w:cs="Calibri"/>
          <w:szCs w:val="24"/>
        </w:rPr>
        <w:t>min</w:t>
      </w:r>
      <w:r w:rsidRPr="0078328A">
        <w:rPr>
          <w:rFonts w:ascii="Calibri" w:hAnsi="Calibri" w:cs="Calibri"/>
          <w:szCs w:val="24"/>
        </w:rPr>
        <w:t xml:space="preserve"> at 4</w:t>
      </w:r>
      <w:r w:rsidR="003E68D3" w:rsidRPr="0078328A">
        <w:rPr>
          <w:rFonts w:ascii="Calibri" w:hAnsi="Calibri" w:cs="Calibri"/>
          <w:szCs w:val="24"/>
        </w:rPr>
        <w:t xml:space="preserve"> </w:t>
      </w:r>
      <w:r w:rsidR="008F345A">
        <w:rPr>
          <w:rFonts w:ascii="Calibri" w:hAnsi="Calibri" w:cs="Calibri"/>
          <w:szCs w:val="24"/>
        </w:rPr>
        <w:t>°</w:t>
      </w:r>
      <w:r w:rsidR="003E68D3" w:rsidRPr="0078328A">
        <w:rPr>
          <w:rFonts w:ascii="Calibri" w:hAnsi="Calibri" w:cs="Calibri"/>
          <w:szCs w:val="24"/>
        </w:rPr>
        <w:t>C</w:t>
      </w:r>
      <w:r w:rsidRPr="0078328A">
        <w:rPr>
          <w:rFonts w:ascii="Calibri" w:hAnsi="Calibri" w:cs="Calibri"/>
          <w:szCs w:val="24"/>
        </w:rPr>
        <w:t>.</w:t>
      </w:r>
      <w:r w:rsidR="0030750A" w:rsidRPr="0078328A">
        <w:rPr>
          <w:rFonts w:ascii="Calibri" w:hAnsi="Calibri" w:cs="Calibri"/>
          <w:szCs w:val="24"/>
        </w:rPr>
        <w:t xml:space="preserve"> </w:t>
      </w:r>
      <w:r w:rsidRPr="0078328A">
        <w:rPr>
          <w:rFonts w:ascii="Calibri" w:hAnsi="Calibri" w:cs="Calibri"/>
          <w:szCs w:val="24"/>
        </w:rPr>
        <w:t>Collect the tube from the centrifuge and decant the supernatant.</w:t>
      </w:r>
      <w:r w:rsidR="0030750A" w:rsidRPr="0078328A">
        <w:rPr>
          <w:rFonts w:ascii="Calibri" w:hAnsi="Calibri" w:cs="Calibri"/>
          <w:szCs w:val="24"/>
        </w:rPr>
        <w:t xml:space="preserve"> </w:t>
      </w:r>
      <w:r w:rsidRPr="0078328A">
        <w:rPr>
          <w:rFonts w:ascii="Calibri" w:hAnsi="Calibri" w:cs="Calibri"/>
          <w:szCs w:val="24"/>
        </w:rPr>
        <w:t>Resuspend the pellet in 500</w:t>
      </w:r>
      <w:r w:rsidR="0068236A" w:rsidRPr="0078328A">
        <w:rPr>
          <w:rFonts w:ascii="Calibri" w:hAnsi="Calibri" w:cs="Calibri"/>
          <w:szCs w:val="24"/>
        </w:rPr>
        <w:t xml:space="preserve"> </w:t>
      </w:r>
      <w:r w:rsidR="008F345A">
        <w:rPr>
          <w:rFonts w:ascii="Calibri" w:hAnsi="Calibri" w:cs="Calibri"/>
          <w:szCs w:val="24"/>
        </w:rPr>
        <w:t>µL of</w:t>
      </w:r>
      <w:r w:rsidR="00E51EA6" w:rsidRPr="0078328A">
        <w:rPr>
          <w:rFonts w:ascii="Calibri" w:hAnsi="Calibri" w:cs="Calibri"/>
          <w:szCs w:val="24"/>
        </w:rPr>
        <w:t xml:space="preserve"> </w:t>
      </w:r>
      <w:r w:rsidRPr="0078328A">
        <w:rPr>
          <w:rFonts w:ascii="Calibri" w:hAnsi="Calibri" w:cs="Calibri"/>
          <w:szCs w:val="24"/>
        </w:rPr>
        <w:t xml:space="preserve">buffer. </w:t>
      </w:r>
    </w:p>
    <w:p w14:paraId="7A02DA18" w14:textId="77777777" w:rsidR="00681993" w:rsidRPr="0078328A" w:rsidRDefault="00681993" w:rsidP="00681993">
      <w:pPr>
        <w:pStyle w:val="ListParagraph"/>
        <w:tabs>
          <w:tab w:val="left" w:pos="851"/>
        </w:tabs>
        <w:ind w:left="0"/>
        <w:jc w:val="both"/>
        <w:rPr>
          <w:rFonts w:ascii="Calibri" w:hAnsi="Calibri" w:cs="Calibri"/>
          <w:szCs w:val="24"/>
        </w:rPr>
      </w:pPr>
    </w:p>
    <w:p w14:paraId="4AF0A2F4" w14:textId="54F49209" w:rsidR="00F21C92" w:rsidRPr="0078328A" w:rsidRDefault="0030750A" w:rsidP="005D53A7">
      <w:pPr>
        <w:pStyle w:val="ListParagraph"/>
        <w:numPr>
          <w:ilvl w:val="1"/>
          <w:numId w:val="14"/>
        </w:numPr>
        <w:tabs>
          <w:tab w:val="left" w:pos="851"/>
        </w:tabs>
        <w:jc w:val="both"/>
        <w:rPr>
          <w:rFonts w:ascii="Calibri" w:hAnsi="Calibri" w:cs="Calibri"/>
          <w:szCs w:val="24"/>
        </w:rPr>
      </w:pPr>
      <w:r w:rsidRPr="0078328A">
        <w:rPr>
          <w:rFonts w:ascii="Calibri" w:hAnsi="Calibri" w:cs="Calibri"/>
          <w:szCs w:val="24"/>
        </w:rPr>
        <w:t>Remove</w:t>
      </w:r>
      <w:r w:rsidR="009F7156" w:rsidRPr="0078328A">
        <w:rPr>
          <w:rFonts w:ascii="Calibri" w:hAnsi="Calibri" w:cs="Calibri"/>
          <w:szCs w:val="24"/>
        </w:rPr>
        <w:t xml:space="preserve"> a 100</w:t>
      </w:r>
      <w:r w:rsidR="0068236A" w:rsidRPr="0078328A">
        <w:rPr>
          <w:rFonts w:ascii="Calibri" w:hAnsi="Calibri" w:cs="Calibri"/>
          <w:szCs w:val="24"/>
        </w:rPr>
        <w:t xml:space="preserve"> </w:t>
      </w:r>
      <w:r w:rsidR="00681993" w:rsidRPr="0078328A">
        <w:rPr>
          <w:rFonts w:ascii="Calibri" w:hAnsi="Calibri" w:cs="Calibri"/>
          <w:szCs w:val="24"/>
        </w:rPr>
        <w:t>µ</w:t>
      </w:r>
      <w:r w:rsidR="00E51EA6" w:rsidRPr="0078328A">
        <w:rPr>
          <w:rFonts w:ascii="Calibri" w:hAnsi="Calibri" w:cs="Calibri"/>
          <w:szCs w:val="24"/>
        </w:rPr>
        <w:t xml:space="preserve">L </w:t>
      </w:r>
      <w:r w:rsidR="009F7156" w:rsidRPr="0078328A">
        <w:rPr>
          <w:rFonts w:ascii="Calibri" w:hAnsi="Calibri" w:cs="Calibri"/>
          <w:szCs w:val="24"/>
        </w:rPr>
        <w:t>aliquot and keep in a separate 1</w:t>
      </w:r>
      <w:r w:rsidR="00F21C92" w:rsidRPr="0078328A">
        <w:rPr>
          <w:rFonts w:ascii="Calibri" w:hAnsi="Calibri" w:cs="Calibri"/>
          <w:szCs w:val="24"/>
        </w:rPr>
        <w:t>.</w:t>
      </w:r>
      <w:r w:rsidR="00E51EA6" w:rsidRPr="0078328A">
        <w:rPr>
          <w:rFonts w:ascii="Calibri" w:hAnsi="Calibri" w:cs="Calibri"/>
          <w:szCs w:val="24"/>
        </w:rPr>
        <w:t xml:space="preserve">5 mL </w:t>
      </w:r>
      <w:r w:rsidR="009F7156" w:rsidRPr="0078328A">
        <w:rPr>
          <w:rFonts w:ascii="Calibri" w:hAnsi="Calibri" w:cs="Calibri"/>
          <w:szCs w:val="24"/>
        </w:rPr>
        <w:t>tube</w:t>
      </w:r>
      <w:r w:rsidRPr="0078328A">
        <w:rPr>
          <w:rFonts w:ascii="Calibri" w:hAnsi="Calibri" w:cs="Calibri"/>
          <w:szCs w:val="24"/>
        </w:rPr>
        <w:t xml:space="preserve">. </w:t>
      </w:r>
      <w:r w:rsidR="008F345A" w:rsidRPr="0078328A">
        <w:rPr>
          <w:rFonts w:ascii="Calibri" w:hAnsi="Calibri" w:cs="Calibri"/>
          <w:szCs w:val="24"/>
        </w:rPr>
        <w:t xml:space="preserve">Add </w:t>
      </w:r>
      <w:r w:rsidR="00F21C92" w:rsidRPr="0078328A">
        <w:rPr>
          <w:rFonts w:ascii="Calibri" w:hAnsi="Calibri" w:cs="Calibri"/>
          <w:szCs w:val="24"/>
        </w:rPr>
        <w:t>50</w:t>
      </w:r>
      <w:r w:rsidR="0068236A" w:rsidRPr="0078328A">
        <w:rPr>
          <w:rFonts w:ascii="Calibri" w:hAnsi="Calibri" w:cs="Calibri"/>
          <w:szCs w:val="24"/>
        </w:rPr>
        <w:t xml:space="preserve"> </w:t>
      </w:r>
      <w:r w:rsidR="008F345A">
        <w:rPr>
          <w:rFonts w:ascii="Calibri" w:hAnsi="Calibri" w:cs="Calibri"/>
          <w:szCs w:val="24"/>
        </w:rPr>
        <w:t>µL of</w:t>
      </w:r>
      <w:r w:rsidR="004314BE" w:rsidRPr="0078328A">
        <w:rPr>
          <w:rFonts w:ascii="Calibri" w:hAnsi="Calibri" w:cs="Calibri"/>
          <w:szCs w:val="24"/>
        </w:rPr>
        <w:t xml:space="preserve"> </w:t>
      </w:r>
      <w:r w:rsidR="00992CD3" w:rsidRPr="0078328A">
        <w:rPr>
          <w:rFonts w:ascii="Calibri" w:hAnsi="Calibri" w:cs="Calibri"/>
          <w:szCs w:val="24"/>
        </w:rPr>
        <w:t>biotin l</w:t>
      </w:r>
      <w:r w:rsidR="00F21C92" w:rsidRPr="0078328A">
        <w:rPr>
          <w:rFonts w:ascii="Calibri" w:hAnsi="Calibri" w:cs="Calibri"/>
          <w:szCs w:val="24"/>
        </w:rPr>
        <w:t>ineage depletion antibody cocktail</w:t>
      </w:r>
      <w:r w:rsidR="00E60F9F" w:rsidRPr="0078328A">
        <w:rPr>
          <w:rFonts w:ascii="Calibri" w:hAnsi="Calibri" w:cs="Calibri"/>
          <w:szCs w:val="24"/>
        </w:rPr>
        <w:t xml:space="preserve"> from the progenitor enrichment kit (</w:t>
      </w:r>
      <w:r w:rsidR="0078328A" w:rsidRPr="0078328A">
        <w:rPr>
          <w:rFonts w:ascii="Calibri" w:hAnsi="Calibri"/>
          <w:b/>
          <w:bCs/>
        </w:rPr>
        <w:t>Table of Materials</w:t>
      </w:r>
      <w:r w:rsidR="00E60F9F" w:rsidRPr="0078328A">
        <w:rPr>
          <w:rFonts w:ascii="Calibri" w:hAnsi="Calibri" w:cs="Calibri"/>
          <w:szCs w:val="24"/>
        </w:rPr>
        <w:t>)</w:t>
      </w:r>
      <w:r w:rsidR="008F345A" w:rsidRPr="008F345A">
        <w:rPr>
          <w:rFonts w:ascii="Calibri" w:hAnsi="Calibri" w:cs="Calibri"/>
          <w:szCs w:val="24"/>
        </w:rPr>
        <w:t xml:space="preserve"> </w:t>
      </w:r>
      <w:r w:rsidR="008F345A" w:rsidRPr="0078328A">
        <w:rPr>
          <w:rFonts w:ascii="Calibri" w:hAnsi="Calibri" w:cs="Calibri"/>
          <w:szCs w:val="24"/>
        </w:rPr>
        <w:t xml:space="preserve">to the remaining 450 µL </w:t>
      </w:r>
      <w:r w:rsidR="008F345A">
        <w:rPr>
          <w:rFonts w:ascii="Calibri" w:hAnsi="Calibri" w:cs="Calibri"/>
          <w:szCs w:val="24"/>
        </w:rPr>
        <w:t xml:space="preserve">of </w:t>
      </w:r>
      <w:r w:rsidR="008F345A" w:rsidRPr="0078328A">
        <w:rPr>
          <w:rFonts w:ascii="Calibri" w:hAnsi="Calibri" w:cs="Calibri"/>
          <w:szCs w:val="24"/>
        </w:rPr>
        <w:t>cell suspension</w:t>
      </w:r>
      <w:r w:rsidR="00F21C92" w:rsidRPr="0078328A">
        <w:rPr>
          <w:rFonts w:ascii="Calibri" w:hAnsi="Calibri" w:cs="Calibri"/>
          <w:szCs w:val="24"/>
        </w:rPr>
        <w:t xml:space="preserve">. Incubate at </w:t>
      </w:r>
      <w:r w:rsidR="0068236A" w:rsidRPr="0078328A">
        <w:rPr>
          <w:rFonts w:ascii="Calibri" w:hAnsi="Calibri" w:cs="Calibri"/>
          <w:szCs w:val="24"/>
        </w:rPr>
        <w:t>4</w:t>
      </w:r>
      <w:r w:rsidR="003E68D3" w:rsidRPr="0078328A">
        <w:rPr>
          <w:rFonts w:ascii="Calibri" w:hAnsi="Calibri" w:cs="Calibri"/>
          <w:szCs w:val="24"/>
        </w:rPr>
        <w:t xml:space="preserve"> </w:t>
      </w:r>
      <w:bookmarkStart w:id="2" w:name="_Hlk19000141"/>
      <w:r w:rsidR="00C71A79">
        <w:rPr>
          <w:rFonts w:ascii="Calibri" w:hAnsi="Calibri" w:cs="Calibri"/>
          <w:szCs w:val="24"/>
        </w:rPr>
        <w:t>°</w:t>
      </w:r>
      <w:bookmarkEnd w:id="2"/>
      <w:r w:rsidR="0068236A" w:rsidRPr="0078328A">
        <w:rPr>
          <w:rFonts w:ascii="Calibri" w:hAnsi="Calibri" w:cs="Calibri"/>
          <w:szCs w:val="24"/>
        </w:rPr>
        <w:t>C</w:t>
      </w:r>
      <w:r w:rsidR="00F21C92" w:rsidRPr="0078328A">
        <w:rPr>
          <w:rFonts w:ascii="Calibri" w:hAnsi="Calibri" w:cs="Calibri"/>
          <w:szCs w:val="24"/>
        </w:rPr>
        <w:t xml:space="preserve"> on a shaker for 15</w:t>
      </w:r>
      <w:r w:rsidR="0068236A" w:rsidRPr="0078328A">
        <w:rPr>
          <w:rFonts w:ascii="Calibri" w:hAnsi="Calibri" w:cs="Calibri"/>
          <w:szCs w:val="24"/>
        </w:rPr>
        <w:t xml:space="preserve"> </w:t>
      </w:r>
      <w:r w:rsidR="00DA08A5" w:rsidRPr="0078328A">
        <w:rPr>
          <w:rFonts w:ascii="Calibri" w:hAnsi="Calibri" w:cs="Calibri"/>
          <w:szCs w:val="24"/>
        </w:rPr>
        <w:t>min</w:t>
      </w:r>
      <w:r w:rsidR="00F21C92" w:rsidRPr="0078328A">
        <w:rPr>
          <w:rFonts w:ascii="Calibri" w:hAnsi="Calibri" w:cs="Calibri"/>
          <w:szCs w:val="24"/>
        </w:rPr>
        <w:t>.</w:t>
      </w:r>
    </w:p>
    <w:p w14:paraId="6AEE4C93" w14:textId="77777777" w:rsidR="00681993" w:rsidRPr="0078328A" w:rsidRDefault="00681993" w:rsidP="00681993">
      <w:pPr>
        <w:pStyle w:val="ListParagraph"/>
        <w:tabs>
          <w:tab w:val="left" w:pos="851"/>
        </w:tabs>
        <w:ind w:left="0"/>
        <w:jc w:val="both"/>
        <w:rPr>
          <w:rFonts w:ascii="Calibri" w:hAnsi="Calibri" w:cs="Calibri"/>
          <w:szCs w:val="24"/>
        </w:rPr>
      </w:pPr>
    </w:p>
    <w:p w14:paraId="1A045763" w14:textId="42FDD22C" w:rsidR="009F7156" w:rsidRPr="0078328A" w:rsidRDefault="00791449" w:rsidP="005D53A7">
      <w:pPr>
        <w:pStyle w:val="ListParagraph"/>
        <w:numPr>
          <w:ilvl w:val="1"/>
          <w:numId w:val="14"/>
        </w:numPr>
        <w:tabs>
          <w:tab w:val="left" w:pos="851"/>
        </w:tabs>
        <w:jc w:val="both"/>
        <w:rPr>
          <w:rFonts w:ascii="Calibri" w:hAnsi="Calibri" w:cs="Calibri"/>
          <w:szCs w:val="24"/>
        </w:rPr>
      </w:pPr>
      <w:r w:rsidRPr="0078328A">
        <w:rPr>
          <w:rFonts w:ascii="Calibri" w:hAnsi="Calibri" w:cs="Calibri"/>
          <w:szCs w:val="24"/>
        </w:rPr>
        <w:t xml:space="preserve">Add 15 </w:t>
      </w:r>
      <w:r w:rsidR="008F345A">
        <w:rPr>
          <w:rFonts w:ascii="Calibri" w:hAnsi="Calibri" w:cs="Calibri"/>
          <w:szCs w:val="24"/>
        </w:rPr>
        <w:t>mL of</w:t>
      </w:r>
      <w:r w:rsidRPr="0078328A">
        <w:rPr>
          <w:rFonts w:ascii="Calibri" w:hAnsi="Calibri" w:cs="Calibri"/>
          <w:szCs w:val="24"/>
        </w:rPr>
        <w:t xml:space="preserve"> buffer and centrifuge the tube at 300</w:t>
      </w:r>
      <w:r w:rsidR="00872462" w:rsidRPr="00872462">
        <w:rPr>
          <w:rFonts w:ascii="Calibri" w:hAnsi="Calibri" w:cs="Calibri"/>
          <w:iCs/>
          <w:szCs w:val="24"/>
        </w:rPr>
        <w:t xml:space="preserve"> x </w:t>
      </w:r>
      <w:r w:rsidR="00872462" w:rsidRPr="00872462">
        <w:rPr>
          <w:rFonts w:ascii="Calibri" w:hAnsi="Calibri" w:cs="Calibri"/>
          <w:i/>
          <w:iCs/>
          <w:szCs w:val="24"/>
        </w:rPr>
        <w:t>g</w:t>
      </w:r>
      <w:r w:rsidRPr="0078328A">
        <w:rPr>
          <w:rFonts w:ascii="Calibri" w:hAnsi="Calibri" w:cs="Calibri"/>
          <w:szCs w:val="24"/>
        </w:rPr>
        <w:t xml:space="preserve"> for 5 </w:t>
      </w:r>
      <w:r w:rsidR="00DA08A5" w:rsidRPr="0078328A">
        <w:rPr>
          <w:rFonts w:ascii="Calibri" w:hAnsi="Calibri" w:cs="Calibri"/>
          <w:szCs w:val="24"/>
        </w:rPr>
        <w:t>min</w:t>
      </w:r>
      <w:r w:rsidRPr="0078328A">
        <w:rPr>
          <w:rFonts w:ascii="Calibri" w:hAnsi="Calibri" w:cs="Calibri"/>
          <w:szCs w:val="24"/>
        </w:rPr>
        <w:t xml:space="preserve"> at 4</w:t>
      </w:r>
      <w:r w:rsidR="003E68D3" w:rsidRPr="0078328A">
        <w:rPr>
          <w:rFonts w:ascii="Calibri" w:hAnsi="Calibri" w:cs="Calibri"/>
          <w:szCs w:val="24"/>
        </w:rPr>
        <w:t xml:space="preserve"> </w:t>
      </w:r>
      <w:r w:rsidR="00C71A79">
        <w:rPr>
          <w:rFonts w:ascii="Calibri" w:hAnsi="Calibri" w:cs="Calibri"/>
          <w:szCs w:val="24"/>
        </w:rPr>
        <w:t>°</w:t>
      </w:r>
      <w:r w:rsidR="0068236A" w:rsidRPr="0078328A">
        <w:rPr>
          <w:rFonts w:ascii="Calibri" w:hAnsi="Calibri" w:cs="Calibri"/>
          <w:szCs w:val="24"/>
        </w:rPr>
        <w:t>C</w:t>
      </w:r>
      <w:r w:rsidRPr="0078328A">
        <w:rPr>
          <w:rFonts w:ascii="Calibri" w:hAnsi="Calibri" w:cs="Calibri"/>
          <w:szCs w:val="24"/>
        </w:rPr>
        <w:t>.</w:t>
      </w:r>
      <w:r w:rsidR="002C3D7F" w:rsidRPr="0078328A">
        <w:rPr>
          <w:rFonts w:ascii="Calibri" w:hAnsi="Calibri" w:cs="Calibri"/>
          <w:szCs w:val="24"/>
        </w:rPr>
        <w:t xml:space="preserve"> </w:t>
      </w:r>
      <w:r w:rsidR="000E64AE" w:rsidRPr="0078328A">
        <w:rPr>
          <w:rFonts w:ascii="Calibri" w:hAnsi="Calibri" w:cs="Calibri"/>
          <w:szCs w:val="24"/>
        </w:rPr>
        <w:t>Collect the tube from the centrifuge and decant the supernatant.</w:t>
      </w:r>
      <w:r w:rsidR="002C3D7F" w:rsidRPr="0078328A">
        <w:rPr>
          <w:rFonts w:ascii="Calibri" w:hAnsi="Calibri" w:cs="Calibri"/>
          <w:szCs w:val="24"/>
        </w:rPr>
        <w:t xml:space="preserve"> </w:t>
      </w:r>
      <w:r w:rsidR="000E64AE" w:rsidRPr="0078328A">
        <w:rPr>
          <w:rFonts w:ascii="Calibri" w:hAnsi="Calibri" w:cs="Calibri"/>
          <w:szCs w:val="24"/>
        </w:rPr>
        <w:t xml:space="preserve">Resuspend the pellet in </w:t>
      </w:r>
      <w:r w:rsidR="00992CD3" w:rsidRPr="0078328A">
        <w:rPr>
          <w:rFonts w:ascii="Calibri" w:hAnsi="Calibri" w:cs="Calibri"/>
          <w:szCs w:val="24"/>
        </w:rPr>
        <w:t>4</w:t>
      </w:r>
      <w:r w:rsidR="002C3D7F" w:rsidRPr="0078328A">
        <w:rPr>
          <w:rFonts w:ascii="Calibri" w:hAnsi="Calibri" w:cs="Calibri"/>
          <w:szCs w:val="24"/>
        </w:rPr>
        <w:t>6</w:t>
      </w:r>
      <w:r w:rsidR="000E64AE" w:rsidRPr="0078328A">
        <w:rPr>
          <w:rFonts w:ascii="Calibri" w:hAnsi="Calibri" w:cs="Calibri"/>
          <w:szCs w:val="24"/>
        </w:rPr>
        <w:t>0</w:t>
      </w:r>
      <w:r w:rsidR="0068236A" w:rsidRPr="0078328A">
        <w:rPr>
          <w:rFonts w:ascii="Calibri" w:hAnsi="Calibri" w:cs="Calibri"/>
          <w:szCs w:val="24"/>
        </w:rPr>
        <w:t xml:space="preserve"> </w:t>
      </w:r>
      <w:r w:rsidR="008F345A">
        <w:rPr>
          <w:rFonts w:ascii="Calibri" w:hAnsi="Calibri" w:cs="Calibri"/>
          <w:szCs w:val="24"/>
        </w:rPr>
        <w:t>µL of</w:t>
      </w:r>
      <w:r w:rsidR="003D1F35" w:rsidRPr="0078328A">
        <w:rPr>
          <w:rFonts w:ascii="Calibri" w:hAnsi="Calibri" w:cs="Calibri"/>
          <w:szCs w:val="24"/>
        </w:rPr>
        <w:t xml:space="preserve"> </w:t>
      </w:r>
      <w:r w:rsidR="000E64AE" w:rsidRPr="0078328A">
        <w:rPr>
          <w:rFonts w:ascii="Calibri" w:hAnsi="Calibri" w:cs="Calibri"/>
          <w:szCs w:val="24"/>
        </w:rPr>
        <w:t xml:space="preserve">buffer. </w:t>
      </w:r>
      <w:r w:rsidR="002C3D7F" w:rsidRPr="0078328A">
        <w:rPr>
          <w:rFonts w:ascii="Calibri" w:hAnsi="Calibri" w:cs="Calibri"/>
          <w:szCs w:val="24"/>
        </w:rPr>
        <w:t xml:space="preserve">Remove </w:t>
      </w:r>
      <w:r w:rsidR="000E64AE" w:rsidRPr="0078328A">
        <w:rPr>
          <w:rFonts w:ascii="Calibri" w:hAnsi="Calibri" w:cs="Calibri"/>
          <w:szCs w:val="24"/>
        </w:rPr>
        <w:t xml:space="preserve">a </w:t>
      </w:r>
      <w:r w:rsidR="0068236A" w:rsidRPr="0078328A">
        <w:rPr>
          <w:rFonts w:ascii="Calibri" w:hAnsi="Calibri" w:cs="Calibri"/>
          <w:szCs w:val="24"/>
        </w:rPr>
        <w:t>10</w:t>
      </w:r>
      <w:r w:rsidR="00A43524" w:rsidRPr="0078328A">
        <w:rPr>
          <w:rFonts w:ascii="Calibri" w:hAnsi="Calibri" w:cs="Calibri"/>
          <w:szCs w:val="24"/>
        </w:rPr>
        <w:t xml:space="preserve"> </w:t>
      </w:r>
      <w:r w:rsidR="00681993" w:rsidRPr="0078328A">
        <w:rPr>
          <w:rFonts w:ascii="Calibri" w:hAnsi="Calibri" w:cs="Calibri"/>
          <w:szCs w:val="24"/>
        </w:rPr>
        <w:t>µ</w:t>
      </w:r>
      <w:r w:rsidR="004314BE" w:rsidRPr="0078328A">
        <w:rPr>
          <w:rFonts w:ascii="Calibri" w:hAnsi="Calibri" w:cs="Calibri"/>
          <w:szCs w:val="24"/>
        </w:rPr>
        <w:t>L</w:t>
      </w:r>
      <w:r w:rsidR="0068236A" w:rsidRPr="0078328A">
        <w:rPr>
          <w:rFonts w:ascii="Calibri" w:hAnsi="Calibri" w:cs="Calibri"/>
          <w:szCs w:val="24"/>
        </w:rPr>
        <w:t xml:space="preserve"> </w:t>
      </w:r>
      <w:r w:rsidR="000E64AE" w:rsidRPr="0078328A">
        <w:rPr>
          <w:rFonts w:ascii="Calibri" w:hAnsi="Calibri" w:cs="Calibri"/>
          <w:szCs w:val="24"/>
        </w:rPr>
        <w:t>aliquot and keep in a separate 1.5</w:t>
      </w:r>
      <w:r w:rsidR="00165787" w:rsidRPr="0078328A">
        <w:rPr>
          <w:rFonts w:ascii="Calibri" w:hAnsi="Calibri" w:cs="Calibri"/>
          <w:szCs w:val="24"/>
        </w:rPr>
        <w:t xml:space="preserve"> </w:t>
      </w:r>
      <w:r w:rsidR="004314BE" w:rsidRPr="0078328A">
        <w:rPr>
          <w:rFonts w:ascii="Calibri" w:hAnsi="Calibri" w:cs="Calibri"/>
          <w:szCs w:val="24"/>
        </w:rPr>
        <w:t>mL</w:t>
      </w:r>
      <w:r w:rsidR="000E64AE" w:rsidRPr="0078328A">
        <w:rPr>
          <w:rFonts w:ascii="Calibri" w:hAnsi="Calibri" w:cs="Calibri"/>
          <w:szCs w:val="24"/>
        </w:rPr>
        <w:t xml:space="preserve"> tube</w:t>
      </w:r>
      <w:r w:rsidR="002C3D7F" w:rsidRPr="0078328A">
        <w:rPr>
          <w:rFonts w:ascii="Calibri" w:hAnsi="Calibri" w:cs="Calibri"/>
          <w:szCs w:val="24"/>
        </w:rPr>
        <w:t>.</w:t>
      </w:r>
    </w:p>
    <w:p w14:paraId="5F971B40" w14:textId="77777777" w:rsidR="00681993" w:rsidRPr="0078328A" w:rsidRDefault="00681993" w:rsidP="00681993">
      <w:pPr>
        <w:pStyle w:val="ListParagraph"/>
        <w:tabs>
          <w:tab w:val="left" w:pos="851"/>
        </w:tabs>
        <w:ind w:left="0"/>
        <w:jc w:val="both"/>
        <w:rPr>
          <w:rFonts w:ascii="Calibri" w:hAnsi="Calibri" w:cs="Calibri"/>
          <w:szCs w:val="24"/>
        </w:rPr>
      </w:pPr>
    </w:p>
    <w:p w14:paraId="33993A9F" w14:textId="453A47E3" w:rsidR="00992CD3" w:rsidRPr="0078328A" w:rsidRDefault="002C3D7F" w:rsidP="005D53A7">
      <w:pPr>
        <w:pStyle w:val="ListParagraph"/>
        <w:numPr>
          <w:ilvl w:val="1"/>
          <w:numId w:val="14"/>
        </w:numPr>
        <w:tabs>
          <w:tab w:val="left" w:pos="851"/>
        </w:tabs>
        <w:jc w:val="both"/>
        <w:rPr>
          <w:rFonts w:ascii="Calibri" w:hAnsi="Calibri" w:cs="Calibri"/>
          <w:szCs w:val="24"/>
        </w:rPr>
      </w:pPr>
      <w:r w:rsidRPr="0078328A">
        <w:rPr>
          <w:rFonts w:ascii="Calibri" w:hAnsi="Calibri" w:cs="Calibri"/>
          <w:szCs w:val="24"/>
        </w:rPr>
        <w:t>A</w:t>
      </w:r>
      <w:r w:rsidR="00992CD3" w:rsidRPr="0078328A">
        <w:rPr>
          <w:rFonts w:ascii="Calibri" w:hAnsi="Calibri" w:cs="Calibri"/>
          <w:szCs w:val="24"/>
        </w:rPr>
        <w:t>dd 50</w:t>
      </w:r>
      <w:r w:rsidR="00A43524" w:rsidRPr="0078328A">
        <w:rPr>
          <w:rFonts w:ascii="Calibri" w:hAnsi="Calibri" w:cs="Calibri"/>
          <w:szCs w:val="24"/>
        </w:rPr>
        <w:t xml:space="preserve"> </w:t>
      </w:r>
      <w:r w:rsidR="008F345A">
        <w:rPr>
          <w:rFonts w:ascii="Calibri" w:hAnsi="Calibri" w:cs="Calibri"/>
          <w:szCs w:val="24"/>
        </w:rPr>
        <w:t>µL of</w:t>
      </w:r>
      <w:r w:rsidR="00992CD3" w:rsidRPr="0078328A">
        <w:rPr>
          <w:rFonts w:ascii="Calibri" w:hAnsi="Calibri" w:cs="Calibri"/>
          <w:szCs w:val="24"/>
        </w:rPr>
        <w:t xml:space="preserve"> streptavidin magnetic beads</w:t>
      </w:r>
      <w:r w:rsidR="00E60F9F" w:rsidRPr="0078328A">
        <w:rPr>
          <w:rFonts w:ascii="Calibri" w:hAnsi="Calibri" w:cs="Calibri"/>
          <w:szCs w:val="24"/>
        </w:rPr>
        <w:t xml:space="preserve"> from the progenitor enrichment kit (</w:t>
      </w:r>
      <w:r w:rsidR="0078328A" w:rsidRPr="0078328A">
        <w:rPr>
          <w:rFonts w:ascii="Calibri" w:hAnsi="Calibri"/>
          <w:b/>
          <w:bCs/>
        </w:rPr>
        <w:t>Table of Materials</w:t>
      </w:r>
      <w:r w:rsidR="00E60F9F" w:rsidRPr="0078328A">
        <w:rPr>
          <w:rFonts w:ascii="Calibri" w:hAnsi="Calibri" w:cs="Calibri"/>
          <w:szCs w:val="24"/>
        </w:rPr>
        <w:t>)</w:t>
      </w:r>
      <w:r w:rsidRPr="0078328A">
        <w:rPr>
          <w:rFonts w:ascii="Calibri" w:hAnsi="Calibri" w:cs="Calibri"/>
          <w:szCs w:val="24"/>
        </w:rPr>
        <w:t xml:space="preserve">, to the remaining 450 </w:t>
      </w:r>
      <w:r w:rsidR="00681993" w:rsidRPr="0078328A">
        <w:rPr>
          <w:rFonts w:ascii="Calibri" w:hAnsi="Calibri" w:cs="Calibri"/>
          <w:szCs w:val="24"/>
        </w:rPr>
        <w:t>µ</w:t>
      </w:r>
      <w:r w:rsidR="004314BE" w:rsidRPr="0078328A">
        <w:rPr>
          <w:rFonts w:ascii="Calibri" w:hAnsi="Calibri" w:cs="Calibri"/>
          <w:szCs w:val="24"/>
        </w:rPr>
        <w:t>L</w:t>
      </w:r>
      <w:r w:rsidRPr="0078328A">
        <w:rPr>
          <w:rFonts w:ascii="Calibri" w:hAnsi="Calibri" w:cs="Calibri"/>
          <w:szCs w:val="24"/>
        </w:rPr>
        <w:t xml:space="preserve"> cell suspension</w:t>
      </w:r>
      <w:r w:rsidR="00992CD3" w:rsidRPr="0078328A">
        <w:rPr>
          <w:rFonts w:ascii="Calibri" w:hAnsi="Calibri" w:cs="Calibri"/>
          <w:szCs w:val="24"/>
        </w:rPr>
        <w:t>. Incubate at 4</w:t>
      </w:r>
      <w:r w:rsidR="003E68D3" w:rsidRPr="0078328A">
        <w:rPr>
          <w:rFonts w:ascii="Calibri" w:hAnsi="Calibri" w:cs="Calibri"/>
          <w:szCs w:val="24"/>
        </w:rPr>
        <w:t xml:space="preserve"> </w:t>
      </w:r>
      <w:r w:rsidR="00C71A79">
        <w:rPr>
          <w:rFonts w:ascii="Calibri" w:hAnsi="Calibri" w:cs="Calibri"/>
          <w:szCs w:val="24"/>
        </w:rPr>
        <w:t>°</w:t>
      </w:r>
      <w:r w:rsidR="0068236A" w:rsidRPr="0078328A">
        <w:rPr>
          <w:rFonts w:ascii="Calibri" w:hAnsi="Calibri" w:cs="Calibri"/>
          <w:szCs w:val="24"/>
        </w:rPr>
        <w:t>C</w:t>
      </w:r>
      <w:r w:rsidR="00992CD3" w:rsidRPr="0078328A">
        <w:rPr>
          <w:rFonts w:ascii="Calibri" w:hAnsi="Calibri" w:cs="Calibri"/>
          <w:szCs w:val="24"/>
        </w:rPr>
        <w:t xml:space="preserve"> on a shaker for 15</w:t>
      </w:r>
      <w:r w:rsidR="0068236A" w:rsidRPr="0078328A">
        <w:rPr>
          <w:rFonts w:ascii="Calibri" w:hAnsi="Calibri" w:cs="Calibri"/>
          <w:szCs w:val="24"/>
        </w:rPr>
        <w:t xml:space="preserve"> </w:t>
      </w:r>
      <w:r w:rsidR="00DA08A5" w:rsidRPr="0078328A">
        <w:rPr>
          <w:rFonts w:ascii="Calibri" w:hAnsi="Calibri" w:cs="Calibri"/>
          <w:szCs w:val="24"/>
        </w:rPr>
        <w:t>min</w:t>
      </w:r>
      <w:r w:rsidR="00992CD3" w:rsidRPr="0078328A">
        <w:rPr>
          <w:rFonts w:ascii="Calibri" w:hAnsi="Calibri" w:cs="Calibri"/>
          <w:szCs w:val="24"/>
        </w:rPr>
        <w:t>.</w:t>
      </w:r>
    </w:p>
    <w:p w14:paraId="2DFF23F3" w14:textId="77777777" w:rsidR="00681993" w:rsidRPr="0078328A" w:rsidRDefault="00681993" w:rsidP="00681993">
      <w:pPr>
        <w:pStyle w:val="ListParagraph"/>
        <w:tabs>
          <w:tab w:val="left" w:pos="851"/>
        </w:tabs>
        <w:ind w:left="0"/>
        <w:jc w:val="both"/>
        <w:rPr>
          <w:rFonts w:ascii="Calibri" w:hAnsi="Calibri" w:cs="Calibri"/>
          <w:szCs w:val="24"/>
        </w:rPr>
      </w:pPr>
    </w:p>
    <w:p w14:paraId="2202F5D4" w14:textId="47DD91D1" w:rsidR="00992CD3" w:rsidRPr="0078328A" w:rsidRDefault="00992CD3" w:rsidP="005D53A7">
      <w:pPr>
        <w:pStyle w:val="ListParagraph"/>
        <w:numPr>
          <w:ilvl w:val="1"/>
          <w:numId w:val="14"/>
        </w:numPr>
        <w:tabs>
          <w:tab w:val="left" w:pos="851"/>
        </w:tabs>
        <w:jc w:val="both"/>
        <w:rPr>
          <w:rFonts w:ascii="Calibri" w:hAnsi="Calibri" w:cs="Calibri"/>
          <w:szCs w:val="24"/>
        </w:rPr>
      </w:pPr>
      <w:r w:rsidRPr="0078328A">
        <w:rPr>
          <w:rFonts w:ascii="Calibri" w:hAnsi="Calibri" w:cs="Calibri"/>
          <w:szCs w:val="24"/>
        </w:rPr>
        <w:t xml:space="preserve">Add 15 </w:t>
      </w:r>
      <w:r w:rsidR="008F345A">
        <w:rPr>
          <w:rFonts w:ascii="Calibri" w:hAnsi="Calibri" w:cs="Calibri"/>
          <w:szCs w:val="24"/>
        </w:rPr>
        <w:t>mL of</w:t>
      </w:r>
      <w:r w:rsidRPr="0078328A">
        <w:rPr>
          <w:rFonts w:ascii="Calibri" w:hAnsi="Calibri" w:cs="Calibri"/>
          <w:szCs w:val="24"/>
        </w:rPr>
        <w:t xml:space="preserve"> buffer and centrifuge the tube at 300</w:t>
      </w:r>
      <w:r w:rsidR="00872462" w:rsidRPr="00872462">
        <w:rPr>
          <w:rFonts w:ascii="Calibri" w:hAnsi="Calibri" w:cs="Calibri"/>
          <w:iCs/>
          <w:szCs w:val="24"/>
        </w:rPr>
        <w:t xml:space="preserve"> x </w:t>
      </w:r>
      <w:r w:rsidR="00872462" w:rsidRPr="00872462">
        <w:rPr>
          <w:rFonts w:ascii="Calibri" w:hAnsi="Calibri" w:cs="Calibri"/>
          <w:i/>
          <w:iCs/>
          <w:szCs w:val="24"/>
        </w:rPr>
        <w:t>g</w:t>
      </w:r>
      <w:r w:rsidRPr="0078328A">
        <w:rPr>
          <w:rFonts w:ascii="Calibri" w:hAnsi="Calibri" w:cs="Calibri"/>
          <w:szCs w:val="24"/>
        </w:rPr>
        <w:t xml:space="preserve"> for 5 </w:t>
      </w:r>
      <w:r w:rsidR="00DA08A5" w:rsidRPr="0078328A">
        <w:rPr>
          <w:rFonts w:ascii="Calibri" w:hAnsi="Calibri" w:cs="Calibri"/>
          <w:szCs w:val="24"/>
        </w:rPr>
        <w:t>min</w:t>
      </w:r>
      <w:r w:rsidRPr="0078328A">
        <w:rPr>
          <w:rFonts w:ascii="Calibri" w:hAnsi="Calibri" w:cs="Calibri"/>
          <w:szCs w:val="24"/>
        </w:rPr>
        <w:t xml:space="preserve"> at 4</w:t>
      </w:r>
      <w:r w:rsidR="003E68D3" w:rsidRPr="0078328A">
        <w:rPr>
          <w:rFonts w:ascii="Calibri" w:hAnsi="Calibri" w:cs="Calibri"/>
          <w:szCs w:val="24"/>
        </w:rPr>
        <w:t xml:space="preserve"> </w:t>
      </w:r>
      <w:r w:rsidR="00C71A79">
        <w:rPr>
          <w:rFonts w:ascii="Calibri" w:hAnsi="Calibri" w:cs="Calibri"/>
          <w:szCs w:val="24"/>
        </w:rPr>
        <w:t>°</w:t>
      </w:r>
      <w:r w:rsidR="0068236A" w:rsidRPr="0078328A">
        <w:rPr>
          <w:rFonts w:ascii="Calibri" w:hAnsi="Calibri" w:cs="Calibri"/>
          <w:szCs w:val="24"/>
        </w:rPr>
        <w:t>C</w:t>
      </w:r>
      <w:r w:rsidRPr="0078328A">
        <w:rPr>
          <w:rFonts w:ascii="Calibri" w:hAnsi="Calibri" w:cs="Calibri"/>
          <w:szCs w:val="24"/>
        </w:rPr>
        <w:t>.</w:t>
      </w:r>
      <w:r w:rsidR="002C3D7F" w:rsidRPr="0078328A">
        <w:rPr>
          <w:rFonts w:ascii="Calibri" w:hAnsi="Calibri" w:cs="Calibri"/>
          <w:szCs w:val="24"/>
        </w:rPr>
        <w:t xml:space="preserve"> </w:t>
      </w:r>
      <w:r w:rsidRPr="0078328A">
        <w:rPr>
          <w:rFonts w:ascii="Calibri" w:hAnsi="Calibri" w:cs="Calibri"/>
          <w:szCs w:val="24"/>
        </w:rPr>
        <w:t>Collect the tube from the centrifuge and decant the supernatant.</w:t>
      </w:r>
      <w:r w:rsidR="002C3D7F" w:rsidRPr="0078328A">
        <w:rPr>
          <w:rFonts w:ascii="Calibri" w:hAnsi="Calibri" w:cs="Calibri"/>
          <w:szCs w:val="24"/>
        </w:rPr>
        <w:t xml:space="preserve"> </w:t>
      </w:r>
      <w:r w:rsidRPr="0078328A">
        <w:rPr>
          <w:rFonts w:ascii="Calibri" w:hAnsi="Calibri" w:cs="Calibri"/>
          <w:szCs w:val="24"/>
        </w:rPr>
        <w:t>Resuspend the pellet in 5</w:t>
      </w:r>
      <w:r w:rsidR="0068236A" w:rsidRPr="0078328A">
        <w:rPr>
          <w:rFonts w:ascii="Calibri" w:hAnsi="Calibri" w:cs="Calibri"/>
          <w:szCs w:val="24"/>
        </w:rPr>
        <w:t xml:space="preserve"> </w:t>
      </w:r>
      <w:r w:rsidR="008F345A">
        <w:rPr>
          <w:rFonts w:ascii="Calibri" w:hAnsi="Calibri" w:cs="Calibri"/>
          <w:szCs w:val="24"/>
        </w:rPr>
        <w:t>mL of</w:t>
      </w:r>
      <w:r w:rsidRPr="0078328A">
        <w:rPr>
          <w:rFonts w:ascii="Calibri" w:hAnsi="Calibri" w:cs="Calibri"/>
          <w:szCs w:val="24"/>
        </w:rPr>
        <w:t xml:space="preserve"> buffer</w:t>
      </w:r>
      <w:r w:rsidR="00A8448D" w:rsidRPr="0078328A">
        <w:rPr>
          <w:rFonts w:ascii="Calibri" w:hAnsi="Calibri" w:cs="Calibri"/>
          <w:szCs w:val="24"/>
        </w:rPr>
        <w:t xml:space="preserve"> and transfer </w:t>
      </w:r>
      <w:r w:rsidRPr="0078328A">
        <w:rPr>
          <w:rFonts w:ascii="Calibri" w:hAnsi="Calibri" w:cs="Calibri"/>
          <w:szCs w:val="24"/>
        </w:rPr>
        <w:t xml:space="preserve">the solution </w:t>
      </w:r>
      <w:r w:rsidR="002E382D">
        <w:rPr>
          <w:rFonts w:ascii="Calibri" w:hAnsi="Calibri" w:cs="Calibri"/>
          <w:szCs w:val="24"/>
        </w:rPr>
        <w:t>to</w:t>
      </w:r>
      <w:r w:rsidR="002E382D" w:rsidRPr="0078328A">
        <w:rPr>
          <w:rFonts w:ascii="Calibri" w:hAnsi="Calibri" w:cs="Calibri"/>
          <w:szCs w:val="24"/>
        </w:rPr>
        <w:t xml:space="preserve"> </w:t>
      </w:r>
      <w:r w:rsidRPr="0078328A">
        <w:rPr>
          <w:rFonts w:ascii="Calibri" w:hAnsi="Calibri" w:cs="Calibri"/>
          <w:szCs w:val="24"/>
        </w:rPr>
        <w:t>a 15</w:t>
      </w:r>
      <w:r w:rsidR="0068236A" w:rsidRPr="0078328A">
        <w:rPr>
          <w:rFonts w:ascii="Calibri" w:hAnsi="Calibri" w:cs="Calibri"/>
          <w:szCs w:val="24"/>
        </w:rPr>
        <w:t xml:space="preserve"> </w:t>
      </w:r>
      <w:r w:rsidR="004314BE" w:rsidRPr="0078328A">
        <w:rPr>
          <w:rFonts w:ascii="Calibri" w:hAnsi="Calibri" w:cs="Calibri"/>
          <w:szCs w:val="24"/>
        </w:rPr>
        <w:t>mL</w:t>
      </w:r>
      <w:r w:rsidRPr="0078328A">
        <w:rPr>
          <w:rFonts w:ascii="Calibri" w:hAnsi="Calibri" w:cs="Calibri"/>
          <w:szCs w:val="24"/>
        </w:rPr>
        <w:t xml:space="preserve"> tube.</w:t>
      </w:r>
    </w:p>
    <w:p w14:paraId="4735F6FC" w14:textId="77777777" w:rsidR="00681993" w:rsidRPr="0078328A" w:rsidRDefault="00681993" w:rsidP="00681993">
      <w:pPr>
        <w:pStyle w:val="ListParagraph"/>
        <w:tabs>
          <w:tab w:val="left" w:pos="851"/>
        </w:tabs>
        <w:ind w:left="0"/>
        <w:jc w:val="both"/>
        <w:rPr>
          <w:rFonts w:ascii="Calibri" w:hAnsi="Calibri" w:cs="Calibri"/>
          <w:szCs w:val="24"/>
        </w:rPr>
      </w:pPr>
    </w:p>
    <w:p w14:paraId="669D8B2C" w14:textId="39596057" w:rsidR="00992CD3" w:rsidRDefault="00992CD3" w:rsidP="005D53A7">
      <w:pPr>
        <w:pStyle w:val="ListParagraph"/>
        <w:numPr>
          <w:ilvl w:val="1"/>
          <w:numId w:val="14"/>
        </w:numPr>
        <w:tabs>
          <w:tab w:val="left" w:pos="851"/>
        </w:tabs>
        <w:jc w:val="both"/>
        <w:rPr>
          <w:rFonts w:ascii="Calibri" w:hAnsi="Calibri" w:cs="Calibri"/>
          <w:szCs w:val="24"/>
        </w:rPr>
      </w:pPr>
      <w:r w:rsidRPr="0078328A">
        <w:rPr>
          <w:rFonts w:ascii="Calibri" w:hAnsi="Calibri" w:cs="Calibri"/>
          <w:szCs w:val="24"/>
        </w:rPr>
        <w:t xml:space="preserve">Take the tube to </w:t>
      </w:r>
      <w:r w:rsidR="002C3D7F" w:rsidRPr="0078328A">
        <w:rPr>
          <w:rFonts w:ascii="Calibri" w:hAnsi="Calibri" w:cs="Calibri"/>
          <w:szCs w:val="24"/>
        </w:rPr>
        <w:t>an automated cell separator</w:t>
      </w:r>
      <w:r w:rsidR="00BE2563" w:rsidRPr="0078328A">
        <w:rPr>
          <w:rFonts w:ascii="Calibri" w:hAnsi="Calibri" w:cs="Calibri"/>
          <w:szCs w:val="24"/>
        </w:rPr>
        <w:t xml:space="preserve"> (</w:t>
      </w:r>
      <w:r w:rsidR="0078328A" w:rsidRPr="0078328A">
        <w:rPr>
          <w:rFonts w:ascii="Calibri" w:hAnsi="Calibri"/>
          <w:b/>
          <w:bCs/>
        </w:rPr>
        <w:t>Table of Materials</w:t>
      </w:r>
      <w:r w:rsidR="00BE2563" w:rsidRPr="0078328A">
        <w:rPr>
          <w:rFonts w:ascii="Calibri" w:hAnsi="Calibri" w:cs="Calibri"/>
          <w:szCs w:val="24"/>
        </w:rPr>
        <w:t>)</w:t>
      </w:r>
      <w:r w:rsidRPr="0078328A">
        <w:rPr>
          <w:rFonts w:ascii="Calibri" w:hAnsi="Calibri" w:cs="Calibri"/>
          <w:szCs w:val="24"/>
        </w:rPr>
        <w:t xml:space="preserve">. </w:t>
      </w:r>
      <w:r w:rsidR="00E51EA6" w:rsidRPr="0078328A">
        <w:rPr>
          <w:rFonts w:ascii="Calibri" w:hAnsi="Calibri" w:cs="Calibri"/>
          <w:szCs w:val="24"/>
        </w:rPr>
        <w:t>Run</w:t>
      </w:r>
      <w:r w:rsidR="00E51EA6" w:rsidRPr="005D53A7">
        <w:rPr>
          <w:rFonts w:ascii="Calibri" w:hAnsi="Calibri" w:cs="Calibri"/>
          <w:szCs w:val="24"/>
        </w:rPr>
        <w:t xml:space="preserve"> a wash program to rinse and prime the tubing of the cell separator. </w:t>
      </w:r>
      <w:r w:rsidRPr="005D53A7">
        <w:rPr>
          <w:rFonts w:ascii="Calibri" w:hAnsi="Calibri" w:cs="Calibri"/>
          <w:szCs w:val="24"/>
        </w:rPr>
        <w:t xml:space="preserve">Place the sample and two </w:t>
      </w:r>
      <w:r w:rsidR="002C3D7F" w:rsidRPr="005D53A7">
        <w:rPr>
          <w:rFonts w:ascii="Calibri" w:hAnsi="Calibri" w:cs="Calibri"/>
          <w:szCs w:val="24"/>
        </w:rPr>
        <w:t>co</w:t>
      </w:r>
      <w:r w:rsidR="00D132DA" w:rsidRPr="005D53A7">
        <w:rPr>
          <w:rFonts w:ascii="Calibri" w:hAnsi="Calibri" w:cs="Calibri"/>
          <w:szCs w:val="24"/>
        </w:rPr>
        <w:t xml:space="preserve">llection </w:t>
      </w:r>
      <w:r w:rsidRPr="005D53A7">
        <w:rPr>
          <w:rFonts w:ascii="Calibri" w:hAnsi="Calibri" w:cs="Calibri"/>
          <w:szCs w:val="24"/>
        </w:rPr>
        <w:t xml:space="preserve">tubes on </w:t>
      </w:r>
      <w:r w:rsidR="002E382D">
        <w:rPr>
          <w:rFonts w:ascii="Calibri" w:hAnsi="Calibri" w:cs="Calibri"/>
          <w:szCs w:val="24"/>
        </w:rPr>
        <w:t xml:space="preserve">the </w:t>
      </w:r>
      <w:r w:rsidRPr="005D53A7">
        <w:rPr>
          <w:rFonts w:ascii="Calibri" w:hAnsi="Calibri" w:cs="Calibri"/>
          <w:szCs w:val="24"/>
        </w:rPr>
        <w:t>tube holder. Perform separation using the “</w:t>
      </w:r>
      <w:r w:rsidR="004D1E0D" w:rsidRPr="004D1E0D">
        <w:rPr>
          <w:rFonts w:ascii="Calibri" w:hAnsi="Calibri" w:cs="Calibri"/>
          <w:b/>
          <w:bCs/>
          <w:szCs w:val="24"/>
        </w:rPr>
        <w:t>Deplete</w:t>
      </w:r>
      <w:r w:rsidRPr="005D53A7">
        <w:rPr>
          <w:rFonts w:ascii="Calibri" w:hAnsi="Calibri" w:cs="Calibri"/>
          <w:szCs w:val="24"/>
        </w:rPr>
        <w:t>” program.</w:t>
      </w:r>
      <w:r w:rsidR="00165007" w:rsidRPr="005D53A7">
        <w:rPr>
          <w:rFonts w:ascii="Calibri" w:hAnsi="Calibri" w:cs="Calibri"/>
          <w:szCs w:val="24"/>
        </w:rPr>
        <w:t xml:space="preserve"> </w:t>
      </w:r>
      <w:r w:rsidR="004D1E0D" w:rsidRPr="005D53A7">
        <w:rPr>
          <w:rFonts w:ascii="Calibri" w:hAnsi="Calibri" w:cs="Calibri"/>
          <w:szCs w:val="24"/>
        </w:rPr>
        <w:t xml:space="preserve">Collect </w:t>
      </w:r>
      <w:r w:rsidR="00165007" w:rsidRPr="005D53A7">
        <w:rPr>
          <w:rFonts w:ascii="Calibri" w:hAnsi="Calibri" w:cs="Calibri"/>
          <w:szCs w:val="24"/>
        </w:rPr>
        <w:t>the positive and the negative fraction</w:t>
      </w:r>
      <w:r w:rsidR="002E382D">
        <w:rPr>
          <w:rFonts w:ascii="Calibri" w:hAnsi="Calibri" w:cs="Calibri"/>
          <w:szCs w:val="24"/>
        </w:rPr>
        <w:t>s</w:t>
      </w:r>
      <w:r w:rsidR="00165007" w:rsidRPr="005D53A7">
        <w:rPr>
          <w:rFonts w:ascii="Calibri" w:hAnsi="Calibri" w:cs="Calibri"/>
          <w:szCs w:val="24"/>
        </w:rPr>
        <w:t xml:space="preserve"> from the automated cell separator</w:t>
      </w:r>
      <w:r w:rsidR="00BE1DF7" w:rsidRPr="005D53A7">
        <w:rPr>
          <w:rFonts w:ascii="Calibri" w:hAnsi="Calibri" w:cs="Calibri"/>
          <w:szCs w:val="24"/>
        </w:rPr>
        <w:t xml:space="preserve"> once the run has ended</w:t>
      </w:r>
      <w:r w:rsidR="00165007" w:rsidRPr="005D53A7">
        <w:rPr>
          <w:rFonts w:ascii="Calibri" w:hAnsi="Calibri" w:cs="Calibri"/>
          <w:szCs w:val="24"/>
        </w:rPr>
        <w:t>.</w:t>
      </w:r>
    </w:p>
    <w:p w14:paraId="4E7A7CDC" w14:textId="77777777" w:rsidR="00681993" w:rsidRPr="005D53A7" w:rsidRDefault="00681993" w:rsidP="00681993">
      <w:pPr>
        <w:pStyle w:val="ListParagraph"/>
        <w:tabs>
          <w:tab w:val="left" w:pos="851"/>
        </w:tabs>
        <w:ind w:left="0"/>
        <w:jc w:val="both"/>
        <w:rPr>
          <w:rFonts w:ascii="Calibri" w:hAnsi="Calibri" w:cs="Calibri"/>
          <w:szCs w:val="24"/>
        </w:rPr>
      </w:pPr>
    </w:p>
    <w:p w14:paraId="0168A66E" w14:textId="026CD25D" w:rsidR="002C3D7F" w:rsidRPr="005D53A7" w:rsidRDefault="002C3D7F" w:rsidP="005D53A7">
      <w:pPr>
        <w:pStyle w:val="ListParagraph"/>
        <w:tabs>
          <w:tab w:val="left" w:pos="851"/>
        </w:tabs>
        <w:ind w:left="0"/>
        <w:jc w:val="both"/>
        <w:rPr>
          <w:rFonts w:ascii="Calibri" w:hAnsi="Calibri" w:cs="Calibri"/>
          <w:szCs w:val="24"/>
        </w:rPr>
      </w:pPr>
      <w:r w:rsidRPr="005D53A7">
        <w:rPr>
          <w:rFonts w:ascii="Calibri" w:hAnsi="Calibri" w:cs="Calibri"/>
          <w:szCs w:val="24"/>
        </w:rPr>
        <w:t xml:space="preserve">NOTE: In the absence of an automatic cell separator the users can use manual magnetic columns and corresponding magnets, per the user manual. The users should keep in mind </w:t>
      </w:r>
      <w:r w:rsidR="002E382D">
        <w:rPr>
          <w:rFonts w:ascii="Calibri" w:hAnsi="Calibri" w:cs="Calibri"/>
          <w:szCs w:val="24"/>
        </w:rPr>
        <w:t xml:space="preserve">that </w:t>
      </w:r>
      <w:r w:rsidRPr="005D53A7">
        <w:rPr>
          <w:rFonts w:ascii="Calibri" w:hAnsi="Calibri" w:cs="Calibri"/>
          <w:szCs w:val="24"/>
        </w:rPr>
        <w:t>the process of manual separation is slower than the automated one.</w:t>
      </w:r>
      <w:r w:rsidR="006B2198">
        <w:rPr>
          <w:rFonts w:ascii="Calibri" w:hAnsi="Calibri" w:cs="Calibri"/>
          <w:szCs w:val="24"/>
        </w:rPr>
        <w:t xml:space="preserve"> </w:t>
      </w:r>
      <w:r w:rsidRPr="005D53A7">
        <w:rPr>
          <w:rFonts w:ascii="Calibri" w:hAnsi="Calibri" w:cs="Calibri"/>
          <w:szCs w:val="24"/>
        </w:rPr>
        <w:t>Also, the manual columns are more prone to clogging</w:t>
      </w:r>
      <w:r w:rsidR="002B1024">
        <w:rPr>
          <w:rFonts w:ascii="Calibri" w:hAnsi="Calibri" w:cs="Calibri"/>
          <w:szCs w:val="24"/>
        </w:rPr>
        <w:t>.</w:t>
      </w:r>
      <w:r w:rsidRPr="005D53A7">
        <w:rPr>
          <w:rFonts w:ascii="Calibri" w:hAnsi="Calibri" w:cs="Calibri"/>
          <w:szCs w:val="24"/>
        </w:rPr>
        <w:t xml:space="preserve"> </w:t>
      </w:r>
      <w:r w:rsidR="002B1024" w:rsidRPr="005D53A7">
        <w:rPr>
          <w:rFonts w:ascii="Calibri" w:hAnsi="Calibri" w:cs="Calibri"/>
          <w:szCs w:val="24"/>
        </w:rPr>
        <w:t>Therefore</w:t>
      </w:r>
      <w:r w:rsidR="002B1024">
        <w:rPr>
          <w:rFonts w:ascii="Calibri" w:hAnsi="Calibri" w:cs="Calibri"/>
          <w:szCs w:val="24"/>
        </w:rPr>
        <w:t>,</w:t>
      </w:r>
      <w:r w:rsidR="002B1024" w:rsidRPr="005D53A7">
        <w:rPr>
          <w:rFonts w:ascii="Calibri" w:hAnsi="Calibri" w:cs="Calibri"/>
          <w:szCs w:val="24"/>
        </w:rPr>
        <w:t xml:space="preserve"> </w:t>
      </w:r>
      <w:r w:rsidRPr="005D53A7">
        <w:rPr>
          <w:rFonts w:ascii="Calibri" w:hAnsi="Calibri" w:cs="Calibri"/>
          <w:szCs w:val="24"/>
        </w:rPr>
        <w:t xml:space="preserve">users are </w:t>
      </w:r>
      <w:r w:rsidR="008C17D5">
        <w:rPr>
          <w:rFonts w:ascii="Calibri" w:hAnsi="Calibri" w:cs="Calibri"/>
          <w:szCs w:val="24"/>
        </w:rPr>
        <w:t>advised</w:t>
      </w:r>
      <w:r w:rsidR="008C17D5" w:rsidRPr="005D53A7">
        <w:rPr>
          <w:rFonts w:ascii="Calibri" w:hAnsi="Calibri" w:cs="Calibri"/>
          <w:szCs w:val="24"/>
        </w:rPr>
        <w:t xml:space="preserve"> </w:t>
      </w:r>
      <w:r w:rsidRPr="005D53A7">
        <w:rPr>
          <w:rFonts w:ascii="Calibri" w:hAnsi="Calibri" w:cs="Calibri"/>
          <w:szCs w:val="24"/>
        </w:rPr>
        <w:t xml:space="preserve">to </w:t>
      </w:r>
      <w:r w:rsidR="0017325E" w:rsidRPr="005D53A7">
        <w:rPr>
          <w:rFonts w:ascii="Calibri" w:hAnsi="Calibri" w:cs="Calibri"/>
          <w:szCs w:val="24"/>
        </w:rPr>
        <w:t>dilute the sample and load on the column slowly.</w:t>
      </w:r>
    </w:p>
    <w:p w14:paraId="11F52E16" w14:textId="77777777" w:rsidR="002D6D97" w:rsidRPr="005D53A7" w:rsidRDefault="002D6D97" w:rsidP="005D53A7">
      <w:pPr>
        <w:tabs>
          <w:tab w:val="left" w:pos="851"/>
        </w:tabs>
        <w:jc w:val="both"/>
        <w:rPr>
          <w:rFonts w:ascii="Calibri" w:hAnsi="Calibri" w:cs="Calibri"/>
          <w:szCs w:val="24"/>
        </w:rPr>
      </w:pPr>
    </w:p>
    <w:p w14:paraId="735EFAE9" w14:textId="777970F8" w:rsidR="00992CD3" w:rsidRDefault="00992CD3" w:rsidP="005D53A7">
      <w:pPr>
        <w:pStyle w:val="ListParagraph"/>
        <w:numPr>
          <w:ilvl w:val="1"/>
          <w:numId w:val="14"/>
        </w:numPr>
        <w:jc w:val="both"/>
        <w:rPr>
          <w:rFonts w:ascii="Calibri" w:hAnsi="Calibri" w:cs="Calibri"/>
          <w:szCs w:val="24"/>
        </w:rPr>
      </w:pPr>
      <w:r w:rsidRPr="005D53A7">
        <w:rPr>
          <w:rFonts w:ascii="Calibri" w:hAnsi="Calibri" w:cs="Calibri"/>
          <w:szCs w:val="24"/>
        </w:rPr>
        <w:lastRenderedPageBreak/>
        <w:t xml:space="preserve">Discard the positive fraction. Fill the </w:t>
      </w:r>
      <w:r w:rsidR="008C17D5" w:rsidRPr="005D53A7">
        <w:rPr>
          <w:rFonts w:ascii="Calibri" w:hAnsi="Calibri" w:cs="Calibri"/>
          <w:szCs w:val="24"/>
        </w:rPr>
        <w:t xml:space="preserve">negative fraction </w:t>
      </w:r>
      <w:r w:rsidR="00165007" w:rsidRPr="005D53A7">
        <w:rPr>
          <w:rFonts w:ascii="Calibri" w:hAnsi="Calibri" w:cs="Calibri"/>
          <w:szCs w:val="24"/>
        </w:rPr>
        <w:t xml:space="preserve">tube </w:t>
      </w:r>
      <w:r w:rsidRPr="005D53A7">
        <w:rPr>
          <w:rFonts w:ascii="Calibri" w:hAnsi="Calibri" w:cs="Calibri"/>
          <w:szCs w:val="24"/>
        </w:rPr>
        <w:t>with buffer.</w:t>
      </w:r>
      <w:r w:rsidR="00165007" w:rsidRPr="005D53A7">
        <w:rPr>
          <w:rFonts w:ascii="Calibri" w:hAnsi="Calibri" w:cs="Calibri"/>
          <w:szCs w:val="24"/>
        </w:rPr>
        <w:t xml:space="preserve"> </w:t>
      </w:r>
      <w:r w:rsidRPr="005D53A7">
        <w:rPr>
          <w:rFonts w:ascii="Calibri" w:hAnsi="Calibri" w:cs="Calibri"/>
          <w:szCs w:val="24"/>
        </w:rPr>
        <w:t>Centrifuge the tube at 300</w:t>
      </w:r>
      <w:r w:rsidR="00872462" w:rsidRPr="00872462">
        <w:rPr>
          <w:rFonts w:ascii="Calibri" w:hAnsi="Calibri" w:cs="Calibri"/>
          <w:iCs/>
          <w:szCs w:val="24"/>
        </w:rPr>
        <w:t xml:space="preserve"> x </w:t>
      </w:r>
      <w:r w:rsidR="00872462" w:rsidRPr="00872462">
        <w:rPr>
          <w:rFonts w:ascii="Calibri" w:hAnsi="Calibri" w:cs="Calibri"/>
          <w:i/>
          <w:iCs/>
          <w:szCs w:val="24"/>
        </w:rPr>
        <w:t>g</w:t>
      </w:r>
      <w:r w:rsidRPr="005D53A7">
        <w:rPr>
          <w:rFonts w:ascii="Calibri" w:hAnsi="Calibri" w:cs="Calibri"/>
          <w:szCs w:val="24"/>
        </w:rPr>
        <w:t xml:space="preserve"> for 5 </w:t>
      </w:r>
      <w:r w:rsidR="00DA08A5" w:rsidRPr="005D53A7">
        <w:rPr>
          <w:rFonts w:ascii="Calibri" w:hAnsi="Calibri" w:cs="Calibri"/>
          <w:szCs w:val="24"/>
        </w:rPr>
        <w:t>min</w:t>
      </w:r>
      <w:r w:rsidRPr="005D53A7">
        <w:rPr>
          <w:rFonts w:ascii="Calibri" w:hAnsi="Calibri" w:cs="Calibri"/>
          <w:szCs w:val="24"/>
        </w:rPr>
        <w:t xml:space="preserve"> at 4</w:t>
      </w:r>
      <w:r w:rsidR="003E68D3" w:rsidRPr="005D53A7">
        <w:rPr>
          <w:rFonts w:ascii="Calibri" w:hAnsi="Calibri" w:cs="Calibri"/>
          <w:szCs w:val="24"/>
        </w:rPr>
        <w:t xml:space="preserve"> </w:t>
      </w:r>
      <w:r w:rsidR="008C17D5">
        <w:rPr>
          <w:rFonts w:ascii="Calibri" w:hAnsi="Calibri" w:cs="Calibri"/>
          <w:szCs w:val="24"/>
        </w:rPr>
        <w:t>°</w:t>
      </w:r>
      <w:r w:rsidR="0068236A" w:rsidRPr="005D53A7">
        <w:rPr>
          <w:rFonts w:ascii="Calibri" w:hAnsi="Calibri" w:cs="Calibri"/>
          <w:szCs w:val="24"/>
        </w:rPr>
        <w:t>C</w:t>
      </w:r>
      <w:r w:rsidRPr="005D53A7">
        <w:rPr>
          <w:rFonts w:ascii="Calibri" w:hAnsi="Calibri" w:cs="Calibri"/>
          <w:szCs w:val="24"/>
        </w:rPr>
        <w:t>.</w:t>
      </w:r>
    </w:p>
    <w:p w14:paraId="061F022D" w14:textId="77777777" w:rsidR="00681993" w:rsidRPr="005D53A7" w:rsidRDefault="00681993" w:rsidP="00681993">
      <w:pPr>
        <w:pStyle w:val="ListParagraph"/>
        <w:ind w:left="0"/>
        <w:jc w:val="both"/>
        <w:rPr>
          <w:rFonts w:ascii="Calibri" w:hAnsi="Calibri" w:cs="Calibri"/>
          <w:szCs w:val="24"/>
        </w:rPr>
      </w:pPr>
    </w:p>
    <w:p w14:paraId="1DCCBBA7" w14:textId="0E67CE59" w:rsidR="00992CD3" w:rsidRDefault="00317748" w:rsidP="005D53A7">
      <w:pPr>
        <w:pStyle w:val="ListParagraph"/>
        <w:numPr>
          <w:ilvl w:val="1"/>
          <w:numId w:val="14"/>
        </w:numPr>
        <w:jc w:val="both"/>
        <w:rPr>
          <w:rFonts w:ascii="Calibri" w:hAnsi="Calibri" w:cs="Calibri"/>
          <w:szCs w:val="24"/>
        </w:rPr>
      </w:pPr>
      <w:r w:rsidRPr="005D53A7">
        <w:rPr>
          <w:rFonts w:ascii="Calibri" w:hAnsi="Calibri" w:cs="Calibri"/>
          <w:szCs w:val="24"/>
        </w:rPr>
        <w:t>Meanwhile</w:t>
      </w:r>
      <w:r w:rsidR="00992CD3" w:rsidRPr="005D53A7">
        <w:rPr>
          <w:rFonts w:ascii="Calibri" w:hAnsi="Calibri" w:cs="Calibri"/>
          <w:szCs w:val="24"/>
        </w:rPr>
        <w:t xml:space="preserve">, prepare the antibody mix </w:t>
      </w:r>
      <w:r w:rsidR="00A8448D" w:rsidRPr="005D53A7">
        <w:rPr>
          <w:rFonts w:ascii="Calibri" w:hAnsi="Calibri" w:cs="Calibri"/>
          <w:szCs w:val="24"/>
        </w:rPr>
        <w:t>in</w:t>
      </w:r>
      <w:r w:rsidR="008F345A">
        <w:rPr>
          <w:rFonts w:ascii="Calibri" w:hAnsi="Calibri" w:cs="Calibri"/>
          <w:szCs w:val="24"/>
        </w:rPr>
        <w:t xml:space="preserve"> </w:t>
      </w:r>
      <w:r w:rsidR="00992CD3" w:rsidRPr="005D53A7">
        <w:rPr>
          <w:rFonts w:ascii="Calibri" w:hAnsi="Calibri" w:cs="Calibri"/>
          <w:szCs w:val="24"/>
        </w:rPr>
        <w:t>1</w:t>
      </w:r>
      <w:r w:rsidR="00831B35" w:rsidRPr="005D53A7">
        <w:rPr>
          <w:rFonts w:ascii="Calibri" w:hAnsi="Calibri" w:cs="Calibri"/>
          <w:szCs w:val="24"/>
        </w:rPr>
        <w:t xml:space="preserve"> </w:t>
      </w:r>
      <w:r w:rsidR="008F345A">
        <w:rPr>
          <w:rFonts w:ascii="Calibri" w:hAnsi="Calibri" w:cs="Calibri"/>
          <w:szCs w:val="24"/>
        </w:rPr>
        <w:t>mL of</w:t>
      </w:r>
      <w:r w:rsidR="00A8448D" w:rsidRPr="005D53A7">
        <w:rPr>
          <w:rFonts w:ascii="Calibri" w:hAnsi="Calibri" w:cs="Calibri"/>
          <w:szCs w:val="24"/>
        </w:rPr>
        <w:t xml:space="preserve"> final volume solution </w:t>
      </w:r>
      <w:r w:rsidR="00992CD3" w:rsidRPr="005D53A7">
        <w:rPr>
          <w:rFonts w:ascii="Calibri" w:hAnsi="Calibri" w:cs="Calibri"/>
          <w:szCs w:val="24"/>
        </w:rPr>
        <w:t>and the single-color controls</w:t>
      </w:r>
      <w:r w:rsidR="00A8448D" w:rsidRPr="005D53A7">
        <w:rPr>
          <w:rFonts w:ascii="Calibri" w:hAnsi="Calibri" w:cs="Calibri"/>
          <w:szCs w:val="24"/>
        </w:rPr>
        <w:t xml:space="preserve"> in 200</w:t>
      </w:r>
      <w:r w:rsidR="0068236A" w:rsidRPr="005D53A7">
        <w:rPr>
          <w:rFonts w:ascii="Calibri" w:hAnsi="Calibri" w:cs="Calibri"/>
          <w:szCs w:val="24"/>
        </w:rPr>
        <w:t xml:space="preserve"> </w:t>
      </w:r>
      <w:r w:rsidR="00681993">
        <w:rPr>
          <w:rFonts w:ascii="Calibri" w:hAnsi="Calibri" w:cs="Calibri"/>
          <w:szCs w:val="24"/>
        </w:rPr>
        <w:t>µ</w:t>
      </w:r>
      <w:r w:rsidR="004314BE" w:rsidRPr="005D53A7">
        <w:rPr>
          <w:rFonts w:ascii="Calibri" w:hAnsi="Calibri" w:cs="Calibri"/>
          <w:szCs w:val="24"/>
        </w:rPr>
        <w:t>L</w:t>
      </w:r>
      <w:r w:rsidR="00A8448D" w:rsidRPr="005D53A7">
        <w:rPr>
          <w:rFonts w:ascii="Calibri" w:hAnsi="Calibri" w:cs="Calibri"/>
          <w:szCs w:val="24"/>
        </w:rPr>
        <w:t xml:space="preserve"> </w:t>
      </w:r>
      <w:r>
        <w:rPr>
          <w:rFonts w:ascii="Calibri" w:hAnsi="Calibri" w:cs="Calibri"/>
          <w:szCs w:val="24"/>
        </w:rPr>
        <w:t xml:space="preserve">of </w:t>
      </w:r>
      <w:r w:rsidR="00A8448D" w:rsidRPr="005D53A7">
        <w:rPr>
          <w:rFonts w:ascii="Calibri" w:hAnsi="Calibri" w:cs="Calibri"/>
          <w:szCs w:val="24"/>
        </w:rPr>
        <w:t xml:space="preserve">final volume solution </w:t>
      </w:r>
      <w:r w:rsidR="00992CD3" w:rsidRPr="005D53A7">
        <w:rPr>
          <w:rFonts w:ascii="Calibri" w:hAnsi="Calibri" w:cs="Calibri"/>
          <w:szCs w:val="24"/>
        </w:rPr>
        <w:t xml:space="preserve">as described in </w:t>
      </w:r>
      <w:r w:rsidR="0078328A" w:rsidRPr="0078328A">
        <w:rPr>
          <w:rFonts w:ascii="Calibri" w:hAnsi="Calibri" w:cs="Calibri"/>
          <w:b/>
          <w:bCs/>
          <w:szCs w:val="24"/>
        </w:rPr>
        <w:t>Table of Materials</w:t>
      </w:r>
      <w:r w:rsidR="0078328A">
        <w:rPr>
          <w:rFonts w:ascii="Calibri" w:hAnsi="Calibri" w:cs="Calibri"/>
          <w:b/>
          <w:bCs/>
          <w:szCs w:val="24"/>
        </w:rPr>
        <w:t xml:space="preserve"> </w:t>
      </w:r>
      <w:r w:rsidR="0032274B" w:rsidRPr="0078328A">
        <w:rPr>
          <w:rFonts w:ascii="Calibri" w:hAnsi="Calibri"/>
        </w:rPr>
        <w:t xml:space="preserve">and </w:t>
      </w:r>
      <w:r w:rsidRPr="00317748">
        <w:rPr>
          <w:rFonts w:ascii="Calibri" w:hAnsi="Calibri"/>
          <w:b/>
        </w:rPr>
        <w:t>Table 1</w:t>
      </w:r>
      <w:r w:rsidR="00393147" w:rsidRPr="0032274B">
        <w:rPr>
          <w:rFonts w:ascii="Calibri" w:hAnsi="Calibri" w:cs="Calibri"/>
          <w:szCs w:val="24"/>
        </w:rPr>
        <w:t>.</w:t>
      </w:r>
    </w:p>
    <w:p w14:paraId="2B6F27E6" w14:textId="77777777" w:rsidR="00681993" w:rsidRPr="005D53A7" w:rsidRDefault="00681993" w:rsidP="00681993">
      <w:pPr>
        <w:pStyle w:val="ListParagraph"/>
        <w:ind w:left="0"/>
        <w:jc w:val="both"/>
        <w:rPr>
          <w:rFonts w:ascii="Calibri" w:hAnsi="Calibri" w:cs="Calibri"/>
          <w:szCs w:val="24"/>
        </w:rPr>
      </w:pPr>
    </w:p>
    <w:p w14:paraId="21EB9124" w14:textId="2F1F95F3" w:rsidR="000A726D" w:rsidRDefault="000A726D" w:rsidP="005D53A7">
      <w:pPr>
        <w:pStyle w:val="ListParagraph"/>
        <w:ind w:left="0"/>
        <w:jc w:val="both"/>
        <w:rPr>
          <w:rFonts w:ascii="Calibri" w:hAnsi="Calibri" w:cs="Calibri"/>
          <w:szCs w:val="24"/>
        </w:rPr>
      </w:pPr>
      <w:r w:rsidRPr="005D53A7">
        <w:rPr>
          <w:rFonts w:ascii="Calibri" w:hAnsi="Calibri" w:cs="Calibri"/>
          <w:szCs w:val="24"/>
        </w:rPr>
        <w:t xml:space="preserve">NOTE: If </w:t>
      </w:r>
      <w:r w:rsidR="00317748">
        <w:rPr>
          <w:rFonts w:ascii="Calibri" w:hAnsi="Calibri" w:cs="Calibri"/>
          <w:szCs w:val="24"/>
        </w:rPr>
        <w:t xml:space="preserve">the </w:t>
      </w:r>
      <w:r w:rsidRPr="005D53A7">
        <w:rPr>
          <w:rFonts w:ascii="Calibri" w:hAnsi="Calibri" w:cs="Calibri"/>
          <w:szCs w:val="24"/>
        </w:rPr>
        <w:t xml:space="preserve">TMRM and </w:t>
      </w:r>
      <w:r w:rsidR="00317748">
        <w:rPr>
          <w:rFonts w:ascii="Calibri" w:hAnsi="Calibri" w:cs="Calibri"/>
          <w:szCs w:val="24"/>
        </w:rPr>
        <w:t xml:space="preserve">the </w:t>
      </w:r>
      <w:r w:rsidR="0032274B">
        <w:rPr>
          <w:rFonts w:ascii="Calibri" w:hAnsi="Calibri" w:cs="Calibri"/>
          <w:szCs w:val="24"/>
        </w:rPr>
        <w:t xml:space="preserve">green fluorescent mitochondrial stain </w:t>
      </w:r>
      <w:r w:rsidRPr="005D53A7">
        <w:rPr>
          <w:rFonts w:ascii="Calibri" w:hAnsi="Calibri" w:cs="Calibri"/>
          <w:szCs w:val="24"/>
        </w:rPr>
        <w:t xml:space="preserve">are to be combined with </w:t>
      </w:r>
      <w:r w:rsidR="003577ED" w:rsidRPr="005D53A7">
        <w:rPr>
          <w:rFonts w:ascii="Calibri" w:hAnsi="Calibri" w:cs="Calibri"/>
          <w:szCs w:val="24"/>
        </w:rPr>
        <w:t>s</w:t>
      </w:r>
      <w:r w:rsidRPr="005D53A7">
        <w:rPr>
          <w:rFonts w:ascii="Calibri" w:hAnsi="Calibri" w:cs="Calibri"/>
          <w:szCs w:val="24"/>
        </w:rPr>
        <w:t>tem cell marker staining, then replace CD150-PE with CD150-PEcy5 and Streptavidin-Tx red with Streptavidin-Pac Orange</w:t>
      </w:r>
      <w:r w:rsidR="00393147" w:rsidRPr="005D53A7">
        <w:rPr>
          <w:rFonts w:ascii="Calibri" w:hAnsi="Calibri" w:cs="Calibri"/>
          <w:szCs w:val="24"/>
        </w:rPr>
        <w:t>.</w:t>
      </w:r>
    </w:p>
    <w:p w14:paraId="790DBEF4" w14:textId="77777777" w:rsidR="00681993" w:rsidRPr="005D53A7" w:rsidRDefault="00681993" w:rsidP="005D53A7">
      <w:pPr>
        <w:pStyle w:val="ListParagraph"/>
        <w:ind w:left="0"/>
        <w:jc w:val="both"/>
        <w:rPr>
          <w:rFonts w:ascii="Calibri" w:hAnsi="Calibri" w:cs="Calibri"/>
          <w:szCs w:val="24"/>
        </w:rPr>
      </w:pPr>
    </w:p>
    <w:p w14:paraId="66BDAF15" w14:textId="49C25A02" w:rsidR="00681993" w:rsidRDefault="00992CD3" w:rsidP="005D53A7">
      <w:pPr>
        <w:pStyle w:val="ListParagraph"/>
        <w:numPr>
          <w:ilvl w:val="1"/>
          <w:numId w:val="14"/>
        </w:numPr>
        <w:jc w:val="both"/>
        <w:rPr>
          <w:rFonts w:ascii="Calibri" w:hAnsi="Calibri" w:cs="Calibri"/>
          <w:szCs w:val="24"/>
        </w:rPr>
      </w:pPr>
      <w:r w:rsidRPr="005D53A7">
        <w:rPr>
          <w:rFonts w:ascii="Calibri" w:hAnsi="Calibri" w:cs="Calibri"/>
          <w:szCs w:val="24"/>
        </w:rPr>
        <w:t xml:space="preserve">Collect the </w:t>
      </w:r>
      <w:r w:rsidR="00FC195B" w:rsidRPr="005D53A7">
        <w:rPr>
          <w:rFonts w:ascii="Calibri" w:hAnsi="Calibri" w:cs="Calibri"/>
          <w:szCs w:val="24"/>
        </w:rPr>
        <w:t xml:space="preserve">sample </w:t>
      </w:r>
      <w:r w:rsidRPr="005D53A7">
        <w:rPr>
          <w:rFonts w:ascii="Calibri" w:hAnsi="Calibri" w:cs="Calibri"/>
          <w:szCs w:val="24"/>
        </w:rPr>
        <w:t>tube from the centrifuge and decant the supernatant.</w:t>
      </w:r>
      <w:r w:rsidR="000A726D" w:rsidRPr="005D53A7">
        <w:rPr>
          <w:rFonts w:ascii="Calibri" w:hAnsi="Calibri" w:cs="Calibri"/>
          <w:szCs w:val="24"/>
        </w:rPr>
        <w:t xml:space="preserve"> </w:t>
      </w:r>
      <w:r w:rsidRPr="005D53A7">
        <w:rPr>
          <w:rFonts w:ascii="Calibri" w:hAnsi="Calibri" w:cs="Calibri"/>
          <w:szCs w:val="24"/>
        </w:rPr>
        <w:t>Resuspend the pellet in 1</w:t>
      </w:r>
      <w:r w:rsidR="0068236A" w:rsidRPr="005D53A7">
        <w:rPr>
          <w:rFonts w:ascii="Calibri" w:hAnsi="Calibri" w:cs="Calibri"/>
          <w:szCs w:val="24"/>
        </w:rPr>
        <w:t xml:space="preserve"> </w:t>
      </w:r>
      <w:r w:rsidR="004314BE" w:rsidRPr="005D53A7">
        <w:rPr>
          <w:rFonts w:ascii="Calibri" w:hAnsi="Calibri" w:cs="Calibri"/>
          <w:szCs w:val="24"/>
        </w:rPr>
        <w:t>mL</w:t>
      </w:r>
      <w:r w:rsidRPr="005D53A7">
        <w:rPr>
          <w:rFonts w:ascii="Calibri" w:hAnsi="Calibri" w:cs="Calibri"/>
          <w:szCs w:val="24"/>
        </w:rPr>
        <w:t xml:space="preserve"> of antibody mix.</w:t>
      </w:r>
      <w:r w:rsidR="00FC195B" w:rsidRPr="005D53A7">
        <w:rPr>
          <w:rFonts w:ascii="Calibri" w:hAnsi="Calibri" w:cs="Calibri"/>
          <w:szCs w:val="24"/>
        </w:rPr>
        <w:t xml:space="preserve"> </w:t>
      </w:r>
      <w:r w:rsidRPr="005D53A7">
        <w:rPr>
          <w:rFonts w:ascii="Calibri" w:hAnsi="Calibri" w:cs="Calibri"/>
          <w:szCs w:val="24"/>
        </w:rPr>
        <w:t>Add 10</w:t>
      </w:r>
      <w:r w:rsidR="0068236A" w:rsidRPr="005D53A7">
        <w:rPr>
          <w:rFonts w:ascii="Calibri" w:hAnsi="Calibri" w:cs="Calibri"/>
          <w:szCs w:val="24"/>
        </w:rPr>
        <w:t xml:space="preserve"> </w:t>
      </w:r>
      <w:r w:rsidR="00681993">
        <w:rPr>
          <w:rFonts w:ascii="Calibri" w:hAnsi="Calibri" w:cs="Calibri"/>
          <w:szCs w:val="24"/>
        </w:rPr>
        <w:t>µ</w:t>
      </w:r>
      <w:r w:rsidR="004314BE" w:rsidRPr="005D53A7">
        <w:rPr>
          <w:rFonts w:ascii="Calibri" w:hAnsi="Calibri" w:cs="Calibri"/>
          <w:szCs w:val="24"/>
        </w:rPr>
        <w:t>L</w:t>
      </w:r>
      <w:r w:rsidR="00A8448D" w:rsidRPr="005D53A7">
        <w:rPr>
          <w:rFonts w:ascii="Calibri" w:hAnsi="Calibri" w:cs="Calibri"/>
          <w:szCs w:val="24"/>
        </w:rPr>
        <w:t xml:space="preserve"> </w:t>
      </w:r>
      <w:r w:rsidRPr="005D53A7">
        <w:rPr>
          <w:rFonts w:ascii="Calibri" w:hAnsi="Calibri" w:cs="Calibri"/>
          <w:szCs w:val="24"/>
        </w:rPr>
        <w:t xml:space="preserve">of cells (from </w:t>
      </w:r>
      <w:r w:rsidR="00317748">
        <w:rPr>
          <w:rFonts w:ascii="Calibri" w:hAnsi="Calibri" w:cs="Calibri"/>
          <w:szCs w:val="24"/>
        </w:rPr>
        <w:t xml:space="preserve">step </w:t>
      </w:r>
      <w:r w:rsidR="00FC195B" w:rsidRPr="005D53A7">
        <w:rPr>
          <w:rFonts w:ascii="Calibri" w:hAnsi="Calibri" w:cs="Calibri"/>
          <w:szCs w:val="24"/>
        </w:rPr>
        <w:t>1.13</w:t>
      </w:r>
      <w:r w:rsidRPr="005D53A7">
        <w:rPr>
          <w:rFonts w:ascii="Calibri" w:hAnsi="Calibri" w:cs="Calibri"/>
          <w:szCs w:val="24"/>
        </w:rPr>
        <w:t xml:space="preserve">) in each of the single-color control tubes (except </w:t>
      </w:r>
      <w:r w:rsidR="004D7FD7" w:rsidRPr="004D7FD7">
        <w:rPr>
          <w:rFonts w:ascii="Calibri" w:hAnsi="Calibri" w:cs="Calibri"/>
          <w:szCs w:val="24"/>
        </w:rPr>
        <w:t>lineage</w:t>
      </w:r>
      <w:r w:rsidRPr="005D53A7">
        <w:rPr>
          <w:rFonts w:ascii="Calibri" w:hAnsi="Calibri" w:cs="Calibri"/>
          <w:szCs w:val="24"/>
        </w:rPr>
        <w:t>)</w:t>
      </w:r>
      <w:r w:rsidR="00FC195B" w:rsidRPr="005D53A7">
        <w:rPr>
          <w:rFonts w:ascii="Calibri" w:hAnsi="Calibri" w:cs="Calibri"/>
          <w:szCs w:val="24"/>
        </w:rPr>
        <w:t xml:space="preserve">. </w:t>
      </w:r>
      <w:r w:rsidRPr="005D53A7">
        <w:rPr>
          <w:rFonts w:ascii="Calibri" w:hAnsi="Calibri" w:cs="Calibri"/>
          <w:szCs w:val="24"/>
        </w:rPr>
        <w:t>Add 10</w:t>
      </w:r>
      <w:r w:rsidR="0068236A" w:rsidRPr="005D53A7">
        <w:rPr>
          <w:rFonts w:ascii="Calibri" w:hAnsi="Calibri" w:cs="Calibri"/>
          <w:szCs w:val="24"/>
        </w:rPr>
        <w:t xml:space="preserve"> </w:t>
      </w:r>
      <w:r w:rsidR="00681993">
        <w:rPr>
          <w:rFonts w:ascii="Calibri" w:hAnsi="Calibri" w:cs="Calibri"/>
          <w:szCs w:val="24"/>
        </w:rPr>
        <w:t>µ</w:t>
      </w:r>
      <w:r w:rsidR="004314BE" w:rsidRPr="005D53A7">
        <w:rPr>
          <w:rFonts w:ascii="Calibri" w:hAnsi="Calibri" w:cs="Calibri"/>
          <w:szCs w:val="24"/>
        </w:rPr>
        <w:t>L</w:t>
      </w:r>
      <w:r w:rsidRPr="005D53A7">
        <w:rPr>
          <w:rFonts w:ascii="Calibri" w:hAnsi="Calibri" w:cs="Calibri"/>
          <w:szCs w:val="24"/>
        </w:rPr>
        <w:t xml:space="preserve"> of cells (from </w:t>
      </w:r>
      <w:r w:rsidR="00317748">
        <w:rPr>
          <w:rFonts w:ascii="Calibri" w:hAnsi="Calibri" w:cs="Calibri"/>
          <w:szCs w:val="24"/>
        </w:rPr>
        <w:t xml:space="preserve">step </w:t>
      </w:r>
      <w:r w:rsidR="00FC195B" w:rsidRPr="005D53A7">
        <w:rPr>
          <w:rFonts w:ascii="Calibri" w:hAnsi="Calibri" w:cs="Calibri"/>
          <w:szCs w:val="24"/>
        </w:rPr>
        <w:t>1.14</w:t>
      </w:r>
      <w:r w:rsidRPr="005D53A7">
        <w:rPr>
          <w:rFonts w:ascii="Calibri" w:hAnsi="Calibri" w:cs="Calibri"/>
          <w:szCs w:val="24"/>
        </w:rPr>
        <w:t>)</w:t>
      </w:r>
      <w:r w:rsidR="00885EDB" w:rsidRPr="005D53A7">
        <w:rPr>
          <w:rFonts w:ascii="Calibri" w:hAnsi="Calibri" w:cs="Calibri"/>
          <w:szCs w:val="24"/>
        </w:rPr>
        <w:t xml:space="preserve"> in the lineage single color tube.</w:t>
      </w:r>
      <w:r w:rsidR="00FC195B" w:rsidRPr="005D53A7">
        <w:rPr>
          <w:rFonts w:ascii="Calibri" w:hAnsi="Calibri" w:cs="Calibri"/>
          <w:szCs w:val="24"/>
        </w:rPr>
        <w:t xml:space="preserve"> </w:t>
      </w:r>
    </w:p>
    <w:p w14:paraId="1EDEDDB1" w14:textId="77777777" w:rsidR="00681993" w:rsidRDefault="00681993" w:rsidP="00681993">
      <w:pPr>
        <w:pStyle w:val="ListParagraph"/>
        <w:ind w:left="0"/>
        <w:jc w:val="both"/>
        <w:rPr>
          <w:rFonts w:ascii="Calibri" w:hAnsi="Calibri" w:cs="Calibri"/>
          <w:szCs w:val="24"/>
        </w:rPr>
      </w:pPr>
    </w:p>
    <w:p w14:paraId="4350CEC4" w14:textId="76A78D32" w:rsidR="00FF4BBE" w:rsidRDefault="00B600A0" w:rsidP="005D53A7">
      <w:pPr>
        <w:pStyle w:val="ListParagraph"/>
        <w:numPr>
          <w:ilvl w:val="1"/>
          <w:numId w:val="14"/>
        </w:numPr>
        <w:jc w:val="both"/>
        <w:rPr>
          <w:rFonts w:ascii="Calibri" w:hAnsi="Calibri" w:cs="Calibri"/>
          <w:szCs w:val="24"/>
        </w:rPr>
      </w:pPr>
      <w:r w:rsidRPr="005D53A7">
        <w:rPr>
          <w:rFonts w:ascii="Calibri" w:hAnsi="Calibri" w:cs="Calibri"/>
          <w:szCs w:val="24"/>
        </w:rPr>
        <w:t xml:space="preserve">Incubate </w:t>
      </w:r>
      <w:r w:rsidR="00FC195B" w:rsidRPr="005D53A7">
        <w:rPr>
          <w:rFonts w:ascii="Calibri" w:hAnsi="Calibri" w:cs="Calibri"/>
          <w:szCs w:val="24"/>
        </w:rPr>
        <w:t>the sam</w:t>
      </w:r>
      <w:r w:rsidR="00F91812" w:rsidRPr="005D53A7">
        <w:rPr>
          <w:rFonts w:ascii="Calibri" w:hAnsi="Calibri" w:cs="Calibri"/>
          <w:szCs w:val="24"/>
        </w:rPr>
        <w:t xml:space="preserve">ple and </w:t>
      </w:r>
      <w:r w:rsidR="003E68D3" w:rsidRPr="005D53A7">
        <w:rPr>
          <w:rFonts w:ascii="Calibri" w:hAnsi="Calibri" w:cs="Calibri"/>
          <w:szCs w:val="24"/>
        </w:rPr>
        <w:t>single-color</w:t>
      </w:r>
      <w:r w:rsidR="00F91812" w:rsidRPr="005D53A7">
        <w:rPr>
          <w:rFonts w:ascii="Calibri" w:hAnsi="Calibri" w:cs="Calibri"/>
          <w:szCs w:val="24"/>
        </w:rPr>
        <w:t xml:space="preserve"> control </w:t>
      </w:r>
      <w:r w:rsidRPr="005D53A7">
        <w:rPr>
          <w:rFonts w:ascii="Calibri" w:hAnsi="Calibri" w:cs="Calibri"/>
          <w:szCs w:val="24"/>
        </w:rPr>
        <w:t xml:space="preserve">tubes at </w:t>
      </w:r>
      <w:r w:rsidR="003E68D3" w:rsidRPr="005D53A7">
        <w:rPr>
          <w:rFonts w:ascii="Calibri" w:hAnsi="Calibri" w:cs="Calibri"/>
          <w:szCs w:val="24"/>
        </w:rPr>
        <w:t xml:space="preserve">4 </w:t>
      </w:r>
      <w:r w:rsidR="00317748">
        <w:rPr>
          <w:rFonts w:ascii="Calibri" w:hAnsi="Calibri" w:cs="Calibri"/>
          <w:szCs w:val="24"/>
        </w:rPr>
        <w:t>°</w:t>
      </w:r>
      <w:r w:rsidR="003E68D3" w:rsidRPr="005D53A7">
        <w:rPr>
          <w:rFonts w:ascii="Calibri" w:hAnsi="Calibri" w:cs="Calibri"/>
          <w:szCs w:val="24"/>
        </w:rPr>
        <w:t>C</w:t>
      </w:r>
      <w:r w:rsidR="003E68D3" w:rsidRPr="005D53A7" w:rsidDel="003E68D3">
        <w:rPr>
          <w:rFonts w:ascii="Calibri" w:hAnsi="Calibri" w:cs="Calibri"/>
          <w:szCs w:val="24"/>
        </w:rPr>
        <w:t xml:space="preserve"> </w:t>
      </w:r>
      <w:r w:rsidRPr="005D53A7">
        <w:rPr>
          <w:rFonts w:ascii="Calibri" w:hAnsi="Calibri" w:cs="Calibri"/>
          <w:szCs w:val="24"/>
        </w:rPr>
        <w:t xml:space="preserve">on a shaker for 45 </w:t>
      </w:r>
      <w:r w:rsidR="00DA08A5" w:rsidRPr="005D53A7">
        <w:rPr>
          <w:rFonts w:ascii="Calibri" w:hAnsi="Calibri" w:cs="Calibri"/>
          <w:szCs w:val="24"/>
        </w:rPr>
        <w:t>min</w:t>
      </w:r>
      <w:r w:rsidRPr="005D53A7">
        <w:rPr>
          <w:rFonts w:ascii="Calibri" w:hAnsi="Calibri" w:cs="Calibri"/>
          <w:szCs w:val="24"/>
        </w:rPr>
        <w:t>.</w:t>
      </w:r>
      <w:r w:rsidR="003577ED" w:rsidRPr="005D53A7">
        <w:rPr>
          <w:rFonts w:ascii="Calibri" w:hAnsi="Calibri" w:cs="Calibri"/>
          <w:szCs w:val="24"/>
        </w:rPr>
        <w:t xml:space="preserve"> Cover the ice bucket with a lid or aluminum foil.</w:t>
      </w:r>
    </w:p>
    <w:p w14:paraId="121E5228" w14:textId="77777777" w:rsidR="00681993" w:rsidRPr="005D53A7" w:rsidRDefault="00681993" w:rsidP="00681993">
      <w:pPr>
        <w:pStyle w:val="ListParagraph"/>
        <w:ind w:left="0"/>
        <w:jc w:val="both"/>
        <w:rPr>
          <w:rFonts w:ascii="Calibri" w:hAnsi="Calibri" w:cs="Calibri"/>
          <w:szCs w:val="24"/>
        </w:rPr>
      </w:pPr>
    </w:p>
    <w:p w14:paraId="719C9397" w14:textId="30537439" w:rsidR="00B600A0" w:rsidRDefault="00B600A0" w:rsidP="005D53A7">
      <w:pPr>
        <w:pStyle w:val="ListParagraph"/>
        <w:numPr>
          <w:ilvl w:val="1"/>
          <w:numId w:val="14"/>
        </w:numPr>
        <w:jc w:val="both"/>
        <w:rPr>
          <w:rFonts w:ascii="Calibri" w:hAnsi="Calibri" w:cs="Calibri"/>
          <w:szCs w:val="24"/>
        </w:rPr>
      </w:pPr>
      <w:r w:rsidRPr="005D53A7">
        <w:rPr>
          <w:rFonts w:ascii="Calibri" w:hAnsi="Calibri" w:cs="Calibri"/>
          <w:szCs w:val="24"/>
        </w:rPr>
        <w:t>Fill all tubes with buffer and centrifuge at 300</w:t>
      </w:r>
      <w:r w:rsidR="00872462" w:rsidRPr="00872462">
        <w:rPr>
          <w:rFonts w:ascii="Calibri" w:hAnsi="Calibri" w:cs="Calibri"/>
          <w:iCs/>
          <w:szCs w:val="24"/>
        </w:rPr>
        <w:t xml:space="preserve"> x </w:t>
      </w:r>
      <w:r w:rsidR="00872462" w:rsidRPr="00872462">
        <w:rPr>
          <w:rFonts w:ascii="Calibri" w:hAnsi="Calibri" w:cs="Calibri"/>
          <w:i/>
          <w:iCs/>
          <w:szCs w:val="24"/>
        </w:rPr>
        <w:t>g</w:t>
      </w:r>
      <w:r w:rsidRPr="005D53A7">
        <w:rPr>
          <w:rFonts w:ascii="Calibri" w:hAnsi="Calibri" w:cs="Calibri"/>
          <w:szCs w:val="24"/>
        </w:rPr>
        <w:t xml:space="preserve"> for 5 </w:t>
      </w:r>
      <w:r w:rsidR="00DA08A5" w:rsidRPr="005D53A7">
        <w:rPr>
          <w:rFonts w:ascii="Calibri" w:hAnsi="Calibri" w:cs="Calibri"/>
          <w:szCs w:val="24"/>
        </w:rPr>
        <w:t>min</w:t>
      </w:r>
      <w:r w:rsidRPr="005D53A7">
        <w:rPr>
          <w:rFonts w:ascii="Calibri" w:hAnsi="Calibri" w:cs="Calibri"/>
          <w:szCs w:val="24"/>
        </w:rPr>
        <w:t xml:space="preserve"> at </w:t>
      </w:r>
      <w:r w:rsidR="003E68D3" w:rsidRPr="005D53A7">
        <w:rPr>
          <w:rFonts w:ascii="Calibri" w:hAnsi="Calibri" w:cs="Calibri"/>
          <w:szCs w:val="24"/>
        </w:rPr>
        <w:t xml:space="preserve">4 </w:t>
      </w:r>
      <w:r w:rsidR="00863B60">
        <w:rPr>
          <w:rFonts w:ascii="Calibri" w:hAnsi="Calibri" w:cs="Calibri"/>
          <w:szCs w:val="24"/>
        </w:rPr>
        <w:t>°</w:t>
      </w:r>
      <w:r w:rsidR="003E68D3" w:rsidRPr="005D53A7">
        <w:rPr>
          <w:rFonts w:ascii="Calibri" w:hAnsi="Calibri" w:cs="Calibri"/>
          <w:szCs w:val="24"/>
        </w:rPr>
        <w:t>C</w:t>
      </w:r>
      <w:r w:rsidRPr="005D53A7">
        <w:rPr>
          <w:rFonts w:ascii="Calibri" w:hAnsi="Calibri" w:cs="Calibri"/>
          <w:szCs w:val="24"/>
        </w:rPr>
        <w:t>.</w:t>
      </w:r>
      <w:r w:rsidR="00DE4E9C" w:rsidRPr="005D53A7">
        <w:rPr>
          <w:rFonts w:ascii="Calibri" w:hAnsi="Calibri" w:cs="Calibri"/>
          <w:szCs w:val="24"/>
        </w:rPr>
        <w:t xml:space="preserve"> </w:t>
      </w:r>
      <w:r w:rsidRPr="005D53A7">
        <w:rPr>
          <w:rFonts w:ascii="Calibri" w:hAnsi="Calibri" w:cs="Calibri"/>
          <w:szCs w:val="24"/>
        </w:rPr>
        <w:t xml:space="preserve">Discard </w:t>
      </w:r>
      <w:r w:rsidR="00863B60">
        <w:rPr>
          <w:rFonts w:ascii="Calibri" w:hAnsi="Calibri" w:cs="Calibri"/>
          <w:szCs w:val="24"/>
        </w:rPr>
        <w:t xml:space="preserve">the </w:t>
      </w:r>
      <w:r w:rsidRPr="005D53A7">
        <w:rPr>
          <w:rFonts w:ascii="Calibri" w:hAnsi="Calibri" w:cs="Calibri"/>
          <w:szCs w:val="24"/>
        </w:rPr>
        <w:t>supernatant and resuspend the sample in 1</w:t>
      </w:r>
      <w:r w:rsidR="0068236A" w:rsidRPr="005D53A7">
        <w:rPr>
          <w:rFonts w:ascii="Calibri" w:hAnsi="Calibri" w:cs="Calibri"/>
          <w:szCs w:val="24"/>
        </w:rPr>
        <w:t xml:space="preserve"> </w:t>
      </w:r>
      <w:r w:rsidR="008F345A">
        <w:rPr>
          <w:rFonts w:ascii="Calibri" w:hAnsi="Calibri" w:cs="Calibri"/>
          <w:szCs w:val="24"/>
        </w:rPr>
        <w:t>mL of</w:t>
      </w:r>
      <w:r w:rsidRPr="005D53A7">
        <w:rPr>
          <w:rFonts w:ascii="Calibri" w:hAnsi="Calibri" w:cs="Calibri"/>
          <w:szCs w:val="24"/>
        </w:rPr>
        <w:t xml:space="preserve"> buffer and single-color controls in 200</w:t>
      </w:r>
      <w:r w:rsidR="0068236A" w:rsidRPr="005D53A7">
        <w:rPr>
          <w:rFonts w:ascii="Calibri" w:hAnsi="Calibri" w:cs="Calibri"/>
          <w:szCs w:val="24"/>
        </w:rPr>
        <w:t xml:space="preserve"> </w:t>
      </w:r>
      <w:r w:rsidR="008F345A">
        <w:rPr>
          <w:rFonts w:ascii="Calibri" w:hAnsi="Calibri" w:cs="Calibri"/>
          <w:szCs w:val="24"/>
        </w:rPr>
        <w:t>µL of</w:t>
      </w:r>
      <w:r w:rsidRPr="005D53A7">
        <w:rPr>
          <w:rFonts w:ascii="Calibri" w:hAnsi="Calibri" w:cs="Calibri"/>
          <w:szCs w:val="24"/>
        </w:rPr>
        <w:t xml:space="preserve"> buffer.</w:t>
      </w:r>
    </w:p>
    <w:p w14:paraId="0CA0324A" w14:textId="77777777" w:rsidR="00681993" w:rsidRPr="005D53A7" w:rsidRDefault="00681993" w:rsidP="00681993">
      <w:pPr>
        <w:pStyle w:val="ListParagraph"/>
        <w:ind w:left="0"/>
        <w:jc w:val="both"/>
        <w:rPr>
          <w:rFonts w:ascii="Calibri" w:hAnsi="Calibri" w:cs="Calibri"/>
          <w:szCs w:val="24"/>
        </w:rPr>
      </w:pPr>
    </w:p>
    <w:p w14:paraId="1ED6F10F" w14:textId="0C9E68B4" w:rsidR="00B600A0" w:rsidRPr="0078328A" w:rsidRDefault="00B600A0" w:rsidP="005D53A7">
      <w:pPr>
        <w:pStyle w:val="ListParagraph"/>
        <w:numPr>
          <w:ilvl w:val="1"/>
          <w:numId w:val="14"/>
        </w:numPr>
        <w:jc w:val="both"/>
        <w:rPr>
          <w:rFonts w:ascii="Calibri" w:hAnsi="Calibri" w:cs="Calibri"/>
          <w:szCs w:val="24"/>
        </w:rPr>
      </w:pPr>
      <w:r w:rsidRPr="005D53A7">
        <w:rPr>
          <w:rFonts w:ascii="Calibri" w:hAnsi="Calibri" w:cs="Calibri"/>
          <w:szCs w:val="24"/>
        </w:rPr>
        <w:t xml:space="preserve">Transfer </w:t>
      </w:r>
      <w:r w:rsidR="00863B60">
        <w:rPr>
          <w:rFonts w:ascii="Calibri" w:hAnsi="Calibri" w:cs="Calibri"/>
          <w:szCs w:val="24"/>
        </w:rPr>
        <w:t xml:space="preserve">the </w:t>
      </w:r>
      <w:r w:rsidRPr="005D53A7">
        <w:rPr>
          <w:rFonts w:ascii="Calibri" w:hAnsi="Calibri" w:cs="Calibri"/>
          <w:szCs w:val="24"/>
        </w:rPr>
        <w:t xml:space="preserve">sample and </w:t>
      </w:r>
      <w:r w:rsidR="00863B60">
        <w:rPr>
          <w:rFonts w:ascii="Calibri" w:hAnsi="Calibri" w:cs="Calibri"/>
          <w:szCs w:val="24"/>
        </w:rPr>
        <w:t xml:space="preserve">the </w:t>
      </w:r>
      <w:r w:rsidRPr="005D53A7">
        <w:rPr>
          <w:rFonts w:ascii="Calibri" w:hAnsi="Calibri" w:cs="Calibri"/>
          <w:szCs w:val="24"/>
        </w:rPr>
        <w:t xml:space="preserve">single-color controls to </w:t>
      </w:r>
      <w:r w:rsidRPr="0078328A">
        <w:rPr>
          <w:rFonts w:ascii="Calibri" w:hAnsi="Calibri" w:cs="Calibri"/>
          <w:szCs w:val="24"/>
        </w:rPr>
        <w:t>5</w:t>
      </w:r>
      <w:r w:rsidR="0068236A" w:rsidRPr="0078328A">
        <w:rPr>
          <w:rFonts w:ascii="Calibri" w:hAnsi="Calibri" w:cs="Calibri"/>
          <w:szCs w:val="24"/>
        </w:rPr>
        <w:t xml:space="preserve"> </w:t>
      </w:r>
      <w:r w:rsidR="004314BE" w:rsidRPr="0078328A">
        <w:rPr>
          <w:rFonts w:ascii="Calibri" w:hAnsi="Calibri" w:cs="Calibri"/>
          <w:szCs w:val="24"/>
        </w:rPr>
        <w:t>mL</w:t>
      </w:r>
      <w:r w:rsidRPr="0078328A">
        <w:rPr>
          <w:rFonts w:ascii="Calibri" w:hAnsi="Calibri" w:cs="Calibri"/>
          <w:szCs w:val="24"/>
        </w:rPr>
        <w:t xml:space="preserve"> filter top FACS tubes</w:t>
      </w:r>
      <w:r w:rsidR="0078328A">
        <w:rPr>
          <w:rFonts w:ascii="Calibri" w:hAnsi="Calibri" w:cs="Calibri"/>
          <w:szCs w:val="24"/>
        </w:rPr>
        <w:t>.</w:t>
      </w:r>
    </w:p>
    <w:p w14:paraId="5A612EA9" w14:textId="77777777" w:rsidR="00681993" w:rsidRPr="0078328A" w:rsidRDefault="00681993" w:rsidP="00681993">
      <w:pPr>
        <w:pStyle w:val="ListParagraph"/>
        <w:ind w:left="0"/>
        <w:jc w:val="both"/>
        <w:rPr>
          <w:rFonts w:ascii="Calibri" w:hAnsi="Calibri" w:cs="Calibri"/>
          <w:szCs w:val="24"/>
        </w:rPr>
      </w:pPr>
    </w:p>
    <w:p w14:paraId="38AC7D62" w14:textId="34238B7F" w:rsidR="008F29CA" w:rsidRPr="005D53A7" w:rsidRDefault="00B600A0" w:rsidP="005D53A7">
      <w:pPr>
        <w:pStyle w:val="ListParagraph"/>
        <w:numPr>
          <w:ilvl w:val="1"/>
          <w:numId w:val="14"/>
        </w:numPr>
        <w:jc w:val="both"/>
        <w:rPr>
          <w:rFonts w:ascii="Calibri" w:hAnsi="Calibri" w:cs="Calibri"/>
          <w:szCs w:val="24"/>
        </w:rPr>
      </w:pPr>
      <w:r w:rsidRPr="0078328A">
        <w:rPr>
          <w:rFonts w:ascii="Calibri" w:hAnsi="Calibri" w:cs="Calibri"/>
          <w:szCs w:val="24"/>
        </w:rPr>
        <w:t xml:space="preserve">Take </w:t>
      </w:r>
      <w:r w:rsidR="00863B60">
        <w:rPr>
          <w:rFonts w:ascii="Calibri" w:hAnsi="Calibri" w:cs="Calibri"/>
          <w:szCs w:val="24"/>
        </w:rPr>
        <w:t xml:space="preserve">the </w:t>
      </w:r>
      <w:r w:rsidRPr="0078328A">
        <w:rPr>
          <w:rFonts w:ascii="Calibri" w:hAnsi="Calibri" w:cs="Calibri"/>
          <w:szCs w:val="24"/>
        </w:rPr>
        <w:t xml:space="preserve">tubes to </w:t>
      </w:r>
      <w:r w:rsidR="00397110" w:rsidRPr="0078328A">
        <w:rPr>
          <w:rFonts w:ascii="Calibri" w:hAnsi="Calibri" w:cs="Calibri"/>
          <w:szCs w:val="24"/>
        </w:rPr>
        <w:t xml:space="preserve">the </w:t>
      </w:r>
      <w:r w:rsidRPr="0078328A">
        <w:rPr>
          <w:rFonts w:ascii="Calibri" w:hAnsi="Calibri" w:cs="Calibri"/>
          <w:szCs w:val="24"/>
        </w:rPr>
        <w:t>sort</w:t>
      </w:r>
      <w:r w:rsidR="00397110" w:rsidRPr="0078328A">
        <w:rPr>
          <w:rFonts w:ascii="Calibri" w:hAnsi="Calibri" w:cs="Calibri"/>
          <w:szCs w:val="24"/>
        </w:rPr>
        <w:t>ing machine</w:t>
      </w:r>
      <w:r w:rsidR="0078328A">
        <w:rPr>
          <w:rFonts w:ascii="Calibri" w:hAnsi="Calibri" w:cs="Calibri"/>
          <w:szCs w:val="24"/>
        </w:rPr>
        <w:t xml:space="preserve"> </w:t>
      </w:r>
      <w:r w:rsidRPr="0078328A">
        <w:rPr>
          <w:rFonts w:ascii="Calibri" w:hAnsi="Calibri" w:cs="Calibri"/>
          <w:szCs w:val="24"/>
        </w:rPr>
        <w:t>and</w:t>
      </w:r>
      <w:r w:rsidRPr="005D53A7">
        <w:rPr>
          <w:rFonts w:ascii="Calibri" w:hAnsi="Calibri" w:cs="Calibri"/>
          <w:szCs w:val="24"/>
        </w:rPr>
        <w:t xml:space="preserve"> sort the HSC population</w:t>
      </w:r>
      <w:r w:rsidR="00B57134" w:rsidRPr="005D53A7">
        <w:rPr>
          <w:rFonts w:ascii="Calibri" w:hAnsi="Calibri" w:cs="Calibri"/>
          <w:szCs w:val="24"/>
        </w:rPr>
        <w:t xml:space="preserve"> </w:t>
      </w:r>
      <w:r w:rsidR="002B2308">
        <w:rPr>
          <w:rFonts w:ascii="Calibri" w:hAnsi="Calibri" w:cs="Calibri"/>
          <w:szCs w:val="24"/>
        </w:rPr>
        <w:t xml:space="preserve">(gating strategy in </w:t>
      </w:r>
      <w:r w:rsidR="00B70634" w:rsidRPr="00B70634">
        <w:rPr>
          <w:rFonts w:ascii="Calibri" w:hAnsi="Calibri" w:cs="Calibri"/>
          <w:b/>
          <w:szCs w:val="24"/>
        </w:rPr>
        <w:t>Figure 1</w:t>
      </w:r>
      <w:r w:rsidR="002B2308" w:rsidRPr="00045C71">
        <w:rPr>
          <w:rFonts w:ascii="Calibri" w:hAnsi="Calibri" w:cs="Calibri"/>
          <w:b/>
          <w:szCs w:val="24"/>
        </w:rPr>
        <w:t>A</w:t>
      </w:r>
      <w:r w:rsidR="002B2308">
        <w:rPr>
          <w:rFonts w:ascii="Calibri" w:hAnsi="Calibri" w:cs="Calibri"/>
          <w:szCs w:val="24"/>
        </w:rPr>
        <w:t xml:space="preserve">) </w:t>
      </w:r>
      <w:r w:rsidR="00B57134" w:rsidRPr="005D53A7">
        <w:rPr>
          <w:rFonts w:ascii="Calibri" w:hAnsi="Calibri" w:cs="Calibri"/>
          <w:szCs w:val="24"/>
        </w:rPr>
        <w:t>in 1.5</w:t>
      </w:r>
      <w:r w:rsidR="0068236A" w:rsidRPr="005D53A7">
        <w:rPr>
          <w:rFonts w:ascii="Calibri" w:hAnsi="Calibri" w:cs="Calibri"/>
          <w:szCs w:val="24"/>
        </w:rPr>
        <w:t xml:space="preserve"> </w:t>
      </w:r>
      <w:r w:rsidR="004314BE" w:rsidRPr="005D53A7">
        <w:rPr>
          <w:rFonts w:ascii="Calibri" w:hAnsi="Calibri" w:cs="Calibri"/>
          <w:szCs w:val="24"/>
        </w:rPr>
        <w:t>mL</w:t>
      </w:r>
      <w:r w:rsidR="00B57134" w:rsidRPr="005D53A7">
        <w:rPr>
          <w:rFonts w:ascii="Calibri" w:hAnsi="Calibri" w:cs="Calibri"/>
          <w:szCs w:val="24"/>
        </w:rPr>
        <w:t xml:space="preserve"> tubes</w:t>
      </w:r>
      <w:r w:rsidR="00397110" w:rsidRPr="005D53A7">
        <w:rPr>
          <w:rFonts w:ascii="Calibri" w:hAnsi="Calibri" w:cs="Calibri"/>
          <w:szCs w:val="24"/>
        </w:rPr>
        <w:t xml:space="preserve"> containing 400</w:t>
      </w:r>
      <w:r w:rsidR="0068236A" w:rsidRPr="005D53A7">
        <w:rPr>
          <w:rFonts w:ascii="Calibri" w:hAnsi="Calibri" w:cs="Calibri"/>
          <w:szCs w:val="24"/>
        </w:rPr>
        <w:t xml:space="preserve"> </w:t>
      </w:r>
      <w:r w:rsidR="00681993">
        <w:rPr>
          <w:rFonts w:ascii="Calibri" w:hAnsi="Calibri" w:cs="Calibri"/>
          <w:szCs w:val="24"/>
        </w:rPr>
        <w:t>µ</w:t>
      </w:r>
      <w:r w:rsidR="004314BE" w:rsidRPr="005D53A7">
        <w:rPr>
          <w:rFonts w:ascii="Calibri" w:hAnsi="Calibri" w:cs="Calibri"/>
          <w:szCs w:val="24"/>
        </w:rPr>
        <w:t>L</w:t>
      </w:r>
      <w:r w:rsidR="00397110" w:rsidRPr="005D53A7">
        <w:rPr>
          <w:rFonts w:ascii="Calibri" w:hAnsi="Calibri" w:cs="Calibri"/>
          <w:szCs w:val="24"/>
        </w:rPr>
        <w:t xml:space="preserve"> </w:t>
      </w:r>
      <w:r w:rsidR="00397110" w:rsidRPr="008E3DC0">
        <w:rPr>
          <w:rFonts w:ascii="Calibri" w:hAnsi="Calibri" w:cs="Calibri"/>
          <w:szCs w:val="24"/>
        </w:rPr>
        <w:t xml:space="preserve">of </w:t>
      </w:r>
      <w:r w:rsidR="008E3DC0">
        <w:rPr>
          <w:rFonts w:ascii="Calibri" w:hAnsi="Calibri" w:cs="Calibri"/>
          <w:szCs w:val="24"/>
        </w:rPr>
        <w:t>s</w:t>
      </w:r>
      <w:r w:rsidR="008E3DC0" w:rsidRPr="008E3DC0">
        <w:rPr>
          <w:rFonts w:ascii="Calibri" w:hAnsi="Calibri" w:cs="Calibri"/>
          <w:szCs w:val="24"/>
        </w:rPr>
        <w:t>tem cell expansion</w:t>
      </w:r>
      <w:r w:rsidR="008E3DC0" w:rsidRPr="0078328A">
        <w:rPr>
          <w:rFonts w:ascii="Calibri" w:hAnsi="Calibri"/>
        </w:rPr>
        <w:t xml:space="preserve"> </w:t>
      </w:r>
      <w:r w:rsidR="000D426D" w:rsidRPr="0078328A">
        <w:rPr>
          <w:rFonts w:ascii="Calibri" w:hAnsi="Calibri"/>
        </w:rPr>
        <w:t>medium</w:t>
      </w:r>
      <w:r w:rsidR="0078328A">
        <w:rPr>
          <w:rFonts w:ascii="Calibri" w:hAnsi="Calibri"/>
        </w:rPr>
        <w:t>.</w:t>
      </w:r>
    </w:p>
    <w:p w14:paraId="3882C7FE" w14:textId="77777777" w:rsidR="007A1C69" w:rsidRPr="005D53A7" w:rsidRDefault="007A1C69" w:rsidP="005D53A7">
      <w:pPr>
        <w:pStyle w:val="ListParagraph"/>
        <w:ind w:left="0"/>
        <w:jc w:val="both"/>
        <w:rPr>
          <w:rFonts w:ascii="Calibri" w:hAnsi="Calibri" w:cs="Calibri"/>
          <w:szCs w:val="24"/>
        </w:rPr>
      </w:pPr>
    </w:p>
    <w:p w14:paraId="57ABD12F" w14:textId="3B6BD1FC" w:rsidR="007A1C69" w:rsidRPr="0078328A" w:rsidRDefault="007A1C69" w:rsidP="005D53A7">
      <w:pPr>
        <w:pStyle w:val="ListParagraph"/>
        <w:numPr>
          <w:ilvl w:val="0"/>
          <w:numId w:val="14"/>
        </w:numPr>
        <w:jc w:val="both"/>
        <w:rPr>
          <w:rFonts w:ascii="Calibri" w:hAnsi="Calibri" w:cs="Calibri"/>
          <w:b/>
          <w:bCs/>
          <w:szCs w:val="24"/>
          <w:highlight w:val="yellow"/>
        </w:rPr>
      </w:pPr>
      <w:r w:rsidRPr="0078328A">
        <w:rPr>
          <w:rFonts w:ascii="Calibri" w:hAnsi="Calibri" w:cs="Calibri"/>
          <w:b/>
          <w:bCs/>
          <w:szCs w:val="24"/>
          <w:highlight w:val="yellow"/>
        </w:rPr>
        <w:t xml:space="preserve">Ex vivo culture of </w:t>
      </w:r>
      <w:r w:rsidR="00863B60" w:rsidRPr="0078328A">
        <w:rPr>
          <w:rFonts w:ascii="Calibri" w:hAnsi="Calibri" w:cs="Calibri"/>
          <w:b/>
          <w:bCs/>
          <w:szCs w:val="24"/>
          <w:highlight w:val="yellow"/>
        </w:rPr>
        <w:t xml:space="preserve">hematopoietic </w:t>
      </w:r>
      <w:r w:rsidRPr="0078328A">
        <w:rPr>
          <w:rFonts w:ascii="Calibri" w:hAnsi="Calibri" w:cs="Calibri"/>
          <w:b/>
          <w:bCs/>
          <w:szCs w:val="24"/>
          <w:highlight w:val="yellow"/>
        </w:rPr>
        <w:t>stem cells</w:t>
      </w:r>
    </w:p>
    <w:p w14:paraId="6A379FD0" w14:textId="77777777" w:rsidR="00681993" w:rsidRPr="005D53A7" w:rsidRDefault="00681993" w:rsidP="00681993">
      <w:pPr>
        <w:pStyle w:val="ListParagraph"/>
        <w:ind w:left="0"/>
        <w:jc w:val="both"/>
        <w:rPr>
          <w:rFonts w:ascii="Calibri" w:hAnsi="Calibri" w:cs="Calibri"/>
          <w:b/>
          <w:bCs/>
          <w:szCs w:val="24"/>
        </w:rPr>
      </w:pPr>
    </w:p>
    <w:p w14:paraId="18B96D2B" w14:textId="2D2C912C" w:rsidR="00624150" w:rsidRDefault="00624150" w:rsidP="005D53A7">
      <w:pPr>
        <w:pStyle w:val="ListParagraph"/>
        <w:numPr>
          <w:ilvl w:val="1"/>
          <w:numId w:val="14"/>
        </w:numPr>
        <w:jc w:val="both"/>
        <w:rPr>
          <w:rFonts w:ascii="Calibri" w:hAnsi="Calibri" w:cs="Calibri"/>
          <w:szCs w:val="24"/>
        </w:rPr>
      </w:pPr>
      <w:r w:rsidRPr="0078328A">
        <w:rPr>
          <w:rFonts w:ascii="Calibri" w:hAnsi="Calibri" w:cs="Calibri"/>
          <w:szCs w:val="24"/>
          <w:highlight w:val="yellow"/>
        </w:rPr>
        <w:t>Collect tubes containing sorted cells</w:t>
      </w:r>
      <w:r w:rsidR="0078328A">
        <w:rPr>
          <w:rFonts w:ascii="Calibri" w:hAnsi="Calibri" w:cs="Calibri"/>
          <w:szCs w:val="24"/>
          <w:highlight w:val="yellow"/>
        </w:rPr>
        <w:t xml:space="preserve"> </w:t>
      </w:r>
      <w:r w:rsidR="0078328A">
        <w:rPr>
          <w:rFonts w:ascii="Calibri" w:hAnsi="Calibri"/>
          <w:highlight w:val="yellow"/>
        </w:rPr>
        <w:t>(see section 1 for cell extraction)</w:t>
      </w:r>
      <w:r w:rsidRPr="0078328A">
        <w:rPr>
          <w:rFonts w:ascii="Calibri" w:hAnsi="Calibri" w:cs="Calibri"/>
          <w:szCs w:val="24"/>
          <w:highlight w:val="yellow"/>
        </w:rPr>
        <w:t>. Centrifuge the tubes at 300</w:t>
      </w:r>
      <w:r w:rsidR="00872462" w:rsidRPr="00872462">
        <w:rPr>
          <w:rFonts w:ascii="Calibri" w:hAnsi="Calibri" w:cs="Calibri"/>
          <w:iCs/>
          <w:szCs w:val="24"/>
          <w:highlight w:val="yellow"/>
        </w:rPr>
        <w:t xml:space="preserve"> x </w:t>
      </w:r>
      <w:r w:rsidR="00872462" w:rsidRPr="00872462">
        <w:rPr>
          <w:rFonts w:ascii="Calibri" w:hAnsi="Calibri" w:cs="Calibri"/>
          <w:i/>
          <w:iCs/>
          <w:szCs w:val="24"/>
          <w:highlight w:val="yellow"/>
        </w:rPr>
        <w:t>g</w:t>
      </w:r>
      <w:r w:rsidRPr="0078328A">
        <w:rPr>
          <w:rFonts w:ascii="Calibri" w:hAnsi="Calibri" w:cs="Calibri"/>
          <w:szCs w:val="24"/>
          <w:highlight w:val="yellow"/>
        </w:rPr>
        <w:t xml:space="preserve"> for 5 </w:t>
      </w:r>
      <w:r w:rsidR="00DA08A5" w:rsidRPr="0078328A">
        <w:rPr>
          <w:rFonts w:ascii="Calibri" w:hAnsi="Calibri" w:cs="Calibri"/>
          <w:szCs w:val="24"/>
          <w:highlight w:val="yellow"/>
        </w:rPr>
        <w:t>min</w:t>
      </w:r>
      <w:r w:rsidR="003E68D3" w:rsidRPr="0078328A">
        <w:rPr>
          <w:rFonts w:ascii="Calibri" w:hAnsi="Calibri" w:cs="Calibri"/>
          <w:szCs w:val="24"/>
          <w:highlight w:val="yellow"/>
        </w:rPr>
        <w:t xml:space="preserve"> at 4 </w:t>
      </w:r>
      <w:r w:rsidR="00863B60">
        <w:rPr>
          <w:rFonts w:ascii="Calibri" w:hAnsi="Calibri" w:cs="Calibri"/>
          <w:szCs w:val="24"/>
          <w:highlight w:val="yellow"/>
        </w:rPr>
        <w:t>°</w:t>
      </w:r>
      <w:r w:rsidR="003E68D3" w:rsidRPr="0078328A">
        <w:rPr>
          <w:rFonts w:ascii="Calibri" w:hAnsi="Calibri" w:cs="Calibri"/>
          <w:szCs w:val="24"/>
          <w:highlight w:val="yellow"/>
        </w:rPr>
        <w:t>C</w:t>
      </w:r>
      <w:r w:rsidRPr="0078328A">
        <w:rPr>
          <w:rFonts w:ascii="Calibri" w:hAnsi="Calibri" w:cs="Calibri"/>
          <w:szCs w:val="24"/>
          <w:highlight w:val="yellow"/>
        </w:rPr>
        <w:t>. Gently remove most of the supernatant without dislodging the pellet and leave 50</w:t>
      </w:r>
      <w:r w:rsidR="00863B60" w:rsidRPr="00286029">
        <w:rPr>
          <w:rFonts w:ascii="Calibri" w:hAnsi="Calibri" w:cs="Calibri"/>
          <w:szCs w:val="24"/>
          <w:highlight w:val="yellow"/>
        </w:rPr>
        <w:t>–</w:t>
      </w:r>
      <w:r w:rsidRPr="0078328A">
        <w:rPr>
          <w:rFonts w:ascii="Calibri" w:hAnsi="Calibri" w:cs="Calibri"/>
          <w:szCs w:val="24"/>
          <w:highlight w:val="yellow"/>
        </w:rPr>
        <w:t xml:space="preserve">80 </w:t>
      </w:r>
      <w:r w:rsidR="00681993" w:rsidRPr="0078328A">
        <w:rPr>
          <w:rFonts w:ascii="Calibri" w:hAnsi="Calibri" w:cs="Calibri"/>
          <w:szCs w:val="24"/>
          <w:highlight w:val="yellow"/>
        </w:rPr>
        <w:t>µ</w:t>
      </w:r>
      <w:r w:rsidR="004314BE" w:rsidRPr="0078328A">
        <w:rPr>
          <w:rFonts w:ascii="Calibri" w:hAnsi="Calibri" w:cs="Calibri"/>
          <w:szCs w:val="24"/>
          <w:highlight w:val="yellow"/>
        </w:rPr>
        <w:t>L</w:t>
      </w:r>
      <w:r w:rsidRPr="0078328A">
        <w:rPr>
          <w:rFonts w:ascii="Calibri" w:hAnsi="Calibri" w:cs="Calibri"/>
          <w:szCs w:val="24"/>
          <w:highlight w:val="yellow"/>
        </w:rPr>
        <w:t xml:space="preserve"> on top of the cell pellet.</w:t>
      </w:r>
      <w:r w:rsidRPr="005D53A7">
        <w:rPr>
          <w:rFonts w:ascii="Calibri" w:hAnsi="Calibri" w:cs="Calibri"/>
          <w:szCs w:val="24"/>
        </w:rPr>
        <w:t xml:space="preserve"> This minimizes cell loss.</w:t>
      </w:r>
    </w:p>
    <w:p w14:paraId="548DB0AC" w14:textId="77777777" w:rsidR="00681993" w:rsidRPr="005D53A7" w:rsidRDefault="00681993" w:rsidP="00681993">
      <w:pPr>
        <w:pStyle w:val="ListParagraph"/>
        <w:ind w:left="0"/>
        <w:jc w:val="both"/>
        <w:rPr>
          <w:rFonts w:ascii="Calibri" w:hAnsi="Calibri" w:cs="Calibri"/>
          <w:szCs w:val="24"/>
        </w:rPr>
      </w:pPr>
    </w:p>
    <w:p w14:paraId="1C9DD853" w14:textId="5B888026" w:rsidR="00624150" w:rsidRPr="0078328A" w:rsidRDefault="00624150" w:rsidP="005D53A7">
      <w:pPr>
        <w:pStyle w:val="ListParagraph"/>
        <w:numPr>
          <w:ilvl w:val="1"/>
          <w:numId w:val="14"/>
        </w:numPr>
        <w:jc w:val="both"/>
        <w:rPr>
          <w:rFonts w:ascii="Calibri" w:hAnsi="Calibri"/>
          <w:highlight w:val="yellow"/>
        </w:rPr>
      </w:pPr>
      <w:r w:rsidRPr="0078328A">
        <w:rPr>
          <w:rFonts w:ascii="Calibri" w:hAnsi="Calibri"/>
          <w:highlight w:val="yellow"/>
        </w:rPr>
        <w:t>Resuspend the cell pellet</w:t>
      </w:r>
      <w:r w:rsidR="0078328A">
        <w:rPr>
          <w:rFonts w:ascii="Calibri" w:hAnsi="Calibri"/>
          <w:highlight w:val="yellow"/>
        </w:rPr>
        <w:t xml:space="preserve"> </w:t>
      </w:r>
      <w:r w:rsidRPr="0078328A">
        <w:rPr>
          <w:rFonts w:ascii="Calibri" w:hAnsi="Calibri"/>
          <w:highlight w:val="yellow"/>
        </w:rPr>
        <w:t xml:space="preserve">in </w:t>
      </w:r>
      <w:r w:rsidR="008E3DC0" w:rsidRPr="00597AAE">
        <w:rPr>
          <w:rFonts w:ascii="Calibri" w:hAnsi="Calibri" w:cs="Calibri"/>
          <w:szCs w:val="24"/>
          <w:highlight w:val="yellow"/>
        </w:rPr>
        <w:t xml:space="preserve">stem cell expansion </w:t>
      </w:r>
      <w:r w:rsidR="000D426D">
        <w:rPr>
          <w:rFonts w:ascii="Calibri" w:hAnsi="Calibri" w:cs="Calibri"/>
          <w:szCs w:val="24"/>
          <w:highlight w:val="yellow"/>
        </w:rPr>
        <w:t>medium</w:t>
      </w:r>
      <w:r w:rsidRPr="0078328A">
        <w:rPr>
          <w:rFonts w:ascii="Calibri" w:hAnsi="Calibri"/>
          <w:highlight w:val="yellow"/>
        </w:rPr>
        <w:t xml:space="preserve"> to a final volume dependent on the number of conditions to be tested (count for 100 </w:t>
      </w:r>
      <w:r w:rsidR="00681993" w:rsidRPr="0078328A">
        <w:rPr>
          <w:rFonts w:ascii="Calibri" w:hAnsi="Calibri"/>
          <w:highlight w:val="yellow"/>
        </w:rPr>
        <w:t>µ</w:t>
      </w:r>
      <w:r w:rsidR="004314BE" w:rsidRPr="0078328A">
        <w:rPr>
          <w:rFonts w:ascii="Calibri" w:hAnsi="Calibri"/>
          <w:highlight w:val="yellow"/>
        </w:rPr>
        <w:t>L</w:t>
      </w:r>
      <w:r w:rsidRPr="0078328A">
        <w:rPr>
          <w:rFonts w:ascii="Calibri" w:hAnsi="Calibri"/>
          <w:highlight w:val="yellow"/>
        </w:rPr>
        <w:t xml:space="preserve"> per well/condition of culture).</w:t>
      </w:r>
    </w:p>
    <w:p w14:paraId="15A1652D" w14:textId="77777777" w:rsidR="00681993" w:rsidRPr="005D53A7" w:rsidRDefault="00681993" w:rsidP="00681993">
      <w:pPr>
        <w:pStyle w:val="ListParagraph"/>
        <w:ind w:left="0"/>
        <w:jc w:val="both"/>
        <w:rPr>
          <w:rFonts w:ascii="Calibri" w:hAnsi="Calibri" w:cs="Calibri"/>
          <w:szCs w:val="24"/>
        </w:rPr>
      </w:pPr>
    </w:p>
    <w:p w14:paraId="6E80A97D" w14:textId="18276CA7" w:rsidR="00624150" w:rsidRDefault="00624150" w:rsidP="005D53A7">
      <w:pPr>
        <w:pStyle w:val="ListParagraph"/>
        <w:numPr>
          <w:ilvl w:val="1"/>
          <w:numId w:val="14"/>
        </w:numPr>
        <w:jc w:val="both"/>
        <w:rPr>
          <w:rFonts w:ascii="Calibri" w:hAnsi="Calibri" w:cs="Calibri"/>
          <w:szCs w:val="24"/>
        </w:rPr>
      </w:pPr>
      <w:r w:rsidRPr="005D53A7">
        <w:rPr>
          <w:rFonts w:ascii="Calibri" w:hAnsi="Calibri" w:cs="Calibri"/>
          <w:szCs w:val="24"/>
        </w:rPr>
        <w:t xml:space="preserve">Prepare a 2x culture </w:t>
      </w:r>
      <w:r w:rsidR="000D426D">
        <w:rPr>
          <w:rFonts w:ascii="Calibri" w:hAnsi="Calibri" w:cs="Calibri"/>
          <w:szCs w:val="24"/>
        </w:rPr>
        <w:t>medium</w:t>
      </w:r>
      <w:r w:rsidRPr="005D53A7">
        <w:rPr>
          <w:rFonts w:ascii="Calibri" w:hAnsi="Calibri" w:cs="Calibri"/>
          <w:szCs w:val="24"/>
        </w:rPr>
        <w:t xml:space="preserve"> </w:t>
      </w:r>
      <w:r w:rsidRPr="008E3DC0">
        <w:rPr>
          <w:rFonts w:ascii="Calibri" w:hAnsi="Calibri" w:cs="Calibri"/>
          <w:szCs w:val="24"/>
        </w:rPr>
        <w:t xml:space="preserve">containing </w:t>
      </w:r>
      <w:r w:rsidR="008E3DC0">
        <w:rPr>
          <w:rFonts w:ascii="Calibri" w:hAnsi="Calibri" w:cs="Calibri"/>
          <w:szCs w:val="24"/>
        </w:rPr>
        <w:t>s</w:t>
      </w:r>
      <w:r w:rsidR="008E3DC0" w:rsidRPr="008E3DC0">
        <w:rPr>
          <w:rFonts w:ascii="Calibri" w:hAnsi="Calibri" w:cs="Calibri"/>
          <w:szCs w:val="24"/>
        </w:rPr>
        <w:t xml:space="preserve">tem cell expansion </w:t>
      </w:r>
      <w:r w:rsidR="000D426D">
        <w:rPr>
          <w:rFonts w:ascii="Calibri" w:hAnsi="Calibri" w:cs="Calibri"/>
          <w:szCs w:val="24"/>
        </w:rPr>
        <w:t>medium</w:t>
      </w:r>
      <w:r w:rsidRPr="008E3DC0">
        <w:rPr>
          <w:rFonts w:ascii="Calibri" w:hAnsi="Calibri" w:cs="Calibri"/>
          <w:szCs w:val="24"/>
        </w:rPr>
        <w:t>,</w:t>
      </w:r>
      <w:r w:rsidRPr="005D53A7">
        <w:rPr>
          <w:rFonts w:ascii="Calibri" w:hAnsi="Calibri" w:cs="Calibri"/>
          <w:szCs w:val="24"/>
        </w:rPr>
        <w:t xml:space="preserve"> </w:t>
      </w:r>
      <w:r w:rsidR="00E36163" w:rsidRPr="005D53A7">
        <w:rPr>
          <w:rFonts w:ascii="Calibri" w:hAnsi="Calibri" w:cs="Calibri"/>
          <w:szCs w:val="24"/>
        </w:rPr>
        <w:t xml:space="preserve">stem </w:t>
      </w:r>
      <w:r w:rsidRPr="005D53A7">
        <w:rPr>
          <w:rFonts w:ascii="Calibri" w:hAnsi="Calibri" w:cs="Calibri"/>
          <w:szCs w:val="24"/>
        </w:rPr>
        <w:t>cell factor (200 ng/</w:t>
      </w:r>
      <w:r w:rsidR="004314BE" w:rsidRPr="005D53A7">
        <w:rPr>
          <w:rFonts w:ascii="Calibri" w:hAnsi="Calibri" w:cs="Calibri"/>
          <w:szCs w:val="24"/>
        </w:rPr>
        <w:t>mL</w:t>
      </w:r>
      <w:r w:rsidRPr="005D53A7">
        <w:rPr>
          <w:rFonts w:ascii="Calibri" w:hAnsi="Calibri" w:cs="Calibri"/>
          <w:szCs w:val="24"/>
        </w:rPr>
        <w:t>), FLT3 ligand (4 ng/</w:t>
      </w:r>
      <w:r w:rsidR="004314BE" w:rsidRPr="005D53A7">
        <w:rPr>
          <w:rFonts w:ascii="Calibri" w:hAnsi="Calibri" w:cs="Calibri"/>
          <w:szCs w:val="24"/>
        </w:rPr>
        <w:t>mL</w:t>
      </w:r>
      <w:r w:rsidRPr="005D53A7">
        <w:rPr>
          <w:rFonts w:ascii="Calibri" w:hAnsi="Calibri" w:cs="Calibri"/>
          <w:szCs w:val="24"/>
        </w:rPr>
        <w:t>) and pen-strep antibiotics (1%)</w:t>
      </w:r>
      <w:r w:rsidR="00BE2563" w:rsidRPr="005D53A7">
        <w:rPr>
          <w:rFonts w:ascii="Calibri" w:hAnsi="Calibri" w:cs="Calibri"/>
          <w:szCs w:val="24"/>
        </w:rPr>
        <w:t xml:space="preserve"> (</w:t>
      </w:r>
      <w:r w:rsidRPr="005D53A7">
        <w:rPr>
          <w:rFonts w:ascii="Calibri" w:hAnsi="Calibri" w:cs="Calibri"/>
          <w:szCs w:val="24"/>
        </w:rPr>
        <w:t xml:space="preserve">2x </w:t>
      </w:r>
      <w:r w:rsidR="00365A5D" w:rsidRPr="005D53A7">
        <w:rPr>
          <w:rFonts w:ascii="Calibri" w:hAnsi="Calibri" w:cs="Calibri"/>
          <w:szCs w:val="24"/>
        </w:rPr>
        <w:t xml:space="preserve">basal </w:t>
      </w:r>
      <w:r w:rsidR="000D426D">
        <w:rPr>
          <w:rFonts w:ascii="Calibri" w:hAnsi="Calibri" w:cs="Calibri"/>
          <w:szCs w:val="24"/>
        </w:rPr>
        <w:t>medium</w:t>
      </w:r>
      <w:r w:rsidR="00E36163">
        <w:rPr>
          <w:rFonts w:ascii="Calibri" w:hAnsi="Calibri" w:cs="Calibri"/>
          <w:szCs w:val="24"/>
        </w:rPr>
        <w:t>;</w:t>
      </w:r>
      <w:r w:rsidR="00E36163" w:rsidRPr="00E36163">
        <w:rPr>
          <w:rFonts w:ascii="Calibri" w:hAnsi="Calibri"/>
          <w:b/>
          <w:bCs/>
        </w:rPr>
        <w:t xml:space="preserve"> </w:t>
      </w:r>
      <w:r w:rsidR="00E36163" w:rsidRPr="0078328A">
        <w:rPr>
          <w:rFonts w:ascii="Calibri" w:hAnsi="Calibri"/>
          <w:b/>
          <w:bCs/>
        </w:rPr>
        <w:t>Table of Materials</w:t>
      </w:r>
      <w:r w:rsidR="00E36163" w:rsidRPr="00F11C32">
        <w:rPr>
          <w:rFonts w:ascii="Calibri" w:hAnsi="Calibri" w:cs="Calibri"/>
          <w:szCs w:val="24"/>
        </w:rPr>
        <w:t>).</w:t>
      </w:r>
    </w:p>
    <w:p w14:paraId="1B6D6497" w14:textId="77777777" w:rsidR="00681993" w:rsidRPr="005D53A7" w:rsidRDefault="00681993" w:rsidP="00681993">
      <w:pPr>
        <w:pStyle w:val="ListParagraph"/>
        <w:ind w:left="0"/>
        <w:jc w:val="both"/>
        <w:rPr>
          <w:rFonts w:ascii="Calibri" w:hAnsi="Calibri" w:cs="Calibri"/>
          <w:szCs w:val="24"/>
        </w:rPr>
      </w:pPr>
    </w:p>
    <w:p w14:paraId="58F3093C" w14:textId="3B7FF3BF" w:rsidR="00624150" w:rsidRPr="0078328A" w:rsidRDefault="00624150" w:rsidP="005D53A7">
      <w:pPr>
        <w:pStyle w:val="ListParagraph"/>
        <w:numPr>
          <w:ilvl w:val="1"/>
          <w:numId w:val="14"/>
        </w:numPr>
        <w:jc w:val="both"/>
        <w:rPr>
          <w:rFonts w:ascii="Calibri" w:hAnsi="Calibri"/>
          <w:highlight w:val="yellow"/>
        </w:rPr>
      </w:pPr>
      <w:r w:rsidRPr="0078328A">
        <w:rPr>
          <w:rFonts w:ascii="Calibri" w:hAnsi="Calibri"/>
          <w:highlight w:val="yellow"/>
        </w:rPr>
        <w:t xml:space="preserve">Take a sterile tissue culture treated 96 </w:t>
      </w:r>
      <w:r w:rsidR="00BE2563" w:rsidRPr="0078328A">
        <w:rPr>
          <w:rFonts w:ascii="Calibri" w:hAnsi="Calibri"/>
          <w:highlight w:val="yellow"/>
        </w:rPr>
        <w:t>U-</w:t>
      </w:r>
      <w:r w:rsidRPr="0078328A">
        <w:rPr>
          <w:rFonts w:ascii="Calibri" w:hAnsi="Calibri"/>
          <w:highlight w:val="yellow"/>
        </w:rPr>
        <w:t xml:space="preserve">bottom well plate </w:t>
      </w:r>
      <w:r w:rsidR="00BE2563" w:rsidRPr="0078328A">
        <w:rPr>
          <w:rFonts w:ascii="Calibri" w:hAnsi="Calibri"/>
          <w:highlight w:val="yellow"/>
        </w:rPr>
        <w:t>(</w:t>
      </w:r>
      <w:r w:rsidR="0078328A" w:rsidRPr="0078328A">
        <w:rPr>
          <w:rFonts w:ascii="Calibri" w:hAnsi="Calibri"/>
          <w:b/>
          <w:bCs/>
          <w:highlight w:val="yellow"/>
        </w:rPr>
        <w:t>Table of Materials</w:t>
      </w:r>
      <w:r w:rsidR="00BE2563" w:rsidRPr="0078328A">
        <w:rPr>
          <w:rFonts w:ascii="Calibri" w:hAnsi="Calibri"/>
          <w:highlight w:val="yellow"/>
        </w:rPr>
        <w:t>)</w:t>
      </w:r>
      <w:r w:rsidR="00284124" w:rsidRPr="0078328A">
        <w:rPr>
          <w:rFonts w:ascii="Calibri" w:hAnsi="Calibri"/>
          <w:highlight w:val="yellow"/>
        </w:rPr>
        <w:t xml:space="preserve"> </w:t>
      </w:r>
      <w:r w:rsidRPr="0078328A">
        <w:rPr>
          <w:rFonts w:ascii="Calibri" w:hAnsi="Calibri"/>
          <w:highlight w:val="yellow"/>
        </w:rPr>
        <w:t xml:space="preserve">and identify the wells where </w:t>
      </w:r>
      <w:r w:rsidR="00365A5D">
        <w:rPr>
          <w:rFonts w:ascii="Calibri" w:hAnsi="Calibri"/>
          <w:highlight w:val="yellow"/>
        </w:rPr>
        <w:t xml:space="preserve">the </w:t>
      </w:r>
      <w:r w:rsidRPr="0078328A">
        <w:rPr>
          <w:rFonts w:ascii="Calibri" w:hAnsi="Calibri"/>
          <w:highlight w:val="yellow"/>
        </w:rPr>
        <w:t>cells will be cultured</w:t>
      </w:r>
      <w:r w:rsidR="002B2308" w:rsidRPr="00597AAE">
        <w:rPr>
          <w:rFonts w:ascii="Calibri" w:hAnsi="Calibri" w:cs="Calibri"/>
          <w:szCs w:val="24"/>
          <w:highlight w:val="yellow"/>
        </w:rPr>
        <w:t xml:space="preserve"> (plate design in </w:t>
      </w:r>
      <w:r w:rsidR="00B70634" w:rsidRPr="00B70634">
        <w:rPr>
          <w:rFonts w:ascii="Calibri" w:hAnsi="Calibri" w:cs="Calibri"/>
          <w:b/>
          <w:szCs w:val="24"/>
          <w:highlight w:val="yellow"/>
        </w:rPr>
        <w:t>Figure 1</w:t>
      </w:r>
      <w:r w:rsidR="002B2308" w:rsidRPr="00045C71">
        <w:rPr>
          <w:rFonts w:ascii="Calibri" w:hAnsi="Calibri" w:cs="Calibri"/>
          <w:b/>
          <w:szCs w:val="24"/>
          <w:highlight w:val="yellow"/>
        </w:rPr>
        <w:t>B</w:t>
      </w:r>
      <w:r w:rsidR="002B2308" w:rsidRPr="00597AAE">
        <w:rPr>
          <w:rFonts w:ascii="Calibri" w:hAnsi="Calibri" w:cs="Calibri"/>
          <w:szCs w:val="24"/>
          <w:highlight w:val="yellow"/>
        </w:rPr>
        <w:t>)</w:t>
      </w:r>
      <w:r w:rsidRPr="00597AAE">
        <w:rPr>
          <w:rFonts w:ascii="Calibri" w:hAnsi="Calibri" w:cs="Calibri"/>
          <w:szCs w:val="24"/>
          <w:highlight w:val="yellow"/>
        </w:rPr>
        <w:t>.</w:t>
      </w:r>
    </w:p>
    <w:p w14:paraId="3FA1A8C3" w14:textId="77777777" w:rsidR="00681993" w:rsidRPr="005D53A7" w:rsidRDefault="00681993" w:rsidP="00681993">
      <w:pPr>
        <w:pStyle w:val="ListParagraph"/>
        <w:ind w:left="0"/>
        <w:jc w:val="both"/>
        <w:rPr>
          <w:rFonts w:ascii="Calibri" w:hAnsi="Calibri" w:cs="Calibri"/>
          <w:szCs w:val="24"/>
        </w:rPr>
      </w:pPr>
    </w:p>
    <w:p w14:paraId="2762F3B7" w14:textId="116D60ED" w:rsidR="00681993" w:rsidRDefault="00624150" w:rsidP="005D53A7">
      <w:pPr>
        <w:jc w:val="both"/>
        <w:rPr>
          <w:rFonts w:ascii="Calibri" w:hAnsi="Calibri" w:cs="Calibri"/>
          <w:szCs w:val="24"/>
        </w:rPr>
      </w:pPr>
      <w:r w:rsidRPr="005D53A7">
        <w:rPr>
          <w:rFonts w:ascii="Calibri" w:hAnsi="Calibri" w:cs="Calibri"/>
          <w:szCs w:val="24"/>
        </w:rPr>
        <w:t>NOTE: Users are advised to avoid marginal wells</w:t>
      </w:r>
      <w:r w:rsidR="00365A5D">
        <w:rPr>
          <w:rFonts w:ascii="Calibri" w:hAnsi="Calibri" w:cs="Calibri"/>
          <w:szCs w:val="24"/>
        </w:rPr>
        <w:t>,</w:t>
      </w:r>
      <w:r w:rsidRPr="005D53A7">
        <w:rPr>
          <w:rFonts w:ascii="Calibri" w:hAnsi="Calibri" w:cs="Calibri"/>
          <w:szCs w:val="24"/>
        </w:rPr>
        <w:t xml:space="preserve"> as they are more susceptible to evaporation.</w:t>
      </w:r>
    </w:p>
    <w:p w14:paraId="1779280C" w14:textId="77777777" w:rsidR="00681993" w:rsidRPr="005D53A7" w:rsidRDefault="00681993" w:rsidP="005D53A7">
      <w:pPr>
        <w:jc w:val="both"/>
        <w:rPr>
          <w:rFonts w:ascii="Calibri" w:hAnsi="Calibri" w:cs="Calibri"/>
          <w:szCs w:val="24"/>
        </w:rPr>
      </w:pPr>
    </w:p>
    <w:p w14:paraId="2C21E321" w14:textId="2AEEEBD6" w:rsidR="00624150" w:rsidRPr="0078328A" w:rsidRDefault="00624150" w:rsidP="005D53A7">
      <w:pPr>
        <w:pStyle w:val="ListParagraph"/>
        <w:numPr>
          <w:ilvl w:val="1"/>
          <w:numId w:val="14"/>
        </w:numPr>
        <w:jc w:val="both"/>
        <w:rPr>
          <w:rFonts w:ascii="Calibri" w:hAnsi="Calibri"/>
          <w:highlight w:val="yellow"/>
        </w:rPr>
      </w:pPr>
      <w:r w:rsidRPr="0078328A">
        <w:rPr>
          <w:rFonts w:ascii="Calibri" w:hAnsi="Calibri"/>
          <w:highlight w:val="yellow"/>
        </w:rPr>
        <w:lastRenderedPageBreak/>
        <w:t xml:space="preserve">Put 100 </w:t>
      </w:r>
      <w:r w:rsidR="00681993" w:rsidRPr="0078328A">
        <w:rPr>
          <w:rFonts w:ascii="Calibri" w:hAnsi="Calibri"/>
          <w:highlight w:val="yellow"/>
        </w:rPr>
        <w:t>µ</w:t>
      </w:r>
      <w:r w:rsidR="004314BE" w:rsidRPr="0078328A">
        <w:rPr>
          <w:rFonts w:ascii="Calibri" w:hAnsi="Calibri"/>
          <w:highlight w:val="yellow"/>
        </w:rPr>
        <w:t>L</w:t>
      </w:r>
      <w:r w:rsidRPr="0078328A">
        <w:rPr>
          <w:rFonts w:ascii="Calibri" w:hAnsi="Calibri"/>
          <w:highlight w:val="yellow"/>
        </w:rPr>
        <w:t xml:space="preserve"> of 2x basal </w:t>
      </w:r>
      <w:r w:rsidR="000D426D">
        <w:rPr>
          <w:rFonts w:ascii="Calibri" w:hAnsi="Calibri" w:cs="Calibri"/>
          <w:szCs w:val="24"/>
          <w:highlight w:val="yellow"/>
        </w:rPr>
        <w:t>medium</w:t>
      </w:r>
      <w:r w:rsidRPr="0078328A">
        <w:rPr>
          <w:rFonts w:ascii="Calibri" w:hAnsi="Calibri"/>
          <w:highlight w:val="yellow"/>
        </w:rPr>
        <w:t xml:space="preserve"> previously prepared in step 2.3 in these wells.</w:t>
      </w:r>
      <w:r w:rsidR="00DB752E" w:rsidRPr="0078328A">
        <w:rPr>
          <w:rFonts w:ascii="Calibri" w:hAnsi="Calibri"/>
          <w:highlight w:val="yellow"/>
        </w:rPr>
        <w:t xml:space="preserve"> In the NR marked well add 2 </w:t>
      </w:r>
      <w:r w:rsidR="00681993" w:rsidRPr="0078328A">
        <w:rPr>
          <w:rFonts w:ascii="Calibri" w:hAnsi="Calibri"/>
          <w:highlight w:val="yellow"/>
        </w:rPr>
        <w:t>µ</w:t>
      </w:r>
      <w:r w:rsidR="00DB752E" w:rsidRPr="0078328A">
        <w:rPr>
          <w:rFonts w:ascii="Calibri" w:hAnsi="Calibri"/>
          <w:highlight w:val="yellow"/>
        </w:rPr>
        <w:t>L of a 100x NR solution</w:t>
      </w:r>
      <w:r w:rsidR="00BE2563" w:rsidRPr="0078328A">
        <w:rPr>
          <w:rFonts w:ascii="Calibri" w:hAnsi="Calibri"/>
          <w:highlight w:val="yellow"/>
        </w:rPr>
        <w:t xml:space="preserve"> (</w:t>
      </w:r>
      <w:r w:rsidR="0078328A" w:rsidRPr="0078328A">
        <w:rPr>
          <w:rFonts w:ascii="Calibri" w:hAnsi="Calibri"/>
          <w:b/>
          <w:bCs/>
          <w:highlight w:val="yellow"/>
        </w:rPr>
        <w:t>Table of Materials</w:t>
      </w:r>
      <w:r w:rsidR="00BE2563" w:rsidRPr="0078328A">
        <w:rPr>
          <w:rFonts w:ascii="Calibri" w:hAnsi="Calibri"/>
          <w:highlight w:val="yellow"/>
        </w:rPr>
        <w:t>)</w:t>
      </w:r>
      <w:r w:rsidR="00DB752E" w:rsidRPr="0078328A">
        <w:rPr>
          <w:rFonts w:ascii="Calibri" w:hAnsi="Calibri"/>
          <w:highlight w:val="yellow"/>
        </w:rPr>
        <w:t>. Replenish NR every 24</w:t>
      </w:r>
      <w:r w:rsidR="00A22128" w:rsidRPr="0078328A">
        <w:rPr>
          <w:rFonts w:ascii="Calibri" w:hAnsi="Calibri"/>
          <w:highlight w:val="yellow"/>
        </w:rPr>
        <w:t xml:space="preserve"> </w:t>
      </w:r>
      <w:r w:rsidR="00DB752E" w:rsidRPr="0078328A">
        <w:rPr>
          <w:rFonts w:ascii="Calibri" w:hAnsi="Calibri"/>
          <w:highlight w:val="yellow"/>
        </w:rPr>
        <w:t>h.</w:t>
      </w:r>
    </w:p>
    <w:p w14:paraId="2A75B64A" w14:textId="77777777" w:rsidR="00681993" w:rsidRPr="005D53A7" w:rsidRDefault="00681993" w:rsidP="00681993">
      <w:pPr>
        <w:pStyle w:val="ListParagraph"/>
        <w:ind w:left="0"/>
        <w:jc w:val="both"/>
        <w:rPr>
          <w:rFonts w:ascii="Calibri" w:hAnsi="Calibri" w:cs="Calibri"/>
          <w:szCs w:val="24"/>
        </w:rPr>
      </w:pPr>
    </w:p>
    <w:p w14:paraId="455EC1E6" w14:textId="67FAD8BE" w:rsidR="00DB752E" w:rsidRDefault="00DB752E" w:rsidP="005D53A7">
      <w:pPr>
        <w:jc w:val="both"/>
        <w:rPr>
          <w:rFonts w:ascii="Calibri" w:hAnsi="Calibri" w:cs="Calibri"/>
          <w:szCs w:val="24"/>
        </w:rPr>
      </w:pPr>
      <w:r w:rsidRPr="005D53A7">
        <w:rPr>
          <w:rFonts w:ascii="Calibri" w:hAnsi="Calibri" w:cs="Calibri"/>
          <w:szCs w:val="24"/>
        </w:rPr>
        <w:t>NOTE: Replenishment is specific to NR. Other metabolic modulators may or may not need replenishment.</w:t>
      </w:r>
    </w:p>
    <w:p w14:paraId="1D59E35E" w14:textId="77777777" w:rsidR="00681993" w:rsidRPr="005D53A7" w:rsidRDefault="00681993" w:rsidP="005D53A7">
      <w:pPr>
        <w:jc w:val="both"/>
        <w:rPr>
          <w:rFonts w:ascii="Calibri" w:hAnsi="Calibri" w:cs="Calibri"/>
          <w:szCs w:val="24"/>
        </w:rPr>
      </w:pPr>
    </w:p>
    <w:p w14:paraId="2B133172" w14:textId="55EF2BE7" w:rsidR="00624150" w:rsidRPr="0078328A" w:rsidRDefault="00624150" w:rsidP="005D53A7">
      <w:pPr>
        <w:pStyle w:val="ListParagraph"/>
        <w:numPr>
          <w:ilvl w:val="1"/>
          <w:numId w:val="14"/>
        </w:numPr>
        <w:jc w:val="both"/>
        <w:rPr>
          <w:rFonts w:ascii="Calibri" w:hAnsi="Calibri"/>
          <w:highlight w:val="yellow"/>
        </w:rPr>
      </w:pPr>
      <w:r w:rsidRPr="005D53A7">
        <w:rPr>
          <w:rFonts w:ascii="Calibri" w:hAnsi="Calibri" w:cs="Calibri"/>
          <w:szCs w:val="24"/>
        </w:rPr>
        <w:t xml:space="preserve"> </w:t>
      </w:r>
      <w:r w:rsidRPr="0078328A">
        <w:rPr>
          <w:rFonts w:ascii="Calibri" w:hAnsi="Calibri"/>
          <w:highlight w:val="yellow"/>
        </w:rPr>
        <w:t xml:space="preserve">Seed 100 </w:t>
      </w:r>
      <w:r w:rsidR="00681993" w:rsidRPr="0078328A">
        <w:rPr>
          <w:rFonts w:ascii="Calibri" w:hAnsi="Calibri"/>
          <w:highlight w:val="yellow"/>
        </w:rPr>
        <w:t>µ</w:t>
      </w:r>
      <w:r w:rsidR="004314BE" w:rsidRPr="0078328A">
        <w:rPr>
          <w:rFonts w:ascii="Calibri" w:hAnsi="Calibri"/>
          <w:highlight w:val="yellow"/>
        </w:rPr>
        <w:t>L</w:t>
      </w:r>
      <w:r w:rsidRPr="0078328A">
        <w:rPr>
          <w:rFonts w:ascii="Calibri" w:hAnsi="Calibri"/>
          <w:highlight w:val="yellow"/>
        </w:rPr>
        <w:t xml:space="preserve"> of cells prepared in step 2.2 on top of the wells containing 2x basal </w:t>
      </w:r>
      <w:r w:rsidR="000D426D">
        <w:rPr>
          <w:rFonts w:ascii="Calibri" w:hAnsi="Calibri" w:cs="Calibri"/>
          <w:szCs w:val="24"/>
          <w:highlight w:val="yellow"/>
        </w:rPr>
        <w:t>medium</w:t>
      </w:r>
      <w:r w:rsidRPr="0078328A">
        <w:rPr>
          <w:rFonts w:ascii="Calibri" w:hAnsi="Calibri"/>
          <w:highlight w:val="yellow"/>
        </w:rPr>
        <w:t xml:space="preserve">. In </w:t>
      </w:r>
      <w:r w:rsidR="00365A5D">
        <w:rPr>
          <w:rFonts w:ascii="Calibri" w:hAnsi="Calibri"/>
          <w:highlight w:val="yellow"/>
        </w:rPr>
        <w:t>this</w:t>
      </w:r>
      <w:r w:rsidR="00365A5D" w:rsidRPr="0078328A">
        <w:rPr>
          <w:rFonts w:ascii="Calibri" w:hAnsi="Calibri"/>
          <w:highlight w:val="yellow"/>
        </w:rPr>
        <w:t xml:space="preserve"> </w:t>
      </w:r>
      <w:r w:rsidRPr="0078328A">
        <w:rPr>
          <w:rFonts w:ascii="Calibri" w:hAnsi="Calibri"/>
          <w:highlight w:val="yellow"/>
        </w:rPr>
        <w:t>experiment the num</w:t>
      </w:r>
      <w:r w:rsidR="003E68D3" w:rsidRPr="0078328A">
        <w:rPr>
          <w:rFonts w:ascii="Calibri" w:hAnsi="Calibri"/>
          <w:highlight w:val="yellow"/>
        </w:rPr>
        <w:t>b</w:t>
      </w:r>
      <w:r w:rsidRPr="0078328A">
        <w:rPr>
          <w:rFonts w:ascii="Calibri" w:hAnsi="Calibri"/>
          <w:highlight w:val="yellow"/>
        </w:rPr>
        <w:t>er of HSCs seeded per well were between 800</w:t>
      </w:r>
      <w:r w:rsidR="00365A5D" w:rsidRPr="00286029">
        <w:rPr>
          <w:rFonts w:ascii="Calibri" w:hAnsi="Calibri"/>
          <w:highlight w:val="yellow"/>
        </w:rPr>
        <w:t>–</w:t>
      </w:r>
      <w:r w:rsidRPr="0078328A">
        <w:rPr>
          <w:rFonts w:ascii="Calibri" w:hAnsi="Calibri"/>
          <w:highlight w:val="yellow"/>
        </w:rPr>
        <w:t>1</w:t>
      </w:r>
      <w:r w:rsidR="00365A5D">
        <w:rPr>
          <w:rFonts w:ascii="Calibri" w:hAnsi="Calibri"/>
          <w:highlight w:val="yellow"/>
        </w:rPr>
        <w:t>,</w:t>
      </w:r>
      <w:r w:rsidRPr="0078328A">
        <w:rPr>
          <w:rFonts w:ascii="Calibri" w:hAnsi="Calibri"/>
          <w:highlight w:val="yellow"/>
        </w:rPr>
        <w:t>000 cells.</w:t>
      </w:r>
    </w:p>
    <w:p w14:paraId="22123477" w14:textId="77777777" w:rsidR="00681993" w:rsidRPr="005D53A7" w:rsidRDefault="00681993" w:rsidP="00681993">
      <w:pPr>
        <w:pStyle w:val="ListParagraph"/>
        <w:ind w:left="0"/>
        <w:jc w:val="both"/>
        <w:rPr>
          <w:rFonts w:ascii="Calibri" w:hAnsi="Calibri" w:cs="Calibri"/>
          <w:szCs w:val="24"/>
        </w:rPr>
      </w:pPr>
    </w:p>
    <w:p w14:paraId="1A5CAEB2" w14:textId="5374102A" w:rsidR="00624150" w:rsidRPr="008E3DC0" w:rsidRDefault="00624150" w:rsidP="005D53A7">
      <w:pPr>
        <w:pStyle w:val="ListParagraph"/>
        <w:numPr>
          <w:ilvl w:val="1"/>
          <w:numId w:val="14"/>
        </w:numPr>
        <w:jc w:val="both"/>
        <w:rPr>
          <w:rFonts w:ascii="Calibri" w:hAnsi="Calibri" w:cs="Calibri"/>
          <w:szCs w:val="24"/>
        </w:rPr>
      </w:pPr>
      <w:r w:rsidRPr="005D53A7">
        <w:rPr>
          <w:rFonts w:ascii="Calibri" w:hAnsi="Calibri" w:cs="Calibri"/>
          <w:szCs w:val="24"/>
        </w:rPr>
        <w:t xml:space="preserve">Prepare </w:t>
      </w:r>
      <w:r w:rsidR="00365A5D" w:rsidRPr="00286029">
        <w:rPr>
          <w:rFonts w:ascii="Calibri" w:hAnsi="Calibri" w:cs="Calibri"/>
          <w:szCs w:val="24"/>
        </w:rPr>
        <w:t>five</w:t>
      </w:r>
      <w:r w:rsidR="00365A5D" w:rsidRPr="005D53A7">
        <w:rPr>
          <w:rFonts w:ascii="Calibri" w:hAnsi="Calibri" w:cs="Calibri"/>
          <w:szCs w:val="24"/>
        </w:rPr>
        <w:t xml:space="preserve"> </w:t>
      </w:r>
      <w:r w:rsidRPr="005D53A7">
        <w:rPr>
          <w:rFonts w:ascii="Calibri" w:hAnsi="Calibri" w:cs="Calibri"/>
          <w:szCs w:val="24"/>
        </w:rPr>
        <w:t xml:space="preserve">extra wells containing 2x </w:t>
      </w:r>
      <w:r w:rsidR="00365A5D" w:rsidRPr="005D53A7">
        <w:rPr>
          <w:rFonts w:ascii="Calibri" w:hAnsi="Calibri" w:cs="Calibri"/>
          <w:szCs w:val="24"/>
        </w:rPr>
        <w:t xml:space="preserve">basal </w:t>
      </w:r>
      <w:r w:rsidR="000D426D">
        <w:rPr>
          <w:rFonts w:ascii="Calibri" w:hAnsi="Calibri" w:cs="Calibri"/>
          <w:szCs w:val="24"/>
        </w:rPr>
        <w:t>medium</w:t>
      </w:r>
      <w:r w:rsidRPr="008E3DC0">
        <w:rPr>
          <w:rFonts w:ascii="Calibri" w:hAnsi="Calibri" w:cs="Calibri"/>
          <w:szCs w:val="24"/>
        </w:rPr>
        <w:t xml:space="preserve">. In each of these add 100,000 whole bone marrow </w:t>
      </w:r>
      <w:r w:rsidR="00045C71">
        <w:rPr>
          <w:rFonts w:ascii="Calibri" w:hAnsi="Calibri" w:cs="Calibri"/>
          <w:szCs w:val="24"/>
        </w:rPr>
        <w:t xml:space="preserve">cells </w:t>
      </w:r>
      <w:r w:rsidRPr="008E3DC0">
        <w:rPr>
          <w:rFonts w:ascii="Calibri" w:hAnsi="Calibri" w:cs="Calibri"/>
          <w:szCs w:val="24"/>
        </w:rPr>
        <w:t xml:space="preserve">(from step 1.13) resuspended in 100 </w:t>
      </w:r>
      <w:r w:rsidR="00681993" w:rsidRPr="008E3DC0">
        <w:rPr>
          <w:rFonts w:ascii="Calibri" w:hAnsi="Calibri" w:cs="Calibri"/>
          <w:szCs w:val="24"/>
        </w:rPr>
        <w:t>µ</w:t>
      </w:r>
      <w:r w:rsidR="004314BE" w:rsidRPr="008E3DC0">
        <w:rPr>
          <w:rFonts w:ascii="Calibri" w:hAnsi="Calibri" w:cs="Calibri"/>
          <w:szCs w:val="24"/>
        </w:rPr>
        <w:t>L</w:t>
      </w:r>
      <w:r w:rsidRPr="008E3DC0">
        <w:rPr>
          <w:rFonts w:ascii="Calibri" w:hAnsi="Calibri" w:cs="Calibri"/>
          <w:szCs w:val="24"/>
        </w:rPr>
        <w:t xml:space="preserve"> of </w:t>
      </w:r>
      <w:r w:rsidR="008E3DC0" w:rsidRPr="008E3DC0">
        <w:rPr>
          <w:rFonts w:ascii="Calibri" w:hAnsi="Calibri" w:cs="Calibri"/>
          <w:szCs w:val="24"/>
        </w:rPr>
        <w:t xml:space="preserve">stem cell expansion </w:t>
      </w:r>
      <w:r w:rsidR="000D426D">
        <w:rPr>
          <w:rFonts w:ascii="Calibri" w:hAnsi="Calibri" w:cs="Calibri"/>
          <w:szCs w:val="24"/>
        </w:rPr>
        <w:t>medium</w:t>
      </w:r>
      <w:r w:rsidRPr="008E3DC0">
        <w:rPr>
          <w:rFonts w:ascii="Calibri" w:hAnsi="Calibri" w:cs="Calibri"/>
          <w:szCs w:val="24"/>
        </w:rPr>
        <w:t xml:space="preserve"> to be used as staining controls for post culture flow cytometry analysis.</w:t>
      </w:r>
    </w:p>
    <w:p w14:paraId="262ED1BF" w14:textId="77777777" w:rsidR="00681993" w:rsidRPr="005D53A7" w:rsidRDefault="00681993" w:rsidP="00681993">
      <w:pPr>
        <w:pStyle w:val="ListParagraph"/>
        <w:ind w:left="0"/>
        <w:jc w:val="both"/>
        <w:rPr>
          <w:rFonts w:ascii="Calibri" w:hAnsi="Calibri" w:cs="Calibri"/>
          <w:szCs w:val="24"/>
        </w:rPr>
      </w:pPr>
    </w:p>
    <w:p w14:paraId="46006AA1" w14:textId="4700B6FA" w:rsidR="00113B72" w:rsidRDefault="00113B72" w:rsidP="005D53A7">
      <w:pPr>
        <w:jc w:val="both"/>
        <w:rPr>
          <w:rFonts w:ascii="Calibri" w:hAnsi="Calibri" w:cs="Calibri"/>
          <w:szCs w:val="24"/>
        </w:rPr>
      </w:pPr>
      <w:r w:rsidRPr="005D53A7">
        <w:rPr>
          <w:rFonts w:ascii="Calibri" w:hAnsi="Calibri" w:cs="Calibri"/>
          <w:szCs w:val="24"/>
        </w:rPr>
        <w:t xml:space="preserve">NOTE: If users want to combine stem cell markers and mitochondrial markers for post culture </w:t>
      </w:r>
      <w:r w:rsidR="009D05CC" w:rsidRPr="005D53A7">
        <w:rPr>
          <w:rFonts w:ascii="Calibri" w:hAnsi="Calibri" w:cs="Calibri"/>
          <w:szCs w:val="24"/>
        </w:rPr>
        <w:t xml:space="preserve">analysis </w:t>
      </w:r>
      <w:r w:rsidRPr="005D53A7">
        <w:rPr>
          <w:rFonts w:ascii="Calibri" w:hAnsi="Calibri" w:cs="Calibri"/>
          <w:szCs w:val="24"/>
        </w:rPr>
        <w:t xml:space="preserve">it is recommended to additionally sort the progenitor population (either </w:t>
      </w:r>
      <w:proofErr w:type="spellStart"/>
      <w:r w:rsidRPr="005D53A7">
        <w:rPr>
          <w:rFonts w:ascii="Calibri" w:hAnsi="Calibri" w:cs="Calibri"/>
          <w:szCs w:val="24"/>
        </w:rPr>
        <w:t>Ckit</w:t>
      </w:r>
      <w:proofErr w:type="spellEnd"/>
      <w:r w:rsidRPr="005D53A7">
        <w:rPr>
          <w:rFonts w:ascii="Calibri" w:hAnsi="Calibri" w:cs="Calibri"/>
          <w:szCs w:val="24"/>
        </w:rPr>
        <w:t>+ cells or LKSCD150- cells). Seed these sorted progenitors in the staining control wells for post culture flow cytometry analysis. Prepare one well per single stain color.</w:t>
      </w:r>
    </w:p>
    <w:p w14:paraId="01788272" w14:textId="77777777" w:rsidR="00722D19" w:rsidRPr="005D53A7" w:rsidRDefault="00722D19" w:rsidP="005D53A7">
      <w:pPr>
        <w:jc w:val="both"/>
        <w:rPr>
          <w:rFonts w:ascii="Calibri" w:hAnsi="Calibri" w:cs="Calibri"/>
          <w:szCs w:val="24"/>
        </w:rPr>
      </w:pPr>
    </w:p>
    <w:p w14:paraId="41567AB3" w14:textId="1938E89D" w:rsidR="00624150" w:rsidRPr="0078328A" w:rsidRDefault="00624150" w:rsidP="005D53A7">
      <w:pPr>
        <w:pStyle w:val="ListParagraph"/>
        <w:numPr>
          <w:ilvl w:val="1"/>
          <w:numId w:val="14"/>
        </w:numPr>
        <w:jc w:val="both"/>
        <w:rPr>
          <w:rFonts w:ascii="Calibri" w:hAnsi="Calibri"/>
          <w:highlight w:val="yellow"/>
        </w:rPr>
      </w:pPr>
      <w:r w:rsidRPr="0078328A">
        <w:rPr>
          <w:rFonts w:ascii="Calibri" w:hAnsi="Calibri"/>
          <w:highlight w:val="yellow"/>
        </w:rPr>
        <w:t xml:space="preserve">Put 200 </w:t>
      </w:r>
      <w:r w:rsidR="008F345A">
        <w:rPr>
          <w:rFonts w:ascii="Calibri" w:hAnsi="Calibri"/>
          <w:highlight w:val="yellow"/>
        </w:rPr>
        <w:t>µL of</w:t>
      </w:r>
      <w:r w:rsidRPr="0078328A">
        <w:rPr>
          <w:rFonts w:ascii="Calibri" w:hAnsi="Calibri"/>
          <w:highlight w:val="yellow"/>
        </w:rPr>
        <w:t xml:space="preserve"> autoclaved water in all surrounding wells to </w:t>
      </w:r>
      <w:r w:rsidR="00477CC0" w:rsidRPr="0078328A">
        <w:rPr>
          <w:rFonts w:ascii="Calibri" w:hAnsi="Calibri"/>
          <w:highlight w:val="yellow"/>
        </w:rPr>
        <w:t xml:space="preserve">reduce </w:t>
      </w:r>
      <w:r w:rsidRPr="0078328A">
        <w:rPr>
          <w:rFonts w:ascii="Calibri" w:hAnsi="Calibri"/>
          <w:highlight w:val="yellow"/>
        </w:rPr>
        <w:t>evaporation from wells containing cells.</w:t>
      </w:r>
      <w:r w:rsidR="003E68D3" w:rsidRPr="0078328A">
        <w:rPr>
          <w:rFonts w:ascii="Calibri" w:hAnsi="Calibri"/>
          <w:highlight w:val="yellow"/>
        </w:rPr>
        <w:t xml:space="preserve"> </w:t>
      </w:r>
      <w:r w:rsidRPr="0078328A">
        <w:rPr>
          <w:rFonts w:ascii="Calibri" w:hAnsi="Calibri"/>
          <w:highlight w:val="yellow"/>
        </w:rPr>
        <w:t xml:space="preserve">Leave the plate undisturbed </w:t>
      </w:r>
      <w:r w:rsidR="00365A5D">
        <w:rPr>
          <w:rFonts w:ascii="Calibri" w:hAnsi="Calibri"/>
          <w:highlight w:val="yellow"/>
        </w:rPr>
        <w:t xml:space="preserve">in an </w:t>
      </w:r>
      <w:r w:rsidR="00365A5D" w:rsidRPr="0078328A">
        <w:rPr>
          <w:rFonts w:ascii="Calibri" w:hAnsi="Calibri"/>
          <w:highlight w:val="yellow"/>
        </w:rPr>
        <w:t xml:space="preserve">incubator </w:t>
      </w:r>
      <w:r w:rsidRPr="0078328A">
        <w:rPr>
          <w:rFonts w:ascii="Calibri" w:hAnsi="Calibri"/>
          <w:highlight w:val="yellow"/>
        </w:rPr>
        <w:t xml:space="preserve">at </w:t>
      </w:r>
      <w:r w:rsidR="003E68D3" w:rsidRPr="0078328A">
        <w:rPr>
          <w:rFonts w:ascii="Calibri" w:hAnsi="Calibri"/>
          <w:highlight w:val="yellow"/>
        </w:rPr>
        <w:t xml:space="preserve">37 </w:t>
      </w:r>
      <w:r w:rsidR="00365A5D">
        <w:rPr>
          <w:rFonts w:ascii="Calibri" w:hAnsi="Calibri" w:cs="Calibri"/>
          <w:highlight w:val="yellow"/>
        </w:rPr>
        <w:t>°</w:t>
      </w:r>
      <w:r w:rsidR="003E68D3" w:rsidRPr="0078328A">
        <w:rPr>
          <w:rFonts w:ascii="Calibri" w:hAnsi="Calibri"/>
          <w:highlight w:val="yellow"/>
        </w:rPr>
        <w:t>C</w:t>
      </w:r>
      <w:r w:rsidRPr="0078328A">
        <w:rPr>
          <w:rFonts w:ascii="Calibri" w:hAnsi="Calibri"/>
          <w:highlight w:val="yellow"/>
        </w:rPr>
        <w:t xml:space="preserve"> and 5% CO</w:t>
      </w:r>
      <w:r w:rsidRPr="00045C71">
        <w:rPr>
          <w:rFonts w:ascii="Calibri" w:hAnsi="Calibri"/>
          <w:highlight w:val="yellow"/>
          <w:vertAlign w:val="subscript"/>
        </w:rPr>
        <w:t>2</w:t>
      </w:r>
      <w:r w:rsidRPr="0078328A">
        <w:rPr>
          <w:rFonts w:ascii="Calibri" w:hAnsi="Calibri"/>
          <w:highlight w:val="yellow"/>
        </w:rPr>
        <w:t xml:space="preserve"> for the duration of </w:t>
      </w:r>
      <w:r w:rsidR="00365A5D">
        <w:rPr>
          <w:rFonts w:ascii="Calibri" w:hAnsi="Calibri"/>
          <w:highlight w:val="yellow"/>
        </w:rPr>
        <w:t xml:space="preserve">the </w:t>
      </w:r>
      <w:r w:rsidRPr="0078328A">
        <w:rPr>
          <w:rFonts w:ascii="Calibri" w:hAnsi="Calibri"/>
          <w:highlight w:val="yellow"/>
        </w:rPr>
        <w:t>culture period (72</w:t>
      </w:r>
      <w:r w:rsidR="00DB752E" w:rsidRPr="0078328A">
        <w:rPr>
          <w:rFonts w:ascii="Calibri" w:hAnsi="Calibri"/>
          <w:highlight w:val="yellow"/>
        </w:rPr>
        <w:t xml:space="preserve"> h</w:t>
      </w:r>
      <w:r w:rsidRPr="0078328A">
        <w:rPr>
          <w:rFonts w:ascii="Calibri" w:hAnsi="Calibri"/>
          <w:highlight w:val="yellow"/>
        </w:rPr>
        <w:t>).</w:t>
      </w:r>
      <w:r w:rsidR="00D95280" w:rsidRPr="0078328A">
        <w:rPr>
          <w:rFonts w:ascii="Calibri" w:hAnsi="Calibri"/>
          <w:highlight w:val="yellow"/>
        </w:rPr>
        <w:t xml:space="preserve"> Remove the plate to replenish NR every 24 h</w:t>
      </w:r>
      <w:r w:rsidR="003100CB" w:rsidRPr="0078328A">
        <w:rPr>
          <w:rFonts w:ascii="Calibri" w:hAnsi="Calibri"/>
          <w:highlight w:val="yellow"/>
        </w:rPr>
        <w:t xml:space="preserve"> and place it back in the incubator</w:t>
      </w:r>
      <w:r w:rsidR="00D95280" w:rsidRPr="0078328A">
        <w:rPr>
          <w:rFonts w:ascii="Calibri" w:hAnsi="Calibri"/>
          <w:highlight w:val="yellow"/>
        </w:rPr>
        <w:t>.</w:t>
      </w:r>
    </w:p>
    <w:p w14:paraId="09477125" w14:textId="77777777" w:rsidR="00624150" w:rsidRPr="005D53A7" w:rsidRDefault="00624150" w:rsidP="005D53A7">
      <w:pPr>
        <w:pStyle w:val="ListParagraph"/>
        <w:ind w:left="0"/>
        <w:jc w:val="both"/>
        <w:rPr>
          <w:rFonts w:ascii="Calibri" w:hAnsi="Calibri" w:cs="Calibri"/>
          <w:b/>
          <w:bCs/>
          <w:szCs w:val="24"/>
        </w:rPr>
      </w:pPr>
    </w:p>
    <w:p w14:paraId="675DE3E3" w14:textId="7047FE4B" w:rsidR="003E68D3" w:rsidRDefault="003E68D3" w:rsidP="005D53A7">
      <w:pPr>
        <w:pStyle w:val="ListParagraph"/>
        <w:numPr>
          <w:ilvl w:val="0"/>
          <w:numId w:val="14"/>
        </w:numPr>
        <w:jc w:val="both"/>
        <w:rPr>
          <w:rFonts w:ascii="Calibri" w:hAnsi="Calibri" w:cs="Calibri"/>
          <w:b/>
          <w:bCs/>
          <w:szCs w:val="24"/>
        </w:rPr>
      </w:pPr>
      <w:r w:rsidRPr="005D53A7">
        <w:rPr>
          <w:rFonts w:ascii="Calibri" w:hAnsi="Calibri" w:cs="Calibri"/>
          <w:b/>
          <w:bCs/>
          <w:szCs w:val="24"/>
        </w:rPr>
        <w:t>Measurement of mitochondrial mass and membrane potential</w:t>
      </w:r>
    </w:p>
    <w:p w14:paraId="14F372D1" w14:textId="77777777" w:rsidR="00722D19" w:rsidRPr="005D53A7" w:rsidRDefault="00722D19" w:rsidP="00722D19">
      <w:pPr>
        <w:pStyle w:val="ListParagraph"/>
        <w:ind w:left="0"/>
        <w:jc w:val="both"/>
        <w:rPr>
          <w:rFonts w:ascii="Calibri" w:hAnsi="Calibri" w:cs="Calibri"/>
          <w:b/>
          <w:bCs/>
          <w:szCs w:val="24"/>
        </w:rPr>
      </w:pPr>
    </w:p>
    <w:p w14:paraId="1BD36C2A" w14:textId="404ED399" w:rsidR="003E68D3" w:rsidRPr="00722D19" w:rsidRDefault="003E68D3" w:rsidP="005D53A7">
      <w:pPr>
        <w:pStyle w:val="ListParagraph"/>
        <w:numPr>
          <w:ilvl w:val="1"/>
          <w:numId w:val="14"/>
        </w:numPr>
        <w:jc w:val="both"/>
        <w:rPr>
          <w:rFonts w:ascii="Calibri" w:hAnsi="Calibri" w:cs="Calibri"/>
          <w:b/>
          <w:bCs/>
          <w:szCs w:val="24"/>
        </w:rPr>
      </w:pPr>
      <w:r w:rsidRPr="005D53A7">
        <w:rPr>
          <w:rFonts w:ascii="Calibri" w:hAnsi="Calibri" w:cs="Calibri"/>
          <w:szCs w:val="24"/>
        </w:rPr>
        <w:t xml:space="preserve">At the end of the culture period prepare a 100x solution of </w:t>
      </w:r>
      <w:r w:rsidRPr="008E3DC0">
        <w:rPr>
          <w:rFonts w:ascii="Calibri" w:hAnsi="Calibri" w:cs="Calibri"/>
          <w:szCs w:val="24"/>
        </w:rPr>
        <w:t xml:space="preserve">TMRM (20 </w:t>
      </w:r>
      <w:r w:rsidR="00681993" w:rsidRPr="008E3DC0">
        <w:rPr>
          <w:rFonts w:ascii="Calibri" w:hAnsi="Calibri" w:cs="Calibri"/>
          <w:szCs w:val="24"/>
        </w:rPr>
        <w:t>µ</w:t>
      </w:r>
      <w:r w:rsidRPr="008E3DC0">
        <w:rPr>
          <w:rFonts w:ascii="Calibri" w:hAnsi="Calibri" w:cs="Calibri"/>
          <w:szCs w:val="24"/>
        </w:rPr>
        <w:t xml:space="preserve">M) and </w:t>
      </w:r>
      <w:proofErr w:type="spellStart"/>
      <w:r w:rsidRPr="0078328A">
        <w:rPr>
          <w:rFonts w:ascii="Calibri" w:hAnsi="Calibri"/>
        </w:rPr>
        <w:t>Mitotracker</w:t>
      </w:r>
      <w:proofErr w:type="spellEnd"/>
      <w:r w:rsidRPr="008E3DC0">
        <w:rPr>
          <w:rFonts w:ascii="Calibri" w:hAnsi="Calibri" w:cs="Calibri"/>
          <w:szCs w:val="24"/>
        </w:rPr>
        <w:t xml:space="preserve"> green (10 </w:t>
      </w:r>
      <w:r w:rsidR="00681993" w:rsidRPr="008E3DC0">
        <w:rPr>
          <w:rFonts w:ascii="Calibri" w:hAnsi="Calibri" w:cs="Calibri"/>
          <w:szCs w:val="24"/>
        </w:rPr>
        <w:t>µ</w:t>
      </w:r>
      <w:r w:rsidRPr="008E3DC0">
        <w:rPr>
          <w:rFonts w:ascii="Calibri" w:hAnsi="Calibri" w:cs="Calibri"/>
          <w:szCs w:val="24"/>
        </w:rPr>
        <w:t xml:space="preserve">M) </w:t>
      </w:r>
      <w:r w:rsidR="008E161F" w:rsidRPr="008E3DC0">
        <w:rPr>
          <w:rFonts w:ascii="Calibri" w:hAnsi="Calibri" w:cs="Calibri"/>
          <w:szCs w:val="24"/>
        </w:rPr>
        <w:t>(green</w:t>
      </w:r>
      <w:r w:rsidR="00293B42">
        <w:rPr>
          <w:rFonts w:ascii="Calibri" w:hAnsi="Calibri" w:cs="Calibri"/>
          <w:szCs w:val="24"/>
        </w:rPr>
        <w:t xml:space="preserve"> </w:t>
      </w:r>
      <w:r w:rsidR="0032274B" w:rsidRPr="008E3DC0">
        <w:rPr>
          <w:rFonts w:ascii="Calibri" w:hAnsi="Calibri" w:cs="Calibri"/>
          <w:szCs w:val="24"/>
        </w:rPr>
        <w:t>fluorescent</w:t>
      </w:r>
      <w:r w:rsidR="008E161F" w:rsidRPr="008E3DC0">
        <w:rPr>
          <w:rFonts w:ascii="Calibri" w:hAnsi="Calibri" w:cs="Calibri"/>
          <w:szCs w:val="24"/>
        </w:rPr>
        <w:t xml:space="preserve"> stain)</w:t>
      </w:r>
      <w:r w:rsidR="00F11C32" w:rsidRPr="008E3DC0">
        <w:rPr>
          <w:rFonts w:ascii="Calibri" w:hAnsi="Calibri" w:cs="Calibri"/>
          <w:szCs w:val="24"/>
        </w:rPr>
        <w:t xml:space="preserve"> </w:t>
      </w:r>
      <w:r w:rsidRPr="008E3DC0">
        <w:rPr>
          <w:rFonts w:ascii="Calibri" w:hAnsi="Calibri" w:cs="Calibri"/>
          <w:szCs w:val="24"/>
        </w:rPr>
        <w:t xml:space="preserve">in </w:t>
      </w:r>
      <w:r w:rsidR="008E3DC0" w:rsidRPr="008E3DC0">
        <w:rPr>
          <w:rFonts w:ascii="Calibri" w:hAnsi="Calibri" w:cs="Calibri"/>
          <w:szCs w:val="24"/>
        </w:rPr>
        <w:t xml:space="preserve">stem cell expansion </w:t>
      </w:r>
      <w:r w:rsidR="000D426D">
        <w:rPr>
          <w:rFonts w:ascii="Calibri" w:hAnsi="Calibri" w:cs="Calibri"/>
          <w:szCs w:val="24"/>
        </w:rPr>
        <w:t>medium</w:t>
      </w:r>
      <w:r w:rsidR="00BE2563" w:rsidRPr="005D53A7">
        <w:rPr>
          <w:rFonts w:ascii="Calibri" w:hAnsi="Calibri" w:cs="Calibri"/>
          <w:szCs w:val="24"/>
        </w:rPr>
        <w:t xml:space="preserve"> (</w:t>
      </w:r>
      <w:r w:rsidR="0078328A" w:rsidRPr="0078328A">
        <w:rPr>
          <w:rFonts w:ascii="Calibri" w:hAnsi="Calibri"/>
          <w:b/>
          <w:bCs/>
        </w:rPr>
        <w:t>Table of Materials</w:t>
      </w:r>
      <w:r w:rsidR="00BE2563" w:rsidRPr="005D53A7">
        <w:rPr>
          <w:rFonts w:ascii="Calibri" w:hAnsi="Calibri" w:cs="Calibri"/>
          <w:szCs w:val="24"/>
        </w:rPr>
        <w:t>)</w:t>
      </w:r>
      <w:r w:rsidRPr="005D53A7">
        <w:rPr>
          <w:rFonts w:ascii="Calibri" w:hAnsi="Calibri" w:cs="Calibri"/>
          <w:szCs w:val="24"/>
        </w:rPr>
        <w:t>.</w:t>
      </w:r>
    </w:p>
    <w:p w14:paraId="6E12183D" w14:textId="77777777" w:rsidR="00722D19" w:rsidRPr="005D53A7" w:rsidRDefault="00722D19" w:rsidP="00722D19">
      <w:pPr>
        <w:pStyle w:val="ListParagraph"/>
        <w:ind w:left="0"/>
        <w:jc w:val="both"/>
        <w:rPr>
          <w:rFonts w:ascii="Calibri" w:hAnsi="Calibri" w:cs="Calibri"/>
          <w:b/>
          <w:bCs/>
          <w:szCs w:val="24"/>
        </w:rPr>
      </w:pPr>
    </w:p>
    <w:p w14:paraId="0ABD6982" w14:textId="18BE8D47" w:rsidR="00796536" w:rsidRPr="0078328A" w:rsidRDefault="003E68D3" w:rsidP="005D53A7">
      <w:pPr>
        <w:pStyle w:val="ListParagraph"/>
        <w:numPr>
          <w:ilvl w:val="1"/>
          <w:numId w:val="14"/>
        </w:numPr>
        <w:jc w:val="both"/>
        <w:rPr>
          <w:rFonts w:ascii="Calibri" w:hAnsi="Calibri"/>
          <w:highlight w:val="yellow"/>
        </w:rPr>
      </w:pPr>
      <w:r w:rsidRPr="0078328A">
        <w:rPr>
          <w:rFonts w:ascii="Calibri" w:hAnsi="Calibri"/>
          <w:highlight w:val="yellow"/>
        </w:rPr>
        <w:t xml:space="preserve">Add 2 </w:t>
      </w:r>
      <w:r w:rsidR="00681993" w:rsidRPr="0078328A">
        <w:rPr>
          <w:rFonts w:ascii="Calibri" w:hAnsi="Calibri"/>
          <w:highlight w:val="yellow"/>
        </w:rPr>
        <w:t>µ</w:t>
      </w:r>
      <w:r w:rsidR="004314BE" w:rsidRPr="0078328A">
        <w:rPr>
          <w:rFonts w:ascii="Calibri" w:hAnsi="Calibri"/>
          <w:highlight w:val="yellow"/>
        </w:rPr>
        <w:t>L</w:t>
      </w:r>
      <w:r w:rsidRPr="0078328A">
        <w:rPr>
          <w:rFonts w:ascii="Calibri" w:hAnsi="Calibri"/>
          <w:highlight w:val="yellow"/>
        </w:rPr>
        <w:t xml:space="preserve"> of 100x TMRM solution and 2</w:t>
      </w:r>
      <w:r w:rsidR="008F345A">
        <w:rPr>
          <w:rFonts w:ascii="Calibri" w:hAnsi="Calibri"/>
          <w:highlight w:val="yellow"/>
        </w:rPr>
        <w:t xml:space="preserve"> </w:t>
      </w:r>
      <w:r w:rsidR="00681993" w:rsidRPr="0078328A">
        <w:rPr>
          <w:rFonts w:ascii="Calibri" w:hAnsi="Calibri"/>
          <w:highlight w:val="yellow"/>
        </w:rPr>
        <w:t>µ</w:t>
      </w:r>
      <w:r w:rsidR="004314BE" w:rsidRPr="0078328A">
        <w:rPr>
          <w:rFonts w:ascii="Calibri" w:hAnsi="Calibri"/>
          <w:highlight w:val="yellow"/>
        </w:rPr>
        <w:t>L</w:t>
      </w:r>
      <w:r w:rsidRPr="0078328A">
        <w:rPr>
          <w:rFonts w:ascii="Calibri" w:hAnsi="Calibri"/>
          <w:highlight w:val="yellow"/>
        </w:rPr>
        <w:t xml:space="preserve"> of 100x</w:t>
      </w:r>
      <w:r w:rsidR="00F11C32" w:rsidRPr="0078328A">
        <w:rPr>
          <w:rFonts w:ascii="Calibri" w:hAnsi="Calibri"/>
          <w:highlight w:val="yellow"/>
        </w:rPr>
        <w:t xml:space="preserve"> </w:t>
      </w:r>
      <w:r w:rsidR="00293B42">
        <w:rPr>
          <w:rFonts w:ascii="Calibri" w:hAnsi="Calibri" w:cs="Calibri"/>
          <w:szCs w:val="24"/>
          <w:highlight w:val="yellow"/>
        </w:rPr>
        <w:t>green fluorescent stain</w:t>
      </w:r>
      <w:r w:rsidRPr="0078328A">
        <w:rPr>
          <w:rFonts w:ascii="Calibri" w:hAnsi="Calibri"/>
          <w:highlight w:val="yellow"/>
        </w:rPr>
        <w:t xml:space="preserve"> solution in each of </w:t>
      </w:r>
      <w:r w:rsidR="00365A5D">
        <w:rPr>
          <w:rFonts w:ascii="Calibri" w:hAnsi="Calibri"/>
          <w:highlight w:val="yellow"/>
        </w:rPr>
        <w:t xml:space="preserve">the </w:t>
      </w:r>
      <w:r w:rsidRPr="0078328A">
        <w:rPr>
          <w:rFonts w:ascii="Calibri" w:hAnsi="Calibri"/>
          <w:highlight w:val="yellow"/>
        </w:rPr>
        <w:t>test wells.</w:t>
      </w:r>
      <w:r w:rsidR="00796536" w:rsidRPr="0078328A">
        <w:rPr>
          <w:rFonts w:ascii="Calibri" w:hAnsi="Calibri"/>
          <w:highlight w:val="yellow"/>
        </w:rPr>
        <w:t xml:space="preserve"> </w:t>
      </w:r>
      <w:r w:rsidRPr="0078328A">
        <w:rPr>
          <w:rFonts w:ascii="Calibri" w:hAnsi="Calibri"/>
          <w:highlight w:val="yellow"/>
        </w:rPr>
        <w:t xml:space="preserve">Add 2 </w:t>
      </w:r>
      <w:r w:rsidR="00681993" w:rsidRPr="0078328A">
        <w:rPr>
          <w:rFonts w:ascii="Calibri" w:hAnsi="Calibri"/>
          <w:highlight w:val="yellow"/>
        </w:rPr>
        <w:t>µ</w:t>
      </w:r>
      <w:r w:rsidR="004314BE" w:rsidRPr="0078328A">
        <w:rPr>
          <w:rFonts w:ascii="Calibri" w:hAnsi="Calibri"/>
          <w:highlight w:val="yellow"/>
        </w:rPr>
        <w:t>L</w:t>
      </w:r>
      <w:r w:rsidRPr="0078328A">
        <w:rPr>
          <w:rFonts w:ascii="Calibri" w:hAnsi="Calibri"/>
          <w:highlight w:val="yellow"/>
        </w:rPr>
        <w:t xml:space="preserve"> of 100x TMRM in the TMRM control well.</w:t>
      </w:r>
      <w:r w:rsidR="00796536" w:rsidRPr="0078328A">
        <w:rPr>
          <w:rFonts w:ascii="Calibri" w:hAnsi="Calibri"/>
          <w:highlight w:val="yellow"/>
        </w:rPr>
        <w:t xml:space="preserve"> </w:t>
      </w:r>
      <w:r w:rsidRPr="0078328A">
        <w:rPr>
          <w:rFonts w:ascii="Calibri" w:hAnsi="Calibri"/>
          <w:highlight w:val="yellow"/>
        </w:rPr>
        <w:t xml:space="preserve">Add 2 </w:t>
      </w:r>
      <w:r w:rsidR="00681993" w:rsidRPr="0078328A">
        <w:rPr>
          <w:rFonts w:ascii="Calibri" w:hAnsi="Calibri"/>
          <w:highlight w:val="yellow"/>
        </w:rPr>
        <w:t>µ</w:t>
      </w:r>
      <w:r w:rsidR="004314BE" w:rsidRPr="0078328A">
        <w:rPr>
          <w:rFonts w:ascii="Calibri" w:hAnsi="Calibri"/>
          <w:highlight w:val="yellow"/>
        </w:rPr>
        <w:t>L</w:t>
      </w:r>
      <w:r w:rsidRPr="0078328A">
        <w:rPr>
          <w:rFonts w:ascii="Calibri" w:hAnsi="Calibri"/>
          <w:highlight w:val="yellow"/>
        </w:rPr>
        <w:t xml:space="preserve"> of 100x</w:t>
      </w:r>
      <w:r w:rsidR="00F11C32" w:rsidRPr="0078328A">
        <w:rPr>
          <w:rFonts w:ascii="Calibri" w:hAnsi="Calibri"/>
          <w:highlight w:val="yellow"/>
        </w:rPr>
        <w:t xml:space="preserve"> </w:t>
      </w:r>
      <w:r w:rsidR="00293B42">
        <w:rPr>
          <w:rFonts w:ascii="Calibri" w:hAnsi="Calibri"/>
          <w:highlight w:val="yellow"/>
        </w:rPr>
        <w:t>green fluorescent stain</w:t>
      </w:r>
      <w:r w:rsidRPr="0078328A">
        <w:rPr>
          <w:rFonts w:ascii="Calibri" w:hAnsi="Calibri"/>
          <w:highlight w:val="yellow"/>
        </w:rPr>
        <w:t xml:space="preserve"> in the </w:t>
      </w:r>
      <w:proofErr w:type="spellStart"/>
      <w:r w:rsidRPr="0078328A">
        <w:rPr>
          <w:rFonts w:ascii="Calibri" w:hAnsi="Calibri"/>
          <w:highlight w:val="yellow"/>
        </w:rPr>
        <w:t>Mitotracker</w:t>
      </w:r>
      <w:proofErr w:type="spellEnd"/>
      <w:r w:rsidRPr="0078328A">
        <w:rPr>
          <w:rFonts w:ascii="Calibri" w:hAnsi="Calibri"/>
          <w:highlight w:val="yellow"/>
        </w:rPr>
        <w:t xml:space="preserve"> control well.</w:t>
      </w:r>
      <w:r w:rsidR="00796536" w:rsidRPr="0078328A">
        <w:rPr>
          <w:rFonts w:ascii="Calibri" w:hAnsi="Calibri"/>
          <w:highlight w:val="yellow"/>
        </w:rPr>
        <w:t xml:space="preserve"> Place the plate back in </w:t>
      </w:r>
      <w:r w:rsidR="00365A5D">
        <w:rPr>
          <w:rFonts w:ascii="Calibri" w:hAnsi="Calibri"/>
          <w:highlight w:val="yellow"/>
        </w:rPr>
        <w:t xml:space="preserve">an </w:t>
      </w:r>
      <w:r w:rsidR="00365A5D" w:rsidRPr="0078328A">
        <w:rPr>
          <w:rFonts w:ascii="Calibri" w:hAnsi="Calibri"/>
          <w:highlight w:val="yellow"/>
        </w:rPr>
        <w:t xml:space="preserve">incubator </w:t>
      </w:r>
      <w:r w:rsidR="00796536" w:rsidRPr="0078328A">
        <w:rPr>
          <w:rFonts w:ascii="Calibri" w:hAnsi="Calibri"/>
          <w:highlight w:val="yellow"/>
        </w:rPr>
        <w:t xml:space="preserve">at 37 </w:t>
      </w:r>
      <w:r w:rsidR="00365A5D">
        <w:rPr>
          <w:rFonts w:ascii="Calibri" w:hAnsi="Calibri" w:cs="Calibri"/>
          <w:highlight w:val="yellow"/>
        </w:rPr>
        <w:t>°</w:t>
      </w:r>
      <w:r w:rsidR="00796536" w:rsidRPr="0078328A">
        <w:rPr>
          <w:rFonts w:ascii="Calibri" w:hAnsi="Calibri"/>
          <w:highlight w:val="yellow"/>
        </w:rPr>
        <w:t>C and 5% CO</w:t>
      </w:r>
      <w:r w:rsidR="00796536" w:rsidRPr="00045C71">
        <w:rPr>
          <w:rFonts w:ascii="Calibri" w:hAnsi="Calibri"/>
          <w:highlight w:val="yellow"/>
          <w:vertAlign w:val="subscript"/>
        </w:rPr>
        <w:t>2</w:t>
      </w:r>
      <w:r w:rsidR="00796536" w:rsidRPr="0078328A">
        <w:rPr>
          <w:rFonts w:ascii="Calibri" w:hAnsi="Calibri"/>
          <w:highlight w:val="yellow"/>
        </w:rPr>
        <w:t xml:space="preserve"> for 45 </w:t>
      </w:r>
      <w:r w:rsidR="00DA08A5" w:rsidRPr="0078328A">
        <w:rPr>
          <w:rFonts w:ascii="Calibri" w:hAnsi="Calibri"/>
          <w:highlight w:val="yellow"/>
        </w:rPr>
        <w:t>min</w:t>
      </w:r>
      <w:r w:rsidR="00796536" w:rsidRPr="0078328A">
        <w:rPr>
          <w:rFonts w:ascii="Calibri" w:hAnsi="Calibri"/>
          <w:highlight w:val="yellow"/>
        </w:rPr>
        <w:t>. Cover the top of the plate with aluminum foil.</w:t>
      </w:r>
    </w:p>
    <w:p w14:paraId="451617ED" w14:textId="77777777" w:rsidR="00722D19" w:rsidRPr="005D53A7" w:rsidRDefault="00722D19" w:rsidP="00722D19">
      <w:pPr>
        <w:pStyle w:val="ListParagraph"/>
        <w:ind w:left="0"/>
        <w:jc w:val="both"/>
        <w:rPr>
          <w:rFonts w:ascii="Calibri" w:hAnsi="Calibri" w:cs="Calibri"/>
          <w:szCs w:val="24"/>
        </w:rPr>
      </w:pPr>
    </w:p>
    <w:p w14:paraId="00C1EDB9" w14:textId="1E8D1F15" w:rsidR="00796536" w:rsidRDefault="00B74080" w:rsidP="005D53A7">
      <w:pPr>
        <w:jc w:val="both"/>
        <w:rPr>
          <w:rFonts w:ascii="Calibri" w:hAnsi="Calibri" w:cs="Calibri"/>
          <w:szCs w:val="24"/>
        </w:rPr>
      </w:pPr>
      <w:r w:rsidRPr="005D53A7">
        <w:rPr>
          <w:rFonts w:ascii="Calibri" w:hAnsi="Calibri" w:cs="Calibri"/>
          <w:szCs w:val="24"/>
        </w:rPr>
        <w:t>NOTE</w:t>
      </w:r>
      <w:r w:rsidR="003E68D3" w:rsidRPr="005D53A7">
        <w:rPr>
          <w:rFonts w:ascii="Calibri" w:hAnsi="Calibri" w:cs="Calibri"/>
          <w:szCs w:val="24"/>
        </w:rPr>
        <w:t>: An additional control with Verapamil (ABC pump inhibitor) can be prepared if ABC pump mediated dye efflux need</w:t>
      </w:r>
      <w:r w:rsidR="00365A5D">
        <w:rPr>
          <w:rFonts w:ascii="Calibri" w:hAnsi="Calibri" w:cs="Calibri"/>
          <w:szCs w:val="24"/>
        </w:rPr>
        <w:t>s</w:t>
      </w:r>
      <w:r w:rsidR="003E68D3" w:rsidRPr="005D53A7">
        <w:rPr>
          <w:rFonts w:ascii="Calibri" w:hAnsi="Calibri" w:cs="Calibri"/>
          <w:szCs w:val="24"/>
        </w:rPr>
        <w:t xml:space="preserve"> to be </w:t>
      </w:r>
      <w:r w:rsidR="00037F6F">
        <w:rPr>
          <w:rFonts w:ascii="Calibri" w:hAnsi="Calibri" w:cs="Calibri"/>
          <w:szCs w:val="24"/>
        </w:rPr>
        <w:t>tested</w:t>
      </w:r>
      <w:r w:rsidR="003E68D3" w:rsidRPr="005D53A7">
        <w:rPr>
          <w:rFonts w:ascii="Calibri" w:hAnsi="Calibri" w:cs="Calibri"/>
          <w:szCs w:val="24"/>
        </w:rPr>
        <w:t xml:space="preserve">. For this, add 50 </w:t>
      </w:r>
      <w:r w:rsidR="00681993">
        <w:rPr>
          <w:rFonts w:ascii="Calibri" w:hAnsi="Calibri" w:cs="Calibri"/>
          <w:szCs w:val="24"/>
        </w:rPr>
        <w:t>µ</w:t>
      </w:r>
      <w:r w:rsidR="003E68D3" w:rsidRPr="005D53A7">
        <w:rPr>
          <w:rFonts w:ascii="Calibri" w:hAnsi="Calibri" w:cs="Calibri"/>
          <w:szCs w:val="24"/>
        </w:rPr>
        <w:t xml:space="preserve">M Verapamil </w:t>
      </w:r>
      <w:r w:rsidR="00365A5D" w:rsidRPr="005D53A7">
        <w:rPr>
          <w:rFonts w:ascii="Calibri" w:hAnsi="Calibri" w:cs="Calibri"/>
          <w:szCs w:val="24"/>
        </w:rPr>
        <w:t xml:space="preserve">in one of the test wells </w:t>
      </w:r>
      <w:r w:rsidR="003E68D3" w:rsidRPr="005D53A7">
        <w:rPr>
          <w:rFonts w:ascii="Calibri" w:hAnsi="Calibri" w:cs="Calibri"/>
          <w:szCs w:val="24"/>
        </w:rPr>
        <w:t xml:space="preserve">1 </w:t>
      </w:r>
      <w:r w:rsidR="00C80DF9" w:rsidRPr="005D53A7">
        <w:rPr>
          <w:rFonts w:ascii="Calibri" w:hAnsi="Calibri" w:cs="Calibri"/>
          <w:szCs w:val="24"/>
        </w:rPr>
        <w:t>h</w:t>
      </w:r>
      <w:r w:rsidR="003E68D3" w:rsidRPr="005D53A7">
        <w:rPr>
          <w:rFonts w:ascii="Calibri" w:hAnsi="Calibri" w:cs="Calibri"/>
          <w:szCs w:val="24"/>
        </w:rPr>
        <w:t xml:space="preserve"> before staining for TMRM and</w:t>
      </w:r>
      <w:r w:rsidR="00F11C32">
        <w:rPr>
          <w:rFonts w:ascii="Calibri" w:hAnsi="Calibri" w:cs="Calibri"/>
          <w:szCs w:val="24"/>
        </w:rPr>
        <w:t xml:space="preserve"> </w:t>
      </w:r>
      <w:r w:rsidR="00293B42">
        <w:rPr>
          <w:rFonts w:ascii="Calibri" w:hAnsi="Calibri" w:cs="Calibri"/>
          <w:szCs w:val="24"/>
        </w:rPr>
        <w:t>green fluorescent stain</w:t>
      </w:r>
      <w:r w:rsidR="00F11C32">
        <w:rPr>
          <w:rFonts w:ascii="Calibri" w:hAnsi="Calibri" w:cs="Calibri"/>
          <w:szCs w:val="24"/>
        </w:rPr>
        <w:t>.</w:t>
      </w:r>
    </w:p>
    <w:p w14:paraId="38BAF010" w14:textId="77777777" w:rsidR="00722D19" w:rsidRPr="005D53A7" w:rsidRDefault="00722D19" w:rsidP="005D53A7">
      <w:pPr>
        <w:jc w:val="both"/>
        <w:rPr>
          <w:rFonts w:ascii="Calibri" w:hAnsi="Calibri" w:cs="Calibri"/>
          <w:szCs w:val="24"/>
        </w:rPr>
      </w:pPr>
    </w:p>
    <w:p w14:paraId="7FBA5B2E" w14:textId="50BA689A" w:rsidR="003E68D3" w:rsidRPr="0078328A" w:rsidRDefault="003E68D3" w:rsidP="005D53A7">
      <w:pPr>
        <w:pStyle w:val="ListParagraph"/>
        <w:numPr>
          <w:ilvl w:val="1"/>
          <w:numId w:val="14"/>
        </w:numPr>
        <w:jc w:val="both"/>
        <w:rPr>
          <w:rFonts w:ascii="Calibri" w:hAnsi="Calibri"/>
          <w:highlight w:val="yellow"/>
        </w:rPr>
      </w:pPr>
      <w:r w:rsidRPr="0078328A">
        <w:rPr>
          <w:rFonts w:ascii="Calibri" w:hAnsi="Calibri"/>
          <w:highlight w:val="yellow"/>
        </w:rPr>
        <w:t xml:space="preserve">Remove </w:t>
      </w:r>
      <w:r w:rsidR="00722D19" w:rsidRPr="0078328A">
        <w:rPr>
          <w:rFonts w:ascii="Calibri" w:hAnsi="Calibri"/>
          <w:highlight w:val="yellow"/>
        </w:rPr>
        <w:t xml:space="preserve">the </w:t>
      </w:r>
      <w:r w:rsidRPr="0078328A">
        <w:rPr>
          <w:rFonts w:ascii="Calibri" w:hAnsi="Calibri"/>
          <w:highlight w:val="yellow"/>
        </w:rPr>
        <w:t>plate from the incubator</w:t>
      </w:r>
      <w:r w:rsidR="00700671" w:rsidRPr="0078328A">
        <w:rPr>
          <w:rFonts w:ascii="Calibri" w:hAnsi="Calibri"/>
          <w:highlight w:val="yellow"/>
        </w:rPr>
        <w:t xml:space="preserve"> and</w:t>
      </w:r>
      <w:r w:rsidR="00796536" w:rsidRPr="0078328A">
        <w:rPr>
          <w:rFonts w:ascii="Calibri" w:hAnsi="Calibri"/>
          <w:highlight w:val="yellow"/>
        </w:rPr>
        <w:t xml:space="preserve"> </w:t>
      </w:r>
      <w:r w:rsidR="00365A5D" w:rsidRPr="0078328A">
        <w:rPr>
          <w:rFonts w:ascii="Calibri" w:hAnsi="Calibri"/>
          <w:highlight w:val="yellow"/>
        </w:rPr>
        <w:t xml:space="preserve">centrifuge </w:t>
      </w:r>
      <w:r w:rsidR="00700671" w:rsidRPr="0078328A">
        <w:rPr>
          <w:rFonts w:ascii="Calibri" w:hAnsi="Calibri"/>
          <w:highlight w:val="yellow"/>
        </w:rPr>
        <w:t>it</w:t>
      </w:r>
      <w:r w:rsidRPr="0078328A">
        <w:rPr>
          <w:rFonts w:ascii="Calibri" w:hAnsi="Calibri"/>
          <w:highlight w:val="yellow"/>
        </w:rPr>
        <w:t xml:space="preserve"> at 300</w:t>
      </w:r>
      <w:r w:rsidR="00872462" w:rsidRPr="00872462">
        <w:rPr>
          <w:rFonts w:ascii="Calibri" w:hAnsi="Calibri"/>
          <w:iCs/>
          <w:highlight w:val="yellow"/>
        </w:rPr>
        <w:t xml:space="preserve"> x </w:t>
      </w:r>
      <w:r w:rsidR="00872462" w:rsidRPr="00872462">
        <w:rPr>
          <w:rFonts w:ascii="Calibri" w:hAnsi="Calibri"/>
          <w:i/>
          <w:iCs/>
          <w:highlight w:val="yellow"/>
        </w:rPr>
        <w:t>g</w:t>
      </w:r>
      <w:r w:rsidRPr="0078328A">
        <w:rPr>
          <w:rFonts w:ascii="Calibri" w:hAnsi="Calibri"/>
          <w:highlight w:val="yellow"/>
        </w:rPr>
        <w:t xml:space="preserve"> for 5</w:t>
      </w:r>
      <w:r w:rsidR="00165787" w:rsidRPr="0078328A">
        <w:rPr>
          <w:rFonts w:ascii="Calibri" w:hAnsi="Calibri"/>
          <w:highlight w:val="yellow"/>
        </w:rPr>
        <w:t xml:space="preserve"> </w:t>
      </w:r>
      <w:r w:rsidR="00DA08A5" w:rsidRPr="0078328A">
        <w:rPr>
          <w:rFonts w:ascii="Calibri" w:hAnsi="Calibri"/>
          <w:highlight w:val="yellow"/>
        </w:rPr>
        <w:t>min</w:t>
      </w:r>
      <w:r w:rsidRPr="0078328A">
        <w:rPr>
          <w:rFonts w:ascii="Calibri" w:hAnsi="Calibri"/>
          <w:highlight w:val="yellow"/>
        </w:rPr>
        <w:t xml:space="preserve">. </w:t>
      </w:r>
      <w:r w:rsidR="00796536" w:rsidRPr="0078328A">
        <w:rPr>
          <w:rFonts w:ascii="Calibri" w:hAnsi="Calibri"/>
          <w:highlight w:val="yellow"/>
        </w:rPr>
        <w:t>Invert the plate to r</w:t>
      </w:r>
      <w:r w:rsidRPr="0078328A">
        <w:rPr>
          <w:rFonts w:ascii="Calibri" w:hAnsi="Calibri"/>
          <w:highlight w:val="yellow"/>
        </w:rPr>
        <w:t xml:space="preserve">emove </w:t>
      </w:r>
      <w:r w:rsidR="00863B60">
        <w:rPr>
          <w:rFonts w:ascii="Calibri" w:hAnsi="Calibri"/>
          <w:highlight w:val="yellow"/>
        </w:rPr>
        <w:t>the supernatant</w:t>
      </w:r>
      <w:r w:rsidRPr="0078328A">
        <w:rPr>
          <w:rFonts w:ascii="Calibri" w:hAnsi="Calibri"/>
          <w:highlight w:val="yellow"/>
        </w:rPr>
        <w:t>.</w:t>
      </w:r>
      <w:r w:rsidR="00796536" w:rsidRPr="0078328A">
        <w:rPr>
          <w:rFonts w:ascii="Calibri" w:hAnsi="Calibri"/>
          <w:highlight w:val="yellow"/>
        </w:rPr>
        <w:t xml:space="preserve"> </w:t>
      </w:r>
      <w:r w:rsidRPr="0078328A">
        <w:rPr>
          <w:rFonts w:ascii="Calibri" w:hAnsi="Calibri"/>
          <w:highlight w:val="yellow"/>
        </w:rPr>
        <w:t xml:space="preserve">Add 200 </w:t>
      </w:r>
      <w:r w:rsidR="008F345A">
        <w:rPr>
          <w:rFonts w:ascii="Calibri" w:hAnsi="Calibri"/>
          <w:highlight w:val="yellow"/>
        </w:rPr>
        <w:t>µL of</w:t>
      </w:r>
      <w:r w:rsidRPr="0078328A">
        <w:rPr>
          <w:rFonts w:ascii="Calibri" w:hAnsi="Calibri"/>
          <w:highlight w:val="yellow"/>
        </w:rPr>
        <w:t xml:space="preserve"> </w:t>
      </w:r>
      <w:r w:rsidR="00796536" w:rsidRPr="0078328A">
        <w:rPr>
          <w:rFonts w:ascii="Calibri" w:hAnsi="Calibri"/>
          <w:highlight w:val="yellow"/>
        </w:rPr>
        <w:t xml:space="preserve">standard </w:t>
      </w:r>
      <w:r w:rsidRPr="0078328A">
        <w:rPr>
          <w:rFonts w:ascii="Calibri" w:hAnsi="Calibri"/>
          <w:highlight w:val="yellow"/>
        </w:rPr>
        <w:t>FACS buffer</w:t>
      </w:r>
      <w:r w:rsidR="004314BE" w:rsidRPr="0078328A">
        <w:rPr>
          <w:rFonts w:ascii="Calibri" w:hAnsi="Calibri"/>
          <w:highlight w:val="yellow"/>
        </w:rPr>
        <w:t xml:space="preserve"> (PBS-1</w:t>
      </w:r>
      <w:r w:rsidR="00057252" w:rsidRPr="0078328A">
        <w:rPr>
          <w:rFonts w:ascii="Calibri" w:hAnsi="Calibri"/>
          <w:highlight w:val="yellow"/>
        </w:rPr>
        <w:t xml:space="preserve"> </w:t>
      </w:r>
      <w:r w:rsidR="004314BE" w:rsidRPr="0078328A">
        <w:rPr>
          <w:rFonts w:ascii="Calibri" w:hAnsi="Calibri"/>
          <w:highlight w:val="yellow"/>
        </w:rPr>
        <w:t>mM EDTA-P/S-2</w:t>
      </w:r>
      <w:r w:rsidR="00872462">
        <w:rPr>
          <w:rFonts w:ascii="Calibri" w:hAnsi="Calibri"/>
          <w:highlight w:val="yellow"/>
        </w:rPr>
        <w:t>%</w:t>
      </w:r>
      <w:r w:rsidR="004314BE" w:rsidRPr="0078328A">
        <w:rPr>
          <w:rFonts w:ascii="Calibri" w:hAnsi="Calibri"/>
          <w:highlight w:val="yellow"/>
        </w:rPr>
        <w:t xml:space="preserve"> FBS)</w:t>
      </w:r>
      <w:r w:rsidRPr="0078328A">
        <w:rPr>
          <w:rFonts w:ascii="Calibri" w:hAnsi="Calibri"/>
          <w:highlight w:val="yellow"/>
        </w:rPr>
        <w:t>, centrifuge the plate at 300</w:t>
      </w:r>
      <w:r w:rsidR="00872462" w:rsidRPr="00872462">
        <w:rPr>
          <w:rFonts w:ascii="Calibri" w:hAnsi="Calibri"/>
          <w:iCs/>
          <w:highlight w:val="yellow"/>
        </w:rPr>
        <w:t xml:space="preserve"> x </w:t>
      </w:r>
      <w:r w:rsidR="00872462" w:rsidRPr="00872462">
        <w:rPr>
          <w:rFonts w:ascii="Calibri" w:hAnsi="Calibri"/>
          <w:i/>
          <w:iCs/>
          <w:highlight w:val="yellow"/>
        </w:rPr>
        <w:t>g</w:t>
      </w:r>
      <w:r w:rsidRPr="0078328A">
        <w:rPr>
          <w:rFonts w:ascii="Calibri" w:hAnsi="Calibri"/>
          <w:highlight w:val="yellow"/>
        </w:rPr>
        <w:t xml:space="preserve"> for 5</w:t>
      </w:r>
      <w:r w:rsidR="00165787" w:rsidRPr="0078328A">
        <w:rPr>
          <w:rFonts w:ascii="Calibri" w:hAnsi="Calibri"/>
          <w:highlight w:val="yellow"/>
        </w:rPr>
        <w:t xml:space="preserve"> </w:t>
      </w:r>
      <w:r w:rsidR="00DA08A5" w:rsidRPr="0078328A">
        <w:rPr>
          <w:rFonts w:ascii="Calibri" w:hAnsi="Calibri"/>
          <w:highlight w:val="yellow"/>
        </w:rPr>
        <w:t>min</w:t>
      </w:r>
      <w:r w:rsidRPr="0078328A">
        <w:rPr>
          <w:rFonts w:ascii="Calibri" w:hAnsi="Calibri"/>
          <w:highlight w:val="yellow"/>
        </w:rPr>
        <w:t xml:space="preserve">. Remove </w:t>
      </w:r>
      <w:r w:rsidR="00863B60">
        <w:rPr>
          <w:rFonts w:ascii="Calibri" w:hAnsi="Calibri"/>
          <w:highlight w:val="yellow"/>
        </w:rPr>
        <w:t>the supernatant</w:t>
      </w:r>
      <w:r w:rsidRPr="0078328A">
        <w:rPr>
          <w:rFonts w:ascii="Calibri" w:hAnsi="Calibri"/>
          <w:highlight w:val="yellow"/>
        </w:rPr>
        <w:t>. Repeat this washing step 3</w:t>
      </w:r>
      <w:r w:rsidR="00B263ED">
        <w:rPr>
          <w:rFonts w:ascii="Calibri" w:hAnsi="Calibri"/>
          <w:highlight w:val="yellow"/>
        </w:rPr>
        <w:t>x</w:t>
      </w:r>
      <w:r w:rsidRPr="0078328A">
        <w:rPr>
          <w:rFonts w:ascii="Calibri" w:hAnsi="Calibri"/>
          <w:highlight w:val="yellow"/>
        </w:rPr>
        <w:t>.</w:t>
      </w:r>
      <w:r w:rsidR="00796536" w:rsidRPr="0078328A">
        <w:rPr>
          <w:rFonts w:ascii="Calibri" w:hAnsi="Calibri"/>
          <w:highlight w:val="yellow"/>
        </w:rPr>
        <w:t xml:space="preserve"> The users must ensure that the plate is always covered with foil</w:t>
      </w:r>
      <w:r w:rsidR="00B263ED">
        <w:rPr>
          <w:rFonts w:ascii="Calibri" w:hAnsi="Calibri"/>
          <w:highlight w:val="yellow"/>
        </w:rPr>
        <w:t>,</w:t>
      </w:r>
      <w:r w:rsidR="00796536" w:rsidRPr="0078328A">
        <w:rPr>
          <w:rFonts w:ascii="Calibri" w:hAnsi="Calibri"/>
          <w:highlight w:val="yellow"/>
        </w:rPr>
        <w:t xml:space="preserve"> </w:t>
      </w:r>
      <w:r w:rsidR="00B263ED">
        <w:rPr>
          <w:rFonts w:ascii="Calibri" w:hAnsi="Calibri"/>
          <w:highlight w:val="yellow"/>
        </w:rPr>
        <w:t xml:space="preserve">to provide </w:t>
      </w:r>
      <w:r w:rsidR="00796536" w:rsidRPr="0078328A">
        <w:rPr>
          <w:rFonts w:ascii="Calibri" w:hAnsi="Calibri"/>
          <w:highlight w:val="yellow"/>
        </w:rPr>
        <w:t>minimal exposure to direct light</w:t>
      </w:r>
      <w:r w:rsidR="00722D19" w:rsidRPr="0078328A">
        <w:rPr>
          <w:rFonts w:ascii="Calibri" w:hAnsi="Calibri"/>
          <w:highlight w:val="yellow"/>
        </w:rPr>
        <w:t>.</w:t>
      </w:r>
    </w:p>
    <w:p w14:paraId="5DF65D45" w14:textId="77777777" w:rsidR="00722D19" w:rsidRPr="005D53A7" w:rsidRDefault="00722D19" w:rsidP="00722D19">
      <w:pPr>
        <w:pStyle w:val="ListParagraph"/>
        <w:ind w:left="0"/>
        <w:jc w:val="both"/>
        <w:rPr>
          <w:rFonts w:ascii="Calibri" w:hAnsi="Calibri" w:cs="Calibri"/>
          <w:szCs w:val="24"/>
        </w:rPr>
      </w:pPr>
    </w:p>
    <w:p w14:paraId="0ACA2768" w14:textId="7C80E4BE" w:rsidR="00722D19" w:rsidRDefault="00B74080" w:rsidP="005D53A7">
      <w:pPr>
        <w:jc w:val="both"/>
        <w:rPr>
          <w:rFonts w:ascii="Calibri" w:hAnsi="Calibri" w:cs="Calibri"/>
          <w:szCs w:val="24"/>
        </w:rPr>
      </w:pPr>
      <w:r w:rsidRPr="005D53A7">
        <w:rPr>
          <w:rFonts w:ascii="Calibri" w:hAnsi="Calibri" w:cs="Calibri"/>
          <w:szCs w:val="24"/>
        </w:rPr>
        <w:lastRenderedPageBreak/>
        <w:t>NOTE</w:t>
      </w:r>
      <w:r w:rsidR="00796536" w:rsidRPr="005D53A7">
        <w:rPr>
          <w:rFonts w:ascii="Calibri" w:hAnsi="Calibri" w:cs="Calibri"/>
          <w:szCs w:val="24"/>
        </w:rPr>
        <w:t>: If users need to combine the mitochondrial staining with stem cell staining</w:t>
      </w:r>
      <w:r w:rsidR="00593C55">
        <w:rPr>
          <w:rFonts w:ascii="Calibri" w:hAnsi="Calibri" w:cs="Calibri"/>
          <w:szCs w:val="24"/>
        </w:rPr>
        <w:t>,</w:t>
      </w:r>
      <w:r w:rsidR="00796536" w:rsidRPr="005D53A7">
        <w:rPr>
          <w:rFonts w:ascii="Calibri" w:hAnsi="Calibri" w:cs="Calibri"/>
          <w:szCs w:val="24"/>
        </w:rPr>
        <w:t xml:space="preserve"> </w:t>
      </w:r>
      <w:r w:rsidR="00B263ED">
        <w:rPr>
          <w:rFonts w:ascii="Calibri" w:hAnsi="Calibri" w:cs="Calibri"/>
          <w:szCs w:val="24"/>
        </w:rPr>
        <w:t>t</w:t>
      </w:r>
      <w:r w:rsidR="00796536" w:rsidRPr="005D53A7">
        <w:rPr>
          <w:rFonts w:ascii="Calibri" w:hAnsi="Calibri" w:cs="Calibri"/>
          <w:szCs w:val="24"/>
        </w:rPr>
        <w:t xml:space="preserve">he </w:t>
      </w:r>
      <w:r w:rsidR="008E5068" w:rsidRPr="005D53A7">
        <w:rPr>
          <w:rFonts w:ascii="Calibri" w:hAnsi="Calibri" w:cs="Calibri"/>
          <w:szCs w:val="24"/>
        </w:rPr>
        <w:t>sample will</w:t>
      </w:r>
      <w:r w:rsidR="00796536" w:rsidRPr="005D53A7">
        <w:rPr>
          <w:rFonts w:ascii="Calibri" w:hAnsi="Calibri" w:cs="Calibri"/>
          <w:szCs w:val="24"/>
        </w:rPr>
        <w:t xml:space="preserve"> need to be incubated with an antibody mix of all stem cell markers and the </w:t>
      </w:r>
      <w:r w:rsidR="008E5068" w:rsidRPr="005D53A7">
        <w:rPr>
          <w:rFonts w:ascii="Calibri" w:hAnsi="Calibri" w:cs="Calibri"/>
          <w:szCs w:val="24"/>
        </w:rPr>
        <w:t>single-color</w:t>
      </w:r>
      <w:r w:rsidR="00796536" w:rsidRPr="005D53A7">
        <w:rPr>
          <w:rFonts w:ascii="Calibri" w:hAnsi="Calibri" w:cs="Calibri"/>
          <w:szCs w:val="24"/>
        </w:rPr>
        <w:t xml:space="preserve"> controls will need to be </w:t>
      </w:r>
      <w:r w:rsidR="008E5068" w:rsidRPr="005D53A7">
        <w:rPr>
          <w:rFonts w:ascii="Calibri" w:hAnsi="Calibri" w:cs="Calibri"/>
          <w:szCs w:val="24"/>
        </w:rPr>
        <w:t>stained</w:t>
      </w:r>
      <w:r w:rsidR="00796536" w:rsidRPr="005D53A7">
        <w:rPr>
          <w:rFonts w:ascii="Calibri" w:hAnsi="Calibri" w:cs="Calibri"/>
          <w:szCs w:val="24"/>
        </w:rPr>
        <w:t xml:space="preserve"> with individual antibodies separately at 4 </w:t>
      </w:r>
      <w:r w:rsidR="00B263ED">
        <w:rPr>
          <w:rFonts w:ascii="Calibri" w:hAnsi="Calibri" w:cs="Calibri"/>
          <w:szCs w:val="24"/>
        </w:rPr>
        <w:t>°</w:t>
      </w:r>
      <w:r w:rsidR="00796536" w:rsidRPr="005D53A7">
        <w:rPr>
          <w:rFonts w:ascii="Calibri" w:hAnsi="Calibri" w:cs="Calibri"/>
          <w:szCs w:val="24"/>
        </w:rPr>
        <w:t>C for 30</w:t>
      </w:r>
      <w:r w:rsidR="00B263ED" w:rsidRPr="00286029">
        <w:rPr>
          <w:rFonts w:ascii="Calibri" w:hAnsi="Calibri" w:cs="Calibri"/>
          <w:szCs w:val="24"/>
        </w:rPr>
        <w:t>–</w:t>
      </w:r>
      <w:r w:rsidR="00796536" w:rsidRPr="005D53A7">
        <w:rPr>
          <w:rFonts w:ascii="Calibri" w:hAnsi="Calibri" w:cs="Calibri"/>
          <w:szCs w:val="24"/>
        </w:rPr>
        <w:t>45</w:t>
      </w:r>
      <w:r w:rsidR="00165787" w:rsidRPr="005D53A7">
        <w:rPr>
          <w:rFonts w:ascii="Calibri" w:hAnsi="Calibri" w:cs="Calibri"/>
          <w:szCs w:val="24"/>
        </w:rPr>
        <w:t xml:space="preserve"> </w:t>
      </w:r>
      <w:r w:rsidR="00DA08A5" w:rsidRPr="005D53A7">
        <w:rPr>
          <w:rFonts w:ascii="Calibri" w:hAnsi="Calibri" w:cs="Calibri"/>
          <w:szCs w:val="24"/>
        </w:rPr>
        <w:t>min</w:t>
      </w:r>
      <w:r w:rsidR="00796536" w:rsidRPr="005D53A7">
        <w:rPr>
          <w:rFonts w:ascii="Calibri" w:hAnsi="Calibri" w:cs="Calibri"/>
          <w:szCs w:val="24"/>
        </w:rPr>
        <w:t xml:space="preserve">. </w:t>
      </w:r>
    </w:p>
    <w:p w14:paraId="74AD6306" w14:textId="77777777" w:rsidR="00722D19" w:rsidRDefault="00722D19" w:rsidP="005D53A7">
      <w:pPr>
        <w:jc w:val="both"/>
        <w:rPr>
          <w:rFonts w:ascii="Calibri" w:hAnsi="Calibri" w:cs="Calibri"/>
          <w:szCs w:val="24"/>
        </w:rPr>
      </w:pPr>
    </w:p>
    <w:p w14:paraId="6998C192" w14:textId="27D70E0E" w:rsidR="00722D19" w:rsidRDefault="00722D19" w:rsidP="005D53A7">
      <w:pPr>
        <w:jc w:val="both"/>
        <w:rPr>
          <w:rFonts w:ascii="Calibri" w:hAnsi="Calibri" w:cs="Calibri"/>
          <w:szCs w:val="24"/>
        </w:rPr>
      </w:pPr>
      <w:r>
        <w:rPr>
          <w:rFonts w:ascii="Calibri" w:hAnsi="Calibri" w:cs="Calibri"/>
          <w:szCs w:val="24"/>
        </w:rPr>
        <w:t xml:space="preserve">NOTE: </w:t>
      </w:r>
      <w:r w:rsidR="00796536" w:rsidRPr="005D53A7">
        <w:rPr>
          <w:rFonts w:ascii="Calibri" w:hAnsi="Calibri" w:cs="Calibri"/>
          <w:szCs w:val="24"/>
        </w:rPr>
        <w:t>At all st</w:t>
      </w:r>
      <w:r w:rsidR="008E5068" w:rsidRPr="005D53A7">
        <w:rPr>
          <w:rFonts w:ascii="Calibri" w:hAnsi="Calibri" w:cs="Calibri"/>
          <w:szCs w:val="24"/>
        </w:rPr>
        <w:t>eps</w:t>
      </w:r>
      <w:r w:rsidR="00796536" w:rsidRPr="005D53A7">
        <w:rPr>
          <w:rFonts w:ascii="Calibri" w:hAnsi="Calibri" w:cs="Calibri"/>
          <w:szCs w:val="24"/>
        </w:rPr>
        <w:t xml:space="preserve"> users must keep the plate covered with </w:t>
      </w:r>
      <w:r w:rsidR="008E5068" w:rsidRPr="005D53A7">
        <w:rPr>
          <w:rFonts w:ascii="Calibri" w:hAnsi="Calibri" w:cs="Calibri"/>
          <w:szCs w:val="24"/>
        </w:rPr>
        <w:t>aluminum foil.</w:t>
      </w:r>
      <w:r w:rsidR="006B2198">
        <w:rPr>
          <w:rFonts w:ascii="Calibri" w:hAnsi="Calibri" w:cs="Calibri"/>
          <w:szCs w:val="24"/>
        </w:rPr>
        <w:t xml:space="preserve"> </w:t>
      </w:r>
      <w:r w:rsidR="008E5068" w:rsidRPr="005D53A7">
        <w:rPr>
          <w:rFonts w:ascii="Calibri" w:hAnsi="Calibri" w:cs="Calibri"/>
          <w:szCs w:val="24"/>
        </w:rPr>
        <w:t xml:space="preserve">Users must note that this additional staining step and subsequent washing steps </w:t>
      </w:r>
      <w:r w:rsidR="001A41DC" w:rsidRPr="005D53A7">
        <w:rPr>
          <w:rFonts w:ascii="Calibri" w:hAnsi="Calibri" w:cs="Calibri"/>
          <w:szCs w:val="24"/>
        </w:rPr>
        <w:t>can</w:t>
      </w:r>
      <w:r w:rsidR="008E5068" w:rsidRPr="005D53A7">
        <w:rPr>
          <w:rFonts w:ascii="Calibri" w:hAnsi="Calibri" w:cs="Calibri"/>
          <w:szCs w:val="24"/>
        </w:rPr>
        <w:t xml:space="preserve"> result in additional cell loss.</w:t>
      </w:r>
    </w:p>
    <w:p w14:paraId="4A1D345F" w14:textId="77777777" w:rsidR="00722D19" w:rsidRPr="005D53A7" w:rsidRDefault="00722D19" w:rsidP="005D53A7">
      <w:pPr>
        <w:jc w:val="both"/>
        <w:rPr>
          <w:rFonts w:ascii="Calibri" w:hAnsi="Calibri" w:cs="Calibri"/>
          <w:szCs w:val="24"/>
        </w:rPr>
      </w:pPr>
    </w:p>
    <w:p w14:paraId="2B48FA0F" w14:textId="4E12BFD4" w:rsidR="003E68D3" w:rsidRPr="0078328A" w:rsidRDefault="003E68D3" w:rsidP="005D53A7">
      <w:pPr>
        <w:pStyle w:val="ListParagraph"/>
        <w:numPr>
          <w:ilvl w:val="1"/>
          <w:numId w:val="14"/>
        </w:numPr>
        <w:jc w:val="both"/>
        <w:rPr>
          <w:rFonts w:ascii="Calibri" w:hAnsi="Calibri"/>
          <w:highlight w:val="yellow"/>
        </w:rPr>
      </w:pPr>
      <w:r w:rsidRPr="0078328A">
        <w:rPr>
          <w:rFonts w:ascii="Calibri" w:hAnsi="Calibri"/>
          <w:highlight w:val="yellow"/>
        </w:rPr>
        <w:t xml:space="preserve">Resuspend the cells in 200 </w:t>
      </w:r>
      <w:r w:rsidR="008F345A">
        <w:rPr>
          <w:rFonts w:ascii="Calibri" w:hAnsi="Calibri"/>
          <w:highlight w:val="yellow"/>
        </w:rPr>
        <w:t>µL of</w:t>
      </w:r>
      <w:r w:rsidRPr="0078328A">
        <w:rPr>
          <w:rFonts w:ascii="Calibri" w:hAnsi="Calibri"/>
          <w:highlight w:val="yellow"/>
        </w:rPr>
        <w:t xml:space="preserve"> FACS buffer and transfer </w:t>
      </w:r>
      <w:r w:rsidR="00B263ED">
        <w:rPr>
          <w:rFonts w:ascii="Calibri" w:hAnsi="Calibri"/>
          <w:highlight w:val="yellow"/>
        </w:rPr>
        <w:t>to</w:t>
      </w:r>
      <w:r w:rsidR="00B263ED" w:rsidRPr="0078328A">
        <w:rPr>
          <w:rFonts w:ascii="Calibri" w:hAnsi="Calibri"/>
          <w:highlight w:val="yellow"/>
        </w:rPr>
        <w:t xml:space="preserve"> </w:t>
      </w:r>
      <w:r w:rsidRPr="0078328A">
        <w:rPr>
          <w:rFonts w:ascii="Calibri" w:hAnsi="Calibri"/>
          <w:highlight w:val="yellow"/>
        </w:rPr>
        <w:t>FACS tubes.</w:t>
      </w:r>
    </w:p>
    <w:p w14:paraId="428F58DB" w14:textId="77777777" w:rsidR="00722D19" w:rsidRPr="005D53A7" w:rsidRDefault="00722D19" w:rsidP="00722D19">
      <w:pPr>
        <w:pStyle w:val="ListParagraph"/>
        <w:ind w:left="0"/>
        <w:jc w:val="both"/>
        <w:rPr>
          <w:rFonts w:ascii="Calibri" w:hAnsi="Calibri" w:cs="Calibri"/>
          <w:szCs w:val="24"/>
        </w:rPr>
      </w:pPr>
    </w:p>
    <w:p w14:paraId="5F4B8973" w14:textId="1D1A6DB8" w:rsidR="003E68D3" w:rsidRDefault="003E68D3" w:rsidP="00722D19">
      <w:pPr>
        <w:pStyle w:val="ListParagraph"/>
        <w:numPr>
          <w:ilvl w:val="1"/>
          <w:numId w:val="14"/>
        </w:numPr>
        <w:jc w:val="both"/>
        <w:rPr>
          <w:rFonts w:ascii="Calibri" w:hAnsi="Calibri" w:cs="Calibri"/>
          <w:szCs w:val="24"/>
        </w:rPr>
      </w:pPr>
      <w:r w:rsidRPr="0078328A">
        <w:rPr>
          <w:rFonts w:ascii="Calibri" w:hAnsi="Calibri" w:cs="Calibri"/>
          <w:szCs w:val="24"/>
          <w:highlight w:val="yellow"/>
        </w:rPr>
        <w:t xml:space="preserve">Run the samples on the </w:t>
      </w:r>
      <w:r w:rsidR="008E5068" w:rsidRPr="0078328A">
        <w:rPr>
          <w:rFonts w:ascii="Calibri" w:hAnsi="Calibri" w:cs="Calibri"/>
          <w:szCs w:val="24"/>
          <w:highlight w:val="yellow"/>
        </w:rPr>
        <w:t>flow cytometer</w:t>
      </w:r>
      <w:r w:rsidR="00BE2563" w:rsidRPr="0078328A">
        <w:rPr>
          <w:rFonts w:ascii="Calibri" w:hAnsi="Calibri" w:cs="Calibri"/>
          <w:szCs w:val="24"/>
          <w:highlight w:val="yellow"/>
        </w:rPr>
        <w:t xml:space="preserve"> (</w:t>
      </w:r>
      <w:r w:rsidR="0078328A">
        <w:rPr>
          <w:rFonts w:ascii="Calibri" w:hAnsi="Calibri" w:cs="Calibri"/>
          <w:szCs w:val="24"/>
          <w:highlight w:val="yellow"/>
        </w:rPr>
        <w:t xml:space="preserve">see </w:t>
      </w:r>
      <w:r w:rsidR="00B70634" w:rsidRPr="00B70634">
        <w:rPr>
          <w:rFonts w:ascii="Calibri" w:hAnsi="Calibri" w:cs="Calibri"/>
          <w:b/>
          <w:szCs w:val="24"/>
          <w:highlight w:val="yellow"/>
        </w:rPr>
        <w:t>Figure 1</w:t>
      </w:r>
      <w:r w:rsidR="00BE2563" w:rsidRPr="0078328A">
        <w:rPr>
          <w:rFonts w:ascii="Calibri" w:hAnsi="Calibri" w:cs="Calibri"/>
          <w:szCs w:val="24"/>
          <w:highlight w:val="yellow"/>
        </w:rPr>
        <w:t>)</w:t>
      </w:r>
      <w:r w:rsidRPr="0078328A">
        <w:rPr>
          <w:rFonts w:ascii="Calibri" w:hAnsi="Calibri" w:cs="Calibri"/>
          <w:szCs w:val="24"/>
          <w:highlight w:val="yellow"/>
        </w:rPr>
        <w:t>.</w:t>
      </w:r>
      <w:r w:rsidRPr="005D53A7">
        <w:rPr>
          <w:rFonts w:ascii="Calibri" w:hAnsi="Calibri" w:cs="Calibri"/>
          <w:szCs w:val="24"/>
        </w:rPr>
        <w:t xml:space="preserve"> Single color tubes containing WBM include</w:t>
      </w:r>
      <w:r w:rsidR="00722D19">
        <w:rPr>
          <w:rFonts w:ascii="Calibri" w:hAnsi="Calibri" w:cs="Calibri"/>
          <w:szCs w:val="24"/>
        </w:rPr>
        <w:t>: (</w:t>
      </w:r>
      <w:r w:rsidR="00B263ED">
        <w:rPr>
          <w:rFonts w:ascii="Calibri" w:hAnsi="Calibri" w:cs="Calibri"/>
          <w:szCs w:val="24"/>
        </w:rPr>
        <w:t>1</w:t>
      </w:r>
      <w:r w:rsidR="00722D19">
        <w:rPr>
          <w:rFonts w:ascii="Calibri" w:hAnsi="Calibri" w:cs="Calibri"/>
          <w:szCs w:val="24"/>
        </w:rPr>
        <w:t xml:space="preserve">) </w:t>
      </w:r>
      <w:r w:rsidRPr="00722D19">
        <w:rPr>
          <w:rFonts w:ascii="Calibri" w:hAnsi="Calibri" w:cs="Calibri"/>
          <w:szCs w:val="24"/>
        </w:rPr>
        <w:t>Unstained</w:t>
      </w:r>
      <w:r w:rsidR="00722D19">
        <w:rPr>
          <w:rFonts w:ascii="Calibri" w:hAnsi="Calibri" w:cs="Calibri"/>
          <w:szCs w:val="24"/>
        </w:rPr>
        <w:t>; (</w:t>
      </w:r>
      <w:r w:rsidR="00B263ED">
        <w:rPr>
          <w:rFonts w:ascii="Calibri" w:hAnsi="Calibri" w:cs="Calibri"/>
          <w:szCs w:val="24"/>
        </w:rPr>
        <w:t>2</w:t>
      </w:r>
      <w:r w:rsidR="00722D19">
        <w:rPr>
          <w:rFonts w:ascii="Calibri" w:hAnsi="Calibri" w:cs="Calibri"/>
          <w:szCs w:val="24"/>
        </w:rPr>
        <w:t xml:space="preserve">) </w:t>
      </w:r>
      <w:r w:rsidRPr="00722D19">
        <w:rPr>
          <w:rFonts w:ascii="Calibri" w:hAnsi="Calibri" w:cs="Calibri"/>
          <w:szCs w:val="24"/>
        </w:rPr>
        <w:t>DAPI</w:t>
      </w:r>
      <w:r w:rsidR="00722D19">
        <w:rPr>
          <w:rFonts w:ascii="Calibri" w:hAnsi="Calibri" w:cs="Calibri"/>
          <w:szCs w:val="24"/>
        </w:rPr>
        <w:t>; (</w:t>
      </w:r>
      <w:r w:rsidR="00B263ED">
        <w:rPr>
          <w:rFonts w:ascii="Calibri" w:hAnsi="Calibri" w:cs="Calibri"/>
          <w:szCs w:val="24"/>
        </w:rPr>
        <w:t>3</w:t>
      </w:r>
      <w:r w:rsidR="00722D19">
        <w:rPr>
          <w:rFonts w:ascii="Calibri" w:hAnsi="Calibri" w:cs="Calibri"/>
          <w:szCs w:val="24"/>
        </w:rPr>
        <w:t xml:space="preserve">) </w:t>
      </w:r>
      <w:r w:rsidRPr="00722D19">
        <w:rPr>
          <w:rFonts w:ascii="Calibri" w:hAnsi="Calibri" w:cs="Calibri"/>
          <w:szCs w:val="24"/>
        </w:rPr>
        <w:t>TMRM (PE)</w:t>
      </w:r>
      <w:r w:rsidR="00722D19">
        <w:rPr>
          <w:rFonts w:ascii="Calibri" w:hAnsi="Calibri" w:cs="Calibri"/>
          <w:szCs w:val="24"/>
        </w:rPr>
        <w:t>; (</w:t>
      </w:r>
      <w:r w:rsidR="00B263ED">
        <w:rPr>
          <w:rFonts w:ascii="Calibri" w:hAnsi="Calibri" w:cs="Calibri"/>
          <w:szCs w:val="24"/>
        </w:rPr>
        <w:t>4</w:t>
      </w:r>
      <w:r w:rsidR="00722D19">
        <w:rPr>
          <w:rFonts w:ascii="Calibri" w:hAnsi="Calibri" w:cs="Calibri"/>
          <w:szCs w:val="24"/>
        </w:rPr>
        <w:t>)</w:t>
      </w:r>
      <w:r w:rsidR="0032274B">
        <w:rPr>
          <w:rFonts w:ascii="Calibri" w:hAnsi="Calibri" w:cs="Calibri"/>
          <w:szCs w:val="24"/>
        </w:rPr>
        <w:t xml:space="preserve"> </w:t>
      </w:r>
      <w:r w:rsidR="00293B42">
        <w:rPr>
          <w:rFonts w:ascii="Calibri" w:hAnsi="Calibri" w:cs="Calibri"/>
          <w:szCs w:val="24"/>
        </w:rPr>
        <w:t>green fluorescent stain</w:t>
      </w:r>
      <w:r w:rsidRPr="00722D19">
        <w:rPr>
          <w:rFonts w:ascii="Calibri" w:hAnsi="Calibri" w:cs="Calibri"/>
          <w:szCs w:val="24"/>
        </w:rPr>
        <w:t xml:space="preserve"> (FITC)</w:t>
      </w:r>
      <w:r w:rsidR="00722D19">
        <w:rPr>
          <w:rFonts w:ascii="Calibri" w:hAnsi="Calibri" w:cs="Calibri"/>
          <w:szCs w:val="24"/>
        </w:rPr>
        <w:t>; (</w:t>
      </w:r>
      <w:r w:rsidR="00B263ED">
        <w:rPr>
          <w:rFonts w:ascii="Calibri" w:hAnsi="Calibri" w:cs="Calibri"/>
          <w:szCs w:val="24"/>
        </w:rPr>
        <w:t>5</w:t>
      </w:r>
      <w:r w:rsidR="00722D19">
        <w:rPr>
          <w:rFonts w:ascii="Calibri" w:hAnsi="Calibri" w:cs="Calibri"/>
          <w:szCs w:val="24"/>
        </w:rPr>
        <w:t xml:space="preserve">) </w:t>
      </w:r>
      <w:r w:rsidRPr="00722D19">
        <w:rPr>
          <w:rFonts w:ascii="Calibri" w:hAnsi="Calibri" w:cs="Calibri"/>
          <w:szCs w:val="24"/>
        </w:rPr>
        <w:t>Full stain (PE and FITC)</w:t>
      </w:r>
      <w:r w:rsidR="00722D19">
        <w:rPr>
          <w:rFonts w:ascii="Calibri" w:hAnsi="Calibri" w:cs="Calibri"/>
          <w:szCs w:val="24"/>
        </w:rPr>
        <w:t>.</w:t>
      </w:r>
    </w:p>
    <w:p w14:paraId="5EFA8B01" w14:textId="77777777" w:rsidR="00722D19" w:rsidRPr="00722D19" w:rsidRDefault="00722D19" w:rsidP="00722D19">
      <w:pPr>
        <w:pStyle w:val="ListParagraph"/>
        <w:ind w:left="0"/>
        <w:jc w:val="both"/>
        <w:rPr>
          <w:rFonts w:ascii="Calibri" w:hAnsi="Calibri" w:cs="Calibri"/>
          <w:szCs w:val="24"/>
        </w:rPr>
      </w:pPr>
    </w:p>
    <w:p w14:paraId="0EC3F3AF" w14:textId="19EFE40B" w:rsidR="00722D19" w:rsidRPr="0078328A" w:rsidRDefault="002B2308" w:rsidP="002B6AEE">
      <w:pPr>
        <w:pStyle w:val="ListParagraph"/>
        <w:numPr>
          <w:ilvl w:val="1"/>
          <w:numId w:val="14"/>
        </w:numPr>
        <w:jc w:val="both"/>
        <w:rPr>
          <w:rFonts w:ascii="Calibri" w:hAnsi="Calibri"/>
          <w:highlight w:val="yellow"/>
        </w:rPr>
      </w:pPr>
      <w:r w:rsidRPr="006308A5">
        <w:rPr>
          <w:rFonts w:ascii="Calibri" w:hAnsi="Calibri" w:cs="Calibri"/>
          <w:szCs w:val="24"/>
          <w:highlight w:val="yellow"/>
        </w:rPr>
        <w:t>First acquire the</w:t>
      </w:r>
      <w:r w:rsidR="003E68D3" w:rsidRPr="006308A5">
        <w:rPr>
          <w:rFonts w:ascii="Calibri" w:hAnsi="Calibri" w:cs="Calibri"/>
          <w:szCs w:val="24"/>
          <w:highlight w:val="yellow"/>
        </w:rPr>
        <w:t xml:space="preserve"> single-color controls</w:t>
      </w:r>
      <w:r w:rsidRPr="006308A5">
        <w:rPr>
          <w:rFonts w:ascii="Calibri" w:hAnsi="Calibri" w:cs="Calibri"/>
          <w:szCs w:val="24"/>
          <w:highlight w:val="yellow"/>
        </w:rPr>
        <w:t xml:space="preserve"> to set</w:t>
      </w:r>
      <w:r w:rsidR="00B263ED">
        <w:rPr>
          <w:rFonts w:ascii="Calibri" w:hAnsi="Calibri" w:cs="Calibri"/>
          <w:szCs w:val="24"/>
          <w:highlight w:val="yellow"/>
        </w:rPr>
        <w:t xml:space="preserve"> </w:t>
      </w:r>
      <w:r w:rsidRPr="006308A5">
        <w:rPr>
          <w:rFonts w:ascii="Calibri" w:hAnsi="Calibri" w:cs="Calibri"/>
          <w:szCs w:val="24"/>
          <w:highlight w:val="yellow"/>
        </w:rPr>
        <w:t>up the machine</w:t>
      </w:r>
      <w:r w:rsidR="003E68D3" w:rsidRPr="006308A5">
        <w:rPr>
          <w:rFonts w:ascii="Calibri" w:hAnsi="Calibri" w:cs="Calibri"/>
          <w:szCs w:val="24"/>
          <w:highlight w:val="yellow"/>
        </w:rPr>
        <w:t xml:space="preserve">. </w:t>
      </w:r>
      <w:r w:rsidRPr="006308A5">
        <w:rPr>
          <w:rFonts w:ascii="Calibri" w:hAnsi="Calibri" w:cs="Calibri"/>
          <w:szCs w:val="24"/>
          <w:highlight w:val="yellow"/>
        </w:rPr>
        <w:t>Use the running software on the machine to calculate the compensation. Once compensation has been applied</w:t>
      </w:r>
      <w:r w:rsidR="00B263ED">
        <w:rPr>
          <w:rFonts w:ascii="Calibri" w:hAnsi="Calibri" w:cs="Calibri"/>
          <w:szCs w:val="24"/>
          <w:highlight w:val="yellow"/>
        </w:rPr>
        <w:t>,</w:t>
      </w:r>
      <w:r w:rsidRPr="006308A5">
        <w:rPr>
          <w:rFonts w:ascii="Calibri" w:hAnsi="Calibri" w:cs="Calibri"/>
          <w:szCs w:val="24"/>
          <w:highlight w:val="yellow"/>
        </w:rPr>
        <w:t xml:space="preserve"> acquire</w:t>
      </w:r>
      <w:r w:rsidRPr="0078328A">
        <w:rPr>
          <w:rFonts w:ascii="Calibri" w:hAnsi="Calibri"/>
          <w:highlight w:val="yellow"/>
        </w:rPr>
        <w:t xml:space="preserve"> </w:t>
      </w:r>
      <w:r w:rsidR="00B263ED">
        <w:rPr>
          <w:rFonts w:ascii="Calibri" w:hAnsi="Calibri"/>
          <w:highlight w:val="yellow"/>
        </w:rPr>
        <w:t xml:space="preserve">the </w:t>
      </w:r>
      <w:r w:rsidR="003E68D3" w:rsidRPr="0078328A">
        <w:rPr>
          <w:rFonts w:ascii="Calibri" w:hAnsi="Calibri"/>
          <w:highlight w:val="yellow"/>
        </w:rPr>
        <w:t>HSC sample and record as many events as possible.</w:t>
      </w:r>
    </w:p>
    <w:p w14:paraId="4DF02BD8" w14:textId="77777777" w:rsidR="00722D19" w:rsidRDefault="00722D19" w:rsidP="00722D19">
      <w:pPr>
        <w:pStyle w:val="ListParagraph"/>
        <w:ind w:left="0"/>
        <w:jc w:val="both"/>
        <w:rPr>
          <w:rFonts w:ascii="Calibri" w:hAnsi="Calibri" w:cs="Calibri"/>
          <w:szCs w:val="24"/>
        </w:rPr>
      </w:pPr>
    </w:p>
    <w:p w14:paraId="74CAD2C1" w14:textId="76B264F9" w:rsidR="00BE2563" w:rsidRPr="00722D19" w:rsidRDefault="00BE2563" w:rsidP="00722D19">
      <w:pPr>
        <w:pStyle w:val="ListParagraph"/>
        <w:ind w:left="0"/>
        <w:jc w:val="both"/>
        <w:rPr>
          <w:rFonts w:ascii="Calibri" w:hAnsi="Calibri" w:cs="Calibri"/>
          <w:szCs w:val="24"/>
        </w:rPr>
      </w:pPr>
      <w:r w:rsidRPr="00722D19">
        <w:rPr>
          <w:rFonts w:ascii="Calibri" w:hAnsi="Calibri" w:cs="Calibri"/>
          <w:szCs w:val="24"/>
        </w:rPr>
        <w:t xml:space="preserve">NOTE: If </w:t>
      </w:r>
      <w:r w:rsidR="00B263ED">
        <w:rPr>
          <w:rFonts w:ascii="Calibri" w:hAnsi="Calibri" w:cs="Calibri"/>
          <w:szCs w:val="24"/>
        </w:rPr>
        <w:t xml:space="preserve">the </w:t>
      </w:r>
      <w:r w:rsidRPr="00722D19">
        <w:rPr>
          <w:rFonts w:ascii="Calibri" w:hAnsi="Calibri" w:cs="Calibri"/>
          <w:szCs w:val="24"/>
        </w:rPr>
        <w:t>stem cell and mitochondrial markers are combined</w:t>
      </w:r>
      <w:r w:rsidR="00593C55">
        <w:rPr>
          <w:rFonts w:ascii="Calibri" w:hAnsi="Calibri" w:cs="Calibri"/>
          <w:szCs w:val="24"/>
        </w:rPr>
        <w:t>,</w:t>
      </w:r>
      <w:r w:rsidRPr="00722D19">
        <w:rPr>
          <w:rFonts w:ascii="Calibri" w:hAnsi="Calibri" w:cs="Calibri"/>
          <w:szCs w:val="24"/>
        </w:rPr>
        <w:t xml:space="preserve"> </w:t>
      </w:r>
      <w:r w:rsidR="00B263ED">
        <w:rPr>
          <w:rFonts w:ascii="Calibri" w:hAnsi="Calibri" w:cs="Calibri"/>
          <w:szCs w:val="24"/>
        </w:rPr>
        <w:t>t</w:t>
      </w:r>
      <w:r w:rsidRPr="00722D19">
        <w:rPr>
          <w:rFonts w:ascii="Calibri" w:hAnsi="Calibri" w:cs="Calibri"/>
          <w:szCs w:val="24"/>
        </w:rPr>
        <w:t xml:space="preserve">he users need to be </w:t>
      </w:r>
      <w:r w:rsidR="00B263ED">
        <w:rPr>
          <w:rFonts w:ascii="Calibri" w:hAnsi="Calibri" w:cs="Calibri"/>
          <w:szCs w:val="24"/>
        </w:rPr>
        <w:t>particularly</w:t>
      </w:r>
      <w:r w:rsidR="00B263ED" w:rsidRPr="00722D19">
        <w:rPr>
          <w:rFonts w:ascii="Calibri" w:hAnsi="Calibri" w:cs="Calibri"/>
          <w:szCs w:val="24"/>
        </w:rPr>
        <w:t xml:space="preserve"> </w:t>
      </w:r>
      <w:r w:rsidRPr="00722D19">
        <w:rPr>
          <w:rFonts w:ascii="Calibri" w:hAnsi="Calibri" w:cs="Calibri"/>
          <w:szCs w:val="24"/>
        </w:rPr>
        <w:t>careful with compensation between TMRM (PE), CD150 (PE-Cy5)</w:t>
      </w:r>
      <w:r w:rsidR="00B263ED">
        <w:rPr>
          <w:rFonts w:ascii="Calibri" w:hAnsi="Calibri" w:cs="Calibri"/>
          <w:szCs w:val="24"/>
        </w:rPr>
        <w:t>,</w:t>
      </w:r>
      <w:r w:rsidRPr="00722D19">
        <w:rPr>
          <w:rFonts w:ascii="Calibri" w:hAnsi="Calibri" w:cs="Calibri"/>
          <w:szCs w:val="24"/>
        </w:rPr>
        <w:t xml:space="preserve"> and Sca-1 (APC). Also, the samples should be run immediately post staining.</w:t>
      </w:r>
    </w:p>
    <w:p w14:paraId="07615660" w14:textId="77777777" w:rsidR="00BE2563" w:rsidRPr="005D53A7" w:rsidRDefault="00BE2563" w:rsidP="005D53A7">
      <w:pPr>
        <w:pStyle w:val="ListParagraph"/>
        <w:ind w:left="0"/>
        <w:jc w:val="both"/>
        <w:rPr>
          <w:rFonts w:ascii="Calibri" w:hAnsi="Calibri" w:cs="Calibri"/>
          <w:szCs w:val="24"/>
        </w:rPr>
      </w:pPr>
    </w:p>
    <w:p w14:paraId="27B5D017" w14:textId="5FE928A9" w:rsidR="002B2308" w:rsidRPr="0078328A" w:rsidRDefault="00BE2563" w:rsidP="002B2308">
      <w:pPr>
        <w:pStyle w:val="ListParagraph"/>
        <w:numPr>
          <w:ilvl w:val="1"/>
          <w:numId w:val="14"/>
        </w:numPr>
        <w:jc w:val="both"/>
        <w:rPr>
          <w:rFonts w:ascii="Calibri" w:hAnsi="Calibri"/>
          <w:highlight w:val="yellow"/>
        </w:rPr>
      </w:pPr>
      <w:r w:rsidRPr="0078328A">
        <w:rPr>
          <w:rFonts w:ascii="Calibri" w:hAnsi="Calibri"/>
          <w:highlight w:val="yellow"/>
        </w:rPr>
        <w:t xml:space="preserve">Export the </w:t>
      </w:r>
      <w:r w:rsidR="0078328A">
        <w:rPr>
          <w:rFonts w:ascii="Calibri" w:hAnsi="Calibri"/>
          <w:highlight w:val="yellow"/>
        </w:rPr>
        <w:t>FACS</w:t>
      </w:r>
      <w:r w:rsidRPr="0078328A">
        <w:rPr>
          <w:rFonts w:ascii="Calibri" w:hAnsi="Calibri"/>
          <w:highlight w:val="yellow"/>
        </w:rPr>
        <w:t xml:space="preserve"> files from the cytometer and analyze the data on an analysis software (</w:t>
      </w:r>
      <w:r w:rsidR="0078328A" w:rsidRPr="0078328A">
        <w:rPr>
          <w:rFonts w:ascii="Calibri" w:hAnsi="Calibri"/>
          <w:b/>
          <w:bCs/>
          <w:highlight w:val="yellow"/>
        </w:rPr>
        <w:t>Table of Materials</w:t>
      </w:r>
      <w:r w:rsidRPr="006308A5">
        <w:rPr>
          <w:rFonts w:ascii="Calibri" w:hAnsi="Calibri" w:cs="Calibri"/>
          <w:szCs w:val="24"/>
          <w:highlight w:val="yellow"/>
        </w:rPr>
        <w:t>).</w:t>
      </w:r>
    </w:p>
    <w:p w14:paraId="192602F6" w14:textId="77777777" w:rsidR="002B2308" w:rsidRPr="006308A5" w:rsidRDefault="002B2308" w:rsidP="00310DF1">
      <w:pPr>
        <w:pStyle w:val="ListParagraph"/>
        <w:ind w:left="0"/>
        <w:jc w:val="both"/>
        <w:rPr>
          <w:rFonts w:ascii="Calibri" w:hAnsi="Calibri" w:cs="Calibri"/>
          <w:szCs w:val="24"/>
          <w:highlight w:val="yellow"/>
        </w:rPr>
      </w:pPr>
    </w:p>
    <w:p w14:paraId="1243270C" w14:textId="416D80BA" w:rsidR="002B2308" w:rsidRPr="006308A5" w:rsidRDefault="002B2308" w:rsidP="0078328A">
      <w:pPr>
        <w:pStyle w:val="ListParagraph"/>
        <w:numPr>
          <w:ilvl w:val="2"/>
          <w:numId w:val="14"/>
        </w:numPr>
        <w:jc w:val="both"/>
        <w:rPr>
          <w:rFonts w:ascii="Calibri" w:hAnsi="Calibri" w:cs="Calibri"/>
          <w:szCs w:val="24"/>
          <w:highlight w:val="yellow"/>
        </w:rPr>
      </w:pPr>
      <w:r w:rsidRPr="006308A5">
        <w:rPr>
          <w:rFonts w:ascii="Calibri" w:hAnsi="Calibri" w:cs="Calibri"/>
          <w:szCs w:val="24"/>
          <w:highlight w:val="yellow"/>
        </w:rPr>
        <w:t xml:space="preserve">For the analysis, open </w:t>
      </w:r>
      <w:r w:rsidR="00310DF1" w:rsidRPr="006308A5">
        <w:rPr>
          <w:rFonts w:ascii="Calibri" w:hAnsi="Calibri" w:cs="Calibri"/>
          <w:szCs w:val="24"/>
          <w:highlight w:val="yellow"/>
        </w:rPr>
        <w:t xml:space="preserve">the file on </w:t>
      </w:r>
      <w:r w:rsidR="00894306">
        <w:rPr>
          <w:rFonts w:ascii="Calibri" w:hAnsi="Calibri" w:cs="Calibri"/>
          <w:szCs w:val="24"/>
          <w:highlight w:val="yellow"/>
        </w:rPr>
        <w:t xml:space="preserve">the </w:t>
      </w:r>
      <w:r w:rsidR="00310DF1" w:rsidRPr="006308A5">
        <w:rPr>
          <w:rFonts w:ascii="Calibri" w:hAnsi="Calibri" w:cs="Calibri"/>
          <w:szCs w:val="24"/>
          <w:highlight w:val="yellow"/>
        </w:rPr>
        <w:t xml:space="preserve">analysis software. Using FSC-A and SSC-A gating identify the cell population. Identify singlets in the next gates before plotting the DAPI negative fraction (live cells). In the live cell gate make a contour plot in the TMRM and </w:t>
      </w:r>
      <w:r w:rsidR="00365A5D">
        <w:rPr>
          <w:rFonts w:ascii="Calibri" w:hAnsi="Calibri" w:cs="Calibri"/>
          <w:szCs w:val="24"/>
          <w:highlight w:val="yellow"/>
        </w:rPr>
        <w:t>green fluorescent</w:t>
      </w:r>
      <w:r w:rsidR="00310DF1" w:rsidRPr="006308A5">
        <w:rPr>
          <w:rFonts w:ascii="Calibri" w:hAnsi="Calibri" w:cs="Calibri"/>
          <w:szCs w:val="24"/>
          <w:highlight w:val="yellow"/>
        </w:rPr>
        <w:t xml:space="preserve"> stain channel to measure </w:t>
      </w:r>
      <w:proofErr w:type="spellStart"/>
      <w:r w:rsidR="00286029">
        <w:rPr>
          <w:rFonts w:ascii="Calibri" w:hAnsi="Calibri" w:cs="Calibri"/>
          <w:szCs w:val="24"/>
          <w:highlight w:val="yellow"/>
        </w:rPr>
        <w:t>ΔΨm</w:t>
      </w:r>
      <w:proofErr w:type="spellEnd"/>
      <w:r w:rsidR="00310DF1" w:rsidRPr="006308A5">
        <w:rPr>
          <w:rFonts w:ascii="Calibri" w:hAnsi="Calibri" w:cs="Calibri"/>
          <w:szCs w:val="24"/>
          <w:highlight w:val="yellow"/>
        </w:rPr>
        <w:t xml:space="preserve"> and mass, respectively (</w:t>
      </w:r>
      <w:r w:rsidR="00B70634" w:rsidRPr="00B70634">
        <w:rPr>
          <w:rFonts w:ascii="Calibri" w:hAnsi="Calibri" w:cs="Calibri"/>
          <w:b/>
          <w:szCs w:val="24"/>
          <w:highlight w:val="yellow"/>
        </w:rPr>
        <w:t>Figure 2</w:t>
      </w:r>
      <w:r w:rsidR="00310DF1" w:rsidRPr="00045C71">
        <w:rPr>
          <w:rFonts w:ascii="Calibri" w:hAnsi="Calibri" w:cs="Calibri"/>
          <w:b/>
          <w:szCs w:val="24"/>
          <w:highlight w:val="yellow"/>
        </w:rPr>
        <w:t>A</w:t>
      </w:r>
      <w:r w:rsidR="00310DF1" w:rsidRPr="006308A5">
        <w:rPr>
          <w:rFonts w:ascii="Calibri" w:hAnsi="Calibri" w:cs="Calibri"/>
          <w:szCs w:val="24"/>
          <w:highlight w:val="yellow"/>
        </w:rPr>
        <w:t>). Export the mean fluorescence intensity (MFI) of these two channels in the live cell gate.</w:t>
      </w:r>
    </w:p>
    <w:p w14:paraId="4B4198CC" w14:textId="77777777" w:rsidR="00310DF1" w:rsidRPr="006308A5" w:rsidRDefault="00310DF1" w:rsidP="00310DF1">
      <w:pPr>
        <w:pStyle w:val="ListParagraph"/>
        <w:rPr>
          <w:rFonts w:ascii="Calibri" w:hAnsi="Calibri" w:cs="Calibri"/>
          <w:szCs w:val="24"/>
          <w:highlight w:val="yellow"/>
        </w:rPr>
      </w:pPr>
    </w:p>
    <w:p w14:paraId="4C9D708F" w14:textId="4AF8CA52" w:rsidR="00310DF1" w:rsidRPr="006308A5" w:rsidRDefault="00310DF1" w:rsidP="0078328A">
      <w:pPr>
        <w:pStyle w:val="ListParagraph"/>
        <w:numPr>
          <w:ilvl w:val="2"/>
          <w:numId w:val="14"/>
        </w:numPr>
        <w:jc w:val="both"/>
        <w:rPr>
          <w:rFonts w:ascii="Calibri" w:hAnsi="Calibri" w:cs="Calibri"/>
          <w:szCs w:val="24"/>
          <w:highlight w:val="yellow"/>
        </w:rPr>
      </w:pPr>
      <w:r w:rsidRPr="006308A5">
        <w:rPr>
          <w:rFonts w:ascii="Calibri" w:hAnsi="Calibri" w:cs="Calibri"/>
          <w:szCs w:val="24"/>
          <w:highlight w:val="yellow"/>
        </w:rPr>
        <w:t>The TMRM low gate is set based on the shoulder population in the TMRM channel. The TMRM single-color control can be used to identify this shoulder population to set the gate.</w:t>
      </w:r>
      <w:r w:rsidR="00894306">
        <w:rPr>
          <w:rFonts w:ascii="Calibri" w:hAnsi="Calibri" w:cs="Calibri"/>
          <w:szCs w:val="24"/>
          <w:highlight w:val="yellow"/>
        </w:rPr>
        <w:t xml:space="preserve"> Export the proportion of live of cells in the TMRM low gate in your control and test samples for plotting.</w:t>
      </w:r>
    </w:p>
    <w:bookmarkEnd w:id="1"/>
    <w:p w14:paraId="509DA5A9" w14:textId="77777777" w:rsidR="004C1544" w:rsidRPr="005D53A7" w:rsidRDefault="004C1544" w:rsidP="005D53A7">
      <w:pPr>
        <w:jc w:val="both"/>
        <w:rPr>
          <w:rFonts w:ascii="Calibri" w:hAnsi="Calibri" w:cs="Calibri"/>
          <w:b/>
          <w:bCs/>
          <w:szCs w:val="24"/>
        </w:rPr>
      </w:pPr>
    </w:p>
    <w:p w14:paraId="4AE9329D" w14:textId="43BD4626" w:rsidR="004C1544" w:rsidRPr="005D53A7" w:rsidRDefault="00144B7F" w:rsidP="005D53A7">
      <w:pPr>
        <w:jc w:val="both"/>
        <w:rPr>
          <w:rFonts w:ascii="Calibri" w:hAnsi="Calibri" w:cs="Calibri"/>
          <w:b/>
          <w:bCs/>
          <w:szCs w:val="24"/>
        </w:rPr>
      </w:pPr>
      <w:r w:rsidRPr="005D53A7">
        <w:rPr>
          <w:rFonts w:ascii="Calibri" w:hAnsi="Calibri" w:cs="Calibri"/>
          <w:b/>
          <w:bCs/>
          <w:szCs w:val="24"/>
        </w:rPr>
        <w:t>REPRESENTATIVE RESULTS:</w:t>
      </w:r>
    </w:p>
    <w:p w14:paraId="0EA0F6D3" w14:textId="420E93F8" w:rsidR="00CA00C5" w:rsidRPr="005D53A7" w:rsidRDefault="00CA00C5" w:rsidP="00045C71">
      <w:pPr>
        <w:rPr>
          <w:rFonts w:ascii="Calibri" w:hAnsi="Calibri" w:cs="Calibri"/>
          <w:color w:val="000000" w:themeColor="text1"/>
          <w:szCs w:val="24"/>
        </w:rPr>
      </w:pPr>
      <w:r w:rsidRPr="005D53A7">
        <w:rPr>
          <w:rFonts w:ascii="Calibri" w:hAnsi="Calibri" w:cs="Calibri"/>
          <w:color w:val="000000" w:themeColor="text1"/>
          <w:szCs w:val="24"/>
        </w:rPr>
        <w:t xml:space="preserve">In </w:t>
      </w:r>
      <w:r w:rsidR="00B70634" w:rsidRPr="00B70634">
        <w:rPr>
          <w:rFonts w:ascii="Calibri" w:hAnsi="Calibri" w:cs="Calibri"/>
          <w:b/>
          <w:color w:val="000000" w:themeColor="text1"/>
          <w:szCs w:val="24"/>
        </w:rPr>
        <w:t>Figure 1</w:t>
      </w:r>
      <w:r w:rsidRPr="005D53A7">
        <w:rPr>
          <w:rFonts w:ascii="Calibri" w:hAnsi="Calibri" w:cs="Calibri"/>
          <w:color w:val="000000" w:themeColor="text1"/>
          <w:szCs w:val="24"/>
        </w:rPr>
        <w:t xml:space="preserve"> we show the gating strategy for the isolation of hematopoietic stem cells from the mouse bone marrow and the layout of the plate for their </w:t>
      </w:r>
      <w:r w:rsidR="00B263ED" w:rsidRPr="00286029">
        <w:rPr>
          <w:rFonts w:cstheme="minorHAnsi"/>
        </w:rPr>
        <w:t>ex vivo</w:t>
      </w:r>
      <w:r w:rsidRPr="005D53A7">
        <w:rPr>
          <w:rFonts w:ascii="Calibri" w:hAnsi="Calibri" w:cs="Calibri"/>
          <w:i/>
          <w:iCs/>
          <w:color w:val="000000" w:themeColor="text1"/>
          <w:szCs w:val="24"/>
        </w:rPr>
        <w:t xml:space="preserve"> </w:t>
      </w:r>
      <w:r w:rsidRPr="005D53A7">
        <w:rPr>
          <w:rFonts w:ascii="Calibri" w:hAnsi="Calibri" w:cs="Calibri"/>
          <w:color w:val="000000" w:themeColor="text1"/>
          <w:szCs w:val="24"/>
        </w:rPr>
        <w:t xml:space="preserve">culture. </w:t>
      </w:r>
      <w:r w:rsidR="00B263ED" w:rsidRPr="00045C71">
        <w:rPr>
          <w:rFonts w:ascii="Calibri" w:hAnsi="Calibri" w:cs="Calibri"/>
          <w:b/>
          <w:bCs/>
          <w:color w:val="000000" w:themeColor="text1"/>
          <w:szCs w:val="24"/>
        </w:rPr>
        <w:t>Figure</w:t>
      </w:r>
      <w:r w:rsidR="00B263ED" w:rsidRPr="005D53A7">
        <w:rPr>
          <w:rFonts w:ascii="Calibri" w:hAnsi="Calibri" w:cs="Calibri"/>
          <w:color w:val="000000" w:themeColor="text1"/>
          <w:szCs w:val="24"/>
        </w:rPr>
        <w:t xml:space="preserve"> </w:t>
      </w:r>
      <w:r w:rsidRPr="00045C71">
        <w:rPr>
          <w:rFonts w:ascii="Calibri" w:hAnsi="Calibri" w:cs="Calibri"/>
          <w:b/>
          <w:bCs/>
          <w:color w:val="000000" w:themeColor="text1"/>
          <w:szCs w:val="24"/>
        </w:rPr>
        <w:t>1A</w:t>
      </w:r>
      <w:r w:rsidRPr="005D53A7">
        <w:rPr>
          <w:rFonts w:ascii="Calibri" w:hAnsi="Calibri" w:cs="Calibri"/>
          <w:color w:val="000000" w:themeColor="text1"/>
          <w:szCs w:val="24"/>
        </w:rPr>
        <w:t xml:space="preserve"> shows the identification of the lymphocyte fraction in the SSC-A/FSC-A plot. Doublets </w:t>
      </w:r>
      <w:r w:rsidR="005843A8">
        <w:rPr>
          <w:rFonts w:ascii="Calibri" w:hAnsi="Calibri" w:cs="Calibri"/>
          <w:color w:val="000000" w:themeColor="text1"/>
          <w:szCs w:val="24"/>
        </w:rPr>
        <w:t>were</w:t>
      </w:r>
      <w:r w:rsidR="005843A8" w:rsidRPr="005D53A7">
        <w:rPr>
          <w:rFonts w:ascii="Calibri" w:hAnsi="Calibri" w:cs="Calibri"/>
          <w:color w:val="000000" w:themeColor="text1"/>
          <w:szCs w:val="24"/>
        </w:rPr>
        <w:t xml:space="preserve"> </w:t>
      </w:r>
      <w:r w:rsidRPr="005D53A7">
        <w:rPr>
          <w:rFonts w:ascii="Calibri" w:hAnsi="Calibri" w:cs="Calibri"/>
          <w:color w:val="000000" w:themeColor="text1"/>
          <w:szCs w:val="24"/>
        </w:rPr>
        <w:t xml:space="preserve">removed in the singlet gate followed by identification of live cells by the absence of DAPI signal. The LKS population, defined by </w:t>
      </w:r>
      <w:r w:rsidR="00331BB0" w:rsidRPr="005D53A7">
        <w:rPr>
          <w:rFonts w:ascii="Calibri" w:hAnsi="Calibri" w:cs="Calibri"/>
          <w:color w:val="000000" w:themeColor="text1"/>
          <w:szCs w:val="24"/>
        </w:rPr>
        <w:t>lineage</w:t>
      </w:r>
      <w:r w:rsidRPr="005D53A7">
        <w:rPr>
          <w:rFonts w:ascii="Calibri" w:hAnsi="Calibri" w:cs="Calibri"/>
          <w:color w:val="000000" w:themeColor="text1"/>
          <w:szCs w:val="24"/>
        </w:rPr>
        <w:t xml:space="preserve">- Sca1+cKit+, </w:t>
      </w:r>
      <w:r w:rsidR="005843A8">
        <w:rPr>
          <w:rFonts w:ascii="Calibri" w:hAnsi="Calibri" w:cs="Calibri"/>
          <w:color w:val="000000" w:themeColor="text1"/>
          <w:szCs w:val="24"/>
        </w:rPr>
        <w:t>was</w:t>
      </w:r>
      <w:r w:rsidR="005843A8" w:rsidRPr="005D53A7">
        <w:rPr>
          <w:rFonts w:ascii="Calibri" w:hAnsi="Calibri" w:cs="Calibri"/>
          <w:color w:val="000000" w:themeColor="text1"/>
          <w:szCs w:val="24"/>
        </w:rPr>
        <w:t xml:space="preserve"> </w:t>
      </w:r>
      <w:r w:rsidRPr="005D53A7">
        <w:rPr>
          <w:rFonts w:ascii="Calibri" w:hAnsi="Calibri" w:cs="Calibri"/>
          <w:color w:val="000000" w:themeColor="text1"/>
          <w:szCs w:val="24"/>
        </w:rPr>
        <w:t>identified. This population is known to contain stem and progenitor cells. HSCs form around 5</w:t>
      </w:r>
      <w:r w:rsidR="00B263ED" w:rsidRPr="00286029">
        <w:rPr>
          <w:rFonts w:ascii="Calibri" w:hAnsi="Calibri" w:cs="Calibri"/>
          <w:color w:val="000000" w:themeColor="text1"/>
          <w:szCs w:val="24"/>
        </w:rPr>
        <w:t>–</w:t>
      </w:r>
      <w:r w:rsidRPr="005D53A7">
        <w:rPr>
          <w:rFonts w:ascii="Calibri" w:hAnsi="Calibri" w:cs="Calibri"/>
          <w:color w:val="000000" w:themeColor="text1"/>
          <w:szCs w:val="24"/>
        </w:rPr>
        <w:t>10</w:t>
      </w:r>
      <w:r w:rsidR="00872462">
        <w:rPr>
          <w:rFonts w:ascii="Calibri" w:hAnsi="Calibri" w:cs="Calibri"/>
          <w:color w:val="000000" w:themeColor="text1"/>
          <w:szCs w:val="24"/>
        </w:rPr>
        <w:t>%</w:t>
      </w:r>
      <w:r w:rsidRPr="005D53A7">
        <w:rPr>
          <w:rFonts w:ascii="Calibri" w:hAnsi="Calibri" w:cs="Calibri"/>
          <w:color w:val="000000" w:themeColor="text1"/>
          <w:szCs w:val="24"/>
        </w:rPr>
        <w:t xml:space="preserve"> of the cells in the LKS population and </w:t>
      </w:r>
      <w:r w:rsidR="005843A8">
        <w:rPr>
          <w:rFonts w:ascii="Calibri" w:hAnsi="Calibri" w:cs="Calibri"/>
          <w:color w:val="000000" w:themeColor="text1"/>
          <w:szCs w:val="24"/>
        </w:rPr>
        <w:t>were</w:t>
      </w:r>
      <w:r w:rsidR="005843A8" w:rsidRPr="005D53A7">
        <w:rPr>
          <w:rFonts w:ascii="Calibri" w:hAnsi="Calibri" w:cs="Calibri"/>
          <w:color w:val="000000" w:themeColor="text1"/>
          <w:szCs w:val="24"/>
        </w:rPr>
        <w:t xml:space="preserve"> </w:t>
      </w:r>
      <w:r w:rsidRPr="005D53A7">
        <w:rPr>
          <w:rFonts w:ascii="Calibri" w:hAnsi="Calibri" w:cs="Calibri"/>
          <w:color w:val="000000" w:themeColor="text1"/>
          <w:szCs w:val="24"/>
        </w:rPr>
        <w:t xml:space="preserve">identified by gating for CD150+CD48- population. </w:t>
      </w:r>
      <w:r w:rsidR="00B263ED" w:rsidRPr="00045C71">
        <w:rPr>
          <w:rFonts w:ascii="Calibri" w:hAnsi="Calibri" w:cs="Calibri"/>
          <w:b/>
          <w:bCs/>
          <w:color w:val="000000" w:themeColor="text1"/>
          <w:szCs w:val="24"/>
        </w:rPr>
        <w:t xml:space="preserve">Figure </w:t>
      </w:r>
      <w:r w:rsidR="00281685" w:rsidRPr="00045C71">
        <w:rPr>
          <w:rFonts w:ascii="Calibri" w:hAnsi="Calibri" w:cs="Calibri"/>
          <w:b/>
          <w:bCs/>
          <w:color w:val="000000" w:themeColor="text1"/>
          <w:szCs w:val="24"/>
        </w:rPr>
        <w:t>1B</w:t>
      </w:r>
      <w:r w:rsidR="00281685" w:rsidRPr="005D53A7">
        <w:rPr>
          <w:rFonts w:ascii="Calibri" w:hAnsi="Calibri" w:cs="Calibri"/>
          <w:color w:val="000000" w:themeColor="text1"/>
          <w:szCs w:val="24"/>
        </w:rPr>
        <w:t xml:space="preserve"> represents the layout of the 96-well plate for </w:t>
      </w:r>
      <w:r w:rsidR="00B263ED" w:rsidRPr="00286029">
        <w:rPr>
          <w:rFonts w:cstheme="minorHAnsi"/>
        </w:rPr>
        <w:t>ex vivo</w:t>
      </w:r>
      <w:r w:rsidR="00281685" w:rsidRPr="005D53A7">
        <w:rPr>
          <w:rFonts w:ascii="Calibri" w:hAnsi="Calibri" w:cs="Calibri"/>
          <w:i/>
          <w:iCs/>
          <w:color w:val="000000" w:themeColor="text1"/>
          <w:szCs w:val="24"/>
        </w:rPr>
        <w:t xml:space="preserve"> </w:t>
      </w:r>
      <w:r w:rsidR="00281685" w:rsidRPr="005D53A7">
        <w:rPr>
          <w:rFonts w:ascii="Calibri" w:hAnsi="Calibri" w:cs="Calibri"/>
          <w:color w:val="000000" w:themeColor="text1"/>
          <w:szCs w:val="24"/>
        </w:rPr>
        <w:t xml:space="preserve">culture. Sorted HSCs </w:t>
      </w:r>
      <w:r w:rsidR="005843A8">
        <w:rPr>
          <w:rFonts w:ascii="Calibri" w:hAnsi="Calibri" w:cs="Calibri"/>
          <w:color w:val="000000" w:themeColor="text1"/>
          <w:szCs w:val="24"/>
        </w:rPr>
        <w:t>were</w:t>
      </w:r>
      <w:r w:rsidR="005843A8" w:rsidRPr="005D53A7">
        <w:rPr>
          <w:rFonts w:ascii="Calibri" w:hAnsi="Calibri" w:cs="Calibri"/>
          <w:color w:val="000000" w:themeColor="text1"/>
          <w:szCs w:val="24"/>
        </w:rPr>
        <w:t xml:space="preserve"> </w:t>
      </w:r>
      <w:r w:rsidR="00281685" w:rsidRPr="005D53A7">
        <w:rPr>
          <w:rFonts w:ascii="Calibri" w:hAnsi="Calibri" w:cs="Calibri"/>
          <w:color w:val="000000" w:themeColor="text1"/>
          <w:szCs w:val="24"/>
        </w:rPr>
        <w:t xml:space="preserve">plated in different culture </w:t>
      </w:r>
      <w:proofErr w:type="spellStart"/>
      <w:r w:rsidR="00281685" w:rsidRPr="005D53A7">
        <w:rPr>
          <w:rFonts w:ascii="Calibri" w:hAnsi="Calibri" w:cs="Calibri"/>
          <w:color w:val="000000" w:themeColor="text1"/>
          <w:szCs w:val="24"/>
        </w:rPr>
        <w:t>conditions</w:t>
      </w:r>
      <w:r w:rsidR="005843A8">
        <w:rPr>
          <w:rFonts w:ascii="Calibri" w:hAnsi="Calibri" w:cs="Calibri"/>
          <w:color w:val="000000" w:themeColor="text1"/>
          <w:szCs w:val="24"/>
        </w:rPr>
        <w:t>:</w:t>
      </w:r>
      <w:r w:rsidR="00B263ED" w:rsidRPr="005D53A7">
        <w:rPr>
          <w:rFonts w:ascii="Calibri" w:hAnsi="Calibri" w:cs="Calibri"/>
          <w:color w:val="000000" w:themeColor="text1"/>
          <w:szCs w:val="24"/>
        </w:rPr>
        <w:t>In</w:t>
      </w:r>
      <w:proofErr w:type="spellEnd"/>
      <w:r w:rsidR="00B263ED" w:rsidRPr="005D53A7">
        <w:rPr>
          <w:rFonts w:ascii="Calibri" w:hAnsi="Calibri" w:cs="Calibri"/>
          <w:color w:val="000000" w:themeColor="text1"/>
          <w:szCs w:val="24"/>
        </w:rPr>
        <w:t xml:space="preserve"> </w:t>
      </w:r>
      <w:r w:rsidR="00B263ED">
        <w:rPr>
          <w:rFonts w:ascii="Calibri" w:hAnsi="Calibri" w:cs="Calibri"/>
          <w:color w:val="000000" w:themeColor="text1"/>
          <w:szCs w:val="24"/>
        </w:rPr>
        <w:t xml:space="preserve">this </w:t>
      </w:r>
      <w:r w:rsidR="00281685" w:rsidRPr="005D53A7">
        <w:rPr>
          <w:rFonts w:ascii="Calibri" w:hAnsi="Calibri" w:cs="Calibri"/>
          <w:color w:val="000000" w:themeColor="text1"/>
          <w:szCs w:val="24"/>
        </w:rPr>
        <w:t>case</w:t>
      </w:r>
      <w:r w:rsidR="00B263ED">
        <w:rPr>
          <w:rFonts w:ascii="Calibri" w:hAnsi="Calibri" w:cs="Calibri"/>
          <w:color w:val="000000" w:themeColor="text1"/>
          <w:szCs w:val="24"/>
        </w:rPr>
        <w:t>,</w:t>
      </w:r>
      <w:r w:rsidR="00281685" w:rsidRPr="005D53A7">
        <w:rPr>
          <w:rFonts w:ascii="Calibri" w:hAnsi="Calibri" w:cs="Calibri"/>
          <w:color w:val="000000" w:themeColor="text1"/>
          <w:szCs w:val="24"/>
        </w:rPr>
        <w:t xml:space="preserve"> control and NR supplemented </w:t>
      </w:r>
      <w:r w:rsidR="002650EB">
        <w:rPr>
          <w:rFonts w:ascii="Calibri" w:hAnsi="Calibri" w:cs="Calibri"/>
          <w:color w:val="000000" w:themeColor="text1"/>
          <w:szCs w:val="24"/>
        </w:rPr>
        <w:t xml:space="preserve">culture </w:t>
      </w:r>
      <w:r w:rsidR="00281685" w:rsidRPr="005D53A7">
        <w:rPr>
          <w:rFonts w:ascii="Calibri" w:hAnsi="Calibri" w:cs="Calibri"/>
          <w:color w:val="000000" w:themeColor="text1"/>
          <w:szCs w:val="24"/>
        </w:rPr>
        <w:t>condition</w:t>
      </w:r>
      <w:r w:rsidR="00B263ED">
        <w:rPr>
          <w:rFonts w:ascii="Calibri" w:hAnsi="Calibri" w:cs="Calibri"/>
          <w:color w:val="000000" w:themeColor="text1"/>
          <w:szCs w:val="24"/>
        </w:rPr>
        <w:t>s</w:t>
      </w:r>
      <w:r w:rsidR="00281685" w:rsidRPr="005D53A7">
        <w:rPr>
          <w:rFonts w:ascii="Calibri" w:hAnsi="Calibri" w:cs="Calibri"/>
          <w:color w:val="000000" w:themeColor="text1"/>
          <w:szCs w:val="24"/>
        </w:rPr>
        <w:t>.</w:t>
      </w:r>
      <w:r w:rsidR="00D15E13" w:rsidRPr="005D53A7">
        <w:rPr>
          <w:rFonts w:ascii="Calibri" w:hAnsi="Calibri" w:cs="Calibri"/>
          <w:color w:val="000000" w:themeColor="text1"/>
          <w:szCs w:val="24"/>
        </w:rPr>
        <w:t xml:space="preserve"> Whole </w:t>
      </w:r>
      <w:r w:rsidR="00C64DA5">
        <w:rPr>
          <w:rFonts w:ascii="Calibri" w:hAnsi="Calibri" w:cs="Calibri"/>
          <w:color w:val="000000" w:themeColor="text1"/>
          <w:szCs w:val="24"/>
        </w:rPr>
        <w:t>bone marrow</w:t>
      </w:r>
      <w:r w:rsidR="00D15E13" w:rsidRPr="005D53A7">
        <w:rPr>
          <w:rFonts w:ascii="Calibri" w:hAnsi="Calibri" w:cs="Calibri"/>
          <w:color w:val="000000" w:themeColor="text1"/>
          <w:szCs w:val="24"/>
        </w:rPr>
        <w:t xml:space="preserve"> cells were also plated as </w:t>
      </w:r>
      <w:r w:rsidR="00D15E13" w:rsidRPr="005D53A7">
        <w:rPr>
          <w:rFonts w:ascii="Calibri" w:hAnsi="Calibri" w:cs="Calibri"/>
          <w:color w:val="000000" w:themeColor="text1"/>
          <w:szCs w:val="24"/>
        </w:rPr>
        <w:lastRenderedPageBreak/>
        <w:t>single</w:t>
      </w:r>
      <w:r w:rsidR="00B263ED">
        <w:rPr>
          <w:rFonts w:ascii="Calibri" w:hAnsi="Calibri" w:cs="Calibri"/>
          <w:color w:val="000000" w:themeColor="text1"/>
          <w:szCs w:val="24"/>
        </w:rPr>
        <w:t>-</w:t>
      </w:r>
      <w:r w:rsidR="00D15E13" w:rsidRPr="005D53A7">
        <w:rPr>
          <w:rFonts w:ascii="Calibri" w:hAnsi="Calibri" w:cs="Calibri"/>
          <w:color w:val="000000" w:themeColor="text1"/>
          <w:szCs w:val="24"/>
        </w:rPr>
        <w:t>color controls as described in the protocol. It is important to fill all surrounding wells with water to avoid evaporation of media from cell</w:t>
      </w:r>
      <w:r w:rsidR="00103DE8" w:rsidRPr="005D53A7">
        <w:rPr>
          <w:rFonts w:ascii="Calibri" w:hAnsi="Calibri" w:cs="Calibri"/>
          <w:color w:val="000000" w:themeColor="text1"/>
          <w:szCs w:val="24"/>
        </w:rPr>
        <w:t>-</w:t>
      </w:r>
      <w:r w:rsidR="00D15E13" w:rsidRPr="005D53A7">
        <w:rPr>
          <w:rFonts w:ascii="Calibri" w:hAnsi="Calibri" w:cs="Calibri"/>
          <w:color w:val="000000" w:themeColor="text1"/>
          <w:szCs w:val="24"/>
        </w:rPr>
        <w:t>containing wells.</w:t>
      </w:r>
      <w:r w:rsidR="00250944" w:rsidRPr="005D53A7">
        <w:rPr>
          <w:rFonts w:ascii="Calibri" w:hAnsi="Calibri" w:cs="Calibri"/>
          <w:color w:val="000000" w:themeColor="text1"/>
          <w:szCs w:val="24"/>
        </w:rPr>
        <w:t xml:space="preserve"> Moreover, as mentioned previously</w:t>
      </w:r>
      <w:r w:rsidR="00B263ED">
        <w:rPr>
          <w:rFonts w:ascii="Calibri" w:hAnsi="Calibri" w:cs="Calibri"/>
          <w:color w:val="000000" w:themeColor="text1"/>
          <w:szCs w:val="24"/>
        </w:rPr>
        <w:t>,</w:t>
      </w:r>
      <w:r w:rsidR="00250944" w:rsidRPr="005D53A7">
        <w:rPr>
          <w:rFonts w:ascii="Calibri" w:hAnsi="Calibri" w:cs="Calibri"/>
          <w:color w:val="000000" w:themeColor="text1"/>
          <w:szCs w:val="24"/>
        </w:rPr>
        <w:t xml:space="preserve"> marginal wells were avoided for cell culture </w:t>
      </w:r>
      <w:r w:rsidR="00B263ED" w:rsidRPr="00286029">
        <w:rPr>
          <w:rFonts w:ascii="Calibri" w:hAnsi="Calibri" w:cs="Calibri"/>
          <w:color w:val="000000" w:themeColor="text1"/>
          <w:szCs w:val="24"/>
        </w:rPr>
        <w:t>because</w:t>
      </w:r>
      <w:r w:rsidR="00B263ED" w:rsidRPr="005D53A7">
        <w:rPr>
          <w:rFonts w:ascii="Calibri" w:hAnsi="Calibri" w:cs="Calibri"/>
          <w:color w:val="000000" w:themeColor="text1"/>
          <w:szCs w:val="24"/>
        </w:rPr>
        <w:t xml:space="preserve"> </w:t>
      </w:r>
      <w:r w:rsidR="00250944" w:rsidRPr="005D53A7">
        <w:rPr>
          <w:rFonts w:ascii="Calibri" w:hAnsi="Calibri" w:cs="Calibri"/>
          <w:color w:val="000000" w:themeColor="text1"/>
          <w:szCs w:val="24"/>
        </w:rPr>
        <w:t>they are more susceptible to evaporation.</w:t>
      </w:r>
    </w:p>
    <w:p w14:paraId="4D94AB78" w14:textId="1B8E0CB3" w:rsidR="0029198E" w:rsidRPr="005D53A7" w:rsidRDefault="0029198E" w:rsidP="005D53A7">
      <w:pPr>
        <w:jc w:val="both"/>
        <w:rPr>
          <w:rFonts w:ascii="Calibri" w:hAnsi="Calibri" w:cs="Calibri"/>
          <w:color w:val="000000" w:themeColor="text1"/>
          <w:szCs w:val="24"/>
        </w:rPr>
      </w:pPr>
    </w:p>
    <w:p w14:paraId="0699B260" w14:textId="666FC83E" w:rsidR="00EF24E3" w:rsidRPr="005D53A7" w:rsidRDefault="00B70634" w:rsidP="005D53A7">
      <w:pPr>
        <w:jc w:val="both"/>
        <w:rPr>
          <w:rFonts w:ascii="Calibri" w:hAnsi="Calibri" w:cs="Calibri"/>
          <w:color w:val="000000" w:themeColor="text1"/>
          <w:szCs w:val="24"/>
        </w:rPr>
      </w:pPr>
      <w:r w:rsidRPr="00B70634">
        <w:rPr>
          <w:rFonts w:ascii="Calibri" w:hAnsi="Calibri" w:cs="Calibri"/>
          <w:b/>
          <w:color w:val="000000" w:themeColor="text1"/>
          <w:szCs w:val="24"/>
        </w:rPr>
        <w:t>Figure 2</w:t>
      </w:r>
      <w:r w:rsidR="0029198E" w:rsidRPr="005D53A7">
        <w:rPr>
          <w:rFonts w:ascii="Calibri" w:hAnsi="Calibri" w:cs="Calibri"/>
          <w:color w:val="000000" w:themeColor="text1"/>
          <w:szCs w:val="24"/>
        </w:rPr>
        <w:t xml:space="preserve"> shows the measurement of mitochondrial membrane potential </w:t>
      </w:r>
      <w:r w:rsidR="00286029">
        <w:rPr>
          <w:rFonts w:ascii="Calibri" w:hAnsi="Calibri" w:cs="Calibri"/>
          <w:color w:val="000000" w:themeColor="text1"/>
          <w:szCs w:val="24"/>
        </w:rPr>
        <w:t>(</w:t>
      </w:r>
      <w:proofErr w:type="spellStart"/>
      <w:r w:rsidR="00286029">
        <w:rPr>
          <w:rFonts w:ascii="Calibri" w:hAnsi="Calibri" w:cs="Calibri"/>
          <w:szCs w:val="24"/>
        </w:rPr>
        <w:t>ΔΨ</w:t>
      </w:r>
      <w:r w:rsidR="00286029" w:rsidRPr="005D53A7">
        <w:rPr>
          <w:rFonts w:ascii="Calibri" w:hAnsi="Calibri" w:cs="Calibri"/>
          <w:szCs w:val="24"/>
        </w:rPr>
        <w:t>m</w:t>
      </w:r>
      <w:proofErr w:type="spellEnd"/>
      <w:r w:rsidR="00286029">
        <w:rPr>
          <w:rFonts w:ascii="Calibri" w:hAnsi="Calibri" w:cs="Calibri"/>
          <w:color w:val="000000" w:themeColor="text1"/>
          <w:szCs w:val="24"/>
        </w:rPr>
        <w:t xml:space="preserve">) </w:t>
      </w:r>
      <w:r w:rsidR="0029198E" w:rsidRPr="005D53A7">
        <w:rPr>
          <w:rFonts w:ascii="Calibri" w:hAnsi="Calibri" w:cs="Calibri"/>
          <w:color w:val="000000" w:themeColor="text1"/>
          <w:szCs w:val="24"/>
        </w:rPr>
        <w:t xml:space="preserve">and mass in HSCs post culture. </w:t>
      </w:r>
      <w:r w:rsidR="00B263ED" w:rsidRPr="00045C71">
        <w:rPr>
          <w:rFonts w:ascii="Calibri" w:hAnsi="Calibri" w:cs="Calibri"/>
          <w:b/>
          <w:bCs/>
          <w:color w:val="000000" w:themeColor="text1"/>
          <w:szCs w:val="24"/>
        </w:rPr>
        <w:t xml:space="preserve">Figure </w:t>
      </w:r>
      <w:r w:rsidR="0029198E" w:rsidRPr="00045C71">
        <w:rPr>
          <w:rFonts w:ascii="Calibri" w:hAnsi="Calibri" w:cs="Calibri"/>
          <w:b/>
          <w:bCs/>
          <w:color w:val="000000" w:themeColor="text1"/>
          <w:szCs w:val="24"/>
        </w:rPr>
        <w:t>2A</w:t>
      </w:r>
      <w:r w:rsidR="0029198E" w:rsidRPr="005D53A7">
        <w:rPr>
          <w:rFonts w:ascii="Calibri" w:hAnsi="Calibri" w:cs="Calibri"/>
          <w:color w:val="000000" w:themeColor="text1"/>
          <w:szCs w:val="24"/>
        </w:rPr>
        <w:t xml:space="preserve"> shows representative plot</w:t>
      </w:r>
      <w:r w:rsidR="00103DE8" w:rsidRPr="005D53A7">
        <w:rPr>
          <w:rFonts w:ascii="Calibri" w:hAnsi="Calibri" w:cs="Calibri"/>
          <w:color w:val="000000" w:themeColor="text1"/>
          <w:szCs w:val="24"/>
        </w:rPr>
        <w:t>s</w:t>
      </w:r>
      <w:r w:rsidR="0029198E" w:rsidRPr="005D53A7">
        <w:rPr>
          <w:rFonts w:ascii="Calibri" w:hAnsi="Calibri" w:cs="Calibri"/>
          <w:color w:val="000000" w:themeColor="text1"/>
          <w:szCs w:val="24"/>
        </w:rPr>
        <w:t xml:space="preserve"> of TMRM levels (above) and </w:t>
      </w:r>
      <w:r w:rsidR="0032274B" w:rsidRPr="0078328A">
        <w:rPr>
          <w:rFonts w:ascii="Calibri" w:hAnsi="Calibri"/>
        </w:rPr>
        <w:t>green</w:t>
      </w:r>
      <w:r w:rsidR="00293B42">
        <w:rPr>
          <w:rFonts w:ascii="Calibri" w:hAnsi="Calibri" w:cs="Calibri"/>
          <w:szCs w:val="24"/>
        </w:rPr>
        <w:t xml:space="preserve"> </w:t>
      </w:r>
      <w:r w:rsidR="0032274B">
        <w:rPr>
          <w:rFonts w:ascii="Calibri" w:hAnsi="Calibri" w:cs="Calibri"/>
          <w:szCs w:val="24"/>
        </w:rPr>
        <w:t>fluorescent mitochondrial stain</w:t>
      </w:r>
      <w:r w:rsidR="0032274B" w:rsidRPr="005D53A7">
        <w:rPr>
          <w:rFonts w:ascii="Calibri" w:hAnsi="Calibri" w:cs="Calibri"/>
          <w:color w:val="000000" w:themeColor="text1"/>
          <w:szCs w:val="24"/>
        </w:rPr>
        <w:t xml:space="preserve"> </w:t>
      </w:r>
      <w:r w:rsidR="0029198E" w:rsidRPr="005D53A7">
        <w:rPr>
          <w:rFonts w:ascii="Calibri" w:hAnsi="Calibri" w:cs="Calibri"/>
          <w:color w:val="000000" w:themeColor="text1"/>
          <w:szCs w:val="24"/>
        </w:rPr>
        <w:t>(</w:t>
      </w:r>
      <w:r w:rsidR="00B263ED">
        <w:rPr>
          <w:rFonts w:ascii="Calibri" w:hAnsi="Calibri" w:cs="Calibri"/>
          <w:color w:val="000000" w:themeColor="text1"/>
          <w:szCs w:val="24"/>
        </w:rPr>
        <w:t>below</w:t>
      </w:r>
      <w:r w:rsidR="0029198E" w:rsidRPr="005D53A7">
        <w:rPr>
          <w:rFonts w:ascii="Calibri" w:hAnsi="Calibri" w:cs="Calibri"/>
          <w:color w:val="000000" w:themeColor="text1"/>
          <w:szCs w:val="24"/>
        </w:rPr>
        <w:t xml:space="preserve">) in HSCs cultured in </w:t>
      </w:r>
      <w:r w:rsidR="00B263ED" w:rsidRPr="005D53A7">
        <w:rPr>
          <w:rFonts w:ascii="Calibri" w:hAnsi="Calibri" w:cs="Calibri"/>
          <w:color w:val="000000" w:themeColor="text1"/>
          <w:szCs w:val="24"/>
        </w:rPr>
        <w:t xml:space="preserve">control </w:t>
      </w:r>
      <w:r w:rsidR="0029198E" w:rsidRPr="005D53A7">
        <w:rPr>
          <w:rFonts w:ascii="Calibri" w:hAnsi="Calibri" w:cs="Calibri"/>
          <w:color w:val="000000" w:themeColor="text1"/>
          <w:szCs w:val="24"/>
        </w:rPr>
        <w:t xml:space="preserve">and NR </w:t>
      </w:r>
      <w:r w:rsidR="009E115F" w:rsidRPr="005D53A7">
        <w:rPr>
          <w:rFonts w:ascii="Calibri" w:hAnsi="Calibri" w:cs="Calibri"/>
          <w:color w:val="000000" w:themeColor="text1"/>
          <w:szCs w:val="24"/>
        </w:rPr>
        <w:t>supplemented</w:t>
      </w:r>
      <w:r w:rsidR="0029198E" w:rsidRPr="005D53A7">
        <w:rPr>
          <w:rFonts w:ascii="Calibri" w:hAnsi="Calibri" w:cs="Calibri"/>
          <w:color w:val="000000" w:themeColor="text1"/>
          <w:szCs w:val="24"/>
        </w:rPr>
        <w:t xml:space="preserve"> condition</w:t>
      </w:r>
      <w:r w:rsidR="00B263ED">
        <w:rPr>
          <w:rFonts w:ascii="Calibri" w:hAnsi="Calibri" w:cs="Calibri"/>
          <w:color w:val="000000" w:themeColor="text1"/>
          <w:szCs w:val="24"/>
        </w:rPr>
        <w:t>s</w:t>
      </w:r>
      <w:r w:rsidR="0029198E" w:rsidRPr="005D53A7">
        <w:rPr>
          <w:rFonts w:ascii="Calibri" w:hAnsi="Calibri" w:cs="Calibri"/>
          <w:color w:val="000000" w:themeColor="text1"/>
          <w:szCs w:val="24"/>
        </w:rPr>
        <w:t>. NR treatment show</w:t>
      </w:r>
      <w:r w:rsidR="0007754D">
        <w:rPr>
          <w:rFonts w:ascii="Calibri" w:hAnsi="Calibri" w:cs="Calibri"/>
          <w:color w:val="000000" w:themeColor="text1"/>
          <w:szCs w:val="24"/>
        </w:rPr>
        <w:t>ed</w:t>
      </w:r>
      <w:r w:rsidR="0029198E" w:rsidRPr="005D53A7">
        <w:rPr>
          <w:rFonts w:ascii="Calibri" w:hAnsi="Calibri" w:cs="Calibri"/>
          <w:color w:val="000000" w:themeColor="text1"/>
          <w:szCs w:val="24"/>
        </w:rPr>
        <w:t xml:space="preserve"> a clear increase in the </w:t>
      </w:r>
      <w:proofErr w:type="spellStart"/>
      <w:r w:rsidR="0029198E" w:rsidRPr="005D53A7">
        <w:rPr>
          <w:rFonts w:ascii="Calibri" w:hAnsi="Calibri" w:cs="Calibri"/>
          <w:color w:val="000000" w:themeColor="text1"/>
          <w:szCs w:val="24"/>
        </w:rPr>
        <w:t>TMRM</w:t>
      </w:r>
      <w:r w:rsidR="0029198E" w:rsidRPr="005D53A7">
        <w:rPr>
          <w:rFonts w:ascii="Calibri" w:hAnsi="Calibri" w:cs="Calibri"/>
          <w:color w:val="000000" w:themeColor="text1"/>
          <w:szCs w:val="24"/>
          <w:vertAlign w:val="superscript"/>
        </w:rPr>
        <w:t>low</w:t>
      </w:r>
      <w:proofErr w:type="spellEnd"/>
      <w:r w:rsidR="0029198E" w:rsidRPr="005D53A7">
        <w:rPr>
          <w:rFonts w:ascii="Calibri" w:hAnsi="Calibri" w:cs="Calibri"/>
          <w:color w:val="000000" w:themeColor="text1"/>
          <w:szCs w:val="24"/>
        </w:rPr>
        <w:t xml:space="preserve"> population</w:t>
      </w:r>
      <w:r w:rsidR="00F45164" w:rsidRPr="005D53A7">
        <w:rPr>
          <w:rFonts w:ascii="Calibri" w:hAnsi="Calibri" w:cs="Calibri"/>
          <w:color w:val="000000" w:themeColor="text1"/>
          <w:szCs w:val="24"/>
        </w:rPr>
        <w:t xml:space="preserve">. </w:t>
      </w:r>
      <w:r w:rsidR="00B263ED" w:rsidRPr="00045C71">
        <w:rPr>
          <w:rFonts w:ascii="Calibri" w:hAnsi="Calibri" w:cs="Calibri"/>
          <w:b/>
          <w:bCs/>
          <w:color w:val="000000" w:themeColor="text1"/>
          <w:szCs w:val="24"/>
        </w:rPr>
        <w:t xml:space="preserve">Figure </w:t>
      </w:r>
      <w:r w:rsidR="00F45164" w:rsidRPr="00045C71">
        <w:rPr>
          <w:rFonts w:ascii="Calibri" w:hAnsi="Calibri" w:cs="Calibri"/>
          <w:b/>
          <w:bCs/>
          <w:color w:val="000000" w:themeColor="text1"/>
          <w:szCs w:val="24"/>
        </w:rPr>
        <w:t>2B</w:t>
      </w:r>
      <w:r w:rsidR="00F45164" w:rsidRPr="005D53A7">
        <w:rPr>
          <w:rFonts w:ascii="Calibri" w:hAnsi="Calibri" w:cs="Calibri"/>
          <w:color w:val="000000" w:themeColor="text1"/>
          <w:szCs w:val="24"/>
        </w:rPr>
        <w:t xml:space="preserve"> shows the quantification from three independent samples. NR treatment significantly increase</w:t>
      </w:r>
      <w:r w:rsidR="0007754D">
        <w:rPr>
          <w:rFonts w:ascii="Calibri" w:hAnsi="Calibri" w:cs="Calibri"/>
          <w:color w:val="000000" w:themeColor="text1"/>
          <w:szCs w:val="24"/>
        </w:rPr>
        <w:t>d</w:t>
      </w:r>
      <w:r w:rsidR="00F45164" w:rsidRPr="005D53A7">
        <w:rPr>
          <w:rFonts w:ascii="Calibri" w:hAnsi="Calibri" w:cs="Calibri"/>
          <w:color w:val="000000" w:themeColor="text1"/>
          <w:szCs w:val="24"/>
        </w:rPr>
        <w:t xml:space="preserve"> the proportion of cells in the </w:t>
      </w:r>
      <w:proofErr w:type="spellStart"/>
      <w:r w:rsidR="00F45164" w:rsidRPr="005D53A7">
        <w:rPr>
          <w:rFonts w:ascii="Calibri" w:hAnsi="Calibri" w:cs="Calibri"/>
          <w:color w:val="000000" w:themeColor="text1"/>
          <w:szCs w:val="24"/>
        </w:rPr>
        <w:t>TMRM</w:t>
      </w:r>
      <w:r w:rsidR="00F45164" w:rsidRPr="005D53A7">
        <w:rPr>
          <w:rFonts w:ascii="Calibri" w:hAnsi="Calibri" w:cs="Calibri"/>
          <w:color w:val="000000" w:themeColor="text1"/>
          <w:szCs w:val="24"/>
          <w:vertAlign w:val="superscript"/>
        </w:rPr>
        <w:t>low</w:t>
      </w:r>
      <w:proofErr w:type="spellEnd"/>
      <w:r w:rsidR="00F45164" w:rsidRPr="005D53A7">
        <w:rPr>
          <w:rFonts w:ascii="Calibri" w:hAnsi="Calibri" w:cs="Calibri"/>
          <w:color w:val="000000" w:themeColor="text1"/>
          <w:szCs w:val="24"/>
        </w:rPr>
        <w:t xml:space="preserve"> gate and show</w:t>
      </w:r>
      <w:r w:rsidR="0007754D">
        <w:rPr>
          <w:rFonts w:ascii="Calibri" w:hAnsi="Calibri" w:cs="Calibri"/>
          <w:color w:val="000000" w:themeColor="text1"/>
          <w:szCs w:val="24"/>
        </w:rPr>
        <w:t>ed</w:t>
      </w:r>
      <w:r w:rsidR="00F45164" w:rsidRPr="005D53A7">
        <w:rPr>
          <w:rFonts w:ascii="Calibri" w:hAnsi="Calibri" w:cs="Calibri"/>
          <w:color w:val="000000" w:themeColor="text1"/>
          <w:szCs w:val="24"/>
        </w:rPr>
        <w:t xml:space="preserve"> a significant lowering of TMRM fluorescence intensity. </w:t>
      </w:r>
      <w:r w:rsidR="009E115F" w:rsidRPr="005D53A7">
        <w:rPr>
          <w:rFonts w:ascii="Calibri" w:hAnsi="Calibri" w:cs="Calibri"/>
          <w:color w:val="000000" w:themeColor="text1"/>
          <w:szCs w:val="24"/>
        </w:rPr>
        <w:t xml:space="preserve">Mitochondrial mass </w:t>
      </w:r>
      <w:r w:rsidR="00EF52FF">
        <w:rPr>
          <w:rFonts w:ascii="Calibri" w:hAnsi="Calibri" w:cs="Calibri"/>
          <w:color w:val="000000" w:themeColor="text1"/>
          <w:szCs w:val="24"/>
        </w:rPr>
        <w:t>(</w:t>
      </w:r>
      <w:r w:rsidR="009E115F" w:rsidRPr="005D53A7">
        <w:rPr>
          <w:rFonts w:ascii="Calibri" w:hAnsi="Calibri" w:cs="Calibri"/>
          <w:color w:val="000000" w:themeColor="text1"/>
          <w:szCs w:val="24"/>
        </w:rPr>
        <w:t xml:space="preserve">represented by </w:t>
      </w:r>
      <w:r w:rsidR="0032274B">
        <w:rPr>
          <w:rFonts w:ascii="Calibri" w:hAnsi="Calibri" w:cs="Calibri"/>
          <w:color w:val="000000" w:themeColor="text1"/>
          <w:szCs w:val="24"/>
        </w:rPr>
        <w:t>g</w:t>
      </w:r>
      <w:r w:rsidR="009E115F" w:rsidRPr="005D53A7">
        <w:rPr>
          <w:rFonts w:ascii="Calibri" w:hAnsi="Calibri" w:cs="Calibri"/>
          <w:color w:val="000000" w:themeColor="text1"/>
          <w:szCs w:val="24"/>
        </w:rPr>
        <w:t>reen</w:t>
      </w:r>
      <w:r w:rsidR="0032274B">
        <w:rPr>
          <w:rFonts w:ascii="Calibri" w:hAnsi="Calibri" w:cs="Calibri"/>
          <w:color w:val="000000" w:themeColor="text1"/>
          <w:szCs w:val="24"/>
        </w:rPr>
        <w:t>-</w:t>
      </w:r>
      <w:r w:rsidR="009E115F" w:rsidRPr="005D53A7">
        <w:rPr>
          <w:rFonts w:ascii="Calibri" w:hAnsi="Calibri" w:cs="Calibri"/>
          <w:color w:val="000000" w:themeColor="text1"/>
          <w:szCs w:val="24"/>
        </w:rPr>
        <w:t>fluorescence intensity</w:t>
      </w:r>
      <w:r w:rsidR="00EF52FF">
        <w:rPr>
          <w:rFonts w:ascii="Calibri" w:hAnsi="Calibri" w:cs="Calibri"/>
          <w:color w:val="000000" w:themeColor="text1"/>
          <w:szCs w:val="24"/>
        </w:rPr>
        <w:t>)</w:t>
      </w:r>
      <w:r w:rsidR="009E115F" w:rsidRPr="005D53A7">
        <w:rPr>
          <w:rFonts w:ascii="Calibri" w:hAnsi="Calibri" w:cs="Calibri"/>
          <w:color w:val="000000" w:themeColor="text1"/>
          <w:szCs w:val="24"/>
        </w:rPr>
        <w:t xml:space="preserve"> did not change upon NR supplementation.</w:t>
      </w:r>
      <w:r w:rsidR="006917BD" w:rsidRPr="005D53A7">
        <w:rPr>
          <w:rFonts w:ascii="Calibri" w:hAnsi="Calibri" w:cs="Calibri"/>
          <w:color w:val="000000" w:themeColor="text1"/>
          <w:szCs w:val="24"/>
        </w:rPr>
        <w:t xml:space="preserve"> Additionally, we combined stem cell marker staining with mitochondrial </w:t>
      </w:r>
      <w:r w:rsidR="00134A5E" w:rsidRPr="005D53A7">
        <w:rPr>
          <w:rFonts w:ascii="Calibri" w:hAnsi="Calibri" w:cs="Calibri"/>
          <w:color w:val="000000" w:themeColor="text1"/>
          <w:szCs w:val="24"/>
        </w:rPr>
        <w:t>staining</w:t>
      </w:r>
      <w:r w:rsidR="006917BD" w:rsidRPr="005D53A7">
        <w:rPr>
          <w:rFonts w:ascii="Calibri" w:hAnsi="Calibri" w:cs="Calibri"/>
          <w:color w:val="000000" w:themeColor="text1"/>
          <w:szCs w:val="24"/>
        </w:rPr>
        <w:t xml:space="preserve"> post culture. </w:t>
      </w:r>
      <w:r w:rsidR="00B263ED" w:rsidRPr="00D34DDF">
        <w:rPr>
          <w:rFonts w:ascii="Calibri" w:hAnsi="Calibri" w:cs="Calibri"/>
          <w:b/>
          <w:bCs/>
          <w:color w:val="000000" w:themeColor="text1"/>
          <w:szCs w:val="24"/>
        </w:rPr>
        <w:t xml:space="preserve">Figure </w:t>
      </w:r>
      <w:r w:rsidR="006917BD" w:rsidRPr="00045C71">
        <w:rPr>
          <w:rFonts w:ascii="Calibri" w:hAnsi="Calibri" w:cs="Calibri"/>
          <w:b/>
          <w:bCs/>
          <w:color w:val="000000" w:themeColor="text1"/>
          <w:szCs w:val="24"/>
        </w:rPr>
        <w:t>2C</w:t>
      </w:r>
      <w:r w:rsidR="006917BD" w:rsidRPr="005D53A7">
        <w:rPr>
          <w:rFonts w:ascii="Calibri" w:hAnsi="Calibri" w:cs="Calibri"/>
          <w:color w:val="000000" w:themeColor="text1"/>
          <w:szCs w:val="24"/>
        </w:rPr>
        <w:t xml:space="preserve"> shows the gating strategy to identify HSCs from lineage negative and LKS populations</w:t>
      </w:r>
      <w:r w:rsidR="00CF608F" w:rsidRPr="005D53A7">
        <w:rPr>
          <w:rFonts w:ascii="Calibri" w:hAnsi="Calibri" w:cs="Calibri"/>
          <w:color w:val="000000" w:themeColor="text1"/>
          <w:szCs w:val="24"/>
        </w:rPr>
        <w:t xml:space="preserve"> post culture</w:t>
      </w:r>
      <w:r w:rsidR="00DD1661" w:rsidRPr="005D53A7">
        <w:rPr>
          <w:rFonts w:ascii="Calibri" w:hAnsi="Calibri" w:cs="Calibri"/>
          <w:color w:val="000000" w:themeColor="text1"/>
          <w:szCs w:val="24"/>
        </w:rPr>
        <w:t xml:space="preserve"> in the two </w:t>
      </w:r>
      <w:r w:rsidR="00732950">
        <w:rPr>
          <w:rFonts w:ascii="Calibri" w:hAnsi="Calibri" w:cs="Calibri"/>
          <w:color w:val="000000" w:themeColor="text1"/>
          <w:szCs w:val="24"/>
        </w:rPr>
        <w:t xml:space="preserve">culture </w:t>
      </w:r>
      <w:r w:rsidR="00DD1661" w:rsidRPr="005D53A7">
        <w:rPr>
          <w:rFonts w:ascii="Calibri" w:hAnsi="Calibri" w:cs="Calibri"/>
          <w:color w:val="000000" w:themeColor="text1"/>
          <w:szCs w:val="24"/>
        </w:rPr>
        <w:t>conditions</w:t>
      </w:r>
      <w:r w:rsidR="006917BD" w:rsidRPr="005D53A7">
        <w:rPr>
          <w:rFonts w:ascii="Calibri" w:hAnsi="Calibri" w:cs="Calibri"/>
          <w:color w:val="000000" w:themeColor="text1"/>
          <w:szCs w:val="24"/>
        </w:rPr>
        <w:t>.</w:t>
      </w:r>
      <w:r w:rsidR="006B2198">
        <w:rPr>
          <w:rFonts w:ascii="Calibri" w:hAnsi="Calibri" w:cs="Calibri"/>
          <w:color w:val="000000" w:themeColor="text1"/>
          <w:szCs w:val="24"/>
        </w:rPr>
        <w:t xml:space="preserve"> </w:t>
      </w:r>
      <w:r w:rsidR="00134A5E" w:rsidRPr="005D53A7">
        <w:rPr>
          <w:rFonts w:ascii="Calibri" w:hAnsi="Calibri" w:cs="Calibri"/>
          <w:color w:val="000000" w:themeColor="text1"/>
          <w:szCs w:val="24"/>
        </w:rPr>
        <w:t xml:space="preserve">The TMRM and </w:t>
      </w:r>
      <w:r w:rsidR="0032274B">
        <w:rPr>
          <w:rFonts w:ascii="Calibri" w:hAnsi="Calibri" w:cs="Calibri"/>
          <w:szCs w:val="24"/>
        </w:rPr>
        <w:t>green</w:t>
      </w:r>
      <w:r w:rsidR="00293B42">
        <w:rPr>
          <w:rFonts w:ascii="Calibri" w:hAnsi="Calibri" w:cs="Calibri"/>
          <w:szCs w:val="24"/>
        </w:rPr>
        <w:t xml:space="preserve"> </w:t>
      </w:r>
      <w:r w:rsidR="0032274B">
        <w:rPr>
          <w:rFonts w:ascii="Calibri" w:hAnsi="Calibri" w:cs="Calibri"/>
          <w:szCs w:val="24"/>
        </w:rPr>
        <w:t>fluorescent mitochondrial stain</w:t>
      </w:r>
      <w:r w:rsidR="00134A5E" w:rsidRPr="005D53A7">
        <w:rPr>
          <w:rFonts w:ascii="Calibri" w:hAnsi="Calibri" w:cs="Calibri"/>
          <w:color w:val="000000" w:themeColor="text1"/>
          <w:szCs w:val="24"/>
        </w:rPr>
        <w:t xml:space="preserve"> profile of these gated HSCs is seen in </w:t>
      </w:r>
      <w:r w:rsidR="00B263ED" w:rsidRPr="00D34DDF">
        <w:rPr>
          <w:rFonts w:ascii="Calibri" w:hAnsi="Calibri" w:cs="Calibri"/>
          <w:b/>
          <w:bCs/>
          <w:color w:val="000000" w:themeColor="text1"/>
          <w:szCs w:val="24"/>
        </w:rPr>
        <w:t xml:space="preserve">Figure </w:t>
      </w:r>
      <w:r w:rsidR="00134A5E" w:rsidRPr="00045C71">
        <w:rPr>
          <w:rFonts w:ascii="Calibri" w:hAnsi="Calibri" w:cs="Calibri"/>
          <w:b/>
          <w:bCs/>
          <w:color w:val="000000" w:themeColor="text1"/>
          <w:szCs w:val="24"/>
        </w:rPr>
        <w:t>2D</w:t>
      </w:r>
      <w:r w:rsidR="00134A5E" w:rsidRPr="005D53A7">
        <w:rPr>
          <w:rFonts w:ascii="Calibri" w:hAnsi="Calibri" w:cs="Calibri"/>
          <w:color w:val="000000" w:themeColor="text1"/>
          <w:szCs w:val="24"/>
        </w:rPr>
        <w:t xml:space="preserve">. </w:t>
      </w:r>
      <w:r w:rsidR="00CF608F" w:rsidRPr="005D53A7">
        <w:rPr>
          <w:rFonts w:ascii="Calibri" w:hAnsi="Calibri" w:cs="Calibri"/>
          <w:color w:val="000000" w:themeColor="text1"/>
          <w:szCs w:val="24"/>
        </w:rPr>
        <w:t>Exposure to NR show</w:t>
      </w:r>
      <w:r w:rsidR="0007754D">
        <w:rPr>
          <w:rFonts w:ascii="Calibri" w:hAnsi="Calibri" w:cs="Calibri"/>
          <w:color w:val="000000" w:themeColor="text1"/>
          <w:szCs w:val="24"/>
        </w:rPr>
        <w:t>ed</w:t>
      </w:r>
      <w:r w:rsidR="00CF608F" w:rsidRPr="005D53A7">
        <w:rPr>
          <w:rFonts w:ascii="Calibri" w:hAnsi="Calibri" w:cs="Calibri"/>
          <w:color w:val="000000" w:themeColor="text1"/>
          <w:szCs w:val="24"/>
        </w:rPr>
        <w:t xml:space="preserve"> a significant increase in</w:t>
      </w:r>
      <w:r w:rsidR="00B263ED">
        <w:rPr>
          <w:rFonts w:ascii="Calibri" w:hAnsi="Calibri" w:cs="Calibri"/>
          <w:color w:val="000000" w:themeColor="text1"/>
          <w:szCs w:val="24"/>
        </w:rPr>
        <w:t xml:space="preserve"> the </w:t>
      </w:r>
      <w:r w:rsidR="00872462">
        <w:rPr>
          <w:rFonts w:ascii="Calibri" w:hAnsi="Calibri" w:cs="Calibri"/>
          <w:color w:val="000000" w:themeColor="text1"/>
          <w:szCs w:val="24"/>
        </w:rPr>
        <w:t>%</w:t>
      </w:r>
      <w:proofErr w:type="spellStart"/>
      <w:r w:rsidR="00CF608F" w:rsidRPr="005D53A7">
        <w:rPr>
          <w:rFonts w:ascii="Calibri" w:hAnsi="Calibri" w:cs="Calibri"/>
          <w:color w:val="000000" w:themeColor="text1"/>
          <w:szCs w:val="24"/>
        </w:rPr>
        <w:t>TMRM</w:t>
      </w:r>
      <w:r w:rsidR="00CF608F" w:rsidRPr="005D53A7">
        <w:rPr>
          <w:rFonts w:ascii="Calibri" w:hAnsi="Calibri" w:cs="Calibri"/>
          <w:color w:val="000000" w:themeColor="text1"/>
          <w:szCs w:val="24"/>
          <w:vertAlign w:val="superscript"/>
        </w:rPr>
        <w:t>low</w:t>
      </w:r>
      <w:proofErr w:type="spellEnd"/>
      <w:r w:rsidR="00CF608F" w:rsidRPr="005D53A7">
        <w:rPr>
          <w:rFonts w:ascii="Calibri" w:hAnsi="Calibri" w:cs="Calibri"/>
          <w:color w:val="000000" w:themeColor="text1"/>
          <w:szCs w:val="24"/>
        </w:rPr>
        <w:t xml:space="preserve"> population and </w:t>
      </w:r>
      <w:r w:rsidR="00B263ED">
        <w:rPr>
          <w:rFonts w:ascii="Calibri" w:hAnsi="Calibri" w:cs="Calibri"/>
          <w:color w:val="000000" w:themeColor="text1"/>
          <w:szCs w:val="24"/>
        </w:rPr>
        <w:t xml:space="preserve">a </w:t>
      </w:r>
      <w:r w:rsidR="00CF608F" w:rsidRPr="005D53A7">
        <w:rPr>
          <w:rFonts w:ascii="Calibri" w:hAnsi="Calibri" w:cs="Calibri"/>
          <w:color w:val="000000" w:themeColor="text1"/>
          <w:szCs w:val="24"/>
        </w:rPr>
        <w:t xml:space="preserve">significant decrease in </w:t>
      </w:r>
      <w:r w:rsidR="00B263ED">
        <w:rPr>
          <w:rFonts w:ascii="Calibri" w:hAnsi="Calibri" w:cs="Calibri"/>
          <w:color w:val="000000" w:themeColor="text1"/>
          <w:szCs w:val="24"/>
        </w:rPr>
        <w:t xml:space="preserve">the </w:t>
      </w:r>
      <w:r w:rsidR="00CF608F" w:rsidRPr="005D53A7">
        <w:rPr>
          <w:rFonts w:ascii="Calibri" w:hAnsi="Calibri" w:cs="Calibri"/>
          <w:color w:val="000000" w:themeColor="text1"/>
          <w:szCs w:val="24"/>
        </w:rPr>
        <w:t>TMRM fluorescence intensity</w:t>
      </w:r>
      <w:r w:rsidR="00DD1661" w:rsidRPr="005D53A7">
        <w:rPr>
          <w:rFonts w:ascii="Calibri" w:hAnsi="Calibri" w:cs="Calibri"/>
          <w:color w:val="000000" w:themeColor="text1"/>
          <w:szCs w:val="24"/>
        </w:rPr>
        <w:t xml:space="preserve"> in gated HSC</w:t>
      </w:r>
      <w:r w:rsidR="00CF608F" w:rsidRPr="005D53A7">
        <w:rPr>
          <w:rFonts w:ascii="Calibri" w:hAnsi="Calibri" w:cs="Calibri"/>
          <w:color w:val="000000" w:themeColor="text1"/>
          <w:szCs w:val="24"/>
        </w:rPr>
        <w:t>s</w:t>
      </w:r>
      <w:r w:rsidR="00103DE8" w:rsidRPr="005D53A7">
        <w:rPr>
          <w:rFonts w:ascii="Calibri" w:hAnsi="Calibri" w:cs="Calibri"/>
          <w:color w:val="000000" w:themeColor="text1"/>
          <w:szCs w:val="24"/>
        </w:rPr>
        <w:t>. The</w:t>
      </w:r>
      <w:r w:rsidR="0032274B">
        <w:rPr>
          <w:rFonts w:ascii="Calibri" w:hAnsi="Calibri" w:cs="Calibri"/>
          <w:color w:val="000000" w:themeColor="text1"/>
          <w:szCs w:val="24"/>
        </w:rPr>
        <w:t xml:space="preserve"> </w:t>
      </w:r>
      <w:r w:rsidR="0032274B">
        <w:rPr>
          <w:rFonts w:ascii="Calibri" w:hAnsi="Calibri" w:cs="Calibri"/>
          <w:szCs w:val="24"/>
        </w:rPr>
        <w:t>green</w:t>
      </w:r>
      <w:r w:rsidR="00293B42">
        <w:rPr>
          <w:rFonts w:ascii="Calibri" w:hAnsi="Calibri" w:cs="Calibri"/>
          <w:szCs w:val="24"/>
        </w:rPr>
        <w:t xml:space="preserve"> </w:t>
      </w:r>
      <w:r w:rsidR="0032274B">
        <w:rPr>
          <w:rFonts w:ascii="Calibri" w:hAnsi="Calibri" w:cs="Calibri"/>
          <w:szCs w:val="24"/>
        </w:rPr>
        <w:t>fluorescent mitochondrial stain</w:t>
      </w:r>
      <w:r w:rsidR="00103DE8" w:rsidRPr="005D53A7">
        <w:rPr>
          <w:rFonts w:ascii="Calibri" w:hAnsi="Calibri" w:cs="Calibri"/>
          <w:color w:val="000000" w:themeColor="text1"/>
          <w:szCs w:val="24"/>
        </w:rPr>
        <w:t xml:space="preserve"> green signal remain</w:t>
      </w:r>
      <w:r w:rsidR="0007754D">
        <w:rPr>
          <w:rFonts w:ascii="Calibri" w:hAnsi="Calibri" w:cs="Calibri"/>
          <w:color w:val="000000" w:themeColor="text1"/>
          <w:szCs w:val="24"/>
        </w:rPr>
        <w:t>ed</w:t>
      </w:r>
      <w:r w:rsidR="00103DE8" w:rsidRPr="005D53A7">
        <w:rPr>
          <w:rFonts w:ascii="Calibri" w:hAnsi="Calibri" w:cs="Calibri"/>
          <w:color w:val="000000" w:themeColor="text1"/>
          <w:szCs w:val="24"/>
        </w:rPr>
        <w:t xml:space="preserve"> unchanged in the two conditions.</w:t>
      </w:r>
    </w:p>
    <w:p w14:paraId="76C4D2AB" w14:textId="06E6AA70" w:rsidR="00DE6505" w:rsidRPr="005D53A7" w:rsidRDefault="00DE6505" w:rsidP="005D53A7">
      <w:pPr>
        <w:jc w:val="both"/>
        <w:rPr>
          <w:rFonts w:ascii="Calibri" w:hAnsi="Calibri" w:cs="Calibri"/>
          <w:color w:val="000000" w:themeColor="text1"/>
          <w:szCs w:val="24"/>
        </w:rPr>
      </w:pPr>
    </w:p>
    <w:p w14:paraId="70567875" w14:textId="748C2BD3" w:rsidR="00003CF3" w:rsidRPr="005D53A7" w:rsidRDefault="00B70634" w:rsidP="005D53A7">
      <w:pPr>
        <w:jc w:val="both"/>
        <w:rPr>
          <w:rFonts w:ascii="Calibri" w:hAnsi="Calibri" w:cs="Calibri"/>
          <w:color w:val="000000" w:themeColor="text1"/>
          <w:szCs w:val="24"/>
        </w:rPr>
      </w:pPr>
      <w:r w:rsidRPr="00B70634">
        <w:rPr>
          <w:rFonts w:ascii="Calibri" w:hAnsi="Calibri" w:cs="Calibri"/>
          <w:b/>
          <w:color w:val="000000" w:themeColor="text1"/>
          <w:szCs w:val="24"/>
        </w:rPr>
        <w:t>Figure 3</w:t>
      </w:r>
      <w:r w:rsidR="00DE6505" w:rsidRPr="005D53A7">
        <w:rPr>
          <w:rFonts w:ascii="Calibri" w:hAnsi="Calibri" w:cs="Calibri"/>
          <w:color w:val="000000" w:themeColor="text1"/>
          <w:szCs w:val="24"/>
        </w:rPr>
        <w:t xml:space="preserve"> shows the measurement of mitochondrial membrane potential</w:t>
      </w:r>
      <w:r w:rsidR="00286029">
        <w:rPr>
          <w:rFonts w:ascii="Calibri" w:hAnsi="Calibri" w:cs="Calibri"/>
          <w:color w:val="000000" w:themeColor="text1"/>
          <w:szCs w:val="24"/>
        </w:rPr>
        <w:t xml:space="preserve"> (</w:t>
      </w:r>
      <w:proofErr w:type="spellStart"/>
      <w:r w:rsidR="00286029">
        <w:rPr>
          <w:rFonts w:ascii="Calibri" w:hAnsi="Calibri" w:cs="Calibri"/>
          <w:szCs w:val="24"/>
        </w:rPr>
        <w:t>ΔΨ</w:t>
      </w:r>
      <w:r w:rsidR="00286029" w:rsidRPr="005D53A7">
        <w:rPr>
          <w:rFonts w:ascii="Calibri" w:hAnsi="Calibri" w:cs="Calibri"/>
          <w:szCs w:val="24"/>
        </w:rPr>
        <w:t>m</w:t>
      </w:r>
      <w:proofErr w:type="spellEnd"/>
      <w:r w:rsidR="00286029">
        <w:rPr>
          <w:rFonts w:ascii="Calibri" w:hAnsi="Calibri" w:cs="Calibri"/>
          <w:color w:val="000000" w:themeColor="text1"/>
          <w:szCs w:val="24"/>
        </w:rPr>
        <w:t>)</w:t>
      </w:r>
      <w:r w:rsidR="00DE6505" w:rsidRPr="005D53A7">
        <w:rPr>
          <w:rFonts w:ascii="Calibri" w:hAnsi="Calibri" w:cs="Calibri"/>
          <w:color w:val="000000" w:themeColor="text1"/>
          <w:szCs w:val="24"/>
        </w:rPr>
        <w:t xml:space="preserve"> and mass in different human T cells: </w:t>
      </w:r>
      <w:r w:rsidR="005C0EBC" w:rsidRPr="005D53A7">
        <w:rPr>
          <w:rFonts w:ascii="Calibri" w:hAnsi="Calibri" w:cs="Calibri"/>
          <w:color w:val="000000" w:themeColor="text1"/>
          <w:szCs w:val="24"/>
        </w:rPr>
        <w:t>peripheral</w:t>
      </w:r>
      <w:r w:rsidR="00DE6505" w:rsidRPr="005D53A7">
        <w:rPr>
          <w:rFonts w:ascii="Calibri" w:hAnsi="Calibri" w:cs="Calibri"/>
          <w:color w:val="000000" w:themeColor="text1"/>
          <w:szCs w:val="24"/>
        </w:rPr>
        <w:t xml:space="preserve"> blood mononuclear cells (PBMCs) CD</w:t>
      </w:r>
      <w:r w:rsidR="005C0EBC" w:rsidRPr="005D53A7">
        <w:rPr>
          <w:rFonts w:ascii="Calibri" w:hAnsi="Calibri" w:cs="Calibri"/>
          <w:color w:val="000000" w:themeColor="text1"/>
          <w:szCs w:val="24"/>
        </w:rPr>
        <w:t>4</w:t>
      </w:r>
      <w:r w:rsidR="00DE6505" w:rsidRPr="005D53A7">
        <w:rPr>
          <w:rFonts w:ascii="Calibri" w:hAnsi="Calibri" w:cs="Calibri"/>
          <w:color w:val="000000" w:themeColor="text1"/>
          <w:szCs w:val="24"/>
        </w:rPr>
        <w:t>+ and CD</w:t>
      </w:r>
      <w:r w:rsidR="005C0EBC" w:rsidRPr="005D53A7">
        <w:rPr>
          <w:rFonts w:ascii="Calibri" w:hAnsi="Calibri" w:cs="Calibri"/>
          <w:color w:val="000000" w:themeColor="text1"/>
          <w:szCs w:val="24"/>
        </w:rPr>
        <w:t>8</w:t>
      </w:r>
      <w:r w:rsidR="00DE6505" w:rsidRPr="005D53A7">
        <w:rPr>
          <w:rFonts w:ascii="Calibri" w:hAnsi="Calibri" w:cs="Calibri"/>
          <w:color w:val="000000" w:themeColor="text1"/>
          <w:szCs w:val="24"/>
        </w:rPr>
        <w:t>+</w:t>
      </w:r>
      <w:r w:rsidR="00280283" w:rsidRPr="005D53A7">
        <w:rPr>
          <w:rFonts w:ascii="Calibri" w:hAnsi="Calibri" w:cs="Calibri"/>
          <w:color w:val="000000" w:themeColor="text1"/>
          <w:szCs w:val="24"/>
        </w:rPr>
        <w:t xml:space="preserve"> T cells</w:t>
      </w:r>
      <w:r w:rsidR="00DE6505" w:rsidRPr="005D53A7">
        <w:rPr>
          <w:rFonts w:ascii="Calibri" w:hAnsi="Calibri" w:cs="Calibri"/>
          <w:color w:val="000000" w:themeColor="text1"/>
          <w:szCs w:val="24"/>
        </w:rPr>
        <w:t xml:space="preserve">, </w:t>
      </w:r>
      <w:r w:rsidR="00280283" w:rsidRPr="005D53A7">
        <w:rPr>
          <w:rFonts w:ascii="Calibri" w:hAnsi="Calibri" w:cs="Calibri"/>
          <w:color w:val="000000" w:themeColor="text1"/>
          <w:szCs w:val="24"/>
        </w:rPr>
        <w:t xml:space="preserve">as well as </w:t>
      </w:r>
      <w:r w:rsidR="00DE6505" w:rsidRPr="005D53A7">
        <w:rPr>
          <w:rFonts w:ascii="Calibri" w:hAnsi="Calibri" w:cs="Calibri"/>
          <w:color w:val="000000" w:themeColor="text1"/>
          <w:szCs w:val="24"/>
        </w:rPr>
        <w:t>CD</w:t>
      </w:r>
      <w:r w:rsidR="005C0EBC" w:rsidRPr="005D53A7">
        <w:rPr>
          <w:rFonts w:ascii="Calibri" w:hAnsi="Calibri" w:cs="Calibri"/>
          <w:color w:val="000000" w:themeColor="text1"/>
          <w:szCs w:val="24"/>
        </w:rPr>
        <w:t>4</w:t>
      </w:r>
      <w:r w:rsidR="00DE6505" w:rsidRPr="005D53A7">
        <w:rPr>
          <w:rFonts w:ascii="Calibri" w:hAnsi="Calibri" w:cs="Calibri"/>
          <w:color w:val="000000" w:themeColor="text1"/>
          <w:szCs w:val="24"/>
        </w:rPr>
        <w:t>+ and CD</w:t>
      </w:r>
      <w:r w:rsidR="005C0EBC" w:rsidRPr="005D53A7">
        <w:rPr>
          <w:rFonts w:ascii="Calibri" w:hAnsi="Calibri" w:cs="Calibri"/>
          <w:color w:val="000000" w:themeColor="text1"/>
          <w:szCs w:val="24"/>
        </w:rPr>
        <w:t>8</w:t>
      </w:r>
      <w:r w:rsidR="00DE6505" w:rsidRPr="005D53A7">
        <w:rPr>
          <w:rFonts w:ascii="Calibri" w:hAnsi="Calibri" w:cs="Calibri"/>
          <w:color w:val="000000" w:themeColor="text1"/>
          <w:szCs w:val="24"/>
        </w:rPr>
        <w:t>+ tumor infiltrating lymphocytes (TILs)</w:t>
      </w:r>
      <w:r w:rsidR="005C0EBC" w:rsidRPr="005D53A7">
        <w:rPr>
          <w:rFonts w:ascii="Calibri" w:hAnsi="Calibri" w:cs="Calibri"/>
          <w:color w:val="000000" w:themeColor="text1"/>
          <w:szCs w:val="24"/>
        </w:rPr>
        <w:t xml:space="preserve"> after </w:t>
      </w:r>
      <w:r w:rsidR="006D4CE3">
        <w:rPr>
          <w:rFonts w:ascii="Calibri" w:hAnsi="Calibri" w:cs="Calibri"/>
          <w:color w:val="000000" w:themeColor="text1"/>
          <w:szCs w:val="24"/>
        </w:rPr>
        <w:t xml:space="preserve">the </w:t>
      </w:r>
      <w:r w:rsidR="005C0EBC" w:rsidRPr="005D53A7">
        <w:rPr>
          <w:rFonts w:ascii="Calibri" w:hAnsi="Calibri" w:cs="Calibri"/>
          <w:color w:val="000000" w:themeColor="text1"/>
          <w:szCs w:val="24"/>
        </w:rPr>
        <w:t>rapid expansion protocol (REP)</w:t>
      </w:r>
      <w:r w:rsidR="00DE6505" w:rsidRPr="005D53A7">
        <w:rPr>
          <w:rFonts w:ascii="Calibri" w:hAnsi="Calibri" w:cs="Calibri"/>
          <w:color w:val="000000" w:themeColor="text1"/>
          <w:szCs w:val="24"/>
        </w:rPr>
        <w:t xml:space="preserve">. </w:t>
      </w:r>
      <w:r w:rsidR="006D4CE3" w:rsidRPr="00D34DDF">
        <w:rPr>
          <w:rFonts w:ascii="Calibri" w:hAnsi="Calibri" w:cs="Calibri"/>
          <w:b/>
          <w:bCs/>
          <w:color w:val="000000" w:themeColor="text1"/>
          <w:szCs w:val="24"/>
        </w:rPr>
        <w:t xml:space="preserve">Figure </w:t>
      </w:r>
      <w:r w:rsidR="00DE6505" w:rsidRPr="00045C71">
        <w:rPr>
          <w:rFonts w:ascii="Calibri" w:hAnsi="Calibri" w:cs="Calibri"/>
          <w:b/>
          <w:bCs/>
          <w:color w:val="000000" w:themeColor="text1"/>
          <w:szCs w:val="24"/>
        </w:rPr>
        <w:t>3A</w:t>
      </w:r>
      <w:r w:rsidR="00DE6505" w:rsidRPr="005D53A7">
        <w:rPr>
          <w:rFonts w:ascii="Calibri" w:hAnsi="Calibri" w:cs="Calibri"/>
          <w:color w:val="000000" w:themeColor="text1"/>
          <w:szCs w:val="24"/>
        </w:rPr>
        <w:t xml:space="preserve"> shows representative plot</w:t>
      </w:r>
      <w:r w:rsidR="006D4CE3">
        <w:rPr>
          <w:rFonts w:ascii="Calibri" w:hAnsi="Calibri" w:cs="Calibri"/>
          <w:color w:val="000000" w:themeColor="text1"/>
          <w:szCs w:val="24"/>
        </w:rPr>
        <w:t>s</w:t>
      </w:r>
      <w:r w:rsidR="00DE6505" w:rsidRPr="005D53A7">
        <w:rPr>
          <w:rFonts w:ascii="Calibri" w:hAnsi="Calibri" w:cs="Calibri"/>
          <w:color w:val="000000" w:themeColor="text1"/>
          <w:szCs w:val="24"/>
        </w:rPr>
        <w:t xml:space="preserve"> of </w:t>
      </w:r>
      <w:r w:rsidR="006D4CE3">
        <w:rPr>
          <w:rFonts w:ascii="Calibri" w:hAnsi="Calibri" w:cs="Calibri"/>
          <w:color w:val="000000" w:themeColor="text1"/>
          <w:szCs w:val="24"/>
        </w:rPr>
        <w:t xml:space="preserve">the </w:t>
      </w:r>
      <w:r w:rsidR="00DE6505" w:rsidRPr="005D53A7">
        <w:rPr>
          <w:rFonts w:ascii="Calibri" w:hAnsi="Calibri" w:cs="Calibri"/>
          <w:color w:val="000000" w:themeColor="text1"/>
          <w:szCs w:val="24"/>
        </w:rPr>
        <w:t xml:space="preserve">TMRM levels (above) and </w:t>
      </w:r>
      <w:r w:rsidR="0032274B">
        <w:rPr>
          <w:rFonts w:ascii="Calibri" w:hAnsi="Calibri" w:cs="Calibri"/>
          <w:szCs w:val="24"/>
        </w:rPr>
        <w:t>green-fluorescent mitochondrial stain</w:t>
      </w:r>
      <w:r w:rsidR="00F71752">
        <w:rPr>
          <w:rFonts w:ascii="Calibri" w:hAnsi="Calibri" w:cs="Calibri"/>
          <w:szCs w:val="24"/>
        </w:rPr>
        <w:t xml:space="preserve"> levels</w:t>
      </w:r>
      <w:r w:rsidR="00DE6505" w:rsidRPr="005D53A7">
        <w:rPr>
          <w:rFonts w:ascii="Calibri" w:hAnsi="Calibri" w:cs="Calibri"/>
          <w:color w:val="000000" w:themeColor="text1"/>
          <w:szCs w:val="24"/>
        </w:rPr>
        <w:t xml:space="preserve"> (</w:t>
      </w:r>
      <w:r w:rsidR="006D4CE3">
        <w:rPr>
          <w:rFonts w:ascii="Calibri" w:hAnsi="Calibri" w:cs="Calibri"/>
          <w:color w:val="000000" w:themeColor="text1"/>
          <w:szCs w:val="24"/>
        </w:rPr>
        <w:t>below</w:t>
      </w:r>
      <w:r w:rsidR="00DE6505" w:rsidRPr="005D53A7">
        <w:rPr>
          <w:rFonts w:ascii="Calibri" w:hAnsi="Calibri" w:cs="Calibri"/>
          <w:color w:val="000000" w:themeColor="text1"/>
          <w:szCs w:val="24"/>
        </w:rPr>
        <w:t xml:space="preserve">) </w:t>
      </w:r>
      <w:r w:rsidR="005C0EBC" w:rsidRPr="005D53A7">
        <w:rPr>
          <w:rFonts w:ascii="Calibri" w:hAnsi="Calibri" w:cs="Calibri"/>
          <w:color w:val="000000" w:themeColor="text1"/>
          <w:szCs w:val="24"/>
        </w:rPr>
        <w:t>of</w:t>
      </w:r>
      <w:r w:rsidR="00DE6505" w:rsidRPr="005D53A7">
        <w:rPr>
          <w:rFonts w:ascii="Calibri" w:hAnsi="Calibri" w:cs="Calibri"/>
          <w:color w:val="000000" w:themeColor="text1"/>
          <w:szCs w:val="24"/>
        </w:rPr>
        <w:t xml:space="preserve"> </w:t>
      </w:r>
      <w:r w:rsidR="00280283" w:rsidRPr="005D53A7">
        <w:rPr>
          <w:rFonts w:ascii="Calibri" w:hAnsi="Calibri" w:cs="Calibri"/>
          <w:color w:val="000000" w:themeColor="text1"/>
          <w:szCs w:val="24"/>
        </w:rPr>
        <w:t xml:space="preserve">circulating (PBMC) and tumor-infiltrating (TIL) </w:t>
      </w:r>
      <w:r w:rsidR="005C0EBC" w:rsidRPr="005D53A7">
        <w:rPr>
          <w:rFonts w:ascii="Calibri" w:hAnsi="Calibri" w:cs="Calibri"/>
          <w:color w:val="000000" w:themeColor="text1"/>
          <w:szCs w:val="24"/>
        </w:rPr>
        <w:t>CD4+ and CD8</w:t>
      </w:r>
      <w:r w:rsidR="006E640C" w:rsidRPr="005D53A7">
        <w:rPr>
          <w:rFonts w:ascii="Calibri" w:hAnsi="Calibri" w:cs="Calibri"/>
          <w:color w:val="000000" w:themeColor="text1"/>
          <w:szCs w:val="24"/>
        </w:rPr>
        <w:t xml:space="preserve">+ </w:t>
      </w:r>
      <w:r w:rsidR="00280283" w:rsidRPr="005D53A7">
        <w:rPr>
          <w:rFonts w:ascii="Calibri" w:hAnsi="Calibri" w:cs="Calibri"/>
          <w:color w:val="000000" w:themeColor="text1"/>
          <w:szCs w:val="24"/>
        </w:rPr>
        <w:t>T cells</w:t>
      </w:r>
      <w:r w:rsidR="00DE6505" w:rsidRPr="005D53A7">
        <w:rPr>
          <w:rFonts w:ascii="Calibri" w:hAnsi="Calibri" w:cs="Calibri"/>
          <w:color w:val="000000" w:themeColor="text1"/>
          <w:szCs w:val="24"/>
        </w:rPr>
        <w:t xml:space="preserve">. </w:t>
      </w:r>
      <w:r w:rsidR="005C0EBC" w:rsidRPr="005D53A7">
        <w:rPr>
          <w:rFonts w:ascii="Calibri" w:hAnsi="Calibri" w:cs="Calibri"/>
          <w:color w:val="000000" w:themeColor="text1"/>
          <w:szCs w:val="24"/>
        </w:rPr>
        <w:t>TILs show</w:t>
      </w:r>
      <w:r w:rsidR="006D4CE3">
        <w:rPr>
          <w:rFonts w:ascii="Calibri" w:hAnsi="Calibri" w:cs="Calibri"/>
          <w:color w:val="000000" w:themeColor="text1"/>
          <w:szCs w:val="24"/>
        </w:rPr>
        <w:t>ed</w:t>
      </w:r>
      <w:r w:rsidR="00DE6505" w:rsidRPr="005D53A7">
        <w:rPr>
          <w:rFonts w:ascii="Calibri" w:hAnsi="Calibri" w:cs="Calibri"/>
          <w:color w:val="000000" w:themeColor="text1"/>
          <w:szCs w:val="24"/>
        </w:rPr>
        <w:t xml:space="preserve"> a clear increase </w:t>
      </w:r>
      <w:r w:rsidR="00E7602B" w:rsidRPr="005D53A7">
        <w:rPr>
          <w:rFonts w:ascii="Calibri" w:hAnsi="Calibri" w:cs="Calibri"/>
          <w:color w:val="000000" w:themeColor="text1"/>
          <w:szCs w:val="24"/>
        </w:rPr>
        <w:t xml:space="preserve">in </w:t>
      </w:r>
      <w:r w:rsidR="005C0EBC" w:rsidRPr="005D53A7">
        <w:rPr>
          <w:rFonts w:ascii="Calibri" w:hAnsi="Calibri" w:cs="Calibri"/>
          <w:color w:val="000000" w:themeColor="text1"/>
          <w:szCs w:val="24"/>
        </w:rPr>
        <w:t>TMRM and</w:t>
      </w:r>
      <w:r w:rsidR="00F71752" w:rsidRPr="0078328A">
        <w:rPr>
          <w:rFonts w:ascii="Calibri" w:hAnsi="Calibri"/>
        </w:rPr>
        <w:t xml:space="preserve"> </w:t>
      </w:r>
      <w:r w:rsidR="00F71752">
        <w:rPr>
          <w:rFonts w:ascii="Calibri" w:hAnsi="Calibri" w:cs="Calibri"/>
          <w:szCs w:val="24"/>
        </w:rPr>
        <w:t>green</w:t>
      </w:r>
      <w:r w:rsidR="00293B42">
        <w:rPr>
          <w:rFonts w:ascii="Calibri" w:hAnsi="Calibri" w:cs="Calibri"/>
          <w:szCs w:val="24"/>
        </w:rPr>
        <w:t xml:space="preserve"> </w:t>
      </w:r>
      <w:r w:rsidR="00F71752">
        <w:rPr>
          <w:rFonts w:ascii="Calibri" w:hAnsi="Calibri" w:cs="Calibri"/>
          <w:szCs w:val="24"/>
        </w:rPr>
        <w:t>fluorescent mitochondrial stain</w:t>
      </w:r>
      <w:r w:rsidR="005C0EBC" w:rsidRPr="005D53A7">
        <w:rPr>
          <w:rFonts w:ascii="Calibri" w:hAnsi="Calibri" w:cs="Calibri"/>
          <w:color w:val="000000" w:themeColor="text1"/>
          <w:szCs w:val="24"/>
        </w:rPr>
        <w:t xml:space="preserve"> signal</w:t>
      </w:r>
      <w:r w:rsidR="006E640C" w:rsidRPr="005D53A7">
        <w:rPr>
          <w:rFonts w:ascii="Calibri" w:hAnsi="Calibri" w:cs="Calibri"/>
          <w:color w:val="000000" w:themeColor="text1"/>
          <w:szCs w:val="24"/>
        </w:rPr>
        <w:t xml:space="preserve"> compare</w:t>
      </w:r>
      <w:r w:rsidR="0079297D" w:rsidRPr="005D53A7">
        <w:rPr>
          <w:rFonts w:ascii="Calibri" w:hAnsi="Calibri" w:cs="Calibri"/>
          <w:color w:val="000000" w:themeColor="text1"/>
          <w:szCs w:val="24"/>
        </w:rPr>
        <w:t>d</w:t>
      </w:r>
      <w:r w:rsidR="006E640C" w:rsidRPr="005D53A7">
        <w:rPr>
          <w:rFonts w:ascii="Calibri" w:hAnsi="Calibri" w:cs="Calibri"/>
          <w:color w:val="000000" w:themeColor="text1"/>
          <w:szCs w:val="24"/>
        </w:rPr>
        <w:t xml:space="preserve"> to </w:t>
      </w:r>
      <w:r w:rsidR="00280283" w:rsidRPr="005D53A7">
        <w:rPr>
          <w:rFonts w:ascii="Calibri" w:hAnsi="Calibri" w:cs="Calibri"/>
          <w:color w:val="000000" w:themeColor="text1"/>
          <w:szCs w:val="24"/>
        </w:rPr>
        <w:t xml:space="preserve">circulating </w:t>
      </w:r>
      <w:r w:rsidR="006E640C" w:rsidRPr="005D53A7">
        <w:rPr>
          <w:rFonts w:ascii="Calibri" w:hAnsi="Calibri" w:cs="Calibri"/>
          <w:color w:val="000000" w:themeColor="text1"/>
          <w:szCs w:val="24"/>
        </w:rPr>
        <w:t>T cells.</w:t>
      </w:r>
      <w:r w:rsidR="00003CF3">
        <w:rPr>
          <w:rFonts w:ascii="Calibri" w:hAnsi="Calibri" w:cs="Calibri"/>
          <w:color w:val="000000" w:themeColor="text1"/>
          <w:szCs w:val="24"/>
        </w:rPr>
        <w:t xml:space="preserve"> </w:t>
      </w:r>
      <w:r w:rsidR="006D4CE3" w:rsidRPr="00D34DDF">
        <w:rPr>
          <w:rFonts w:ascii="Calibri" w:hAnsi="Calibri" w:cs="Calibri"/>
          <w:b/>
          <w:bCs/>
          <w:color w:val="000000" w:themeColor="text1"/>
          <w:szCs w:val="24"/>
        </w:rPr>
        <w:t xml:space="preserve">Figure </w:t>
      </w:r>
      <w:r w:rsidR="00003CF3" w:rsidRPr="00045C71">
        <w:rPr>
          <w:rFonts w:ascii="Calibri" w:hAnsi="Calibri" w:cs="Calibri"/>
          <w:b/>
          <w:bCs/>
          <w:color w:val="000000" w:themeColor="text1"/>
          <w:szCs w:val="24"/>
        </w:rPr>
        <w:t>3B</w:t>
      </w:r>
      <w:r w:rsidR="00003CF3" w:rsidRPr="005D53A7">
        <w:rPr>
          <w:rFonts w:ascii="Calibri" w:hAnsi="Calibri" w:cs="Calibri"/>
          <w:color w:val="000000" w:themeColor="text1"/>
          <w:szCs w:val="24"/>
        </w:rPr>
        <w:t xml:space="preserve"> shows the </w:t>
      </w:r>
      <w:r w:rsidR="00003CF3">
        <w:rPr>
          <w:rFonts w:ascii="Calibri" w:hAnsi="Calibri" w:cs="Calibri"/>
          <w:color w:val="000000" w:themeColor="text1"/>
          <w:szCs w:val="24"/>
        </w:rPr>
        <w:t xml:space="preserve">MFI </w:t>
      </w:r>
      <w:r w:rsidR="00003CF3" w:rsidRPr="005D53A7">
        <w:rPr>
          <w:rFonts w:ascii="Calibri" w:hAnsi="Calibri" w:cs="Calibri"/>
          <w:color w:val="000000" w:themeColor="text1"/>
          <w:szCs w:val="24"/>
        </w:rPr>
        <w:t xml:space="preserve">quantification </w:t>
      </w:r>
      <w:r w:rsidR="00711152">
        <w:rPr>
          <w:rFonts w:ascii="Calibri" w:hAnsi="Calibri" w:cs="Calibri"/>
          <w:color w:val="000000" w:themeColor="text1"/>
          <w:szCs w:val="24"/>
        </w:rPr>
        <w:t>of</w:t>
      </w:r>
      <w:r w:rsidR="00003CF3" w:rsidRPr="005D53A7">
        <w:rPr>
          <w:rFonts w:ascii="Calibri" w:hAnsi="Calibri" w:cs="Calibri"/>
          <w:color w:val="000000" w:themeColor="text1"/>
          <w:szCs w:val="24"/>
        </w:rPr>
        <w:t xml:space="preserve"> </w:t>
      </w:r>
      <w:r w:rsidR="00003CF3">
        <w:rPr>
          <w:rFonts w:ascii="Calibri" w:hAnsi="Calibri" w:cs="Calibri"/>
          <w:color w:val="000000" w:themeColor="text1"/>
          <w:szCs w:val="24"/>
        </w:rPr>
        <w:t>TMRM and green</w:t>
      </w:r>
      <w:r w:rsidR="00293B42">
        <w:rPr>
          <w:rFonts w:ascii="Calibri" w:hAnsi="Calibri" w:cs="Calibri"/>
          <w:color w:val="000000" w:themeColor="text1"/>
          <w:szCs w:val="24"/>
        </w:rPr>
        <w:t xml:space="preserve"> </w:t>
      </w:r>
      <w:r w:rsidR="00003CF3">
        <w:rPr>
          <w:rFonts w:ascii="Calibri" w:hAnsi="Calibri" w:cs="Calibri"/>
          <w:color w:val="000000" w:themeColor="text1"/>
          <w:szCs w:val="24"/>
        </w:rPr>
        <w:t xml:space="preserve">fluorescent mitochondrial </w:t>
      </w:r>
      <w:r w:rsidR="00711152">
        <w:rPr>
          <w:rFonts w:ascii="Calibri" w:hAnsi="Calibri" w:cs="Calibri"/>
          <w:color w:val="000000" w:themeColor="text1"/>
          <w:szCs w:val="24"/>
        </w:rPr>
        <w:t>staining</w:t>
      </w:r>
      <w:r w:rsidR="00003CF3">
        <w:rPr>
          <w:rFonts w:ascii="Calibri" w:hAnsi="Calibri" w:cs="Calibri"/>
          <w:color w:val="000000" w:themeColor="text1"/>
          <w:szCs w:val="24"/>
        </w:rPr>
        <w:t>. TILs display</w:t>
      </w:r>
      <w:r w:rsidR="006D4CE3">
        <w:rPr>
          <w:rFonts w:ascii="Calibri" w:hAnsi="Calibri" w:cs="Calibri"/>
          <w:color w:val="000000" w:themeColor="text1"/>
          <w:szCs w:val="24"/>
        </w:rPr>
        <w:t>ed</w:t>
      </w:r>
      <w:r w:rsidR="00003CF3">
        <w:rPr>
          <w:rFonts w:ascii="Calibri" w:hAnsi="Calibri" w:cs="Calibri"/>
          <w:color w:val="000000" w:themeColor="text1"/>
          <w:szCs w:val="24"/>
        </w:rPr>
        <w:t xml:space="preserve"> higher TMRM and green</w:t>
      </w:r>
      <w:r w:rsidR="00293B42">
        <w:rPr>
          <w:rFonts w:ascii="Calibri" w:hAnsi="Calibri" w:cs="Calibri"/>
          <w:color w:val="000000" w:themeColor="text1"/>
          <w:szCs w:val="24"/>
        </w:rPr>
        <w:t xml:space="preserve"> </w:t>
      </w:r>
      <w:r w:rsidR="00003CF3">
        <w:rPr>
          <w:rFonts w:ascii="Calibri" w:hAnsi="Calibri" w:cs="Calibri"/>
          <w:color w:val="000000" w:themeColor="text1"/>
          <w:szCs w:val="24"/>
        </w:rPr>
        <w:t>fluorescent mitochondrial staining signals compared to PBMC-derived T cells. These data indicate that TILs</w:t>
      </w:r>
      <w:r w:rsidR="00711152">
        <w:rPr>
          <w:rFonts w:ascii="Calibri" w:hAnsi="Calibri" w:cs="Calibri"/>
          <w:color w:val="000000" w:themeColor="text1"/>
          <w:szCs w:val="24"/>
        </w:rPr>
        <w:t xml:space="preserve"> have </w:t>
      </w:r>
      <w:r w:rsidR="006D4CE3">
        <w:rPr>
          <w:rFonts w:ascii="Calibri" w:hAnsi="Calibri" w:cs="Calibri"/>
          <w:color w:val="000000" w:themeColor="text1"/>
          <w:szCs w:val="24"/>
        </w:rPr>
        <w:t xml:space="preserve">a </w:t>
      </w:r>
      <w:r w:rsidR="00711152">
        <w:rPr>
          <w:rFonts w:ascii="Calibri" w:hAnsi="Calibri" w:cs="Calibri"/>
          <w:color w:val="000000" w:themeColor="text1"/>
          <w:szCs w:val="24"/>
        </w:rPr>
        <w:t xml:space="preserve">distinguished metabolic profile with increased </w:t>
      </w:r>
      <w:proofErr w:type="spellStart"/>
      <w:r w:rsidR="00711152">
        <w:rPr>
          <w:rFonts w:ascii="Calibri" w:hAnsi="Calibri" w:cs="Calibri"/>
          <w:szCs w:val="24"/>
        </w:rPr>
        <w:t>ΔΨ</w:t>
      </w:r>
      <w:r w:rsidR="00711152" w:rsidRPr="005D53A7">
        <w:rPr>
          <w:rFonts w:ascii="Calibri" w:hAnsi="Calibri" w:cs="Calibri"/>
          <w:szCs w:val="24"/>
        </w:rPr>
        <w:t>m</w:t>
      </w:r>
      <w:proofErr w:type="spellEnd"/>
      <w:r w:rsidR="00711152">
        <w:rPr>
          <w:rFonts w:ascii="Calibri" w:hAnsi="Calibri" w:cs="Calibri"/>
          <w:color w:val="000000" w:themeColor="text1"/>
          <w:szCs w:val="24"/>
        </w:rPr>
        <w:t xml:space="preserve"> and mitochondrial mass.</w:t>
      </w:r>
    </w:p>
    <w:p w14:paraId="625C115A" w14:textId="4B3F6152" w:rsidR="00D0355F" w:rsidRPr="005D53A7" w:rsidRDefault="00D0355F" w:rsidP="005D53A7">
      <w:pPr>
        <w:jc w:val="both"/>
        <w:rPr>
          <w:rFonts w:ascii="Calibri" w:hAnsi="Calibri" w:cs="Calibri"/>
          <w:b/>
          <w:bCs/>
          <w:szCs w:val="24"/>
        </w:rPr>
      </w:pPr>
    </w:p>
    <w:p w14:paraId="1E3E9E90" w14:textId="2AB84259" w:rsidR="00B102BA" w:rsidRPr="005D53A7" w:rsidRDefault="00D0355F" w:rsidP="005D53A7">
      <w:pPr>
        <w:jc w:val="both"/>
        <w:rPr>
          <w:rFonts w:ascii="Calibri" w:hAnsi="Calibri" w:cs="Calibri"/>
          <w:b/>
          <w:bCs/>
          <w:szCs w:val="24"/>
        </w:rPr>
      </w:pPr>
      <w:r w:rsidRPr="005D53A7">
        <w:rPr>
          <w:rFonts w:ascii="Calibri" w:hAnsi="Calibri" w:cs="Calibri"/>
          <w:b/>
          <w:bCs/>
          <w:szCs w:val="24"/>
        </w:rPr>
        <w:t>FIGURE LEGENDS:</w:t>
      </w:r>
    </w:p>
    <w:p w14:paraId="0345D2CD" w14:textId="36740F78" w:rsidR="003C5998" w:rsidRPr="005D53A7" w:rsidRDefault="00B70634" w:rsidP="005D53A7">
      <w:pPr>
        <w:jc w:val="both"/>
        <w:rPr>
          <w:rFonts w:ascii="Calibri" w:hAnsi="Calibri" w:cs="Calibri"/>
          <w:szCs w:val="24"/>
        </w:rPr>
      </w:pPr>
      <w:r w:rsidRPr="00B70634">
        <w:rPr>
          <w:rFonts w:ascii="Calibri" w:hAnsi="Calibri" w:cs="Calibri"/>
          <w:b/>
          <w:szCs w:val="24"/>
        </w:rPr>
        <w:t>Figure 1</w:t>
      </w:r>
      <w:r w:rsidR="003C5998" w:rsidRPr="005D53A7">
        <w:rPr>
          <w:rFonts w:ascii="Calibri" w:hAnsi="Calibri" w:cs="Calibri"/>
          <w:szCs w:val="24"/>
        </w:rPr>
        <w:t xml:space="preserve">: </w:t>
      </w:r>
      <w:r w:rsidR="003C5998" w:rsidRPr="005D53A7">
        <w:rPr>
          <w:rFonts w:ascii="Calibri" w:hAnsi="Calibri" w:cs="Calibri"/>
          <w:b/>
          <w:szCs w:val="24"/>
        </w:rPr>
        <w:t>Isolation and culture of hematopoietic stem cells</w:t>
      </w:r>
      <w:r w:rsidR="006D4CE3">
        <w:rPr>
          <w:rFonts w:ascii="Calibri" w:hAnsi="Calibri" w:cs="Calibri"/>
          <w:b/>
          <w:szCs w:val="24"/>
        </w:rPr>
        <w:t>.</w:t>
      </w:r>
      <w:r w:rsidR="003C5998" w:rsidRPr="005D53A7">
        <w:rPr>
          <w:rFonts w:ascii="Calibri" w:hAnsi="Calibri" w:cs="Calibri"/>
          <w:szCs w:val="24"/>
        </w:rPr>
        <w:t xml:space="preserve"> (</w:t>
      </w:r>
      <w:r w:rsidR="003C5998" w:rsidRPr="00045C71">
        <w:rPr>
          <w:rFonts w:ascii="Calibri" w:hAnsi="Calibri" w:cs="Calibri"/>
          <w:b/>
          <w:bCs/>
          <w:szCs w:val="24"/>
        </w:rPr>
        <w:t>A</w:t>
      </w:r>
      <w:r w:rsidR="003C5998" w:rsidRPr="005D53A7">
        <w:rPr>
          <w:rFonts w:ascii="Calibri" w:hAnsi="Calibri" w:cs="Calibri"/>
          <w:szCs w:val="24"/>
        </w:rPr>
        <w:t xml:space="preserve">) Gating strategy for isolation of hematopoietic stem cells (HSCs) based on cell surface markers. HSCs </w:t>
      </w:r>
      <w:r w:rsidR="00F84C92">
        <w:rPr>
          <w:rFonts w:ascii="Calibri" w:hAnsi="Calibri" w:cs="Calibri"/>
          <w:szCs w:val="24"/>
        </w:rPr>
        <w:t>were</w:t>
      </w:r>
      <w:r w:rsidR="00F84C92" w:rsidRPr="005D53A7">
        <w:rPr>
          <w:rFonts w:ascii="Calibri" w:hAnsi="Calibri" w:cs="Calibri"/>
          <w:szCs w:val="24"/>
        </w:rPr>
        <w:t xml:space="preserve"> </w:t>
      </w:r>
      <w:r w:rsidR="003C5998" w:rsidRPr="005D53A7">
        <w:rPr>
          <w:rFonts w:ascii="Calibri" w:hAnsi="Calibri" w:cs="Calibri"/>
          <w:szCs w:val="24"/>
        </w:rPr>
        <w:t xml:space="preserve">identified as </w:t>
      </w:r>
      <w:r w:rsidR="007A48A4" w:rsidRPr="005D53A7">
        <w:rPr>
          <w:rFonts w:ascii="Calibri" w:hAnsi="Calibri" w:cs="Calibri"/>
          <w:szCs w:val="24"/>
        </w:rPr>
        <w:t>lineage</w:t>
      </w:r>
      <w:r w:rsidR="003C5998" w:rsidRPr="005D53A7">
        <w:rPr>
          <w:rFonts w:ascii="Calibri" w:hAnsi="Calibri" w:cs="Calibri"/>
          <w:szCs w:val="24"/>
        </w:rPr>
        <w:t xml:space="preserve">- Sca1+ </w:t>
      </w:r>
      <w:proofErr w:type="spellStart"/>
      <w:r w:rsidR="003C5998" w:rsidRPr="005D53A7">
        <w:rPr>
          <w:rFonts w:ascii="Calibri" w:hAnsi="Calibri" w:cs="Calibri"/>
          <w:szCs w:val="24"/>
        </w:rPr>
        <w:t>cKit</w:t>
      </w:r>
      <w:proofErr w:type="spellEnd"/>
      <w:r w:rsidR="003C5998" w:rsidRPr="005D53A7">
        <w:rPr>
          <w:rFonts w:ascii="Calibri" w:hAnsi="Calibri" w:cs="Calibri"/>
          <w:szCs w:val="24"/>
        </w:rPr>
        <w:t>+ (LKS) CD150+CD48-. (</w:t>
      </w:r>
      <w:r w:rsidR="003C5998" w:rsidRPr="00045C71">
        <w:rPr>
          <w:rFonts w:ascii="Calibri" w:hAnsi="Calibri" w:cs="Calibri"/>
          <w:b/>
          <w:bCs/>
          <w:szCs w:val="24"/>
        </w:rPr>
        <w:t>B</w:t>
      </w:r>
      <w:r w:rsidR="003C5998" w:rsidRPr="005D53A7">
        <w:rPr>
          <w:rFonts w:ascii="Calibri" w:hAnsi="Calibri" w:cs="Calibri"/>
          <w:szCs w:val="24"/>
        </w:rPr>
        <w:t xml:space="preserve">) Design of 96 well plate put in culture. </w:t>
      </w:r>
    </w:p>
    <w:p w14:paraId="28B4B520" w14:textId="77777777" w:rsidR="003C5998" w:rsidRPr="005D53A7" w:rsidRDefault="003C5998" w:rsidP="005D53A7">
      <w:pPr>
        <w:jc w:val="both"/>
        <w:rPr>
          <w:rFonts w:ascii="Calibri" w:hAnsi="Calibri" w:cs="Calibri"/>
          <w:szCs w:val="24"/>
        </w:rPr>
      </w:pPr>
    </w:p>
    <w:p w14:paraId="37955E60" w14:textId="4BF3F2D2" w:rsidR="003C5998" w:rsidRPr="005D53A7" w:rsidRDefault="00B70634" w:rsidP="005D53A7">
      <w:pPr>
        <w:jc w:val="both"/>
        <w:rPr>
          <w:rFonts w:ascii="Calibri" w:hAnsi="Calibri" w:cs="Calibri"/>
          <w:szCs w:val="24"/>
        </w:rPr>
      </w:pPr>
      <w:r w:rsidRPr="00B70634">
        <w:rPr>
          <w:rFonts w:ascii="Calibri" w:hAnsi="Calibri" w:cs="Calibri"/>
          <w:b/>
          <w:szCs w:val="24"/>
        </w:rPr>
        <w:t>Figure 2</w:t>
      </w:r>
      <w:r w:rsidR="003C5998" w:rsidRPr="005D53A7">
        <w:rPr>
          <w:rFonts w:ascii="Calibri" w:hAnsi="Calibri" w:cs="Calibri"/>
          <w:szCs w:val="24"/>
        </w:rPr>
        <w:t xml:space="preserve">: </w:t>
      </w:r>
      <w:r w:rsidR="003C5998" w:rsidRPr="005D53A7">
        <w:rPr>
          <w:rFonts w:ascii="Calibri" w:hAnsi="Calibri" w:cs="Calibri"/>
          <w:b/>
          <w:szCs w:val="24"/>
        </w:rPr>
        <w:t>Mitochondrial profiles of HSCs</w:t>
      </w:r>
      <w:r w:rsidR="006D4CE3">
        <w:rPr>
          <w:rFonts w:ascii="Calibri" w:hAnsi="Calibri" w:cs="Calibri"/>
          <w:b/>
          <w:szCs w:val="24"/>
        </w:rPr>
        <w:t>.</w:t>
      </w:r>
      <w:r w:rsidR="003C5998" w:rsidRPr="005D53A7">
        <w:rPr>
          <w:rFonts w:ascii="Calibri" w:hAnsi="Calibri" w:cs="Calibri"/>
          <w:szCs w:val="24"/>
        </w:rPr>
        <w:t xml:space="preserve"> (</w:t>
      </w:r>
      <w:r w:rsidR="003C5998" w:rsidRPr="00045C71">
        <w:rPr>
          <w:rFonts w:ascii="Calibri" w:hAnsi="Calibri" w:cs="Calibri"/>
          <w:b/>
          <w:bCs/>
          <w:szCs w:val="24"/>
        </w:rPr>
        <w:t>A</w:t>
      </w:r>
      <w:r w:rsidR="003C5998" w:rsidRPr="005D53A7">
        <w:rPr>
          <w:rFonts w:ascii="Calibri" w:hAnsi="Calibri" w:cs="Calibri"/>
          <w:szCs w:val="24"/>
        </w:rPr>
        <w:t>) FACS contour plot showing HSCs post culture in basal or NR supplemented condition</w:t>
      </w:r>
      <w:r w:rsidR="006D4CE3">
        <w:rPr>
          <w:rFonts w:ascii="Calibri" w:hAnsi="Calibri" w:cs="Calibri"/>
          <w:szCs w:val="24"/>
        </w:rPr>
        <w:t>s</w:t>
      </w:r>
      <w:r w:rsidR="003C5998" w:rsidRPr="005D53A7">
        <w:rPr>
          <w:rFonts w:ascii="Calibri" w:hAnsi="Calibri" w:cs="Calibri"/>
          <w:szCs w:val="24"/>
        </w:rPr>
        <w:t>. TMRM (</w:t>
      </w:r>
      <w:r w:rsidR="006D4CE3">
        <w:rPr>
          <w:rFonts w:ascii="Calibri" w:hAnsi="Calibri" w:cs="Calibri"/>
          <w:szCs w:val="24"/>
        </w:rPr>
        <w:t>above</w:t>
      </w:r>
      <w:r w:rsidR="003C5998" w:rsidRPr="005D53A7">
        <w:rPr>
          <w:rFonts w:ascii="Calibri" w:hAnsi="Calibri" w:cs="Calibri"/>
          <w:szCs w:val="24"/>
        </w:rPr>
        <w:t>) and</w:t>
      </w:r>
      <w:r w:rsidR="00F71752">
        <w:rPr>
          <w:rFonts w:ascii="Calibri" w:hAnsi="Calibri" w:cs="Calibri"/>
          <w:szCs w:val="24"/>
        </w:rPr>
        <w:t xml:space="preserve"> green</w:t>
      </w:r>
      <w:r w:rsidR="00293B42">
        <w:rPr>
          <w:rFonts w:ascii="Calibri" w:hAnsi="Calibri" w:cs="Calibri"/>
          <w:szCs w:val="24"/>
        </w:rPr>
        <w:t xml:space="preserve"> </w:t>
      </w:r>
      <w:r w:rsidR="00F71752">
        <w:rPr>
          <w:rFonts w:ascii="Calibri" w:hAnsi="Calibri" w:cs="Calibri"/>
          <w:szCs w:val="24"/>
        </w:rPr>
        <w:t>fluorescent mitochondrial stain (</w:t>
      </w:r>
      <w:proofErr w:type="spellStart"/>
      <w:r w:rsidR="00D30EAC" w:rsidRPr="0078328A">
        <w:rPr>
          <w:rFonts w:ascii="Calibri" w:hAnsi="Calibri"/>
        </w:rPr>
        <w:t>M</w:t>
      </w:r>
      <w:r w:rsidR="00F71752" w:rsidRPr="0078328A">
        <w:rPr>
          <w:rFonts w:ascii="Calibri" w:hAnsi="Calibri"/>
        </w:rPr>
        <w:t>itotracker</w:t>
      </w:r>
      <w:proofErr w:type="spellEnd"/>
      <w:r w:rsidR="00F71752">
        <w:rPr>
          <w:rFonts w:ascii="Calibri" w:hAnsi="Calibri" w:cs="Calibri"/>
          <w:szCs w:val="24"/>
        </w:rPr>
        <w:t>)</w:t>
      </w:r>
      <w:r w:rsidR="003C5998" w:rsidRPr="005D53A7">
        <w:rPr>
          <w:rFonts w:ascii="Calibri" w:hAnsi="Calibri" w:cs="Calibri"/>
          <w:szCs w:val="24"/>
        </w:rPr>
        <w:t xml:space="preserve"> (</w:t>
      </w:r>
      <w:r w:rsidR="006D4CE3">
        <w:rPr>
          <w:rFonts w:ascii="Calibri" w:hAnsi="Calibri" w:cs="Calibri"/>
          <w:szCs w:val="24"/>
        </w:rPr>
        <w:t>below</w:t>
      </w:r>
      <w:r w:rsidR="003C5998" w:rsidRPr="005D53A7">
        <w:rPr>
          <w:rFonts w:ascii="Calibri" w:hAnsi="Calibri" w:cs="Calibri"/>
          <w:szCs w:val="24"/>
        </w:rPr>
        <w:t>) profiles are shown. (</w:t>
      </w:r>
      <w:r w:rsidR="003C5998" w:rsidRPr="00045C71">
        <w:rPr>
          <w:rFonts w:ascii="Calibri" w:hAnsi="Calibri" w:cs="Calibri"/>
          <w:b/>
          <w:bCs/>
          <w:szCs w:val="24"/>
        </w:rPr>
        <w:t>B</w:t>
      </w:r>
      <w:r w:rsidR="003C5998" w:rsidRPr="005D53A7">
        <w:rPr>
          <w:rFonts w:ascii="Calibri" w:hAnsi="Calibri" w:cs="Calibri"/>
          <w:szCs w:val="24"/>
        </w:rPr>
        <w:t>) Quantification of TMRM and</w:t>
      </w:r>
      <w:r w:rsidR="00F71752">
        <w:rPr>
          <w:rFonts w:ascii="Calibri" w:hAnsi="Calibri" w:cs="Calibri"/>
          <w:szCs w:val="24"/>
        </w:rPr>
        <w:t xml:space="preserve"> green</w:t>
      </w:r>
      <w:r w:rsidR="00293B42">
        <w:rPr>
          <w:rFonts w:ascii="Calibri" w:hAnsi="Calibri" w:cs="Calibri"/>
          <w:szCs w:val="24"/>
        </w:rPr>
        <w:t xml:space="preserve"> </w:t>
      </w:r>
      <w:r w:rsidR="00F71752">
        <w:rPr>
          <w:rFonts w:ascii="Calibri" w:hAnsi="Calibri" w:cs="Calibri"/>
          <w:szCs w:val="24"/>
        </w:rPr>
        <w:t>fluorescent mitochondrial stain</w:t>
      </w:r>
      <w:r w:rsidR="003C5998" w:rsidRPr="005D53A7">
        <w:rPr>
          <w:rFonts w:ascii="Calibri" w:hAnsi="Calibri" w:cs="Calibri"/>
          <w:szCs w:val="24"/>
        </w:rPr>
        <w:t xml:space="preserve"> signal. NR supplementation result</w:t>
      </w:r>
      <w:r w:rsidR="00F84C92">
        <w:rPr>
          <w:rFonts w:ascii="Calibri" w:hAnsi="Calibri" w:cs="Calibri"/>
          <w:szCs w:val="24"/>
        </w:rPr>
        <w:t>ed</w:t>
      </w:r>
      <w:r w:rsidR="003C5998" w:rsidRPr="005D53A7">
        <w:rPr>
          <w:rFonts w:ascii="Calibri" w:hAnsi="Calibri" w:cs="Calibri"/>
          <w:szCs w:val="24"/>
        </w:rPr>
        <w:t xml:space="preserve"> in </w:t>
      </w:r>
      <w:r w:rsidR="006D4CE3">
        <w:rPr>
          <w:rFonts w:ascii="Calibri" w:hAnsi="Calibri" w:cs="Calibri"/>
          <w:szCs w:val="24"/>
        </w:rPr>
        <w:t xml:space="preserve">a </w:t>
      </w:r>
      <w:r w:rsidR="003C5998" w:rsidRPr="005D53A7">
        <w:rPr>
          <w:rFonts w:ascii="Calibri" w:hAnsi="Calibri" w:cs="Calibri"/>
          <w:szCs w:val="24"/>
        </w:rPr>
        <w:t>decrease in TMRM profile while maintaining the</w:t>
      </w:r>
      <w:r w:rsidR="00F71752">
        <w:rPr>
          <w:rFonts w:ascii="Calibri" w:hAnsi="Calibri" w:cs="Calibri"/>
          <w:szCs w:val="24"/>
        </w:rPr>
        <w:t xml:space="preserve"> green</w:t>
      </w:r>
      <w:r w:rsidR="00293B42">
        <w:rPr>
          <w:rFonts w:ascii="Calibri" w:hAnsi="Calibri" w:cs="Calibri"/>
          <w:szCs w:val="24"/>
        </w:rPr>
        <w:t xml:space="preserve"> </w:t>
      </w:r>
      <w:r w:rsidR="00F71752">
        <w:rPr>
          <w:rFonts w:ascii="Calibri" w:hAnsi="Calibri" w:cs="Calibri"/>
          <w:szCs w:val="24"/>
        </w:rPr>
        <w:t>fluorescent mitochondrial stain</w:t>
      </w:r>
      <w:r w:rsidR="003C5998" w:rsidRPr="005D53A7">
        <w:rPr>
          <w:rFonts w:ascii="Calibri" w:hAnsi="Calibri" w:cs="Calibri"/>
          <w:szCs w:val="24"/>
        </w:rPr>
        <w:t xml:space="preserve"> signal. (</w:t>
      </w:r>
      <w:r w:rsidR="003C5998" w:rsidRPr="00045C71">
        <w:rPr>
          <w:rFonts w:ascii="Calibri" w:hAnsi="Calibri" w:cs="Calibri"/>
          <w:b/>
          <w:bCs/>
          <w:szCs w:val="24"/>
        </w:rPr>
        <w:t>C</w:t>
      </w:r>
      <w:r w:rsidR="003C5998" w:rsidRPr="005D53A7">
        <w:rPr>
          <w:rFonts w:ascii="Calibri" w:hAnsi="Calibri" w:cs="Calibri"/>
          <w:szCs w:val="24"/>
        </w:rPr>
        <w:t>)</w:t>
      </w:r>
      <w:r w:rsidR="006515B9" w:rsidRPr="005D53A7">
        <w:rPr>
          <w:rFonts w:ascii="Calibri" w:hAnsi="Calibri" w:cs="Calibri"/>
          <w:szCs w:val="24"/>
        </w:rPr>
        <w:t xml:space="preserve"> Contour plots showing identification of HSC population in </w:t>
      </w:r>
      <w:r w:rsidR="006D4CE3" w:rsidRPr="005D53A7">
        <w:rPr>
          <w:rFonts w:ascii="Calibri" w:hAnsi="Calibri" w:cs="Calibri"/>
          <w:szCs w:val="24"/>
        </w:rPr>
        <w:t xml:space="preserve">control </w:t>
      </w:r>
      <w:r w:rsidR="006515B9" w:rsidRPr="005D53A7">
        <w:rPr>
          <w:rFonts w:ascii="Calibri" w:hAnsi="Calibri" w:cs="Calibri"/>
          <w:szCs w:val="24"/>
        </w:rPr>
        <w:t>and NR supplemented condition</w:t>
      </w:r>
      <w:r w:rsidR="006D4CE3">
        <w:rPr>
          <w:rFonts w:ascii="Calibri" w:hAnsi="Calibri" w:cs="Calibri"/>
          <w:szCs w:val="24"/>
        </w:rPr>
        <w:t>s</w:t>
      </w:r>
      <w:r w:rsidR="006515B9" w:rsidRPr="005D53A7">
        <w:rPr>
          <w:rFonts w:ascii="Calibri" w:hAnsi="Calibri" w:cs="Calibri"/>
          <w:szCs w:val="24"/>
        </w:rPr>
        <w:t xml:space="preserve"> post culture. (</w:t>
      </w:r>
      <w:r w:rsidR="006515B9" w:rsidRPr="00045C71">
        <w:rPr>
          <w:rFonts w:ascii="Calibri" w:hAnsi="Calibri" w:cs="Calibri"/>
          <w:b/>
          <w:bCs/>
          <w:szCs w:val="24"/>
        </w:rPr>
        <w:t>D</w:t>
      </w:r>
      <w:r w:rsidR="006515B9" w:rsidRPr="005D53A7">
        <w:rPr>
          <w:rFonts w:ascii="Calibri" w:hAnsi="Calibri" w:cs="Calibri"/>
          <w:szCs w:val="24"/>
        </w:rPr>
        <w:t>) Contour plots and quantification of TMRM and</w:t>
      </w:r>
      <w:r w:rsidR="00F71752">
        <w:rPr>
          <w:rFonts w:ascii="Calibri" w:hAnsi="Calibri" w:cs="Calibri"/>
          <w:szCs w:val="24"/>
        </w:rPr>
        <w:t xml:space="preserve"> green</w:t>
      </w:r>
      <w:r w:rsidR="00293B42">
        <w:rPr>
          <w:rFonts w:ascii="Calibri" w:hAnsi="Calibri" w:cs="Calibri"/>
          <w:szCs w:val="24"/>
        </w:rPr>
        <w:t xml:space="preserve"> </w:t>
      </w:r>
      <w:r w:rsidR="00F71752">
        <w:rPr>
          <w:rFonts w:ascii="Calibri" w:hAnsi="Calibri" w:cs="Calibri"/>
          <w:szCs w:val="24"/>
        </w:rPr>
        <w:t>fluorescent mitochondrial stain</w:t>
      </w:r>
      <w:r w:rsidR="006515B9" w:rsidRPr="005D53A7">
        <w:rPr>
          <w:rFonts w:ascii="Calibri" w:hAnsi="Calibri" w:cs="Calibri"/>
          <w:szCs w:val="24"/>
        </w:rPr>
        <w:t xml:space="preserve"> signal in phenotypic HSCs post culture. NR supplementation reduce</w:t>
      </w:r>
      <w:r w:rsidR="00F84C92">
        <w:rPr>
          <w:rFonts w:ascii="Calibri" w:hAnsi="Calibri" w:cs="Calibri"/>
          <w:szCs w:val="24"/>
        </w:rPr>
        <w:t>d</w:t>
      </w:r>
      <w:r w:rsidR="006515B9" w:rsidRPr="005D53A7">
        <w:rPr>
          <w:rFonts w:ascii="Calibri" w:hAnsi="Calibri" w:cs="Calibri"/>
          <w:szCs w:val="24"/>
        </w:rPr>
        <w:t xml:space="preserve"> the TMRM signal while the</w:t>
      </w:r>
      <w:r w:rsidR="00F71752">
        <w:rPr>
          <w:rFonts w:ascii="Calibri" w:hAnsi="Calibri" w:cs="Calibri"/>
          <w:szCs w:val="24"/>
        </w:rPr>
        <w:t xml:space="preserve"> green</w:t>
      </w:r>
      <w:r w:rsidR="00293B42">
        <w:rPr>
          <w:rFonts w:ascii="Calibri" w:hAnsi="Calibri" w:cs="Calibri"/>
          <w:szCs w:val="24"/>
        </w:rPr>
        <w:t xml:space="preserve"> </w:t>
      </w:r>
      <w:r w:rsidR="00F71752">
        <w:rPr>
          <w:rFonts w:ascii="Calibri" w:hAnsi="Calibri" w:cs="Calibri"/>
          <w:szCs w:val="24"/>
        </w:rPr>
        <w:lastRenderedPageBreak/>
        <w:t>fluorescent mitochondrial stain</w:t>
      </w:r>
      <w:r w:rsidR="006515B9" w:rsidRPr="005D53A7">
        <w:rPr>
          <w:rFonts w:ascii="Calibri" w:hAnsi="Calibri" w:cs="Calibri"/>
          <w:szCs w:val="24"/>
        </w:rPr>
        <w:t xml:space="preserve"> signal remain</w:t>
      </w:r>
      <w:r w:rsidR="00F84C92">
        <w:rPr>
          <w:rFonts w:ascii="Calibri" w:hAnsi="Calibri" w:cs="Calibri"/>
          <w:szCs w:val="24"/>
        </w:rPr>
        <w:t>ed</w:t>
      </w:r>
      <w:r w:rsidR="006515B9" w:rsidRPr="005D53A7">
        <w:rPr>
          <w:rFonts w:ascii="Calibri" w:hAnsi="Calibri" w:cs="Calibri"/>
          <w:szCs w:val="24"/>
        </w:rPr>
        <w:t xml:space="preserve"> unchanged in HSCs. </w:t>
      </w:r>
      <w:r w:rsidR="003C5998" w:rsidRPr="005D53A7">
        <w:rPr>
          <w:rFonts w:ascii="Calibri" w:hAnsi="Calibri" w:cs="Calibri"/>
          <w:szCs w:val="24"/>
        </w:rPr>
        <w:t>Student t</w:t>
      </w:r>
      <w:r w:rsidR="006D4CE3">
        <w:rPr>
          <w:rFonts w:ascii="Calibri" w:hAnsi="Calibri" w:cs="Calibri"/>
          <w:szCs w:val="24"/>
        </w:rPr>
        <w:t xml:space="preserve"> </w:t>
      </w:r>
      <w:r w:rsidR="003C5998" w:rsidRPr="005D53A7">
        <w:rPr>
          <w:rFonts w:ascii="Calibri" w:hAnsi="Calibri" w:cs="Calibri"/>
          <w:szCs w:val="24"/>
        </w:rPr>
        <w:t>test ***</w:t>
      </w:r>
      <w:r w:rsidR="006D4CE3" w:rsidRPr="00045C71">
        <w:rPr>
          <w:rFonts w:ascii="Calibri" w:hAnsi="Calibri" w:cs="Calibri"/>
          <w:i/>
          <w:iCs/>
          <w:szCs w:val="24"/>
        </w:rPr>
        <w:t>p</w:t>
      </w:r>
      <w:r w:rsidR="006D4CE3">
        <w:rPr>
          <w:rFonts w:ascii="Calibri" w:hAnsi="Calibri" w:cs="Calibri"/>
          <w:szCs w:val="24"/>
        </w:rPr>
        <w:t xml:space="preserve"> </w:t>
      </w:r>
      <w:r w:rsidR="003C5998" w:rsidRPr="005D53A7">
        <w:rPr>
          <w:rFonts w:ascii="Calibri" w:hAnsi="Calibri" w:cs="Calibri"/>
          <w:szCs w:val="24"/>
        </w:rPr>
        <w:t>&lt; 0.001, **</w:t>
      </w:r>
      <w:r w:rsidR="006D4CE3" w:rsidRPr="006D4CE3">
        <w:rPr>
          <w:rFonts w:ascii="Calibri" w:hAnsi="Calibri" w:cs="Calibri"/>
          <w:i/>
          <w:iCs/>
          <w:szCs w:val="24"/>
        </w:rPr>
        <w:t xml:space="preserve"> </w:t>
      </w:r>
      <w:r w:rsidR="006D4CE3" w:rsidRPr="00D34DDF">
        <w:rPr>
          <w:rFonts w:ascii="Calibri" w:hAnsi="Calibri" w:cs="Calibri"/>
          <w:i/>
          <w:iCs/>
          <w:szCs w:val="24"/>
        </w:rPr>
        <w:t>p</w:t>
      </w:r>
      <w:r w:rsidR="006D4CE3" w:rsidRPr="005D53A7" w:rsidDel="006D4CE3">
        <w:rPr>
          <w:rFonts w:ascii="Calibri" w:hAnsi="Calibri" w:cs="Calibri"/>
          <w:szCs w:val="24"/>
        </w:rPr>
        <w:t xml:space="preserve"> </w:t>
      </w:r>
      <w:r w:rsidR="003C5998" w:rsidRPr="005D53A7">
        <w:rPr>
          <w:rFonts w:ascii="Calibri" w:hAnsi="Calibri" w:cs="Calibri"/>
          <w:szCs w:val="24"/>
        </w:rPr>
        <w:t>&lt; 0.01, *</w:t>
      </w:r>
      <w:r w:rsidR="006D4CE3" w:rsidRPr="006D4CE3">
        <w:rPr>
          <w:rFonts w:ascii="Calibri" w:hAnsi="Calibri" w:cs="Calibri"/>
          <w:i/>
          <w:iCs/>
          <w:szCs w:val="24"/>
        </w:rPr>
        <w:t xml:space="preserve"> </w:t>
      </w:r>
      <w:r w:rsidR="006D4CE3" w:rsidRPr="00D34DDF">
        <w:rPr>
          <w:rFonts w:ascii="Calibri" w:hAnsi="Calibri" w:cs="Calibri"/>
          <w:i/>
          <w:iCs/>
          <w:szCs w:val="24"/>
        </w:rPr>
        <w:t>p</w:t>
      </w:r>
      <w:r w:rsidR="006D4CE3" w:rsidRPr="005D53A7" w:rsidDel="006D4CE3">
        <w:rPr>
          <w:rFonts w:ascii="Calibri" w:hAnsi="Calibri" w:cs="Calibri"/>
          <w:szCs w:val="24"/>
        </w:rPr>
        <w:t xml:space="preserve"> </w:t>
      </w:r>
      <w:r w:rsidR="003C5998" w:rsidRPr="005D53A7">
        <w:rPr>
          <w:rFonts w:ascii="Calibri" w:hAnsi="Calibri" w:cs="Calibri"/>
          <w:szCs w:val="24"/>
        </w:rPr>
        <w:t>&lt; 0.05</w:t>
      </w:r>
      <w:r w:rsidR="006D4CE3">
        <w:rPr>
          <w:rFonts w:ascii="Calibri" w:hAnsi="Calibri" w:cs="Calibri"/>
          <w:szCs w:val="24"/>
        </w:rPr>
        <w:t>,</w:t>
      </w:r>
      <w:r w:rsidR="003C5998" w:rsidRPr="005D53A7">
        <w:rPr>
          <w:rFonts w:ascii="Calibri" w:hAnsi="Calibri" w:cs="Calibri"/>
          <w:szCs w:val="24"/>
        </w:rPr>
        <w:t xml:space="preserve"> </w:t>
      </w:r>
      <w:r w:rsidR="00A37608" w:rsidRPr="005D53A7">
        <w:rPr>
          <w:rFonts w:ascii="Calibri" w:hAnsi="Calibri" w:cs="Calibri"/>
          <w:szCs w:val="24"/>
        </w:rPr>
        <w:t>n</w:t>
      </w:r>
      <w:r w:rsidR="00A37608">
        <w:rPr>
          <w:rFonts w:ascii="Calibri" w:hAnsi="Calibri" w:cs="Calibri"/>
          <w:szCs w:val="24"/>
        </w:rPr>
        <w:t xml:space="preserve">ot </w:t>
      </w:r>
      <w:r w:rsidR="00A37608" w:rsidRPr="005D53A7">
        <w:rPr>
          <w:rFonts w:ascii="Calibri" w:hAnsi="Calibri" w:cs="Calibri"/>
          <w:szCs w:val="24"/>
        </w:rPr>
        <w:t>s</w:t>
      </w:r>
      <w:r w:rsidR="00A37608">
        <w:rPr>
          <w:rFonts w:ascii="Calibri" w:hAnsi="Calibri" w:cs="Calibri"/>
          <w:szCs w:val="24"/>
        </w:rPr>
        <w:t xml:space="preserve">ignificant </w:t>
      </w:r>
      <w:r w:rsidR="003C5998" w:rsidRPr="005D53A7">
        <w:rPr>
          <w:rFonts w:ascii="Calibri" w:hAnsi="Calibri" w:cs="Calibri"/>
          <w:szCs w:val="24"/>
        </w:rPr>
        <w:t>&gt; 0.05, error bars</w:t>
      </w:r>
      <w:r w:rsidR="006D4CE3">
        <w:rPr>
          <w:rFonts w:ascii="Calibri" w:hAnsi="Calibri" w:cs="Calibri"/>
          <w:szCs w:val="24"/>
        </w:rPr>
        <w:t>=</w:t>
      </w:r>
      <w:r w:rsidR="003C5998" w:rsidRPr="005D53A7">
        <w:rPr>
          <w:rFonts w:ascii="Calibri" w:hAnsi="Calibri" w:cs="Calibri"/>
          <w:szCs w:val="24"/>
        </w:rPr>
        <w:t xml:space="preserve"> SEM.</w:t>
      </w:r>
    </w:p>
    <w:p w14:paraId="785259DF" w14:textId="77777777" w:rsidR="003C5998" w:rsidRPr="005D53A7" w:rsidRDefault="003C5998" w:rsidP="005D53A7">
      <w:pPr>
        <w:jc w:val="both"/>
        <w:rPr>
          <w:rFonts w:ascii="Calibri" w:hAnsi="Calibri" w:cs="Calibri"/>
          <w:b/>
          <w:bCs/>
          <w:szCs w:val="24"/>
        </w:rPr>
      </w:pPr>
    </w:p>
    <w:p w14:paraId="0A4EA76B" w14:textId="21DC8ECF" w:rsidR="003C5998" w:rsidRDefault="00B70634" w:rsidP="005D53A7">
      <w:pPr>
        <w:jc w:val="both"/>
        <w:rPr>
          <w:rFonts w:ascii="Calibri" w:hAnsi="Calibri" w:cs="Calibri"/>
          <w:szCs w:val="24"/>
        </w:rPr>
      </w:pPr>
      <w:r w:rsidRPr="00B70634">
        <w:rPr>
          <w:rFonts w:ascii="Calibri" w:hAnsi="Calibri" w:cs="Calibri"/>
          <w:b/>
          <w:szCs w:val="24"/>
        </w:rPr>
        <w:t>Figure 3</w:t>
      </w:r>
      <w:r w:rsidR="003C5998" w:rsidRPr="005D53A7">
        <w:rPr>
          <w:rFonts w:ascii="Calibri" w:hAnsi="Calibri" w:cs="Calibri"/>
          <w:szCs w:val="24"/>
        </w:rPr>
        <w:t xml:space="preserve">: </w:t>
      </w:r>
      <w:r w:rsidR="003C5998" w:rsidRPr="005D53A7">
        <w:rPr>
          <w:rFonts w:ascii="Calibri" w:hAnsi="Calibri" w:cs="Calibri"/>
          <w:b/>
          <w:szCs w:val="24"/>
        </w:rPr>
        <w:t>Mitochondrial profiles of human PBMCs and TILs:</w:t>
      </w:r>
      <w:r w:rsidR="003C5998" w:rsidRPr="005D53A7">
        <w:rPr>
          <w:rFonts w:ascii="Calibri" w:hAnsi="Calibri" w:cs="Calibri"/>
          <w:szCs w:val="24"/>
        </w:rPr>
        <w:t xml:space="preserve"> (</w:t>
      </w:r>
      <w:r w:rsidR="003C5998" w:rsidRPr="00045C71">
        <w:rPr>
          <w:rFonts w:ascii="Calibri" w:hAnsi="Calibri" w:cs="Calibri"/>
          <w:b/>
          <w:bCs/>
          <w:szCs w:val="24"/>
        </w:rPr>
        <w:t>A</w:t>
      </w:r>
      <w:r w:rsidR="003C5998" w:rsidRPr="005D53A7">
        <w:rPr>
          <w:rFonts w:ascii="Calibri" w:hAnsi="Calibri" w:cs="Calibri"/>
          <w:szCs w:val="24"/>
        </w:rPr>
        <w:t>) FACS contour plot showing CD4+ and CD8+ freshly isolated from PBMCs or tumor</w:t>
      </w:r>
      <w:r w:rsidR="007965F7">
        <w:rPr>
          <w:rFonts w:ascii="Calibri" w:hAnsi="Calibri" w:cs="Calibri"/>
          <w:szCs w:val="24"/>
        </w:rPr>
        <w:t>-</w:t>
      </w:r>
      <w:r w:rsidR="003C5998" w:rsidRPr="005D53A7">
        <w:rPr>
          <w:rFonts w:ascii="Calibri" w:hAnsi="Calibri" w:cs="Calibri"/>
          <w:szCs w:val="24"/>
        </w:rPr>
        <w:t>derived CD4+ and CD8+ post REP (rapid expansion protocol). TMRM (</w:t>
      </w:r>
      <w:r w:rsidR="00A37608">
        <w:rPr>
          <w:rFonts w:ascii="Calibri" w:hAnsi="Calibri" w:cs="Calibri"/>
          <w:szCs w:val="24"/>
        </w:rPr>
        <w:t>above</w:t>
      </w:r>
      <w:r w:rsidR="003C5998" w:rsidRPr="005D53A7">
        <w:rPr>
          <w:rFonts w:ascii="Calibri" w:hAnsi="Calibri" w:cs="Calibri"/>
          <w:szCs w:val="24"/>
        </w:rPr>
        <w:t>) and</w:t>
      </w:r>
      <w:r w:rsidR="00F71752">
        <w:rPr>
          <w:rFonts w:ascii="Calibri" w:hAnsi="Calibri" w:cs="Calibri"/>
          <w:szCs w:val="24"/>
        </w:rPr>
        <w:t xml:space="preserve"> green</w:t>
      </w:r>
      <w:r w:rsidR="00293B42">
        <w:rPr>
          <w:rFonts w:ascii="Calibri" w:hAnsi="Calibri" w:cs="Calibri"/>
          <w:szCs w:val="24"/>
        </w:rPr>
        <w:t xml:space="preserve"> </w:t>
      </w:r>
      <w:r w:rsidR="00F71752">
        <w:rPr>
          <w:rFonts w:ascii="Calibri" w:hAnsi="Calibri" w:cs="Calibri"/>
          <w:szCs w:val="24"/>
        </w:rPr>
        <w:t>fluorescent mitochondrial stain (</w:t>
      </w:r>
      <w:proofErr w:type="spellStart"/>
      <w:r w:rsidR="00D30EAC" w:rsidRPr="0078328A">
        <w:rPr>
          <w:rFonts w:ascii="Calibri" w:hAnsi="Calibri"/>
        </w:rPr>
        <w:t>M</w:t>
      </w:r>
      <w:r w:rsidR="00F71752" w:rsidRPr="0078328A">
        <w:rPr>
          <w:rFonts w:ascii="Calibri" w:hAnsi="Calibri"/>
        </w:rPr>
        <w:t>itotracker</w:t>
      </w:r>
      <w:proofErr w:type="spellEnd"/>
      <w:r w:rsidR="00F71752">
        <w:rPr>
          <w:rFonts w:ascii="Calibri" w:hAnsi="Calibri" w:cs="Calibri"/>
          <w:szCs w:val="24"/>
        </w:rPr>
        <w:t>)</w:t>
      </w:r>
      <w:r w:rsidR="003C5998" w:rsidRPr="005D53A7">
        <w:rPr>
          <w:rFonts w:ascii="Calibri" w:hAnsi="Calibri" w:cs="Calibri"/>
          <w:szCs w:val="24"/>
        </w:rPr>
        <w:t xml:space="preserve"> (</w:t>
      </w:r>
      <w:r w:rsidR="00A37608">
        <w:rPr>
          <w:rFonts w:ascii="Calibri" w:hAnsi="Calibri" w:cs="Calibri"/>
          <w:szCs w:val="24"/>
        </w:rPr>
        <w:t>below</w:t>
      </w:r>
      <w:r w:rsidR="003C5998" w:rsidRPr="005D53A7">
        <w:rPr>
          <w:rFonts w:ascii="Calibri" w:hAnsi="Calibri" w:cs="Calibri"/>
          <w:szCs w:val="24"/>
        </w:rPr>
        <w:t>) profiles are shown. (</w:t>
      </w:r>
      <w:r w:rsidR="003C5998" w:rsidRPr="00045C71">
        <w:rPr>
          <w:rFonts w:ascii="Calibri" w:hAnsi="Calibri" w:cs="Calibri"/>
          <w:b/>
          <w:bCs/>
          <w:szCs w:val="24"/>
        </w:rPr>
        <w:t>B</w:t>
      </w:r>
      <w:r w:rsidR="003C5998" w:rsidRPr="005D53A7">
        <w:rPr>
          <w:rFonts w:ascii="Calibri" w:hAnsi="Calibri" w:cs="Calibri"/>
          <w:szCs w:val="24"/>
        </w:rPr>
        <w:t>) Quantification of TMRM and</w:t>
      </w:r>
      <w:r w:rsidR="00F71752">
        <w:rPr>
          <w:rFonts w:ascii="Calibri" w:hAnsi="Calibri" w:cs="Calibri"/>
          <w:szCs w:val="24"/>
        </w:rPr>
        <w:t xml:space="preserve"> green</w:t>
      </w:r>
      <w:r w:rsidR="00293B42">
        <w:rPr>
          <w:rFonts w:ascii="Calibri" w:hAnsi="Calibri" w:cs="Calibri"/>
          <w:szCs w:val="24"/>
        </w:rPr>
        <w:t xml:space="preserve"> </w:t>
      </w:r>
      <w:r w:rsidR="00F71752">
        <w:rPr>
          <w:rFonts w:ascii="Calibri" w:hAnsi="Calibri" w:cs="Calibri"/>
          <w:szCs w:val="24"/>
        </w:rPr>
        <w:t>fluorescent mitochondrial stain</w:t>
      </w:r>
      <w:r w:rsidR="003C5998" w:rsidRPr="005D53A7">
        <w:rPr>
          <w:rFonts w:ascii="Calibri" w:hAnsi="Calibri" w:cs="Calibri"/>
          <w:szCs w:val="24"/>
        </w:rPr>
        <w:t xml:space="preserve"> signal. TILs display</w:t>
      </w:r>
      <w:r w:rsidR="00A37608">
        <w:rPr>
          <w:rFonts w:ascii="Calibri" w:hAnsi="Calibri" w:cs="Calibri"/>
          <w:szCs w:val="24"/>
        </w:rPr>
        <w:t>ed</w:t>
      </w:r>
      <w:r w:rsidR="003C5998" w:rsidRPr="005D53A7">
        <w:rPr>
          <w:rFonts w:ascii="Calibri" w:hAnsi="Calibri" w:cs="Calibri"/>
          <w:szCs w:val="24"/>
        </w:rPr>
        <w:t xml:space="preserve"> lower mitochondrial activity and mass. Student t-test ***</w:t>
      </w:r>
      <w:r w:rsidR="00A37608" w:rsidRPr="00A37608">
        <w:rPr>
          <w:rFonts w:ascii="Calibri" w:hAnsi="Calibri" w:cs="Calibri"/>
          <w:i/>
          <w:iCs/>
          <w:szCs w:val="24"/>
        </w:rPr>
        <w:t>p</w:t>
      </w:r>
      <w:r w:rsidR="003C5998" w:rsidRPr="005D53A7">
        <w:rPr>
          <w:rFonts w:ascii="Calibri" w:hAnsi="Calibri" w:cs="Calibri"/>
          <w:szCs w:val="24"/>
        </w:rPr>
        <w:t>&lt; 0.001, **</w:t>
      </w:r>
      <w:r w:rsidR="00A37608" w:rsidRPr="00045C71">
        <w:rPr>
          <w:rFonts w:ascii="Calibri" w:hAnsi="Calibri" w:cs="Calibri"/>
          <w:i/>
          <w:iCs/>
          <w:szCs w:val="24"/>
        </w:rPr>
        <w:t>p</w:t>
      </w:r>
      <w:r w:rsidR="003C5998" w:rsidRPr="005D53A7">
        <w:rPr>
          <w:rFonts w:ascii="Calibri" w:hAnsi="Calibri" w:cs="Calibri"/>
          <w:szCs w:val="24"/>
        </w:rPr>
        <w:t>&lt; 0.01, *</w:t>
      </w:r>
      <w:r w:rsidR="00A37608" w:rsidRPr="00045C71">
        <w:rPr>
          <w:rFonts w:ascii="Calibri" w:hAnsi="Calibri" w:cs="Calibri"/>
          <w:i/>
          <w:iCs/>
          <w:szCs w:val="24"/>
        </w:rPr>
        <w:t>p</w:t>
      </w:r>
      <w:r w:rsidR="003C5998" w:rsidRPr="005D53A7">
        <w:rPr>
          <w:rFonts w:ascii="Calibri" w:hAnsi="Calibri" w:cs="Calibri"/>
          <w:szCs w:val="24"/>
        </w:rPr>
        <w:t>&lt; 0.05</w:t>
      </w:r>
      <w:r w:rsidR="006D4CE3">
        <w:rPr>
          <w:rFonts w:ascii="Calibri" w:hAnsi="Calibri" w:cs="Calibri"/>
          <w:szCs w:val="24"/>
        </w:rPr>
        <w:t>,</w:t>
      </w:r>
      <w:r w:rsidR="003C5998" w:rsidRPr="005D53A7">
        <w:rPr>
          <w:rFonts w:ascii="Calibri" w:hAnsi="Calibri" w:cs="Calibri"/>
          <w:szCs w:val="24"/>
        </w:rPr>
        <w:t xml:space="preserve"> n</w:t>
      </w:r>
      <w:r w:rsidR="006D4CE3">
        <w:rPr>
          <w:rFonts w:ascii="Calibri" w:hAnsi="Calibri" w:cs="Calibri"/>
          <w:szCs w:val="24"/>
        </w:rPr>
        <w:t xml:space="preserve">ot </w:t>
      </w:r>
      <w:r w:rsidR="003C5998" w:rsidRPr="005D53A7">
        <w:rPr>
          <w:rFonts w:ascii="Calibri" w:hAnsi="Calibri" w:cs="Calibri"/>
          <w:szCs w:val="24"/>
        </w:rPr>
        <w:t>s</w:t>
      </w:r>
      <w:r w:rsidR="006D4CE3">
        <w:rPr>
          <w:rFonts w:ascii="Calibri" w:hAnsi="Calibri" w:cs="Calibri"/>
          <w:szCs w:val="24"/>
        </w:rPr>
        <w:t xml:space="preserve">ignificant </w:t>
      </w:r>
      <w:r w:rsidR="003C5998" w:rsidRPr="005D53A7">
        <w:rPr>
          <w:rFonts w:ascii="Calibri" w:hAnsi="Calibri" w:cs="Calibri"/>
          <w:szCs w:val="24"/>
        </w:rPr>
        <w:t>&gt; 0.05, error bars</w:t>
      </w:r>
      <w:r w:rsidR="006D4CE3">
        <w:rPr>
          <w:rFonts w:ascii="Calibri" w:hAnsi="Calibri" w:cs="Calibri"/>
          <w:szCs w:val="24"/>
        </w:rPr>
        <w:t>=</w:t>
      </w:r>
      <w:r w:rsidR="003C5998" w:rsidRPr="005D53A7">
        <w:rPr>
          <w:rFonts w:ascii="Calibri" w:hAnsi="Calibri" w:cs="Calibri"/>
          <w:szCs w:val="24"/>
        </w:rPr>
        <w:t xml:space="preserve"> S</w:t>
      </w:r>
      <w:r w:rsidR="00412446" w:rsidRPr="005D53A7">
        <w:rPr>
          <w:rFonts w:ascii="Calibri" w:hAnsi="Calibri" w:cs="Calibri"/>
          <w:szCs w:val="24"/>
        </w:rPr>
        <w:t>D</w:t>
      </w:r>
      <w:r w:rsidR="003C5998" w:rsidRPr="005D53A7">
        <w:rPr>
          <w:rFonts w:ascii="Calibri" w:hAnsi="Calibri" w:cs="Calibri"/>
          <w:szCs w:val="24"/>
        </w:rPr>
        <w:t>.</w:t>
      </w:r>
    </w:p>
    <w:p w14:paraId="79ABD5C0" w14:textId="6665A787" w:rsidR="0078328A" w:rsidRDefault="0078328A" w:rsidP="005D53A7">
      <w:pPr>
        <w:jc w:val="both"/>
        <w:rPr>
          <w:rFonts w:ascii="Calibri" w:hAnsi="Calibri" w:cs="Calibri"/>
          <w:szCs w:val="24"/>
        </w:rPr>
      </w:pPr>
    </w:p>
    <w:p w14:paraId="64D8E173" w14:textId="255F5B1D" w:rsidR="0078328A" w:rsidRPr="005D53A7" w:rsidRDefault="00317748" w:rsidP="005D53A7">
      <w:pPr>
        <w:jc w:val="both"/>
        <w:rPr>
          <w:rFonts w:ascii="Calibri" w:hAnsi="Calibri" w:cs="Calibri"/>
          <w:szCs w:val="24"/>
        </w:rPr>
      </w:pPr>
      <w:r w:rsidRPr="00045C71">
        <w:rPr>
          <w:rFonts w:ascii="Calibri" w:hAnsi="Calibri" w:cs="Calibri"/>
          <w:b/>
          <w:bCs/>
          <w:szCs w:val="24"/>
        </w:rPr>
        <w:t>Table 1</w:t>
      </w:r>
      <w:r w:rsidR="0078328A">
        <w:rPr>
          <w:rFonts w:ascii="Calibri" w:hAnsi="Calibri" w:cs="Calibri"/>
          <w:szCs w:val="24"/>
        </w:rPr>
        <w:t>: Antibody dilutions</w:t>
      </w:r>
      <w:r w:rsidR="00E94424">
        <w:rPr>
          <w:rFonts w:ascii="Calibri" w:hAnsi="Calibri" w:cs="Calibri"/>
          <w:szCs w:val="24"/>
        </w:rPr>
        <w:t>.</w:t>
      </w:r>
    </w:p>
    <w:p w14:paraId="263675EC" w14:textId="77777777" w:rsidR="00920F1B" w:rsidRPr="005D53A7" w:rsidRDefault="00920F1B" w:rsidP="005D53A7">
      <w:pPr>
        <w:jc w:val="both"/>
        <w:rPr>
          <w:rFonts w:ascii="Calibri" w:hAnsi="Calibri" w:cs="Calibri"/>
          <w:b/>
          <w:bCs/>
          <w:szCs w:val="24"/>
        </w:rPr>
      </w:pPr>
    </w:p>
    <w:p w14:paraId="27C4183F" w14:textId="5A5FBF30" w:rsidR="004C1544" w:rsidRPr="005D53A7" w:rsidRDefault="00144B7F" w:rsidP="005D53A7">
      <w:pPr>
        <w:jc w:val="both"/>
        <w:rPr>
          <w:rFonts w:ascii="Calibri" w:hAnsi="Calibri" w:cs="Calibri"/>
          <w:b/>
          <w:bCs/>
          <w:szCs w:val="24"/>
        </w:rPr>
      </w:pPr>
      <w:r w:rsidRPr="005D53A7">
        <w:rPr>
          <w:rFonts w:ascii="Calibri" w:hAnsi="Calibri" w:cs="Calibri"/>
          <w:b/>
          <w:bCs/>
          <w:szCs w:val="24"/>
        </w:rPr>
        <w:t>DISCUSSION:</w:t>
      </w:r>
    </w:p>
    <w:p w14:paraId="20B77549" w14:textId="5E237405" w:rsidR="00C17426" w:rsidRDefault="002126C3" w:rsidP="005D53A7">
      <w:pPr>
        <w:jc w:val="both"/>
        <w:rPr>
          <w:rFonts w:ascii="Calibri" w:hAnsi="Calibri" w:cs="Calibri"/>
          <w:szCs w:val="24"/>
        </w:rPr>
      </w:pPr>
      <w:r w:rsidRPr="005D53A7">
        <w:rPr>
          <w:rFonts w:ascii="Calibri" w:hAnsi="Calibri" w:cs="Calibri"/>
          <w:szCs w:val="24"/>
        </w:rPr>
        <w:t xml:space="preserve">A tight regulation of HSC </w:t>
      </w:r>
      <w:r w:rsidR="00E45FB1" w:rsidRPr="005D53A7">
        <w:rPr>
          <w:rFonts w:ascii="Calibri" w:hAnsi="Calibri" w:cs="Calibri"/>
          <w:szCs w:val="24"/>
        </w:rPr>
        <w:t xml:space="preserve">function </w:t>
      </w:r>
      <w:r w:rsidRPr="005D53A7">
        <w:rPr>
          <w:rFonts w:ascii="Calibri" w:hAnsi="Calibri" w:cs="Calibri"/>
          <w:szCs w:val="24"/>
        </w:rPr>
        <w:t xml:space="preserve">is important to maintain </w:t>
      </w:r>
      <w:r w:rsidR="00E45FB1" w:rsidRPr="005D53A7">
        <w:rPr>
          <w:rFonts w:ascii="Calibri" w:hAnsi="Calibri" w:cs="Calibri"/>
          <w:szCs w:val="24"/>
        </w:rPr>
        <w:t xml:space="preserve">stable </w:t>
      </w:r>
      <w:r w:rsidRPr="005D53A7">
        <w:rPr>
          <w:rFonts w:ascii="Calibri" w:hAnsi="Calibri" w:cs="Calibri"/>
          <w:szCs w:val="24"/>
        </w:rPr>
        <w:t>hematopoiesis during an organism</w:t>
      </w:r>
      <w:r w:rsidR="00FB319C" w:rsidRPr="00FB319C">
        <w:rPr>
          <w:rFonts w:ascii="Calibri" w:hAnsi="Calibri" w:cs="Calibri"/>
          <w:szCs w:val="24"/>
        </w:rPr>
        <w:t>’s</w:t>
      </w:r>
      <w:r w:rsidRPr="005D53A7">
        <w:rPr>
          <w:rFonts w:ascii="Calibri" w:hAnsi="Calibri" w:cs="Calibri"/>
          <w:szCs w:val="24"/>
        </w:rPr>
        <w:t xml:space="preserve"> lifetime.</w:t>
      </w:r>
      <w:r w:rsidR="00E45FB1" w:rsidRPr="005D53A7">
        <w:rPr>
          <w:rFonts w:ascii="Calibri" w:hAnsi="Calibri" w:cs="Calibri"/>
          <w:szCs w:val="24"/>
        </w:rPr>
        <w:t xml:space="preserve"> Like various other cell types in the body, a key component that contributes to the regulation of HSC function is cellular metabolism. Previous studies from our lab</w:t>
      </w:r>
      <w:r w:rsidR="00E172DB" w:rsidRPr="005D53A7">
        <w:rPr>
          <w:rFonts w:ascii="Calibri" w:hAnsi="Calibri" w:cs="Calibri"/>
          <w:noProof/>
          <w:szCs w:val="24"/>
          <w:vertAlign w:val="superscript"/>
        </w:rPr>
        <w:t>9</w:t>
      </w:r>
      <w:r w:rsidR="00E45FB1" w:rsidRPr="005D53A7">
        <w:rPr>
          <w:rFonts w:ascii="Calibri" w:hAnsi="Calibri" w:cs="Calibri"/>
          <w:szCs w:val="24"/>
        </w:rPr>
        <w:t xml:space="preserve"> and others</w:t>
      </w:r>
      <w:r w:rsidR="00C507A5" w:rsidRPr="005D53A7">
        <w:rPr>
          <w:rFonts w:ascii="Calibri" w:hAnsi="Calibri" w:cs="Calibri"/>
          <w:noProof/>
          <w:szCs w:val="24"/>
          <w:vertAlign w:val="superscript"/>
        </w:rPr>
        <w:t>2,3</w:t>
      </w:r>
      <w:r w:rsidR="00E45FB1" w:rsidRPr="005D53A7">
        <w:rPr>
          <w:rFonts w:ascii="Calibri" w:hAnsi="Calibri" w:cs="Calibri"/>
          <w:szCs w:val="24"/>
        </w:rPr>
        <w:t xml:space="preserve"> have implicated the importance of mitochondria in</w:t>
      </w:r>
      <w:r w:rsidR="00C507A5" w:rsidRPr="005D53A7">
        <w:rPr>
          <w:rFonts w:ascii="Calibri" w:hAnsi="Calibri" w:cs="Calibri"/>
          <w:szCs w:val="24"/>
        </w:rPr>
        <w:t xml:space="preserve"> maintaining a distinct metabolic state in HSCs.</w:t>
      </w:r>
      <w:r w:rsidR="00D02046" w:rsidRPr="005D53A7">
        <w:rPr>
          <w:rFonts w:ascii="Calibri" w:hAnsi="Calibri" w:cs="Calibri"/>
          <w:szCs w:val="24"/>
        </w:rPr>
        <w:t xml:space="preserve"> Due to </w:t>
      </w:r>
      <w:r w:rsidR="00E94424">
        <w:rPr>
          <w:rFonts w:ascii="Calibri" w:hAnsi="Calibri" w:cs="Calibri"/>
          <w:szCs w:val="24"/>
        </w:rPr>
        <w:t xml:space="preserve">the </w:t>
      </w:r>
      <w:r w:rsidR="00D02046" w:rsidRPr="005D53A7">
        <w:rPr>
          <w:rFonts w:ascii="Calibri" w:hAnsi="Calibri" w:cs="Calibri"/>
          <w:szCs w:val="24"/>
        </w:rPr>
        <w:t>extremely low number of HSCs isolated from murine bone</w:t>
      </w:r>
      <w:r w:rsidR="009A1AE6" w:rsidRPr="005D53A7">
        <w:rPr>
          <w:rFonts w:ascii="Calibri" w:hAnsi="Calibri" w:cs="Calibri"/>
          <w:szCs w:val="24"/>
        </w:rPr>
        <w:t xml:space="preserve"> </w:t>
      </w:r>
      <w:r w:rsidR="00D02046" w:rsidRPr="005D53A7">
        <w:rPr>
          <w:rFonts w:ascii="Calibri" w:hAnsi="Calibri" w:cs="Calibri"/>
          <w:szCs w:val="24"/>
        </w:rPr>
        <w:t>marrow, it is difficult to analyze them via standard metabolic assays</w:t>
      </w:r>
      <w:r w:rsidR="009A1AE6" w:rsidRPr="005D53A7">
        <w:rPr>
          <w:rFonts w:ascii="Calibri" w:hAnsi="Calibri" w:cs="Calibri"/>
          <w:szCs w:val="24"/>
        </w:rPr>
        <w:t xml:space="preserve"> (e.</w:t>
      </w:r>
      <w:r w:rsidR="00306962" w:rsidRPr="005D53A7">
        <w:rPr>
          <w:rFonts w:ascii="Calibri" w:hAnsi="Calibri" w:cs="Calibri"/>
          <w:szCs w:val="24"/>
        </w:rPr>
        <w:t>g</w:t>
      </w:r>
      <w:r w:rsidR="009A1AE6" w:rsidRPr="005D53A7">
        <w:rPr>
          <w:rFonts w:ascii="Calibri" w:hAnsi="Calibri" w:cs="Calibri"/>
          <w:szCs w:val="24"/>
        </w:rPr>
        <w:t>.</w:t>
      </w:r>
      <w:r w:rsidR="00E94424">
        <w:rPr>
          <w:rFonts w:ascii="Calibri" w:hAnsi="Calibri" w:cs="Calibri"/>
          <w:szCs w:val="24"/>
        </w:rPr>
        <w:t>,</w:t>
      </w:r>
      <w:r w:rsidR="009A1AE6" w:rsidRPr="005D53A7">
        <w:rPr>
          <w:rFonts w:ascii="Calibri" w:hAnsi="Calibri" w:cs="Calibri"/>
          <w:szCs w:val="24"/>
        </w:rPr>
        <w:t xml:space="preserve"> </w:t>
      </w:r>
      <w:r w:rsidR="00E94424" w:rsidRPr="005D53A7">
        <w:rPr>
          <w:rFonts w:ascii="Calibri" w:hAnsi="Calibri" w:cs="Calibri"/>
          <w:szCs w:val="24"/>
        </w:rPr>
        <w:t xml:space="preserve">oxygen </w:t>
      </w:r>
      <w:r w:rsidR="009A1AE6" w:rsidRPr="005D53A7">
        <w:rPr>
          <w:rFonts w:ascii="Calibri" w:hAnsi="Calibri" w:cs="Calibri"/>
          <w:szCs w:val="24"/>
        </w:rPr>
        <w:t xml:space="preserve">consumption with </w:t>
      </w:r>
      <w:proofErr w:type="spellStart"/>
      <w:r w:rsidR="009A1AE6" w:rsidRPr="005D53A7">
        <w:rPr>
          <w:rFonts w:ascii="Calibri" w:hAnsi="Calibri" w:cs="Calibri"/>
          <w:szCs w:val="24"/>
        </w:rPr>
        <w:t>SeaHorse</w:t>
      </w:r>
      <w:proofErr w:type="spellEnd"/>
      <w:r w:rsidR="009A1AE6" w:rsidRPr="005D53A7">
        <w:rPr>
          <w:rFonts w:ascii="Calibri" w:hAnsi="Calibri" w:cs="Calibri"/>
          <w:szCs w:val="24"/>
        </w:rPr>
        <w:t>)</w:t>
      </w:r>
      <w:r w:rsidR="00D02046" w:rsidRPr="005D53A7">
        <w:rPr>
          <w:rFonts w:ascii="Calibri" w:hAnsi="Calibri" w:cs="Calibri"/>
          <w:szCs w:val="24"/>
        </w:rPr>
        <w:t>. Based on our previous work</w:t>
      </w:r>
      <w:r w:rsidR="00E94424">
        <w:rPr>
          <w:rFonts w:ascii="Calibri" w:hAnsi="Calibri" w:cs="Calibri"/>
          <w:szCs w:val="24"/>
        </w:rPr>
        <w:t>,</w:t>
      </w:r>
      <w:r w:rsidR="00D02046" w:rsidRPr="005D53A7">
        <w:rPr>
          <w:rFonts w:ascii="Calibri" w:hAnsi="Calibri" w:cs="Calibri"/>
          <w:szCs w:val="24"/>
        </w:rPr>
        <w:t xml:space="preserve"> we standardized a simple flow cytometry assay to reliably measure mitochondrial mass and membrane potential (an indirect readout for activity) in </w:t>
      </w:r>
      <w:r w:rsidR="00E94424">
        <w:rPr>
          <w:rFonts w:ascii="Calibri" w:hAnsi="Calibri" w:cs="Calibri"/>
          <w:szCs w:val="24"/>
        </w:rPr>
        <w:t xml:space="preserve">a </w:t>
      </w:r>
      <w:r w:rsidR="00D02046" w:rsidRPr="005D53A7">
        <w:rPr>
          <w:rFonts w:ascii="Calibri" w:hAnsi="Calibri" w:cs="Calibri"/>
          <w:szCs w:val="24"/>
        </w:rPr>
        <w:t xml:space="preserve">low number of cells </w:t>
      </w:r>
      <w:r w:rsidR="00E94424">
        <w:rPr>
          <w:rFonts w:ascii="Calibri" w:hAnsi="Calibri" w:cs="Calibri"/>
          <w:szCs w:val="24"/>
        </w:rPr>
        <w:t xml:space="preserve">(i.e., </w:t>
      </w:r>
      <w:r w:rsidR="00D02046" w:rsidRPr="005D53A7">
        <w:rPr>
          <w:rFonts w:ascii="Calibri" w:hAnsi="Calibri" w:cs="Calibri"/>
          <w:szCs w:val="24"/>
        </w:rPr>
        <w:t>HSCs</w:t>
      </w:r>
      <w:r w:rsidR="00E94424">
        <w:rPr>
          <w:rFonts w:ascii="Calibri" w:hAnsi="Calibri" w:cs="Calibri"/>
          <w:szCs w:val="24"/>
        </w:rPr>
        <w:t>)</w:t>
      </w:r>
      <w:r w:rsidR="00D02046" w:rsidRPr="005D53A7">
        <w:rPr>
          <w:rFonts w:ascii="Calibri" w:hAnsi="Calibri" w:cs="Calibri"/>
          <w:szCs w:val="24"/>
        </w:rPr>
        <w:t>. This assay allows measurement on liv</w:t>
      </w:r>
      <w:r w:rsidR="003B56A7" w:rsidRPr="005D53A7">
        <w:rPr>
          <w:rFonts w:ascii="Calibri" w:hAnsi="Calibri" w:cs="Calibri"/>
          <w:szCs w:val="24"/>
        </w:rPr>
        <w:t>ing</w:t>
      </w:r>
      <w:r w:rsidR="00D02046" w:rsidRPr="005D53A7">
        <w:rPr>
          <w:rFonts w:ascii="Calibri" w:hAnsi="Calibri" w:cs="Calibri"/>
          <w:szCs w:val="24"/>
        </w:rPr>
        <w:t xml:space="preserve"> cells </w:t>
      </w:r>
      <w:r w:rsidR="003B56A7" w:rsidRPr="005D53A7">
        <w:rPr>
          <w:rFonts w:ascii="Calibri" w:hAnsi="Calibri" w:cs="Calibri"/>
          <w:szCs w:val="24"/>
        </w:rPr>
        <w:t xml:space="preserve">without compromising </w:t>
      </w:r>
      <w:r w:rsidR="00D02046" w:rsidRPr="005D53A7">
        <w:rPr>
          <w:rFonts w:ascii="Calibri" w:hAnsi="Calibri" w:cs="Calibri"/>
          <w:szCs w:val="24"/>
        </w:rPr>
        <w:t>their viability</w:t>
      </w:r>
      <w:r w:rsidR="00E172DB" w:rsidRPr="005D53A7">
        <w:rPr>
          <w:rFonts w:ascii="Calibri" w:hAnsi="Calibri" w:cs="Calibri"/>
          <w:noProof/>
          <w:szCs w:val="24"/>
          <w:vertAlign w:val="superscript"/>
        </w:rPr>
        <w:t>9</w:t>
      </w:r>
      <w:r w:rsidR="003B56A7" w:rsidRPr="005D53A7">
        <w:rPr>
          <w:rFonts w:ascii="Calibri" w:hAnsi="Calibri" w:cs="Calibri"/>
          <w:szCs w:val="24"/>
        </w:rPr>
        <w:t>, making them available for any downstream functional assays (such as CFUs or bone</w:t>
      </w:r>
      <w:r w:rsidR="009A1AE6" w:rsidRPr="005D53A7">
        <w:rPr>
          <w:rFonts w:ascii="Calibri" w:hAnsi="Calibri" w:cs="Calibri"/>
          <w:szCs w:val="24"/>
        </w:rPr>
        <w:t xml:space="preserve"> </w:t>
      </w:r>
      <w:r w:rsidR="003B56A7" w:rsidRPr="005D53A7">
        <w:rPr>
          <w:rFonts w:ascii="Calibri" w:hAnsi="Calibri" w:cs="Calibri"/>
          <w:szCs w:val="24"/>
        </w:rPr>
        <w:t xml:space="preserve">marrow transplantations) </w:t>
      </w:r>
      <w:r w:rsidR="00E94424">
        <w:rPr>
          <w:rFonts w:ascii="Calibri" w:hAnsi="Calibri" w:cs="Calibri"/>
          <w:szCs w:val="24"/>
        </w:rPr>
        <w:t xml:space="preserve">that </w:t>
      </w:r>
      <w:r w:rsidR="003B56A7" w:rsidRPr="005D53A7">
        <w:rPr>
          <w:rFonts w:ascii="Calibri" w:hAnsi="Calibri" w:cs="Calibri"/>
          <w:szCs w:val="24"/>
        </w:rPr>
        <w:t xml:space="preserve">users may wish to perform. We foresee this assay </w:t>
      </w:r>
      <w:r w:rsidR="00E94424">
        <w:rPr>
          <w:rFonts w:ascii="Calibri" w:hAnsi="Calibri" w:cs="Calibri"/>
          <w:szCs w:val="24"/>
        </w:rPr>
        <w:t>being</w:t>
      </w:r>
      <w:r w:rsidR="003B56A7" w:rsidRPr="005D53A7">
        <w:rPr>
          <w:rFonts w:ascii="Calibri" w:hAnsi="Calibri" w:cs="Calibri"/>
          <w:szCs w:val="24"/>
        </w:rPr>
        <w:t xml:space="preserve"> employed in screening experiments</w:t>
      </w:r>
      <w:r w:rsidR="00E94424">
        <w:rPr>
          <w:rFonts w:ascii="Calibri" w:hAnsi="Calibri" w:cs="Calibri"/>
          <w:szCs w:val="24"/>
        </w:rPr>
        <w:t>,</w:t>
      </w:r>
      <w:r w:rsidR="003B56A7" w:rsidRPr="005D53A7">
        <w:rPr>
          <w:rFonts w:ascii="Calibri" w:hAnsi="Calibri" w:cs="Calibri"/>
          <w:szCs w:val="24"/>
        </w:rPr>
        <w:t xml:space="preserve"> allowing </w:t>
      </w:r>
      <w:r w:rsidR="00A56D75">
        <w:rPr>
          <w:rFonts w:ascii="Calibri" w:hAnsi="Calibri" w:cs="Calibri"/>
          <w:szCs w:val="24"/>
        </w:rPr>
        <w:t xml:space="preserve">for </w:t>
      </w:r>
      <w:r w:rsidR="003B56A7" w:rsidRPr="005D53A7">
        <w:rPr>
          <w:rFonts w:ascii="Calibri" w:hAnsi="Calibri" w:cs="Calibri"/>
          <w:szCs w:val="24"/>
        </w:rPr>
        <w:t xml:space="preserve">a quick readout on </w:t>
      </w:r>
      <w:r w:rsidR="00E94424">
        <w:rPr>
          <w:rFonts w:ascii="Calibri" w:hAnsi="Calibri" w:cs="Calibri"/>
          <w:szCs w:val="24"/>
        </w:rPr>
        <w:t xml:space="preserve">the </w:t>
      </w:r>
      <w:r w:rsidR="003B56A7" w:rsidRPr="005D53A7">
        <w:rPr>
          <w:rFonts w:ascii="Calibri" w:hAnsi="Calibri" w:cs="Calibri"/>
          <w:szCs w:val="24"/>
        </w:rPr>
        <w:t xml:space="preserve">mitochondrial profile of HSCs from different genetic backgrounds or </w:t>
      </w:r>
      <w:r w:rsidR="00E94424">
        <w:rPr>
          <w:rFonts w:ascii="Calibri" w:hAnsi="Calibri" w:cs="Calibri"/>
          <w:szCs w:val="24"/>
        </w:rPr>
        <w:t>knockout</w:t>
      </w:r>
      <w:r w:rsidR="00E94424" w:rsidRPr="005D53A7">
        <w:rPr>
          <w:rFonts w:ascii="Calibri" w:hAnsi="Calibri" w:cs="Calibri"/>
          <w:szCs w:val="24"/>
        </w:rPr>
        <w:t xml:space="preserve"> </w:t>
      </w:r>
      <w:r w:rsidR="003B56A7" w:rsidRPr="005D53A7">
        <w:rPr>
          <w:rFonts w:ascii="Calibri" w:hAnsi="Calibri" w:cs="Calibri"/>
          <w:szCs w:val="24"/>
        </w:rPr>
        <w:t>models.</w:t>
      </w:r>
      <w:r w:rsidR="001F433F" w:rsidRPr="005D53A7">
        <w:rPr>
          <w:rFonts w:ascii="Calibri" w:hAnsi="Calibri" w:cs="Calibri"/>
          <w:szCs w:val="24"/>
        </w:rPr>
        <w:t xml:space="preserve"> Importantly</w:t>
      </w:r>
      <w:r w:rsidR="003B56A7" w:rsidRPr="005D53A7">
        <w:rPr>
          <w:rFonts w:ascii="Calibri" w:hAnsi="Calibri" w:cs="Calibri"/>
          <w:szCs w:val="24"/>
        </w:rPr>
        <w:t xml:space="preserve">, </w:t>
      </w:r>
      <w:r w:rsidR="001F433F" w:rsidRPr="005D53A7">
        <w:rPr>
          <w:rFonts w:ascii="Calibri" w:hAnsi="Calibri" w:cs="Calibri"/>
          <w:szCs w:val="24"/>
        </w:rPr>
        <w:t>our assay</w:t>
      </w:r>
      <w:r w:rsidR="003B56A7" w:rsidRPr="005D53A7">
        <w:rPr>
          <w:rFonts w:ascii="Calibri" w:hAnsi="Calibri" w:cs="Calibri"/>
          <w:szCs w:val="24"/>
        </w:rPr>
        <w:t xml:space="preserve"> can be combined with CFSE staining to </w:t>
      </w:r>
      <w:r w:rsidR="001F433F" w:rsidRPr="005D53A7">
        <w:rPr>
          <w:rFonts w:ascii="Calibri" w:hAnsi="Calibri" w:cs="Calibri"/>
          <w:szCs w:val="24"/>
        </w:rPr>
        <w:t xml:space="preserve">have a dual readout on HSC proliferation and </w:t>
      </w:r>
      <w:r w:rsidR="00E94424">
        <w:rPr>
          <w:rFonts w:ascii="Calibri" w:hAnsi="Calibri" w:cs="Calibri"/>
          <w:szCs w:val="24"/>
        </w:rPr>
        <w:t xml:space="preserve">its </w:t>
      </w:r>
      <w:r w:rsidR="001F433F" w:rsidRPr="005D53A7">
        <w:rPr>
          <w:rFonts w:ascii="Calibri" w:hAnsi="Calibri" w:cs="Calibri"/>
          <w:szCs w:val="24"/>
        </w:rPr>
        <w:t>mitochondrial profile</w:t>
      </w:r>
      <w:r w:rsidR="001F433F" w:rsidRPr="005D53A7">
        <w:rPr>
          <w:rFonts w:ascii="Calibri" w:hAnsi="Calibri" w:cs="Calibri"/>
          <w:noProof/>
          <w:szCs w:val="24"/>
          <w:vertAlign w:val="superscript"/>
        </w:rPr>
        <w:t>9,10</w:t>
      </w:r>
      <w:r w:rsidR="000342D5" w:rsidRPr="005D53A7">
        <w:rPr>
          <w:rFonts w:ascii="Calibri" w:hAnsi="Calibri" w:cs="Calibri"/>
          <w:szCs w:val="24"/>
        </w:rPr>
        <w:t>, allowing the analysis of the metabolic fate of dividing HSCs</w:t>
      </w:r>
      <w:r w:rsidR="001F433F" w:rsidRPr="005D53A7">
        <w:rPr>
          <w:rFonts w:ascii="Calibri" w:hAnsi="Calibri" w:cs="Calibri"/>
          <w:szCs w:val="24"/>
        </w:rPr>
        <w:t xml:space="preserve">. </w:t>
      </w:r>
      <w:r w:rsidR="00630FA5" w:rsidRPr="005D53A7">
        <w:rPr>
          <w:rFonts w:ascii="Calibri" w:hAnsi="Calibri" w:cs="Calibri"/>
          <w:szCs w:val="24"/>
        </w:rPr>
        <w:t xml:space="preserve">Considering that it is a </w:t>
      </w:r>
      <w:r w:rsidR="00D43638">
        <w:rPr>
          <w:rFonts w:ascii="Calibri" w:hAnsi="Calibri" w:cs="Calibri"/>
          <w:szCs w:val="24"/>
        </w:rPr>
        <w:t>difficult</w:t>
      </w:r>
      <w:r w:rsidR="00D43638" w:rsidRPr="005D53A7" w:rsidDel="00D43638">
        <w:rPr>
          <w:rFonts w:ascii="Calibri" w:hAnsi="Calibri" w:cs="Calibri"/>
          <w:szCs w:val="24"/>
        </w:rPr>
        <w:t xml:space="preserve"> </w:t>
      </w:r>
      <w:r w:rsidR="00630FA5" w:rsidRPr="005D53A7">
        <w:rPr>
          <w:rFonts w:ascii="Calibri" w:hAnsi="Calibri" w:cs="Calibri"/>
          <w:szCs w:val="24"/>
        </w:rPr>
        <w:t xml:space="preserve">staining </w:t>
      </w:r>
      <w:r w:rsidR="00D43638">
        <w:rPr>
          <w:rFonts w:ascii="Calibri" w:hAnsi="Calibri" w:cs="Calibri"/>
          <w:szCs w:val="24"/>
        </w:rPr>
        <w:t xml:space="preserve">procedure </w:t>
      </w:r>
      <w:r w:rsidR="00630FA5" w:rsidRPr="005D53A7">
        <w:rPr>
          <w:rFonts w:ascii="Calibri" w:hAnsi="Calibri" w:cs="Calibri"/>
          <w:szCs w:val="24"/>
        </w:rPr>
        <w:t xml:space="preserve">and we are working with </w:t>
      </w:r>
      <w:r w:rsidR="004E5FAB">
        <w:rPr>
          <w:rFonts w:ascii="Calibri" w:hAnsi="Calibri" w:cs="Calibri"/>
          <w:szCs w:val="24"/>
        </w:rPr>
        <w:t xml:space="preserve">a </w:t>
      </w:r>
      <w:r w:rsidR="00630FA5" w:rsidRPr="005D53A7">
        <w:rPr>
          <w:rFonts w:ascii="Calibri" w:hAnsi="Calibri" w:cs="Calibri"/>
          <w:szCs w:val="24"/>
        </w:rPr>
        <w:t xml:space="preserve">low number of cells (HSCs), it is important that post centrifugation the users always </w:t>
      </w:r>
      <w:r w:rsidR="008F345A">
        <w:rPr>
          <w:rFonts w:ascii="Calibri" w:hAnsi="Calibri" w:cs="Calibri"/>
          <w:szCs w:val="24"/>
        </w:rPr>
        <w:t>leave</w:t>
      </w:r>
      <w:r w:rsidR="008F345A" w:rsidRPr="005D53A7">
        <w:rPr>
          <w:rFonts w:ascii="Calibri" w:hAnsi="Calibri" w:cs="Calibri"/>
          <w:szCs w:val="24"/>
        </w:rPr>
        <w:t xml:space="preserve"> </w:t>
      </w:r>
      <w:r w:rsidR="00630FA5" w:rsidRPr="005D53A7">
        <w:rPr>
          <w:rFonts w:ascii="Calibri" w:hAnsi="Calibri" w:cs="Calibri"/>
          <w:szCs w:val="24"/>
        </w:rPr>
        <w:t>80</w:t>
      </w:r>
      <w:r w:rsidR="008F345A" w:rsidRPr="00C174C3">
        <w:rPr>
          <w:rFonts w:ascii="Calibri" w:hAnsi="Calibri" w:cs="Calibri"/>
          <w:szCs w:val="24"/>
        </w:rPr>
        <w:t>–</w:t>
      </w:r>
      <w:r w:rsidR="00630FA5" w:rsidRPr="005D53A7">
        <w:rPr>
          <w:rFonts w:ascii="Calibri" w:hAnsi="Calibri" w:cs="Calibri"/>
          <w:szCs w:val="24"/>
        </w:rPr>
        <w:t xml:space="preserve">100 </w:t>
      </w:r>
      <w:r w:rsidR="008F345A">
        <w:rPr>
          <w:rFonts w:ascii="Calibri" w:hAnsi="Calibri" w:cs="Calibri"/>
          <w:szCs w:val="24"/>
        </w:rPr>
        <w:t>µL of</w:t>
      </w:r>
      <w:r w:rsidR="00630FA5" w:rsidRPr="005D53A7">
        <w:rPr>
          <w:rFonts w:ascii="Calibri" w:hAnsi="Calibri" w:cs="Calibri"/>
          <w:szCs w:val="24"/>
        </w:rPr>
        <w:t xml:space="preserve"> solution in the tubes in order to minimize cell loss. Additionally, during all post staining </w:t>
      </w:r>
      <w:r w:rsidR="00477CC0" w:rsidRPr="005D53A7">
        <w:rPr>
          <w:rFonts w:ascii="Calibri" w:hAnsi="Calibri" w:cs="Calibri"/>
          <w:szCs w:val="24"/>
        </w:rPr>
        <w:t xml:space="preserve">steps </w:t>
      </w:r>
      <w:r w:rsidR="00630FA5" w:rsidRPr="005D53A7">
        <w:rPr>
          <w:rFonts w:ascii="Calibri" w:hAnsi="Calibri" w:cs="Calibri"/>
          <w:szCs w:val="24"/>
        </w:rPr>
        <w:t>the tubes</w:t>
      </w:r>
      <w:r w:rsidR="00357EE3">
        <w:rPr>
          <w:rFonts w:ascii="Calibri" w:hAnsi="Calibri" w:cs="Calibri"/>
          <w:szCs w:val="24"/>
        </w:rPr>
        <w:t xml:space="preserve"> or </w:t>
      </w:r>
      <w:r w:rsidR="00630FA5" w:rsidRPr="005D53A7">
        <w:rPr>
          <w:rFonts w:ascii="Calibri" w:hAnsi="Calibri" w:cs="Calibri"/>
          <w:szCs w:val="24"/>
        </w:rPr>
        <w:t xml:space="preserve">plates should be protected from light, either </w:t>
      </w:r>
      <w:r w:rsidR="00477CC0" w:rsidRPr="005D53A7">
        <w:rPr>
          <w:rFonts w:ascii="Calibri" w:hAnsi="Calibri" w:cs="Calibri"/>
          <w:szCs w:val="24"/>
        </w:rPr>
        <w:t>b</w:t>
      </w:r>
      <w:r w:rsidR="00630FA5" w:rsidRPr="005D53A7">
        <w:rPr>
          <w:rFonts w:ascii="Calibri" w:hAnsi="Calibri" w:cs="Calibri"/>
          <w:szCs w:val="24"/>
        </w:rPr>
        <w:t xml:space="preserve">y covering them in foil or working in a low light environment. If the users decide to combine HSC stain with mitochondrial dyes they must check if the compensation is </w:t>
      </w:r>
      <w:r w:rsidR="00C44A27" w:rsidRPr="005D53A7">
        <w:rPr>
          <w:rFonts w:ascii="Calibri" w:hAnsi="Calibri" w:cs="Calibri"/>
          <w:szCs w:val="24"/>
        </w:rPr>
        <w:t>performed correctly</w:t>
      </w:r>
      <w:r w:rsidR="00630FA5" w:rsidRPr="005D53A7">
        <w:rPr>
          <w:rFonts w:ascii="Calibri" w:hAnsi="Calibri" w:cs="Calibri"/>
          <w:szCs w:val="24"/>
        </w:rPr>
        <w:t>, especially between TMRM (PE), PeCy5</w:t>
      </w:r>
      <w:r w:rsidR="00D43638">
        <w:rPr>
          <w:rFonts w:ascii="Calibri" w:hAnsi="Calibri" w:cs="Calibri"/>
          <w:szCs w:val="24"/>
        </w:rPr>
        <w:t>,</w:t>
      </w:r>
      <w:r w:rsidR="00630FA5" w:rsidRPr="005D53A7">
        <w:rPr>
          <w:rFonts w:ascii="Calibri" w:hAnsi="Calibri" w:cs="Calibri"/>
          <w:szCs w:val="24"/>
        </w:rPr>
        <w:t xml:space="preserve"> and APC.</w:t>
      </w:r>
    </w:p>
    <w:p w14:paraId="7783D7B0" w14:textId="77777777" w:rsidR="00686314" w:rsidRPr="005D53A7" w:rsidRDefault="00686314" w:rsidP="005D53A7">
      <w:pPr>
        <w:jc w:val="both"/>
        <w:rPr>
          <w:rFonts w:ascii="Calibri" w:hAnsi="Calibri" w:cs="Calibri"/>
          <w:szCs w:val="24"/>
        </w:rPr>
      </w:pPr>
    </w:p>
    <w:p w14:paraId="10D55F1B" w14:textId="5CC49ADE" w:rsidR="005F02FE" w:rsidRDefault="005F02FE" w:rsidP="005D53A7">
      <w:pPr>
        <w:jc w:val="both"/>
        <w:rPr>
          <w:rFonts w:ascii="Calibri" w:hAnsi="Calibri" w:cs="Calibri"/>
          <w:szCs w:val="24"/>
        </w:rPr>
      </w:pPr>
      <w:r w:rsidRPr="005D53A7">
        <w:rPr>
          <w:rFonts w:ascii="Calibri" w:hAnsi="Calibri" w:cs="Calibri"/>
          <w:szCs w:val="24"/>
        </w:rPr>
        <w:t xml:space="preserve">Importantly, a recent publication </w:t>
      </w:r>
      <w:r w:rsidR="00F452D4" w:rsidRPr="005D53A7">
        <w:rPr>
          <w:rFonts w:ascii="Calibri" w:hAnsi="Calibri" w:cs="Calibri"/>
          <w:szCs w:val="24"/>
        </w:rPr>
        <w:t>questions</w:t>
      </w:r>
      <w:r w:rsidRPr="005D53A7">
        <w:rPr>
          <w:rFonts w:ascii="Calibri" w:hAnsi="Calibri" w:cs="Calibri"/>
          <w:szCs w:val="24"/>
        </w:rPr>
        <w:t xml:space="preserve"> the use of mitochondrial dyes in HSCs because </w:t>
      </w:r>
      <w:r w:rsidR="0079297D" w:rsidRPr="005D53A7">
        <w:rPr>
          <w:rFonts w:ascii="Calibri" w:hAnsi="Calibri" w:cs="Calibri"/>
          <w:szCs w:val="24"/>
        </w:rPr>
        <w:t xml:space="preserve">they might be </w:t>
      </w:r>
      <w:r w:rsidRPr="005D53A7">
        <w:rPr>
          <w:rFonts w:ascii="Calibri" w:hAnsi="Calibri" w:cs="Calibri"/>
          <w:szCs w:val="24"/>
        </w:rPr>
        <w:t>susceptible to pump efflux</w:t>
      </w:r>
      <w:r w:rsidR="00D43638">
        <w:rPr>
          <w:rFonts w:ascii="Calibri" w:hAnsi="Calibri" w:cs="Calibri"/>
          <w:szCs w:val="24"/>
        </w:rPr>
        <w:t>.</w:t>
      </w:r>
      <w:r w:rsidR="00C933CF" w:rsidRPr="005D53A7">
        <w:rPr>
          <w:rFonts w:ascii="Calibri" w:hAnsi="Calibri" w:cs="Calibri"/>
          <w:szCs w:val="24"/>
        </w:rPr>
        <w:t xml:space="preserve"> </w:t>
      </w:r>
      <w:r w:rsidR="00D43638" w:rsidRPr="005D53A7">
        <w:rPr>
          <w:rFonts w:ascii="Calibri" w:hAnsi="Calibri" w:cs="Calibri"/>
          <w:szCs w:val="24"/>
        </w:rPr>
        <w:t xml:space="preserve">These </w:t>
      </w:r>
      <w:r w:rsidR="00B6257E" w:rsidRPr="005D53A7">
        <w:rPr>
          <w:rFonts w:ascii="Calibri" w:hAnsi="Calibri" w:cs="Calibri"/>
          <w:szCs w:val="24"/>
        </w:rPr>
        <w:t xml:space="preserve">studies </w:t>
      </w:r>
      <w:r w:rsidR="00C933CF" w:rsidRPr="005D53A7">
        <w:rPr>
          <w:rFonts w:ascii="Calibri" w:hAnsi="Calibri" w:cs="Calibri"/>
          <w:szCs w:val="24"/>
        </w:rPr>
        <w:t>report that most primitive hematopoietic compartment</w:t>
      </w:r>
      <w:r w:rsidR="00D43638">
        <w:rPr>
          <w:rFonts w:ascii="Calibri" w:hAnsi="Calibri" w:cs="Calibri"/>
          <w:szCs w:val="24"/>
        </w:rPr>
        <w:t>s</w:t>
      </w:r>
      <w:r w:rsidR="00C933CF" w:rsidRPr="005D53A7">
        <w:rPr>
          <w:rFonts w:ascii="Calibri" w:hAnsi="Calibri" w:cs="Calibri"/>
          <w:szCs w:val="24"/>
        </w:rPr>
        <w:t xml:space="preserve"> have higher </w:t>
      </w:r>
      <w:r w:rsidR="00796CED" w:rsidRPr="005D53A7">
        <w:rPr>
          <w:rFonts w:ascii="Calibri" w:hAnsi="Calibri" w:cs="Calibri"/>
          <w:szCs w:val="24"/>
        </w:rPr>
        <w:t>number</w:t>
      </w:r>
      <w:r w:rsidR="00D43638">
        <w:rPr>
          <w:rFonts w:ascii="Calibri" w:hAnsi="Calibri" w:cs="Calibri"/>
          <w:szCs w:val="24"/>
        </w:rPr>
        <w:t>s</w:t>
      </w:r>
      <w:r w:rsidR="00C933CF" w:rsidRPr="005D53A7">
        <w:rPr>
          <w:rFonts w:ascii="Calibri" w:hAnsi="Calibri" w:cs="Calibri"/>
          <w:szCs w:val="24"/>
        </w:rPr>
        <w:t xml:space="preserve"> of mitochondria compared to their committed progenitors</w:t>
      </w:r>
      <w:r w:rsidR="00826815" w:rsidRPr="005D53A7">
        <w:rPr>
          <w:rFonts w:ascii="Calibri" w:hAnsi="Calibri" w:cs="Calibri"/>
          <w:noProof/>
          <w:szCs w:val="24"/>
          <w:vertAlign w:val="superscript"/>
        </w:rPr>
        <w:t>20</w:t>
      </w:r>
      <w:r w:rsidR="00C933CF" w:rsidRPr="005D53A7">
        <w:rPr>
          <w:rFonts w:ascii="Calibri" w:hAnsi="Calibri" w:cs="Calibri"/>
          <w:szCs w:val="24"/>
        </w:rPr>
        <w:t>.</w:t>
      </w:r>
      <w:r w:rsidR="006B2198">
        <w:rPr>
          <w:rFonts w:ascii="Calibri" w:hAnsi="Calibri" w:cs="Calibri"/>
          <w:szCs w:val="24"/>
        </w:rPr>
        <w:t xml:space="preserve"> </w:t>
      </w:r>
      <w:r w:rsidR="00C933CF" w:rsidRPr="005D53A7">
        <w:rPr>
          <w:rFonts w:ascii="Calibri" w:hAnsi="Calibri" w:cs="Calibri"/>
          <w:szCs w:val="24"/>
        </w:rPr>
        <w:t xml:space="preserve">In our </w:t>
      </w:r>
      <w:r w:rsidR="00D43638">
        <w:rPr>
          <w:rFonts w:ascii="Calibri" w:hAnsi="Calibri" w:cs="Calibri"/>
          <w:szCs w:val="24"/>
        </w:rPr>
        <w:t>experience,</w:t>
      </w:r>
      <w:r w:rsidR="00D43638" w:rsidRPr="005D53A7">
        <w:rPr>
          <w:rFonts w:ascii="Calibri" w:hAnsi="Calibri" w:cs="Calibri"/>
          <w:szCs w:val="24"/>
        </w:rPr>
        <w:t xml:space="preserve"> </w:t>
      </w:r>
      <w:r w:rsidR="00C933CF" w:rsidRPr="005D53A7">
        <w:rPr>
          <w:rFonts w:ascii="Calibri" w:hAnsi="Calibri" w:cs="Calibri"/>
          <w:szCs w:val="24"/>
        </w:rPr>
        <w:t>the use of mouse genetic model</w:t>
      </w:r>
      <w:r w:rsidR="00D43638">
        <w:rPr>
          <w:rFonts w:ascii="Calibri" w:hAnsi="Calibri" w:cs="Calibri"/>
          <w:szCs w:val="24"/>
        </w:rPr>
        <w:t>s</w:t>
      </w:r>
      <w:r w:rsidR="00C933CF" w:rsidRPr="005D53A7">
        <w:rPr>
          <w:rFonts w:ascii="Calibri" w:hAnsi="Calibri" w:cs="Calibri"/>
          <w:szCs w:val="24"/>
        </w:rPr>
        <w:t xml:space="preserve"> (</w:t>
      </w:r>
      <w:proofErr w:type="spellStart"/>
      <w:r w:rsidR="00C933CF" w:rsidRPr="005D53A7">
        <w:rPr>
          <w:rFonts w:ascii="Calibri" w:hAnsi="Calibri" w:cs="Calibri"/>
          <w:szCs w:val="24"/>
        </w:rPr>
        <w:t>mito</w:t>
      </w:r>
      <w:proofErr w:type="spellEnd"/>
      <w:r w:rsidR="00C933CF" w:rsidRPr="005D53A7">
        <w:rPr>
          <w:rFonts w:ascii="Calibri" w:hAnsi="Calibri" w:cs="Calibri"/>
          <w:szCs w:val="24"/>
        </w:rPr>
        <w:t xml:space="preserve"> </w:t>
      </w:r>
      <w:proofErr w:type="spellStart"/>
      <w:r w:rsidR="00D80655" w:rsidRPr="005D53A7">
        <w:rPr>
          <w:rFonts w:ascii="Calibri" w:hAnsi="Calibri" w:cs="Calibri"/>
          <w:szCs w:val="24"/>
        </w:rPr>
        <w:t>e</w:t>
      </w:r>
      <w:r w:rsidR="00C933CF" w:rsidRPr="005D53A7">
        <w:rPr>
          <w:rFonts w:ascii="Calibri" w:hAnsi="Calibri" w:cs="Calibri"/>
          <w:szCs w:val="24"/>
        </w:rPr>
        <w:t>GFP</w:t>
      </w:r>
      <w:proofErr w:type="spellEnd"/>
      <w:r w:rsidR="00C933CF" w:rsidRPr="005D53A7">
        <w:rPr>
          <w:rFonts w:ascii="Calibri" w:hAnsi="Calibri" w:cs="Calibri"/>
          <w:szCs w:val="24"/>
        </w:rPr>
        <w:t xml:space="preserve"> mice</w:t>
      </w:r>
      <w:r w:rsidR="00826815" w:rsidRPr="005D53A7">
        <w:rPr>
          <w:rFonts w:ascii="Calibri" w:hAnsi="Calibri" w:cs="Calibri"/>
          <w:noProof/>
          <w:szCs w:val="24"/>
          <w:vertAlign w:val="superscript"/>
        </w:rPr>
        <w:t>21</w:t>
      </w:r>
      <w:r w:rsidR="00C933CF" w:rsidRPr="005D53A7">
        <w:rPr>
          <w:rFonts w:ascii="Calibri" w:hAnsi="Calibri" w:cs="Calibri"/>
          <w:szCs w:val="24"/>
        </w:rPr>
        <w:t>), mitochondria dye</w:t>
      </w:r>
      <w:r w:rsidR="002F5F5D" w:rsidRPr="005D53A7">
        <w:rPr>
          <w:rFonts w:ascii="Calibri" w:hAnsi="Calibri" w:cs="Calibri"/>
          <w:szCs w:val="24"/>
        </w:rPr>
        <w:t>-</w:t>
      </w:r>
      <w:r w:rsidR="00C933CF" w:rsidRPr="005D53A7">
        <w:rPr>
          <w:rFonts w:ascii="Calibri" w:hAnsi="Calibri" w:cs="Calibri"/>
          <w:szCs w:val="24"/>
        </w:rPr>
        <w:t>independent staining method</w:t>
      </w:r>
      <w:r w:rsidR="00796CED" w:rsidRPr="005D53A7">
        <w:rPr>
          <w:rFonts w:ascii="Calibri" w:hAnsi="Calibri" w:cs="Calibri"/>
          <w:szCs w:val="24"/>
        </w:rPr>
        <w:t>s</w:t>
      </w:r>
      <w:r w:rsidR="00C933CF" w:rsidRPr="005D53A7">
        <w:rPr>
          <w:rFonts w:ascii="Calibri" w:hAnsi="Calibri" w:cs="Calibri"/>
          <w:szCs w:val="24"/>
        </w:rPr>
        <w:t xml:space="preserve"> (TOM20 antibody), QPCR analysis </w:t>
      </w:r>
      <w:r w:rsidR="00796CED" w:rsidRPr="005D53A7">
        <w:rPr>
          <w:rFonts w:ascii="Calibri" w:hAnsi="Calibri" w:cs="Calibri"/>
          <w:szCs w:val="24"/>
        </w:rPr>
        <w:t>support</w:t>
      </w:r>
      <w:r w:rsidR="00D43638">
        <w:rPr>
          <w:rFonts w:ascii="Calibri" w:hAnsi="Calibri" w:cs="Calibri"/>
          <w:szCs w:val="24"/>
        </w:rPr>
        <w:t>s</w:t>
      </w:r>
      <w:r w:rsidR="00796CED" w:rsidRPr="005D53A7">
        <w:rPr>
          <w:rFonts w:ascii="Calibri" w:hAnsi="Calibri" w:cs="Calibri"/>
          <w:szCs w:val="24"/>
        </w:rPr>
        <w:t xml:space="preserve"> the notion that most primitive hematopoietic compartments have lower mitochondrial content</w:t>
      </w:r>
      <w:r w:rsidR="002F5F5D" w:rsidRPr="005D53A7">
        <w:rPr>
          <w:rFonts w:ascii="Calibri" w:hAnsi="Calibri" w:cs="Calibri"/>
          <w:noProof/>
          <w:szCs w:val="24"/>
          <w:vertAlign w:val="superscript"/>
        </w:rPr>
        <w:t>10</w:t>
      </w:r>
      <w:r w:rsidR="00796CED" w:rsidRPr="005D53A7">
        <w:rPr>
          <w:rFonts w:ascii="Calibri" w:hAnsi="Calibri" w:cs="Calibri"/>
          <w:szCs w:val="24"/>
        </w:rPr>
        <w:t>. We believe that further studies have to be performed in order to clarify this discrepancy</w:t>
      </w:r>
      <w:r w:rsidR="00EC188C" w:rsidRPr="005D53A7">
        <w:rPr>
          <w:rFonts w:ascii="Calibri" w:hAnsi="Calibri" w:cs="Calibri"/>
          <w:szCs w:val="24"/>
        </w:rPr>
        <w:t xml:space="preserve"> in the field</w:t>
      </w:r>
      <w:r w:rsidR="00796CED" w:rsidRPr="005D53A7">
        <w:rPr>
          <w:rFonts w:ascii="Calibri" w:hAnsi="Calibri" w:cs="Calibri"/>
          <w:szCs w:val="24"/>
        </w:rPr>
        <w:t xml:space="preserve">. </w:t>
      </w:r>
    </w:p>
    <w:p w14:paraId="4F08BA0F" w14:textId="77777777" w:rsidR="00686314" w:rsidRPr="005D53A7" w:rsidRDefault="00686314" w:rsidP="005D53A7">
      <w:pPr>
        <w:jc w:val="both"/>
        <w:rPr>
          <w:rFonts w:ascii="Calibri" w:hAnsi="Calibri" w:cs="Calibri"/>
          <w:szCs w:val="24"/>
        </w:rPr>
      </w:pPr>
    </w:p>
    <w:p w14:paraId="4D29CF74" w14:textId="7D761714" w:rsidR="00C17426" w:rsidRDefault="007C635C" w:rsidP="005D53A7">
      <w:pPr>
        <w:jc w:val="both"/>
        <w:rPr>
          <w:rFonts w:ascii="Calibri" w:hAnsi="Calibri" w:cs="Calibri"/>
          <w:szCs w:val="24"/>
        </w:rPr>
      </w:pPr>
      <w:r w:rsidRPr="005D53A7">
        <w:rPr>
          <w:rFonts w:ascii="Calibri" w:hAnsi="Calibri" w:cs="Calibri"/>
          <w:szCs w:val="24"/>
        </w:rPr>
        <w:lastRenderedPageBreak/>
        <w:t>In parallel</w:t>
      </w:r>
      <w:r w:rsidR="00B1457D" w:rsidRPr="005D53A7">
        <w:rPr>
          <w:rFonts w:ascii="Calibri" w:hAnsi="Calibri" w:cs="Calibri"/>
          <w:szCs w:val="24"/>
        </w:rPr>
        <w:t>, we demonstrate that the use of mitochondrial profiling could be exploited to determine the metabolic fitness of human TILs and develop metabolic strategies aimed to restore the function of exhausted T cells.</w:t>
      </w:r>
      <w:r w:rsidR="00C17426" w:rsidRPr="005D53A7">
        <w:rPr>
          <w:rFonts w:ascii="Calibri" w:hAnsi="Calibri" w:cs="Calibri"/>
          <w:szCs w:val="24"/>
        </w:rPr>
        <w:t xml:space="preserve"> </w:t>
      </w:r>
      <w:r w:rsidR="005C0EBC" w:rsidRPr="005D53A7">
        <w:rPr>
          <w:rFonts w:ascii="Calibri" w:hAnsi="Calibri" w:cs="Calibri"/>
          <w:szCs w:val="24"/>
        </w:rPr>
        <w:t xml:space="preserve">In fact, T cells </w:t>
      </w:r>
      <w:r w:rsidR="00280283" w:rsidRPr="005D53A7">
        <w:rPr>
          <w:rFonts w:ascii="Calibri" w:hAnsi="Calibri" w:cs="Calibri"/>
          <w:szCs w:val="24"/>
        </w:rPr>
        <w:t xml:space="preserve">isolated </w:t>
      </w:r>
      <w:r w:rsidR="005C0EBC" w:rsidRPr="005D53A7">
        <w:rPr>
          <w:rFonts w:ascii="Calibri" w:hAnsi="Calibri" w:cs="Calibri"/>
          <w:szCs w:val="24"/>
        </w:rPr>
        <w:t>from PBMCs display lower mitochondrial activity (TMRM) and mass (</w:t>
      </w:r>
      <w:r w:rsidR="005C0EBC" w:rsidRPr="0078328A">
        <w:rPr>
          <w:rFonts w:ascii="Calibri" w:hAnsi="Calibri"/>
        </w:rPr>
        <w:t>Mitotracker</w:t>
      </w:r>
      <w:r w:rsidR="005C0EBC" w:rsidRPr="005D53A7">
        <w:rPr>
          <w:rFonts w:ascii="Calibri" w:hAnsi="Calibri" w:cs="Calibri"/>
          <w:szCs w:val="24"/>
        </w:rPr>
        <w:t xml:space="preserve"> Green), while more exhausted T cells such </w:t>
      </w:r>
      <w:r w:rsidR="00B6257E" w:rsidRPr="005D53A7">
        <w:rPr>
          <w:rFonts w:ascii="Calibri" w:hAnsi="Calibri" w:cs="Calibri"/>
          <w:szCs w:val="24"/>
        </w:rPr>
        <w:t xml:space="preserve">as </w:t>
      </w:r>
      <w:r w:rsidR="005C0EBC" w:rsidRPr="005D53A7">
        <w:rPr>
          <w:rFonts w:ascii="Calibri" w:hAnsi="Calibri" w:cs="Calibri"/>
          <w:szCs w:val="24"/>
        </w:rPr>
        <w:t>TILs have higher mitochondrial activity and mass</w:t>
      </w:r>
      <w:r w:rsidR="00D43638">
        <w:rPr>
          <w:rFonts w:ascii="Calibri" w:hAnsi="Calibri" w:cs="Calibri"/>
          <w:szCs w:val="24"/>
        </w:rPr>
        <w:t>,</w:t>
      </w:r>
      <w:r w:rsidR="005C0EBC" w:rsidRPr="005D53A7">
        <w:rPr>
          <w:rFonts w:ascii="Calibri" w:hAnsi="Calibri" w:cs="Calibri"/>
          <w:szCs w:val="24"/>
        </w:rPr>
        <w:t xml:space="preserve"> suggesting a possible metabolic reprogramming occurring during exhaustion.</w:t>
      </w:r>
      <w:r w:rsidR="00A20289" w:rsidRPr="005D53A7">
        <w:rPr>
          <w:rFonts w:ascii="Calibri" w:hAnsi="Calibri" w:cs="Calibri"/>
          <w:szCs w:val="24"/>
        </w:rPr>
        <w:t xml:space="preserve"> Accordingly, previous published studies have demonstrated that stem cell-like memory T cells (TSCM), T cells with enhanced persistence and capable of long-term recall response, have lower </w:t>
      </w:r>
      <w:r w:rsidR="00627AE6">
        <w:rPr>
          <w:rFonts w:ascii="Calibri" w:hAnsi="Calibri" w:cs="Calibri"/>
          <w:szCs w:val="24"/>
        </w:rPr>
        <w:t>ΔΨ</w:t>
      </w:r>
      <w:r w:rsidR="00A20289" w:rsidRPr="005D53A7">
        <w:rPr>
          <w:rFonts w:ascii="Calibri" w:hAnsi="Calibri" w:cs="Calibri"/>
          <w:szCs w:val="24"/>
        </w:rPr>
        <w:t>m and treatments targeting T cell metabolism can strongly influence their function</w:t>
      </w:r>
      <w:r w:rsidR="00826815" w:rsidRPr="005D53A7">
        <w:rPr>
          <w:rFonts w:ascii="Calibri" w:hAnsi="Calibri" w:cs="Calibri"/>
          <w:noProof/>
          <w:szCs w:val="24"/>
          <w:vertAlign w:val="superscript"/>
        </w:rPr>
        <w:t>22,23</w:t>
      </w:r>
      <w:r w:rsidR="00A20289" w:rsidRPr="005D53A7">
        <w:rPr>
          <w:rFonts w:ascii="Calibri" w:hAnsi="Calibri" w:cs="Calibri"/>
          <w:szCs w:val="24"/>
        </w:rPr>
        <w:t xml:space="preserve">. </w:t>
      </w:r>
    </w:p>
    <w:p w14:paraId="3D86F6CE" w14:textId="77777777" w:rsidR="00686314" w:rsidRPr="005D53A7" w:rsidRDefault="00686314" w:rsidP="005D53A7">
      <w:pPr>
        <w:jc w:val="both"/>
        <w:rPr>
          <w:rFonts w:ascii="Calibri" w:hAnsi="Calibri" w:cs="Calibri"/>
          <w:szCs w:val="24"/>
        </w:rPr>
      </w:pPr>
    </w:p>
    <w:p w14:paraId="0DCFB50A" w14:textId="3E8EB05C" w:rsidR="002126C3" w:rsidRPr="005D53A7" w:rsidRDefault="00DB747D" w:rsidP="005D53A7">
      <w:pPr>
        <w:jc w:val="both"/>
        <w:rPr>
          <w:rFonts w:ascii="Calibri" w:hAnsi="Calibri" w:cs="Calibri"/>
          <w:szCs w:val="24"/>
        </w:rPr>
      </w:pPr>
      <w:r w:rsidRPr="005D53A7">
        <w:rPr>
          <w:rFonts w:ascii="Calibri" w:hAnsi="Calibri" w:cs="Calibri"/>
          <w:szCs w:val="24"/>
        </w:rPr>
        <w:t>Finally</w:t>
      </w:r>
      <w:r w:rsidR="001F433F" w:rsidRPr="005D53A7">
        <w:rPr>
          <w:rFonts w:ascii="Calibri" w:hAnsi="Calibri" w:cs="Calibri"/>
          <w:szCs w:val="24"/>
        </w:rPr>
        <w:t xml:space="preserve">, we believe </w:t>
      </w:r>
      <w:r w:rsidRPr="005D53A7">
        <w:rPr>
          <w:rFonts w:ascii="Calibri" w:hAnsi="Calibri" w:cs="Calibri"/>
          <w:szCs w:val="24"/>
        </w:rPr>
        <w:t>that our approach could be</w:t>
      </w:r>
      <w:r w:rsidR="001F433F" w:rsidRPr="005D53A7">
        <w:rPr>
          <w:rFonts w:ascii="Calibri" w:hAnsi="Calibri" w:cs="Calibri"/>
          <w:szCs w:val="24"/>
        </w:rPr>
        <w:t xml:space="preserve"> a valuable tool </w:t>
      </w:r>
      <w:r w:rsidRPr="005D53A7">
        <w:rPr>
          <w:rFonts w:ascii="Calibri" w:hAnsi="Calibri" w:cs="Calibri"/>
          <w:szCs w:val="24"/>
        </w:rPr>
        <w:t>for the identification</w:t>
      </w:r>
      <w:r w:rsidR="003B56A7" w:rsidRPr="005D53A7">
        <w:rPr>
          <w:rFonts w:ascii="Calibri" w:hAnsi="Calibri" w:cs="Calibri"/>
          <w:szCs w:val="24"/>
        </w:rPr>
        <w:t xml:space="preserve"> </w:t>
      </w:r>
      <w:r w:rsidRPr="005D53A7">
        <w:rPr>
          <w:rFonts w:ascii="Calibri" w:hAnsi="Calibri" w:cs="Calibri"/>
          <w:szCs w:val="24"/>
        </w:rPr>
        <w:t xml:space="preserve">of </w:t>
      </w:r>
      <w:r w:rsidR="003B56A7" w:rsidRPr="005D53A7">
        <w:rPr>
          <w:rFonts w:ascii="Calibri" w:hAnsi="Calibri" w:cs="Calibri"/>
          <w:szCs w:val="24"/>
        </w:rPr>
        <w:t xml:space="preserve">novel </w:t>
      </w:r>
      <w:r w:rsidR="001F433F" w:rsidRPr="005D53A7">
        <w:rPr>
          <w:rFonts w:ascii="Calibri" w:hAnsi="Calibri" w:cs="Calibri"/>
          <w:szCs w:val="24"/>
        </w:rPr>
        <w:t xml:space="preserve">compounds that can repair </w:t>
      </w:r>
      <w:r w:rsidR="003B56A7" w:rsidRPr="005D53A7">
        <w:rPr>
          <w:rFonts w:ascii="Calibri" w:hAnsi="Calibri" w:cs="Calibri"/>
          <w:szCs w:val="24"/>
        </w:rPr>
        <w:t>dysfunctional HSCs (</w:t>
      </w:r>
      <w:r w:rsidR="00D43638">
        <w:rPr>
          <w:rFonts w:ascii="Calibri" w:hAnsi="Calibri" w:cs="Calibri"/>
          <w:szCs w:val="24"/>
        </w:rPr>
        <w:t>e.g.,</w:t>
      </w:r>
      <w:r w:rsidR="003B56A7" w:rsidRPr="005D53A7">
        <w:rPr>
          <w:rFonts w:ascii="Calibri" w:hAnsi="Calibri" w:cs="Calibri"/>
          <w:szCs w:val="24"/>
        </w:rPr>
        <w:t xml:space="preserve"> aging or hematological malignancies) </w:t>
      </w:r>
      <w:r w:rsidR="001F433F" w:rsidRPr="005D53A7">
        <w:rPr>
          <w:rFonts w:ascii="Calibri" w:hAnsi="Calibri" w:cs="Calibri"/>
          <w:szCs w:val="24"/>
        </w:rPr>
        <w:t xml:space="preserve">by restoring their mitochondrial </w:t>
      </w:r>
      <w:r w:rsidR="000342D5" w:rsidRPr="005D53A7">
        <w:rPr>
          <w:rFonts w:ascii="Calibri" w:hAnsi="Calibri" w:cs="Calibri"/>
          <w:szCs w:val="24"/>
        </w:rPr>
        <w:t>fitness</w:t>
      </w:r>
      <w:r w:rsidR="001F433F" w:rsidRPr="005D53A7">
        <w:rPr>
          <w:rFonts w:ascii="Calibri" w:hAnsi="Calibri" w:cs="Calibri"/>
          <w:szCs w:val="24"/>
        </w:rPr>
        <w:t>.</w:t>
      </w:r>
    </w:p>
    <w:p w14:paraId="28E2EA00" w14:textId="77777777" w:rsidR="004C1544" w:rsidRPr="005D53A7" w:rsidRDefault="004C1544" w:rsidP="005D53A7">
      <w:pPr>
        <w:jc w:val="both"/>
        <w:rPr>
          <w:rFonts w:ascii="Calibri" w:hAnsi="Calibri" w:cs="Calibri"/>
          <w:b/>
          <w:bCs/>
          <w:szCs w:val="24"/>
        </w:rPr>
      </w:pPr>
    </w:p>
    <w:p w14:paraId="2437D5EC" w14:textId="7F699732" w:rsidR="004C1544" w:rsidRPr="005D53A7" w:rsidRDefault="00144B7F" w:rsidP="005D53A7">
      <w:pPr>
        <w:jc w:val="both"/>
        <w:rPr>
          <w:rFonts w:ascii="Calibri" w:hAnsi="Calibri" w:cs="Calibri"/>
          <w:b/>
          <w:bCs/>
          <w:szCs w:val="24"/>
        </w:rPr>
      </w:pPr>
      <w:r w:rsidRPr="005D53A7">
        <w:rPr>
          <w:rFonts w:ascii="Calibri" w:hAnsi="Calibri" w:cs="Calibri"/>
          <w:b/>
          <w:bCs/>
          <w:szCs w:val="24"/>
        </w:rPr>
        <w:t>ACKNOWLEDGEMENT:</w:t>
      </w:r>
    </w:p>
    <w:p w14:paraId="494637EA" w14:textId="4FADEBA4" w:rsidR="002B3AC0" w:rsidRPr="005D53A7" w:rsidRDefault="00A57CCD" w:rsidP="005D53A7">
      <w:pPr>
        <w:jc w:val="both"/>
        <w:rPr>
          <w:rFonts w:ascii="Calibri" w:hAnsi="Calibri" w:cs="Calibri"/>
          <w:bCs/>
          <w:szCs w:val="24"/>
        </w:rPr>
      </w:pPr>
      <w:r w:rsidRPr="005D53A7">
        <w:rPr>
          <w:rFonts w:ascii="Calibri" w:hAnsi="Calibri" w:cs="Calibri"/>
          <w:szCs w:val="24"/>
        </w:rPr>
        <w:t xml:space="preserve">We thank </w:t>
      </w:r>
      <w:r w:rsidR="00E64365" w:rsidRPr="005D53A7">
        <w:rPr>
          <w:rFonts w:ascii="Calibri" w:hAnsi="Calibri" w:cs="Calibri"/>
          <w:szCs w:val="24"/>
        </w:rPr>
        <w:t>the UNIL</w:t>
      </w:r>
      <w:r w:rsidRPr="005D53A7">
        <w:rPr>
          <w:rFonts w:ascii="Calibri" w:hAnsi="Calibri" w:cs="Calibri"/>
          <w:szCs w:val="24"/>
        </w:rPr>
        <w:t xml:space="preserve"> Flow Cytometry Core Facility </w:t>
      </w:r>
      <w:r w:rsidR="00D56C61" w:rsidRPr="005D53A7">
        <w:rPr>
          <w:rFonts w:ascii="Calibri" w:hAnsi="Calibri" w:cs="Calibri"/>
          <w:szCs w:val="24"/>
        </w:rPr>
        <w:t>for their support especially</w:t>
      </w:r>
      <w:r w:rsidR="00E64365" w:rsidRPr="005D53A7">
        <w:rPr>
          <w:rFonts w:ascii="Calibri" w:hAnsi="Calibri" w:cs="Calibri"/>
          <w:szCs w:val="24"/>
        </w:rPr>
        <w:t xml:space="preserve"> </w:t>
      </w:r>
      <w:r w:rsidR="00D56C61" w:rsidRPr="005D53A7">
        <w:rPr>
          <w:rFonts w:ascii="Calibri" w:hAnsi="Calibri" w:cs="Calibri"/>
          <w:szCs w:val="24"/>
        </w:rPr>
        <w:t xml:space="preserve">Dr. </w:t>
      </w:r>
      <w:r w:rsidR="00E64365" w:rsidRPr="005D53A7">
        <w:rPr>
          <w:rFonts w:ascii="Calibri" w:hAnsi="Calibri" w:cs="Calibri"/>
          <w:szCs w:val="24"/>
        </w:rPr>
        <w:t>Romain</w:t>
      </w:r>
      <w:r w:rsidR="00D10A3D" w:rsidRPr="005D53A7">
        <w:rPr>
          <w:rFonts w:ascii="Calibri" w:hAnsi="Calibri" w:cs="Calibri"/>
          <w:szCs w:val="24"/>
        </w:rPr>
        <w:t xml:space="preserve"> Bedel</w:t>
      </w:r>
      <w:r w:rsidR="00E64365" w:rsidRPr="005D53A7">
        <w:rPr>
          <w:rFonts w:ascii="Calibri" w:hAnsi="Calibri" w:cs="Calibri"/>
          <w:szCs w:val="24"/>
        </w:rPr>
        <w:t xml:space="preserve">. </w:t>
      </w:r>
      <w:r w:rsidR="00D56C61" w:rsidRPr="005D53A7">
        <w:rPr>
          <w:rFonts w:ascii="Calibri" w:hAnsi="Calibri" w:cs="Calibri"/>
          <w:szCs w:val="24"/>
        </w:rPr>
        <w:t xml:space="preserve">This work was supported by </w:t>
      </w:r>
      <w:r w:rsidR="002B3AC0" w:rsidRPr="005D53A7">
        <w:rPr>
          <w:rFonts w:ascii="Calibri" w:hAnsi="Calibri" w:cs="Calibri"/>
          <w:bCs/>
          <w:szCs w:val="24"/>
        </w:rPr>
        <w:t xml:space="preserve">the </w:t>
      </w:r>
      <w:r w:rsidR="00626D0B" w:rsidRPr="005D53A7">
        <w:rPr>
          <w:rFonts w:ascii="Calibri" w:hAnsi="Calibri" w:cs="Calibri"/>
          <w:szCs w:val="24"/>
        </w:rPr>
        <w:t xml:space="preserve">Kristian Gerhard </w:t>
      </w:r>
      <w:proofErr w:type="spellStart"/>
      <w:r w:rsidR="00626D0B" w:rsidRPr="005D53A7">
        <w:rPr>
          <w:rFonts w:ascii="Calibri" w:hAnsi="Calibri" w:cs="Calibri"/>
          <w:szCs w:val="24"/>
        </w:rPr>
        <w:t>Jebsen</w:t>
      </w:r>
      <w:proofErr w:type="spellEnd"/>
      <w:r w:rsidR="00626D0B" w:rsidRPr="005D53A7">
        <w:rPr>
          <w:rFonts w:ascii="Calibri" w:hAnsi="Calibri" w:cs="Calibri"/>
          <w:szCs w:val="24"/>
        </w:rPr>
        <w:t xml:space="preserve"> </w:t>
      </w:r>
      <w:r w:rsidR="002B3AC0" w:rsidRPr="005D53A7">
        <w:rPr>
          <w:rFonts w:ascii="Calibri" w:hAnsi="Calibri" w:cs="Calibri"/>
          <w:szCs w:val="24"/>
        </w:rPr>
        <w:t>foundation</w:t>
      </w:r>
      <w:r w:rsidR="00D56C61" w:rsidRPr="005D53A7">
        <w:rPr>
          <w:rFonts w:ascii="Calibri" w:hAnsi="Calibri" w:cs="Calibri"/>
          <w:szCs w:val="24"/>
        </w:rPr>
        <w:t xml:space="preserve"> grant to N.V and O.N</w:t>
      </w:r>
      <w:r w:rsidR="002B3AC0" w:rsidRPr="005D53A7">
        <w:rPr>
          <w:rFonts w:ascii="Calibri" w:hAnsi="Calibri" w:cs="Calibri"/>
          <w:szCs w:val="24"/>
        </w:rPr>
        <w:t>.</w:t>
      </w:r>
    </w:p>
    <w:p w14:paraId="0D1682FF" w14:textId="77777777" w:rsidR="004C1544" w:rsidRPr="005D53A7" w:rsidRDefault="004C1544" w:rsidP="005D53A7">
      <w:pPr>
        <w:jc w:val="both"/>
        <w:rPr>
          <w:rFonts w:ascii="Calibri" w:hAnsi="Calibri" w:cs="Calibri"/>
          <w:b/>
          <w:bCs/>
          <w:szCs w:val="24"/>
        </w:rPr>
      </w:pPr>
    </w:p>
    <w:p w14:paraId="33AC3652" w14:textId="7DCB71BC" w:rsidR="004C1544" w:rsidRPr="005D53A7" w:rsidRDefault="00144B7F" w:rsidP="005D53A7">
      <w:pPr>
        <w:jc w:val="both"/>
        <w:rPr>
          <w:rFonts w:ascii="Calibri" w:hAnsi="Calibri" w:cs="Calibri"/>
          <w:b/>
          <w:bCs/>
          <w:szCs w:val="24"/>
        </w:rPr>
      </w:pPr>
      <w:r w:rsidRPr="005D53A7">
        <w:rPr>
          <w:rFonts w:ascii="Calibri" w:hAnsi="Calibri" w:cs="Calibri"/>
          <w:b/>
          <w:bCs/>
          <w:szCs w:val="24"/>
        </w:rPr>
        <w:t xml:space="preserve">DISCLOSURE: </w:t>
      </w:r>
      <w:r w:rsidR="002B3AC0" w:rsidRPr="005D53A7">
        <w:rPr>
          <w:rFonts w:ascii="Calibri" w:hAnsi="Calibri" w:cs="Calibri"/>
          <w:szCs w:val="24"/>
        </w:rPr>
        <w:t>Some elements of this work have been submitted as application P1828EP00 to the European Patent Office.</w:t>
      </w:r>
    </w:p>
    <w:p w14:paraId="21935F11" w14:textId="77777777" w:rsidR="00B30962" w:rsidRPr="005D53A7" w:rsidRDefault="00B30962" w:rsidP="005D53A7">
      <w:pPr>
        <w:jc w:val="both"/>
        <w:rPr>
          <w:rFonts w:ascii="Calibri" w:hAnsi="Calibri" w:cs="Calibri"/>
          <w:b/>
          <w:bCs/>
          <w:szCs w:val="24"/>
        </w:rPr>
      </w:pPr>
    </w:p>
    <w:p w14:paraId="2A7D151F" w14:textId="03109AFC" w:rsidR="00F7048D" w:rsidRPr="005D53A7" w:rsidRDefault="00B30962" w:rsidP="005D53A7">
      <w:pPr>
        <w:jc w:val="both"/>
        <w:rPr>
          <w:rFonts w:ascii="Calibri" w:hAnsi="Calibri" w:cs="Calibri"/>
          <w:b/>
          <w:bCs/>
          <w:szCs w:val="24"/>
        </w:rPr>
      </w:pPr>
      <w:r w:rsidRPr="005D53A7">
        <w:rPr>
          <w:rFonts w:ascii="Calibri" w:hAnsi="Calibri" w:cs="Calibri"/>
          <w:b/>
          <w:bCs/>
          <w:szCs w:val="24"/>
        </w:rPr>
        <w:t>REFERENCES:</w:t>
      </w:r>
    </w:p>
    <w:p w14:paraId="3784D838" w14:textId="4C259CB3" w:rsidR="00826815" w:rsidRPr="00B70634" w:rsidRDefault="00826815" w:rsidP="00045C71">
      <w:pPr>
        <w:pStyle w:val="EndNoteBibliography"/>
        <w:numPr>
          <w:ilvl w:val="0"/>
          <w:numId w:val="15"/>
        </w:numPr>
        <w:ind w:left="0" w:firstLine="0"/>
        <w:rPr>
          <w:noProof/>
        </w:rPr>
      </w:pPr>
      <w:r w:rsidRPr="005D53A7">
        <w:rPr>
          <w:noProof/>
        </w:rPr>
        <w:t>Busch, K.</w:t>
      </w:r>
      <w:r w:rsidRPr="005D53A7">
        <w:rPr>
          <w:i/>
          <w:noProof/>
        </w:rPr>
        <w:t xml:space="preserve"> </w:t>
      </w:r>
      <w:r w:rsidR="00B70634" w:rsidRPr="00B70634">
        <w:rPr>
          <w:noProof/>
        </w:rPr>
        <w:t>et al.</w:t>
      </w:r>
      <w:r w:rsidRPr="005D53A7">
        <w:rPr>
          <w:noProof/>
        </w:rPr>
        <w:t xml:space="preserve"> Fundamental properties of unperturbed </w:t>
      </w:r>
      <w:r w:rsidRPr="00B70634">
        <w:rPr>
          <w:noProof/>
        </w:rPr>
        <w:t xml:space="preserve">haematopoiesis from stem cells in vivo. </w:t>
      </w:r>
      <w:r w:rsidRPr="00B70634">
        <w:rPr>
          <w:i/>
          <w:noProof/>
        </w:rPr>
        <w:t>Nature.</w:t>
      </w:r>
      <w:r w:rsidRPr="00B70634">
        <w:rPr>
          <w:noProof/>
        </w:rPr>
        <w:t xml:space="preserve"> </w:t>
      </w:r>
      <w:r w:rsidRPr="00B70634">
        <w:rPr>
          <w:b/>
          <w:noProof/>
        </w:rPr>
        <w:t>518</w:t>
      </w:r>
      <w:r w:rsidRPr="00B70634">
        <w:rPr>
          <w:noProof/>
        </w:rPr>
        <w:t xml:space="preserve"> (7540), 542</w:t>
      </w:r>
      <w:r w:rsidR="00B70634">
        <w:rPr>
          <w:noProof/>
        </w:rPr>
        <w:t>–</w:t>
      </w:r>
      <w:r w:rsidRPr="00B70634">
        <w:rPr>
          <w:noProof/>
        </w:rPr>
        <w:t>546</w:t>
      </w:r>
      <w:r w:rsidR="00B70634">
        <w:rPr>
          <w:noProof/>
        </w:rPr>
        <w:t xml:space="preserve"> (</w:t>
      </w:r>
      <w:r w:rsidRPr="00B70634">
        <w:rPr>
          <w:noProof/>
        </w:rPr>
        <w:t>2015).</w:t>
      </w:r>
    </w:p>
    <w:p w14:paraId="7B0682CC" w14:textId="3D18B8C7" w:rsidR="00826815" w:rsidRPr="00B70634" w:rsidRDefault="00826815" w:rsidP="00045C71">
      <w:pPr>
        <w:pStyle w:val="EndNoteBibliography"/>
        <w:numPr>
          <w:ilvl w:val="0"/>
          <w:numId w:val="15"/>
        </w:numPr>
        <w:ind w:left="0" w:firstLine="0"/>
        <w:rPr>
          <w:noProof/>
        </w:rPr>
      </w:pPr>
      <w:r w:rsidRPr="00B70634">
        <w:rPr>
          <w:noProof/>
        </w:rPr>
        <w:t>Simsek, T.</w:t>
      </w:r>
      <w:r w:rsidRPr="00B70634">
        <w:rPr>
          <w:i/>
          <w:noProof/>
        </w:rPr>
        <w:t xml:space="preserve"> </w:t>
      </w:r>
      <w:r w:rsidR="00B70634" w:rsidRPr="00B70634">
        <w:rPr>
          <w:noProof/>
        </w:rPr>
        <w:t>et al.</w:t>
      </w:r>
      <w:r w:rsidRPr="00B70634">
        <w:rPr>
          <w:noProof/>
        </w:rPr>
        <w:t xml:space="preserve"> The distinct metabolic profile of hematopoietic stem cells reflects their location in a hypoxic niche. </w:t>
      </w:r>
      <w:r w:rsidRPr="00B70634">
        <w:rPr>
          <w:i/>
          <w:noProof/>
        </w:rPr>
        <w:t>Cell Stem Cell.</w:t>
      </w:r>
      <w:r w:rsidRPr="00B70634">
        <w:rPr>
          <w:noProof/>
        </w:rPr>
        <w:t xml:space="preserve"> </w:t>
      </w:r>
      <w:r w:rsidRPr="00B70634">
        <w:rPr>
          <w:b/>
          <w:noProof/>
        </w:rPr>
        <w:t>7</w:t>
      </w:r>
      <w:r w:rsidRPr="00B70634">
        <w:rPr>
          <w:noProof/>
        </w:rPr>
        <w:t xml:space="preserve"> (3), 380</w:t>
      </w:r>
      <w:r w:rsidR="00B70634">
        <w:rPr>
          <w:noProof/>
        </w:rPr>
        <w:t>–</w:t>
      </w:r>
      <w:r w:rsidRPr="00B70634">
        <w:rPr>
          <w:noProof/>
        </w:rPr>
        <w:t>390</w:t>
      </w:r>
      <w:r w:rsidR="00B70634">
        <w:rPr>
          <w:noProof/>
        </w:rPr>
        <w:t xml:space="preserve"> (</w:t>
      </w:r>
      <w:r w:rsidRPr="00B70634">
        <w:rPr>
          <w:noProof/>
        </w:rPr>
        <w:t>2010).</w:t>
      </w:r>
    </w:p>
    <w:p w14:paraId="683B3B6B" w14:textId="27C28B1A" w:rsidR="00826815" w:rsidRPr="00B70634" w:rsidRDefault="00826815" w:rsidP="00045C71">
      <w:pPr>
        <w:pStyle w:val="EndNoteBibliography"/>
        <w:numPr>
          <w:ilvl w:val="0"/>
          <w:numId w:val="15"/>
        </w:numPr>
        <w:ind w:left="0" w:firstLine="0"/>
        <w:rPr>
          <w:noProof/>
        </w:rPr>
      </w:pPr>
      <w:r w:rsidRPr="00B70634">
        <w:rPr>
          <w:noProof/>
        </w:rPr>
        <w:t>Takubo, K.</w:t>
      </w:r>
      <w:r w:rsidRPr="00B70634">
        <w:rPr>
          <w:i/>
          <w:noProof/>
        </w:rPr>
        <w:t xml:space="preserve"> </w:t>
      </w:r>
      <w:r w:rsidR="00B70634" w:rsidRPr="00B70634">
        <w:rPr>
          <w:noProof/>
        </w:rPr>
        <w:t>et al.</w:t>
      </w:r>
      <w:r w:rsidRPr="00B70634">
        <w:rPr>
          <w:noProof/>
        </w:rPr>
        <w:t xml:space="preserve"> Regulation of glycolysis by Pdk functions as a metabolic checkpoint for cell cycle quiescence in hematopoietic stem cells. </w:t>
      </w:r>
      <w:r w:rsidRPr="00B70634">
        <w:rPr>
          <w:i/>
          <w:noProof/>
        </w:rPr>
        <w:t>Cell Stem Cell.</w:t>
      </w:r>
      <w:r w:rsidRPr="00B70634">
        <w:rPr>
          <w:noProof/>
        </w:rPr>
        <w:t xml:space="preserve"> </w:t>
      </w:r>
      <w:r w:rsidRPr="00B70634">
        <w:rPr>
          <w:b/>
          <w:noProof/>
        </w:rPr>
        <w:t>12</w:t>
      </w:r>
      <w:r w:rsidRPr="00B70634">
        <w:rPr>
          <w:noProof/>
        </w:rPr>
        <w:t xml:space="preserve"> (1), 49</w:t>
      </w:r>
      <w:r w:rsidR="00B70634">
        <w:rPr>
          <w:noProof/>
        </w:rPr>
        <w:t>–</w:t>
      </w:r>
      <w:r w:rsidRPr="00B70634">
        <w:rPr>
          <w:noProof/>
        </w:rPr>
        <w:t>61</w:t>
      </w:r>
      <w:r w:rsidR="00B70634">
        <w:rPr>
          <w:noProof/>
        </w:rPr>
        <w:t xml:space="preserve"> (</w:t>
      </w:r>
      <w:r w:rsidRPr="00B70634">
        <w:rPr>
          <w:noProof/>
        </w:rPr>
        <w:t>2013).</w:t>
      </w:r>
    </w:p>
    <w:p w14:paraId="6162F91F" w14:textId="77AFA86C" w:rsidR="00826815" w:rsidRPr="00B70634" w:rsidRDefault="00826815" w:rsidP="00045C71">
      <w:pPr>
        <w:pStyle w:val="EndNoteBibliography"/>
        <w:numPr>
          <w:ilvl w:val="0"/>
          <w:numId w:val="15"/>
        </w:numPr>
        <w:ind w:left="0" w:firstLine="0"/>
        <w:rPr>
          <w:noProof/>
        </w:rPr>
      </w:pPr>
      <w:r w:rsidRPr="00B70634">
        <w:rPr>
          <w:noProof/>
        </w:rPr>
        <w:t>Yu, W. M.</w:t>
      </w:r>
      <w:r w:rsidRPr="00B70634">
        <w:rPr>
          <w:i/>
          <w:noProof/>
        </w:rPr>
        <w:t xml:space="preserve"> </w:t>
      </w:r>
      <w:r w:rsidR="00B70634" w:rsidRPr="00B70634">
        <w:rPr>
          <w:noProof/>
        </w:rPr>
        <w:t>et al.</w:t>
      </w:r>
      <w:r w:rsidRPr="00B70634">
        <w:rPr>
          <w:noProof/>
        </w:rPr>
        <w:t xml:space="preserve"> Metabolic regulation by the mitochondrial phosphatase PTPMT1 is required for hematopoietic stem cell differentiation. </w:t>
      </w:r>
      <w:r w:rsidRPr="00B70634">
        <w:rPr>
          <w:i/>
          <w:noProof/>
        </w:rPr>
        <w:t>Cell Stem Cell.</w:t>
      </w:r>
      <w:r w:rsidRPr="00B70634">
        <w:rPr>
          <w:noProof/>
        </w:rPr>
        <w:t xml:space="preserve"> </w:t>
      </w:r>
      <w:r w:rsidRPr="00B70634">
        <w:rPr>
          <w:b/>
          <w:noProof/>
        </w:rPr>
        <w:t>12</w:t>
      </w:r>
      <w:r w:rsidRPr="00B70634">
        <w:rPr>
          <w:noProof/>
        </w:rPr>
        <w:t xml:space="preserve"> (1), 62</w:t>
      </w:r>
      <w:r w:rsidR="00B70634">
        <w:rPr>
          <w:noProof/>
        </w:rPr>
        <w:t>–</w:t>
      </w:r>
      <w:r w:rsidRPr="00B70634">
        <w:rPr>
          <w:noProof/>
        </w:rPr>
        <w:t>74</w:t>
      </w:r>
      <w:r w:rsidR="00B70634">
        <w:rPr>
          <w:noProof/>
        </w:rPr>
        <w:t xml:space="preserve"> (</w:t>
      </w:r>
      <w:r w:rsidRPr="00B70634">
        <w:rPr>
          <w:noProof/>
        </w:rPr>
        <w:t>2013).</w:t>
      </w:r>
    </w:p>
    <w:p w14:paraId="5C70D158" w14:textId="34CAA014" w:rsidR="00826815" w:rsidRPr="00B70634" w:rsidRDefault="00826815" w:rsidP="00045C71">
      <w:pPr>
        <w:pStyle w:val="EndNoteBibliography"/>
        <w:numPr>
          <w:ilvl w:val="0"/>
          <w:numId w:val="15"/>
        </w:numPr>
        <w:ind w:left="0" w:firstLine="0"/>
        <w:rPr>
          <w:noProof/>
        </w:rPr>
      </w:pPr>
      <w:r w:rsidRPr="00B70634">
        <w:rPr>
          <w:noProof/>
        </w:rPr>
        <w:t>Chen, C.</w:t>
      </w:r>
      <w:r w:rsidRPr="00B70634">
        <w:rPr>
          <w:i/>
          <w:noProof/>
        </w:rPr>
        <w:t xml:space="preserve"> </w:t>
      </w:r>
      <w:r w:rsidR="00B70634" w:rsidRPr="00B70634">
        <w:rPr>
          <w:noProof/>
        </w:rPr>
        <w:t>et al.</w:t>
      </w:r>
      <w:r w:rsidRPr="00B70634">
        <w:rPr>
          <w:noProof/>
        </w:rPr>
        <w:t xml:space="preserve"> TSC-mTOR maintains quiescence and function of hematopoietic stem cells by repressing mitochondrial biogenesis and reactive oxygen species. </w:t>
      </w:r>
      <w:r w:rsidRPr="00B70634">
        <w:rPr>
          <w:i/>
          <w:noProof/>
        </w:rPr>
        <w:t>J</w:t>
      </w:r>
      <w:r w:rsidR="00BC191E">
        <w:rPr>
          <w:i/>
          <w:noProof/>
        </w:rPr>
        <w:t>ournal of</w:t>
      </w:r>
      <w:r w:rsidRPr="00B70634">
        <w:rPr>
          <w:i/>
          <w:noProof/>
        </w:rPr>
        <w:t xml:space="preserve"> Exp</w:t>
      </w:r>
      <w:r w:rsidR="00BC191E">
        <w:rPr>
          <w:i/>
          <w:noProof/>
        </w:rPr>
        <w:t>erimental</w:t>
      </w:r>
      <w:r w:rsidRPr="00B70634">
        <w:rPr>
          <w:i/>
          <w:noProof/>
        </w:rPr>
        <w:t xml:space="preserve"> Med</w:t>
      </w:r>
      <w:r w:rsidR="00BC191E">
        <w:rPr>
          <w:i/>
          <w:noProof/>
        </w:rPr>
        <w:t>icine</w:t>
      </w:r>
      <w:r w:rsidRPr="00B70634">
        <w:rPr>
          <w:i/>
          <w:noProof/>
        </w:rPr>
        <w:t>.</w:t>
      </w:r>
      <w:r w:rsidRPr="00B70634">
        <w:rPr>
          <w:noProof/>
        </w:rPr>
        <w:t xml:space="preserve"> </w:t>
      </w:r>
      <w:r w:rsidRPr="00B70634">
        <w:rPr>
          <w:b/>
          <w:noProof/>
        </w:rPr>
        <w:t>205</w:t>
      </w:r>
      <w:r w:rsidRPr="00B70634">
        <w:rPr>
          <w:noProof/>
        </w:rPr>
        <w:t xml:space="preserve"> (10), 2397</w:t>
      </w:r>
      <w:r w:rsidR="00B70634">
        <w:rPr>
          <w:noProof/>
        </w:rPr>
        <w:t>–</w:t>
      </w:r>
      <w:r w:rsidRPr="00B70634">
        <w:rPr>
          <w:noProof/>
        </w:rPr>
        <w:t>2408</w:t>
      </w:r>
      <w:r w:rsidR="00B70634">
        <w:rPr>
          <w:noProof/>
        </w:rPr>
        <w:t xml:space="preserve"> (</w:t>
      </w:r>
      <w:r w:rsidRPr="00B70634">
        <w:rPr>
          <w:noProof/>
        </w:rPr>
        <w:t>2008).</w:t>
      </w:r>
    </w:p>
    <w:p w14:paraId="166CCA30" w14:textId="40F1651D" w:rsidR="00826815" w:rsidRPr="00B70634" w:rsidRDefault="00826815" w:rsidP="00045C71">
      <w:pPr>
        <w:pStyle w:val="EndNoteBibliography"/>
        <w:numPr>
          <w:ilvl w:val="0"/>
          <w:numId w:val="15"/>
        </w:numPr>
        <w:ind w:left="0" w:firstLine="0"/>
        <w:rPr>
          <w:noProof/>
        </w:rPr>
      </w:pPr>
      <w:r w:rsidRPr="00B70634">
        <w:rPr>
          <w:noProof/>
        </w:rPr>
        <w:t>Ito, K.</w:t>
      </w:r>
      <w:r w:rsidRPr="00B70634">
        <w:rPr>
          <w:i/>
          <w:noProof/>
        </w:rPr>
        <w:t xml:space="preserve"> </w:t>
      </w:r>
      <w:r w:rsidR="00B70634" w:rsidRPr="00B70634">
        <w:rPr>
          <w:noProof/>
        </w:rPr>
        <w:t>et al.</w:t>
      </w:r>
      <w:r w:rsidRPr="00B70634">
        <w:rPr>
          <w:noProof/>
        </w:rPr>
        <w:t xml:space="preserve"> Regulation of oxidative stress by ATM is required for self-renewal of haematopoietic stem cells. </w:t>
      </w:r>
      <w:r w:rsidRPr="00B70634">
        <w:rPr>
          <w:i/>
          <w:noProof/>
        </w:rPr>
        <w:t>Nature.</w:t>
      </w:r>
      <w:r w:rsidRPr="00B70634">
        <w:rPr>
          <w:noProof/>
        </w:rPr>
        <w:t xml:space="preserve"> </w:t>
      </w:r>
      <w:r w:rsidRPr="00B70634">
        <w:rPr>
          <w:b/>
          <w:noProof/>
        </w:rPr>
        <w:t>431</w:t>
      </w:r>
      <w:r w:rsidRPr="00B70634">
        <w:rPr>
          <w:noProof/>
        </w:rPr>
        <w:t xml:space="preserve"> (7011), 997</w:t>
      </w:r>
      <w:r w:rsidR="00B70634">
        <w:rPr>
          <w:noProof/>
        </w:rPr>
        <w:t>–</w:t>
      </w:r>
      <w:r w:rsidRPr="00B70634">
        <w:rPr>
          <w:noProof/>
        </w:rPr>
        <w:t>1002</w:t>
      </w:r>
      <w:r w:rsidR="00B70634">
        <w:rPr>
          <w:noProof/>
        </w:rPr>
        <w:t xml:space="preserve"> (</w:t>
      </w:r>
      <w:r w:rsidRPr="00B70634">
        <w:rPr>
          <w:noProof/>
        </w:rPr>
        <w:t>2004).</w:t>
      </w:r>
    </w:p>
    <w:p w14:paraId="3A02B7E8" w14:textId="24565693" w:rsidR="00826815" w:rsidRPr="00B70634" w:rsidRDefault="00826815" w:rsidP="00045C71">
      <w:pPr>
        <w:pStyle w:val="EndNoteBibliography"/>
        <w:numPr>
          <w:ilvl w:val="0"/>
          <w:numId w:val="15"/>
        </w:numPr>
        <w:ind w:left="0" w:firstLine="0"/>
        <w:rPr>
          <w:noProof/>
        </w:rPr>
      </w:pPr>
      <w:r w:rsidRPr="00B70634">
        <w:rPr>
          <w:noProof/>
        </w:rPr>
        <w:t>Ito, K.</w:t>
      </w:r>
      <w:r w:rsidRPr="00B70634">
        <w:rPr>
          <w:i/>
          <w:noProof/>
        </w:rPr>
        <w:t xml:space="preserve"> </w:t>
      </w:r>
      <w:r w:rsidR="00B70634" w:rsidRPr="00B70634">
        <w:rPr>
          <w:noProof/>
        </w:rPr>
        <w:t>et al.</w:t>
      </w:r>
      <w:r w:rsidRPr="00B70634">
        <w:rPr>
          <w:noProof/>
        </w:rPr>
        <w:t xml:space="preserve"> Reactive oxygen species act through p38 MAPK to limit the lifespan of hematopoietic stem cells. </w:t>
      </w:r>
      <w:r w:rsidRPr="00B70634">
        <w:rPr>
          <w:i/>
          <w:noProof/>
        </w:rPr>
        <w:t>Nature Medicine.</w:t>
      </w:r>
      <w:r w:rsidRPr="00B70634">
        <w:rPr>
          <w:noProof/>
        </w:rPr>
        <w:t xml:space="preserve"> </w:t>
      </w:r>
      <w:r w:rsidRPr="00B70634">
        <w:rPr>
          <w:b/>
          <w:noProof/>
        </w:rPr>
        <w:t>12</w:t>
      </w:r>
      <w:r w:rsidRPr="00B70634">
        <w:rPr>
          <w:noProof/>
        </w:rPr>
        <w:t xml:space="preserve"> (4), 446</w:t>
      </w:r>
      <w:r w:rsidR="00B70634">
        <w:rPr>
          <w:noProof/>
        </w:rPr>
        <w:t>–</w:t>
      </w:r>
      <w:r w:rsidRPr="00B70634">
        <w:rPr>
          <w:noProof/>
        </w:rPr>
        <w:t>451</w:t>
      </w:r>
      <w:r w:rsidR="00B70634">
        <w:rPr>
          <w:noProof/>
        </w:rPr>
        <w:t xml:space="preserve"> (</w:t>
      </w:r>
      <w:r w:rsidRPr="00B70634">
        <w:rPr>
          <w:noProof/>
        </w:rPr>
        <w:t>2006).</w:t>
      </w:r>
    </w:p>
    <w:p w14:paraId="6EFD24A3" w14:textId="7093D642" w:rsidR="00826815" w:rsidRPr="00B70634" w:rsidRDefault="00826815" w:rsidP="00045C71">
      <w:pPr>
        <w:pStyle w:val="EndNoteBibliography"/>
        <w:numPr>
          <w:ilvl w:val="0"/>
          <w:numId w:val="15"/>
        </w:numPr>
        <w:ind w:left="0" w:firstLine="0"/>
        <w:rPr>
          <w:noProof/>
        </w:rPr>
      </w:pPr>
      <w:r w:rsidRPr="00B70634">
        <w:rPr>
          <w:noProof/>
        </w:rPr>
        <w:t>Tothova, Z.</w:t>
      </w:r>
      <w:r w:rsidRPr="00B70634">
        <w:rPr>
          <w:i/>
          <w:noProof/>
        </w:rPr>
        <w:t xml:space="preserve"> </w:t>
      </w:r>
      <w:r w:rsidR="00B70634" w:rsidRPr="00B70634">
        <w:rPr>
          <w:noProof/>
        </w:rPr>
        <w:t>et al.</w:t>
      </w:r>
      <w:r w:rsidRPr="00B70634">
        <w:rPr>
          <w:noProof/>
        </w:rPr>
        <w:t xml:space="preserve"> FoxOs are critical mediators of hematopoietic stem cell resistance to physiologic oxidative stress. </w:t>
      </w:r>
      <w:r w:rsidRPr="00B70634">
        <w:rPr>
          <w:i/>
          <w:noProof/>
        </w:rPr>
        <w:t>Cell.</w:t>
      </w:r>
      <w:r w:rsidRPr="00B70634">
        <w:rPr>
          <w:noProof/>
        </w:rPr>
        <w:t xml:space="preserve"> </w:t>
      </w:r>
      <w:r w:rsidRPr="00B70634">
        <w:rPr>
          <w:b/>
          <w:noProof/>
        </w:rPr>
        <w:t>128</w:t>
      </w:r>
      <w:r w:rsidRPr="00B70634">
        <w:rPr>
          <w:noProof/>
        </w:rPr>
        <w:t xml:space="preserve"> (2), 325</w:t>
      </w:r>
      <w:r w:rsidR="00B70634">
        <w:rPr>
          <w:noProof/>
        </w:rPr>
        <w:t>–</w:t>
      </w:r>
      <w:r w:rsidRPr="00B70634">
        <w:rPr>
          <w:noProof/>
        </w:rPr>
        <w:t>339</w:t>
      </w:r>
      <w:r w:rsidR="00B70634">
        <w:rPr>
          <w:noProof/>
        </w:rPr>
        <w:t xml:space="preserve"> (</w:t>
      </w:r>
      <w:r w:rsidRPr="00B70634">
        <w:rPr>
          <w:noProof/>
        </w:rPr>
        <w:t>2007).</w:t>
      </w:r>
    </w:p>
    <w:p w14:paraId="307C85B2" w14:textId="35EB1541" w:rsidR="00826815" w:rsidRPr="005D53A7" w:rsidRDefault="00826815" w:rsidP="00045C71">
      <w:pPr>
        <w:pStyle w:val="EndNoteBibliography"/>
        <w:numPr>
          <w:ilvl w:val="0"/>
          <w:numId w:val="15"/>
        </w:numPr>
        <w:ind w:left="0" w:firstLine="0"/>
        <w:rPr>
          <w:noProof/>
        </w:rPr>
      </w:pPr>
      <w:r w:rsidRPr="00B70634">
        <w:rPr>
          <w:noProof/>
        </w:rPr>
        <w:t>Vannini, N.</w:t>
      </w:r>
      <w:r w:rsidRPr="00B70634">
        <w:rPr>
          <w:i/>
          <w:noProof/>
        </w:rPr>
        <w:t xml:space="preserve"> </w:t>
      </w:r>
      <w:r w:rsidR="00B70634" w:rsidRPr="00B70634">
        <w:rPr>
          <w:noProof/>
        </w:rPr>
        <w:t>et al.</w:t>
      </w:r>
      <w:r w:rsidRPr="00B70634">
        <w:rPr>
          <w:noProof/>
        </w:rPr>
        <w:t xml:space="preserve"> Specification of haematopoietic stem cell</w:t>
      </w:r>
      <w:r w:rsidRPr="005D53A7">
        <w:rPr>
          <w:noProof/>
        </w:rPr>
        <w:t xml:space="preserve"> fate via modulation of mitochondrial activity. </w:t>
      </w:r>
      <w:r w:rsidRPr="005D53A7">
        <w:rPr>
          <w:i/>
          <w:noProof/>
        </w:rPr>
        <w:t>Nature Communications.</w:t>
      </w:r>
      <w:r w:rsidRPr="005D53A7">
        <w:rPr>
          <w:noProof/>
        </w:rPr>
        <w:t xml:space="preserve"> </w:t>
      </w:r>
      <w:r w:rsidRPr="005D53A7">
        <w:rPr>
          <w:b/>
          <w:noProof/>
        </w:rPr>
        <w:t>7</w:t>
      </w:r>
      <w:r w:rsidR="00B70634" w:rsidRPr="00045C71">
        <w:rPr>
          <w:bCs/>
          <w:noProof/>
        </w:rPr>
        <w:t>,</w:t>
      </w:r>
      <w:r w:rsidR="00B70634">
        <w:rPr>
          <w:noProof/>
        </w:rPr>
        <w:t xml:space="preserve"> (</w:t>
      </w:r>
      <w:r w:rsidRPr="005D53A7">
        <w:rPr>
          <w:noProof/>
        </w:rPr>
        <w:t>2016).</w:t>
      </w:r>
    </w:p>
    <w:p w14:paraId="211525CE" w14:textId="0AC50617" w:rsidR="00826815" w:rsidRPr="005D53A7" w:rsidRDefault="00826815" w:rsidP="00045C71">
      <w:pPr>
        <w:pStyle w:val="EndNoteBibliography"/>
        <w:numPr>
          <w:ilvl w:val="0"/>
          <w:numId w:val="15"/>
        </w:numPr>
        <w:ind w:left="0" w:firstLine="0"/>
        <w:rPr>
          <w:noProof/>
        </w:rPr>
      </w:pPr>
      <w:r w:rsidRPr="005D53A7">
        <w:rPr>
          <w:noProof/>
        </w:rPr>
        <w:t>Vannini, N.</w:t>
      </w:r>
      <w:r w:rsidRPr="005D53A7">
        <w:rPr>
          <w:i/>
          <w:noProof/>
        </w:rPr>
        <w:t xml:space="preserve"> </w:t>
      </w:r>
      <w:r w:rsidR="00B70634" w:rsidRPr="00B70634">
        <w:rPr>
          <w:noProof/>
        </w:rPr>
        <w:t>et al.</w:t>
      </w:r>
      <w:r w:rsidRPr="005D53A7">
        <w:rPr>
          <w:noProof/>
        </w:rPr>
        <w:t xml:space="preserve"> The NAD-Booster Nicotinamide Riboside Potently Stimulates Hematopoiesis through Increased Mitochondrial Clearance. </w:t>
      </w:r>
      <w:r w:rsidRPr="005D53A7">
        <w:rPr>
          <w:i/>
          <w:noProof/>
        </w:rPr>
        <w:t>Cell Stem Cell.</w:t>
      </w:r>
      <w:r w:rsidRPr="005D53A7">
        <w:rPr>
          <w:noProof/>
        </w:rPr>
        <w:t xml:space="preserve"> </w:t>
      </w:r>
      <w:r w:rsidRPr="005D53A7">
        <w:rPr>
          <w:b/>
          <w:noProof/>
        </w:rPr>
        <w:t>24</w:t>
      </w:r>
      <w:r w:rsidRPr="005D53A7">
        <w:rPr>
          <w:noProof/>
        </w:rPr>
        <w:t xml:space="preserve"> (3), 405</w:t>
      </w:r>
      <w:r w:rsidR="00B70634">
        <w:rPr>
          <w:noProof/>
        </w:rPr>
        <w:t xml:space="preserve"> (</w:t>
      </w:r>
      <w:r w:rsidRPr="005D53A7">
        <w:rPr>
          <w:noProof/>
        </w:rPr>
        <w:t>2019).</w:t>
      </w:r>
    </w:p>
    <w:p w14:paraId="0367FFEF" w14:textId="66A6F534" w:rsidR="00826815" w:rsidRPr="005D53A7" w:rsidRDefault="00826815" w:rsidP="00045C71">
      <w:pPr>
        <w:pStyle w:val="EndNoteBibliography"/>
        <w:numPr>
          <w:ilvl w:val="0"/>
          <w:numId w:val="15"/>
        </w:numPr>
        <w:ind w:left="0" w:firstLine="0"/>
        <w:rPr>
          <w:noProof/>
        </w:rPr>
      </w:pPr>
      <w:r w:rsidRPr="005D53A7">
        <w:rPr>
          <w:noProof/>
        </w:rPr>
        <w:lastRenderedPageBreak/>
        <w:t>Gratwohl, A.</w:t>
      </w:r>
      <w:r w:rsidRPr="005D53A7">
        <w:rPr>
          <w:i/>
          <w:noProof/>
        </w:rPr>
        <w:t xml:space="preserve"> </w:t>
      </w:r>
      <w:r w:rsidR="00B70634" w:rsidRPr="00B70634">
        <w:rPr>
          <w:noProof/>
        </w:rPr>
        <w:t>et al.</w:t>
      </w:r>
      <w:r w:rsidRPr="005D53A7">
        <w:rPr>
          <w:noProof/>
        </w:rPr>
        <w:t xml:space="preserve"> Risk score for outcome after allogeneic hematopoietic stem cell transplantation: a retrospective analysis. </w:t>
      </w:r>
      <w:r w:rsidRPr="005D53A7">
        <w:rPr>
          <w:i/>
          <w:noProof/>
        </w:rPr>
        <w:t>Cancer.</w:t>
      </w:r>
      <w:r w:rsidRPr="005D53A7">
        <w:rPr>
          <w:noProof/>
        </w:rPr>
        <w:t xml:space="preserve"> </w:t>
      </w:r>
      <w:r w:rsidRPr="005D53A7">
        <w:rPr>
          <w:b/>
          <w:noProof/>
        </w:rPr>
        <w:t>115</w:t>
      </w:r>
      <w:r w:rsidRPr="005D53A7">
        <w:rPr>
          <w:noProof/>
        </w:rPr>
        <w:t xml:space="preserve"> (20), 4715</w:t>
      </w:r>
      <w:r w:rsidR="00B70634">
        <w:rPr>
          <w:noProof/>
        </w:rPr>
        <w:t>–</w:t>
      </w:r>
      <w:r w:rsidRPr="005D53A7">
        <w:rPr>
          <w:noProof/>
        </w:rPr>
        <w:t>4726</w:t>
      </w:r>
      <w:r w:rsidR="00B70634">
        <w:rPr>
          <w:noProof/>
        </w:rPr>
        <w:t xml:space="preserve"> (</w:t>
      </w:r>
      <w:r w:rsidRPr="005D53A7">
        <w:rPr>
          <w:noProof/>
        </w:rPr>
        <w:t>2009).</w:t>
      </w:r>
    </w:p>
    <w:p w14:paraId="49B48276" w14:textId="22F1F20B" w:rsidR="00826815" w:rsidRPr="005D53A7" w:rsidRDefault="00826815" w:rsidP="00045C71">
      <w:pPr>
        <w:pStyle w:val="EndNoteBibliography"/>
        <w:numPr>
          <w:ilvl w:val="0"/>
          <w:numId w:val="15"/>
        </w:numPr>
        <w:ind w:left="0" w:firstLine="0"/>
        <w:rPr>
          <w:noProof/>
        </w:rPr>
      </w:pPr>
      <w:r w:rsidRPr="005D53A7">
        <w:rPr>
          <w:noProof/>
        </w:rPr>
        <w:t>Gooley, T. A.</w:t>
      </w:r>
      <w:r w:rsidRPr="005D53A7">
        <w:rPr>
          <w:i/>
          <w:noProof/>
        </w:rPr>
        <w:t xml:space="preserve"> </w:t>
      </w:r>
      <w:r w:rsidR="00B70634" w:rsidRPr="00B70634">
        <w:rPr>
          <w:noProof/>
        </w:rPr>
        <w:t>et al.</w:t>
      </w:r>
      <w:r w:rsidRPr="005D53A7">
        <w:rPr>
          <w:noProof/>
        </w:rPr>
        <w:t xml:space="preserve"> Reduced Mortality after Allogeneic Hematopoietic-Cell Transplantation. </w:t>
      </w:r>
      <w:r w:rsidRPr="005D53A7">
        <w:rPr>
          <w:i/>
          <w:noProof/>
        </w:rPr>
        <w:t>New England Journal of Medicine.</w:t>
      </w:r>
      <w:r w:rsidRPr="005D53A7">
        <w:rPr>
          <w:noProof/>
        </w:rPr>
        <w:t xml:space="preserve"> </w:t>
      </w:r>
      <w:r w:rsidRPr="005D53A7">
        <w:rPr>
          <w:b/>
          <w:noProof/>
        </w:rPr>
        <w:t>363</w:t>
      </w:r>
      <w:r w:rsidRPr="005D53A7">
        <w:rPr>
          <w:noProof/>
        </w:rPr>
        <w:t xml:space="preserve"> (22), 2091</w:t>
      </w:r>
      <w:r w:rsidR="00B70634">
        <w:rPr>
          <w:noProof/>
        </w:rPr>
        <w:t>–</w:t>
      </w:r>
      <w:r w:rsidRPr="005D53A7">
        <w:rPr>
          <w:noProof/>
        </w:rPr>
        <w:t>2101</w:t>
      </w:r>
      <w:r w:rsidR="00B70634">
        <w:rPr>
          <w:noProof/>
        </w:rPr>
        <w:t xml:space="preserve"> (</w:t>
      </w:r>
      <w:r w:rsidRPr="005D53A7">
        <w:rPr>
          <w:noProof/>
        </w:rPr>
        <w:t>2010).</w:t>
      </w:r>
    </w:p>
    <w:p w14:paraId="1E48C9BF" w14:textId="2D8BD913" w:rsidR="00826815" w:rsidRPr="005D53A7" w:rsidRDefault="00826815" w:rsidP="00045C71">
      <w:pPr>
        <w:pStyle w:val="EndNoteBibliography"/>
        <w:numPr>
          <w:ilvl w:val="0"/>
          <w:numId w:val="15"/>
        </w:numPr>
        <w:ind w:left="0" w:firstLine="0"/>
        <w:rPr>
          <w:noProof/>
        </w:rPr>
      </w:pPr>
      <w:r w:rsidRPr="005D53A7">
        <w:rPr>
          <w:noProof/>
        </w:rPr>
        <w:t>Rosenberg, S. A.</w:t>
      </w:r>
      <w:r w:rsidRPr="005D53A7">
        <w:rPr>
          <w:i/>
          <w:noProof/>
        </w:rPr>
        <w:t xml:space="preserve"> </w:t>
      </w:r>
      <w:r w:rsidR="00B70634" w:rsidRPr="00B70634">
        <w:rPr>
          <w:noProof/>
        </w:rPr>
        <w:t>et al.</w:t>
      </w:r>
      <w:r w:rsidRPr="005D53A7">
        <w:rPr>
          <w:noProof/>
        </w:rPr>
        <w:t xml:space="preserve"> Durable complete responses in heavily pretreated patients with metastatic melanoma using </w:t>
      </w:r>
      <w:r w:rsidR="00314E6A">
        <w:rPr>
          <w:noProof/>
        </w:rPr>
        <w:t>T cell</w:t>
      </w:r>
      <w:r w:rsidRPr="005D53A7">
        <w:rPr>
          <w:noProof/>
        </w:rPr>
        <w:t xml:space="preserve"> transfer immunotherapy. </w:t>
      </w:r>
      <w:bookmarkStart w:id="3" w:name="_Hlk18997684"/>
      <w:r w:rsidRPr="005D53A7">
        <w:rPr>
          <w:i/>
          <w:noProof/>
        </w:rPr>
        <w:t>Clin</w:t>
      </w:r>
      <w:r w:rsidR="00BC191E">
        <w:rPr>
          <w:i/>
          <w:noProof/>
        </w:rPr>
        <w:t>ical</w:t>
      </w:r>
      <w:r w:rsidRPr="005D53A7">
        <w:rPr>
          <w:i/>
          <w:noProof/>
        </w:rPr>
        <w:t xml:space="preserve"> Cancer Res</w:t>
      </w:r>
      <w:r w:rsidR="00BC191E">
        <w:rPr>
          <w:i/>
          <w:noProof/>
        </w:rPr>
        <w:t>earch</w:t>
      </w:r>
      <w:bookmarkEnd w:id="3"/>
      <w:r w:rsidRPr="005D53A7">
        <w:rPr>
          <w:i/>
          <w:noProof/>
        </w:rPr>
        <w:t>.</w:t>
      </w:r>
      <w:r w:rsidRPr="005D53A7">
        <w:rPr>
          <w:noProof/>
        </w:rPr>
        <w:t xml:space="preserve"> </w:t>
      </w:r>
      <w:r w:rsidRPr="005D53A7">
        <w:rPr>
          <w:b/>
          <w:noProof/>
        </w:rPr>
        <w:t>17</w:t>
      </w:r>
      <w:r w:rsidRPr="005D53A7">
        <w:rPr>
          <w:noProof/>
        </w:rPr>
        <w:t xml:space="preserve"> (13), 4550</w:t>
      </w:r>
      <w:r w:rsidR="00B70634">
        <w:rPr>
          <w:noProof/>
        </w:rPr>
        <w:t>–</w:t>
      </w:r>
      <w:r w:rsidRPr="005D53A7">
        <w:rPr>
          <w:noProof/>
        </w:rPr>
        <w:t>4557</w:t>
      </w:r>
      <w:r w:rsidR="00B70634">
        <w:rPr>
          <w:noProof/>
        </w:rPr>
        <w:t xml:space="preserve"> (</w:t>
      </w:r>
      <w:r w:rsidRPr="005D53A7">
        <w:rPr>
          <w:noProof/>
        </w:rPr>
        <w:t>2011).</w:t>
      </w:r>
    </w:p>
    <w:p w14:paraId="74220743" w14:textId="0355A4DC" w:rsidR="00826815" w:rsidRPr="005D53A7" w:rsidRDefault="00826815" w:rsidP="00045C71">
      <w:pPr>
        <w:pStyle w:val="EndNoteBibliography"/>
        <w:numPr>
          <w:ilvl w:val="0"/>
          <w:numId w:val="15"/>
        </w:numPr>
        <w:ind w:left="0" w:firstLine="0"/>
        <w:rPr>
          <w:noProof/>
        </w:rPr>
      </w:pPr>
      <w:r w:rsidRPr="005D53A7">
        <w:rPr>
          <w:noProof/>
        </w:rPr>
        <w:t>Aranda, F.</w:t>
      </w:r>
      <w:r w:rsidRPr="005D53A7">
        <w:rPr>
          <w:i/>
          <w:noProof/>
        </w:rPr>
        <w:t xml:space="preserve"> </w:t>
      </w:r>
      <w:r w:rsidR="00B70634" w:rsidRPr="00B70634">
        <w:rPr>
          <w:noProof/>
        </w:rPr>
        <w:t>et al.</w:t>
      </w:r>
      <w:r w:rsidRPr="005D53A7">
        <w:rPr>
          <w:noProof/>
        </w:rPr>
        <w:t xml:space="preserve"> Trial Watch: Adoptive cell transfer for anticancer immunotherapy. </w:t>
      </w:r>
      <w:r w:rsidRPr="005D53A7">
        <w:rPr>
          <w:i/>
          <w:noProof/>
        </w:rPr>
        <w:t>Oncoimmunology.</w:t>
      </w:r>
      <w:r w:rsidRPr="005D53A7">
        <w:rPr>
          <w:noProof/>
        </w:rPr>
        <w:t xml:space="preserve"> </w:t>
      </w:r>
      <w:r w:rsidRPr="005D53A7">
        <w:rPr>
          <w:b/>
          <w:noProof/>
        </w:rPr>
        <w:t>3</w:t>
      </w:r>
      <w:r w:rsidR="00B70634">
        <w:rPr>
          <w:bCs/>
          <w:noProof/>
        </w:rPr>
        <w:t>,</w:t>
      </w:r>
      <w:r w:rsidRPr="005D53A7">
        <w:rPr>
          <w:noProof/>
        </w:rPr>
        <w:t xml:space="preserve"> e28344</w:t>
      </w:r>
      <w:r w:rsidR="00B70634">
        <w:rPr>
          <w:noProof/>
        </w:rPr>
        <w:t xml:space="preserve"> (</w:t>
      </w:r>
      <w:r w:rsidRPr="005D53A7">
        <w:rPr>
          <w:noProof/>
        </w:rPr>
        <w:t>2014).</w:t>
      </w:r>
    </w:p>
    <w:p w14:paraId="62E4DE01" w14:textId="11C4EECD" w:rsidR="00826815" w:rsidRPr="004D7FD7" w:rsidRDefault="00826815" w:rsidP="00045C71">
      <w:pPr>
        <w:pStyle w:val="ListParagraph"/>
        <w:numPr>
          <w:ilvl w:val="0"/>
          <w:numId w:val="15"/>
        </w:numPr>
        <w:ind w:left="0" w:firstLine="0"/>
        <w:rPr>
          <w:noProof/>
          <w:lang w:val="fr-FR"/>
        </w:rPr>
      </w:pPr>
      <w:r w:rsidRPr="005D53A7">
        <w:rPr>
          <w:noProof/>
        </w:rPr>
        <w:t xml:space="preserve">Wherry, E. J. T cell exhaustion. </w:t>
      </w:r>
      <w:bookmarkStart w:id="4" w:name="_Hlk18997785"/>
      <w:r w:rsidR="00BC191E" w:rsidRPr="00D001CE">
        <w:rPr>
          <w:rFonts w:cstheme="minorHAnsi"/>
          <w:i/>
          <w:noProof/>
          <w:lang w:val="fr-FR"/>
        </w:rPr>
        <w:t>Nature Immunology</w:t>
      </w:r>
      <w:bookmarkEnd w:id="4"/>
      <w:r w:rsidRPr="00196B49">
        <w:rPr>
          <w:i/>
          <w:noProof/>
          <w:lang w:val="fr-FR"/>
        </w:rPr>
        <w:t>.</w:t>
      </w:r>
      <w:r w:rsidRPr="00C71A79">
        <w:rPr>
          <w:noProof/>
          <w:lang w:val="fr-FR"/>
        </w:rPr>
        <w:t xml:space="preserve"> </w:t>
      </w:r>
      <w:r w:rsidRPr="00C71A79">
        <w:rPr>
          <w:b/>
          <w:noProof/>
          <w:lang w:val="fr-FR"/>
        </w:rPr>
        <w:t>12</w:t>
      </w:r>
      <w:r w:rsidRPr="00286029">
        <w:rPr>
          <w:noProof/>
          <w:lang w:val="fr-FR"/>
        </w:rPr>
        <w:t xml:space="preserve"> (6), 492</w:t>
      </w:r>
      <w:r w:rsidR="00B70634" w:rsidRPr="00286029">
        <w:rPr>
          <w:noProof/>
          <w:lang w:val="fr-FR"/>
        </w:rPr>
        <w:t>–</w:t>
      </w:r>
      <w:r w:rsidRPr="007A48A4">
        <w:rPr>
          <w:noProof/>
          <w:lang w:val="fr-FR"/>
        </w:rPr>
        <w:t>499 (2011).</w:t>
      </w:r>
    </w:p>
    <w:p w14:paraId="599E9170" w14:textId="7402ABFB" w:rsidR="00826815" w:rsidRPr="005D53A7" w:rsidRDefault="00826815" w:rsidP="00045C71">
      <w:pPr>
        <w:pStyle w:val="EndNoteBibliography"/>
        <w:numPr>
          <w:ilvl w:val="0"/>
          <w:numId w:val="15"/>
        </w:numPr>
        <w:ind w:left="0" w:firstLine="0"/>
        <w:rPr>
          <w:noProof/>
        </w:rPr>
      </w:pPr>
      <w:r w:rsidRPr="005D53A7">
        <w:rPr>
          <w:noProof/>
          <w:lang w:val="fr-FR"/>
        </w:rPr>
        <w:t>Ho, P. C.</w:t>
      </w:r>
      <w:r w:rsidRPr="005D53A7">
        <w:rPr>
          <w:i/>
          <w:noProof/>
          <w:lang w:val="fr-FR"/>
        </w:rPr>
        <w:t xml:space="preserve"> </w:t>
      </w:r>
      <w:r w:rsidR="00B70634" w:rsidRPr="00B70634">
        <w:rPr>
          <w:noProof/>
          <w:lang w:val="fr-FR"/>
        </w:rPr>
        <w:t>et al.</w:t>
      </w:r>
      <w:r w:rsidRPr="005D53A7">
        <w:rPr>
          <w:noProof/>
          <w:lang w:val="fr-FR"/>
        </w:rPr>
        <w:t xml:space="preserve"> </w:t>
      </w:r>
      <w:r w:rsidRPr="005D53A7">
        <w:rPr>
          <w:noProof/>
        </w:rPr>
        <w:t xml:space="preserve">Phosphoenolpyruvate Is a Metabolic Checkpoint of Anti-tumor T Cell Responses. </w:t>
      </w:r>
      <w:r w:rsidRPr="005D53A7">
        <w:rPr>
          <w:i/>
          <w:noProof/>
        </w:rPr>
        <w:t>Cell.</w:t>
      </w:r>
      <w:r w:rsidRPr="005D53A7">
        <w:rPr>
          <w:noProof/>
        </w:rPr>
        <w:t xml:space="preserve"> </w:t>
      </w:r>
      <w:r w:rsidRPr="005D53A7">
        <w:rPr>
          <w:b/>
          <w:noProof/>
        </w:rPr>
        <w:t>162</w:t>
      </w:r>
      <w:r w:rsidRPr="005D53A7">
        <w:rPr>
          <w:noProof/>
        </w:rPr>
        <w:t xml:space="preserve"> (6), 1217</w:t>
      </w:r>
      <w:r w:rsidR="00B70634">
        <w:rPr>
          <w:noProof/>
        </w:rPr>
        <w:t>–</w:t>
      </w:r>
      <w:r w:rsidRPr="005D53A7">
        <w:rPr>
          <w:noProof/>
        </w:rPr>
        <w:t>1228</w:t>
      </w:r>
      <w:r w:rsidR="00B70634">
        <w:rPr>
          <w:noProof/>
        </w:rPr>
        <w:t xml:space="preserve"> (</w:t>
      </w:r>
      <w:r w:rsidRPr="005D53A7">
        <w:rPr>
          <w:noProof/>
        </w:rPr>
        <w:t>2015).</w:t>
      </w:r>
    </w:p>
    <w:p w14:paraId="656B22A6" w14:textId="0293F772" w:rsidR="00826815" w:rsidRPr="005D53A7" w:rsidRDefault="00826815" w:rsidP="00045C71">
      <w:pPr>
        <w:pStyle w:val="EndNoteBibliography"/>
        <w:numPr>
          <w:ilvl w:val="0"/>
          <w:numId w:val="15"/>
        </w:numPr>
        <w:ind w:left="0" w:firstLine="0"/>
        <w:rPr>
          <w:noProof/>
          <w:lang w:val="fr-FR"/>
        </w:rPr>
      </w:pPr>
      <w:r w:rsidRPr="005D53A7">
        <w:rPr>
          <w:noProof/>
        </w:rPr>
        <w:t>Chang, C. H.</w:t>
      </w:r>
      <w:r w:rsidRPr="005D53A7">
        <w:rPr>
          <w:i/>
          <w:noProof/>
        </w:rPr>
        <w:t xml:space="preserve"> </w:t>
      </w:r>
      <w:r w:rsidR="00B70634" w:rsidRPr="00B70634">
        <w:rPr>
          <w:noProof/>
        </w:rPr>
        <w:t>et al.</w:t>
      </w:r>
      <w:r w:rsidRPr="005D53A7">
        <w:rPr>
          <w:noProof/>
        </w:rPr>
        <w:t xml:space="preserve"> Metabolic Competition in the Tumor Microenvironment Is a Driver of Cancer Progression. </w:t>
      </w:r>
      <w:r w:rsidRPr="005D53A7">
        <w:rPr>
          <w:i/>
          <w:noProof/>
          <w:lang w:val="fr-FR"/>
        </w:rPr>
        <w:t>Cell.</w:t>
      </w:r>
      <w:r w:rsidRPr="005D53A7">
        <w:rPr>
          <w:noProof/>
          <w:lang w:val="fr-FR"/>
        </w:rPr>
        <w:t xml:space="preserve"> </w:t>
      </w:r>
      <w:r w:rsidRPr="005D53A7">
        <w:rPr>
          <w:b/>
          <w:noProof/>
          <w:lang w:val="fr-FR"/>
        </w:rPr>
        <w:t>162</w:t>
      </w:r>
      <w:r w:rsidRPr="005D53A7">
        <w:rPr>
          <w:noProof/>
          <w:lang w:val="fr-FR"/>
        </w:rPr>
        <w:t xml:space="preserve"> (6), 1229</w:t>
      </w:r>
      <w:r w:rsidR="00B70634">
        <w:rPr>
          <w:noProof/>
          <w:lang w:val="fr-FR"/>
        </w:rPr>
        <w:t>–</w:t>
      </w:r>
      <w:r w:rsidRPr="005D53A7">
        <w:rPr>
          <w:noProof/>
          <w:lang w:val="fr-FR"/>
        </w:rPr>
        <w:t>1241</w:t>
      </w:r>
      <w:r w:rsidR="00B70634">
        <w:rPr>
          <w:noProof/>
          <w:lang w:val="fr-FR"/>
        </w:rPr>
        <w:t xml:space="preserve"> (</w:t>
      </w:r>
      <w:r w:rsidRPr="005D53A7">
        <w:rPr>
          <w:noProof/>
          <w:lang w:val="fr-FR"/>
        </w:rPr>
        <w:t>2015).</w:t>
      </w:r>
    </w:p>
    <w:p w14:paraId="28CE5ECA" w14:textId="447D5D32" w:rsidR="00826815" w:rsidRPr="005D53A7" w:rsidRDefault="00826815" w:rsidP="00045C71">
      <w:pPr>
        <w:pStyle w:val="EndNoteBibliography"/>
        <w:numPr>
          <w:ilvl w:val="0"/>
          <w:numId w:val="15"/>
        </w:numPr>
        <w:ind w:left="0" w:firstLine="0"/>
        <w:rPr>
          <w:noProof/>
        </w:rPr>
      </w:pPr>
      <w:r w:rsidRPr="005D53A7">
        <w:rPr>
          <w:noProof/>
          <w:lang w:val="fr-FR"/>
        </w:rPr>
        <w:t>van der Waart, A. B.</w:t>
      </w:r>
      <w:r w:rsidRPr="005D53A7">
        <w:rPr>
          <w:i/>
          <w:noProof/>
          <w:lang w:val="fr-FR"/>
        </w:rPr>
        <w:t xml:space="preserve"> </w:t>
      </w:r>
      <w:r w:rsidR="00B70634" w:rsidRPr="00B70634">
        <w:rPr>
          <w:noProof/>
          <w:lang w:val="fr-FR"/>
        </w:rPr>
        <w:t>et al.</w:t>
      </w:r>
      <w:r w:rsidRPr="005D53A7">
        <w:rPr>
          <w:noProof/>
          <w:lang w:val="fr-FR"/>
        </w:rPr>
        <w:t xml:space="preserve"> </w:t>
      </w:r>
      <w:r w:rsidRPr="005D53A7">
        <w:rPr>
          <w:noProof/>
        </w:rPr>
        <w:t xml:space="preserve">Inhibition of Akt signaling promotes the generation of superior tumor-reactive T cells for adoptive immunotherapy. </w:t>
      </w:r>
      <w:r w:rsidRPr="005D53A7">
        <w:rPr>
          <w:i/>
          <w:noProof/>
        </w:rPr>
        <w:t>Blood.</w:t>
      </w:r>
      <w:r w:rsidRPr="005D53A7">
        <w:rPr>
          <w:noProof/>
        </w:rPr>
        <w:t xml:space="preserve"> </w:t>
      </w:r>
      <w:r w:rsidRPr="005D53A7">
        <w:rPr>
          <w:b/>
          <w:noProof/>
        </w:rPr>
        <w:t>124</w:t>
      </w:r>
      <w:r w:rsidRPr="005D53A7">
        <w:rPr>
          <w:noProof/>
        </w:rPr>
        <w:t xml:space="preserve"> (23), 3490</w:t>
      </w:r>
      <w:r w:rsidR="00B70634">
        <w:rPr>
          <w:noProof/>
        </w:rPr>
        <w:t>–</w:t>
      </w:r>
      <w:r w:rsidRPr="005D53A7">
        <w:rPr>
          <w:noProof/>
        </w:rPr>
        <w:t>3500</w:t>
      </w:r>
      <w:r w:rsidR="00B70634">
        <w:rPr>
          <w:noProof/>
        </w:rPr>
        <w:t xml:space="preserve"> (</w:t>
      </w:r>
      <w:r w:rsidRPr="005D53A7">
        <w:rPr>
          <w:noProof/>
        </w:rPr>
        <w:t>2014).</w:t>
      </w:r>
    </w:p>
    <w:p w14:paraId="6B9BC88B" w14:textId="4CAA1BD2" w:rsidR="00826815" w:rsidRPr="005D53A7" w:rsidRDefault="00826815" w:rsidP="00045C71">
      <w:pPr>
        <w:pStyle w:val="ListParagraph"/>
        <w:numPr>
          <w:ilvl w:val="0"/>
          <w:numId w:val="15"/>
        </w:numPr>
        <w:ind w:left="0" w:firstLine="0"/>
        <w:rPr>
          <w:noProof/>
        </w:rPr>
      </w:pPr>
      <w:r w:rsidRPr="005D53A7">
        <w:rPr>
          <w:noProof/>
        </w:rPr>
        <w:t>Crompton, J. G.</w:t>
      </w:r>
      <w:r w:rsidRPr="00196B49">
        <w:rPr>
          <w:i/>
          <w:noProof/>
        </w:rPr>
        <w:t xml:space="preserve"> </w:t>
      </w:r>
      <w:r w:rsidR="00B70634" w:rsidRPr="00B70634">
        <w:rPr>
          <w:noProof/>
        </w:rPr>
        <w:t>et al.</w:t>
      </w:r>
      <w:r w:rsidRPr="005D53A7">
        <w:rPr>
          <w:noProof/>
        </w:rPr>
        <w:t xml:space="preserve"> Akt inhibition enhances expansion of potent tumor-specific lymphocytes with memory cell characteristics. </w:t>
      </w:r>
      <w:bookmarkStart w:id="5" w:name="_Hlk18997852"/>
      <w:r w:rsidR="00BC191E" w:rsidRPr="00D001CE">
        <w:rPr>
          <w:rFonts w:cstheme="minorHAnsi"/>
          <w:i/>
          <w:noProof/>
        </w:rPr>
        <w:t>Cancer Research</w:t>
      </w:r>
      <w:bookmarkEnd w:id="5"/>
      <w:r w:rsidRPr="00196B49">
        <w:rPr>
          <w:i/>
          <w:noProof/>
        </w:rPr>
        <w:t>.</w:t>
      </w:r>
      <w:r w:rsidRPr="005D53A7">
        <w:rPr>
          <w:noProof/>
        </w:rPr>
        <w:t xml:space="preserve"> </w:t>
      </w:r>
      <w:r w:rsidRPr="00196B49">
        <w:rPr>
          <w:b/>
          <w:noProof/>
        </w:rPr>
        <w:t>75</w:t>
      </w:r>
      <w:r w:rsidRPr="005D53A7">
        <w:rPr>
          <w:noProof/>
        </w:rPr>
        <w:t xml:space="preserve"> (2), 296</w:t>
      </w:r>
      <w:r w:rsidR="00B70634">
        <w:rPr>
          <w:noProof/>
        </w:rPr>
        <w:t>–</w:t>
      </w:r>
      <w:r w:rsidRPr="005D53A7">
        <w:rPr>
          <w:noProof/>
        </w:rPr>
        <w:t>305</w:t>
      </w:r>
      <w:r w:rsidR="00B70634">
        <w:rPr>
          <w:noProof/>
        </w:rPr>
        <w:t xml:space="preserve"> (</w:t>
      </w:r>
      <w:r w:rsidRPr="005D53A7">
        <w:rPr>
          <w:noProof/>
        </w:rPr>
        <w:t>2015).</w:t>
      </w:r>
    </w:p>
    <w:p w14:paraId="7E24680E" w14:textId="276329A6" w:rsidR="00826815" w:rsidRPr="005D53A7" w:rsidRDefault="00826815" w:rsidP="00045C71">
      <w:pPr>
        <w:pStyle w:val="EndNoteBibliography"/>
        <w:numPr>
          <w:ilvl w:val="0"/>
          <w:numId w:val="15"/>
        </w:numPr>
        <w:ind w:left="0" w:firstLine="0"/>
        <w:rPr>
          <w:noProof/>
        </w:rPr>
      </w:pPr>
      <w:r w:rsidRPr="005D53A7">
        <w:rPr>
          <w:noProof/>
        </w:rPr>
        <w:t>de Almeida, M. J., Luchsinger, L. L., Corrigan, D. J., Williams, L. J.</w:t>
      </w:r>
      <w:r w:rsidR="00BC191E">
        <w:rPr>
          <w:noProof/>
        </w:rPr>
        <w:t>,</w:t>
      </w:r>
      <w:r w:rsidRPr="005D53A7">
        <w:rPr>
          <w:noProof/>
        </w:rPr>
        <w:t xml:space="preserve"> Snoeck, H. W. Dye-Independent Methods Reveal Elevated Mitochondrial Mass in Hematopoietic Stem Cells. </w:t>
      </w:r>
      <w:r w:rsidRPr="005D53A7">
        <w:rPr>
          <w:i/>
          <w:noProof/>
        </w:rPr>
        <w:t>Cell Stem Cell.</w:t>
      </w:r>
      <w:r w:rsidRPr="005D53A7">
        <w:rPr>
          <w:noProof/>
        </w:rPr>
        <w:t xml:space="preserve"> </w:t>
      </w:r>
      <w:r w:rsidRPr="005D53A7">
        <w:rPr>
          <w:b/>
          <w:noProof/>
        </w:rPr>
        <w:t>21</w:t>
      </w:r>
      <w:r w:rsidRPr="005D53A7">
        <w:rPr>
          <w:noProof/>
        </w:rPr>
        <w:t xml:space="preserve"> (6), 725</w:t>
      </w:r>
      <w:r w:rsidR="00B70634">
        <w:rPr>
          <w:noProof/>
        </w:rPr>
        <w:t>–</w:t>
      </w:r>
      <w:r w:rsidRPr="005D53A7">
        <w:rPr>
          <w:noProof/>
        </w:rPr>
        <w:t xml:space="preserve">729 </w:t>
      </w:r>
      <w:r w:rsidR="00B70634">
        <w:rPr>
          <w:noProof/>
        </w:rPr>
        <w:t>(</w:t>
      </w:r>
      <w:r w:rsidRPr="005D53A7">
        <w:rPr>
          <w:noProof/>
        </w:rPr>
        <w:t>2017).</w:t>
      </w:r>
    </w:p>
    <w:p w14:paraId="1746CEFF" w14:textId="5E4CA0D9" w:rsidR="00826815" w:rsidRPr="005D53A7" w:rsidRDefault="00826815" w:rsidP="00045C71">
      <w:pPr>
        <w:pStyle w:val="EndNoteBibliography"/>
        <w:numPr>
          <w:ilvl w:val="0"/>
          <w:numId w:val="15"/>
        </w:numPr>
        <w:ind w:left="0" w:firstLine="0"/>
        <w:rPr>
          <w:noProof/>
        </w:rPr>
      </w:pPr>
      <w:r w:rsidRPr="005D53A7">
        <w:rPr>
          <w:noProof/>
        </w:rPr>
        <w:t>Abe, T.</w:t>
      </w:r>
      <w:r w:rsidRPr="005D53A7">
        <w:rPr>
          <w:i/>
          <w:noProof/>
        </w:rPr>
        <w:t xml:space="preserve"> </w:t>
      </w:r>
      <w:r w:rsidR="00B70634" w:rsidRPr="00B70634">
        <w:rPr>
          <w:noProof/>
        </w:rPr>
        <w:t>et al.</w:t>
      </w:r>
      <w:r w:rsidRPr="005D53A7">
        <w:rPr>
          <w:noProof/>
        </w:rPr>
        <w:t xml:space="preserve"> Establishment of Conditional Reporter Mouse Lines at ROSA26 Locus For Live Cell Imaging. </w:t>
      </w:r>
      <w:r w:rsidRPr="005D53A7">
        <w:rPr>
          <w:i/>
          <w:noProof/>
        </w:rPr>
        <w:t>Genesis.</w:t>
      </w:r>
      <w:r w:rsidRPr="005D53A7">
        <w:rPr>
          <w:noProof/>
        </w:rPr>
        <w:t xml:space="preserve"> </w:t>
      </w:r>
      <w:r w:rsidRPr="005D53A7">
        <w:rPr>
          <w:b/>
          <w:noProof/>
        </w:rPr>
        <w:t>49</w:t>
      </w:r>
      <w:r w:rsidRPr="005D53A7">
        <w:rPr>
          <w:noProof/>
        </w:rPr>
        <w:t xml:space="preserve"> (7), 579</w:t>
      </w:r>
      <w:r w:rsidR="00B70634">
        <w:rPr>
          <w:noProof/>
        </w:rPr>
        <w:t>–</w:t>
      </w:r>
      <w:r w:rsidRPr="005D53A7">
        <w:rPr>
          <w:noProof/>
        </w:rPr>
        <w:t>590</w:t>
      </w:r>
      <w:r w:rsidR="00B70634">
        <w:rPr>
          <w:noProof/>
        </w:rPr>
        <w:t xml:space="preserve"> (</w:t>
      </w:r>
      <w:r w:rsidRPr="005D53A7">
        <w:rPr>
          <w:noProof/>
        </w:rPr>
        <w:t>2011).</w:t>
      </w:r>
    </w:p>
    <w:p w14:paraId="64039966" w14:textId="58712EEA" w:rsidR="00826815" w:rsidRPr="005D53A7" w:rsidRDefault="00826815" w:rsidP="00045C71">
      <w:pPr>
        <w:pStyle w:val="ListParagraph"/>
        <w:numPr>
          <w:ilvl w:val="0"/>
          <w:numId w:val="15"/>
        </w:numPr>
        <w:ind w:left="0" w:firstLine="0"/>
        <w:rPr>
          <w:noProof/>
        </w:rPr>
      </w:pPr>
      <w:r w:rsidRPr="005D53A7">
        <w:rPr>
          <w:noProof/>
        </w:rPr>
        <w:t>Sukumar, M.</w:t>
      </w:r>
      <w:r w:rsidRPr="00196B49">
        <w:rPr>
          <w:i/>
          <w:noProof/>
        </w:rPr>
        <w:t xml:space="preserve"> </w:t>
      </w:r>
      <w:r w:rsidR="00B70634" w:rsidRPr="00B70634">
        <w:rPr>
          <w:noProof/>
        </w:rPr>
        <w:t>et al.</w:t>
      </w:r>
      <w:r w:rsidRPr="005D53A7">
        <w:rPr>
          <w:noProof/>
        </w:rPr>
        <w:t xml:space="preserve"> Mitochondrial Membrane Potential Identifies Cells with Enhanced Stemness for Cellular Therapy. </w:t>
      </w:r>
      <w:bookmarkStart w:id="6" w:name="_Hlk18997914"/>
      <w:r w:rsidR="00BC191E" w:rsidRPr="00D001CE">
        <w:rPr>
          <w:rFonts w:cstheme="minorHAnsi"/>
          <w:i/>
          <w:noProof/>
        </w:rPr>
        <w:t>Cell Metabolism</w:t>
      </w:r>
      <w:bookmarkEnd w:id="6"/>
      <w:r w:rsidRPr="00196B49">
        <w:rPr>
          <w:i/>
          <w:noProof/>
        </w:rPr>
        <w:t>.</w:t>
      </w:r>
      <w:r w:rsidRPr="005D53A7">
        <w:rPr>
          <w:noProof/>
        </w:rPr>
        <w:t xml:space="preserve"> </w:t>
      </w:r>
      <w:r w:rsidRPr="00196B49">
        <w:rPr>
          <w:b/>
          <w:noProof/>
        </w:rPr>
        <w:t>23</w:t>
      </w:r>
      <w:r w:rsidRPr="005D53A7">
        <w:rPr>
          <w:noProof/>
        </w:rPr>
        <w:t xml:space="preserve"> (1), 63</w:t>
      </w:r>
      <w:r w:rsidR="00B70634">
        <w:rPr>
          <w:noProof/>
        </w:rPr>
        <w:t>–</w:t>
      </w:r>
      <w:r w:rsidRPr="005D53A7">
        <w:rPr>
          <w:noProof/>
        </w:rPr>
        <w:t>76</w:t>
      </w:r>
      <w:r w:rsidR="00B70634">
        <w:rPr>
          <w:noProof/>
        </w:rPr>
        <w:t xml:space="preserve"> (</w:t>
      </w:r>
      <w:r w:rsidRPr="005D53A7">
        <w:rPr>
          <w:noProof/>
        </w:rPr>
        <w:t>2016).</w:t>
      </w:r>
    </w:p>
    <w:p w14:paraId="799FE250" w14:textId="6367819A" w:rsidR="00826815" w:rsidRPr="005D53A7" w:rsidRDefault="00826815" w:rsidP="00045C71">
      <w:pPr>
        <w:pStyle w:val="ListParagraph"/>
        <w:numPr>
          <w:ilvl w:val="0"/>
          <w:numId w:val="15"/>
        </w:numPr>
        <w:ind w:left="0" w:firstLine="0"/>
        <w:rPr>
          <w:noProof/>
        </w:rPr>
      </w:pPr>
      <w:r w:rsidRPr="005D53A7">
        <w:rPr>
          <w:noProof/>
        </w:rPr>
        <w:t>Sukumar, M.</w:t>
      </w:r>
      <w:r w:rsidRPr="00196B49">
        <w:rPr>
          <w:i/>
          <w:noProof/>
        </w:rPr>
        <w:t xml:space="preserve"> </w:t>
      </w:r>
      <w:r w:rsidR="00B70634" w:rsidRPr="00B70634">
        <w:rPr>
          <w:noProof/>
        </w:rPr>
        <w:t>et al.</w:t>
      </w:r>
      <w:r w:rsidRPr="005D53A7">
        <w:rPr>
          <w:noProof/>
        </w:rPr>
        <w:t xml:space="preserve"> Inhibiting glycolytic metabolism enhances CD8+ T cell memory and antitumor function. </w:t>
      </w:r>
      <w:bookmarkStart w:id="7" w:name="_Hlk18997984"/>
      <w:r w:rsidR="00BC191E" w:rsidRPr="00D001CE">
        <w:rPr>
          <w:rFonts w:cstheme="minorHAnsi"/>
          <w:i/>
          <w:iCs/>
          <w:szCs w:val="24"/>
          <w:shd w:val="clear" w:color="auto" w:fill="FFFFFF"/>
        </w:rPr>
        <w:t>Journal of Clinical Investigation</w:t>
      </w:r>
      <w:bookmarkEnd w:id="7"/>
      <w:r w:rsidRPr="00196B49">
        <w:rPr>
          <w:i/>
          <w:noProof/>
        </w:rPr>
        <w:t>.</w:t>
      </w:r>
      <w:r w:rsidRPr="005D53A7">
        <w:rPr>
          <w:noProof/>
        </w:rPr>
        <w:t xml:space="preserve"> </w:t>
      </w:r>
      <w:r w:rsidRPr="00196B49">
        <w:rPr>
          <w:b/>
          <w:noProof/>
        </w:rPr>
        <w:t>123</w:t>
      </w:r>
      <w:r w:rsidRPr="005D53A7">
        <w:rPr>
          <w:noProof/>
        </w:rPr>
        <w:t xml:space="preserve"> (10), 4479</w:t>
      </w:r>
      <w:r w:rsidR="00B70634">
        <w:rPr>
          <w:noProof/>
        </w:rPr>
        <w:t>–</w:t>
      </w:r>
      <w:r w:rsidRPr="005D53A7">
        <w:rPr>
          <w:noProof/>
        </w:rPr>
        <w:t>4488</w:t>
      </w:r>
      <w:r w:rsidR="00B70634">
        <w:rPr>
          <w:noProof/>
        </w:rPr>
        <w:t xml:space="preserve"> (</w:t>
      </w:r>
      <w:r w:rsidRPr="005D53A7">
        <w:rPr>
          <w:noProof/>
        </w:rPr>
        <w:t>2013).</w:t>
      </w:r>
    </w:p>
    <w:p w14:paraId="284EAE0A" w14:textId="410A7CFB" w:rsidR="008F29CA" w:rsidRPr="005D53A7" w:rsidRDefault="008F29CA" w:rsidP="005D53A7">
      <w:pPr>
        <w:jc w:val="both"/>
        <w:rPr>
          <w:rFonts w:ascii="Calibri" w:hAnsi="Calibri" w:cs="Calibri"/>
          <w:b/>
          <w:bCs/>
          <w:szCs w:val="24"/>
        </w:rPr>
      </w:pPr>
    </w:p>
    <w:sectPr w:rsidR="008F29CA" w:rsidRPr="005D53A7" w:rsidSect="005D53A7">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E5187" w14:textId="77777777" w:rsidR="005E7D89" w:rsidRDefault="005E7D89" w:rsidP="006779C4">
      <w:r>
        <w:separator/>
      </w:r>
    </w:p>
  </w:endnote>
  <w:endnote w:type="continuationSeparator" w:id="0">
    <w:p w14:paraId="634F7C29" w14:textId="77777777" w:rsidR="005E7D89" w:rsidRDefault="005E7D89" w:rsidP="006779C4">
      <w:r>
        <w:continuationSeparator/>
      </w:r>
    </w:p>
  </w:endnote>
  <w:endnote w:type="continuationNotice" w:id="1">
    <w:p w14:paraId="73270CE2" w14:textId="77777777" w:rsidR="005E7D89" w:rsidRDefault="005E7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7E259" w14:textId="77777777" w:rsidR="005E7D89" w:rsidRDefault="005E7D89" w:rsidP="006779C4">
      <w:r>
        <w:separator/>
      </w:r>
    </w:p>
  </w:footnote>
  <w:footnote w:type="continuationSeparator" w:id="0">
    <w:p w14:paraId="7C916CC3" w14:textId="77777777" w:rsidR="005E7D89" w:rsidRDefault="005E7D89" w:rsidP="006779C4">
      <w:r>
        <w:continuationSeparator/>
      </w:r>
    </w:p>
  </w:footnote>
  <w:footnote w:type="continuationNotice" w:id="1">
    <w:p w14:paraId="79D3DA9F" w14:textId="77777777" w:rsidR="005E7D89" w:rsidRDefault="005E7D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AA6"/>
    <w:multiLevelType w:val="multilevel"/>
    <w:tmpl w:val="6CAA181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F57D6E"/>
    <w:multiLevelType w:val="multilevel"/>
    <w:tmpl w:val="EDCC32E4"/>
    <w:numStyleLink w:val="Style1"/>
  </w:abstractNum>
  <w:abstractNum w:abstractNumId="2" w15:restartNumberingAfterBreak="0">
    <w:nsid w:val="1F7B776F"/>
    <w:multiLevelType w:val="multilevel"/>
    <w:tmpl w:val="EDCC32E4"/>
    <w:lvl w:ilvl="0">
      <w:start w:val="1"/>
      <w:numFmt w:val="decimal"/>
      <w:lvlText w:val="%1."/>
      <w:lvlJc w:val="left"/>
      <w:pPr>
        <w:ind w:left="360" w:hanging="360"/>
      </w:pPr>
    </w:lvl>
    <w:lvl w:ilvl="1">
      <w:start w:val="1"/>
      <w:numFmt w:val="decimal"/>
      <w:lvlText w:val="%1.%2."/>
      <w:lvlJc w:val="left"/>
      <w:pPr>
        <w:ind w:left="1000"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94288B"/>
    <w:multiLevelType w:val="hybridMultilevel"/>
    <w:tmpl w:val="7C4AB79A"/>
    <w:lvl w:ilvl="0" w:tplc="0409000F">
      <w:start w:val="1"/>
      <w:numFmt w:val="decimal"/>
      <w:lvlText w:val="%1."/>
      <w:lvlJc w:val="left"/>
      <w:pPr>
        <w:ind w:left="360" w:hanging="360"/>
      </w:pPr>
      <w:rPr>
        <w:rFonts w:hint="default"/>
      </w:rPr>
    </w:lvl>
    <w:lvl w:ilvl="1" w:tplc="FEBE8872">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DF442A"/>
    <w:multiLevelType w:val="multilevel"/>
    <w:tmpl w:val="ABD6D90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FD51910"/>
    <w:multiLevelType w:val="multilevel"/>
    <w:tmpl w:val="EDCC32E4"/>
    <w:lvl w:ilvl="0">
      <w:start w:val="1"/>
      <w:numFmt w:val="decimal"/>
      <w:lvlText w:val="%1."/>
      <w:lvlJc w:val="left"/>
      <w:pPr>
        <w:ind w:left="360" w:hanging="360"/>
      </w:pPr>
    </w:lvl>
    <w:lvl w:ilvl="1">
      <w:start w:val="1"/>
      <w:numFmt w:val="decimal"/>
      <w:lvlText w:val="%1.%2."/>
      <w:lvlJc w:val="left"/>
      <w:pPr>
        <w:ind w:left="1000"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0E23D7"/>
    <w:multiLevelType w:val="multilevel"/>
    <w:tmpl w:val="EDCC32E4"/>
    <w:styleLink w:val="Style1"/>
    <w:lvl w:ilvl="0">
      <w:start w:val="1"/>
      <w:numFmt w:val="decimal"/>
      <w:lvlText w:val="%1."/>
      <w:lvlJc w:val="left"/>
      <w:pPr>
        <w:ind w:left="360" w:hanging="360"/>
      </w:pPr>
    </w:lvl>
    <w:lvl w:ilvl="1">
      <w:start w:val="1"/>
      <w:numFmt w:val="decimal"/>
      <w:lvlText w:val="%1.%2."/>
      <w:lvlJc w:val="left"/>
      <w:pPr>
        <w:ind w:left="1000"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6E79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FC77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3F4E4E"/>
    <w:multiLevelType w:val="hybridMultilevel"/>
    <w:tmpl w:val="7A9C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16A09"/>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58462D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A14FCF"/>
    <w:multiLevelType w:val="multilevel"/>
    <w:tmpl w:val="AB821AF6"/>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bCs/>
      </w:rPr>
    </w:lvl>
    <w:lvl w:ilvl="2">
      <w:start w:val="1"/>
      <w:numFmt w:val="decimal"/>
      <w:lvlText w:val="%1.%2.%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0E7786"/>
    <w:multiLevelType w:val="multilevel"/>
    <w:tmpl w:val="716A889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4315276"/>
    <w:multiLevelType w:val="multilevel"/>
    <w:tmpl w:val="EDCC32E4"/>
    <w:lvl w:ilvl="0">
      <w:start w:val="1"/>
      <w:numFmt w:val="decimal"/>
      <w:lvlText w:val="%1."/>
      <w:lvlJc w:val="left"/>
      <w:pPr>
        <w:ind w:left="360" w:hanging="360"/>
      </w:pPr>
    </w:lvl>
    <w:lvl w:ilvl="1">
      <w:start w:val="1"/>
      <w:numFmt w:val="decimal"/>
      <w:lvlText w:val="%1.%2."/>
      <w:lvlJc w:val="left"/>
      <w:pPr>
        <w:ind w:left="1000"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4"/>
  </w:num>
  <w:num w:numId="4">
    <w:abstractNumId w:val="8"/>
  </w:num>
  <w:num w:numId="5">
    <w:abstractNumId w:val="14"/>
  </w:num>
  <w:num w:numId="6">
    <w:abstractNumId w:val="7"/>
  </w:num>
  <w:num w:numId="7">
    <w:abstractNumId w:val="11"/>
  </w:num>
  <w:num w:numId="8">
    <w:abstractNumId w:val="10"/>
  </w:num>
  <w:num w:numId="9">
    <w:abstractNumId w:val="2"/>
  </w:num>
  <w:num w:numId="10">
    <w:abstractNumId w:val="6"/>
  </w:num>
  <w:num w:numId="11">
    <w:abstractNumId w:val="1"/>
  </w:num>
  <w:num w:numId="12">
    <w:abstractNumId w:val="5"/>
  </w:num>
  <w:num w:numId="13">
    <w:abstractNumId w:val="12"/>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defaultTabStop w:val="34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zwvz5ptewssweweaxxxasozzsrv0xaewwa&quot;&gt;Jove 2019&lt;record-ids&gt;&lt;item&gt;1&lt;/item&gt;&lt;item&gt;3&lt;/item&gt;&lt;item&gt;4&lt;/item&gt;&lt;item&gt;5&lt;/item&gt;&lt;item&gt;6&lt;/item&gt;&lt;item&gt;7&lt;/item&gt;&lt;item&gt;8&lt;/item&gt;&lt;item&gt;9&lt;/item&gt;&lt;item&gt;10&lt;/item&gt;&lt;item&gt;11&lt;/item&gt;&lt;item&gt;12&lt;/item&gt;&lt;item&gt;13&lt;/item&gt;&lt;item&gt;15&lt;/item&gt;&lt;item&gt;17&lt;/item&gt;&lt;item&gt;18&lt;/item&gt;&lt;item&gt;19&lt;/item&gt;&lt;item&gt;20&lt;/item&gt;&lt;item&gt;21&lt;/item&gt;&lt;item&gt;23&lt;/item&gt;&lt;item&gt;26&lt;/item&gt;&lt;item&gt;27&lt;/item&gt;&lt;item&gt;42&lt;/item&gt;&lt;item&gt;48&lt;/item&gt;&lt;/record-ids&gt;&lt;/item&gt;&lt;/Libraries&gt;"/>
  </w:docVars>
  <w:rsids>
    <w:rsidRoot w:val="004C1544"/>
    <w:rsid w:val="00002534"/>
    <w:rsid w:val="00003CF3"/>
    <w:rsid w:val="00004ACD"/>
    <w:rsid w:val="00021148"/>
    <w:rsid w:val="00022837"/>
    <w:rsid w:val="00022CCA"/>
    <w:rsid w:val="0003396F"/>
    <w:rsid w:val="000342D5"/>
    <w:rsid w:val="00037F6F"/>
    <w:rsid w:val="00045C71"/>
    <w:rsid w:val="00051ABD"/>
    <w:rsid w:val="00057252"/>
    <w:rsid w:val="000675C1"/>
    <w:rsid w:val="00067647"/>
    <w:rsid w:val="0007754D"/>
    <w:rsid w:val="000973D8"/>
    <w:rsid w:val="000A42D7"/>
    <w:rsid w:val="000A6B41"/>
    <w:rsid w:val="000A726D"/>
    <w:rsid w:val="000B5693"/>
    <w:rsid w:val="000B7A9C"/>
    <w:rsid w:val="000C04FB"/>
    <w:rsid w:val="000D426D"/>
    <w:rsid w:val="000E48C8"/>
    <w:rsid w:val="000E4F20"/>
    <w:rsid w:val="000E64AE"/>
    <w:rsid w:val="000F5769"/>
    <w:rsid w:val="00103DE8"/>
    <w:rsid w:val="00105C61"/>
    <w:rsid w:val="00107BC9"/>
    <w:rsid w:val="00113941"/>
    <w:rsid w:val="00113B72"/>
    <w:rsid w:val="00113D0A"/>
    <w:rsid w:val="00115E74"/>
    <w:rsid w:val="001248FE"/>
    <w:rsid w:val="0012680E"/>
    <w:rsid w:val="001325B3"/>
    <w:rsid w:val="00132638"/>
    <w:rsid w:val="00134A5E"/>
    <w:rsid w:val="00136C20"/>
    <w:rsid w:val="00141C59"/>
    <w:rsid w:val="00143B9C"/>
    <w:rsid w:val="00144B7F"/>
    <w:rsid w:val="001544A1"/>
    <w:rsid w:val="001624E6"/>
    <w:rsid w:val="00164267"/>
    <w:rsid w:val="00165007"/>
    <w:rsid w:val="00165787"/>
    <w:rsid w:val="00167ADF"/>
    <w:rsid w:val="00167FE8"/>
    <w:rsid w:val="00171404"/>
    <w:rsid w:val="00172BAF"/>
    <w:rsid w:val="0017325E"/>
    <w:rsid w:val="00175988"/>
    <w:rsid w:val="00196B49"/>
    <w:rsid w:val="001A065A"/>
    <w:rsid w:val="001A41DC"/>
    <w:rsid w:val="001B3F1F"/>
    <w:rsid w:val="001B41A9"/>
    <w:rsid w:val="001B4ECD"/>
    <w:rsid w:val="001B6AE9"/>
    <w:rsid w:val="001D508B"/>
    <w:rsid w:val="001F433F"/>
    <w:rsid w:val="0020392C"/>
    <w:rsid w:val="00203B6A"/>
    <w:rsid w:val="002126C3"/>
    <w:rsid w:val="00214425"/>
    <w:rsid w:val="00221C7B"/>
    <w:rsid w:val="002271A9"/>
    <w:rsid w:val="00233919"/>
    <w:rsid w:val="002366B1"/>
    <w:rsid w:val="00243C77"/>
    <w:rsid w:val="00250944"/>
    <w:rsid w:val="00253AC8"/>
    <w:rsid w:val="0025675C"/>
    <w:rsid w:val="0026380D"/>
    <w:rsid w:val="002650EB"/>
    <w:rsid w:val="00270D11"/>
    <w:rsid w:val="002710CB"/>
    <w:rsid w:val="00280283"/>
    <w:rsid w:val="00281685"/>
    <w:rsid w:val="00284124"/>
    <w:rsid w:val="00286029"/>
    <w:rsid w:val="00290818"/>
    <w:rsid w:val="0029198E"/>
    <w:rsid w:val="0029357C"/>
    <w:rsid w:val="00293B42"/>
    <w:rsid w:val="00297B3A"/>
    <w:rsid w:val="002B1024"/>
    <w:rsid w:val="002B211E"/>
    <w:rsid w:val="002B2308"/>
    <w:rsid w:val="002B3AC0"/>
    <w:rsid w:val="002B6AEE"/>
    <w:rsid w:val="002C04FC"/>
    <w:rsid w:val="002C3D7F"/>
    <w:rsid w:val="002C4B55"/>
    <w:rsid w:val="002D0CDF"/>
    <w:rsid w:val="002D548B"/>
    <w:rsid w:val="002D6D97"/>
    <w:rsid w:val="002D7595"/>
    <w:rsid w:val="002E0FC5"/>
    <w:rsid w:val="002E25A2"/>
    <w:rsid w:val="002E382D"/>
    <w:rsid w:val="002F5F5D"/>
    <w:rsid w:val="00302374"/>
    <w:rsid w:val="00306962"/>
    <w:rsid w:val="0030750A"/>
    <w:rsid w:val="003100CB"/>
    <w:rsid w:val="00310DF1"/>
    <w:rsid w:val="00313F99"/>
    <w:rsid w:val="00314E6A"/>
    <w:rsid w:val="00317748"/>
    <w:rsid w:val="0032274B"/>
    <w:rsid w:val="003246F6"/>
    <w:rsid w:val="00331BB0"/>
    <w:rsid w:val="00332493"/>
    <w:rsid w:val="003379FD"/>
    <w:rsid w:val="003577ED"/>
    <w:rsid w:val="00357EE3"/>
    <w:rsid w:val="003617A4"/>
    <w:rsid w:val="00365A5D"/>
    <w:rsid w:val="00375ED7"/>
    <w:rsid w:val="003800BF"/>
    <w:rsid w:val="00393147"/>
    <w:rsid w:val="00397110"/>
    <w:rsid w:val="003A1BAF"/>
    <w:rsid w:val="003A1C4D"/>
    <w:rsid w:val="003B1D82"/>
    <w:rsid w:val="003B56A7"/>
    <w:rsid w:val="003C46AC"/>
    <w:rsid w:val="003C5998"/>
    <w:rsid w:val="003C5C60"/>
    <w:rsid w:val="003D1F35"/>
    <w:rsid w:val="003E68D3"/>
    <w:rsid w:val="003E6C1E"/>
    <w:rsid w:val="003F4277"/>
    <w:rsid w:val="003F4737"/>
    <w:rsid w:val="003F6326"/>
    <w:rsid w:val="003F72A7"/>
    <w:rsid w:val="004050FF"/>
    <w:rsid w:val="0041037A"/>
    <w:rsid w:val="00412446"/>
    <w:rsid w:val="0041262C"/>
    <w:rsid w:val="00416697"/>
    <w:rsid w:val="00430B04"/>
    <w:rsid w:val="004314BE"/>
    <w:rsid w:val="004472F8"/>
    <w:rsid w:val="00450758"/>
    <w:rsid w:val="0046232A"/>
    <w:rsid w:val="00462EEB"/>
    <w:rsid w:val="00474E80"/>
    <w:rsid w:val="00477CC0"/>
    <w:rsid w:val="00493B5B"/>
    <w:rsid w:val="004949B1"/>
    <w:rsid w:val="004A296F"/>
    <w:rsid w:val="004B2D77"/>
    <w:rsid w:val="004C1544"/>
    <w:rsid w:val="004D1E0D"/>
    <w:rsid w:val="004D5FFD"/>
    <w:rsid w:val="004D7FD7"/>
    <w:rsid w:val="004E1734"/>
    <w:rsid w:val="004E4867"/>
    <w:rsid w:val="004E5FAB"/>
    <w:rsid w:val="00500B3B"/>
    <w:rsid w:val="00503A40"/>
    <w:rsid w:val="005164CF"/>
    <w:rsid w:val="00520A9F"/>
    <w:rsid w:val="00535F13"/>
    <w:rsid w:val="00543ACC"/>
    <w:rsid w:val="00583FA0"/>
    <w:rsid w:val="005843A8"/>
    <w:rsid w:val="00584AB8"/>
    <w:rsid w:val="0059230D"/>
    <w:rsid w:val="00592822"/>
    <w:rsid w:val="00593C55"/>
    <w:rsid w:val="00597AAE"/>
    <w:rsid w:val="005A6302"/>
    <w:rsid w:val="005A7571"/>
    <w:rsid w:val="005A7DF2"/>
    <w:rsid w:val="005B27BB"/>
    <w:rsid w:val="005B7413"/>
    <w:rsid w:val="005C0EBC"/>
    <w:rsid w:val="005C66EB"/>
    <w:rsid w:val="005D53A7"/>
    <w:rsid w:val="005E2734"/>
    <w:rsid w:val="005E3B50"/>
    <w:rsid w:val="005E3BE4"/>
    <w:rsid w:val="005E7D89"/>
    <w:rsid w:val="005F02FE"/>
    <w:rsid w:val="005F6F16"/>
    <w:rsid w:val="00614DB4"/>
    <w:rsid w:val="00616959"/>
    <w:rsid w:val="00620DCA"/>
    <w:rsid w:val="00624150"/>
    <w:rsid w:val="00625CDC"/>
    <w:rsid w:val="00626D0B"/>
    <w:rsid w:val="00627AE6"/>
    <w:rsid w:val="006308A5"/>
    <w:rsid w:val="00630FA5"/>
    <w:rsid w:val="00644795"/>
    <w:rsid w:val="006515B9"/>
    <w:rsid w:val="006610DE"/>
    <w:rsid w:val="00676951"/>
    <w:rsid w:val="006779C4"/>
    <w:rsid w:val="00681993"/>
    <w:rsid w:val="0068236A"/>
    <w:rsid w:val="00686314"/>
    <w:rsid w:val="00686A91"/>
    <w:rsid w:val="006871EB"/>
    <w:rsid w:val="0069043B"/>
    <w:rsid w:val="006917BD"/>
    <w:rsid w:val="006A0D93"/>
    <w:rsid w:val="006B2198"/>
    <w:rsid w:val="006C5022"/>
    <w:rsid w:val="006D08DA"/>
    <w:rsid w:val="006D1788"/>
    <w:rsid w:val="006D4CE3"/>
    <w:rsid w:val="006E489F"/>
    <w:rsid w:val="006E640C"/>
    <w:rsid w:val="006F3750"/>
    <w:rsid w:val="00700671"/>
    <w:rsid w:val="00711152"/>
    <w:rsid w:val="007158D7"/>
    <w:rsid w:val="00717AFB"/>
    <w:rsid w:val="007211EA"/>
    <w:rsid w:val="00722D19"/>
    <w:rsid w:val="00723577"/>
    <w:rsid w:val="00732950"/>
    <w:rsid w:val="00740E43"/>
    <w:rsid w:val="00742962"/>
    <w:rsid w:val="00770915"/>
    <w:rsid w:val="0078122D"/>
    <w:rsid w:val="0078328A"/>
    <w:rsid w:val="0078352A"/>
    <w:rsid w:val="00784122"/>
    <w:rsid w:val="007847B7"/>
    <w:rsid w:val="007850C2"/>
    <w:rsid w:val="00791449"/>
    <w:rsid w:val="0079297D"/>
    <w:rsid w:val="007948B5"/>
    <w:rsid w:val="00796536"/>
    <w:rsid w:val="007965F7"/>
    <w:rsid w:val="00796CED"/>
    <w:rsid w:val="007A1C69"/>
    <w:rsid w:val="007A48A4"/>
    <w:rsid w:val="007B1A54"/>
    <w:rsid w:val="007C3008"/>
    <w:rsid w:val="007C56B5"/>
    <w:rsid w:val="007C635C"/>
    <w:rsid w:val="007E7CC0"/>
    <w:rsid w:val="007F1BA2"/>
    <w:rsid w:val="007F2E78"/>
    <w:rsid w:val="008056A2"/>
    <w:rsid w:val="00811535"/>
    <w:rsid w:val="008176F4"/>
    <w:rsid w:val="00823389"/>
    <w:rsid w:val="00826815"/>
    <w:rsid w:val="0082703E"/>
    <w:rsid w:val="00831B35"/>
    <w:rsid w:val="0085288F"/>
    <w:rsid w:val="008533B3"/>
    <w:rsid w:val="00863B60"/>
    <w:rsid w:val="00872462"/>
    <w:rsid w:val="008831EC"/>
    <w:rsid w:val="008855DF"/>
    <w:rsid w:val="00885A51"/>
    <w:rsid w:val="00885EDB"/>
    <w:rsid w:val="00886083"/>
    <w:rsid w:val="008916A2"/>
    <w:rsid w:val="00891E9E"/>
    <w:rsid w:val="00893BB5"/>
    <w:rsid w:val="00894306"/>
    <w:rsid w:val="008979C2"/>
    <w:rsid w:val="008B264B"/>
    <w:rsid w:val="008B4B9F"/>
    <w:rsid w:val="008B5314"/>
    <w:rsid w:val="008C17D5"/>
    <w:rsid w:val="008D5808"/>
    <w:rsid w:val="008D730C"/>
    <w:rsid w:val="008E161F"/>
    <w:rsid w:val="008E2BDA"/>
    <w:rsid w:val="008E3DC0"/>
    <w:rsid w:val="008E5068"/>
    <w:rsid w:val="008F02F7"/>
    <w:rsid w:val="008F29CA"/>
    <w:rsid w:val="008F345A"/>
    <w:rsid w:val="009028E1"/>
    <w:rsid w:val="0091594A"/>
    <w:rsid w:val="00915E43"/>
    <w:rsid w:val="009206AF"/>
    <w:rsid w:val="00920F1B"/>
    <w:rsid w:val="009212CB"/>
    <w:rsid w:val="0092373A"/>
    <w:rsid w:val="009251EC"/>
    <w:rsid w:val="00934624"/>
    <w:rsid w:val="00935676"/>
    <w:rsid w:val="0095223D"/>
    <w:rsid w:val="00953565"/>
    <w:rsid w:val="00971B2B"/>
    <w:rsid w:val="00973776"/>
    <w:rsid w:val="00977D03"/>
    <w:rsid w:val="0098112D"/>
    <w:rsid w:val="009814AF"/>
    <w:rsid w:val="00990C0C"/>
    <w:rsid w:val="0099211A"/>
    <w:rsid w:val="00992CD3"/>
    <w:rsid w:val="009A1AE6"/>
    <w:rsid w:val="009A411F"/>
    <w:rsid w:val="009A6B5D"/>
    <w:rsid w:val="009C20A7"/>
    <w:rsid w:val="009C7393"/>
    <w:rsid w:val="009D05CC"/>
    <w:rsid w:val="009D31C6"/>
    <w:rsid w:val="009D38A2"/>
    <w:rsid w:val="009E115F"/>
    <w:rsid w:val="009E3FF7"/>
    <w:rsid w:val="009F2D35"/>
    <w:rsid w:val="009F5742"/>
    <w:rsid w:val="009F7156"/>
    <w:rsid w:val="00A004B6"/>
    <w:rsid w:val="00A11CD7"/>
    <w:rsid w:val="00A14DEB"/>
    <w:rsid w:val="00A20289"/>
    <w:rsid w:val="00A22128"/>
    <w:rsid w:val="00A30B14"/>
    <w:rsid w:val="00A37608"/>
    <w:rsid w:val="00A43524"/>
    <w:rsid w:val="00A46EDD"/>
    <w:rsid w:val="00A54337"/>
    <w:rsid w:val="00A56D75"/>
    <w:rsid w:val="00A572F7"/>
    <w:rsid w:val="00A57CCD"/>
    <w:rsid w:val="00A6345E"/>
    <w:rsid w:val="00A70315"/>
    <w:rsid w:val="00A76977"/>
    <w:rsid w:val="00A83162"/>
    <w:rsid w:val="00A8448D"/>
    <w:rsid w:val="00A85B41"/>
    <w:rsid w:val="00A9453B"/>
    <w:rsid w:val="00AA0418"/>
    <w:rsid w:val="00AA0C84"/>
    <w:rsid w:val="00AA1051"/>
    <w:rsid w:val="00AA1399"/>
    <w:rsid w:val="00AA65C4"/>
    <w:rsid w:val="00AC5D1C"/>
    <w:rsid w:val="00AD76FD"/>
    <w:rsid w:val="00AE5502"/>
    <w:rsid w:val="00AF19C5"/>
    <w:rsid w:val="00AF3F2B"/>
    <w:rsid w:val="00AF46AC"/>
    <w:rsid w:val="00AF799B"/>
    <w:rsid w:val="00AF7C0A"/>
    <w:rsid w:val="00B02038"/>
    <w:rsid w:val="00B102BA"/>
    <w:rsid w:val="00B11C57"/>
    <w:rsid w:val="00B1236B"/>
    <w:rsid w:val="00B1457D"/>
    <w:rsid w:val="00B2365C"/>
    <w:rsid w:val="00B263ED"/>
    <w:rsid w:val="00B271D2"/>
    <w:rsid w:val="00B30962"/>
    <w:rsid w:val="00B317C8"/>
    <w:rsid w:val="00B3558B"/>
    <w:rsid w:val="00B4398E"/>
    <w:rsid w:val="00B44533"/>
    <w:rsid w:val="00B530D8"/>
    <w:rsid w:val="00B5650D"/>
    <w:rsid w:val="00B57134"/>
    <w:rsid w:val="00B600A0"/>
    <w:rsid w:val="00B6257E"/>
    <w:rsid w:val="00B65298"/>
    <w:rsid w:val="00B70634"/>
    <w:rsid w:val="00B71284"/>
    <w:rsid w:val="00B74080"/>
    <w:rsid w:val="00B83BD5"/>
    <w:rsid w:val="00B866F2"/>
    <w:rsid w:val="00B90BF2"/>
    <w:rsid w:val="00B90F02"/>
    <w:rsid w:val="00B91B49"/>
    <w:rsid w:val="00BA1B1D"/>
    <w:rsid w:val="00BB13D9"/>
    <w:rsid w:val="00BC191E"/>
    <w:rsid w:val="00BE1DF7"/>
    <w:rsid w:val="00BE2563"/>
    <w:rsid w:val="00C006A9"/>
    <w:rsid w:val="00C17426"/>
    <w:rsid w:val="00C174C3"/>
    <w:rsid w:val="00C23DB0"/>
    <w:rsid w:val="00C24833"/>
    <w:rsid w:val="00C25668"/>
    <w:rsid w:val="00C3427C"/>
    <w:rsid w:val="00C40B10"/>
    <w:rsid w:val="00C42F4A"/>
    <w:rsid w:val="00C44A27"/>
    <w:rsid w:val="00C507A5"/>
    <w:rsid w:val="00C5120F"/>
    <w:rsid w:val="00C528DE"/>
    <w:rsid w:val="00C60601"/>
    <w:rsid w:val="00C62B11"/>
    <w:rsid w:val="00C64DA5"/>
    <w:rsid w:val="00C71A79"/>
    <w:rsid w:val="00C72366"/>
    <w:rsid w:val="00C73937"/>
    <w:rsid w:val="00C80DF9"/>
    <w:rsid w:val="00C918B9"/>
    <w:rsid w:val="00C933CF"/>
    <w:rsid w:val="00C9346F"/>
    <w:rsid w:val="00C95DCC"/>
    <w:rsid w:val="00CA00C5"/>
    <w:rsid w:val="00CA0C01"/>
    <w:rsid w:val="00CB72F2"/>
    <w:rsid w:val="00CC5045"/>
    <w:rsid w:val="00CC5937"/>
    <w:rsid w:val="00CE39C6"/>
    <w:rsid w:val="00CE699C"/>
    <w:rsid w:val="00CF608F"/>
    <w:rsid w:val="00D001CE"/>
    <w:rsid w:val="00D02046"/>
    <w:rsid w:val="00D02978"/>
    <w:rsid w:val="00D0355F"/>
    <w:rsid w:val="00D10A3D"/>
    <w:rsid w:val="00D132DA"/>
    <w:rsid w:val="00D15E13"/>
    <w:rsid w:val="00D20180"/>
    <w:rsid w:val="00D30EAC"/>
    <w:rsid w:val="00D40A97"/>
    <w:rsid w:val="00D43066"/>
    <w:rsid w:val="00D43638"/>
    <w:rsid w:val="00D44383"/>
    <w:rsid w:val="00D56C61"/>
    <w:rsid w:val="00D56E29"/>
    <w:rsid w:val="00D57278"/>
    <w:rsid w:val="00D63FE2"/>
    <w:rsid w:val="00D7725C"/>
    <w:rsid w:val="00D80655"/>
    <w:rsid w:val="00D90E86"/>
    <w:rsid w:val="00D95280"/>
    <w:rsid w:val="00DA08A5"/>
    <w:rsid w:val="00DA388B"/>
    <w:rsid w:val="00DB236E"/>
    <w:rsid w:val="00DB2DA5"/>
    <w:rsid w:val="00DB33FD"/>
    <w:rsid w:val="00DB747D"/>
    <w:rsid w:val="00DB752E"/>
    <w:rsid w:val="00DB7BBC"/>
    <w:rsid w:val="00DC0DE4"/>
    <w:rsid w:val="00DD1661"/>
    <w:rsid w:val="00DD19CD"/>
    <w:rsid w:val="00DD2BF3"/>
    <w:rsid w:val="00DD415E"/>
    <w:rsid w:val="00DE0E67"/>
    <w:rsid w:val="00DE4420"/>
    <w:rsid w:val="00DE4E9C"/>
    <w:rsid w:val="00DE6505"/>
    <w:rsid w:val="00DF4375"/>
    <w:rsid w:val="00E05AEA"/>
    <w:rsid w:val="00E13ADA"/>
    <w:rsid w:val="00E172DB"/>
    <w:rsid w:val="00E24008"/>
    <w:rsid w:val="00E24FAC"/>
    <w:rsid w:val="00E36163"/>
    <w:rsid w:val="00E453B2"/>
    <w:rsid w:val="00E45FB1"/>
    <w:rsid w:val="00E479F3"/>
    <w:rsid w:val="00E47FC9"/>
    <w:rsid w:val="00E50106"/>
    <w:rsid w:val="00E51EA6"/>
    <w:rsid w:val="00E53DED"/>
    <w:rsid w:val="00E54D04"/>
    <w:rsid w:val="00E57BC8"/>
    <w:rsid w:val="00E60F9F"/>
    <w:rsid w:val="00E616C3"/>
    <w:rsid w:val="00E6191E"/>
    <w:rsid w:val="00E64365"/>
    <w:rsid w:val="00E657EB"/>
    <w:rsid w:val="00E74AD8"/>
    <w:rsid w:val="00E7602B"/>
    <w:rsid w:val="00E81534"/>
    <w:rsid w:val="00E85359"/>
    <w:rsid w:val="00E87370"/>
    <w:rsid w:val="00E87EE7"/>
    <w:rsid w:val="00E92A95"/>
    <w:rsid w:val="00E94424"/>
    <w:rsid w:val="00E95AE2"/>
    <w:rsid w:val="00EA6651"/>
    <w:rsid w:val="00EB0D3C"/>
    <w:rsid w:val="00EB188A"/>
    <w:rsid w:val="00EB2362"/>
    <w:rsid w:val="00EB52FE"/>
    <w:rsid w:val="00EB5A7E"/>
    <w:rsid w:val="00EC188C"/>
    <w:rsid w:val="00EC1A06"/>
    <w:rsid w:val="00ED26AE"/>
    <w:rsid w:val="00ED3798"/>
    <w:rsid w:val="00ED3E9D"/>
    <w:rsid w:val="00EF24E3"/>
    <w:rsid w:val="00EF3482"/>
    <w:rsid w:val="00EF52FF"/>
    <w:rsid w:val="00F11C32"/>
    <w:rsid w:val="00F17680"/>
    <w:rsid w:val="00F20B85"/>
    <w:rsid w:val="00F21C92"/>
    <w:rsid w:val="00F260FA"/>
    <w:rsid w:val="00F33CC2"/>
    <w:rsid w:val="00F432DB"/>
    <w:rsid w:val="00F45164"/>
    <w:rsid w:val="00F452D4"/>
    <w:rsid w:val="00F47E53"/>
    <w:rsid w:val="00F638C1"/>
    <w:rsid w:val="00F7048D"/>
    <w:rsid w:val="00F71752"/>
    <w:rsid w:val="00F84C92"/>
    <w:rsid w:val="00F91812"/>
    <w:rsid w:val="00F93923"/>
    <w:rsid w:val="00FA4295"/>
    <w:rsid w:val="00FA463E"/>
    <w:rsid w:val="00FA6DE7"/>
    <w:rsid w:val="00FA72CB"/>
    <w:rsid w:val="00FA7393"/>
    <w:rsid w:val="00FB04C9"/>
    <w:rsid w:val="00FB319C"/>
    <w:rsid w:val="00FC0120"/>
    <w:rsid w:val="00FC195B"/>
    <w:rsid w:val="00FD3BA8"/>
    <w:rsid w:val="00FD467E"/>
    <w:rsid w:val="00FE14F4"/>
    <w:rsid w:val="00FE3049"/>
    <w:rsid w:val="00FE6BF9"/>
    <w:rsid w:val="00FF04B5"/>
    <w:rsid w:val="00FF4BBE"/>
    <w:rsid w:val="00FF778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7B97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C1544"/>
  </w:style>
  <w:style w:type="paragraph" w:styleId="ListParagraph">
    <w:name w:val="List Paragraph"/>
    <w:basedOn w:val="Normal"/>
    <w:uiPriority w:val="34"/>
    <w:qFormat/>
    <w:rsid w:val="001624E6"/>
    <w:pPr>
      <w:ind w:left="720"/>
      <w:contextualSpacing/>
    </w:pPr>
  </w:style>
  <w:style w:type="paragraph" w:styleId="BalloonText">
    <w:name w:val="Balloon Text"/>
    <w:basedOn w:val="Normal"/>
    <w:link w:val="BalloonTextChar"/>
    <w:uiPriority w:val="99"/>
    <w:semiHidden/>
    <w:unhideWhenUsed/>
    <w:rsid w:val="005E2734"/>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5E2734"/>
    <w:rPr>
      <w:rFonts w:ascii="Times New Roman" w:hAnsi="Times New Roman" w:cs="Mangal"/>
      <w:sz w:val="18"/>
      <w:szCs w:val="16"/>
    </w:rPr>
  </w:style>
  <w:style w:type="character" w:styleId="CommentReference">
    <w:name w:val="annotation reference"/>
    <w:basedOn w:val="DefaultParagraphFont"/>
    <w:uiPriority w:val="99"/>
    <w:semiHidden/>
    <w:unhideWhenUsed/>
    <w:rsid w:val="004E4867"/>
    <w:rPr>
      <w:sz w:val="16"/>
      <w:szCs w:val="16"/>
    </w:rPr>
  </w:style>
  <w:style w:type="paragraph" w:styleId="CommentText">
    <w:name w:val="annotation text"/>
    <w:basedOn w:val="Normal"/>
    <w:link w:val="CommentTextChar"/>
    <w:uiPriority w:val="99"/>
    <w:semiHidden/>
    <w:unhideWhenUsed/>
    <w:rsid w:val="004E4867"/>
    <w:rPr>
      <w:sz w:val="20"/>
      <w:szCs w:val="18"/>
    </w:rPr>
  </w:style>
  <w:style w:type="character" w:customStyle="1" w:styleId="CommentTextChar">
    <w:name w:val="Comment Text Char"/>
    <w:basedOn w:val="DefaultParagraphFont"/>
    <w:link w:val="CommentText"/>
    <w:uiPriority w:val="99"/>
    <w:semiHidden/>
    <w:rsid w:val="004E4867"/>
    <w:rPr>
      <w:sz w:val="20"/>
      <w:szCs w:val="18"/>
    </w:rPr>
  </w:style>
  <w:style w:type="paragraph" w:styleId="CommentSubject">
    <w:name w:val="annotation subject"/>
    <w:basedOn w:val="CommentText"/>
    <w:next w:val="CommentText"/>
    <w:link w:val="CommentSubjectChar"/>
    <w:uiPriority w:val="99"/>
    <w:semiHidden/>
    <w:unhideWhenUsed/>
    <w:rsid w:val="004E4867"/>
    <w:rPr>
      <w:b/>
      <w:bCs/>
    </w:rPr>
  </w:style>
  <w:style w:type="character" w:customStyle="1" w:styleId="CommentSubjectChar">
    <w:name w:val="Comment Subject Char"/>
    <w:basedOn w:val="CommentTextChar"/>
    <w:link w:val="CommentSubject"/>
    <w:uiPriority w:val="99"/>
    <w:semiHidden/>
    <w:rsid w:val="004E4867"/>
    <w:rPr>
      <w:b/>
      <w:bCs/>
      <w:sz w:val="20"/>
      <w:szCs w:val="18"/>
    </w:rPr>
  </w:style>
  <w:style w:type="paragraph" w:customStyle="1" w:styleId="EndNoteBibliographyTitle">
    <w:name w:val="EndNote Bibliography Title"/>
    <w:basedOn w:val="Normal"/>
    <w:link w:val="EndNoteBibliographyTitleChar"/>
    <w:rsid w:val="00F7048D"/>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F7048D"/>
    <w:rPr>
      <w:rFonts w:ascii="Calibri" w:hAnsi="Calibri" w:cs="Calibri"/>
    </w:rPr>
  </w:style>
  <w:style w:type="paragraph" w:customStyle="1" w:styleId="EndNoteBibliography">
    <w:name w:val="EndNote Bibliography"/>
    <w:basedOn w:val="Normal"/>
    <w:link w:val="EndNoteBibliographyChar"/>
    <w:rsid w:val="00F7048D"/>
    <w:pPr>
      <w:jc w:val="both"/>
    </w:pPr>
    <w:rPr>
      <w:rFonts w:ascii="Calibri" w:hAnsi="Calibri" w:cs="Calibri"/>
    </w:rPr>
  </w:style>
  <w:style w:type="character" w:customStyle="1" w:styleId="EndNoteBibliographyChar">
    <w:name w:val="EndNote Bibliography Char"/>
    <w:basedOn w:val="DefaultParagraphFont"/>
    <w:link w:val="EndNoteBibliography"/>
    <w:rsid w:val="00F7048D"/>
    <w:rPr>
      <w:rFonts w:ascii="Calibri" w:hAnsi="Calibri" w:cs="Calibri"/>
    </w:rPr>
  </w:style>
  <w:style w:type="table" w:styleId="TableGrid">
    <w:name w:val="Table Grid"/>
    <w:basedOn w:val="TableNormal"/>
    <w:uiPriority w:val="39"/>
    <w:rsid w:val="0085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3923"/>
    <w:rPr>
      <w:color w:val="0563C1" w:themeColor="hyperlink"/>
      <w:u w:val="single"/>
    </w:rPr>
  </w:style>
  <w:style w:type="character" w:customStyle="1" w:styleId="UnresolvedMention1">
    <w:name w:val="Unresolved Mention1"/>
    <w:basedOn w:val="DefaultParagraphFont"/>
    <w:uiPriority w:val="99"/>
    <w:rsid w:val="00F93923"/>
    <w:rPr>
      <w:color w:val="605E5C"/>
      <w:shd w:val="clear" w:color="auto" w:fill="E1DFDD"/>
    </w:rPr>
  </w:style>
  <w:style w:type="character" w:styleId="FollowedHyperlink">
    <w:name w:val="FollowedHyperlink"/>
    <w:basedOn w:val="DefaultParagraphFont"/>
    <w:uiPriority w:val="99"/>
    <w:semiHidden/>
    <w:unhideWhenUsed/>
    <w:rsid w:val="00270D11"/>
    <w:rPr>
      <w:color w:val="954F72" w:themeColor="followedHyperlink"/>
      <w:u w:val="single"/>
    </w:rPr>
  </w:style>
  <w:style w:type="paragraph" w:styleId="Revision">
    <w:name w:val="Revision"/>
    <w:hidden/>
    <w:uiPriority w:val="99"/>
    <w:semiHidden/>
    <w:rsid w:val="0098112D"/>
  </w:style>
  <w:style w:type="paragraph" w:styleId="EndnoteText">
    <w:name w:val="endnote text"/>
    <w:basedOn w:val="Normal"/>
    <w:link w:val="EndnoteTextChar"/>
    <w:uiPriority w:val="99"/>
    <w:semiHidden/>
    <w:unhideWhenUsed/>
    <w:rsid w:val="006779C4"/>
    <w:rPr>
      <w:sz w:val="20"/>
      <w:szCs w:val="18"/>
    </w:rPr>
  </w:style>
  <w:style w:type="character" w:customStyle="1" w:styleId="EndnoteTextChar">
    <w:name w:val="Endnote Text Char"/>
    <w:basedOn w:val="DefaultParagraphFont"/>
    <w:link w:val="EndnoteText"/>
    <w:uiPriority w:val="99"/>
    <w:semiHidden/>
    <w:rsid w:val="006779C4"/>
    <w:rPr>
      <w:sz w:val="20"/>
      <w:szCs w:val="18"/>
    </w:rPr>
  </w:style>
  <w:style w:type="character" w:styleId="EndnoteReference">
    <w:name w:val="endnote reference"/>
    <w:basedOn w:val="DefaultParagraphFont"/>
    <w:uiPriority w:val="99"/>
    <w:semiHidden/>
    <w:unhideWhenUsed/>
    <w:rsid w:val="006779C4"/>
    <w:rPr>
      <w:vertAlign w:val="superscript"/>
    </w:rPr>
  </w:style>
  <w:style w:type="numbering" w:customStyle="1" w:styleId="Style1">
    <w:name w:val="Style1"/>
    <w:uiPriority w:val="99"/>
    <w:rsid w:val="00DB7BBC"/>
    <w:pPr>
      <w:numPr>
        <w:numId w:val="10"/>
      </w:numPr>
    </w:pPr>
  </w:style>
  <w:style w:type="character" w:styleId="UnresolvedMention">
    <w:name w:val="Unresolved Mention"/>
    <w:basedOn w:val="DefaultParagraphFont"/>
    <w:uiPriority w:val="99"/>
    <w:rsid w:val="00164267"/>
    <w:rPr>
      <w:color w:val="605E5C"/>
      <w:shd w:val="clear" w:color="auto" w:fill="E1DFDD"/>
    </w:rPr>
  </w:style>
  <w:style w:type="paragraph" w:styleId="Header">
    <w:name w:val="header"/>
    <w:basedOn w:val="Normal"/>
    <w:link w:val="HeaderChar"/>
    <w:uiPriority w:val="99"/>
    <w:unhideWhenUsed/>
    <w:rsid w:val="00164267"/>
    <w:pPr>
      <w:tabs>
        <w:tab w:val="center" w:pos="4680"/>
        <w:tab w:val="right" w:pos="9360"/>
      </w:tabs>
    </w:pPr>
  </w:style>
  <w:style w:type="character" w:customStyle="1" w:styleId="HeaderChar">
    <w:name w:val="Header Char"/>
    <w:basedOn w:val="DefaultParagraphFont"/>
    <w:link w:val="Header"/>
    <w:uiPriority w:val="99"/>
    <w:rsid w:val="00164267"/>
  </w:style>
  <w:style w:type="paragraph" w:styleId="Footer">
    <w:name w:val="footer"/>
    <w:basedOn w:val="Normal"/>
    <w:link w:val="FooterChar"/>
    <w:uiPriority w:val="99"/>
    <w:unhideWhenUsed/>
    <w:rsid w:val="00164267"/>
    <w:pPr>
      <w:tabs>
        <w:tab w:val="center" w:pos="4680"/>
        <w:tab w:val="right" w:pos="9360"/>
      </w:tabs>
    </w:pPr>
  </w:style>
  <w:style w:type="character" w:customStyle="1" w:styleId="FooterChar">
    <w:name w:val="Footer Char"/>
    <w:basedOn w:val="DefaultParagraphFont"/>
    <w:link w:val="Footer"/>
    <w:uiPriority w:val="99"/>
    <w:rsid w:val="00164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9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3FDE486F49764DA639306CD0E459A1" ma:contentTypeVersion="2" ma:contentTypeDescription="Create a new document." ma:contentTypeScope="" ma:versionID="d6053352bd17280617d1abf2f4702e0b">
  <xsd:schema xmlns:xsd="http://www.w3.org/2001/XMLSchema" xmlns:xs="http://www.w3.org/2001/XMLSchema" xmlns:p="http://schemas.microsoft.com/office/2006/metadata/properties" xmlns:ns3="30b54ca6-068c-448a-840f-79527a21b7e4" targetNamespace="http://schemas.microsoft.com/office/2006/metadata/properties" ma:root="true" ma:fieldsID="7c73026244c5a10e35c642166e0409a0" ns3:_="">
    <xsd:import namespace="30b54ca6-068c-448a-840f-79527a21b7e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54ca6-068c-448a-840f-79527a21b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0B4E2-6D27-4CA0-A3C3-725DBF2387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20BCE1-3476-499E-BF87-CD3C76AFA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54ca6-068c-448a-840f-79527a21b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34506-2A3F-4692-9E2F-0F5E0F735C8F}">
  <ds:schemaRefs>
    <ds:schemaRef ds:uri="http://schemas.microsoft.com/sharepoint/v3/contenttype/forms"/>
  </ds:schemaRefs>
</ds:datastoreItem>
</file>

<file path=customXml/itemProps4.xml><?xml version="1.0" encoding="utf-8"?>
<ds:datastoreItem xmlns:ds="http://schemas.openxmlformats.org/officeDocument/2006/customXml" ds:itemID="{E581CAB1-2C03-45E0-B069-433E58484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4519</Words>
  <Characters>25760</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2019-08-29T14:17:00Z</cp:lastPrinted>
  <dcterms:created xsi:type="dcterms:W3CDTF">2019-09-10T13:41:00Z</dcterms:created>
  <dcterms:modified xsi:type="dcterms:W3CDTF">2019-09-11T11:49:00Z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0x010100D03FDE486F49764DA639306CD0E459A1</vt:lpwstr>
  </property>
</Properties>
</file>