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Reply to the Editors &amp; reviewers</w:t>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Comments/questions : black font</w:t>
      </w:r>
    </w:p>
    <w:p w:rsidR="00000000" w:rsidDel="00000000" w:rsidP="00000000" w:rsidRDefault="00000000" w:rsidRPr="00000000" w14:paraId="00000003">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Replies: blue font</w:t>
      </w:r>
    </w:p>
    <w:p w:rsidR="00000000" w:rsidDel="00000000" w:rsidP="00000000" w:rsidRDefault="00000000" w:rsidRPr="00000000" w14:paraId="00000004">
      <w:pPr>
        <w:spacing w:after="240" w:before="240" w:lineRule="auto"/>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Excerpts from the manuscript : Italic</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Editors comments:</w:t>
      </w:r>
      <w:r w:rsidDel="00000000" w:rsidR="00000000" w:rsidRPr="00000000">
        <w:rPr>
          <w:rtl w:val="0"/>
        </w:rPr>
      </w:r>
    </w:p>
    <w:p w:rsidR="00000000" w:rsidDel="00000000" w:rsidP="00000000" w:rsidRDefault="00000000" w:rsidRPr="00000000" w14:paraId="00000006">
      <w:pPr>
        <w:spacing w:after="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Editorial comments:</w:t>
      </w:r>
    </w:p>
    <w:p w:rsidR="00000000" w:rsidDel="00000000" w:rsidP="00000000" w:rsidRDefault="00000000" w:rsidRPr="00000000" w14:paraId="00000008">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Abstracts: Please reduce the summary to 50 words.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Thank you for pointing this out to us, we have rewritten the summary to be less than 50 words as requested.</w:t>
      </w:r>
      <w:r w:rsidDel="00000000" w:rsidR="00000000" w:rsidRPr="00000000">
        <w:rPr>
          <w:rtl w:val="0"/>
        </w:rPr>
      </w:r>
    </w:p>
    <w:p w:rsidR="00000000" w:rsidDel="00000000" w:rsidP="00000000" w:rsidRDefault="00000000" w:rsidRPr="00000000" w14:paraId="0000000A">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Textual Overlap: Significant portions show significant overlap with previously published work. Please re-write the text on lines </w:t>
      </w:r>
      <w:r w:rsidDel="00000000" w:rsidR="00000000" w:rsidRPr="00000000">
        <w:rPr>
          <w:rFonts w:ascii="Times New Roman" w:cs="Times New Roman" w:eastAsia="Times New Roman" w:hAnsi="Times New Roman"/>
          <w:sz w:val="24"/>
          <w:szCs w:val="24"/>
          <w:rtl w:val="0"/>
        </w:rPr>
        <w:t xml:space="preserve">115-126, 201-211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223-259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280-292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339-250</w:t>
      </w:r>
      <w:r w:rsidDel="00000000" w:rsidR="00000000" w:rsidRPr="00000000">
        <w:rPr>
          <w:rFonts w:ascii="Times New Roman" w:cs="Times New Roman" w:eastAsia="Times New Roman" w:hAnsi="Times New Roman"/>
          <w:sz w:val="24"/>
          <w:szCs w:val="24"/>
          <w:rtl w:val="0"/>
        </w:rPr>
        <w:t xml:space="preserve"> to avoid this overlap.</w:t>
      </w:r>
    </w:p>
    <w:p w:rsidR="00000000" w:rsidDel="00000000" w:rsidP="00000000" w:rsidRDefault="00000000" w:rsidRPr="00000000" w14:paraId="0000000B">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the comment, we rewrote the text that you kindly pointed out.</w:t>
      </w:r>
    </w:p>
    <w:p w:rsidR="00000000" w:rsidDel="00000000" w:rsidP="00000000" w:rsidRDefault="00000000" w:rsidRPr="00000000" w14:paraId="0000000C">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Protocol Detail: Please note that your protocol will be used to generate the script for the video, and must contain everything that you would like shown in the video.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000000" w:rsidDel="00000000" w:rsidP="00000000" w:rsidRDefault="00000000" w:rsidRPr="00000000" w14:paraId="0000000D">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the comment, we tried our best to add all the relevant details. However, it must be noted that certain steps (instrument optimization, statistical analysis, microscope operation) are experiment and instrument specific. Therefore, we have elected to describe how to perform these steps, rather than present a detailed step-by-step (button clicks, etc) instructions. We hope that this approach allows gives the reader the flexibility in adapting this protocol to different experiments/instruments.</w:t>
      </w:r>
    </w:p>
    <w:p w:rsidR="00000000" w:rsidDel="00000000" w:rsidP="00000000" w:rsidRDefault="00000000" w:rsidRPr="00000000" w14:paraId="0000000E">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Protocol Highlight: Please highlight ~2.5 pages or less of text (which includes headings and spaces) in yellow, to identify which steps should be visualized to tell the most cohesive story of your protocol steps.</w:t>
      </w:r>
    </w:p>
    <w:p w:rsidR="00000000" w:rsidDel="00000000" w:rsidP="00000000" w:rsidRDefault="00000000" w:rsidRPr="00000000" w14:paraId="0000000F">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000000" w:rsidDel="00000000" w:rsidP="00000000" w:rsidRDefault="00000000" w:rsidRPr="00000000" w14:paraId="0000001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highlighted steps should form a cohesive narrative, that is, there must be a logical flow from one highlighted step to the next.</w:t>
      </w:r>
      <w:r w:rsidDel="00000000" w:rsidR="00000000" w:rsidRPr="00000000">
        <w:rPr>
          <w:rtl w:val="0"/>
        </w:rPr>
      </w:r>
    </w:p>
    <w:p w:rsidR="00000000" w:rsidDel="00000000" w:rsidP="00000000" w:rsidRDefault="00000000" w:rsidRPr="00000000" w14:paraId="0000001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Please highlight complete sentences (not parts of sentences). Include sub-headings and spaces when calculating the final highlighted length.</w:t>
      </w:r>
    </w:p>
    <w:p w:rsidR="00000000" w:rsidDel="00000000" w:rsidP="00000000" w:rsidRDefault="00000000" w:rsidRPr="00000000" w14:paraId="00000012">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Notes cannot be filmed and should be excluded from highlighting.</w:t>
      </w:r>
    </w:p>
    <w:p w:rsidR="00000000" w:rsidDel="00000000" w:rsidP="00000000" w:rsidRDefault="00000000" w:rsidRPr="00000000" w14:paraId="00000013">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Please ensure that the manuscript title best represents the highlighted portions.</w:t>
      </w:r>
    </w:p>
    <w:p w:rsidR="00000000" w:rsidDel="00000000" w:rsidP="00000000" w:rsidRDefault="00000000" w:rsidRPr="00000000" w14:paraId="00000014">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pointing this out to us, we have highlighted the portions of the protocol that we think form a cohesive narrative.</w:t>
      </w:r>
    </w:p>
    <w:p w:rsidR="00000000" w:rsidDel="00000000" w:rsidP="00000000" w:rsidRDefault="00000000" w:rsidRPr="00000000" w14:paraId="00000015">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 Discussion: JoVE articles are focused on the methods and the protocol, thus the discussion should be similarly focused</w:t>
      </w:r>
      <w:r w:rsidDel="00000000" w:rsidR="00000000" w:rsidRPr="00000000">
        <w:rPr>
          <w:rFonts w:ascii="Times New Roman" w:cs="Times New Roman" w:eastAsia="Times New Roman" w:hAnsi="Times New Roman"/>
          <w:b w:val="1"/>
          <w:sz w:val="24"/>
          <w:szCs w:val="24"/>
          <w:rtl w:val="0"/>
        </w:rPr>
        <w:t xml:space="preserve">.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Del="00000000" w:rsidR="00000000" w:rsidRPr="00000000">
        <w:rPr>
          <w:rtl w:val="0"/>
        </w:rPr>
      </w:r>
    </w:p>
    <w:p w:rsidR="00000000" w:rsidDel="00000000" w:rsidP="00000000" w:rsidRDefault="00000000" w:rsidRPr="00000000" w14:paraId="00000016">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Thank you for highlighting this issue to us. We have rearranged the discussion into the following format: 1 paragraph to summarize the method, 1 paragraph discussing critical issues in the protocol, 1 paragraph discussing the limitations of the method, and 1 paragraph discussing integration with other techniques and future applications.</w:t>
      </w:r>
      <w:r w:rsidDel="00000000" w:rsidR="00000000" w:rsidRPr="00000000">
        <w:rPr>
          <w:rtl w:val="0"/>
        </w:rPr>
      </w:r>
    </w:p>
    <w:p w:rsidR="00000000" w:rsidDel="00000000" w:rsidP="00000000" w:rsidRDefault="00000000" w:rsidRPr="00000000" w14:paraId="0000001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Figures: Please remove the embedded figures from the manuscript. Figure legends, however, should remain within the manuscript text, directly below the Representative Results text.</w:t>
      </w:r>
    </w:p>
    <w:p w:rsidR="00000000" w:rsidDel="00000000" w:rsidP="00000000" w:rsidRDefault="00000000" w:rsidRPr="00000000" w14:paraId="00000018">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pointing this out to us, we have removed the embedded figures, and kept the figure legends below the representative results text</w:t>
      </w:r>
    </w:p>
    <w:p w:rsidR="00000000" w:rsidDel="00000000" w:rsidP="00000000" w:rsidRDefault="00000000" w:rsidRPr="00000000" w14:paraId="0000001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Figure/Table Legends: Please the error bars/box boundaries in fig 4.</w:t>
      </w:r>
    </w:p>
    <w:p w:rsidR="00000000" w:rsidDel="00000000" w:rsidP="00000000" w:rsidRDefault="00000000" w:rsidRPr="00000000" w14:paraId="0000001A">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Figure 4 is being re-used from an earlier publication done by us (with the publishers’ permission of course), unfortunately, we cannot modify the figure since it represents the data obtained from that experiment. </w:t>
      </w:r>
    </w:p>
    <w:p w:rsidR="00000000" w:rsidDel="00000000" w:rsidP="00000000" w:rsidRDefault="00000000" w:rsidRPr="00000000" w14:paraId="0000001B">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Please spell out journal names.</w:t>
      </w:r>
    </w:p>
    <w:p w:rsidR="00000000" w:rsidDel="00000000" w:rsidP="00000000" w:rsidRDefault="00000000" w:rsidRPr="00000000" w14:paraId="0000001C">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the suggestion, we re-formatted all references according to JoVe guidelines.</w:t>
      </w:r>
    </w:p>
    <w:p w:rsidR="00000000" w:rsidDel="00000000" w:rsidP="00000000" w:rsidRDefault="00000000" w:rsidRPr="00000000" w14:paraId="0000001D">
      <w:pPr>
        <w:spacing w:after="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Commercial Language:JoVE is unable to publish manuscripts containing commercial sounding language, including trademark or registered trademark symbols (TM/R) and the mention of company brand names before an instrument or reagent. Examples of commercial sounding language in your manuscript are Sigma-Aldrich, Hyclone laboratories, Nacalai Tesque, MC0−19A1C, Sanyo Electric Co., Matsunami, (Cell Applications Inc, Ventus, Laser Quantum, PIXIS BR400, Princeton, Olympus, (ibidi, FluoroBrite, Thermo Fisher Scientific, ModPoly, AirPLS, Q-Exactive Orbitrap, etc</w:t>
      </w:r>
    </w:p>
    <w:p w:rsidR="00000000" w:rsidDel="00000000" w:rsidP="00000000" w:rsidRDefault="00000000" w:rsidRPr="00000000" w14:paraId="0000001E">
      <w:pPr>
        <w:spacing w:after="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pointing out this issue for us, we have removed all commercial sounding language from the manuscript.</w:t>
      </w:r>
    </w:p>
    <w:p w:rsidR="00000000" w:rsidDel="00000000" w:rsidP="00000000" w:rsidRDefault="00000000" w:rsidRPr="00000000" w14:paraId="0000001F">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If your figures and tables are original and not published previously or you have already obtained figure permissions, please ignore this comment. If you are re-using figures from a previous publication,</w:t>
      </w:r>
      <w:r w:rsidDel="00000000" w:rsidR="00000000" w:rsidRPr="00000000">
        <w:rPr>
          <w:rFonts w:ascii="Times New Roman" w:cs="Times New Roman" w:eastAsia="Times New Roman" w:hAnsi="Times New Roman"/>
          <w:b w:val="1"/>
          <w:sz w:val="24"/>
          <w:szCs w:val="24"/>
          <w:rtl w:val="0"/>
        </w:rPr>
        <w:t xml:space="preserve">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000000" w:rsidDel="00000000" w:rsidP="00000000" w:rsidRDefault="00000000" w:rsidRPr="00000000" w14:paraId="0000002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We have obtained permission from the publishers to re-use the figures used in this manuscript, a copy of the e-mail granting us the permission has been included in the uploaded </w:t>
      </w:r>
      <w:r w:rsidDel="00000000" w:rsidR="00000000" w:rsidRPr="00000000">
        <w:rPr>
          <w:rFonts w:ascii="Times New Roman" w:cs="Times New Roman" w:eastAsia="Times New Roman" w:hAnsi="Times New Roman"/>
          <w:color w:val="0000ff"/>
          <w:sz w:val="24"/>
          <w:szCs w:val="24"/>
          <w:rtl w:val="0"/>
        </w:rPr>
        <w:t xml:space="preserve">documents.</w:t>
      </w:r>
      <w:r w:rsidDel="00000000" w:rsidR="00000000" w:rsidRPr="00000000">
        <w:rPr>
          <w:rFonts w:ascii="Times New Roman" w:cs="Times New Roman" w:eastAsia="Times New Roman" w:hAnsi="Times New Roman"/>
          <w:color w:val="0000ff"/>
          <w:sz w:val="24"/>
          <w:szCs w:val="24"/>
          <w:rtl w:val="0"/>
        </w:rPr>
        <w:t xml:space="preserve"> Furthermore, the figures that were reused were also referenced properly in the text. </w:t>
      </w:r>
      <w:r w:rsidDel="00000000" w:rsidR="00000000" w:rsidRPr="00000000">
        <w:rPr>
          <w:rtl w:val="0"/>
        </w:rPr>
      </w:r>
    </w:p>
    <w:p w:rsidR="00000000" w:rsidDel="00000000" w:rsidP="00000000" w:rsidRDefault="00000000" w:rsidRPr="00000000" w14:paraId="00000022">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Comments from Peer-Reviewers:</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Reviewer #1:</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Manuscript Summary:</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manuscript clearly describes the steps of the combination of Raman spectroscopy and LSC-MS analysis to provide a new method of analyzing drug uptake, metabolism and response in single cell level. Raman spectroscopy was used to determine the heterogeneity of drug treated and untreated cells based on the average spectra. The multivariate data analysis and machine learning were also utilized to predict the unknown cells. In addition, the LSC-MS can acquire the data which further provide the metabolites information such as the Tamoxifen and 4-OTH relative intensity. This method provides a new way to achieve the pharmacokinetics and pharmacodynamics in the drug screen and related research. I believe this manuscript need a minor review before publication.</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Concerns:</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 the cell culture protocol 1.4, the manuscript mentioned the synchronization of cell culture. Do you add any drug to synchronize the cells or just add culture medium?</w:t>
      </w:r>
    </w:p>
    <w:p w:rsidR="00000000" w:rsidDel="00000000" w:rsidP="00000000" w:rsidRDefault="00000000" w:rsidRPr="00000000" w14:paraId="0000002B">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No drug was added to synchronize the cells, instead, we just used culture media.</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 the data analysis 4.2, why the 500 cm-1 to 1800 cm-1 was selected, the author better provides more reasons of the spectra selection.</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The area from 500 (or 600?) to 1800 cm-1 is also called the fingerprint region, it provides many sharp peaks originating from various molecules. Further wavelengths are ‘silent’ (there is no peaks) and a high region around 2700-3100 cm-1 is sometimes used but somewhat less informative. This is a well known spectral range used for analysis by the community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To clarify this point further, we have added the following to the manuscript: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b w:val="1"/>
          <w:i w:val="1"/>
          <w:color w:val="0000ff"/>
          <w:sz w:val="24"/>
          <w:szCs w:val="24"/>
        </w:rPr>
      </w:pPr>
      <w:r w:rsidDel="00000000" w:rsidR="00000000" w:rsidRPr="00000000">
        <w:rPr>
          <w:rFonts w:ascii="Times New Roman" w:cs="Times New Roman" w:eastAsia="Times New Roman" w:hAnsi="Times New Roman"/>
          <w:b w:val="1"/>
          <w:i w:val="1"/>
          <w:color w:val="0000ff"/>
          <w:sz w:val="24"/>
          <w:szCs w:val="24"/>
          <w:rtl w:val="0"/>
        </w:rPr>
        <w:t xml:space="preserve">“</w:t>
      </w:r>
      <w:r w:rsidDel="00000000" w:rsidR="00000000" w:rsidRPr="00000000">
        <w:rPr>
          <w:rFonts w:ascii="Times New Roman" w:cs="Times New Roman" w:eastAsia="Times New Roman" w:hAnsi="Times New Roman"/>
          <w:i w:val="1"/>
          <w:color w:val="0000ff"/>
          <w:sz w:val="24"/>
          <w:szCs w:val="24"/>
          <w:rtl w:val="0"/>
        </w:rPr>
        <w:t xml:space="preserve">This spectral areas contains a high density of frequencies specific to molecules that generates Raman scattering”</w:t>
      </w: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 4.7, the description better provides full names of some terms such as SVM (Support Vector Machine), RMSE value and XIC for the people who is not familiar to the machine learning.</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Thank you for pointing out this issue for us, we have provided the full names for terms that might not be familiar to everyone.</w:t>
      </w:r>
      <w:r w:rsidDel="00000000" w:rsidR="00000000" w:rsidRPr="00000000">
        <w:rPr>
          <w:rtl w:val="0"/>
        </w:rPr>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 the results and discussion, author mentioned the prediction was high sensitivity (100%) and high specificity (72%). Could you please add some brief description of the sensitivity and specificity? Please show how you calculate these numbers (such as using what equation and provide the reference).</w:t>
      </w:r>
    </w:p>
    <w:p w:rsidR="00000000" w:rsidDel="00000000" w:rsidP="00000000" w:rsidRDefault="00000000" w:rsidRPr="00000000" w14:paraId="00000032">
      <w:pPr>
        <w:spacing w:after="240" w:before="240" w:lineRule="auto"/>
        <w:rPr/>
      </w:pPr>
      <w:r w:rsidDel="00000000" w:rsidR="00000000" w:rsidRPr="00000000">
        <w:rPr>
          <w:rFonts w:ascii="Times New Roman" w:cs="Times New Roman" w:eastAsia="Times New Roman" w:hAnsi="Times New Roman"/>
          <w:color w:val="0000ff"/>
          <w:sz w:val="24"/>
          <w:szCs w:val="24"/>
          <w:rtl w:val="0"/>
        </w:rPr>
        <w:t xml:space="preserve">Thank you for your suggestion. We have added the following to the manuscript to explain sensitivity and selectivity : </w:t>
      </w:r>
      <w:r w:rsidDel="00000000" w:rsidR="00000000" w:rsidRPr="00000000">
        <w:rPr>
          <w:rFonts w:ascii="Times New Roman" w:cs="Times New Roman" w:eastAsia="Times New Roman" w:hAnsi="Times New Roman"/>
          <w:i w:val="1"/>
          <w:color w:val="0000ff"/>
          <w:sz w:val="24"/>
          <w:szCs w:val="24"/>
          <w:rtl w:val="0"/>
        </w:rPr>
        <w:t xml:space="preserve">“</w:t>
      </w:r>
      <w:r w:rsidDel="00000000" w:rsidR="00000000" w:rsidRPr="00000000">
        <w:rPr>
          <w:i w:val="1"/>
          <w:color w:val="0000ff"/>
          <w:rtl w:val="0"/>
        </w:rPr>
        <w:t xml:space="preserve">Sensitivity is a measure of the true positives that were correctly identified by the model, while specificity is a measure of the actual negatives that were identified by the model.”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color w:val="0000ff"/>
          <w:rtl w:val="0"/>
        </w:rPr>
        <w:t xml:space="preserve">The model we use is a general PLS model, for which we have provided the necessary reference explaining the equation and how calculations are performed. Being a general model/widely used, we don’t think it is necessary to detail these aspects in this manuscript. As for calculating these numbers, we </w:t>
      </w:r>
      <w:r w:rsidDel="00000000" w:rsidR="00000000" w:rsidRPr="00000000">
        <w:rPr>
          <w:rFonts w:ascii="Times New Roman" w:cs="Times New Roman" w:eastAsia="Times New Roman" w:hAnsi="Times New Roman"/>
          <w:color w:val="0000ff"/>
          <w:sz w:val="24"/>
          <w:szCs w:val="24"/>
          <w:rtl w:val="0"/>
        </w:rPr>
        <w:t xml:space="preserve">have specified how the scores were obtained, however, the calculation itself is done by a commercial software (eigenvector). </w:t>
      </w:r>
      <w:r w:rsidDel="00000000" w:rsidR="00000000" w:rsidRPr="00000000">
        <w:rPr>
          <w:rtl w:val="0"/>
        </w:rPr>
      </w:r>
    </w:p>
    <w:p w:rsidR="00000000" w:rsidDel="00000000" w:rsidP="00000000" w:rsidRDefault="00000000" w:rsidRPr="00000000" w14:paraId="0000003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Reviewer #2:</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Manuscript Summary:</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present a protocol for single cell analysis by integrated Raman and Mass spectrometry platform. The platform allows analysis of drug uptake and the metabolic effect the drug can induce in a cell. Computational data analysis of Raman data, based on PCA, are suggested. Also, semi-quantitative measurements of the drug and metabolite are presented.</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opinion this is a very interesting and timely protocol. Thanks to the recent technological advances, the analysis of potential drug candidates at their targets and the analysis at a single cell or sub-cellular level are becoming not only possible but their importance is increasing. There is growing need and interest in new techniques and protocols to further aid the studies, especially with the involvement of complementary techniques, such as in the case or this protocol.</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is easy to follow and it contains all the necessary details, explanations or discussion. I have got only a few minor suggestions.</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Concerns:</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Concerns:</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 Section 1.1</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believe world 'convinient' is appropriate. What would be the meaning of 'convenient'? In my opinion section 1.1 can be removed.</w:t>
      </w:r>
    </w:p>
    <w:p w:rsidR="00000000" w:rsidDel="00000000" w:rsidP="00000000" w:rsidRDefault="00000000" w:rsidRPr="00000000" w14:paraId="00000042">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the suggestion, we have removed this point.</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 Section 1.2</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Presumably, the protocol could be used to measure different cell lines, drugs and metabolites. This case either the detail of particular cell culture media is not necessary or a note should be made that the choice of media would depend on cell line end intended experiments.</w:t>
      </w:r>
    </w:p>
    <w:p w:rsidR="00000000" w:rsidDel="00000000" w:rsidP="00000000" w:rsidRDefault="00000000" w:rsidRPr="00000000" w14:paraId="00000045">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the suggestion. Indeed, the protocol is applicable to different cell-lines. To address this issue, we have added a note to section 1.2. Furthermore, we extended this suggestion to the rest of the manuscript as well, and made sure to indicate that the conditions used in this protocol are optimized for our specific experiment only.</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 Section 1.2 It would be good to mention sample requirement for Raman measurement? What is the advantage of gelatin?</w:t>
      </w:r>
    </w:p>
    <w:p w:rsidR="00000000" w:rsidDel="00000000" w:rsidP="00000000" w:rsidRDefault="00000000" w:rsidRPr="00000000" w14:paraId="00000047">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Thank you for pointing this issue for us, we mentioned the sample requirements for Raman in section 3.4  Note.  Regarding the advantage of gelatin, we have added the following to the protocol to explain its use.</w:t>
      </w:r>
    </w:p>
    <w:p w:rsidR="00000000" w:rsidDel="00000000" w:rsidP="00000000" w:rsidRDefault="00000000" w:rsidRPr="00000000" w14:paraId="00000048">
      <w:pPr>
        <w:spacing w:after="240" w:before="240" w:lineRule="auto"/>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“Cultures dish or slides can be pre coated with collagen or gelatin coating solution to allow them to fix, thus ensuring their survival during measurement.”</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 Section 3.5 Add what should be the temperature of warm PBS. Presumably at 37C?</w:t>
      </w:r>
    </w:p>
    <w:p w:rsidR="00000000" w:rsidDel="00000000" w:rsidP="00000000" w:rsidRDefault="00000000" w:rsidRPr="00000000" w14:paraId="0000004A">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Absolutely, depending on cell requirement. This we have added this to the text. </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 Section 6.9 Are these parameters always going to be the same? Surely, the optimization should be done depending on the sample / analyte / system measured? Either mention that the optimization would vary depending on experiment, remove the details or suggest parameter ranges explaining their purpose?</w:t>
      </w:r>
    </w:p>
    <w:p w:rsidR="00000000" w:rsidDel="00000000" w:rsidP="00000000" w:rsidRDefault="00000000" w:rsidRPr="00000000" w14:paraId="0000004C">
      <w:pPr>
        <w:spacing w:after="240" w:befor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This is indeed a very valid point, we are in complete agreement. To address this important issue, we rewrote the mass spectrometry measurement section to reflect that the values provided, and the organic solvent composition are analyte specific, we also mentioned that all the parameters mentioned in this experiment, are specific to tamoxifen and 4-OHT only. Some of the modifications are listed here for convenience:</w:t>
      </w:r>
    </w:p>
    <w:p w:rsidR="00000000" w:rsidDel="00000000" w:rsidP="00000000" w:rsidRDefault="00000000" w:rsidRPr="00000000" w14:paraId="0000004D">
      <w:pPr>
        <w:spacing w:after="240" w:before="240" w:lineRule="auto"/>
        <w:rPr>
          <w:rFonts w:ascii="Times New Roman" w:cs="Times New Roman" w:eastAsia="Times New Roman" w:hAnsi="Times New Roman"/>
          <w:i w:val="1"/>
          <w:color w:val="0000ff"/>
          <w:sz w:val="24"/>
          <w:szCs w:val="24"/>
        </w:rPr>
      </w:pPr>
      <w:r w:rsidDel="00000000" w:rsidR="00000000" w:rsidRPr="00000000">
        <w:rPr>
          <w:i w:val="1"/>
          <w:rtl w:val="0"/>
        </w:rPr>
        <w:t xml:space="preserve">6.2. </w:t>
      </w:r>
      <w:r w:rsidDel="00000000" w:rsidR="00000000" w:rsidRPr="00000000">
        <w:rPr>
          <w:i w:val="1"/>
          <w:color w:val="0000ff"/>
          <w:rtl w:val="0"/>
        </w:rPr>
        <w:t xml:space="preserve">Optimize the MS instrument to the parameters that are best suited for the analyte of interest. In the case of tamoxifen and 4-OHT analysis, the instrument parameters were set to the following:</w:t>
      </w:r>
      <w:r w:rsidDel="00000000" w:rsidR="00000000" w:rsidRPr="00000000">
        <w:rPr>
          <w:rFonts w:ascii="Times New Roman" w:cs="Times New Roman" w:eastAsia="Times New Roman" w:hAnsi="Times New Roman"/>
          <w:i w:val="1"/>
          <w:color w:val="0000ff"/>
          <w:sz w:val="24"/>
          <w:szCs w:val="24"/>
          <w:rtl w:val="0"/>
        </w:rPr>
        <w:t xml:space="preserve"> </w:t>
      </w:r>
    </w:p>
    <w:p w:rsidR="00000000" w:rsidDel="00000000" w:rsidP="00000000" w:rsidRDefault="00000000" w:rsidRPr="00000000" w14:paraId="0000004E">
      <w:pPr>
        <w:spacing w:after="240" w:before="240" w:lineRule="auto"/>
        <w:ind w:left="0" w:firstLine="0"/>
        <w:rPr>
          <w:i w:val="1"/>
          <w:color w:val="0000ff"/>
        </w:rPr>
      </w:pPr>
      <w:r w:rsidDel="00000000" w:rsidR="00000000" w:rsidRPr="00000000">
        <w:rPr>
          <w:i w:val="1"/>
          <w:rtl w:val="0"/>
        </w:rPr>
        <w:t xml:space="preserve">6.4. </w:t>
      </w:r>
      <w:r w:rsidDel="00000000" w:rsidR="00000000" w:rsidRPr="00000000">
        <w:rPr>
          <w:i w:val="1"/>
          <w:color w:val="0000ff"/>
          <w:rtl w:val="0"/>
        </w:rPr>
        <w:t xml:space="preserve">Prepare the ionization solvent under a fume hood. The solvent composition depends on the analyte of interest. In the case of this experiment, the organic solvent used was (80% MeOH, 10% DMSO, and 0.1% formic acid). </w:t>
      </w:r>
    </w:p>
    <w:p w:rsidR="00000000" w:rsidDel="00000000" w:rsidP="00000000" w:rsidRDefault="00000000" w:rsidRPr="00000000" w14:paraId="0000004F">
      <w:pPr>
        <w:spacing w:after="240" w:before="240" w:lineRule="auto"/>
        <w:ind w:left="0" w:firstLine="0"/>
        <w:rPr>
          <w:rFonts w:ascii="Times New Roman" w:cs="Times New Roman" w:eastAsia="Times New Roman" w:hAnsi="Times New Roman"/>
          <w:sz w:val="24"/>
          <w:szCs w:val="24"/>
        </w:rPr>
      </w:pPr>
      <w:r w:rsidDel="00000000" w:rsidR="00000000" w:rsidRPr="00000000">
        <w:rPr>
          <w:i w:val="1"/>
          <w:rtl w:val="0"/>
        </w:rPr>
        <w:t xml:space="preserve">6.5. </w:t>
      </w:r>
      <w:r w:rsidDel="00000000" w:rsidR="00000000" w:rsidRPr="00000000">
        <w:rPr>
          <w:i w:val="1"/>
          <w:color w:val="0000ff"/>
          <w:rtl w:val="0"/>
        </w:rPr>
        <w:t xml:space="preserve">Mix an appropriate internal standard with the organic solvent prior to measurements. In this experiment, </w:t>
      </w:r>
      <w:r w:rsidDel="00000000" w:rsidR="00000000" w:rsidRPr="00000000">
        <w:rPr>
          <w:i w:val="1"/>
          <w:rtl w:val="0"/>
        </w:rPr>
        <w:t xml:space="preserve">5.31 nM of d5-tamoxifen </w:t>
      </w:r>
      <w:r w:rsidDel="00000000" w:rsidR="00000000" w:rsidRPr="00000000">
        <w:rPr>
          <w:i w:val="1"/>
          <w:color w:val="0000ff"/>
          <w:rtl w:val="0"/>
        </w:rPr>
        <w:t xml:space="preserve">was used as an internal standard.</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