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BDC41" w14:textId="08C4B158" w:rsidR="00E43989" w:rsidRDefault="006108BF">
      <w:r>
        <w:t>1</w:t>
      </w:r>
      <w:r w:rsidR="002B3DCD">
        <w:t>7</w:t>
      </w:r>
      <w:r w:rsidRPr="006108BF">
        <w:rPr>
          <w:vertAlign w:val="superscript"/>
        </w:rPr>
        <w:t>th</w:t>
      </w:r>
      <w:r>
        <w:t xml:space="preserve"> </w:t>
      </w:r>
      <w:r w:rsidR="00C560C6">
        <w:t>September</w:t>
      </w:r>
      <w:r>
        <w:t xml:space="preserve"> 201</w:t>
      </w:r>
      <w:r w:rsidR="00C560C6">
        <w:t>9</w:t>
      </w:r>
    </w:p>
    <w:p w14:paraId="202D6961" w14:textId="77777777" w:rsidR="006108BF" w:rsidRDefault="006108BF">
      <w:bookmarkStart w:id="0" w:name="_GoBack"/>
      <w:bookmarkEnd w:id="0"/>
    </w:p>
    <w:p w14:paraId="093077D2" w14:textId="77777777" w:rsidR="006108BF" w:rsidRDefault="006108BF">
      <w:r>
        <w:t>Dear Editor-in-chief,</w:t>
      </w:r>
    </w:p>
    <w:p w14:paraId="23717501" w14:textId="77777777" w:rsidR="006108BF" w:rsidRDefault="006108BF"/>
    <w:p w14:paraId="52A2664D" w14:textId="2B04A5CE" w:rsidR="003861D6" w:rsidRDefault="006108BF">
      <w:r>
        <w:t xml:space="preserve">On behalf of my co-authors, I am pleased to </w:t>
      </w:r>
      <w:r w:rsidR="002B2C9D">
        <w:t xml:space="preserve">submit the revision of </w:t>
      </w:r>
      <w:r>
        <w:t>our manuscript, “</w:t>
      </w:r>
      <w:r w:rsidRPr="006108BF">
        <w:rPr>
          <w:b/>
          <w:bCs/>
          <w:color w:val="000000" w:themeColor="text1"/>
        </w:rPr>
        <w:t>An automated counterflow centrifugal system for small scale downstream process</w:t>
      </w:r>
      <w:r>
        <w:t xml:space="preserve">” for publication in </w:t>
      </w:r>
      <w:r w:rsidR="000A1D83">
        <w:t xml:space="preserve">the </w:t>
      </w:r>
      <w:r w:rsidRPr="006108BF">
        <w:t xml:space="preserve">Journal of </w:t>
      </w:r>
      <w:r w:rsidR="002C28EB">
        <w:t>V</w:t>
      </w:r>
      <w:r w:rsidRPr="006108BF">
        <w:t xml:space="preserve">isualized </w:t>
      </w:r>
      <w:r w:rsidR="002C28EB">
        <w:t>E</w:t>
      </w:r>
      <w:r w:rsidRPr="006108BF">
        <w:t>xperiments</w:t>
      </w:r>
      <w:r>
        <w:t xml:space="preserve">. </w:t>
      </w:r>
    </w:p>
    <w:p w14:paraId="3621E8D3" w14:textId="3BDDFB27" w:rsidR="00D24AD5" w:rsidRDefault="00C560C6">
      <w:r w:rsidRPr="00C560C6">
        <w:t xml:space="preserve">We thank the editors and reviewers for their insights and </w:t>
      </w:r>
      <w:r>
        <w:t>the opportunity to respond</w:t>
      </w:r>
      <w:r w:rsidR="00540908">
        <w:t xml:space="preserve"> to their comments</w:t>
      </w:r>
      <w:r>
        <w:t xml:space="preserve">. </w:t>
      </w:r>
      <w:r w:rsidRPr="00C560C6">
        <w:t>We appreciate the time taken to collectively improve this manuscript.</w:t>
      </w:r>
      <w:r>
        <w:t xml:space="preserve"> We </w:t>
      </w:r>
      <w:r w:rsidRPr="00C560C6">
        <w:t xml:space="preserve">have addressed each concern as detailed in our response below. </w:t>
      </w:r>
    </w:p>
    <w:p w14:paraId="6F0820BB" w14:textId="77777777" w:rsidR="00C560C6" w:rsidRDefault="00C560C6"/>
    <w:p w14:paraId="18175274" w14:textId="77777777" w:rsidR="00C560C6" w:rsidRDefault="00C560C6" w:rsidP="00C560C6">
      <w:r w:rsidRPr="00C560C6">
        <w:rPr>
          <w:b/>
          <w:bCs/>
          <w:u w:val="single"/>
        </w:rPr>
        <w:t>Editorial Comments:</w:t>
      </w:r>
      <w:r w:rsidRPr="00C560C6">
        <w:br/>
      </w:r>
      <w:r w:rsidRPr="00C560C6">
        <w:br/>
        <w:t>• Please take this opportunity to thoroughly proofread the manuscript to ensure that there are no spelling or grammatical errors.</w:t>
      </w:r>
    </w:p>
    <w:p w14:paraId="4DF8CBF4" w14:textId="5CB51FBD" w:rsidR="00540908" w:rsidRPr="00947131" w:rsidRDefault="00540908" w:rsidP="00C560C6">
      <w:pPr>
        <w:rPr>
          <w:color w:val="4472C4" w:themeColor="accent1"/>
        </w:rPr>
      </w:pPr>
      <w:r w:rsidRPr="00947131">
        <w:rPr>
          <w:color w:val="4472C4" w:themeColor="accent1"/>
        </w:rPr>
        <w:t>This manuscript has been subjected to more proof reading and all grammatical and syntax errors have been corrected.</w:t>
      </w:r>
    </w:p>
    <w:p w14:paraId="7AFE462C" w14:textId="39B527AA" w:rsidR="00C560C6" w:rsidRPr="00C560C6" w:rsidRDefault="00C560C6" w:rsidP="00C560C6">
      <w:r w:rsidRPr="00C560C6">
        <w:t>• </w:t>
      </w:r>
      <w:r w:rsidRPr="00C560C6">
        <w:rPr>
          <w:b/>
          <w:bCs/>
        </w:rPr>
        <w:t>Protocol Numbering:</w:t>
      </w:r>
      <w:r w:rsidRPr="00C560C6">
        <w:t> All steps should be lined up at the left margin with no indentations. There must also be a one-line space between each protocol step.</w:t>
      </w:r>
      <w:r w:rsidRPr="00C560C6">
        <w:br/>
      </w:r>
      <w:r w:rsidRPr="00C560C6">
        <w:rPr>
          <w:color w:val="4472C4" w:themeColor="accent1"/>
        </w:rPr>
        <w:t xml:space="preserve">One-line space has </w:t>
      </w:r>
      <w:r w:rsidR="00540908">
        <w:rPr>
          <w:color w:val="4472C4" w:themeColor="accent1"/>
        </w:rPr>
        <w:t xml:space="preserve">now </w:t>
      </w:r>
      <w:r w:rsidRPr="00C560C6">
        <w:rPr>
          <w:color w:val="4472C4" w:themeColor="accent1"/>
        </w:rPr>
        <w:t>been added between each protocol</w:t>
      </w:r>
      <w:r w:rsidR="00540908">
        <w:rPr>
          <w:color w:val="4472C4" w:themeColor="accent1"/>
        </w:rPr>
        <w:t xml:space="preserve"> step</w:t>
      </w:r>
      <w:r w:rsidRPr="00C560C6">
        <w:rPr>
          <w:color w:val="4472C4" w:themeColor="accent1"/>
        </w:rPr>
        <w:t>.</w:t>
      </w:r>
    </w:p>
    <w:p w14:paraId="6EAE7909" w14:textId="77777777" w:rsidR="00C560C6" w:rsidRDefault="00C560C6" w:rsidP="00C560C6">
      <w:r w:rsidRPr="00C560C6">
        <w:t>• </w:t>
      </w:r>
      <w:r w:rsidRPr="00C560C6">
        <w:rPr>
          <w:b/>
          <w:bCs/>
        </w:rPr>
        <w:t>Protocol Highlight:</w:t>
      </w:r>
      <w:r w:rsidRPr="00C560C6">
        <w:t> Please highlight ~2.5 pages or less of text (which includes headings and spaces) in yellow, to identify which steps should be visualized to tell the most cohesive story of your protocol steps.</w:t>
      </w:r>
      <w:r w:rsidRPr="00C560C6">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C560C6">
        <w:br/>
      </w:r>
      <w:r w:rsidRPr="00C560C6">
        <w:rPr>
          <w:color w:val="4472C4" w:themeColor="accent1"/>
        </w:rPr>
        <w:t>Filming protocol has been highlighted, including the sub-steps and excluding notes</w:t>
      </w:r>
    </w:p>
    <w:p w14:paraId="0BCC8108" w14:textId="77777777" w:rsidR="00C560C6" w:rsidRDefault="00C560C6" w:rsidP="00C560C6">
      <w:r w:rsidRPr="00C560C6">
        <w:t>2) Some of your shorter protocol steps can be combined so that individual steps contain 2-3 actions and maximum of 4 sentences per step.</w:t>
      </w:r>
      <w:r w:rsidRPr="00C560C6">
        <w:br/>
      </w:r>
      <w:r w:rsidRPr="00C560C6">
        <w:rPr>
          <w:color w:val="4472C4" w:themeColor="accent1"/>
        </w:rPr>
        <w:t>A few short protocol steps has been combined.</w:t>
      </w:r>
    </w:p>
    <w:p w14:paraId="4B2E1DEB" w14:textId="75BF68A4" w:rsidR="00C560C6" w:rsidRDefault="00C560C6" w:rsidP="00C560C6">
      <w:r w:rsidRPr="00C560C6">
        <w:t>3) The highlighted steps should form a cohesive narrative, that is, there must be a logical flow from one highlighted step to the next.</w:t>
      </w:r>
      <w:r w:rsidRPr="00C560C6">
        <w:br/>
      </w:r>
      <w:r w:rsidRPr="00C560C6">
        <w:rPr>
          <w:color w:val="4472C4" w:themeColor="accent1"/>
        </w:rPr>
        <w:t xml:space="preserve">The highlighted steps follow </w:t>
      </w:r>
      <w:r w:rsidR="00540908">
        <w:rPr>
          <w:color w:val="4472C4" w:themeColor="accent1"/>
        </w:rPr>
        <w:t xml:space="preserve">the </w:t>
      </w:r>
      <w:r w:rsidRPr="00C560C6">
        <w:rPr>
          <w:color w:val="4472C4" w:themeColor="accent1"/>
        </w:rPr>
        <w:t xml:space="preserve">operational order of the protocol. </w:t>
      </w:r>
    </w:p>
    <w:p w14:paraId="1DA34980" w14:textId="77777777" w:rsidR="00C560C6" w:rsidRDefault="00C560C6" w:rsidP="00C560C6">
      <w:r w:rsidRPr="00C560C6">
        <w:t>4) Please highlight complete sentences (not parts of sentences). Include sub-headings and spaces when calculating the final highlighted length.</w:t>
      </w:r>
      <w:r w:rsidRPr="00C560C6">
        <w:br/>
      </w:r>
      <w:r w:rsidRPr="00C560C6">
        <w:rPr>
          <w:color w:val="4472C4" w:themeColor="accent1"/>
        </w:rPr>
        <w:t>The total length of the highlight is around 1.5 pages.</w:t>
      </w:r>
    </w:p>
    <w:p w14:paraId="07D70E95" w14:textId="134A1F66" w:rsidR="00C560C6" w:rsidRPr="00C560C6" w:rsidRDefault="00C560C6" w:rsidP="00C560C6">
      <w:r w:rsidRPr="00C560C6">
        <w:t>5) Notes cannot be filmed and should be excluded from highlighting.</w:t>
      </w:r>
      <w:r w:rsidRPr="00C560C6">
        <w:br/>
      </w:r>
      <w:r w:rsidRPr="00C560C6">
        <w:rPr>
          <w:color w:val="4472C4" w:themeColor="accent1"/>
        </w:rPr>
        <w:t>No notes were highlighted.</w:t>
      </w:r>
    </w:p>
    <w:p w14:paraId="0C7CB397" w14:textId="77777777" w:rsidR="00C560C6" w:rsidRPr="00C560C6" w:rsidRDefault="00C560C6" w:rsidP="00C560C6">
      <w:pPr>
        <w:rPr>
          <w:color w:val="4472C4" w:themeColor="accent1"/>
        </w:rPr>
      </w:pPr>
      <w:r w:rsidRPr="00C560C6">
        <w:lastRenderedPageBreak/>
        <w:t>• </w:t>
      </w:r>
      <w:r w:rsidRPr="00C560C6">
        <w:rPr>
          <w:b/>
          <w:bCs/>
        </w:rPr>
        <w:t>Discussion:</w:t>
      </w:r>
      <w:r w:rsidRPr="00C560C6">
        <w:t> </w:t>
      </w:r>
      <w:proofErr w:type="spellStart"/>
      <w:r w:rsidRPr="00C560C6">
        <w:t>JoVE</w:t>
      </w:r>
      <w:proofErr w:type="spellEnd"/>
      <w:r w:rsidRPr="00C560C6">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br/>
      </w:r>
      <w:r w:rsidRPr="00C560C6">
        <w:rPr>
          <w:color w:val="4472C4" w:themeColor="accent1"/>
        </w:rPr>
        <w:t xml:space="preserve">The modifications and troubleshooting are discussed in 2 paragraphs, lines 260-276. Limitations of the technique are listed in line 302-306. Significance with respect to existing methods is discussed in lines 288-300. Future applications in lines 308-311. Critical steps within the protocol is lines 278-286. </w:t>
      </w:r>
    </w:p>
    <w:p w14:paraId="24692BE9" w14:textId="77777777" w:rsidR="00C560C6" w:rsidRDefault="00C560C6" w:rsidP="00C560C6">
      <w:pPr>
        <w:rPr>
          <w:color w:val="4472C4" w:themeColor="accent1"/>
        </w:rPr>
      </w:pPr>
      <w:r w:rsidRPr="00C560C6">
        <w:t>• </w:t>
      </w:r>
      <w:r w:rsidRPr="00C560C6">
        <w:rPr>
          <w:b/>
          <w:bCs/>
        </w:rPr>
        <w:t>Figure/Table Legends:</w:t>
      </w:r>
      <w:r w:rsidRPr="00C560C6">
        <w:t> Define error bars in all figures.</w:t>
      </w:r>
      <w:r>
        <w:br/>
      </w:r>
      <w:r w:rsidRPr="00C560C6">
        <w:rPr>
          <w:color w:val="4472C4" w:themeColor="accent1"/>
        </w:rPr>
        <w:t>All error bars are now defined.</w:t>
      </w:r>
    </w:p>
    <w:p w14:paraId="3957CA90" w14:textId="77777777" w:rsidR="00C560C6" w:rsidRDefault="00C560C6" w:rsidP="00C560C6">
      <w:pPr>
        <w:rPr>
          <w:color w:val="4472C4" w:themeColor="accent1"/>
        </w:rPr>
      </w:pPr>
      <w:r w:rsidRPr="00C560C6">
        <w:t>• </w:t>
      </w:r>
      <w:r w:rsidRPr="00C560C6">
        <w:rPr>
          <w:b/>
          <w:bCs/>
        </w:rPr>
        <w:t>References:</w:t>
      </w:r>
      <w:r w:rsidRPr="00C560C6">
        <w:t> Please spell out journal names.</w:t>
      </w:r>
      <w:r>
        <w:br/>
      </w:r>
      <w:r w:rsidRPr="00C560C6">
        <w:rPr>
          <w:color w:val="4472C4" w:themeColor="accent1"/>
        </w:rPr>
        <w:t>The spelling of journal names has been checked.</w:t>
      </w:r>
    </w:p>
    <w:p w14:paraId="5208356A" w14:textId="21043451" w:rsidR="00C560C6" w:rsidRPr="00C560C6" w:rsidRDefault="00C560C6" w:rsidP="00C560C6">
      <w:r w:rsidRPr="00C560C6">
        <w:t>• </w:t>
      </w:r>
      <w:r w:rsidRPr="00C560C6">
        <w:rPr>
          <w:b/>
          <w:bCs/>
        </w:rPr>
        <w:t>Commercial Language: </w:t>
      </w:r>
      <w:proofErr w:type="spellStart"/>
      <w:r w:rsidRPr="00C560C6">
        <w:t>JoVE</w:t>
      </w:r>
      <w:proofErr w:type="spellEnd"/>
      <w:r w:rsidRPr="00C560C6">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Rotea™</w:t>
      </w:r>
      <w:r w:rsidRPr="00C560C6">
        <w:br/>
        <w:t>1) Please use MS Word’s find function (</w:t>
      </w:r>
      <w:proofErr w:type="spellStart"/>
      <w:r w:rsidRPr="00C560C6">
        <w:t>Ctrl+F</w:t>
      </w:r>
      <w:proofErr w:type="spellEnd"/>
      <w:r w:rsidRPr="00C560C6">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1FF60C56" w14:textId="6C598C87" w:rsidR="00C560C6" w:rsidRPr="00C560C6" w:rsidRDefault="00C560C6" w:rsidP="00C560C6">
      <w:pPr>
        <w:rPr>
          <w:color w:val="4472C4" w:themeColor="accent1"/>
        </w:rPr>
      </w:pPr>
      <w:r w:rsidRPr="00C560C6">
        <w:rPr>
          <w:color w:val="4472C4" w:themeColor="accent1"/>
        </w:rPr>
        <w:t xml:space="preserve">The commercial name of the product has been removed. </w:t>
      </w:r>
      <w:r w:rsidR="00540908">
        <w:rPr>
          <w:color w:val="4472C4" w:themeColor="accent1"/>
        </w:rPr>
        <w:t xml:space="preserve">The </w:t>
      </w:r>
      <w:r w:rsidRPr="00C560C6">
        <w:rPr>
          <w:color w:val="4472C4" w:themeColor="accent1"/>
        </w:rPr>
        <w:t xml:space="preserve">Rotea is </w:t>
      </w:r>
      <w:r w:rsidR="00540908">
        <w:rPr>
          <w:color w:val="4472C4" w:themeColor="accent1"/>
        </w:rPr>
        <w:t xml:space="preserve">now </w:t>
      </w:r>
      <w:r w:rsidRPr="00C560C6">
        <w:rPr>
          <w:color w:val="4472C4" w:themeColor="accent1"/>
        </w:rPr>
        <w:t xml:space="preserve">referred </w:t>
      </w:r>
      <w:r w:rsidR="00540908">
        <w:rPr>
          <w:color w:val="4472C4" w:themeColor="accent1"/>
        </w:rPr>
        <w:t xml:space="preserve">to </w:t>
      </w:r>
      <w:r w:rsidRPr="00C560C6">
        <w:rPr>
          <w:color w:val="4472C4" w:themeColor="accent1"/>
        </w:rPr>
        <w:t xml:space="preserve">as the ‘CFC device’. </w:t>
      </w:r>
    </w:p>
    <w:p w14:paraId="21896BB1" w14:textId="69E98EC5" w:rsidR="009A1EDC" w:rsidRDefault="00C560C6" w:rsidP="00C560C6">
      <w:pPr>
        <w:rPr>
          <w:color w:val="4472C4" w:themeColor="accent1"/>
        </w:rPr>
      </w:pPr>
      <w:r w:rsidRPr="00C560C6">
        <w:t>2) Please remove the name ROTEA from fig 1</w:t>
      </w:r>
      <w:r w:rsidR="009A1EDC">
        <w:br/>
      </w:r>
      <w:r w:rsidRPr="00C560C6">
        <w:rPr>
          <w:color w:val="4472C4" w:themeColor="accent1"/>
        </w:rPr>
        <w:t xml:space="preserve">The Rotea name in figure 1B has been removed.  </w:t>
      </w:r>
    </w:p>
    <w:p w14:paraId="593B3CC9" w14:textId="456A7EA5" w:rsidR="009A1EDC" w:rsidRDefault="00C560C6" w:rsidP="00C560C6">
      <w:r w:rsidRPr="00C560C6">
        <w:t>• Please define all abbreviations at first use.</w:t>
      </w:r>
      <w:r w:rsidR="009A1EDC">
        <w:br/>
      </w:r>
      <w:r w:rsidRPr="00C560C6">
        <w:rPr>
          <w:color w:val="4472C4" w:themeColor="accent1"/>
        </w:rPr>
        <w:t>All abbreviations have been checked and defined.</w:t>
      </w:r>
    </w:p>
    <w:p w14:paraId="33E25EE5" w14:textId="5097DA83" w:rsidR="00C560C6" w:rsidRPr="00C560C6" w:rsidRDefault="00C560C6" w:rsidP="00C560C6">
      <w:r w:rsidRPr="00C560C6">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C560C6">
        <w:t>JoVE</w:t>
      </w:r>
      <w:proofErr w:type="spellEnd"/>
      <w:r w:rsidRPr="00C560C6">
        <w:t>)" section. Please also cite the figure appropriately in the figure legend, i.e. "This figure has been modified from [citation]."</w:t>
      </w:r>
      <w:r w:rsidRPr="00C560C6">
        <w:br/>
        <w:t> </w:t>
      </w:r>
    </w:p>
    <w:p w14:paraId="0E5F3529" w14:textId="77777777" w:rsidR="00C560C6" w:rsidRPr="00C560C6" w:rsidRDefault="002B3DCD" w:rsidP="00C560C6">
      <w:r>
        <w:pict w14:anchorId="315DEA9D">
          <v:rect id="_x0000_i1025" style="width:0;height:1.5pt" o:hralign="center" o:hrstd="t" o:hrnoshade="t" o:hr="t" fillcolor="#222" stroked="f"/>
        </w:pict>
      </w:r>
    </w:p>
    <w:p w14:paraId="758721AF" w14:textId="77777777" w:rsidR="00C560C6" w:rsidRPr="00C560C6" w:rsidRDefault="00C560C6" w:rsidP="00C560C6">
      <w:r w:rsidRPr="00C560C6">
        <w:rPr>
          <w:b/>
          <w:bCs/>
          <w:u w:val="single"/>
        </w:rPr>
        <w:t>Comments from Peer-Reviewers:</w:t>
      </w:r>
      <w:r w:rsidRPr="00C560C6">
        <w:t> </w:t>
      </w:r>
      <w:r w:rsidRPr="00C560C6">
        <w:br/>
      </w:r>
      <w:r w:rsidRPr="00C560C6">
        <w:br/>
      </w:r>
      <w:r w:rsidRPr="00C560C6">
        <w:rPr>
          <w:b/>
          <w:bCs/>
        </w:rPr>
        <w:t>Reviewer #1:</w:t>
      </w:r>
      <w:r w:rsidRPr="00C560C6">
        <w:br/>
        <w:t>Manuscript Summary:</w:t>
      </w:r>
      <w:r w:rsidRPr="00C560C6">
        <w:br/>
        <w:t xml:space="preserve">The authors described the use of a counterflow centrifugal cell processing device for automating the buffer exchange and cell concentration steps for small-scale bioprocessing. The protocol is useful </w:t>
      </w:r>
      <w:r w:rsidRPr="00C560C6">
        <w:lastRenderedPageBreak/>
        <w:t>and could be used for small-scale processes in a closed manner, compatible with GMP guidelines. My only concern is about the COG. Since the system is single-use, the COG will not be lower than the traditional method used (centrifugation), especially in a small-scale scenario. Please try to focus in the fact that the system is closed and automated, not of being cost-effective.</w:t>
      </w:r>
    </w:p>
    <w:p w14:paraId="7876B1B0" w14:textId="77777777" w:rsidR="009A1EDC" w:rsidRDefault="00C560C6" w:rsidP="00C560C6">
      <w:pPr>
        <w:rPr>
          <w:color w:val="4472C4" w:themeColor="accent1"/>
        </w:rPr>
      </w:pPr>
      <w:r w:rsidRPr="00C560C6">
        <w:rPr>
          <w:color w:val="4472C4" w:themeColor="accent1"/>
        </w:rPr>
        <w:t xml:space="preserve">The benefit of automation in the introduction has been revised in Line 78-89, which includes improved sterility and scalability and minimisation of operator variation. Cost-effectiveness is discussed but is not the focus of the manuscript, as suggested by Reviewer 1. </w:t>
      </w:r>
    </w:p>
    <w:p w14:paraId="4B805DBD" w14:textId="77777777" w:rsidR="005465AF" w:rsidRDefault="00C560C6" w:rsidP="00C560C6">
      <w:r w:rsidRPr="00C560C6">
        <w:t>Minor Concerns:</w:t>
      </w:r>
      <w:r w:rsidRPr="00C560C6">
        <w:br/>
        <w:t>-Page 3, line 80: "A recent cost analysis report identified labour as the main cost in GCT, accounting for almost 50% of the cost of goods (</w:t>
      </w:r>
      <w:proofErr w:type="spellStart"/>
      <w:r w:rsidRPr="00C560C6">
        <w:t>CoG</w:t>
      </w:r>
      <w:proofErr w:type="spellEnd"/>
      <w:r w:rsidRPr="00C560C6">
        <w:t>)"</w:t>
      </w:r>
    </w:p>
    <w:p w14:paraId="5C2434D4" w14:textId="5B439A39" w:rsidR="00C560C6" w:rsidRPr="00C560C6" w:rsidRDefault="00C560C6" w:rsidP="00C560C6">
      <w:r w:rsidRPr="00C560C6">
        <w:t>Is this for autologous or allogeneic product? Which process are you referring? Please provide more details for this important information.</w:t>
      </w:r>
    </w:p>
    <w:p w14:paraId="4C2B5819" w14:textId="77777777" w:rsidR="009A1EDC" w:rsidRDefault="00C560C6" w:rsidP="00C560C6">
      <w:pPr>
        <w:rPr>
          <w:color w:val="4472C4" w:themeColor="accent1"/>
        </w:rPr>
      </w:pPr>
      <w:r w:rsidRPr="00C560C6">
        <w:rPr>
          <w:color w:val="4472C4" w:themeColor="accent1"/>
        </w:rPr>
        <w:t xml:space="preserve">The cost analysis study was in reference to an autologous product and refers to the entire manufacturing process. Details have been added to the manuscript (lines 85-86). </w:t>
      </w:r>
    </w:p>
    <w:p w14:paraId="72E0C9C8" w14:textId="77777777" w:rsidR="005465AF" w:rsidRDefault="005465AF" w:rsidP="00C560C6"/>
    <w:p w14:paraId="66733DF5" w14:textId="0EEE9BEF" w:rsidR="009A1EDC" w:rsidRDefault="00C560C6" w:rsidP="00C560C6">
      <w:r w:rsidRPr="00C560C6">
        <w:t xml:space="preserve">-Page 3, line 90: The authors state that automated platforms commercially available for cell manufacturing include Cocoon and </w:t>
      </w:r>
      <w:proofErr w:type="spellStart"/>
      <w:r w:rsidRPr="00C560C6">
        <w:t>CliniMACS</w:t>
      </w:r>
      <w:proofErr w:type="spellEnd"/>
      <w:r w:rsidRPr="00C560C6">
        <w:t xml:space="preserve"> Prodigy that is not suitable for adherent cell cultures. However, the Quantum system (Terumo BCT) provides protocols for adherent or suspension cells in a fully automated system. Please revise.</w:t>
      </w:r>
    </w:p>
    <w:p w14:paraId="790998D5" w14:textId="27AE5803" w:rsidR="00C560C6" w:rsidRPr="00C560C6" w:rsidRDefault="00C560C6" w:rsidP="00C560C6">
      <w:r w:rsidRPr="00C560C6">
        <w:rPr>
          <w:color w:val="4472C4" w:themeColor="accent1"/>
        </w:rPr>
        <w:t>We thank Reviewer 1 for pointing this out and we have now revised our manuscript to include the Quantum system (lines 95-103).</w:t>
      </w:r>
    </w:p>
    <w:p w14:paraId="0659924E" w14:textId="77777777" w:rsidR="005465AF" w:rsidRDefault="005465AF" w:rsidP="00C560C6"/>
    <w:p w14:paraId="00390A1C" w14:textId="1698FE1E" w:rsidR="00C560C6" w:rsidRPr="00C560C6" w:rsidRDefault="00C560C6" w:rsidP="00C560C6">
      <w:r w:rsidRPr="00C560C6">
        <w:t xml:space="preserve">Cell viability after the process is the most important information. The results </w:t>
      </w:r>
      <w:proofErr w:type="gramStart"/>
      <w:r w:rsidRPr="00C560C6">
        <w:t>is</w:t>
      </w:r>
      <w:proofErr w:type="gramEnd"/>
      <w:r w:rsidRPr="00C560C6">
        <w:t xml:space="preserve"> presented in the table 2. How the authors measured the cell viability? Flow cytometry? Please add this information.</w:t>
      </w:r>
    </w:p>
    <w:p w14:paraId="217D19B0" w14:textId="77777777" w:rsidR="009A1EDC" w:rsidRPr="009A1EDC" w:rsidRDefault="00C560C6" w:rsidP="00C560C6">
      <w:pPr>
        <w:rPr>
          <w:color w:val="4472C4" w:themeColor="accent1"/>
        </w:rPr>
      </w:pPr>
      <w:r w:rsidRPr="00C560C6">
        <w:rPr>
          <w:color w:val="4472C4" w:themeColor="accent1"/>
        </w:rPr>
        <w:t>Cell viability was measured by trypan blue exclusion and an automated cell counter. This information has been added to the figure legend, lines 441-442.</w:t>
      </w:r>
    </w:p>
    <w:p w14:paraId="1ABE0E6C" w14:textId="77777777" w:rsidR="005465AF" w:rsidRDefault="005465AF" w:rsidP="00C560C6"/>
    <w:p w14:paraId="274588D9" w14:textId="354E5FCD" w:rsidR="00C560C6" w:rsidRPr="00C560C6" w:rsidRDefault="00C560C6" w:rsidP="00C560C6">
      <w:r w:rsidRPr="00C560C6">
        <w:t xml:space="preserve">As already mentioned, the authors describe that implementing automation, the COG can be reduced. </w:t>
      </w:r>
      <w:proofErr w:type="gramStart"/>
      <w:r w:rsidRPr="00C560C6">
        <w:t>However</w:t>
      </w:r>
      <w:proofErr w:type="gramEnd"/>
      <w:r w:rsidRPr="00C560C6">
        <w:t xml:space="preserve"> I am not sure if in this case, the costs will be truly reduced especially due to the fact that the method proposed is intended for small-scale. Could authors estimate the costs of the traditional method (centrifugation, etc.) and Rotea including labour, time, consumables, reagents? Just to justify and extol the work.</w:t>
      </w:r>
    </w:p>
    <w:p w14:paraId="0DB072E9" w14:textId="77777777" w:rsidR="009A1EDC" w:rsidRDefault="00C560C6" w:rsidP="00C560C6">
      <w:r w:rsidRPr="00C560C6">
        <w:rPr>
          <w:color w:val="4472C4" w:themeColor="accent1"/>
        </w:rPr>
        <w:t>Reviewer 1 raises a valid point and in staying true to our claims, the emphasis of our protocol has been refocussed to closed and automated process.</w:t>
      </w:r>
      <w:r w:rsidRPr="00C560C6">
        <w:t xml:space="preserve">  </w:t>
      </w:r>
    </w:p>
    <w:p w14:paraId="1E0124E3" w14:textId="77777777" w:rsidR="009A1EDC" w:rsidRDefault="009A1EDC" w:rsidP="00C560C6"/>
    <w:p w14:paraId="431D3802" w14:textId="77777777" w:rsidR="009A1EDC" w:rsidRDefault="00C560C6" w:rsidP="00C560C6">
      <w:r w:rsidRPr="00C560C6">
        <w:rPr>
          <w:b/>
          <w:bCs/>
        </w:rPr>
        <w:t>Reviewer #2:</w:t>
      </w:r>
      <w:r w:rsidRPr="00C560C6">
        <w:br/>
        <w:t>Manuscript Summary:</w:t>
      </w:r>
      <w:r w:rsidRPr="00C560C6">
        <w:br/>
        <w:t xml:space="preserve">It appears sufficient work has been done to optimize the process. It may be useful to provide data demonstrating the observations noted in the discussion, such as minimum cell numbers, flow rates, </w:t>
      </w:r>
      <w:r w:rsidRPr="00C560C6">
        <w:lastRenderedPageBreak/>
        <w:t>pump speeds, and presence of serum. For example, a graph showing recovery across multiple centrifuge and pump speed configurations.</w:t>
      </w:r>
    </w:p>
    <w:p w14:paraId="2B4248C5" w14:textId="76387DD8" w:rsidR="009A1EDC" w:rsidRDefault="009A1EDC" w:rsidP="00C560C6">
      <w:pPr>
        <w:rPr>
          <w:color w:val="4472C4" w:themeColor="accent1"/>
        </w:rPr>
      </w:pPr>
      <w:r w:rsidRPr="00C560C6">
        <w:rPr>
          <w:color w:val="4472C4" w:themeColor="accent1"/>
        </w:rPr>
        <w:t>We agree with Reviewer 2 that adding</w:t>
      </w:r>
      <w:r>
        <w:rPr>
          <w:color w:val="4472C4" w:themeColor="accent1"/>
        </w:rPr>
        <w:t xml:space="preserve"> observations noted in the discussion w</w:t>
      </w:r>
      <w:r w:rsidR="00540908">
        <w:rPr>
          <w:color w:val="4472C4" w:themeColor="accent1"/>
        </w:rPr>
        <w:t>ould</w:t>
      </w:r>
      <w:r>
        <w:rPr>
          <w:color w:val="4472C4" w:themeColor="accent1"/>
        </w:rPr>
        <w:t xml:space="preserve"> be useful. </w:t>
      </w:r>
      <w:r w:rsidR="00540908">
        <w:rPr>
          <w:color w:val="4472C4" w:themeColor="accent1"/>
        </w:rPr>
        <w:t>To this end, w</w:t>
      </w:r>
      <w:r>
        <w:rPr>
          <w:color w:val="4472C4" w:themeColor="accent1"/>
        </w:rPr>
        <w:t xml:space="preserve">e have added cell recovery data from runs with </w:t>
      </w:r>
      <w:r w:rsidR="00540908">
        <w:rPr>
          <w:color w:val="4472C4" w:themeColor="accent1"/>
        </w:rPr>
        <w:t xml:space="preserve">a suboptimal </w:t>
      </w:r>
      <w:r>
        <w:rPr>
          <w:color w:val="4472C4" w:themeColor="accent1"/>
        </w:rPr>
        <w:t xml:space="preserve">number of cells and in the absence of serum (Figure 4b). Additionally, we </w:t>
      </w:r>
      <w:r w:rsidR="00540908">
        <w:rPr>
          <w:color w:val="4472C4" w:themeColor="accent1"/>
        </w:rPr>
        <w:t xml:space="preserve">have </w:t>
      </w:r>
      <w:r>
        <w:rPr>
          <w:color w:val="4472C4" w:themeColor="accent1"/>
        </w:rPr>
        <w:t xml:space="preserve">also added a new figure demonstrating the percentage cell loss across </w:t>
      </w:r>
      <w:r w:rsidR="00540908">
        <w:rPr>
          <w:color w:val="4472C4" w:themeColor="accent1"/>
        </w:rPr>
        <w:t xml:space="preserve">different </w:t>
      </w:r>
      <w:r w:rsidR="00947131">
        <w:rPr>
          <w:color w:val="4472C4" w:themeColor="accent1"/>
        </w:rPr>
        <w:t>flow rate</w:t>
      </w:r>
      <w:r w:rsidR="005465AF">
        <w:rPr>
          <w:color w:val="4472C4" w:themeColor="accent1"/>
        </w:rPr>
        <w:t xml:space="preserve"> (Figure 6).</w:t>
      </w:r>
    </w:p>
    <w:p w14:paraId="319FBAE9" w14:textId="64DA7188" w:rsidR="00C560C6" w:rsidRPr="00C560C6" w:rsidRDefault="00C560C6" w:rsidP="00C560C6">
      <w:r w:rsidRPr="00C560C6">
        <w:t>Major Concerns:</w:t>
      </w:r>
      <w:r w:rsidRPr="00C560C6">
        <w:br/>
        <w:t>The addition of at least one functional characterization assay to complement the viability and recovery data per cell type would be suggested.</w:t>
      </w:r>
    </w:p>
    <w:p w14:paraId="57D248D8" w14:textId="77777777" w:rsidR="00C560C6" w:rsidRPr="00C560C6" w:rsidRDefault="00C560C6" w:rsidP="00C560C6">
      <w:pPr>
        <w:rPr>
          <w:color w:val="4472C4" w:themeColor="accent1"/>
        </w:rPr>
      </w:pPr>
      <w:r w:rsidRPr="00C560C6">
        <w:rPr>
          <w:color w:val="4472C4" w:themeColor="accent1"/>
        </w:rPr>
        <w:t xml:space="preserve">We agree with Reviewer 2 that adding functional characterisation assays would complement our viability and recovery data. Accordingly, we have added the measurement of cytokine/enzyme production from each cell type as an additional assay to complement the protocol. The data have been provided in Figure 5. </w:t>
      </w:r>
    </w:p>
    <w:p w14:paraId="50D65EB5" w14:textId="77777777" w:rsidR="005465AF" w:rsidRDefault="005465AF" w:rsidP="00C560C6"/>
    <w:p w14:paraId="39417C42" w14:textId="0C9F2836" w:rsidR="00C560C6" w:rsidRPr="00C560C6" w:rsidRDefault="00C560C6" w:rsidP="00C560C6">
      <w:r w:rsidRPr="00C560C6">
        <w:t>More focus on both the advantages and limitations of the Rotea could be outlined in the discussion, in addition to suggested use cases.</w:t>
      </w:r>
    </w:p>
    <w:p w14:paraId="53CA3376" w14:textId="77777777" w:rsidR="005465AF" w:rsidRDefault="00C560C6" w:rsidP="00C560C6">
      <w:pPr>
        <w:rPr>
          <w:color w:val="4472C4" w:themeColor="accent1"/>
        </w:rPr>
      </w:pPr>
      <w:r w:rsidRPr="00C560C6">
        <w:rPr>
          <w:color w:val="4472C4" w:themeColor="accent1"/>
        </w:rPr>
        <w:t>We agree with Reviewer 2 that this would benefit the quality of our paper and have this included the advantages of Rotea in lines 299-304 and 306-309.</w:t>
      </w:r>
    </w:p>
    <w:p w14:paraId="44FE9FC5" w14:textId="77777777" w:rsidR="005465AF" w:rsidRDefault="005465AF" w:rsidP="00C560C6"/>
    <w:p w14:paraId="20CCC71F" w14:textId="4AFC1D58" w:rsidR="00C560C6" w:rsidRPr="00C560C6" w:rsidRDefault="00C560C6" w:rsidP="00C560C6">
      <w:r w:rsidRPr="00C560C6">
        <w:t xml:space="preserve">Lines 86-95: The highlighting of fully-automated platforms appears here, but the capabilities of these two options doesn't match with the function of the Rotea. Instead, the mention of more similar CFC processing technology was listed in lines 254-268 in the discussion. Comparison of these offerings is more pertinent to match the </w:t>
      </w:r>
      <w:proofErr w:type="spellStart"/>
      <w:r w:rsidRPr="00C560C6">
        <w:t>Rotea's</w:t>
      </w:r>
      <w:proofErr w:type="spellEnd"/>
      <w:r w:rsidRPr="00C560C6">
        <w:t xml:space="preserve"> functionality as demonstrated in this manuscript. Pros and cons of the device could be placed either completely in the introduction or discussion for comparison to other platforms.</w:t>
      </w:r>
    </w:p>
    <w:p w14:paraId="6AFFB0C6" w14:textId="77777777" w:rsidR="00C560C6" w:rsidRPr="00C560C6" w:rsidRDefault="00C560C6" w:rsidP="00C560C6">
      <w:pPr>
        <w:rPr>
          <w:color w:val="4472C4" w:themeColor="accent1"/>
        </w:rPr>
      </w:pPr>
      <w:r w:rsidRPr="00C560C6">
        <w:rPr>
          <w:color w:val="4472C4" w:themeColor="accent1"/>
        </w:rPr>
        <w:t xml:space="preserve">The fully automated platforms discussed in the introduction part (line 90-101) was intended to inform the reader of the different ways of implementing automation, in particular, highlighting the need of the modular-based approach. However, we understand the concerns of Reviewer 2, and as such the wording in this paragraph has been updated to clarify our intention. Additionally, the significance of the protocol is discussed in the discussion in comparison to current existing technology (lines 292-298), in accordance to requirements of the journal. </w:t>
      </w:r>
    </w:p>
    <w:p w14:paraId="010704E0" w14:textId="77777777" w:rsidR="005465AF" w:rsidRDefault="005465AF" w:rsidP="00C560C6"/>
    <w:p w14:paraId="6E2D84D4" w14:textId="0D1F337D" w:rsidR="00C560C6" w:rsidRPr="00C560C6" w:rsidRDefault="00C560C6" w:rsidP="00C560C6">
      <w:r w:rsidRPr="00C560C6">
        <w:t>Line 100-107: A figure or schematic illustrating the centrifugal force, opposite fluid flow, flow gradient, and separation of live cells and debris would be helpful here. This could also be supported by the current Figure 1, where an additional device schematic could show these concepts.</w:t>
      </w:r>
    </w:p>
    <w:p w14:paraId="634D9E3E" w14:textId="77777777" w:rsidR="00C560C6" w:rsidRPr="00C560C6" w:rsidRDefault="00C560C6" w:rsidP="00C560C6">
      <w:pPr>
        <w:rPr>
          <w:color w:val="4472C4" w:themeColor="accent1"/>
        </w:rPr>
      </w:pPr>
      <w:r w:rsidRPr="00C560C6">
        <w:rPr>
          <w:color w:val="4472C4" w:themeColor="accent1"/>
        </w:rPr>
        <w:t xml:space="preserve">We have now included a schematic illustration is added in Figure 1 to describe all the forces. </w:t>
      </w:r>
    </w:p>
    <w:p w14:paraId="33BC99A6" w14:textId="77777777" w:rsidR="00C560C6" w:rsidRPr="00C560C6" w:rsidRDefault="00C560C6" w:rsidP="00C560C6"/>
    <w:p w14:paraId="7B3E7502" w14:textId="77777777" w:rsidR="005465AF" w:rsidRDefault="00C560C6" w:rsidP="00C560C6">
      <w:r w:rsidRPr="00C560C6">
        <w:t>Minor Concerns:</w:t>
      </w:r>
    </w:p>
    <w:p w14:paraId="655F4913" w14:textId="58316D64" w:rsidR="00C560C6" w:rsidRPr="00C560C6" w:rsidRDefault="00C560C6" w:rsidP="00C560C6">
      <w:r w:rsidRPr="00C560C6">
        <w:t>Line 90: Further elaborate on the types of operating protocol limitations here.</w:t>
      </w:r>
    </w:p>
    <w:p w14:paraId="58E38F01" w14:textId="77777777" w:rsidR="005465AF" w:rsidRPr="005465AF" w:rsidRDefault="00C560C6" w:rsidP="00C560C6">
      <w:pPr>
        <w:rPr>
          <w:color w:val="4472C4" w:themeColor="accent1"/>
        </w:rPr>
      </w:pPr>
      <w:r w:rsidRPr="00C560C6">
        <w:rPr>
          <w:color w:val="4472C4" w:themeColor="accent1"/>
        </w:rPr>
        <w:lastRenderedPageBreak/>
        <w:t>We have elaborated on the operating protocol limitations in lines 98-103 to describe how a fully integrated system may be restricted by its the culturing capacity.</w:t>
      </w:r>
    </w:p>
    <w:p w14:paraId="2C6B80C8" w14:textId="64E8FC95" w:rsidR="00C560C6" w:rsidRPr="00C560C6" w:rsidRDefault="00C560C6" w:rsidP="00C560C6">
      <w:r w:rsidRPr="00C560C6">
        <w:t>Line 92: It would be useful here to identify examples of "typical adherent mammalian cell cultures" that are being used/investigated as cell therapies.</w:t>
      </w:r>
    </w:p>
    <w:p w14:paraId="33384EE6" w14:textId="77777777" w:rsidR="00C560C6" w:rsidRPr="00C560C6" w:rsidRDefault="00C560C6" w:rsidP="00C560C6">
      <w:pPr>
        <w:rPr>
          <w:color w:val="4472C4" w:themeColor="accent1"/>
        </w:rPr>
      </w:pPr>
      <w:r w:rsidRPr="00C560C6">
        <w:rPr>
          <w:color w:val="4472C4" w:themeColor="accent1"/>
        </w:rPr>
        <w:t xml:space="preserve">In our response to Reviewer 1, we have added Quantum (Terumo BCT) system to this paragraph and as such we have removed the statement in line 92. </w:t>
      </w:r>
    </w:p>
    <w:p w14:paraId="1237AA05" w14:textId="1375D81C" w:rsidR="00C560C6" w:rsidRPr="00C560C6" w:rsidRDefault="00C560C6" w:rsidP="00C560C6">
      <w:r w:rsidRPr="00C560C6">
        <w:t>Line 107-111: This use case of CFC seems to diverge from the focus of the paper. Specific cell population isolation isn't investigated for the protocol.</w:t>
      </w:r>
    </w:p>
    <w:p w14:paraId="14B33180" w14:textId="77777777" w:rsidR="005465AF" w:rsidRDefault="00C560C6" w:rsidP="00C560C6">
      <w:r w:rsidRPr="00C560C6">
        <w:rPr>
          <w:color w:val="4472C4" w:themeColor="accent1"/>
        </w:rPr>
        <w:t>We have removed the statement around use of the CFC device for cell population isolation</w:t>
      </w:r>
      <w:r w:rsidRPr="00C560C6">
        <w:t>.</w:t>
      </w:r>
    </w:p>
    <w:p w14:paraId="2B180659" w14:textId="397EA6BC" w:rsidR="00C560C6" w:rsidRPr="00C560C6" w:rsidRDefault="00C560C6" w:rsidP="00C560C6">
      <w:r w:rsidRPr="00C560C6">
        <w:t>Line 132: It is unclear from the protocol only if the cultured cells were grown in flasks or culture bags. This would be important to identify at which step the open versus closed system processes take place for this protocol.</w:t>
      </w:r>
    </w:p>
    <w:p w14:paraId="6C1ECAD0" w14:textId="77777777" w:rsidR="005465AF" w:rsidRDefault="00C560C6" w:rsidP="00C560C6">
      <w:pPr>
        <w:rPr>
          <w:color w:val="4472C4" w:themeColor="accent1"/>
        </w:rPr>
      </w:pPr>
      <w:r w:rsidRPr="00C560C6">
        <w:rPr>
          <w:color w:val="4472C4" w:themeColor="accent1"/>
        </w:rPr>
        <w:t>Thank you for pointing this out. Our protocol used cells cultured in flasks, and we have now clarified this in protocol step 1.2. line 142-149</w:t>
      </w:r>
    </w:p>
    <w:p w14:paraId="633B0D11" w14:textId="74578D9D" w:rsidR="00C560C6" w:rsidRPr="00C560C6" w:rsidRDefault="00C560C6" w:rsidP="00C560C6">
      <w:r w:rsidRPr="00C560C6">
        <w:t>Figure 4: Further elaboration in the figure caption would be recommended to accurately label what constitutes as the "cell bed" as described in the manuscript.</w:t>
      </w:r>
    </w:p>
    <w:p w14:paraId="6B713F3B" w14:textId="77777777" w:rsidR="00C560C6" w:rsidRPr="00C560C6" w:rsidRDefault="00C560C6" w:rsidP="00C560C6">
      <w:pPr>
        <w:rPr>
          <w:color w:val="4472C4" w:themeColor="accent1"/>
        </w:rPr>
      </w:pPr>
      <w:r w:rsidRPr="00C560C6">
        <w:rPr>
          <w:color w:val="4472C4" w:themeColor="accent1"/>
        </w:rPr>
        <w:t>We have now updated this (now Figure 2) to include a dotted line to outline the area that is occupied by the ‘cell bed’.</w:t>
      </w:r>
    </w:p>
    <w:p w14:paraId="006B0B5E" w14:textId="259FBDD6" w:rsidR="00C560C6" w:rsidRDefault="00C560C6"/>
    <w:p w14:paraId="7C42866B" w14:textId="3718AA36" w:rsidR="00C560C6" w:rsidRDefault="00540908">
      <w:r>
        <w:t>We thank the editor and reviewers</w:t>
      </w:r>
      <w:r w:rsidR="000C6048">
        <w:t xml:space="preserve"> again for taking time to review th</w:t>
      </w:r>
      <w:r>
        <w:t>is</w:t>
      </w:r>
      <w:r w:rsidR="000C6048">
        <w:t xml:space="preserve"> re-submission</w:t>
      </w:r>
      <w:r>
        <w:t xml:space="preserve"> and look forward to hearing from you in due course.</w:t>
      </w:r>
    </w:p>
    <w:p w14:paraId="210A970D" w14:textId="77777777" w:rsidR="002B2C9D" w:rsidRDefault="002B2C9D">
      <w:pPr>
        <w:rPr>
          <w:rFonts w:cstheme="minorHAnsi"/>
          <w:color w:val="000000" w:themeColor="text1"/>
        </w:rPr>
      </w:pPr>
    </w:p>
    <w:p w14:paraId="4DEDB0C2" w14:textId="77777777" w:rsidR="00D24AD5" w:rsidRDefault="00D24AD5">
      <w:pPr>
        <w:rPr>
          <w:rFonts w:cstheme="minorHAnsi"/>
          <w:color w:val="000000" w:themeColor="text1"/>
        </w:rPr>
      </w:pPr>
      <w:r>
        <w:rPr>
          <w:rFonts w:cstheme="minorHAnsi"/>
          <w:color w:val="000000" w:themeColor="text1"/>
        </w:rPr>
        <w:t>Kind regards,</w:t>
      </w:r>
    </w:p>
    <w:p w14:paraId="32A2CE9B" w14:textId="0AA82C5F" w:rsidR="00D24AD5" w:rsidRDefault="00612601">
      <w:pPr>
        <w:rPr>
          <w:rFonts w:cstheme="minorHAnsi"/>
          <w:color w:val="000000" w:themeColor="text1"/>
        </w:rPr>
      </w:pPr>
      <w:r>
        <w:rPr>
          <w:rFonts w:cstheme="minorHAnsi"/>
          <w:noProof/>
          <w:color w:val="000000" w:themeColor="text1"/>
          <w:lang w:val="en-GB" w:eastAsia="en-GB"/>
        </w:rPr>
        <w:drawing>
          <wp:inline distT="0" distB="0" distL="0" distR="0" wp14:anchorId="70BADDE6" wp14:editId="7EFDCDD0">
            <wp:extent cx="1771486" cy="736040"/>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S digital signature.jpg"/>
                    <pic:cNvPicPr/>
                  </pic:nvPicPr>
                  <pic:blipFill>
                    <a:blip r:embed="rId4">
                      <a:extLst>
                        <a:ext uri="{28A0092B-C50C-407E-A947-70E740481C1C}">
                          <a14:useLocalDpi xmlns:a14="http://schemas.microsoft.com/office/drawing/2010/main" val="0"/>
                        </a:ext>
                      </a:extLst>
                    </a:blip>
                    <a:stretch>
                      <a:fillRect/>
                    </a:stretch>
                  </pic:blipFill>
                  <pic:spPr>
                    <a:xfrm>
                      <a:off x="0" y="0"/>
                      <a:ext cx="1790484" cy="743934"/>
                    </a:xfrm>
                    <a:prstGeom prst="rect">
                      <a:avLst/>
                    </a:prstGeom>
                  </pic:spPr>
                </pic:pic>
              </a:graphicData>
            </a:graphic>
          </wp:inline>
        </w:drawing>
      </w:r>
    </w:p>
    <w:p w14:paraId="388CDCF4" w14:textId="77777777" w:rsidR="00612601" w:rsidRDefault="00612601" w:rsidP="00947131">
      <w:pPr>
        <w:spacing w:after="0" w:line="240" w:lineRule="auto"/>
        <w:rPr>
          <w:rFonts w:cstheme="minorHAnsi"/>
          <w:color w:val="000000" w:themeColor="text1"/>
        </w:rPr>
      </w:pPr>
    </w:p>
    <w:p w14:paraId="7574A37A" w14:textId="0F054E51" w:rsidR="00D24AD5" w:rsidRDefault="00612601" w:rsidP="00947131">
      <w:pPr>
        <w:spacing w:after="0" w:line="240" w:lineRule="auto"/>
      </w:pPr>
      <w:r>
        <w:rPr>
          <w:rFonts w:cstheme="minorHAnsi"/>
          <w:color w:val="000000" w:themeColor="text1"/>
        </w:rPr>
        <w:t>A/Prof</w:t>
      </w:r>
      <w:r w:rsidR="00D24AD5">
        <w:t xml:space="preserve"> Rebecca Lim</w:t>
      </w:r>
    </w:p>
    <w:p w14:paraId="16B07C14" w14:textId="77777777" w:rsidR="00D24AD5" w:rsidRDefault="00D24AD5" w:rsidP="00947131">
      <w:pPr>
        <w:spacing w:after="0" w:line="240" w:lineRule="auto"/>
      </w:pPr>
      <w:r>
        <w:t>Research Group Head</w:t>
      </w:r>
    </w:p>
    <w:p w14:paraId="0B94CF61" w14:textId="77777777" w:rsidR="00D24AD5" w:rsidRDefault="00D24AD5" w:rsidP="00947131">
      <w:pPr>
        <w:spacing w:after="0" w:line="240" w:lineRule="auto"/>
      </w:pPr>
      <w:r>
        <w:t>The Ritchie Centre</w:t>
      </w:r>
    </w:p>
    <w:p w14:paraId="66E473FC" w14:textId="77777777" w:rsidR="00D24AD5" w:rsidRDefault="00D24AD5" w:rsidP="00947131">
      <w:pPr>
        <w:spacing w:after="0" w:line="240" w:lineRule="auto"/>
      </w:pPr>
      <w:r>
        <w:t>Hudson Institute of Medical Research</w:t>
      </w:r>
    </w:p>
    <w:p w14:paraId="654269C7" w14:textId="77777777" w:rsidR="00D24AD5" w:rsidRDefault="00D24AD5" w:rsidP="00947131">
      <w:pPr>
        <w:spacing w:after="0" w:line="240" w:lineRule="auto"/>
      </w:pPr>
      <w:r>
        <w:t>27-31 Wright St, Clayton VIC 3168</w:t>
      </w:r>
    </w:p>
    <w:p w14:paraId="3FE0F253" w14:textId="77777777" w:rsidR="00D24AD5" w:rsidRDefault="00D24AD5" w:rsidP="00947131">
      <w:pPr>
        <w:spacing w:after="0" w:line="240" w:lineRule="auto"/>
      </w:pPr>
      <w:r>
        <w:t>Email: Rebecca.Lim@hudson.org.au</w:t>
      </w:r>
    </w:p>
    <w:p w14:paraId="33BD3DBC" w14:textId="77777777" w:rsidR="00D24AD5" w:rsidRDefault="00D24AD5" w:rsidP="00D24AD5">
      <w:r>
        <w:t>Tel: +613 8572 2794</w:t>
      </w:r>
    </w:p>
    <w:sectPr w:rsidR="00D24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BF"/>
    <w:rsid w:val="00037A24"/>
    <w:rsid w:val="000A1D83"/>
    <w:rsid w:val="000C6048"/>
    <w:rsid w:val="002B2C9D"/>
    <w:rsid w:val="002B3DCD"/>
    <w:rsid w:val="002C28EB"/>
    <w:rsid w:val="003861D6"/>
    <w:rsid w:val="00540908"/>
    <w:rsid w:val="005465AF"/>
    <w:rsid w:val="006108BF"/>
    <w:rsid w:val="00612601"/>
    <w:rsid w:val="00947131"/>
    <w:rsid w:val="0099480D"/>
    <w:rsid w:val="009A1EDC"/>
    <w:rsid w:val="00C560C6"/>
    <w:rsid w:val="00D24AD5"/>
    <w:rsid w:val="00E439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97BD"/>
  <w15:chartTrackingRefBased/>
  <w15:docId w15:val="{53E102BB-CE09-4C97-AA6F-184C030E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108BF"/>
  </w:style>
  <w:style w:type="character" w:customStyle="1" w:styleId="DateChar">
    <w:name w:val="Date Char"/>
    <w:basedOn w:val="DefaultParagraphFont"/>
    <w:link w:val="Date"/>
    <w:uiPriority w:val="99"/>
    <w:semiHidden/>
    <w:rsid w:val="006108BF"/>
  </w:style>
  <w:style w:type="paragraph" w:styleId="BalloonText">
    <w:name w:val="Balloon Text"/>
    <w:basedOn w:val="Normal"/>
    <w:link w:val="BalloonTextChar"/>
    <w:uiPriority w:val="99"/>
    <w:semiHidden/>
    <w:unhideWhenUsed/>
    <w:rsid w:val="002C2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28E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40908"/>
    <w:rPr>
      <w:sz w:val="18"/>
      <w:szCs w:val="18"/>
    </w:rPr>
  </w:style>
  <w:style w:type="paragraph" w:styleId="CommentText">
    <w:name w:val="annotation text"/>
    <w:basedOn w:val="Normal"/>
    <w:link w:val="CommentTextChar"/>
    <w:uiPriority w:val="99"/>
    <w:semiHidden/>
    <w:unhideWhenUsed/>
    <w:rsid w:val="00540908"/>
    <w:pPr>
      <w:spacing w:line="240" w:lineRule="auto"/>
    </w:pPr>
    <w:rPr>
      <w:sz w:val="24"/>
      <w:szCs w:val="24"/>
    </w:rPr>
  </w:style>
  <w:style w:type="character" w:customStyle="1" w:styleId="CommentTextChar">
    <w:name w:val="Comment Text Char"/>
    <w:basedOn w:val="DefaultParagraphFont"/>
    <w:link w:val="CommentText"/>
    <w:uiPriority w:val="99"/>
    <w:semiHidden/>
    <w:rsid w:val="00540908"/>
    <w:rPr>
      <w:sz w:val="24"/>
      <w:szCs w:val="24"/>
    </w:rPr>
  </w:style>
  <w:style w:type="paragraph" w:styleId="CommentSubject">
    <w:name w:val="annotation subject"/>
    <w:basedOn w:val="CommentText"/>
    <w:next w:val="CommentText"/>
    <w:link w:val="CommentSubjectChar"/>
    <w:uiPriority w:val="99"/>
    <w:semiHidden/>
    <w:unhideWhenUsed/>
    <w:rsid w:val="00540908"/>
    <w:rPr>
      <w:b/>
      <w:bCs/>
      <w:sz w:val="20"/>
      <w:szCs w:val="20"/>
    </w:rPr>
  </w:style>
  <w:style w:type="character" w:customStyle="1" w:styleId="CommentSubjectChar">
    <w:name w:val="Comment Subject Char"/>
    <w:basedOn w:val="CommentTextChar"/>
    <w:link w:val="CommentSubject"/>
    <w:uiPriority w:val="99"/>
    <w:semiHidden/>
    <w:rsid w:val="00540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anQi li</dc:creator>
  <cp:keywords/>
  <dc:description/>
  <cp:lastModifiedBy>anQi li</cp:lastModifiedBy>
  <cp:revision>3</cp:revision>
  <dcterms:created xsi:type="dcterms:W3CDTF">2019-09-17T05:38:00Z</dcterms:created>
  <dcterms:modified xsi:type="dcterms:W3CDTF">2019-09-17T05:39:00Z</dcterms:modified>
</cp:coreProperties>
</file>