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14B" w:rsidRPr="00FE02C8" w:rsidRDefault="00FE02C8">
      <w:pPr>
        <w:rPr>
          <w:rStyle w:val="Fett"/>
          <w:b w:val="0"/>
        </w:rPr>
      </w:pPr>
      <w:r w:rsidRPr="00FE02C8">
        <w:rPr>
          <w:rStyle w:val="Fett"/>
          <w:b w:val="0"/>
        </w:rPr>
        <w:t>Dear Dr. Wu,</w:t>
      </w:r>
    </w:p>
    <w:p w:rsidR="007C414B" w:rsidRDefault="007C414B">
      <w:pPr>
        <w:rPr>
          <w:rStyle w:val="Fett"/>
          <w:b w:val="0"/>
        </w:rPr>
      </w:pPr>
    </w:p>
    <w:p w:rsidR="007C414B" w:rsidRDefault="00FE02C8" w:rsidP="00FE02C8">
      <w:pPr>
        <w:jc w:val="both"/>
        <w:rPr>
          <w:rStyle w:val="Fett"/>
          <w:b w:val="0"/>
        </w:rPr>
      </w:pPr>
      <w:r>
        <w:rPr>
          <w:rStyle w:val="Fett"/>
          <w:b w:val="0"/>
        </w:rPr>
        <w:t>Thank you very much for considering our manuscript "</w:t>
      </w:r>
      <w:r>
        <w:t xml:space="preserve">Measuring phagocytosis of Aspergillus fumigatus conidia by human </w:t>
      </w:r>
      <w:proofErr w:type="gramStart"/>
      <w:r>
        <w:t>leukocytes using</w:t>
      </w:r>
      <w:proofErr w:type="gramEnd"/>
      <w:r>
        <w:t xml:space="preserve"> flow cytometry</w:t>
      </w:r>
      <w:r>
        <w:rPr>
          <w:rStyle w:val="Fett"/>
          <w:b w:val="0"/>
        </w:rPr>
        <w:t>" for publication. We</w:t>
      </w:r>
      <w:r w:rsidR="00075884" w:rsidRPr="00075884">
        <w:rPr>
          <w:rStyle w:val="Fett"/>
          <w:b w:val="0"/>
        </w:rPr>
        <w:t xml:space="preserve"> are </w:t>
      </w:r>
      <w:r>
        <w:rPr>
          <w:rStyle w:val="Fett"/>
          <w:b w:val="0"/>
        </w:rPr>
        <w:t xml:space="preserve">also </w:t>
      </w:r>
      <w:r w:rsidR="00075884" w:rsidRPr="00075884">
        <w:rPr>
          <w:rStyle w:val="Fett"/>
          <w:b w:val="0"/>
        </w:rPr>
        <w:t>thankful for the reviewers' as well as the editorial comments as we feel they improv</w:t>
      </w:r>
      <w:r w:rsidR="004D239A">
        <w:rPr>
          <w:rStyle w:val="Fett"/>
          <w:b w:val="0"/>
        </w:rPr>
        <w:t>e the manuscript substantially.</w:t>
      </w:r>
    </w:p>
    <w:p w:rsidR="00075884" w:rsidRPr="00075884" w:rsidRDefault="00075884">
      <w:pPr>
        <w:rPr>
          <w:rStyle w:val="Fett"/>
          <w:b w:val="0"/>
        </w:rPr>
      </w:pPr>
    </w:p>
    <w:p w:rsidR="00344C56" w:rsidRDefault="004301B0">
      <w:r>
        <w:rPr>
          <w:rStyle w:val="Fett"/>
        </w:rPr>
        <w:t>Editorial comments</w:t>
      </w:r>
      <w:proofErr w:type="gramStart"/>
      <w:r>
        <w:rPr>
          <w:rStyle w:val="Fett"/>
        </w:rPr>
        <w:t>:</w:t>
      </w:r>
      <w:proofErr w:type="gramEnd"/>
      <w:r>
        <w:br/>
        <w:t>1. Please take this opportunity to thoroughly proofread the manuscript to ensure that there are no spelling or grammar issues.</w:t>
      </w:r>
      <w:r w:rsidR="00D33666">
        <w:br/>
      </w:r>
      <w: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t>docx</w:t>
      </w:r>
      <w:proofErr w:type="spellEnd"/>
      <w:r>
        <w:t xml:space="preserve"> file to your Editorial Manager account. The Figure must be cited appropriately in the Figure Legend, i.e. “This figure has been modified from [citation].”</w:t>
      </w:r>
      <w:r>
        <w:br/>
        <w:t xml:space="preserve">3. Please use 12 </w:t>
      </w:r>
      <w:proofErr w:type="spellStart"/>
      <w:r>
        <w:t>pt</w:t>
      </w:r>
      <w:proofErr w:type="spellEnd"/>
      <w:r>
        <w:t xml:space="preserve"> font and single-spaced text throughout the manuscript.</w:t>
      </w:r>
      <w:r>
        <w:br/>
        <w:t>4. Please use h, min, s for time units.</w:t>
      </w:r>
      <w:r>
        <w:br/>
      </w:r>
      <w:proofErr w:type="gramStart"/>
      <w:r>
        <w:t xml:space="preserve">5. </w:t>
      </w:r>
      <w:proofErr w:type="spellStart"/>
      <w:r>
        <w:t>JoVE</w:t>
      </w:r>
      <w:proofErr w:type="spellEnd"/>
      <w:proofErr w:type="gramEnd"/>
      <w: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w:t>
      </w:r>
      <w:r>
        <w:br/>
        <w:t>6. Please do not abbreviate journal titles for references.</w:t>
      </w:r>
      <w:r>
        <w:br/>
        <w:t>7. Please specify the antibody in the protocol.</w:t>
      </w:r>
      <w:r>
        <w:br/>
        <w:t>8. Please define all abbreviations before use.</w:t>
      </w:r>
      <w:r>
        <w:br/>
        <w:t>9. Please specify the composition of all buffer or media in the protocol.</w:t>
      </w:r>
      <w:r>
        <w:br/>
      </w:r>
    </w:p>
    <w:p w:rsidR="00344C56" w:rsidRDefault="00D33666" w:rsidP="00D33666">
      <w:pPr>
        <w:jc w:val="both"/>
      </w:pPr>
      <w:r>
        <w:t>The manuscript was carefully checked for formatting, requested units, abbreviations and commercial language. It was proofread by three people. A</w:t>
      </w:r>
      <w:r w:rsidR="00344C56">
        <w:t xml:space="preserve">ll antibodies used are </w:t>
      </w:r>
      <w:r>
        <w:t>specified</w:t>
      </w:r>
      <w:r w:rsidR="00344C56">
        <w:t xml:space="preserve"> in the Table of Materials and Reagents</w:t>
      </w:r>
      <w:r>
        <w:t xml:space="preserve"> and </w:t>
      </w:r>
      <w:r>
        <w:t>were</w:t>
      </w:r>
      <w:r>
        <w:t xml:space="preserve"> not further detailed in the protocol </w:t>
      </w:r>
      <w:r w:rsidR="00A43C0D">
        <w:t>to avoid commercial language</w:t>
      </w:r>
      <w:r w:rsidR="00344C56">
        <w:t>.</w:t>
      </w:r>
    </w:p>
    <w:p w:rsidR="00672CE5" w:rsidRDefault="00672CE5" w:rsidP="00672CE5">
      <w:pPr>
        <w:jc w:val="both"/>
      </w:pPr>
      <w:r>
        <w:t>The references were updated</w:t>
      </w:r>
      <w:r>
        <w:t xml:space="preserve"> and buffer and media compositions were added to the protocol</w:t>
      </w:r>
      <w:r>
        <w:t>.</w:t>
      </w:r>
    </w:p>
    <w:p w:rsidR="00A43C0D" w:rsidRDefault="00A43C0D" w:rsidP="00D33666">
      <w:pPr>
        <w:jc w:val="both"/>
      </w:pPr>
      <w:r>
        <w:t>Copyright permission was uploaded as .doc file as requested and citations added to the respective figures although the figures intended for publication with JOVE are not the same as in the previous publication.</w:t>
      </w:r>
    </w:p>
    <w:p w:rsidR="004D239A" w:rsidRPr="003B3F70" w:rsidRDefault="004301B0">
      <w:pPr>
        <w:rPr>
          <w:i/>
        </w:rPr>
      </w:pPr>
      <w:r>
        <w:br/>
      </w:r>
      <w:r>
        <w:br/>
      </w:r>
      <w:r>
        <w:rPr>
          <w:rStyle w:val="Fett"/>
        </w:rPr>
        <w:t>Reviewers' comments</w:t>
      </w:r>
      <w:proofErr w:type="gramStart"/>
      <w:r>
        <w:rPr>
          <w:rStyle w:val="Fett"/>
        </w:rPr>
        <w:t>:</w:t>
      </w:r>
      <w:proofErr w:type="gramEnd"/>
      <w:r>
        <w:br/>
      </w:r>
      <w:r>
        <w:rPr>
          <w:b/>
          <w:bCs/>
        </w:rPr>
        <w:t xml:space="preserve">Reviewer #1: </w:t>
      </w:r>
      <w:r>
        <w:br/>
      </w:r>
      <w:r w:rsidRPr="003B3F70">
        <w:rPr>
          <w:i/>
        </w:rPr>
        <w:t>Major Concerns:</w:t>
      </w:r>
      <w:r w:rsidRPr="003B3F70">
        <w:rPr>
          <w:i/>
        </w:rPr>
        <w:br/>
        <w:t xml:space="preserve">The double labeling strategy with FACS has been repeatedly published to identify conidia of </w:t>
      </w:r>
      <w:proofErr w:type="spellStart"/>
      <w:r w:rsidRPr="003B3F70">
        <w:rPr>
          <w:i/>
        </w:rPr>
        <w:t>A.fumigatus</w:t>
      </w:r>
      <w:proofErr w:type="spellEnd"/>
      <w:r w:rsidRPr="003B3F70">
        <w:rPr>
          <w:i/>
        </w:rPr>
        <w:t xml:space="preserve"> binding to phagocytes vs conidia phagocytosed. Here an antibody against FITC is used instead of the classical anti-</w:t>
      </w:r>
      <w:proofErr w:type="spellStart"/>
      <w:r w:rsidRPr="003B3F70">
        <w:rPr>
          <w:i/>
        </w:rPr>
        <w:t>conidium</w:t>
      </w:r>
      <w:proofErr w:type="spellEnd"/>
      <w:r w:rsidRPr="003B3F70">
        <w:rPr>
          <w:i/>
        </w:rPr>
        <w:t xml:space="preserve"> antibody. This </w:t>
      </w:r>
      <w:proofErr w:type="spellStart"/>
      <w:r w:rsidRPr="003B3F70">
        <w:rPr>
          <w:i/>
        </w:rPr>
        <w:t>ms</w:t>
      </w:r>
      <w:proofErr w:type="spellEnd"/>
      <w:r w:rsidRPr="003B3F70">
        <w:rPr>
          <w:i/>
        </w:rPr>
        <w:t xml:space="preserve"> does not bring anything new special (except </w:t>
      </w:r>
      <w:r w:rsidRPr="003B3F70">
        <w:rPr>
          <w:i/>
        </w:rPr>
        <w:lastRenderedPageBreak/>
        <w:t xml:space="preserve">the use of an </w:t>
      </w:r>
      <w:proofErr w:type="spellStart"/>
      <w:r w:rsidRPr="003B3F70">
        <w:rPr>
          <w:i/>
        </w:rPr>
        <w:t>antiFITC</w:t>
      </w:r>
      <w:proofErr w:type="spellEnd"/>
      <w:r w:rsidRPr="003B3F70">
        <w:rPr>
          <w:i/>
        </w:rPr>
        <w:t xml:space="preserve"> antibody but at the end it is always the same strategy)</w:t>
      </w:r>
      <w:r w:rsidRPr="003B3F70">
        <w:rPr>
          <w:i/>
        </w:rPr>
        <w:br/>
        <w:t xml:space="preserve">Discriminate phagocytosis of pathogens by monocytes and neutrophils in a single sample is not an issue for aspergillosis since these phagocytes are not present together and targets different </w:t>
      </w:r>
      <w:proofErr w:type="spellStart"/>
      <w:r w:rsidRPr="003B3F70">
        <w:rPr>
          <w:i/>
        </w:rPr>
        <w:t>morphotypes</w:t>
      </w:r>
      <w:proofErr w:type="spellEnd"/>
      <w:r w:rsidRPr="003B3F70">
        <w:rPr>
          <w:i/>
        </w:rPr>
        <w:t>.</w:t>
      </w:r>
      <w:r w:rsidRPr="003B3F70">
        <w:rPr>
          <w:i/>
        </w:rPr>
        <w:br/>
        <w:t>The authors mention that the limitation of this protocol is in the duality of the cell population that harbor cells with adherent as well as internalized conidia. But they did not explore the putative solutions (even though they mention one ref)</w:t>
      </w:r>
    </w:p>
    <w:p w:rsidR="004D239A" w:rsidRDefault="004D239A"/>
    <w:p w:rsidR="00672CE5" w:rsidRDefault="00672CE5" w:rsidP="00FE02C8">
      <w:pPr>
        <w:jc w:val="both"/>
      </w:pPr>
      <w:r>
        <w:t xml:space="preserve">Upon intake of </w:t>
      </w:r>
      <w:r w:rsidR="00FE02C8" w:rsidRPr="00FE02C8">
        <w:rPr>
          <w:i/>
        </w:rPr>
        <w:t>A. fumigatus</w:t>
      </w:r>
      <w:r w:rsidR="00FE02C8">
        <w:t xml:space="preserve"> </w:t>
      </w:r>
      <w:r>
        <w:t xml:space="preserve">conidia to the human lung, alveolar macrophages </w:t>
      </w:r>
      <w:r w:rsidR="00FE02C8">
        <w:t xml:space="preserve">constitute the first line of cellular defense. However, if cytokines are released to acquire further innate leukocytes to combat conidia, monocytes as well as neutrophils are recruited from the blood stream. Thus, the analysis of </w:t>
      </w:r>
      <w:proofErr w:type="spellStart"/>
      <w:r w:rsidR="00FE02C8">
        <w:t>phagocytotic</w:t>
      </w:r>
      <w:proofErr w:type="spellEnd"/>
      <w:r w:rsidR="00FE02C8">
        <w:t xml:space="preserve"> </w:t>
      </w:r>
      <w:r w:rsidR="00FB2968">
        <w:t xml:space="preserve">capabilities of monocytes and neutrophils towards </w:t>
      </w:r>
      <w:r w:rsidR="008150D9">
        <w:t xml:space="preserve">conidia might still hold </w:t>
      </w:r>
      <w:r w:rsidR="00FB2968">
        <w:t>relevance.</w:t>
      </w:r>
      <w:r w:rsidR="00FE02C8">
        <w:t xml:space="preserve"> </w:t>
      </w:r>
    </w:p>
    <w:p w:rsidR="004D239A" w:rsidRPr="003B3F70" w:rsidRDefault="003B3F70" w:rsidP="004D239A">
      <w:pPr>
        <w:jc w:val="both"/>
      </w:pPr>
      <w:r w:rsidRPr="003B3F70">
        <w:t xml:space="preserve">Regarding the issue of a double-positive population, combining microscopy and flow cytometry, as already reported by </w:t>
      </w:r>
      <w:proofErr w:type="spellStart"/>
      <w:r w:rsidRPr="003B3F70">
        <w:t>Fei</w:t>
      </w:r>
      <w:proofErr w:type="spellEnd"/>
      <w:r w:rsidRPr="003B3F70">
        <w:t xml:space="preserve"> et al. (</w:t>
      </w:r>
      <w:r w:rsidRPr="008150D9">
        <w:rPr>
          <w:rFonts w:cstheme="minorHAnsi"/>
          <w:noProof/>
        </w:rPr>
        <w:t>Cytometry A.</w:t>
      </w:r>
      <w:bookmarkStart w:id="0" w:name="_GoBack"/>
      <w:bookmarkEnd w:id="0"/>
      <w:r w:rsidRPr="003B3F70">
        <w:rPr>
          <w:rFonts w:cstheme="minorHAnsi"/>
          <w:noProof/>
        </w:rPr>
        <w:t xml:space="preserve"> </w:t>
      </w:r>
      <w:r w:rsidRPr="008150D9">
        <w:rPr>
          <w:rFonts w:cstheme="minorHAnsi"/>
          <w:noProof/>
        </w:rPr>
        <w:t>91</w:t>
      </w:r>
      <w:r w:rsidR="008150D9">
        <w:rPr>
          <w:rFonts w:cstheme="minorHAnsi"/>
          <w:noProof/>
        </w:rPr>
        <w:t xml:space="preserve"> (4), 372-381, </w:t>
      </w:r>
      <w:r w:rsidRPr="003B3F70">
        <w:rPr>
          <w:rFonts w:cstheme="minorHAnsi"/>
          <w:noProof/>
        </w:rPr>
        <w:t>2017</w:t>
      </w:r>
      <w:r w:rsidRPr="003B3F70">
        <w:t xml:space="preserve">) provides a sophisticated way to automatically determine percentages of cells with adherent conidia and cells with ingested and adherent conidia. If such a device is unavailable, manual microscopy is an alternative. Going for the latter, we further checked the double-positive population. </w:t>
      </w:r>
      <w:r w:rsidR="00B92E5E" w:rsidRPr="003B3F70">
        <w:t>Please see the reply to reviewer 2 on this aspect.</w:t>
      </w:r>
    </w:p>
    <w:p w:rsidR="004D239A" w:rsidRDefault="004D239A" w:rsidP="004D239A">
      <w:pPr>
        <w:jc w:val="both"/>
      </w:pPr>
    </w:p>
    <w:p w:rsidR="004317F7" w:rsidRDefault="004301B0" w:rsidP="004D239A">
      <w:pPr>
        <w:jc w:val="both"/>
        <w:rPr>
          <w:b/>
          <w:bCs/>
        </w:rPr>
      </w:pPr>
      <w:r>
        <w:rPr>
          <w:b/>
          <w:bCs/>
        </w:rPr>
        <w:t>Reviewer #2:</w:t>
      </w:r>
    </w:p>
    <w:p w:rsidR="004317F7" w:rsidRPr="00B24B93" w:rsidRDefault="004301B0" w:rsidP="004D239A">
      <w:pPr>
        <w:jc w:val="both"/>
        <w:rPr>
          <w:i/>
        </w:rPr>
      </w:pPr>
      <w:r w:rsidRPr="00B24B93">
        <w:rPr>
          <w:i/>
        </w:rPr>
        <w:t>Manuscript Summary:</w:t>
      </w:r>
    </w:p>
    <w:p w:rsidR="004317F7" w:rsidRPr="00B24B93" w:rsidRDefault="004301B0" w:rsidP="004D239A">
      <w:pPr>
        <w:jc w:val="both"/>
        <w:rPr>
          <w:i/>
        </w:rPr>
      </w:pPr>
      <w:proofErr w:type="gramStart"/>
      <w:r w:rsidRPr="00B24B93">
        <w:rPr>
          <w:i/>
        </w:rPr>
        <w:t>A straightforward description of a standard protocol for measuring the phagocytosis of fungal spores by human blood monocytes.</w:t>
      </w:r>
      <w:proofErr w:type="gramEnd"/>
    </w:p>
    <w:p w:rsidR="004317F7" w:rsidRPr="00B24B93" w:rsidRDefault="004301B0" w:rsidP="004D239A">
      <w:pPr>
        <w:jc w:val="both"/>
        <w:rPr>
          <w:i/>
        </w:rPr>
      </w:pPr>
      <w:r w:rsidRPr="00B24B93">
        <w:rPr>
          <w:i/>
        </w:rPr>
        <w:t>Major Concerns:</w:t>
      </w:r>
    </w:p>
    <w:p w:rsidR="004317F7" w:rsidRPr="00B24B93" w:rsidRDefault="004301B0" w:rsidP="004D239A">
      <w:pPr>
        <w:jc w:val="both"/>
        <w:rPr>
          <w:i/>
        </w:rPr>
      </w:pPr>
      <w:r w:rsidRPr="00B24B93">
        <w:rPr>
          <w:i/>
        </w:rPr>
        <w:t>No major concerns with the protocol or the written article.</w:t>
      </w:r>
    </w:p>
    <w:p w:rsidR="004317F7" w:rsidRPr="00B24B93" w:rsidRDefault="004301B0" w:rsidP="004D239A">
      <w:pPr>
        <w:jc w:val="both"/>
        <w:rPr>
          <w:i/>
        </w:rPr>
      </w:pPr>
      <w:r w:rsidRPr="00B24B93">
        <w:rPr>
          <w:i/>
        </w:rPr>
        <w:t>Minor Concerns:</w:t>
      </w:r>
    </w:p>
    <w:p w:rsidR="004317F7" w:rsidRPr="00B24B93" w:rsidRDefault="004301B0" w:rsidP="004D239A">
      <w:pPr>
        <w:jc w:val="both"/>
        <w:rPr>
          <w:i/>
        </w:rPr>
      </w:pPr>
      <w:r w:rsidRPr="00B24B93">
        <w:rPr>
          <w:i/>
        </w:rPr>
        <w:t>Microscopic analysis of the double positive population should be performed to provide a general quantitative assessment of how many macrophages or neutrophils have spores exclusively on their surface (e.g. non-phagocytic cells). This would provide an understanding (e.g. 10% of the population) of how many leukocytes failed to internalize their targets at the times examined. In addition, how sensitive is this assay for measuring meaningful changes in the phagocytic potential of human leukocytes? Do PBLs from immunocompromised donors demonstrate reduced abilities to engulf these pathogens? If so, can the current protocol be used to accurately detect a reduced phagocytic potential? Overall, I think this would be a very important aspect of the study.</w:t>
      </w:r>
    </w:p>
    <w:p w:rsidR="005259CE" w:rsidRDefault="005259CE" w:rsidP="004D239A">
      <w:pPr>
        <w:jc w:val="both"/>
      </w:pPr>
    </w:p>
    <w:p w:rsidR="00B92E5E" w:rsidRDefault="00B92E5E" w:rsidP="004D239A">
      <w:pPr>
        <w:jc w:val="both"/>
      </w:pPr>
      <w:r>
        <w:t xml:space="preserve">As to distinguish the double positive population (FITC+ APC+) of cells with attached and </w:t>
      </w:r>
      <w:r w:rsidR="007D35E5">
        <w:t xml:space="preserve">potentially </w:t>
      </w:r>
      <w:r>
        <w:t xml:space="preserve">phagocytosed conidia, we took the chance to analyze this population microscopically and found </w:t>
      </w:r>
      <w:r>
        <w:lastRenderedPageBreak/>
        <w:t xml:space="preserve">between 8 and 20% of these cells to </w:t>
      </w:r>
      <w:r w:rsidR="00B24B93">
        <w:t>harbor</w:t>
      </w:r>
      <w:r>
        <w:t xml:space="preserve"> only attached conidia</w:t>
      </w:r>
      <w:r w:rsidR="008B1EAD">
        <w:t xml:space="preserve"> (see new Figure 1 </w:t>
      </w:r>
      <w:r w:rsidR="00344C56">
        <w:t>C</w:t>
      </w:r>
      <w:r w:rsidR="008B1EAD">
        <w:t>)</w:t>
      </w:r>
      <w:r>
        <w:t>.</w:t>
      </w:r>
      <w:r w:rsidR="00344C56">
        <w:t xml:space="preserve"> To point out the fact in the manuscript, the respective p</w:t>
      </w:r>
      <w:r w:rsidR="00B24B93">
        <w:t>art</w:t>
      </w:r>
      <w:r w:rsidR="00344C56">
        <w:t xml:space="preserve"> from the Representative Results sections now reads:</w:t>
      </w:r>
    </w:p>
    <w:p w:rsidR="00344C56" w:rsidRDefault="00EE3EB6" w:rsidP="004D239A">
      <w:pPr>
        <w:jc w:val="both"/>
      </w:pPr>
      <w:r>
        <w:rPr>
          <w:rFonts w:cstheme="minorHAnsi"/>
        </w:rPr>
        <w:t>"</w:t>
      </w:r>
      <w:r w:rsidR="00344C56" w:rsidRPr="00CF6F32">
        <w:rPr>
          <w:rFonts w:cstheme="minorHAnsi"/>
        </w:rPr>
        <w:t>FITC-labeled conidia that are attached to the cells but not internalized, render cells also positive for FITC but also provide a target for the anti-FITC antibody which makes these cells double positive for FITC and APC (FITC+, APC+).</w:t>
      </w:r>
      <w:r w:rsidR="00344C56">
        <w:rPr>
          <w:rFonts w:cstheme="minorHAnsi"/>
        </w:rPr>
        <w:t xml:space="preserve"> </w:t>
      </w:r>
      <w:r w:rsidR="00B24B93">
        <w:rPr>
          <w:rFonts w:cstheme="minorHAnsi"/>
        </w:rPr>
        <w:t>Wh</w:t>
      </w:r>
      <w:r w:rsidR="00344C56">
        <w:rPr>
          <w:rFonts w:cstheme="minorHAnsi"/>
        </w:rPr>
        <w:t>e</w:t>
      </w:r>
      <w:r w:rsidR="00B24B93">
        <w:rPr>
          <w:rFonts w:cstheme="minorHAnsi"/>
        </w:rPr>
        <w:t>n</w:t>
      </w:r>
      <w:r w:rsidR="00344C56">
        <w:rPr>
          <w:rFonts w:cstheme="minorHAnsi"/>
        </w:rPr>
        <w:t xml:space="preserve"> analyzed microscopically</w:t>
      </w:r>
      <w:r w:rsidR="00B24B93">
        <w:rPr>
          <w:rFonts w:cstheme="minorHAnsi"/>
        </w:rPr>
        <w:t>, this population</w:t>
      </w:r>
      <w:r w:rsidR="00344C56">
        <w:rPr>
          <w:rFonts w:cstheme="minorHAnsi"/>
        </w:rPr>
        <w:t xml:space="preserve"> </w:t>
      </w:r>
      <w:r w:rsidR="00B24B93">
        <w:rPr>
          <w:rFonts w:cstheme="minorHAnsi"/>
        </w:rPr>
        <w:t xml:space="preserve">contained up to </w:t>
      </w:r>
      <w:r w:rsidR="00344C56">
        <w:rPr>
          <w:rFonts w:cstheme="minorHAnsi"/>
        </w:rPr>
        <w:t>20%</w:t>
      </w:r>
      <w:r w:rsidR="00B24B93">
        <w:rPr>
          <w:rFonts w:cstheme="minorHAnsi"/>
        </w:rPr>
        <w:t xml:space="preserve"> of</w:t>
      </w:r>
      <w:r w:rsidR="00344C56">
        <w:rPr>
          <w:rFonts w:cstheme="minorHAnsi"/>
        </w:rPr>
        <w:t xml:space="preserve"> cells with attached conidia only</w:t>
      </w:r>
      <w:r w:rsidR="00B24B93">
        <w:rPr>
          <w:rFonts w:cstheme="minorHAnsi"/>
        </w:rPr>
        <w:t xml:space="preserve"> in our experiments</w:t>
      </w:r>
      <w:r w:rsidR="00344C56">
        <w:rPr>
          <w:rFonts w:cstheme="minorHAnsi"/>
        </w:rPr>
        <w:t>.</w:t>
      </w:r>
      <w:r>
        <w:rPr>
          <w:rFonts w:cstheme="minorHAnsi"/>
        </w:rPr>
        <w:t>"</w:t>
      </w:r>
    </w:p>
    <w:p w:rsidR="003D1A0B" w:rsidRDefault="009238C9" w:rsidP="004D239A">
      <w:pPr>
        <w:jc w:val="both"/>
      </w:pPr>
      <w:r>
        <w:t xml:space="preserve">The reviewer was </w:t>
      </w:r>
      <w:r w:rsidR="00B92E5E">
        <w:t xml:space="preserve">also </w:t>
      </w:r>
      <w:r>
        <w:t xml:space="preserve">enquiring after usage of the assay to detect changes in the phagocytic potential of human leukocytes. We have tested leukocytes from immunocompromised donors (having undergone allogenic stem cell transplantation) </w:t>
      </w:r>
      <w:r w:rsidR="00C444C3">
        <w:t xml:space="preserve">with our assay </w:t>
      </w:r>
      <w:r>
        <w:t xml:space="preserve">and found their ability to engulf </w:t>
      </w:r>
      <w:r w:rsidRPr="009238C9">
        <w:rPr>
          <w:i/>
        </w:rPr>
        <w:t>A. fumigatus</w:t>
      </w:r>
      <w:r>
        <w:t xml:space="preserve"> conidia diminished. Because these data in their entirety will be presented in a separate manuscript being in preparation, we present an example here in the new </w:t>
      </w:r>
      <w:r w:rsidR="008B1EAD">
        <w:t>F</w:t>
      </w:r>
      <w:r>
        <w:t xml:space="preserve">igure 3. At all tested time </w:t>
      </w:r>
      <w:proofErr w:type="gramStart"/>
      <w:r>
        <w:t>points</w:t>
      </w:r>
      <w:proofErr w:type="gramEnd"/>
      <w:r>
        <w:t xml:space="preserve"> phagocytosis of patient monocytes lack</w:t>
      </w:r>
      <w:r w:rsidR="00BB767D">
        <w:t>ed</w:t>
      </w:r>
      <w:r>
        <w:t xml:space="preserve"> behind healthy cells</w:t>
      </w:r>
      <w:r w:rsidR="001F014F">
        <w:t xml:space="preserve"> (Figure 3 A)</w:t>
      </w:r>
      <w:r>
        <w:t>.</w:t>
      </w:r>
    </w:p>
    <w:p w:rsidR="004317F7" w:rsidRDefault="004317F7"/>
    <w:p w:rsidR="00726FA6" w:rsidRPr="00B131E4" w:rsidRDefault="004301B0">
      <w:pPr>
        <w:rPr>
          <w:i/>
        </w:rPr>
      </w:pPr>
      <w:r>
        <w:rPr>
          <w:b/>
          <w:bCs/>
        </w:rPr>
        <w:t xml:space="preserve">Reviewer #3: </w:t>
      </w:r>
      <w:r>
        <w:br/>
      </w:r>
      <w:r w:rsidRPr="00B131E4">
        <w:rPr>
          <w:i/>
        </w:rPr>
        <w:t>Manuscript Summary</w:t>
      </w:r>
      <w:proofErr w:type="gramStart"/>
      <w:r w:rsidRPr="00B131E4">
        <w:rPr>
          <w:i/>
        </w:rPr>
        <w:t>:</w:t>
      </w:r>
      <w:proofErr w:type="gramEnd"/>
      <w:r w:rsidRPr="00B131E4">
        <w:rPr>
          <w:i/>
        </w:rPr>
        <w:br/>
        <w:t>The authors describe a protocol for assessment of phagocytosis of Aspergillus conidia by primary human phagocytes with flow cytometry</w:t>
      </w:r>
      <w:r w:rsidRPr="00B131E4">
        <w:rPr>
          <w:i/>
        </w:rPr>
        <w:br/>
      </w:r>
      <w:r w:rsidRPr="00B131E4">
        <w:rPr>
          <w:i/>
        </w:rPr>
        <w:br/>
        <w:t>Major Concerns:</w:t>
      </w:r>
      <w:r w:rsidRPr="00B131E4">
        <w:rPr>
          <w:i/>
        </w:rPr>
        <w:br/>
        <w:t>The protocol is well described and seems straightforward</w:t>
      </w:r>
      <w:r w:rsidRPr="00B131E4">
        <w:rPr>
          <w:i/>
        </w:rPr>
        <w:br/>
      </w:r>
      <w:r w:rsidRPr="00B131E4">
        <w:rPr>
          <w:i/>
        </w:rPr>
        <w:br/>
        <w:t>Minor Concerns:</w:t>
      </w:r>
      <w:r w:rsidRPr="00B131E4">
        <w:rPr>
          <w:i/>
        </w:rPr>
        <w:br/>
        <w:t xml:space="preserve">The use of FITC-labeling for conidia of other fungi (e.g. </w:t>
      </w:r>
      <w:proofErr w:type="spellStart"/>
      <w:r w:rsidRPr="00B131E4">
        <w:rPr>
          <w:i/>
        </w:rPr>
        <w:t>Mucorales</w:t>
      </w:r>
      <w:proofErr w:type="spellEnd"/>
      <w:r w:rsidRPr="00B131E4">
        <w:rPr>
          <w:i/>
        </w:rPr>
        <w:t>) is not so efficient as compared to Aspergillus and this protocol might not be applicable in general to other molds. If the authors have data on other molds it would be nice to provide them</w:t>
      </w:r>
      <w:r w:rsidRPr="00B131E4">
        <w:rPr>
          <w:i/>
        </w:rPr>
        <w:br/>
        <w:t>In addition, calculation of phagocytosis rate and index should be provided and explained for the general reader and the performance of the assay with different MOI should be given</w:t>
      </w:r>
    </w:p>
    <w:p w:rsidR="003D1A0B" w:rsidRDefault="003D1A0B"/>
    <w:p w:rsidR="00C444C3" w:rsidRDefault="00C444C3" w:rsidP="00C444C3">
      <w:pPr>
        <w:jc w:val="both"/>
      </w:pPr>
      <w:r>
        <w:t xml:space="preserve">Reviewer 3 asked for the application of the technique to pathogens other than </w:t>
      </w:r>
      <w:r w:rsidRPr="004250D6">
        <w:rPr>
          <w:i/>
        </w:rPr>
        <w:t>A. fumigatus</w:t>
      </w:r>
      <w:r>
        <w:t xml:space="preserve">. To address this issue we tested other clinically relevant molds of the genus </w:t>
      </w:r>
      <w:r w:rsidRPr="00FD712E">
        <w:rPr>
          <w:i/>
        </w:rPr>
        <w:t>Aspergillus</w:t>
      </w:r>
      <w:r>
        <w:t xml:space="preserve"> and </w:t>
      </w:r>
      <w:r w:rsidR="005630B2">
        <w:t xml:space="preserve">several </w:t>
      </w:r>
      <w:proofErr w:type="spellStart"/>
      <w:r w:rsidR="004250D6">
        <w:t>Mucorales</w:t>
      </w:r>
      <w:proofErr w:type="spellEnd"/>
      <w:r w:rsidR="005630B2">
        <w:t xml:space="preserve"> species</w:t>
      </w:r>
      <w:r w:rsidR="004250D6">
        <w:t>. As shown in the new F</w:t>
      </w:r>
      <w:r>
        <w:t xml:space="preserve">igure 3 B, all these species can be investigated with our </w:t>
      </w:r>
      <w:r w:rsidR="005630B2">
        <w:t xml:space="preserve">phagocytosis </w:t>
      </w:r>
      <w:r>
        <w:t>assay.</w:t>
      </w:r>
    </w:p>
    <w:p w:rsidR="00FD712E" w:rsidRDefault="00FD712E" w:rsidP="00C444C3">
      <w:pPr>
        <w:jc w:val="both"/>
      </w:pPr>
      <w:r>
        <w:t>The phagocytosis ratio and index are quantities that relate the number of phagocytosed pathogens to either the total number of pathogens present or number of (host) cells, respectively. However</w:t>
      </w:r>
      <w:r w:rsidR="00B131E4">
        <w:t xml:space="preserve">, determination of exact numbers of phagocytosed and adherent conidia by flow cytometry is difficult. The green fluorescence is conveyed to the cells by ingestion of a single FITC-labelled </w:t>
      </w:r>
      <w:proofErr w:type="spellStart"/>
      <w:r w:rsidR="00B131E4">
        <w:t>conidium</w:t>
      </w:r>
      <w:proofErr w:type="spellEnd"/>
      <w:r w:rsidR="00B131E4">
        <w:t xml:space="preserve"> as well as by ingestion of several conidia. FITC fluorescence intensities vary between cells in a continuous gradient that does not allow a reliable correlation between number of phagocytosed conidia and </w:t>
      </w:r>
      <w:r w:rsidR="00B24B93">
        <w:t xml:space="preserve">fluorescence intensity. </w:t>
      </w:r>
    </w:p>
    <w:p w:rsidR="00F55EC6" w:rsidRDefault="00F55EC6" w:rsidP="00F55EC6">
      <w:pPr>
        <w:jc w:val="both"/>
      </w:pPr>
      <w:r>
        <w:t xml:space="preserve">As with all experimental parameters, such as the applied cells, the specific pathogen or the incubation time, MOIs have to be titrated to suit the particulars of the experiment. In our case, MOI 2 </w:t>
      </w:r>
      <w:r>
        <w:lastRenderedPageBreak/>
        <w:t xml:space="preserve">was a reliable ratio </w:t>
      </w:r>
      <w:r w:rsidR="00FD712E">
        <w:t xml:space="preserve">of phagocytes and conidia </w:t>
      </w:r>
      <w:r>
        <w:t>within the range of investigated swelling and incubation times.</w:t>
      </w:r>
      <w:r w:rsidRPr="00F55EC6">
        <w:t xml:space="preserve"> </w:t>
      </w:r>
      <w:r>
        <w:t>A note regarding using different MOIs was added in the discussion.</w:t>
      </w:r>
    </w:p>
    <w:p w:rsidR="001A589B" w:rsidRPr="00F55EC6" w:rsidRDefault="001A589B" w:rsidP="00F55EC6">
      <w:pPr>
        <w:jc w:val="both"/>
        <w:rPr>
          <w:rFonts w:cstheme="minorHAnsi"/>
        </w:rPr>
      </w:pPr>
      <w:r>
        <w:rPr>
          <w:rFonts w:cstheme="minorHAnsi"/>
          <w:color w:val="000000" w:themeColor="text1"/>
        </w:rPr>
        <w:t xml:space="preserve">"Although gating is straight forward and easy in the beginning, the more conidia are internalized by cells, the blurrier gating may become. Using MOIs &gt; 2 increases phagocytosis at initial </w:t>
      </w:r>
      <w:r w:rsidRPr="00F55EC6">
        <w:rPr>
          <w:rFonts w:cstheme="minorHAnsi"/>
        </w:rPr>
        <w:t>time points but gating issues might arise earlier as well.</w:t>
      </w:r>
      <w:r w:rsidR="00F55EC6" w:rsidRPr="00F55EC6">
        <w:rPr>
          <w:rFonts w:cstheme="minorHAnsi"/>
          <w:color w:val="000000" w:themeColor="text1"/>
        </w:rPr>
        <w:t xml:space="preserve"> </w:t>
      </w:r>
      <w:r w:rsidR="00F55EC6">
        <w:rPr>
          <w:rFonts w:cstheme="minorHAnsi"/>
          <w:color w:val="000000" w:themeColor="text1"/>
        </w:rPr>
        <w:t>Therefore, MOIs should be carefully determined with the specific cells and pathogen of interest.</w:t>
      </w:r>
      <w:r w:rsidRPr="00F55EC6">
        <w:rPr>
          <w:rFonts w:cstheme="minorHAnsi"/>
        </w:rPr>
        <w:t>"</w:t>
      </w:r>
    </w:p>
    <w:p w:rsidR="00F55EC6" w:rsidRPr="00FE02C8" w:rsidRDefault="00F55EC6" w:rsidP="00C444C3">
      <w:pPr>
        <w:jc w:val="both"/>
      </w:pPr>
    </w:p>
    <w:p w:rsidR="00FE02C8" w:rsidRPr="00FE02C8" w:rsidRDefault="00FE02C8" w:rsidP="00FE02C8">
      <w:pPr>
        <w:jc w:val="both"/>
        <w:rPr>
          <w:rFonts w:cs="Arial"/>
        </w:rPr>
      </w:pPr>
      <w:r w:rsidRPr="00FE02C8">
        <w:rPr>
          <w:rFonts w:cs="Arial"/>
        </w:rPr>
        <w:t xml:space="preserve">We hope that the improvements made to manuscript due to the reviewer's helpful advice now make it acceptable for publication in </w:t>
      </w:r>
      <w:r>
        <w:rPr>
          <w:rFonts w:cs="Arial"/>
        </w:rPr>
        <w:t>the Journal of Visualized Experiments</w:t>
      </w:r>
      <w:r w:rsidRPr="00FE02C8">
        <w:rPr>
          <w:rFonts w:cs="Arial"/>
        </w:rPr>
        <w:t>.</w:t>
      </w:r>
    </w:p>
    <w:p w:rsidR="00FE02C8" w:rsidRPr="00FE02C8" w:rsidRDefault="00FE02C8" w:rsidP="00FE02C8">
      <w:pPr>
        <w:jc w:val="both"/>
        <w:rPr>
          <w:rFonts w:cs="Arial"/>
        </w:rPr>
      </w:pPr>
    </w:p>
    <w:p w:rsidR="00FE02C8" w:rsidRPr="00FE02C8" w:rsidRDefault="00FE02C8" w:rsidP="00FE02C8">
      <w:pPr>
        <w:rPr>
          <w:rFonts w:cs="Arial"/>
        </w:rPr>
      </w:pPr>
      <w:r w:rsidRPr="00FE02C8">
        <w:rPr>
          <w:rFonts w:cs="Arial"/>
        </w:rPr>
        <w:t>Yours sincerely,</w:t>
      </w:r>
    </w:p>
    <w:p w:rsidR="00FE02C8" w:rsidRPr="00FE02C8" w:rsidRDefault="00FE02C8" w:rsidP="00FE02C8">
      <w:pPr>
        <w:rPr>
          <w:rFonts w:cs="Arial"/>
        </w:rPr>
      </w:pPr>
    </w:p>
    <w:p w:rsidR="00FE02C8" w:rsidRPr="00FE02C8" w:rsidRDefault="00FE02C8" w:rsidP="00FE02C8">
      <w:pPr>
        <w:rPr>
          <w:rFonts w:cs="Arial"/>
        </w:rPr>
      </w:pPr>
      <w:r w:rsidRPr="00FE02C8">
        <w:rPr>
          <w:rFonts w:cs="Arial"/>
        </w:rPr>
        <w:t xml:space="preserve">Susann </w:t>
      </w:r>
      <w:proofErr w:type="spellStart"/>
      <w:r w:rsidRPr="00FE02C8">
        <w:rPr>
          <w:rFonts w:cs="Arial"/>
        </w:rPr>
        <w:t>Hartung</w:t>
      </w:r>
      <w:proofErr w:type="spellEnd"/>
    </w:p>
    <w:p w:rsidR="00FE02C8" w:rsidRPr="00FE02C8" w:rsidRDefault="00FE02C8" w:rsidP="00FE02C8">
      <w:pPr>
        <w:rPr>
          <w:rFonts w:cs="Arial"/>
        </w:rPr>
      </w:pPr>
      <w:r w:rsidRPr="00FE02C8">
        <w:rPr>
          <w:rFonts w:cs="Arial"/>
        </w:rPr>
        <w:t>On behalf of the authors</w:t>
      </w:r>
    </w:p>
    <w:p w:rsidR="00FE02C8" w:rsidRPr="00FE02C8" w:rsidRDefault="00FE02C8" w:rsidP="00C444C3">
      <w:pPr>
        <w:jc w:val="both"/>
      </w:pPr>
    </w:p>
    <w:sectPr w:rsidR="00FE02C8" w:rsidRPr="00FE02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4301B0"/>
    <w:rsid w:val="00006860"/>
    <w:rsid w:val="00075884"/>
    <w:rsid w:val="001A589B"/>
    <w:rsid w:val="001F014F"/>
    <w:rsid w:val="00242F42"/>
    <w:rsid w:val="00344C56"/>
    <w:rsid w:val="003B3F70"/>
    <w:rsid w:val="003D1A0B"/>
    <w:rsid w:val="004250D6"/>
    <w:rsid w:val="004301B0"/>
    <w:rsid w:val="004317F7"/>
    <w:rsid w:val="004D239A"/>
    <w:rsid w:val="005259CE"/>
    <w:rsid w:val="005630B2"/>
    <w:rsid w:val="005B758F"/>
    <w:rsid w:val="00672CE5"/>
    <w:rsid w:val="007C414B"/>
    <w:rsid w:val="007D35E5"/>
    <w:rsid w:val="008150D9"/>
    <w:rsid w:val="008B1EAD"/>
    <w:rsid w:val="009238C9"/>
    <w:rsid w:val="009A22A9"/>
    <w:rsid w:val="009D42F7"/>
    <w:rsid w:val="00A43C0D"/>
    <w:rsid w:val="00B131E4"/>
    <w:rsid w:val="00B24B93"/>
    <w:rsid w:val="00B92E5E"/>
    <w:rsid w:val="00BB767D"/>
    <w:rsid w:val="00C444C3"/>
    <w:rsid w:val="00D33666"/>
    <w:rsid w:val="00EE3EB6"/>
    <w:rsid w:val="00F55EC6"/>
    <w:rsid w:val="00F65C9B"/>
    <w:rsid w:val="00FB2968"/>
    <w:rsid w:val="00FD712E"/>
    <w:rsid w:val="00FE0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4301B0"/>
    <w:rPr>
      <w:b/>
      <w:bCs/>
    </w:rPr>
  </w:style>
  <w:style w:type="paragraph" w:styleId="Sprechblasentext">
    <w:name w:val="Balloon Text"/>
    <w:basedOn w:val="Standard"/>
    <w:link w:val="SprechblasentextZchn"/>
    <w:uiPriority w:val="99"/>
    <w:semiHidden/>
    <w:unhideWhenUsed/>
    <w:rsid w:val="004301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01B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1210</Words>
  <Characters>7628</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HKI</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 Hartung</dc:creator>
  <cp:lastModifiedBy>Susann Hartung</cp:lastModifiedBy>
  <cp:revision>17</cp:revision>
  <cp:lastPrinted>2019-07-29T07:44:00Z</cp:lastPrinted>
  <dcterms:created xsi:type="dcterms:W3CDTF">2019-07-29T07:43:00Z</dcterms:created>
  <dcterms:modified xsi:type="dcterms:W3CDTF">2019-08-12T16:03:00Z</dcterms:modified>
</cp:coreProperties>
</file>