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A48F1" w14:textId="77777777" w:rsidR="00453B7A" w:rsidRPr="00251CB3" w:rsidRDefault="00453B7A" w:rsidP="00B06BD9">
      <w:pPr>
        <w:shd w:val="clear" w:color="auto" w:fill="FFFFFF"/>
        <w:jc w:val="both"/>
        <w:rPr>
          <w:rFonts w:eastAsia="Times New Roman"/>
          <w:color w:val="000000"/>
        </w:rPr>
      </w:pPr>
      <w:r w:rsidRPr="00251CB3">
        <w:rPr>
          <w:rFonts w:eastAsia="Times New Roman"/>
          <w:color w:val="000000"/>
        </w:rPr>
        <w:t>Response to reviewers:</w:t>
      </w:r>
    </w:p>
    <w:p w14:paraId="446CFD39" w14:textId="77777777" w:rsidR="00524200" w:rsidRDefault="00524200" w:rsidP="00B06BD9">
      <w:pPr>
        <w:jc w:val="both"/>
      </w:pPr>
    </w:p>
    <w:p w14:paraId="243B4BF9" w14:textId="77777777" w:rsidR="00453B7A" w:rsidRDefault="00453B7A" w:rsidP="00B06BD9">
      <w:pPr>
        <w:jc w:val="both"/>
        <w:rPr>
          <w:b/>
        </w:rPr>
      </w:pPr>
      <w:r w:rsidRPr="00453B7A">
        <w:rPr>
          <w:b/>
        </w:rPr>
        <w:t>Editorial comments:</w:t>
      </w:r>
    </w:p>
    <w:p w14:paraId="11DE6840" w14:textId="77777777" w:rsidR="00453B7A" w:rsidRPr="00453B7A" w:rsidRDefault="00453B7A" w:rsidP="00B06BD9">
      <w:pPr>
        <w:jc w:val="both"/>
        <w:rPr>
          <w:b/>
        </w:rPr>
      </w:pPr>
    </w:p>
    <w:p w14:paraId="1C521C18" w14:textId="77777777" w:rsidR="00453B7A" w:rsidRDefault="00453B7A" w:rsidP="00B06BD9">
      <w:pPr>
        <w:jc w:val="both"/>
      </w:pPr>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150C8B14" w14:textId="77777777" w:rsidR="00CC732E" w:rsidRDefault="00CC732E" w:rsidP="00B06BD9">
      <w:pPr>
        <w:jc w:val="both"/>
      </w:pPr>
    </w:p>
    <w:p w14:paraId="1D404740" w14:textId="77777777" w:rsidR="00453B7A" w:rsidRPr="00CC732E" w:rsidRDefault="00CC732E" w:rsidP="00B06BD9">
      <w:pPr>
        <w:jc w:val="both"/>
        <w:rPr>
          <w:rFonts w:eastAsia="MS Mincho"/>
          <w:lang w:eastAsia="ja-JP"/>
        </w:rPr>
      </w:pPr>
      <w:r>
        <w:rPr>
          <w:color w:val="0000FF"/>
          <w:lang w:eastAsia="ja-JP"/>
        </w:rPr>
        <w:t xml:space="preserve">We </w:t>
      </w:r>
      <w:r w:rsidR="00581770">
        <w:rPr>
          <w:color w:val="0000FF"/>
          <w:lang w:eastAsia="ja-JP"/>
        </w:rPr>
        <w:t xml:space="preserve">have thoroughly proofread </w:t>
      </w:r>
      <w:r w:rsidRPr="1B6BA613">
        <w:rPr>
          <w:rFonts w:eastAsia="Times New Roman"/>
          <w:color w:val="0000FF"/>
        </w:rPr>
        <w:t>the manuscript.</w:t>
      </w:r>
    </w:p>
    <w:p w14:paraId="45FA1294" w14:textId="77777777" w:rsidR="00453B7A" w:rsidRDefault="00453B7A" w:rsidP="00B06BD9">
      <w:pPr>
        <w:jc w:val="both"/>
      </w:pPr>
    </w:p>
    <w:p w14:paraId="25A797AD" w14:textId="77777777" w:rsidR="00453B7A" w:rsidRDefault="00453B7A" w:rsidP="00B06BD9">
      <w:pPr>
        <w:jc w:val="both"/>
      </w:pPr>
      <w:r>
        <w:t>2. Authors and affiliations: Please provide an email address for each author.</w:t>
      </w:r>
    </w:p>
    <w:p w14:paraId="29728E82" w14:textId="77777777" w:rsidR="00453B7A" w:rsidRDefault="00453B7A" w:rsidP="00B06BD9">
      <w:pPr>
        <w:jc w:val="both"/>
      </w:pPr>
    </w:p>
    <w:p w14:paraId="2AD1CFB8" w14:textId="77777777" w:rsidR="00C17D24" w:rsidRPr="00C17D24" w:rsidRDefault="00C17D24" w:rsidP="00B06BD9">
      <w:pPr>
        <w:jc w:val="both"/>
        <w:rPr>
          <w:rFonts w:eastAsia="Times New Roman"/>
          <w:color w:val="0000FF"/>
        </w:rPr>
      </w:pPr>
      <w:r w:rsidRPr="00C17D24">
        <w:rPr>
          <w:rFonts w:eastAsia="Times New Roman" w:hint="eastAsia"/>
          <w:color w:val="0000FF"/>
        </w:rPr>
        <w:t>W</w:t>
      </w:r>
      <w:r w:rsidRPr="00C17D24">
        <w:rPr>
          <w:rFonts w:eastAsia="Times New Roman"/>
          <w:color w:val="0000FF"/>
        </w:rPr>
        <w:t>e have add</w:t>
      </w:r>
      <w:r>
        <w:rPr>
          <w:rFonts w:eastAsia="Times New Roman"/>
          <w:color w:val="0000FF"/>
        </w:rPr>
        <w:t>ed</w:t>
      </w:r>
      <w:r w:rsidRPr="00C17D24">
        <w:rPr>
          <w:rFonts w:eastAsia="Times New Roman"/>
          <w:color w:val="0000FF"/>
        </w:rPr>
        <w:t xml:space="preserve"> </w:t>
      </w:r>
      <w:r>
        <w:rPr>
          <w:rFonts w:eastAsia="Times New Roman"/>
          <w:color w:val="0000FF"/>
        </w:rPr>
        <w:t xml:space="preserve">the </w:t>
      </w:r>
      <w:r w:rsidRPr="00C17D24">
        <w:rPr>
          <w:rFonts w:eastAsia="Times New Roman"/>
          <w:color w:val="0000FF"/>
        </w:rPr>
        <w:t>email address for each author in this part.</w:t>
      </w:r>
    </w:p>
    <w:p w14:paraId="4E1A8C0D" w14:textId="77777777" w:rsidR="00453B7A" w:rsidRDefault="00453B7A" w:rsidP="00B06BD9">
      <w:pPr>
        <w:jc w:val="both"/>
      </w:pPr>
    </w:p>
    <w:p w14:paraId="6B7BB021" w14:textId="77777777" w:rsidR="00453B7A" w:rsidRDefault="00453B7A" w:rsidP="00B06BD9">
      <w:pPr>
        <w:jc w:val="both"/>
      </w:pPr>
      <w:r>
        <w:t>3. Keywords: Please provide at least 6 keywords or phrases.</w:t>
      </w:r>
    </w:p>
    <w:p w14:paraId="0320C0ED" w14:textId="77777777" w:rsidR="00453B7A" w:rsidRDefault="00453B7A" w:rsidP="00B06BD9">
      <w:pPr>
        <w:jc w:val="both"/>
      </w:pPr>
    </w:p>
    <w:p w14:paraId="1A95FCF9" w14:textId="5004746A" w:rsidR="00453B7A" w:rsidRDefault="00B06BD9" w:rsidP="00B06BD9">
      <w:pPr>
        <w:jc w:val="both"/>
      </w:pPr>
      <w:r>
        <w:rPr>
          <w:color w:val="0000FF"/>
          <w:lang w:eastAsia="ja-JP"/>
        </w:rPr>
        <w:t xml:space="preserve">We </w:t>
      </w:r>
      <w:r w:rsidR="009957E6">
        <w:rPr>
          <w:rFonts w:eastAsia="Times New Roman"/>
          <w:color w:val="0000FF"/>
        </w:rPr>
        <w:t xml:space="preserve">have </w:t>
      </w:r>
      <w:r w:rsidR="00020C64">
        <w:rPr>
          <w:rFonts w:eastAsia="Times New Roman"/>
          <w:color w:val="0000FF"/>
        </w:rPr>
        <w:t>included the</w:t>
      </w:r>
      <w:r w:rsidR="009957E6">
        <w:rPr>
          <w:rFonts w:eastAsia="Times New Roman"/>
          <w:color w:val="0000FF"/>
        </w:rPr>
        <w:t xml:space="preserve"> keywords </w:t>
      </w:r>
      <w:r w:rsidR="002542A0">
        <w:rPr>
          <w:rFonts w:eastAsia="Times New Roman"/>
          <w:color w:val="0000FF"/>
        </w:rPr>
        <w:t>for</w:t>
      </w:r>
      <w:r w:rsidR="009957E6">
        <w:rPr>
          <w:rFonts w:eastAsia="Times New Roman"/>
          <w:color w:val="0000FF"/>
        </w:rPr>
        <w:t xml:space="preserve"> our manuscript.</w:t>
      </w:r>
    </w:p>
    <w:p w14:paraId="07168AC5" w14:textId="77777777" w:rsidR="00C17D24" w:rsidRDefault="00C17D24" w:rsidP="00B06BD9">
      <w:pPr>
        <w:jc w:val="both"/>
      </w:pPr>
    </w:p>
    <w:p w14:paraId="06D6556D" w14:textId="77777777" w:rsidR="00453B7A" w:rsidRDefault="00453B7A" w:rsidP="00B06BD9">
      <w:pPr>
        <w:jc w:val="both"/>
      </w:pPr>
      <w:r>
        <w:t>4. 2.4: Please specify centrifugation parameters.</w:t>
      </w:r>
    </w:p>
    <w:p w14:paraId="6797F05E" w14:textId="77777777" w:rsidR="00453B7A" w:rsidRDefault="00453B7A" w:rsidP="00B06BD9">
      <w:pPr>
        <w:jc w:val="both"/>
      </w:pPr>
    </w:p>
    <w:p w14:paraId="4AED21B6" w14:textId="51212F2E" w:rsidR="00C17D24" w:rsidRPr="0057724A" w:rsidRDefault="0057724A" w:rsidP="00B06BD9">
      <w:pPr>
        <w:jc w:val="both"/>
        <w:rPr>
          <w:rFonts w:eastAsia="MS Mincho"/>
          <w:lang w:eastAsia="ja-JP"/>
        </w:rPr>
      </w:pPr>
      <w:r>
        <w:rPr>
          <w:rFonts w:eastAsia="Times New Roman"/>
          <w:color w:val="0000FF"/>
        </w:rPr>
        <w:t xml:space="preserve">We </w:t>
      </w:r>
      <w:bookmarkStart w:id="0" w:name="OLE_LINK9"/>
      <w:bookmarkStart w:id="1" w:name="OLE_LINK10"/>
      <w:r w:rsidRPr="1B6BA613">
        <w:rPr>
          <w:rFonts w:eastAsia="Times New Roman"/>
          <w:color w:val="0000FF"/>
        </w:rPr>
        <w:t xml:space="preserve">have </w:t>
      </w:r>
      <w:r w:rsidR="00581770">
        <w:rPr>
          <w:rFonts w:eastAsia="Times New Roman"/>
          <w:color w:val="0000FF"/>
        </w:rPr>
        <w:t>added these parameters</w:t>
      </w:r>
      <w:r w:rsidR="00CB7D0A">
        <w:rPr>
          <w:rFonts w:eastAsia="Times New Roman"/>
          <w:color w:val="0000FF"/>
        </w:rPr>
        <w:t xml:space="preserve"> in 2.4</w:t>
      </w:r>
      <w:r w:rsidRPr="1B6BA613">
        <w:rPr>
          <w:rFonts w:eastAsia="Times New Roman"/>
          <w:color w:val="0000FF"/>
        </w:rPr>
        <w:t>.</w:t>
      </w:r>
      <w:bookmarkEnd w:id="0"/>
      <w:bookmarkEnd w:id="1"/>
    </w:p>
    <w:p w14:paraId="06331B9D" w14:textId="77777777" w:rsidR="00453B7A" w:rsidRDefault="00453B7A" w:rsidP="00B06BD9">
      <w:pPr>
        <w:jc w:val="both"/>
      </w:pPr>
    </w:p>
    <w:p w14:paraId="71B6F700" w14:textId="77777777" w:rsidR="00453B7A" w:rsidRDefault="00453B7A" w:rsidP="00B06BD9">
      <w:pPr>
        <w:jc w:val="both"/>
      </w:pPr>
      <w:r>
        <w:t>5. 2.5: Please list an approximate volume of the buffer to prepare.</w:t>
      </w:r>
    </w:p>
    <w:p w14:paraId="132EB835" w14:textId="77777777" w:rsidR="00453B7A" w:rsidRDefault="00453B7A" w:rsidP="00B06BD9">
      <w:pPr>
        <w:jc w:val="both"/>
      </w:pPr>
    </w:p>
    <w:p w14:paraId="025D90D1" w14:textId="6E4EFEC9" w:rsidR="00453B7A" w:rsidRPr="00A456B8" w:rsidRDefault="00A456B8" w:rsidP="00B06BD9">
      <w:pPr>
        <w:jc w:val="both"/>
        <w:rPr>
          <w:rFonts w:eastAsia="MS Mincho"/>
          <w:lang w:eastAsia="ja-JP"/>
        </w:rPr>
      </w:pPr>
      <w:r w:rsidRPr="1B6BA613">
        <w:rPr>
          <w:rFonts w:eastAsia="Times New Roman"/>
          <w:color w:val="0000FF"/>
        </w:rPr>
        <w:t>We h</w:t>
      </w:r>
      <w:r w:rsidR="00581770">
        <w:rPr>
          <w:rFonts w:eastAsia="Times New Roman"/>
          <w:color w:val="0000FF"/>
        </w:rPr>
        <w:t xml:space="preserve">ave </w:t>
      </w:r>
      <w:r w:rsidR="00152902">
        <w:rPr>
          <w:rFonts w:eastAsia="Times New Roman"/>
          <w:color w:val="0000FF"/>
        </w:rPr>
        <w:t>listed the volume</w:t>
      </w:r>
      <w:r w:rsidR="00581770">
        <w:rPr>
          <w:rFonts w:eastAsia="Times New Roman"/>
          <w:color w:val="0000FF"/>
        </w:rPr>
        <w:t xml:space="preserve"> in addition to the final concentration of each ingredient for the preparation of buffer</w:t>
      </w:r>
      <w:r w:rsidR="00CB7D0A">
        <w:rPr>
          <w:rFonts w:eastAsia="Times New Roman"/>
          <w:color w:val="0000FF"/>
        </w:rPr>
        <w:t xml:space="preserve"> in 2.5</w:t>
      </w:r>
      <w:r w:rsidR="00152902">
        <w:rPr>
          <w:rFonts w:eastAsia="Times New Roman"/>
          <w:color w:val="0000FF"/>
        </w:rPr>
        <w:t>.</w:t>
      </w:r>
    </w:p>
    <w:p w14:paraId="5A8940F2" w14:textId="77777777" w:rsidR="00C17D24" w:rsidRDefault="00C17D24" w:rsidP="00B06BD9">
      <w:pPr>
        <w:jc w:val="both"/>
      </w:pPr>
    </w:p>
    <w:p w14:paraId="5E8D6566" w14:textId="77777777" w:rsidR="00453B7A" w:rsidRDefault="00453B7A" w:rsidP="00B06BD9">
      <w:pPr>
        <w:jc w:val="both"/>
      </w:pPr>
      <w:r w:rsidRPr="00A73086">
        <w:t xml:space="preserve">6. Please obtain explicit copyright permission to reuse any figures from a previous </w:t>
      </w:r>
      <w:proofErr w:type="gramStart"/>
      <w:r w:rsidRPr="00A73086">
        <w:t>publication</w:t>
      </w:r>
      <w:proofErr w:type="gramEnd"/>
      <w:r w:rsidRPr="00A73086">
        <w:t>.</w:t>
      </w:r>
      <w:bookmarkStart w:id="2" w:name="OLE_LINK1"/>
      <w:bookmarkStart w:id="3" w:name="OLE_LINK2"/>
      <w:r w:rsidRPr="00A73086">
        <w:t xml:space="preserve"> Explicit permission can be expressed in the form of a letter from the editor or a link to the editorial policy that allows re-prints. </w:t>
      </w:r>
      <w:bookmarkEnd w:id="2"/>
      <w:bookmarkEnd w:id="3"/>
      <w:r w:rsidRPr="00A73086">
        <w:t xml:space="preserve">Please upload this information as a .doc </w:t>
      </w:r>
      <w:proofErr w:type="gramStart"/>
      <w:r w:rsidRPr="00A73086">
        <w:t>or .</w:t>
      </w:r>
      <w:proofErr w:type="spellStart"/>
      <w:r w:rsidRPr="00A73086">
        <w:t>docx</w:t>
      </w:r>
      <w:proofErr w:type="spellEnd"/>
      <w:proofErr w:type="gramEnd"/>
      <w:r w:rsidRPr="00A73086">
        <w:t xml:space="preserve"> file to your Editorial Manager account. The Figure must be cited appropriately in the Figure Legend, i.e. “This figure has been modified from [citation].”</w:t>
      </w:r>
    </w:p>
    <w:p w14:paraId="7177D098" w14:textId="77777777" w:rsidR="00453B7A" w:rsidRDefault="00453B7A" w:rsidP="00B06BD9">
      <w:pPr>
        <w:jc w:val="both"/>
      </w:pPr>
    </w:p>
    <w:p w14:paraId="1C8A4F8E" w14:textId="69E17113" w:rsidR="00C17D24" w:rsidRDefault="00B3301A" w:rsidP="00B06BD9">
      <w:pPr>
        <w:jc w:val="both"/>
        <w:rPr>
          <w:rFonts w:eastAsia="Times New Roman"/>
          <w:color w:val="0000FF"/>
        </w:rPr>
      </w:pPr>
      <w:r w:rsidRPr="00030797">
        <w:rPr>
          <w:rFonts w:eastAsia="Times New Roman"/>
          <w:color w:val="0000FF"/>
        </w:rPr>
        <w:t xml:space="preserve">We </w:t>
      </w:r>
      <w:r w:rsidR="00A73086" w:rsidRPr="00030797">
        <w:rPr>
          <w:rFonts w:eastAsia="Times New Roman"/>
          <w:color w:val="0000FF"/>
        </w:rPr>
        <w:t xml:space="preserve">have </w:t>
      </w:r>
      <w:r w:rsidR="00042E4B" w:rsidRPr="00030797">
        <w:rPr>
          <w:rFonts w:eastAsia="Times New Roman"/>
          <w:color w:val="0000FF"/>
        </w:rPr>
        <w:t>included the relevant permission information with this version of the manuscript</w:t>
      </w:r>
      <w:r w:rsidR="00A73086" w:rsidRPr="00030797">
        <w:rPr>
          <w:rFonts w:eastAsia="Times New Roman"/>
          <w:color w:val="0000FF"/>
        </w:rPr>
        <w:t>.</w:t>
      </w:r>
    </w:p>
    <w:p w14:paraId="011AC9A4" w14:textId="77777777" w:rsidR="00A73086" w:rsidRDefault="00A73086" w:rsidP="00B06BD9">
      <w:pPr>
        <w:jc w:val="both"/>
      </w:pPr>
    </w:p>
    <w:p w14:paraId="7BB63DE4" w14:textId="77777777" w:rsidR="00453B7A" w:rsidRDefault="00453B7A" w:rsidP="00B06BD9">
      <w:pPr>
        <w:jc w:val="both"/>
      </w:pPr>
      <w:r>
        <w:t>7. Figure 2: Please change the time unit “</w:t>
      </w:r>
      <w:proofErr w:type="spellStart"/>
      <w:r>
        <w:t>hr</w:t>
      </w:r>
      <w:proofErr w:type="spellEnd"/>
      <w:r>
        <w:t>” to “h”.</w:t>
      </w:r>
    </w:p>
    <w:p w14:paraId="19713F34" w14:textId="77777777" w:rsidR="00453B7A" w:rsidRDefault="00453B7A" w:rsidP="00B06BD9">
      <w:pPr>
        <w:jc w:val="both"/>
      </w:pPr>
    </w:p>
    <w:p w14:paraId="28927825" w14:textId="46276B55" w:rsidR="00C17D24" w:rsidRPr="00BC4447" w:rsidRDefault="00BC4447" w:rsidP="00B06BD9">
      <w:pPr>
        <w:jc w:val="both"/>
        <w:rPr>
          <w:rFonts w:eastAsia="MS Mincho"/>
          <w:lang w:eastAsia="ja-JP"/>
        </w:rPr>
      </w:pPr>
      <w:r>
        <w:rPr>
          <w:rFonts w:eastAsia="Times New Roman"/>
          <w:color w:val="0000FF"/>
        </w:rPr>
        <w:t xml:space="preserve">We </w:t>
      </w:r>
      <w:r w:rsidRPr="1B6BA613">
        <w:rPr>
          <w:rFonts w:eastAsia="Times New Roman"/>
          <w:color w:val="0000FF"/>
        </w:rPr>
        <w:t>have made the appropriate changes</w:t>
      </w:r>
      <w:r w:rsidR="00AF5CE2">
        <w:rPr>
          <w:rFonts w:eastAsia="Times New Roman"/>
          <w:color w:val="0000FF"/>
        </w:rPr>
        <w:t xml:space="preserve"> throughout the manuscript</w:t>
      </w:r>
      <w:r w:rsidRPr="1B6BA613">
        <w:rPr>
          <w:rFonts w:eastAsia="Times New Roman"/>
          <w:color w:val="0000FF"/>
        </w:rPr>
        <w:t>.</w:t>
      </w:r>
    </w:p>
    <w:p w14:paraId="1617FD82" w14:textId="77777777" w:rsidR="00453B7A" w:rsidRDefault="00453B7A" w:rsidP="00B06BD9">
      <w:pPr>
        <w:jc w:val="both"/>
      </w:pPr>
    </w:p>
    <w:p w14:paraId="31652471" w14:textId="77777777" w:rsidR="00453B7A" w:rsidRDefault="00453B7A" w:rsidP="00B06BD9">
      <w:pPr>
        <w:jc w:val="both"/>
      </w:pPr>
      <w:r>
        <w:t>8. Please combine Table of specific reagents and specific material and equipment into a single worksheet.</w:t>
      </w:r>
    </w:p>
    <w:p w14:paraId="1033D015" w14:textId="77777777" w:rsidR="00453B7A" w:rsidRDefault="00453B7A" w:rsidP="00B06BD9">
      <w:pPr>
        <w:jc w:val="both"/>
      </w:pPr>
    </w:p>
    <w:p w14:paraId="2EC25E9E" w14:textId="3E266AAF" w:rsidR="00453B7A" w:rsidRPr="00B3301A" w:rsidRDefault="00B3301A" w:rsidP="00B06BD9">
      <w:pPr>
        <w:jc w:val="both"/>
        <w:rPr>
          <w:rFonts w:eastAsia="MS Mincho"/>
          <w:lang w:eastAsia="ja-JP"/>
        </w:rPr>
      </w:pPr>
      <w:bookmarkStart w:id="4" w:name="OLE_LINK3"/>
      <w:bookmarkStart w:id="5" w:name="OLE_LINK4"/>
      <w:r>
        <w:rPr>
          <w:rFonts w:eastAsia="Times New Roman"/>
          <w:color w:val="0000FF"/>
        </w:rPr>
        <w:t xml:space="preserve">We </w:t>
      </w:r>
      <w:r w:rsidRPr="1B6BA613">
        <w:rPr>
          <w:rFonts w:eastAsia="Times New Roman"/>
          <w:color w:val="0000FF"/>
        </w:rPr>
        <w:t xml:space="preserve">have made the </w:t>
      </w:r>
      <w:r w:rsidR="00042E4B">
        <w:rPr>
          <w:rFonts w:eastAsia="Times New Roman"/>
          <w:color w:val="0000FF"/>
        </w:rPr>
        <w:t>suggested change</w:t>
      </w:r>
      <w:r w:rsidRPr="1B6BA613">
        <w:rPr>
          <w:rFonts w:eastAsia="Times New Roman"/>
          <w:color w:val="0000FF"/>
        </w:rPr>
        <w:t>.</w:t>
      </w:r>
    </w:p>
    <w:bookmarkEnd w:id="4"/>
    <w:bookmarkEnd w:id="5"/>
    <w:p w14:paraId="71B49495" w14:textId="77777777" w:rsidR="00C17D24" w:rsidRDefault="00C17D24" w:rsidP="00B06BD9">
      <w:pPr>
        <w:jc w:val="both"/>
      </w:pPr>
    </w:p>
    <w:p w14:paraId="37B51962" w14:textId="77777777" w:rsidR="00453B7A" w:rsidRDefault="00453B7A" w:rsidP="00B06BD9">
      <w:pPr>
        <w:jc w:val="both"/>
      </w:pPr>
      <w:r w:rsidRPr="002A6852">
        <w:t>9. Please make the worksheet “Table of recipes” a table and reference the table in the manuscript.</w:t>
      </w:r>
    </w:p>
    <w:p w14:paraId="399B84D1" w14:textId="77777777" w:rsidR="00453B7A" w:rsidRDefault="00453B7A" w:rsidP="00B06BD9">
      <w:pPr>
        <w:jc w:val="both"/>
      </w:pPr>
    </w:p>
    <w:p w14:paraId="1E4312F4" w14:textId="2AF99596" w:rsidR="002A6852" w:rsidRPr="00B3301A" w:rsidRDefault="00042E4B" w:rsidP="00B06BD9">
      <w:pPr>
        <w:jc w:val="both"/>
        <w:rPr>
          <w:rFonts w:eastAsia="MS Mincho"/>
          <w:lang w:eastAsia="ja-JP"/>
        </w:rPr>
      </w:pPr>
      <w:r>
        <w:rPr>
          <w:rFonts w:eastAsia="Times New Roman"/>
          <w:color w:val="0000FF"/>
        </w:rPr>
        <w:t xml:space="preserve">We </w:t>
      </w:r>
      <w:r w:rsidRPr="1B6BA613">
        <w:rPr>
          <w:rFonts w:eastAsia="Times New Roman"/>
          <w:color w:val="0000FF"/>
        </w:rPr>
        <w:t xml:space="preserve">have made the </w:t>
      </w:r>
      <w:r>
        <w:rPr>
          <w:rFonts w:eastAsia="Times New Roman"/>
          <w:color w:val="0000FF"/>
        </w:rPr>
        <w:t>suggested changes</w:t>
      </w:r>
      <w:r w:rsidRPr="1B6BA613">
        <w:rPr>
          <w:rFonts w:eastAsia="Times New Roman"/>
          <w:color w:val="0000FF"/>
        </w:rPr>
        <w:t>.</w:t>
      </w:r>
    </w:p>
    <w:p w14:paraId="0E3AE9FE" w14:textId="77777777" w:rsidR="00453B7A" w:rsidRDefault="00453B7A" w:rsidP="00B06BD9">
      <w:pPr>
        <w:jc w:val="both"/>
      </w:pPr>
    </w:p>
    <w:p w14:paraId="052F7677" w14:textId="77777777" w:rsidR="00453B7A" w:rsidRDefault="00453B7A" w:rsidP="00B06BD9">
      <w:pPr>
        <w:jc w:val="both"/>
      </w:pPr>
      <w:bookmarkStart w:id="6" w:name="OLE_LINK30"/>
      <w:bookmarkStart w:id="7" w:name="OLE_LINK31"/>
      <w:r>
        <w:t>10. References: Please do not abbreviate journal titles; use full journal name.</w:t>
      </w:r>
    </w:p>
    <w:bookmarkEnd w:id="6"/>
    <w:bookmarkEnd w:id="7"/>
    <w:p w14:paraId="08E067C2" w14:textId="77777777" w:rsidR="00453B7A" w:rsidRDefault="00453B7A" w:rsidP="00B06BD9">
      <w:pPr>
        <w:jc w:val="both"/>
      </w:pPr>
    </w:p>
    <w:p w14:paraId="23F93D9E" w14:textId="5BF5E6B8" w:rsidR="00596326" w:rsidRPr="0057724A" w:rsidRDefault="00CB7D0A" w:rsidP="00B06BD9">
      <w:pPr>
        <w:jc w:val="both"/>
        <w:rPr>
          <w:rFonts w:eastAsia="MS Mincho"/>
          <w:lang w:eastAsia="ja-JP"/>
        </w:rPr>
      </w:pPr>
      <w:r w:rsidRPr="1B6BA613">
        <w:rPr>
          <w:rFonts w:eastAsia="Times New Roman"/>
          <w:color w:val="0000FF"/>
        </w:rPr>
        <w:t>We have</w:t>
      </w:r>
      <w:r>
        <w:rPr>
          <w:rFonts w:eastAsia="Times New Roman"/>
          <w:color w:val="0000FF"/>
        </w:rPr>
        <w:t xml:space="preserve"> edited these journal titles in References</w:t>
      </w:r>
      <w:r w:rsidRPr="1B6BA613">
        <w:rPr>
          <w:rFonts w:eastAsia="Times New Roman"/>
          <w:color w:val="0000FF"/>
        </w:rPr>
        <w:t>.</w:t>
      </w:r>
    </w:p>
    <w:p w14:paraId="2BBD9C75" w14:textId="77777777" w:rsidR="00453B7A" w:rsidRDefault="00453B7A" w:rsidP="00B06BD9">
      <w:pPr>
        <w:jc w:val="both"/>
      </w:pPr>
    </w:p>
    <w:p w14:paraId="242807FA" w14:textId="77777777" w:rsidR="00453B7A" w:rsidRDefault="00453B7A" w:rsidP="00B06BD9">
      <w:pPr>
        <w:jc w:val="both"/>
        <w:rPr>
          <w:b/>
        </w:rPr>
      </w:pPr>
      <w:r w:rsidRPr="00453B7A">
        <w:rPr>
          <w:b/>
        </w:rPr>
        <w:t>Reviewers' comments:</w:t>
      </w:r>
    </w:p>
    <w:p w14:paraId="2EC6C2A2" w14:textId="77777777" w:rsidR="00453B7A" w:rsidRPr="00453B7A" w:rsidRDefault="00453B7A" w:rsidP="00B06BD9">
      <w:pPr>
        <w:jc w:val="both"/>
        <w:rPr>
          <w:b/>
        </w:rPr>
      </w:pPr>
    </w:p>
    <w:p w14:paraId="1A259F44" w14:textId="77777777" w:rsidR="00453B7A" w:rsidRDefault="00453B7A" w:rsidP="00B06BD9">
      <w:pPr>
        <w:jc w:val="both"/>
        <w:rPr>
          <w:b/>
        </w:rPr>
      </w:pPr>
      <w:r w:rsidRPr="00453B7A">
        <w:rPr>
          <w:b/>
        </w:rPr>
        <w:t xml:space="preserve">Reviewer #1: </w:t>
      </w:r>
    </w:p>
    <w:p w14:paraId="305BA216" w14:textId="77777777" w:rsidR="00453B7A" w:rsidRPr="00453B7A" w:rsidRDefault="00453B7A" w:rsidP="00B06BD9">
      <w:pPr>
        <w:jc w:val="both"/>
        <w:rPr>
          <w:b/>
        </w:rPr>
      </w:pPr>
    </w:p>
    <w:p w14:paraId="4665EA2D" w14:textId="77777777" w:rsidR="00453B7A" w:rsidRPr="00453B7A" w:rsidRDefault="00453B7A" w:rsidP="00B06BD9">
      <w:pPr>
        <w:jc w:val="both"/>
        <w:rPr>
          <w:b/>
        </w:rPr>
      </w:pPr>
      <w:r w:rsidRPr="00453B7A">
        <w:rPr>
          <w:b/>
        </w:rPr>
        <w:t>Manuscript Summary:</w:t>
      </w:r>
    </w:p>
    <w:p w14:paraId="4ED5A56D" w14:textId="77777777" w:rsidR="00453B7A" w:rsidRDefault="00453B7A" w:rsidP="00B06BD9">
      <w:pPr>
        <w:jc w:val="both"/>
      </w:pPr>
      <w:r>
        <w:t>Native PAGE method to analyze the formation of an endogenous IRF5 dimer in an immortalized cell line</w:t>
      </w:r>
    </w:p>
    <w:p w14:paraId="753821B5" w14:textId="77777777" w:rsidR="00453B7A" w:rsidRDefault="00453B7A" w:rsidP="00B06BD9">
      <w:pPr>
        <w:jc w:val="both"/>
      </w:pPr>
    </w:p>
    <w:p w14:paraId="0572182A" w14:textId="77777777" w:rsidR="00453B7A" w:rsidRDefault="00453B7A" w:rsidP="00B06BD9">
      <w:pPr>
        <w:jc w:val="both"/>
        <w:rPr>
          <w:b/>
        </w:rPr>
      </w:pPr>
      <w:r w:rsidRPr="00453B7A">
        <w:rPr>
          <w:b/>
        </w:rPr>
        <w:t>Major Concerns:</w:t>
      </w:r>
    </w:p>
    <w:p w14:paraId="0515BD08" w14:textId="77777777" w:rsidR="00453B7A" w:rsidRPr="00453B7A" w:rsidRDefault="00453B7A" w:rsidP="00B06BD9">
      <w:pPr>
        <w:jc w:val="both"/>
        <w:rPr>
          <w:b/>
        </w:rPr>
      </w:pPr>
    </w:p>
    <w:p w14:paraId="2E01911B" w14:textId="77777777" w:rsidR="00453B7A" w:rsidRDefault="00453B7A" w:rsidP="00B06BD9">
      <w:pPr>
        <w:jc w:val="both"/>
      </w:pPr>
      <w:bookmarkStart w:id="8" w:name="OLE_LINK28"/>
      <w:bookmarkStart w:id="9" w:name="OLE_LINK29"/>
      <w:r w:rsidRPr="006F570F">
        <w:t xml:space="preserve">1. In the first paragraph of the Introduction, the authors state that their method is the only one to "assay for endogenous IRF5 activation" and then in a later sentence refer to the use of </w:t>
      </w:r>
      <w:proofErr w:type="spellStart"/>
      <w:r w:rsidRPr="006F570F">
        <w:t>Imagestream</w:t>
      </w:r>
      <w:proofErr w:type="spellEnd"/>
      <w:r w:rsidRPr="006F570F">
        <w:t xml:space="preserve"> imaging flow assays to detect IRF5 nuclear localization. Given that IRF5 is only considered "active" once it translocates from the cytoplasm to the nucleus, the </w:t>
      </w:r>
      <w:proofErr w:type="spellStart"/>
      <w:r w:rsidRPr="006F570F">
        <w:t>Imagestream</w:t>
      </w:r>
      <w:proofErr w:type="spellEnd"/>
      <w:r w:rsidRPr="006F570F">
        <w:t xml:space="preserve"> assay was the first endogenous assay to measure IRF5 activity. Other Labs, including the </w:t>
      </w:r>
      <w:bookmarkStart w:id="10" w:name="OLE_LINK11"/>
      <w:bookmarkStart w:id="11" w:name="OLE_LINK12"/>
      <w:r w:rsidRPr="006F570F">
        <w:t>Reich Lab</w:t>
      </w:r>
      <w:bookmarkEnd w:id="10"/>
      <w:bookmarkEnd w:id="11"/>
      <w:r w:rsidRPr="006F570F">
        <w:t xml:space="preserve"> and the </w:t>
      </w:r>
      <w:proofErr w:type="spellStart"/>
      <w:r w:rsidRPr="006F570F">
        <w:t>Hiscott</w:t>
      </w:r>
      <w:proofErr w:type="spellEnd"/>
      <w:r w:rsidRPr="006F570F">
        <w:t xml:space="preserve"> Lab, have shown cases where</w:t>
      </w:r>
      <w:bookmarkStart w:id="12" w:name="OLE_LINK26"/>
      <w:bookmarkStart w:id="13" w:name="OLE_LINK27"/>
      <w:r w:rsidRPr="006F570F">
        <w:t xml:space="preserve"> IRF5 </w:t>
      </w:r>
      <w:proofErr w:type="spellStart"/>
      <w:r w:rsidRPr="006F570F">
        <w:t>homodimerizes</w:t>
      </w:r>
      <w:proofErr w:type="spellEnd"/>
      <w:r w:rsidRPr="006F570F">
        <w:t xml:space="preserve"> and still does not translocate to the nucleus</w:t>
      </w:r>
      <w:bookmarkEnd w:id="12"/>
      <w:bookmarkEnd w:id="13"/>
      <w:r w:rsidRPr="006F570F">
        <w:t>. As such, this might need to be included in the Intro, as the authors mention that assays might need to be combined to support activation.</w:t>
      </w:r>
    </w:p>
    <w:bookmarkEnd w:id="8"/>
    <w:bookmarkEnd w:id="9"/>
    <w:p w14:paraId="0D28914D" w14:textId="77777777" w:rsidR="00453B7A" w:rsidRDefault="00453B7A" w:rsidP="00B06BD9">
      <w:pPr>
        <w:jc w:val="both"/>
      </w:pPr>
    </w:p>
    <w:p w14:paraId="685AFE4D" w14:textId="2CA4F2E4" w:rsidR="00E97851" w:rsidRPr="00B3301A" w:rsidRDefault="00E97851" w:rsidP="00E97851">
      <w:pPr>
        <w:jc w:val="both"/>
        <w:rPr>
          <w:rFonts w:eastAsia="MS Mincho"/>
          <w:lang w:eastAsia="ja-JP"/>
        </w:rPr>
      </w:pPr>
      <w:r>
        <w:rPr>
          <w:rFonts w:eastAsia="Times New Roman"/>
          <w:color w:val="0000FF"/>
        </w:rPr>
        <w:t xml:space="preserve">We thank </w:t>
      </w:r>
      <w:r w:rsidR="00524200">
        <w:rPr>
          <w:rFonts w:eastAsia="Times New Roman"/>
          <w:color w:val="0000FF"/>
        </w:rPr>
        <w:t>the reviewer</w:t>
      </w:r>
      <w:r w:rsidRPr="1B6BA613">
        <w:rPr>
          <w:rFonts w:eastAsia="Times New Roman"/>
          <w:color w:val="0000FF"/>
        </w:rPr>
        <w:t xml:space="preserve"> for </w:t>
      </w:r>
      <w:r w:rsidR="00524200">
        <w:rPr>
          <w:rFonts w:eastAsia="Times New Roman"/>
          <w:color w:val="0000FF"/>
        </w:rPr>
        <w:t>highlighting</w:t>
      </w:r>
      <w:r w:rsidRPr="1B6BA613">
        <w:rPr>
          <w:rFonts w:eastAsia="Times New Roman"/>
          <w:color w:val="0000FF"/>
        </w:rPr>
        <w:t xml:space="preserve"> </w:t>
      </w:r>
      <w:r w:rsidR="00524200">
        <w:rPr>
          <w:rFonts w:eastAsia="Times New Roman"/>
          <w:color w:val="0000FF"/>
        </w:rPr>
        <w:t>these studies and bringing up an important point</w:t>
      </w:r>
      <w:r w:rsidRPr="1B6BA613">
        <w:rPr>
          <w:rFonts w:eastAsia="Times New Roman"/>
          <w:color w:val="0000FF"/>
        </w:rPr>
        <w:t xml:space="preserve">. We have </w:t>
      </w:r>
      <w:r w:rsidR="00524200">
        <w:rPr>
          <w:rFonts w:eastAsia="Times New Roman"/>
          <w:color w:val="0000FF"/>
        </w:rPr>
        <w:t xml:space="preserve">included a more in-depth discussion on this point in the </w:t>
      </w:r>
      <w:r w:rsidR="00CB7D0A">
        <w:rPr>
          <w:rFonts w:eastAsia="Times New Roman"/>
          <w:color w:val="0000FF"/>
        </w:rPr>
        <w:t>I</w:t>
      </w:r>
      <w:r w:rsidR="00524200">
        <w:rPr>
          <w:rFonts w:eastAsia="Times New Roman"/>
          <w:color w:val="0000FF"/>
        </w:rPr>
        <w:t>ntroduction</w:t>
      </w:r>
      <w:r w:rsidRPr="1B6BA613">
        <w:rPr>
          <w:rFonts w:eastAsia="Times New Roman"/>
          <w:color w:val="0000FF"/>
        </w:rPr>
        <w:t>.</w:t>
      </w:r>
    </w:p>
    <w:p w14:paraId="05DACD2F" w14:textId="77777777" w:rsidR="00453B7A" w:rsidRDefault="00453B7A" w:rsidP="00B06BD9">
      <w:pPr>
        <w:jc w:val="both"/>
      </w:pPr>
    </w:p>
    <w:p w14:paraId="35FE2532" w14:textId="77777777" w:rsidR="00453B7A" w:rsidRDefault="00453B7A" w:rsidP="00B06BD9">
      <w:pPr>
        <w:jc w:val="both"/>
      </w:pPr>
      <w:r w:rsidRPr="00AA2624">
        <w:t>2. In the Discussion, line 210, the authors refer to "complications in recent studies" but don't refer to any particular studies. It would be helpful to know what the authors are referring to.</w:t>
      </w:r>
    </w:p>
    <w:p w14:paraId="71E5AD94" w14:textId="77777777" w:rsidR="00453B7A" w:rsidRDefault="00453B7A" w:rsidP="00B06BD9">
      <w:pPr>
        <w:jc w:val="both"/>
      </w:pPr>
    </w:p>
    <w:p w14:paraId="3CB8B7AD" w14:textId="64B15C17" w:rsidR="006671A7" w:rsidRDefault="00CB7D0A" w:rsidP="00B06BD9">
      <w:pPr>
        <w:jc w:val="both"/>
        <w:rPr>
          <w:rFonts w:eastAsia="Times New Roman"/>
          <w:color w:val="0000FF"/>
        </w:rPr>
      </w:pPr>
      <w:r w:rsidRPr="1B6BA613">
        <w:rPr>
          <w:rFonts w:eastAsia="Times New Roman"/>
          <w:color w:val="0000FF"/>
        </w:rPr>
        <w:t>We ha</w:t>
      </w:r>
      <w:r>
        <w:rPr>
          <w:rFonts w:eastAsia="Times New Roman"/>
          <w:color w:val="0000FF"/>
        </w:rPr>
        <w:t xml:space="preserve">ve made the appropriate changes in the Discussion. Many previous studies assessed </w:t>
      </w:r>
      <w:r w:rsidRPr="006C77DF">
        <w:rPr>
          <w:rFonts w:eastAsia="Times New Roman"/>
          <w:color w:val="0000FF"/>
        </w:rPr>
        <w:t>IRF5</w:t>
      </w:r>
      <w:r>
        <w:rPr>
          <w:rFonts w:eastAsia="Times New Roman"/>
          <w:color w:val="0000FF"/>
        </w:rPr>
        <w:t xml:space="preserve"> activation by overexpressing exogenous epitope-</w:t>
      </w:r>
      <w:r w:rsidRPr="006C77DF">
        <w:rPr>
          <w:rFonts w:eastAsia="Times New Roman"/>
          <w:color w:val="0000FF"/>
        </w:rPr>
        <w:t xml:space="preserve">tagged IRF5 </w:t>
      </w:r>
      <w:r>
        <w:rPr>
          <w:rFonts w:eastAsia="Times New Roman"/>
          <w:color w:val="0000FF"/>
        </w:rPr>
        <w:t xml:space="preserve">in </w:t>
      </w:r>
      <w:proofErr w:type="gramStart"/>
      <w:r>
        <w:rPr>
          <w:rFonts w:eastAsia="Times New Roman"/>
          <w:color w:val="0000FF"/>
        </w:rPr>
        <w:t>sometimes irrelevant</w:t>
      </w:r>
      <w:proofErr w:type="gramEnd"/>
      <w:r>
        <w:rPr>
          <w:rFonts w:eastAsia="Times New Roman"/>
          <w:color w:val="0000FF"/>
        </w:rPr>
        <w:t xml:space="preserve"> cell lines. A </w:t>
      </w:r>
      <w:proofErr w:type="spellStart"/>
      <w:r>
        <w:rPr>
          <w:rFonts w:eastAsia="Times New Roman"/>
          <w:color w:val="0000FF"/>
        </w:rPr>
        <w:t>phospho</w:t>
      </w:r>
      <w:proofErr w:type="spellEnd"/>
      <w:r>
        <w:rPr>
          <w:rFonts w:eastAsia="Times New Roman"/>
          <w:color w:val="0000FF"/>
        </w:rPr>
        <w:t xml:space="preserve">-specific antibody was published but failed to detect endogenous IRF5 activation without immunoprecipitation </w:t>
      </w:r>
      <w:r w:rsidR="001D020F">
        <w:rPr>
          <w:rFonts w:eastAsia="Times New Roman"/>
          <w:color w:val="0000FF"/>
        </w:rPr>
        <w:t>or overexpression</w:t>
      </w:r>
      <w:r>
        <w:rPr>
          <w:rFonts w:eastAsia="Times New Roman"/>
          <w:color w:val="0000FF"/>
        </w:rPr>
        <w:t xml:space="preserve">. </w:t>
      </w:r>
      <w:r>
        <w:rPr>
          <w:rFonts w:eastAsia="Times New Roman"/>
          <w:color w:val="0000FF"/>
        </w:rPr>
        <w:lastRenderedPageBreak/>
        <w:t xml:space="preserve">Our protocol is to our knowledge the only biochemical assay that determines the </w:t>
      </w:r>
      <w:r w:rsidR="00142E80">
        <w:rPr>
          <w:rFonts w:eastAsia="Times New Roman"/>
          <w:color w:val="0000FF"/>
        </w:rPr>
        <w:t xml:space="preserve">early event of </w:t>
      </w:r>
      <w:r>
        <w:rPr>
          <w:rFonts w:eastAsia="Times New Roman"/>
          <w:color w:val="0000FF"/>
        </w:rPr>
        <w:t xml:space="preserve">endogenous IRF5 </w:t>
      </w:r>
      <w:r w:rsidR="00142E80">
        <w:rPr>
          <w:rFonts w:eastAsia="Times New Roman"/>
          <w:color w:val="0000FF"/>
        </w:rPr>
        <w:t xml:space="preserve">activation </w:t>
      </w:r>
      <w:r>
        <w:rPr>
          <w:rFonts w:eastAsia="Times New Roman"/>
          <w:color w:val="0000FF"/>
        </w:rPr>
        <w:t xml:space="preserve">in whole cell lysates. </w:t>
      </w:r>
    </w:p>
    <w:p w14:paraId="0237DDD0" w14:textId="77777777" w:rsidR="00CB7D0A" w:rsidRDefault="00CB7D0A" w:rsidP="00B06BD9">
      <w:pPr>
        <w:jc w:val="both"/>
      </w:pPr>
    </w:p>
    <w:p w14:paraId="156B4669" w14:textId="77777777" w:rsidR="00453B7A" w:rsidRDefault="00453B7A" w:rsidP="00B06BD9">
      <w:pPr>
        <w:jc w:val="both"/>
      </w:pPr>
      <w:r w:rsidRPr="009E0748">
        <w:t xml:space="preserve">3. In the Discussion, line 213, the authors suggest that their assay has "high specificity towards IRF5" but the assay itself has little to do with specificity; specificity of the assay is completely dependent on having an antibody that detects IRF5 with high specificity. In this regard, the authors need to show the entire gel with molecular weight markers to help prove specificity. </w:t>
      </w:r>
      <w:r w:rsidR="00B06BD9" w:rsidRPr="009E0748">
        <w:t>The bands as shown could be any</w:t>
      </w:r>
      <w:r w:rsidRPr="009E0748">
        <w:t xml:space="preserve">where on the gel and may not correlate with appropriate sizes of the IRF5 monomer and dimer. Last, the authors use an antibody that is not a common one in the field of IRF5 research. If it </w:t>
      </w:r>
      <w:proofErr w:type="gramStart"/>
      <w:r w:rsidRPr="009E0748">
        <w:t>is</w:t>
      </w:r>
      <w:proofErr w:type="gramEnd"/>
      <w:r w:rsidRPr="009E0748">
        <w:t xml:space="preserve"> commonly accepted, it would be helpful to include other refs using this antibody to detect human IRF5, or show specificity of the antibody with positive and negative controls cells.</w:t>
      </w:r>
    </w:p>
    <w:p w14:paraId="4F78E676" w14:textId="77777777" w:rsidR="00453B7A" w:rsidRDefault="00453B7A" w:rsidP="00B06BD9">
      <w:pPr>
        <w:jc w:val="both"/>
      </w:pPr>
    </w:p>
    <w:p w14:paraId="7923D083" w14:textId="56131483" w:rsidR="00CB7D0A" w:rsidRDefault="00CB7D0A" w:rsidP="00CB7D0A">
      <w:pPr>
        <w:jc w:val="both"/>
        <w:rPr>
          <w:color w:val="0000FF"/>
          <w:lang w:eastAsia="ja-JP"/>
        </w:rPr>
      </w:pPr>
      <w:r>
        <w:rPr>
          <w:color w:val="0000FF"/>
          <w:lang w:eastAsia="ja-JP"/>
        </w:rPr>
        <w:t xml:space="preserve">Thank you reviewer for raising this excellent point. </w:t>
      </w:r>
      <w:bookmarkStart w:id="14" w:name="OLE_LINK25"/>
      <w:r>
        <w:rPr>
          <w:color w:val="0000FF"/>
          <w:lang w:eastAsia="ja-JP"/>
        </w:rPr>
        <w:t xml:space="preserve">In a previous research paper published by our group </w:t>
      </w:r>
      <w:r w:rsidR="00A7753D">
        <w:rPr>
          <w:rFonts w:eastAsia="Times New Roman"/>
          <w:color w:val="0000FF"/>
        </w:rPr>
        <w:t>(</w:t>
      </w:r>
      <w:r w:rsidR="00A7753D" w:rsidRPr="0021721D">
        <w:rPr>
          <w:rFonts w:eastAsia="Times New Roman"/>
          <w:color w:val="0000FF"/>
        </w:rPr>
        <w:t>Chow</w:t>
      </w:r>
      <w:r w:rsidR="00A7753D">
        <w:rPr>
          <w:rFonts w:eastAsia="Times New Roman"/>
          <w:color w:val="0000FF"/>
        </w:rPr>
        <w:t xml:space="preserve"> et al. </w:t>
      </w:r>
      <w:proofErr w:type="gramStart"/>
      <w:r w:rsidR="00A7753D">
        <w:rPr>
          <w:rFonts w:eastAsia="Times New Roman"/>
          <w:color w:val="0000FF"/>
        </w:rPr>
        <w:t>The Journal of Immunology.</w:t>
      </w:r>
      <w:proofErr w:type="gramEnd"/>
      <w:r w:rsidR="00A7753D">
        <w:t xml:space="preserve"> </w:t>
      </w:r>
      <w:r w:rsidR="00A7753D" w:rsidRPr="009F3861">
        <w:rPr>
          <w:rFonts w:eastAsia="Times New Roman"/>
          <w:color w:val="0000FF"/>
        </w:rPr>
        <w:t>2018; 201:3036-3050</w:t>
      </w:r>
      <w:r w:rsidR="00A7753D">
        <w:rPr>
          <w:rFonts w:eastAsia="Times New Roman"/>
          <w:color w:val="0000FF"/>
        </w:rPr>
        <w:t xml:space="preserve">) </w:t>
      </w:r>
      <w:r>
        <w:rPr>
          <w:color w:val="0000FF"/>
          <w:lang w:eastAsia="ja-JP"/>
        </w:rPr>
        <w:t xml:space="preserve">where we first introduced the use of this protocol, we demonstrated IRF5 antibody specificity in several figures, including an immunoblot with no band in non-IRF5-expressing cells (293T) and a specific band corresponding to the size of IRF5 in these cells when </w:t>
      </w:r>
      <w:r w:rsidR="00C75B25">
        <w:rPr>
          <w:color w:val="0000FF"/>
          <w:lang w:eastAsia="ja-JP"/>
        </w:rPr>
        <w:t xml:space="preserve">FLAG-IRF5 was </w:t>
      </w:r>
      <w:r>
        <w:rPr>
          <w:color w:val="0000FF"/>
          <w:lang w:eastAsia="ja-JP"/>
        </w:rPr>
        <w:t>overexpressed.</w:t>
      </w:r>
      <w:r w:rsidR="00C75B25">
        <w:rPr>
          <w:color w:val="0000FF"/>
          <w:lang w:eastAsia="ja-JP"/>
        </w:rPr>
        <w:t xml:space="preserve"> </w:t>
      </w:r>
      <w:proofErr w:type="gramStart"/>
      <w:r w:rsidR="00C75B25">
        <w:rPr>
          <w:color w:val="0000FF"/>
          <w:lang w:eastAsia="ja-JP"/>
        </w:rPr>
        <w:t>The identity of this single band was confirmed by an anti-FLAG antibody</w:t>
      </w:r>
      <w:proofErr w:type="gramEnd"/>
      <w:r w:rsidR="00C75B25">
        <w:rPr>
          <w:color w:val="0000FF"/>
          <w:lang w:eastAsia="ja-JP"/>
        </w:rPr>
        <w:t xml:space="preserve"> (data not shown).</w:t>
      </w:r>
      <w:r>
        <w:rPr>
          <w:color w:val="0000FF"/>
          <w:lang w:eastAsia="ja-JP"/>
        </w:rPr>
        <w:t xml:space="preserve"> In another study published by our group, we demonstrated that this IRF5 antibody detects an IRF5 specific band in wild type bone marrow derived dendritic cells, but not in knockout cells</w:t>
      </w:r>
      <w:r w:rsidR="00C75B25">
        <w:rPr>
          <w:color w:val="0000FF"/>
          <w:lang w:eastAsia="ja-JP"/>
        </w:rPr>
        <w:t xml:space="preserve"> (Chow et al. Journal of Leukocyte Biology. 2019)</w:t>
      </w:r>
      <w:r>
        <w:rPr>
          <w:color w:val="0000FF"/>
          <w:lang w:eastAsia="ja-JP"/>
        </w:rPr>
        <w:t xml:space="preserve">. Further, </w:t>
      </w:r>
      <w:r w:rsidR="00A7753D">
        <w:rPr>
          <w:color w:val="0000FF"/>
          <w:lang w:eastAsia="ja-JP"/>
        </w:rPr>
        <w:t xml:space="preserve">we demonstrated that </w:t>
      </w:r>
      <w:r>
        <w:rPr>
          <w:color w:val="0000FF"/>
          <w:lang w:eastAsia="ja-JP"/>
        </w:rPr>
        <w:t xml:space="preserve">this antibody is ChIP-capable and specific as </w:t>
      </w:r>
      <w:r w:rsidR="00A7753D">
        <w:rPr>
          <w:color w:val="0000FF"/>
          <w:lang w:eastAsia="ja-JP"/>
        </w:rPr>
        <w:t xml:space="preserve">a single band corresponding to the size of IRF5 is </w:t>
      </w:r>
      <w:proofErr w:type="spellStart"/>
      <w:r w:rsidR="00A7753D">
        <w:rPr>
          <w:color w:val="0000FF"/>
          <w:lang w:eastAsia="ja-JP"/>
        </w:rPr>
        <w:t>immunoprecipitated</w:t>
      </w:r>
      <w:proofErr w:type="spellEnd"/>
      <w:r w:rsidR="00A7753D">
        <w:rPr>
          <w:color w:val="0000FF"/>
          <w:lang w:eastAsia="ja-JP"/>
        </w:rPr>
        <w:t xml:space="preserve"> by this antibody</w:t>
      </w:r>
      <w:r>
        <w:rPr>
          <w:color w:val="0000FF"/>
          <w:lang w:eastAsia="ja-JP"/>
        </w:rPr>
        <w:t>.</w:t>
      </w:r>
      <w:r w:rsidR="00A7753D">
        <w:rPr>
          <w:color w:val="0000FF"/>
          <w:lang w:eastAsia="ja-JP"/>
        </w:rPr>
        <w:t xml:space="preserve"> </w:t>
      </w:r>
      <w:r w:rsidR="00C75B25">
        <w:rPr>
          <w:color w:val="0000FF"/>
          <w:lang w:eastAsia="ja-JP"/>
        </w:rPr>
        <w:t>We have added a figure from the JI study as the new Figure 2 in this manuscript to illustrate this point</w:t>
      </w:r>
      <w:r w:rsidR="00DC271C">
        <w:rPr>
          <w:color w:val="0000FF"/>
          <w:lang w:eastAsia="ja-JP"/>
        </w:rPr>
        <w:t>.</w:t>
      </w:r>
      <w:r>
        <w:rPr>
          <w:color w:val="0000FF"/>
          <w:lang w:eastAsia="ja-JP"/>
        </w:rPr>
        <w:t xml:space="preserve"> </w:t>
      </w:r>
      <w:bookmarkEnd w:id="14"/>
    </w:p>
    <w:p w14:paraId="406EC0D0" w14:textId="77777777" w:rsidR="00C17D24" w:rsidRDefault="00C17D24" w:rsidP="00B06BD9">
      <w:pPr>
        <w:jc w:val="both"/>
      </w:pPr>
    </w:p>
    <w:p w14:paraId="73E7BFB4" w14:textId="77777777" w:rsidR="00453B7A" w:rsidRDefault="00453B7A" w:rsidP="00B06BD9">
      <w:pPr>
        <w:jc w:val="both"/>
      </w:pPr>
      <w:r w:rsidRPr="00A73086">
        <w:t>4. It would be helpful to include a couple of Native gel examples from different cell lines, or better yet, primary cells, to really show that the protocol is working in multiple cell types (immortalized and primary). This would be of extreme value to the field.</w:t>
      </w:r>
    </w:p>
    <w:p w14:paraId="1CB25BEC" w14:textId="77777777" w:rsidR="00453B7A" w:rsidRDefault="00453B7A" w:rsidP="00B06BD9">
      <w:pPr>
        <w:jc w:val="both"/>
      </w:pPr>
    </w:p>
    <w:p w14:paraId="017D2635" w14:textId="4E4EEA3B" w:rsidR="009F3861" w:rsidRDefault="0021721D" w:rsidP="00B06BD9">
      <w:pPr>
        <w:jc w:val="both"/>
        <w:rPr>
          <w:rFonts w:eastAsia="Times New Roman"/>
          <w:color w:val="0000FF"/>
        </w:rPr>
      </w:pPr>
      <w:r w:rsidRPr="1B6BA613">
        <w:rPr>
          <w:rFonts w:eastAsia="Times New Roman"/>
          <w:color w:val="0000FF"/>
        </w:rPr>
        <w:t xml:space="preserve">We thank the reviewer for </w:t>
      </w:r>
      <w:r w:rsidR="007765C5">
        <w:rPr>
          <w:rFonts w:eastAsia="Times New Roman"/>
          <w:color w:val="0000FF"/>
        </w:rPr>
        <w:t>this excellent suggestion</w:t>
      </w:r>
      <w:r w:rsidRPr="1B6BA613">
        <w:rPr>
          <w:rFonts w:eastAsia="Times New Roman"/>
          <w:color w:val="0000FF"/>
        </w:rPr>
        <w:t>.</w:t>
      </w:r>
      <w:r>
        <w:rPr>
          <w:rFonts w:eastAsia="Times New Roman"/>
          <w:color w:val="0000FF"/>
        </w:rPr>
        <w:t xml:space="preserve"> </w:t>
      </w:r>
      <w:proofErr w:type="gramStart"/>
      <w:r w:rsidR="007765C5">
        <w:rPr>
          <w:rFonts w:eastAsia="Times New Roman"/>
          <w:color w:val="0000FF"/>
        </w:rPr>
        <w:t>Several figures demonstrating that this assay works in with multiple cell lines have previously</w:t>
      </w:r>
      <w:r w:rsidR="007B2285">
        <w:rPr>
          <w:rFonts w:eastAsia="Times New Roman"/>
          <w:color w:val="0000FF"/>
        </w:rPr>
        <w:t xml:space="preserve"> been published by our group (</w:t>
      </w:r>
      <w:r w:rsidR="007765C5" w:rsidRPr="0021721D">
        <w:rPr>
          <w:rFonts w:eastAsia="Times New Roman"/>
          <w:color w:val="0000FF"/>
        </w:rPr>
        <w:t>Chow</w:t>
      </w:r>
      <w:r w:rsidR="007765C5">
        <w:rPr>
          <w:rFonts w:eastAsia="Times New Roman"/>
          <w:color w:val="0000FF"/>
        </w:rPr>
        <w:t xml:space="preserve"> et al.</w:t>
      </w:r>
      <w:proofErr w:type="gramEnd"/>
      <w:r w:rsidR="007765C5">
        <w:rPr>
          <w:rFonts w:eastAsia="Times New Roman"/>
          <w:color w:val="0000FF"/>
        </w:rPr>
        <w:t xml:space="preserve"> </w:t>
      </w:r>
      <w:proofErr w:type="gramStart"/>
      <w:r w:rsidR="007765C5">
        <w:rPr>
          <w:rFonts w:eastAsia="Times New Roman"/>
          <w:color w:val="0000FF"/>
        </w:rPr>
        <w:t>The Journal of Immunology.</w:t>
      </w:r>
      <w:proofErr w:type="gramEnd"/>
      <w:r w:rsidR="007765C5">
        <w:t xml:space="preserve"> </w:t>
      </w:r>
      <w:proofErr w:type="gramStart"/>
      <w:r w:rsidR="007765C5" w:rsidRPr="009F3861">
        <w:rPr>
          <w:rFonts w:eastAsia="Times New Roman"/>
          <w:color w:val="0000FF"/>
        </w:rPr>
        <w:t>2018; 201:3036-3050</w:t>
      </w:r>
      <w:r w:rsidR="007B2285">
        <w:rPr>
          <w:rFonts w:eastAsia="Times New Roman"/>
          <w:color w:val="0000FF"/>
        </w:rPr>
        <w:t>)</w:t>
      </w:r>
      <w:r w:rsidR="007765C5">
        <w:rPr>
          <w:rFonts w:eastAsia="Times New Roman"/>
          <w:color w:val="0000FF"/>
        </w:rPr>
        <w:t>.</w:t>
      </w:r>
      <w:proofErr w:type="gramEnd"/>
      <w:r w:rsidR="007765C5">
        <w:rPr>
          <w:rFonts w:eastAsia="Times New Roman"/>
          <w:color w:val="0000FF"/>
        </w:rPr>
        <w:t xml:space="preserve"> In those figures, IRF5 overexpression in 293T cells was first used to demonstrate the feasibility of this assay, and multiple human and murine cell lines were then tested for IRF5 dimerization upon TLR7/8 stimulation. </w:t>
      </w:r>
      <w:r w:rsidR="007243F7" w:rsidRPr="00DC271C">
        <w:rPr>
          <w:rFonts w:eastAsia="Times New Roman"/>
          <w:color w:val="0000FF"/>
        </w:rPr>
        <w:t>We</w:t>
      </w:r>
      <w:r w:rsidRPr="00DC271C">
        <w:rPr>
          <w:rFonts w:eastAsia="Times New Roman"/>
          <w:color w:val="0000FF"/>
        </w:rPr>
        <w:t xml:space="preserve"> </w:t>
      </w:r>
      <w:r w:rsidR="007765C5" w:rsidRPr="00DC271C">
        <w:rPr>
          <w:rFonts w:eastAsia="Times New Roman"/>
          <w:color w:val="0000FF"/>
        </w:rPr>
        <w:t>have expanded the discussion to highlight these figures</w:t>
      </w:r>
      <w:r w:rsidRPr="00DC271C">
        <w:rPr>
          <w:rFonts w:eastAsia="Times New Roman"/>
          <w:color w:val="0000FF"/>
        </w:rPr>
        <w:t>.</w:t>
      </w:r>
    </w:p>
    <w:p w14:paraId="392F7EF2" w14:textId="77777777" w:rsidR="00C17D24" w:rsidRDefault="009F3861" w:rsidP="00B06BD9">
      <w:pPr>
        <w:jc w:val="both"/>
      </w:pPr>
      <w:r>
        <w:t xml:space="preserve"> </w:t>
      </w:r>
    </w:p>
    <w:p w14:paraId="6E25CC86" w14:textId="77777777" w:rsidR="00453B7A" w:rsidRPr="00453B7A" w:rsidRDefault="00453B7A" w:rsidP="00B06BD9">
      <w:pPr>
        <w:jc w:val="both"/>
        <w:rPr>
          <w:b/>
        </w:rPr>
      </w:pPr>
      <w:r w:rsidRPr="00453B7A">
        <w:rPr>
          <w:b/>
        </w:rPr>
        <w:t>Minor Concerns:</w:t>
      </w:r>
    </w:p>
    <w:p w14:paraId="3B242857" w14:textId="77777777" w:rsidR="00453B7A" w:rsidRDefault="00453B7A" w:rsidP="00B06BD9">
      <w:pPr>
        <w:jc w:val="both"/>
      </w:pPr>
    </w:p>
    <w:p w14:paraId="752C6E97" w14:textId="77777777" w:rsidR="00453B7A" w:rsidRDefault="00453B7A" w:rsidP="00B06BD9">
      <w:pPr>
        <w:jc w:val="both"/>
      </w:pPr>
      <w:r w:rsidRPr="005C568C">
        <w:lastRenderedPageBreak/>
        <w:t xml:space="preserve">1. Many references are incorrect; for instance, ref 9 is used to refer to IRF5 immune regulation but is actually an antibody paper. Ref 1, for the </w:t>
      </w:r>
      <w:proofErr w:type="spellStart"/>
      <w:r w:rsidRPr="005C568C">
        <w:t>Imagestream</w:t>
      </w:r>
      <w:proofErr w:type="spellEnd"/>
      <w:r w:rsidRPr="005C568C">
        <w:t xml:space="preserve"> imaging flow assay, is not the original ref of this method to measure IRF5 activity.</w:t>
      </w:r>
    </w:p>
    <w:p w14:paraId="449B80A7" w14:textId="77777777" w:rsidR="00453B7A" w:rsidRDefault="00453B7A" w:rsidP="00B06BD9">
      <w:pPr>
        <w:jc w:val="both"/>
      </w:pPr>
    </w:p>
    <w:p w14:paraId="1CA372CB" w14:textId="4AC0FDA7" w:rsidR="005C568C" w:rsidRPr="0057724A" w:rsidRDefault="005C568C" w:rsidP="005C568C">
      <w:pPr>
        <w:jc w:val="both"/>
        <w:rPr>
          <w:rFonts w:eastAsia="MS Mincho"/>
          <w:lang w:eastAsia="ja-JP"/>
        </w:rPr>
      </w:pPr>
      <w:r w:rsidRPr="1B6BA613">
        <w:rPr>
          <w:rFonts w:eastAsia="Times New Roman"/>
          <w:color w:val="0000FF"/>
        </w:rPr>
        <w:t xml:space="preserve">We thank the reviewer for pointing out </w:t>
      </w:r>
      <w:r w:rsidR="007765C5">
        <w:rPr>
          <w:rFonts w:eastAsia="Times New Roman"/>
          <w:color w:val="0000FF"/>
        </w:rPr>
        <w:t>these mistakes</w:t>
      </w:r>
      <w:r w:rsidR="00DB2D7E">
        <w:rPr>
          <w:rFonts w:eastAsia="Times New Roman"/>
          <w:color w:val="0000FF"/>
        </w:rPr>
        <w:t xml:space="preserve"> and apologize for the oversight</w:t>
      </w:r>
      <w:r w:rsidRPr="1B6BA613">
        <w:rPr>
          <w:rFonts w:eastAsia="Times New Roman"/>
          <w:color w:val="0000FF"/>
        </w:rPr>
        <w:t>.</w:t>
      </w:r>
      <w:r w:rsidRPr="005C568C">
        <w:rPr>
          <w:rFonts w:eastAsia="Times New Roman"/>
          <w:color w:val="0000FF"/>
        </w:rPr>
        <w:t xml:space="preserve"> </w:t>
      </w:r>
      <w:r w:rsidRPr="1B6BA613">
        <w:rPr>
          <w:rFonts w:eastAsia="Times New Roman"/>
          <w:color w:val="0000FF"/>
        </w:rPr>
        <w:t>We have made the appropriate changes.</w:t>
      </w:r>
    </w:p>
    <w:p w14:paraId="45778D58" w14:textId="77777777" w:rsidR="00453B7A" w:rsidRDefault="00453B7A" w:rsidP="00B06BD9">
      <w:pPr>
        <w:jc w:val="both"/>
      </w:pPr>
    </w:p>
    <w:p w14:paraId="16763A45" w14:textId="77777777" w:rsidR="00453B7A" w:rsidRDefault="00453B7A" w:rsidP="00B06BD9">
      <w:pPr>
        <w:jc w:val="both"/>
        <w:rPr>
          <w:b/>
        </w:rPr>
      </w:pPr>
      <w:r w:rsidRPr="00453B7A">
        <w:rPr>
          <w:b/>
        </w:rPr>
        <w:t>Reviewer #2:</w:t>
      </w:r>
    </w:p>
    <w:p w14:paraId="50A61F9D" w14:textId="77777777" w:rsidR="00453B7A" w:rsidRPr="00453B7A" w:rsidRDefault="00453B7A" w:rsidP="00B06BD9">
      <w:pPr>
        <w:jc w:val="both"/>
        <w:rPr>
          <w:b/>
        </w:rPr>
      </w:pPr>
    </w:p>
    <w:p w14:paraId="1017ACDE" w14:textId="77777777" w:rsidR="00453B7A" w:rsidRDefault="00453B7A" w:rsidP="00B06BD9">
      <w:pPr>
        <w:jc w:val="both"/>
        <w:rPr>
          <w:b/>
        </w:rPr>
      </w:pPr>
      <w:r w:rsidRPr="00453B7A">
        <w:rPr>
          <w:b/>
        </w:rPr>
        <w:t>Manuscript Summary:</w:t>
      </w:r>
    </w:p>
    <w:p w14:paraId="774F8A86" w14:textId="77777777" w:rsidR="00453B7A" w:rsidRPr="00453B7A" w:rsidRDefault="00453B7A" w:rsidP="00B06BD9">
      <w:pPr>
        <w:jc w:val="both"/>
        <w:rPr>
          <w:b/>
        </w:rPr>
      </w:pPr>
    </w:p>
    <w:p w14:paraId="41823AA1" w14:textId="77777777" w:rsidR="00453B7A" w:rsidRDefault="00453B7A" w:rsidP="00B06BD9">
      <w:pPr>
        <w:jc w:val="both"/>
      </w:pPr>
      <w:r>
        <w:t xml:space="preserve">This manuscript describes a method of detecting IRF5 activation and </w:t>
      </w:r>
      <w:proofErr w:type="spellStart"/>
      <w:r>
        <w:t>dimerisation</w:t>
      </w:r>
      <w:proofErr w:type="spellEnd"/>
      <w:r>
        <w:t xml:space="preserve"> by native PAGE. Although </w:t>
      </w:r>
      <w:proofErr w:type="spellStart"/>
      <w:r>
        <w:t>dimerisation</w:t>
      </w:r>
      <w:proofErr w:type="spellEnd"/>
      <w:r>
        <w:t xml:space="preserve"> assay by native PAGE is extensively used in viral immunology to monitor the activation status of important transcription factors, this manuscript clearly outlines the steps involved in this method, which should be of interests to the readers, young and also established scientists in fields that uses molecular biology in their research.</w:t>
      </w:r>
    </w:p>
    <w:p w14:paraId="3C100762" w14:textId="77777777" w:rsidR="00453B7A" w:rsidRDefault="00453B7A" w:rsidP="00B06BD9">
      <w:pPr>
        <w:jc w:val="both"/>
      </w:pPr>
    </w:p>
    <w:p w14:paraId="4DF80CB9" w14:textId="77777777" w:rsidR="00453B7A" w:rsidRDefault="00453B7A" w:rsidP="00B06BD9">
      <w:pPr>
        <w:jc w:val="both"/>
        <w:rPr>
          <w:b/>
        </w:rPr>
      </w:pPr>
      <w:r w:rsidRPr="00453B7A">
        <w:rPr>
          <w:b/>
        </w:rPr>
        <w:t>Major Concerns:</w:t>
      </w:r>
    </w:p>
    <w:p w14:paraId="400CF20B" w14:textId="77777777" w:rsidR="00453B7A" w:rsidRPr="00453B7A" w:rsidRDefault="00453B7A" w:rsidP="00B06BD9">
      <w:pPr>
        <w:jc w:val="both"/>
        <w:rPr>
          <w:b/>
        </w:rPr>
      </w:pPr>
    </w:p>
    <w:p w14:paraId="4BAE6BDC" w14:textId="77777777" w:rsidR="00453B7A" w:rsidRDefault="00453B7A" w:rsidP="00B06BD9">
      <w:pPr>
        <w:jc w:val="both"/>
      </w:pPr>
      <w:r w:rsidRPr="001A1F4E">
        <w:t xml:space="preserve">In the introduction, it should be stated that this method is particularly important when there is not suitable antibody that is specific enough to detect phosphorylated protein of interest, </w:t>
      </w:r>
      <w:proofErr w:type="gramStart"/>
      <w:r w:rsidRPr="001A1F4E">
        <w:t>then</w:t>
      </w:r>
      <w:proofErr w:type="gramEnd"/>
      <w:r w:rsidRPr="001A1F4E">
        <w:t xml:space="preserve"> dimerization assay would be very useful to detect activation. There are a lot of researchers who heavily rely on</w:t>
      </w:r>
      <w:bookmarkStart w:id="15" w:name="OLE_LINK44"/>
      <w:bookmarkStart w:id="16" w:name="OLE_LINK45"/>
      <w:bookmarkStart w:id="17" w:name="OLE_LINK46"/>
      <w:r w:rsidRPr="001A1F4E">
        <w:t xml:space="preserve"> the antibodies to </w:t>
      </w:r>
      <w:proofErr w:type="spellStart"/>
      <w:r w:rsidRPr="001A1F4E">
        <w:t>phosho</w:t>
      </w:r>
      <w:proofErr w:type="spellEnd"/>
      <w:r w:rsidRPr="001A1F4E">
        <w:t xml:space="preserve">-proteins </w:t>
      </w:r>
      <w:bookmarkEnd w:id="15"/>
      <w:bookmarkEnd w:id="16"/>
      <w:bookmarkEnd w:id="17"/>
      <w:r w:rsidRPr="001A1F4E">
        <w:t>and observe non-specific bands and are unsure of their activation status.</w:t>
      </w:r>
    </w:p>
    <w:p w14:paraId="7D6CA4EB" w14:textId="77777777" w:rsidR="00453B7A" w:rsidRDefault="00453B7A" w:rsidP="00B06BD9">
      <w:pPr>
        <w:jc w:val="both"/>
      </w:pPr>
    </w:p>
    <w:p w14:paraId="4BFFCEF2" w14:textId="4F4CE1FF" w:rsidR="00E757AC" w:rsidRPr="00E10C6F" w:rsidRDefault="00E757AC" w:rsidP="00E757AC">
      <w:pPr>
        <w:jc w:val="both"/>
        <w:rPr>
          <w:rFonts w:eastAsia="MS Mincho"/>
          <w:lang w:eastAsia="ja-JP"/>
        </w:rPr>
      </w:pPr>
      <w:r w:rsidRPr="1B6BA613">
        <w:rPr>
          <w:rFonts w:eastAsia="Times New Roman"/>
          <w:color w:val="0000FF"/>
        </w:rPr>
        <w:t xml:space="preserve">We thank the reviewer for </w:t>
      </w:r>
      <w:r w:rsidR="00700C11">
        <w:rPr>
          <w:rFonts w:eastAsia="Times New Roman"/>
          <w:color w:val="0000FF"/>
        </w:rPr>
        <w:t>raising this important</w:t>
      </w:r>
      <w:r w:rsidRPr="1B6BA613">
        <w:rPr>
          <w:rFonts w:eastAsia="Times New Roman"/>
          <w:color w:val="0000FF"/>
        </w:rPr>
        <w:t xml:space="preserve"> point. We h</w:t>
      </w:r>
      <w:r>
        <w:rPr>
          <w:rFonts w:eastAsia="Times New Roman"/>
          <w:color w:val="0000FF"/>
        </w:rPr>
        <w:t xml:space="preserve">ave </w:t>
      </w:r>
      <w:r w:rsidR="00700C11">
        <w:rPr>
          <w:rFonts w:eastAsia="Times New Roman"/>
          <w:color w:val="0000FF"/>
        </w:rPr>
        <w:t xml:space="preserve">expanded the </w:t>
      </w:r>
      <w:r w:rsidR="00995C6E">
        <w:rPr>
          <w:rFonts w:eastAsia="Times New Roman"/>
          <w:color w:val="0000FF"/>
        </w:rPr>
        <w:t>I</w:t>
      </w:r>
      <w:r w:rsidR="00700C11">
        <w:rPr>
          <w:rFonts w:eastAsia="Times New Roman"/>
          <w:color w:val="0000FF"/>
        </w:rPr>
        <w:t>ntroduction to include a discussion on this point</w:t>
      </w:r>
      <w:r w:rsidRPr="1B6BA613">
        <w:rPr>
          <w:rFonts w:eastAsia="Times New Roman"/>
          <w:color w:val="0000FF"/>
        </w:rPr>
        <w:t>.</w:t>
      </w:r>
    </w:p>
    <w:p w14:paraId="2FB2F241" w14:textId="77777777" w:rsidR="00453B7A" w:rsidRDefault="00453B7A" w:rsidP="00B06BD9">
      <w:pPr>
        <w:jc w:val="both"/>
      </w:pPr>
    </w:p>
    <w:p w14:paraId="7F04875E" w14:textId="77777777" w:rsidR="00453B7A" w:rsidRDefault="00453B7A" w:rsidP="00B06BD9">
      <w:pPr>
        <w:jc w:val="both"/>
      </w:pPr>
      <w:r w:rsidRPr="00663B93">
        <w:t xml:space="preserve">Line 74. </w:t>
      </w:r>
      <w:r w:rsidR="00C17D24" w:rsidRPr="00663B93">
        <w:t xml:space="preserve">The </w:t>
      </w:r>
      <w:r w:rsidRPr="00663B93">
        <w:t>author should state what R848 is for the benefit of the readers.</w:t>
      </w:r>
    </w:p>
    <w:p w14:paraId="6BCA2698" w14:textId="77777777" w:rsidR="00453B7A" w:rsidRDefault="00453B7A" w:rsidP="00B06BD9">
      <w:pPr>
        <w:jc w:val="both"/>
      </w:pPr>
    </w:p>
    <w:p w14:paraId="45378264" w14:textId="6422C023" w:rsidR="00663B93" w:rsidRPr="00E10C6F" w:rsidRDefault="00663B93" w:rsidP="00B06BD9">
      <w:pPr>
        <w:jc w:val="both"/>
        <w:rPr>
          <w:rFonts w:eastAsia="MS Mincho"/>
          <w:lang w:eastAsia="ja-JP"/>
        </w:rPr>
      </w:pPr>
      <w:r w:rsidRPr="1B6BA613">
        <w:rPr>
          <w:rFonts w:eastAsia="Times New Roman"/>
          <w:color w:val="0000FF"/>
        </w:rPr>
        <w:t>We h</w:t>
      </w:r>
      <w:r>
        <w:rPr>
          <w:rFonts w:eastAsia="Times New Roman"/>
          <w:color w:val="0000FF"/>
        </w:rPr>
        <w:t>ave made the appropriate change</w:t>
      </w:r>
      <w:r w:rsidRPr="1B6BA613">
        <w:rPr>
          <w:rFonts w:eastAsia="Times New Roman"/>
          <w:color w:val="0000FF"/>
        </w:rPr>
        <w:t>.</w:t>
      </w:r>
    </w:p>
    <w:p w14:paraId="7D9202D4" w14:textId="77777777" w:rsidR="00453B7A" w:rsidRDefault="00453B7A" w:rsidP="00B06BD9">
      <w:pPr>
        <w:jc w:val="both"/>
      </w:pPr>
    </w:p>
    <w:p w14:paraId="65836A50" w14:textId="77777777" w:rsidR="00453B7A" w:rsidRDefault="00453B7A" w:rsidP="00B06BD9">
      <w:pPr>
        <w:jc w:val="both"/>
      </w:pPr>
      <w:r w:rsidRPr="00E04382">
        <w:t>Line 116-117, would this be protease and phosphatase inhibitor cocktails or specific protease inhibitors like PMSF...</w:t>
      </w:r>
    </w:p>
    <w:p w14:paraId="7D925D18" w14:textId="77777777" w:rsidR="00F649C3" w:rsidRDefault="00F649C3" w:rsidP="00B06BD9">
      <w:pPr>
        <w:jc w:val="both"/>
      </w:pPr>
    </w:p>
    <w:p w14:paraId="730A6058" w14:textId="419D2FB7" w:rsidR="00453B7A" w:rsidRDefault="00F649C3" w:rsidP="00B06BD9">
      <w:pPr>
        <w:jc w:val="both"/>
      </w:pPr>
      <w:r w:rsidRPr="1B6BA613">
        <w:rPr>
          <w:rFonts w:eastAsia="Times New Roman"/>
          <w:color w:val="0000FF"/>
        </w:rPr>
        <w:t xml:space="preserve">We </w:t>
      </w:r>
      <w:r w:rsidRPr="00F649C3">
        <w:rPr>
          <w:rFonts w:eastAsia="Times New Roman"/>
          <w:color w:val="0000FF"/>
        </w:rPr>
        <w:t>use Halt Protease Inhibitor Single-Use Cocktail (100X) from Thermo</w:t>
      </w:r>
      <w:r>
        <w:rPr>
          <w:rFonts w:eastAsia="Times New Roman"/>
          <w:color w:val="0000FF"/>
        </w:rPr>
        <w:t xml:space="preserve"> Fisher </w:t>
      </w:r>
      <w:r w:rsidRPr="00F649C3">
        <w:rPr>
          <w:rFonts w:eastAsia="Times New Roman"/>
          <w:color w:val="0000FF"/>
        </w:rPr>
        <w:t>Scientific, which contains several inhibitors that inhibit the major classes of proteases</w:t>
      </w:r>
      <w:r w:rsidR="00B223DF">
        <w:rPr>
          <w:rFonts w:eastAsia="Times New Roman"/>
          <w:color w:val="0000FF"/>
        </w:rPr>
        <w:t xml:space="preserve"> but does not include </w:t>
      </w:r>
      <w:r w:rsidR="00A12A2C">
        <w:rPr>
          <w:rFonts w:eastAsia="Times New Roman"/>
          <w:color w:val="0000FF"/>
        </w:rPr>
        <w:t xml:space="preserve">any </w:t>
      </w:r>
      <w:r w:rsidR="00B223DF">
        <w:rPr>
          <w:rFonts w:eastAsia="Times New Roman"/>
          <w:color w:val="0000FF"/>
        </w:rPr>
        <w:t>phosphatase inhibitor</w:t>
      </w:r>
      <w:r w:rsidRPr="00F649C3">
        <w:rPr>
          <w:rFonts w:eastAsia="Times New Roman"/>
          <w:color w:val="0000FF"/>
        </w:rPr>
        <w:t>.</w:t>
      </w:r>
      <w:r w:rsidR="00E04382">
        <w:rPr>
          <w:rFonts w:eastAsia="Times New Roman"/>
          <w:color w:val="0000FF"/>
        </w:rPr>
        <w:t xml:space="preserve"> </w:t>
      </w:r>
      <w:r w:rsidR="00E04382" w:rsidRPr="1B6BA613">
        <w:rPr>
          <w:rFonts w:eastAsia="Times New Roman"/>
          <w:color w:val="0000FF"/>
        </w:rPr>
        <w:t>We h</w:t>
      </w:r>
      <w:r w:rsidR="00E04382">
        <w:rPr>
          <w:rFonts w:eastAsia="Times New Roman"/>
          <w:color w:val="0000FF"/>
        </w:rPr>
        <w:t xml:space="preserve">ave </w:t>
      </w:r>
      <w:r w:rsidR="00B223DF">
        <w:rPr>
          <w:rFonts w:eastAsia="Times New Roman"/>
          <w:color w:val="0000FF"/>
        </w:rPr>
        <w:t xml:space="preserve">included the </w:t>
      </w:r>
      <w:r w:rsidR="00A12A2C">
        <w:rPr>
          <w:rFonts w:eastAsia="Times New Roman"/>
          <w:color w:val="0000FF"/>
        </w:rPr>
        <w:t xml:space="preserve">manufacturer of the protease inhibitors we use in the methods. </w:t>
      </w:r>
    </w:p>
    <w:p w14:paraId="701F0F45" w14:textId="77777777" w:rsidR="00453B7A" w:rsidRDefault="00453B7A" w:rsidP="00B06BD9">
      <w:pPr>
        <w:jc w:val="both"/>
      </w:pPr>
    </w:p>
    <w:p w14:paraId="7299BB48" w14:textId="77777777" w:rsidR="00453B7A" w:rsidRDefault="00453B7A" w:rsidP="00B06BD9">
      <w:pPr>
        <w:jc w:val="both"/>
      </w:pPr>
      <w:r w:rsidRPr="00E61592">
        <w:t>Line 137, please describe why pre-run is important to the readers.</w:t>
      </w:r>
    </w:p>
    <w:p w14:paraId="0EB2A4AF" w14:textId="77777777" w:rsidR="00453B7A" w:rsidRDefault="00453B7A" w:rsidP="00B06BD9">
      <w:pPr>
        <w:jc w:val="both"/>
      </w:pPr>
    </w:p>
    <w:p w14:paraId="766473DC" w14:textId="5CAD9661" w:rsidR="00E61592" w:rsidRPr="00E10C6F" w:rsidRDefault="00BF28B6" w:rsidP="00E61592">
      <w:pPr>
        <w:jc w:val="both"/>
        <w:rPr>
          <w:rFonts w:eastAsia="MS Mincho"/>
          <w:lang w:eastAsia="ja-JP"/>
        </w:rPr>
      </w:pPr>
      <w:r>
        <w:rPr>
          <w:rFonts w:eastAsia="Times New Roman"/>
          <w:color w:val="0000FF"/>
        </w:rPr>
        <w:lastRenderedPageBreak/>
        <w:t xml:space="preserve">Pre-runs are conventionally </w:t>
      </w:r>
      <w:r w:rsidR="00C86961">
        <w:rPr>
          <w:rFonts w:eastAsia="Times New Roman"/>
          <w:color w:val="0000FF"/>
        </w:rPr>
        <w:t>performed</w:t>
      </w:r>
      <w:r>
        <w:rPr>
          <w:rFonts w:eastAsia="Times New Roman"/>
          <w:color w:val="0000FF"/>
        </w:rPr>
        <w:t xml:space="preserve"> to remove excess ions that may interfere with separation of the proteins</w:t>
      </w:r>
      <w:r w:rsidR="00E61592" w:rsidRPr="00BF28B6">
        <w:rPr>
          <w:rFonts w:eastAsia="Times New Roman"/>
          <w:color w:val="0000FF"/>
        </w:rPr>
        <w:t>.</w:t>
      </w:r>
      <w:r>
        <w:rPr>
          <w:rFonts w:eastAsia="Times New Roman"/>
          <w:color w:val="0000FF"/>
        </w:rPr>
        <w:t xml:space="preserve"> We have added this detail in the protocol.</w:t>
      </w:r>
    </w:p>
    <w:p w14:paraId="06BDB829" w14:textId="77777777" w:rsidR="00E61592" w:rsidRDefault="00E61592" w:rsidP="00B06BD9">
      <w:pPr>
        <w:jc w:val="both"/>
        <w:rPr>
          <w:rFonts w:ascii="Arial" w:hAnsi="Arial" w:cs="Arial"/>
          <w:color w:val="333333"/>
          <w:sz w:val="20"/>
          <w:szCs w:val="20"/>
          <w:shd w:val="clear" w:color="auto" w:fill="FEFEFE"/>
        </w:rPr>
      </w:pPr>
    </w:p>
    <w:p w14:paraId="374EAC7A" w14:textId="77777777" w:rsidR="00453B7A" w:rsidRDefault="00453B7A" w:rsidP="00B06BD9">
      <w:pPr>
        <w:jc w:val="both"/>
      </w:pPr>
      <w:r w:rsidRPr="00B47D41">
        <w:t>Line 169, for blocking, skim milk or BSA is preferred?</w:t>
      </w:r>
    </w:p>
    <w:p w14:paraId="603B84E8" w14:textId="77777777" w:rsidR="00453B7A" w:rsidRDefault="00453B7A" w:rsidP="00B06BD9">
      <w:pPr>
        <w:jc w:val="both"/>
      </w:pPr>
    </w:p>
    <w:p w14:paraId="6666A826" w14:textId="7F830DD3" w:rsidR="000B33EF" w:rsidRPr="00E10C6F" w:rsidRDefault="006C606F" w:rsidP="00B06BD9">
      <w:pPr>
        <w:jc w:val="both"/>
        <w:rPr>
          <w:rFonts w:eastAsia="MS Mincho"/>
          <w:lang w:eastAsia="ja-JP"/>
        </w:rPr>
      </w:pPr>
      <w:bookmarkStart w:id="18" w:name="OLE_LINK42"/>
      <w:bookmarkStart w:id="19" w:name="OLE_LINK43"/>
      <w:r w:rsidRPr="1B6BA613">
        <w:rPr>
          <w:rFonts w:eastAsia="Times New Roman"/>
          <w:color w:val="0000FF"/>
        </w:rPr>
        <w:t xml:space="preserve">We </w:t>
      </w:r>
      <w:bookmarkEnd w:id="18"/>
      <w:bookmarkEnd w:id="19"/>
      <w:r w:rsidR="000B33EF">
        <w:rPr>
          <w:rFonts w:eastAsia="Times New Roman"/>
          <w:color w:val="0000FF"/>
        </w:rPr>
        <w:t>us</w:t>
      </w:r>
      <w:r w:rsidR="00F649C3">
        <w:rPr>
          <w:rFonts w:eastAsia="Times New Roman"/>
          <w:color w:val="0000FF"/>
        </w:rPr>
        <w:t>e</w:t>
      </w:r>
      <w:r w:rsidR="000B33EF">
        <w:rPr>
          <w:rFonts w:eastAsia="Times New Roman"/>
          <w:color w:val="0000FF"/>
        </w:rPr>
        <w:t xml:space="preserve"> </w:t>
      </w:r>
      <w:r w:rsidR="000B33EF" w:rsidRPr="000B33EF">
        <w:rPr>
          <w:rFonts w:eastAsia="Times New Roman"/>
          <w:color w:val="0000FF"/>
        </w:rPr>
        <w:t>Odyssey Blocking Buffer (TBS)</w:t>
      </w:r>
      <w:r w:rsidR="000B33EF">
        <w:rPr>
          <w:rFonts w:eastAsia="Times New Roman"/>
          <w:color w:val="0000FF"/>
        </w:rPr>
        <w:t xml:space="preserve"> </w:t>
      </w:r>
      <w:r w:rsidR="00B47D41">
        <w:rPr>
          <w:rFonts w:eastAsia="Times New Roman"/>
          <w:color w:val="0000FF"/>
        </w:rPr>
        <w:t xml:space="preserve">from LI-COR </w:t>
      </w:r>
      <w:r w:rsidR="00DE02BD">
        <w:rPr>
          <w:rFonts w:eastAsia="Times New Roman"/>
          <w:color w:val="0000FF"/>
        </w:rPr>
        <w:t>because the</w:t>
      </w:r>
      <w:r w:rsidR="000B33EF">
        <w:rPr>
          <w:rFonts w:eastAsia="Times New Roman"/>
          <w:color w:val="0000FF"/>
        </w:rPr>
        <w:t xml:space="preserve"> </w:t>
      </w:r>
      <w:proofErr w:type="gramStart"/>
      <w:r w:rsidR="00B47D41">
        <w:rPr>
          <w:rFonts w:eastAsia="Times New Roman"/>
          <w:color w:val="0000FF"/>
        </w:rPr>
        <w:t xml:space="preserve">background </w:t>
      </w:r>
      <w:r w:rsidR="007839C9">
        <w:rPr>
          <w:rFonts w:eastAsia="Times New Roman"/>
          <w:color w:val="0000FF"/>
        </w:rPr>
        <w:t>tend</w:t>
      </w:r>
      <w:proofErr w:type="gramEnd"/>
      <w:r w:rsidR="007839C9">
        <w:rPr>
          <w:rFonts w:eastAsia="Times New Roman"/>
          <w:color w:val="0000FF"/>
        </w:rPr>
        <w:t xml:space="preserve"> to be</w:t>
      </w:r>
      <w:r w:rsidR="00B47D41">
        <w:rPr>
          <w:rFonts w:eastAsia="Times New Roman"/>
          <w:color w:val="0000FF"/>
        </w:rPr>
        <w:t xml:space="preserve"> lower.</w:t>
      </w:r>
      <w:r w:rsidR="007839C9">
        <w:rPr>
          <w:rFonts w:eastAsia="Times New Roman"/>
          <w:color w:val="0000FF"/>
        </w:rPr>
        <w:t xml:space="preserve"> However we have successfully performed this assay using homemade 5% BSA blocking buffer. </w:t>
      </w:r>
      <w:r w:rsidR="007839C9" w:rsidRPr="00DC271C">
        <w:rPr>
          <w:rFonts w:eastAsia="Times New Roman"/>
          <w:color w:val="0000FF"/>
        </w:rPr>
        <w:t>We have added this detail in the protocol.</w:t>
      </w:r>
    </w:p>
    <w:p w14:paraId="0B4D9AEA" w14:textId="77777777" w:rsidR="00453B7A" w:rsidRDefault="00453B7A" w:rsidP="00B06BD9">
      <w:pPr>
        <w:jc w:val="both"/>
      </w:pPr>
    </w:p>
    <w:p w14:paraId="3B3CC612" w14:textId="77777777" w:rsidR="00453B7A" w:rsidRDefault="00453B7A" w:rsidP="00B06BD9">
      <w:pPr>
        <w:jc w:val="both"/>
      </w:pPr>
      <w:r w:rsidRPr="006C606F">
        <w:t xml:space="preserve">It appears that this protocol is specific to </w:t>
      </w:r>
      <w:proofErr w:type="spellStart"/>
      <w:r w:rsidRPr="006C606F">
        <w:t>Invitrogens</w:t>
      </w:r>
      <w:proofErr w:type="spellEnd"/>
      <w:r w:rsidRPr="006C606F">
        <w:t xml:space="preserve"> gels, and this is a big drawback of this manuscript, and limits the practicality to other scientists who make their own or use other brands such as </w:t>
      </w:r>
      <w:proofErr w:type="spellStart"/>
      <w:r w:rsidRPr="006C606F">
        <w:t>bio-rad</w:t>
      </w:r>
      <w:proofErr w:type="spellEnd"/>
      <w:r w:rsidR="00694687" w:rsidRPr="006C606F">
        <w:t>.</w:t>
      </w:r>
    </w:p>
    <w:p w14:paraId="258769D2" w14:textId="77777777" w:rsidR="00453B7A" w:rsidRDefault="00453B7A" w:rsidP="00B06BD9">
      <w:pPr>
        <w:jc w:val="both"/>
      </w:pPr>
    </w:p>
    <w:p w14:paraId="56F3697D" w14:textId="45C68C29" w:rsidR="00544D2D" w:rsidRDefault="00866040" w:rsidP="00544D2D">
      <w:pPr>
        <w:jc w:val="both"/>
        <w:rPr>
          <w:lang w:eastAsia="zh-CN"/>
        </w:rPr>
      </w:pPr>
      <w:r>
        <w:rPr>
          <w:rFonts w:eastAsia="Times New Roman"/>
          <w:color w:val="0000FF"/>
        </w:rPr>
        <w:t xml:space="preserve">We agree it is an unfortunate drawback, but it is currently the only protocol we have tried that allows us to assay IRF5 monomer and dimer. We have tried but failed to use the </w:t>
      </w:r>
      <w:proofErr w:type="spellStart"/>
      <w:r>
        <w:rPr>
          <w:rFonts w:eastAsia="Times New Roman"/>
          <w:color w:val="0000FF"/>
        </w:rPr>
        <w:t>Laemlli</w:t>
      </w:r>
      <w:proofErr w:type="spellEnd"/>
      <w:r>
        <w:rPr>
          <w:rFonts w:eastAsia="Times New Roman"/>
          <w:color w:val="0000FF"/>
        </w:rPr>
        <w:t xml:space="preserve"> system (</w:t>
      </w:r>
      <w:proofErr w:type="spellStart"/>
      <w:r>
        <w:rPr>
          <w:rFonts w:eastAsia="Times New Roman"/>
          <w:color w:val="0000FF"/>
        </w:rPr>
        <w:t>Tris</w:t>
      </w:r>
      <w:proofErr w:type="spellEnd"/>
      <w:r>
        <w:rPr>
          <w:rFonts w:eastAsia="Times New Roman"/>
          <w:color w:val="0000FF"/>
        </w:rPr>
        <w:t>-glycine) that successfully separates IRF3, a r</w:t>
      </w:r>
      <w:r w:rsidR="00F210DA">
        <w:rPr>
          <w:rFonts w:eastAsia="Times New Roman"/>
          <w:color w:val="0000FF"/>
        </w:rPr>
        <w:t xml:space="preserve">elated protein. We suspect the </w:t>
      </w:r>
      <w:proofErr w:type="spellStart"/>
      <w:r w:rsidR="00F210DA">
        <w:rPr>
          <w:rFonts w:eastAsia="Times New Roman"/>
          <w:color w:val="0000FF"/>
        </w:rPr>
        <w:t>B</w:t>
      </w:r>
      <w:r>
        <w:rPr>
          <w:rFonts w:eastAsia="Times New Roman"/>
          <w:color w:val="0000FF"/>
        </w:rPr>
        <w:t>is-tris</w:t>
      </w:r>
      <w:proofErr w:type="spellEnd"/>
      <w:r>
        <w:rPr>
          <w:rFonts w:eastAsia="Times New Roman"/>
          <w:color w:val="0000FF"/>
        </w:rPr>
        <w:t xml:space="preserve"> gradient system of the</w:t>
      </w:r>
      <w:r w:rsidR="00544D2D">
        <w:rPr>
          <w:rFonts w:eastAsia="Times New Roman"/>
          <w:color w:val="0000FF"/>
        </w:rPr>
        <w:t xml:space="preserve"> </w:t>
      </w:r>
      <w:proofErr w:type="spellStart"/>
      <w:r w:rsidR="00544D2D">
        <w:rPr>
          <w:rFonts w:eastAsia="Times New Roman"/>
          <w:color w:val="0000FF"/>
        </w:rPr>
        <w:t>Invitrogens</w:t>
      </w:r>
      <w:proofErr w:type="spellEnd"/>
      <w:r w:rsidR="00544D2D">
        <w:rPr>
          <w:rFonts w:eastAsia="Times New Roman"/>
          <w:color w:val="0000FF"/>
        </w:rPr>
        <w:t xml:space="preserve"> native gels </w:t>
      </w:r>
      <w:r w:rsidR="002E66DB">
        <w:rPr>
          <w:rFonts w:eastAsia="Times New Roman"/>
          <w:color w:val="0000FF"/>
        </w:rPr>
        <w:t>offer the appropriate chemistry and pH that allow the specific requirement for separating IRF5.</w:t>
      </w:r>
      <w:r w:rsidR="00057A52">
        <w:rPr>
          <w:rFonts w:eastAsia="Times New Roman"/>
          <w:color w:val="0000FF"/>
        </w:rPr>
        <w:t xml:space="preserve"> </w:t>
      </w:r>
      <w:r w:rsidR="00057A52" w:rsidRPr="00DC271C">
        <w:rPr>
          <w:rFonts w:eastAsia="Times New Roman"/>
          <w:color w:val="0000FF"/>
        </w:rPr>
        <w:t>We have added a brief discussion on this point in the discussion.</w:t>
      </w:r>
      <w:r w:rsidR="002E66DB">
        <w:rPr>
          <w:rFonts w:eastAsia="Times New Roman"/>
          <w:color w:val="0000FF"/>
        </w:rPr>
        <w:t xml:space="preserve"> </w:t>
      </w:r>
    </w:p>
    <w:p w14:paraId="5322D632" w14:textId="77777777" w:rsidR="00453B7A" w:rsidRDefault="00453B7A" w:rsidP="00B06BD9">
      <w:pPr>
        <w:jc w:val="both"/>
      </w:pPr>
    </w:p>
    <w:p w14:paraId="7A802AAE" w14:textId="77777777" w:rsidR="00453B7A" w:rsidRDefault="00453B7A" w:rsidP="00B06BD9">
      <w:pPr>
        <w:jc w:val="both"/>
        <w:rPr>
          <w:b/>
        </w:rPr>
      </w:pPr>
      <w:r w:rsidRPr="00453B7A">
        <w:rPr>
          <w:b/>
        </w:rPr>
        <w:t>Minor Concerns:</w:t>
      </w:r>
    </w:p>
    <w:p w14:paraId="21F25258" w14:textId="77777777" w:rsidR="00453B7A" w:rsidRPr="00453B7A" w:rsidRDefault="00453B7A" w:rsidP="00B06BD9">
      <w:pPr>
        <w:jc w:val="both"/>
        <w:rPr>
          <w:b/>
        </w:rPr>
      </w:pPr>
    </w:p>
    <w:p w14:paraId="684DBAA1" w14:textId="77777777" w:rsidR="00453B7A" w:rsidRDefault="00453B7A" w:rsidP="00B06BD9">
      <w:pPr>
        <w:jc w:val="both"/>
      </w:pPr>
      <w:r w:rsidRPr="008C710F">
        <w:t>What is the difference between the methods described in this manuscript and the protocol by</w:t>
      </w:r>
      <w:bookmarkStart w:id="20" w:name="OLE_LINK7"/>
      <w:bookmarkStart w:id="21" w:name="OLE_LINK8"/>
      <w:r w:rsidRPr="008C710F">
        <w:t xml:space="preserve"> Prof. Fujita at Kyoto U (</w:t>
      </w:r>
      <w:bookmarkStart w:id="22" w:name="OLE_LINK36"/>
      <w:bookmarkStart w:id="23" w:name="OLE_LINK37"/>
      <w:bookmarkStart w:id="24" w:name="OLE_LINK23"/>
      <w:bookmarkStart w:id="25" w:name="OLE_LINK24"/>
      <w:proofErr w:type="spellStart"/>
      <w:r w:rsidRPr="008C710F">
        <w:t>Iwamura</w:t>
      </w:r>
      <w:proofErr w:type="spellEnd"/>
      <w:r w:rsidRPr="008C710F">
        <w:t xml:space="preserve"> T </w:t>
      </w:r>
      <w:bookmarkEnd w:id="22"/>
      <w:bookmarkEnd w:id="23"/>
      <w:r w:rsidRPr="008C710F">
        <w:t>et al.</w:t>
      </w:r>
      <w:bookmarkEnd w:id="24"/>
      <w:bookmarkEnd w:id="25"/>
      <w:r w:rsidRPr="008C710F">
        <w:t xml:space="preserve"> Genes Cells. 2001 Apr</w:t>
      </w:r>
      <w:proofErr w:type="gramStart"/>
      <w:r w:rsidRPr="008C710F">
        <w:t>;6</w:t>
      </w:r>
      <w:proofErr w:type="gramEnd"/>
      <w:r w:rsidRPr="008C710F">
        <w:t>(4):375-88).</w:t>
      </w:r>
      <w:bookmarkEnd w:id="20"/>
      <w:bookmarkEnd w:id="21"/>
    </w:p>
    <w:p w14:paraId="08FDA954" w14:textId="77777777" w:rsidR="00453B7A" w:rsidRDefault="00453B7A" w:rsidP="00B06BD9">
      <w:pPr>
        <w:jc w:val="both"/>
      </w:pPr>
    </w:p>
    <w:p w14:paraId="0655B224" w14:textId="07494CC7" w:rsidR="00453B7A" w:rsidRDefault="001E2CB7" w:rsidP="00B06BD9">
      <w:pPr>
        <w:jc w:val="both"/>
      </w:pPr>
      <w:r>
        <w:rPr>
          <w:rFonts w:eastAsia="Times New Roman"/>
          <w:color w:val="0000FF"/>
        </w:rPr>
        <w:t xml:space="preserve">The Fujita protocol is a widely used assay to study IRF3 biology. We have performed the same protocol successfully with Ready Cast gels (as described in the original paper) as well as homemade </w:t>
      </w:r>
      <w:proofErr w:type="spellStart"/>
      <w:r>
        <w:rPr>
          <w:rFonts w:eastAsia="Times New Roman"/>
          <w:color w:val="0000FF"/>
        </w:rPr>
        <w:t>Tris</w:t>
      </w:r>
      <w:proofErr w:type="spellEnd"/>
      <w:r>
        <w:rPr>
          <w:rFonts w:eastAsia="Times New Roman"/>
          <w:color w:val="0000FF"/>
        </w:rPr>
        <w:t xml:space="preserve">-glycine 7.5% gels. The key differences between our protocol for IRF5 and the Fujita protocol for IRF3 is the chemistry of the gel system. The Fujita protocol utilizes </w:t>
      </w:r>
      <w:proofErr w:type="spellStart"/>
      <w:r>
        <w:rPr>
          <w:rFonts w:eastAsia="Times New Roman"/>
          <w:color w:val="0000FF"/>
        </w:rPr>
        <w:t>Tris</w:t>
      </w:r>
      <w:proofErr w:type="spellEnd"/>
      <w:r>
        <w:rPr>
          <w:rFonts w:eastAsia="Times New Roman"/>
          <w:color w:val="0000FF"/>
        </w:rPr>
        <w:t xml:space="preserve">-glycine gels without SDS, which runs at a different pH than the </w:t>
      </w:r>
      <w:proofErr w:type="spellStart"/>
      <w:r>
        <w:rPr>
          <w:rFonts w:eastAsia="Times New Roman"/>
          <w:color w:val="0000FF"/>
        </w:rPr>
        <w:t>bis-tris</w:t>
      </w:r>
      <w:proofErr w:type="spellEnd"/>
      <w:r>
        <w:rPr>
          <w:rFonts w:eastAsia="Times New Roman"/>
          <w:color w:val="0000FF"/>
        </w:rPr>
        <w:t xml:space="preserve"> system that our protocol uses. Further, the Fujita protocol utilizes a single percentage gel (7.5%) while our protocol uses a gradient gel (3-12</w:t>
      </w:r>
      <w:r w:rsidR="00D010BE">
        <w:rPr>
          <w:rFonts w:eastAsia="Times New Roman"/>
          <w:color w:val="0000FF"/>
        </w:rPr>
        <w:t>%). These differences highlight</w:t>
      </w:r>
      <w:r>
        <w:rPr>
          <w:rFonts w:eastAsia="Times New Roman"/>
          <w:color w:val="0000FF"/>
        </w:rPr>
        <w:t xml:space="preserve"> the different biology of IRF3 and IRF5, despite them being in the same family of transcription factors. Their different phosphorylation and modification states likely give rise to different isoelectric points and conformation, where one gel system cannot substitute for another in separating their monomer and dimer forms. In fact, we have repeatedly tried using the Fujita protocol for IRF5 and failed to detect the monomer/dimer forms. </w:t>
      </w:r>
      <w:r w:rsidRPr="00DC271C">
        <w:rPr>
          <w:rFonts w:eastAsia="Times New Roman"/>
          <w:color w:val="0000FF"/>
        </w:rPr>
        <w:t>We have added a discussion on this point in the discussion.</w:t>
      </w:r>
    </w:p>
    <w:p w14:paraId="209FD284" w14:textId="77777777" w:rsidR="00453B7A" w:rsidRPr="00453B7A" w:rsidRDefault="00453B7A" w:rsidP="00B06BD9">
      <w:pPr>
        <w:jc w:val="both"/>
        <w:rPr>
          <w:b/>
        </w:rPr>
      </w:pPr>
    </w:p>
    <w:p w14:paraId="2E5BD7B6" w14:textId="77777777" w:rsidR="00453B7A" w:rsidRDefault="00453B7A" w:rsidP="00B06BD9">
      <w:pPr>
        <w:jc w:val="both"/>
        <w:rPr>
          <w:b/>
        </w:rPr>
      </w:pPr>
      <w:r w:rsidRPr="00453B7A">
        <w:rPr>
          <w:b/>
        </w:rPr>
        <w:t>Reviewer #3:</w:t>
      </w:r>
    </w:p>
    <w:p w14:paraId="146F3F15" w14:textId="77777777" w:rsidR="00453B7A" w:rsidRPr="00453B7A" w:rsidRDefault="00453B7A" w:rsidP="00B06BD9">
      <w:pPr>
        <w:jc w:val="both"/>
        <w:rPr>
          <w:b/>
        </w:rPr>
      </w:pPr>
    </w:p>
    <w:p w14:paraId="0AD3B391" w14:textId="77777777" w:rsidR="00453B7A" w:rsidRDefault="00453B7A" w:rsidP="00B06BD9">
      <w:pPr>
        <w:jc w:val="both"/>
        <w:rPr>
          <w:b/>
        </w:rPr>
      </w:pPr>
      <w:r w:rsidRPr="00453B7A">
        <w:rPr>
          <w:b/>
        </w:rPr>
        <w:t>Manuscript Summary:</w:t>
      </w:r>
    </w:p>
    <w:p w14:paraId="769C7838" w14:textId="77777777" w:rsidR="00453B7A" w:rsidRPr="00453B7A" w:rsidRDefault="00453B7A" w:rsidP="00B06BD9">
      <w:pPr>
        <w:jc w:val="both"/>
        <w:rPr>
          <w:b/>
        </w:rPr>
      </w:pPr>
    </w:p>
    <w:p w14:paraId="6BBD0589" w14:textId="77777777" w:rsidR="00453B7A" w:rsidRDefault="00453B7A" w:rsidP="00B06BD9">
      <w:pPr>
        <w:jc w:val="both"/>
      </w:pPr>
      <w:r>
        <w:t>IRF5 is an important transcription factor in immune cells. IRF5 activation essentially requires dimerization, and therefore determination of this dimerization is important to study IRF5 activity. This manuscript provides a protocol to determine IRF5 dimerization.</w:t>
      </w:r>
    </w:p>
    <w:p w14:paraId="4D8A4916" w14:textId="77777777" w:rsidR="00453B7A" w:rsidRDefault="00453B7A" w:rsidP="00B06BD9">
      <w:pPr>
        <w:jc w:val="both"/>
      </w:pPr>
    </w:p>
    <w:p w14:paraId="4D22B59F" w14:textId="77777777" w:rsidR="00453B7A" w:rsidRDefault="00453B7A" w:rsidP="00B06BD9">
      <w:pPr>
        <w:jc w:val="both"/>
      </w:pPr>
      <w:r>
        <w:t>The assay seems robust and the protocol in general is clear and easy to follow. My suggestion would be to add a few more details that are currently lacking.</w:t>
      </w:r>
    </w:p>
    <w:p w14:paraId="479E6C6D" w14:textId="77777777" w:rsidR="00453B7A" w:rsidRDefault="00453B7A" w:rsidP="00B06BD9">
      <w:pPr>
        <w:jc w:val="both"/>
      </w:pPr>
    </w:p>
    <w:p w14:paraId="23B27F5F" w14:textId="77777777" w:rsidR="00453B7A" w:rsidRPr="00453B7A" w:rsidRDefault="00453B7A" w:rsidP="00B06BD9">
      <w:pPr>
        <w:jc w:val="both"/>
        <w:rPr>
          <w:b/>
        </w:rPr>
      </w:pPr>
      <w:r w:rsidRPr="00453B7A">
        <w:rPr>
          <w:b/>
        </w:rPr>
        <w:t>Major Concerns:</w:t>
      </w:r>
    </w:p>
    <w:p w14:paraId="11CD16F6" w14:textId="77777777" w:rsidR="00453B7A" w:rsidRDefault="00453B7A" w:rsidP="00B06BD9">
      <w:pPr>
        <w:jc w:val="both"/>
      </w:pPr>
      <w:r>
        <w:t>No major concerns.</w:t>
      </w:r>
    </w:p>
    <w:p w14:paraId="03F69EBB" w14:textId="77777777" w:rsidR="00453B7A" w:rsidRDefault="00453B7A" w:rsidP="00B06BD9">
      <w:pPr>
        <w:jc w:val="both"/>
      </w:pPr>
    </w:p>
    <w:p w14:paraId="27342ABA" w14:textId="77777777" w:rsidR="00453B7A" w:rsidRPr="00453B7A" w:rsidRDefault="00453B7A" w:rsidP="00B06BD9">
      <w:pPr>
        <w:jc w:val="both"/>
        <w:rPr>
          <w:b/>
        </w:rPr>
      </w:pPr>
      <w:r w:rsidRPr="00453B7A">
        <w:rPr>
          <w:b/>
        </w:rPr>
        <w:t>Minor Concerns:</w:t>
      </w:r>
    </w:p>
    <w:p w14:paraId="1757DD4A" w14:textId="77777777" w:rsidR="00453B7A" w:rsidRDefault="00453B7A" w:rsidP="00B06BD9">
      <w:pPr>
        <w:jc w:val="both"/>
      </w:pPr>
      <w:r>
        <w:t>A few minor issues that should be addressed (line numbers indicated):</w:t>
      </w:r>
    </w:p>
    <w:p w14:paraId="20D130CF" w14:textId="77777777" w:rsidR="00D65A31" w:rsidRDefault="00D65A31" w:rsidP="00B06BD9">
      <w:pPr>
        <w:jc w:val="both"/>
      </w:pPr>
    </w:p>
    <w:p w14:paraId="144A2F46" w14:textId="77777777" w:rsidR="00453B7A" w:rsidRDefault="00453B7A" w:rsidP="00B06BD9">
      <w:pPr>
        <w:jc w:val="both"/>
      </w:pPr>
      <w:r w:rsidRPr="00D65A31">
        <w:t xml:space="preserve">101. Instead of shaking the plate, would it not be better to </w:t>
      </w:r>
      <w:proofErr w:type="spellStart"/>
      <w:r w:rsidRPr="00D65A31">
        <w:t>resuspend</w:t>
      </w:r>
      <w:proofErr w:type="spellEnd"/>
      <w:r w:rsidRPr="00D65A31">
        <w:t xml:space="preserve"> using a pipette?</w:t>
      </w:r>
    </w:p>
    <w:p w14:paraId="7D043B23" w14:textId="77777777" w:rsidR="00453B7A" w:rsidRDefault="00453B7A" w:rsidP="00B06BD9">
      <w:pPr>
        <w:jc w:val="both"/>
      </w:pPr>
    </w:p>
    <w:p w14:paraId="265D9C16" w14:textId="6010025C" w:rsidR="00D65A31" w:rsidRPr="00E10C6F" w:rsidRDefault="001E2CB7" w:rsidP="00B06BD9">
      <w:pPr>
        <w:jc w:val="both"/>
        <w:rPr>
          <w:rFonts w:eastAsia="MS Mincho"/>
          <w:lang w:eastAsia="ja-JP"/>
        </w:rPr>
      </w:pPr>
      <w:bookmarkStart w:id="26" w:name="OLE_LINK38"/>
      <w:bookmarkStart w:id="27" w:name="OLE_LINK39"/>
      <w:bookmarkStart w:id="28" w:name="OLE_LINK40"/>
      <w:bookmarkStart w:id="29" w:name="OLE_LINK41"/>
      <w:r w:rsidRPr="008D0126">
        <w:rPr>
          <w:rFonts w:eastAsia="Times New Roman"/>
          <w:color w:val="0000FF"/>
        </w:rPr>
        <w:t>This is a sensitive cell type that may be aberrantly activated if handled inappropriately, hence we prefer to avoid rigorous pipetting and gently shake the plate instead.</w:t>
      </w:r>
      <w:r>
        <w:rPr>
          <w:rFonts w:eastAsia="Times New Roman"/>
          <w:color w:val="0000FF"/>
        </w:rPr>
        <w:t xml:space="preserve"> </w:t>
      </w:r>
    </w:p>
    <w:bookmarkEnd w:id="26"/>
    <w:bookmarkEnd w:id="27"/>
    <w:bookmarkEnd w:id="28"/>
    <w:bookmarkEnd w:id="29"/>
    <w:p w14:paraId="7039C0E5" w14:textId="77777777" w:rsidR="00453B7A" w:rsidRDefault="00453B7A" w:rsidP="00B06BD9">
      <w:pPr>
        <w:jc w:val="both"/>
      </w:pPr>
    </w:p>
    <w:p w14:paraId="72AA0747" w14:textId="77777777" w:rsidR="00453B7A" w:rsidRDefault="00453B7A" w:rsidP="00B06BD9">
      <w:pPr>
        <w:jc w:val="both"/>
      </w:pPr>
      <w:proofErr w:type="gramStart"/>
      <w:r w:rsidRPr="00D65A31">
        <w:t>106 (2.1).</w:t>
      </w:r>
      <w:proofErr w:type="gramEnd"/>
      <w:r w:rsidRPr="00D65A31">
        <w:t xml:space="preserve"> Are these cells completely non-adherent? If a subpopulation of the cells will stick to the bottom of the well and therefore is not transferred to the tube this could bias the results. If the cells </w:t>
      </w:r>
      <w:proofErr w:type="gramStart"/>
      <w:r w:rsidRPr="00D65A31">
        <w:t>are</w:t>
      </w:r>
      <w:proofErr w:type="gramEnd"/>
      <w:r w:rsidRPr="00D65A31">
        <w:t xml:space="preserve"> (partially) sticky, it would be nice if the authors could describe a way to detach the cells.</w:t>
      </w:r>
    </w:p>
    <w:p w14:paraId="7FE612D2" w14:textId="77777777" w:rsidR="00453B7A" w:rsidRDefault="00453B7A" w:rsidP="00B06BD9">
      <w:pPr>
        <w:jc w:val="both"/>
      </w:pPr>
    </w:p>
    <w:p w14:paraId="386CEF03" w14:textId="743B29E9" w:rsidR="00453B7A" w:rsidRDefault="00364039" w:rsidP="00B06BD9">
      <w:pPr>
        <w:jc w:val="both"/>
      </w:pPr>
      <w:r>
        <w:rPr>
          <w:rFonts w:eastAsia="Times New Roman"/>
          <w:color w:val="0000FF"/>
        </w:rPr>
        <w:t>This specific cell line is</w:t>
      </w:r>
      <w:r w:rsidR="002B0324">
        <w:rPr>
          <w:rFonts w:eastAsia="Times New Roman"/>
          <w:color w:val="0000FF"/>
        </w:rPr>
        <w:t xml:space="preserve"> </w:t>
      </w:r>
      <w:r>
        <w:rPr>
          <w:rFonts w:eastAsia="Times New Roman"/>
          <w:color w:val="0000FF"/>
        </w:rPr>
        <w:t>non-adherent</w:t>
      </w:r>
      <w:r w:rsidR="00D65A31">
        <w:rPr>
          <w:rFonts w:eastAsia="Times New Roman"/>
          <w:color w:val="0000FF"/>
        </w:rPr>
        <w:t>.</w:t>
      </w:r>
      <w:r>
        <w:rPr>
          <w:rFonts w:eastAsia="Times New Roman"/>
          <w:color w:val="0000FF"/>
        </w:rPr>
        <w:t xml:space="preserve"> We have previously tried other cell lines and standard </w:t>
      </w:r>
      <w:proofErr w:type="spellStart"/>
      <w:r>
        <w:rPr>
          <w:rFonts w:eastAsia="Times New Roman"/>
          <w:color w:val="0000FF"/>
        </w:rPr>
        <w:t>trypsinization</w:t>
      </w:r>
      <w:proofErr w:type="spellEnd"/>
      <w:r>
        <w:rPr>
          <w:rFonts w:eastAsia="Times New Roman"/>
          <w:color w:val="0000FF"/>
        </w:rPr>
        <w:t xml:space="preserve"> works well. </w:t>
      </w:r>
      <w:r w:rsidRPr="008D0126">
        <w:rPr>
          <w:rFonts w:eastAsia="Times New Roman"/>
          <w:color w:val="0000FF"/>
        </w:rPr>
        <w:t>We have added a note in the protocol.</w:t>
      </w:r>
    </w:p>
    <w:p w14:paraId="461A0F25" w14:textId="77777777" w:rsidR="00C17D24" w:rsidRDefault="00C17D24" w:rsidP="00B06BD9">
      <w:pPr>
        <w:jc w:val="both"/>
      </w:pPr>
    </w:p>
    <w:p w14:paraId="70C3DC19" w14:textId="77777777" w:rsidR="00453B7A" w:rsidRDefault="00453B7A" w:rsidP="00B06BD9">
      <w:pPr>
        <w:jc w:val="both"/>
      </w:pPr>
      <w:proofErr w:type="gramStart"/>
      <w:r w:rsidRPr="00D65A31">
        <w:t>113 (2.4).</w:t>
      </w:r>
      <w:proofErr w:type="gramEnd"/>
      <w:r w:rsidRPr="00D65A31">
        <w:t xml:space="preserve"> Please specify the duration, g, and temperature of spinning down the cells.</w:t>
      </w:r>
    </w:p>
    <w:p w14:paraId="24DFAD3C" w14:textId="77777777" w:rsidR="00453B7A" w:rsidRDefault="00453B7A" w:rsidP="00B06BD9">
      <w:pPr>
        <w:jc w:val="both"/>
      </w:pPr>
    </w:p>
    <w:p w14:paraId="34059DE8" w14:textId="1EC1ACE4" w:rsidR="00D65A31" w:rsidRPr="00E10C6F" w:rsidRDefault="00D65A31" w:rsidP="00B06BD9">
      <w:pPr>
        <w:jc w:val="both"/>
        <w:rPr>
          <w:rFonts w:eastAsia="MS Mincho"/>
          <w:lang w:eastAsia="ja-JP"/>
        </w:rPr>
      </w:pPr>
      <w:bookmarkStart w:id="30" w:name="OLE_LINK5"/>
      <w:bookmarkStart w:id="31" w:name="OLE_LINK6"/>
      <w:bookmarkStart w:id="32" w:name="OLE_LINK34"/>
      <w:bookmarkStart w:id="33" w:name="OLE_LINK35"/>
      <w:r w:rsidRPr="1B6BA613">
        <w:rPr>
          <w:rFonts w:eastAsia="Times New Roman"/>
          <w:color w:val="0000FF"/>
        </w:rPr>
        <w:t xml:space="preserve">We </w:t>
      </w:r>
      <w:bookmarkEnd w:id="30"/>
      <w:bookmarkEnd w:id="31"/>
      <w:r w:rsidRPr="1B6BA613">
        <w:rPr>
          <w:rFonts w:eastAsia="Times New Roman"/>
          <w:color w:val="0000FF"/>
        </w:rPr>
        <w:t>h</w:t>
      </w:r>
      <w:r>
        <w:rPr>
          <w:rFonts w:eastAsia="Times New Roman"/>
          <w:color w:val="0000FF"/>
        </w:rPr>
        <w:t>ave made the appropriate change</w:t>
      </w:r>
      <w:r w:rsidR="00364039">
        <w:rPr>
          <w:rFonts w:eastAsia="Times New Roman"/>
          <w:color w:val="0000FF"/>
        </w:rPr>
        <w:t>s throughout the protocol</w:t>
      </w:r>
      <w:r w:rsidRPr="1B6BA613">
        <w:rPr>
          <w:rFonts w:eastAsia="Times New Roman"/>
          <w:color w:val="0000FF"/>
        </w:rPr>
        <w:t>.</w:t>
      </w:r>
    </w:p>
    <w:bookmarkEnd w:id="32"/>
    <w:bookmarkEnd w:id="33"/>
    <w:p w14:paraId="56878F38" w14:textId="77777777" w:rsidR="00453B7A" w:rsidRDefault="00453B7A" w:rsidP="00B06BD9">
      <w:pPr>
        <w:jc w:val="both"/>
      </w:pPr>
    </w:p>
    <w:p w14:paraId="298E2B31" w14:textId="77777777" w:rsidR="00453B7A" w:rsidRDefault="00453B7A" w:rsidP="00B06BD9">
      <w:pPr>
        <w:jc w:val="both"/>
      </w:pPr>
      <w:proofErr w:type="gramStart"/>
      <w:r w:rsidRPr="00D65A31">
        <w:t>115 (2.5).</w:t>
      </w:r>
      <w:proofErr w:type="gramEnd"/>
      <w:r w:rsidRPr="00D65A31">
        <w:t xml:space="preserve"> I could not find the concentrations of the protease and phosphatase inhibitors. Please add these.</w:t>
      </w:r>
    </w:p>
    <w:p w14:paraId="4E1BB417" w14:textId="77777777" w:rsidR="00453B7A" w:rsidRDefault="00453B7A" w:rsidP="00B06BD9">
      <w:pPr>
        <w:jc w:val="both"/>
      </w:pPr>
    </w:p>
    <w:p w14:paraId="17D8C687" w14:textId="107E59A4" w:rsidR="00D65A31" w:rsidRPr="00E10C6F" w:rsidRDefault="00D65A31" w:rsidP="00B06BD9">
      <w:pPr>
        <w:jc w:val="both"/>
        <w:rPr>
          <w:rFonts w:eastAsia="MS Mincho"/>
          <w:lang w:eastAsia="ja-JP"/>
        </w:rPr>
      </w:pPr>
      <w:r w:rsidRPr="008D0126">
        <w:rPr>
          <w:rFonts w:eastAsia="Times New Roman"/>
          <w:color w:val="0000FF"/>
        </w:rPr>
        <w:t xml:space="preserve">We </w:t>
      </w:r>
      <w:r w:rsidR="00542509" w:rsidRPr="008D0126">
        <w:rPr>
          <w:rFonts w:eastAsia="Times New Roman"/>
          <w:color w:val="0000FF"/>
        </w:rPr>
        <w:t>use a commercial protease inhibitor (100x) diluted to 1x</w:t>
      </w:r>
      <w:r w:rsidRPr="008D0126">
        <w:rPr>
          <w:rFonts w:eastAsia="Times New Roman"/>
          <w:color w:val="0000FF"/>
        </w:rPr>
        <w:t>.</w:t>
      </w:r>
      <w:r w:rsidR="00542509" w:rsidRPr="008D0126">
        <w:rPr>
          <w:rFonts w:eastAsia="Times New Roman"/>
          <w:color w:val="0000FF"/>
        </w:rPr>
        <w:t xml:space="preserve"> We have added this detail in </w:t>
      </w:r>
      <w:r w:rsidR="00995C6E" w:rsidRPr="008D0126">
        <w:rPr>
          <w:rFonts w:eastAsia="Times New Roman"/>
          <w:color w:val="0000FF"/>
        </w:rPr>
        <w:t>2.5</w:t>
      </w:r>
      <w:r w:rsidR="00542509" w:rsidRPr="008D0126">
        <w:rPr>
          <w:rFonts w:eastAsia="Times New Roman"/>
          <w:color w:val="0000FF"/>
        </w:rPr>
        <w:t>.</w:t>
      </w:r>
    </w:p>
    <w:p w14:paraId="7244D94B" w14:textId="77777777" w:rsidR="00453B7A" w:rsidRDefault="00453B7A" w:rsidP="00B06BD9">
      <w:pPr>
        <w:jc w:val="both"/>
      </w:pPr>
    </w:p>
    <w:p w14:paraId="5651118C" w14:textId="77777777" w:rsidR="00453B7A" w:rsidRDefault="00453B7A" w:rsidP="00B06BD9">
      <w:pPr>
        <w:jc w:val="both"/>
      </w:pPr>
      <w:proofErr w:type="gramStart"/>
      <w:r w:rsidRPr="00E10C6F">
        <w:t>120 (2.6).</w:t>
      </w:r>
      <w:proofErr w:type="gramEnd"/>
      <w:r w:rsidRPr="00E10C6F">
        <w:t xml:space="preserve"> Please clarify the temperature of the lysis buffer when it is added to the cells.</w:t>
      </w:r>
    </w:p>
    <w:p w14:paraId="7F1B1913" w14:textId="77777777" w:rsidR="00453B7A" w:rsidRDefault="00453B7A" w:rsidP="00B06BD9">
      <w:pPr>
        <w:jc w:val="both"/>
      </w:pPr>
    </w:p>
    <w:p w14:paraId="4D9DD959" w14:textId="6CFBE3DF" w:rsidR="00C17D24" w:rsidRPr="00E10C6F" w:rsidRDefault="00E10C6F" w:rsidP="00B06BD9">
      <w:pPr>
        <w:jc w:val="both"/>
        <w:rPr>
          <w:rFonts w:eastAsia="MS Mincho"/>
          <w:lang w:eastAsia="ja-JP"/>
        </w:rPr>
      </w:pPr>
      <w:r w:rsidRPr="1B6BA613">
        <w:rPr>
          <w:rFonts w:eastAsia="Times New Roman"/>
          <w:color w:val="0000FF"/>
        </w:rPr>
        <w:t xml:space="preserve">We </w:t>
      </w:r>
      <w:r w:rsidR="002A45E6">
        <w:rPr>
          <w:rFonts w:eastAsia="Times New Roman"/>
          <w:color w:val="0000FF"/>
        </w:rPr>
        <w:t>have added the details</w:t>
      </w:r>
      <w:r w:rsidR="00995C6E">
        <w:rPr>
          <w:rFonts w:eastAsia="Times New Roman"/>
          <w:color w:val="0000FF"/>
        </w:rPr>
        <w:t xml:space="preserve"> in</w:t>
      </w:r>
      <w:r w:rsidR="00F210DA">
        <w:rPr>
          <w:rFonts w:eastAsia="Times New Roman"/>
          <w:color w:val="0000FF"/>
        </w:rPr>
        <w:t xml:space="preserve"> </w:t>
      </w:r>
      <w:bookmarkStart w:id="34" w:name="_GoBack"/>
      <w:bookmarkEnd w:id="34"/>
      <w:r w:rsidR="00995C6E">
        <w:rPr>
          <w:rFonts w:eastAsia="Times New Roman"/>
          <w:color w:val="0000FF"/>
        </w:rPr>
        <w:t>2.6</w:t>
      </w:r>
      <w:r w:rsidRPr="1B6BA613">
        <w:rPr>
          <w:rFonts w:eastAsia="Times New Roman"/>
          <w:color w:val="0000FF"/>
        </w:rPr>
        <w:t>.</w:t>
      </w:r>
    </w:p>
    <w:p w14:paraId="3BA81774" w14:textId="77777777" w:rsidR="00453B7A" w:rsidRDefault="00453B7A" w:rsidP="00B06BD9">
      <w:pPr>
        <w:jc w:val="both"/>
      </w:pPr>
    </w:p>
    <w:p w14:paraId="3A989B1A" w14:textId="77777777" w:rsidR="00453B7A" w:rsidRDefault="00453B7A" w:rsidP="00B06BD9">
      <w:pPr>
        <w:jc w:val="both"/>
      </w:pPr>
      <w:r w:rsidRPr="00E10C6F">
        <w:lastRenderedPageBreak/>
        <w:t>232. Correct typo: change "outmost" to "utmost".</w:t>
      </w:r>
    </w:p>
    <w:p w14:paraId="0B8305BF" w14:textId="77777777" w:rsidR="00453B7A" w:rsidRDefault="00453B7A" w:rsidP="00B06BD9">
      <w:pPr>
        <w:jc w:val="both"/>
      </w:pPr>
    </w:p>
    <w:p w14:paraId="3C8026EF" w14:textId="74B6FCF9" w:rsidR="00E10C6F" w:rsidRPr="000F714E" w:rsidRDefault="00E10C6F" w:rsidP="00B06BD9">
      <w:pPr>
        <w:jc w:val="both"/>
        <w:rPr>
          <w:lang w:eastAsia="ja-JP"/>
        </w:rPr>
      </w:pPr>
      <w:r w:rsidRPr="1B6BA613">
        <w:rPr>
          <w:rFonts w:eastAsia="Times New Roman"/>
          <w:color w:val="0000FF"/>
        </w:rPr>
        <w:t xml:space="preserve">We thank the reviewer for pointing out </w:t>
      </w:r>
      <w:r w:rsidR="00CF218E">
        <w:rPr>
          <w:rFonts w:eastAsia="Times New Roman"/>
          <w:color w:val="0000FF"/>
        </w:rPr>
        <w:t>the typo</w:t>
      </w:r>
      <w:r w:rsidRPr="1B6BA613">
        <w:rPr>
          <w:rFonts w:eastAsia="Times New Roman"/>
          <w:color w:val="0000FF"/>
        </w:rPr>
        <w:t>. We h</w:t>
      </w:r>
      <w:r>
        <w:rPr>
          <w:rFonts w:eastAsia="Times New Roman"/>
          <w:color w:val="0000FF"/>
        </w:rPr>
        <w:t>ave made the change</w:t>
      </w:r>
      <w:r w:rsidRPr="1B6BA613">
        <w:rPr>
          <w:rFonts w:eastAsia="Times New Roman"/>
          <w:color w:val="0000FF"/>
        </w:rPr>
        <w:t>.</w:t>
      </w:r>
    </w:p>
    <w:p w14:paraId="1B6281A8" w14:textId="77777777" w:rsidR="00C17D24" w:rsidRDefault="00C17D24" w:rsidP="00B06BD9">
      <w:pPr>
        <w:jc w:val="both"/>
      </w:pPr>
    </w:p>
    <w:p w14:paraId="2D14D3E9" w14:textId="77777777" w:rsidR="00453B7A" w:rsidRDefault="00453B7A" w:rsidP="00B06BD9">
      <w:pPr>
        <w:jc w:val="both"/>
      </w:pPr>
      <w:r w:rsidRPr="00E10C6F">
        <w:t>Figure 2: For clarity, please change the headings above the lanes: not "-" and "2", but "</w:t>
      </w:r>
      <w:proofErr w:type="spellStart"/>
      <w:r w:rsidRPr="00E10C6F">
        <w:t>Unstim</w:t>
      </w:r>
      <w:proofErr w:type="spellEnd"/>
      <w:r w:rsidRPr="00E10C6F">
        <w:t>" and "R848 (2hr)".</w:t>
      </w:r>
    </w:p>
    <w:p w14:paraId="13126F3C" w14:textId="77777777" w:rsidR="00453B7A" w:rsidRDefault="00453B7A" w:rsidP="00B06BD9">
      <w:pPr>
        <w:jc w:val="both"/>
      </w:pPr>
    </w:p>
    <w:p w14:paraId="4541FF41" w14:textId="6FEC20C3" w:rsidR="00E10C6F" w:rsidRPr="000F714E" w:rsidRDefault="00E10C6F" w:rsidP="00B06BD9">
      <w:pPr>
        <w:jc w:val="both"/>
        <w:rPr>
          <w:lang w:eastAsia="ja-JP"/>
        </w:rPr>
      </w:pPr>
      <w:r w:rsidRPr="1B6BA613">
        <w:rPr>
          <w:rFonts w:eastAsia="Times New Roman"/>
          <w:color w:val="0000FF"/>
        </w:rPr>
        <w:t>We h</w:t>
      </w:r>
      <w:r w:rsidR="003D5CE8">
        <w:rPr>
          <w:rFonts w:eastAsia="Times New Roman"/>
          <w:color w:val="0000FF"/>
        </w:rPr>
        <w:t>ave made the suggested change</w:t>
      </w:r>
      <w:r w:rsidRPr="1B6BA613">
        <w:rPr>
          <w:rFonts w:eastAsia="Times New Roman"/>
          <w:color w:val="0000FF"/>
        </w:rPr>
        <w:t>.</w:t>
      </w:r>
    </w:p>
    <w:p w14:paraId="0FEA2BC5" w14:textId="77777777" w:rsidR="00453B7A" w:rsidRDefault="00453B7A" w:rsidP="00B06BD9">
      <w:pPr>
        <w:jc w:val="both"/>
      </w:pPr>
    </w:p>
    <w:p w14:paraId="259DDF2A" w14:textId="77777777" w:rsidR="00453B7A" w:rsidRDefault="00453B7A" w:rsidP="00B06BD9">
      <w:pPr>
        <w:jc w:val="both"/>
        <w:rPr>
          <w:b/>
        </w:rPr>
      </w:pPr>
      <w:r w:rsidRPr="00453B7A">
        <w:rPr>
          <w:b/>
        </w:rPr>
        <w:t>Reviewer #4:</w:t>
      </w:r>
    </w:p>
    <w:p w14:paraId="34870362" w14:textId="77777777" w:rsidR="00453B7A" w:rsidRPr="00453B7A" w:rsidRDefault="00453B7A" w:rsidP="00B06BD9">
      <w:pPr>
        <w:jc w:val="both"/>
        <w:rPr>
          <w:b/>
        </w:rPr>
      </w:pPr>
    </w:p>
    <w:p w14:paraId="3A999820" w14:textId="77777777" w:rsidR="00453B7A" w:rsidRPr="00453B7A" w:rsidRDefault="00453B7A" w:rsidP="00B06BD9">
      <w:pPr>
        <w:jc w:val="both"/>
        <w:rPr>
          <w:b/>
        </w:rPr>
      </w:pPr>
      <w:r w:rsidRPr="00453B7A">
        <w:rPr>
          <w:b/>
        </w:rPr>
        <w:t>Manuscript Summary:</w:t>
      </w:r>
    </w:p>
    <w:p w14:paraId="316DCF14" w14:textId="77777777" w:rsidR="00453B7A" w:rsidRDefault="00453B7A" w:rsidP="00B06BD9">
      <w:pPr>
        <w:jc w:val="both"/>
      </w:pPr>
      <w:r>
        <w:t>It is brief but informative.</w:t>
      </w:r>
    </w:p>
    <w:p w14:paraId="5CAE08BB" w14:textId="77777777" w:rsidR="00453B7A" w:rsidRDefault="00453B7A" w:rsidP="00B06BD9">
      <w:pPr>
        <w:jc w:val="both"/>
      </w:pPr>
    </w:p>
    <w:p w14:paraId="1B91DF4D" w14:textId="77777777" w:rsidR="00453B7A" w:rsidRPr="00453B7A" w:rsidRDefault="00453B7A" w:rsidP="00B06BD9">
      <w:pPr>
        <w:jc w:val="both"/>
        <w:rPr>
          <w:b/>
        </w:rPr>
      </w:pPr>
      <w:r w:rsidRPr="00453B7A">
        <w:rPr>
          <w:b/>
        </w:rPr>
        <w:t>Major Concerns:</w:t>
      </w:r>
    </w:p>
    <w:p w14:paraId="46305FFE" w14:textId="77777777" w:rsidR="00453B7A" w:rsidRDefault="00453B7A" w:rsidP="00B06BD9">
      <w:pPr>
        <w:jc w:val="both"/>
      </w:pPr>
      <w:r w:rsidRPr="003824FD">
        <w:t xml:space="preserve">Although it is not a novel technique and the journal does not require novelty, the authors failed to review the large amount of literature where the same procedure has been applied for endogenous IRF3 dimer-monomer resolution. Being all the same, it is likely that a good IRF antibody is the key or the most important component of the technique. Further, although the separation of IRF5 dimer-monomer is evident, it is not that impressive. It would have been more informative additional IRF5 activation ligands, exogenous IRF5 mutants (constitutive active or inactive), </w:t>
      </w:r>
      <w:proofErr w:type="spellStart"/>
      <w:r w:rsidRPr="003824FD">
        <w:t>etc</w:t>
      </w:r>
      <w:proofErr w:type="spellEnd"/>
      <w:r w:rsidRPr="003824FD">
        <w:t xml:space="preserve">, to show the versatility, reliability, </w:t>
      </w:r>
      <w:proofErr w:type="gramStart"/>
      <w:r w:rsidRPr="003824FD">
        <w:t>reproducibility</w:t>
      </w:r>
      <w:proofErr w:type="gramEnd"/>
      <w:r w:rsidRPr="003824FD">
        <w:t xml:space="preserve"> of the assay. In fact, comparison to a well-known IRF3 dimer-monomer assay, that uses the same system, would have been very supportive. An accompanying loading control using Tubulin or Actin antibody can provide a better view on the variation of IRF5 activation.</w:t>
      </w:r>
    </w:p>
    <w:p w14:paraId="796A2221" w14:textId="77777777" w:rsidR="00D010BE" w:rsidRDefault="00D010BE" w:rsidP="00D010BE">
      <w:pPr>
        <w:jc w:val="both"/>
      </w:pPr>
      <w:bookmarkStart w:id="35" w:name="OLE_LINK21"/>
      <w:bookmarkStart w:id="36" w:name="OLE_LINK22"/>
    </w:p>
    <w:p w14:paraId="54BEC6B0" w14:textId="77777777" w:rsidR="00D010BE" w:rsidRDefault="00D010BE" w:rsidP="00D010BE">
      <w:pPr>
        <w:jc w:val="both"/>
        <w:rPr>
          <w:color w:val="0000FF"/>
          <w:lang w:eastAsia="ja-JP"/>
        </w:rPr>
      </w:pPr>
      <w:r>
        <w:rPr>
          <w:color w:val="0000FF"/>
          <w:lang w:eastAsia="ja-JP"/>
        </w:rPr>
        <w:t xml:space="preserve">We thank you reviewer for raising this excellent point. </w:t>
      </w:r>
      <w:proofErr w:type="gramStart"/>
      <w:r>
        <w:rPr>
          <w:color w:val="0000FF"/>
          <w:lang w:eastAsia="ja-JP"/>
        </w:rPr>
        <w:t>A similar point regarding the similarity between IRF3 and IRF5 and the potential application of the IRF3 dimerization protocol to assaying IRF5 activation was raised by another reviewer</w:t>
      </w:r>
      <w:proofErr w:type="gramEnd"/>
      <w:r>
        <w:rPr>
          <w:color w:val="0000FF"/>
          <w:lang w:eastAsia="ja-JP"/>
        </w:rPr>
        <w:t xml:space="preserve">. </w:t>
      </w:r>
    </w:p>
    <w:p w14:paraId="67B0D53C" w14:textId="77777777" w:rsidR="00D010BE" w:rsidRDefault="00D010BE" w:rsidP="00D010BE">
      <w:pPr>
        <w:jc w:val="both"/>
        <w:rPr>
          <w:color w:val="0000FF"/>
          <w:lang w:eastAsia="ja-JP"/>
        </w:rPr>
      </w:pPr>
    </w:p>
    <w:p w14:paraId="79E28AEC" w14:textId="77777777" w:rsidR="00745C4B" w:rsidRDefault="00D010BE" w:rsidP="00D010BE">
      <w:pPr>
        <w:jc w:val="both"/>
        <w:rPr>
          <w:rFonts w:eastAsia="Times New Roman"/>
          <w:color w:val="0000FF"/>
        </w:rPr>
      </w:pPr>
      <w:r>
        <w:rPr>
          <w:color w:val="0000FF"/>
          <w:lang w:eastAsia="ja-JP"/>
        </w:rPr>
        <w:t xml:space="preserve">We are quite familiar with the </w:t>
      </w:r>
      <w:r>
        <w:rPr>
          <w:rFonts w:eastAsia="Times New Roman"/>
          <w:color w:val="0000FF"/>
        </w:rPr>
        <w:t xml:space="preserve">Fujita protocol </w:t>
      </w:r>
      <w:r w:rsidRPr="00D010BE">
        <w:rPr>
          <w:rFonts w:eastAsia="Times New Roman"/>
          <w:color w:val="0000FF"/>
        </w:rPr>
        <w:t>(</w:t>
      </w:r>
      <w:proofErr w:type="spellStart"/>
      <w:r w:rsidRPr="00D010BE">
        <w:rPr>
          <w:rFonts w:eastAsia="Times New Roman"/>
          <w:color w:val="0000FF"/>
        </w:rPr>
        <w:t>Iwamura</w:t>
      </w:r>
      <w:proofErr w:type="spellEnd"/>
      <w:r w:rsidRPr="00D010BE">
        <w:rPr>
          <w:rFonts w:eastAsia="Times New Roman"/>
          <w:color w:val="0000FF"/>
        </w:rPr>
        <w:t xml:space="preserve"> T et al. Genes Cells. 2001 Apr</w:t>
      </w:r>
      <w:proofErr w:type="gramStart"/>
      <w:r w:rsidRPr="00D010BE">
        <w:rPr>
          <w:rFonts w:eastAsia="Times New Roman"/>
          <w:color w:val="0000FF"/>
        </w:rPr>
        <w:t>;6</w:t>
      </w:r>
      <w:proofErr w:type="gramEnd"/>
      <w:r w:rsidRPr="00D010BE">
        <w:rPr>
          <w:rFonts w:eastAsia="Times New Roman"/>
          <w:color w:val="0000FF"/>
        </w:rPr>
        <w:t>(4):375-88)</w:t>
      </w:r>
      <w:r>
        <w:rPr>
          <w:rFonts w:eastAsia="Times New Roman"/>
          <w:color w:val="0000FF"/>
        </w:rPr>
        <w:t xml:space="preserve"> that is a widely used assay to study IRF3 activation. We </w:t>
      </w:r>
      <w:r w:rsidR="00745C4B">
        <w:rPr>
          <w:rFonts w:eastAsia="Times New Roman"/>
          <w:color w:val="0000FF"/>
        </w:rPr>
        <w:t xml:space="preserve">routinely perform IRF3 dimerization assays with this </w:t>
      </w:r>
      <w:r>
        <w:rPr>
          <w:rFonts w:eastAsia="Times New Roman"/>
          <w:color w:val="0000FF"/>
        </w:rPr>
        <w:t xml:space="preserve">protocol </w:t>
      </w:r>
      <w:r w:rsidR="00745C4B">
        <w:rPr>
          <w:rFonts w:eastAsia="Times New Roman"/>
          <w:color w:val="0000FF"/>
        </w:rPr>
        <w:t>using</w:t>
      </w:r>
      <w:r>
        <w:rPr>
          <w:rFonts w:eastAsia="Times New Roman"/>
          <w:color w:val="0000FF"/>
        </w:rPr>
        <w:t xml:space="preserve"> homemade </w:t>
      </w:r>
      <w:proofErr w:type="spellStart"/>
      <w:r>
        <w:rPr>
          <w:rFonts w:eastAsia="Times New Roman"/>
          <w:color w:val="0000FF"/>
        </w:rPr>
        <w:t>Tris</w:t>
      </w:r>
      <w:proofErr w:type="spellEnd"/>
      <w:r>
        <w:rPr>
          <w:rFonts w:eastAsia="Times New Roman"/>
          <w:color w:val="0000FF"/>
        </w:rPr>
        <w:t>-glycine 7.5% gels</w:t>
      </w:r>
      <w:r w:rsidR="00745C4B">
        <w:rPr>
          <w:rFonts w:eastAsia="Times New Roman"/>
          <w:color w:val="0000FF"/>
        </w:rPr>
        <w:t xml:space="preserve"> (equivalent to the Ready Cast gels stated in the original paper)</w:t>
      </w:r>
      <w:r>
        <w:rPr>
          <w:rFonts w:eastAsia="Times New Roman"/>
          <w:color w:val="0000FF"/>
        </w:rPr>
        <w:t xml:space="preserve">. </w:t>
      </w:r>
      <w:r w:rsidR="00745C4B">
        <w:rPr>
          <w:rFonts w:eastAsia="Times New Roman"/>
          <w:color w:val="0000FF"/>
        </w:rPr>
        <w:t xml:space="preserve">While choosing an appropriate IRF5 antibody was extremely important to the success of running this assay, simply applying the IRF3 protocol did not work for IRF5 in our hands despite repeated attempts. </w:t>
      </w:r>
    </w:p>
    <w:p w14:paraId="13D21A9C" w14:textId="77777777" w:rsidR="00745C4B" w:rsidRDefault="00745C4B" w:rsidP="00D010BE">
      <w:pPr>
        <w:jc w:val="both"/>
        <w:rPr>
          <w:rFonts w:eastAsia="Times New Roman"/>
          <w:color w:val="0000FF"/>
        </w:rPr>
      </w:pPr>
    </w:p>
    <w:p w14:paraId="221329A3" w14:textId="5F29CC74" w:rsidR="00D010BE" w:rsidRDefault="00D010BE" w:rsidP="00D010BE">
      <w:pPr>
        <w:jc w:val="both"/>
        <w:rPr>
          <w:rFonts w:eastAsia="Times New Roman"/>
          <w:color w:val="0000FF"/>
        </w:rPr>
      </w:pPr>
      <w:r>
        <w:rPr>
          <w:rFonts w:eastAsia="Times New Roman"/>
          <w:color w:val="0000FF"/>
        </w:rPr>
        <w:t xml:space="preserve">The key differences between our protocol for IRF5 and the Fujita protocol for IRF3 is the chemistry of the gel system. The Fujita protocol utilizes </w:t>
      </w:r>
      <w:proofErr w:type="spellStart"/>
      <w:r>
        <w:rPr>
          <w:rFonts w:eastAsia="Times New Roman"/>
          <w:color w:val="0000FF"/>
        </w:rPr>
        <w:t>Tris</w:t>
      </w:r>
      <w:proofErr w:type="spellEnd"/>
      <w:r>
        <w:rPr>
          <w:rFonts w:eastAsia="Times New Roman"/>
          <w:color w:val="0000FF"/>
        </w:rPr>
        <w:t xml:space="preserve">-glycine gels without SDS, which runs at a different pH than the </w:t>
      </w:r>
      <w:proofErr w:type="spellStart"/>
      <w:r w:rsidR="00745C4B">
        <w:rPr>
          <w:rFonts w:eastAsia="Times New Roman"/>
          <w:color w:val="0000FF"/>
        </w:rPr>
        <w:t>B</w:t>
      </w:r>
      <w:r>
        <w:rPr>
          <w:rFonts w:eastAsia="Times New Roman"/>
          <w:color w:val="0000FF"/>
        </w:rPr>
        <w:t>is-</w:t>
      </w:r>
      <w:r w:rsidR="00745C4B">
        <w:rPr>
          <w:rFonts w:eastAsia="Times New Roman"/>
          <w:color w:val="0000FF"/>
        </w:rPr>
        <w:t>T</w:t>
      </w:r>
      <w:r>
        <w:rPr>
          <w:rFonts w:eastAsia="Times New Roman"/>
          <w:color w:val="0000FF"/>
        </w:rPr>
        <w:t>ris</w:t>
      </w:r>
      <w:proofErr w:type="spellEnd"/>
      <w:r>
        <w:rPr>
          <w:rFonts w:eastAsia="Times New Roman"/>
          <w:color w:val="0000FF"/>
        </w:rPr>
        <w:t xml:space="preserve"> system that our protocol uses. Further, the Fujita protocol utilizes a single percentage gel (7.5%) while our protocol uses a gradient gel (3-12%). These differences highlight the different biology of IRF3 </w:t>
      </w:r>
      <w:r>
        <w:rPr>
          <w:rFonts w:eastAsia="Times New Roman"/>
          <w:color w:val="0000FF"/>
        </w:rPr>
        <w:lastRenderedPageBreak/>
        <w:t xml:space="preserve">and IRF5, despite them being in the same family of transcription factors. Their different phosphorylation and modification states likely give rise to different isoelectric points and conformation, where one gel system cannot substitute for another in separating their monomer and dimer forms. In fact, we have repeatedly tried using the Fujita protocol for IRF5 and failed to detect the monomer/dimer forms. </w:t>
      </w:r>
    </w:p>
    <w:p w14:paraId="7CA4F011" w14:textId="77777777" w:rsidR="00D010BE" w:rsidRDefault="00D010BE" w:rsidP="00D010BE">
      <w:pPr>
        <w:jc w:val="both"/>
        <w:rPr>
          <w:rFonts w:eastAsia="Times New Roman"/>
          <w:color w:val="0000FF"/>
        </w:rPr>
      </w:pPr>
    </w:p>
    <w:p w14:paraId="5E9AB1BD" w14:textId="374B07FF" w:rsidR="00D010BE" w:rsidRDefault="00D010BE" w:rsidP="00D010BE">
      <w:pPr>
        <w:jc w:val="both"/>
        <w:rPr>
          <w:rFonts w:eastAsia="Times New Roman"/>
          <w:color w:val="0000FF"/>
        </w:rPr>
      </w:pPr>
      <w:r>
        <w:rPr>
          <w:rFonts w:eastAsia="Times New Roman"/>
          <w:color w:val="0000FF"/>
        </w:rPr>
        <w:t xml:space="preserve">We agree that </w:t>
      </w:r>
      <w:r w:rsidRPr="00D010BE">
        <w:rPr>
          <w:rFonts w:eastAsia="Times New Roman"/>
          <w:color w:val="0000FF"/>
        </w:rPr>
        <w:t>add</w:t>
      </w:r>
      <w:r>
        <w:rPr>
          <w:rFonts w:eastAsia="Times New Roman"/>
          <w:color w:val="0000FF"/>
        </w:rPr>
        <w:t>itional IRF5 activation ligands and</w:t>
      </w:r>
      <w:r w:rsidRPr="00D010BE">
        <w:rPr>
          <w:rFonts w:eastAsia="Times New Roman"/>
          <w:color w:val="0000FF"/>
        </w:rPr>
        <w:t xml:space="preserve"> exogenous IRF5 mutants (constitutive active or inactive), </w:t>
      </w:r>
      <w:proofErr w:type="spellStart"/>
      <w:r w:rsidRPr="00D010BE">
        <w:rPr>
          <w:rFonts w:eastAsia="Times New Roman"/>
          <w:color w:val="0000FF"/>
        </w:rPr>
        <w:t>etc</w:t>
      </w:r>
      <w:proofErr w:type="spellEnd"/>
      <w:r w:rsidRPr="00D010BE">
        <w:rPr>
          <w:rFonts w:eastAsia="Times New Roman"/>
          <w:color w:val="0000FF"/>
        </w:rPr>
        <w:t xml:space="preserve">, </w:t>
      </w:r>
      <w:r>
        <w:rPr>
          <w:rFonts w:eastAsia="Times New Roman"/>
          <w:color w:val="0000FF"/>
        </w:rPr>
        <w:t xml:space="preserve">would be very informative. Some of these experiments have been performed and previously published by our group (Chow et al., Journal of Immunology </w:t>
      </w:r>
      <w:r w:rsidR="007B2285" w:rsidRPr="007B2285">
        <w:rPr>
          <w:rFonts w:eastAsia="Times New Roman"/>
          <w:color w:val="0000FF"/>
        </w:rPr>
        <w:t>2018; 201:3036-3050</w:t>
      </w:r>
      <w:r w:rsidR="007B2285">
        <w:rPr>
          <w:rFonts w:eastAsia="Times New Roman"/>
          <w:color w:val="0000FF"/>
        </w:rPr>
        <w:t>) where different TLR ligands and cell lines were tested. We feel that generating and testing exogenous IRF5 mutants are beyond the scope of this manuscript, whose goal is to provide the scientific community a robust assay to study IRF5 activation state</w:t>
      </w:r>
      <w:r w:rsidR="00FA4F23">
        <w:rPr>
          <w:rFonts w:eastAsia="Times New Roman"/>
          <w:color w:val="0000FF"/>
        </w:rPr>
        <w:t>. We believe this protocol will allow more in-depth dissection of IRF5 biology in the future.</w:t>
      </w:r>
    </w:p>
    <w:p w14:paraId="6FA17959" w14:textId="77777777" w:rsidR="00D010BE" w:rsidRDefault="00D010BE" w:rsidP="00D010BE">
      <w:pPr>
        <w:jc w:val="both"/>
        <w:rPr>
          <w:rFonts w:eastAsia="Times New Roman"/>
          <w:color w:val="0000FF"/>
        </w:rPr>
      </w:pPr>
    </w:p>
    <w:p w14:paraId="2B65F7AB" w14:textId="4DC4F573" w:rsidR="00B30856" w:rsidRDefault="00B30856" w:rsidP="00D010BE">
      <w:pPr>
        <w:jc w:val="both"/>
        <w:rPr>
          <w:rFonts w:eastAsia="Times New Roman"/>
          <w:color w:val="0000FF"/>
        </w:rPr>
      </w:pPr>
      <w:r>
        <w:rPr>
          <w:rFonts w:eastAsia="Times New Roman"/>
          <w:color w:val="0000FF"/>
        </w:rPr>
        <w:t xml:space="preserve">Because </w:t>
      </w:r>
      <w:r w:rsidRPr="00B30856">
        <w:rPr>
          <w:rFonts w:eastAsia="Times New Roman"/>
          <w:color w:val="0000FF"/>
        </w:rPr>
        <w:t>loading control</w:t>
      </w:r>
      <w:r>
        <w:rPr>
          <w:rFonts w:eastAsia="Times New Roman"/>
          <w:color w:val="0000FF"/>
        </w:rPr>
        <w:t>s such as</w:t>
      </w:r>
      <w:r w:rsidRPr="00B30856">
        <w:rPr>
          <w:rFonts w:eastAsia="Times New Roman"/>
          <w:color w:val="0000FF"/>
        </w:rPr>
        <w:t xml:space="preserve"> Tubulin or Actin </w:t>
      </w:r>
      <w:r>
        <w:rPr>
          <w:rFonts w:eastAsia="Times New Roman"/>
          <w:color w:val="0000FF"/>
        </w:rPr>
        <w:t>are not conventionally used for native gel electrophoresis, we opted to not include them. We believe that prior counting and seeding of same number of cells,</w:t>
      </w:r>
      <w:r w:rsidRPr="00B30856">
        <w:rPr>
          <w:rFonts w:eastAsia="Times New Roman"/>
          <w:color w:val="0000FF"/>
        </w:rPr>
        <w:t xml:space="preserve"> </w:t>
      </w:r>
      <w:r>
        <w:rPr>
          <w:rFonts w:eastAsia="Times New Roman"/>
          <w:color w:val="0000FF"/>
        </w:rPr>
        <w:t xml:space="preserve">the short treatment duration (2-6 hours), the quantification of protein lysates, and loading of same amount of protein should sufficiently ensure equal loading. We have separately performed SDS-PAGE gel electrophoresis </w:t>
      </w:r>
      <w:r w:rsidR="00770C48">
        <w:rPr>
          <w:rFonts w:eastAsia="Times New Roman"/>
          <w:color w:val="0000FF"/>
        </w:rPr>
        <w:t xml:space="preserve">using GAPDH as a loading control </w:t>
      </w:r>
      <w:r>
        <w:rPr>
          <w:rFonts w:eastAsia="Times New Roman"/>
          <w:color w:val="0000FF"/>
        </w:rPr>
        <w:t>to demonstrate that the IRF5 protein level does not change throughout the course of our experiment</w:t>
      </w:r>
      <w:r w:rsidR="002E02F3">
        <w:rPr>
          <w:rFonts w:eastAsia="Times New Roman"/>
          <w:color w:val="0000FF"/>
        </w:rPr>
        <w:t xml:space="preserve"> (data not shown)</w:t>
      </w:r>
      <w:r>
        <w:rPr>
          <w:rFonts w:eastAsia="Times New Roman"/>
          <w:color w:val="0000FF"/>
        </w:rPr>
        <w:t xml:space="preserve">. </w:t>
      </w:r>
    </w:p>
    <w:p w14:paraId="01DB3710" w14:textId="77777777" w:rsidR="00B30856" w:rsidRDefault="00B30856" w:rsidP="00D010BE">
      <w:pPr>
        <w:jc w:val="both"/>
        <w:rPr>
          <w:rFonts w:eastAsia="Times New Roman"/>
          <w:color w:val="0000FF"/>
        </w:rPr>
      </w:pPr>
    </w:p>
    <w:p w14:paraId="77AC3436" w14:textId="0731D0F3" w:rsidR="00D010BE" w:rsidRDefault="00D010BE" w:rsidP="00D010BE">
      <w:pPr>
        <w:jc w:val="both"/>
      </w:pPr>
      <w:r w:rsidRPr="002E02F3">
        <w:rPr>
          <w:rFonts w:eastAsia="Times New Roman"/>
          <w:color w:val="0000FF"/>
        </w:rPr>
        <w:t xml:space="preserve">We have </w:t>
      </w:r>
      <w:r w:rsidR="00460E1B" w:rsidRPr="002E02F3">
        <w:rPr>
          <w:rFonts w:eastAsia="Times New Roman"/>
          <w:color w:val="0000FF"/>
        </w:rPr>
        <w:t>included these points</w:t>
      </w:r>
      <w:r w:rsidRPr="002E02F3">
        <w:rPr>
          <w:rFonts w:eastAsia="Times New Roman"/>
          <w:color w:val="0000FF"/>
        </w:rPr>
        <w:t xml:space="preserve"> in the discussion.</w:t>
      </w:r>
    </w:p>
    <w:bookmarkEnd w:id="35"/>
    <w:bookmarkEnd w:id="36"/>
    <w:p w14:paraId="56C13B36" w14:textId="77777777" w:rsidR="00453B7A" w:rsidRDefault="00453B7A" w:rsidP="00B06BD9">
      <w:pPr>
        <w:jc w:val="both"/>
      </w:pPr>
    </w:p>
    <w:p w14:paraId="4E095FEE" w14:textId="77777777" w:rsidR="00453B7A" w:rsidRPr="00453B7A" w:rsidRDefault="00453B7A" w:rsidP="00B06BD9">
      <w:pPr>
        <w:jc w:val="both"/>
        <w:rPr>
          <w:b/>
        </w:rPr>
      </w:pPr>
      <w:r w:rsidRPr="00453B7A">
        <w:rPr>
          <w:b/>
        </w:rPr>
        <w:t>Minor Concerns:</w:t>
      </w:r>
    </w:p>
    <w:p w14:paraId="58B21B14" w14:textId="77777777" w:rsidR="00453B7A" w:rsidRDefault="00453B7A" w:rsidP="00B06BD9">
      <w:pPr>
        <w:jc w:val="both"/>
      </w:pPr>
      <w:r w:rsidRPr="00AA2624">
        <w:t>The article requires grammar editing and in some parts rewriting of the sentences. The author claims that the detection of IRF5 activation has been a problem in the field and that proposed technique will solve this issue, however there are not references supporting this statement.</w:t>
      </w:r>
    </w:p>
    <w:p w14:paraId="43C5C481" w14:textId="77777777" w:rsidR="00AA2624" w:rsidRDefault="00AA2624" w:rsidP="00B06BD9">
      <w:pPr>
        <w:jc w:val="both"/>
      </w:pPr>
    </w:p>
    <w:p w14:paraId="15105478" w14:textId="77777777" w:rsidR="00AA2624" w:rsidRPr="00B3301A" w:rsidRDefault="00AA2624" w:rsidP="00AA2624">
      <w:pPr>
        <w:jc w:val="both"/>
        <w:rPr>
          <w:rFonts w:eastAsia="MS Mincho"/>
          <w:lang w:eastAsia="ja-JP"/>
        </w:rPr>
      </w:pPr>
      <w:r>
        <w:rPr>
          <w:rFonts w:eastAsia="Times New Roman"/>
          <w:color w:val="0000FF"/>
        </w:rPr>
        <w:t>We thank you</w:t>
      </w:r>
      <w:r w:rsidRPr="1B6BA613">
        <w:rPr>
          <w:rFonts w:eastAsia="Times New Roman"/>
          <w:color w:val="0000FF"/>
        </w:rPr>
        <w:t xml:space="preserve"> for pointing out this </w:t>
      </w:r>
      <w:r>
        <w:rPr>
          <w:rFonts w:eastAsia="Times New Roman"/>
          <w:color w:val="0000FF"/>
        </w:rPr>
        <w:t xml:space="preserve">important </w:t>
      </w:r>
      <w:r w:rsidRPr="1B6BA613">
        <w:rPr>
          <w:rFonts w:eastAsia="Times New Roman"/>
          <w:color w:val="0000FF"/>
        </w:rPr>
        <w:t xml:space="preserve">point. </w:t>
      </w:r>
      <w:r w:rsidRPr="00883466">
        <w:rPr>
          <w:rFonts w:eastAsia="Times New Roman"/>
          <w:color w:val="0000FF"/>
        </w:rPr>
        <w:t>We agree and have made the appropriate changes.</w:t>
      </w:r>
    </w:p>
    <w:p w14:paraId="2E853DA3" w14:textId="77777777" w:rsidR="00453B7A" w:rsidRDefault="00453B7A" w:rsidP="00B06BD9">
      <w:pPr>
        <w:jc w:val="both"/>
      </w:pPr>
    </w:p>
    <w:sectPr w:rsidR="00453B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2A414" w14:textId="77777777" w:rsidR="00C779A0" w:rsidRDefault="00C779A0" w:rsidP="00453B7A">
      <w:r>
        <w:separator/>
      </w:r>
    </w:p>
  </w:endnote>
  <w:endnote w:type="continuationSeparator" w:id="0">
    <w:p w14:paraId="39C5FF38" w14:textId="77777777" w:rsidR="00C779A0" w:rsidRDefault="00C779A0" w:rsidP="0045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imes New Roman">
    <w:panose1 w:val="02020603050405020304"/>
    <w:charset w:val="00"/>
    <w:family w:val="auto"/>
    <w:pitch w:val="variable"/>
    <w:sig w:usb0="00002A87" w:usb1="80000000" w:usb2="00000008" w:usb3="00000000" w:csb0="000001FF" w:csb1="00000000"/>
  </w:font>
  <w:font w:name="MS Mincho">
    <w:altName w:val="ＭＳ 明朝"/>
    <w:panose1 w:val="00000000000000000000"/>
    <w:charset w:val="80"/>
    <w:family w:val="roman"/>
    <w:notTrueType/>
    <w:pitch w:val="fixed"/>
    <w:sig w:usb0="00000000"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51011" w14:textId="77777777" w:rsidR="00C779A0" w:rsidRDefault="00C779A0" w:rsidP="00453B7A">
      <w:r>
        <w:separator/>
      </w:r>
    </w:p>
  </w:footnote>
  <w:footnote w:type="continuationSeparator" w:id="0">
    <w:p w14:paraId="7B328CBE" w14:textId="77777777" w:rsidR="00C779A0" w:rsidRDefault="00C779A0" w:rsidP="00453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9D0"/>
    <w:rsid w:val="000176B6"/>
    <w:rsid w:val="00020C64"/>
    <w:rsid w:val="00030797"/>
    <w:rsid w:val="0004056A"/>
    <w:rsid w:val="00042E4B"/>
    <w:rsid w:val="00045857"/>
    <w:rsid w:val="00057A52"/>
    <w:rsid w:val="000B33EF"/>
    <w:rsid w:val="001319D0"/>
    <w:rsid w:val="00142E80"/>
    <w:rsid w:val="00152902"/>
    <w:rsid w:val="00184043"/>
    <w:rsid w:val="001A1F4E"/>
    <w:rsid w:val="001D020F"/>
    <w:rsid w:val="001E2CB7"/>
    <w:rsid w:val="001E771F"/>
    <w:rsid w:val="0021721D"/>
    <w:rsid w:val="002216E3"/>
    <w:rsid w:val="002542A0"/>
    <w:rsid w:val="00283DF2"/>
    <w:rsid w:val="002A45E6"/>
    <w:rsid w:val="002A6852"/>
    <w:rsid w:val="002B0324"/>
    <w:rsid w:val="002E02F3"/>
    <w:rsid w:val="002E66DB"/>
    <w:rsid w:val="003109F9"/>
    <w:rsid w:val="00364039"/>
    <w:rsid w:val="00370862"/>
    <w:rsid w:val="003824FD"/>
    <w:rsid w:val="003D5CE8"/>
    <w:rsid w:val="003E4989"/>
    <w:rsid w:val="00415D08"/>
    <w:rsid w:val="00450778"/>
    <w:rsid w:val="00453B7A"/>
    <w:rsid w:val="00460E1B"/>
    <w:rsid w:val="00475BF6"/>
    <w:rsid w:val="00524200"/>
    <w:rsid w:val="00542509"/>
    <w:rsid w:val="00544D2D"/>
    <w:rsid w:val="0057724A"/>
    <w:rsid w:val="00581770"/>
    <w:rsid w:val="00596326"/>
    <w:rsid w:val="005C568C"/>
    <w:rsid w:val="00663B93"/>
    <w:rsid w:val="006671A7"/>
    <w:rsid w:val="00681703"/>
    <w:rsid w:val="00694687"/>
    <w:rsid w:val="006C606F"/>
    <w:rsid w:val="006C7F47"/>
    <w:rsid w:val="006F271C"/>
    <w:rsid w:val="006F570F"/>
    <w:rsid w:val="00700C11"/>
    <w:rsid w:val="00702D78"/>
    <w:rsid w:val="007243F7"/>
    <w:rsid w:val="00745C4B"/>
    <w:rsid w:val="00770C48"/>
    <w:rsid w:val="0077520C"/>
    <w:rsid w:val="007765C5"/>
    <w:rsid w:val="007839C9"/>
    <w:rsid w:val="007B094F"/>
    <w:rsid w:val="007B2285"/>
    <w:rsid w:val="007D0F8E"/>
    <w:rsid w:val="007D3455"/>
    <w:rsid w:val="00863C9F"/>
    <w:rsid w:val="00866040"/>
    <w:rsid w:val="00883466"/>
    <w:rsid w:val="008C710F"/>
    <w:rsid w:val="008D0126"/>
    <w:rsid w:val="008E1F80"/>
    <w:rsid w:val="00962AD7"/>
    <w:rsid w:val="009708E6"/>
    <w:rsid w:val="009957E6"/>
    <w:rsid w:val="00995C6E"/>
    <w:rsid w:val="009D2245"/>
    <w:rsid w:val="009D2A8B"/>
    <w:rsid w:val="009E0748"/>
    <w:rsid w:val="009E77BC"/>
    <w:rsid w:val="009F3861"/>
    <w:rsid w:val="00A12A2C"/>
    <w:rsid w:val="00A3120B"/>
    <w:rsid w:val="00A456B8"/>
    <w:rsid w:val="00A73086"/>
    <w:rsid w:val="00A7753D"/>
    <w:rsid w:val="00AA2624"/>
    <w:rsid w:val="00AA6C2A"/>
    <w:rsid w:val="00AF5CE2"/>
    <w:rsid w:val="00B06BD9"/>
    <w:rsid w:val="00B212EB"/>
    <w:rsid w:val="00B223DF"/>
    <w:rsid w:val="00B30856"/>
    <w:rsid w:val="00B3301A"/>
    <w:rsid w:val="00B47D41"/>
    <w:rsid w:val="00B558DF"/>
    <w:rsid w:val="00BC4447"/>
    <w:rsid w:val="00BF28B6"/>
    <w:rsid w:val="00C16609"/>
    <w:rsid w:val="00C17D24"/>
    <w:rsid w:val="00C532D5"/>
    <w:rsid w:val="00C6468C"/>
    <w:rsid w:val="00C706EB"/>
    <w:rsid w:val="00C75B25"/>
    <w:rsid w:val="00C779A0"/>
    <w:rsid w:val="00C86961"/>
    <w:rsid w:val="00C9331A"/>
    <w:rsid w:val="00CB7D0A"/>
    <w:rsid w:val="00CC3E8F"/>
    <w:rsid w:val="00CC732E"/>
    <w:rsid w:val="00CD6C8B"/>
    <w:rsid w:val="00CF1FB7"/>
    <w:rsid w:val="00CF218E"/>
    <w:rsid w:val="00D010BE"/>
    <w:rsid w:val="00D13054"/>
    <w:rsid w:val="00D5431C"/>
    <w:rsid w:val="00D55F8F"/>
    <w:rsid w:val="00D65A31"/>
    <w:rsid w:val="00DB2D7E"/>
    <w:rsid w:val="00DC271C"/>
    <w:rsid w:val="00DE02BD"/>
    <w:rsid w:val="00DE06F1"/>
    <w:rsid w:val="00E04382"/>
    <w:rsid w:val="00E10C6F"/>
    <w:rsid w:val="00E11B88"/>
    <w:rsid w:val="00E22150"/>
    <w:rsid w:val="00E61592"/>
    <w:rsid w:val="00E757AC"/>
    <w:rsid w:val="00E97851"/>
    <w:rsid w:val="00F210DA"/>
    <w:rsid w:val="00F556C8"/>
    <w:rsid w:val="00F649C3"/>
    <w:rsid w:val="00F860F9"/>
    <w:rsid w:val="00F96AA5"/>
    <w:rsid w:val="00FA4F23"/>
    <w:rsid w:val="00FA6A26"/>
    <w:rsid w:val="00FA74A7"/>
    <w:rsid w:val="00FC28E4"/>
    <w:rsid w:val="00FD2066"/>
    <w:rsid w:val="00FE4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47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7A"/>
    <w:rPr>
      <w:rFonts w:ascii="Times New Roman" w:hAnsi="Times New Roman" w:cs="Times New Roman"/>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B7A"/>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lang w:eastAsia="zh-CN"/>
    </w:rPr>
  </w:style>
  <w:style w:type="character" w:customStyle="1" w:styleId="HeaderChar">
    <w:name w:val="Header Char"/>
    <w:basedOn w:val="DefaultParagraphFont"/>
    <w:link w:val="Header"/>
    <w:uiPriority w:val="99"/>
    <w:rsid w:val="00453B7A"/>
    <w:rPr>
      <w:sz w:val="18"/>
      <w:szCs w:val="18"/>
    </w:rPr>
  </w:style>
  <w:style w:type="paragraph" w:styleId="Footer">
    <w:name w:val="footer"/>
    <w:basedOn w:val="Normal"/>
    <w:link w:val="FooterChar"/>
    <w:uiPriority w:val="99"/>
    <w:unhideWhenUsed/>
    <w:rsid w:val="00453B7A"/>
    <w:pPr>
      <w:widowControl w:val="0"/>
      <w:tabs>
        <w:tab w:val="center" w:pos="4153"/>
        <w:tab w:val="right" w:pos="8306"/>
      </w:tabs>
      <w:snapToGrid w:val="0"/>
    </w:pPr>
    <w:rPr>
      <w:rFonts w:asciiTheme="minorHAnsi" w:hAnsiTheme="minorHAnsi" w:cstheme="minorBidi"/>
      <w:kern w:val="2"/>
      <w:sz w:val="18"/>
      <w:szCs w:val="18"/>
      <w:lang w:eastAsia="zh-CN"/>
    </w:rPr>
  </w:style>
  <w:style w:type="character" w:customStyle="1" w:styleId="FooterChar">
    <w:name w:val="Footer Char"/>
    <w:basedOn w:val="DefaultParagraphFont"/>
    <w:link w:val="Footer"/>
    <w:uiPriority w:val="99"/>
    <w:rsid w:val="00453B7A"/>
    <w:rPr>
      <w:sz w:val="18"/>
      <w:szCs w:val="18"/>
    </w:rPr>
  </w:style>
  <w:style w:type="paragraph" w:styleId="NormalWeb">
    <w:name w:val="Normal (Web)"/>
    <w:basedOn w:val="Normal"/>
    <w:uiPriority w:val="99"/>
    <w:semiHidden/>
    <w:unhideWhenUsed/>
    <w:rsid w:val="00453B7A"/>
    <w:pPr>
      <w:spacing w:before="100" w:beforeAutospacing="1" w:after="100" w:afterAutospacing="1"/>
    </w:pPr>
    <w:rPr>
      <w:rFonts w:eastAsia="宋体"/>
      <w:lang w:eastAsia="zh-CN"/>
    </w:rPr>
  </w:style>
  <w:style w:type="character" w:styleId="Strong">
    <w:name w:val="Strong"/>
    <w:basedOn w:val="DefaultParagraphFont"/>
    <w:uiPriority w:val="22"/>
    <w:qFormat/>
    <w:rsid w:val="00453B7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7A"/>
    <w:rPr>
      <w:rFonts w:ascii="Times New Roman" w:hAnsi="Times New Roman" w:cs="Times New Roman"/>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B7A"/>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lang w:eastAsia="zh-CN"/>
    </w:rPr>
  </w:style>
  <w:style w:type="character" w:customStyle="1" w:styleId="HeaderChar">
    <w:name w:val="Header Char"/>
    <w:basedOn w:val="DefaultParagraphFont"/>
    <w:link w:val="Header"/>
    <w:uiPriority w:val="99"/>
    <w:rsid w:val="00453B7A"/>
    <w:rPr>
      <w:sz w:val="18"/>
      <w:szCs w:val="18"/>
    </w:rPr>
  </w:style>
  <w:style w:type="paragraph" w:styleId="Footer">
    <w:name w:val="footer"/>
    <w:basedOn w:val="Normal"/>
    <w:link w:val="FooterChar"/>
    <w:uiPriority w:val="99"/>
    <w:unhideWhenUsed/>
    <w:rsid w:val="00453B7A"/>
    <w:pPr>
      <w:widowControl w:val="0"/>
      <w:tabs>
        <w:tab w:val="center" w:pos="4153"/>
        <w:tab w:val="right" w:pos="8306"/>
      </w:tabs>
      <w:snapToGrid w:val="0"/>
    </w:pPr>
    <w:rPr>
      <w:rFonts w:asciiTheme="minorHAnsi" w:hAnsiTheme="minorHAnsi" w:cstheme="minorBidi"/>
      <w:kern w:val="2"/>
      <w:sz w:val="18"/>
      <w:szCs w:val="18"/>
      <w:lang w:eastAsia="zh-CN"/>
    </w:rPr>
  </w:style>
  <w:style w:type="character" w:customStyle="1" w:styleId="FooterChar">
    <w:name w:val="Footer Char"/>
    <w:basedOn w:val="DefaultParagraphFont"/>
    <w:link w:val="Footer"/>
    <w:uiPriority w:val="99"/>
    <w:rsid w:val="00453B7A"/>
    <w:rPr>
      <w:sz w:val="18"/>
      <w:szCs w:val="18"/>
    </w:rPr>
  </w:style>
  <w:style w:type="paragraph" w:styleId="NormalWeb">
    <w:name w:val="Normal (Web)"/>
    <w:basedOn w:val="Normal"/>
    <w:uiPriority w:val="99"/>
    <w:semiHidden/>
    <w:unhideWhenUsed/>
    <w:rsid w:val="00453B7A"/>
    <w:pPr>
      <w:spacing w:before="100" w:beforeAutospacing="1" w:after="100" w:afterAutospacing="1"/>
    </w:pPr>
    <w:rPr>
      <w:rFonts w:eastAsia="宋体"/>
      <w:lang w:eastAsia="zh-CN"/>
    </w:rPr>
  </w:style>
  <w:style w:type="character" w:styleId="Strong">
    <w:name w:val="Strong"/>
    <w:basedOn w:val="DefaultParagraphFont"/>
    <w:uiPriority w:val="22"/>
    <w:qFormat/>
    <w:rsid w:val="00453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30964">
      <w:bodyDiv w:val="1"/>
      <w:marLeft w:val="0"/>
      <w:marRight w:val="0"/>
      <w:marTop w:val="0"/>
      <w:marBottom w:val="0"/>
      <w:divBdr>
        <w:top w:val="none" w:sz="0" w:space="0" w:color="auto"/>
        <w:left w:val="none" w:sz="0" w:space="0" w:color="auto"/>
        <w:bottom w:val="none" w:sz="0" w:space="0" w:color="auto"/>
        <w:right w:val="none" w:sz="0" w:space="0" w:color="auto"/>
      </w:divBdr>
    </w:div>
    <w:div w:id="13750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2557</Words>
  <Characters>14577</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美君 王</dc:creator>
  <cp:keywords/>
  <dc:description/>
  <cp:lastModifiedBy>Kwan Chow</cp:lastModifiedBy>
  <cp:revision>7</cp:revision>
  <dcterms:created xsi:type="dcterms:W3CDTF">2019-07-19T12:34:00Z</dcterms:created>
  <dcterms:modified xsi:type="dcterms:W3CDTF">2019-07-19T12:48:00Z</dcterms:modified>
</cp:coreProperties>
</file>