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35584" w14:textId="77777777" w:rsidR="006305D7" w:rsidRPr="00A033C0" w:rsidRDefault="006305D7" w:rsidP="00393CC7">
      <w:pPr>
        <w:pStyle w:val="NormalWeb"/>
        <w:spacing w:before="0" w:beforeAutospacing="0" w:after="0" w:afterAutospacing="0"/>
      </w:pPr>
      <w:r w:rsidRPr="00A033C0">
        <w:rPr>
          <w:b/>
          <w:bCs/>
        </w:rPr>
        <w:t>TITLE:</w:t>
      </w:r>
      <w:r w:rsidRPr="00A033C0">
        <w:t xml:space="preserve"> </w:t>
      </w:r>
    </w:p>
    <w:p w14:paraId="02B8C1F8" w14:textId="2F67C4DA" w:rsidR="000A64EC" w:rsidRPr="00A033C0" w:rsidRDefault="00AB58A1" w:rsidP="007A4DD6">
      <w:pPr>
        <w:rPr>
          <w:color w:val="auto"/>
        </w:rPr>
      </w:pPr>
      <w:bookmarkStart w:id="0" w:name="_Hlk845195"/>
      <w:r w:rsidRPr="000A64EC">
        <w:t xml:space="preserve">A </w:t>
      </w:r>
      <w:r w:rsidR="001F37A1" w:rsidRPr="000A64EC">
        <w:t xml:space="preserve">Macrophage Reporter Cell Assay </w:t>
      </w:r>
      <w:r w:rsidR="001F37A1">
        <w:t>t</w:t>
      </w:r>
      <w:r w:rsidR="001F37A1" w:rsidRPr="000A64EC">
        <w:t xml:space="preserve">o Examine </w:t>
      </w:r>
      <w:r w:rsidRPr="000A64EC">
        <w:t>Toll</w:t>
      </w:r>
      <w:r w:rsidR="001F37A1" w:rsidRPr="000A64EC">
        <w:t xml:space="preserve">-Like Receptor-Mediated </w:t>
      </w:r>
      <w:r w:rsidRPr="000A64EC">
        <w:t xml:space="preserve">NF-kB/AP-1 </w:t>
      </w:r>
      <w:r w:rsidR="001F37A1" w:rsidRPr="000A64EC">
        <w:t xml:space="preserve">Signaling </w:t>
      </w:r>
      <w:r w:rsidR="001F37A1">
        <w:t>o</w:t>
      </w:r>
      <w:r w:rsidR="001F37A1" w:rsidRPr="000A64EC">
        <w:t xml:space="preserve">n </w:t>
      </w:r>
      <w:r w:rsidR="001F37A1" w:rsidRPr="00A033C0">
        <w:rPr>
          <w:color w:val="auto"/>
        </w:rPr>
        <w:t xml:space="preserve">Adsorbed Protein Layers </w:t>
      </w:r>
      <w:r w:rsidR="001F37A1">
        <w:rPr>
          <w:color w:val="auto"/>
        </w:rPr>
        <w:t>o</w:t>
      </w:r>
      <w:r w:rsidR="001F37A1" w:rsidRPr="00A033C0">
        <w:rPr>
          <w:color w:val="auto"/>
        </w:rPr>
        <w:t>n Polymeric Surfaces</w:t>
      </w:r>
      <w:r w:rsidR="001F37A1">
        <w:rPr>
          <w:color w:val="auto"/>
        </w:rPr>
        <w:t xml:space="preserve"> </w:t>
      </w:r>
    </w:p>
    <w:bookmarkEnd w:id="0"/>
    <w:p w14:paraId="04F6073C" w14:textId="77777777" w:rsidR="007A4DD6" w:rsidRPr="00A033C0" w:rsidRDefault="007A4DD6" w:rsidP="001B1519">
      <w:pPr>
        <w:rPr>
          <w:b/>
          <w:bCs/>
        </w:rPr>
      </w:pPr>
    </w:p>
    <w:p w14:paraId="6D804EDB" w14:textId="77777777" w:rsidR="006305D7" w:rsidRPr="00A033C0" w:rsidRDefault="006305D7" w:rsidP="001B1519">
      <w:pPr>
        <w:rPr>
          <w:color w:val="808080"/>
        </w:rPr>
      </w:pPr>
      <w:r w:rsidRPr="00A033C0">
        <w:rPr>
          <w:b/>
          <w:bCs/>
        </w:rPr>
        <w:t>AUTHORS</w:t>
      </w:r>
      <w:r w:rsidR="000B662E" w:rsidRPr="00A033C0">
        <w:rPr>
          <w:b/>
          <w:bCs/>
        </w:rPr>
        <w:t xml:space="preserve"> </w:t>
      </w:r>
      <w:r w:rsidR="00086FF5" w:rsidRPr="00A033C0">
        <w:rPr>
          <w:b/>
          <w:bCs/>
        </w:rPr>
        <w:t xml:space="preserve">AND </w:t>
      </w:r>
      <w:r w:rsidR="000B662E" w:rsidRPr="00A033C0">
        <w:rPr>
          <w:b/>
          <w:bCs/>
        </w:rPr>
        <w:t>AFFILIATIONS</w:t>
      </w:r>
      <w:r w:rsidRPr="00A033C0">
        <w:rPr>
          <w:b/>
          <w:bCs/>
        </w:rPr>
        <w:t>:</w:t>
      </w:r>
    </w:p>
    <w:p w14:paraId="6E5E1205" w14:textId="546A0DEC" w:rsidR="00402910" w:rsidRPr="0003509B" w:rsidRDefault="00402910" w:rsidP="007A4DD6">
      <w:pPr>
        <w:rPr>
          <w:color w:val="auto"/>
          <w:vertAlign w:val="superscript"/>
        </w:rPr>
      </w:pPr>
      <w:r w:rsidRPr="00A033C0">
        <w:rPr>
          <w:color w:val="auto"/>
        </w:rPr>
        <w:t>Laura A McKiel</w:t>
      </w:r>
      <w:r w:rsidR="0003509B">
        <w:rPr>
          <w:color w:val="auto"/>
          <w:vertAlign w:val="superscript"/>
        </w:rPr>
        <w:t>1</w:t>
      </w:r>
      <w:r w:rsidRPr="00A033C0">
        <w:rPr>
          <w:color w:val="auto"/>
        </w:rPr>
        <w:t>, Kimberly A Woodhouse</w:t>
      </w:r>
      <w:r w:rsidR="0003509B">
        <w:rPr>
          <w:color w:val="auto"/>
          <w:vertAlign w:val="superscript"/>
        </w:rPr>
        <w:t>1</w:t>
      </w:r>
      <w:r w:rsidRPr="00A033C0">
        <w:rPr>
          <w:color w:val="auto"/>
        </w:rPr>
        <w:t>, Lindsay E</w:t>
      </w:r>
      <w:r w:rsidR="0003509B">
        <w:rPr>
          <w:color w:val="auto"/>
        </w:rPr>
        <w:t>.</w:t>
      </w:r>
      <w:r w:rsidRPr="00A033C0">
        <w:rPr>
          <w:color w:val="auto"/>
        </w:rPr>
        <w:t xml:space="preserve"> Fitzpatrick</w:t>
      </w:r>
      <w:r w:rsidR="0003509B">
        <w:rPr>
          <w:color w:val="auto"/>
          <w:vertAlign w:val="superscript"/>
        </w:rPr>
        <w:t>1</w:t>
      </w:r>
    </w:p>
    <w:p w14:paraId="28B2F40B" w14:textId="77777777" w:rsidR="0003509B" w:rsidRPr="00A033C0" w:rsidRDefault="0003509B" w:rsidP="007A4DD6">
      <w:pPr>
        <w:rPr>
          <w:color w:val="auto"/>
        </w:rPr>
      </w:pPr>
    </w:p>
    <w:p w14:paraId="29E63F15" w14:textId="3C4E822D" w:rsidR="007A4DD6" w:rsidRPr="00A033C0" w:rsidRDefault="00276180" w:rsidP="007A4DD6">
      <w:pPr>
        <w:rPr>
          <w:color w:val="auto"/>
        </w:rPr>
      </w:pPr>
      <w:r>
        <w:rPr>
          <w:color w:val="auto"/>
          <w:vertAlign w:val="superscript"/>
        </w:rPr>
        <w:t>1</w:t>
      </w:r>
      <w:r w:rsidR="00402910" w:rsidRPr="00A033C0">
        <w:rPr>
          <w:color w:val="auto"/>
        </w:rPr>
        <w:t>Department of Chemical Engineering, Queen’s University, Kingston, ON, Canada</w:t>
      </w:r>
    </w:p>
    <w:p w14:paraId="010EC673" w14:textId="77777777" w:rsidR="00402910" w:rsidRPr="00A033C0" w:rsidRDefault="00402910" w:rsidP="007A4DD6">
      <w:pPr>
        <w:rPr>
          <w:color w:val="auto"/>
        </w:rPr>
      </w:pPr>
    </w:p>
    <w:p w14:paraId="2EDFD7A3" w14:textId="77777777" w:rsidR="00402910" w:rsidRPr="00A033C0" w:rsidRDefault="00402910" w:rsidP="007A4DD6">
      <w:pPr>
        <w:rPr>
          <w:color w:val="auto"/>
        </w:rPr>
      </w:pPr>
      <w:r w:rsidRPr="00A033C0">
        <w:rPr>
          <w:color w:val="auto"/>
        </w:rPr>
        <w:t>Corresponding author:</w:t>
      </w:r>
    </w:p>
    <w:p w14:paraId="73D0479C" w14:textId="5FA6ADB4" w:rsidR="00402910" w:rsidRPr="00A033C0" w:rsidRDefault="00402910" w:rsidP="007A4DD6">
      <w:pPr>
        <w:rPr>
          <w:color w:val="auto"/>
        </w:rPr>
      </w:pPr>
      <w:r w:rsidRPr="00A033C0">
        <w:rPr>
          <w:color w:val="auto"/>
        </w:rPr>
        <w:t>Lindsay E</w:t>
      </w:r>
      <w:r w:rsidR="00413D16">
        <w:rPr>
          <w:color w:val="auto"/>
        </w:rPr>
        <w:t>.</w:t>
      </w:r>
      <w:r w:rsidRPr="00A033C0">
        <w:rPr>
          <w:color w:val="auto"/>
        </w:rPr>
        <w:t xml:space="preserve"> Fitzpatrick</w:t>
      </w:r>
      <w:r w:rsidR="00276180">
        <w:rPr>
          <w:color w:val="auto"/>
        </w:rPr>
        <w:tab/>
      </w:r>
      <w:r w:rsidR="00276180">
        <w:rPr>
          <w:color w:val="auto"/>
        </w:rPr>
        <w:tab/>
        <w:t>(</w:t>
      </w:r>
      <w:r w:rsidR="00DD61D0" w:rsidRPr="00A033C0">
        <w:rPr>
          <w:color w:val="auto"/>
        </w:rPr>
        <w:t>l</w:t>
      </w:r>
      <w:r w:rsidRPr="00A033C0">
        <w:rPr>
          <w:color w:val="auto"/>
        </w:rPr>
        <w:t>indsay.fitzpatrick@queensu.ca</w:t>
      </w:r>
      <w:r w:rsidR="00276180">
        <w:rPr>
          <w:color w:val="auto"/>
        </w:rPr>
        <w:t>)</w:t>
      </w:r>
    </w:p>
    <w:p w14:paraId="05D50D60" w14:textId="77777777" w:rsidR="004D23B2" w:rsidRPr="00DD61D0" w:rsidRDefault="004D23B2" w:rsidP="004D23B2">
      <w:pPr>
        <w:pStyle w:val="NormalWeb"/>
        <w:spacing w:before="0" w:beforeAutospacing="0" w:after="0" w:afterAutospacing="0"/>
        <w:rPr>
          <w:rFonts w:cs="Arial"/>
          <w:bCs/>
          <w:color w:val="auto"/>
        </w:rPr>
      </w:pPr>
    </w:p>
    <w:p w14:paraId="596ECE60" w14:textId="43679E3A" w:rsidR="004D23B2" w:rsidRPr="00DD61D0" w:rsidRDefault="004D23B2" w:rsidP="004D23B2">
      <w:pPr>
        <w:pStyle w:val="NormalWeb"/>
        <w:spacing w:before="0" w:beforeAutospacing="0" w:after="0" w:afterAutospacing="0"/>
        <w:rPr>
          <w:rFonts w:cs="Arial"/>
          <w:bCs/>
          <w:color w:val="auto"/>
        </w:rPr>
      </w:pPr>
      <w:r w:rsidRPr="00DD61D0">
        <w:rPr>
          <w:rFonts w:cs="Arial"/>
          <w:bCs/>
          <w:color w:val="auto"/>
        </w:rPr>
        <w:t xml:space="preserve">Email </w:t>
      </w:r>
      <w:r w:rsidR="000E6FBB" w:rsidRPr="00DD61D0">
        <w:rPr>
          <w:rFonts w:cs="Arial"/>
          <w:bCs/>
          <w:color w:val="auto"/>
        </w:rPr>
        <w:t>addresses of co-authors</w:t>
      </w:r>
      <w:r w:rsidRPr="00DD61D0">
        <w:rPr>
          <w:rFonts w:cs="Arial"/>
          <w:b/>
          <w:bCs/>
          <w:color w:val="auto"/>
        </w:rPr>
        <w:t>:</w:t>
      </w:r>
    </w:p>
    <w:p w14:paraId="0AF0230D" w14:textId="207B3082" w:rsidR="004D23B2" w:rsidRPr="00DD61D0" w:rsidRDefault="004D23B2" w:rsidP="004D23B2">
      <w:pPr>
        <w:pStyle w:val="NormalWeb"/>
        <w:spacing w:before="0" w:beforeAutospacing="0" w:after="0" w:afterAutospacing="0"/>
        <w:rPr>
          <w:rFonts w:cs="Arial"/>
          <w:bCs/>
          <w:color w:val="auto"/>
        </w:rPr>
      </w:pPr>
      <w:r w:rsidRPr="00DD61D0">
        <w:rPr>
          <w:rFonts w:cs="Arial"/>
          <w:bCs/>
          <w:color w:val="auto"/>
        </w:rPr>
        <w:t xml:space="preserve">Laura </w:t>
      </w:r>
      <w:proofErr w:type="spellStart"/>
      <w:r w:rsidRPr="00DD61D0">
        <w:rPr>
          <w:rFonts w:cs="Arial"/>
          <w:bCs/>
          <w:color w:val="auto"/>
        </w:rPr>
        <w:t>McKiel</w:t>
      </w:r>
      <w:proofErr w:type="spellEnd"/>
      <w:r w:rsidR="00F869F4">
        <w:rPr>
          <w:rFonts w:cs="Arial"/>
          <w:bCs/>
          <w:color w:val="auto"/>
        </w:rPr>
        <w:tab/>
      </w:r>
      <w:r w:rsidR="000E6FBB">
        <w:rPr>
          <w:rFonts w:cs="Arial"/>
          <w:bCs/>
          <w:color w:val="auto"/>
        </w:rPr>
        <w:tab/>
      </w:r>
      <w:r w:rsidR="000E6FBB">
        <w:rPr>
          <w:rFonts w:cs="Arial"/>
          <w:bCs/>
          <w:color w:val="auto"/>
        </w:rPr>
        <w:tab/>
      </w:r>
      <w:r w:rsidRPr="00DD61D0">
        <w:rPr>
          <w:rFonts w:cs="Arial"/>
          <w:bCs/>
          <w:color w:val="auto"/>
        </w:rPr>
        <w:t>(l.mckiel@queensu.ca)</w:t>
      </w:r>
    </w:p>
    <w:p w14:paraId="397D6BF6" w14:textId="24423BCA" w:rsidR="00D04A95" w:rsidRPr="00A033C0" w:rsidRDefault="004D23B2" w:rsidP="001B1519">
      <w:pPr>
        <w:rPr>
          <w:bCs/>
          <w:color w:val="auto"/>
        </w:rPr>
      </w:pPr>
      <w:r w:rsidRPr="00A033C0">
        <w:rPr>
          <w:bCs/>
          <w:color w:val="auto"/>
        </w:rPr>
        <w:t>Kimberly Woodhouse</w:t>
      </w:r>
      <w:r w:rsidR="00F869F4" w:rsidRPr="00A033C0">
        <w:rPr>
          <w:bCs/>
          <w:color w:val="auto"/>
        </w:rPr>
        <w:tab/>
      </w:r>
      <w:r w:rsidR="006C19DE" w:rsidRPr="006C19DE">
        <w:rPr>
          <w:color w:val="auto"/>
        </w:rPr>
        <w:t xml:space="preserve"> </w:t>
      </w:r>
      <w:r w:rsidR="000E6FBB">
        <w:rPr>
          <w:bCs/>
          <w:color w:val="auto"/>
        </w:rPr>
        <w:tab/>
      </w:r>
      <w:r w:rsidRPr="00A033C0">
        <w:rPr>
          <w:bCs/>
          <w:color w:val="auto"/>
        </w:rPr>
        <w:t>(kim.woodhouse@queensu.ca)</w:t>
      </w:r>
    </w:p>
    <w:p w14:paraId="1BA385B9" w14:textId="77777777" w:rsidR="004D23B2" w:rsidRPr="00A033C0" w:rsidRDefault="004D23B2" w:rsidP="001B1519">
      <w:pPr>
        <w:rPr>
          <w:bCs/>
          <w:color w:val="808080"/>
        </w:rPr>
      </w:pPr>
    </w:p>
    <w:p w14:paraId="6B4DDD60" w14:textId="77777777" w:rsidR="006305D7" w:rsidRPr="00A033C0" w:rsidRDefault="006305D7" w:rsidP="001B1519">
      <w:pPr>
        <w:pStyle w:val="NormalWeb"/>
        <w:spacing w:before="0" w:beforeAutospacing="0" w:after="0" w:afterAutospacing="0"/>
      </w:pPr>
      <w:r w:rsidRPr="00A033C0">
        <w:rPr>
          <w:b/>
          <w:bCs/>
        </w:rPr>
        <w:t>KEYWORDS:</w:t>
      </w:r>
    </w:p>
    <w:p w14:paraId="25329D8B" w14:textId="62A9BAB0" w:rsidR="007A4DD6" w:rsidRPr="00A033C0" w:rsidRDefault="00DD0575" w:rsidP="007A4DD6">
      <w:pPr>
        <w:rPr>
          <w:color w:val="auto"/>
        </w:rPr>
      </w:pPr>
      <w:r>
        <w:rPr>
          <w:color w:val="auto"/>
        </w:rPr>
        <w:t>p</w:t>
      </w:r>
      <w:r w:rsidR="00DD61D0" w:rsidRPr="00A033C0">
        <w:rPr>
          <w:color w:val="auto"/>
        </w:rPr>
        <w:t>rotein adsorption, foreign body reaction, macrophage, toll-like receptor, inflammation, polymer, biomaterial, transcription factor</w:t>
      </w:r>
      <w:r w:rsidR="00427A61" w:rsidRPr="00A033C0">
        <w:rPr>
          <w:color w:val="auto"/>
        </w:rPr>
        <w:t>, damage-associated molecular patterns, cell-material interactions</w:t>
      </w:r>
    </w:p>
    <w:p w14:paraId="21D2A61B" w14:textId="77777777" w:rsidR="006305D7" w:rsidRPr="00A033C0" w:rsidRDefault="006305D7" w:rsidP="001B1519">
      <w:pPr>
        <w:pStyle w:val="NormalWeb"/>
        <w:spacing w:before="0" w:beforeAutospacing="0" w:after="0" w:afterAutospacing="0"/>
      </w:pPr>
    </w:p>
    <w:p w14:paraId="293B0DA9" w14:textId="77777777" w:rsidR="006305D7" w:rsidRPr="00A033C0" w:rsidRDefault="00086FF5" w:rsidP="001B1519">
      <w:r w:rsidRPr="00A033C0">
        <w:rPr>
          <w:b/>
          <w:bCs/>
        </w:rPr>
        <w:t>SUMMARY</w:t>
      </w:r>
      <w:r w:rsidR="006305D7" w:rsidRPr="00A033C0">
        <w:rPr>
          <w:b/>
          <w:bCs/>
        </w:rPr>
        <w:t>:</w:t>
      </w:r>
    </w:p>
    <w:p w14:paraId="5987DA8B" w14:textId="77777777" w:rsidR="00B23801" w:rsidRPr="00A033C0" w:rsidRDefault="00B23801" w:rsidP="00D7633D">
      <w:pPr>
        <w:tabs>
          <w:tab w:val="left" w:pos="0"/>
        </w:tabs>
        <w:rPr>
          <w:color w:val="808080"/>
        </w:rPr>
      </w:pPr>
      <w:r w:rsidRPr="00A033C0">
        <w:rPr>
          <w:color w:val="auto"/>
        </w:rPr>
        <w:t xml:space="preserve">This protocol provides researchers with a rapid, indirect method of measuring </w:t>
      </w:r>
      <w:r w:rsidR="00DD476D" w:rsidRPr="00A033C0">
        <w:rPr>
          <w:color w:val="auto"/>
        </w:rPr>
        <w:t xml:space="preserve">TLR-dependent </w:t>
      </w:r>
      <w:r w:rsidRPr="00A033C0">
        <w:rPr>
          <w:color w:val="auto"/>
        </w:rPr>
        <w:t>NF-</w:t>
      </w:r>
      <w:proofErr w:type="spellStart"/>
      <w:r w:rsidRPr="00A033C0">
        <w:rPr>
          <w:color w:val="auto"/>
        </w:rPr>
        <w:t>кB</w:t>
      </w:r>
      <w:proofErr w:type="spellEnd"/>
      <w:r w:rsidRPr="00A033C0">
        <w:rPr>
          <w:color w:val="auto"/>
        </w:rPr>
        <w:t xml:space="preserve">/AP-1 </w:t>
      </w:r>
      <w:r w:rsidR="00427A61" w:rsidRPr="00A033C0">
        <w:rPr>
          <w:color w:val="auto"/>
        </w:rPr>
        <w:t>transcription factor activity</w:t>
      </w:r>
      <w:r w:rsidRPr="00A033C0">
        <w:rPr>
          <w:color w:val="auto"/>
        </w:rPr>
        <w:t xml:space="preserve"> </w:t>
      </w:r>
      <w:r w:rsidR="00DF25B6" w:rsidRPr="00A033C0">
        <w:rPr>
          <w:color w:val="auto"/>
        </w:rPr>
        <w:t>in a</w:t>
      </w:r>
      <w:r w:rsidRPr="00A033C0">
        <w:rPr>
          <w:color w:val="auto"/>
        </w:rPr>
        <w:t xml:space="preserve"> murine macrophage</w:t>
      </w:r>
      <w:r w:rsidR="00DF25B6" w:rsidRPr="00A033C0">
        <w:rPr>
          <w:color w:val="auto"/>
        </w:rPr>
        <w:t xml:space="preserve"> cell line</w:t>
      </w:r>
      <w:r w:rsidR="00427A61" w:rsidRPr="00A033C0">
        <w:rPr>
          <w:color w:val="auto"/>
        </w:rPr>
        <w:t xml:space="preserve"> in response</w:t>
      </w:r>
      <w:r w:rsidRPr="00A033C0">
        <w:rPr>
          <w:color w:val="auto"/>
        </w:rPr>
        <w:t xml:space="preserve"> to a variety of polymeric surfaces and adsorbed protein layers that </w:t>
      </w:r>
      <w:r w:rsidR="00DF25B6" w:rsidRPr="00A033C0">
        <w:rPr>
          <w:color w:val="auto"/>
        </w:rPr>
        <w:t xml:space="preserve">model </w:t>
      </w:r>
      <w:r w:rsidRPr="00A033C0">
        <w:rPr>
          <w:color w:val="auto"/>
        </w:rPr>
        <w:t>the</w:t>
      </w:r>
      <w:r w:rsidR="00B04D63" w:rsidRPr="00A033C0">
        <w:rPr>
          <w:color w:val="auto"/>
        </w:rPr>
        <w:t xml:space="preserve"> </w:t>
      </w:r>
      <w:r w:rsidRPr="00A033C0">
        <w:rPr>
          <w:color w:val="auto"/>
        </w:rPr>
        <w:t xml:space="preserve">biomaterial implant </w:t>
      </w:r>
      <w:r w:rsidR="00DF25B6" w:rsidRPr="00A033C0">
        <w:rPr>
          <w:color w:val="auto"/>
        </w:rPr>
        <w:t>micro</w:t>
      </w:r>
      <w:r w:rsidRPr="00A033C0">
        <w:rPr>
          <w:color w:val="auto"/>
        </w:rPr>
        <w:t xml:space="preserve">environment. </w:t>
      </w:r>
    </w:p>
    <w:p w14:paraId="4BD7F1A5" w14:textId="77777777" w:rsidR="00D7633D" w:rsidRPr="00A033C0" w:rsidRDefault="00D7633D" w:rsidP="00D7633D">
      <w:pPr>
        <w:rPr>
          <w:b/>
        </w:rPr>
      </w:pPr>
    </w:p>
    <w:p w14:paraId="365E170A" w14:textId="77777777" w:rsidR="00D7633D" w:rsidRPr="00A033C0" w:rsidRDefault="006305D7" w:rsidP="00B23801">
      <w:pPr>
        <w:rPr>
          <w:color w:val="808080"/>
        </w:rPr>
      </w:pPr>
      <w:r w:rsidRPr="00A033C0">
        <w:rPr>
          <w:b/>
          <w:bCs/>
        </w:rPr>
        <w:t>ABSTRACT:</w:t>
      </w:r>
    </w:p>
    <w:p w14:paraId="52A6BB24" w14:textId="0E86B60C" w:rsidR="006A2357" w:rsidRPr="00A033C0" w:rsidRDefault="00B23801" w:rsidP="00D7633D">
      <w:pPr>
        <w:tabs>
          <w:tab w:val="left" w:pos="0"/>
        </w:tabs>
        <w:rPr>
          <w:color w:val="808080"/>
        </w:rPr>
      </w:pPr>
      <w:r w:rsidRPr="00A033C0">
        <w:rPr>
          <w:color w:val="auto"/>
        </w:rPr>
        <w:t xml:space="preserve">The persistent inflammatory host response to an implanted biomaterial, known as the foreign body reaction, is a significant challenge in the development and implementation of biomedical devices and tissue engineering constructs. Macrophages, an innate immune cell, are key players in the foreign body </w:t>
      </w:r>
      <w:r w:rsidR="00DF25B6" w:rsidRPr="00A033C0">
        <w:rPr>
          <w:color w:val="auto"/>
        </w:rPr>
        <w:t xml:space="preserve">reaction because </w:t>
      </w:r>
      <w:r w:rsidRPr="00A033C0">
        <w:rPr>
          <w:color w:val="auto"/>
        </w:rPr>
        <w:t xml:space="preserve">they remain at the implant site for the lifetime of the </w:t>
      </w:r>
      <w:proofErr w:type="gramStart"/>
      <w:r w:rsidRPr="00A033C0">
        <w:rPr>
          <w:color w:val="auto"/>
        </w:rPr>
        <w:t>device, and</w:t>
      </w:r>
      <w:proofErr w:type="gramEnd"/>
      <w:r w:rsidRPr="00A033C0">
        <w:rPr>
          <w:color w:val="auto"/>
        </w:rPr>
        <w:t xml:space="preserve"> are commonly studied to gain an understanding of this detrimental host response. Many biomaterials researchers have shown that adsorbed protein layers on implanted materials influence macrophage behavior, and subsequently impact the host response. </w:t>
      </w:r>
      <w:r w:rsidR="006A2357" w:rsidRPr="00A033C0">
        <w:rPr>
          <w:color w:val="auto"/>
        </w:rPr>
        <w:t xml:space="preserve">The methods in this paper describe an </w:t>
      </w:r>
      <w:r w:rsidR="00DD0575" w:rsidRPr="00DD0575">
        <w:rPr>
          <w:color w:val="auto"/>
        </w:rPr>
        <w:t xml:space="preserve">in vitro </w:t>
      </w:r>
      <w:r w:rsidR="006A2357" w:rsidRPr="00A033C0">
        <w:rPr>
          <w:color w:val="auto"/>
        </w:rPr>
        <w:t xml:space="preserve">model </w:t>
      </w:r>
      <w:r w:rsidRPr="00A033C0">
        <w:rPr>
          <w:color w:val="auto"/>
        </w:rPr>
        <w:t>using</w:t>
      </w:r>
      <w:r w:rsidR="006A2357" w:rsidRPr="00A033C0">
        <w:rPr>
          <w:color w:val="auto"/>
        </w:rPr>
        <w:t xml:space="preserve"> adsorbed protein layers</w:t>
      </w:r>
      <w:r w:rsidR="00427A61" w:rsidRPr="00A033C0">
        <w:rPr>
          <w:color w:val="auto"/>
        </w:rPr>
        <w:t xml:space="preserve"> containing cellular damage molecules</w:t>
      </w:r>
      <w:r w:rsidR="006A2357" w:rsidRPr="00A033C0">
        <w:rPr>
          <w:color w:val="auto"/>
        </w:rPr>
        <w:t xml:space="preserve"> on polymer biomaterial surfaces to assess macrophage responses. </w:t>
      </w:r>
      <w:r w:rsidR="00EC1DA1" w:rsidRPr="00A033C0">
        <w:rPr>
          <w:color w:val="auto"/>
        </w:rPr>
        <w:t>An NF-</w:t>
      </w:r>
      <w:proofErr w:type="spellStart"/>
      <w:r w:rsidR="00EC1DA1" w:rsidRPr="00A033C0">
        <w:rPr>
          <w:color w:val="auto"/>
        </w:rPr>
        <w:t>кB</w:t>
      </w:r>
      <w:proofErr w:type="spellEnd"/>
      <w:r w:rsidR="00EC1DA1" w:rsidRPr="00A033C0">
        <w:rPr>
          <w:color w:val="auto"/>
        </w:rPr>
        <w:t>/AP-1</w:t>
      </w:r>
      <w:r w:rsidR="006A2357" w:rsidRPr="00A033C0">
        <w:rPr>
          <w:color w:val="auto"/>
        </w:rPr>
        <w:t xml:space="preserve"> reporter macrophage cell line and the associated </w:t>
      </w:r>
      <w:r w:rsidR="00A32A74" w:rsidRPr="00A32A74">
        <w:rPr>
          <w:color w:val="auto"/>
        </w:rPr>
        <w:t>color</w:t>
      </w:r>
      <w:r w:rsidR="00F20695" w:rsidRPr="00A033C0">
        <w:rPr>
          <w:color w:val="auto"/>
        </w:rPr>
        <w:t>imetric alkaline phosphatase</w:t>
      </w:r>
      <w:r w:rsidR="006A2357" w:rsidRPr="00A033C0">
        <w:rPr>
          <w:color w:val="auto"/>
        </w:rPr>
        <w:t xml:space="preserve"> assay were used as a rapid method to indirectly examine NF-</w:t>
      </w:r>
      <w:proofErr w:type="spellStart"/>
      <w:r w:rsidR="006A2357" w:rsidRPr="00A033C0">
        <w:rPr>
          <w:color w:val="auto"/>
        </w:rPr>
        <w:t>кB</w:t>
      </w:r>
      <w:proofErr w:type="spellEnd"/>
      <w:r w:rsidR="006A2357" w:rsidRPr="00A033C0">
        <w:rPr>
          <w:color w:val="auto"/>
        </w:rPr>
        <w:t>/AP-1</w:t>
      </w:r>
      <w:r w:rsidR="00427A61" w:rsidRPr="00A033C0">
        <w:rPr>
          <w:color w:val="auto"/>
        </w:rPr>
        <w:t xml:space="preserve"> transcription factor</w:t>
      </w:r>
      <w:r w:rsidR="006A2357" w:rsidRPr="00A033C0">
        <w:rPr>
          <w:color w:val="auto"/>
        </w:rPr>
        <w:t xml:space="preserve"> activity</w:t>
      </w:r>
      <w:r w:rsidRPr="00A033C0">
        <w:rPr>
          <w:color w:val="auto"/>
        </w:rPr>
        <w:t xml:space="preserve"> in response to complex adsorbed protein layers containing blood proteins</w:t>
      </w:r>
      <w:r w:rsidR="00DF25B6" w:rsidRPr="00A033C0">
        <w:rPr>
          <w:color w:val="auto"/>
        </w:rPr>
        <w:t xml:space="preserve"> and</w:t>
      </w:r>
      <w:r w:rsidRPr="00A033C0">
        <w:rPr>
          <w:color w:val="auto"/>
        </w:rPr>
        <w:t xml:space="preserve"> damage-associated molecular patterns</w:t>
      </w:r>
      <w:r w:rsidR="00DF25B6" w:rsidRPr="00A033C0">
        <w:rPr>
          <w:color w:val="auto"/>
        </w:rPr>
        <w:t>, as a</w:t>
      </w:r>
      <w:r w:rsidRPr="00A033C0">
        <w:rPr>
          <w:color w:val="auto"/>
        </w:rPr>
        <w:t xml:space="preserve"> </w:t>
      </w:r>
      <w:r w:rsidR="00DF25B6" w:rsidRPr="00A033C0">
        <w:rPr>
          <w:color w:val="auto"/>
        </w:rPr>
        <w:t xml:space="preserve">model of </w:t>
      </w:r>
      <w:r w:rsidRPr="00A033C0">
        <w:rPr>
          <w:color w:val="auto"/>
        </w:rPr>
        <w:t xml:space="preserve">the </w:t>
      </w:r>
      <w:r w:rsidR="00DF25B6" w:rsidRPr="00A033C0">
        <w:rPr>
          <w:color w:val="auto"/>
        </w:rPr>
        <w:t xml:space="preserve">complex adsorbed protein layers formed on biomaterial surfaces </w:t>
      </w:r>
      <w:r w:rsidR="00DD0575" w:rsidRPr="00DD0575">
        <w:rPr>
          <w:color w:val="auto"/>
        </w:rPr>
        <w:t>in vivo</w:t>
      </w:r>
      <w:r w:rsidRPr="00A033C0">
        <w:rPr>
          <w:color w:val="auto"/>
        </w:rPr>
        <w:t>.</w:t>
      </w:r>
    </w:p>
    <w:p w14:paraId="61662C1E" w14:textId="77777777" w:rsidR="006305D7" w:rsidRPr="00A033C0" w:rsidRDefault="006305D7" w:rsidP="001B1519"/>
    <w:p w14:paraId="27B76526" w14:textId="77777777" w:rsidR="007A4DD6" w:rsidRPr="00A033C0" w:rsidRDefault="006305D7" w:rsidP="007A4DD6">
      <w:pPr>
        <w:rPr>
          <w:color w:val="808080"/>
        </w:rPr>
      </w:pPr>
      <w:r w:rsidRPr="00A033C0">
        <w:rPr>
          <w:b/>
        </w:rPr>
        <w:t>INTRODUCTION</w:t>
      </w:r>
      <w:r w:rsidRPr="00A033C0">
        <w:rPr>
          <w:b/>
          <w:bCs/>
        </w:rPr>
        <w:t>:</w:t>
      </w:r>
    </w:p>
    <w:p w14:paraId="41B02C03" w14:textId="2F875714" w:rsidR="00F84CA7" w:rsidRPr="00A033C0" w:rsidRDefault="00EB4580" w:rsidP="001B1519">
      <w:r w:rsidRPr="00A033C0">
        <w:lastRenderedPageBreak/>
        <w:t>The foreign body reaction</w:t>
      </w:r>
      <w:r w:rsidR="00D519E6" w:rsidRPr="00A033C0">
        <w:t xml:space="preserve"> (FBR)</w:t>
      </w:r>
      <w:r w:rsidRPr="00A033C0">
        <w:t xml:space="preserve"> i</w:t>
      </w:r>
      <w:r w:rsidR="00427A61" w:rsidRPr="00A033C0">
        <w:t>s</w:t>
      </w:r>
      <w:r w:rsidRPr="00A033C0">
        <w:t xml:space="preserve"> a chronic host response that </w:t>
      </w:r>
      <w:r w:rsidR="00F84CA7" w:rsidRPr="00A033C0">
        <w:t xml:space="preserve">can </w:t>
      </w:r>
      <w:r w:rsidR="003A09F6" w:rsidRPr="00A033C0">
        <w:t>negatively impact the performance of an implanted material or device (</w:t>
      </w:r>
      <w:r w:rsidR="00754134" w:rsidRPr="00754134">
        <w:t xml:space="preserve">e.g., </w:t>
      </w:r>
      <w:r w:rsidR="003A09F6" w:rsidRPr="00A033C0">
        <w:t xml:space="preserve">drug delivery devices, biosensors), through the persistent release of inflammatory mediators and by impeding integration between the </w:t>
      </w:r>
      <w:r w:rsidR="00F84CA7" w:rsidRPr="00A033C0">
        <w:t xml:space="preserve">implanted material </w:t>
      </w:r>
      <w:r w:rsidR="003A09F6" w:rsidRPr="00A033C0">
        <w:t>and the surrounding</w:t>
      </w:r>
      <w:r w:rsidR="00F84CA7" w:rsidRPr="00A033C0">
        <w:t xml:space="preserve"> tissue</w:t>
      </w:r>
      <w:r w:rsidR="00982599" w:rsidRPr="00A033C0">
        <w:rPr>
          <w:noProof/>
          <w:vertAlign w:val="superscript"/>
        </w:rPr>
        <w:t>1</w:t>
      </w:r>
      <w:r w:rsidR="00F84CA7" w:rsidRPr="00A033C0">
        <w:t xml:space="preserve">. This innate immune response is initiated by the implantation procedure and is characterized by the </w:t>
      </w:r>
      <w:r w:rsidR="005D2365" w:rsidRPr="00A033C0">
        <w:t>long-term</w:t>
      </w:r>
      <w:r w:rsidR="00F84CA7" w:rsidRPr="00A033C0">
        <w:t xml:space="preserve"> presence of innate immune cells and </w:t>
      </w:r>
      <w:r w:rsidR="008F78EE" w:rsidRPr="00A033C0">
        <w:t>fibrous capsule formation</w:t>
      </w:r>
      <w:r w:rsidR="00F84CA7" w:rsidRPr="00A033C0">
        <w:t xml:space="preserve"> around the implant</w:t>
      </w:r>
      <w:r w:rsidR="00982599" w:rsidRPr="00A033C0">
        <w:rPr>
          <w:noProof/>
          <w:vertAlign w:val="superscript"/>
        </w:rPr>
        <w:t>1</w:t>
      </w:r>
      <w:r w:rsidR="00F84CA7" w:rsidRPr="00A033C0">
        <w:t xml:space="preserve">. </w:t>
      </w:r>
      <w:r w:rsidR="0059693E" w:rsidRPr="00A033C0">
        <w:t>Within the context of material host responses, macrophage-material interactions have a significant impact on the progression of the host response and development of a FBR</w:t>
      </w:r>
      <w:r w:rsidR="00982599" w:rsidRPr="00A033C0">
        <w:rPr>
          <w:noProof/>
          <w:vertAlign w:val="superscript"/>
        </w:rPr>
        <w:t>1</w:t>
      </w:r>
      <w:r w:rsidR="0059693E" w:rsidRPr="00A033C0">
        <w:t xml:space="preserve">. </w:t>
      </w:r>
      <w:r w:rsidR="00F84CA7" w:rsidRPr="00A033C0">
        <w:t xml:space="preserve">Macrophages </w:t>
      </w:r>
      <w:r w:rsidR="0059693E" w:rsidRPr="00A033C0">
        <w:t>are</w:t>
      </w:r>
      <w:r w:rsidR="00D519E6" w:rsidRPr="00A033C0">
        <w:t xml:space="preserve"> a</w:t>
      </w:r>
      <w:r w:rsidR="0059693E" w:rsidRPr="00A033C0">
        <w:t xml:space="preserve"> diverse </w:t>
      </w:r>
      <w:r w:rsidR="00F84CA7" w:rsidRPr="00A033C0">
        <w:t>innate immune cel</w:t>
      </w:r>
      <w:r w:rsidR="0059693E" w:rsidRPr="00A033C0">
        <w:t>l population, recruited to the implant site either from tissue-resident macrophage populations or from the blood as monocyte-derived macrophages. They begin to accumulate at the implant site shortly after implantation, and within days become the predominant cell population in the implant microenvironment.</w:t>
      </w:r>
      <w:r w:rsidR="00ED57C3" w:rsidRPr="00A033C0">
        <w:t xml:space="preserve"> Material-adherent macrophages, along </w:t>
      </w:r>
      <w:r w:rsidR="00CF6D58" w:rsidRPr="00A033C0">
        <w:t xml:space="preserve">with </w:t>
      </w:r>
      <w:r w:rsidR="00ED57C3" w:rsidRPr="00A033C0">
        <w:t>foreign body giant cells</w:t>
      </w:r>
      <w:r w:rsidR="0059693E" w:rsidRPr="00A033C0">
        <w:t xml:space="preserve"> </w:t>
      </w:r>
      <w:r w:rsidR="00ED57C3" w:rsidRPr="00A033C0">
        <w:t xml:space="preserve">(FBGC) formed through macrophage fusion, can persist at the material surface </w:t>
      </w:r>
      <w:r w:rsidR="00F84CA7" w:rsidRPr="00A033C0">
        <w:t>for the lifetime of the implant</w:t>
      </w:r>
      <w:r w:rsidR="00891A46" w:rsidRPr="00A033C0">
        <w:rPr>
          <w:noProof/>
          <w:vertAlign w:val="superscript"/>
        </w:rPr>
        <w:t>2,3</w:t>
      </w:r>
      <w:r w:rsidR="00F84CA7" w:rsidRPr="00A033C0">
        <w:t xml:space="preserve">. </w:t>
      </w:r>
      <w:r w:rsidR="00CF6D58" w:rsidRPr="00A033C0">
        <w:t>Consequently, macrophages</w:t>
      </w:r>
      <w:r w:rsidR="00F84CA7" w:rsidRPr="00A033C0">
        <w:t xml:space="preserve"> are </w:t>
      </w:r>
      <w:r w:rsidR="00CF6D58" w:rsidRPr="00A033C0">
        <w:t xml:space="preserve">considered </w:t>
      </w:r>
      <w:r w:rsidR="00F84CA7" w:rsidRPr="00A033C0">
        <w:t>to be key player</w:t>
      </w:r>
      <w:r w:rsidR="00CF6D58" w:rsidRPr="00A033C0">
        <w:t>s</w:t>
      </w:r>
      <w:r w:rsidR="00F84CA7" w:rsidRPr="00A033C0">
        <w:t xml:space="preserve"> in the foreign body response</w:t>
      </w:r>
      <w:r w:rsidR="00ED57C3" w:rsidRPr="00A033C0">
        <w:t xml:space="preserve"> due to their roles orchestrating</w:t>
      </w:r>
      <w:r w:rsidR="00F84CA7" w:rsidRPr="00A033C0">
        <w:t xml:space="preserve"> the</w:t>
      </w:r>
      <w:r w:rsidR="00427A61" w:rsidRPr="00A033C0">
        <w:t xml:space="preserve"> characteristic steps </w:t>
      </w:r>
      <w:r w:rsidR="00ED57C3" w:rsidRPr="00A033C0">
        <w:t>of the FBR:</w:t>
      </w:r>
      <w:r w:rsidR="00F84CA7" w:rsidRPr="00A033C0">
        <w:t xml:space="preserve"> acute inflammatory response, tissue remodeling, and formation of fibrotic tissue</w:t>
      </w:r>
      <w:r w:rsidR="00982599" w:rsidRPr="00A033C0">
        <w:rPr>
          <w:noProof/>
          <w:vertAlign w:val="superscript"/>
        </w:rPr>
        <w:t>1</w:t>
      </w:r>
      <w:r w:rsidR="00F84CA7" w:rsidRPr="00A033C0">
        <w:t>.</w:t>
      </w:r>
    </w:p>
    <w:p w14:paraId="1E953453" w14:textId="77777777" w:rsidR="00F84CA7" w:rsidRPr="00A033C0" w:rsidRDefault="00F84CA7" w:rsidP="001B1519"/>
    <w:p w14:paraId="5D0527B2" w14:textId="04DC1E3A" w:rsidR="00D15131" w:rsidRPr="00A033C0" w:rsidRDefault="00B04D63" w:rsidP="001B1519">
      <w:r w:rsidRPr="00A033C0">
        <w:t xml:space="preserve">Toll-like receptors (TLRs) are a family of pattern recognition receptors that are </w:t>
      </w:r>
      <w:r w:rsidR="00CF6D58" w:rsidRPr="00A033C0">
        <w:t>expressed by</w:t>
      </w:r>
      <w:r w:rsidRPr="00A033C0">
        <w:t xml:space="preserve"> many immune cells, including macrophages, </w:t>
      </w:r>
      <w:r w:rsidR="002364C6" w:rsidRPr="00A033C0">
        <w:t>and</w:t>
      </w:r>
      <w:r w:rsidRPr="00A033C0">
        <w:t xml:space="preserve"> have been shown to play a significant role in inflammation and wound healing.</w:t>
      </w:r>
      <w:r w:rsidR="00EB4580" w:rsidRPr="00A033C0">
        <w:t xml:space="preserve"> </w:t>
      </w:r>
      <w:r w:rsidR="00CF6D58" w:rsidRPr="00A033C0">
        <w:t xml:space="preserve">In addition to pathogen-derived ligands, </w:t>
      </w:r>
      <w:r w:rsidR="00EB4580" w:rsidRPr="00A033C0">
        <w:t xml:space="preserve">TLRs </w:t>
      </w:r>
      <w:proofErr w:type="gramStart"/>
      <w:r w:rsidR="00EB4580" w:rsidRPr="00A033C0">
        <w:t>are able to</w:t>
      </w:r>
      <w:proofErr w:type="gramEnd"/>
      <w:r w:rsidR="00EB4580" w:rsidRPr="00A033C0">
        <w:t xml:space="preserve"> bind </w:t>
      </w:r>
      <w:r w:rsidR="00CF6D58" w:rsidRPr="00A033C0">
        <w:t xml:space="preserve">endogenous </w:t>
      </w:r>
      <w:r w:rsidR="00EB4580" w:rsidRPr="00A033C0">
        <w:t>molecules</w:t>
      </w:r>
      <w:r w:rsidR="00CF6D58" w:rsidRPr="00A033C0">
        <w:t>, known as damage-associated molecular patterns (DAMPs),</w:t>
      </w:r>
      <w:r w:rsidR="00EB4580" w:rsidRPr="00A033C0">
        <w:t xml:space="preserve"> </w:t>
      </w:r>
      <w:r w:rsidR="00CC1707">
        <w:t>which</w:t>
      </w:r>
      <w:r w:rsidR="00CF6D58" w:rsidRPr="00A033C0">
        <w:t xml:space="preserve"> are </w:t>
      </w:r>
      <w:r w:rsidR="00EB4580" w:rsidRPr="00A033C0">
        <w:t>released during cell necrosis and activate inflammatory signaling pathways resulting in the production of proinflammatory cytokines</w:t>
      </w:r>
      <w:r w:rsidR="00891A46" w:rsidRPr="00A033C0">
        <w:rPr>
          <w:noProof/>
          <w:vertAlign w:val="superscript"/>
        </w:rPr>
        <w:t>4</w:t>
      </w:r>
      <w:r w:rsidR="00EB4580" w:rsidRPr="00A033C0">
        <w:t>.</w:t>
      </w:r>
      <w:r w:rsidRPr="00A033C0">
        <w:t xml:space="preserve"> We</w:t>
      </w:r>
      <w:r w:rsidR="002364C6" w:rsidRPr="00A033C0">
        <w:t xml:space="preserve"> and others</w:t>
      </w:r>
      <w:r w:rsidRPr="00A033C0">
        <w:t xml:space="preserve"> </w:t>
      </w:r>
      <w:r w:rsidR="00F84CA7" w:rsidRPr="00A033C0">
        <w:t xml:space="preserve">have </w:t>
      </w:r>
      <w:r w:rsidRPr="00A033C0">
        <w:t>propose</w:t>
      </w:r>
      <w:r w:rsidR="00F84CA7" w:rsidRPr="00A033C0">
        <w:t>d</w:t>
      </w:r>
      <w:r w:rsidRPr="00A033C0">
        <w:t xml:space="preserve"> that damage in</w:t>
      </w:r>
      <w:r w:rsidR="00427A61" w:rsidRPr="00A033C0">
        <w:t>curred</w:t>
      </w:r>
      <w:r w:rsidRPr="00A033C0">
        <w:t xml:space="preserve"> during soft tissue biomaterial implantation procedure</w:t>
      </w:r>
      <w:r w:rsidR="00CF6D58" w:rsidRPr="00A033C0">
        <w:t>s</w:t>
      </w:r>
      <w:r w:rsidRPr="00A033C0">
        <w:t xml:space="preserve"> release DAMPs, which </w:t>
      </w:r>
      <w:r w:rsidR="00CF6D58" w:rsidRPr="00A033C0">
        <w:t xml:space="preserve">then </w:t>
      </w:r>
      <w:r w:rsidRPr="00A033C0">
        <w:t>adsorb to biomaterial surfaces in addition to blood proteins</w:t>
      </w:r>
      <w:r w:rsidR="00CF6D58" w:rsidRPr="00A033C0">
        <w:t xml:space="preserve"> and modulate subsequent cell-material interactions</w:t>
      </w:r>
      <w:r w:rsidR="00891A46" w:rsidRPr="00A033C0">
        <w:rPr>
          <w:noProof/>
          <w:vertAlign w:val="superscript"/>
        </w:rPr>
        <w:t>5,6</w:t>
      </w:r>
      <w:r w:rsidRPr="00A033C0">
        <w:t xml:space="preserve">. When macrophages interact with the adsorbed protein layer on an implant, their surface TLRs may </w:t>
      </w:r>
      <w:r w:rsidR="00CF6D58" w:rsidRPr="00A033C0">
        <w:t>recognize adsorbed</w:t>
      </w:r>
      <w:r w:rsidRPr="00A033C0">
        <w:t xml:space="preserve"> DAMPs and </w:t>
      </w:r>
      <w:r w:rsidR="00427A61" w:rsidRPr="00A033C0">
        <w:t>activate</w:t>
      </w:r>
      <w:r w:rsidRPr="00A033C0">
        <w:t xml:space="preserve"> proinflammatory signaling</w:t>
      </w:r>
      <w:r w:rsidR="00427A61" w:rsidRPr="00A033C0">
        <w:t xml:space="preserve"> cascades</w:t>
      </w:r>
      <w:r w:rsidRPr="00A033C0">
        <w:t xml:space="preserve">, leading to </w:t>
      </w:r>
      <w:r w:rsidR="002364C6" w:rsidRPr="00A033C0">
        <w:rPr>
          <w:lang w:val="en-CA"/>
        </w:rPr>
        <w:t>NF-</w:t>
      </w:r>
      <w:proofErr w:type="spellStart"/>
      <w:r w:rsidR="002364C6" w:rsidRPr="00A033C0">
        <w:rPr>
          <w:lang w:val="en-CA"/>
        </w:rPr>
        <w:t>κB</w:t>
      </w:r>
      <w:proofErr w:type="spellEnd"/>
      <w:r w:rsidR="002364C6" w:rsidRPr="00A033C0">
        <w:rPr>
          <w:lang w:val="en-CA"/>
        </w:rPr>
        <w:t xml:space="preserve"> and AP-1 transcription factor</w:t>
      </w:r>
      <w:r w:rsidR="00CF6D58" w:rsidRPr="00A033C0">
        <w:rPr>
          <w:lang w:val="en-CA"/>
        </w:rPr>
        <w:t xml:space="preserve"> activation</w:t>
      </w:r>
      <w:r w:rsidR="002364C6" w:rsidRPr="00A033C0">
        <w:rPr>
          <w:lang w:val="en-CA"/>
        </w:rPr>
        <w:t xml:space="preserve"> and production of proinflammatory cytokines. </w:t>
      </w:r>
      <w:r w:rsidR="00CF6D58" w:rsidRPr="00A033C0">
        <w:rPr>
          <w:lang w:val="en-CA"/>
        </w:rPr>
        <w:t>We have</w:t>
      </w:r>
      <w:r w:rsidR="002364C6" w:rsidRPr="00A033C0">
        <w:rPr>
          <w:lang w:val="en-CA"/>
        </w:rPr>
        <w:t xml:space="preserve"> </w:t>
      </w:r>
      <w:r w:rsidR="00D519E6" w:rsidRPr="00A033C0">
        <w:rPr>
          <w:lang w:val="en-CA"/>
        </w:rPr>
        <w:t xml:space="preserve">previously </w:t>
      </w:r>
      <w:r w:rsidR="002364C6" w:rsidRPr="00A033C0">
        <w:rPr>
          <w:lang w:val="en-CA"/>
        </w:rPr>
        <w:t>shown that murine macrophages have significantly increased NF-</w:t>
      </w:r>
      <w:proofErr w:type="spellStart"/>
      <w:r w:rsidR="002364C6" w:rsidRPr="00A033C0">
        <w:rPr>
          <w:lang w:val="en-CA"/>
        </w:rPr>
        <w:t>κB</w:t>
      </w:r>
      <w:proofErr w:type="spellEnd"/>
      <w:r w:rsidR="002364C6" w:rsidRPr="00A033C0">
        <w:rPr>
          <w:lang w:val="en-CA"/>
        </w:rPr>
        <w:t>/AP-1 activity</w:t>
      </w:r>
      <w:r w:rsidR="00427A61" w:rsidRPr="00A033C0">
        <w:rPr>
          <w:lang w:val="en-CA"/>
        </w:rPr>
        <w:t xml:space="preserve"> and tumor necrosis factor α (TNF-α</w:t>
      </w:r>
      <w:r w:rsidR="00836669" w:rsidRPr="00A033C0">
        <w:rPr>
          <w:lang w:val="en-CA"/>
        </w:rPr>
        <w:t>, proinflammatory cytokine</w:t>
      </w:r>
      <w:r w:rsidR="00427A61" w:rsidRPr="00A033C0">
        <w:rPr>
          <w:lang w:val="en-CA"/>
        </w:rPr>
        <w:t>) secretion</w:t>
      </w:r>
      <w:r w:rsidR="002364C6" w:rsidRPr="00A033C0">
        <w:rPr>
          <w:lang w:val="en-CA"/>
        </w:rPr>
        <w:t xml:space="preserve"> in response to </w:t>
      </w:r>
      <w:r w:rsidR="00CF6D58" w:rsidRPr="00A033C0">
        <w:rPr>
          <w:lang w:val="en-CA"/>
        </w:rPr>
        <w:t xml:space="preserve">DAMP-containing adsorbed protein layers on </w:t>
      </w:r>
      <w:r w:rsidR="002364C6" w:rsidRPr="00A033C0">
        <w:rPr>
          <w:lang w:val="en-CA"/>
        </w:rPr>
        <w:t>a variety of polymeric surfaces</w:t>
      </w:r>
      <w:r w:rsidR="00B23FFF" w:rsidRPr="00A033C0">
        <w:rPr>
          <w:lang w:val="en-CA"/>
        </w:rPr>
        <w:t xml:space="preserve"> compared to surfaces with adsorbed serum or plasma only (</w:t>
      </w:r>
      <w:r w:rsidR="004D6BDD" w:rsidRPr="004D6BDD">
        <w:rPr>
          <w:lang w:val="en-CA"/>
        </w:rPr>
        <w:t xml:space="preserve">i.e., </w:t>
      </w:r>
      <w:r w:rsidR="00B23FFF" w:rsidRPr="00A033C0">
        <w:rPr>
          <w:lang w:val="en-CA"/>
        </w:rPr>
        <w:t>no DAMPs present),</w:t>
      </w:r>
      <w:r w:rsidR="002364C6" w:rsidRPr="00A033C0">
        <w:rPr>
          <w:lang w:val="en-CA"/>
        </w:rPr>
        <w:t xml:space="preserve"> and that this response is largely mediated by TLR2</w:t>
      </w:r>
      <w:r w:rsidR="00CF6D58" w:rsidRPr="00A033C0">
        <w:rPr>
          <w:lang w:val="en-CA"/>
        </w:rPr>
        <w:t>, while</w:t>
      </w:r>
      <w:r w:rsidR="00427A61" w:rsidRPr="00A033C0">
        <w:rPr>
          <w:lang w:val="en-CA"/>
        </w:rPr>
        <w:t xml:space="preserve"> </w:t>
      </w:r>
      <w:r w:rsidR="002364C6" w:rsidRPr="00A033C0">
        <w:rPr>
          <w:lang w:val="en-CA"/>
        </w:rPr>
        <w:t>TLR4</w:t>
      </w:r>
      <w:r w:rsidR="00CF6D58" w:rsidRPr="00A033C0">
        <w:rPr>
          <w:lang w:val="en-CA"/>
        </w:rPr>
        <w:t xml:space="preserve"> plays a lesser role</w:t>
      </w:r>
      <w:r w:rsidR="00891A46" w:rsidRPr="00A033C0">
        <w:rPr>
          <w:noProof/>
          <w:vertAlign w:val="superscript"/>
          <w:lang w:val="en-CA"/>
        </w:rPr>
        <w:t>5</w:t>
      </w:r>
      <w:r w:rsidR="002364C6" w:rsidRPr="00A033C0">
        <w:rPr>
          <w:lang w:val="en-CA"/>
        </w:rPr>
        <w:t>.</w:t>
      </w:r>
    </w:p>
    <w:p w14:paraId="29D0C5CF" w14:textId="77777777" w:rsidR="0090636C" w:rsidRPr="00A033C0" w:rsidRDefault="0090636C" w:rsidP="0090636C">
      <w:pPr>
        <w:tabs>
          <w:tab w:val="left" w:pos="270"/>
        </w:tabs>
        <w:rPr>
          <w:lang w:val="en-CA"/>
        </w:rPr>
      </w:pPr>
    </w:p>
    <w:p w14:paraId="4941707D" w14:textId="312C4F29" w:rsidR="00D7633D" w:rsidRPr="00A033C0" w:rsidRDefault="00CF6D58" w:rsidP="00CC16C7">
      <w:pPr>
        <w:tabs>
          <w:tab w:val="left" w:pos="270"/>
        </w:tabs>
        <w:rPr>
          <w:lang w:val="en-CA"/>
        </w:rPr>
      </w:pPr>
      <w:r w:rsidRPr="00A033C0">
        <w:rPr>
          <w:lang w:val="en-CA"/>
        </w:rPr>
        <w:t>T</w:t>
      </w:r>
      <w:r w:rsidR="0090636C" w:rsidRPr="00A033C0">
        <w:rPr>
          <w:lang w:val="en-CA"/>
        </w:rPr>
        <w:t xml:space="preserve">he </w:t>
      </w:r>
      <w:r w:rsidRPr="00A033C0">
        <w:rPr>
          <w:lang w:val="en-CA"/>
        </w:rPr>
        <w:t>NF-</w:t>
      </w:r>
      <w:proofErr w:type="spellStart"/>
      <w:r w:rsidR="00F20695" w:rsidRPr="00A033C0">
        <w:rPr>
          <w:lang w:val="en-CA"/>
        </w:rPr>
        <w:t>κ</w:t>
      </w:r>
      <w:r w:rsidRPr="00A033C0">
        <w:rPr>
          <w:lang w:val="en-CA"/>
        </w:rPr>
        <w:t>B</w:t>
      </w:r>
      <w:proofErr w:type="spellEnd"/>
      <w:r w:rsidRPr="00A033C0">
        <w:rPr>
          <w:lang w:val="en-CA"/>
        </w:rPr>
        <w:t xml:space="preserve">/AP-1 reporter </w:t>
      </w:r>
      <w:r w:rsidR="00F20695" w:rsidRPr="00A033C0">
        <w:rPr>
          <w:lang w:val="en-CA"/>
        </w:rPr>
        <w:t xml:space="preserve">macrophage </w:t>
      </w:r>
      <w:r w:rsidR="0090636C" w:rsidRPr="00A033C0">
        <w:rPr>
          <w:lang w:val="en-CA"/>
        </w:rPr>
        <w:t>cell line</w:t>
      </w:r>
      <w:r w:rsidR="00F20695" w:rsidRPr="00A033C0">
        <w:rPr>
          <w:lang w:val="en-CA"/>
        </w:rPr>
        <w:t xml:space="preserve"> (</w:t>
      </w:r>
      <w:r w:rsidR="00563EDB" w:rsidRPr="00563EDB">
        <w:rPr>
          <w:b/>
          <w:bCs/>
          <w:lang w:val="en-CA"/>
        </w:rPr>
        <w:t>Table of Materials</w:t>
      </w:r>
      <w:r w:rsidR="00F20695" w:rsidRPr="00A033C0">
        <w:rPr>
          <w:lang w:val="en-CA"/>
        </w:rPr>
        <w:t>)</w:t>
      </w:r>
      <w:r w:rsidR="00A4003C" w:rsidRPr="00A033C0">
        <w:rPr>
          <w:lang w:val="en-CA"/>
        </w:rPr>
        <w:t xml:space="preserve"> used in this </w:t>
      </w:r>
      <w:r w:rsidR="00AF0BC6" w:rsidRPr="00A033C0">
        <w:rPr>
          <w:lang w:val="en-CA"/>
        </w:rPr>
        <w:t>protocol</w:t>
      </w:r>
      <w:r w:rsidR="0090636C" w:rsidRPr="00A033C0">
        <w:rPr>
          <w:lang w:val="en-CA"/>
        </w:rPr>
        <w:t xml:space="preserve"> </w:t>
      </w:r>
      <w:r w:rsidRPr="00A033C0">
        <w:rPr>
          <w:lang w:val="en-CA"/>
        </w:rPr>
        <w:t xml:space="preserve">is a convenient method </w:t>
      </w:r>
      <w:r w:rsidR="0090636C" w:rsidRPr="00A033C0">
        <w:rPr>
          <w:lang w:val="en-CA"/>
        </w:rPr>
        <w:t>to measure relative NF-</w:t>
      </w:r>
      <w:proofErr w:type="spellStart"/>
      <w:r w:rsidR="0090636C" w:rsidRPr="00A033C0">
        <w:rPr>
          <w:lang w:val="en-CA"/>
        </w:rPr>
        <w:t>κB</w:t>
      </w:r>
      <w:proofErr w:type="spellEnd"/>
      <w:r w:rsidRPr="00A033C0">
        <w:rPr>
          <w:lang w:val="en-CA"/>
        </w:rPr>
        <w:t xml:space="preserve"> and AP-1</w:t>
      </w:r>
      <w:r w:rsidR="00427A61" w:rsidRPr="00A033C0">
        <w:rPr>
          <w:lang w:val="en-CA"/>
        </w:rPr>
        <w:t xml:space="preserve"> </w:t>
      </w:r>
      <w:r w:rsidR="0090636C" w:rsidRPr="00A033C0">
        <w:rPr>
          <w:lang w:val="en-CA"/>
        </w:rPr>
        <w:t xml:space="preserve">activity </w:t>
      </w:r>
      <w:r w:rsidRPr="00A033C0">
        <w:rPr>
          <w:lang w:val="en-CA"/>
        </w:rPr>
        <w:t xml:space="preserve">in </w:t>
      </w:r>
      <w:r w:rsidR="0090636C" w:rsidRPr="00A033C0">
        <w:rPr>
          <w:lang w:val="en-CA"/>
        </w:rPr>
        <w:t>macrophages</w:t>
      </w:r>
      <w:r w:rsidR="00891A46" w:rsidRPr="00A033C0">
        <w:rPr>
          <w:noProof/>
          <w:vertAlign w:val="superscript"/>
          <w:lang w:val="en-CA"/>
        </w:rPr>
        <w:t>5,7,8</w:t>
      </w:r>
      <w:r w:rsidR="0090636C" w:rsidRPr="00A033C0">
        <w:rPr>
          <w:lang w:val="en-CA"/>
        </w:rPr>
        <w:t xml:space="preserve">. </w:t>
      </w:r>
      <w:r w:rsidRPr="00A033C0">
        <w:rPr>
          <w:lang w:val="en-CA"/>
        </w:rPr>
        <w:t xml:space="preserve">In </w:t>
      </w:r>
      <w:r w:rsidR="001626A1" w:rsidRPr="00A033C0">
        <w:rPr>
          <w:lang w:val="en-CA"/>
        </w:rPr>
        <w:t>combination with TLR pathway inhibitors,</w:t>
      </w:r>
      <w:r w:rsidRPr="00A033C0">
        <w:rPr>
          <w:lang w:val="en-CA"/>
        </w:rPr>
        <w:t xml:space="preserve"> this cell line is a useful tool for investigating TLR activation and its role in inflammation</w:t>
      </w:r>
      <w:r w:rsidR="001626A1" w:rsidRPr="00A033C0">
        <w:rPr>
          <w:lang w:val="en-CA"/>
        </w:rPr>
        <w:t xml:space="preserve"> in response to a variety of stimuli</w:t>
      </w:r>
      <w:r w:rsidR="00891A46" w:rsidRPr="00A033C0">
        <w:rPr>
          <w:noProof/>
          <w:vertAlign w:val="superscript"/>
          <w:lang w:val="en-CA"/>
        </w:rPr>
        <w:t>5,7,8</w:t>
      </w:r>
      <w:r w:rsidR="008516E3" w:rsidRPr="00A033C0">
        <w:rPr>
          <w:lang w:val="en-CA"/>
        </w:rPr>
        <w:t>.</w:t>
      </w:r>
      <w:r w:rsidRPr="00A033C0">
        <w:rPr>
          <w:lang w:val="en-CA"/>
        </w:rPr>
        <w:t xml:space="preserve"> </w:t>
      </w:r>
      <w:r w:rsidR="0090636C" w:rsidRPr="00A033C0">
        <w:rPr>
          <w:lang w:val="en-CA"/>
        </w:rPr>
        <w:t xml:space="preserve">The </w:t>
      </w:r>
      <w:r w:rsidR="00A4003C" w:rsidRPr="00A033C0">
        <w:rPr>
          <w:lang w:val="en-CA"/>
        </w:rPr>
        <w:t>reporter</w:t>
      </w:r>
      <w:r w:rsidR="00BB7516" w:rsidRPr="00A033C0">
        <w:rPr>
          <w:lang w:val="en-CA"/>
        </w:rPr>
        <w:t xml:space="preserve"> cells</w:t>
      </w:r>
      <w:r w:rsidR="0090636C" w:rsidRPr="00A033C0">
        <w:rPr>
          <w:lang w:val="en-CA"/>
        </w:rPr>
        <w:t xml:space="preserve"> are a modified mouse macrophage-like cell line </w:t>
      </w:r>
      <w:r w:rsidR="00EB4580" w:rsidRPr="00A033C0">
        <w:rPr>
          <w:lang w:val="en-CA"/>
        </w:rPr>
        <w:t xml:space="preserve">that </w:t>
      </w:r>
      <w:r w:rsidR="00D519E6" w:rsidRPr="00A033C0">
        <w:rPr>
          <w:lang w:val="en-CA"/>
        </w:rPr>
        <w:t>can</w:t>
      </w:r>
      <w:r w:rsidR="0090636C" w:rsidRPr="00A033C0">
        <w:rPr>
          <w:lang w:val="en-CA"/>
        </w:rPr>
        <w:t xml:space="preserve"> stably produce secreted embryonic alkaline phosphatase (SEAP) upon NF-</w:t>
      </w:r>
      <w:proofErr w:type="spellStart"/>
      <w:r w:rsidR="0090636C" w:rsidRPr="00A033C0">
        <w:rPr>
          <w:lang w:val="en-CA"/>
        </w:rPr>
        <w:t>κB</w:t>
      </w:r>
      <w:proofErr w:type="spellEnd"/>
      <w:r w:rsidR="00427A61" w:rsidRPr="00A033C0">
        <w:rPr>
          <w:lang w:val="en-CA"/>
        </w:rPr>
        <w:t xml:space="preserve"> and </w:t>
      </w:r>
      <w:r w:rsidR="0090636C" w:rsidRPr="00A033C0">
        <w:rPr>
          <w:lang w:val="en-CA"/>
        </w:rPr>
        <w:t>AP-1</w:t>
      </w:r>
      <w:r w:rsidR="00222997" w:rsidRPr="00A033C0">
        <w:rPr>
          <w:lang w:val="en-CA"/>
        </w:rPr>
        <w:t xml:space="preserve"> transcription factor</w:t>
      </w:r>
      <w:r w:rsidR="0090636C" w:rsidRPr="00A033C0">
        <w:rPr>
          <w:lang w:val="en-CA"/>
        </w:rPr>
        <w:t xml:space="preserve"> activation</w:t>
      </w:r>
      <w:r w:rsidR="00891A46" w:rsidRPr="00A033C0">
        <w:rPr>
          <w:noProof/>
          <w:vertAlign w:val="superscript"/>
          <w:lang w:val="en-CA"/>
        </w:rPr>
        <w:t>9</w:t>
      </w:r>
      <w:r w:rsidR="0090636C" w:rsidRPr="00A033C0">
        <w:rPr>
          <w:lang w:val="en-CA"/>
        </w:rPr>
        <w:t xml:space="preserve">. The </w:t>
      </w:r>
      <w:r w:rsidR="00162DBF" w:rsidRPr="00A033C0">
        <w:rPr>
          <w:lang w:val="en-CA"/>
        </w:rPr>
        <w:t xml:space="preserve">colorimetric </w:t>
      </w:r>
      <w:r w:rsidR="0090636C" w:rsidRPr="00A033C0">
        <w:rPr>
          <w:lang w:val="en-CA"/>
        </w:rPr>
        <w:t>enzymatic</w:t>
      </w:r>
      <w:r w:rsidR="00A4003C" w:rsidRPr="00A033C0">
        <w:rPr>
          <w:lang w:val="en-CA"/>
        </w:rPr>
        <w:t xml:space="preserve"> alkaline phosphatase</w:t>
      </w:r>
      <w:r w:rsidR="0090636C" w:rsidRPr="00A033C0">
        <w:rPr>
          <w:lang w:val="en-CA"/>
        </w:rPr>
        <w:t xml:space="preserve"> assay</w:t>
      </w:r>
      <w:r w:rsidR="00A4003C" w:rsidRPr="00A033C0">
        <w:rPr>
          <w:lang w:val="en-CA"/>
        </w:rPr>
        <w:t xml:space="preserve"> (</w:t>
      </w:r>
      <w:r w:rsidR="00563EDB" w:rsidRPr="00563EDB">
        <w:rPr>
          <w:b/>
          <w:bCs/>
          <w:lang w:val="en-CA"/>
        </w:rPr>
        <w:t>Table of Materials</w:t>
      </w:r>
      <w:r w:rsidR="00A4003C" w:rsidRPr="00A033C0">
        <w:rPr>
          <w:lang w:val="en-CA"/>
        </w:rPr>
        <w:t>)</w:t>
      </w:r>
      <w:r w:rsidR="0090636C" w:rsidRPr="00A033C0">
        <w:rPr>
          <w:lang w:val="en-CA"/>
        </w:rPr>
        <w:t xml:space="preserve"> can then be used to quantify relative amounts of SEAP expression</w:t>
      </w:r>
      <w:r w:rsidR="001626A1" w:rsidRPr="00A033C0">
        <w:rPr>
          <w:lang w:val="en-CA"/>
        </w:rPr>
        <w:t xml:space="preserve"> as an indirect measure of </w:t>
      </w:r>
      <w:r w:rsidR="0090636C" w:rsidRPr="00A033C0">
        <w:rPr>
          <w:lang w:val="en-CA"/>
        </w:rPr>
        <w:t>NF-</w:t>
      </w:r>
      <w:proofErr w:type="spellStart"/>
      <w:r w:rsidR="0090636C" w:rsidRPr="00A033C0">
        <w:rPr>
          <w:lang w:val="en-CA"/>
        </w:rPr>
        <w:t>κB</w:t>
      </w:r>
      <w:proofErr w:type="spellEnd"/>
      <w:r w:rsidR="0090636C" w:rsidRPr="00A033C0">
        <w:rPr>
          <w:lang w:val="en-CA"/>
        </w:rPr>
        <w:t>/AP-1 activity.</w:t>
      </w:r>
      <w:r w:rsidR="00544D9A" w:rsidRPr="00A033C0">
        <w:rPr>
          <w:lang w:val="en-CA"/>
        </w:rPr>
        <w:t xml:space="preserve"> </w:t>
      </w:r>
      <w:r w:rsidR="001626A1" w:rsidRPr="00A033C0">
        <w:rPr>
          <w:lang w:val="en-CA"/>
        </w:rPr>
        <w:t xml:space="preserve">As </w:t>
      </w:r>
      <w:r w:rsidR="00222997" w:rsidRPr="00A033C0">
        <w:rPr>
          <w:lang w:val="en-CA"/>
        </w:rPr>
        <w:t>NF-</w:t>
      </w:r>
      <w:proofErr w:type="spellStart"/>
      <w:r w:rsidR="00222997" w:rsidRPr="00A033C0">
        <w:rPr>
          <w:lang w:val="en-CA"/>
        </w:rPr>
        <w:t>κB</w:t>
      </w:r>
      <w:proofErr w:type="spellEnd"/>
      <w:r w:rsidR="00222997" w:rsidRPr="00A033C0">
        <w:rPr>
          <w:lang w:val="en-CA"/>
        </w:rPr>
        <w:t xml:space="preserve"> and AP-1 are downstream of many </w:t>
      </w:r>
      <w:proofErr w:type="gramStart"/>
      <w:r w:rsidR="00222997" w:rsidRPr="00A033C0">
        <w:rPr>
          <w:lang w:val="en-CA"/>
        </w:rPr>
        <w:t>cell</w:t>
      </w:r>
      <w:proofErr w:type="gramEnd"/>
      <w:r w:rsidR="00222997" w:rsidRPr="00A033C0">
        <w:rPr>
          <w:lang w:val="en-CA"/>
        </w:rPr>
        <w:t xml:space="preserve"> signaling pathways, neutralizing antibodies and inhibitors targeting specific TLRs </w:t>
      </w:r>
      <w:r w:rsidR="001626A1" w:rsidRPr="00A033C0">
        <w:rPr>
          <w:lang w:val="en-CA"/>
        </w:rPr>
        <w:t>(</w:t>
      </w:r>
      <w:r w:rsidR="00754134" w:rsidRPr="00754134">
        <w:rPr>
          <w:lang w:val="en-CA"/>
        </w:rPr>
        <w:t xml:space="preserve">e.g., </w:t>
      </w:r>
      <w:r w:rsidR="001626A1" w:rsidRPr="00A033C0">
        <w:rPr>
          <w:lang w:val="en-CA"/>
        </w:rPr>
        <w:t xml:space="preserve">TLR2) </w:t>
      </w:r>
      <w:r w:rsidR="00222997" w:rsidRPr="00A033C0">
        <w:rPr>
          <w:lang w:val="en-CA"/>
        </w:rPr>
        <w:t xml:space="preserve">or TLR adaptor molecules </w:t>
      </w:r>
      <w:r w:rsidR="001626A1" w:rsidRPr="00A033C0">
        <w:rPr>
          <w:lang w:val="en-CA"/>
        </w:rPr>
        <w:t>(</w:t>
      </w:r>
      <w:r w:rsidR="00754134" w:rsidRPr="00754134">
        <w:rPr>
          <w:lang w:val="en-CA"/>
        </w:rPr>
        <w:t xml:space="preserve">e.g., </w:t>
      </w:r>
      <w:r w:rsidR="001626A1" w:rsidRPr="00A033C0">
        <w:rPr>
          <w:lang w:val="en-CA"/>
        </w:rPr>
        <w:t xml:space="preserve">MyD88) </w:t>
      </w:r>
      <w:r w:rsidR="00222997" w:rsidRPr="00A033C0">
        <w:rPr>
          <w:lang w:val="en-CA"/>
        </w:rPr>
        <w:t xml:space="preserve">can be used </w:t>
      </w:r>
      <w:r w:rsidR="00222997" w:rsidRPr="00A033C0">
        <w:rPr>
          <w:lang w:val="en-CA"/>
        </w:rPr>
        <w:lastRenderedPageBreak/>
        <w:t xml:space="preserve">to verify the role of a specific pathway. </w:t>
      </w:r>
      <w:r w:rsidR="001626A1" w:rsidRPr="00A033C0">
        <w:rPr>
          <w:lang w:val="en-CA"/>
        </w:rPr>
        <w:t>The methodology described in this article provides a</w:t>
      </w:r>
      <w:r w:rsidR="00D519E6" w:rsidRPr="00A033C0">
        <w:rPr>
          <w:lang w:val="en-CA"/>
        </w:rPr>
        <w:t xml:space="preserve"> simple </w:t>
      </w:r>
      <w:r w:rsidR="001626A1" w:rsidRPr="00A033C0">
        <w:rPr>
          <w:lang w:val="en-CA"/>
        </w:rPr>
        <w:t xml:space="preserve">and rapid approach for </w:t>
      </w:r>
      <w:r w:rsidR="00B04D63" w:rsidRPr="00A033C0">
        <w:rPr>
          <w:lang w:val="en-CA"/>
        </w:rPr>
        <w:t>assess</w:t>
      </w:r>
      <w:r w:rsidR="001626A1" w:rsidRPr="00A033C0">
        <w:rPr>
          <w:lang w:val="en-CA"/>
        </w:rPr>
        <w:t>ing</w:t>
      </w:r>
      <w:r w:rsidR="00B04D63" w:rsidRPr="00A033C0">
        <w:rPr>
          <w:lang w:val="en-CA"/>
        </w:rPr>
        <w:t xml:space="preserve"> </w:t>
      </w:r>
      <w:r w:rsidR="00C623B9" w:rsidRPr="00A033C0">
        <w:rPr>
          <w:lang w:val="en-CA"/>
        </w:rPr>
        <w:t xml:space="preserve">the contribution of TLR signaling in </w:t>
      </w:r>
      <w:r w:rsidR="00B04D63" w:rsidRPr="00A033C0">
        <w:rPr>
          <w:lang w:val="en-CA"/>
        </w:rPr>
        <w:t xml:space="preserve">murine macrophage responses to a variety of polymeric surfaces with adsorbed protein layers containing </w:t>
      </w:r>
      <w:r w:rsidR="001626A1" w:rsidRPr="00A033C0">
        <w:rPr>
          <w:lang w:val="en-CA"/>
        </w:rPr>
        <w:t xml:space="preserve">both </w:t>
      </w:r>
      <w:r w:rsidR="00B04D63" w:rsidRPr="00A033C0">
        <w:rPr>
          <w:lang w:val="en-CA"/>
        </w:rPr>
        <w:t>blood proteins and</w:t>
      </w:r>
      <w:r w:rsidR="005079A8" w:rsidRPr="00A033C0">
        <w:rPr>
          <w:lang w:val="en-CA"/>
        </w:rPr>
        <w:t xml:space="preserve"> DAMPs</w:t>
      </w:r>
      <w:r w:rsidR="00B04D63" w:rsidRPr="00A033C0">
        <w:rPr>
          <w:lang w:val="en-CA"/>
        </w:rPr>
        <w:t xml:space="preserve"> as an </w:t>
      </w:r>
      <w:r w:rsidR="00DD0575" w:rsidRPr="00DD0575">
        <w:rPr>
          <w:lang w:val="en-CA"/>
        </w:rPr>
        <w:t xml:space="preserve">in vitro </w:t>
      </w:r>
      <w:r w:rsidR="00B04D63" w:rsidRPr="00A033C0">
        <w:rPr>
          <w:lang w:val="en-CA"/>
        </w:rPr>
        <w:t>model of implanted biomaterials.</w:t>
      </w:r>
    </w:p>
    <w:p w14:paraId="6E854087" w14:textId="77777777" w:rsidR="00CC16C7" w:rsidRPr="00A033C0" w:rsidRDefault="00CC16C7" w:rsidP="00CC16C7">
      <w:pPr>
        <w:tabs>
          <w:tab w:val="left" w:pos="270"/>
        </w:tabs>
        <w:rPr>
          <w:lang w:val="en-CA"/>
        </w:rPr>
      </w:pPr>
    </w:p>
    <w:p w14:paraId="09096213" w14:textId="3A3239BE" w:rsidR="006305D7" w:rsidRDefault="006305D7" w:rsidP="001B1519">
      <w:pPr>
        <w:rPr>
          <w:b/>
        </w:rPr>
      </w:pPr>
      <w:r w:rsidRPr="00A033C0">
        <w:rPr>
          <w:b/>
        </w:rPr>
        <w:t>PROTOCOL:</w:t>
      </w:r>
    </w:p>
    <w:p w14:paraId="33DE059E" w14:textId="77777777" w:rsidR="004A378F" w:rsidRPr="00A033C0" w:rsidRDefault="004A378F" w:rsidP="001B1519">
      <w:pPr>
        <w:rPr>
          <w:color w:val="808080"/>
        </w:rPr>
      </w:pPr>
    </w:p>
    <w:p w14:paraId="48041D16" w14:textId="138D99B3" w:rsidR="00DD61D0" w:rsidRPr="00146E43" w:rsidRDefault="00DD61D0" w:rsidP="00146E43">
      <w:pPr>
        <w:pStyle w:val="ListParagraph"/>
        <w:numPr>
          <w:ilvl w:val="0"/>
          <w:numId w:val="29"/>
        </w:numPr>
        <w:rPr>
          <w:b/>
          <w:color w:val="auto"/>
        </w:rPr>
      </w:pPr>
      <w:r w:rsidRPr="00146E43">
        <w:rPr>
          <w:b/>
          <w:color w:val="auto"/>
        </w:rPr>
        <w:t>Media and reagent preparation</w:t>
      </w:r>
    </w:p>
    <w:p w14:paraId="60DCB8F2" w14:textId="77777777" w:rsidR="00DD61D0" w:rsidRPr="00A033C0" w:rsidRDefault="00DD61D0" w:rsidP="00DD61D0">
      <w:pPr>
        <w:rPr>
          <w:b/>
          <w:color w:val="auto"/>
        </w:rPr>
      </w:pPr>
    </w:p>
    <w:p w14:paraId="0EB00198" w14:textId="3A1BCB91" w:rsidR="00DD61D0" w:rsidRPr="00146E43" w:rsidRDefault="00DD61D0" w:rsidP="00146E43">
      <w:pPr>
        <w:pStyle w:val="ListParagraph"/>
        <w:numPr>
          <w:ilvl w:val="1"/>
          <w:numId w:val="29"/>
        </w:numPr>
        <w:rPr>
          <w:color w:val="auto"/>
        </w:rPr>
      </w:pPr>
      <w:r w:rsidRPr="00146E43">
        <w:rPr>
          <w:color w:val="auto"/>
        </w:rPr>
        <w:t xml:space="preserve">Prepare </w:t>
      </w:r>
      <w:r w:rsidR="00A4003C" w:rsidRPr="00146E43">
        <w:rPr>
          <w:color w:val="auto"/>
        </w:rPr>
        <w:t xml:space="preserve">fibroblast </w:t>
      </w:r>
      <w:r w:rsidRPr="00146E43">
        <w:rPr>
          <w:color w:val="auto"/>
        </w:rPr>
        <w:t xml:space="preserve">media. Combine 450 mL </w:t>
      </w:r>
      <w:r w:rsidR="004A378F" w:rsidRPr="00146E43">
        <w:rPr>
          <w:color w:val="auto"/>
        </w:rPr>
        <w:t xml:space="preserve">of </w:t>
      </w:r>
      <w:r w:rsidRPr="00146E43">
        <w:rPr>
          <w:color w:val="auto"/>
        </w:rPr>
        <w:t xml:space="preserve">Dulbecco’s </w:t>
      </w:r>
      <w:r w:rsidR="004A378F" w:rsidRPr="00146E43">
        <w:rPr>
          <w:color w:val="auto"/>
        </w:rPr>
        <w:t>m</w:t>
      </w:r>
      <w:r w:rsidRPr="00146E43">
        <w:rPr>
          <w:color w:val="auto"/>
        </w:rPr>
        <w:t xml:space="preserve">odified Eagle </w:t>
      </w:r>
      <w:r w:rsidR="004A378F" w:rsidRPr="00146E43">
        <w:rPr>
          <w:color w:val="auto"/>
        </w:rPr>
        <w:t>m</w:t>
      </w:r>
      <w:r w:rsidRPr="00146E43">
        <w:rPr>
          <w:color w:val="auto"/>
        </w:rPr>
        <w:t>edium</w:t>
      </w:r>
      <w:r w:rsidR="00970BBD" w:rsidRPr="00146E43">
        <w:rPr>
          <w:color w:val="auto"/>
        </w:rPr>
        <w:t xml:space="preserve"> (DMEM)</w:t>
      </w:r>
      <w:r w:rsidRPr="00146E43">
        <w:rPr>
          <w:color w:val="auto"/>
        </w:rPr>
        <w:t>, 50 mL</w:t>
      </w:r>
      <w:r w:rsidR="004A378F" w:rsidRPr="00146E43">
        <w:rPr>
          <w:color w:val="auto"/>
        </w:rPr>
        <w:t xml:space="preserve"> of</w:t>
      </w:r>
      <w:r w:rsidRPr="00146E43">
        <w:rPr>
          <w:color w:val="auto"/>
        </w:rPr>
        <w:t xml:space="preserve"> fetal bovine serum (FBS), and 5 mL</w:t>
      </w:r>
      <w:r w:rsidR="004A378F" w:rsidRPr="00146E43">
        <w:rPr>
          <w:color w:val="auto"/>
        </w:rPr>
        <w:t xml:space="preserve"> of</w:t>
      </w:r>
      <w:r w:rsidRPr="00146E43">
        <w:rPr>
          <w:color w:val="auto"/>
        </w:rPr>
        <w:t xml:space="preserve"> penicillin/streptomycin. </w:t>
      </w:r>
      <w:r w:rsidR="00162DBF" w:rsidRPr="00146E43">
        <w:rPr>
          <w:color w:val="auto"/>
        </w:rPr>
        <w:t xml:space="preserve">Store at 4 </w:t>
      </w:r>
      <w:r w:rsidR="00562121" w:rsidRPr="00146E43">
        <w:rPr>
          <w:color w:val="auto"/>
        </w:rPr>
        <w:t>°</w:t>
      </w:r>
      <w:r w:rsidR="00162DBF" w:rsidRPr="00146E43">
        <w:rPr>
          <w:color w:val="auto"/>
        </w:rPr>
        <w:t>C for up to 3 months.</w:t>
      </w:r>
    </w:p>
    <w:p w14:paraId="1139EA5B" w14:textId="77777777" w:rsidR="00DD61D0" w:rsidRPr="00A033C0" w:rsidRDefault="00DD61D0" w:rsidP="00DD61D0">
      <w:pPr>
        <w:rPr>
          <w:color w:val="auto"/>
        </w:rPr>
      </w:pPr>
    </w:p>
    <w:p w14:paraId="75E05921" w14:textId="429B3B2B" w:rsidR="00DD61D0" w:rsidRPr="00A033C0" w:rsidRDefault="00DD61D0" w:rsidP="00146E43">
      <w:pPr>
        <w:pStyle w:val="ListParagraph"/>
        <w:numPr>
          <w:ilvl w:val="1"/>
          <w:numId w:val="29"/>
        </w:numPr>
        <w:rPr>
          <w:color w:val="auto"/>
        </w:rPr>
      </w:pPr>
      <w:r w:rsidRPr="00A033C0">
        <w:rPr>
          <w:color w:val="auto"/>
        </w:rPr>
        <w:t xml:space="preserve">Prepare </w:t>
      </w:r>
      <w:r w:rsidR="00BB7516" w:rsidRPr="00A033C0">
        <w:rPr>
          <w:color w:val="auto"/>
        </w:rPr>
        <w:t>reporter macrophage</w:t>
      </w:r>
      <w:r w:rsidRPr="00A033C0">
        <w:rPr>
          <w:color w:val="auto"/>
        </w:rPr>
        <w:t xml:space="preserve"> growth media in 50 mL aliquots. Combine 45 mL </w:t>
      </w:r>
      <w:r w:rsidR="00970BBD">
        <w:rPr>
          <w:color w:val="auto"/>
        </w:rPr>
        <w:t xml:space="preserve">of </w:t>
      </w:r>
      <w:r w:rsidR="00816567" w:rsidRPr="00816567">
        <w:rPr>
          <w:color w:val="auto"/>
        </w:rPr>
        <w:t>DMEM</w:t>
      </w:r>
      <w:r w:rsidRPr="00A033C0">
        <w:rPr>
          <w:color w:val="auto"/>
        </w:rPr>
        <w:t xml:space="preserve">, 5 mL </w:t>
      </w:r>
      <w:r w:rsidR="00816567">
        <w:rPr>
          <w:color w:val="auto"/>
        </w:rPr>
        <w:t xml:space="preserve">OF </w:t>
      </w:r>
      <w:r w:rsidRPr="00A033C0">
        <w:rPr>
          <w:color w:val="auto"/>
        </w:rPr>
        <w:t xml:space="preserve">FBS, 5 </w:t>
      </w:r>
      <w:proofErr w:type="spellStart"/>
      <w:r w:rsidRPr="00A033C0">
        <w:rPr>
          <w:color w:val="auto"/>
        </w:rPr>
        <w:t>μg</w:t>
      </w:r>
      <w:proofErr w:type="spellEnd"/>
      <w:r w:rsidRPr="00A033C0">
        <w:rPr>
          <w:color w:val="auto"/>
        </w:rPr>
        <w:t xml:space="preserve">/mL </w:t>
      </w:r>
      <w:r w:rsidR="00816567">
        <w:rPr>
          <w:color w:val="auto"/>
        </w:rPr>
        <w:t>m</w:t>
      </w:r>
      <w:r w:rsidR="00816567" w:rsidRPr="00816567">
        <w:rPr>
          <w:color w:val="auto"/>
        </w:rPr>
        <w:t xml:space="preserve">ycoplasma elimination reagent </w:t>
      </w:r>
      <w:r w:rsidR="00816567">
        <w:rPr>
          <w:color w:val="auto"/>
        </w:rPr>
        <w:t>(</w:t>
      </w:r>
      <w:r w:rsidR="00563EDB" w:rsidRPr="00563EDB">
        <w:rPr>
          <w:b/>
          <w:bCs/>
          <w:color w:val="auto"/>
        </w:rPr>
        <w:t>Table of Materials</w:t>
      </w:r>
      <w:r w:rsidR="00816567">
        <w:rPr>
          <w:color w:val="auto"/>
        </w:rPr>
        <w:t>)</w:t>
      </w:r>
      <w:r w:rsidRPr="00A033C0">
        <w:rPr>
          <w:color w:val="auto"/>
        </w:rPr>
        <w:t xml:space="preserve">, and 200 </w:t>
      </w:r>
      <w:proofErr w:type="spellStart"/>
      <w:r w:rsidRPr="00A033C0">
        <w:rPr>
          <w:color w:val="auto"/>
        </w:rPr>
        <w:t>μg</w:t>
      </w:r>
      <w:proofErr w:type="spellEnd"/>
      <w:r w:rsidRPr="00A033C0">
        <w:rPr>
          <w:color w:val="auto"/>
        </w:rPr>
        <w:t xml:space="preserve">/mL </w:t>
      </w:r>
      <w:r w:rsidR="00D63AC4" w:rsidRPr="00D63AC4">
        <w:rPr>
          <w:color w:val="auto"/>
        </w:rPr>
        <w:t>phleomycin D1</w:t>
      </w:r>
      <w:r w:rsidR="00D63AC4">
        <w:rPr>
          <w:color w:val="auto"/>
        </w:rPr>
        <w:t xml:space="preserve"> (</w:t>
      </w:r>
      <w:r w:rsidR="00563EDB" w:rsidRPr="00563EDB">
        <w:rPr>
          <w:b/>
          <w:bCs/>
          <w:color w:val="auto"/>
        </w:rPr>
        <w:t>Table of Materials</w:t>
      </w:r>
      <w:r w:rsidR="00D63AC4">
        <w:rPr>
          <w:color w:val="auto"/>
        </w:rPr>
        <w:t>)</w:t>
      </w:r>
      <w:r w:rsidRPr="00A033C0">
        <w:rPr>
          <w:color w:val="auto"/>
        </w:rPr>
        <w:t>. Store at 4</w:t>
      </w:r>
      <w:r w:rsidR="00562121" w:rsidRPr="00562121">
        <w:rPr>
          <w:color w:val="auto"/>
        </w:rPr>
        <w:t xml:space="preserve"> °C </w:t>
      </w:r>
      <w:r w:rsidRPr="00A033C0">
        <w:rPr>
          <w:color w:val="auto"/>
        </w:rPr>
        <w:t>for up to 3 months.</w:t>
      </w:r>
    </w:p>
    <w:p w14:paraId="3AC85068" w14:textId="77777777" w:rsidR="00DD61D0" w:rsidRPr="00A033C0" w:rsidRDefault="00DD61D0" w:rsidP="00146E43">
      <w:pPr>
        <w:pStyle w:val="ListParagraph"/>
        <w:ind w:left="0"/>
        <w:rPr>
          <w:color w:val="auto"/>
        </w:rPr>
      </w:pPr>
    </w:p>
    <w:p w14:paraId="31C184B7" w14:textId="494B44AA" w:rsidR="00DD61D0" w:rsidRPr="00A033C0" w:rsidRDefault="00DD61D0" w:rsidP="00146E43">
      <w:pPr>
        <w:pStyle w:val="ListParagraph"/>
        <w:numPr>
          <w:ilvl w:val="1"/>
          <w:numId w:val="29"/>
        </w:numPr>
        <w:rPr>
          <w:color w:val="auto"/>
        </w:rPr>
      </w:pPr>
      <w:r w:rsidRPr="00A033C0">
        <w:rPr>
          <w:color w:val="auto"/>
        </w:rPr>
        <w:t xml:space="preserve">Prepare </w:t>
      </w:r>
      <w:r w:rsidR="00BB7516" w:rsidRPr="00A033C0">
        <w:rPr>
          <w:color w:val="auto"/>
        </w:rPr>
        <w:t xml:space="preserve">reporter macrophage </w:t>
      </w:r>
      <w:r w:rsidRPr="00A033C0">
        <w:rPr>
          <w:color w:val="auto"/>
        </w:rPr>
        <w:t xml:space="preserve">assay media in 50 mL aliquots. Combine 45 mL </w:t>
      </w:r>
      <w:r w:rsidR="00F95452">
        <w:rPr>
          <w:color w:val="auto"/>
        </w:rPr>
        <w:t xml:space="preserve">of </w:t>
      </w:r>
      <w:r w:rsidR="00816567" w:rsidRPr="00816567">
        <w:rPr>
          <w:color w:val="auto"/>
        </w:rPr>
        <w:t>DMEM</w:t>
      </w:r>
      <w:r w:rsidRPr="00A033C0">
        <w:rPr>
          <w:color w:val="auto"/>
        </w:rPr>
        <w:t xml:space="preserve">, 5 mL </w:t>
      </w:r>
      <w:r w:rsidR="00F95452">
        <w:rPr>
          <w:color w:val="auto"/>
        </w:rPr>
        <w:t xml:space="preserve">of </w:t>
      </w:r>
      <w:r w:rsidRPr="00A033C0">
        <w:rPr>
          <w:color w:val="auto"/>
        </w:rPr>
        <w:t xml:space="preserve">heat inactivated FBS (HI-FBS), 5 </w:t>
      </w:r>
      <w:proofErr w:type="spellStart"/>
      <w:r w:rsidRPr="00A033C0">
        <w:rPr>
          <w:color w:val="auto"/>
        </w:rPr>
        <w:t>μg</w:t>
      </w:r>
      <w:proofErr w:type="spellEnd"/>
      <w:r w:rsidRPr="00A033C0">
        <w:rPr>
          <w:color w:val="auto"/>
        </w:rPr>
        <w:t xml:space="preserve">/mL </w:t>
      </w:r>
      <w:r w:rsidR="00A666D6">
        <w:rPr>
          <w:color w:val="auto"/>
        </w:rPr>
        <w:t>m</w:t>
      </w:r>
      <w:r w:rsidR="00A666D6" w:rsidRPr="00816567">
        <w:rPr>
          <w:color w:val="auto"/>
        </w:rPr>
        <w:t>ycoplasma elimination reagent</w:t>
      </w:r>
      <w:r w:rsidRPr="00A033C0">
        <w:rPr>
          <w:color w:val="auto"/>
        </w:rPr>
        <w:t xml:space="preserve">, and 200 </w:t>
      </w:r>
      <w:proofErr w:type="spellStart"/>
      <w:r w:rsidRPr="00A033C0">
        <w:rPr>
          <w:color w:val="auto"/>
        </w:rPr>
        <w:t>μg</w:t>
      </w:r>
      <w:proofErr w:type="spellEnd"/>
      <w:r w:rsidRPr="00A033C0">
        <w:rPr>
          <w:color w:val="auto"/>
        </w:rPr>
        <w:t xml:space="preserve">/mL </w:t>
      </w:r>
      <w:r w:rsidR="001C24A9">
        <w:rPr>
          <w:color w:val="auto"/>
        </w:rPr>
        <w:t>p</w:t>
      </w:r>
      <w:r w:rsidR="00A666D6">
        <w:rPr>
          <w:color w:val="auto"/>
        </w:rPr>
        <w:t>hleomycin D1</w:t>
      </w:r>
      <w:r w:rsidRPr="00A033C0">
        <w:rPr>
          <w:color w:val="auto"/>
        </w:rPr>
        <w:t>. Store at 4</w:t>
      </w:r>
      <w:r w:rsidR="00562121" w:rsidRPr="00562121">
        <w:rPr>
          <w:color w:val="auto"/>
        </w:rPr>
        <w:t xml:space="preserve"> °C </w:t>
      </w:r>
      <w:r w:rsidRPr="00A033C0">
        <w:rPr>
          <w:color w:val="auto"/>
        </w:rPr>
        <w:t>for up to 3 months.</w:t>
      </w:r>
    </w:p>
    <w:p w14:paraId="680D3FA3" w14:textId="77777777" w:rsidR="00DD61D0" w:rsidRPr="00A033C0" w:rsidRDefault="00DD61D0" w:rsidP="00DD61D0">
      <w:pPr>
        <w:rPr>
          <w:b/>
          <w:color w:val="auto"/>
        </w:rPr>
      </w:pPr>
    </w:p>
    <w:p w14:paraId="5F4F4447" w14:textId="7954117A" w:rsidR="00DD61D0" w:rsidRPr="00146E43" w:rsidRDefault="00DD61D0" w:rsidP="00146E43">
      <w:pPr>
        <w:pStyle w:val="ListParagraph"/>
        <w:numPr>
          <w:ilvl w:val="0"/>
          <w:numId w:val="29"/>
        </w:numPr>
        <w:rPr>
          <w:b/>
          <w:color w:val="auto"/>
          <w:highlight w:val="yellow"/>
        </w:rPr>
      </w:pPr>
      <w:r w:rsidRPr="00146E43">
        <w:rPr>
          <w:b/>
          <w:color w:val="auto"/>
          <w:highlight w:val="yellow"/>
        </w:rPr>
        <w:t xml:space="preserve">Coating cell culture surfaces with </w:t>
      </w:r>
      <w:proofErr w:type="gramStart"/>
      <w:r w:rsidR="00F215C2" w:rsidRPr="00146E43">
        <w:rPr>
          <w:b/>
          <w:color w:val="auto"/>
          <w:highlight w:val="yellow"/>
        </w:rPr>
        <w:t>poly(</w:t>
      </w:r>
      <w:proofErr w:type="gramEnd"/>
      <w:r w:rsidR="00F215C2" w:rsidRPr="00146E43">
        <w:rPr>
          <w:b/>
          <w:color w:val="auto"/>
          <w:highlight w:val="yellow"/>
        </w:rPr>
        <w:t>methyl methacrylate)</w:t>
      </w:r>
    </w:p>
    <w:p w14:paraId="7EFB3F7D" w14:textId="77777777" w:rsidR="00DD61D0" w:rsidRPr="00A033C0" w:rsidRDefault="00DD61D0" w:rsidP="00DD61D0">
      <w:pPr>
        <w:rPr>
          <w:b/>
          <w:color w:val="auto"/>
          <w:highlight w:val="yellow"/>
        </w:rPr>
      </w:pPr>
    </w:p>
    <w:p w14:paraId="07BFAD9A" w14:textId="586CE46B" w:rsidR="00DD61D0" w:rsidRPr="00186221" w:rsidRDefault="00DD61D0" w:rsidP="00186221">
      <w:pPr>
        <w:pStyle w:val="ListParagraph"/>
        <w:numPr>
          <w:ilvl w:val="1"/>
          <w:numId w:val="29"/>
        </w:numPr>
        <w:rPr>
          <w:color w:val="auto"/>
          <w:highlight w:val="yellow"/>
        </w:rPr>
      </w:pPr>
      <w:r w:rsidRPr="00186221">
        <w:rPr>
          <w:color w:val="auto"/>
          <w:highlight w:val="yellow"/>
        </w:rPr>
        <w:t xml:space="preserve">Dissolve </w:t>
      </w:r>
      <w:proofErr w:type="gramStart"/>
      <w:r w:rsidRPr="00186221">
        <w:rPr>
          <w:color w:val="auto"/>
          <w:highlight w:val="yellow"/>
        </w:rPr>
        <w:t>poly(</w:t>
      </w:r>
      <w:proofErr w:type="gramEnd"/>
      <w:r w:rsidRPr="00186221">
        <w:rPr>
          <w:color w:val="auto"/>
          <w:highlight w:val="yellow"/>
        </w:rPr>
        <w:t xml:space="preserve">methyl methacrylate) </w:t>
      </w:r>
      <w:r w:rsidR="00A60261" w:rsidRPr="00186221">
        <w:rPr>
          <w:color w:val="auto"/>
          <w:highlight w:val="yellow"/>
        </w:rPr>
        <w:t xml:space="preserve">(PMMA) </w:t>
      </w:r>
      <w:r w:rsidRPr="00186221">
        <w:rPr>
          <w:color w:val="auto"/>
          <w:highlight w:val="yellow"/>
        </w:rPr>
        <w:t>in chloroform at 20 mg/mL (</w:t>
      </w:r>
      <w:r w:rsidR="00754134" w:rsidRPr="00186221">
        <w:rPr>
          <w:color w:val="auto"/>
          <w:highlight w:val="yellow"/>
        </w:rPr>
        <w:t xml:space="preserve">e.g., </w:t>
      </w:r>
      <w:r w:rsidRPr="00186221">
        <w:rPr>
          <w:color w:val="auto"/>
          <w:highlight w:val="yellow"/>
        </w:rPr>
        <w:t>100 mg</w:t>
      </w:r>
      <w:r w:rsidR="00917ADA">
        <w:rPr>
          <w:color w:val="auto"/>
          <w:highlight w:val="yellow"/>
        </w:rPr>
        <w:t xml:space="preserve"> of</w:t>
      </w:r>
      <w:r w:rsidRPr="00186221">
        <w:rPr>
          <w:color w:val="auto"/>
          <w:highlight w:val="yellow"/>
        </w:rPr>
        <w:t xml:space="preserve"> PMMA in 5 mL</w:t>
      </w:r>
      <w:r w:rsidR="00917ADA">
        <w:rPr>
          <w:color w:val="auto"/>
          <w:highlight w:val="yellow"/>
        </w:rPr>
        <w:t xml:space="preserve"> of</w:t>
      </w:r>
      <w:r w:rsidRPr="00186221">
        <w:rPr>
          <w:color w:val="auto"/>
          <w:highlight w:val="yellow"/>
        </w:rPr>
        <w:t xml:space="preserve"> chloroform)</w:t>
      </w:r>
      <w:r w:rsidR="001626A1" w:rsidRPr="00186221">
        <w:rPr>
          <w:color w:val="auto"/>
          <w:highlight w:val="yellow"/>
        </w:rPr>
        <w:t xml:space="preserve"> in a </w:t>
      </w:r>
      <w:r w:rsidR="008516E3" w:rsidRPr="00186221">
        <w:rPr>
          <w:color w:val="auto"/>
          <w:highlight w:val="yellow"/>
        </w:rPr>
        <w:t>20</w:t>
      </w:r>
      <w:r w:rsidR="00A60261" w:rsidRPr="00186221">
        <w:rPr>
          <w:color w:val="auto"/>
          <w:highlight w:val="yellow"/>
        </w:rPr>
        <w:t xml:space="preserve"> </w:t>
      </w:r>
      <w:r w:rsidR="001626A1" w:rsidRPr="00186221">
        <w:rPr>
          <w:color w:val="auto"/>
          <w:highlight w:val="yellow"/>
        </w:rPr>
        <w:t>m</w:t>
      </w:r>
      <w:r w:rsidR="008516E3" w:rsidRPr="00186221">
        <w:rPr>
          <w:color w:val="auto"/>
          <w:highlight w:val="yellow"/>
        </w:rPr>
        <w:t>L</w:t>
      </w:r>
      <w:r w:rsidR="001626A1" w:rsidRPr="00186221">
        <w:rPr>
          <w:color w:val="auto"/>
          <w:highlight w:val="yellow"/>
        </w:rPr>
        <w:t xml:space="preserve"> glass scintillation vial</w:t>
      </w:r>
      <w:r w:rsidRPr="00186221">
        <w:rPr>
          <w:color w:val="auto"/>
          <w:highlight w:val="yellow"/>
        </w:rPr>
        <w:t xml:space="preserve">. Place a magnetic stir bar in the vial and allow to stir for at least 2 </w:t>
      </w:r>
      <w:r w:rsidR="00917ADA">
        <w:rPr>
          <w:color w:val="auto"/>
          <w:highlight w:val="yellow"/>
        </w:rPr>
        <w:t>h</w:t>
      </w:r>
      <w:r w:rsidRPr="00186221">
        <w:rPr>
          <w:color w:val="auto"/>
          <w:highlight w:val="yellow"/>
        </w:rPr>
        <w:t xml:space="preserve">, until all solids are dissolved. </w:t>
      </w:r>
    </w:p>
    <w:p w14:paraId="5F73A4EA" w14:textId="77777777" w:rsidR="00A60261" w:rsidRPr="00A033C0" w:rsidRDefault="00A60261" w:rsidP="00DD61D0">
      <w:pPr>
        <w:rPr>
          <w:color w:val="auto"/>
          <w:highlight w:val="yellow"/>
        </w:rPr>
      </w:pPr>
    </w:p>
    <w:p w14:paraId="728A9925" w14:textId="77777777" w:rsidR="001E08FA" w:rsidRPr="0013188E" w:rsidRDefault="001E08FA" w:rsidP="00DD61D0">
      <w:pPr>
        <w:rPr>
          <w:color w:val="auto"/>
        </w:rPr>
      </w:pPr>
      <w:r w:rsidRPr="0013188E">
        <w:rPr>
          <w:color w:val="auto"/>
        </w:rPr>
        <w:t>CAUTION: Chloroform is harmful if inhaled. Ensure to use solvent in a fume hood while wearing PVA gloves.</w:t>
      </w:r>
    </w:p>
    <w:p w14:paraId="4A220F1C" w14:textId="77777777" w:rsidR="00DD61D0" w:rsidRPr="00A033C0" w:rsidRDefault="00DD61D0" w:rsidP="00DD61D0">
      <w:pPr>
        <w:rPr>
          <w:color w:val="auto"/>
          <w:highlight w:val="yellow"/>
        </w:rPr>
      </w:pPr>
    </w:p>
    <w:p w14:paraId="17AA89F4" w14:textId="30C19388" w:rsidR="00DD61D0" w:rsidRPr="00A7187F" w:rsidRDefault="00DD61D0" w:rsidP="00A7187F">
      <w:pPr>
        <w:pStyle w:val="ListParagraph"/>
        <w:numPr>
          <w:ilvl w:val="1"/>
          <w:numId w:val="29"/>
        </w:numPr>
        <w:rPr>
          <w:color w:val="auto"/>
          <w:highlight w:val="yellow"/>
        </w:rPr>
      </w:pPr>
      <w:r w:rsidRPr="00A7187F">
        <w:rPr>
          <w:color w:val="auto"/>
          <w:highlight w:val="yellow"/>
        </w:rPr>
        <w:t xml:space="preserve">Pipette 400 µL of </w:t>
      </w:r>
      <w:r w:rsidR="00A60261" w:rsidRPr="00A7187F">
        <w:rPr>
          <w:color w:val="auto"/>
          <w:highlight w:val="yellow"/>
        </w:rPr>
        <w:t xml:space="preserve">PMMA </w:t>
      </w:r>
      <w:r w:rsidRPr="00A7187F">
        <w:rPr>
          <w:color w:val="auto"/>
          <w:highlight w:val="yellow"/>
        </w:rPr>
        <w:t xml:space="preserve">solution onto </w:t>
      </w:r>
      <w:r w:rsidR="007635D9" w:rsidRPr="00A7187F">
        <w:rPr>
          <w:color w:val="auto"/>
          <w:highlight w:val="yellow"/>
        </w:rPr>
        <w:t>the center of</w:t>
      </w:r>
      <w:r w:rsidR="00DD476D" w:rsidRPr="00A7187F">
        <w:rPr>
          <w:color w:val="auto"/>
          <w:highlight w:val="yellow"/>
        </w:rPr>
        <w:t xml:space="preserve"> </w:t>
      </w:r>
      <w:r w:rsidRPr="00A7187F">
        <w:rPr>
          <w:color w:val="auto"/>
          <w:highlight w:val="yellow"/>
        </w:rPr>
        <w:t xml:space="preserve">a borosilicate glass microscope slide in a spin coater, and spin at 3000 rpm for 2 </w:t>
      </w:r>
      <w:r w:rsidR="00A7187F">
        <w:rPr>
          <w:color w:val="auto"/>
          <w:highlight w:val="yellow"/>
        </w:rPr>
        <w:t>min</w:t>
      </w:r>
      <w:r w:rsidRPr="00A7187F">
        <w:rPr>
          <w:color w:val="auto"/>
          <w:highlight w:val="yellow"/>
        </w:rPr>
        <w:t>.</w:t>
      </w:r>
      <w:r w:rsidR="008516E3" w:rsidRPr="00A7187F">
        <w:rPr>
          <w:color w:val="auto"/>
          <w:highlight w:val="yellow"/>
        </w:rPr>
        <w:t xml:space="preserve"> Prepare the number of slides required for the assay, as well as 3</w:t>
      </w:r>
      <w:r w:rsidR="00A7187F">
        <w:rPr>
          <w:color w:val="auto"/>
          <w:highlight w:val="yellow"/>
        </w:rPr>
        <w:t>−</w:t>
      </w:r>
      <w:r w:rsidR="008516E3" w:rsidRPr="00A7187F">
        <w:rPr>
          <w:color w:val="auto"/>
          <w:highlight w:val="yellow"/>
        </w:rPr>
        <w:t>5 extra for water contact angle measurement. Store slides in a clean box (sprayed and wiped with 70% ethanol) for future use.</w:t>
      </w:r>
    </w:p>
    <w:p w14:paraId="047B14E2" w14:textId="77777777" w:rsidR="00A60261" w:rsidRPr="00A033C0" w:rsidRDefault="00A60261" w:rsidP="00DD61D0">
      <w:pPr>
        <w:rPr>
          <w:color w:val="auto"/>
        </w:rPr>
      </w:pPr>
    </w:p>
    <w:p w14:paraId="00DCE145" w14:textId="77777777" w:rsidR="00E15706" w:rsidRPr="00A033C0" w:rsidRDefault="00E15706" w:rsidP="00DD61D0">
      <w:pPr>
        <w:rPr>
          <w:color w:val="auto"/>
        </w:rPr>
      </w:pPr>
      <w:r w:rsidRPr="00A7187F">
        <w:rPr>
          <w:color w:val="auto"/>
        </w:rPr>
        <w:t>N</w:t>
      </w:r>
      <w:r w:rsidR="00D17121" w:rsidRPr="00A7187F">
        <w:rPr>
          <w:color w:val="auto"/>
        </w:rPr>
        <w:t>OTE</w:t>
      </w:r>
      <w:r w:rsidRPr="00A7187F">
        <w:rPr>
          <w:color w:val="auto"/>
        </w:rPr>
        <w:t xml:space="preserve">: </w:t>
      </w:r>
      <w:r w:rsidR="00F45792" w:rsidRPr="00A7187F">
        <w:rPr>
          <w:color w:val="auto"/>
        </w:rPr>
        <w:t>S</w:t>
      </w:r>
      <w:r w:rsidRPr="00A7187F">
        <w:rPr>
          <w:color w:val="auto"/>
        </w:rPr>
        <w:t>pin coating is often used to deposit a thin, uniform coating on a flat surface. A spin coater rotates a substrate at high speeds, using centrifugal force to spread the coating solution over the surface.</w:t>
      </w:r>
    </w:p>
    <w:p w14:paraId="34BACC43" w14:textId="77777777" w:rsidR="00DD61D0" w:rsidRPr="00A033C0" w:rsidRDefault="00DD61D0" w:rsidP="00DD61D0">
      <w:pPr>
        <w:rPr>
          <w:color w:val="auto"/>
        </w:rPr>
      </w:pPr>
    </w:p>
    <w:p w14:paraId="7D3B0905" w14:textId="56A8BFD7" w:rsidR="00DD61D0" w:rsidRPr="00A7187F" w:rsidRDefault="00DD61D0" w:rsidP="00A7187F">
      <w:pPr>
        <w:pStyle w:val="ListParagraph"/>
        <w:numPr>
          <w:ilvl w:val="2"/>
          <w:numId w:val="29"/>
        </w:numPr>
        <w:rPr>
          <w:color w:val="auto"/>
        </w:rPr>
      </w:pPr>
      <w:r w:rsidRPr="00A7187F">
        <w:rPr>
          <w:color w:val="auto"/>
        </w:rPr>
        <w:t xml:space="preserve">Measure water contact angle </w:t>
      </w:r>
      <w:r w:rsidR="007635D9" w:rsidRPr="00A7187F">
        <w:rPr>
          <w:color w:val="auto"/>
        </w:rPr>
        <w:t xml:space="preserve">at two random positions on the surface </w:t>
      </w:r>
      <w:r w:rsidRPr="00A7187F">
        <w:rPr>
          <w:color w:val="auto"/>
        </w:rPr>
        <w:t xml:space="preserve">of </w:t>
      </w:r>
      <w:r w:rsidR="00F215C2" w:rsidRPr="00A7187F">
        <w:rPr>
          <w:color w:val="auto"/>
        </w:rPr>
        <w:t>extra coated</w:t>
      </w:r>
      <w:r w:rsidRPr="00A7187F">
        <w:rPr>
          <w:color w:val="auto"/>
        </w:rPr>
        <w:t xml:space="preserve"> slides</w:t>
      </w:r>
      <w:r w:rsidR="00F215C2" w:rsidRPr="00A7187F">
        <w:rPr>
          <w:color w:val="auto"/>
        </w:rPr>
        <w:t xml:space="preserve"> (</w:t>
      </w:r>
      <w:r w:rsidR="004D6BDD" w:rsidRPr="00A7187F">
        <w:rPr>
          <w:color w:val="auto"/>
        </w:rPr>
        <w:t xml:space="preserve">i.e., </w:t>
      </w:r>
      <w:r w:rsidR="00F215C2" w:rsidRPr="00A7187F">
        <w:rPr>
          <w:color w:val="auto"/>
        </w:rPr>
        <w:t>not the slides being used for cell culture)</w:t>
      </w:r>
      <w:r w:rsidRPr="00A7187F">
        <w:rPr>
          <w:color w:val="auto"/>
        </w:rPr>
        <w:t xml:space="preserve"> with a goniometer to ensure </w:t>
      </w:r>
      <w:r w:rsidR="007635D9" w:rsidRPr="00A7187F">
        <w:rPr>
          <w:color w:val="auto"/>
        </w:rPr>
        <w:t>glass surface was completely coated with the polymer</w:t>
      </w:r>
      <w:r w:rsidRPr="00A7187F">
        <w:rPr>
          <w:color w:val="auto"/>
        </w:rPr>
        <w:t>.</w:t>
      </w:r>
      <w:r w:rsidR="007635D9" w:rsidRPr="00A7187F">
        <w:rPr>
          <w:color w:val="auto"/>
        </w:rPr>
        <w:t xml:space="preserve"> </w:t>
      </w:r>
    </w:p>
    <w:p w14:paraId="5CD5F29F" w14:textId="77777777" w:rsidR="00A60261" w:rsidRPr="00A033C0" w:rsidRDefault="00A60261" w:rsidP="00DD61D0">
      <w:pPr>
        <w:rPr>
          <w:color w:val="auto"/>
        </w:rPr>
      </w:pPr>
    </w:p>
    <w:p w14:paraId="16C9B247" w14:textId="387948F3" w:rsidR="00A377A8" w:rsidRPr="00A033C0" w:rsidRDefault="00A377A8" w:rsidP="00DD61D0">
      <w:pPr>
        <w:rPr>
          <w:color w:val="auto"/>
        </w:rPr>
      </w:pPr>
      <w:r w:rsidRPr="00A033C0">
        <w:rPr>
          <w:color w:val="auto"/>
        </w:rPr>
        <w:t>N</w:t>
      </w:r>
      <w:r w:rsidR="00D17121" w:rsidRPr="00A033C0">
        <w:rPr>
          <w:color w:val="auto"/>
        </w:rPr>
        <w:t>OTE</w:t>
      </w:r>
      <w:r w:rsidRPr="00A033C0">
        <w:rPr>
          <w:color w:val="auto"/>
        </w:rPr>
        <w:t xml:space="preserve">: </w:t>
      </w:r>
      <w:r w:rsidR="00F45792" w:rsidRPr="00A033C0">
        <w:rPr>
          <w:color w:val="auto"/>
        </w:rPr>
        <w:t>O</w:t>
      </w:r>
      <w:r w:rsidRPr="00A033C0">
        <w:rPr>
          <w:color w:val="auto"/>
        </w:rPr>
        <w:t>nly water of the highest purity (</w:t>
      </w:r>
      <w:r w:rsidR="00754134" w:rsidRPr="00754134">
        <w:rPr>
          <w:color w:val="auto"/>
        </w:rPr>
        <w:t xml:space="preserve">e.g., </w:t>
      </w:r>
      <w:r w:rsidRPr="00A033C0">
        <w:rPr>
          <w:color w:val="auto"/>
        </w:rPr>
        <w:t xml:space="preserve">glass triple distilled) should be used for water </w:t>
      </w:r>
      <w:r w:rsidRPr="00A033C0">
        <w:rPr>
          <w:color w:val="auto"/>
        </w:rPr>
        <w:lastRenderedPageBreak/>
        <w:t>contact angle measurements.</w:t>
      </w:r>
      <w:r w:rsidR="007635D9" w:rsidRPr="00A033C0">
        <w:rPr>
          <w:color w:val="auto"/>
        </w:rPr>
        <w:t xml:space="preserve"> </w:t>
      </w:r>
    </w:p>
    <w:p w14:paraId="52C91294" w14:textId="77777777" w:rsidR="00E161F3" w:rsidRPr="00A033C0" w:rsidRDefault="00E161F3" w:rsidP="00DD61D0">
      <w:pPr>
        <w:rPr>
          <w:color w:val="auto"/>
          <w:highlight w:val="yellow"/>
        </w:rPr>
      </w:pPr>
    </w:p>
    <w:p w14:paraId="06DA87DE" w14:textId="496234D1" w:rsidR="00E161F3" w:rsidRPr="00A7187F" w:rsidRDefault="008516E3" w:rsidP="00A7187F">
      <w:pPr>
        <w:pStyle w:val="ListParagraph"/>
        <w:numPr>
          <w:ilvl w:val="1"/>
          <w:numId w:val="29"/>
        </w:numPr>
        <w:rPr>
          <w:color w:val="auto"/>
          <w:highlight w:val="yellow"/>
        </w:rPr>
      </w:pPr>
      <w:r w:rsidRPr="00A7187F">
        <w:rPr>
          <w:color w:val="auto"/>
          <w:highlight w:val="yellow"/>
        </w:rPr>
        <w:t>In a biological safety cabinet (BSC) a</w:t>
      </w:r>
      <w:r w:rsidR="00E161F3" w:rsidRPr="00A7187F">
        <w:rPr>
          <w:color w:val="auto"/>
          <w:highlight w:val="yellow"/>
        </w:rPr>
        <w:t>ttach</w:t>
      </w:r>
      <w:r w:rsidR="00DD61D0" w:rsidRPr="00A7187F">
        <w:rPr>
          <w:color w:val="auto"/>
          <w:highlight w:val="yellow"/>
        </w:rPr>
        <w:t xml:space="preserve"> 8-chamber sticky wells </w:t>
      </w:r>
      <w:r w:rsidR="00E161F3" w:rsidRPr="00A7187F">
        <w:rPr>
          <w:color w:val="auto"/>
          <w:highlight w:val="yellow"/>
        </w:rPr>
        <w:t>to</w:t>
      </w:r>
      <w:r w:rsidR="00DD61D0" w:rsidRPr="00A7187F">
        <w:rPr>
          <w:color w:val="auto"/>
          <w:highlight w:val="yellow"/>
        </w:rPr>
        <w:t xml:space="preserve"> PMMA coated-slides using </w:t>
      </w:r>
      <w:r w:rsidR="00162DBF" w:rsidRPr="00A7187F">
        <w:rPr>
          <w:color w:val="auto"/>
          <w:highlight w:val="yellow"/>
        </w:rPr>
        <w:t xml:space="preserve">sterile forceps and following </w:t>
      </w:r>
      <w:r w:rsidR="00DD61D0" w:rsidRPr="00A7187F">
        <w:rPr>
          <w:color w:val="auto"/>
          <w:highlight w:val="yellow"/>
        </w:rPr>
        <w:t>aseptic technique</w:t>
      </w:r>
      <w:r w:rsidR="00E161F3" w:rsidRPr="00A7187F">
        <w:rPr>
          <w:color w:val="auto"/>
          <w:highlight w:val="yellow"/>
        </w:rPr>
        <w:t>. Press firmly on the top of the sticky wells to make sure they are strongly attached. Incubate the slides with attached sticky-wells at 37</w:t>
      </w:r>
      <w:r w:rsidR="00562121" w:rsidRPr="00A7187F">
        <w:rPr>
          <w:color w:val="auto"/>
          <w:highlight w:val="yellow"/>
        </w:rPr>
        <w:t xml:space="preserve"> °C </w:t>
      </w:r>
      <w:r w:rsidR="00E161F3" w:rsidRPr="00A7187F">
        <w:rPr>
          <w:color w:val="auto"/>
          <w:highlight w:val="yellow"/>
          <w:lang w:val="en-CA"/>
        </w:rPr>
        <w:t xml:space="preserve">overnight to </w:t>
      </w:r>
      <w:r w:rsidR="00162DBF" w:rsidRPr="00A7187F">
        <w:rPr>
          <w:color w:val="auto"/>
          <w:highlight w:val="yellow"/>
          <w:lang w:val="en-CA"/>
        </w:rPr>
        <w:t>secure</w:t>
      </w:r>
      <w:r w:rsidR="00E161F3" w:rsidRPr="00A7187F">
        <w:rPr>
          <w:color w:val="auto"/>
          <w:highlight w:val="yellow"/>
          <w:lang w:val="en-CA"/>
        </w:rPr>
        <w:t xml:space="preserve"> the seal</w:t>
      </w:r>
      <w:r w:rsidR="00E161F3" w:rsidRPr="00A7187F">
        <w:rPr>
          <w:color w:val="auto"/>
          <w:highlight w:val="yellow"/>
        </w:rPr>
        <w:t>.</w:t>
      </w:r>
    </w:p>
    <w:p w14:paraId="089B09CC" w14:textId="77777777" w:rsidR="00E161F3" w:rsidRPr="00A033C0" w:rsidRDefault="00E161F3" w:rsidP="00DD61D0">
      <w:pPr>
        <w:rPr>
          <w:color w:val="auto"/>
          <w:highlight w:val="yellow"/>
        </w:rPr>
      </w:pPr>
    </w:p>
    <w:p w14:paraId="3ED388CA" w14:textId="069BA981" w:rsidR="00E161F3" w:rsidRPr="00A7187F" w:rsidRDefault="00D15AB5" w:rsidP="00A7187F">
      <w:pPr>
        <w:pStyle w:val="ListParagraph"/>
        <w:numPr>
          <w:ilvl w:val="2"/>
          <w:numId w:val="29"/>
        </w:numPr>
        <w:rPr>
          <w:color w:val="auto"/>
          <w:highlight w:val="yellow"/>
        </w:rPr>
      </w:pPr>
      <w:r w:rsidRPr="00A7187F">
        <w:rPr>
          <w:color w:val="auto"/>
          <w:highlight w:val="yellow"/>
        </w:rPr>
        <w:t xml:space="preserve">Test the seal of the sticky wells by adding 200 </w:t>
      </w:r>
      <w:r w:rsidR="008E73AB" w:rsidRPr="00A7187F">
        <w:rPr>
          <w:color w:val="auto"/>
          <w:highlight w:val="yellow"/>
        </w:rPr>
        <w:t>µ</w:t>
      </w:r>
      <w:r w:rsidRPr="00A7187F">
        <w:rPr>
          <w:color w:val="auto"/>
          <w:highlight w:val="yellow"/>
        </w:rPr>
        <w:t>L</w:t>
      </w:r>
      <w:r w:rsidR="00A7187F">
        <w:rPr>
          <w:color w:val="auto"/>
          <w:highlight w:val="yellow"/>
        </w:rPr>
        <w:t xml:space="preserve"> of</w:t>
      </w:r>
      <w:r w:rsidRPr="00A7187F">
        <w:rPr>
          <w:color w:val="auto"/>
          <w:highlight w:val="yellow"/>
        </w:rPr>
        <w:t xml:space="preserve"> cell culture grade (endotoxin-free) water to each well. Incubate at </w:t>
      </w:r>
      <w:r w:rsidR="00A7187F" w:rsidRPr="00A7187F">
        <w:rPr>
          <w:color w:val="auto"/>
          <w:highlight w:val="yellow"/>
        </w:rPr>
        <w:t>room temperature</w:t>
      </w:r>
      <w:r w:rsidR="00A7187F">
        <w:rPr>
          <w:color w:val="auto"/>
          <w:highlight w:val="yellow"/>
        </w:rPr>
        <w:t xml:space="preserve"> (RT)</w:t>
      </w:r>
      <w:r w:rsidRPr="00A7187F">
        <w:rPr>
          <w:color w:val="auto"/>
          <w:highlight w:val="yellow"/>
        </w:rPr>
        <w:t xml:space="preserve"> for </w:t>
      </w:r>
      <w:r w:rsidR="000D4C1E" w:rsidRPr="00A7187F">
        <w:rPr>
          <w:color w:val="auto"/>
          <w:highlight w:val="yellow"/>
        </w:rPr>
        <w:t xml:space="preserve">60 </w:t>
      </w:r>
      <w:r w:rsidR="00A7187F" w:rsidRPr="00A7187F">
        <w:rPr>
          <w:color w:val="auto"/>
          <w:highlight w:val="yellow"/>
        </w:rPr>
        <w:t>min</w:t>
      </w:r>
      <w:r w:rsidR="00F215C2" w:rsidRPr="00A7187F">
        <w:rPr>
          <w:color w:val="auto"/>
          <w:highlight w:val="yellow"/>
        </w:rPr>
        <w:t xml:space="preserve"> and ensure no leakage before proceeding.</w:t>
      </w:r>
      <w:r w:rsidR="008516E3" w:rsidRPr="00A7187F">
        <w:rPr>
          <w:color w:val="auto"/>
          <w:highlight w:val="yellow"/>
        </w:rPr>
        <w:t xml:space="preserve"> Aspirate the water, being careful not to </w:t>
      </w:r>
      <w:r w:rsidR="008F78EE" w:rsidRPr="00A7187F">
        <w:rPr>
          <w:color w:val="auto"/>
          <w:highlight w:val="yellow"/>
        </w:rPr>
        <w:t>disturb</w:t>
      </w:r>
      <w:r w:rsidR="008516E3" w:rsidRPr="00A7187F">
        <w:rPr>
          <w:color w:val="auto"/>
          <w:highlight w:val="yellow"/>
        </w:rPr>
        <w:t xml:space="preserve"> the PMMA coating.</w:t>
      </w:r>
    </w:p>
    <w:p w14:paraId="54337144" w14:textId="77777777" w:rsidR="008E73AB" w:rsidRPr="00A033C0" w:rsidRDefault="008E73AB" w:rsidP="00DD61D0">
      <w:pPr>
        <w:rPr>
          <w:color w:val="auto"/>
          <w:highlight w:val="yellow"/>
        </w:rPr>
      </w:pPr>
    </w:p>
    <w:p w14:paraId="548D2D45" w14:textId="257F5FD8" w:rsidR="008E73AB" w:rsidRPr="00563EDB" w:rsidRDefault="008E73AB" w:rsidP="00563EDB">
      <w:pPr>
        <w:pStyle w:val="ListParagraph"/>
        <w:numPr>
          <w:ilvl w:val="1"/>
          <w:numId w:val="29"/>
        </w:numPr>
        <w:rPr>
          <w:color w:val="auto"/>
          <w:highlight w:val="yellow"/>
        </w:rPr>
      </w:pPr>
      <w:r w:rsidRPr="00563EDB">
        <w:rPr>
          <w:color w:val="auto"/>
          <w:highlight w:val="yellow"/>
        </w:rPr>
        <w:t>Perform endotoxin-free water washes by adding 300 µL</w:t>
      </w:r>
      <w:r w:rsidR="00563EDB">
        <w:rPr>
          <w:color w:val="auto"/>
          <w:highlight w:val="yellow"/>
        </w:rPr>
        <w:t xml:space="preserve"> of</w:t>
      </w:r>
      <w:r w:rsidRPr="00563EDB">
        <w:rPr>
          <w:color w:val="auto"/>
          <w:highlight w:val="yellow"/>
        </w:rPr>
        <w:t xml:space="preserve"> endotoxin-free water to each well and incubating for 1 h (three times), 12 </w:t>
      </w:r>
      <w:r w:rsidR="00917ADA" w:rsidRPr="00563EDB">
        <w:rPr>
          <w:color w:val="auto"/>
          <w:highlight w:val="yellow"/>
        </w:rPr>
        <w:t>h</w:t>
      </w:r>
      <w:r w:rsidRPr="00563EDB">
        <w:rPr>
          <w:color w:val="auto"/>
          <w:highlight w:val="yellow"/>
        </w:rPr>
        <w:t xml:space="preserve">, and 24 </w:t>
      </w:r>
      <w:r w:rsidR="00917ADA" w:rsidRPr="00563EDB">
        <w:rPr>
          <w:color w:val="auto"/>
          <w:highlight w:val="yellow"/>
        </w:rPr>
        <w:t>h</w:t>
      </w:r>
      <w:r w:rsidRPr="00563EDB">
        <w:rPr>
          <w:color w:val="auto"/>
          <w:highlight w:val="yellow"/>
        </w:rPr>
        <w:t xml:space="preserve"> prior to use to remove any remaining solvent.</w:t>
      </w:r>
    </w:p>
    <w:p w14:paraId="470E9BAA" w14:textId="77777777" w:rsidR="00623A31" w:rsidRPr="00A033C0" w:rsidRDefault="00623A31" w:rsidP="00DD61D0">
      <w:pPr>
        <w:rPr>
          <w:color w:val="auto"/>
          <w:highlight w:val="yellow"/>
        </w:rPr>
      </w:pPr>
    </w:p>
    <w:p w14:paraId="16769C4E" w14:textId="5AA17F11" w:rsidR="00C7461D" w:rsidRPr="00563EDB" w:rsidRDefault="00623A31" w:rsidP="00563EDB">
      <w:pPr>
        <w:pStyle w:val="ListParagraph"/>
        <w:numPr>
          <w:ilvl w:val="1"/>
          <w:numId w:val="29"/>
        </w:numPr>
        <w:rPr>
          <w:color w:val="auto"/>
        </w:rPr>
      </w:pPr>
      <w:r w:rsidRPr="00563EDB">
        <w:rPr>
          <w:color w:val="auto"/>
        </w:rPr>
        <w:t xml:space="preserve">Test endotoxin </w:t>
      </w:r>
      <w:r w:rsidR="00AF0BC6" w:rsidRPr="00563EDB">
        <w:rPr>
          <w:color w:val="auto"/>
        </w:rPr>
        <w:t xml:space="preserve">concentration </w:t>
      </w:r>
      <w:r w:rsidRPr="00563EDB">
        <w:rPr>
          <w:color w:val="auto"/>
        </w:rPr>
        <w:t xml:space="preserve">of the slides to be used for cell culture. Incubate 200 </w:t>
      </w:r>
      <w:r w:rsidR="008E73AB" w:rsidRPr="00563EDB">
        <w:rPr>
          <w:color w:val="auto"/>
        </w:rPr>
        <w:t>µ</w:t>
      </w:r>
      <w:r w:rsidRPr="00563EDB">
        <w:rPr>
          <w:color w:val="auto"/>
        </w:rPr>
        <w:t xml:space="preserve">L of </w:t>
      </w:r>
      <w:r w:rsidR="00791B6D" w:rsidRPr="00563EDB">
        <w:rPr>
          <w:color w:val="auto"/>
        </w:rPr>
        <w:t xml:space="preserve">endotoxin-free </w:t>
      </w:r>
      <w:r w:rsidRPr="00563EDB">
        <w:rPr>
          <w:color w:val="auto"/>
        </w:rPr>
        <w:t>reagent water</w:t>
      </w:r>
      <w:r w:rsidR="00CB72D0" w:rsidRPr="00563EDB">
        <w:rPr>
          <w:color w:val="auto"/>
        </w:rPr>
        <w:t xml:space="preserve"> (</w:t>
      </w:r>
      <w:r w:rsidR="00563EDB" w:rsidRPr="00563EDB">
        <w:rPr>
          <w:b/>
          <w:bCs/>
          <w:color w:val="auto"/>
        </w:rPr>
        <w:t>Table of Materials</w:t>
      </w:r>
      <w:r w:rsidR="00CB72D0" w:rsidRPr="00563EDB">
        <w:rPr>
          <w:color w:val="auto"/>
        </w:rPr>
        <w:t>)</w:t>
      </w:r>
      <w:r w:rsidRPr="00563EDB">
        <w:rPr>
          <w:color w:val="auto"/>
        </w:rPr>
        <w:t xml:space="preserve"> in one well of each slide for 1 h. Measure endotoxin concentration </w:t>
      </w:r>
      <w:r w:rsidR="00AF0BC6" w:rsidRPr="00563EDB">
        <w:rPr>
          <w:color w:val="auto"/>
        </w:rPr>
        <w:t xml:space="preserve">in the extract </w:t>
      </w:r>
      <w:r w:rsidRPr="00563EDB">
        <w:rPr>
          <w:color w:val="auto"/>
        </w:rPr>
        <w:t>using a</w:t>
      </w:r>
      <w:r w:rsidR="002F1493" w:rsidRPr="00563EDB">
        <w:rPr>
          <w:color w:val="auto"/>
        </w:rPr>
        <w:t>n endpoint</w:t>
      </w:r>
      <w:r w:rsidRPr="00563EDB">
        <w:rPr>
          <w:color w:val="auto"/>
        </w:rPr>
        <w:t xml:space="preserve"> </w:t>
      </w:r>
      <w:r w:rsidR="00C7461D" w:rsidRPr="00563EDB">
        <w:rPr>
          <w:color w:val="auto"/>
        </w:rPr>
        <w:t>chromogenic</w:t>
      </w:r>
      <w:r w:rsidRPr="00563EDB">
        <w:rPr>
          <w:color w:val="auto"/>
        </w:rPr>
        <w:t xml:space="preserve"> endotoxin </w:t>
      </w:r>
      <w:r w:rsidR="00CB72D0" w:rsidRPr="00563EDB">
        <w:rPr>
          <w:color w:val="auto"/>
        </w:rPr>
        <w:t>assay (</w:t>
      </w:r>
      <w:r w:rsidR="00563EDB" w:rsidRPr="00563EDB">
        <w:rPr>
          <w:b/>
          <w:bCs/>
          <w:color w:val="auto"/>
        </w:rPr>
        <w:t>Table of Materials</w:t>
      </w:r>
      <w:r w:rsidR="00CB72D0" w:rsidRPr="00563EDB">
        <w:rPr>
          <w:color w:val="auto"/>
        </w:rPr>
        <w:t>)</w:t>
      </w:r>
      <w:r w:rsidRPr="00563EDB">
        <w:rPr>
          <w:color w:val="auto"/>
        </w:rPr>
        <w:t>.</w:t>
      </w:r>
    </w:p>
    <w:p w14:paraId="5F57241E" w14:textId="77777777" w:rsidR="00791B6D" w:rsidRPr="00A033C0" w:rsidRDefault="00791B6D" w:rsidP="00DD61D0">
      <w:pPr>
        <w:rPr>
          <w:color w:val="auto"/>
        </w:rPr>
      </w:pPr>
    </w:p>
    <w:p w14:paraId="448F0B05" w14:textId="77777777" w:rsidR="00563EDB" w:rsidRDefault="00791B6D" w:rsidP="00563EDB">
      <w:pPr>
        <w:rPr>
          <w:color w:val="auto"/>
        </w:rPr>
      </w:pPr>
      <w:r w:rsidRPr="00A033C0">
        <w:rPr>
          <w:color w:val="auto"/>
        </w:rPr>
        <w:t>N</w:t>
      </w:r>
      <w:r w:rsidR="00A3795B" w:rsidRPr="00A033C0">
        <w:rPr>
          <w:color w:val="auto"/>
        </w:rPr>
        <w:t>OTE</w:t>
      </w:r>
      <w:r w:rsidRPr="00A033C0">
        <w:rPr>
          <w:color w:val="auto"/>
        </w:rPr>
        <w:t xml:space="preserve">: </w:t>
      </w:r>
      <w:r w:rsidR="00563EDB" w:rsidRPr="00A033C0">
        <w:rPr>
          <w:color w:val="auto"/>
        </w:rPr>
        <w:t xml:space="preserve">The following protocol is specific to the endotoxin assay kit listed in the </w:t>
      </w:r>
      <w:r w:rsidR="00563EDB" w:rsidRPr="00563EDB">
        <w:rPr>
          <w:b/>
          <w:bCs/>
          <w:color w:val="auto"/>
        </w:rPr>
        <w:t>Table of Materials</w:t>
      </w:r>
      <w:r w:rsidR="00563EDB" w:rsidRPr="00A033C0">
        <w:rPr>
          <w:color w:val="auto"/>
        </w:rPr>
        <w:t>.</w:t>
      </w:r>
    </w:p>
    <w:p w14:paraId="7D73F19C" w14:textId="56640F17" w:rsidR="00A3795B" w:rsidRPr="00A033C0" w:rsidRDefault="00AF0BC6" w:rsidP="00DD61D0">
      <w:pPr>
        <w:rPr>
          <w:color w:val="auto"/>
        </w:rPr>
      </w:pPr>
      <w:r w:rsidRPr="00A033C0">
        <w:rPr>
          <w:color w:val="auto"/>
        </w:rPr>
        <w:t>U</w:t>
      </w:r>
      <w:r w:rsidR="00791B6D" w:rsidRPr="00A033C0">
        <w:rPr>
          <w:color w:val="auto"/>
        </w:rPr>
        <w:t xml:space="preserve">se only water and consumables </w:t>
      </w:r>
      <w:r w:rsidRPr="00A033C0">
        <w:rPr>
          <w:color w:val="auto"/>
        </w:rPr>
        <w:t>(</w:t>
      </w:r>
      <w:r w:rsidR="004D6BDD" w:rsidRPr="004D6BDD">
        <w:rPr>
          <w:color w:val="auto"/>
        </w:rPr>
        <w:t xml:space="preserve">i.e., </w:t>
      </w:r>
      <w:r w:rsidR="00791B6D" w:rsidRPr="00A033C0">
        <w:rPr>
          <w:color w:val="auto"/>
        </w:rPr>
        <w:t>pipette tips, microcentrifuge</w:t>
      </w:r>
      <w:r w:rsidR="00A3795B" w:rsidRPr="00A033C0">
        <w:rPr>
          <w:color w:val="auto"/>
        </w:rPr>
        <w:t xml:space="preserve"> tubes and well plates</w:t>
      </w:r>
      <w:r w:rsidR="00791B6D" w:rsidRPr="00A033C0">
        <w:rPr>
          <w:color w:val="auto"/>
        </w:rPr>
        <w:t xml:space="preserve">) </w:t>
      </w:r>
      <w:r w:rsidR="00A3795B" w:rsidRPr="00A033C0">
        <w:rPr>
          <w:color w:val="auto"/>
        </w:rPr>
        <w:t>that are certified pyrogen-free (</w:t>
      </w:r>
      <w:r w:rsidR="004D6BDD" w:rsidRPr="004D6BDD">
        <w:rPr>
          <w:color w:val="auto"/>
        </w:rPr>
        <w:t xml:space="preserve">i.e., </w:t>
      </w:r>
      <w:r w:rsidR="00A3795B" w:rsidRPr="00A033C0">
        <w:rPr>
          <w:color w:val="auto"/>
        </w:rPr>
        <w:t xml:space="preserve">endotoxin-free) </w:t>
      </w:r>
      <w:r w:rsidR="00791B6D" w:rsidRPr="00A033C0">
        <w:rPr>
          <w:color w:val="auto"/>
        </w:rPr>
        <w:t>for this work</w:t>
      </w:r>
      <w:r w:rsidR="00A3795B" w:rsidRPr="00A033C0">
        <w:rPr>
          <w:color w:val="auto"/>
        </w:rPr>
        <w:t>.</w:t>
      </w:r>
      <w:r w:rsidR="006C19DE" w:rsidRPr="006C19DE">
        <w:rPr>
          <w:color w:val="auto"/>
        </w:rPr>
        <w:t xml:space="preserve"> </w:t>
      </w:r>
      <w:r w:rsidR="00514434" w:rsidRPr="00A033C0">
        <w:rPr>
          <w:color w:val="auto"/>
        </w:rPr>
        <w:t xml:space="preserve">Also, any glassware used in the preparation of the polymer-coated surfaces should be </w:t>
      </w:r>
      <w:proofErr w:type="spellStart"/>
      <w:r w:rsidR="00514434" w:rsidRPr="00A033C0">
        <w:rPr>
          <w:color w:val="auto"/>
        </w:rPr>
        <w:t>depyrogenated</w:t>
      </w:r>
      <w:proofErr w:type="spellEnd"/>
      <w:r w:rsidR="00514434" w:rsidRPr="00A033C0">
        <w:rPr>
          <w:color w:val="auto"/>
        </w:rPr>
        <w:t xml:space="preserve"> using dry heat sterilization (250</w:t>
      </w:r>
      <w:r w:rsidR="00562121" w:rsidRPr="00562121">
        <w:rPr>
          <w:color w:val="auto"/>
        </w:rPr>
        <w:t xml:space="preserve"> °C </w:t>
      </w:r>
      <w:r w:rsidR="00514434" w:rsidRPr="00A033C0">
        <w:rPr>
          <w:color w:val="auto"/>
        </w:rPr>
        <w:t xml:space="preserve">for 30 </w:t>
      </w:r>
      <w:r w:rsidR="00A7187F">
        <w:rPr>
          <w:color w:val="auto"/>
        </w:rPr>
        <w:t>min</w:t>
      </w:r>
      <w:r w:rsidR="00514434" w:rsidRPr="00A033C0">
        <w:rPr>
          <w:color w:val="auto"/>
        </w:rPr>
        <w:t>) prior to use</w:t>
      </w:r>
      <w:r w:rsidR="00891A46" w:rsidRPr="00A033C0">
        <w:rPr>
          <w:noProof/>
          <w:color w:val="auto"/>
          <w:vertAlign w:val="superscript"/>
        </w:rPr>
        <w:t>10</w:t>
      </w:r>
      <w:r w:rsidR="00514434" w:rsidRPr="00A033C0">
        <w:rPr>
          <w:color w:val="auto"/>
        </w:rPr>
        <w:t>.</w:t>
      </w:r>
      <w:r w:rsidR="00563EDB">
        <w:rPr>
          <w:color w:val="auto"/>
        </w:rPr>
        <w:t xml:space="preserve"> </w:t>
      </w:r>
      <w:r w:rsidR="00A3795B" w:rsidRPr="00A033C0">
        <w:rPr>
          <w:color w:val="auto"/>
        </w:rPr>
        <w:t xml:space="preserve">Measuring endotoxin in </w:t>
      </w:r>
      <w:r w:rsidR="00514434" w:rsidRPr="00A033C0">
        <w:rPr>
          <w:color w:val="auto"/>
        </w:rPr>
        <w:t xml:space="preserve">the </w:t>
      </w:r>
      <w:r w:rsidRPr="00A033C0">
        <w:rPr>
          <w:color w:val="auto"/>
        </w:rPr>
        <w:t>extract solution</w:t>
      </w:r>
      <w:r w:rsidR="00004698" w:rsidRPr="00A033C0">
        <w:rPr>
          <w:color w:val="auto"/>
        </w:rPr>
        <w:t>, as described here,</w:t>
      </w:r>
      <w:r w:rsidR="00A3795B" w:rsidRPr="00A033C0">
        <w:rPr>
          <w:color w:val="auto"/>
        </w:rPr>
        <w:t xml:space="preserve"> can result in an underestimation of endotoxin on the material surface</w:t>
      </w:r>
      <w:r w:rsidR="00891A46" w:rsidRPr="00A033C0">
        <w:rPr>
          <w:noProof/>
          <w:color w:val="auto"/>
          <w:vertAlign w:val="superscript"/>
        </w:rPr>
        <w:t>11,12</w:t>
      </w:r>
      <w:r w:rsidR="00A3795B" w:rsidRPr="00A033C0">
        <w:rPr>
          <w:color w:val="auto"/>
        </w:rPr>
        <w:t xml:space="preserve">. Consequently, it is recommended that when developing a polymer coating </w:t>
      </w:r>
      <w:r w:rsidR="00514434" w:rsidRPr="00A033C0">
        <w:rPr>
          <w:color w:val="auto"/>
        </w:rPr>
        <w:t>protocol</w:t>
      </w:r>
      <w:r w:rsidR="00A3795B" w:rsidRPr="00A033C0">
        <w:rPr>
          <w:color w:val="auto"/>
        </w:rPr>
        <w:t xml:space="preserve">, perform </w:t>
      </w:r>
      <w:r w:rsidR="00514434" w:rsidRPr="00A033C0">
        <w:rPr>
          <w:color w:val="auto"/>
        </w:rPr>
        <w:t>the</w:t>
      </w:r>
      <w:r w:rsidR="00A3795B" w:rsidRPr="00A033C0">
        <w:rPr>
          <w:color w:val="auto"/>
        </w:rPr>
        <w:t xml:space="preserve"> endotoxin assay</w:t>
      </w:r>
      <w:r w:rsidR="00753135" w:rsidRPr="00A033C0">
        <w:rPr>
          <w:color w:val="auto"/>
        </w:rPr>
        <w:t xml:space="preserve"> reaction </w:t>
      </w:r>
      <w:r w:rsidR="00F218B8" w:rsidRPr="00A033C0">
        <w:rPr>
          <w:color w:val="auto"/>
        </w:rPr>
        <w:t>(</w:t>
      </w:r>
      <w:r w:rsidR="004D6BDD" w:rsidRPr="004D6BDD">
        <w:rPr>
          <w:color w:val="auto"/>
        </w:rPr>
        <w:t xml:space="preserve">i.e., </w:t>
      </w:r>
      <w:r w:rsidR="00563EDB">
        <w:rPr>
          <w:color w:val="auto"/>
        </w:rPr>
        <w:t>s</w:t>
      </w:r>
      <w:r w:rsidR="002E559C" w:rsidRPr="00A033C0">
        <w:rPr>
          <w:color w:val="auto"/>
        </w:rPr>
        <w:t>teps 2.5.4</w:t>
      </w:r>
      <w:r w:rsidR="00AF6978">
        <w:rPr>
          <w:color w:val="auto"/>
        </w:rPr>
        <w:t>−</w:t>
      </w:r>
      <w:r w:rsidR="002E559C" w:rsidRPr="00A033C0">
        <w:rPr>
          <w:color w:val="auto"/>
        </w:rPr>
        <w:t xml:space="preserve">2.5.6 </w:t>
      </w:r>
      <w:r w:rsidR="00F218B8" w:rsidRPr="00A033C0">
        <w:rPr>
          <w:color w:val="auto"/>
        </w:rPr>
        <w:t xml:space="preserve">for test samples </w:t>
      </w:r>
      <w:r w:rsidR="00E50153">
        <w:rPr>
          <w:color w:val="auto"/>
        </w:rPr>
        <w:t>[</w:t>
      </w:r>
      <w:r w:rsidR="00F218B8" w:rsidRPr="00A033C0">
        <w:rPr>
          <w:color w:val="auto"/>
        </w:rPr>
        <w:t>reagent water</w:t>
      </w:r>
      <w:r w:rsidR="00E50153">
        <w:rPr>
          <w:color w:val="auto"/>
        </w:rPr>
        <w:t>]</w:t>
      </w:r>
      <w:r w:rsidR="00052C66" w:rsidRPr="00A033C0">
        <w:rPr>
          <w:color w:val="auto"/>
        </w:rPr>
        <w:t xml:space="preserve"> or</w:t>
      </w:r>
      <w:r w:rsidR="00753135" w:rsidRPr="00A033C0">
        <w:rPr>
          <w:color w:val="auto"/>
        </w:rPr>
        <w:t xml:space="preserve"> spike controls</w:t>
      </w:r>
      <w:r w:rsidR="00F218B8" w:rsidRPr="00A033C0">
        <w:rPr>
          <w:color w:val="auto"/>
        </w:rPr>
        <w:t>)</w:t>
      </w:r>
      <w:r w:rsidR="00A3795B" w:rsidRPr="00A033C0">
        <w:rPr>
          <w:color w:val="auto"/>
        </w:rPr>
        <w:t xml:space="preserve"> directly within wells containing the coated sample</w:t>
      </w:r>
      <w:r w:rsidRPr="00A033C0">
        <w:rPr>
          <w:color w:val="auto"/>
        </w:rPr>
        <w:t xml:space="preserve"> </w:t>
      </w:r>
      <w:r w:rsidR="00A3795B" w:rsidRPr="00A033C0">
        <w:rPr>
          <w:color w:val="auto"/>
        </w:rPr>
        <w:t xml:space="preserve">to ensure no sources of endotoxin </w:t>
      </w:r>
      <w:r w:rsidR="00514434" w:rsidRPr="00A033C0">
        <w:rPr>
          <w:color w:val="auto"/>
        </w:rPr>
        <w:t>are</w:t>
      </w:r>
      <w:r w:rsidR="00A3795B" w:rsidRPr="00A033C0">
        <w:rPr>
          <w:color w:val="auto"/>
        </w:rPr>
        <w:t xml:space="preserve"> inadvertently introduced into the system during the coating process. </w:t>
      </w:r>
    </w:p>
    <w:p w14:paraId="6408E482" w14:textId="77777777" w:rsidR="00C7461D" w:rsidRPr="00A033C0" w:rsidRDefault="00C7461D" w:rsidP="00DD61D0">
      <w:pPr>
        <w:rPr>
          <w:color w:val="auto"/>
        </w:rPr>
      </w:pPr>
    </w:p>
    <w:p w14:paraId="44332C5D" w14:textId="257B9C1D" w:rsidR="002F1493" w:rsidRPr="00AF6978" w:rsidRDefault="00C7461D" w:rsidP="00AF6978">
      <w:pPr>
        <w:pStyle w:val="ListParagraph"/>
        <w:numPr>
          <w:ilvl w:val="2"/>
          <w:numId w:val="29"/>
        </w:numPr>
        <w:rPr>
          <w:color w:val="auto"/>
        </w:rPr>
      </w:pPr>
      <w:r w:rsidRPr="00AF6978">
        <w:rPr>
          <w:color w:val="auto"/>
        </w:rPr>
        <w:t xml:space="preserve">Bring all </w:t>
      </w:r>
      <w:r w:rsidR="002E559C" w:rsidRPr="00AF6978">
        <w:rPr>
          <w:color w:val="auto"/>
        </w:rPr>
        <w:t xml:space="preserve">test </w:t>
      </w:r>
      <w:r w:rsidRPr="00AF6978">
        <w:rPr>
          <w:color w:val="auto"/>
        </w:rPr>
        <w:t>samples</w:t>
      </w:r>
      <w:r w:rsidR="002E559C" w:rsidRPr="00AF6978">
        <w:rPr>
          <w:color w:val="auto"/>
        </w:rPr>
        <w:t xml:space="preserve"> (</w:t>
      </w:r>
      <w:r w:rsidR="004D6BDD" w:rsidRPr="00AF6978">
        <w:rPr>
          <w:color w:val="auto"/>
        </w:rPr>
        <w:t xml:space="preserve">i.e., </w:t>
      </w:r>
      <w:r w:rsidR="002E559C" w:rsidRPr="00AF6978">
        <w:rPr>
          <w:color w:val="auto"/>
        </w:rPr>
        <w:t>extracts)</w:t>
      </w:r>
      <w:r w:rsidRPr="00AF6978">
        <w:rPr>
          <w:color w:val="auto"/>
        </w:rPr>
        <w:t xml:space="preserve"> and endotoxin </w:t>
      </w:r>
      <w:r w:rsidR="00CB72D0" w:rsidRPr="00AF6978">
        <w:rPr>
          <w:color w:val="auto"/>
        </w:rPr>
        <w:t>assay</w:t>
      </w:r>
      <w:r w:rsidRPr="00AF6978">
        <w:rPr>
          <w:color w:val="auto"/>
        </w:rPr>
        <w:t xml:space="preserve"> reagents to </w:t>
      </w:r>
      <w:r w:rsidR="00A7187F" w:rsidRPr="00AF6978">
        <w:rPr>
          <w:color w:val="auto"/>
        </w:rPr>
        <w:t>RT</w:t>
      </w:r>
      <w:r w:rsidRPr="00AF6978">
        <w:rPr>
          <w:color w:val="auto"/>
        </w:rPr>
        <w:t xml:space="preserve">. Reconstitute </w:t>
      </w:r>
      <w:r w:rsidR="00CB72D0" w:rsidRPr="00AF6978">
        <w:rPr>
          <w:color w:val="auto"/>
        </w:rPr>
        <w:t xml:space="preserve">chromogenic reagent in assay buffer and endotoxin standard </w:t>
      </w:r>
      <w:r w:rsidRPr="00AF6978">
        <w:rPr>
          <w:color w:val="auto"/>
        </w:rPr>
        <w:t>in reagent water</w:t>
      </w:r>
      <w:r w:rsidR="00CB72D0" w:rsidRPr="00AF6978">
        <w:rPr>
          <w:color w:val="auto"/>
        </w:rPr>
        <w:t xml:space="preserve">, </w:t>
      </w:r>
      <w:r w:rsidRPr="00AF6978">
        <w:rPr>
          <w:color w:val="auto"/>
        </w:rPr>
        <w:t xml:space="preserve">allow to dissolve for </w:t>
      </w:r>
      <w:r w:rsidR="00CB72D0" w:rsidRPr="00AF6978">
        <w:rPr>
          <w:color w:val="auto"/>
        </w:rPr>
        <w:t xml:space="preserve">5 </w:t>
      </w:r>
      <w:r w:rsidR="00A7187F" w:rsidRPr="00AF6978">
        <w:rPr>
          <w:color w:val="auto"/>
        </w:rPr>
        <w:t>min</w:t>
      </w:r>
      <w:r w:rsidRPr="00AF6978">
        <w:rPr>
          <w:color w:val="auto"/>
        </w:rPr>
        <w:t xml:space="preserve"> and</w:t>
      </w:r>
      <w:r w:rsidR="00CB72D0" w:rsidRPr="00AF6978">
        <w:rPr>
          <w:color w:val="auto"/>
        </w:rPr>
        <w:t xml:space="preserve"> gently swirl</w:t>
      </w:r>
      <w:r w:rsidRPr="00AF6978">
        <w:rPr>
          <w:color w:val="auto"/>
        </w:rPr>
        <w:t xml:space="preserve"> before using. </w:t>
      </w:r>
      <w:r w:rsidR="002F1493" w:rsidRPr="00AF6978">
        <w:rPr>
          <w:color w:val="auto"/>
        </w:rPr>
        <w:t>Cover all bottles with paraffin film when not in use.</w:t>
      </w:r>
    </w:p>
    <w:p w14:paraId="596319ED" w14:textId="77777777" w:rsidR="00C7461D" w:rsidRPr="00A033C0" w:rsidRDefault="00C7461D" w:rsidP="00DD61D0">
      <w:pPr>
        <w:rPr>
          <w:color w:val="auto"/>
        </w:rPr>
      </w:pPr>
    </w:p>
    <w:p w14:paraId="49E690AF" w14:textId="2A404530" w:rsidR="00623A31" w:rsidRPr="00AF6978" w:rsidRDefault="00C7461D" w:rsidP="00AF6978">
      <w:pPr>
        <w:pStyle w:val="ListParagraph"/>
        <w:numPr>
          <w:ilvl w:val="2"/>
          <w:numId w:val="29"/>
        </w:numPr>
        <w:rPr>
          <w:color w:val="auto"/>
        </w:rPr>
      </w:pPr>
      <w:r w:rsidRPr="00AF6978">
        <w:rPr>
          <w:color w:val="auto"/>
        </w:rPr>
        <w:t xml:space="preserve">Create a </w:t>
      </w:r>
      <w:r w:rsidR="00052C66" w:rsidRPr="00AF6978">
        <w:rPr>
          <w:color w:val="auto"/>
        </w:rPr>
        <w:t>5</w:t>
      </w:r>
      <w:r w:rsidR="00AF6978" w:rsidRPr="00AF6978">
        <w:rPr>
          <w:color w:val="auto"/>
        </w:rPr>
        <w:t>−</w:t>
      </w:r>
      <w:proofErr w:type="gramStart"/>
      <w:r w:rsidR="00052C66" w:rsidRPr="00AF6978">
        <w:rPr>
          <w:color w:val="auto"/>
        </w:rPr>
        <w:t>8 point</w:t>
      </w:r>
      <w:proofErr w:type="gramEnd"/>
      <w:r w:rsidR="00052C66" w:rsidRPr="00AF6978">
        <w:rPr>
          <w:color w:val="auto"/>
        </w:rPr>
        <w:t xml:space="preserve"> </w:t>
      </w:r>
      <w:r w:rsidRPr="00AF6978">
        <w:rPr>
          <w:color w:val="auto"/>
        </w:rPr>
        <w:t>standard dilution curve of endotoxin</w:t>
      </w:r>
      <w:r w:rsidR="00052C66" w:rsidRPr="00AF6978">
        <w:rPr>
          <w:color w:val="auto"/>
        </w:rPr>
        <w:t xml:space="preserve"> </w:t>
      </w:r>
      <w:r w:rsidR="006C19DE" w:rsidRPr="00AF6978">
        <w:rPr>
          <w:color w:val="auto"/>
        </w:rPr>
        <w:t>standard ranging</w:t>
      </w:r>
      <w:r w:rsidRPr="00AF6978">
        <w:rPr>
          <w:color w:val="auto"/>
        </w:rPr>
        <w:t xml:space="preserve"> from the lower to the upper limit of the assay</w:t>
      </w:r>
      <w:r w:rsidR="00052C66" w:rsidRPr="00AF6978">
        <w:rPr>
          <w:color w:val="auto"/>
        </w:rPr>
        <w:t xml:space="preserve"> by performing a serial dilution of the endotoxin standard in reagent water.</w:t>
      </w:r>
    </w:p>
    <w:p w14:paraId="2D495F85" w14:textId="77777777" w:rsidR="00BB71F3" w:rsidRPr="00A033C0" w:rsidRDefault="00BB71F3" w:rsidP="00DD61D0">
      <w:pPr>
        <w:rPr>
          <w:color w:val="auto"/>
        </w:rPr>
      </w:pPr>
    </w:p>
    <w:p w14:paraId="7FBBB325" w14:textId="77777777" w:rsidR="006C19DE" w:rsidRDefault="002E559C" w:rsidP="00AF6978">
      <w:pPr>
        <w:pStyle w:val="ListParagraph"/>
        <w:numPr>
          <w:ilvl w:val="2"/>
          <w:numId w:val="29"/>
        </w:numPr>
        <w:rPr>
          <w:color w:val="auto"/>
        </w:rPr>
      </w:pPr>
      <w:r w:rsidRPr="00AF6978">
        <w:rPr>
          <w:color w:val="auto"/>
        </w:rPr>
        <w:t>To control for enhancement or inhibition of the endotoxin assay in test samples, p</w:t>
      </w:r>
      <w:r w:rsidR="00BB71F3" w:rsidRPr="00AF6978">
        <w:rPr>
          <w:color w:val="auto"/>
        </w:rPr>
        <w:t xml:space="preserve">repare a positive control (also called a spike control or spiked sample) by diluting a known amount of endotoxin in </w:t>
      </w:r>
      <w:r w:rsidR="00514434" w:rsidRPr="00AF6978">
        <w:rPr>
          <w:color w:val="auto"/>
        </w:rPr>
        <w:t>unused</w:t>
      </w:r>
      <w:r w:rsidR="00BB71F3" w:rsidRPr="00AF6978">
        <w:rPr>
          <w:color w:val="auto"/>
        </w:rPr>
        <w:t xml:space="preserve"> test sample solution. </w:t>
      </w:r>
    </w:p>
    <w:p w14:paraId="4553C0AA" w14:textId="77777777" w:rsidR="006C19DE" w:rsidRDefault="006C19DE" w:rsidP="006C19DE">
      <w:pPr>
        <w:pStyle w:val="ListParagraph"/>
        <w:ind w:left="0"/>
        <w:rPr>
          <w:color w:val="auto"/>
        </w:rPr>
      </w:pPr>
    </w:p>
    <w:p w14:paraId="72E231E7" w14:textId="2CC1CF71" w:rsidR="00BB71F3" w:rsidRPr="00AF6978" w:rsidRDefault="006C19DE" w:rsidP="006C19DE">
      <w:pPr>
        <w:pStyle w:val="ListParagraph"/>
        <w:ind w:left="0"/>
        <w:rPr>
          <w:color w:val="auto"/>
        </w:rPr>
      </w:pPr>
      <w:r>
        <w:rPr>
          <w:color w:val="auto"/>
        </w:rPr>
        <w:t xml:space="preserve">NOTE: </w:t>
      </w:r>
      <w:r w:rsidR="00BB71F3" w:rsidRPr="00AF6978">
        <w:rPr>
          <w:color w:val="auto"/>
        </w:rPr>
        <w:t>The concentration of the positive control should be the same concentration as a standard in the middle of the standard curve.</w:t>
      </w:r>
      <w:r w:rsidRPr="006C19DE">
        <w:rPr>
          <w:color w:val="auto"/>
        </w:rPr>
        <w:t xml:space="preserve"> </w:t>
      </w:r>
      <w:r w:rsidR="002E559C" w:rsidRPr="00AF6978">
        <w:rPr>
          <w:color w:val="auto"/>
        </w:rPr>
        <w:t>If the</w:t>
      </w:r>
      <w:r w:rsidR="00514434" w:rsidRPr="00AF6978">
        <w:rPr>
          <w:color w:val="auto"/>
        </w:rPr>
        <w:t xml:space="preserve"> recovere</w:t>
      </w:r>
      <w:r w:rsidR="002E559C" w:rsidRPr="00AF6978">
        <w:rPr>
          <w:color w:val="auto"/>
        </w:rPr>
        <w:t xml:space="preserve">d </w:t>
      </w:r>
      <w:r w:rsidR="00514434" w:rsidRPr="00AF6978">
        <w:rPr>
          <w:color w:val="auto"/>
        </w:rPr>
        <w:t>amount of the endotoxin spike (</w:t>
      </w:r>
      <w:r w:rsidR="004D6BDD" w:rsidRPr="00AF6978">
        <w:rPr>
          <w:color w:val="auto"/>
        </w:rPr>
        <w:t xml:space="preserve">i.e., </w:t>
      </w:r>
      <w:r w:rsidR="00514434" w:rsidRPr="00AF6978">
        <w:rPr>
          <w:color w:val="auto"/>
        </w:rPr>
        <w:lastRenderedPageBreak/>
        <w:t xml:space="preserve">concentration of the positive control minus the concentration of the </w:t>
      </w:r>
      <w:proofErr w:type="spellStart"/>
      <w:r w:rsidR="00514434" w:rsidRPr="00AF6978">
        <w:rPr>
          <w:color w:val="auto"/>
        </w:rPr>
        <w:t>unspiked</w:t>
      </w:r>
      <w:proofErr w:type="spellEnd"/>
      <w:r w:rsidR="00514434" w:rsidRPr="00AF6978">
        <w:rPr>
          <w:color w:val="auto"/>
        </w:rPr>
        <w:t xml:space="preserve"> test sample) </w:t>
      </w:r>
      <w:r w:rsidR="002E559C" w:rsidRPr="00AF6978">
        <w:rPr>
          <w:color w:val="auto"/>
        </w:rPr>
        <w:t>is</w:t>
      </w:r>
      <w:r w:rsidR="00514434" w:rsidRPr="00AF6978">
        <w:rPr>
          <w:color w:val="auto"/>
        </w:rPr>
        <w:t xml:space="preserve"> within 50</w:t>
      </w:r>
      <w:r w:rsidR="00AF6978" w:rsidRPr="00AF6978">
        <w:rPr>
          <w:color w:val="auto"/>
        </w:rPr>
        <w:t>−</w:t>
      </w:r>
      <w:r w:rsidR="00514434" w:rsidRPr="00AF6978">
        <w:rPr>
          <w:color w:val="auto"/>
        </w:rPr>
        <w:t xml:space="preserve">200% of the </w:t>
      </w:r>
      <w:r w:rsidR="002E559C" w:rsidRPr="00AF6978">
        <w:rPr>
          <w:color w:val="auto"/>
        </w:rPr>
        <w:t>nominal concentration of the endotoxin spike, the extraction solution can be considered to not significantly interfere with the assay.</w:t>
      </w:r>
    </w:p>
    <w:p w14:paraId="59D53EEB" w14:textId="77777777" w:rsidR="002F1493" w:rsidRPr="00A033C0" w:rsidRDefault="002F1493" w:rsidP="00DD61D0">
      <w:pPr>
        <w:rPr>
          <w:color w:val="auto"/>
        </w:rPr>
      </w:pPr>
    </w:p>
    <w:p w14:paraId="64DBA8E4" w14:textId="01C0DAF4" w:rsidR="00C7461D" w:rsidRPr="00AF6978" w:rsidRDefault="00C7461D" w:rsidP="00AF6978">
      <w:pPr>
        <w:pStyle w:val="ListParagraph"/>
        <w:numPr>
          <w:ilvl w:val="2"/>
          <w:numId w:val="29"/>
        </w:numPr>
        <w:rPr>
          <w:color w:val="auto"/>
        </w:rPr>
      </w:pPr>
      <w:r w:rsidRPr="00AF6978">
        <w:rPr>
          <w:color w:val="auto"/>
        </w:rPr>
        <w:t xml:space="preserve">Add 50 µL of standards, samples, or spike controls to each well </w:t>
      </w:r>
      <w:r w:rsidR="002F1493" w:rsidRPr="00AF6978">
        <w:rPr>
          <w:color w:val="auto"/>
        </w:rPr>
        <w:t xml:space="preserve">of a 96-well plate </w:t>
      </w:r>
      <w:r w:rsidRPr="00AF6978">
        <w:rPr>
          <w:color w:val="auto"/>
        </w:rPr>
        <w:t xml:space="preserve">in duplicate or triplicate. </w:t>
      </w:r>
      <w:r w:rsidR="00CB72D0" w:rsidRPr="00AF6978">
        <w:rPr>
          <w:color w:val="auto"/>
        </w:rPr>
        <w:t>Use reagent water as a negative control.</w:t>
      </w:r>
      <w:r w:rsidRPr="00AF6978">
        <w:rPr>
          <w:color w:val="auto"/>
        </w:rPr>
        <w:t xml:space="preserve"> </w:t>
      </w:r>
    </w:p>
    <w:p w14:paraId="59EB25C4" w14:textId="77777777" w:rsidR="00C7461D" w:rsidRPr="00A033C0" w:rsidRDefault="00C7461D" w:rsidP="00DD61D0">
      <w:pPr>
        <w:rPr>
          <w:color w:val="auto"/>
        </w:rPr>
      </w:pPr>
    </w:p>
    <w:p w14:paraId="2D14C278" w14:textId="327E78EE" w:rsidR="00C7461D" w:rsidRPr="00AF6978" w:rsidRDefault="00C7461D" w:rsidP="00AF6978">
      <w:pPr>
        <w:pStyle w:val="ListParagraph"/>
        <w:numPr>
          <w:ilvl w:val="2"/>
          <w:numId w:val="29"/>
        </w:numPr>
        <w:rPr>
          <w:color w:val="auto"/>
        </w:rPr>
      </w:pPr>
      <w:r w:rsidRPr="00AF6978">
        <w:rPr>
          <w:color w:val="auto"/>
        </w:rPr>
        <w:t xml:space="preserve">Add 50 µL of chromogenic reagent </w:t>
      </w:r>
      <w:r w:rsidR="002F1493" w:rsidRPr="00AF6978">
        <w:rPr>
          <w:color w:val="auto"/>
        </w:rPr>
        <w:t xml:space="preserve">to every well. </w:t>
      </w:r>
      <w:r w:rsidR="006B45F0" w:rsidRPr="00AF6978">
        <w:rPr>
          <w:color w:val="auto"/>
        </w:rPr>
        <w:t>Add reagent quickly to all wells. U</w:t>
      </w:r>
      <w:r w:rsidR="002F1493" w:rsidRPr="00AF6978">
        <w:rPr>
          <w:color w:val="auto"/>
        </w:rPr>
        <w:t>se a timer to record the amount of time it takes to add reagent to all wells.</w:t>
      </w:r>
      <w:r w:rsidR="006B45F0" w:rsidRPr="00AF6978">
        <w:rPr>
          <w:color w:val="auto"/>
        </w:rPr>
        <w:t xml:space="preserve"> Cover the plate with an adhesive seal and incubate at 37</w:t>
      </w:r>
      <w:r w:rsidR="00562121" w:rsidRPr="00AF6978">
        <w:rPr>
          <w:color w:val="auto"/>
        </w:rPr>
        <w:t xml:space="preserve"> °C </w:t>
      </w:r>
      <w:r w:rsidR="006B45F0" w:rsidRPr="00AF6978">
        <w:rPr>
          <w:color w:val="auto"/>
        </w:rPr>
        <w:t xml:space="preserve">(incubation time is lot-dependent and stated on Certificate of Analysis included in the chromogenic reagent kit). Alternatively, check on the plate every 15 </w:t>
      </w:r>
      <w:r w:rsidR="00A7187F" w:rsidRPr="00AF6978">
        <w:rPr>
          <w:color w:val="auto"/>
        </w:rPr>
        <w:t>min</w:t>
      </w:r>
      <w:r w:rsidR="006B45F0" w:rsidRPr="00AF6978">
        <w:rPr>
          <w:color w:val="auto"/>
        </w:rPr>
        <w:t xml:space="preserve"> during incubation until </w:t>
      </w:r>
      <w:r w:rsidR="00A32A74" w:rsidRPr="00A32A74">
        <w:rPr>
          <w:color w:val="auto"/>
        </w:rPr>
        <w:t>color</w:t>
      </w:r>
      <w:r w:rsidR="006B45F0" w:rsidRPr="00AF6978">
        <w:rPr>
          <w:color w:val="auto"/>
        </w:rPr>
        <w:t xml:space="preserve"> change is observed in all standard wells.</w:t>
      </w:r>
    </w:p>
    <w:p w14:paraId="10754F83" w14:textId="77777777" w:rsidR="006B45F0" w:rsidRPr="00A033C0" w:rsidRDefault="006B45F0" w:rsidP="00DD61D0">
      <w:pPr>
        <w:rPr>
          <w:color w:val="auto"/>
        </w:rPr>
      </w:pPr>
    </w:p>
    <w:p w14:paraId="7F7806DD" w14:textId="20B2A8A5" w:rsidR="006B45F0" w:rsidRPr="00AF6978" w:rsidRDefault="006B45F0" w:rsidP="00AF6978">
      <w:pPr>
        <w:pStyle w:val="ListParagraph"/>
        <w:numPr>
          <w:ilvl w:val="2"/>
          <w:numId w:val="29"/>
        </w:numPr>
        <w:rPr>
          <w:color w:val="auto"/>
        </w:rPr>
      </w:pPr>
      <w:r w:rsidRPr="00AF6978">
        <w:rPr>
          <w:color w:val="auto"/>
        </w:rPr>
        <w:t>After incubation, add 25 µL of 50% acetic acid to each well (final concentration of 10% acetic acid per well) to stop the reaction. Add acetic acid in the same order as the chromogenic reagent was added. Read absorbance of the plate using a plate reader at 405 nm. Aspirate liquid and discard plate.</w:t>
      </w:r>
    </w:p>
    <w:p w14:paraId="3AAC47EB" w14:textId="77777777" w:rsidR="00A60261" w:rsidRPr="00A033C0" w:rsidRDefault="00A60261" w:rsidP="006B45F0">
      <w:pPr>
        <w:rPr>
          <w:color w:val="auto"/>
        </w:rPr>
      </w:pPr>
    </w:p>
    <w:p w14:paraId="7E4FD11E" w14:textId="60CA46F1" w:rsidR="006B45F0" w:rsidRPr="00A033C0" w:rsidRDefault="006B45F0" w:rsidP="006B45F0">
      <w:pPr>
        <w:rPr>
          <w:color w:val="auto"/>
        </w:rPr>
      </w:pPr>
      <w:r w:rsidRPr="00A033C0">
        <w:rPr>
          <w:color w:val="auto"/>
        </w:rPr>
        <w:t>N</w:t>
      </w:r>
      <w:r w:rsidR="00D17121" w:rsidRPr="00A033C0">
        <w:rPr>
          <w:color w:val="auto"/>
        </w:rPr>
        <w:t>OTE</w:t>
      </w:r>
      <w:r w:rsidRPr="00A033C0">
        <w:rPr>
          <w:color w:val="auto"/>
        </w:rPr>
        <w:t>: Acetic acid addition should take the same length of time to add to each well as the chromogenic reagent took (± 30 s).</w:t>
      </w:r>
    </w:p>
    <w:p w14:paraId="5716686E" w14:textId="77777777" w:rsidR="00E161F3" w:rsidRPr="00A033C0" w:rsidRDefault="00E161F3" w:rsidP="00DD61D0">
      <w:pPr>
        <w:rPr>
          <w:color w:val="auto"/>
        </w:rPr>
      </w:pPr>
    </w:p>
    <w:p w14:paraId="11B1199B" w14:textId="6F4CDB0F" w:rsidR="00DD61D0" w:rsidRPr="0096321A" w:rsidRDefault="00A92BBE" w:rsidP="00AF6978">
      <w:pPr>
        <w:pStyle w:val="ListParagraph"/>
        <w:numPr>
          <w:ilvl w:val="1"/>
          <w:numId w:val="29"/>
        </w:numPr>
        <w:rPr>
          <w:color w:val="auto"/>
          <w:highlight w:val="yellow"/>
        </w:rPr>
      </w:pPr>
      <w:r w:rsidRPr="0096321A">
        <w:rPr>
          <w:color w:val="auto"/>
          <w:highlight w:val="yellow"/>
        </w:rPr>
        <w:t>Ultraviolet (</w:t>
      </w:r>
      <w:r w:rsidR="00DD61D0" w:rsidRPr="0096321A">
        <w:rPr>
          <w:color w:val="auto"/>
          <w:highlight w:val="yellow"/>
        </w:rPr>
        <w:t>UV</w:t>
      </w:r>
      <w:r w:rsidRPr="0096321A">
        <w:rPr>
          <w:color w:val="auto"/>
          <w:highlight w:val="yellow"/>
        </w:rPr>
        <w:t>)</w:t>
      </w:r>
      <w:r w:rsidR="00DD61D0" w:rsidRPr="0096321A">
        <w:rPr>
          <w:color w:val="auto"/>
          <w:highlight w:val="yellow"/>
        </w:rPr>
        <w:t xml:space="preserve"> steriliz</w:t>
      </w:r>
      <w:r w:rsidR="00F215C2" w:rsidRPr="0096321A">
        <w:rPr>
          <w:color w:val="auto"/>
          <w:highlight w:val="yellow"/>
        </w:rPr>
        <w:t>e</w:t>
      </w:r>
      <w:r w:rsidR="008E73AB" w:rsidRPr="0096321A">
        <w:rPr>
          <w:color w:val="auto"/>
          <w:highlight w:val="yellow"/>
        </w:rPr>
        <w:t xml:space="preserve"> the</w:t>
      </w:r>
      <w:r w:rsidR="00F215C2" w:rsidRPr="0096321A">
        <w:rPr>
          <w:color w:val="auto"/>
          <w:highlight w:val="yellow"/>
        </w:rPr>
        <w:t xml:space="preserve"> slides </w:t>
      </w:r>
      <w:r w:rsidR="00623A31" w:rsidRPr="0096321A">
        <w:rPr>
          <w:color w:val="auto"/>
          <w:highlight w:val="yellow"/>
        </w:rPr>
        <w:t xml:space="preserve">for </w:t>
      </w:r>
      <w:r w:rsidR="00DD61D0" w:rsidRPr="0096321A">
        <w:rPr>
          <w:color w:val="auto"/>
          <w:highlight w:val="yellow"/>
        </w:rPr>
        <w:t xml:space="preserve">30 </w:t>
      </w:r>
      <w:r w:rsidR="00A7187F" w:rsidRPr="0096321A">
        <w:rPr>
          <w:color w:val="auto"/>
          <w:highlight w:val="yellow"/>
        </w:rPr>
        <w:t>min</w:t>
      </w:r>
      <w:r w:rsidR="00DD61D0" w:rsidRPr="0096321A">
        <w:rPr>
          <w:color w:val="auto"/>
          <w:highlight w:val="yellow"/>
        </w:rPr>
        <w:t xml:space="preserve"> prior to cell </w:t>
      </w:r>
      <w:r w:rsidR="00623A31" w:rsidRPr="0096321A">
        <w:rPr>
          <w:color w:val="auto"/>
          <w:highlight w:val="yellow"/>
        </w:rPr>
        <w:t>culture experiments.</w:t>
      </w:r>
    </w:p>
    <w:p w14:paraId="52301A63" w14:textId="77777777" w:rsidR="00F215C2" w:rsidRPr="00A033C0" w:rsidRDefault="00F215C2" w:rsidP="00DD61D0">
      <w:pPr>
        <w:rPr>
          <w:color w:val="auto"/>
          <w:highlight w:val="yellow"/>
        </w:rPr>
      </w:pPr>
      <w:bookmarkStart w:id="1" w:name="_GoBack"/>
      <w:bookmarkEnd w:id="1"/>
    </w:p>
    <w:p w14:paraId="1A7121F5" w14:textId="58B5DBDD" w:rsidR="00F215C2" w:rsidRPr="00F968BC" w:rsidRDefault="00F215C2" w:rsidP="00F968BC">
      <w:pPr>
        <w:pStyle w:val="ListParagraph"/>
        <w:numPr>
          <w:ilvl w:val="0"/>
          <w:numId w:val="29"/>
        </w:numPr>
        <w:rPr>
          <w:b/>
          <w:color w:val="auto"/>
        </w:rPr>
      </w:pPr>
      <w:r w:rsidRPr="00F968BC">
        <w:rPr>
          <w:b/>
          <w:color w:val="auto"/>
        </w:rPr>
        <w:t>Coating cell culture surfaces with polydimethylsiloxane</w:t>
      </w:r>
    </w:p>
    <w:p w14:paraId="01306D41" w14:textId="77777777" w:rsidR="00F215C2" w:rsidRPr="00A033C0" w:rsidRDefault="00F215C2" w:rsidP="00DD61D0">
      <w:pPr>
        <w:rPr>
          <w:color w:val="auto"/>
        </w:rPr>
      </w:pPr>
    </w:p>
    <w:p w14:paraId="39DC0166" w14:textId="223FDBA5" w:rsidR="008E73AB" w:rsidRPr="00F968BC" w:rsidRDefault="008E73AB" w:rsidP="00F968BC">
      <w:pPr>
        <w:pStyle w:val="ListParagraph"/>
        <w:numPr>
          <w:ilvl w:val="1"/>
          <w:numId w:val="29"/>
        </w:numPr>
        <w:rPr>
          <w:color w:val="auto"/>
        </w:rPr>
      </w:pPr>
      <w:r w:rsidRPr="00F968BC">
        <w:rPr>
          <w:color w:val="auto"/>
        </w:rPr>
        <w:t>Mix polydimethylsiloxane</w:t>
      </w:r>
      <w:r w:rsidR="00D17121" w:rsidRPr="00F968BC">
        <w:rPr>
          <w:color w:val="auto"/>
        </w:rPr>
        <w:t xml:space="preserve"> (PDMS)</w:t>
      </w:r>
      <w:r w:rsidRPr="00F968BC">
        <w:rPr>
          <w:color w:val="auto"/>
        </w:rPr>
        <w:t xml:space="preserve"> elastomer in a 10:1 weight ratio (</w:t>
      </w:r>
      <w:proofErr w:type="spellStart"/>
      <w:proofErr w:type="gramStart"/>
      <w:r w:rsidRPr="00F968BC">
        <w:rPr>
          <w:color w:val="auto"/>
        </w:rPr>
        <w:t>base:curing</w:t>
      </w:r>
      <w:proofErr w:type="spellEnd"/>
      <w:proofErr w:type="gramEnd"/>
      <w:r w:rsidRPr="00F968BC">
        <w:rPr>
          <w:color w:val="auto"/>
        </w:rPr>
        <w:t xml:space="preserve"> agent). In a biological safety cabinet, pipette approximately 10 mL of polydimethylsiloxane base into a sterile tube. Weigh the tube and slowly add curing agent until 10% has been added.</w:t>
      </w:r>
    </w:p>
    <w:p w14:paraId="482E7508" w14:textId="77777777" w:rsidR="00D17121" w:rsidRPr="00A033C0" w:rsidRDefault="00D17121" w:rsidP="00DD61D0">
      <w:pPr>
        <w:rPr>
          <w:color w:val="auto"/>
        </w:rPr>
      </w:pPr>
    </w:p>
    <w:p w14:paraId="394C8415" w14:textId="77777777" w:rsidR="001E08FA" w:rsidRPr="00A033C0" w:rsidRDefault="001E08FA" w:rsidP="00DD61D0">
      <w:pPr>
        <w:rPr>
          <w:color w:val="auto"/>
        </w:rPr>
      </w:pPr>
      <w:r w:rsidRPr="00A033C0">
        <w:rPr>
          <w:color w:val="auto"/>
        </w:rPr>
        <w:t xml:space="preserve">CAUTION: Use PDMS reagents in a </w:t>
      </w:r>
      <w:r w:rsidR="008F78EE" w:rsidRPr="00A033C0">
        <w:rPr>
          <w:color w:val="auto"/>
        </w:rPr>
        <w:t>well-ventilated</w:t>
      </w:r>
      <w:r w:rsidRPr="00A033C0">
        <w:rPr>
          <w:color w:val="auto"/>
        </w:rPr>
        <w:t xml:space="preserve"> area</w:t>
      </w:r>
      <w:r w:rsidR="00E00EBE" w:rsidRPr="00A033C0">
        <w:rPr>
          <w:color w:val="auto"/>
        </w:rPr>
        <w:t xml:space="preserve"> and avoid eye contact by wearing safety glasses</w:t>
      </w:r>
      <w:r w:rsidRPr="00A033C0">
        <w:rPr>
          <w:color w:val="auto"/>
        </w:rPr>
        <w:t>.</w:t>
      </w:r>
    </w:p>
    <w:p w14:paraId="4773DABE" w14:textId="77777777" w:rsidR="008E73AB" w:rsidRPr="00A033C0" w:rsidRDefault="008E73AB" w:rsidP="00DD61D0">
      <w:pPr>
        <w:rPr>
          <w:color w:val="auto"/>
        </w:rPr>
      </w:pPr>
    </w:p>
    <w:p w14:paraId="429B7EF1" w14:textId="2564B1DE" w:rsidR="008E73AB" w:rsidRPr="00F968BC" w:rsidRDefault="008E73AB" w:rsidP="00F968BC">
      <w:pPr>
        <w:pStyle w:val="ListParagraph"/>
        <w:numPr>
          <w:ilvl w:val="1"/>
          <w:numId w:val="29"/>
        </w:numPr>
        <w:rPr>
          <w:color w:val="auto"/>
        </w:rPr>
      </w:pPr>
      <w:r w:rsidRPr="00F968BC">
        <w:rPr>
          <w:color w:val="auto"/>
        </w:rPr>
        <w:t xml:space="preserve">Thoroughly mix the elastomer by stirring with a sterile serological pipette tip and by pipetting up and down. Add approximately 200 </w:t>
      </w:r>
      <w:proofErr w:type="spellStart"/>
      <w:r w:rsidRPr="00F968BC">
        <w:rPr>
          <w:color w:val="auto"/>
        </w:rPr>
        <w:t>μL</w:t>
      </w:r>
      <w:proofErr w:type="spellEnd"/>
      <w:r w:rsidRPr="00F968BC">
        <w:rPr>
          <w:color w:val="auto"/>
        </w:rPr>
        <w:t xml:space="preserve"> of the solution to each well of a 48-well plate. </w:t>
      </w:r>
      <w:r w:rsidR="00FD2990" w:rsidRPr="00F968BC">
        <w:rPr>
          <w:color w:val="auto"/>
        </w:rPr>
        <w:t>Tilt the well plate slowly to ensure complete coverage of wells with elastomer solution.</w:t>
      </w:r>
    </w:p>
    <w:p w14:paraId="6261CE2C" w14:textId="77777777" w:rsidR="008E73AB" w:rsidRPr="00A033C0" w:rsidRDefault="008E73AB" w:rsidP="00DD61D0">
      <w:pPr>
        <w:rPr>
          <w:color w:val="auto"/>
        </w:rPr>
      </w:pPr>
    </w:p>
    <w:p w14:paraId="5D2F5A08" w14:textId="69873050" w:rsidR="00FD2990" w:rsidRPr="00F968BC" w:rsidRDefault="008E73AB" w:rsidP="00F968BC">
      <w:pPr>
        <w:pStyle w:val="ListParagraph"/>
        <w:numPr>
          <w:ilvl w:val="1"/>
          <w:numId w:val="29"/>
        </w:numPr>
        <w:rPr>
          <w:color w:val="auto"/>
        </w:rPr>
      </w:pPr>
      <w:r w:rsidRPr="00F968BC">
        <w:rPr>
          <w:color w:val="auto"/>
        </w:rPr>
        <w:t xml:space="preserve">Place the well plate with elastomer into a vacuum oven set at 50 </w:t>
      </w:r>
      <w:proofErr w:type="spellStart"/>
      <w:r w:rsidRPr="00F968BC">
        <w:rPr>
          <w:color w:val="auto"/>
        </w:rPr>
        <w:t>cmHg</w:t>
      </w:r>
      <w:proofErr w:type="spellEnd"/>
      <w:r w:rsidRPr="00F968BC">
        <w:rPr>
          <w:color w:val="auto"/>
        </w:rPr>
        <w:t xml:space="preserve">, 40 </w:t>
      </w:r>
      <w:r w:rsidR="00BB23E5">
        <w:rPr>
          <w:color w:val="auto"/>
        </w:rPr>
        <w:t>°</w:t>
      </w:r>
      <w:r w:rsidRPr="00F968BC">
        <w:rPr>
          <w:color w:val="auto"/>
        </w:rPr>
        <w:t>C.</w:t>
      </w:r>
      <w:r w:rsidR="008516E3" w:rsidRPr="00F968BC">
        <w:rPr>
          <w:color w:val="auto"/>
        </w:rPr>
        <w:t xml:space="preserve"> Remove the lid and cover with a </w:t>
      </w:r>
      <w:r w:rsidR="00A4003C" w:rsidRPr="00F968BC">
        <w:rPr>
          <w:color w:val="auto"/>
        </w:rPr>
        <w:t xml:space="preserve">single-ply </w:t>
      </w:r>
      <w:r w:rsidR="008516E3" w:rsidRPr="00F968BC">
        <w:rPr>
          <w:color w:val="auto"/>
        </w:rPr>
        <w:t>wipe to prevent other debris from falling into the wells.</w:t>
      </w:r>
      <w:r w:rsidRPr="00F968BC">
        <w:rPr>
          <w:color w:val="auto"/>
        </w:rPr>
        <w:t xml:space="preserve"> Allow to incubate for at least 48 </w:t>
      </w:r>
      <w:r w:rsidR="00917ADA" w:rsidRPr="00F968BC">
        <w:rPr>
          <w:color w:val="auto"/>
        </w:rPr>
        <w:t>h</w:t>
      </w:r>
      <w:r w:rsidRPr="00F968BC">
        <w:rPr>
          <w:color w:val="auto"/>
        </w:rPr>
        <w:t xml:space="preserve">. </w:t>
      </w:r>
    </w:p>
    <w:p w14:paraId="7C9DBBE5" w14:textId="77777777" w:rsidR="00FD2990" w:rsidRPr="00A033C0" w:rsidRDefault="00FD2990" w:rsidP="00DD61D0">
      <w:pPr>
        <w:rPr>
          <w:color w:val="auto"/>
        </w:rPr>
      </w:pPr>
    </w:p>
    <w:p w14:paraId="4A3E3BF9" w14:textId="28EBD468" w:rsidR="008E73AB" w:rsidRPr="00BB23E5" w:rsidRDefault="008E73AB" w:rsidP="00BB23E5">
      <w:pPr>
        <w:pStyle w:val="ListParagraph"/>
        <w:numPr>
          <w:ilvl w:val="2"/>
          <w:numId w:val="29"/>
        </w:numPr>
        <w:rPr>
          <w:color w:val="auto"/>
        </w:rPr>
      </w:pPr>
      <w:r w:rsidRPr="00BB23E5">
        <w:rPr>
          <w:color w:val="auto"/>
        </w:rPr>
        <w:t>Confirm</w:t>
      </w:r>
      <w:r w:rsidR="00FD2990" w:rsidRPr="00BB23E5">
        <w:rPr>
          <w:color w:val="auto"/>
        </w:rPr>
        <w:t xml:space="preserve"> the wells are completely coated via visual inspection. Ensure</w:t>
      </w:r>
      <w:r w:rsidRPr="00BB23E5">
        <w:rPr>
          <w:color w:val="auto"/>
        </w:rPr>
        <w:t xml:space="preserve"> the elastomer is fully cured by </w:t>
      </w:r>
      <w:r w:rsidR="00984360" w:rsidRPr="00BB23E5">
        <w:rPr>
          <w:color w:val="auto"/>
        </w:rPr>
        <w:t>gently prodding</w:t>
      </w:r>
      <w:r w:rsidRPr="00BB23E5">
        <w:rPr>
          <w:color w:val="auto"/>
        </w:rPr>
        <w:t xml:space="preserve"> with a sterile pipette tip before removing. </w:t>
      </w:r>
    </w:p>
    <w:p w14:paraId="508F9BFE" w14:textId="77777777" w:rsidR="00DD61D0" w:rsidRPr="00A033C0" w:rsidRDefault="00DD61D0" w:rsidP="00DD61D0">
      <w:pPr>
        <w:rPr>
          <w:color w:val="auto"/>
        </w:rPr>
      </w:pPr>
    </w:p>
    <w:p w14:paraId="306045A0" w14:textId="1BEB22AB" w:rsidR="008E73AB" w:rsidRPr="00496D55" w:rsidRDefault="008E73AB" w:rsidP="00496D55">
      <w:pPr>
        <w:pStyle w:val="ListParagraph"/>
        <w:numPr>
          <w:ilvl w:val="1"/>
          <w:numId w:val="29"/>
        </w:numPr>
        <w:rPr>
          <w:color w:val="auto"/>
        </w:rPr>
      </w:pPr>
      <w:r w:rsidRPr="00496D55">
        <w:rPr>
          <w:color w:val="auto"/>
        </w:rPr>
        <w:t xml:space="preserve">Add 300 µL of 70% ethanol (made with absolute ethanol and endotoxin-free water) and </w:t>
      </w:r>
      <w:r w:rsidRPr="00496D55">
        <w:rPr>
          <w:color w:val="auto"/>
        </w:rPr>
        <w:lastRenderedPageBreak/>
        <w:t xml:space="preserve">incubate at </w:t>
      </w:r>
      <w:r w:rsidR="00A7187F" w:rsidRPr="00496D55">
        <w:rPr>
          <w:color w:val="auto"/>
        </w:rPr>
        <w:t>RT</w:t>
      </w:r>
      <w:r w:rsidRPr="00496D55">
        <w:rPr>
          <w:color w:val="auto"/>
        </w:rPr>
        <w:t xml:space="preserve"> for 1</w:t>
      </w:r>
      <w:r w:rsidR="00496D55" w:rsidRPr="00496D55">
        <w:rPr>
          <w:color w:val="auto"/>
        </w:rPr>
        <w:t xml:space="preserve"> h</w:t>
      </w:r>
      <w:r w:rsidRPr="00496D55">
        <w:rPr>
          <w:color w:val="auto"/>
        </w:rPr>
        <w:t xml:space="preserve">. Remove the ethanol and perform endotoxin-free water washes by adding 300 µL </w:t>
      </w:r>
      <w:r w:rsidR="00496D55">
        <w:rPr>
          <w:color w:val="auto"/>
        </w:rPr>
        <w:t xml:space="preserve">of </w:t>
      </w:r>
      <w:r w:rsidRPr="00496D55">
        <w:rPr>
          <w:color w:val="auto"/>
        </w:rPr>
        <w:t>endotoxin-free water to each well and incubating for 1</w:t>
      </w:r>
      <w:r w:rsidR="00496D55" w:rsidRPr="00496D55">
        <w:rPr>
          <w:color w:val="auto"/>
        </w:rPr>
        <w:t xml:space="preserve"> h</w:t>
      </w:r>
      <w:r w:rsidRPr="00496D55">
        <w:rPr>
          <w:color w:val="auto"/>
        </w:rPr>
        <w:t xml:space="preserve"> (three times), 12 </w:t>
      </w:r>
      <w:r w:rsidR="00917ADA" w:rsidRPr="00496D55">
        <w:rPr>
          <w:color w:val="auto"/>
        </w:rPr>
        <w:t>h</w:t>
      </w:r>
      <w:r w:rsidRPr="00496D55">
        <w:rPr>
          <w:color w:val="auto"/>
        </w:rPr>
        <w:t xml:space="preserve">, and 24 </w:t>
      </w:r>
      <w:r w:rsidR="00917ADA" w:rsidRPr="00496D55">
        <w:rPr>
          <w:color w:val="auto"/>
        </w:rPr>
        <w:t>h</w:t>
      </w:r>
      <w:r w:rsidRPr="00496D55">
        <w:rPr>
          <w:color w:val="auto"/>
        </w:rPr>
        <w:t xml:space="preserve"> prior to use to remove any remaining solvent.</w:t>
      </w:r>
    </w:p>
    <w:p w14:paraId="785BE99B" w14:textId="77777777" w:rsidR="008E73AB" w:rsidRPr="00A033C0" w:rsidRDefault="008E73AB" w:rsidP="00DD61D0">
      <w:pPr>
        <w:rPr>
          <w:b/>
          <w:color w:val="auto"/>
        </w:rPr>
      </w:pPr>
    </w:p>
    <w:p w14:paraId="791DE162" w14:textId="4475BC93" w:rsidR="008E73AB" w:rsidRPr="009747C1" w:rsidRDefault="008E73AB" w:rsidP="009747C1">
      <w:pPr>
        <w:pStyle w:val="ListParagraph"/>
        <w:numPr>
          <w:ilvl w:val="2"/>
          <w:numId w:val="29"/>
        </w:numPr>
        <w:rPr>
          <w:color w:val="auto"/>
        </w:rPr>
      </w:pPr>
      <w:r w:rsidRPr="009747C1">
        <w:rPr>
          <w:color w:val="auto"/>
        </w:rPr>
        <w:t xml:space="preserve">Incubate 200 µL of </w:t>
      </w:r>
      <w:r w:rsidR="001D5493" w:rsidRPr="009747C1">
        <w:rPr>
          <w:color w:val="auto"/>
        </w:rPr>
        <w:t xml:space="preserve">endotoxin-free </w:t>
      </w:r>
      <w:r w:rsidRPr="009747C1">
        <w:rPr>
          <w:color w:val="auto"/>
        </w:rPr>
        <w:t>water in three wells of each plate for 1</w:t>
      </w:r>
      <w:r w:rsidR="00496D55" w:rsidRPr="009747C1">
        <w:rPr>
          <w:color w:val="auto"/>
        </w:rPr>
        <w:t xml:space="preserve"> h</w:t>
      </w:r>
      <w:r w:rsidRPr="009747C1">
        <w:rPr>
          <w:color w:val="auto"/>
        </w:rPr>
        <w:t xml:space="preserve">. </w:t>
      </w:r>
      <w:bookmarkStart w:id="2" w:name="_Hlk15570837"/>
      <w:r w:rsidRPr="009747C1">
        <w:rPr>
          <w:color w:val="auto"/>
        </w:rPr>
        <w:t>Measure endotoxin concentration</w:t>
      </w:r>
      <w:r w:rsidR="00ED5460" w:rsidRPr="009747C1">
        <w:rPr>
          <w:color w:val="auto"/>
        </w:rPr>
        <w:t xml:space="preserve"> </w:t>
      </w:r>
      <w:r w:rsidR="001D5493" w:rsidRPr="009747C1">
        <w:rPr>
          <w:color w:val="auto"/>
        </w:rPr>
        <w:t xml:space="preserve">of the water extracts </w:t>
      </w:r>
      <w:r w:rsidRPr="009747C1">
        <w:rPr>
          <w:color w:val="auto"/>
        </w:rPr>
        <w:t>using a</w:t>
      </w:r>
      <w:r w:rsidR="00ED5460" w:rsidRPr="009747C1">
        <w:rPr>
          <w:color w:val="auto"/>
        </w:rPr>
        <w:t>n endpoint</w:t>
      </w:r>
      <w:r w:rsidRPr="009747C1">
        <w:rPr>
          <w:color w:val="auto"/>
        </w:rPr>
        <w:t xml:space="preserve"> </w:t>
      </w:r>
      <w:r w:rsidR="00ED5460" w:rsidRPr="009747C1">
        <w:rPr>
          <w:color w:val="auto"/>
        </w:rPr>
        <w:t>chromogenic</w:t>
      </w:r>
      <w:r w:rsidRPr="009747C1">
        <w:rPr>
          <w:color w:val="auto"/>
        </w:rPr>
        <w:t xml:space="preserve"> endotoxin </w:t>
      </w:r>
      <w:r w:rsidR="00ED5460" w:rsidRPr="009747C1">
        <w:rPr>
          <w:color w:val="auto"/>
        </w:rPr>
        <w:t>assay (steps 2.5.1</w:t>
      </w:r>
      <w:r w:rsidR="009747C1">
        <w:rPr>
          <w:color w:val="auto"/>
        </w:rPr>
        <w:t>−</w:t>
      </w:r>
      <w:r w:rsidR="00ED5460" w:rsidRPr="009747C1">
        <w:rPr>
          <w:color w:val="auto"/>
        </w:rPr>
        <w:t>2.5.</w:t>
      </w:r>
      <w:r w:rsidR="00F218B8" w:rsidRPr="009747C1">
        <w:rPr>
          <w:color w:val="auto"/>
        </w:rPr>
        <w:t>6</w:t>
      </w:r>
      <w:r w:rsidR="00ED5460" w:rsidRPr="009747C1">
        <w:rPr>
          <w:color w:val="auto"/>
        </w:rPr>
        <w:t>)</w:t>
      </w:r>
      <w:r w:rsidRPr="009747C1">
        <w:rPr>
          <w:color w:val="auto"/>
        </w:rPr>
        <w:t xml:space="preserve">. </w:t>
      </w:r>
      <w:bookmarkEnd w:id="2"/>
    </w:p>
    <w:p w14:paraId="0A5C5308" w14:textId="77777777" w:rsidR="00121C82" w:rsidRPr="00A033C0" w:rsidRDefault="00121C82" w:rsidP="008E73AB">
      <w:pPr>
        <w:rPr>
          <w:color w:val="auto"/>
          <w:highlight w:val="yellow"/>
        </w:rPr>
      </w:pPr>
    </w:p>
    <w:p w14:paraId="12EA1913" w14:textId="2C402C97" w:rsidR="00121C82" w:rsidRPr="007619B8" w:rsidRDefault="00121C82" w:rsidP="007619B8">
      <w:pPr>
        <w:pStyle w:val="ListParagraph"/>
        <w:numPr>
          <w:ilvl w:val="0"/>
          <w:numId w:val="29"/>
        </w:numPr>
        <w:rPr>
          <w:b/>
          <w:color w:val="auto"/>
        </w:rPr>
      </w:pPr>
      <w:r w:rsidRPr="007619B8">
        <w:rPr>
          <w:b/>
          <w:color w:val="auto"/>
        </w:rPr>
        <w:t>Coating cell culture surfaces with fluorinated poly(tetrafluoroethylene)</w:t>
      </w:r>
    </w:p>
    <w:p w14:paraId="39D0A619" w14:textId="77777777" w:rsidR="008E73AB" w:rsidRPr="00A033C0" w:rsidRDefault="008E73AB" w:rsidP="00DD61D0">
      <w:pPr>
        <w:rPr>
          <w:b/>
          <w:color w:val="auto"/>
        </w:rPr>
      </w:pPr>
    </w:p>
    <w:p w14:paraId="1480EFC4" w14:textId="55E63FB7" w:rsidR="00121C82" w:rsidRPr="007619B8" w:rsidRDefault="00121C82" w:rsidP="007619B8">
      <w:pPr>
        <w:pStyle w:val="ListParagraph"/>
        <w:numPr>
          <w:ilvl w:val="1"/>
          <w:numId w:val="29"/>
        </w:numPr>
        <w:rPr>
          <w:color w:val="auto"/>
        </w:rPr>
      </w:pPr>
      <w:r w:rsidRPr="007619B8">
        <w:rPr>
          <w:color w:val="auto"/>
        </w:rPr>
        <w:t xml:space="preserve">Make a 1 mg/mL solution of fluorinated poly(tetrafluoroethylene) </w:t>
      </w:r>
      <w:r w:rsidR="00D17121" w:rsidRPr="007619B8">
        <w:rPr>
          <w:color w:val="auto"/>
        </w:rPr>
        <w:t>(</w:t>
      </w:r>
      <w:proofErr w:type="spellStart"/>
      <w:r w:rsidR="00D17121" w:rsidRPr="007619B8">
        <w:rPr>
          <w:color w:val="auto"/>
        </w:rPr>
        <w:t>fPTFE</w:t>
      </w:r>
      <w:proofErr w:type="spellEnd"/>
      <w:r w:rsidR="00D17121" w:rsidRPr="007619B8">
        <w:rPr>
          <w:color w:val="auto"/>
        </w:rPr>
        <w:t xml:space="preserve">) </w:t>
      </w:r>
      <w:r w:rsidRPr="007619B8">
        <w:rPr>
          <w:color w:val="auto"/>
        </w:rPr>
        <w:t>(</w:t>
      </w:r>
      <w:r w:rsidR="00754134" w:rsidRPr="007619B8">
        <w:rPr>
          <w:color w:val="auto"/>
        </w:rPr>
        <w:t xml:space="preserve">e.g., </w:t>
      </w:r>
      <w:r w:rsidRPr="007619B8">
        <w:rPr>
          <w:color w:val="auto"/>
        </w:rPr>
        <w:t xml:space="preserve">add </w:t>
      </w:r>
      <w:r w:rsidR="00C41B7F" w:rsidRPr="007619B8">
        <w:rPr>
          <w:color w:val="auto"/>
        </w:rPr>
        <w:t xml:space="preserve">10 </w:t>
      </w:r>
      <w:r w:rsidRPr="007619B8">
        <w:rPr>
          <w:color w:val="auto"/>
        </w:rPr>
        <w:t xml:space="preserve">mg </w:t>
      </w:r>
      <w:r w:rsidR="00CD2467">
        <w:rPr>
          <w:color w:val="auto"/>
        </w:rPr>
        <w:t xml:space="preserve">of </w:t>
      </w:r>
      <w:proofErr w:type="spellStart"/>
      <w:r w:rsidRPr="007619B8">
        <w:rPr>
          <w:color w:val="auto"/>
        </w:rPr>
        <w:t>fPTFE</w:t>
      </w:r>
      <w:proofErr w:type="spellEnd"/>
      <w:r w:rsidRPr="007619B8">
        <w:rPr>
          <w:color w:val="auto"/>
        </w:rPr>
        <w:t xml:space="preserve"> to </w:t>
      </w:r>
      <w:r w:rsidR="00C41B7F" w:rsidRPr="007619B8">
        <w:rPr>
          <w:color w:val="auto"/>
        </w:rPr>
        <w:t xml:space="preserve">10 </w:t>
      </w:r>
      <w:r w:rsidRPr="007619B8">
        <w:rPr>
          <w:color w:val="auto"/>
        </w:rPr>
        <w:t xml:space="preserve">mL </w:t>
      </w:r>
      <w:r w:rsidR="00CD2467">
        <w:rPr>
          <w:color w:val="auto"/>
        </w:rPr>
        <w:t xml:space="preserve">of </w:t>
      </w:r>
      <w:r w:rsidR="004475CC" w:rsidRPr="007619B8">
        <w:rPr>
          <w:color w:val="auto"/>
        </w:rPr>
        <w:t>fluorinated</w:t>
      </w:r>
      <w:r w:rsidRPr="007619B8">
        <w:rPr>
          <w:color w:val="auto"/>
        </w:rPr>
        <w:t xml:space="preserve"> solvent</w:t>
      </w:r>
      <w:r w:rsidR="004475CC" w:rsidRPr="007619B8">
        <w:rPr>
          <w:color w:val="auto"/>
        </w:rPr>
        <w:t xml:space="preserve"> </w:t>
      </w:r>
      <w:r w:rsidR="00CD2467">
        <w:rPr>
          <w:color w:val="auto"/>
        </w:rPr>
        <w:t>[</w:t>
      </w:r>
      <w:r w:rsidR="00563EDB" w:rsidRPr="007619B8">
        <w:rPr>
          <w:b/>
          <w:bCs/>
          <w:color w:val="auto"/>
        </w:rPr>
        <w:t>Table of Materials</w:t>
      </w:r>
      <w:r w:rsidR="00CD2467">
        <w:rPr>
          <w:color w:val="auto"/>
        </w:rPr>
        <w:t>]</w:t>
      </w:r>
      <w:r w:rsidRPr="007619B8">
        <w:rPr>
          <w:color w:val="auto"/>
        </w:rPr>
        <w:t>)</w:t>
      </w:r>
      <w:r w:rsidR="00025968" w:rsidRPr="007619B8">
        <w:rPr>
          <w:color w:val="auto"/>
        </w:rPr>
        <w:t xml:space="preserve"> in a </w:t>
      </w:r>
      <w:r w:rsidR="008516E3" w:rsidRPr="007619B8">
        <w:rPr>
          <w:color w:val="auto"/>
        </w:rPr>
        <w:t>20</w:t>
      </w:r>
      <w:r w:rsidR="009A1B26" w:rsidRPr="007619B8">
        <w:rPr>
          <w:color w:val="auto"/>
        </w:rPr>
        <w:t xml:space="preserve"> </w:t>
      </w:r>
      <w:r w:rsidR="00025968" w:rsidRPr="007619B8">
        <w:rPr>
          <w:color w:val="auto"/>
        </w:rPr>
        <w:t>mL glass scintillation vial</w:t>
      </w:r>
      <w:r w:rsidRPr="007619B8">
        <w:rPr>
          <w:color w:val="auto"/>
        </w:rPr>
        <w:t>. Place a magnetic stir bar in the vial and allow to stir for at least 2</w:t>
      </w:r>
      <w:r w:rsidR="00C41B7F" w:rsidRPr="007619B8">
        <w:rPr>
          <w:color w:val="auto"/>
        </w:rPr>
        <w:t>4</w:t>
      </w:r>
      <w:r w:rsidRPr="007619B8">
        <w:rPr>
          <w:color w:val="auto"/>
        </w:rPr>
        <w:t xml:space="preserve"> </w:t>
      </w:r>
      <w:r w:rsidR="00917ADA" w:rsidRPr="007619B8">
        <w:rPr>
          <w:color w:val="auto"/>
        </w:rPr>
        <w:t>h</w:t>
      </w:r>
      <w:r w:rsidRPr="007619B8">
        <w:rPr>
          <w:color w:val="auto"/>
        </w:rPr>
        <w:t xml:space="preserve">, until all solids are dissolved. </w:t>
      </w:r>
    </w:p>
    <w:p w14:paraId="317AEE26" w14:textId="77777777" w:rsidR="00121C82" w:rsidRPr="00A033C0" w:rsidRDefault="00121C82" w:rsidP="00121C82">
      <w:pPr>
        <w:rPr>
          <w:color w:val="auto"/>
        </w:rPr>
      </w:pPr>
    </w:p>
    <w:p w14:paraId="540EE745" w14:textId="45B2E84D" w:rsidR="00121C82" w:rsidRPr="008F2E45" w:rsidRDefault="00121C82" w:rsidP="008F2E45">
      <w:pPr>
        <w:pStyle w:val="ListParagraph"/>
        <w:numPr>
          <w:ilvl w:val="1"/>
          <w:numId w:val="29"/>
        </w:numPr>
        <w:rPr>
          <w:color w:val="auto"/>
        </w:rPr>
      </w:pPr>
      <w:r w:rsidRPr="008F2E45">
        <w:rPr>
          <w:color w:val="auto"/>
        </w:rPr>
        <w:t xml:space="preserve">Add approximately </w:t>
      </w:r>
      <w:r w:rsidR="00162DBF" w:rsidRPr="008F2E45">
        <w:rPr>
          <w:color w:val="auto"/>
        </w:rPr>
        <w:t>15</w:t>
      </w:r>
      <w:r w:rsidRPr="008F2E45">
        <w:rPr>
          <w:color w:val="auto"/>
        </w:rPr>
        <w:t xml:space="preserve">0 </w:t>
      </w:r>
      <w:proofErr w:type="spellStart"/>
      <w:r w:rsidRPr="008F2E45">
        <w:rPr>
          <w:color w:val="auto"/>
        </w:rPr>
        <w:t>μL</w:t>
      </w:r>
      <w:proofErr w:type="spellEnd"/>
      <w:r w:rsidRPr="008F2E45">
        <w:rPr>
          <w:color w:val="auto"/>
        </w:rPr>
        <w:t xml:space="preserve"> of the </w:t>
      </w:r>
      <w:r w:rsidR="00C41B7F" w:rsidRPr="008F2E45">
        <w:rPr>
          <w:color w:val="auto"/>
        </w:rPr>
        <w:t xml:space="preserve">polymer </w:t>
      </w:r>
      <w:r w:rsidRPr="008F2E45">
        <w:rPr>
          <w:color w:val="auto"/>
        </w:rPr>
        <w:t xml:space="preserve">solution to each well of a </w:t>
      </w:r>
      <w:r w:rsidR="00AF76D2" w:rsidRPr="008F2E45">
        <w:rPr>
          <w:color w:val="auto"/>
        </w:rPr>
        <w:t xml:space="preserve">polystyrene </w:t>
      </w:r>
      <w:r w:rsidRPr="008F2E45">
        <w:rPr>
          <w:color w:val="auto"/>
        </w:rPr>
        <w:t>48-well plate</w:t>
      </w:r>
      <w:r w:rsidR="00AF76D2" w:rsidRPr="008F2E45">
        <w:rPr>
          <w:color w:val="auto"/>
        </w:rPr>
        <w:t xml:space="preserve"> (</w:t>
      </w:r>
      <w:r w:rsidR="004D6BDD" w:rsidRPr="008F2E45">
        <w:rPr>
          <w:color w:val="auto"/>
        </w:rPr>
        <w:t xml:space="preserve">i.e., </w:t>
      </w:r>
      <w:r w:rsidR="00AF76D2" w:rsidRPr="008F2E45">
        <w:rPr>
          <w:color w:val="auto"/>
        </w:rPr>
        <w:t>not tissue culture treated)</w:t>
      </w:r>
      <w:r w:rsidRPr="008F2E45">
        <w:rPr>
          <w:color w:val="auto"/>
        </w:rPr>
        <w:t>. Tilt the well plate slowly to ensure complete coverage of</w:t>
      </w:r>
      <w:r w:rsidR="00E15706" w:rsidRPr="008F2E45">
        <w:rPr>
          <w:color w:val="auto"/>
        </w:rPr>
        <w:t xml:space="preserve"> all</w:t>
      </w:r>
      <w:r w:rsidRPr="008F2E45">
        <w:rPr>
          <w:color w:val="auto"/>
        </w:rPr>
        <w:t xml:space="preserve"> wells with </w:t>
      </w:r>
      <w:r w:rsidR="00E15706" w:rsidRPr="008F2E45">
        <w:rPr>
          <w:color w:val="auto"/>
        </w:rPr>
        <w:t xml:space="preserve">polymer </w:t>
      </w:r>
      <w:r w:rsidRPr="008F2E45">
        <w:rPr>
          <w:color w:val="auto"/>
        </w:rPr>
        <w:t>solution.</w:t>
      </w:r>
      <w:r w:rsidR="00025968" w:rsidRPr="008F2E45">
        <w:rPr>
          <w:color w:val="auto"/>
        </w:rPr>
        <w:t xml:space="preserve"> Replace lid.</w:t>
      </w:r>
    </w:p>
    <w:p w14:paraId="5ACB1622" w14:textId="77777777" w:rsidR="00BE4FA5" w:rsidRPr="00A033C0" w:rsidRDefault="00BE4FA5" w:rsidP="00121C82">
      <w:pPr>
        <w:rPr>
          <w:color w:val="auto"/>
        </w:rPr>
      </w:pPr>
    </w:p>
    <w:p w14:paraId="3C1D0EE9" w14:textId="218ED165" w:rsidR="00BE4FA5" w:rsidRPr="00606947" w:rsidRDefault="00BE4FA5" w:rsidP="00606947">
      <w:pPr>
        <w:pStyle w:val="ListParagraph"/>
        <w:numPr>
          <w:ilvl w:val="2"/>
          <w:numId w:val="29"/>
        </w:numPr>
        <w:rPr>
          <w:color w:val="auto"/>
        </w:rPr>
      </w:pPr>
      <w:r w:rsidRPr="00606947">
        <w:rPr>
          <w:color w:val="auto"/>
        </w:rPr>
        <w:t xml:space="preserve">To ensure effective </w:t>
      </w:r>
      <w:proofErr w:type="spellStart"/>
      <w:r w:rsidRPr="00606947">
        <w:rPr>
          <w:color w:val="auto"/>
        </w:rPr>
        <w:t>fPTFE</w:t>
      </w:r>
      <w:proofErr w:type="spellEnd"/>
      <w:r w:rsidRPr="00606947">
        <w:rPr>
          <w:color w:val="auto"/>
        </w:rPr>
        <w:t xml:space="preserve">-coating of wells, glass coverslips should be coated in </w:t>
      </w:r>
      <w:proofErr w:type="spellStart"/>
      <w:r w:rsidRPr="00606947">
        <w:rPr>
          <w:color w:val="auto"/>
        </w:rPr>
        <w:t>fPTFE</w:t>
      </w:r>
      <w:proofErr w:type="spellEnd"/>
      <w:r w:rsidRPr="00606947">
        <w:rPr>
          <w:color w:val="auto"/>
        </w:rPr>
        <w:t xml:space="preserve"> and used for water contact angle measurement</w:t>
      </w:r>
      <w:r w:rsidR="00A377A8" w:rsidRPr="00606947">
        <w:rPr>
          <w:color w:val="auto"/>
        </w:rPr>
        <w:t xml:space="preserve"> (step 4.3.1)</w:t>
      </w:r>
      <w:r w:rsidRPr="00606947">
        <w:rPr>
          <w:color w:val="auto"/>
        </w:rPr>
        <w:t xml:space="preserve">. Place coverslips inside the wells of a 24-well plate. Add approximately 400 </w:t>
      </w:r>
      <w:proofErr w:type="spellStart"/>
      <w:r w:rsidRPr="00606947">
        <w:rPr>
          <w:color w:val="auto"/>
        </w:rPr>
        <w:t>μL</w:t>
      </w:r>
      <w:proofErr w:type="spellEnd"/>
      <w:r w:rsidRPr="00606947">
        <w:rPr>
          <w:color w:val="auto"/>
        </w:rPr>
        <w:t xml:space="preserve"> of the polymer solution to each well containing a coverslip. Push the coverslips down using sterile forceps</w:t>
      </w:r>
      <w:r w:rsidR="00E15706" w:rsidRPr="00606947">
        <w:rPr>
          <w:color w:val="auto"/>
        </w:rPr>
        <w:t xml:space="preserve">, ensuring they are completely covered in polymer solution, and cover the well plate with a lid. </w:t>
      </w:r>
    </w:p>
    <w:p w14:paraId="41D1E473" w14:textId="77777777" w:rsidR="00121C82" w:rsidRPr="00A033C0" w:rsidRDefault="00121C82" w:rsidP="00121C82">
      <w:pPr>
        <w:rPr>
          <w:color w:val="auto"/>
        </w:rPr>
      </w:pPr>
    </w:p>
    <w:p w14:paraId="2C35E785" w14:textId="6CC1ED68" w:rsidR="00121C82" w:rsidRPr="00606947" w:rsidRDefault="00121C82" w:rsidP="00606947">
      <w:pPr>
        <w:pStyle w:val="ListParagraph"/>
        <w:numPr>
          <w:ilvl w:val="1"/>
          <w:numId w:val="29"/>
        </w:numPr>
        <w:rPr>
          <w:color w:val="auto"/>
        </w:rPr>
      </w:pPr>
      <w:r w:rsidRPr="00606947">
        <w:rPr>
          <w:color w:val="auto"/>
        </w:rPr>
        <w:t xml:space="preserve">Place the well plate with </w:t>
      </w:r>
      <w:r w:rsidR="00C41B7F" w:rsidRPr="00606947">
        <w:rPr>
          <w:color w:val="auto"/>
        </w:rPr>
        <w:t>polymer solution</w:t>
      </w:r>
      <w:r w:rsidR="00E15706" w:rsidRPr="00606947">
        <w:rPr>
          <w:color w:val="auto"/>
        </w:rPr>
        <w:t xml:space="preserve"> and/or coverslips</w:t>
      </w:r>
      <w:r w:rsidRPr="00606947">
        <w:rPr>
          <w:color w:val="auto"/>
        </w:rPr>
        <w:t xml:space="preserve"> into a vacuum oven set at 50 </w:t>
      </w:r>
      <w:proofErr w:type="spellStart"/>
      <w:r w:rsidRPr="00606947">
        <w:rPr>
          <w:color w:val="auto"/>
        </w:rPr>
        <w:t>cmHg</w:t>
      </w:r>
      <w:proofErr w:type="spellEnd"/>
      <w:r w:rsidRPr="00606947">
        <w:rPr>
          <w:color w:val="auto"/>
        </w:rPr>
        <w:t xml:space="preserve">, 40 </w:t>
      </w:r>
      <w:r w:rsidR="00606947">
        <w:rPr>
          <w:color w:val="auto"/>
        </w:rPr>
        <w:t>°</w:t>
      </w:r>
      <w:r w:rsidRPr="00606947">
        <w:rPr>
          <w:color w:val="auto"/>
        </w:rPr>
        <w:t xml:space="preserve">C. </w:t>
      </w:r>
      <w:r w:rsidR="008516E3" w:rsidRPr="00606947">
        <w:rPr>
          <w:color w:val="auto"/>
        </w:rPr>
        <w:t xml:space="preserve">Remove the lid and cover with a </w:t>
      </w:r>
      <w:r w:rsidR="00A4003C" w:rsidRPr="00606947">
        <w:rPr>
          <w:color w:val="auto"/>
        </w:rPr>
        <w:t xml:space="preserve">single-ply </w:t>
      </w:r>
      <w:r w:rsidR="008516E3" w:rsidRPr="00606947">
        <w:rPr>
          <w:color w:val="auto"/>
        </w:rPr>
        <w:t xml:space="preserve">wipe to prevent other debris from falling into the wells. </w:t>
      </w:r>
      <w:r w:rsidRPr="00606947">
        <w:rPr>
          <w:color w:val="auto"/>
        </w:rPr>
        <w:t xml:space="preserve">Allow to incubate for at least 48 </w:t>
      </w:r>
      <w:r w:rsidR="00917ADA" w:rsidRPr="00606947">
        <w:rPr>
          <w:color w:val="auto"/>
        </w:rPr>
        <w:t>h</w:t>
      </w:r>
      <w:r w:rsidRPr="00606947">
        <w:rPr>
          <w:color w:val="auto"/>
        </w:rPr>
        <w:t xml:space="preserve">. </w:t>
      </w:r>
    </w:p>
    <w:p w14:paraId="2AFFA7B1" w14:textId="77777777" w:rsidR="00121C82" w:rsidRPr="00A033C0" w:rsidRDefault="00121C82" w:rsidP="00121C82">
      <w:pPr>
        <w:rPr>
          <w:color w:val="auto"/>
        </w:rPr>
      </w:pPr>
    </w:p>
    <w:p w14:paraId="2CD10AFE" w14:textId="71BA8031" w:rsidR="00121C82" w:rsidRPr="00606947" w:rsidRDefault="00C41B7F" w:rsidP="00606947">
      <w:pPr>
        <w:pStyle w:val="ListParagraph"/>
        <w:numPr>
          <w:ilvl w:val="2"/>
          <w:numId w:val="29"/>
        </w:numPr>
        <w:rPr>
          <w:color w:val="auto"/>
        </w:rPr>
      </w:pPr>
      <w:r w:rsidRPr="00606947">
        <w:rPr>
          <w:color w:val="auto"/>
        </w:rPr>
        <w:t xml:space="preserve">Measure water contact angle of </w:t>
      </w:r>
      <w:proofErr w:type="spellStart"/>
      <w:r w:rsidR="00AF76D2" w:rsidRPr="00606947">
        <w:rPr>
          <w:color w:val="auto"/>
        </w:rPr>
        <w:t>fPTFE</w:t>
      </w:r>
      <w:proofErr w:type="spellEnd"/>
      <w:r w:rsidR="00162DBF" w:rsidRPr="00606947">
        <w:rPr>
          <w:color w:val="auto"/>
        </w:rPr>
        <w:t>-coated coverslips</w:t>
      </w:r>
      <w:r w:rsidR="00AF76D2" w:rsidRPr="00606947">
        <w:rPr>
          <w:color w:val="auto"/>
        </w:rPr>
        <w:t xml:space="preserve"> with a goniometer to ensure </w:t>
      </w:r>
      <w:r w:rsidR="00162DBF" w:rsidRPr="00606947">
        <w:rPr>
          <w:color w:val="auto"/>
        </w:rPr>
        <w:t xml:space="preserve">effective </w:t>
      </w:r>
      <w:r w:rsidR="00AF76D2" w:rsidRPr="00606947">
        <w:rPr>
          <w:color w:val="auto"/>
        </w:rPr>
        <w:t>coating.</w:t>
      </w:r>
    </w:p>
    <w:p w14:paraId="6A9F7602" w14:textId="77777777" w:rsidR="00D17121" w:rsidRPr="00A033C0" w:rsidRDefault="00D17121" w:rsidP="00121C82">
      <w:pPr>
        <w:rPr>
          <w:color w:val="auto"/>
        </w:rPr>
      </w:pPr>
    </w:p>
    <w:p w14:paraId="027F0C5D" w14:textId="409F178F" w:rsidR="00A377A8" w:rsidRPr="00A033C0" w:rsidRDefault="00A377A8" w:rsidP="00121C82">
      <w:pPr>
        <w:rPr>
          <w:color w:val="auto"/>
        </w:rPr>
      </w:pPr>
      <w:r w:rsidRPr="00A033C0">
        <w:rPr>
          <w:color w:val="auto"/>
        </w:rPr>
        <w:t>N</w:t>
      </w:r>
      <w:r w:rsidR="00D17121" w:rsidRPr="00A033C0">
        <w:rPr>
          <w:color w:val="auto"/>
        </w:rPr>
        <w:t>OTE</w:t>
      </w:r>
      <w:r w:rsidRPr="00A033C0">
        <w:rPr>
          <w:color w:val="auto"/>
        </w:rPr>
        <w:t xml:space="preserve">: </w:t>
      </w:r>
      <w:r w:rsidR="00F45792" w:rsidRPr="00A033C0">
        <w:rPr>
          <w:color w:val="auto"/>
        </w:rPr>
        <w:t>O</w:t>
      </w:r>
      <w:r w:rsidRPr="00A033C0">
        <w:rPr>
          <w:color w:val="auto"/>
        </w:rPr>
        <w:t>nly water of the highest purity (</w:t>
      </w:r>
      <w:r w:rsidR="00754134" w:rsidRPr="00754134">
        <w:rPr>
          <w:color w:val="auto"/>
        </w:rPr>
        <w:t xml:space="preserve">e.g., </w:t>
      </w:r>
      <w:r w:rsidRPr="00A033C0">
        <w:rPr>
          <w:color w:val="auto"/>
        </w:rPr>
        <w:t>glass triple distilled) should be used for water contact angle measurements.</w:t>
      </w:r>
    </w:p>
    <w:p w14:paraId="5F09F2E5" w14:textId="77777777" w:rsidR="00121C82" w:rsidRPr="00A033C0" w:rsidRDefault="00121C82" w:rsidP="00121C82">
      <w:pPr>
        <w:rPr>
          <w:color w:val="auto"/>
        </w:rPr>
      </w:pPr>
    </w:p>
    <w:p w14:paraId="1BB8345B" w14:textId="6366435A" w:rsidR="00121C82" w:rsidRPr="00606947" w:rsidRDefault="00121C82" w:rsidP="00606947">
      <w:pPr>
        <w:pStyle w:val="ListParagraph"/>
        <w:numPr>
          <w:ilvl w:val="1"/>
          <w:numId w:val="29"/>
        </w:numPr>
        <w:rPr>
          <w:color w:val="auto"/>
        </w:rPr>
      </w:pPr>
      <w:r w:rsidRPr="00606947">
        <w:rPr>
          <w:color w:val="auto"/>
        </w:rPr>
        <w:t xml:space="preserve">Add 300 µL of 70% ethanol (made with absolute ethanol and endotoxin-free water) and incubate at </w:t>
      </w:r>
      <w:r w:rsidR="00A7187F" w:rsidRPr="00606947">
        <w:rPr>
          <w:color w:val="auto"/>
        </w:rPr>
        <w:t>RT</w:t>
      </w:r>
      <w:r w:rsidRPr="00606947">
        <w:rPr>
          <w:color w:val="auto"/>
        </w:rPr>
        <w:t xml:space="preserve"> for 1</w:t>
      </w:r>
      <w:r w:rsidR="00496D55" w:rsidRPr="00606947">
        <w:rPr>
          <w:color w:val="auto"/>
        </w:rPr>
        <w:t xml:space="preserve"> h</w:t>
      </w:r>
      <w:r w:rsidRPr="00606947">
        <w:rPr>
          <w:color w:val="auto"/>
        </w:rPr>
        <w:t xml:space="preserve">. Remove the ethanol and perform endotoxin-free water washes by adding 300 µL </w:t>
      </w:r>
      <w:r w:rsidR="00606947">
        <w:rPr>
          <w:color w:val="auto"/>
        </w:rPr>
        <w:t xml:space="preserve">of </w:t>
      </w:r>
      <w:r w:rsidRPr="00606947">
        <w:rPr>
          <w:color w:val="auto"/>
        </w:rPr>
        <w:t>endotoxin-free water to each well and incubating for 1</w:t>
      </w:r>
      <w:r w:rsidR="00496D55" w:rsidRPr="00606947">
        <w:rPr>
          <w:color w:val="auto"/>
        </w:rPr>
        <w:t xml:space="preserve"> h</w:t>
      </w:r>
      <w:r w:rsidRPr="00606947">
        <w:rPr>
          <w:color w:val="auto"/>
        </w:rPr>
        <w:t xml:space="preserve"> (three times), 12 </w:t>
      </w:r>
      <w:r w:rsidR="00917ADA" w:rsidRPr="00606947">
        <w:rPr>
          <w:color w:val="auto"/>
        </w:rPr>
        <w:t>h</w:t>
      </w:r>
      <w:r w:rsidRPr="00606947">
        <w:rPr>
          <w:color w:val="auto"/>
        </w:rPr>
        <w:t xml:space="preserve">, and 24 </w:t>
      </w:r>
      <w:r w:rsidR="00917ADA" w:rsidRPr="00606947">
        <w:rPr>
          <w:color w:val="auto"/>
        </w:rPr>
        <w:t>h</w:t>
      </w:r>
      <w:r w:rsidRPr="00606947">
        <w:rPr>
          <w:color w:val="auto"/>
        </w:rPr>
        <w:t xml:space="preserve"> prior to use to remove any remaining solvent.</w:t>
      </w:r>
    </w:p>
    <w:p w14:paraId="04BD4687" w14:textId="77777777" w:rsidR="00121C82" w:rsidRPr="00A033C0" w:rsidRDefault="00121C82" w:rsidP="00121C82">
      <w:pPr>
        <w:rPr>
          <w:b/>
          <w:color w:val="auto"/>
        </w:rPr>
      </w:pPr>
    </w:p>
    <w:p w14:paraId="6C4756BF" w14:textId="34F6C427" w:rsidR="00121C82" w:rsidRPr="00606947" w:rsidRDefault="00121C82" w:rsidP="00606947">
      <w:pPr>
        <w:pStyle w:val="ListParagraph"/>
        <w:numPr>
          <w:ilvl w:val="2"/>
          <w:numId w:val="29"/>
        </w:numPr>
        <w:rPr>
          <w:color w:val="auto"/>
        </w:rPr>
      </w:pPr>
      <w:r w:rsidRPr="00606947">
        <w:rPr>
          <w:color w:val="auto"/>
        </w:rPr>
        <w:t xml:space="preserve">Incubate 200 µL of </w:t>
      </w:r>
      <w:r w:rsidR="001D5493" w:rsidRPr="00606947">
        <w:rPr>
          <w:color w:val="auto"/>
        </w:rPr>
        <w:t xml:space="preserve">endotoxin-free </w:t>
      </w:r>
      <w:r w:rsidRPr="00606947">
        <w:rPr>
          <w:color w:val="auto"/>
        </w:rPr>
        <w:t>water in three wells of each plate for 1</w:t>
      </w:r>
      <w:r w:rsidR="00496D55" w:rsidRPr="00606947">
        <w:rPr>
          <w:color w:val="auto"/>
        </w:rPr>
        <w:t xml:space="preserve"> h</w:t>
      </w:r>
      <w:r w:rsidRPr="00606947">
        <w:rPr>
          <w:color w:val="auto"/>
        </w:rPr>
        <w:t>. Measure endotoxin concentration</w:t>
      </w:r>
      <w:r w:rsidR="008516E3" w:rsidRPr="00606947">
        <w:rPr>
          <w:color w:val="auto"/>
        </w:rPr>
        <w:t xml:space="preserve"> of </w:t>
      </w:r>
      <w:r w:rsidR="001D5493" w:rsidRPr="00606947">
        <w:rPr>
          <w:color w:val="auto"/>
        </w:rPr>
        <w:t>water extracts</w:t>
      </w:r>
      <w:r w:rsidRPr="00606947">
        <w:rPr>
          <w:color w:val="auto"/>
        </w:rPr>
        <w:t xml:space="preserve"> using </w:t>
      </w:r>
      <w:r w:rsidR="00ED5460" w:rsidRPr="00606947">
        <w:rPr>
          <w:color w:val="auto"/>
        </w:rPr>
        <w:t>an endpoint chromogenic endotoxin assay (steps 2.5.1</w:t>
      </w:r>
      <w:r w:rsidR="00606947">
        <w:rPr>
          <w:color w:val="auto"/>
        </w:rPr>
        <w:t>−</w:t>
      </w:r>
      <w:r w:rsidR="00ED5460" w:rsidRPr="00606947">
        <w:rPr>
          <w:color w:val="auto"/>
        </w:rPr>
        <w:t>2.5.</w:t>
      </w:r>
      <w:r w:rsidR="00F218B8" w:rsidRPr="00606947">
        <w:rPr>
          <w:color w:val="auto"/>
        </w:rPr>
        <w:t>6</w:t>
      </w:r>
      <w:r w:rsidR="00ED5460" w:rsidRPr="00606947">
        <w:rPr>
          <w:color w:val="auto"/>
        </w:rPr>
        <w:t>).</w:t>
      </w:r>
    </w:p>
    <w:p w14:paraId="07D7D5F3" w14:textId="77777777" w:rsidR="00121C82" w:rsidRPr="00A033C0" w:rsidRDefault="00121C82" w:rsidP="00DD61D0">
      <w:pPr>
        <w:rPr>
          <w:color w:val="auto"/>
          <w:highlight w:val="yellow"/>
        </w:rPr>
      </w:pPr>
    </w:p>
    <w:p w14:paraId="7E3788CA" w14:textId="6B5B0D11" w:rsidR="00121C82" w:rsidRPr="00606947" w:rsidRDefault="00C41B7F" w:rsidP="00606947">
      <w:pPr>
        <w:pStyle w:val="ListParagraph"/>
        <w:numPr>
          <w:ilvl w:val="1"/>
          <w:numId w:val="29"/>
        </w:numPr>
        <w:rPr>
          <w:color w:val="auto"/>
        </w:rPr>
      </w:pPr>
      <w:r w:rsidRPr="00606947">
        <w:rPr>
          <w:color w:val="auto"/>
        </w:rPr>
        <w:t xml:space="preserve">UV sterilize the well plates for 30 </w:t>
      </w:r>
      <w:r w:rsidR="00A7187F" w:rsidRPr="00606947">
        <w:rPr>
          <w:color w:val="auto"/>
        </w:rPr>
        <w:t>min</w:t>
      </w:r>
      <w:r w:rsidRPr="00606947">
        <w:rPr>
          <w:color w:val="auto"/>
        </w:rPr>
        <w:t xml:space="preserve"> prior to cell culture experiments.</w:t>
      </w:r>
    </w:p>
    <w:p w14:paraId="3387B275" w14:textId="77777777" w:rsidR="00C41B7F" w:rsidRPr="00A033C0" w:rsidRDefault="00C41B7F" w:rsidP="00DD61D0">
      <w:pPr>
        <w:rPr>
          <w:b/>
          <w:color w:val="auto"/>
          <w:highlight w:val="yellow"/>
        </w:rPr>
      </w:pPr>
    </w:p>
    <w:p w14:paraId="77D5FCC1" w14:textId="3AE7B4BE" w:rsidR="00DD61D0" w:rsidRPr="0075670D" w:rsidRDefault="00DD61D0" w:rsidP="0075670D">
      <w:pPr>
        <w:pStyle w:val="ListParagraph"/>
        <w:numPr>
          <w:ilvl w:val="0"/>
          <w:numId w:val="29"/>
        </w:numPr>
        <w:rPr>
          <w:b/>
          <w:color w:val="auto"/>
          <w:highlight w:val="yellow"/>
        </w:rPr>
      </w:pPr>
      <w:r w:rsidRPr="0075670D">
        <w:rPr>
          <w:b/>
          <w:color w:val="auto"/>
          <w:highlight w:val="yellow"/>
        </w:rPr>
        <w:t>Making lysate from 3T3 cells</w:t>
      </w:r>
    </w:p>
    <w:p w14:paraId="674E788A" w14:textId="77777777" w:rsidR="00DD61D0" w:rsidRPr="00A033C0" w:rsidRDefault="00DD61D0" w:rsidP="00DD61D0">
      <w:pPr>
        <w:rPr>
          <w:color w:val="auto"/>
          <w:highlight w:val="yellow"/>
        </w:rPr>
      </w:pPr>
    </w:p>
    <w:p w14:paraId="1830C057" w14:textId="77777777" w:rsidR="005B47C3" w:rsidRDefault="00DD61D0" w:rsidP="00DD61D0">
      <w:pPr>
        <w:pStyle w:val="ListParagraph"/>
        <w:numPr>
          <w:ilvl w:val="1"/>
          <w:numId w:val="29"/>
        </w:numPr>
        <w:rPr>
          <w:color w:val="auto"/>
          <w:highlight w:val="yellow"/>
        </w:rPr>
      </w:pPr>
      <w:r w:rsidRPr="0075670D">
        <w:rPr>
          <w:color w:val="auto"/>
          <w:highlight w:val="yellow"/>
        </w:rPr>
        <w:t>Grow 3T3 cells in multiple T150 flasks to 70% confluence. To detach cells</w:t>
      </w:r>
      <w:r w:rsidR="00E14FD5">
        <w:rPr>
          <w:color w:val="auto"/>
          <w:highlight w:val="yellow"/>
        </w:rPr>
        <w:t>,</w:t>
      </w:r>
      <w:r w:rsidRPr="0075670D">
        <w:rPr>
          <w:color w:val="auto"/>
          <w:highlight w:val="yellow"/>
        </w:rPr>
        <w:t xml:space="preserve"> aspirate media, wash surface with 5 mL </w:t>
      </w:r>
      <w:r w:rsidR="00E14FD5">
        <w:rPr>
          <w:color w:val="auto"/>
          <w:highlight w:val="yellow"/>
        </w:rPr>
        <w:t xml:space="preserve">of </w:t>
      </w:r>
      <w:r w:rsidRPr="0075670D">
        <w:rPr>
          <w:color w:val="auto"/>
          <w:highlight w:val="yellow"/>
        </w:rPr>
        <w:t>PBS, and aspirate PBS. Add 5 mL</w:t>
      </w:r>
      <w:r w:rsidR="00E14FD5">
        <w:rPr>
          <w:color w:val="auto"/>
          <w:highlight w:val="yellow"/>
        </w:rPr>
        <w:t xml:space="preserve"> of</w:t>
      </w:r>
      <w:r w:rsidRPr="0075670D">
        <w:rPr>
          <w:color w:val="auto"/>
          <w:highlight w:val="yellow"/>
        </w:rPr>
        <w:t xml:space="preserve"> </w:t>
      </w:r>
      <w:r w:rsidR="00E3030A" w:rsidRPr="0075670D">
        <w:rPr>
          <w:color w:val="auto"/>
          <w:highlight w:val="yellow"/>
        </w:rPr>
        <w:t>animal origin-free, recombinant cell dissoc</w:t>
      </w:r>
      <w:r w:rsidR="00D17121" w:rsidRPr="0075670D">
        <w:rPr>
          <w:color w:val="auto"/>
          <w:highlight w:val="yellow"/>
        </w:rPr>
        <w:t>i</w:t>
      </w:r>
      <w:r w:rsidR="00E3030A" w:rsidRPr="0075670D">
        <w:rPr>
          <w:color w:val="auto"/>
          <w:highlight w:val="yellow"/>
        </w:rPr>
        <w:t>ation enzyme (</w:t>
      </w:r>
      <w:r w:rsidR="00563EDB" w:rsidRPr="0075670D">
        <w:rPr>
          <w:b/>
          <w:bCs/>
          <w:color w:val="auto"/>
          <w:highlight w:val="yellow"/>
        </w:rPr>
        <w:t>Table of Materials</w:t>
      </w:r>
      <w:r w:rsidR="00E3030A" w:rsidRPr="0075670D">
        <w:rPr>
          <w:color w:val="auto"/>
          <w:highlight w:val="yellow"/>
        </w:rPr>
        <w:t xml:space="preserve">) </w:t>
      </w:r>
      <w:r w:rsidRPr="0075670D">
        <w:rPr>
          <w:color w:val="auto"/>
          <w:highlight w:val="yellow"/>
        </w:rPr>
        <w:t>and incubate at 37</w:t>
      </w:r>
      <w:r w:rsidR="00562121" w:rsidRPr="0075670D">
        <w:rPr>
          <w:color w:val="auto"/>
          <w:highlight w:val="yellow"/>
        </w:rPr>
        <w:t xml:space="preserve"> °C </w:t>
      </w:r>
      <w:r w:rsidRPr="0075670D">
        <w:rPr>
          <w:color w:val="auto"/>
          <w:highlight w:val="yellow"/>
        </w:rPr>
        <w:t>for 3</w:t>
      </w:r>
      <w:r w:rsidR="00E14FD5">
        <w:rPr>
          <w:color w:val="auto"/>
          <w:highlight w:val="yellow"/>
        </w:rPr>
        <w:t>−</w:t>
      </w:r>
      <w:r w:rsidR="00162DBF" w:rsidRPr="0075670D">
        <w:rPr>
          <w:color w:val="auto"/>
          <w:highlight w:val="yellow"/>
        </w:rPr>
        <w:t>5</w:t>
      </w:r>
      <w:r w:rsidRPr="0075670D">
        <w:rPr>
          <w:color w:val="auto"/>
          <w:highlight w:val="yellow"/>
        </w:rPr>
        <w:t xml:space="preserve"> </w:t>
      </w:r>
      <w:r w:rsidR="00A7187F" w:rsidRPr="0075670D">
        <w:rPr>
          <w:color w:val="auto"/>
          <w:highlight w:val="yellow"/>
        </w:rPr>
        <w:t>min</w:t>
      </w:r>
      <w:r w:rsidRPr="0075670D">
        <w:rPr>
          <w:color w:val="auto"/>
          <w:highlight w:val="yellow"/>
        </w:rPr>
        <w:t xml:space="preserve">. </w:t>
      </w:r>
    </w:p>
    <w:p w14:paraId="7F4BE305" w14:textId="77777777" w:rsidR="005B47C3" w:rsidRDefault="005B47C3" w:rsidP="005B47C3">
      <w:pPr>
        <w:pStyle w:val="ListParagraph"/>
        <w:ind w:left="0"/>
        <w:rPr>
          <w:color w:val="auto"/>
          <w:highlight w:val="yellow"/>
        </w:rPr>
      </w:pPr>
    </w:p>
    <w:p w14:paraId="05E9A193" w14:textId="0230DCD0" w:rsidR="00DD61D0" w:rsidRPr="005B47C3" w:rsidRDefault="00DD61D0" w:rsidP="00DD61D0">
      <w:pPr>
        <w:pStyle w:val="ListParagraph"/>
        <w:numPr>
          <w:ilvl w:val="1"/>
          <w:numId w:val="29"/>
        </w:numPr>
        <w:rPr>
          <w:color w:val="auto"/>
          <w:highlight w:val="yellow"/>
        </w:rPr>
      </w:pPr>
      <w:r w:rsidRPr="005B47C3">
        <w:rPr>
          <w:color w:val="auto"/>
          <w:highlight w:val="yellow"/>
        </w:rPr>
        <w:t xml:space="preserve">Detach cells by gently tilting the flask back and forth. Add 5 mL </w:t>
      </w:r>
      <w:r w:rsidR="007378E4">
        <w:rPr>
          <w:color w:val="auto"/>
          <w:highlight w:val="yellow"/>
        </w:rPr>
        <w:t xml:space="preserve">of </w:t>
      </w:r>
      <w:r w:rsidRPr="005B47C3">
        <w:rPr>
          <w:color w:val="auto"/>
          <w:highlight w:val="yellow"/>
        </w:rPr>
        <w:t xml:space="preserve">PBS to neutralize the </w:t>
      </w:r>
      <w:r w:rsidR="00CE2471" w:rsidRPr="005B47C3">
        <w:rPr>
          <w:color w:val="auto"/>
          <w:highlight w:val="yellow"/>
        </w:rPr>
        <w:t xml:space="preserve">recombinant enzyme used for </w:t>
      </w:r>
      <w:r w:rsidRPr="005B47C3">
        <w:rPr>
          <w:color w:val="auto"/>
          <w:highlight w:val="yellow"/>
        </w:rPr>
        <w:t xml:space="preserve">cell dissociation. </w:t>
      </w:r>
      <w:r w:rsidR="00D4105C" w:rsidRPr="005B47C3">
        <w:rPr>
          <w:color w:val="auto"/>
          <w:highlight w:val="yellow"/>
        </w:rPr>
        <w:t xml:space="preserve">Transfer the detached cells from the flasks into a centrifuge tube and mix via pipetting. </w:t>
      </w:r>
      <w:r w:rsidRPr="005B47C3">
        <w:rPr>
          <w:color w:val="auto"/>
          <w:highlight w:val="yellow"/>
        </w:rPr>
        <w:t xml:space="preserve">Perform a live cell count using a </w:t>
      </w:r>
      <w:r w:rsidR="008F78EE" w:rsidRPr="005B47C3">
        <w:rPr>
          <w:color w:val="auto"/>
          <w:highlight w:val="yellow"/>
        </w:rPr>
        <w:t>hemocytometer</w:t>
      </w:r>
      <w:r w:rsidRPr="005B47C3">
        <w:rPr>
          <w:color w:val="auto"/>
          <w:highlight w:val="yellow"/>
        </w:rPr>
        <w:t xml:space="preserve"> and cell viability dye.</w:t>
      </w:r>
    </w:p>
    <w:p w14:paraId="6EE84656" w14:textId="77777777" w:rsidR="004F3001" w:rsidRPr="00A033C0" w:rsidRDefault="004F3001" w:rsidP="00DD61D0">
      <w:pPr>
        <w:rPr>
          <w:color w:val="auto"/>
          <w:highlight w:val="yellow"/>
        </w:rPr>
      </w:pPr>
    </w:p>
    <w:p w14:paraId="5FDF4B73" w14:textId="75C4C53C" w:rsidR="004F3001" w:rsidRPr="007378E4" w:rsidRDefault="004F3001" w:rsidP="00DD61D0">
      <w:pPr>
        <w:rPr>
          <w:color w:val="auto"/>
        </w:rPr>
      </w:pPr>
      <w:r w:rsidRPr="007378E4">
        <w:rPr>
          <w:color w:val="auto"/>
        </w:rPr>
        <w:t xml:space="preserve">NOTE: </w:t>
      </w:r>
      <w:r w:rsidR="00F45792" w:rsidRPr="007378E4">
        <w:rPr>
          <w:color w:val="auto"/>
        </w:rPr>
        <w:t>A</w:t>
      </w:r>
      <w:r w:rsidRPr="007378E4">
        <w:rPr>
          <w:color w:val="auto"/>
        </w:rPr>
        <w:t xml:space="preserve"> cell dissociation enzyme that can be neutralized through dilution in PBS was selected to avoid the introduction of serum-based proteins </w:t>
      </w:r>
      <w:r w:rsidR="00227F62" w:rsidRPr="007378E4">
        <w:rPr>
          <w:color w:val="auto"/>
        </w:rPr>
        <w:t>in</w:t>
      </w:r>
      <w:r w:rsidRPr="007378E4">
        <w:rPr>
          <w:color w:val="auto"/>
        </w:rPr>
        <w:t xml:space="preserve"> the lysate preparation.</w:t>
      </w:r>
      <w:r w:rsidR="006C19DE" w:rsidRPr="007378E4">
        <w:rPr>
          <w:color w:val="auto"/>
        </w:rPr>
        <w:t xml:space="preserve"> </w:t>
      </w:r>
      <w:r w:rsidRPr="007378E4">
        <w:rPr>
          <w:color w:val="auto"/>
        </w:rPr>
        <w:t>If trypsin is used to dissociate cells,</w:t>
      </w:r>
      <w:r w:rsidR="00227F62" w:rsidRPr="007378E4">
        <w:rPr>
          <w:color w:val="auto"/>
        </w:rPr>
        <w:t xml:space="preserve"> it should be neutralized with a serum-containing solution, and an additional PBS wash should be performed to reduce the amount of serum proteins carried over into the lysate preparation.</w:t>
      </w:r>
      <w:r w:rsidR="00F218B8" w:rsidRPr="007378E4">
        <w:rPr>
          <w:color w:val="auto"/>
        </w:rPr>
        <w:t xml:space="preserve"> </w:t>
      </w:r>
    </w:p>
    <w:p w14:paraId="145E5E83" w14:textId="77777777" w:rsidR="00DD61D0" w:rsidRPr="00A033C0" w:rsidRDefault="00DD61D0" w:rsidP="00DD61D0">
      <w:pPr>
        <w:rPr>
          <w:color w:val="auto"/>
          <w:highlight w:val="yellow"/>
        </w:rPr>
      </w:pPr>
    </w:p>
    <w:p w14:paraId="58B1F156" w14:textId="77777777" w:rsidR="001F6B32" w:rsidRDefault="00DD61D0" w:rsidP="00DD61D0">
      <w:pPr>
        <w:pStyle w:val="ListParagraph"/>
        <w:numPr>
          <w:ilvl w:val="1"/>
          <w:numId w:val="29"/>
        </w:numPr>
        <w:rPr>
          <w:color w:val="auto"/>
          <w:highlight w:val="yellow"/>
        </w:rPr>
      </w:pPr>
      <w:r w:rsidRPr="007378E4">
        <w:rPr>
          <w:color w:val="auto"/>
          <w:highlight w:val="yellow"/>
        </w:rPr>
        <w:t xml:space="preserve">Centrifuge the cells at 200 x </w:t>
      </w:r>
      <w:r w:rsidRPr="007378E4">
        <w:rPr>
          <w:i/>
          <w:iCs/>
          <w:color w:val="auto"/>
          <w:highlight w:val="yellow"/>
        </w:rPr>
        <w:t>g</w:t>
      </w:r>
      <w:r w:rsidRPr="007378E4">
        <w:rPr>
          <w:color w:val="auto"/>
          <w:highlight w:val="yellow"/>
        </w:rPr>
        <w:t xml:space="preserve"> for 5 </w:t>
      </w:r>
      <w:r w:rsidR="00A7187F" w:rsidRPr="007378E4">
        <w:rPr>
          <w:color w:val="auto"/>
          <w:highlight w:val="yellow"/>
        </w:rPr>
        <w:t>min</w:t>
      </w:r>
      <w:r w:rsidRPr="007378E4">
        <w:rPr>
          <w:color w:val="auto"/>
          <w:highlight w:val="yellow"/>
        </w:rPr>
        <w:t xml:space="preserve">. Aspirate the supernatant and resuspend cells in original volume </w:t>
      </w:r>
      <w:r w:rsidR="005179A6" w:rsidRPr="007378E4">
        <w:rPr>
          <w:color w:val="auto"/>
          <w:highlight w:val="yellow"/>
        </w:rPr>
        <w:t>(</w:t>
      </w:r>
      <w:r w:rsidR="004D6BDD" w:rsidRPr="007378E4">
        <w:rPr>
          <w:color w:val="auto"/>
          <w:highlight w:val="yellow"/>
        </w:rPr>
        <w:t xml:space="preserve">i.e., </w:t>
      </w:r>
      <w:r w:rsidR="00D4105C" w:rsidRPr="007378E4">
        <w:rPr>
          <w:color w:val="auto"/>
          <w:highlight w:val="yellow"/>
        </w:rPr>
        <w:t>10</w:t>
      </w:r>
      <w:r w:rsidR="005179A6" w:rsidRPr="007378E4">
        <w:rPr>
          <w:color w:val="auto"/>
          <w:highlight w:val="yellow"/>
        </w:rPr>
        <w:t xml:space="preserve"> mL x number of flasks) </w:t>
      </w:r>
      <w:r w:rsidRPr="007378E4">
        <w:rPr>
          <w:color w:val="auto"/>
          <w:highlight w:val="yellow"/>
        </w:rPr>
        <w:t>of PBS to wash off any remaining media. Repeat.</w:t>
      </w:r>
    </w:p>
    <w:p w14:paraId="772B275F" w14:textId="77777777" w:rsidR="001F6B32" w:rsidRDefault="001F6B32" w:rsidP="001F6B32">
      <w:pPr>
        <w:pStyle w:val="ListParagraph"/>
        <w:ind w:left="0"/>
        <w:rPr>
          <w:color w:val="auto"/>
          <w:highlight w:val="yellow"/>
        </w:rPr>
      </w:pPr>
    </w:p>
    <w:p w14:paraId="47B3AD73" w14:textId="66AF8917" w:rsidR="00DD61D0" w:rsidRPr="001F6B32" w:rsidRDefault="00DD61D0" w:rsidP="00DD61D0">
      <w:pPr>
        <w:pStyle w:val="ListParagraph"/>
        <w:numPr>
          <w:ilvl w:val="1"/>
          <w:numId w:val="29"/>
        </w:numPr>
        <w:rPr>
          <w:color w:val="auto"/>
          <w:highlight w:val="yellow"/>
        </w:rPr>
      </w:pPr>
      <w:r w:rsidRPr="001F6B32">
        <w:rPr>
          <w:color w:val="auto"/>
          <w:highlight w:val="yellow"/>
        </w:rPr>
        <w:t xml:space="preserve">Centrifuge the cells again at 200 x </w:t>
      </w:r>
      <w:r w:rsidRPr="001F6B32">
        <w:rPr>
          <w:i/>
          <w:iCs/>
          <w:color w:val="auto"/>
          <w:highlight w:val="yellow"/>
        </w:rPr>
        <w:t>g</w:t>
      </w:r>
      <w:r w:rsidRPr="001F6B32">
        <w:rPr>
          <w:color w:val="auto"/>
          <w:highlight w:val="yellow"/>
        </w:rPr>
        <w:t xml:space="preserve"> for 5 </w:t>
      </w:r>
      <w:r w:rsidR="00A7187F" w:rsidRPr="001F6B32">
        <w:rPr>
          <w:color w:val="auto"/>
          <w:highlight w:val="yellow"/>
        </w:rPr>
        <w:t>min</w:t>
      </w:r>
      <w:r w:rsidRPr="001F6B32">
        <w:rPr>
          <w:color w:val="auto"/>
          <w:highlight w:val="yellow"/>
        </w:rPr>
        <w:t xml:space="preserve"> and aspirate the supernatant. Add the volume of PBS required to achieve a </w:t>
      </w:r>
      <w:bookmarkStart w:id="3" w:name="_Hlk15312110"/>
      <w:r w:rsidRPr="001F6B32">
        <w:rPr>
          <w:color w:val="auto"/>
          <w:highlight w:val="yellow"/>
        </w:rPr>
        <w:t>final cell concentration of 1</w:t>
      </w:r>
      <w:r w:rsidR="00BC4419" w:rsidRPr="001F6B32">
        <w:rPr>
          <w:color w:val="auto"/>
          <w:highlight w:val="yellow"/>
        </w:rPr>
        <w:t xml:space="preserve"> </w:t>
      </w:r>
      <w:r w:rsidRPr="001F6B32">
        <w:rPr>
          <w:color w:val="auto"/>
          <w:highlight w:val="yellow"/>
        </w:rPr>
        <w:t>x</w:t>
      </w:r>
      <w:r w:rsidR="00BC4419" w:rsidRPr="001F6B32">
        <w:rPr>
          <w:color w:val="auto"/>
          <w:highlight w:val="yellow"/>
        </w:rPr>
        <w:t xml:space="preserve"> </w:t>
      </w:r>
      <w:r w:rsidRPr="001F6B32">
        <w:rPr>
          <w:color w:val="auto"/>
          <w:highlight w:val="yellow"/>
        </w:rPr>
        <w:t>10</w:t>
      </w:r>
      <w:r w:rsidRPr="001F6B32">
        <w:rPr>
          <w:color w:val="auto"/>
          <w:highlight w:val="yellow"/>
          <w:vertAlign w:val="superscript"/>
        </w:rPr>
        <w:t>6</w:t>
      </w:r>
      <w:r w:rsidRPr="001F6B32">
        <w:rPr>
          <w:color w:val="auto"/>
          <w:highlight w:val="yellow"/>
        </w:rPr>
        <w:t xml:space="preserve"> cells</w:t>
      </w:r>
      <w:r w:rsidRPr="001F6B32">
        <w:rPr>
          <w:color w:val="auto"/>
          <w:highlight w:val="yellow"/>
          <w:lang w:val="en-CA"/>
        </w:rPr>
        <w:t>/</w:t>
      </w:r>
      <w:proofErr w:type="spellStart"/>
      <w:r w:rsidRPr="001F6B32">
        <w:rPr>
          <w:color w:val="auto"/>
          <w:highlight w:val="yellow"/>
          <w:lang w:val="en-CA"/>
        </w:rPr>
        <w:t>mL</w:t>
      </w:r>
      <w:bookmarkEnd w:id="3"/>
      <w:r w:rsidRPr="001F6B32">
        <w:rPr>
          <w:color w:val="auto"/>
          <w:highlight w:val="yellow"/>
          <w:lang w:val="en-CA"/>
        </w:rPr>
        <w:t>.</w:t>
      </w:r>
      <w:proofErr w:type="spellEnd"/>
      <w:r w:rsidRPr="001F6B32">
        <w:rPr>
          <w:color w:val="auto"/>
          <w:highlight w:val="yellow"/>
          <w:lang w:val="en-CA"/>
        </w:rPr>
        <w:t xml:space="preserve"> Place the cell solution into a -80</w:t>
      </w:r>
      <w:r w:rsidR="00562121" w:rsidRPr="001F6B32">
        <w:rPr>
          <w:color w:val="auto"/>
          <w:highlight w:val="yellow"/>
          <w:lang w:val="en-CA"/>
        </w:rPr>
        <w:t xml:space="preserve"> °C </w:t>
      </w:r>
      <w:r w:rsidRPr="001F6B32">
        <w:rPr>
          <w:color w:val="auto"/>
          <w:highlight w:val="yellow"/>
          <w:lang w:val="en-CA"/>
        </w:rPr>
        <w:t xml:space="preserve">freezer until sample is fully frozen (at least 2 </w:t>
      </w:r>
      <w:r w:rsidR="00917ADA" w:rsidRPr="001F6B32">
        <w:rPr>
          <w:color w:val="auto"/>
          <w:highlight w:val="yellow"/>
          <w:lang w:val="en-CA"/>
        </w:rPr>
        <w:t>h</w:t>
      </w:r>
      <w:r w:rsidRPr="001F6B32">
        <w:rPr>
          <w:color w:val="auto"/>
          <w:highlight w:val="yellow"/>
          <w:lang w:val="en-CA"/>
        </w:rPr>
        <w:t>).</w:t>
      </w:r>
    </w:p>
    <w:p w14:paraId="53120266" w14:textId="77777777" w:rsidR="00DD61D0" w:rsidRPr="00A033C0" w:rsidRDefault="00DD61D0" w:rsidP="00DD61D0">
      <w:pPr>
        <w:rPr>
          <w:color w:val="auto"/>
          <w:highlight w:val="yellow"/>
          <w:lang w:val="en-CA"/>
        </w:rPr>
      </w:pPr>
    </w:p>
    <w:p w14:paraId="74F2D2ED" w14:textId="03E944F9" w:rsidR="00DD61D0" w:rsidRPr="001F6B32" w:rsidRDefault="00DD61D0" w:rsidP="001F6B32">
      <w:pPr>
        <w:pStyle w:val="ListParagraph"/>
        <w:numPr>
          <w:ilvl w:val="1"/>
          <w:numId w:val="29"/>
        </w:numPr>
        <w:rPr>
          <w:color w:val="auto"/>
          <w:highlight w:val="yellow"/>
          <w:lang w:val="en-CA"/>
        </w:rPr>
      </w:pPr>
      <w:r w:rsidRPr="001F6B32">
        <w:rPr>
          <w:color w:val="auto"/>
          <w:highlight w:val="yellow"/>
          <w:lang w:val="en-CA"/>
        </w:rPr>
        <w:t>Thaw cell solution in a 37</w:t>
      </w:r>
      <w:r w:rsidR="00562121" w:rsidRPr="001F6B32">
        <w:rPr>
          <w:color w:val="auto"/>
          <w:highlight w:val="yellow"/>
          <w:lang w:val="en-CA"/>
        </w:rPr>
        <w:t xml:space="preserve"> °C </w:t>
      </w:r>
      <w:r w:rsidRPr="001F6B32">
        <w:rPr>
          <w:color w:val="auto"/>
          <w:highlight w:val="yellow"/>
          <w:lang w:val="en-CA"/>
        </w:rPr>
        <w:t>water bath. Once completely thawed, place the solution back into the -80</w:t>
      </w:r>
      <w:r w:rsidR="00562121" w:rsidRPr="001F6B32">
        <w:rPr>
          <w:color w:val="auto"/>
          <w:highlight w:val="yellow"/>
          <w:lang w:val="en-CA"/>
        </w:rPr>
        <w:t xml:space="preserve"> °C </w:t>
      </w:r>
      <w:r w:rsidRPr="001F6B32">
        <w:rPr>
          <w:color w:val="auto"/>
          <w:highlight w:val="yellow"/>
          <w:lang w:val="en-CA"/>
        </w:rPr>
        <w:t>freezer until totally frozen. Repeat for a total of 3 freeze-thaw cycles.</w:t>
      </w:r>
    </w:p>
    <w:p w14:paraId="2292C011" w14:textId="77777777" w:rsidR="00DD61D0" w:rsidRPr="00A033C0" w:rsidRDefault="00DD61D0" w:rsidP="00DD61D0">
      <w:pPr>
        <w:rPr>
          <w:color w:val="auto"/>
          <w:highlight w:val="yellow"/>
          <w:lang w:val="en-CA"/>
        </w:rPr>
      </w:pPr>
    </w:p>
    <w:p w14:paraId="72DF0A4A" w14:textId="527C6403" w:rsidR="00DD61D0" w:rsidRPr="001F6B32" w:rsidRDefault="00DD61D0" w:rsidP="001F6B32">
      <w:pPr>
        <w:pStyle w:val="ListParagraph"/>
        <w:numPr>
          <w:ilvl w:val="1"/>
          <w:numId w:val="29"/>
        </w:numPr>
        <w:rPr>
          <w:color w:val="auto"/>
          <w:lang w:val="en-CA"/>
        </w:rPr>
      </w:pPr>
      <w:r w:rsidRPr="001F6B32">
        <w:rPr>
          <w:color w:val="auto"/>
          <w:lang w:val="en-CA"/>
        </w:rPr>
        <w:t>Perform a micro</w:t>
      </w:r>
      <w:r w:rsidR="001F6B32">
        <w:rPr>
          <w:color w:val="auto"/>
          <w:lang w:val="en-CA"/>
        </w:rPr>
        <w:t xml:space="preserve"> bicinchoninic acid (</w:t>
      </w:r>
      <w:r w:rsidRPr="001F6B32">
        <w:rPr>
          <w:color w:val="auto"/>
          <w:lang w:val="en-CA"/>
        </w:rPr>
        <w:t>BCA</w:t>
      </w:r>
      <w:r w:rsidR="001F6B32">
        <w:rPr>
          <w:color w:val="auto"/>
          <w:lang w:val="en-CA"/>
        </w:rPr>
        <w:t>)</w:t>
      </w:r>
      <w:r w:rsidRPr="001F6B32">
        <w:rPr>
          <w:color w:val="auto"/>
          <w:lang w:val="en-CA"/>
        </w:rPr>
        <w:t xml:space="preserve"> assay on the cell lysate at a variety of dilutions (</w:t>
      </w:r>
      <w:r w:rsidR="00754134" w:rsidRPr="001F6B32">
        <w:rPr>
          <w:color w:val="auto"/>
          <w:lang w:val="en-CA"/>
        </w:rPr>
        <w:t xml:space="preserve">e.g., </w:t>
      </w:r>
      <w:r w:rsidRPr="001F6B32">
        <w:rPr>
          <w:color w:val="auto"/>
          <w:lang w:val="en-CA"/>
        </w:rPr>
        <w:t>1/100, 1/200, 1/500, 1/1000) to determine the protein concentration. Dilute the cell lysate to a protein concentration of 468.75 µg/mL, aliquot, and store at -80</w:t>
      </w:r>
      <w:r w:rsidR="00562121" w:rsidRPr="001F6B32">
        <w:rPr>
          <w:color w:val="auto"/>
          <w:lang w:val="en-CA"/>
        </w:rPr>
        <w:t xml:space="preserve"> °C </w:t>
      </w:r>
      <w:r w:rsidRPr="001F6B32">
        <w:rPr>
          <w:color w:val="auto"/>
          <w:lang w:val="en-CA"/>
        </w:rPr>
        <w:t>for future use.</w:t>
      </w:r>
      <w:r w:rsidR="00162DBF" w:rsidRPr="001F6B32">
        <w:rPr>
          <w:color w:val="auto"/>
          <w:lang w:val="en-CA"/>
        </w:rPr>
        <w:t xml:space="preserve"> </w:t>
      </w:r>
    </w:p>
    <w:p w14:paraId="719AA8F9" w14:textId="77777777" w:rsidR="009C5290" w:rsidRPr="00A033C0" w:rsidRDefault="009C5290" w:rsidP="00DD61D0">
      <w:pPr>
        <w:rPr>
          <w:color w:val="auto"/>
          <w:lang w:val="en-CA"/>
        </w:rPr>
      </w:pPr>
    </w:p>
    <w:p w14:paraId="55514E78" w14:textId="512C7662" w:rsidR="00162DBF" w:rsidRPr="00A033C0" w:rsidRDefault="009C5290" w:rsidP="00DD61D0">
      <w:pPr>
        <w:rPr>
          <w:color w:val="auto"/>
          <w:lang w:val="en-CA"/>
        </w:rPr>
      </w:pPr>
      <w:r w:rsidRPr="00A033C0">
        <w:rPr>
          <w:color w:val="auto"/>
          <w:lang w:val="en-CA"/>
        </w:rPr>
        <w:t>NOTE</w:t>
      </w:r>
      <w:r w:rsidR="00162DBF" w:rsidRPr="00A033C0">
        <w:rPr>
          <w:color w:val="auto"/>
          <w:lang w:val="en-CA"/>
        </w:rPr>
        <w:t xml:space="preserve">: </w:t>
      </w:r>
      <w:r w:rsidR="00F45792" w:rsidRPr="00A033C0">
        <w:rPr>
          <w:color w:val="auto"/>
          <w:lang w:val="en-CA"/>
        </w:rPr>
        <w:t>F</w:t>
      </w:r>
      <w:r w:rsidR="00162DBF" w:rsidRPr="00A033C0">
        <w:rPr>
          <w:color w:val="auto"/>
          <w:lang w:val="en-CA"/>
        </w:rPr>
        <w:t>inal protein concentration in a 48</w:t>
      </w:r>
      <w:r w:rsidR="001732B5">
        <w:rPr>
          <w:color w:val="auto"/>
          <w:lang w:val="en-CA"/>
        </w:rPr>
        <w:t>-</w:t>
      </w:r>
      <w:r w:rsidR="00162DBF" w:rsidRPr="00A033C0">
        <w:rPr>
          <w:color w:val="auto"/>
          <w:lang w:val="en-CA"/>
        </w:rPr>
        <w:t>well plate is 125 µg/cm</w:t>
      </w:r>
      <w:r w:rsidR="00162DBF" w:rsidRPr="00A033C0">
        <w:rPr>
          <w:color w:val="auto"/>
          <w:vertAlign w:val="superscript"/>
          <w:lang w:val="en-CA"/>
        </w:rPr>
        <w:t>2</w:t>
      </w:r>
      <w:r w:rsidR="00E3030A" w:rsidRPr="00A033C0">
        <w:rPr>
          <w:color w:val="auto"/>
          <w:lang w:val="en-CA"/>
        </w:rPr>
        <w:t xml:space="preserve"> (based on the surface area of one well, 0.75</w:t>
      </w:r>
      <w:r w:rsidR="00E16B69" w:rsidRPr="00A033C0">
        <w:rPr>
          <w:color w:val="auto"/>
          <w:lang w:val="en-CA"/>
        </w:rPr>
        <w:t xml:space="preserve"> </w:t>
      </w:r>
      <w:r w:rsidR="00E3030A" w:rsidRPr="00A033C0">
        <w:rPr>
          <w:color w:val="auto"/>
          <w:lang w:val="en-CA"/>
        </w:rPr>
        <w:t>cm</w:t>
      </w:r>
      <w:r w:rsidR="00E3030A" w:rsidRPr="00A033C0">
        <w:rPr>
          <w:color w:val="auto"/>
          <w:vertAlign w:val="superscript"/>
          <w:lang w:val="en-CA"/>
        </w:rPr>
        <w:t>2</w:t>
      </w:r>
      <w:r w:rsidR="00E3030A" w:rsidRPr="00A033C0">
        <w:rPr>
          <w:color w:val="auto"/>
          <w:lang w:val="en-CA"/>
        </w:rPr>
        <w:t>)</w:t>
      </w:r>
      <w:r w:rsidR="00D8605B">
        <w:rPr>
          <w:color w:val="auto"/>
          <w:lang w:val="en-CA"/>
        </w:rPr>
        <w:t>.</w:t>
      </w:r>
    </w:p>
    <w:p w14:paraId="2B3C2EBB" w14:textId="77777777" w:rsidR="00DD61D0" w:rsidRPr="00A033C0" w:rsidRDefault="00DD61D0" w:rsidP="00DD61D0">
      <w:pPr>
        <w:rPr>
          <w:color w:val="auto"/>
          <w:lang w:val="en-CA"/>
        </w:rPr>
      </w:pPr>
    </w:p>
    <w:p w14:paraId="3ED98D4E" w14:textId="3D8D56CE" w:rsidR="00DD61D0" w:rsidRPr="00D8605B" w:rsidRDefault="00DD61D0" w:rsidP="00D8605B">
      <w:pPr>
        <w:pStyle w:val="ListParagraph"/>
        <w:numPr>
          <w:ilvl w:val="1"/>
          <w:numId w:val="29"/>
        </w:numPr>
        <w:rPr>
          <w:color w:val="auto"/>
          <w:lang w:val="en-CA"/>
        </w:rPr>
      </w:pPr>
      <w:r w:rsidRPr="00D8605B">
        <w:rPr>
          <w:color w:val="auto"/>
          <w:lang w:val="en-CA"/>
        </w:rPr>
        <w:t>Perform a Western blot to assess presence of DAMPs in lysate (</w:t>
      </w:r>
      <w:r w:rsidR="00754134" w:rsidRPr="00D8605B">
        <w:rPr>
          <w:color w:val="auto"/>
          <w:lang w:val="en-CA"/>
        </w:rPr>
        <w:t xml:space="preserve">e.g., </w:t>
      </w:r>
      <w:r w:rsidR="000B7AB2" w:rsidRPr="00A033C0">
        <w:rPr>
          <w:color w:val="auto"/>
          <w:lang w:val="en-CA"/>
        </w:rPr>
        <w:t xml:space="preserve">heat shock protein 60 </w:t>
      </w:r>
      <w:r w:rsidR="000B7AB2">
        <w:rPr>
          <w:color w:val="auto"/>
          <w:lang w:val="en-CA"/>
        </w:rPr>
        <w:t>[</w:t>
      </w:r>
      <w:r w:rsidR="000B7AB2" w:rsidRPr="00A033C0">
        <w:rPr>
          <w:color w:val="auto"/>
          <w:lang w:val="en-CA"/>
        </w:rPr>
        <w:t>HSP60</w:t>
      </w:r>
      <w:r w:rsidR="000B7AB2">
        <w:rPr>
          <w:color w:val="auto"/>
          <w:lang w:val="en-CA"/>
        </w:rPr>
        <w:t>]</w:t>
      </w:r>
      <w:r w:rsidRPr="00D8605B">
        <w:rPr>
          <w:color w:val="auto"/>
          <w:lang w:val="en-CA"/>
        </w:rPr>
        <w:t xml:space="preserve">, </w:t>
      </w:r>
      <w:r w:rsidR="00C263D4" w:rsidRPr="00A033C0">
        <w:rPr>
          <w:color w:val="auto"/>
          <w:lang w:val="en-CA"/>
        </w:rPr>
        <w:t xml:space="preserve">high mobility group box 1 </w:t>
      </w:r>
      <w:r w:rsidR="00C263D4">
        <w:rPr>
          <w:color w:val="auto"/>
          <w:lang w:val="en-CA"/>
        </w:rPr>
        <w:t>[</w:t>
      </w:r>
      <w:r w:rsidR="00C263D4" w:rsidRPr="00A033C0">
        <w:rPr>
          <w:color w:val="auto"/>
          <w:lang w:val="en-CA"/>
        </w:rPr>
        <w:t>HMGB1</w:t>
      </w:r>
      <w:r w:rsidR="00C263D4">
        <w:rPr>
          <w:color w:val="auto"/>
          <w:lang w:val="en-CA"/>
        </w:rPr>
        <w:t>]</w:t>
      </w:r>
      <w:r w:rsidRPr="00D8605B">
        <w:rPr>
          <w:color w:val="auto"/>
          <w:lang w:val="en-CA"/>
        </w:rPr>
        <w:t>) by loading 40</w:t>
      </w:r>
      <w:r w:rsidR="00D8605B">
        <w:rPr>
          <w:color w:val="auto"/>
          <w:lang w:val="en-CA"/>
        </w:rPr>
        <w:t>−</w:t>
      </w:r>
      <w:r w:rsidRPr="00D8605B">
        <w:rPr>
          <w:color w:val="auto"/>
          <w:lang w:val="en-CA"/>
        </w:rPr>
        <w:t xml:space="preserve">60 µg </w:t>
      </w:r>
      <w:r w:rsidR="00D8605B">
        <w:rPr>
          <w:color w:val="auto"/>
          <w:lang w:val="en-CA"/>
        </w:rPr>
        <w:t xml:space="preserve">of </w:t>
      </w:r>
      <w:r w:rsidRPr="00D8605B">
        <w:rPr>
          <w:color w:val="auto"/>
          <w:lang w:val="en-CA"/>
        </w:rPr>
        <w:t xml:space="preserve">lysate </w:t>
      </w:r>
      <w:r w:rsidR="001D5493" w:rsidRPr="00D8605B">
        <w:rPr>
          <w:color w:val="auto"/>
          <w:lang w:val="en-CA"/>
        </w:rPr>
        <w:t xml:space="preserve">protein </w:t>
      </w:r>
      <w:r w:rsidR="005179A6" w:rsidRPr="00D8605B">
        <w:rPr>
          <w:color w:val="auto"/>
          <w:lang w:val="en-CA"/>
        </w:rPr>
        <w:t xml:space="preserve">in loading buffer </w:t>
      </w:r>
      <w:r w:rsidRPr="00D8605B">
        <w:rPr>
          <w:color w:val="auto"/>
          <w:lang w:val="en-CA"/>
        </w:rPr>
        <w:t>onto a 1.5 mm thick 10% polyacrylamide gel and follow</w:t>
      </w:r>
      <w:r w:rsidR="005179A6" w:rsidRPr="00D8605B">
        <w:rPr>
          <w:color w:val="auto"/>
          <w:lang w:val="en-CA"/>
        </w:rPr>
        <w:t xml:space="preserve"> </w:t>
      </w:r>
      <w:r w:rsidRPr="00D8605B">
        <w:rPr>
          <w:color w:val="auto"/>
          <w:lang w:val="en-CA"/>
        </w:rPr>
        <w:t xml:space="preserve">standard </w:t>
      </w:r>
      <w:r w:rsidR="005179A6" w:rsidRPr="00D8605B">
        <w:rPr>
          <w:color w:val="auto"/>
          <w:lang w:val="en-CA"/>
        </w:rPr>
        <w:t xml:space="preserve">Western blot </w:t>
      </w:r>
      <w:r w:rsidRPr="00D8605B">
        <w:rPr>
          <w:color w:val="auto"/>
          <w:lang w:val="en-CA"/>
        </w:rPr>
        <w:t>procedures.</w:t>
      </w:r>
    </w:p>
    <w:p w14:paraId="3B0ECD37" w14:textId="77777777" w:rsidR="00DD61D0" w:rsidRPr="00A033C0" w:rsidRDefault="00DD61D0" w:rsidP="00DD61D0">
      <w:pPr>
        <w:rPr>
          <w:color w:val="auto"/>
          <w:highlight w:val="yellow"/>
          <w:lang w:val="en-CA"/>
        </w:rPr>
      </w:pPr>
    </w:p>
    <w:p w14:paraId="41E395B1" w14:textId="506E3284" w:rsidR="007B7865" w:rsidRPr="00D8605B" w:rsidRDefault="00DD61D0" w:rsidP="00D8605B">
      <w:pPr>
        <w:pStyle w:val="ListParagraph"/>
        <w:numPr>
          <w:ilvl w:val="0"/>
          <w:numId w:val="29"/>
        </w:numPr>
        <w:rPr>
          <w:b/>
          <w:color w:val="auto"/>
          <w:highlight w:val="yellow"/>
          <w:lang w:val="en-CA"/>
        </w:rPr>
      </w:pPr>
      <w:r w:rsidRPr="00D8605B">
        <w:rPr>
          <w:b/>
          <w:color w:val="auto"/>
          <w:highlight w:val="yellow"/>
          <w:lang w:val="en-CA"/>
        </w:rPr>
        <w:t>Assessing effect of adsorbed protein layers and Toll-like receptors on NF-</w:t>
      </w:r>
      <w:proofErr w:type="spellStart"/>
      <w:r w:rsidR="00544D9A" w:rsidRPr="00D8605B">
        <w:rPr>
          <w:b/>
          <w:color w:val="auto"/>
          <w:highlight w:val="yellow"/>
          <w:lang w:val="en-CA"/>
        </w:rPr>
        <w:t>κ</w:t>
      </w:r>
      <w:r w:rsidRPr="00D8605B">
        <w:rPr>
          <w:b/>
          <w:color w:val="auto"/>
          <w:highlight w:val="yellow"/>
          <w:lang w:val="en-CA"/>
        </w:rPr>
        <w:t>B</w:t>
      </w:r>
      <w:proofErr w:type="spellEnd"/>
      <w:r w:rsidRPr="00D8605B">
        <w:rPr>
          <w:b/>
          <w:color w:val="auto"/>
          <w:highlight w:val="yellow"/>
          <w:lang w:val="en-CA"/>
        </w:rPr>
        <w:t xml:space="preserve"> activity of macrophages</w:t>
      </w:r>
      <w:r w:rsidR="007B7865" w:rsidRPr="00D8605B">
        <w:rPr>
          <w:b/>
          <w:color w:val="auto"/>
          <w:highlight w:val="yellow"/>
          <w:lang w:val="en-CA"/>
        </w:rPr>
        <w:br/>
      </w:r>
    </w:p>
    <w:p w14:paraId="52F2718E" w14:textId="314468DF" w:rsidR="00DD61D0" w:rsidRPr="00D8605B" w:rsidRDefault="00D8605B" w:rsidP="00DD61D0">
      <w:pPr>
        <w:rPr>
          <w:color w:val="auto"/>
        </w:rPr>
      </w:pPr>
      <w:r w:rsidRPr="00D8605B">
        <w:rPr>
          <w:color w:val="auto"/>
          <w:lang w:val="en-CA"/>
        </w:rPr>
        <w:t xml:space="preserve">NOTE: </w:t>
      </w:r>
      <w:r w:rsidR="007B7865" w:rsidRPr="00D8605B">
        <w:rPr>
          <w:color w:val="auto"/>
          <w:lang w:val="en-CA"/>
        </w:rPr>
        <w:t>For a schematic of the experimental workflow</w:t>
      </w:r>
      <w:r w:rsidR="001D5493" w:rsidRPr="00D8605B">
        <w:rPr>
          <w:color w:val="auto"/>
          <w:lang w:val="en-CA"/>
        </w:rPr>
        <w:t xml:space="preserve"> and plate layout</w:t>
      </w:r>
      <w:r w:rsidR="007B7865" w:rsidRPr="00D8605B">
        <w:rPr>
          <w:color w:val="auto"/>
          <w:lang w:val="en-CA"/>
        </w:rPr>
        <w:t>, refer to</w:t>
      </w:r>
      <w:r w:rsidR="005826A6" w:rsidRPr="00D8605B">
        <w:rPr>
          <w:b/>
          <w:color w:val="auto"/>
          <w:lang w:val="en-CA"/>
        </w:rPr>
        <w:t xml:space="preserve"> </w:t>
      </w:r>
      <w:r w:rsidR="002D5A8D" w:rsidRPr="002D5A8D">
        <w:rPr>
          <w:b/>
          <w:bCs/>
          <w:color w:val="auto"/>
          <w:lang w:val="en-CA"/>
        </w:rPr>
        <w:t>Figure 1</w:t>
      </w:r>
      <w:r w:rsidR="007B7865" w:rsidRPr="00D8605B">
        <w:rPr>
          <w:b/>
          <w:color w:val="auto"/>
          <w:lang w:val="en-CA"/>
        </w:rPr>
        <w:t>A</w:t>
      </w:r>
      <w:r w:rsidR="001D5493" w:rsidRPr="00D8605B">
        <w:rPr>
          <w:b/>
          <w:color w:val="auto"/>
          <w:lang w:val="en-CA"/>
        </w:rPr>
        <w:t xml:space="preserve"> and </w:t>
      </w:r>
      <w:r w:rsidR="008F63F3">
        <w:rPr>
          <w:b/>
          <w:color w:val="auto"/>
          <w:lang w:val="en-CA"/>
        </w:rPr>
        <w:t xml:space="preserve">Supplemental </w:t>
      </w:r>
      <w:r w:rsidR="00D17121" w:rsidRPr="00D8605B">
        <w:rPr>
          <w:b/>
          <w:bCs/>
          <w:color w:val="auto"/>
          <w:lang w:val="en-CA"/>
        </w:rPr>
        <w:t>Figure 1</w:t>
      </w:r>
      <w:r>
        <w:rPr>
          <w:color w:val="auto"/>
          <w:lang w:val="en-CA"/>
        </w:rPr>
        <w:t>,</w:t>
      </w:r>
      <w:r w:rsidR="001D5493" w:rsidRPr="00D8605B">
        <w:rPr>
          <w:b/>
          <w:bCs/>
          <w:color w:val="auto"/>
          <w:lang w:val="en-CA"/>
        </w:rPr>
        <w:t xml:space="preserve"> </w:t>
      </w:r>
      <w:r w:rsidR="001D5493" w:rsidRPr="00D8605B">
        <w:rPr>
          <w:bCs/>
          <w:color w:val="auto"/>
          <w:lang w:val="en-CA"/>
        </w:rPr>
        <w:t>respectively</w:t>
      </w:r>
      <w:r w:rsidR="00D17121" w:rsidRPr="00D8605B">
        <w:rPr>
          <w:color w:val="auto"/>
          <w:lang w:val="en-CA"/>
        </w:rPr>
        <w:t>.</w:t>
      </w:r>
    </w:p>
    <w:p w14:paraId="39FB2EA7" w14:textId="77777777" w:rsidR="001C1E49" w:rsidRPr="00A033C0" w:rsidRDefault="001C1E49" w:rsidP="001B1519">
      <w:pPr>
        <w:pStyle w:val="NormalWeb"/>
        <w:spacing w:before="0" w:beforeAutospacing="0" w:after="0" w:afterAutospacing="0"/>
        <w:rPr>
          <w:b/>
          <w:color w:val="auto"/>
          <w:highlight w:val="yellow"/>
        </w:rPr>
      </w:pPr>
    </w:p>
    <w:p w14:paraId="74397CE1" w14:textId="0CDDBE86" w:rsidR="00DD61D0" w:rsidRPr="00BA36AB" w:rsidRDefault="00DD61D0" w:rsidP="00BA36AB">
      <w:pPr>
        <w:pStyle w:val="ListParagraph"/>
        <w:numPr>
          <w:ilvl w:val="1"/>
          <w:numId w:val="29"/>
        </w:numPr>
        <w:rPr>
          <w:color w:val="auto"/>
          <w:highlight w:val="yellow"/>
        </w:rPr>
      </w:pPr>
      <w:r w:rsidRPr="00BA36AB">
        <w:rPr>
          <w:color w:val="auto"/>
          <w:highlight w:val="yellow"/>
        </w:rPr>
        <w:t xml:space="preserve">Grow reporter macrophages in an appropriately sized flask to 70% confluence. Aspirate media, wash surface with PBS, and aspirate PBS. Add </w:t>
      </w:r>
      <w:r w:rsidR="00A916CA" w:rsidRPr="00BA36AB">
        <w:rPr>
          <w:color w:val="auto"/>
          <w:highlight w:val="yellow"/>
        </w:rPr>
        <w:t xml:space="preserve">the recombinant cell dissociation enzyme </w:t>
      </w:r>
      <w:r w:rsidRPr="00BA36AB">
        <w:rPr>
          <w:color w:val="auto"/>
          <w:highlight w:val="yellow"/>
        </w:rPr>
        <w:t>and incubate at 37</w:t>
      </w:r>
      <w:r w:rsidR="00562121" w:rsidRPr="00BA36AB">
        <w:rPr>
          <w:color w:val="auto"/>
          <w:highlight w:val="yellow"/>
        </w:rPr>
        <w:t xml:space="preserve"> °C </w:t>
      </w:r>
      <w:r w:rsidRPr="00BA36AB">
        <w:rPr>
          <w:color w:val="auto"/>
          <w:highlight w:val="yellow"/>
        </w:rPr>
        <w:t xml:space="preserve">for 8 </w:t>
      </w:r>
      <w:r w:rsidR="00A7187F" w:rsidRPr="00BA36AB">
        <w:rPr>
          <w:color w:val="auto"/>
          <w:highlight w:val="yellow"/>
        </w:rPr>
        <w:t>min</w:t>
      </w:r>
      <w:r w:rsidRPr="00BA36AB">
        <w:rPr>
          <w:color w:val="auto"/>
          <w:highlight w:val="yellow"/>
        </w:rPr>
        <w:t xml:space="preserve">. </w:t>
      </w:r>
    </w:p>
    <w:p w14:paraId="5C78B720" w14:textId="77777777" w:rsidR="00DD61D0" w:rsidRPr="00A033C0" w:rsidRDefault="00DD61D0" w:rsidP="00DD61D0">
      <w:pPr>
        <w:rPr>
          <w:color w:val="auto"/>
          <w:highlight w:val="yellow"/>
        </w:rPr>
      </w:pPr>
    </w:p>
    <w:p w14:paraId="1E163C57" w14:textId="1E13F5AD" w:rsidR="00DD61D0" w:rsidRPr="00BA36AB" w:rsidRDefault="00DD61D0" w:rsidP="00BA36AB">
      <w:pPr>
        <w:pStyle w:val="ListParagraph"/>
        <w:numPr>
          <w:ilvl w:val="1"/>
          <w:numId w:val="29"/>
        </w:numPr>
        <w:rPr>
          <w:color w:val="auto"/>
          <w:highlight w:val="yellow"/>
        </w:rPr>
      </w:pPr>
      <w:r w:rsidRPr="00BA36AB">
        <w:rPr>
          <w:color w:val="auto"/>
          <w:highlight w:val="yellow"/>
        </w:rPr>
        <w:t xml:space="preserve">Detach cells by firmly tapping the sides of the flask. </w:t>
      </w:r>
      <w:r w:rsidR="005179A6" w:rsidRPr="00BA36AB">
        <w:rPr>
          <w:color w:val="auto"/>
          <w:highlight w:val="yellow"/>
        </w:rPr>
        <w:t xml:space="preserve">Inactivate </w:t>
      </w:r>
      <w:r w:rsidR="00A916CA" w:rsidRPr="00BA36AB">
        <w:rPr>
          <w:color w:val="auto"/>
          <w:highlight w:val="yellow"/>
        </w:rPr>
        <w:t>the</w:t>
      </w:r>
      <w:r w:rsidR="00BB0824" w:rsidRPr="00BA36AB">
        <w:rPr>
          <w:color w:val="auto"/>
          <w:highlight w:val="yellow"/>
        </w:rPr>
        <w:t xml:space="preserve"> recombinant</w:t>
      </w:r>
      <w:r w:rsidR="00A916CA" w:rsidRPr="00BA36AB">
        <w:rPr>
          <w:color w:val="auto"/>
          <w:highlight w:val="yellow"/>
        </w:rPr>
        <w:t xml:space="preserve"> cell dissociation enzyme </w:t>
      </w:r>
      <w:r w:rsidR="005179A6" w:rsidRPr="00BA36AB">
        <w:rPr>
          <w:color w:val="auto"/>
          <w:highlight w:val="yellow"/>
        </w:rPr>
        <w:t xml:space="preserve">by adding an equal volume of growth media (containing 10% FBS). </w:t>
      </w:r>
      <w:r w:rsidRPr="00BA36AB">
        <w:rPr>
          <w:color w:val="auto"/>
          <w:highlight w:val="yellow"/>
        </w:rPr>
        <w:t xml:space="preserve">Perform a live cell count using a </w:t>
      </w:r>
      <w:r w:rsidR="008F78EE" w:rsidRPr="00BA36AB">
        <w:rPr>
          <w:color w:val="auto"/>
          <w:highlight w:val="yellow"/>
        </w:rPr>
        <w:t>hemocytometer</w:t>
      </w:r>
      <w:r w:rsidRPr="00BA36AB">
        <w:rPr>
          <w:color w:val="auto"/>
          <w:highlight w:val="yellow"/>
        </w:rPr>
        <w:t xml:space="preserve"> and cell viability dye.</w:t>
      </w:r>
    </w:p>
    <w:p w14:paraId="561596CB" w14:textId="77777777" w:rsidR="00B31E0B" w:rsidRPr="00A033C0" w:rsidRDefault="00B31E0B" w:rsidP="00DD61D0">
      <w:pPr>
        <w:rPr>
          <w:color w:val="auto"/>
          <w:highlight w:val="yellow"/>
        </w:rPr>
      </w:pPr>
    </w:p>
    <w:p w14:paraId="1546C4A3" w14:textId="7D782309" w:rsidR="00B31E0B" w:rsidRPr="0096321A" w:rsidRDefault="00B31E0B" w:rsidP="00DD61D0">
      <w:pPr>
        <w:rPr>
          <w:color w:val="auto"/>
        </w:rPr>
      </w:pPr>
      <w:r w:rsidRPr="0096321A">
        <w:rPr>
          <w:color w:val="auto"/>
        </w:rPr>
        <w:t xml:space="preserve">NOTE: Expected viability for </w:t>
      </w:r>
      <w:r w:rsidR="00F45792" w:rsidRPr="0096321A">
        <w:rPr>
          <w:color w:val="auto"/>
        </w:rPr>
        <w:t>the reporter macrophages</w:t>
      </w:r>
      <w:r w:rsidRPr="0096321A">
        <w:rPr>
          <w:color w:val="auto"/>
        </w:rPr>
        <w:t xml:space="preserve"> following an 8 min incubation in the cell dissociation enzyme is </w:t>
      </w:r>
      <w:r w:rsidR="00BB0824" w:rsidRPr="0096321A">
        <w:rPr>
          <w:color w:val="auto"/>
        </w:rPr>
        <w:t>90%</w:t>
      </w:r>
      <w:r w:rsidRPr="0096321A">
        <w:rPr>
          <w:color w:val="auto"/>
        </w:rPr>
        <w:t xml:space="preserve">. </w:t>
      </w:r>
    </w:p>
    <w:p w14:paraId="56F2615A" w14:textId="77777777" w:rsidR="00DD61D0" w:rsidRPr="00A033C0" w:rsidRDefault="00DD61D0" w:rsidP="00DD61D0">
      <w:pPr>
        <w:rPr>
          <w:color w:val="auto"/>
          <w:highlight w:val="yellow"/>
        </w:rPr>
      </w:pPr>
    </w:p>
    <w:p w14:paraId="2B8DA61E" w14:textId="6A5BC2DC" w:rsidR="00DD61D0" w:rsidRPr="00120D18" w:rsidRDefault="00DD61D0" w:rsidP="00120D18">
      <w:pPr>
        <w:pStyle w:val="ListParagraph"/>
        <w:numPr>
          <w:ilvl w:val="1"/>
          <w:numId w:val="29"/>
        </w:numPr>
        <w:rPr>
          <w:color w:val="auto"/>
          <w:highlight w:val="yellow"/>
        </w:rPr>
      </w:pPr>
      <w:r w:rsidRPr="00120D18">
        <w:rPr>
          <w:color w:val="auto"/>
          <w:highlight w:val="yellow"/>
        </w:rPr>
        <w:t xml:space="preserve">Centrifuge cells at 200 x </w:t>
      </w:r>
      <w:r w:rsidRPr="006B039B">
        <w:rPr>
          <w:i/>
          <w:iCs/>
          <w:color w:val="auto"/>
          <w:highlight w:val="yellow"/>
        </w:rPr>
        <w:t>g</w:t>
      </w:r>
      <w:r w:rsidRPr="00120D18">
        <w:rPr>
          <w:color w:val="auto"/>
          <w:highlight w:val="yellow"/>
        </w:rPr>
        <w:t xml:space="preserve"> for 5 </w:t>
      </w:r>
      <w:r w:rsidR="00A7187F" w:rsidRPr="00120D18">
        <w:rPr>
          <w:color w:val="auto"/>
          <w:highlight w:val="yellow"/>
        </w:rPr>
        <w:t>min</w:t>
      </w:r>
      <w:r w:rsidRPr="00120D18">
        <w:rPr>
          <w:color w:val="auto"/>
          <w:highlight w:val="yellow"/>
        </w:rPr>
        <w:t>. Aspirate supernatant and resuspend in original volume of PBS to wash cells. Centrifuge again and resuspend cells at 7.3</w:t>
      </w:r>
      <w:r w:rsidR="005051EB">
        <w:rPr>
          <w:color w:val="auto"/>
          <w:highlight w:val="yellow"/>
        </w:rPr>
        <w:t xml:space="preserve"> </w:t>
      </w:r>
      <w:r w:rsidRPr="00120D18">
        <w:rPr>
          <w:color w:val="auto"/>
          <w:highlight w:val="yellow"/>
        </w:rPr>
        <w:t>x</w:t>
      </w:r>
      <w:r w:rsidR="005051EB">
        <w:rPr>
          <w:color w:val="auto"/>
          <w:highlight w:val="yellow"/>
        </w:rPr>
        <w:t xml:space="preserve"> </w:t>
      </w:r>
      <w:r w:rsidRPr="00120D18">
        <w:rPr>
          <w:color w:val="auto"/>
          <w:highlight w:val="yellow"/>
        </w:rPr>
        <w:t>10</w:t>
      </w:r>
      <w:r w:rsidRPr="00120D18">
        <w:rPr>
          <w:color w:val="auto"/>
          <w:highlight w:val="yellow"/>
          <w:vertAlign w:val="superscript"/>
        </w:rPr>
        <w:t>5</w:t>
      </w:r>
      <w:r w:rsidRPr="00120D18">
        <w:rPr>
          <w:color w:val="auto"/>
          <w:highlight w:val="yellow"/>
        </w:rPr>
        <w:t xml:space="preserve"> cells/mL in </w:t>
      </w:r>
      <w:r w:rsidR="005179A6" w:rsidRPr="00120D18">
        <w:rPr>
          <w:color w:val="auto"/>
          <w:highlight w:val="yellow"/>
        </w:rPr>
        <w:t xml:space="preserve">assay </w:t>
      </w:r>
      <w:r w:rsidRPr="00120D18">
        <w:rPr>
          <w:color w:val="auto"/>
          <w:highlight w:val="yellow"/>
        </w:rPr>
        <w:t xml:space="preserve">media </w:t>
      </w:r>
      <w:r w:rsidR="005179A6" w:rsidRPr="00120D18">
        <w:rPr>
          <w:color w:val="auto"/>
          <w:highlight w:val="yellow"/>
        </w:rPr>
        <w:t>(</w:t>
      </w:r>
      <w:r w:rsidRPr="00120D18">
        <w:rPr>
          <w:color w:val="auto"/>
          <w:highlight w:val="yellow"/>
        </w:rPr>
        <w:t>containing heat inactivated FBS</w:t>
      </w:r>
      <w:r w:rsidR="005179A6" w:rsidRPr="00120D18">
        <w:rPr>
          <w:color w:val="auto"/>
          <w:highlight w:val="yellow"/>
        </w:rPr>
        <w:t>)</w:t>
      </w:r>
      <w:r w:rsidRPr="00120D18">
        <w:rPr>
          <w:color w:val="auto"/>
          <w:highlight w:val="yellow"/>
        </w:rPr>
        <w:t>.</w:t>
      </w:r>
    </w:p>
    <w:p w14:paraId="742AA05E" w14:textId="77777777" w:rsidR="00DD61D0" w:rsidRPr="00A033C0" w:rsidRDefault="00DD61D0" w:rsidP="00DD61D0">
      <w:pPr>
        <w:rPr>
          <w:color w:val="auto"/>
          <w:highlight w:val="yellow"/>
        </w:rPr>
      </w:pPr>
    </w:p>
    <w:p w14:paraId="4E8BC280" w14:textId="77777777" w:rsidR="005051EB" w:rsidRDefault="00DD61D0" w:rsidP="005051EB">
      <w:pPr>
        <w:pStyle w:val="ListParagraph"/>
        <w:numPr>
          <w:ilvl w:val="1"/>
          <w:numId w:val="29"/>
        </w:numPr>
        <w:rPr>
          <w:color w:val="auto"/>
          <w:highlight w:val="yellow"/>
        </w:rPr>
      </w:pPr>
      <w:r w:rsidRPr="00120D18">
        <w:rPr>
          <w:color w:val="auto"/>
          <w:highlight w:val="yellow"/>
        </w:rPr>
        <w:t>Separate cell suspension into 3 different tubes: TLR4 inhibitor, anti-TLR2, and untreated.</w:t>
      </w:r>
      <w:r w:rsidR="005051EB">
        <w:rPr>
          <w:color w:val="auto"/>
          <w:highlight w:val="yellow"/>
        </w:rPr>
        <w:t xml:space="preserve"> </w:t>
      </w:r>
      <w:r w:rsidRPr="005051EB">
        <w:rPr>
          <w:color w:val="auto"/>
          <w:highlight w:val="yellow"/>
        </w:rPr>
        <w:t xml:space="preserve">Incubate cells </w:t>
      </w:r>
      <w:r w:rsidR="005179A6" w:rsidRPr="005051EB">
        <w:rPr>
          <w:color w:val="auto"/>
          <w:highlight w:val="yellow"/>
        </w:rPr>
        <w:t xml:space="preserve">with </w:t>
      </w:r>
      <w:r w:rsidRPr="005051EB">
        <w:rPr>
          <w:color w:val="auto"/>
          <w:highlight w:val="yellow"/>
        </w:rPr>
        <w:t xml:space="preserve">1 </w:t>
      </w:r>
      <w:r w:rsidRPr="005051EB">
        <w:rPr>
          <w:color w:val="auto"/>
          <w:highlight w:val="yellow"/>
          <w:lang w:val="en-CA"/>
        </w:rPr>
        <w:t>µ</w:t>
      </w:r>
      <w:r w:rsidRPr="005051EB">
        <w:rPr>
          <w:color w:val="auto"/>
          <w:highlight w:val="yellow"/>
        </w:rPr>
        <w:t xml:space="preserve">g/mL TLR4 inhibitor for 60 </w:t>
      </w:r>
      <w:r w:rsidR="00A7187F" w:rsidRPr="005051EB">
        <w:rPr>
          <w:color w:val="auto"/>
          <w:highlight w:val="yellow"/>
        </w:rPr>
        <w:t>min</w:t>
      </w:r>
      <w:r w:rsidRPr="005051EB">
        <w:rPr>
          <w:color w:val="auto"/>
          <w:highlight w:val="yellow"/>
        </w:rPr>
        <w:t xml:space="preserve"> at </w:t>
      </w:r>
      <w:r w:rsidR="00A7187F" w:rsidRPr="005051EB">
        <w:rPr>
          <w:color w:val="auto"/>
          <w:highlight w:val="yellow"/>
        </w:rPr>
        <w:t>RT</w:t>
      </w:r>
      <w:r w:rsidR="005179A6" w:rsidRPr="005051EB">
        <w:rPr>
          <w:color w:val="auto"/>
          <w:highlight w:val="yellow"/>
        </w:rPr>
        <w:t xml:space="preserve"> or with</w:t>
      </w:r>
      <w:r w:rsidRPr="005051EB">
        <w:rPr>
          <w:color w:val="auto"/>
          <w:highlight w:val="yellow"/>
        </w:rPr>
        <w:t xml:space="preserve"> 50 </w:t>
      </w:r>
      <w:r w:rsidRPr="005051EB">
        <w:rPr>
          <w:color w:val="auto"/>
          <w:highlight w:val="yellow"/>
          <w:lang w:val="en-CA"/>
        </w:rPr>
        <w:t>µ</w:t>
      </w:r>
      <w:r w:rsidRPr="005051EB">
        <w:rPr>
          <w:color w:val="auto"/>
          <w:highlight w:val="yellow"/>
        </w:rPr>
        <w:t xml:space="preserve">g/mL anti-TLR2 for 30 </w:t>
      </w:r>
      <w:r w:rsidR="00A7187F" w:rsidRPr="005051EB">
        <w:rPr>
          <w:color w:val="auto"/>
          <w:highlight w:val="yellow"/>
        </w:rPr>
        <w:t>min</w:t>
      </w:r>
      <w:r w:rsidR="005179A6" w:rsidRPr="005051EB">
        <w:rPr>
          <w:color w:val="auto"/>
          <w:highlight w:val="yellow"/>
        </w:rPr>
        <w:t xml:space="preserve"> at </w:t>
      </w:r>
      <w:r w:rsidR="00A7187F" w:rsidRPr="005051EB">
        <w:rPr>
          <w:color w:val="auto"/>
          <w:highlight w:val="yellow"/>
        </w:rPr>
        <w:t>RT</w:t>
      </w:r>
      <w:r w:rsidRPr="005051EB">
        <w:rPr>
          <w:color w:val="auto"/>
          <w:highlight w:val="yellow"/>
        </w:rPr>
        <w:t xml:space="preserve">. </w:t>
      </w:r>
    </w:p>
    <w:p w14:paraId="1CA758B9" w14:textId="77777777" w:rsidR="005051EB" w:rsidRDefault="005051EB" w:rsidP="005051EB">
      <w:pPr>
        <w:pStyle w:val="ListParagraph"/>
        <w:ind w:left="0"/>
        <w:rPr>
          <w:color w:val="auto"/>
          <w:highlight w:val="yellow"/>
        </w:rPr>
      </w:pPr>
    </w:p>
    <w:p w14:paraId="493B6187" w14:textId="79EE3B8D" w:rsidR="001D5493" w:rsidRPr="005051EB" w:rsidRDefault="00DD61D0" w:rsidP="005051EB">
      <w:pPr>
        <w:pStyle w:val="ListParagraph"/>
        <w:numPr>
          <w:ilvl w:val="1"/>
          <w:numId w:val="29"/>
        </w:numPr>
        <w:rPr>
          <w:color w:val="auto"/>
          <w:highlight w:val="yellow"/>
        </w:rPr>
      </w:pPr>
      <w:r w:rsidRPr="005051EB">
        <w:rPr>
          <w:color w:val="auto"/>
          <w:highlight w:val="yellow"/>
        </w:rPr>
        <w:t xml:space="preserve">Add 200 </w:t>
      </w:r>
      <w:r w:rsidRPr="005051EB">
        <w:rPr>
          <w:color w:val="auto"/>
          <w:highlight w:val="yellow"/>
          <w:lang w:val="en-CA"/>
        </w:rPr>
        <w:t>µ</w:t>
      </w:r>
      <w:r w:rsidRPr="005051EB">
        <w:rPr>
          <w:color w:val="auto"/>
          <w:highlight w:val="yellow"/>
        </w:rPr>
        <w:t>L of lysate</w:t>
      </w:r>
      <w:r w:rsidR="00AF76D2" w:rsidRPr="005051EB">
        <w:rPr>
          <w:color w:val="auto"/>
          <w:highlight w:val="yellow"/>
        </w:rPr>
        <w:t>,</w:t>
      </w:r>
      <w:r w:rsidRPr="005051EB">
        <w:rPr>
          <w:color w:val="auto"/>
          <w:highlight w:val="yellow"/>
        </w:rPr>
        <w:t xml:space="preserve"> 10% FBS</w:t>
      </w:r>
      <w:r w:rsidR="00AF76D2" w:rsidRPr="005051EB">
        <w:rPr>
          <w:color w:val="auto"/>
          <w:highlight w:val="yellow"/>
        </w:rPr>
        <w:t>,</w:t>
      </w:r>
      <w:r w:rsidR="003E2614" w:rsidRPr="005051EB">
        <w:rPr>
          <w:color w:val="auto"/>
          <w:highlight w:val="yellow"/>
        </w:rPr>
        <w:t xml:space="preserve"> 10%</w:t>
      </w:r>
      <w:r w:rsidR="003D2C66" w:rsidRPr="005051EB">
        <w:rPr>
          <w:color w:val="auto"/>
          <w:highlight w:val="yellow"/>
        </w:rPr>
        <w:t xml:space="preserve"> commercial</w:t>
      </w:r>
      <w:r w:rsidR="00AF76D2" w:rsidRPr="005051EB">
        <w:rPr>
          <w:color w:val="auto"/>
          <w:highlight w:val="yellow"/>
        </w:rPr>
        <w:t xml:space="preserve"> mouse</w:t>
      </w:r>
      <w:r w:rsidR="003E2614" w:rsidRPr="005051EB">
        <w:rPr>
          <w:color w:val="auto"/>
          <w:highlight w:val="yellow"/>
        </w:rPr>
        <w:t xml:space="preserve"> plasma</w:t>
      </w:r>
      <w:r w:rsidR="00CE2471" w:rsidRPr="005051EB">
        <w:rPr>
          <w:color w:val="auto"/>
          <w:highlight w:val="yellow"/>
        </w:rPr>
        <w:t xml:space="preserve"> (</w:t>
      </w:r>
      <w:r w:rsidR="00563EDB" w:rsidRPr="005051EB">
        <w:rPr>
          <w:b/>
          <w:bCs/>
          <w:color w:val="auto"/>
          <w:highlight w:val="yellow"/>
        </w:rPr>
        <w:t>Table of Materials</w:t>
      </w:r>
      <w:r w:rsidR="00CE2471" w:rsidRPr="005051EB">
        <w:rPr>
          <w:color w:val="auto"/>
          <w:highlight w:val="yellow"/>
        </w:rPr>
        <w:t>)</w:t>
      </w:r>
      <w:r w:rsidR="00AF76D2" w:rsidRPr="005051EB">
        <w:rPr>
          <w:color w:val="auto"/>
          <w:highlight w:val="yellow"/>
        </w:rPr>
        <w:t>, or a mixture of the protein solutions</w:t>
      </w:r>
      <w:r w:rsidR="003E2614" w:rsidRPr="005051EB">
        <w:rPr>
          <w:color w:val="auto"/>
          <w:highlight w:val="yellow"/>
        </w:rPr>
        <w:t xml:space="preserve"> </w:t>
      </w:r>
      <w:r w:rsidRPr="005051EB">
        <w:rPr>
          <w:color w:val="auto"/>
          <w:highlight w:val="yellow"/>
        </w:rPr>
        <w:t xml:space="preserve">to a 48-well plate </w:t>
      </w:r>
      <w:r w:rsidR="001D5493" w:rsidRPr="005051EB">
        <w:rPr>
          <w:color w:val="auto"/>
          <w:highlight w:val="yellow"/>
        </w:rPr>
        <w:t>(</w:t>
      </w:r>
      <w:r w:rsidRPr="005051EB">
        <w:rPr>
          <w:color w:val="auto"/>
          <w:highlight w:val="yellow"/>
        </w:rPr>
        <w:t>or equivalent</w:t>
      </w:r>
      <w:r w:rsidR="001D5493" w:rsidRPr="005051EB">
        <w:rPr>
          <w:color w:val="auto"/>
          <w:highlight w:val="yellow"/>
        </w:rPr>
        <w:t>)</w:t>
      </w:r>
      <w:r w:rsidRPr="005051EB">
        <w:rPr>
          <w:color w:val="auto"/>
          <w:highlight w:val="yellow"/>
        </w:rPr>
        <w:t xml:space="preserve"> and allow </w:t>
      </w:r>
      <w:r w:rsidR="001D5493" w:rsidRPr="005051EB">
        <w:rPr>
          <w:color w:val="auto"/>
          <w:highlight w:val="yellow"/>
        </w:rPr>
        <w:t xml:space="preserve">protein </w:t>
      </w:r>
      <w:r w:rsidRPr="005051EB">
        <w:rPr>
          <w:color w:val="auto"/>
          <w:highlight w:val="yellow"/>
        </w:rPr>
        <w:t>to adsorb at 37</w:t>
      </w:r>
      <w:r w:rsidR="00562121" w:rsidRPr="005051EB">
        <w:rPr>
          <w:color w:val="auto"/>
          <w:highlight w:val="yellow"/>
        </w:rPr>
        <w:t xml:space="preserve"> °C </w:t>
      </w:r>
      <w:r w:rsidRPr="005051EB">
        <w:rPr>
          <w:color w:val="auto"/>
          <w:highlight w:val="yellow"/>
        </w:rPr>
        <w:t xml:space="preserve">for </w:t>
      </w:r>
      <w:r w:rsidR="0054563F" w:rsidRPr="005051EB">
        <w:rPr>
          <w:color w:val="auto"/>
          <w:highlight w:val="yellow"/>
        </w:rPr>
        <w:t xml:space="preserve">the </w:t>
      </w:r>
      <w:r w:rsidR="008E7FC2" w:rsidRPr="005051EB">
        <w:rPr>
          <w:color w:val="auto"/>
          <w:highlight w:val="yellow"/>
        </w:rPr>
        <w:t>desired amount of time (</w:t>
      </w:r>
      <w:r w:rsidR="004D6BDD" w:rsidRPr="005051EB">
        <w:rPr>
          <w:color w:val="auto"/>
          <w:highlight w:val="yellow"/>
        </w:rPr>
        <w:t xml:space="preserve">i.e., </w:t>
      </w:r>
      <w:r w:rsidRPr="005051EB">
        <w:rPr>
          <w:color w:val="auto"/>
          <w:highlight w:val="yellow"/>
        </w:rPr>
        <w:t>30</w:t>
      </w:r>
      <w:r w:rsidR="00AF76D2" w:rsidRPr="005051EB">
        <w:rPr>
          <w:color w:val="auto"/>
          <w:highlight w:val="yellow"/>
        </w:rPr>
        <w:t xml:space="preserve"> </w:t>
      </w:r>
      <w:r w:rsidR="00A7187F" w:rsidRPr="005051EB">
        <w:rPr>
          <w:color w:val="auto"/>
          <w:highlight w:val="yellow"/>
        </w:rPr>
        <w:t>min</w:t>
      </w:r>
      <w:r w:rsidR="00AF76D2" w:rsidRPr="005051EB">
        <w:rPr>
          <w:color w:val="auto"/>
          <w:highlight w:val="yellow"/>
        </w:rPr>
        <w:t>,</w:t>
      </w:r>
      <w:r w:rsidR="006C19DE" w:rsidRPr="005051EB">
        <w:rPr>
          <w:color w:val="auto"/>
          <w:highlight w:val="yellow"/>
        </w:rPr>
        <w:t xml:space="preserve"> </w:t>
      </w:r>
      <w:r w:rsidR="008E7FC2" w:rsidRPr="005051EB">
        <w:rPr>
          <w:color w:val="auto"/>
          <w:highlight w:val="yellow"/>
        </w:rPr>
        <w:t>60</w:t>
      </w:r>
      <w:r w:rsidRPr="005051EB">
        <w:rPr>
          <w:color w:val="auto"/>
          <w:highlight w:val="yellow"/>
        </w:rPr>
        <w:t xml:space="preserve"> </w:t>
      </w:r>
      <w:r w:rsidR="00A7187F" w:rsidRPr="005051EB">
        <w:rPr>
          <w:color w:val="auto"/>
          <w:highlight w:val="yellow"/>
        </w:rPr>
        <w:t>min</w:t>
      </w:r>
      <w:r w:rsidR="00AF76D2" w:rsidRPr="005051EB">
        <w:rPr>
          <w:color w:val="auto"/>
          <w:highlight w:val="yellow"/>
        </w:rPr>
        <w:t xml:space="preserve">, or 24 </w:t>
      </w:r>
      <w:r w:rsidR="00917ADA" w:rsidRPr="005051EB">
        <w:rPr>
          <w:color w:val="auto"/>
          <w:highlight w:val="yellow"/>
        </w:rPr>
        <w:t>h</w:t>
      </w:r>
      <w:r w:rsidR="008E7FC2" w:rsidRPr="005051EB">
        <w:rPr>
          <w:color w:val="auto"/>
          <w:highlight w:val="yellow"/>
        </w:rPr>
        <w:t>)</w:t>
      </w:r>
      <w:r w:rsidRPr="005051EB">
        <w:rPr>
          <w:color w:val="auto"/>
          <w:highlight w:val="yellow"/>
        </w:rPr>
        <w:t>. Aspirate protein</w:t>
      </w:r>
      <w:r w:rsidR="001D5493" w:rsidRPr="005051EB">
        <w:rPr>
          <w:color w:val="auto"/>
          <w:highlight w:val="yellow"/>
        </w:rPr>
        <w:t xml:space="preserve"> solutions from wells, using</w:t>
      </w:r>
      <w:r w:rsidR="00B6446E" w:rsidRPr="005051EB">
        <w:rPr>
          <w:color w:val="auto"/>
          <w:highlight w:val="yellow"/>
        </w:rPr>
        <w:t xml:space="preserve"> a fresh Pasteur pipette for each protein solution,</w:t>
      </w:r>
      <w:r w:rsidRPr="005051EB">
        <w:rPr>
          <w:color w:val="auto"/>
          <w:highlight w:val="yellow"/>
        </w:rPr>
        <w:t xml:space="preserve"> and wash surfaces with 250 </w:t>
      </w:r>
      <w:r w:rsidRPr="005051EB">
        <w:rPr>
          <w:color w:val="auto"/>
          <w:highlight w:val="yellow"/>
          <w:lang w:val="en-CA"/>
        </w:rPr>
        <w:t>µ</w:t>
      </w:r>
      <w:r w:rsidRPr="005051EB">
        <w:rPr>
          <w:color w:val="auto"/>
          <w:highlight w:val="yellow"/>
        </w:rPr>
        <w:t xml:space="preserve">L </w:t>
      </w:r>
      <w:r w:rsidR="005051EB">
        <w:rPr>
          <w:color w:val="auto"/>
          <w:highlight w:val="yellow"/>
        </w:rPr>
        <w:t xml:space="preserve">of </w:t>
      </w:r>
      <w:r w:rsidRPr="005051EB">
        <w:rPr>
          <w:color w:val="auto"/>
          <w:highlight w:val="yellow"/>
        </w:rPr>
        <w:t xml:space="preserve">PBS for 5 </w:t>
      </w:r>
      <w:r w:rsidR="00A7187F" w:rsidRPr="005051EB">
        <w:rPr>
          <w:color w:val="auto"/>
          <w:highlight w:val="yellow"/>
        </w:rPr>
        <w:t>min</w:t>
      </w:r>
      <w:r w:rsidRPr="005051EB">
        <w:rPr>
          <w:color w:val="auto"/>
          <w:highlight w:val="yellow"/>
        </w:rPr>
        <w:t>. Aspirate PBS. Repeat for a total of 3 washes.</w:t>
      </w:r>
      <w:r w:rsidR="005179A6" w:rsidRPr="005051EB">
        <w:rPr>
          <w:color w:val="auto"/>
          <w:highlight w:val="yellow"/>
        </w:rPr>
        <w:t xml:space="preserve"> </w:t>
      </w:r>
    </w:p>
    <w:p w14:paraId="06194E24" w14:textId="77777777" w:rsidR="001D5493" w:rsidRPr="00A033C0" w:rsidRDefault="001D5493" w:rsidP="00DD61D0">
      <w:pPr>
        <w:rPr>
          <w:color w:val="auto"/>
          <w:highlight w:val="yellow"/>
        </w:rPr>
      </w:pPr>
    </w:p>
    <w:p w14:paraId="13D7633E" w14:textId="0D976CE1" w:rsidR="00DD61D0" w:rsidRPr="007530E3" w:rsidRDefault="005179A6" w:rsidP="00DD61D0">
      <w:pPr>
        <w:rPr>
          <w:color w:val="auto"/>
        </w:rPr>
      </w:pPr>
      <w:r w:rsidRPr="007530E3">
        <w:rPr>
          <w:color w:val="auto"/>
        </w:rPr>
        <w:t>N</w:t>
      </w:r>
      <w:r w:rsidR="001D5493" w:rsidRPr="007530E3">
        <w:rPr>
          <w:color w:val="auto"/>
        </w:rPr>
        <w:t>OTE</w:t>
      </w:r>
      <w:r w:rsidRPr="007530E3">
        <w:rPr>
          <w:color w:val="auto"/>
        </w:rPr>
        <w:t xml:space="preserve">: This step may need to be started earlier in the protocol depending on desired </w:t>
      </w:r>
      <w:r w:rsidR="00582B7B" w:rsidRPr="007530E3">
        <w:rPr>
          <w:color w:val="auto"/>
        </w:rPr>
        <w:t>adsorption time. Adjust protocol accordingly.</w:t>
      </w:r>
    </w:p>
    <w:p w14:paraId="490702C9" w14:textId="77777777" w:rsidR="00DD61D0" w:rsidRPr="00A033C0" w:rsidRDefault="00DD61D0" w:rsidP="00DD61D0">
      <w:pPr>
        <w:rPr>
          <w:color w:val="auto"/>
          <w:highlight w:val="yellow"/>
        </w:rPr>
      </w:pPr>
    </w:p>
    <w:p w14:paraId="0091A9EA" w14:textId="55E26303" w:rsidR="002B1E48" w:rsidRPr="007530E3" w:rsidRDefault="00836669" w:rsidP="007530E3">
      <w:pPr>
        <w:pStyle w:val="ListParagraph"/>
        <w:numPr>
          <w:ilvl w:val="1"/>
          <w:numId w:val="29"/>
        </w:numPr>
        <w:rPr>
          <w:color w:val="auto"/>
          <w:highlight w:val="yellow"/>
        </w:rPr>
      </w:pPr>
      <w:r w:rsidRPr="007530E3">
        <w:rPr>
          <w:color w:val="auto"/>
          <w:highlight w:val="yellow"/>
        </w:rPr>
        <w:t>After incubation period</w:t>
      </w:r>
      <w:r w:rsidR="00582B7B" w:rsidRPr="007530E3">
        <w:rPr>
          <w:color w:val="auto"/>
          <w:highlight w:val="yellow"/>
        </w:rPr>
        <w:t xml:space="preserve"> with the TLR4 inhibitor or anti-TLR2</w:t>
      </w:r>
      <w:r w:rsidRPr="007530E3">
        <w:rPr>
          <w:color w:val="auto"/>
          <w:highlight w:val="yellow"/>
        </w:rPr>
        <w:t>, p</w:t>
      </w:r>
      <w:r w:rsidR="00DD61D0" w:rsidRPr="007530E3">
        <w:rPr>
          <w:color w:val="auto"/>
          <w:highlight w:val="yellow"/>
        </w:rPr>
        <w:t xml:space="preserve">ipette cells to </w:t>
      </w:r>
      <w:r w:rsidRPr="007530E3">
        <w:rPr>
          <w:color w:val="auto"/>
          <w:highlight w:val="yellow"/>
        </w:rPr>
        <w:t>resuspend</w:t>
      </w:r>
      <w:r w:rsidR="00DD61D0" w:rsidRPr="007530E3">
        <w:rPr>
          <w:color w:val="auto"/>
          <w:highlight w:val="yellow"/>
        </w:rPr>
        <w:t xml:space="preserve">. Add 200 </w:t>
      </w:r>
      <w:r w:rsidR="00DD61D0" w:rsidRPr="007530E3">
        <w:rPr>
          <w:color w:val="auto"/>
          <w:highlight w:val="yellow"/>
          <w:lang w:val="en-CA"/>
        </w:rPr>
        <w:t>µ</w:t>
      </w:r>
      <w:r w:rsidR="00DD61D0" w:rsidRPr="007530E3">
        <w:rPr>
          <w:color w:val="auto"/>
          <w:highlight w:val="yellow"/>
        </w:rPr>
        <w:t xml:space="preserve">L of cell solution to each well. </w:t>
      </w:r>
    </w:p>
    <w:p w14:paraId="6F301F97" w14:textId="77777777" w:rsidR="002B1E48" w:rsidRPr="00A033C0" w:rsidRDefault="002B1E48" w:rsidP="00DD61D0">
      <w:pPr>
        <w:rPr>
          <w:color w:val="auto"/>
          <w:highlight w:val="yellow"/>
        </w:rPr>
      </w:pPr>
    </w:p>
    <w:p w14:paraId="2438DCCB" w14:textId="69E008A8" w:rsidR="00DD61D0" w:rsidRPr="007530E3" w:rsidRDefault="00B02B74" w:rsidP="007530E3">
      <w:pPr>
        <w:pStyle w:val="ListParagraph"/>
        <w:numPr>
          <w:ilvl w:val="1"/>
          <w:numId w:val="29"/>
        </w:numPr>
        <w:rPr>
          <w:color w:val="auto"/>
          <w:highlight w:val="yellow"/>
        </w:rPr>
      </w:pPr>
      <w:r w:rsidRPr="007530E3">
        <w:rPr>
          <w:color w:val="auto"/>
          <w:highlight w:val="yellow"/>
        </w:rPr>
        <w:t>For TLR2 positive control condition, add Pam3CSK4 to a final concentration of 150 ng/</w:t>
      </w:r>
      <w:proofErr w:type="spellStart"/>
      <w:r w:rsidRPr="007530E3">
        <w:rPr>
          <w:color w:val="auto"/>
          <w:highlight w:val="yellow"/>
        </w:rPr>
        <w:t>mL.</w:t>
      </w:r>
      <w:proofErr w:type="spellEnd"/>
      <w:r w:rsidRPr="007530E3">
        <w:rPr>
          <w:color w:val="auto"/>
          <w:highlight w:val="yellow"/>
        </w:rPr>
        <w:t xml:space="preserve"> For TLR4 positive control condition, add </w:t>
      </w:r>
      <w:r w:rsidRPr="00AC7042">
        <w:rPr>
          <w:color w:val="auto"/>
          <w:highlight w:val="yellow"/>
        </w:rPr>
        <w:t xml:space="preserve">lipopolysaccharide </w:t>
      </w:r>
      <w:r>
        <w:rPr>
          <w:color w:val="auto"/>
          <w:highlight w:val="yellow"/>
        </w:rPr>
        <w:t>(</w:t>
      </w:r>
      <w:r w:rsidRPr="007530E3">
        <w:rPr>
          <w:color w:val="auto"/>
          <w:highlight w:val="yellow"/>
        </w:rPr>
        <w:t>LPS</w:t>
      </w:r>
      <w:r>
        <w:rPr>
          <w:color w:val="auto"/>
          <w:highlight w:val="yellow"/>
        </w:rPr>
        <w:t>)</w:t>
      </w:r>
      <w:r w:rsidRPr="007530E3">
        <w:rPr>
          <w:color w:val="auto"/>
          <w:highlight w:val="yellow"/>
        </w:rPr>
        <w:t xml:space="preserve"> to a final concentration of 1.5 </w:t>
      </w:r>
      <w:r w:rsidRPr="007530E3">
        <w:rPr>
          <w:color w:val="auto"/>
          <w:highlight w:val="yellow"/>
          <w:lang w:val="en-CA"/>
        </w:rPr>
        <w:t>µ</w:t>
      </w:r>
      <w:r w:rsidRPr="007530E3">
        <w:rPr>
          <w:color w:val="auto"/>
          <w:highlight w:val="yellow"/>
        </w:rPr>
        <w:t>g/</w:t>
      </w:r>
      <w:proofErr w:type="spellStart"/>
      <w:r w:rsidRPr="007530E3">
        <w:rPr>
          <w:color w:val="auto"/>
          <w:highlight w:val="yellow"/>
        </w:rPr>
        <w:t>mL.</w:t>
      </w:r>
      <w:proofErr w:type="spellEnd"/>
      <w:r w:rsidRPr="007530E3">
        <w:rPr>
          <w:color w:val="auto"/>
          <w:highlight w:val="yellow"/>
        </w:rPr>
        <w:t xml:space="preserve"> </w:t>
      </w:r>
      <w:r w:rsidR="00DD61D0" w:rsidRPr="007530E3">
        <w:rPr>
          <w:color w:val="auto"/>
          <w:highlight w:val="yellow"/>
        </w:rPr>
        <w:t>Incubate cells at 37</w:t>
      </w:r>
      <w:r w:rsidR="00562121" w:rsidRPr="007530E3">
        <w:rPr>
          <w:color w:val="auto"/>
          <w:highlight w:val="yellow"/>
        </w:rPr>
        <w:t xml:space="preserve"> °C </w:t>
      </w:r>
      <w:r w:rsidR="00DD61D0" w:rsidRPr="007530E3">
        <w:rPr>
          <w:color w:val="auto"/>
          <w:highlight w:val="yellow"/>
        </w:rPr>
        <w:t xml:space="preserve">for 20 </w:t>
      </w:r>
      <w:r w:rsidR="00917ADA" w:rsidRPr="007530E3">
        <w:rPr>
          <w:color w:val="auto"/>
          <w:highlight w:val="yellow"/>
        </w:rPr>
        <w:t>h</w:t>
      </w:r>
      <w:r w:rsidR="00DD61D0" w:rsidRPr="007530E3">
        <w:rPr>
          <w:color w:val="auto"/>
          <w:highlight w:val="yellow"/>
        </w:rPr>
        <w:t>.</w:t>
      </w:r>
    </w:p>
    <w:p w14:paraId="347B1D35" w14:textId="77777777" w:rsidR="00DD61D0" w:rsidRPr="00A033C0" w:rsidRDefault="00DD61D0" w:rsidP="00DD61D0">
      <w:pPr>
        <w:rPr>
          <w:color w:val="auto"/>
          <w:highlight w:val="yellow"/>
        </w:rPr>
      </w:pPr>
    </w:p>
    <w:p w14:paraId="721C3C57" w14:textId="5ADED491" w:rsidR="00D17121" w:rsidRPr="007530E3" w:rsidRDefault="00DD61D0" w:rsidP="007530E3">
      <w:pPr>
        <w:pStyle w:val="ListParagraph"/>
        <w:numPr>
          <w:ilvl w:val="1"/>
          <w:numId w:val="29"/>
        </w:numPr>
        <w:rPr>
          <w:color w:val="auto"/>
          <w:highlight w:val="yellow"/>
          <w:lang w:val="en-CA"/>
        </w:rPr>
      </w:pPr>
      <w:r w:rsidRPr="007530E3">
        <w:rPr>
          <w:color w:val="auto"/>
          <w:highlight w:val="yellow"/>
        </w:rPr>
        <w:t xml:space="preserve">Sample 20 </w:t>
      </w:r>
      <w:r w:rsidRPr="007530E3">
        <w:rPr>
          <w:color w:val="auto"/>
          <w:highlight w:val="yellow"/>
          <w:lang w:val="en-CA"/>
        </w:rPr>
        <w:t xml:space="preserve">µL of supernatant from each well and plate in duplicate into a 96-well plate. Include two wells of 20 µL </w:t>
      </w:r>
      <w:r w:rsidR="00836669" w:rsidRPr="007530E3">
        <w:rPr>
          <w:color w:val="auto"/>
          <w:highlight w:val="yellow"/>
          <w:lang w:val="en-CA"/>
        </w:rPr>
        <w:t xml:space="preserve">assay </w:t>
      </w:r>
      <w:r w:rsidRPr="007530E3">
        <w:rPr>
          <w:color w:val="auto"/>
          <w:highlight w:val="yellow"/>
          <w:lang w:val="en-CA"/>
        </w:rPr>
        <w:t>media as a background control. Add 200 µL of</w:t>
      </w:r>
      <w:r w:rsidR="00AF76D2" w:rsidRPr="007530E3">
        <w:rPr>
          <w:color w:val="auto"/>
          <w:highlight w:val="yellow"/>
          <w:lang w:val="en-CA"/>
        </w:rPr>
        <w:t xml:space="preserve"> SEAP</w:t>
      </w:r>
      <w:r w:rsidRPr="007530E3">
        <w:rPr>
          <w:color w:val="auto"/>
          <w:highlight w:val="yellow"/>
          <w:lang w:val="en-CA"/>
        </w:rPr>
        <w:t xml:space="preserve"> </w:t>
      </w:r>
      <w:r w:rsidR="00AF76D2" w:rsidRPr="007530E3">
        <w:rPr>
          <w:color w:val="auto"/>
          <w:highlight w:val="yellow"/>
          <w:lang w:val="en-CA"/>
        </w:rPr>
        <w:t>reporter assay</w:t>
      </w:r>
      <w:r w:rsidRPr="007530E3">
        <w:rPr>
          <w:color w:val="auto"/>
          <w:highlight w:val="yellow"/>
          <w:lang w:val="en-CA"/>
        </w:rPr>
        <w:t xml:space="preserve"> reagent to each well. Cover the plate with an adhesive seal and incubate for 2.5 </w:t>
      </w:r>
      <w:r w:rsidR="00917ADA" w:rsidRPr="007530E3">
        <w:rPr>
          <w:color w:val="auto"/>
          <w:highlight w:val="yellow"/>
          <w:lang w:val="en-CA"/>
        </w:rPr>
        <w:t>h</w:t>
      </w:r>
      <w:r w:rsidRPr="007530E3">
        <w:rPr>
          <w:color w:val="auto"/>
          <w:highlight w:val="yellow"/>
          <w:lang w:val="en-CA"/>
        </w:rPr>
        <w:t xml:space="preserve"> at 37 </w:t>
      </w:r>
      <w:r w:rsidR="00CB0D5F">
        <w:rPr>
          <w:color w:val="auto"/>
          <w:highlight w:val="yellow"/>
          <w:lang w:val="en-CA"/>
        </w:rPr>
        <w:t>°</w:t>
      </w:r>
      <w:r w:rsidRPr="007530E3">
        <w:rPr>
          <w:color w:val="auto"/>
          <w:highlight w:val="yellow"/>
          <w:lang w:val="en-CA"/>
        </w:rPr>
        <w:t>C.</w:t>
      </w:r>
      <w:r w:rsidR="00582B7B" w:rsidRPr="007530E3">
        <w:rPr>
          <w:color w:val="auto"/>
          <w:highlight w:val="yellow"/>
          <w:lang w:val="en-CA"/>
        </w:rPr>
        <w:t xml:space="preserve"> </w:t>
      </w:r>
    </w:p>
    <w:p w14:paraId="4043B763" w14:textId="77777777" w:rsidR="00D17121" w:rsidRPr="00A033C0" w:rsidRDefault="00D17121" w:rsidP="00DD61D0">
      <w:pPr>
        <w:rPr>
          <w:color w:val="auto"/>
          <w:highlight w:val="yellow"/>
          <w:lang w:val="en-CA"/>
        </w:rPr>
      </w:pPr>
    </w:p>
    <w:p w14:paraId="00DF2C75" w14:textId="6BD51F3C" w:rsidR="00DD61D0" w:rsidRPr="0096321A" w:rsidRDefault="00582B7B" w:rsidP="00DD61D0">
      <w:pPr>
        <w:rPr>
          <w:color w:val="auto"/>
          <w:lang w:val="en-CA"/>
        </w:rPr>
      </w:pPr>
      <w:r w:rsidRPr="0096321A">
        <w:rPr>
          <w:color w:val="auto"/>
          <w:lang w:val="en-CA"/>
        </w:rPr>
        <w:t>N</w:t>
      </w:r>
      <w:r w:rsidR="00D17121" w:rsidRPr="0096321A">
        <w:rPr>
          <w:color w:val="auto"/>
          <w:lang w:val="en-CA"/>
        </w:rPr>
        <w:t>OTE</w:t>
      </w:r>
      <w:r w:rsidRPr="0096321A">
        <w:rPr>
          <w:color w:val="auto"/>
          <w:lang w:val="en-CA"/>
        </w:rPr>
        <w:t xml:space="preserve">: </w:t>
      </w:r>
      <w:r w:rsidR="00F45792" w:rsidRPr="0096321A">
        <w:rPr>
          <w:color w:val="auto"/>
          <w:lang w:val="en-CA"/>
        </w:rPr>
        <w:t xml:space="preserve">The </w:t>
      </w:r>
      <w:r w:rsidRPr="0096321A">
        <w:rPr>
          <w:color w:val="auto"/>
          <w:lang w:val="en-CA"/>
        </w:rPr>
        <w:t xml:space="preserve">incubation time may vary depending on experimental </w:t>
      </w:r>
      <w:proofErr w:type="gramStart"/>
      <w:r w:rsidRPr="0096321A">
        <w:rPr>
          <w:color w:val="auto"/>
          <w:lang w:val="en-CA"/>
        </w:rPr>
        <w:t>conditions, and</w:t>
      </w:r>
      <w:proofErr w:type="gramEnd"/>
      <w:r w:rsidRPr="0096321A">
        <w:rPr>
          <w:color w:val="auto"/>
          <w:lang w:val="en-CA"/>
        </w:rPr>
        <w:t xml:space="preserve"> should be optimized for </w:t>
      </w:r>
      <w:r w:rsidR="00D4105C" w:rsidRPr="0096321A">
        <w:rPr>
          <w:color w:val="auto"/>
          <w:lang w:val="en-CA"/>
        </w:rPr>
        <w:t>a strong difference in absorbance between positive and negative control wells.</w:t>
      </w:r>
    </w:p>
    <w:p w14:paraId="0CB92FAB" w14:textId="77777777" w:rsidR="00DD61D0" w:rsidRPr="00A033C0" w:rsidRDefault="00DD61D0" w:rsidP="00DD61D0">
      <w:pPr>
        <w:rPr>
          <w:color w:val="auto"/>
          <w:highlight w:val="yellow"/>
          <w:lang w:val="en-CA"/>
        </w:rPr>
      </w:pPr>
    </w:p>
    <w:p w14:paraId="37665836" w14:textId="1D624D79" w:rsidR="00DD61D0" w:rsidRPr="00E246F4" w:rsidRDefault="002B1E48" w:rsidP="00E246F4">
      <w:pPr>
        <w:pStyle w:val="ListParagraph"/>
        <w:numPr>
          <w:ilvl w:val="2"/>
          <w:numId w:val="29"/>
        </w:numPr>
        <w:rPr>
          <w:color w:val="auto"/>
          <w:highlight w:val="yellow"/>
          <w:lang w:val="en-CA"/>
        </w:rPr>
      </w:pPr>
      <w:r w:rsidRPr="00E246F4">
        <w:rPr>
          <w:color w:val="auto"/>
          <w:highlight w:val="yellow"/>
          <w:lang w:val="en-CA"/>
        </w:rPr>
        <w:t xml:space="preserve">Transfer </w:t>
      </w:r>
      <w:r w:rsidR="00DD61D0" w:rsidRPr="00E246F4">
        <w:rPr>
          <w:color w:val="auto"/>
          <w:highlight w:val="yellow"/>
          <w:lang w:val="en-CA"/>
        </w:rPr>
        <w:t xml:space="preserve">the remainder of the supernatant </w:t>
      </w:r>
      <w:r w:rsidRPr="00E246F4">
        <w:rPr>
          <w:color w:val="auto"/>
          <w:highlight w:val="yellow"/>
          <w:lang w:val="en-CA"/>
        </w:rPr>
        <w:t xml:space="preserve">to a </w:t>
      </w:r>
      <w:r w:rsidR="00DD61D0" w:rsidRPr="00E246F4">
        <w:rPr>
          <w:color w:val="auto"/>
          <w:highlight w:val="yellow"/>
          <w:lang w:val="en-CA"/>
        </w:rPr>
        <w:t>1.5 mL tube</w:t>
      </w:r>
      <w:r w:rsidRPr="00E246F4">
        <w:rPr>
          <w:color w:val="auto"/>
          <w:highlight w:val="yellow"/>
          <w:lang w:val="en-CA"/>
        </w:rPr>
        <w:t xml:space="preserve"> (per well)</w:t>
      </w:r>
      <w:r w:rsidR="00DD61D0" w:rsidRPr="00E246F4">
        <w:rPr>
          <w:color w:val="auto"/>
          <w:highlight w:val="yellow"/>
          <w:lang w:val="en-CA"/>
        </w:rPr>
        <w:t>. Centrifuge at 1</w:t>
      </w:r>
      <w:r w:rsidR="00E246F4">
        <w:rPr>
          <w:color w:val="auto"/>
          <w:highlight w:val="yellow"/>
          <w:lang w:val="en-CA"/>
        </w:rPr>
        <w:t>,</w:t>
      </w:r>
      <w:r w:rsidR="00DD61D0" w:rsidRPr="00E246F4">
        <w:rPr>
          <w:color w:val="auto"/>
          <w:highlight w:val="yellow"/>
          <w:lang w:val="en-CA"/>
        </w:rPr>
        <w:t xml:space="preserve">000 </w:t>
      </w:r>
      <w:r w:rsidR="00DD61D0" w:rsidRPr="00E246F4">
        <w:rPr>
          <w:color w:val="auto"/>
          <w:highlight w:val="yellow"/>
          <w:lang w:val="en-CA"/>
        </w:rPr>
        <w:lastRenderedPageBreak/>
        <w:t xml:space="preserve">x </w:t>
      </w:r>
      <w:r w:rsidR="00DD61D0" w:rsidRPr="00E246F4">
        <w:rPr>
          <w:i/>
          <w:iCs/>
          <w:color w:val="auto"/>
          <w:highlight w:val="yellow"/>
          <w:lang w:val="en-CA"/>
        </w:rPr>
        <w:t>g</w:t>
      </w:r>
      <w:r w:rsidR="00DD61D0" w:rsidRPr="00E246F4">
        <w:rPr>
          <w:color w:val="auto"/>
          <w:highlight w:val="yellow"/>
          <w:lang w:val="en-CA"/>
        </w:rPr>
        <w:t xml:space="preserve"> for 10 </w:t>
      </w:r>
      <w:r w:rsidR="00A7187F" w:rsidRPr="00E246F4">
        <w:rPr>
          <w:color w:val="auto"/>
          <w:highlight w:val="yellow"/>
          <w:lang w:val="en-CA"/>
        </w:rPr>
        <w:t>min</w:t>
      </w:r>
      <w:r w:rsidR="00DD61D0" w:rsidRPr="00E246F4">
        <w:rPr>
          <w:color w:val="auto"/>
          <w:highlight w:val="yellow"/>
          <w:lang w:val="en-CA"/>
        </w:rPr>
        <w:t xml:space="preserve"> to </w:t>
      </w:r>
      <w:r w:rsidR="00CD5EF9" w:rsidRPr="00E246F4">
        <w:rPr>
          <w:color w:val="auto"/>
          <w:highlight w:val="yellow"/>
          <w:lang w:val="en-CA"/>
        </w:rPr>
        <w:t>p</w:t>
      </w:r>
      <w:r w:rsidR="00DD61D0" w:rsidRPr="00E246F4">
        <w:rPr>
          <w:color w:val="auto"/>
          <w:highlight w:val="yellow"/>
          <w:lang w:val="en-CA"/>
        </w:rPr>
        <w:t>e</w:t>
      </w:r>
      <w:r w:rsidR="00CD5EF9" w:rsidRPr="00E246F4">
        <w:rPr>
          <w:color w:val="auto"/>
          <w:highlight w:val="yellow"/>
          <w:lang w:val="en-CA"/>
        </w:rPr>
        <w:t>llet</w:t>
      </w:r>
      <w:r w:rsidR="00DD61D0" w:rsidRPr="00E246F4">
        <w:rPr>
          <w:color w:val="auto"/>
          <w:highlight w:val="yellow"/>
          <w:lang w:val="en-CA"/>
        </w:rPr>
        <w:t xml:space="preserve"> any debris. Transfer</w:t>
      </w:r>
      <w:r w:rsidR="00CD5EF9" w:rsidRPr="00E246F4">
        <w:rPr>
          <w:color w:val="auto"/>
          <w:highlight w:val="yellow"/>
          <w:lang w:val="en-CA"/>
        </w:rPr>
        <w:t xml:space="preserve"> supernatant</w:t>
      </w:r>
      <w:r w:rsidR="00DD61D0" w:rsidRPr="00E246F4">
        <w:rPr>
          <w:color w:val="auto"/>
          <w:highlight w:val="yellow"/>
          <w:lang w:val="en-CA"/>
        </w:rPr>
        <w:t xml:space="preserve"> to a new 1.5 mL tube and store at -80 </w:t>
      </w:r>
      <w:r w:rsidR="00E959CE">
        <w:rPr>
          <w:color w:val="auto"/>
          <w:highlight w:val="yellow"/>
          <w:lang w:val="en-CA"/>
        </w:rPr>
        <w:t>°</w:t>
      </w:r>
      <w:r w:rsidR="00DD61D0" w:rsidRPr="00E246F4">
        <w:rPr>
          <w:color w:val="auto"/>
          <w:highlight w:val="yellow"/>
          <w:lang w:val="en-CA"/>
        </w:rPr>
        <w:t xml:space="preserve">C. Analyze supernatant for </w:t>
      </w:r>
      <w:r w:rsidR="00CD5EF9" w:rsidRPr="00E246F4">
        <w:rPr>
          <w:color w:val="auto"/>
          <w:highlight w:val="yellow"/>
          <w:lang w:val="en-CA"/>
        </w:rPr>
        <w:t xml:space="preserve">the </w:t>
      </w:r>
      <w:r w:rsidR="00DD61D0" w:rsidRPr="00E246F4">
        <w:rPr>
          <w:color w:val="auto"/>
          <w:highlight w:val="yellow"/>
          <w:lang w:val="en-CA"/>
        </w:rPr>
        <w:t>presence of proinflammatory cytokines (</w:t>
      </w:r>
      <w:r w:rsidR="00754134" w:rsidRPr="00E246F4">
        <w:rPr>
          <w:color w:val="auto"/>
          <w:highlight w:val="yellow"/>
          <w:lang w:val="en-CA"/>
        </w:rPr>
        <w:t xml:space="preserve">e.g., </w:t>
      </w:r>
      <w:r w:rsidR="00DD61D0" w:rsidRPr="00E246F4">
        <w:rPr>
          <w:color w:val="auto"/>
          <w:highlight w:val="yellow"/>
          <w:lang w:val="en-CA"/>
        </w:rPr>
        <w:t xml:space="preserve">TNF-α, </w:t>
      </w:r>
      <w:r w:rsidR="00500A5C" w:rsidRPr="00E246F4">
        <w:rPr>
          <w:color w:val="auto"/>
          <w:highlight w:val="yellow"/>
          <w:lang w:val="en-CA"/>
        </w:rPr>
        <w:t xml:space="preserve">interleukin </w:t>
      </w:r>
      <w:r w:rsidR="00DD61D0" w:rsidRPr="00E246F4">
        <w:rPr>
          <w:color w:val="auto"/>
          <w:highlight w:val="yellow"/>
          <w:lang w:val="en-CA"/>
        </w:rPr>
        <w:t>6) via enzyme-linked immunosorbent assay (ELISA).</w:t>
      </w:r>
    </w:p>
    <w:p w14:paraId="6C52F195" w14:textId="77777777" w:rsidR="00DD61D0" w:rsidRPr="00A033C0" w:rsidRDefault="00DD61D0" w:rsidP="00DD61D0">
      <w:pPr>
        <w:rPr>
          <w:color w:val="auto"/>
          <w:highlight w:val="yellow"/>
          <w:lang w:val="en-CA"/>
        </w:rPr>
      </w:pPr>
    </w:p>
    <w:p w14:paraId="450AE11B" w14:textId="61E3D40F" w:rsidR="00DD61D0" w:rsidRPr="00C94A0C" w:rsidRDefault="00DD61D0" w:rsidP="008B5610">
      <w:pPr>
        <w:pStyle w:val="ListParagraph"/>
        <w:numPr>
          <w:ilvl w:val="1"/>
          <w:numId w:val="29"/>
        </w:numPr>
        <w:rPr>
          <w:color w:val="auto"/>
          <w:highlight w:val="yellow"/>
        </w:rPr>
      </w:pPr>
      <w:r w:rsidRPr="00C94A0C">
        <w:rPr>
          <w:color w:val="auto"/>
          <w:highlight w:val="yellow"/>
          <w:lang w:val="en-CA"/>
        </w:rPr>
        <w:t>Remove adhesive plate seal. Read absorbance of the plate using a plate reader at 635 nm. Aspirate liquid and discard plate.</w:t>
      </w:r>
    </w:p>
    <w:p w14:paraId="4D6AABF0" w14:textId="77777777" w:rsidR="00F70D5D" w:rsidRPr="00A033C0" w:rsidRDefault="00F70D5D" w:rsidP="001B1519">
      <w:pPr>
        <w:pStyle w:val="NormalWeb"/>
        <w:spacing w:before="0" w:beforeAutospacing="0" w:after="0" w:afterAutospacing="0"/>
        <w:rPr>
          <w:b/>
          <w:color w:val="auto"/>
        </w:rPr>
      </w:pPr>
    </w:p>
    <w:p w14:paraId="1052FBF1" w14:textId="77777777" w:rsidR="005C5323" w:rsidRPr="00A033C0" w:rsidRDefault="006305D7" w:rsidP="00B77D9A">
      <w:pPr>
        <w:pStyle w:val="NormalWeb"/>
        <w:spacing w:before="0" w:beforeAutospacing="0" w:after="0" w:afterAutospacing="0"/>
        <w:rPr>
          <w:b/>
          <w:bCs/>
        </w:rPr>
      </w:pPr>
      <w:r w:rsidRPr="00A033C0">
        <w:rPr>
          <w:b/>
        </w:rPr>
        <w:t>REPRESENTATIVE RESULTS</w:t>
      </w:r>
      <w:r w:rsidR="00EF1462" w:rsidRPr="00A033C0">
        <w:rPr>
          <w:b/>
        </w:rPr>
        <w:t>:</w:t>
      </w:r>
      <w:r w:rsidRPr="00A033C0">
        <w:rPr>
          <w:b/>
          <w:bCs/>
        </w:rPr>
        <w:t xml:space="preserve"> </w:t>
      </w:r>
    </w:p>
    <w:p w14:paraId="5A9819A7" w14:textId="100B172C" w:rsidR="00686CBF" w:rsidRPr="00A033C0" w:rsidRDefault="00686CBF" w:rsidP="00B77D9A">
      <w:pPr>
        <w:pStyle w:val="NormalWeb"/>
        <w:spacing w:before="0" w:beforeAutospacing="0" w:after="0" w:afterAutospacing="0"/>
        <w:rPr>
          <w:color w:val="auto"/>
          <w:lang w:val="en-CA"/>
        </w:rPr>
      </w:pPr>
      <w:r w:rsidRPr="00A033C0">
        <w:rPr>
          <w:color w:val="auto"/>
          <w:lang w:val="en-CA"/>
        </w:rPr>
        <w:t xml:space="preserve">Cleaning methods for the polymer-coated surfaces were tested to ensure there was no disruption of the coating, which would </w:t>
      </w:r>
      <w:proofErr w:type="gramStart"/>
      <w:r w:rsidRPr="00A033C0">
        <w:rPr>
          <w:color w:val="auto"/>
          <w:lang w:val="en-CA"/>
        </w:rPr>
        <w:t>be seen as</w:t>
      </w:r>
      <w:proofErr w:type="gramEnd"/>
      <w:r w:rsidRPr="00A033C0">
        <w:rPr>
          <w:color w:val="auto"/>
          <w:lang w:val="en-CA"/>
        </w:rPr>
        <w:t xml:space="preserve"> a change in the water contact angle to an uncoated glass coverslip (</w:t>
      </w:r>
      <w:r w:rsidR="002D5A8D" w:rsidRPr="002D5A8D">
        <w:rPr>
          <w:b/>
          <w:bCs/>
          <w:color w:val="auto"/>
          <w:lang w:val="en-CA"/>
        </w:rPr>
        <w:t>Figure 2</w:t>
      </w:r>
      <w:r w:rsidRPr="00A033C0">
        <w:rPr>
          <w:color w:val="auto"/>
          <w:lang w:val="en-CA"/>
        </w:rPr>
        <w:t xml:space="preserve">). </w:t>
      </w:r>
      <w:r w:rsidR="00582B7B" w:rsidRPr="00A033C0">
        <w:rPr>
          <w:color w:val="auto"/>
          <w:lang w:val="en-CA"/>
        </w:rPr>
        <w:t>S</w:t>
      </w:r>
      <w:r w:rsidRPr="00A033C0">
        <w:rPr>
          <w:color w:val="auto"/>
          <w:lang w:val="en-CA"/>
        </w:rPr>
        <w:t>oaking</w:t>
      </w:r>
      <w:r w:rsidR="007B7865" w:rsidRPr="00A033C0">
        <w:rPr>
          <w:color w:val="auto"/>
          <w:lang w:val="en-CA"/>
        </w:rPr>
        <w:t xml:space="preserve"> PMMA-coated microscope slides</w:t>
      </w:r>
      <w:r w:rsidRPr="00A033C0">
        <w:rPr>
          <w:color w:val="auto"/>
          <w:lang w:val="en-CA"/>
        </w:rPr>
        <w:t xml:space="preserve"> in 70% ethanol for </w:t>
      </w:r>
      <w:r w:rsidR="008F63F3">
        <w:rPr>
          <w:color w:val="auto"/>
          <w:lang w:val="en-CA"/>
        </w:rPr>
        <w:t>1</w:t>
      </w:r>
      <w:r w:rsidR="00496D55" w:rsidRPr="00496D55">
        <w:rPr>
          <w:color w:val="auto"/>
          <w:lang w:val="en-CA"/>
        </w:rPr>
        <w:t xml:space="preserve"> h</w:t>
      </w:r>
      <w:r w:rsidRPr="00A033C0">
        <w:rPr>
          <w:color w:val="auto"/>
          <w:lang w:val="en-CA"/>
        </w:rPr>
        <w:t xml:space="preserve"> </w:t>
      </w:r>
      <w:r w:rsidR="00582B7B" w:rsidRPr="00A033C0">
        <w:rPr>
          <w:color w:val="auto"/>
          <w:lang w:val="en-CA"/>
        </w:rPr>
        <w:t xml:space="preserve">was found to </w:t>
      </w:r>
      <w:r w:rsidRPr="00A033C0">
        <w:rPr>
          <w:color w:val="auto"/>
          <w:lang w:val="en-CA"/>
        </w:rPr>
        <w:t>remove the PMMA coating (</w:t>
      </w:r>
      <w:r w:rsidR="002D5A8D" w:rsidRPr="002D5A8D">
        <w:rPr>
          <w:b/>
          <w:bCs/>
          <w:color w:val="auto"/>
          <w:lang w:val="en-CA"/>
        </w:rPr>
        <w:t>Figure 2</w:t>
      </w:r>
      <w:r w:rsidR="00726DD0">
        <w:rPr>
          <w:bCs/>
          <w:color w:val="auto"/>
          <w:lang w:val="en-CA"/>
        </w:rPr>
        <w:t>, left panel</w:t>
      </w:r>
      <w:r w:rsidRPr="00A033C0">
        <w:rPr>
          <w:color w:val="auto"/>
          <w:lang w:val="en-CA"/>
        </w:rPr>
        <w:t xml:space="preserve">), likely due to the solubility of PMMA in 80 </w:t>
      </w:r>
      <w:proofErr w:type="spellStart"/>
      <w:r w:rsidRPr="00A033C0">
        <w:rPr>
          <w:color w:val="auto"/>
          <w:lang w:val="en-CA"/>
        </w:rPr>
        <w:t>wt</w:t>
      </w:r>
      <w:proofErr w:type="spellEnd"/>
      <w:r w:rsidRPr="00A033C0">
        <w:rPr>
          <w:color w:val="auto"/>
          <w:lang w:val="en-CA"/>
        </w:rPr>
        <w:t>% ethanol</w:t>
      </w:r>
      <w:r w:rsidR="00891A46" w:rsidRPr="00A033C0">
        <w:rPr>
          <w:noProof/>
          <w:color w:val="auto"/>
          <w:vertAlign w:val="superscript"/>
          <w:lang w:val="en-CA"/>
        </w:rPr>
        <w:t>13</w:t>
      </w:r>
      <w:r w:rsidRPr="00A033C0">
        <w:rPr>
          <w:color w:val="auto"/>
          <w:lang w:val="en-CA"/>
        </w:rPr>
        <w:t xml:space="preserve">, therefore </w:t>
      </w:r>
      <w:r w:rsidR="00582B7B" w:rsidRPr="00A033C0">
        <w:rPr>
          <w:color w:val="auto"/>
          <w:lang w:val="en-CA"/>
        </w:rPr>
        <w:t xml:space="preserve">PMMA-coated surfaces were cleaned using 30 </w:t>
      </w:r>
      <w:r w:rsidR="00A7187F">
        <w:rPr>
          <w:color w:val="auto"/>
          <w:lang w:val="en-CA"/>
        </w:rPr>
        <w:t>min</w:t>
      </w:r>
      <w:r w:rsidR="00582B7B" w:rsidRPr="00A033C0">
        <w:rPr>
          <w:color w:val="auto"/>
          <w:lang w:val="en-CA"/>
        </w:rPr>
        <w:t xml:space="preserve"> of </w:t>
      </w:r>
      <w:r w:rsidRPr="00A033C0">
        <w:rPr>
          <w:color w:val="auto"/>
          <w:lang w:val="en-CA"/>
        </w:rPr>
        <w:t>UV sterilization</w:t>
      </w:r>
      <w:r w:rsidR="007B7865" w:rsidRPr="00A033C0">
        <w:rPr>
          <w:color w:val="auto"/>
          <w:lang w:val="en-CA"/>
        </w:rPr>
        <w:t xml:space="preserve"> </w:t>
      </w:r>
      <w:r w:rsidR="00582B7B" w:rsidRPr="00A033C0">
        <w:rPr>
          <w:color w:val="auto"/>
          <w:lang w:val="en-CA"/>
        </w:rPr>
        <w:t>alone</w:t>
      </w:r>
      <w:r w:rsidRPr="00A033C0">
        <w:rPr>
          <w:color w:val="auto"/>
          <w:lang w:val="en-CA"/>
        </w:rPr>
        <w:t>. The concentration of PMMA for coating was optimized previously</w:t>
      </w:r>
      <w:r w:rsidR="00891A46" w:rsidRPr="00A033C0">
        <w:rPr>
          <w:noProof/>
          <w:color w:val="auto"/>
          <w:vertAlign w:val="superscript"/>
          <w:lang w:val="en-CA"/>
        </w:rPr>
        <w:t>5</w:t>
      </w:r>
      <w:r w:rsidRPr="00A033C0">
        <w:rPr>
          <w:color w:val="auto"/>
          <w:lang w:val="en-CA"/>
        </w:rPr>
        <w:t xml:space="preserve">. A </w:t>
      </w:r>
      <w:r w:rsidR="0085158D">
        <w:rPr>
          <w:color w:val="auto"/>
          <w:lang w:val="en-CA"/>
        </w:rPr>
        <w:t>1</w:t>
      </w:r>
      <w:r w:rsidR="00496D55" w:rsidRPr="00496D55">
        <w:rPr>
          <w:color w:val="auto"/>
          <w:lang w:val="en-CA"/>
        </w:rPr>
        <w:t xml:space="preserve"> h</w:t>
      </w:r>
      <w:r w:rsidR="007B7865" w:rsidRPr="00A033C0">
        <w:rPr>
          <w:color w:val="auto"/>
          <w:lang w:val="en-CA"/>
        </w:rPr>
        <w:t xml:space="preserve"> </w:t>
      </w:r>
      <w:r w:rsidRPr="00A033C0">
        <w:rPr>
          <w:color w:val="auto"/>
          <w:lang w:val="en-CA"/>
        </w:rPr>
        <w:t>70% ethanol soak was used to clean PDMS</w:t>
      </w:r>
      <w:r w:rsidR="007B7865" w:rsidRPr="00A033C0">
        <w:rPr>
          <w:color w:val="auto"/>
          <w:lang w:val="en-CA"/>
        </w:rPr>
        <w:t>, and UV sterilization was neglected</w:t>
      </w:r>
      <w:r w:rsidRPr="00A033C0">
        <w:rPr>
          <w:color w:val="auto"/>
          <w:lang w:val="en-CA"/>
        </w:rPr>
        <w:t xml:space="preserve"> since UV light can cause chain scission and influence the surface wetting properties of PDMS</w:t>
      </w:r>
      <w:r w:rsidR="00891A46" w:rsidRPr="00A033C0">
        <w:rPr>
          <w:noProof/>
          <w:color w:val="auto"/>
          <w:vertAlign w:val="superscript"/>
          <w:lang w:val="en-CA"/>
        </w:rPr>
        <w:t>14</w:t>
      </w:r>
      <w:r w:rsidRPr="00A033C0">
        <w:rPr>
          <w:color w:val="auto"/>
          <w:lang w:val="en-CA"/>
        </w:rPr>
        <w:t xml:space="preserve">. Both 70% ethanol soak and UV sterilization did not influence the water contact angle of </w:t>
      </w:r>
      <w:proofErr w:type="spellStart"/>
      <w:r w:rsidRPr="00A033C0">
        <w:rPr>
          <w:color w:val="auto"/>
          <w:lang w:val="en-CA"/>
        </w:rPr>
        <w:t>fPTFE</w:t>
      </w:r>
      <w:proofErr w:type="spellEnd"/>
      <w:r w:rsidRPr="00A033C0">
        <w:rPr>
          <w:color w:val="auto"/>
          <w:lang w:val="en-CA"/>
        </w:rPr>
        <w:t>-coated coverslips (</w:t>
      </w:r>
      <w:r w:rsidR="002D5A8D" w:rsidRPr="002D5A8D">
        <w:rPr>
          <w:b/>
          <w:bCs/>
          <w:color w:val="auto"/>
          <w:lang w:val="en-CA"/>
        </w:rPr>
        <w:t>Figure 2</w:t>
      </w:r>
      <w:r w:rsidR="0085158D">
        <w:rPr>
          <w:bCs/>
          <w:color w:val="auto"/>
          <w:lang w:val="en-CA"/>
        </w:rPr>
        <w:t>, right panel</w:t>
      </w:r>
      <w:r w:rsidRPr="00A033C0">
        <w:rPr>
          <w:color w:val="auto"/>
          <w:lang w:val="en-CA"/>
        </w:rPr>
        <w:t>), therefore the two methods</w:t>
      </w:r>
      <w:r w:rsidR="008F78EE" w:rsidRPr="00A033C0">
        <w:rPr>
          <w:color w:val="auto"/>
          <w:lang w:val="en-CA"/>
        </w:rPr>
        <w:t>,</w:t>
      </w:r>
      <w:r w:rsidRPr="00A033C0">
        <w:rPr>
          <w:color w:val="auto"/>
          <w:lang w:val="en-CA"/>
        </w:rPr>
        <w:t xml:space="preserve"> </w:t>
      </w:r>
      <w:r w:rsidR="00D4105C" w:rsidRPr="00A033C0">
        <w:rPr>
          <w:color w:val="auto"/>
          <w:lang w:val="en-CA"/>
        </w:rPr>
        <w:t>in succession</w:t>
      </w:r>
      <w:r w:rsidR="008F78EE" w:rsidRPr="00A033C0">
        <w:rPr>
          <w:color w:val="auto"/>
          <w:lang w:val="en-CA"/>
        </w:rPr>
        <w:t>,</w:t>
      </w:r>
      <w:r w:rsidR="00D4105C" w:rsidRPr="00A033C0">
        <w:rPr>
          <w:color w:val="auto"/>
          <w:lang w:val="en-CA"/>
        </w:rPr>
        <w:t xml:space="preserve"> </w:t>
      </w:r>
      <w:r w:rsidRPr="00A033C0">
        <w:rPr>
          <w:color w:val="auto"/>
          <w:lang w:val="en-CA"/>
        </w:rPr>
        <w:t xml:space="preserve">were used to clean </w:t>
      </w:r>
      <w:proofErr w:type="spellStart"/>
      <w:r w:rsidRPr="00A033C0">
        <w:rPr>
          <w:color w:val="auto"/>
          <w:lang w:val="en-CA"/>
        </w:rPr>
        <w:t>fPTFE</w:t>
      </w:r>
      <w:proofErr w:type="spellEnd"/>
      <w:r w:rsidRPr="00A033C0">
        <w:rPr>
          <w:color w:val="auto"/>
          <w:lang w:val="en-CA"/>
        </w:rPr>
        <w:t xml:space="preserve"> coatings. The method of </w:t>
      </w:r>
      <w:proofErr w:type="spellStart"/>
      <w:r w:rsidRPr="00A033C0">
        <w:rPr>
          <w:color w:val="auto"/>
          <w:lang w:val="en-CA"/>
        </w:rPr>
        <w:t>fPTFE</w:t>
      </w:r>
      <w:proofErr w:type="spellEnd"/>
      <w:r w:rsidRPr="00A033C0">
        <w:rPr>
          <w:color w:val="auto"/>
          <w:lang w:val="en-CA"/>
        </w:rPr>
        <w:t xml:space="preserve"> coating was previously described by the Grainger group</w:t>
      </w:r>
      <w:r w:rsidR="00891A46" w:rsidRPr="00A033C0">
        <w:rPr>
          <w:noProof/>
          <w:color w:val="auto"/>
          <w:vertAlign w:val="superscript"/>
          <w:lang w:val="en-CA"/>
        </w:rPr>
        <w:t>15</w:t>
      </w:r>
      <w:r w:rsidRPr="00A033C0">
        <w:rPr>
          <w:color w:val="auto"/>
          <w:lang w:val="en-CA"/>
        </w:rPr>
        <w:t>.</w:t>
      </w:r>
    </w:p>
    <w:p w14:paraId="181CF1FD" w14:textId="77777777" w:rsidR="00406D73" w:rsidRPr="00A033C0" w:rsidRDefault="00406D73" w:rsidP="00B77D9A">
      <w:pPr>
        <w:pStyle w:val="NormalWeb"/>
        <w:spacing w:before="0" w:beforeAutospacing="0" w:after="0" w:afterAutospacing="0"/>
        <w:rPr>
          <w:color w:val="auto"/>
          <w:lang w:val="en-CA"/>
        </w:rPr>
      </w:pPr>
    </w:p>
    <w:p w14:paraId="297C33FA" w14:textId="323BF2B0" w:rsidR="00C55B8F" w:rsidRPr="00A033C0" w:rsidRDefault="00C55B8F" w:rsidP="00B77D9A">
      <w:pPr>
        <w:pStyle w:val="NormalWeb"/>
        <w:spacing w:before="0" w:beforeAutospacing="0" w:after="0" w:afterAutospacing="0"/>
        <w:rPr>
          <w:color w:val="auto"/>
          <w:lang w:val="en-CA"/>
        </w:rPr>
      </w:pPr>
      <w:r w:rsidRPr="00A033C0">
        <w:rPr>
          <w:color w:val="auto"/>
          <w:lang w:val="en-CA"/>
        </w:rPr>
        <w:t>A Western blot was performed on the 3T3 lysate to ensure that DAMP species were present in the complex molecular mixture</w:t>
      </w:r>
      <w:r w:rsidR="004B7EC5" w:rsidRPr="00A033C0">
        <w:rPr>
          <w:color w:val="auto"/>
          <w:lang w:val="en-CA"/>
        </w:rPr>
        <w:t>. The results</w:t>
      </w:r>
      <w:r w:rsidRPr="00A033C0">
        <w:rPr>
          <w:color w:val="auto"/>
          <w:lang w:val="en-CA"/>
        </w:rPr>
        <w:t xml:space="preserve"> showed that both HMGB1 and HSP60</w:t>
      </w:r>
      <w:r w:rsidR="004B7EC5" w:rsidRPr="00A033C0">
        <w:rPr>
          <w:color w:val="auto"/>
          <w:lang w:val="en-CA"/>
        </w:rPr>
        <w:t>, two well-documented DAMPs</w:t>
      </w:r>
      <w:r w:rsidR="00891A46" w:rsidRPr="00A033C0">
        <w:rPr>
          <w:noProof/>
          <w:color w:val="auto"/>
          <w:vertAlign w:val="superscript"/>
          <w:lang w:val="en-CA"/>
        </w:rPr>
        <w:t>16,17</w:t>
      </w:r>
      <w:r w:rsidR="004B7EC5" w:rsidRPr="00A033C0">
        <w:rPr>
          <w:color w:val="auto"/>
          <w:lang w:val="en-CA"/>
        </w:rPr>
        <w:t>, were present</w:t>
      </w:r>
      <w:r w:rsidR="00CF693F" w:rsidRPr="00A033C0">
        <w:rPr>
          <w:color w:val="auto"/>
          <w:lang w:val="en-CA"/>
        </w:rPr>
        <w:t xml:space="preserve"> </w:t>
      </w:r>
      <w:r w:rsidR="00163045" w:rsidRPr="00A033C0">
        <w:rPr>
          <w:color w:val="auto"/>
          <w:lang w:val="en-CA"/>
        </w:rPr>
        <w:t>in the lysate</w:t>
      </w:r>
      <w:r w:rsidR="000856F4" w:rsidRPr="00A033C0">
        <w:rPr>
          <w:color w:val="auto"/>
          <w:lang w:val="en-CA"/>
        </w:rPr>
        <w:t xml:space="preserve"> </w:t>
      </w:r>
      <w:r w:rsidR="00CF693F" w:rsidRPr="00A033C0">
        <w:rPr>
          <w:color w:val="auto"/>
          <w:lang w:val="en-CA"/>
        </w:rPr>
        <w:t>(</w:t>
      </w:r>
      <w:r w:rsidR="002D5A8D" w:rsidRPr="002D5A8D">
        <w:rPr>
          <w:b/>
          <w:bCs/>
          <w:color w:val="auto"/>
          <w:lang w:val="en-CA"/>
        </w:rPr>
        <w:t>Figure 1</w:t>
      </w:r>
      <w:r w:rsidR="00CF693F" w:rsidRPr="00A033C0">
        <w:rPr>
          <w:b/>
          <w:color w:val="auto"/>
          <w:lang w:val="en-CA"/>
        </w:rPr>
        <w:t>B</w:t>
      </w:r>
      <w:r w:rsidR="00CF693F" w:rsidRPr="00A033C0">
        <w:rPr>
          <w:color w:val="auto"/>
          <w:lang w:val="en-CA"/>
        </w:rPr>
        <w:t>)</w:t>
      </w:r>
      <w:r w:rsidR="004B7EC5" w:rsidRPr="00A033C0">
        <w:rPr>
          <w:color w:val="auto"/>
          <w:lang w:val="en-CA"/>
        </w:rPr>
        <w:t xml:space="preserve">. </w:t>
      </w:r>
      <w:r w:rsidR="00477BB4" w:rsidRPr="00A033C0">
        <w:rPr>
          <w:color w:val="auto"/>
          <w:lang w:val="en-CA"/>
        </w:rPr>
        <w:t xml:space="preserve">The </w:t>
      </w:r>
      <w:r w:rsidR="00163045" w:rsidRPr="00A033C0">
        <w:rPr>
          <w:color w:val="auto"/>
          <w:lang w:val="en-CA"/>
        </w:rPr>
        <w:t>adsor</w:t>
      </w:r>
      <w:r w:rsidR="00250AAA" w:rsidRPr="00A033C0">
        <w:rPr>
          <w:color w:val="auto"/>
          <w:lang w:val="en-CA"/>
        </w:rPr>
        <w:t>p</w:t>
      </w:r>
      <w:r w:rsidR="00163045" w:rsidRPr="00A033C0">
        <w:rPr>
          <w:color w:val="auto"/>
          <w:lang w:val="en-CA"/>
        </w:rPr>
        <w:t xml:space="preserve">tion </w:t>
      </w:r>
      <w:r w:rsidR="00477BB4" w:rsidRPr="00A033C0">
        <w:rPr>
          <w:color w:val="auto"/>
          <w:lang w:val="en-CA"/>
        </w:rPr>
        <w:t xml:space="preserve">of TLR ligands </w:t>
      </w:r>
      <w:r w:rsidR="00163045" w:rsidRPr="00A033C0">
        <w:rPr>
          <w:color w:val="auto"/>
          <w:lang w:val="en-CA"/>
        </w:rPr>
        <w:t xml:space="preserve">from </w:t>
      </w:r>
      <w:r w:rsidR="00477BB4" w:rsidRPr="00A033C0">
        <w:rPr>
          <w:color w:val="auto"/>
          <w:lang w:val="en-CA"/>
        </w:rPr>
        <w:t xml:space="preserve">the lysate </w:t>
      </w:r>
      <w:r w:rsidR="00163045" w:rsidRPr="00A033C0">
        <w:rPr>
          <w:color w:val="auto"/>
          <w:lang w:val="en-CA"/>
        </w:rPr>
        <w:t xml:space="preserve">onto the polymer surfaces </w:t>
      </w:r>
      <w:r w:rsidR="00477BB4" w:rsidRPr="00A033C0">
        <w:rPr>
          <w:color w:val="auto"/>
          <w:lang w:val="en-CA"/>
        </w:rPr>
        <w:t xml:space="preserve">was confirmed </w:t>
      </w:r>
      <w:r w:rsidR="00A4003C" w:rsidRPr="00A033C0">
        <w:rPr>
          <w:color w:val="auto"/>
          <w:lang w:val="en-CA"/>
        </w:rPr>
        <w:t xml:space="preserve">by </w:t>
      </w:r>
      <w:r w:rsidR="00477BB4" w:rsidRPr="00A033C0">
        <w:rPr>
          <w:color w:val="auto"/>
          <w:lang w:val="en-CA"/>
        </w:rPr>
        <w:t xml:space="preserve">culturing </w:t>
      </w:r>
      <w:r w:rsidR="00A4003C" w:rsidRPr="00A033C0">
        <w:rPr>
          <w:color w:val="auto"/>
          <w:lang w:val="en-CA"/>
        </w:rPr>
        <w:t>reporter macrophages</w:t>
      </w:r>
      <w:r w:rsidR="00477BB4" w:rsidRPr="00A033C0">
        <w:rPr>
          <w:color w:val="auto"/>
          <w:lang w:val="en-CA"/>
        </w:rPr>
        <w:t xml:space="preserve"> (untreated, TLR2 neutralized, or TLR4 inhibited) for 20 </w:t>
      </w:r>
      <w:r w:rsidR="00917ADA">
        <w:rPr>
          <w:color w:val="auto"/>
          <w:lang w:val="en-CA"/>
        </w:rPr>
        <w:t>h</w:t>
      </w:r>
      <w:r w:rsidR="00163045" w:rsidRPr="00A033C0">
        <w:rPr>
          <w:color w:val="auto"/>
          <w:lang w:val="en-CA"/>
        </w:rPr>
        <w:t xml:space="preserve"> on protein-adsorbed polymer surfaces (</w:t>
      </w:r>
      <w:r w:rsidR="004D6BDD" w:rsidRPr="004D6BDD">
        <w:rPr>
          <w:color w:val="auto"/>
          <w:lang w:val="en-CA"/>
        </w:rPr>
        <w:t xml:space="preserve">i.e., </w:t>
      </w:r>
      <w:r w:rsidR="002809B4">
        <w:rPr>
          <w:color w:val="auto"/>
          <w:lang w:val="en-CA"/>
        </w:rPr>
        <w:t>t</w:t>
      </w:r>
      <w:r w:rsidR="002809B4" w:rsidRPr="00A033C0">
        <w:rPr>
          <w:color w:val="auto"/>
          <w:lang w:val="en-CA"/>
        </w:rPr>
        <w:t xml:space="preserve">issue culture-treated polystyrene </w:t>
      </w:r>
      <w:r w:rsidR="00A66DA0">
        <w:rPr>
          <w:color w:val="auto"/>
          <w:lang w:val="en-CA"/>
        </w:rPr>
        <w:t>[</w:t>
      </w:r>
      <w:r w:rsidR="00163045" w:rsidRPr="00A033C0">
        <w:rPr>
          <w:color w:val="auto"/>
          <w:lang w:val="en-CA"/>
        </w:rPr>
        <w:t>TCPS</w:t>
      </w:r>
      <w:r w:rsidR="00A66DA0">
        <w:rPr>
          <w:color w:val="auto"/>
          <w:lang w:val="en-CA"/>
        </w:rPr>
        <w:t>]</w:t>
      </w:r>
      <w:r w:rsidR="00163045" w:rsidRPr="00A033C0">
        <w:rPr>
          <w:color w:val="auto"/>
          <w:lang w:val="en-CA"/>
        </w:rPr>
        <w:t xml:space="preserve">, PMMA, PDMS, </w:t>
      </w:r>
      <w:proofErr w:type="spellStart"/>
      <w:r w:rsidR="00163045" w:rsidRPr="00A033C0">
        <w:rPr>
          <w:color w:val="auto"/>
          <w:lang w:val="en-CA"/>
        </w:rPr>
        <w:t>fPTFE</w:t>
      </w:r>
      <w:proofErr w:type="spellEnd"/>
      <w:r w:rsidR="00163045" w:rsidRPr="00A033C0">
        <w:rPr>
          <w:color w:val="auto"/>
          <w:lang w:val="en-CA"/>
        </w:rPr>
        <w:t>)</w:t>
      </w:r>
      <w:r w:rsidR="00477BB4" w:rsidRPr="00A033C0">
        <w:rPr>
          <w:color w:val="auto"/>
          <w:lang w:val="en-CA"/>
        </w:rPr>
        <w:t xml:space="preserve">, and then indirectly assessing </w:t>
      </w:r>
      <w:r w:rsidR="00477BB4" w:rsidRPr="00A033C0">
        <w:rPr>
          <w:color w:val="auto"/>
        </w:rPr>
        <w:t>NF-</w:t>
      </w:r>
      <w:proofErr w:type="spellStart"/>
      <w:r w:rsidR="00477BB4" w:rsidRPr="00A033C0">
        <w:rPr>
          <w:color w:val="auto"/>
        </w:rPr>
        <w:t>кB</w:t>
      </w:r>
      <w:proofErr w:type="spellEnd"/>
      <w:r w:rsidR="00477BB4" w:rsidRPr="00A033C0">
        <w:rPr>
          <w:color w:val="auto"/>
        </w:rPr>
        <w:t xml:space="preserve">/AP-1 activity </w:t>
      </w:r>
      <w:r w:rsidR="007B7865" w:rsidRPr="00A033C0">
        <w:rPr>
          <w:color w:val="auto"/>
        </w:rPr>
        <w:t>based on SEAP production using an enzymatic</w:t>
      </w:r>
      <w:r w:rsidR="00477BB4" w:rsidRPr="00A033C0">
        <w:rPr>
          <w:color w:val="auto"/>
        </w:rPr>
        <w:t xml:space="preserve"> assay (</w:t>
      </w:r>
      <w:r w:rsidR="002D5A8D" w:rsidRPr="002D5A8D">
        <w:rPr>
          <w:b/>
          <w:bCs/>
          <w:color w:val="auto"/>
        </w:rPr>
        <w:t>Figure 1</w:t>
      </w:r>
      <w:r w:rsidR="00477BB4" w:rsidRPr="00A033C0">
        <w:rPr>
          <w:b/>
          <w:color w:val="auto"/>
        </w:rPr>
        <w:t xml:space="preserve">C </w:t>
      </w:r>
      <w:r w:rsidR="00A66DA0">
        <w:rPr>
          <w:bCs/>
          <w:color w:val="auto"/>
        </w:rPr>
        <w:t xml:space="preserve">and </w:t>
      </w:r>
      <w:r w:rsidR="00477BB4" w:rsidRPr="00A033C0">
        <w:rPr>
          <w:b/>
          <w:color w:val="auto"/>
        </w:rPr>
        <w:t xml:space="preserve">Figure </w:t>
      </w:r>
      <w:r w:rsidR="00F57A05" w:rsidRPr="00A033C0">
        <w:rPr>
          <w:b/>
          <w:color w:val="auto"/>
        </w:rPr>
        <w:t>3</w:t>
      </w:r>
      <w:r w:rsidR="00477BB4" w:rsidRPr="00A033C0">
        <w:rPr>
          <w:color w:val="auto"/>
        </w:rPr>
        <w:t xml:space="preserve">). </w:t>
      </w:r>
      <w:r w:rsidR="00163045" w:rsidRPr="00A033C0">
        <w:rPr>
          <w:color w:val="auto"/>
        </w:rPr>
        <w:t xml:space="preserve">Furthermore, </w:t>
      </w:r>
      <w:r w:rsidR="00A4003C" w:rsidRPr="00A033C0">
        <w:rPr>
          <w:color w:val="auto"/>
        </w:rPr>
        <w:t>the reporter</w:t>
      </w:r>
      <w:r w:rsidR="00163045" w:rsidRPr="00A033C0">
        <w:rPr>
          <w:color w:val="auto"/>
        </w:rPr>
        <w:t xml:space="preserve"> macrophages had significantly increased NF-</w:t>
      </w:r>
      <w:proofErr w:type="spellStart"/>
      <w:r w:rsidR="00163045" w:rsidRPr="00A033C0">
        <w:rPr>
          <w:color w:val="auto"/>
        </w:rPr>
        <w:t>кB</w:t>
      </w:r>
      <w:proofErr w:type="spellEnd"/>
      <w:r w:rsidR="00163045" w:rsidRPr="00A033C0">
        <w:rPr>
          <w:color w:val="auto"/>
        </w:rPr>
        <w:t>/AP-1 activity on adsorbed lysate compared to adsorbed FBS or plasma and no pre-adsorbed protein (media) (</w:t>
      </w:r>
      <w:r w:rsidR="00163045" w:rsidRPr="00A033C0">
        <w:rPr>
          <w:b/>
          <w:color w:val="auto"/>
        </w:rPr>
        <w:t>Figure 4</w:t>
      </w:r>
      <w:r w:rsidR="00163045" w:rsidRPr="00A033C0">
        <w:rPr>
          <w:color w:val="auto"/>
        </w:rPr>
        <w:t xml:space="preserve">). </w:t>
      </w:r>
      <w:r w:rsidR="00680D8B" w:rsidRPr="00A033C0">
        <w:rPr>
          <w:color w:val="auto"/>
        </w:rPr>
        <w:t xml:space="preserve">TLR ligands synthetic </w:t>
      </w:r>
      <w:proofErr w:type="spellStart"/>
      <w:r w:rsidR="00680D8B" w:rsidRPr="00A033C0">
        <w:rPr>
          <w:color w:val="auto"/>
        </w:rPr>
        <w:t>triacylated</w:t>
      </w:r>
      <w:proofErr w:type="spellEnd"/>
      <w:r w:rsidR="00680D8B" w:rsidRPr="00A033C0">
        <w:rPr>
          <w:color w:val="auto"/>
        </w:rPr>
        <w:t xml:space="preserve"> lipopeptide (Pam3CSK4, TLR2</w:t>
      </w:r>
      <w:r w:rsidR="00163045" w:rsidRPr="00A033C0">
        <w:rPr>
          <w:color w:val="auto"/>
        </w:rPr>
        <w:t xml:space="preserve"> ligand</w:t>
      </w:r>
      <w:r w:rsidR="00680D8B" w:rsidRPr="00A033C0">
        <w:rPr>
          <w:color w:val="auto"/>
        </w:rPr>
        <w:t>) and lipopolysaccharide (LPS, TLR4</w:t>
      </w:r>
      <w:r w:rsidR="00163045" w:rsidRPr="00A033C0">
        <w:rPr>
          <w:color w:val="auto"/>
        </w:rPr>
        <w:t xml:space="preserve"> ligand</w:t>
      </w:r>
      <w:r w:rsidR="00680D8B" w:rsidRPr="00A033C0">
        <w:rPr>
          <w:color w:val="auto"/>
        </w:rPr>
        <w:t>) were included</w:t>
      </w:r>
      <w:r w:rsidR="007B7865" w:rsidRPr="00A033C0">
        <w:rPr>
          <w:color w:val="auto"/>
        </w:rPr>
        <w:t xml:space="preserve"> as positive controls</w:t>
      </w:r>
      <w:r w:rsidR="00680D8B" w:rsidRPr="00A033C0">
        <w:rPr>
          <w:color w:val="auto"/>
        </w:rPr>
        <w:t xml:space="preserve"> to confirm the antibody or inhibitor and the assay were working properly. TLR2 neutralization had a noticeably stronger reduction in NF-</w:t>
      </w:r>
      <w:proofErr w:type="spellStart"/>
      <w:r w:rsidR="00680D8B" w:rsidRPr="00A033C0">
        <w:rPr>
          <w:color w:val="auto"/>
        </w:rPr>
        <w:t>кB</w:t>
      </w:r>
      <w:proofErr w:type="spellEnd"/>
      <w:r w:rsidR="00680D8B" w:rsidRPr="00A033C0">
        <w:rPr>
          <w:color w:val="auto"/>
        </w:rPr>
        <w:t xml:space="preserve">/AP-1 response of </w:t>
      </w:r>
      <w:r w:rsidR="00A4003C" w:rsidRPr="00A033C0">
        <w:rPr>
          <w:color w:val="auto"/>
        </w:rPr>
        <w:t>reporter</w:t>
      </w:r>
      <w:r w:rsidR="00BB7516" w:rsidRPr="00A033C0">
        <w:rPr>
          <w:color w:val="auto"/>
        </w:rPr>
        <w:t xml:space="preserve"> macrophages</w:t>
      </w:r>
      <w:r w:rsidR="00680D8B" w:rsidRPr="00A033C0">
        <w:rPr>
          <w:color w:val="auto"/>
        </w:rPr>
        <w:t xml:space="preserve"> to adsorbed lysate compared to TLR4 inhibition. </w:t>
      </w:r>
      <w:r w:rsidR="00477BB4" w:rsidRPr="00A033C0">
        <w:rPr>
          <w:color w:val="auto"/>
        </w:rPr>
        <w:t>As well, small amounts of lysate diluted in serum (based on total protein) induced significantly increased NF-</w:t>
      </w:r>
      <w:proofErr w:type="spellStart"/>
      <w:r w:rsidR="00477BB4" w:rsidRPr="00A033C0">
        <w:rPr>
          <w:color w:val="auto"/>
        </w:rPr>
        <w:t>кB</w:t>
      </w:r>
      <w:proofErr w:type="spellEnd"/>
      <w:r w:rsidR="00477BB4" w:rsidRPr="00A033C0">
        <w:rPr>
          <w:color w:val="auto"/>
        </w:rPr>
        <w:t xml:space="preserve">/AP-1 </w:t>
      </w:r>
      <w:r w:rsidR="00680D8B" w:rsidRPr="00A033C0">
        <w:rPr>
          <w:color w:val="auto"/>
        </w:rPr>
        <w:t>response</w:t>
      </w:r>
      <w:r w:rsidR="007B7865" w:rsidRPr="00A033C0">
        <w:rPr>
          <w:color w:val="auto"/>
        </w:rPr>
        <w:t xml:space="preserve"> compared to serum alone</w:t>
      </w:r>
      <w:r w:rsidR="00477BB4" w:rsidRPr="00A033C0">
        <w:rPr>
          <w:color w:val="auto"/>
        </w:rPr>
        <w:t xml:space="preserve">, with the lowest </w:t>
      </w:r>
      <w:r w:rsidR="000A39BD" w:rsidRPr="00A033C0">
        <w:rPr>
          <w:color w:val="auto"/>
        </w:rPr>
        <w:t xml:space="preserve">effective </w:t>
      </w:r>
      <w:r w:rsidR="00477BB4" w:rsidRPr="00A033C0">
        <w:rPr>
          <w:color w:val="auto"/>
        </w:rPr>
        <w:t>dilution dependent on the polymer surface (</w:t>
      </w:r>
      <w:r w:rsidR="00477BB4" w:rsidRPr="00A033C0">
        <w:rPr>
          <w:b/>
          <w:color w:val="auto"/>
        </w:rPr>
        <w:t>Figure 5</w:t>
      </w:r>
      <w:r w:rsidR="00477BB4" w:rsidRPr="00A033C0">
        <w:rPr>
          <w:color w:val="auto"/>
        </w:rPr>
        <w:t>).</w:t>
      </w:r>
      <w:r w:rsidR="00680D8B" w:rsidRPr="00A033C0">
        <w:rPr>
          <w:color w:val="auto"/>
        </w:rPr>
        <w:t xml:space="preserve"> These results demonstrate the potency of the </w:t>
      </w:r>
      <w:r w:rsidR="00163045" w:rsidRPr="00A033C0">
        <w:rPr>
          <w:color w:val="auto"/>
        </w:rPr>
        <w:t xml:space="preserve">adsorbed </w:t>
      </w:r>
      <w:r w:rsidR="00680D8B" w:rsidRPr="00A033C0">
        <w:rPr>
          <w:color w:val="auto"/>
        </w:rPr>
        <w:t>lysate</w:t>
      </w:r>
      <w:r w:rsidR="00163045" w:rsidRPr="00A033C0">
        <w:rPr>
          <w:color w:val="auto"/>
        </w:rPr>
        <w:t>-derived molecules</w:t>
      </w:r>
      <w:r w:rsidR="00680D8B" w:rsidRPr="00A033C0">
        <w:rPr>
          <w:color w:val="auto"/>
        </w:rPr>
        <w:t xml:space="preserve"> on inducing TLR-dependent NF-</w:t>
      </w:r>
      <w:proofErr w:type="spellStart"/>
      <w:r w:rsidR="00680D8B" w:rsidRPr="00A033C0">
        <w:rPr>
          <w:color w:val="auto"/>
        </w:rPr>
        <w:t>кB</w:t>
      </w:r>
      <w:proofErr w:type="spellEnd"/>
      <w:r w:rsidR="00680D8B" w:rsidRPr="00A033C0">
        <w:rPr>
          <w:color w:val="auto"/>
        </w:rPr>
        <w:t xml:space="preserve">/AP-1 activity in </w:t>
      </w:r>
      <w:r w:rsidR="00A4003C" w:rsidRPr="00A033C0">
        <w:rPr>
          <w:color w:val="auto"/>
        </w:rPr>
        <w:t>reporter macrophages</w:t>
      </w:r>
      <w:r w:rsidR="00680D8B" w:rsidRPr="00A033C0">
        <w:rPr>
          <w:color w:val="auto"/>
        </w:rPr>
        <w:t xml:space="preserve"> on a variety of polymeric surfaces.</w:t>
      </w:r>
    </w:p>
    <w:p w14:paraId="1CE2D916" w14:textId="77777777" w:rsidR="004A71E4" w:rsidRPr="00A033C0" w:rsidRDefault="004A71E4" w:rsidP="001B1519">
      <w:pPr>
        <w:rPr>
          <w:color w:val="808080"/>
        </w:rPr>
      </w:pPr>
    </w:p>
    <w:p w14:paraId="45AEDD9C" w14:textId="7E14BEED" w:rsidR="004A7999" w:rsidRPr="00A033C0" w:rsidRDefault="00B32616" w:rsidP="004A7999">
      <w:pPr>
        <w:rPr>
          <w:bCs/>
          <w:color w:val="808080"/>
        </w:rPr>
      </w:pPr>
      <w:r w:rsidRPr="00A033C0">
        <w:rPr>
          <w:b/>
        </w:rPr>
        <w:t>FIGURE LEGENDS:</w:t>
      </w:r>
    </w:p>
    <w:p w14:paraId="6078817C" w14:textId="77777777" w:rsidR="004A7999" w:rsidRPr="00A033C0" w:rsidRDefault="004A7999" w:rsidP="004A7999">
      <w:pPr>
        <w:rPr>
          <w:b/>
          <w:color w:val="auto"/>
        </w:rPr>
      </w:pPr>
    </w:p>
    <w:p w14:paraId="4A097C7D" w14:textId="5C4BC192" w:rsidR="002D5A8D" w:rsidRDefault="002D5A8D" w:rsidP="002D5A8D">
      <w:pPr>
        <w:rPr>
          <w:color w:val="auto"/>
        </w:rPr>
      </w:pPr>
      <w:r w:rsidRPr="002D5A8D">
        <w:rPr>
          <w:b/>
          <w:bCs/>
          <w:color w:val="auto"/>
        </w:rPr>
        <w:t>Figure 1</w:t>
      </w:r>
      <w:r w:rsidRPr="00A033C0">
        <w:rPr>
          <w:b/>
          <w:color w:val="auto"/>
        </w:rPr>
        <w:t>: Methods and results for the alkaline phosphatase assay of NF-</w:t>
      </w:r>
      <w:proofErr w:type="spellStart"/>
      <w:r w:rsidRPr="00A033C0">
        <w:rPr>
          <w:b/>
          <w:color w:val="auto"/>
        </w:rPr>
        <w:t>кB</w:t>
      </w:r>
      <w:proofErr w:type="spellEnd"/>
      <w:r w:rsidRPr="00A033C0">
        <w:rPr>
          <w:b/>
          <w:color w:val="auto"/>
        </w:rPr>
        <w:t xml:space="preserve">/AP-1 reporter macrophages on TCPS, PMMA, PDMS, and </w:t>
      </w:r>
      <w:proofErr w:type="spellStart"/>
      <w:r w:rsidRPr="00A033C0">
        <w:rPr>
          <w:b/>
          <w:color w:val="auto"/>
        </w:rPr>
        <w:t>fPTFE</w:t>
      </w:r>
      <w:proofErr w:type="spellEnd"/>
      <w:r w:rsidRPr="00A033C0">
        <w:rPr>
          <w:b/>
          <w:color w:val="auto"/>
        </w:rPr>
        <w:t xml:space="preserve">. </w:t>
      </w:r>
      <w:r w:rsidRPr="00A033C0">
        <w:rPr>
          <w:color w:val="auto"/>
        </w:rPr>
        <w:t>(</w:t>
      </w:r>
      <w:r w:rsidRPr="00A033C0">
        <w:rPr>
          <w:b/>
          <w:color w:val="auto"/>
        </w:rPr>
        <w:t>A</w:t>
      </w:r>
      <w:r w:rsidRPr="00A033C0">
        <w:rPr>
          <w:color w:val="auto"/>
        </w:rPr>
        <w:t>) Diagram of the workflow for the reporter macrophage alkaline phosphatase assay. (</w:t>
      </w:r>
      <w:r w:rsidRPr="00A033C0">
        <w:rPr>
          <w:b/>
          <w:color w:val="auto"/>
        </w:rPr>
        <w:t>B</w:t>
      </w:r>
      <w:r w:rsidRPr="00A033C0">
        <w:rPr>
          <w:color w:val="auto"/>
        </w:rPr>
        <w:t xml:space="preserve">) Western blot of lysate confirming the presence of </w:t>
      </w:r>
      <w:r w:rsidRPr="00A033C0">
        <w:rPr>
          <w:color w:val="auto"/>
        </w:rPr>
        <w:lastRenderedPageBreak/>
        <w:t>DAMP species HMGB1 and HSP60, with β-actin as the loading control. (</w:t>
      </w:r>
      <w:r w:rsidRPr="00A033C0">
        <w:rPr>
          <w:b/>
          <w:color w:val="auto"/>
        </w:rPr>
        <w:t>C</w:t>
      </w:r>
      <w:r w:rsidRPr="00A033C0">
        <w:rPr>
          <w:color w:val="auto"/>
        </w:rPr>
        <w:t>) NF-</w:t>
      </w:r>
      <w:proofErr w:type="spellStart"/>
      <w:r w:rsidRPr="00A033C0">
        <w:rPr>
          <w:color w:val="auto"/>
        </w:rPr>
        <w:t>кB</w:t>
      </w:r>
      <w:proofErr w:type="spellEnd"/>
      <w:r w:rsidRPr="00A033C0">
        <w:rPr>
          <w:color w:val="auto"/>
        </w:rPr>
        <w:t xml:space="preserve">/AP-1 activity (represented by absorbance) of reporter macrophages cultured on media (negative control), 10% FBS, lysate, and Pam3CSK4 (TLR2 ligand, positive control) for 20 </w:t>
      </w:r>
      <w:r>
        <w:rPr>
          <w:color w:val="auto"/>
        </w:rPr>
        <w:t>h</w:t>
      </w:r>
      <w:r w:rsidRPr="00A033C0">
        <w:rPr>
          <w:color w:val="auto"/>
        </w:rPr>
        <w:t xml:space="preserve">. Data shows the results of one experiment and is representative of results from at least 2 separate experiments, shown as </w:t>
      </w:r>
      <w:r w:rsidR="009A561B" w:rsidRPr="00A033C0">
        <w:rPr>
          <w:color w:val="auto"/>
        </w:rPr>
        <w:t>mean ± standard deviation (SD)</w:t>
      </w:r>
      <w:r w:rsidRPr="00A033C0">
        <w:rPr>
          <w:color w:val="auto"/>
        </w:rPr>
        <w:t>. Each experiment used n = 3 separate wells per condition, and each well was plated in duplicate for the enzymatic assay. Analyzed using one-way ANOVA and Tukey post-hoc test. ***</w:t>
      </w:r>
      <w:r>
        <w:rPr>
          <w:color w:val="auto"/>
        </w:rPr>
        <w:t xml:space="preserve"> </w:t>
      </w:r>
      <w:r w:rsidRPr="00A033C0">
        <w:rPr>
          <w:color w:val="auto"/>
        </w:rPr>
        <w:t xml:space="preserve">p &lt; 0.001. </w:t>
      </w:r>
      <w:bookmarkStart w:id="4" w:name="OLE_LINK2"/>
      <w:r>
        <w:rPr>
          <w:color w:val="auto"/>
        </w:rPr>
        <w:t>This figure has been a</w:t>
      </w:r>
      <w:r w:rsidRPr="00A033C0">
        <w:rPr>
          <w:color w:val="auto"/>
        </w:rPr>
        <w:t xml:space="preserve">dapted with permission from </w:t>
      </w:r>
      <w:proofErr w:type="spellStart"/>
      <w:r w:rsidRPr="00A033C0">
        <w:rPr>
          <w:color w:val="auto"/>
        </w:rPr>
        <w:t>McKiel</w:t>
      </w:r>
      <w:proofErr w:type="spellEnd"/>
      <w:r w:rsidRPr="00A033C0">
        <w:rPr>
          <w:color w:val="auto"/>
        </w:rPr>
        <w:t xml:space="preserve"> </w:t>
      </w:r>
      <w:r>
        <w:rPr>
          <w:color w:val="auto"/>
        </w:rPr>
        <w:t>and</w:t>
      </w:r>
      <w:r w:rsidRPr="00A033C0">
        <w:rPr>
          <w:color w:val="auto"/>
        </w:rPr>
        <w:t xml:space="preserve"> Fitzpatrick</w:t>
      </w:r>
      <w:r w:rsidRPr="00A033C0">
        <w:rPr>
          <w:noProof/>
          <w:color w:val="auto"/>
          <w:vertAlign w:val="superscript"/>
        </w:rPr>
        <w:t>5</w:t>
      </w:r>
      <w:r w:rsidRPr="00A033C0">
        <w:rPr>
          <w:color w:val="auto"/>
        </w:rPr>
        <w:t>. Copyright 2018 American Chemical Society.</w:t>
      </w:r>
      <w:bookmarkEnd w:id="4"/>
    </w:p>
    <w:p w14:paraId="37A10E89" w14:textId="77777777" w:rsidR="002D5A8D" w:rsidRPr="00A033C0" w:rsidRDefault="002D5A8D" w:rsidP="002D5A8D">
      <w:pPr>
        <w:rPr>
          <w:color w:val="auto"/>
        </w:rPr>
      </w:pPr>
    </w:p>
    <w:p w14:paraId="0A0C6DC2" w14:textId="2D7A6628" w:rsidR="004A7999" w:rsidRPr="00A033C0" w:rsidRDefault="002D5A8D" w:rsidP="004A7999">
      <w:pPr>
        <w:rPr>
          <w:color w:val="auto"/>
        </w:rPr>
      </w:pPr>
      <w:r w:rsidRPr="002D5A8D">
        <w:rPr>
          <w:b/>
          <w:bCs/>
          <w:color w:val="auto"/>
        </w:rPr>
        <w:t>Figure 2</w:t>
      </w:r>
      <w:r w:rsidR="004A7999" w:rsidRPr="00A033C0">
        <w:rPr>
          <w:b/>
          <w:color w:val="auto"/>
        </w:rPr>
        <w:t xml:space="preserve">: Optimization of cleaning methods for PMMA- and </w:t>
      </w:r>
      <w:proofErr w:type="spellStart"/>
      <w:r w:rsidR="004A7999" w:rsidRPr="00A033C0">
        <w:rPr>
          <w:b/>
          <w:color w:val="auto"/>
        </w:rPr>
        <w:t>fPTFE</w:t>
      </w:r>
      <w:proofErr w:type="spellEnd"/>
      <w:r w:rsidR="004A7999" w:rsidRPr="00A033C0">
        <w:rPr>
          <w:b/>
          <w:color w:val="auto"/>
        </w:rPr>
        <w:t>-coated surfaces, assessed using water contact angle (WCA).</w:t>
      </w:r>
      <w:r w:rsidR="004A7999" w:rsidRPr="00A033C0">
        <w:rPr>
          <w:color w:val="auto"/>
        </w:rPr>
        <w:t xml:space="preserve"> Measurements were taken on 2 separate spots of at least 3 coverslips. Data is shown as mean ± SD. Analyzed using one-way ANOVA and Tukey post-hoc test. *</w:t>
      </w:r>
      <w:r w:rsidR="008E1879">
        <w:rPr>
          <w:color w:val="auto"/>
        </w:rPr>
        <w:t xml:space="preserve"> </w:t>
      </w:r>
      <w:r w:rsidR="004A7999" w:rsidRPr="00A033C0">
        <w:rPr>
          <w:color w:val="auto"/>
        </w:rPr>
        <w:t xml:space="preserve">p &lt; 0.05. </w:t>
      </w:r>
      <w:r w:rsidR="00C23A7E">
        <w:rPr>
          <w:color w:val="auto"/>
        </w:rPr>
        <w:t>This figure has been a</w:t>
      </w:r>
      <w:r w:rsidR="004A7999" w:rsidRPr="00A033C0">
        <w:rPr>
          <w:color w:val="auto"/>
        </w:rPr>
        <w:t xml:space="preserve">dapted with permission from </w:t>
      </w:r>
      <w:proofErr w:type="spellStart"/>
      <w:r w:rsidR="004A7999" w:rsidRPr="00A033C0">
        <w:rPr>
          <w:color w:val="auto"/>
        </w:rPr>
        <w:t>McKiel</w:t>
      </w:r>
      <w:proofErr w:type="spellEnd"/>
      <w:r w:rsidR="004A7999" w:rsidRPr="00A033C0">
        <w:rPr>
          <w:color w:val="auto"/>
        </w:rPr>
        <w:t xml:space="preserve"> </w:t>
      </w:r>
      <w:r w:rsidR="00257A21">
        <w:rPr>
          <w:color w:val="auto"/>
        </w:rPr>
        <w:t>and</w:t>
      </w:r>
      <w:r w:rsidR="004A7999" w:rsidRPr="00A033C0">
        <w:rPr>
          <w:color w:val="auto"/>
        </w:rPr>
        <w:t xml:space="preserve"> Fitzpatrick</w:t>
      </w:r>
      <w:r w:rsidR="00891A46" w:rsidRPr="00A033C0">
        <w:rPr>
          <w:noProof/>
          <w:color w:val="auto"/>
          <w:vertAlign w:val="superscript"/>
        </w:rPr>
        <w:t>5</w:t>
      </w:r>
      <w:r w:rsidR="004A7999" w:rsidRPr="00A033C0">
        <w:rPr>
          <w:color w:val="auto"/>
        </w:rPr>
        <w:t>. Copyright 2018 American Chemical Society.</w:t>
      </w:r>
    </w:p>
    <w:p w14:paraId="19DB5AAF" w14:textId="77777777" w:rsidR="004A7999" w:rsidRPr="00A033C0" w:rsidRDefault="004A7999" w:rsidP="004A7999">
      <w:pPr>
        <w:rPr>
          <w:color w:val="auto"/>
          <w:lang w:val="en-CA"/>
        </w:rPr>
      </w:pPr>
    </w:p>
    <w:p w14:paraId="30C2DACF" w14:textId="06B3580B" w:rsidR="002F7022" w:rsidRPr="00A033C0" w:rsidRDefault="004A7999" w:rsidP="00B6446E">
      <w:pPr>
        <w:rPr>
          <w:noProof/>
          <w:color w:val="808080"/>
        </w:rPr>
      </w:pPr>
      <w:r w:rsidRPr="00A033C0">
        <w:rPr>
          <w:b/>
          <w:color w:val="auto"/>
          <w:lang w:val="en-CA"/>
        </w:rPr>
        <w:t xml:space="preserve">Figure </w:t>
      </w:r>
      <w:r w:rsidR="00F57A05" w:rsidRPr="00A033C0">
        <w:rPr>
          <w:b/>
          <w:color w:val="auto"/>
          <w:lang w:val="en-CA"/>
        </w:rPr>
        <w:t>3</w:t>
      </w:r>
      <w:r w:rsidRPr="00A033C0">
        <w:rPr>
          <w:b/>
          <w:color w:val="auto"/>
          <w:lang w:val="en-CA"/>
        </w:rPr>
        <w:t xml:space="preserve">: TLR-mediated </w:t>
      </w:r>
      <w:bookmarkStart w:id="5" w:name="OLE_LINK3"/>
      <w:r w:rsidRPr="00A033C0">
        <w:rPr>
          <w:b/>
          <w:color w:val="auto"/>
        </w:rPr>
        <w:t>NF-</w:t>
      </w:r>
      <w:proofErr w:type="spellStart"/>
      <w:r w:rsidRPr="00A033C0">
        <w:rPr>
          <w:b/>
          <w:color w:val="auto"/>
        </w:rPr>
        <w:t>кB</w:t>
      </w:r>
      <w:proofErr w:type="spellEnd"/>
      <w:r w:rsidRPr="00A033C0">
        <w:rPr>
          <w:b/>
          <w:color w:val="auto"/>
        </w:rPr>
        <w:t xml:space="preserve">/AP-1 activity (represented by absorbance) </w:t>
      </w:r>
      <w:bookmarkEnd w:id="5"/>
      <w:r w:rsidRPr="00A033C0">
        <w:rPr>
          <w:b/>
          <w:color w:val="auto"/>
        </w:rPr>
        <w:t xml:space="preserve">of </w:t>
      </w:r>
      <w:r w:rsidR="00A4003C" w:rsidRPr="00A033C0">
        <w:rPr>
          <w:b/>
          <w:color w:val="auto"/>
        </w:rPr>
        <w:t>reporter macrophages</w:t>
      </w:r>
      <w:r w:rsidRPr="00A033C0">
        <w:rPr>
          <w:b/>
          <w:color w:val="auto"/>
        </w:rPr>
        <w:t xml:space="preserve"> cultured on </w:t>
      </w:r>
      <w:r w:rsidR="005860BA" w:rsidRPr="00A033C0">
        <w:rPr>
          <w:b/>
          <w:color w:val="auto"/>
        </w:rPr>
        <w:t xml:space="preserve">10% FBS (control), </w:t>
      </w:r>
      <w:r w:rsidRPr="00A033C0">
        <w:rPr>
          <w:b/>
          <w:color w:val="auto"/>
        </w:rPr>
        <w:t xml:space="preserve">lysate, and positive control for 20 </w:t>
      </w:r>
      <w:r w:rsidR="00917ADA">
        <w:rPr>
          <w:b/>
          <w:color w:val="auto"/>
        </w:rPr>
        <w:t>h</w:t>
      </w:r>
      <w:r w:rsidRPr="00A033C0">
        <w:rPr>
          <w:b/>
          <w:color w:val="auto"/>
        </w:rPr>
        <w:t xml:space="preserve">. </w:t>
      </w:r>
      <w:r w:rsidR="00627685" w:rsidRPr="00A033C0">
        <w:rPr>
          <w:color w:val="auto"/>
        </w:rPr>
        <w:t>(</w:t>
      </w:r>
      <w:r w:rsidRPr="00A033C0">
        <w:rPr>
          <w:b/>
          <w:color w:val="auto"/>
        </w:rPr>
        <w:t>A</w:t>
      </w:r>
      <w:r w:rsidR="00627685" w:rsidRPr="00A033C0">
        <w:rPr>
          <w:color w:val="auto"/>
        </w:rPr>
        <w:t>)</w:t>
      </w:r>
      <w:r w:rsidRPr="00A033C0">
        <w:rPr>
          <w:color w:val="auto"/>
        </w:rPr>
        <w:t xml:space="preserve"> Influence of TLR2 neutralization on </w:t>
      </w:r>
      <w:r w:rsidR="00A4003C" w:rsidRPr="00A033C0">
        <w:rPr>
          <w:color w:val="auto"/>
        </w:rPr>
        <w:t>reporter macrophage</w:t>
      </w:r>
      <w:r w:rsidRPr="00A033C0">
        <w:rPr>
          <w:color w:val="auto"/>
        </w:rPr>
        <w:t xml:space="preserve"> response</w:t>
      </w:r>
      <w:r w:rsidR="00A4003C" w:rsidRPr="00A033C0">
        <w:rPr>
          <w:color w:val="auto"/>
        </w:rPr>
        <w:t>s</w:t>
      </w:r>
      <w:r w:rsidRPr="00A033C0">
        <w:rPr>
          <w:color w:val="auto"/>
        </w:rPr>
        <w:t xml:space="preserve"> to adsorbed lysate.</w:t>
      </w:r>
      <w:r w:rsidR="00F141B8" w:rsidRPr="00A033C0">
        <w:rPr>
          <w:color w:val="auto"/>
        </w:rPr>
        <w:t xml:space="preserve"> </w:t>
      </w:r>
      <w:r w:rsidR="007D4B8E" w:rsidRPr="00A033C0">
        <w:rPr>
          <w:color w:val="auto"/>
        </w:rPr>
        <w:t>Positive control is Pam (Pam3CSK4,</w:t>
      </w:r>
      <w:r w:rsidR="00F141B8" w:rsidRPr="00A033C0">
        <w:rPr>
          <w:color w:val="auto"/>
        </w:rPr>
        <w:t xml:space="preserve"> TLR2 ligand</w:t>
      </w:r>
      <w:r w:rsidR="007D4B8E" w:rsidRPr="00A033C0">
        <w:rPr>
          <w:color w:val="auto"/>
        </w:rPr>
        <w:t>)</w:t>
      </w:r>
      <w:r w:rsidR="00F141B8" w:rsidRPr="00A033C0">
        <w:rPr>
          <w:color w:val="auto"/>
        </w:rPr>
        <w:t>.</w:t>
      </w:r>
      <w:r w:rsidRPr="00A033C0">
        <w:rPr>
          <w:color w:val="auto"/>
        </w:rPr>
        <w:t xml:space="preserve"> </w:t>
      </w:r>
      <w:r w:rsidR="00627685" w:rsidRPr="00A033C0">
        <w:rPr>
          <w:color w:val="auto"/>
        </w:rPr>
        <w:t>(</w:t>
      </w:r>
      <w:r w:rsidRPr="00A033C0">
        <w:rPr>
          <w:b/>
          <w:color w:val="auto"/>
        </w:rPr>
        <w:t>B</w:t>
      </w:r>
      <w:r w:rsidR="00627685" w:rsidRPr="00A033C0">
        <w:rPr>
          <w:color w:val="auto"/>
        </w:rPr>
        <w:t>)</w:t>
      </w:r>
      <w:r w:rsidRPr="00A033C0">
        <w:rPr>
          <w:color w:val="auto"/>
        </w:rPr>
        <w:t xml:space="preserve"> Influence of TLR4 inhibition on </w:t>
      </w:r>
      <w:r w:rsidR="00A4003C" w:rsidRPr="00A033C0">
        <w:rPr>
          <w:color w:val="auto"/>
        </w:rPr>
        <w:t>reporter macrophage</w:t>
      </w:r>
      <w:r w:rsidRPr="00A033C0">
        <w:rPr>
          <w:color w:val="auto"/>
        </w:rPr>
        <w:t xml:space="preserve"> response to adsorbed lysate.</w:t>
      </w:r>
      <w:r w:rsidR="00F141B8" w:rsidRPr="00A033C0">
        <w:rPr>
          <w:color w:val="auto"/>
        </w:rPr>
        <w:t xml:space="preserve"> </w:t>
      </w:r>
      <w:r w:rsidR="007D4B8E" w:rsidRPr="00A033C0">
        <w:rPr>
          <w:color w:val="auto"/>
        </w:rPr>
        <w:t xml:space="preserve">Positive control is </w:t>
      </w:r>
      <w:r w:rsidR="00F141B8" w:rsidRPr="00A033C0">
        <w:rPr>
          <w:color w:val="auto"/>
        </w:rPr>
        <w:t xml:space="preserve">LPS </w:t>
      </w:r>
      <w:r w:rsidR="007D4B8E" w:rsidRPr="00A033C0">
        <w:rPr>
          <w:color w:val="auto"/>
        </w:rPr>
        <w:t>(</w:t>
      </w:r>
      <w:r w:rsidR="00F141B8" w:rsidRPr="00A033C0">
        <w:rPr>
          <w:color w:val="auto"/>
        </w:rPr>
        <w:t>TLR4 ligand</w:t>
      </w:r>
      <w:r w:rsidR="007D4B8E" w:rsidRPr="00A033C0">
        <w:rPr>
          <w:color w:val="auto"/>
        </w:rPr>
        <w:t>)</w:t>
      </w:r>
      <w:r w:rsidR="00F141B8" w:rsidRPr="00A033C0">
        <w:rPr>
          <w:color w:val="auto"/>
        </w:rPr>
        <w:t>.</w:t>
      </w:r>
      <w:r w:rsidR="006C19DE" w:rsidRPr="006C19DE">
        <w:rPr>
          <w:color w:val="auto"/>
        </w:rPr>
        <w:t xml:space="preserve"> </w:t>
      </w:r>
      <w:r w:rsidRPr="00A033C0">
        <w:rPr>
          <w:color w:val="auto"/>
        </w:rPr>
        <w:t xml:space="preserve">Data </w:t>
      </w:r>
      <w:r w:rsidR="009A1B26" w:rsidRPr="00A033C0">
        <w:rPr>
          <w:color w:val="auto"/>
        </w:rPr>
        <w:t xml:space="preserve">shows the results of one experiment and </w:t>
      </w:r>
      <w:r w:rsidRPr="00A033C0">
        <w:rPr>
          <w:color w:val="auto"/>
        </w:rPr>
        <w:t>is representative of results from at least 2 separate experiments</w:t>
      </w:r>
      <w:r w:rsidR="009A1B26" w:rsidRPr="00A033C0">
        <w:rPr>
          <w:color w:val="auto"/>
        </w:rPr>
        <w:t>,</w:t>
      </w:r>
      <w:r w:rsidRPr="00A033C0">
        <w:rPr>
          <w:color w:val="auto"/>
        </w:rPr>
        <w:t xml:space="preserve"> shown as mean ± SD. </w:t>
      </w:r>
      <w:r w:rsidR="000E7756" w:rsidRPr="00A033C0">
        <w:rPr>
          <w:color w:val="auto"/>
        </w:rPr>
        <w:t xml:space="preserve">Each experiment used </w:t>
      </w:r>
      <w:r w:rsidR="000A39BD" w:rsidRPr="00A033C0">
        <w:rPr>
          <w:color w:val="auto"/>
        </w:rPr>
        <w:t xml:space="preserve">n = 3 separate wells per condition, and each well was plated in duplicate for the enzymatic assay. </w:t>
      </w:r>
      <w:r w:rsidRPr="00A033C0">
        <w:rPr>
          <w:color w:val="auto"/>
        </w:rPr>
        <w:t xml:space="preserve">Analyzed using one-way ANOVA and Tukey post-hoc test. </w:t>
      </w:r>
      <w:r w:rsidRPr="00A033C0">
        <w:rPr>
          <w:color w:val="auto"/>
          <w:lang w:val="en-CA"/>
        </w:rPr>
        <w:t>**</w:t>
      </w:r>
      <w:r w:rsidR="008E1879">
        <w:rPr>
          <w:color w:val="auto"/>
          <w:lang w:val="en-CA"/>
        </w:rPr>
        <w:t xml:space="preserve"> </w:t>
      </w:r>
      <w:r w:rsidRPr="00A033C0">
        <w:rPr>
          <w:color w:val="auto"/>
          <w:lang w:val="en-CA"/>
        </w:rPr>
        <w:t xml:space="preserve">p &lt; 0.01, *** p &lt; 0.001. </w:t>
      </w:r>
      <w:r w:rsidR="00FB60EE">
        <w:rPr>
          <w:color w:val="auto"/>
        </w:rPr>
        <w:t>This figure has been a</w:t>
      </w:r>
      <w:r w:rsidR="00477BB4" w:rsidRPr="00A033C0">
        <w:rPr>
          <w:color w:val="auto"/>
        </w:rPr>
        <w:t>dap</w:t>
      </w:r>
      <w:r w:rsidRPr="00A033C0">
        <w:rPr>
          <w:color w:val="auto"/>
        </w:rPr>
        <w:t xml:space="preserve">ted with permission from </w:t>
      </w:r>
      <w:proofErr w:type="spellStart"/>
      <w:r w:rsidRPr="00A033C0">
        <w:rPr>
          <w:color w:val="auto"/>
        </w:rPr>
        <w:t>McKiel</w:t>
      </w:r>
      <w:proofErr w:type="spellEnd"/>
      <w:r w:rsidRPr="00A033C0">
        <w:rPr>
          <w:color w:val="auto"/>
        </w:rPr>
        <w:t xml:space="preserve"> </w:t>
      </w:r>
      <w:r w:rsidR="00FB60EE">
        <w:rPr>
          <w:color w:val="auto"/>
        </w:rPr>
        <w:t>and</w:t>
      </w:r>
      <w:r w:rsidRPr="00A033C0">
        <w:rPr>
          <w:color w:val="auto"/>
        </w:rPr>
        <w:t xml:space="preserve"> Fitzpatrick</w:t>
      </w:r>
      <w:r w:rsidR="00891A46" w:rsidRPr="00A033C0">
        <w:rPr>
          <w:noProof/>
          <w:color w:val="auto"/>
          <w:vertAlign w:val="superscript"/>
        </w:rPr>
        <w:t>5</w:t>
      </w:r>
      <w:r w:rsidRPr="00A033C0">
        <w:rPr>
          <w:color w:val="auto"/>
        </w:rPr>
        <w:t>. Copyright 2018 American Chemical Society.</w:t>
      </w:r>
    </w:p>
    <w:p w14:paraId="3E510BDE" w14:textId="77777777" w:rsidR="00F57A05" w:rsidRPr="00A033C0" w:rsidRDefault="00F57A05" w:rsidP="00F57A05">
      <w:pPr>
        <w:rPr>
          <w:color w:val="808080"/>
        </w:rPr>
      </w:pPr>
    </w:p>
    <w:p w14:paraId="4641273A" w14:textId="3F4C5BA3" w:rsidR="00F57A05" w:rsidRPr="00A033C0" w:rsidRDefault="00F57A05" w:rsidP="00F57A05">
      <w:pPr>
        <w:rPr>
          <w:color w:val="808080"/>
        </w:rPr>
      </w:pPr>
      <w:r w:rsidRPr="00A033C0">
        <w:rPr>
          <w:b/>
          <w:color w:val="auto"/>
        </w:rPr>
        <w:t xml:space="preserve">Figure </w:t>
      </w:r>
      <w:bookmarkStart w:id="6" w:name="OLE_LINK1"/>
      <w:r w:rsidRPr="00A033C0">
        <w:rPr>
          <w:b/>
          <w:color w:val="auto"/>
        </w:rPr>
        <w:t>4: NF-</w:t>
      </w:r>
      <w:proofErr w:type="spellStart"/>
      <w:r w:rsidRPr="00A033C0">
        <w:rPr>
          <w:b/>
          <w:color w:val="auto"/>
        </w:rPr>
        <w:t>кB</w:t>
      </w:r>
      <w:proofErr w:type="spellEnd"/>
      <w:r w:rsidRPr="00A033C0">
        <w:rPr>
          <w:b/>
          <w:color w:val="auto"/>
        </w:rPr>
        <w:t xml:space="preserve">/AP-1 activity (represented by absorbance) of </w:t>
      </w:r>
      <w:r w:rsidR="00A4003C" w:rsidRPr="00A033C0">
        <w:rPr>
          <w:b/>
          <w:color w:val="auto"/>
        </w:rPr>
        <w:t>reporter</w:t>
      </w:r>
      <w:r w:rsidR="00BB7516" w:rsidRPr="00A033C0">
        <w:rPr>
          <w:b/>
          <w:color w:val="auto"/>
        </w:rPr>
        <w:t xml:space="preserve"> macrophage</w:t>
      </w:r>
      <w:r w:rsidRPr="00A033C0">
        <w:rPr>
          <w:b/>
          <w:color w:val="auto"/>
        </w:rPr>
        <w:t>s cultured on media (negative control), 30 min and 24</w:t>
      </w:r>
      <w:r w:rsidR="005468AC">
        <w:rPr>
          <w:b/>
          <w:color w:val="auto"/>
        </w:rPr>
        <w:t xml:space="preserve"> h</w:t>
      </w:r>
      <w:r w:rsidRPr="00A033C0">
        <w:rPr>
          <w:b/>
          <w:color w:val="auto"/>
        </w:rPr>
        <w:t xml:space="preserve"> adsorbed protein layers</w:t>
      </w:r>
      <w:r w:rsidR="005860BA" w:rsidRPr="00A033C0">
        <w:rPr>
          <w:b/>
          <w:color w:val="auto"/>
        </w:rPr>
        <w:t>, and Pam3CSK4 (positive control)</w:t>
      </w:r>
      <w:r w:rsidRPr="00A033C0">
        <w:rPr>
          <w:b/>
          <w:color w:val="auto"/>
        </w:rPr>
        <w:t xml:space="preserve"> on TCPS for 20 </w:t>
      </w:r>
      <w:r w:rsidR="00917ADA">
        <w:rPr>
          <w:b/>
          <w:color w:val="auto"/>
        </w:rPr>
        <w:t>h</w:t>
      </w:r>
      <w:r w:rsidRPr="00A033C0">
        <w:rPr>
          <w:b/>
          <w:color w:val="auto"/>
        </w:rPr>
        <w:t>.</w:t>
      </w:r>
      <w:r w:rsidRPr="00A033C0">
        <w:rPr>
          <w:color w:val="auto"/>
        </w:rPr>
        <w:t xml:space="preserve"> Data is combined from 3 separate experiments and shown as mean ± SD. </w:t>
      </w:r>
      <w:r w:rsidR="000E7756" w:rsidRPr="00A033C0">
        <w:rPr>
          <w:color w:val="auto"/>
        </w:rPr>
        <w:t xml:space="preserve">Each experiment used </w:t>
      </w:r>
      <w:r w:rsidR="000A39BD" w:rsidRPr="00A033C0">
        <w:rPr>
          <w:color w:val="auto"/>
        </w:rPr>
        <w:t>n = 3 separate wells per condition, and each well was plated in duplicate for the enzymatic assay</w:t>
      </w:r>
      <w:r w:rsidR="000E7756" w:rsidRPr="00A033C0">
        <w:rPr>
          <w:color w:val="auto"/>
        </w:rPr>
        <w:t xml:space="preserve"> (</w:t>
      </w:r>
      <w:r w:rsidR="004D6BDD" w:rsidRPr="004D6BDD">
        <w:rPr>
          <w:color w:val="auto"/>
        </w:rPr>
        <w:t xml:space="preserve">i.e., </w:t>
      </w:r>
      <w:r w:rsidR="000E7756" w:rsidRPr="00A033C0">
        <w:rPr>
          <w:color w:val="auto"/>
        </w:rPr>
        <w:t>n = 9 non-independent cell culture wells and n = 18 non-independent enzymatic assay wells)</w:t>
      </w:r>
      <w:r w:rsidR="000A39BD" w:rsidRPr="00A033C0">
        <w:rPr>
          <w:color w:val="auto"/>
        </w:rPr>
        <w:t xml:space="preserve">. </w:t>
      </w:r>
      <w:r w:rsidRPr="00A033C0">
        <w:rPr>
          <w:color w:val="auto"/>
        </w:rPr>
        <w:t>Analyzed using one-way ANOVA and Tukey post-hoc test. *** p &lt; 0.001</w:t>
      </w:r>
      <w:bookmarkEnd w:id="6"/>
      <w:r w:rsidRPr="00A033C0">
        <w:rPr>
          <w:color w:val="auto"/>
        </w:rPr>
        <w:t xml:space="preserve">. </w:t>
      </w:r>
    </w:p>
    <w:p w14:paraId="4C8AC545" w14:textId="77777777" w:rsidR="002F7022" w:rsidRPr="00A033C0" w:rsidRDefault="002F7022" w:rsidP="00B6446E">
      <w:pPr>
        <w:rPr>
          <w:noProof/>
          <w:color w:val="808080"/>
        </w:rPr>
      </w:pPr>
    </w:p>
    <w:p w14:paraId="02BEC2CF" w14:textId="01AD2F18" w:rsidR="00F24A47" w:rsidRPr="00A033C0" w:rsidRDefault="00F24A47" w:rsidP="00B6446E">
      <w:pPr>
        <w:rPr>
          <w:color w:val="808080"/>
        </w:rPr>
      </w:pPr>
      <w:r w:rsidRPr="00A033C0">
        <w:rPr>
          <w:b/>
          <w:color w:val="auto"/>
        </w:rPr>
        <w:t xml:space="preserve">Figure 5: </w:t>
      </w:r>
      <w:r w:rsidR="00A4003C" w:rsidRPr="00A033C0">
        <w:rPr>
          <w:b/>
          <w:color w:val="auto"/>
        </w:rPr>
        <w:t>Reporter macrophage</w:t>
      </w:r>
      <w:r w:rsidR="00C55B8F" w:rsidRPr="00A033C0">
        <w:rPr>
          <w:b/>
          <w:color w:val="auto"/>
        </w:rPr>
        <w:t xml:space="preserve"> NF-</w:t>
      </w:r>
      <w:proofErr w:type="spellStart"/>
      <w:r w:rsidR="00C55B8F" w:rsidRPr="00A033C0">
        <w:rPr>
          <w:b/>
          <w:color w:val="auto"/>
        </w:rPr>
        <w:t>кB</w:t>
      </w:r>
      <w:proofErr w:type="spellEnd"/>
      <w:r w:rsidR="00C55B8F" w:rsidRPr="00A033C0">
        <w:rPr>
          <w:b/>
          <w:color w:val="auto"/>
        </w:rPr>
        <w:t xml:space="preserve">/AP-1 activity (represented by absorbance) after 20 </w:t>
      </w:r>
      <w:r w:rsidR="00917ADA">
        <w:rPr>
          <w:b/>
          <w:color w:val="auto"/>
        </w:rPr>
        <w:t>h</w:t>
      </w:r>
      <w:r w:rsidR="00C55B8F" w:rsidRPr="00A033C0">
        <w:rPr>
          <w:b/>
          <w:color w:val="auto"/>
        </w:rPr>
        <w:t xml:space="preserve"> in response to dilutions of lysate in </w:t>
      </w:r>
      <w:r w:rsidR="00CF693F" w:rsidRPr="00A033C0">
        <w:rPr>
          <w:b/>
          <w:color w:val="auto"/>
        </w:rPr>
        <w:t>FBS (total protein = 280 µg/well)</w:t>
      </w:r>
      <w:r w:rsidR="00C55B8F" w:rsidRPr="00A033C0">
        <w:rPr>
          <w:b/>
          <w:color w:val="auto"/>
        </w:rPr>
        <w:t xml:space="preserve"> adsorbed to </w:t>
      </w:r>
      <w:r w:rsidR="00CF693F" w:rsidRPr="00A033C0">
        <w:rPr>
          <w:b/>
          <w:color w:val="auto"/>
        </w:rPr>
        <w:t>polymer surfaces</w:t>
      </w:r>
      <w:r w:rsidR="00C55B8F" w:rsidRPr="00A033C0">
        <w:rPr>
          <w:b/>
          <w:color w:val="auto"/>
        </w:rPr>
        <w:t xml:space="preserve"> for 30 </w:t>
      </w:r>
      <w:r w:rsidR="00A7187F">
        <w:rPr>
          <w:b/>
          <w:color w:val="auto"/>
        </w:rPr>
        <w:t>min</w:t>
      </w:r>
      <w:r w:rsidR="00C55B8F" w:rsidRPr="00A033C0">
        <w:rPr>
          <w:b/>
          <w:color w:val="auto"/>
        </w:rPr>
        <w:t xml:space="preserve">. </w:t>
      </w:r>
      <w:r w:rsidR="00D54538" w:rsidRPr="00A033C0">
        <w:rPr>
          <w:color w:val="auto"/>
        </w:rPr>
        <w:t>(</w:t>
      </w:r>
      <w:r w:rsidR="00CF693F" w:rsidRPr="00A033C0">
        <w:rPr>
          <w:b/>
          <w:color w:val="auto"/>
        </w:rPr>
        <w:t>A</w:t>
      </w:r>
      <w:r w:rsidR="00D54538" w:rsidRPr="00A033C0">
        <w:rPr>
          <w:color w:val="auto"/>
        </w:rPr>
        <w:t>)</w:t>
      </w:r>
      <w:r w:rsidR="00CF693F" w:rsidRPr="00A033C0">
        <w:rPr>
          <w:color w:val="auto"/>
        </w:rPr>
        <w:t xml:space="preserve"> TCPS</w:t>
      </w:r>
      <w:r w:rsidR="00F141B8" w:rsidRPr="00A033C0">
        <w:rPr>
          <w:color w:val="auto"/>
        </w:rPr>
        <w:t>.</w:t>
      </w:r>
      <w:r w:rsidR="00CF693F" w:rsidRPr="00A033C0">
        <w:rPr>
          <w:color w:val="auto"/>
        </w:rPr>
        <w:t xml:space="preserve"> </w:t>
      </w:r>
      <w:r w:rsidR="00D54538" w:rsidRPr="00A033C0">
        <w:rPr>
          <w:color w:val="auto"/>
        </w:rPr>
        <w:t>(</w:t>
      </w:r>
      <w:r w:rsidR="00CF693F" w:rsidRPr="00A033C0">
        <w:rPr>
          <w:b/>
          <w:color w:val="auto"/>
        </w:rPr>
        <w:t>B</w:t>
      </w:r>
      <w:r w:rsidR="00D54538" w:rsidRPr="00A033C0">
        <w:rPr>
          <w:color w:val="auto"/>
        </w:rPr>
        <w:t>)</w:t>
      </w:r>
      <w:r w:rsidR="00CF693F" w:rsidRPr="00A033C0">
        <w:rPr>
          <w:b/>
          <w:color w:val="auto"/>
        </w:rPr>
        <w:t xml:space="preserve"> </w:t>
      </w:r>
      <w:r w:rsidR="00CF693F" w:rsidRPr="00A033C0">
        <w:rPr>
          <w:color w:val="auto"/>
        </w:rPr>
        <w:t>PMMA</w:t>
      </w:r>
      <w:r w:rsidR="00F141B8" w:rsidRPr="00A033C0">
        <w:rPr>
          <w:color w:val="auto"/>
        </w:rPr>
        <w:t>.</w:t>
      </w:r>
      <w:r w:rsidR="00CF693F" w:rsidRPr="00A033C0">
        <w:rPr>
          <w:color w:val="auto"/>
        </w:rPr>
        <w:t xml:space="preserve"> </w:t>
      </w:r>
      <w:r w:rsidR="00F7597E" w:rsidRPr="00A033C0">
        <w:rPr>
          <w:color w:val="auto"/>
        </w:rPr>
        <w:t>(</w:t>
      </w:r>
      <w:r w:rsidR="00CF693F" w:rsidRPr="00A033C0">
        <w:rPr>
          <w:b/>
          <w:color w:val="auto"/>
        </w:rPr>
        <w:t>C</w:t>
      </w:r>
      <w:r w:rsidR="00A20DDD" w:rsidRPr="00A033C0">
        <w:rPr>
          <w:color w:val="auto"/>
        </w:rPr>
        <w:t>)</w:t>
      </w:r>
      <w:r w:rsidR="00CF693F" w:rsidRPr="00A033C0">
        <w:rPr>
          <w:b/>
          <w:color w:val="auto"/>
        </w:rPr>
        <w:t xml:space="preserve"> </w:t>
      </w:r>
      <w:r w:rsidR="00CF693F" w:rsidRPr="00A033C0">
        <w:rPr>
          <w:color w:val="auto"/>
        </w:rPr>
        <w:t xml:space="preserve">PDMS. </w:t>
      </w:r>
      <w:r w:rsidR="00F7597E" w:rsidRPr="00A033C0">
        <w:rPr>
          <w:color w:val="auto"/>
        </w:rPr>
        <w:t>(</w:t>
      </w:r>
      <w:r w:rsidR="00C35839" w:rsidRPr="00A033C0">
        <w:rPr>
          <w:b/>
          <w:color w:val="auto"/>
        </w:rPr>
        <w:t>D</w:t>
      </w:r>
      <w:r w:rsidR="00A20DDD" w:rsidRPr="00A033C0">
        <w:rPr>
          <w:color w:val="auto"/>
        </w:rPr>
        <w:t>)</w:t>
      </w:r>
      <w:r w:rsidR="00C35839" w:rsidRPr="00A033C0">
        <w:rPr>
          <w:color w:val="auto"/>
        </w:rPr>
        <w:t xml:space="preserve"> </w:t>
      </w:r>
      <w:proofErr w:type="spellStart"/>
      <w:r w:rsidR="00C35839" w:rsidRPr="00A033C0">
        <w:rPr>
          <w:color w:val="auto"/>
        </w:rPr>
        <w:t>fPTFE</w:t>
      </w:r>
      <w:proofErr w:type="spellEnd"/>
      <w:r w:rsidR="00F141B8" w:rsidRPr="00A033C0">
        <w:rPr>
          <w:color w:val="auto"/>
        </w:rPr>
        <w:t>.</w:t>
      </w:r>
      <w:r w:rsidR="00C35839" w:rsidRPr="00A033C0">
        <w:rPr>
          <w:color w:val="auto"/>
        </w:rPr>
        <w:t xml:space="preserve"> </w:t>
      </w:r>
      <w:r w:rsidR="00C55B8F" w:rsidRPr="00A033C0">
        <w:rPr>
          <w:color w:val="auto"/>
        </w:rPr>
        <w:t>Data</w:t>
      </w:r>
      <w:r w:rsidR="009A1B26" w:rsidRPr="00A033C0">
        <w:rPr>
          <w:color w:val="auto"/>
        </w:rPr>
        <w:t xml:space="preserve"> shows the results of one experiment and</w:t>
      </w:r>
      <w:r w:rsidR="00C55B8F" w:rsidRPr="00A033C0">
        <w:rPr>
          <w:color w:val="auto"/>
        </w:rPr>
        <w:t xml:space="preserve"> is representative of results from </w:t>
      </w:r>
      <w:r w:rsidR="00CF693F" w:rsidRPr="00A033C0">
        <w:rPr>
          <w:color w:val="auto"/>
        </w:rPr>
        <w:t xml:space="preserve">at least </w:t>
      </w:r>
      <w:r w:rsidR="00C55B8F" w:rsidRPr="00A033C0">
        <w:rPr>
          <w:color w:val="auto"/>
        </w:rPr>
        <w:t>2 separate experiments</w:t>
      </w:r>
      <w:r w:rsidR="009A1B26" w:rsidRPr="00A033C0">
        <w:rPr>
          <w:color w:val="auto"/>
        </w:rPr>
        <w:t>,</w:t>
      </w:r>
      <w:r w:rsidR="00C55B8F" w:rsidRPr="00A033C0">
        <w:rPr>
          <w:color w:val="auto"/>
        </w:rPr>
        <w:t xml:space="preserve"> shown as mean ± SD.</w:t>
      </w:r>
      <w:r w:rsidR="000A39BD" w:rsidRPr="00A033C0">
        <w:rPr>
          <w:color w:val="auto"/>
        </w:rPr>
        <w:t xml:space="preserve"> </w:t>
      </w:r>
      <w:r w:rsidR="000E7756" w:rsidRPr="00A033C0">
        <w:rPr>
          <w:color w:val="auto"/>
        </w:rPr>
        <w:t xml:space="preserve">Each experiment used </w:t>
      </w:r>
      <w:r w:rsidR="000A39BD" w:rsidRPr="00A033C0">
        <w:rPr>
          <w:color w:val="auto"/>
        </w:rPr>
        <w:t>n = 3 separate wells per condition, and each well was plated in duplicate for the enzymatic assay.</w:t>
      </w:r>
      <w:r w:rsidR="00C55B8F" w:rsidRPr="00A033C0">
        <w:rPr>
          <w:color w:val="auto"/>
        </w:rPr>
        <w:t xml:space="preserve"> Analyzed using one-way ANOVA and Tukey post-hoc test. </w:t>
      </w:r>
      <w:r w:rsidR="00F57A05" w:rsidRPr="00A033C0">
        <w:rPr>
          <w:color w:val="auto"/>
        </w:rPr>
        <w:t xml:space="preserve">* p &lt; 0.05, ** p &lt; 0.01, </w:t>
      </w:r>
      <w:r w:rsidR="00C55B8F" w:rsidRPr="00A033C0">
        <w:rPr>
          <w:color w:val="auto"/>
          <w:lang w:val="en-CA"/>
        </w:rPr>
        <w:t>*** p &lt; 0.001.</w:t>
      </w:r>
      <w:r w:rsidR="00CF693F" w:rsidRPr="00A033C0">
        <w:rPr>
          <w:color w:val="auto"/>
          <w:lang w:val="en-CA"/>
        </w:rPr>
        <w:t xml:space="preserve"> </w:t>
      </w:r>
      <w:r w:rsidR="005E4BB5">
        <w:rPr>
          <w:color w:val="auto"/>
        </w:rPr>
        <w:t>This figure has been a</w:t>
      </w:r>
      <w:r w:rsidR="00477BB4" w:rsidRPr="00A033C0">
        <w:rPr>
          <w:color w:val="auto"/>
        </w:rPr>
        <w:t>dap</w:t>
      </w:r>
      <w:r w:rsidR="00CF693F" w:rsidRPr="00A033C0">
        <w:rPr>
          <w:color w:val="auto"/>
        </w:rPr>
        <w:t xml:space="preserve">ted with permission from </w:t>
      </w:r>
      <w:proofErr w:type="spellStart"/>
      <w:r w:rsidR="00CF693F" w:rsidRPr="00A033C0">
        <w:rPr>
          <w:color w:val="auto"/>
        </w:rPr>
        <w:t>McKiel</w:t>
      </w:r>
      <w:proofErr w:type="spellEnd"/>
      <w:r w:rsidR="00CF693F" w:rsidRPr="00A033C0">
        <w:rPr>
          <w:color w:val="auto"/>
        </w:rPr>
        <w:t xml:space="preserve"> </w:t>
      </w:r>
      <w:r w:rsidR="001C55E5">
        <w:rPr>
          <w:color w:val="auto"/>
        </w:rPr>
        <w:t>and</w:t>
      </w:r>
      <w:r w:rsidR="00CF693F" w:rsidRPr="00A033C0">
        <w:rPr>
          <w:color w:val="auto"/>
        </w:rPr>
        <w:t xml:space="preserve"> Fitzpatrick</w:t>
      </w:r>
      <w:r w:rsidR="00891A46" w:rsidRPr="00A033C0">
        <w:rPr>
          <w:noProof/>
          <w:color w:val="auto"/>
          <w:vertAlign w:val="superscript"/>
        </w:rPr>
        <w:t>5</w:t>
      </w:r>
      <w:r w:rsidR="00CF693F" w:rsidRPr="00A033C0">
        <w:rPr>
          <w:color w:val="auto"/>
        </w:rPr>
        <w:t>. Copyright 2018 American Chemical Society.</w:t>
      </w:r>
    </w:p>
    <w:p w14:paraId="6B443166" w14:textId="77777777" w:rsidR="00C55B8F" w:rsidRPr="00A033C0" w:rsidRDefault="00C55B8F" w:rsidP="00B6446E">
      <w:pPr>
        <w:rPr>
          <w:b/>
          <w:color w:val="auto"/>
        </w:rPr>
      </w:pPr>
    </w:p>
    <w:p w14:paraId="32280AB9" w14:textId="7447F6F3" w:rsidR="00A96E96" w:rsidRPr="00A033C0" w:rsidRDefault="00200E20" w:rsidP="00B6446E">
      <w:pPr>
        <w:rPr>
          <w:bCs/>
          <w:color w:val="auto"/>
        </w:rPr>
      </w:pPr>
      <w:r>
        <w:rPr>
          <w:b/>
          <w:color w:val="auto"/>
        </w:rPr>
        <w:t xml:space="preserve">Supplemental </w:t>
      </w:r>
      <w:r w:rsidR="00A96E96" w:rsidRPr="00A033C0">
        <w:rPr>
          <w:b/>
          <w:color w:val="auto"/>
        </w:rPr>
        <w:t>Figure 1: Example layout</w:t>
      </w:r>
      <w:r w:rsidR="00C0186C" w:rsidRPr="00A033C0">
        <w:rPr>
          <w:b/>
          <w:color w:val="auto"/>
        </w:rPr>
        <w:t>s</w:t>
      </w:r>
      <w:r w:rsidR="00A96E96" w:rsidRPr="00A033C0">
        <w:rPr>
          <w:b/>
          <w:color w:val="auto"/>
        </w:rPr>
        <w:t xml:space="preserve"> used for NF-</w:t>
      </w:r>
      <w:proofErr w:type="spellStart"/>
      <w:r w:rsidR="00A96E96" w:rsidRPr="00A033C0">
        <w:rPr>
          <w:b/>
          <w:color w:val="auto"/>
        </w:rPr>
        <w:t>кB</w:t>
      </w:r>
      <w:proofErr w:type="spellEnd"/>
      <w:r w:rsidR="00A96E96" w:rsidRPr="00A033C0">
        <w:rPr>
          <w:b/>
          <w:color w:val="auto"/>
        </w:rPr>
        <w:t xml:space="preserve">/AP-1 reporter macrophage cell culture </w:t>
      </w:r>
      <w:r w:rsidR="00A96E96" w:rsidRPr="00A033C0">
        <w:rPr>
          <w:b/>
          <w:color w:val="auto"/>
        </w:rPr>
        <w:lastRenderedPageBreak/>
        <w:t>assay</w:t>
      </w:r>
      <w:r w:rsidR="00C0186C" w:rsidRPr="00A033C0">
        <w:rPr>
          <w:b/>
          <w:color w:val="auto"/>
        </w:rPr>
        <w:t xml:space="preserve"> in 8-chamber and 48</w:t>
      </w:r>
      <w:r w:rsidR="00F57C0D">
        <w:rPr>
          <w:b/>
          <w:color w:val="auto"/>
        </w:rPr>
        <w:t>-</w:t>
      </w:r>
      <w:r w:rsidR="00C0186C" w:rsidRPr="00A033C0">
        <w:rPr>
          <w:b/>
          <w:color w:val="auto"/>
        </w:rPr>
        <w:t>well plate formats</w:t>
      </w:r>
      <w:r w:rsidR="00A96E96" w:rsidRPr="00A033C0">
        <w:rPr>
          <w:b/>
          <w:color w:val="auto"/>
        </w:rPr>
        <w:t>.</w:t>
      </w:r>
      <w:r w:rsidR="00A96E96" w:rsidRPr="00A033C0">
        <w:rPr>
          <w:bCs/>
          <w:color w:val="auto"/>
        </w:rPr>
        <w:t xml:space="preserve"> </w:t>
      </w:r>
    </w:p>
    <w:p w14:paraId="45301E91" w14:textId="77777777" w:rsidR="00A96E96" w:rsidRPr="00A033C0" w:rsidRDefault="00A96E96" w:rsidP="00B6446E">
      <w:pPr>
        <w:rPr>
          <w:b/>
          <w:color w:val="auto"/>
        </w:rPr>
      </w:pPr>
    </w:p>
    <w:p w14:paraId="621185D4" w14:textId="77777777" w:rsidR="00D7633D" w:rsidRPr="00A033C0" w:rsidRDefault="006305D7" w:rsidP="00B6446E">
      <w:pPr>
        <w:rPr>
          <w:color w:val="808080"/>
        </w:rPr>
      </w:pPr>
      <w:r w:rsidRPr="00A033C0">
        <w:rPr>
          <w:b/>
        </w:rPr>
        <w:t>DISCUSSION</w:t>
      </w:r>
      <w:r w:rsidR="00B6446E" w:rsidRPr="00A033C0">
        <w:rPr>
          <w:b/>
          <w:bCs/>
        </w:rPr>
        <w:t>:</w:t>
      </w:r>
    </w:p>
    <w:p w14:paraId="5547F819" w14:textId="47748E67" w:rsidR="00BF5366" w:rsidRPr="00A033C0" w:rsidRDefault="00163045" w:rsidP="001B1519">
      <w:pPr>
        <w:rPr>
          <w:color w:val="auto"/>
        </w:rPr>
      </w:pPr>
      <w:r w:rsidRPr="00A033C0">
        <w:rPr>
          <w:color w:val="auto"/>
        </w:rPr>
        <w:t>A primary focus of our lab is</w:t>
      </w:r>
      <w:r w:rsidR="00570077" w:rsidRPr="00A033C0">
        <w:rPr>
          <w:color w:val="auto"/>
        </w:rPr>
        <w:t xml:space="preserve"> the host response to </w:t>
      </w:r>
      <w:r w:rsidRPr="00A033C0">
        <w:rPr>
          <w:color w:val="auto"/>
        </w:rPr>
        <w:t xml:space="preserve">solid </w:t>
      </w:r>
      <w:r w:rsidR="00570077" w:rsidRPr="00A033C0">
        <w:rPr>
          <w:color w:val="auto"/>
        </w:rPr>
        <w:t>biomaterial</w:t>
      </w:r>
      <w:r w:rsidRPr="00A033C0">
        <w:rPr>
          <w:color w:val="auto"/>
        </w:rPr>
        <w:t xml:space="preserve"> </w:t>
      </w:r>
      <w:r w:rsidR="00570077" w:rsidRPr="00A033C0">
        <w:rPr>
          <w:color w:val="auto"/>
        </w:rPr>
        <w:t>soft tissue</w:t>
      </w:r>
      <w:r w:rsidRPr="00A033C0">
        <w:rPr>
          <w:color w:val="auto"/>
        </w:rPr>
        <w:t xml:space="preserve"> implants</w:t>
      </w:r>
      <w:r w:rsidR="00570077" w:rsidRPr="00A033C0">
        <w:rPr>
          <w:color w:val="auto"/>
        </w:rPr>
        <w:t xml:space="preserve">, </w:t>
      </w:r>
      <w:r w:rsidR="00EC0E48" w:rsidRPr="00A033C0">
        <w:rPr>
          <w:color w:val="auto"/>
        </w:rPr>
        <w:t xml:space="preserve">and </w:t>
      </w:r>
      <w:proofErr w:type="gramStart"/>
      <w:r w:rsidR="00EC0E48" w:rsidRPr="00A033C0">
        <w:rPr>
          <w:color w:val="auto"/>
        </w:rPr>
        <w:t>in particular</w:t>
      </w:r>
      <w:r w:rsidR="00B23FFF" w:rsidRPr="00A033C0">
        <w:rPr>
          <w:color w:val="auto"/>
        </w:rPr>
        <w:t xml:space="preserve"> </w:t>
      </w:r>
      <w:r w:rsidR="00CA53CE" w:rsidRPr="00A033C0">
        <w:rPr>
          <w:color w:val="auto"/>
        </w:rPr>
        <w:t>how</w:t>
      </w:r>
      <w:proofErr w:type="gramEnd"/>
      <w:r w:rsidR="00CA53CE" w:rsidRPr="00A033C0">
        <w:rPr>
          <w:color w:val="auto"/>
        </w:rPr>
        <w:t xml:space="preserve"> the</w:t>
      </w:r>
      <w:r w:rsidR="00570077" w:rsidRPr="00A033C0">
        <w:rPr>
          <w:color w:val="auto"/>
        </w:rPr>
        <w:t xml:space="preserve"> cellular damage </w:t>
      </w:r>
      <w:r w:rsidR="00CA53CE" w:rsidRPr="00A033C0">
        <w:rPr>
          <w:color w:val="auto"/>
        </w:rPr>
        <w:t xml:space="preserve">incurred </w:t>
      </w:r>
      <w:r w:rsidR="00570077" w:rsidRPr="00A033C0">
        <w:rPr>
          <w:color w:val="auto"/>
        </w:rPr>
        <w:t xml:space="preserve">during the implantation procedure </w:t>
      </w:r>
      <w:r w:rsidR="00CA53CE" w:rsidRPr="00A033C0">
        <w:rPr>
          <w:color w:val="auto"/>
        </w:rPr>
        <w:t>impacts the host</w:t>
      </w:r>
      <w:r w:rsidR="005A5A18" w:rsidRPr="00A033C0">
        <w:rPr>
          <w:color w:val="auto"/>
        </w:rPr>
        <w:t xml:space="preserve"> </w:t>
      </w:r>
      <w:r w:rsidR="00570077" w:rsidRPr="00A033C0">
        <w:rPr>
          <w:color w:val="auto"/>
        </w:rPr>
        <w:t>response.</w:t>
      </w:r>
      <w:r w:rsidR="00DE2A9F" w:rsidRPr="00A033C0">
        <w:rPr>
          <w:color w:val="auto"/>
        </w:rPr>
        <w:t xml:space="preserve"> </w:t>
      </w:r>
      <w:r w:rsidR="00EC0E48" w:rsidRPr="00A033C0">
        <w:rPr>
          <w:color w:val="auto"/>
        </w:rPr>
        <w:t xml:space="preserve">The work presented here </w:t>
      </w:r>
      <w:r w:rsidR="00B9242C" w:rsidRPr="00A033C0">
        <w:rPr>
          <w:color w:val="auto"/>
        </w:rPr>
        <w:t>describes</w:t>
      </w:r>
      <w:r w:rsidR="00EC0E48" w:rsidRPr="00A033C0">
        <w:rPr>
          <w:color w:val="auto"/>
        </w:rPr>
        <w:t xml:space="preserve"> preliminary experiments using a reporter macrophage cell line and </w:t>
      </w:r>
      <w:r w:rsidR="00B9242C" w:rsidRPr="002809B4">
        <w:rPr>
          <w:iCs/>
          <w:color w:val="auto"/>
        </w:rPr>
        <w:t>in vitro</w:t>
      </w:r>
      <w:r w:rsidR="00B9242C" w:rsidRPr="00A033C0">
        <w:rPr>
          <w:color w:val="auto"/>
        </w:rPr>
        <w:t xml:space="preserve">-generated </w:t>
      </w:r>
      <w:r w:rsidR="00EC0E48" w:rsidRPr="00A033C0">
        <w:rPr>
          <w:color w:val="auto"/>
        </w:rPr>
        <w:t>DAMP</w:t>
      </w:r>
      <w:r w:rsidR="00B9242C" w:rsidRPr="00A033C0">
        <w:rPr>
          <w:color w:val="auto"/>
        </w:rPr>
        <w:t>-containing cellular lysate</w:t>
      </w:r>
      <w:r w:rsidR="00DF2AEA" w:rsidRPr="00A033C0">
        <w:rPr>
          <w:color w:val="auto"/>
        </w:rPr>
        <w:t>,</w:t>
      </w:r>
      <w:r w:rsidR="00EC0E48" w:rsidRPr="00A033C0">
        <w:rPr>
          <w:color w:val="auto"/>
        </w:rPr>
        <w:t xml:space="preserve"> to investigate the influence of molecules released during cellular damage (</w:t>
      </w:r>
      <w:r w:rsidR="004D6BDD" w:rsidRPr="004D6BDD">
        <w:rPr>
          <w:color w:val="auto"/>
        </w:rPr>
        <w:t xml:space="preserve">i.e., </w:t>
      </w:r>
      <w:r w:rsidR="00EC0E48" w:rsidRPr="00A033C0">
        <w:rPr>
          <w:color w:val="auto"/>
        </w:rPr>
        <w:t xml:space="preserve">from the implant surgery) on </w:t>
      </w:r>
      <w:r w:rsidR="00DF2AEA" w:rsidRPr="00A033C0">
        <w:rPr>
          <w:color w:val="auto"/>
        </w:rPr>
        <w:t>macrophage</w:t>
      </w:r>
      <w:r w:rsidR="00EC0E48" w:rsidRPr="00A033C0">
        <w:rPr>
          <w:color w:val="auto"/>
        </w:rPr>
        <w:t xml:space="preserve"> re</w:t>
      </w:r>
      <w:r w:rsidR="005F4526" w:rsidRPr="00A033C0">
        <w:rPr>
          <w:color w:val="auto"/>
        </w:rPr>
        <w:t>sponse</w:t>
      </w:r>
      <w:r w:rsidR="00DF2AEA" w:rsidRPr="00A033C0">
        <w:rPr>
          <w:color w:val="auto"/>
        </w:rPr>
        <w:t>s</w:t>
      </w:r>
      <w:r w:rsidR="005F4526" w:rsidRPr="00A033C0">
        <w:rPr>
          <w:color w:val="auto"/>
        </w:rPr>
        <w:t xml:space="preserve"> to biomaterials</w:t>
      </w:r>
      <w:r w:rsidR="00EC0E48" w:rsidRPr="00A033C0">
        <w:rPr>
          <w:color w:val="auto"/>
        </w:rPr>
        <w:t xml:space="preserve">. </w:t>
      </w:r>
      <w:r w:rsidR="00A4003C" w:rsidRPr="00A033C0">
        <w:rPr>
          <w:color w:val="auto"/>
        </w:rPr>
        <w:t>F</w:t>
      </w:r>
      <w:r w:rsidR="00DE2A9F" w:rsidRPr="00A033C0">
        <w:rPr>
          <w:color w:val="auto"/>
        </w:rPr>
        <w:t xml:space="preserve">ibroblast cell lysate was used to model the cellular damage and release of DAMPs </w:t>
      </w:r>
      <w:r w:rsidR="00DF2AEA" w:rsidRPr="00A033C0">
        <w:rPr>
          <w:color w:val="auto"/>
        </w:rPr>
        <w:t>due to</w:t>
      </w:r>
      <w:r w:rsidR="00DE2A9F" w:rsidRPr="00A033C0">
        <w:rPr>
          <w:color w:val="auto"/>
        </w:rPr>
        <w:t xml:space="preserve"> biomaterial placement.</w:t>
      </w:r>
      <w:r w:rsidR="00570077" w:rsidRPr="00A033C0">
        <w:rPr>
          <w:color w:val="auto"/>
        </w:rPr>
        <w:t xml:space="preserve"> </w:t>
      </w:r>
      <w:r w:rsidR="00A4003C" w:rsidRPr="00A033C0">
        <w:rPr>
          <w:color w:val="auto"/>
        </w:rPr>
        <w:t>F</w:t>
      </w:r>
      <w:r w:rsidR="00BF5366" w:rsidRPr="00A033C0">
        <w:rPr>
          <w:color w:val="auto"/>
        </w:rPr>
        <w:t xml:space="preserve">ibroblasts were chosen to create the lysate </w:t>
      </w:r>
      <w:r w:rsidR="00DF2AEA" w:rsidRPr="00A033C0">
        <w:rPr>
          <w:color w:val="auto"/>
        </w:rPr>
        <w:t>because of</w:t>
      </w:r>
      <w:r w:rsidR="00BF5366" w:rsidRPr="00A033C0">
        <w:rPr>
          <w:color w:val="auto"/>
        </w:rPr>
        <w:t xml:space="preserve"> the </w:t>
      </w:r>
      <w:r w:rsidR="00D4105C" w:rsidRPr="00A033C0">
        <w:rPr>
          <w:color w:val="auto"/>
        </w:rPr>
        <w:t>prevalence</w:t>
      </w:r>
      <w:r w:rsidR="00BF5366" w:rsidRPr="00A033C0">
        <w:rPr>
          <w:color w:val="auto"/>
        </w:rPr>
        <w:t xml:space="preserve"> of fibroblasts in </w:t>
      </w:r>
      <w:r w:rsidR="005A5A18" w:rsidRPr="00A033C0">
        <w:rPr>
          <w:color w:val="auto"/>
        </w:rPr>
        <w:t xml:space="preserve">soft </w:t>
      </w:r>
      <w:r w:rsidR="00BF5366" w:rsidRPr="00A033C0">
        <w:rPr>
          <w:color w:val="auto"/>
        </w:rPr>
        <w:t>tissue</w:t>
      </w:r>
      <w:r w:rsidR="008E4E75" w:rsidRPr="00A033C0">
        <w:rPr>
          <w:color w:val="auto"/>
        </w:rPr>
        <w:t>,</w:t>
      </w:r>
      <w:r w:rsidR="00BF5366" w:rsidRPr="00A033C0">
        <w:rPr>
          <w:color w:val="auto"/>
        </w:rPr>
        <w:t xml:space="preserve"> as well as their ability to secrete a variety of extracellular matrix (ECM) proteins, including </w:t>
      </w:r>
      <w:r w:rsidR="00D4105C" w:rsidRPr="00A033C0">
        <w:rPr>
          <w:color w:val="auto"/>
        </w:rPr>
        <w:t>fibronectin</w:t>
      </w:r>
      <w:r w:rsidR="00891A46" w:rsidRPr="00A033C0">
        <w:rPr>
          <w:noProof/>
          <w:color w:val="auto"/>
          <w:vertAlign w:val="superscript"/>
        </w:rPr>
        <w:t>18</w:t>
      </w:r>
      <w:r w:rsidR="007D0618" w:rsidRPr="00A033C0">
        <w:rPr>
          <w:color w:val="auto"/>
        </w:rPr>
        <w:t>.</w:t>
      </w:r>
      <w:r w:rsidR="00F869F4" w:rsidRPr="00A033C0">
        <w:rPr>
          <w:color w:val="auto"/>
        </w:rPr>
        <w:t xml:space="preserve"> </w:t>
      </w:r>
      <w:r w:rsidR="00BF5366" w:rsidRPr="00A033C0">
        <w:rPr>
          <w:color w:val="auto"/>
        </w:rPr>
        <w:t xml:space="preserve">Freeze-thaw cycling was chosen as the method of lysis to produce both intracellular and ECM-derived DAMPs, </w:t>
      </w:r>
      <w:proofErr w:type="gramStart"/>
      <w:r w:rsidR="00BF5366" w:rsidRPr="00A033C0">
        <w:rPr>
          <w:color w:val="auto"/>
        </w:rPr>
        <w:t>similar to</w:t>
      </w:r>
      <w:proofErr w:type="gramEnd"/>
      <w:r w:rsidR="00BF5366" w:rsidRPr="00A033C0">
        <w:rPr>
          <w:color w:val="auto"/>
        </w:rPr>
        <w:t xml:space="preserve"> what would be present in the implant environment</w:t>
      </w:r>
      <w:r w:rsidR="005A5A18" w:rsidRPr="00A033C0">
        <w:rPr>
          <w:color w:val="auto"/>
        </w:rPr>
        <w:t xml:space="preserve">. </w:t>
      </w:r>
      <w:r w:rsidR="00BF5366" w:rsidRPr="00A033C0">
        <w:rPr>
          <w:color w:val="auto"/>
        </w:rPr>
        <w:t>Protease inhibitors were not used to make this lysate. While uncontrolled cell lysis like freeze</w:t>
      </w:r>
      <w:r w:rsidR="00A24F53" w:rsidRPr="00A033C0">
        <w:rPr>
          <w:color w:val="auto"/>
        </w:rPr>
        <w:t>-</w:t>
      </w:r>
      <w:r w:rsidR="00BF5366" w:rsidRPr="00A033C0">
        <w:rPr>
          <w:color w:val="auto"/>
        </w:rPr>
        <w:t xml:space="preserve">thaw cycling can result in the release of proteases that may degrade DAMPs, these </w:t>
      </w:r>
      <w:r w:rsidR="004A7999" w:rsidRPr="00A033C0">
        <w:rPr>
          <w:color w:val="auto"/>
        </w:rPr>
        <w:t>enzymes</w:t>
      </w:r>
      <w:r w:rsidR="00BF5366" w:rsidRPr="00A033C0">
        <w:rPr>
          <w:color w:val="auto"/>
        </w:rPr>
        <w:t xml:space="preserve"> would also </w:t>
      </w:r>
      <w:r w:rsidR="00CA53CE" w:rsidRPr="00A033C0">
        <w:rPr>
          <w:color w:val="auto"/>
        </w:rPr>
        <w:t xml:space="preserve">likely </w:t>
      </w:r>
      <w:r w:rsidR="00BF5366" w:rsidRPr="00A033C0">
        <w:rPr>
          <w:color w:val="auto"/>
        </w:rPr>
        <w:t>be present in the biomaterial implant environment whe</w:t>
      </w:r>
      <w:r w:rsidR="000A39BD" w:rsidRPr="00A033C0">
        <w:rPr>
          <w:color w:val="auto"/>
        </w:rPr>
        <w:t>n</w:t>
      </w:r>
      <w:r w:rsidR="00BF5366" w:rsidRPr="00A033C0">
        <w:rPr>
          <w:color w:val="auto"/>
        </w:rPr>
        <w:t xml:space="preserve"> cells are damaged during the implantation procedure.</w:t>
      </w:r>
      <w:r w:rsidR="00872CE7" w:rsidRPr="00A033C0">
        <w:rPr>
          <w:color w:val="auto"/>
        </w:rPr>
        <w:t xml:space="preserve"> </w:t>
      </w:r>
      <w:r w:rsidR="00DE2A9F" w:rsidRPr="00A033C0">
        <w:rPr>
          <w:color w:val="auto"/>
        </w:rPr>
        <w:t>The presence of DAMPs in the complex molecular mixture of the lysate w</w:t>
      </w:r>
      <w:r w:rsidR="00F45792" w:rsidRPr="00A033C0">
        <w:rPr>
          <w:color w:val="auto"/>
        </w:rPr>
        <w:t>as</w:t>
      </w:r>
      <w:r w:rsidR="00DE2A9F" w:rsidRPr="00A033C0">
        <w:rPr>
          <w:color w:val="auto"/>
        </w:rPr>
        <w:t xml:space="preserve"> confirmed by Western </w:t>
      </w:r>
      <w:r w:rsidR="002809B4">
        <w:rPr>
          <w:color w:val="auto"/>
        </w:rPr>
        <w:t>b</w:t>
      </w:r>
      <w:r w:rsidR="00DE2A9F" w:rsidRPr="00A033C0">
        <w:rPr>
          <w:color w:val="auto"/>
        </w:rPr>
        <w:t>lot (</w:t>
      </w:r>
      <w:r w:rsidR="002D5A8D" w:rsidRPr="002D5A8D">
        <w:rPr>
          <w:b/>
          <w:bCs/>
          <w:color w:val="auto"/>
        </w:rPr>
        <w:t>Figure 1</w:t>
      </w:r>
      <w:r w:rsidR="00DE2A9F" w:rsidRPr="00A033C0">
        <w:rPr>
          <w:b/>
          <w:color w:val="auto"/>
        </w:rPr>
        <w:t>B</w:t>
      </w:r>
      <w:r w:rsidR="00DE2A9F" w:rsidRPr="00A033C0">
        <w:rPr>
          <w:color w:val="auto"/>
        </w:rPr>
        <w:t>; HMGB1 and HSP60) and SEAP reporter assay (</w:t>
      </w:r>
      <w:r w:rsidR="002D5A8D" w:rsidRPr="002D5A8D">
        <w:rPr>
          <w:b/>
          <w:bCs/>
          <w:color w:val="auto"/>
        </w:rPr>
        <w:t>Figure 1</w:t>
      </w:r>
      <w:r w:rsidR="00DE2A9F" w:rsidRPr="00A033C0">
        <w:rPr>
          <w:b/>
          <w:color w:val="auto"/>
        </w:rPr>
        <w:t>C</w:t>
      </w:r>
      <w:r w:rsidR="00DE2A9F" w:rsidRPr="00A033C0">
        <w:rPr>
          <w:color w:val="auto"/>
        </w:rPr>
        <w:t xml:space="preserve">; </w:t>
      </w:r>
      <w:r w:rsidR="00DF2AEA" w:rsidRPr="00A033C0">
        <w:rPr>
          <w:color w:val="auto"/>
        </w:rPr>
        <w:t>NF-</w:t>
      </w:r>
      <w:proofErr w:type="spellStart"/>
      <w:r w:rsidR="00DF2AEA" w:rsidRPr="00A033C0">
        <w:rPr>
          <w:color w:val="auto"/>
        </w:rPr>
        <w:t>кB</w:t>
      </w:r>
      <w:proofErr w:type="spellEnd"/>
      <w:r w:rsidR="00DF2AEA" w:rsidRPr="00A033C0">
        <w:rPr>
          <w:color w:val="auto"/>
        </w:rPr>
        <w:t>/AP-1 activity in response to adsorbed lysate</w:t>
      </w:r>
      <w:r w:rsidR="00DE2A9F" w:rsidRPr="00A033C0">
        <w:rPr>
          <w:color w:val="auto"/>
        </w:rPr>
        <w:t>).</w:t>
      </w:r>
      <w:r w:rsidR="005F4526" w:rsidRPr="00A033C0">
        <w:rPr>
          <w:color w:val="auto"/>
        </w:rPr>
        <w:t xml:space="preserve"> </w:t>
      </w:r>
      <w:r w:rsidR="000A39BD" w:rsidRPr="00A033C0">
        <w:rPr>
          <w:color w:val="auto"/>
        </w:rPr>
        <w:t>We have also performed assays where lysate was diluted in FBS based on total protein concentration and adsorbed onto cell culture surfaces (</w:t>
      </w:r>
      <w:r w:rsidR="000A39BD" w:rsidRPr="00A033C0">
        <w:rPr>
          <w:b/>
          <w:color w:val="auto"/>
        </w:rPr>
        <w:t>Figure 5</w:t>
      </w:r>
      <w:r w:rsidR="000A39BD" w:rsidRPr="00A033C0">
        <w:rPr>
          <w:color w:val="auto"/>
        </w:rPr>
        <w:t>) to better reflect the complexity of the implant environment, since it will contain an abundance of blood proteins as well as DAMPs</w:t>
      </w:r>
      <w:r w:rsidR="00891A46" w:rsidRPr="00A033C0">
        <w:rPr>
          <w:noProof/>
          <w:color w:val="auto"/>
          <w:vertAlign w:val="superscript"/>
        </w:rPr>
        <w:t>6</w:t>
      </w:r>
      <w:r w:rsidR="000A39BD" w:rsidRPr="00A033C0">
        <w:rPr>
          <w:color w:val="auto"/>
        </w:rPr>
        <w:t xml:space="preserve">. </w:t>
      </w:r>
      <w:r w:rsidR="00A4003C" w:rsidRPr="00A033C0">
        <w:rPr>
          <w:color w:val="auto"/>
        </w:rPr>
        <w:t>Reporter</w:t>
      </w:r>
      <w:r w:rsidR="00BB7516" w:rsidRPr="00A033C0">
        <w:rPr>
          <w:color w:val="auto"/>
        </w:rPr>
        <w:t xml:space="preserve"> macrophage</w:t>
      </w:r>
      <w:r w:rsidR="0066228C" w:rsidRPr="00A033C0">
        <w:rPr>
          <w:color w:val="auto"/>
        </w:rPr>
        <w:t xml:space="preserve"> </w:t>
      </w:r>
      <w:r w:rsidR="000A39BD" w:rsidRPr="00A033C0">
        <w:rPr>
          <w:color w:val="auto"/>
        </w:rPr>
        <w:t>NF-</w:t>
      </w:r>
      <w:proofErr w:type="spellStart"/>
      <w:r w:rsidR="000A39BD" w:rsidRPr="00A033C0">
        <w:rPr>
          <w:color w:val="auto"/>
        </w:rPr>
        <w:t>кB</w:t>
      </w:r>
      <w:proofErr w:type="spellEnd"/>
      <w:r w:rsidR="000A39BD" w:rsidRPr="00A033C0">
        <w:rPr>
          <w:color w:val="auto"/>
        </w:rPr>
        <w:t xml:space="preserve">/AP-1 activity </w:t>
      </w:r>
      <w:r w:rsidR="00B9242C" w:rsidRPr="00A033C0">
        <w:rPr>
          <w:color w:val="auto"/>
        </w:rPr>
        <w:t>remained</w:t>
      </w:r>
      <w:r w:rsidR="00DF2AEA" w:rsidRPr="00A033C0">
        <w:rPr>
          <w:color w:val="auto"/>
        </w:rPr>
        <w:t xml:space="preserve"> </w:t>
      </w:r>
      <w:r w:rsidR="0066228C" w:rsidRPr="00A033C0">
        <w:rPr>
          <w:color w:val="auto"/>
        </w:rPr>
        <w:t xml:space="preserve">significantly increased </w:t>
      </w:r>
      <w:r w:rsidR="000A39BD" w:rsidRPr="00A033C0">
        <w:rPr>
          <w:color w:val="auto"/>
        </w:rPr>
        <w:t xml:space="preserve">on </w:t>
      </w:r>
      <w:r w:rsidR="00C56AFD" w:rsidRPr="00A033C0">
        <w:rPr>
          <w:color w:val="auto"/>
        </w:rPr>
        <w:t xml:space="preserve">adsorbed layers from </w:t>
      </w:r>
      <w:r w:rsidR="000A39BD" w:rsidRPr="00A033C0">
        <w:rPr>
          <w:color w:val="auto"/>
        </w:rPr>
        <w:t xml:space="preserve">lysate </w:t>
      </w:r>
      <w:r w:rsidR="00C56AFD" w:rsidRPr="00A033C0">
        <w:rPr>
          <w:color w:val="auto"/>
        </w:rPr>
        <w:t xml:space="preserve">diluted </w:t>
      </w:r>
      <w:r w:rsidR="000A39BD" w:rsidRPr="00A033C0">
        <w:rPr>
          <w:color w:val="auto"/>
        </w:rPr>
        <w:t xml:space="preserve">in FBS, and the lowest dilution to </w:t>
      </w:r>
      <w:r w:rsidR="00BB7516" w:rsidRPr="00A033C0">
        <w:rPr>
          <w:color w:val="auto"/>
        </w:rPr>
        <w:t>achieve significant activation</w:t>
      </w:r>
      <w:r w:rsidR="000A39BD" w:rsidRPr="00A033C0">
        <w:rPr>
          <w:color w:val="auto"/>
        </w:rPr>
        <w:t xml:space="preserve"> was surface dependent</w:t>
      </w:r>
      <w:r w:rsidR="00C56AFD" w:rsidRPr="00A033C0">
        <w:rPr>
          <w:color w:val="auto"/>
        </w:rPr>
        <w:t xml:space="preserve">, ranging from </w:t>
      </w:r>
      <w:r w:rsidR="00DE2A9F" w:rsidRPr="00A033C0">
        <w:rPr>
          <w:color w:val="auto"/>
        </w:rPr>
        <w:t>0.1%</w:t>
      </w:r>
      <w:r w:rsidR="00DF2AEA" w:rsidRPr="00A033C0">
        <w:rPr>
          <w:color w:val="auto"/>
        </w:rPr>
        <w:t xml:space="preserve"> </w:t>
      </w:r>
      <w:r w:rsidR="00C56AFD" w:rsidRPr="00A033C0">
        <w:rPr>
          <w:color w:val="auto"/>
        </w:rPr>
        <w:t>(</w:t>
      </w:r>
      <w:r w:rsidR="00DE2A9F" w:rsidRPr="00A033C0">
        <w:rPr>
          <w:color w:val="auto"/>
        </w:rPr>
        <w:t>TCPS</w:t>
      </w:r>
      <w:r w:rsidR="00C56AFD" w:rsidRPr="00A033C0">
        <w:rPr>
          <w:color w:val="auto"/>
        </w:rPr>
        <w:t xml:space="preserve">) to </w:t>
      </w:r>
      <w:r w:rsidR="00DE2A9F" w:rsidRPr="00A033C0">
        <w:rPr>
          <w:color w:val="auto"/>
        </w:rPr>
        <w:t xml:space="preserve">10% </w:t>
      </w:r>
      <w:r w:rsidR="00C56AFD" w:rsidRPr="00A033C0">
        <w:rPr>
          <w:color w:val="auto"/>
        </w:rPr>
        <w:t>(</w:t>
      </w:r>
      <w:r w:rsidR="00DE2A9F" w:rsidRPr="00A033C0">
        <w:rPr>
          <w:color w:val="auto"/>
        </w:rPr>
        <w:t xml:space="preserve">PDMS </w:t>
      </w:r>
      <w:r w:rsidR="00DF2AEA" w:rsidRPr="00A033C0">
        <w:rPr>
          <w:color w:val="auto"/>
        </w:rPr>
        <w:t>and</w:t>
      </w:r>
      <w:r w:rsidR="00DE2A9F" w:rsidRPr="00A033C0">
        <w:rPr>
          <w:color w:val="auto"/>
        </w:rPr>
        <w:t xml:space="preserve"> </w:t>
      </w:r>
      <w:proofErr w:type="spellStart"/>
      <w:r w:rsidR="00DE2A9F" w:rsidRPr="00A033C0">
        <w:rPr>
          <w:color w:val="auto"/>
        </w:rPr>
        <w:t>fPTFE</w:t>
      </w:r>
      <w:proofErr w:type="spellEnd"/>
      <w:r w:rsidR="00C56AFD" w:rsidRPr="00A033C0">
        <w:rPr>
          <w:color w:val="auto"/>
        </w:rPr>
        <w:t>)</w:t>
      </w:r>
      <w:r w:rsidR="000A39BD" w:rsidRPr="00A033C0">
        <w:rPr>
          <w:color w:val="auto"/>
        </w:rPr>
        <w:t>.</w:t>
      </w:r>
    </w:p>
    <w:p w14:paraId="4505A801" w14:textId="77777777" w:rsidR="00B6446E" w:rsidRPr="00A033C0" w:rsidRDefault="00B6446E" w:rsidP="00B6446E">
      <w:pPr>
        <w:rPr>
          <w:color w:val="auto"/>
          <w:lang w:val="en-CA"/>
        </w:rPr>
      </w:pPr>
    </w:p>
    <w:p w14:paraId="050B0ECD" w14:textId="6A3714FB" w:rsidR="00FD5A9F" w:rsidRPr="00A033C0" w:rsidRDefault="00B6446E" w:rsidP="00FD5A9F">
      <w:pPr>
        <w:rPr>
          <w:color w:val="auto"/>
          <w:lang w:val="en-CA"/>
        </w:rPr>
      </w:pPr>
      <w:r w:rsidRPr="00A033C0">
        <w:rPr>
          <w:color w:val="auto"/>
          <w:lang w:val="en-CA"/>
        </w:rPr>
        <w:t>The polymers PMMA, PDMS, and PTFE were chosen for this work because they are nondegradable and have been used extensively in the literature to assess protein adsorption and macrophage response to biomaterials</w:t>
      </w:r>
      <w:r w:rsidR="00891A46" w:rsidRPr="00A033C0">
        <w:rPr>
          <w:noProof/>
          <w:color w:val="auto"/>
          <w:vertAlign w:val="superscript"/>
          <w:lang w:val="en-CA"/>
        </w:rPr>
        <w:t>19–25</w:t>
      </w:r>
      <w:r w:rsidRPr="00A033C0">
        <w:rPr>
          <w:color w:val="auto"/>
          <w:lang w:val="en-CA"/>
        </w:rPr>
        <w:t xml:space="preserve">. TCPS was also used for comparison since it is a common substrate used for </w:t>
      </w:r>
      <w:r w:rsidR="00DD0575" w:rsidRPr="00DD0575">
        <w:rPr>
          <w:color w:val="auto"/>
          <w:lang w:val="en-CA"/>
        </w:rPr>
        <w:t xml:space="preserve">in vitro </w:t>
      </w:r>
      <w:r w:rsidRPr="00A033C0">
        <w:rPr>
          <w:color w:val="auto"/>
          <w:lang w:val="en-CA"/>
        </w:rPr>
        <w:t>macrophage and TLR signaling work</w:t>
      </w:r>
      <w:r w:rsidR="00891A46" w:rsidRPr="00A033C0">
        <w:rPr>
          <w:noProof/>
          <w:color w:val="auto"/>
          <w:vertAlign w:val="superscript"/>
          <w:lang w:val="en-CA"/>
        </w:rPr>
        <w:t>21,26–28</w:t>
      </w:r>
      <w:r w:rsidRPr="00A033C0">
        <w:rPr>
          <w:color w:val="auto"/>
          <w:lang w:val="en-CA"/>
        </w:rPr>
        <w:t xml:space="preserve">. </w:t>
      </w:r>
      <w:r w:rsidR="005F4526" w:rsidRPr="00A033C0">
        <w:rPr>
          <w:color w:val="auto"/>
          <w:lang w:val="en-CA"/>
        </w:rPr>
        <w:t>The materials used in our work are representative examples</w:t>
      </w:r>
      <w:r w:rsidR="002B1E48" w:rsidRPr="00A033C0">
        <w:rPr>
          <w:color w:val="auto"/>
          <w:lang w:val="en-CA"/>
        </w:rPr>
        <w:t xml:space="preserve"> of non-degradable, solid biomaterials. However, </w:t>
      </w:r>
      <w:r w:rsidR="005F4526" w:rsidRPr="00A033C0">
        <w:rPr>
          <w:color w:val="auto"/>
          <w:lang w:val="en-CA"/>
        </w:rPr>
        <w:t>many other materials could be used with this model, provided the</w:t>
      </w:r>
      <w:r w:rsidR="002B1E48" w:rsidRPr="00A033C0">
        <w:rPr>
          <w:color w:val="auto"/>
          <w:lang w:val="en-CA"/>
        </w:rPr>
        <w:t xml:space="preserve"> material</w:t>
      </w:r>
      <w:r w:rsidR="005F4526" w:rsidRPr="00A033C0">
        <w:rPr>
          <w:color w:val="auto"/>
          <w:lang w:val="en-CA"/>
        </w:rPr>
        <w:t xml:space="preserve"> can be coated onto cell culture plates or microscope slides and properly </w:t>
      </w:r>
      <w:r w:rsidR="00B9242C" w:rsidRPr="00A033C0">
        <w:rPr>
          <w:color w:val="auto"/>
          <w:lang w:val="en-CA"/>
        </w:rPr>
        <w:t>decontaminated</w:t>
      </w:r>
      <w:r w:rsidR="005F4526" w:rsidRPr="00A033C0">
        <w:rPr>
          <w:color w:val="auto"/>
          <w:lang w:val="en-CA"/>
        </w:rPr>
        <w:t xml:space="preserve">. </w:t>
      </w:r>
      <w:r w:rsidR="00D35003" w:rsidRPr="00A033C0">
        <w:rPr>
          <w:color w:val="auto"/>
          <w:lang w:val="en-CA"/>
        </w:rPr>
        <w:t>The</w:t>
      </w:r>
      <w:r w:rsidR="00A4003C" w:rsidRPr="00A033C0">
        <w:rPr>
          <w:color w:val="auto"/>
          <w:lang w:val="en-CA"/>
        </w:rPr>
        <w:t xml:space="preserve"> NF-</w:t>
      </w:r>
      <w:proofErr w:type="spellStart"/>
      <w:r w:rsidR="00A4003C" w:rsidRPr="00A033C0">
        <w:rPr>
          <w:color w:val="auto"/>
          <w:lang w:val="en-CA"/>
        </w:rPr>
        <w:t>κB</w:t>
      </w:r>
      <w:proofErr w:type="spellEnd"/>
      <w:r w:rsidR="00A4003C" w:rsidRPr="00A033C0">
        <w:rPr>
          <w:color w:val="auto"/>
          <w:lang w:val="en-CA"/>
        </w:rPr>
        <w:t>/AP-1 reporter macrophage</w:t>
      </w:r>
      <w:r w:rsidR="00D35003" w:rsidRPr="00A033C0">
        <w:rPr>
          <w:color w:val="auto"/>
          <w:lang w:val="en-CA"/>
        </w:rPr>
        <w:t xml:space="preserve"> cell line was selected for </w:t>
      </w:r>
      <w:r w:rsidR="00B9242C" w:rsidRPr="00A033C0">
        <w:rPr>
          <w:color w:val="auto"/>
          <w:lang w:val="en-CA"/>
        </w:rPr>
        <w:t xml:space="preserve">this </w:t>
      </w:r>
      <w:r w:rsidR="00DD0575" w:rsidRPr="00DD0575">
        <w:rPr>
          <w:color w:val="auto"/>
          <w:lang w:val="en-CA"/>
        </w:rPr>
        <w:t xml:space="preserve">in vitro </w:t>
      </w:r>
      <w:r w:rsidR="002B1E48" w:rsidRPr="00A033C0">
        <w:rPr>
          <w:color w:val="auto"/>
          <w:lang w:val="en-CA"/>
        </w:rPr>
        <w:t xml:space="preserve">model </w:t>
      </w:r>
      <w:r w:rsidR="00D35003" w:rsidRPr="00A033C0">
        <w:rPr>
          <w:color w:val="auto"/>
          <w:lang w:val="en-CA"/>
        </w:rPr>
        <w:t>because it enables rapid, indirect measurement of NF-</w:t>
      </w:r>
      <w:proofErr w:type="spellStart"/>
      <w:r w:rsidR="00FD2990" w:rsidRPr="00A033C0">
        <w:rPr>
          <w:color w:val="auto"/>
          <w:lang w:val="en-CA"/>
        </w:rPr>
        <w:t>κ</w:t>
      </w:r>
      <w:r w:rsidR="00D35003" w:rsidRPr="00A033C0">
        <w:rPr>
          <w:color w:val="auto"/>
          <w:lang w:val="en-CA"/>
        </w:rPr>
        <w:t>B</w:t>
      </w:r>
      <w:proofErr w:type="spellEnd"/>
      <w:r w:rsidR="00D35003" w:rsidRPr="00A033C0">
        <w:rPr>
          <w:color w:val="auto"/>
          <w:lang w:val="en-CA"/>
        </w:rPr>
        <w:t>/AP-1 activity through the NF-</w:t>
      </w:r>
      <w:proofErr w:type="spellStart"/>
      <w:r w:rsidR="00FD2990" w:rsidRPr="00A033C0">
        <w:rPr>
          <w:color w:val="auto"/>
          <w:lang w:val="en-CA"/>
        </w:rPr>
        <w:t>κ</w:t>
      </w:r>
      <w:r w:rsidR="00D35003" w:rsidRPr="00A033C0">
        <w:rPr>
          <w:color w:val="auto"/>
          <w:lang w:val="en-CA"/>
        </w:rPr>
        <w:t>B</w:t>
      </w:r>
      <w:proofErr w:type="spellEnd"/>
      <w:r w:rsidR="00D35003" w:rsidRPr="00A033C0">
        <w:rPr>
          <w:color w:val="auto"/>
          <w:lang w:val="en-CA"/>
        </w:rPr>
        <w:t>/AP-1 inducible expression of SEAP.</w:t>
      </w:r>
      <w:r w:rsidR="00FD5A9F" w:rsidRPr="00A033C0">
        <w:rPr>
          <w:color w:val="auto"/>
          <w:lang w:val="en-CA"/>
        </w:rPr>
        <w:t xml:space="preserve"> </w:t>
      </w:r>
      <w:r w:rsidR="00A4003C" w:rsidRPr="00A033C0">
        <w:rPr>
          <w:color w:val="auto"/>
          <w:lang w:val="en-CA"/>
        </w:rPr>
        <w:t>NF-</w:t>
      </w:r>
      <w:proofErr w:type="spellStart"/>
      <w:r w:rsidR="00A4003C" w:rsidRPr="00A033C0">
        <w:rPr>
          <w:color w:val="auto"/>
          <w:lang w:val="en-CA"/>
        </w:rPr>
        <w:t>κB</w:t>
      </w:r>
      <w:proofErr w:type="spellEnd"/>
      <w:r w:rsidR="00A4003C" w:rsidRPr="00A033C0">
        <w:rPr>
          <w:color w:val="auto"/>
          <w:lang w:val="en-CA"/>
        </w:rPr>
        <w:t xml:space="preserve">/AP-1 reporter </w:t>
      </w:r>
      <w:r w:rsidR="00FD5A9F" w:rsidRPr="00A033C0">
        <w:rPr>
          <w:color w:val="auto"/>
          <w:lang w:val="en-CA"/>
        </w:rPr>
        <w:t xml:space="preserve">macrophages require the use of </w:t>
      </w:r>
      <w:r w:rsidR="00A666D6">
        <w:rPr>
          <w:color w:val="auto"/>
          <w:lang w:val="en-CA"/>
        </w:rPr>
        <w:t>phleomycin D1</w:t>
      </w:r>
      <w:r w:rsidR="00FD5A9F" w:rsidRPr="00A033C0">
        <w:rPr>
          <w:color w:val="auto"/>
          <w:lang w:val="en-CA"/>
        </w:rPr>
        <w:t xml:space="preserve"> in the culture media as a selective antibiotic to ensure that only cells with the </w:t>
      </w:r>
      <w:r w:rsidR="00FD5A9F" w:rsidRPr="00A033C0">
        <w:rPr>
          <w:color w:val="auto"/>
        </w:rPr>
        <w:t>NF-</w:t>
      </w:r>
      <w:proofErr w:type="spellStart"/>
      <w:r w:rsidR="00FD5A9F" w:rsidRPr="00A033C0">
        <w:rPr>
          <w:color w:val="auto"/>
        </w:rPr>
        <w:t>кB</w:t>
      </w:r>
      <w:proofErr w:type="spellEnd"/>
      <w:r w:rsidR="00FD5A9F" w:rsidRPr="00A033C0">
        <w:rPr>
          <w:color w:val="auto"/>
        </w:rPr>
        <w:t>/AP-1</w:t>
      </w:r>
      <w:r w:rsidR="00FD5A9F" w:rsidRPr="00A033C0">
        <w:rPr>
          <w:color w:val="auto"/>
          <w:lang w:val="en-CA"/>
        </w:rPr>
        <w:t xml:space="preserve"> inducible SEAP gene are present</w:t>
      </w:r>
      <w:r w:rsidR="00891A46" w:rsidRPr="00A033C0">
        <w:rPr>
          <w:noProof/>
          <w:color w:val="auto"/>
          <w:vertAlign w:val="superscript"/>
          <w:lang w:val="en-CA"/>
        </w:rPr>
        <w:t>29</w:t>
      </w:r>
      <w:r w:rsidR="00FD5A9F" w:rsidRPr="00A033C0">
        <w:rPr>
          <w:color w:val="auto"/>
          <w:lang w:val="en-CA"/>
        </w:rPr>
        <w:t xml:space="preserve">. For the </w:t>
      </w:r>
      <w:r w:rsidR="00A4003C" w:rsidRPr="00A033C0">
        <w:rPr>
          <w:color w:val="auto"/>
          <w:lang w:val="en-CA"/>
        </w:rPr>
        <w:t>alkaline phosphatase</w:t>
      </w:r>
      <w:r w:rsidR="00FD5A9F" w:rsidRPr="00A033C0">
        <w:rPr>
          <w:color w:val="auto"/>
          <w:lang w:val="en-CA"/>
        </w:rPr>
        <w:t xml:space="preserve"> assay</w:t>
      </w:r>
      <w:r w:rsidR="008A084F" w:rsidRPr="00A033C0">
        <w:rPr>
          <w:color w:val="auto"/>
          <w:lang w:val="en-CA"/>
        </w:rPr>
        <w:t>,</w:t>
      </w:r>
      <w:r w:rsidR="00FD5A9F" w:rsidRPr="00A033C0">
        <w:rPr>
          <w:color w:val="auto"/>
          <w:lang w:val="en-CA"/>
        </w:rPr>
        <w:t xml:space="preserve"> it is critical to use HI-FBS </w:t>
      </w:r>
      <w:r w:rsidR="002B1E48" w:rsidRPr="00A033C0">
        <w:rPr>
          <w:color w:val="auto"/>
          <w:lang w:val="en-CA"/>
        </w:rPr>
        <w:t>in the cell culture media to avoid potential false positive results generated by alkaline phosphatases present in serum</w:t>
      </w:r>
      <w:r w:rsidR="00FD5A9F" w:rsidRPr="00A033C0">
        <w:rPr>
          <w:color w:val="auto"/>
          <w:lang w:val="en-CA"/>
        </w:rPr>
        <w:t xml:space="preserve">. </w:t>
      </w:r>
      <w:r w:rsidR="00030577" w:rsidRPr="00A033C0">
        <w:rPr>
          <w:color w:val="auto"/>
          <w:lang w:val="en-CA"/>
        </w:rPr>
        <w:t>Our research to date</w:t>
      </w:r>
      <w:r w:rsidR="00B9242C" w:rsidRPr="00A033C0">
        <w:rPr>
          <w:color w:val="auto"/>
          <w:lang w:val="en-CA"/>
        </w:rPr>
        <w:t xml:space="preserve"> suggest</w:t>
      </w:r>
      <w:r w:rsidR="00030577" w:rsidRPr="00A033C0">
        <w:rPr>
          <w:color w:val="auto"/>
          <w:lang w:val="en-CA"/>
        </w:rPr>
        <w:t>s</w:t>
      </w:r>
      <w:r w:rsidR="00B9242C" w:rsidRPr="00A033C0">
        <w:rPr>
          <w:color w:val="auto"/>
          <w:lang w:val="en-CA"/>
        </w:rPr>
        <w:t xml:space="preserve"> that </w:t>
      </w:r>
      <w:r w:rsidR="00FD5A9F" w:rsidRPr="00A033C0">
        <w:rPr>
          <w:color w:val="auto"/>
          <w:lang w:val="en-CA"/>
        </w:rPr>
        <w:t xml:space="preserve">FBS-adsorbed surfaces </w:t>
      </w:r>
      <w:r w:rsidR="00B9242C" w:rsidRPr="00A033C0">
        <w:rPr>
          <w:color w:val="auto"/>
          <w:lang w:val="en-CA"/>
        </w:rPr>
        <w:t>do not generate a detectable</w:t>
      </w:r>
      <w:r w:rsidR="00FD5A9F" w:rsidRPr="00A033C0">
        <w:rPr>
          <w:color w:val="auto"/>
          <w:lang w:val="en-CA"/>
        </w:rPr>
        <w:t xml:space="preserve"> false positive result, likely </w:t>
      </w:r>
      <w:r w:rsidR="00B9242C" w:rsidRPr="00A033C0">
        <w:rPr>
          <w:color w:val="auto"/>
          <w:lang w:val="en-CA"/>
        </w:rPr>
        <w:t xml:space="preserve">because </w:t>
      </w:r>
      <w:r w:rsidR="00FD5A9F" w:rsidRPr="00A033C0">
        <w:rPr>
          <w:color w:val="auto"/>
          <w:lang w:val="en-CA"/>
        </w:rPr>
        <w:t xml:space="preserve">the serum molecules are strongly adsorbed to the culture surface and </w:t>
      </w:r>
      <w:r w:rsidR="00030577" w:rsidRPr="00A033C0">
        <w:rPr>
          <w:color w:val="auto"/>
          <w:lang w:val="en-CA"/>
        </w:rPr>
        <w:t>are not released into</w:t>
      </w:r>
      <w:r w:rsidR="00FD5A9F" w:rsidRPr="00A033C0">
        <w:rPr>
          <w:color w:val="auto"/>
          <w:lang w:val="en-CA"/>
        </w:rPr>
        <w:t xml:space="preserve"> the supernatant. The culture time point for the </w:t>
      </w:r>
      <w:r w:rsidR="00A4003C" w:rsidRPr="00A033C0">
        <w:rPr>
          <w:color w:val="auto"/>
          <w:lang w:val="en-CA"/>
        </w:rPr>
        <w:t xml:space="preserve">reporter </w:t>
      </w:r>
      <w:r w:rsidR="00BB7516" w:rsidRPr="00A033C0">
        <w:rPr>
          <w:color w:val="auto"/>
          <w:lang w:val="en-CA"/>
        </w:rPr>
        <w:t>macrophages</w:t>
      </w:r>
      <w:r w:rsidR="00FD5A9F" w:rsidRPr="00A033C0">
        <w:rPr>
          <w:color w:val="auto"/>
          <w:lang w:val="en-CA"/>
        </w:rPr>
        <w:t xml:space="preserve"> (20 </w:t>
      </w:r>
      <w:r w:rsidR="00917ADA">
        <w:rPr>
          <w:color w:val="auto"/>
          <w:lang w:val="en-CA"/>
        </w:rPr>
        <w:t>h</w:t>
      </w:r>
      <w:r w:rsidR="00FD5A9F" w:rsidRPr="00A033C0">
        <w:rPr>
          <w:color w:val="auto"/>
          <w:lang w:val="en-CA"/>
        </w:rPr>
        <w:t>)</w:t>
      </w:r>
      <w:r w:rsidR="007904DA" w:rsidRPr="00A033C0">
        <w:rPr>
          <w:color w:val="auto"/>
          <w:lang w:val="en-CA"/>
        </w:rPr>
        <w:t>,</w:t>
      </w:r>
      <w:r w:rsidR="00FD5A9F" w:rsidRPr="00A033C0">
        <w:rPr>
          <w:color w:val="auto"/>
          <w:lang w:val="en-CA"/>
        </w:rPr>
        <w:t xml:space="preserve"> </w:t>
      </w:r>
      <w:r w:rsidR="000A39BD" w:rsidRPr="00A033C0">
        <w:rPr>
          <w:color w:val="auto"/>
          <w:lang w:val="en-CA"/>
        </w:rPr>
        <w:t xml:space="preserve">assay </w:t>
      </w:r>
      <w:r w:rsidR="00FD5A9F" w:rsidRPr="00A033C0">
        <w:rPr>
          <w:color w:val="auto"/>
          <w:lang w:val="en-CA"/>
        </w:rPr>
        <w:t xml:space="preserve">incubation timepoint (2.5 </w:t>
      </w:r>
      <w:r w:rsidR="00917ADA">
        <w:rPr>
          <w:color w:val="auto"/>
          <w:lang w:val="en-CA"/>
        </w:rPr>
        <w:t>h</w:t>
      </w:r>
      <w:r w:rsidR="00FD5A9F" w:rsidRPr="00A033C0">
        <w:rPr>
          <w:color w:val="auto"/>
          <w:lang w:val="en-CA"/>
        </w:rPr>
        <w:t>)</w:t>
      </w:r>
      <w:r w:rsidR="007904DA" w:rsidRPr="00A033C0">
        <w:rPr>
          <w:color w:val="auto"/>
          <w:lang w:val="en-CA"/>
        </w:rPr>
        <w:t>,</w:t>
      </w:r>
      <w:r w:rsidR="00FD5A9F" w:rsidRPr="00A033C0">
        <w:rPr>
          <w:color w:val="auto"/>
          <w:lang w:val="en-CA"/>
        </w:rPr>
        <w:t xml:space="preserve"> and absorbance</w:t>
      </w:r>
      <w:r w:rsidR="000A39BD" w:rsidRPr="00A033C0">
        <w:rPr>
          <w:color w:val="auto"/>
          <w:lang w:val="en-CA"/>
        </w:rPr>
        <w:t xml:space="preserve"> reading wavelength</w:t>
      </w:r>
      <w:r w:rsidR="00FD5A9F" w:rsidRPr="00A033C0">
        <w:rPr>
          <w:color w:val="auto"/>
          <w:lang w:val="en-CA"/>
        </w:rPr>
        <w:t xml:space="preserve"> (635 nm) for the </w:t>
      </w:r>
      <w:r w:rsidR="00A4003C" w:rsidRPr="00A033C0">
        <w:rPr>
          <w:color w:val="auto"/>
          <w:lang w:val="en-CA"/>
        </w:rPr>
        <w:t xml:space="preserve">alkaline </w:t>
      </w:r>
      <w:r w:rsidR="00A4003C" w:rsidRPr="00A033C0">
        <w:rPr>
          <w:color w:val="auto"/>
          <w:lang w:val="en-CA"/>
        </w:rPr>
        <w:lastRenderedPageBreak/>
        <w:t>phosphatase</w:t>
      </w:r>
      <w:r w:rsidR="00FD5A9F" w:rsidRPr="00A033C0">
        <w:rPr>
          <w:color w:val="auto"/>
          <w:lang w:val="en-CA"/>
        </w:rPr>
        <w:t xml:space="preserve"> assay were optimized with this system to ensure </w:t>
      </w:r>
      <w:r w:rsidR="00093636" w:rsidRPr="00A033C0">
        <w:rPr>
          <w:color w:val="auto"/>
          <w:lang w:val="en-CA"/>
        </w:rPr>
        <w:t>robust and</w:t>
      </w:r>
      <w:r w:rsidR="00FD5A9F" w:rsidRPr="00A033C0">
        <w:rPr>
          <w:color w:val="auto"/>
          <w:lang w:val="en-CA"/>
        </w:rPr>
        <w:t xml:space="preserve"> reproducible </w:t>
      </w:r>
      <w:r w:rsidR="00093636" w:rsidRPr="00A033C0">
        <w:rPr>
          <w:color w:val="auto"/>
          <w:lang w:val="en-CA"/>
        </w:rPr>
        <w:t xml:space="preserve">measurements </w:t>
      </w:r>
      <w:r w:rsidR="00FD5A9F" w:rsidRPr="00A033C0">
        <w:rPr>
          <w:color w:val="auto"/>
          <w:lang w:val="en-CA"/>
        </w:rPr>
        <w:t xml:space="preserve">for all conditions. </w:t>
      </w:r>
    </w:p>
    <w:p w14:paraId="1443792F" w14:textId="77777777" w:rsidR="00FD5A9F" w:rsidRPr="00A033C0" w:rsidRDefault="00FD5A9F" w:rsidP="00FD5A9F">
      <w:pPr>
        <w:pStyle w:val="NormalWeb"/>
        <w:spacing w:before="0" w:beforeAutospacing="0" w:after="0" w:afterAutospacing="0"/>
        <w:rPr>
          <w:color w:val="auto"/>
          <w:lang w:val="en-CA"/>
        </w:rPr>
      </w:pPr>
    </w:p>
    <w:p w14:paraId="7B8CC814" w14:textId="646F2A0E" w:rsidR="00680D8B" w:rsidRPr="00A033C0" w:rsidRDefault="00680D8B" w:rsidP="00680D8B">
      <w:pPr>
        <w:rPr>
          <w:color w:val="auto"/>
        </w:rPr>
      </w:pPr>
      <w:r w:rsidRPr="00A033C0">
        <w:rPr>
          <w:color w:val="auto"/>
        </w:rPr>
        <w:t xml:space="preserve">An initial protein adsorption timepoint of 30 </w:t>
      </w:r>
      <w:r w:rsidR="00A7187F">
        <w:rPr>
          <w:color w:val="auto"/>
        </w:rPr>
        <w:t>min</w:t>
      </w:r>
      <w:r w:rsidRPr="00A033C0">
        <w:rPr>
          <w:color w:val="auto"/>
        </w:rPr>
        <w:t xml:space="preserve"> was chosen for this work due to its common use in protein adsorption literature (</w:t>
      </w:r>
      <w:r w:rsidR="002D5A8D" w:rsidRPr="002D5A8D">
        <w:rPr>
          <w:b/>
          <w:bCs/>
          <w:color w:val="auto"/>
        </w:rPr>
        <w:t>Figure 1</w:t>
      </w:r>
      <w:r w:rsidRPr="00A033C0">
        <w:rPr>
          <w:b/>
          <w:color w:val="auto"/>
        </w:rPr>
        <w:t>C</w:t>
      </w:r>
      <w:r w:rsidRPr="00A033C0">
        <w:rPr>
          <w:color w:val="auto"/>
        </w:rPr>
        <w:t>)</w:t>
      </w:r>
      <w:r w:rsidR="00891A46" w:rsidRPr="00A033C0">
        <w:rPr>
          <w:noProof/>
          <w:color w:val="auto"/>
          <w:vertAlign w:val="superscript"/>
        </w:rPr>
        <w:t>30–34</w:t>
      </w:r>
      <w:r w:rsidRPr="00A033C0">
        <w:rPr>
          <w:color w:val="auto"/>
        </w:rPr>
        <w:t xml:space="preserve">. However, we have </w:t>
      </w:r>
      <w:r w:rsidR="00030577" w:rsidRPr="00A033C0">
        <w:rPr>
          <w:color w:val="auto"/>
        </w:rPr>
        <w:t>also explored</w:t>
      </w:r>
      <w:r w:rsidRPr="00A033C0">
        <w:rPr>
          <w:color w:val="auto"/>
        </w:rPr>
        <w:t xml:space="preserve"> longer </w:t>
      </w:r>
      <w:r w:rsidR="00030577" w:rsidRPr="00A033C0">
        <w:rPr>
          <w:color w:val="auto"/>
        </w:rPr>
        <w:t xml:space="preserve">adsorption </w:t>
      </w:r>
      <w:r w:rsidRPr="00A033C0">
        <w:rPr>
          <w:color w:val="auto"/>
        </w:rPr>
        <w:t>times (</w:t>
      </w:r>
      <w:r w:rsidR="004D6BDD" w:rsidRPr="004D6BDD">
        <w:rPr>
          <w:color w:val="auto"/>
        </w:rPr>
        <w:t xml:space="preserve">i.e., </w:t>
      </w:r>
      <w:r w:rsidRPr="00A033C0">
        <w:rPr>
          <w:color w:val="auto"/>
        </w:rPr>
        <w:t xml:space="preserve">60 </w:t>
      </w:r>
      <w:r w:rsidR="00A7187F">
        <w:rPr>
          <w:color w:val="auto"/>
        </w:rPr>
        <w:t>min</w:t>
      </w:r>
      <w:r w:rsidRPr="00A033C0">
        <w:rPr>
          <w:color w:val="auto"/>
        </w:rPr>
        <w:t xml:space="preserve"> and 24 </w:t>
      </w:r>
      <w:r w:rsidR="00917ADA">
        <w:rPr>
          <w:color w:val="auto"/>
        </w:rPr>
        <w:t>h</w:t>
      </w:r>
      <w:r w:rsidRPr="00A033C0">
        <w:rPr>
          <w:color w:val="auto"/>
        </w:rPr>
        <w:t xml:space="preserve">, </w:t>
      </w:r>
      <w:r w:rsidRPr="00A033C0">
        <w:rPr>
          <w:b/>
          <w:color w:val="auto"/>
        </w:rPr>
        <w:t xml:space="preserve">Figure </w:t>
      </w:r>
      <w:r w:rsidR="00F57A05" w:rsidRPr="00A033C0">
        <w:rPr>
          <w:b/>
          <w:color w:val="auto"/>
        </w:rPr>
        <w:t>4</w:t>
      </w:r>
      <w:r w:rsidRPr="00A033C0">
        <w:rPr>
          <w:color w:val="auto"/>
        </w:rPr>
        <w:t>) to better represent the adsorbed protein layer tha</w:t>
      </w:r>
      <w:r w:rsidR="000A39BD" w:rsidRPr="00A033C0">
        <w:rPr>
          <w:color w:val="auto"/>
        </w:rPr>
        <w:t>t</w:t>
      </w:r>
      <w:r w:rsidRPr="00A033C0">
        <w:rPr>
          <w:color w:val="auto"/>
        </w:rPr>
        <w:t xml:space="preserve"> macrophages would interact with </w:t>
      </w:r>
      <w:r w:rsidR="00DD0575" w:rsidRPr="00DD0575">
        <w:rPr>
          <w:color w:val="auto"/>
        </w:rPr>
        <w:t>in vivo</w:t>
      </w:r>
      <w:r w:rsidRPr="00A033C0">
        <w:rPr>
          <w:color w:val="auto"/>
        </w:rPr>
        <w:t xml:space="preserve">, which is likely </w:t>
      </w:r>
      <w:r w:rsidR="00030577" w:rsidRPr="00A033C0">
        <w:rPr>
          <w:color w:val="auto"/>
        </w:rPr>
        <w:t xml:space="preserve">to occur </w:t>
      </w:r>
      <w:r w:rsidRPr="00A033C0">
        <w:rPr>
          <w:color w:val="auto"/>
        </w:rPr>
        <w:t>4</w:t>
      </w:r>
      <w:r w:rsidR="008E64B0">
        <w:rPr>
          <w:color w:val="auto"/>
        </w:rPr>
        <w:t>−</w:t>
      </w:r>
      <w:r w:rsidRPr="00A033C0">
        <w:rPr>
          <w:color w:val="auto"/>
        </w:rPr>
        <w:t xml:space="preserve">24 </w:t>
      </w:r>
      <w:r w:rsidR="00917ADA">
        <w:rPr>
          <w:color w:val="auto"/>
        </w:rPr>
        <w:t>h</w:t>
      </w:r>
      <w:r w:rsidR="00030577" w:rsidRPr="00A033C0">
        <w:rPr>
          <w:color w:val="auto"/>
        </w:rPr>
        <w:t xml:space="preserve"> following implantation</w:t>
      </w:r>
      <w:r w:rsidR="00982599" w:rsidRPr="00A033C0">
        <w:rPr>
          <w:noProof/>
          <w:color w:val="auto"/>
          <w:vertAlign w:val="superscript"/>
        </w:rPr>
        <w:t>1</w:t>
      </w:r>
      <w:r w:rsidRPr="00A033C0">
        <w:rPr>
          <w:color w:val="auto"/>
        </w:rPr>
        <w:t xml:space="preserve">. </w:t>
      </w:r>
      <w:r w:rsidR="007904DA" w:rsidRPr="00A033C0">
        <w:rPr>
          <w:color w:val="auto"/>
        </w:rPr>
        <w:t>I</w:t>
      </w:r>
      <w:r w:rsidRPr="00A033C0">
        <w:rPr>
          <w:color w:val="auto"/>
        </w:rPr>
        <w:t xml:space="preserve">t has been postulated that the majority of protein adsorption and exchange occurs in the first 60 </w:t>
      </w:r>
      <w:r w:rsidR="00A7187F">
        <w:rPr>
          <w:color w:val="auto"/>
        </w:rPr>
        <w:t>min</w:t>
      </w:r>
      <w:r w:rsidRPr="00A033C0">
        <w:rPr>
          <w:color w:val="auto"/>
        </w:rPr>
        <w:t xml:space="preserve"> of exposure to a surface</w:t>
      </w:r>
      <w:r w:rsidR="00891A46" w:rsidRPr="00A033C0">
        <w:rPr>
          <w:noProof/>
          <w:color w:val="auto"/>
          <w:vertAlign w:val="superscript"/>
        </w:rPr>
        <w:t>26,35,36</w:t>
      </w:r>
      <w:r w:rsidRPr="00A033C0">
        <w:rPr>
          <w:color w:val="auto"/>
        </w:rPr>
        <w:t xml:space="preserve">, therefore </w:t>
      </w:r>
      <w:r w:rsidR="00030577" w:rsidRPr="00A033C0">
        <w:rPr>
          <w:color w:val="auto"/>
        </w:rPr>
        <w:t xml:space="preserve">a 60 min adsorption time </w:t>
      </w:r>
      <w:r w:rsidRPr="00A033C0">
        <w:rPr>
          <w:color w:val="auto"/>
        </w:rPr>
        <w:t xml:space="preserve">may be a more relevant timepoint. We have also moved from using </w:t>
      </w:r>
      <w:r w:rsidR="008E64B0">
        <w:rPr>
          <w:color w:val="auto"/>
        </w:rPr>
        <w:t xml:space="preserve">FBS </w:t>
      </w:r>
      <w:r w:rsidRPr="00A033C0">
        <w:rPr>
          <w:color w:val="auto"/>
        </w:rPr>
        <w:t>as a negative control for the presence of DAMPs in the adsorbed protein layer to</w:t>
      </w:r>
      <w:r w:rsidR="007904DA" w:rsidRPr="00A033C0">
        <w:rPr>
          <w:color w:val="auto"/>
        </w:rPr>
        <w:t xml:space="preserve"> commercial mouse</w:t>
      </w:r>
      <w:r w:rsidRPr="00A033C0">
        <w:rPr>
          <w:color w:val="auto"/>
        </w:rPr>
        <w:t xml:space="preserve"> plasma. </w:t>
      </w:r>
      <w:r w:rsidR="00030577" w:rsidRPr="00A033C0">
        <w:rPr>
          <w:color w:val="auto"/>
        </w:rPr>
        <w:t>The rationale for using</w:t>
      </w:r>
      <w:r w:rsidRPr="00A033C0">
        <w:rPr>
          <w:color w:val="auto"/>
        </w:rPr>
        <w:t xml:space="preserve"> plasma </w:t>
      </w:r>
      <w:r w:rsidR="00030577" w:rsidRPr="00A033C0">
        <w:rPr>
          <w:color w:val="auto"/>
        </w:rPr>
        <w:t xml:space="preserve">instead of serum is that </w:t>
      </w:r>
      <w:r w:rsidR="00D4105C" w:rsidRPr="00A033C0">
        <w:rPr>
          <w:color w:val="auto"/>
        </w:rPr>
        <w:t>plasma proteins are known to play significant roles in protein adsorption and macrophage response</w:t>
      </w:r>
      <w:r w:rsidR="00982599" w:rsidRPr="00A033C0">
        <w:rPr>
          <w:noProof/>
          <w:color w:val="auto"/>
          <w:vertAlign w:val="superscript"/>
        </w:rPr>
        <w:t>1</w:t>
      </w:r>
      <w:r w:rsidR="00030577" w:rsidRPr="00A033C0">
        <w:rPr>
          <w:color w:val="auto"/>
        </w:rPr>
        <w:t>, and that plasma provides a better representation of the proteins in the wound environment</w:t>
      </w:r>
      <w:r w:rsidRPr="00A033C0">
        <w:rPr>
          <w:color w:val="auto"/>
        </w:rPr>
        <w:t>.</w:t>
      </w:r>
      <w:r w:rsidR="006C19DE" w:rsidRPr="006C19DE">
        <w:rPr>
          <w:color w:val="auto"/>
        </w:rPr>
        <w:t xml:space="preserve"> </w:t>
      </w:r>
      <w:r w:rsidR="005D0FD1" w:rsidRPr="00A033C0">
        <w:rPr>
          <w:color w:val="auto"/>
        </w:rPr>
        <w:t>P</w:t>
      </w:r>
      <w:r w:rsidRPr="00A033C0">
        <w:rPr>
          <w:color w:val="auto"/>
        </w:rPr>
        <w:t xml:space="preserve">lasma </w:t>
      </w:r>
      <w:r w:rsidR="005D0FD1" w:rsidRPr="00A033C0">
        <w:rPr>
          <w:color w:val="auto"/>
        </w:rPr>
        <w:t>used in protein adsorption</w:t>
      </w:r>
      <w:r w:rsidRPr="00A033C0">
        <w:rPr>
          <w:color w:val="auto"/>
        </w:rPr>
        <w:t xml:space="preserve"> </w:t>
      </w:r>
      <w:r w:rsidR="005D0FD1" w:rsidRPr="00A033C0">
        <w:rPr>
          <w:color w:val="auto"/>
        </w:rPr>
        <w:t xml:space="preserve">experiments is </w:t>
      </w:r>
      <w:r w:rsidRPr="00A033C0">
        <w:rPr>
          <w:color w:val="auto"/>
        </w:rPr>
        <w:t xml:space="preserve">commonly </w:t>
      </w:r>
      <w:r w:rsidR="005D0FD1" w:rsidRPr="00A033C0">
        <w:rPr>
          <w:color w:val="auto"/>
        </w:rPr>
        <w:t xml:space="preserve">prepared as a </w:t>
      </w:r>
      <w:r w:rsidRPr="00A033C0">
        <w:rPr>
          <w:color w:val="auto"/>
        </w:rPr>
        <w:t>1</w:t>
      </w:r>
      <w:r w:rsidR="008E64B0">
        <w:rPr>
          <w:color w:val="auto"/>
        </w:rPr>
        <w:t>−</w:t>
      </w:r>
      <w:r w:rsidRPr="00A033C0">
        <w:rPr>
          <w:color w:val="auto"/>
        </w:rPr>
        <w:t>10% dilution</w:t>
      </w:r>
      <w:r w:rsidR="00891A46" w:rsidRPr="00A033C0">
        <w:rPr>
          <w:noProof/>
          <w:color w:val="auto"/>
          <w:vertAlign w:val="superscript"/>
        </w:rPr>
        <w:t>26,36,37</w:t>
      </w:r>
      <w:r w:rsidRPr="00A033C0">
        <w:rPr>
          <w:color w:val="auto"/>
        </w:rPr>
        <w:t xml:space="preserve">, </w:t>
      </w:r>
      <w:r w:rsidR="005D0FD1" w:rsidRPr="00A033C0">
        <w:rPr>
          <w:color w:val="auto"/>
        </w:rPr>
        <w:t>which motivated our</w:t>
      </w:r>
      <w:r w:rsidRPr="00A033C0">
        <w:rPr>
          <w:color w:val="auto"/>
        </w:rPr>
        <w:t xml:space="preserve"> use </w:t>
      </w:r>
      <w:r w:rsidR="005D0FD1" w:rsidRPr="00A033C0">
        <w:rPr>
          <w:color w:val="auto"/>
        </w:rPr>
        <w:t xml:space="preserve">of </w:t>
      </w:r>
      <w:r w:rsidRPr="00A033C0">
        <w:rPr>
          <w:color w:val="auto"/>
        </w:rPr>
        <w:t xml:space="preserve">10% plasma. </w:t>
      </w:r>
      <w:r w:rsidR="005125D4" w:rsidRPr="00A033C0">
        <w:rPr>
          <w:color w:val="auto"/>
        </w:rPr>
        <w:t>H</w:t>
      </w:r>
      <w:r w:rsidRPr="00A033C0">
        <w:rPr>
          <w:color w:val="auto"/>
        </w:rPr>
        <w:t>uman plasma is commonly used</w:t>
      </w:r>
      <w:r w:rsidR="00891A46" w:rsidRPr="00A033C0">
        <w:rPr>
          <w:noProof/>
          <w:color w:val="auto"/>
          <w:vertAlign w:val="superscript"/>
        </w:rPr>
        <w:t>26,36</w:t>
      </w:r>
      <w:r w:rsidR="005125D4" w:rsidRPr="00A033C0">
        <w:rPr>
          <w:color w:val="auto"/>
        </w:rPr>
        <w:t xml:space="preserve">, as it is </w:t>
      </w:r>
      <w:r w:rsidRPr="00A033C0">
        <w:rPr>
          <w:color w:val="auto"/>
        </w:rPr>
        <w:t xml:space="preserve">easier to obtain in large quantities </w:t>
      </w:r>
      <w:r w:rsidR="005125D4" w:rsidRPr="00A033C0">
        <w:rPr>
          <w:color w:val="auto"/>
        </w:rPr>
        <w:t xml:space="preserve">and more clinically relevant, </w:t>
      </w:r>
      <w:r w:rsidRPr="00A033C0">
        <w:rPr>
          <w:color w:val="auto"/>
        </w:rPr>
        <w:t>compared to mouse plasma</w:t>
      </w:r>
      <w:r w:rsidR="00904AD9" w:rsidRPr="00A033C0">
        <w:rPr>
          <w:color w:val="auto"/>
        </w:rPr>
        <w:t>.</w:t>
      </w:r>
      <w:r w:rsidRPr="00A033C0">
        <w:rPr>
          <w:color w:val="auto"/>
        </w:rPr>
        <w:t xml:space="preserve"> </w:t>
      </w:r>
      <w:r w:rsidR="00904AD9" w:rsidRPr="00A033C0">
        <w:rPr>
          <w:color w:val="auto"/>
        </w:rPr>
        <w:t xml:space="preserve">However, </w:t>
      </w:r>
      <w:r w:rsidRPr="00A033C0">
        <w:rPr>
          <w:color w:val="auto"/>
        </w:rPr>
        <w:t xml:space="preserve">we </w:t>
      </w:r>
      <w:r w:rsidR="005125D4" w:rsidRPr="00A033C0">
        <w:rPr>
          <w:color w:val="auto"/>
        </w:rPr>
        <w:t xml:space="preserve">chose to use commercial mouse plasma for in this model </w:t>
      </w:r>
      <w:r w:rsidRPr="00A033C0">
        <w:rPr>
          <w:color w:val="auto"/>
        </w:rPr>
        <w:t xml:space="preserve">to keep the species of the protein solutions consistent with </w:t>
      </w:r>
      <w:r w:rsidR="005125D4" w:rsidRPr="00A033C0">
        <w:rPr>
          <w:color w:val="auto"/>
        </w:rPr>
        <w:t xml:space="preserve">that of the </w:t>
      </w:r>
      <w:r w:rsidRPr="00A033C0">
        <w:rPr>
          <w:color w:val="auto"/>
        </w:rPr>
        <w:t xml:space="preserve">reporter cells. </w:t>
      </w:r>
    </w:p>
    <w:p w14:paraId="62E49675" w14:textId="77777777" w:rsidR="00680D8B" w:rsidRPr="00A033C0" w:rsidRDefault="00680D8B" w:rsidP="00FD5A9F">
      <w:pPr>
        <w:pStyle w:val="NormalWeb"/>
        <w:spacing w:before="0" w:beforeAutospacing="0" w:after="0" w:afterAutospacing="0"/>
        <w:rPr>
          <w:color w:val="auto"/>
          <w:lang w:val="en-CA"/>
        </w:rPr>
      </w:pPr>
    </w:p>
    <w:p w14:paraId="766CF59F" w14:textId="5F6ABA08" w:rsidR="00BF5366" w:rsidRPr="00A033C0" w:rsidRDefault="00FD5A9F" w:rsidP="00FD5A9F">
      <w:pPr>
        <w:pStyle w:val="NormalWeb"/>
        <w:spacing w:before="0" w:beforeAutospacing="0" w:after="0" w:afterAutospacing="0"/>
        <w:rPr>
          <w:color w:val="808080"/>
        </w:rPr>
      </w:pPr>
      <w:r w:rsidRPr="00A033C0">
        <w:rPr>
          <w:color w:val="auto"/>
          <w:lang w:val="en-CA"/>
        </w:rPr>
        <w:t>T</w:t>
      </w:r>
      <w:r w:rsidR="00D35003" w:rsidRPr="00A033C0">
        <w:rPr>
          <w:color w:val="auto"/>
          <w:lang w:val="en-CA"/>
        </w:rPr>
        <w:t>he use of th</w:t>
      </w:r>
      <w:r w:rsidRPr="00A033C0">
        <w:rPr>
          <w:color w:val="auto"/>
          <w:lang w:val="en-CA"/>
        </w:rPr>
        <w:t xml:space="preserve">e </w:t>
      </w:r>
      <w:r w:rsidR="00D35003" w:rsidRPr="00A033C0">
        <w:rPr>
          <w:color w:val="auto"/>
          <w:lang w:val="en-CA"/>
        </w:rPr>
        <w:t>reporter</w:t>
      </w:r>
      <w:r w:rsidR="00A4003C" w:rsidRPr="00A033C0">
        <w:rPr>
          <w:color w:val="auto"/>
          <w:lang w:val="en-CA"/>
        </w:rPr>
        <w:t xml:space="preserve"> macrophage</w:t>
      </w:r>
      <w:r w:rsidR="00D35003" w:rsidRPr="00A033C0">
        <w:rPr>
          <w:color w:val="auto"/>
          <w:lang w:val="en-CA"/>
        </w:rPr>
        <w:t xml:space="preserve"> cell line introduced some limitations within the study. First, </w:t>
      </w:r>
      <w:r w:rsidR="002148D4" w:rsidRPr="00A033C0">
        <w:rPr>
          <w:color w:val="auto"/>
          <w:lang w:val="en-CA"/>
        </w:rPr>
        <w:t>using</w:t>
      </w:r>
      <w:r w:rsidR="00D35003" w:rsidRPr="00A033C0">
        <w:rPr>
          <w:color w:val="auto"/>
          <w:lang w:val="en-CA"/>
        </w:rPr>
        <w:t xml:space="preserve"> a murine leukemic macrophage cell line has inherent limitations, as the phenotype and behavior may vary from primary macrophage cultures. While this limitation will be addressed in future work using primary macrophages, the parental </w:t>
      </w:r>
      <w:r w:rsidR="00A4003C" w:rsidRPr="00A033C0">
        <w:rPr>
          <w:color w:val="auto"/>
          <w:lang w:val="en-CA"/>
        </w:rPr>
        <w:t xml:space="preserve">macrophage </w:t>
      </w:r>
      <w:r w:rsidR="00D35003" w:rsidRPr="00A033C0">
        <w:rPr>
          <w:color w:val="auto"/>
          <w:lang w:val="en-CA"/>
        </w:rPr>
        <w:t>cell line was shown to closely mimic mouse bone marrow-derived macrophages in terms of their cell surface receptors and response to microbial ligands for TLRs 2, 3 and 4</w:t>
      </w:r>
      <w:r w:rsidR="00891A46" w:rsidRPr="00A033C0">
        <w:rPr>
          <w:noProof/>
          <w:color w:val="auto"/>
          <w:vertAlign w:val="superscript"/>
          <w:lang w:val="en-CA"/>
        </w:rPr>
        <w:t>38</w:t>
      </w:r>
      <w:r w:rsidR="00D35003" w:rsidRPr="00A033C0">
        <w:rPr>
          <w:color w:val="auto"/>
          <w:lang w:val="en-CA"/>
        </w:rPr>
        <w:t xml:space="preserve">. </w:t>
      </w:r>
      <w:r w:rsidR="00BF5366" w:rsidRPr="00A033C0">
        <w:rPr>
          <w:color w:val="auto"/>
          <w:lang w:val="en-CA"/>
        </w:rPr>
        <w:t xml:space="preserve">Furthermore, the </w:t>
      </w:r>
      <w:r w:rsidR="00A4003C" w:rsidRPr="00A033C0">
        <w:rPr>
          <w:color w:val="auto"/>
          <w:lang w:val="en-CA"/>
        </w:rPr>
        <w:t>NF-</w:t>
      </w:r>
      <w:proofErr w:type="spellStart"/>
      <w:r w:rsidR="00A4003C" w:rsidRPr="00A033C0">
        <w:rPr>
          <w:color w:val="auto"/>
          <w:lang w:val="en-CA"/>
        </w:rPr>
        <w:t>κB</w:t>
      </w:r>
      <w:proofErr w:type="spellEnd"/>
      <w:r w:rsidR="00A4003C" w:rsidRPr="00A033C0">
        <w:rPr>
          <w:color w:val="auto"/>
          <w:lang w:val="en-CA"/>
        </w:rPr>
        <w:t xml:space="preserve">/AP-1 </w:t>
      </w:r>
      <w:r w:rsidR="00BF5366" w:rsidRPr="00A033C0">
        <w:rPr>
          <w:color w:val="auto"/>
          <w:lang w:val="en-CA"/>
        </w:rPr>
        <w:t xml:space="preserve">reporter </w:t>
      </w:r>
      <w:r w:rsidR="00F90E3C" w:rsidRPr="00A033C0">
        <w:rPr>
          <w:color w:val="auto"/>
          <w:lang w:val="en-CA"/>
        </w:rPr>
        <w:t xml:space="preserve">macrophages </w:t>
      </w:r>
      <w:r w:rsidR="00BF5366" w:rsidRPr="00A033C0">
        <w:rPr>
          <w:color w:val="auto"/>
          <w:lang w:val="en-CA"/>
        </w:rPr>
        <w:t>yielded similar results in response to HMGB1 and LPS stimulation when compared to peritoneal primary murine macrophages</w:t>
      </w:r>
      <w:r w:rsidR="00891A46" w:rsidRPr="00A033C0">
        <w:rPr>
          <w:noProof/>
          <w:color w:val="auto"/>
          <w:vertAlign w:val="superscript"/>
          <w:lang w:val="en-CA"/>
        </w:rPr>
        <w:t>39</w:t>
      </w:r>
      <w:r w:rsidR="007D0618" w:rsidRPr="00A033C0">
        <w:rPr>
          <w:color w:val="auto"/>
          <w:lang w:val="en-CA"/>
        </w:rPr>
        <w:t xml:space="preserve">. </w:t>
      </w:r>
      <w:r w:rsidR="000A39BD" w:rsidRPr="00A033C0">
        <w:rPr>
          <w:color w:val="auto"/>
          <w:lang w:val="en-CA"/>
        </w:rPr>
        <w:t>It should be noted that</w:t>
      </w:r>
      <w:r w:rsidR="00BF5366" w:rsidRPr="00A033C0">
        <w:rPr>
          <w:color w:val="auto"/>
          <w:lang w:val="en-CA"/>
        </w:rPr>
        <w:t xml:space="preserve"> </w:t>
      </w:r>
      <w:r w:rsidR="00A4003C" w:rsidRPr="00A033C0">
        <w:rPr>
          <w:color w:val="auto"/>
          <w:lang w:val="en-CA"/>
        </w:rPr>
        <w:t>the NF-</w:t>
      </w:r>
      <w:proofErr w:type="spellStart"/>
      <w:r w:rsidR="00A4003C" w:rsidRPr="00A033C0">
        <w:rPr>
          <w:color w:val="auto"/>
          <w:lang w:val="en-CA"/>
        </w:rPr>
        <w:t>κB</w:t>
      </w:r>
      <w:proofErr w:type="spellEnd"/>
      <w:r w:rsidR="00A4003C" w:rsidRPr="00A033C0">
        <w:rPr>
          <w:color w:val="auto"/>
          <w:lang w:val="en-CA"/>
        </w:rPr>
        <w:t>/AP-1 reporter</w:t>
      </w:r>
      <w:r w:rsidR="00BF5366" w:rsidRPr="00A033C0">
        <w:rPr>
          <w:color w:val="auto"/>
          <w:lang w:val="en-CA"/>
        </w:rPr>
        <w:t xml:space="preserve"> macrophages, and their parental strain, do not express TLR5</w:t>
      </w:r>
      <w:r w:rsidR="00891A46" w:rsidRPr="00A033C0">
        <w:rPr>
          <w:noProof/>
          <w:color w:val="auto"/>
          <w:vertAlign w:val="superscript"/>
          <w:lang w:val="en-CA"/>
        </w:rPr>
        <w:t>40</w:t>
      </w:r>
      <w:r w:rsidR="00CD5EF9" w:rsidRPr="00A033C0">
        <w:rPr>
          <w:color w:val="auto"/>
          <w:lang w:val="en-CA"/>
        </w:rPr>
        <w:t xml:space="preserve">. </w:t>
      </w:r>
      <w:r w:rsidR="00F869F4" w:rsidRPr="00A033C0">
        <w:rPr>
          <w:color w:val="auto"/>
          <w:lang w:val="en-CA"/>
        </w:rPr>
        <w:t>Researchers have</w:t>
      </w:r>
      <w:r w:rsidR="00BF5366" w:rsidRPr="00A033C0">
        <w:rPr>
          <w:color w:val="auto"/>
          <w:lang w:val="en-CA"/>
        </w:rPr>
        <w:t xml:space="preserve"> demonstrated that HMGB1 was able to activate NF-</w:t>
      </w:r>
      <w:proofErr w:type="spellStart"/>
      <w:r w:rsidR="00FD2990" w:rsidRPr="00A033C0">
        <w:rPr>
          <w:color w:val="auto"/>
          <w:lang w:val="en-CA"/>
        </w:rPr>
        <w:t>κ</w:t>
      </w:r>
      <w:r w:rsidR="00BF5366" w:rsidRPr="00A033C0">
        <w:rPr>
          <w:color w:val="auto"/>
          <w:lang w:val="en-CA"/>
        </w:rPr>
        <w:t>B</w:t>
      </w:r>
      <w:proofErr w:type="spellEnd"/>
      <w:r w:rsidR="00BF5366" w:rsidRPr="00A033C0">
        <w:rPr>
          <w:color w:val="auto"/>
          <w:lang w:val="en-CA"/>
        </w:rPr>
        <w:t xml:space="preserve"> transcription factors via the TLR5 signaling pathways in HEK-293 cells stably transfected with human TLR5</w:t>
      </w:r>
      <w:r w:rsidR="00891A46" w:rsidRPr="00A033C0">
        <w:rPr>
          <w:noProof/>
          <w:color w:val="auto"/>
          <w:vertAlign w:val="superscript"/>
          <w:lang w:val="en-CA"/>
        </w:rPr>
        <w:t>41</w:t>
      </w:r>
      <w:r w:rsidR="007D0618" w:rsidRPr="00A033C0">
        <w:rPr>
          <w:color w:val="auto"/>
          <w:lang w:val="en-CA"/>
        </w:rPr>
        <w:t xml:space="preserve">. </w:t>
      </w:r>
      <w:r w:rsidR="00BF5366" w:rsidRPr="00A033C0">
        <w:rPr>
          <w:color w:val="auto"/>
          <w:lang w:val="en-CA"/>
        </w:rPr>
        <w:t>Therefore, the contribution of HMGB1-TLR5 signaling to overall NF-</w:t>
      </w:r>
      <w:proofErr w:type="spellStart"/>
      <w:r w:rsidR="00872CE7" w:rsidRPr="00A033C0">
        <w:rPr>
          <w:color w:val="auto"/>
          <w:lang w:val="en-CA"/>
        </w:rPr>
        <w:t>κ</w:t>
      </w:r>
      <w:r w:rsidR="00BF5366" w:rsidRPr="00A033C0">
        <w:rPr>
          <w:color w:val="auto"/>
          <w:lang w:val="en-CA"/>
        </w:rPr>
        <w:t>B</w:t>
      </w:r>
      <w:proofErr w:type="spellEnd"/>
      <w:r w:rsidR="00BF5366" w:rsidRPr="00A033C0">
        <w:rPr>
          <w:color w:val="auto"/>
          <w:lang w:val="en-CA"/>
        </w:rPr>
        <w:t xml:space="preserve"> activity on lysate-coated surfaces was neglected in this model.</w:t>
      </w:r>
      <w:r w:rsidR="00095C96" w:rsidRPr="00A033C0">
        <w:rPr>
          <w:color w:val="auto"/>
          <w:lang w:val="en-CA"/>
        </w:rPr>
        <w:t xml:space="preserve"> Additionally, the reporter macrophages and their parent</w:t>
      </w:r>
      <w:r w:rsidR="002148D4" w:rsidRPr="00A033C0">
        <w:rPr>
          <w:color w:val="auto"/>
          <w:lang w:val="en-CA"/>
        </w:rPr>
        <w:t>al</w:t>
      </w:r>
      <w:r w:rsidR="00095C96" w:rsidRPr="00A033C0">
        <w:rPr>
          <w:color w:val="auto"/>
          <w:lang w:val="en-CA"/>
        </w:rPr>
        <w:t xml:space="preserve"> strain do not express the ASC adaptor protein, and consequently do not form most types of inflammasomes and cannot process inactive IL-1β or inactive IL</w:t>
      </w:r>
      <w:r w:rsidR="00453E33" w:rsidRPr="00A033C0">
        <w:rPr>
          <w:color w:val="auto"/>
          <w:lang w:val="en-CA"/>
        </w:rPr>
        <w:t>-</w:t>
      </w:r>
      <w:r w:rsidR="00095C96" w:rsidRPr="00A033C0">
        <w:rPr>
          <w:color w:val="auto"/>
          <w:lang w:val="en-CA"/>
        </w:rPr>
        <w:t>18 to their mature forms</w:t>
      </w:r>
      <w:r w:rsidR="00891A46" w:rsidRPr="00A033C0">
        <w:rPr>
          <w:noProof/>
          <w:color w:val="auto"/>
          <w:vertAlign w:val="superscript"/>
          <w:lang w:val="en-CA"/>
        </w:rPr>
        <w:t>42</w:t>
      </w:r>
      <w:r w:rsidR="00095C96" w:rsidRPr="00A033C0">
        <w:rPr>
          <w:color w:val="auto"/>
          <w:lang w:val="en-CA"/>
        </w:rPr>
        <w:t>. Therefore, the model we have used does not account for the contribution of ASC-dependent inflammasome activity</w:t>
      </w:r>
      <w:r w:rsidR="00453E33" w:rsidRPr="00A033C0">
        <w:rPr>
          <w:color w:val="auto"/>
          <w:lang w:val="en-CA"/>
        </w:rPr>
        <w:t xml:space="preserve"> and subsequent autocrine IL-1β and IL-18 signaling </w:t>
      </w:r>
      <w:r w:rsidR="00095C96" w:rsidRPr="00A033C0">
        <w:rPr>
          <w:color w:val="auto"/>
          <w:lang w:val="en-CA"/>
        </w:rPr>
        <w:t>in macrophage responses to lysate-adsorbed surfaces.</w:t>
      </w:r>
      <w:r w:rsidR="00093636" w:rsidRPr="00A033C0">
        <w:rPr>
          <w:color w:val="auto"/>
          <w:lang w:val="en-CA"/>
        </w:rPr>
        <w:t xml:space="preserve"> Consequently, this assay is intended as a preliminary examination of TLR-dependent NF-</w:t>
      </w:r>
      <w:proofErr w:type="spellStart"/>
      <w:r w:rsidR="00093636" w:rsidRPr="00A033C0">
        <w:rPr>
          <w:color w:val="auto"/>
          <w:lang w:val="en-CA"/>
        </w:rPr>
        <w:t>κB</w:t>
      </w:r>
      <w:proofErr w:type="spellEnd"/>
      <w:r w:rsidR="00093636" w:rsidRPr="00A033C0">
        <w:rPr>
          <w:color w:val="auto"/>
          <w:lang w:val="en-CA"/>
        </w:rPr>
        <w:t xml:space="preserve"> activation, and subsequent research using primary macrophages is recommended to provide a more complete and representative understanding of macrophage activation and phenotype on material surfaces of interest.</w:t>
      </w:r>
    </w:p>
    <w:p w14:paraId="4D17BCE9" w14:textId="77777777" w:rsidR="007D0618" w:rsidRPr="00A033C0" w:rsidRDefault="007D0618" w:rsidP="001B1519">
      <w:pPr>
        <w:rPr>
          <w:color w:val="auto"/>
          <w:lang w:val="en-CA"/>
        </w:rPr>
      </w:pPr>
    </w:p>
    <w:p w14:paraId="22B72311" w14:textId="0AA34EA3" w:rsidR="00872CE7" w:rsidRPr="00A033C0" w:rsidRDefault="00C43FD4" w:rsidP="007E75A2">
      <w:pPr>
        <w:rPr>
          <w:color w:val="auto"/>
        </w:rPr>
      </w:pPr>
      <w:r w:rsidRPr="00A033C0">
        <w:rPr>
          <w:color w:val="auto"/>
        </w:rPr>
        <w:t>T</w:t>
      </w:r>
      <w:r w:rsidR="00872CE7" w:rsidRPr="00A033C0">
        <w:rPr>
          <w:color w:val="auto"/>
        </w:rPr>
        <w:t xml:space="preserve">he </w:t>
      </w:r>
      <w:r w:rsidR="00A4003C" w:rsidRPr="00A033C0">
        <w:rPr>
          <w:color w:val="auto"/>
        </w:rPr>
        <w:t>alkaline phosphatase</w:t>
      </w:r>
      <w:r w:rsidR="00872CE7" w:rsidRPr="00A033C0">
        <w:rPr>
          <w:color w:val="auto"/>
        </w:rPr>
        <w:t xml:space="preserve"> assay </w:t>
      </w:r>
      <w:r w:rsidRPr="00A033C0">
        <w:rPr>
          <w:color w:val="auto"/>
        </w:rPr>
        <w:t xml:space="preserve">indirectly measures the </w:t>
      </w:r>
      <w:r w:rsidR="00872CE7" w:rsidRPr="00A033C0">
        <w:rPr>
          <w:color w:val="auto"/>
        </w:rPr>
        <w:t>NF-</w:t>
      </w:r>
      <w:proofErr w:type="spellStart"/>
      <w:r w:rsidR="00872CE7" w:rsidRPr="00A033C0">
        <w:rPr>
          <w:color w:val="auto"/>
        </w:rPr>
        <w:t>кB</w:t>
      </w:r>
      <w:proofErr w:type="spellEnd"/>
      <w:r w:rsidR="00872CE7" w:rsidRPr="00A033C0">
        <w:rPr>
          <w:color w:val="auto"/>
        </w:rPr>
        <w:t xml:space="preserve">/AP-1 activity of </w:t>
      </w:r>
      <w:r w:rsidRPr="00A033C0">
        <w:rPr>
          <w:color w:val="auto"/>
        </w:rPr>
        <w:t xml:space="preserve">the </w:t>
      </w:r>
      <w:r w:rsidR="00A4003C" w:rsidRPr="00A033C0">
        <w:rPr>
          <w:color w:val="auto"/>
        </w:rPr>
        <w:t>reporter</w:t>
      </w:r>
      <w:r w:rsidR="00872CE7" w:rsidRPr="00A033C0">
        <w:rPr>
          <w:color w:val="auto"/>
        </w:rPr>
        <w:t xml:space="preserve"> macrophages</w:t>
      </w:r>
      <w:r w:rsidRPr="00A033C0">
        <w:rPr>
          <w:color w:val="auto"/>
        </w:rPr>
        <w:t>.</w:t>
      </w:r>
      <w:r w:rsidR="00872CE7" w:rsidRPr="00A033C0">
        <w:rPr>
          <w:color w:val="auto"/>
        </w:rPr>
        <w:t xml:space="preserve"> </w:t>
      </w:r>
      <w:r w:rsidRPr="00A033C0">
        <w:rPr>
          <w:color w:val="auto"/>
        </w:rPr>
        <w:t xml:space="preserve">However, </w:t>
      </w:r>
      <w:r w:rsidR="00872CE7" w:rsidRPr="00A033C0">
        <w:rPr>
          <w:color w:val="auto"/>
        </w:rPr>
        <w:t>th</w:t>
      </w:r>
      <w:r w:rsidR="00247902" w:rsidRPr="00A033C0">
        <w:rPr>
          <w:color w:val="auto"/>
        </w:rPr>
        <w:t>ere are</w:t>
      </w:r>
      <w:r w:rsidR="00872CE7" w:rsidRPr="00A033C0">
        <w:rPr>
          <w:color w:val="auto"/>
        </w:rPr>
        <w:t xml:space="preserve"> many signaling pathways</w:t>
      </w:r>
      <w:r w:rsidR="00247902" w:rsidRPr="00A033C0">
        <w:rPr>
          <w:color w:val="auto"/>
        </w:rPr>
        <w:t xml:space="preserve"> other than TLRs</w:t>
      </w:r>
      <w:r w:rsidR="00872CE7" w:rsidRPr="00A033C0">
        <w:rPr>
          <w:color w:val="auto"/>
        </w:rPr>
        <w:t xml:space="preserve"> </w:t>
      </w:r>
      <w:r w:rsidR="00247902" w:rsidRPr="00A033C0">
        <w:rPr>
          <w:color w:val="auto"/>
        </w:rPr>
        <w:t xml:space="preserve">that </w:t>
      </w:r>
      <w:r w:rsidRPr="00A033C0">
        <w:rPr>
          <w:color w:val="auto"/>
        </w:rPr>
        <w:t>in</w:t>
      </w:r>
      <w:r w:rsidR="00247902" w:rsidRPr="00A033C0">
        <w:rPr>
          <w:color w:val="auto"/>
        </w:rPr>
        <w:t>volve</w:t>
      </w:r>
      <w:r w:rsidR="00F90E3C" w:rsidRPr="00A033C0">
        <w:rPr>
          <w:color w:val="auto"/>
        </w:rPr>
        <w:t xml:space="preserve"> NF-</w:t>
      </w:r>
      <w:proofErr w:type="spellStart"/>
      <w:r w:rsidR="00F90E3C" w:rsidRPr="00A033C0">
        <w:rPr>
          <w:color w:val="auto"/>
        </w:rPr>
        <w:lastRenderedPageBreak/>
        <w:t>кB</w:t>
      </w:r>
      <w:proofErr w:type="spellEnd"/>
      <w:r w:rsidR="00F90E3C" w:rsidRPr="00A033C0">
        <w:rPr>
          <w:color w:val="auto"/>
        </w:rPr>
        <w:t>/AP-1</w:t>
      </w:r>
      <w:r w:rsidR="00247902" w:rsidRPr="00A033C0">
        <w:rPr>
          <w:color w:val="auto"/>
        </w:rPr>
        <w:t xml:space="preserve"> (</w:t>
      </w:r>
      <w:r w:rsidR="00754134" w:rsidRPr="00754134">
        <w:rPr>
          <w:color w:val="auto"/>
        </w:rPr>
        <w:t xml:space="preserve">e.g., </w:t>
      </w:r>
      <w:r w:rsidR="00247902" w:rsidRPr="00A033C0">
        <w:rPr>
          <w:color w:val="auto"/>
        </w:rPr>
        <w:t xml:space="preserve">interleukin-1 receptor </w:t>
      </w:r>
      <w:r w:rsidR="007A0B74">
        <w:rPr>
          <w:color w:val="auto"/>
        </w:rPr>
        <w:t>[</w:t>
      </w:r>
      <w:r w:rsidR="00247902" w:rsidRPr="00A033C0">
        <w:rPr>
          <w:color w:val="auto"/>
        </w:rPr>
        <w:t>IL-1R</w:t>
      </w:r>
      <w:r w:rsidR="007A0B74">
        <w:rPr>
          <w:color w:val="auto"/>
        </w:rPr>
        <w:t>]</w:t>
      </w:r>
      <w:r w:rsidR="00B11A0A" w:rsidRPr="00A033C0">
        <w:rPr>
          <w:noProof/>
          <w:color w:val="auto"/>
          <w:vertAlign w:val="superscript"/>
        </w:rPr>
        <w:t>43</w:t>
      </w:r>
      <w:r w:rsidR="00247902" w:rsidRPr="00A033C0">
        <w:rPr>
          <w:color w:val="auto"/>
        </w:rPr>
        <w:t xml:space="preserve"> and tumor necrosis factor receptor </w:t>
      </w:r>
      <w:r w:rsidR="007A0B74">
        <w:rPr>
          <w:color w:val="auto"/>
        </w:rPr>
        <w:t>[</w:t>
      </w:r>
      <w:r w:rsidR="00247902" w:rsidRPr="00A033C0">
        <w:rPr>
          <w:color w:val="auto"/>
        </w:rPr>
        <w:t>TNFR</w:t>
      </w:r>
      <w:r w:rsidR="007A0B74">
        <w:rPr>
          <w:color w:val="auto"/>
        </w:rPr>
        <w:t>]</w:t>
      </w:r>
      <w:r w:rsidR="00B11A0A" w:rsidRPr="00A033C0">
        <w:rPr>
          <w:noProof/>
          <w:color w:val="auto"/>
          <w:vertAlign w:val="superscript"/>
        </w:rPr>
        <w:t>44</w:t>
      </w:r>
      <w:r w:rsidR="00247902" w:rsidRPr="00A033C0">
        <w:rPr>
          <w:color w:val="auto"/>
        </w:rPr>
        <w:t>)</w:t>
      </w:r>
      <w:r w:rsidR="00872CE7" w:rsidRPr="00A033C0">
        <w:rPr>
          <w:color w:val="auto"/>
        </w:rPr>
        <w:t xml:space="preserve">. </w:t>
      </w:r>
      <w:r w:rsidR="007E75A2" w:rsidRPr="00A033C0">
        <w:rPr>
          <w:color w:val="auto"/>
        </w:rPr>
        <w:t xml:space="preserve">Therefore, it was necessary to assess the </w:t>
      </w:r>
      <w:r w:rsidR="00872CE7" w:rsidRPr="00A033C0">
        <w:rPr>
          <w:color w:val="auto"/>
        </w:rPr>
        <w:t xml:space="preserve">contribution of TLR2 and TLR4 signaling in the increased </w:t>
      </w:r>
      <w:r w:rsidR="008E4E75" w:rsidRPr="00A033C0">
        <w:rPr>
          <w:color w:val="auto"/>
        </w:rPr>
        <w:t>NF-</w:t>
      </w:r>
      <w:proofErr w:type="spellStart"/>
      <w:r w:rsidR="008E4E75" w:rsidRPr="00A033C0">
        <w:rPr>
          <w:color w:val="auto"/>
        </w:rPr>
        <w:t>кB</w:t>
      </w:r>
      <w:proofErr w:type="spellEnd"/>
      <w:r w:rsidR="008E4E75" w:rsidRPr="00A033C0">
        <w:rPr>
          <w:color w:val="auto"/>
        </w:rPr>
        <w:t xml:space="preserve">/AP-1 </w:t>
      </w:r>
      <w:r w:rsidR="00872CE7" w:rsidRPr="00A033C0">
        <w:rPr>
          <w:color w:val="auto"/>
        </w:rPr>
        <w:t>response to lysate-adsorbed surfaces</w:t>
      </w:r>
      <w:r w:rsidRPr="00A033C0">
        <w:rPr>
          <w:color w:val="auto"/>
        </w:rPr>
        <w:t xml:space="preserve"> using inhibition assays</w:t>
      </w:r>
      <w:r w:rsidR="00247902" w:rsidRPr="00A033C0">
        <w:rPr>
          <w:color w:val="auto"/>
        </w:rPr>
        <w:t xml:space="preserve"> </w:t>
      </w:r>
      <w:r w:rsidR="00173F68" w:rsidRPr="00A033C0">
        <w:rPr>
          <w:color w:val="auto"/>
        </w:rPr>
        <w:t>(</w:t>
      </w:r>
      <w:r w:rsidR="00173F68" w:rsidRPr="00A033C0">
        <w:rPr>
          <w:b/>
          <w:color w:val="auto"/>
        </w:rPr>
        <w:t xml:space="preserve">Figure </w:t>
      </w:r>
      <w:r w:rsidR="00F57A05" w:rsidRPr="00A033C0">
        <w:rPr>
          <w:b/>
          <w:color w:val="auto"/>
        </w:rPr>
        <w:t>3</w:t>
      </w:r>
      <w:r w:rsidR="00173F68" w:rsidRPr="00A033C0">
        <w:rPr>
          <w:color w:val="auto"/>
        </w:rPr>
        <w:t>)</w:t>
      </w:r>
      <w:r w:rsidR="00872CE7" w:rsidRPr="00A033C0">
        <w:rPr>
          <w:color w:val="auto"/>
        </w:rPr>
        <w:t xml:space="preserve">. </w:t>
      </w:r>
      <w:r w:rsidR="007E75A2" w:rsidRPr="00A033C0">
        <w:rPr>
          <w:color w:val="auto"/>
        </w:rPr>
        <w:t>The rationale for selecting these two surface TLR</w:t>
      </w:r>
      <w:r w:rsidR="00F45792" w:rsidRPr="00A033C0">
        <w:rPr>
          <w:color w:val="auto"/>
        </w:rPr>
        <w:t>s</w:t>
      </w:r>
      <w:r w:rsidR="007E75A2" w:rsidRPr="00A033C0">
        <w:rPr>
          <w:color w:val="auto"/>
        </w:rPr>
        <w:t xml:space="preserve"> was that at least 23 DAMPs that have been shown to signal through TLR2 and TLR4</w:t>
      </w:r>
      <w:r w:rsidR="00B11A0A" w:rsidRPr="00A033C0">
        <w:rPr>
          <w:noProof/>
          <w:color w:val="auto"/>
          <w:vertAlign w:val="superscript"/>
        </w:rPr>
        <w:t>45</w:t>
      </w:r>
      <w:r w:rsidR="007E75A2" w:rsidRPr="00A033C0">
        <w:rPr>
          <w:color w:val="auto"/>
        </w:rPr>
        <w:t>, including the well-characterized HMGB1, and both receptors are expressed on the cell surface and can interact directly with the biomaterial surface</w:t>
      </w:r>
      <w:r w:rsidR="00891A46" w:rsidRPr="00A033C0">
        <w:rPr>
          <w:noProof/>
          <w:color w:val="auto"/>
          <w:vertAlign w:val="superscript"/>
        </w:rPr>
        <w:t>6</w:t>
      </w:r>
      <w:r w:rsidR="007E75A2" w:rsidRPr="00A033C0">
        <w:rPr>
          <w:color w:val="auto"/>
        </w:rPr>
        <w:t xml:space="preserve">. </w:t>
      </w:r>
      <w:r w:rsidR="00247902" w:rsidRPr="00A033C0">
        <w:rPr>
          <w:color w:val="auto"/>
        </w:rPr>
        <w:t>The</w:t>
      </w:r>
      <w:r w:rsidR="00C623B9" w:rsidRPr="00A033C0">
        <w:rPr>
          <w:color w:val="auto"/>
        </w:rPr>
        <w:t xml:space="preserve"> TLR2 and TLR4 inhibition</w:t>
      </w:r>
      <w:r w:rsidR="00247902" w:rsidRPr="00A033C0">
        <w:rPr>
          <w:color w:val="auto"/>
        </w:rPr>
        <w:t xml:space="preserve"> assays demonstrated that when TLR2 or TLR4 signaling were blocked, the NF-</w:t>
      </w:r>
      <w:proofErr w:type="spellStart"/>
      <w:r w:rsidR="00247902" w:rsidRPr="00A033C0">
        <w:rPr>
          <w:color w:val="auto"/>
        </w:rPr>
        <w:t>кB</w:t>
      </w:r>
      <w:proofErr w:type="spellEnd"/>
      <w:r w:rsidR="00247902" w:rsidRPr="00A033C0">
        <w:rPr>
          <w:color w:val="auto"/>
        </w:rPr>
        <w:t xml:space="preserve">/AP-1 response of the reporter macrophages to adsorbed lysate was reduced, </w:t>
      </w:r>
      <w:r w:rsidR="00C623B9" w:rsidRPr="00A033C0">
        <w:rPr>
          <w:color w:val="auto"/>
        </w:rPr>
        <w:t>indicating</w:t>
      </w:r>
      <w:r w:rsidR="00247902" w:rsidRPr="00A033C0">
        <w:rPr>
          <w:color w:val="auto"/>
        </w:rPr>
        <w:t xml:space="preserve"> that both pathways are involved. </w:t>
      </w:r>
      <w:r w:rsidR="00C623B9" w:rsidRPr="00A033C0">
        <w:rPr>
          <w:color w:val="auto"/>
        </w:rPr>
        <w:t>However,</w:t>
      </w:r>
      <w:r w:rsidR="000E7756" w:rsidRPr="00A033C0">
        <w:rPr>
          <w:color w:val="auto"/>
        </w:rPr>
        <w:t xml:space="preserve"> </w:t>
      </w:r>
      <w:r w:rsidR="00247902" w:rsidRPr="00A033C0">
        <w:rPr>
          <w:color w:val="auto"/>
        </w:rPr>
        <w:t>there was a noticeably larger reduction in NF-</w:t>
      </w:r>
      <w:proofErr w:type="spellStart"/>
      <w:r w:rsidR="00247902" w:rsidRPr="00A033C0">
        <w:rPr>
          <w:color w:val="auto"/>
        </w:rPr>
        <w:t>кB</w:t>
      </w:r>
      <w:proofErr w:type="spellEnd"/>
      <w:r w:rsidR="00247902" w:rsidRPr="00A033C0">
        <w:rPr>
          <w:color w:val="auto"/>
        </w:rPr>
        <w:t xml:space="preserve">/AP-1 activity when TLR2 signaling was neutralized, </w:t>
      </w:r>
      <w:r w:rsidR="00C623B9" w:rsidRPr="00A033C0">
        <w:rPr>
          <w:color w:val="auto"/>
        </w:rPr>
        <w:t>suggesting</w:t>
      </w:r>
      <w:r w:rsidR="00247902" w:rsidRPr="00A033C0">
        <w:rPr>
          <w:color w:val="auto"/>
        </w:rPr>
        <w:t xml:space="preserve"> that TLR2 may play a primary role in the response of reporter macrophages to adsorbed lysate. </w:t>
      </w:r>
      <w:r w:rsidR="00F756B6" w:rsidRPr="00A033C0">
        <w:rPr>
          <w:color w:val="auto"/>
        </w:rPr>
        <w:t xml:space="preserve">We recognize that there may be some off-target inhibition with the TLR signaling pathway neutralizing antibodies and inhibitors. A neutralizing antibody was used to inhibit the TLR2 pathway since there were </w:t>
      </w:r>
      <w:r w:rsidR="000E7756" w:rsidRPr="00A033C0">
        <w:rPr>
          <w:color w:val="auto"/>
        </w:rPr>
        <w:t>not</w:t>
      </w:r>
      <w:r w:rsidR="00F756B6" w:rsidRPr="00A033C0">
        <w:rPr>
          <w:color w:val="auto"/>
        </w:rPr>
        <w:t xml:space="preserve"> commercially available TLR2 inhibitor molecules at the time of this work.</w:t>
      </w:r>
    </w:p>
    <w:p w14:paraId="66C916A5" w14:textId="77777777" w:rsidR="007D0618" w:rsidRPr="00A033C0" w:rsidRDefault="007D0618" w:rsidP="001B1519">
      <w:pPr>
        <w:rPr>
          <w:color w:val="auto"/>
        </w:rPr>
      </w:pPr>
    </w:p>
    <w:p w14:paraId="4B769F1E" w14:textId="785F6AFD" w:rsidR="001E05D5" w:rsidRPr="00A033C0" w:rsidRDefault="00F74E0D" w:rsidP="001B1519">
      <w:pPr>
        <w:rPr>
          <w:color w:val="auto"/>
        </w:rPr>
      </w:pPr>
      <w:r w:rsidRPr="00A033C0">
        <w:rPr>
          <w:color w:val="auto"/>
        </w:rPr>
        <w:t xml:space="preserve">The methods presented </w:t>
      </w:r>
      <w:r w:rsidR="00C623B9" w:rsidRPr="00A033C0">
        <w:rPr>
          <w:color w:val="auto"/>
        </w:rPr>
        <w:t>here</w:t>
      </w:r>
      <w:r w:rsidRPr="00A033C0">
        <w:rPr>
          <w:color w:val="auto"/>
        </w:rPr>
        <w:t xml:space="preserve"> use</w:t>
      </w:r>
      <w:r w:rsidR="009D5824" w:rsidRPr="00A033C0">
        <w:rPr>
          <w:color w:val="auto"/>
        </w:rPr>
        <w:t xml:space="preserve"> lysate</w:t>
      </w:r>
      <w:r w:rsidR="00E55D80" w:rsidRPr="00A033C0">
        <w:rPr>
          <w:color w:val="auto"/>
        </w:rPr>
        <w:t>, as a complex source of DAMPs,</w:t>
      </w:r>
      <w:r w:rsidR="009D5824" w:rsidRPr="00A033C0">
        <w:rPr>
          <w:color w:val="auto"/>
        </w:rPr>
        <w:t xml:space="preserve"> and </w:t>
      </w:r>
      <w:r w:rsidR="00A4003C" w:rsidRPr="00A033C0">
        <w:rPr>
          <w:color w:val="auto"/>
          <w:lang w:val="en-CA"/>
        </w:rPr>
        <w:t>NF-</w:t>
      </w:r>
      <w:proofErr w:type="spellStart"/>
      <w:r w:rsidR="00A4003C" w:rsidRPr="00A033C0">
        <w:rPr>
          <w:color w:val="auto"/>
          <w:lang w:val="en-CA"/>
        </w:rPr>
        <w:t>κB</w:t>
      </w:r>
      <w:proofErr w:type="spellEnd"/>
      <w:r w:rsidR="00A4003C" w:rsidRPr="00A033C0">
        <w:rPr>
          <w:color w:val="auto"/>
          <w:lang w:val="en-CA"/>
        </w:rPr>
        <w:t xml:space="preserve">/AP-1 </w:t>
      </w:r>
      <w:r w:rsidR="009D5824" w:rsidRPr="00A033C0">
        <w:rPr>
          <w:color w:val="auto"/>
        </w:rPr>
        <w:t>reporter macrophages</w:t>
      </w:r>
      <w:r w:rsidRPr="00A033C0">
        <w:rPr>
          <w:color w:val="auto"/>
        </w:rPr>
        <w:t xml:space="preserve"> as an </w:t>
      </w:r>
      <w:r w:rsidR="00DD0575" w:rsidRPr="00DD0575">
        <w:rPr>
          <w:color w:val="auto"/>
        </w:rPr>
        <w:t xml:space="preserve">in vitro </w:t>
      </w:r>
      <w:r w:rsidRPr="00A033C0">
        <w:rPr>
          <w:color w:val="auto"/>
        </w:rPr>
        <w:t>model for macrophage responses to DAMPs and other proteins adsorbed to polymeric biomaterials</w:t>
      </w:r>
      <w:r w:rsidR="001E08FA" w:rsidRPr="00A033C0">
        <w:rPr>
          <w:color w:val="auto"/>
        </w:rPr>
        <w:t xml:space="preserve"> (</w:t>
      </w:r>
      <w:r w:rsidR="002D5A8D" w:rsidRPr="002D5A8D">
        <w:rPr>
          <w:b/>
          <w:bCs/>
          <w:color w:val="auto"/>
        </w:rPr>
        <w:t>Figure 1</w:t>
      </w:r>
      <w:r w:rsidR="001E08FA" w:rsidRPr="00A033C0">
        <w:rPr>
          <w:color w:val="auto"/>
        </w:rPr>
        <w:t>)</w:t>
      </w:r>
      <w:r w:rsidRPr="00A033C0">
        <w:rPr>
          <w:color w:val="auto"/>
        </w:rPr>
        <w:t xml:space="preserve">. </w:t>
      </w:r>
      <w:r w:rsidR="0097543C" w:rsidRPr="00A033C0">
        <w:rPr>
          <w:color w:val="auto"/>
        </w:rPr>
        <w:t xml:space="preserve">We anticipate our </w:t>
      </w:r>
      <w:r w:rsidRPr="00A033C0">
        <w:rPr>
          <w:color w:val="auto"/>
        </w:rPr>
        <w:t>protocol</w:t>
      </w:r>
      <w:r w:rsidR="008E4E75" w:rsidRPr="00A033C0">
        <w:rPr>
          <w:color w:val="auto"/>
        </w:rPr>
        <w:t xml:space="preserve"> can be used to quickly analyze </w:t>
      </w:r>
      <w:r w:rsidR="005F4526" w:rsidRPr="00A033C0">
        <w:rPr>
          <w:color w:val="auto"/>
          <w:lang w:val="en-CA"/>
        </w:rPr>
        <w:t>NF-</w:t>
      </w:r>
      <w:proofErr w:type="spellStart"/>
      <w:r w:rsidR="005F4526" w:rsidRPr="00A033C0">
        <w:rPr>
          <w:color w:val="auto"/>
          <w:lang w:val="en-CA"/>
        </w:rPr>
        <w:t>κB</w:t>
      </w:r>
      <w:proofErr w:type="spellEnd"/>
      <w:r w:rsidR="005F4526" w:rsidRPr="00A033C0">
        <w:rPr>
          <w:color w:val="auto"/>
          <w:lang w:val="en-CA"/>
        </w:rPr>
        <w:t>/AP-1</w:t>
      </w:r>
      <w:r w:rsidR="005F4526" w:rsidRPr="00A033C0">
        <w:rPr>
          <w:color w:val="auto"/>
        </w:rPr>
        <w:t xml:space="preserve"> </w:t>
      </w:r>
      <w:r w:rsidR="008E4E75" w:rsidRPr="00A033C0">
        <w:rPr>
          <w:color w:val="auto"/>
        </w:rPr>
        <w:t>response</w:t>
      </w:r>
      <w:r w:rsidR="00A4003C" w:rsidRPr="00A033C0">
        <w:rPr>
          <w:color w:val="auto"/>
        </w:rPr>
        <w:t>s</w:t>
      </w:r>
      <w:r w:rsidR="008E4E75" w:rsidRPr="00A033C0">
        <w:rPr>
          <w:color w:val="auto"/>
        </w:rPr>
        <w:t xml:space="preserve"> </w:t>
      </w:r>
      <w:r w:rsidR="0097543C" w:rsidRPr="00A033C0">
        <w:rPr>
          <w:color w:val="auto"/>
        </w:rPr>
        <w:t xml:space="preserve">and upstream TLR signaling </w:t>
      </w:r>
      <w:r w:rsidR="005F4526" w:rsidRPr="00A033C0">
        <w:rPr>
          <w:color w:val="auto"/>
        </w:rPr>
        <w:t xml:space="preserve">of reporter macrophages </w:t>
      </w:r>
      <w:r w:rsidR="008E4E75" w:rsidRPr="00A033C0">
        <w:rPr>
          <w:color w:val="auto"/>
        </w:rPr>
        <w:t>to a variety of materials</w:t>
      </w:r>
      <w:r w:rsidR="000E7756" w:rsidRPr="00A033C0">
        <w:rPr>
          <w:color w:val="auto"/>
        </w:rPr>
        <w:t xml:space="preserve"> (including </w:t>
      </w:r>
      <w:r w:rsidR="00063616" w:rsidRPr="00A033C0">
        <w:rPr>
          <w:color w:val="auto"/>
        </w:rPr>
        <w:t xml:space="preserve">degradable materials, </w:t>
      </w:r>
      <w:r w:rsidR="00B23FFF" w:rsidRPr="00A033C0">
        <w:rPr>
          <w:color w:val="auto"/>
        </w:rPr>
        <w:t>porous</w:t>
      </w:r>
      <w:r w:rsidR="000E7756" w:rsidRPr="00A033C0">
        <w:rPr>
          <w:color w:val="auto"/>
        </w:rPr>
        <w:t xml:space="preserve"> scaffolds or hydrogels)</w:t>
      </w:r>
      <w:r w:rsidR="008E4E75" w:rsidRPr="00A033C0">
        <w:rPr>
          <w:color w:val="auto"/>
        </w:rPr>
        <w:t xml:space="preserve"> and adsorbed protein layers</w:t>
      </w:r>
      <w:r w:rsidR="00F57A05" w:rsidRPr="00A033C0">
        <w:rPr>
          <w:color w:val="auto"/>
        </w:rPr>
        <w:t xml:space="preserve"> (</w:t>
      </w:r>
      <w:r w:rsidR="00F57A05" w:rsidRPr="00A033C0">
        <w:rPr>
          <w:b/>
          <w:color w:val="auto"/>
        </w:rPr>
        <w:t>Figure 3</w:t>
      </w:r>
      <w:r w:rsidR="00F57A05" w:rsidRPr="00A033C0">
        <w:rPr>
          <w:color w:val="auto"/>
        </w:rPr>
        <w:t>)</w:t>
      </w:r>
      <w:r w:rsidR="00C623B9" w:rsidRPr="00A033C0">
        <w:rPr>
          <w:color w:val="auto"/>
        </w:rPr>
        <w:t xml:space="preserve">. </w:t>
      </w:r>
      <w:r w:rsidR="0097543C" w:rsidRPr="00A033C0">
        <w:rPr>
          <w:color w:val="auto"/>
        </w:rPr>
        <w:t>However, the use of porous materials and hydrogels will introduce complexity within the system, as it may be challenging to distinguish between adsorbed molecules and entrained molecules. We also anticipate that</w:t>
      </w:r>
      <w:r w:rsidR="00C623B9" w:rsidRPr="00A033C0">
        <w:rPr>
          <w:color w:val="auto"/>
        </w:rPr>
        <w:t xml:space="preserve"> this protocol can be easily adapted to investigate the contribution of</w:t>
      </w:r>
      <w:r w:rsidR="00544D9A" w:rsidRPr="00A033C0">
        <w:rPr>
          <w:color w:val="auto"/>
        </w:rPr>
        <w:t xml:space="preserve"> other signaling pathway upstream of NF-</w:t>
      </w:r>
      <w:proofErr w:type="spellStart"/>
      <w:r w:rsidR="00544D9A" w:rsidRPr="00A033C0">
        <w:rPr>
          <w:color w:val="auto"/>
        </w:rPr>
        <w:t>кB</w:t>
      </w:r>
      <w:proofErr w:type="spellEnd"/>
      <w:r w:rsidR="00544D9A" w:rsidRPr="00A033C0">
        <w:rPr>
          <w:color w:val="auto"/>
        </w:rPr>
        <w:t>/AP-1</w:t>
      </w:r>
      <w:r w:rsidR="00B04D63" w:rsidRPr="00A033C0">
        <w:rPr>
          <w:color w:val="auto"/>
        </w:rPr>
        <w:t xml:space="preserve"> </w:t>
      </w:r>
      <w:r w:rsidR="00F57A05" w:rsidRPr="00A033C0">
        <w:rPr>
          <w:color w:val="auto"/>
        </w:rPr>
        <w:t>(</w:t>
      </w:r>
      <w:r w:rsidR="00754134" w:rsidRPr="00754134">
        <w:rPr>
          <w:color w:val="auto"/>
        </w:rPr>
        <w:t xml:space="preserve">e.g., </w:t>
      </w:r>
      <w:r w:rsidR="00B04D63" w:rsidRPr="00A033C0">
        <w:rPr>
          <w:lang w:val="en-CA"/>
        </w:rPr>
        <w:t>C-type lectin receptors</w:t>
      </w:r>
      <w:r w:rsidR="00B11A0A" w:rsidRPr="00A033C0">
        <w:rPr>
          <w:noProof/>
          <w:vertAlign w:val="superscript"/>
          <w:lang w:val="en-CA"/>
        </w:rPr>
        <w:t>46</w:t>
      </w:r>
      <w:r w:rsidR="00B04D63" w:rsidRPr="00A033C0">
        <w:rPr>
          <w:lang w:val="en-CA"/>
        </w:rPr>
        <w:t xml:space="preserve"> and nucleotide-binding oligomerization domain (NOD)-like receptors</w:t>
      </w:r>
      <w:r w:rsidR="00B11A0A" w:rsidRPr="00A033C0">
        <w:rPr>
          <w:noProof/>
          <w:vertAlign w:val="superscript"/>
          <w:lang w:val="en-CA"/>
        </w:rPr>
        <w:t>47</w:t>
      </w:r>
      <w:r w:rsidR="00544D9A" w:rsidRPr="00A033C0">
        <w:rPr>
          <w:color w:val="auto"/>
        </w:rPr>
        <w:t>)</w:t>
      </w:r>
      <w:r w:rsidR="00C623B9" w:rsidRPr="00A033C0">
        <w:rPr>
          <w:color w:val="auto"/>
        </w:rPr>
        <w:t xml:space="preserve"> with the appropriate inhibitors</w:t>
      </w:r>
      <w:r w:rsidR="008E4E75" w:rsidRPr="00A033C0">
        <w:rPr>
          <w:color w:val="auto"/>
        </w:rPr>
        <w:t xml:space="preserve">. </w:t>
      </w:r>
      <w:r w:rsidR="005F4526" w:rsidRPr="00A033C0">
        <w:rPr>
          <w:color w:val="auto"/>
        </w:rPr>
        <w:t xml:space="preserve">Furthermore, the </w:t>
      </w:r>
      <w:r w:rsidR="00024DC7" w:rsidRPr="00A033C0">
        <w:rPr>
          <w:color w:val="auto"/>
          <w:lang w:val="en-CA"/>
        </w:rPr>
        <w:t>NF-</w:t>
      </w:r>
      <w:proofErr w:type="spellStart"/>
      <w:r w:rsidR="00024DC7" w:rsidRPr="00A033C0">
        <w:rPr>
          <w:color w:val="auto"/>
          <w:lang w:val="en-CA"/>
        </w:rPr>
        <w:t>κB</w:t>
      </w:r>
      <w:proofErr w:type="spellEnd"/>
      <w:r w:rsidR="00024DC7" w:rsidRPr="00A033C0">
        <w:rPr>
          <w:color w:val="auto"/>
          <w:lang w:val="en-CA"/>
        </w:rPr>
        <w:t xml:space="preserve">/AP-1 </w:t>
      </w:r>
      <w:r w:rsidR="005F4526" w:rsidRPr="00A033C0">
        <w:rPr>
          <w:color w:val="auto"/>
        </w:rPr>
        <w:t>response of reporter macrophages</w:t>
      </w:r>
      <w:r w:rsidR="00024DC7" w:rsidRPr="00A033C0">
        <w:rPr>
          <w:color w:val="auto"/>
        </w:rPr>
        <w:t xml:space="preserve"> </w:t>
      </w:r>
      <w:r w:rsidR="005F4526" w:rsidRPr="00A033C0">
        <w:rPr>
          <w:color w:val="auto"/>
        </w:rPr>
        <w:t xml:space="preserve">could be compared between different materials, provided </w:t>
      </w:r>
      <w:r w:rsidR="001654C0" w:rsidRPr="00A033C0">
        <w:rPr>
          <w:color w:val="auto"/>
        </w:rPr>
        <w:t xml:space="preserve">responses are normalized to </w:t>
      </w:r>
      <w:r w:rsidR="00024DC7" w:rsidRPr="00A033C0">
        <w:rPr>
          <w:color w:val="auto"/>
        </w:rPr>
        <w:t>baseline cell activity (</w:t>
      </w:r>
      <w:r w:rsidR="004D6BDD" w:rsidRPr="004D6BDD">
        <w:rPr>
          <w:color w:val="auto"/>
        </w:rPr>
        <w:t xml:space="preserve">i.e., </w:t>
      </w:r>
      <w:r w:rsidR="00024DC7" w:rsidRPr="00A033C0">
        <w:rPr>
          <w:color w:val="auto"/>
        </w:rPr>
        <w:t>cells in media on each surface with no pre-adsorbed protein</w:t>
      </w:r>
      <w:r w:rsidR="001654C0" w:rsidRPr="00A033C0">
        <w:rPr>
          <w:color w:val="auto"/>
        </w:rPr>
        <w:t>)</w:t>
      </w:r>
      <w:r w:rsidR="00024DC7" w:rsidRPr="00A033C0">
        <w:rPr>
          <w:color w:val="auto"/>
        </w:rPr>
        <w:t xml:space="preserve"> and </w:t>
      </w:r>
      <w:r w:rsidR="005F4526" w:rsidRPr="00A033C0">
        <w:rPr>
          <w:color w:val="auto"/>
        </w:rPr>
        <w:t xml:space="preserve">all materials </w:t>
      </w:r>
      <w:r w:rsidR="00024DC7" w:rsidRPr="00A033C0">
        <w:rPr>
          <w:color w:val="auto"/>
        </w:rPr>
        <w:t>have undetectable endotoxin levels.</w:t>
      </w:r>
    </w:p>
    <w:p w14:paraId="20C3204F" w14:textId="77777777" w:rsidR="008E4E75" w:rsidRPr="00A033C0" w:rsidRDefault="008E4E75" w:rsidP="001B1519">
      <w:pPr>
        <w:rPr>
          <w:color w:val="auto"/>
        </w:rPr>
      </w:pPr>
    </w:p>
    <w:p w14:paraId="78BB4B71" w14:textId="77777777" w:rsidR="00AA03DF" w:rsidRPr="00A033C0" w:rsidRDefault="00AA03DF" w:rsidP="001B1519">
      <w:pPr>
        <w:pStyle w:val="NormalWeb"/>
        <w:spacing w:before="0" w:beforeAutospacing="0" w:after="0" w:afterAutospacing="0"/>
        <w:rPr>
          <w:color w:val="808080"/>
        </w:rPr>
      </w:pPr>
      <w:r w:rsidRPr="00A033C0">
        <w:rPr>
          <w:b/>
          <w:bCs/>
        </w:rPr>
        <w:t>ACKNOWLEDGMENTS:</w:t>
      </w:r>
    </w:p>
    <w:p w14:paraId="02401041" w14:textId="7223A036" w:rsidR="00AA03DF" w:rsidRDefault="00F869F4" w:rsidP="001B1519">
      <w:r w:rsidRPr="00F869F4">
        <w:t xml:space="preserve">The authors gratefully acknowledge operational funding from </w:t>
      </w:r>
      <w:r w:rsidR="00E55D80">
        <w:t xml:space="preserve">Canadian Institutes of Health Research </w:t>
      </w:r>
      <w:r w:rsidR="00482538">
        <w:t xml:space="preserve">Project </w:t>
      </w:r>
      <w:r w:rsidR="00E55D80">
        <w:t>(P</w:t>
      </w:r>
      <w:r w:rsidR="00482538">
        <w:t>TJ 162251),</w:t>
      </w:r>
      <w:r w:rsidR="00E55D80">
        <w:t xml:space="preserve"> </w:t>
      </w:r>
      <w:r w:rsidRPr="00F869F4">
        <w:t>Queen’s University Senate Advisory Research Committee and infrastructure support from the Canadian Foundation for Innovation John Evan’s Leadership Fund (Project 34137) and the Ministry of Research and Innovation Ontario Research Fund (Project 34137). L.A.M. was supported by a Queen’s University R. Samuel McLaughlin Fellowship, a Natural Sciences and Engineering Research Council of Canada Canadian Graduate Scholarship Master’s Award and an Ontario Graduate Scholarship</w:t>
      </w:r>
      <w:r w:rsidR="00C55B8F">
        <w:t>.</w:t>
      </w:r>
      <w:r w:rsidR="007A0B74">
        <w:t xml:space="preserve"> </w:t>
      </w:r>
      <w:r>
        <w:t xml:space="preserve">The authors would like to thank Dr. Myron </w:t>
      </w:r>
      <w:proofErr w:type="spellStart"/>
      <w:r>
        <w:t>Szewczuk</w:t>
      </w:r>
      <w:proofErr w:type="spellEnd"/>
      <w:r>
        <w:t xml:space="preserve"> for his generous gift of the </w:t>
      </w:r>
      <w:r w:rsidR="00A4003C" w:rsidRPr="00A033C0">
        <w:rPr>
          <w:color w:val="auto"/>
          <w:lang w:val="en-CA"/>
        </w:rPr>
        <w:t>NF-</w:t>
      </w:r>
      <w:proofErr w:type="spellStart"/>
      <w:r w:rsidR="00A4003C" w:rsidRPr="00A033C0">
        <w:rPr>
          <w:color w:val="auto"/>
          <w:lang w:val="en-CA"/>
        </w:rPr>
        <w:t>κB</w:t>
      </w:r>
      <w:proofErr w:type="spellEnd"/>
      <w:r w:rsidR="00A4003C" w:rsidRPr="00A033C0">
        <w:rPr>
          <w:color w:val="auto"/>
          <w:lang w:val="en-CA"/>
        </w:rPr>
        <w:t xml:space="preserve">/AP-1 </w:t>
      </w:r>
      <w:r>
        <w:t xml:space="preserve">reporter macrophage cell line and Drs. Michael </w:t>
      </w:r>
      <w:proofErr w:type="spellStart"/>
      <w:r>
        <w:t>Blennerhassett</w:t>
      </w:r>
      <w:proofErr w:type="spellEnd"/>
      <w:r>
        <w:t xml:space="preserve"> and Sandra </w:t>
      </w:r>
      <w:proofErr w:type="spellStart"/>
      <w:r>
        <w:t>Lourenssen</w:t>
      </w:r>
      <w:proofErr w:type="spellEnd"/>
      <w:r>
        <w:t xml:space="preserve"> for the use of their </w:t>
      </w:r>
      <w:r w:rsidR="00D81C7D">
        <w:t xml:space="preserve">gel imaging system </w:t>
      </w:r>
      <w:r w:rsidR="00A4003C">
        <w:t>and plate reader</w:t>
      </w:r>
      <w:r>
        <w:t>.</w:t>
      </w:r>
    </w:p>
    <w:p w14:paraId="6EBC340D" w14:textId="77777777" w:rsidR="00F869F4" w:rsidRPr="00A033C0" w:rsidRDefault="00F869F4" w:rsidP="001B1519">
      <w:pPr>
        <w:rPr>
          <w:b/>
          <w:bCs/>
        </w:rPr>
      </w:pPr>
    </w:p>
    <w:p w14:paraId="4525B788" w14:textId="77777777" w:rsidR="00AA03DF" w:rsidRPr="00A033C0" w:rsidRDefault="00AA03DF" w:rsidP="001B1519">
      <w:pPr>
        <w:pStyle w:val="NormalWeb"/>
        <w:spacing w:before="0" w:beforeAutospacing="0" w:after="0" w:afterAutospacing="0"/>
        <w:rPr>
          <w:color w:val="808080"/>
        </w:rPr>
      </w:pPr>
      <w:r w:rsidRPr="00A033C0">
        <w:rPr>
          <w:b/>
        </w:rPr>
        <w:t>DISCLOSURES</w:t>
      </w:r>
      <w:r w:rsidRPr="00A033C0">
        <w:rPr>
          <w:b/>
          <w:bCs/>
        </w:rPr>
        <w:t>:</w:t>
      </w:r>
    </w:p>
    <w:p w14:paraId="52FEC109" w14:textId="77777777" w:rsidR="007A4DD6" w:rsidRPr="00A033C0" w:rsidRDefault="00F869F4" w:rsidP="007A4DD6">
      <w:pPr>
        <w:rPr>
          <w:color w:val="auto"/>
        </w:rPr>
      </w:pPr>
      <w:r w:rsidRPr="00A033C0">
        <w:rPr>
          <w:color w:val="auto"/>
        </w:rPr>
        <w:t>The authors have nothing to disclose.</w:t>
      </w:r>
    </w:p>
    <w:p w14:paraId="12404DF0" w14:textId="77777777" w:rsidR="00AA03DF" w:rsidRPr="00A033C0" w:rsidRDefault="00AA03DF" w:rsidP="001B1519">
      <w:pPr>
        <w:rPr>
          <w:color w:val="auto"/>
        </w:rPr>
      </w:pPr>
    </w:p>
    <w:p w14:paraId="47FAB798" w14:textId="77777777" w:rsidR="00B32616" w:rsidRPr="00A033C0" w:rsidRDefault="009726EE" w:rsidP="001B1519">
      <w:pPr>
        <w:rPr>
          <w:b/>
        </w:rPr>
      </w:pPr>
      <w:r w:rsidRPr="00A033C0">
        <w:rPr>
          <w:b/>
          <w:bCs/>
        </w:rPr>
        <w:lastRenderedPageBreak/>
        <w:t>REFERENCES</w:t>
      </w:r>
      <w:r w:rsidR="00D04760" w:rsidRPr="00A033C0">
        <w:rPr>
          <w:b/>
          <w:bCs/>
        </w:rPr>
        <w:t>:</w:t>
      </w:r>
    </w:p>
    <w:p w14:paraId="78622007" w14:textId="77777777" w:rsidR="00B11A0A" w:rsidRPr="00B11A0A" w:rsidRDefault="00B11A0A" w:rsidP="00B11A0A">
      <w:pPr>
        <w:ind w:left="640" w:hanging="640"/>
        <w:rPr>
          <w:rFonts w:cs="Times New Roman"/>
          <w:noProof/>
        </w:rPr>
      </w:pPr>
      <w:r w:rsidRPr="00B11A0A">
        <w:rPr>
          <w:rFonts w:cs="Times New Roman"/>
          <w:noProof/>
        </w:rPr>
        <w:t>1.</w:t>
      </w:r>
      <w:r w:rsidRPr="00B11A0A">
        <w:rPr>
          <w:rFonts w:cs="Times New Roman"/>
          <w:noProof/>
        </w:rPr>
        <w:tab/>
        <w:t xml:space="preserve">Anderson, J.M., Rodriguez, A., Chang, D.T. Foreign body reaction to biomaterials. </w:t>
      </w:r>
      <w:r w:rsidRPr="00B11A0A">
        <w:rPr>
          <w:rFonts w:cs="Times New Roman"/>
          <w:i/>
          <w:iCs/>
          <w:noProof/>
        </w:rPr>
        <w:t>Seminars in Immunology</w:t>
      </w:r>
      <w:r w:rsidRPr="00B11A0A">
        <w:rPr>
          <w:rFonts w:cs="Times New Roman"/>
          <w:noProof/>
        </w:rPr>
        <w:t xml:space="preserve">. </w:t>
      </w:r>
      <w:r w:rsidRPr="00B11A0A">
        <w:rPr>
          <w:rFonts w:cs="Times New Roman"/>
          <w:b/>
          <w:bCs/>
          <w:noProof/>
        </w:rPr>
        <w:t>20</w:t>
      </w:r>
      <w:r w:rsidRPr="00B11A0A">
        <w:rPr>
          <w:rFonts w:cs="Times New Roman"/>
          <w:noProof/>
        </w:rPr>
        <w:t xml:space="preserve"> (2), 86–100, doi: 10.1016/j.smim.2007.11.004 (2008).</w:t>
      </w:r>
    </w:p>
    <w:p w14:paraId="67739644" w14:textId="77777777" w:rsidR="00B11A0A" w:rsidRPr="00B11A0A" w:rsidRDefault="00B11A0A" w:rsidP="00B11A0A">
      <w:pPr>
        <w:ind w:left="640" w:hanging="640"/>
        <w:rPr>
          <w:rFonts w:cs="Times New Roman"/>
          <w:noProof/>
        </w:rPr>
      </w:pPr>
      <w:r w:rsidRPr="00B11A0A">
        <w:rPr>
          <w:rFonts w:cs="Times New Roman"/>
          <w:noProof/>
        </w:rPr>
        <w:t>2.</w:t>
      </w:r>
      <w:r w:rsidRPr="00B11A0A">
        <w:rPr>
          <w:rFonts w:cs="Times New Roman"/>
          <w:noProof/>
        </w:rPr>
        <w:tab/>
        <w:t xml:space="preserve">Anderson, J.M., Miller, K.M. Biomaterial biocompatibility and the macrophage. </w:t>
      </w:r>
      <w:r w:rsidRPr="00B11A0A">
        <w:rPr>
          <w:rFonts w:cs="Times New Roman"/>
          <w:i/>
          <w:iCs/>
          <w:noProof/>
        </w:rPr>
        <w:t>Biomaterials</w:t>
      </w:r>
      <w:r w:rsidRPr="00B11A0A">
        <w:rPr>
          <w:rFonts w:cs="Times New Roman"/>
          <w:noProof/>
        </w:rPr>
        <w:t xml:space="preserve">. </w:t>
      </w:r>
      <w:r w:rsidRPr="00B11A0A">
        <w:rPr>
          <w:rFonts w:cs="Times New Roman"/>
          <w:b/>
          <w:bCs/>
          <w:noProof/>
        </w:rPr>
        <w:t>5</w:t>
      </w:r>
      <w:r w:rsidRPr="00B11A0A">
        <w:rPr>
          <w:rFonts w:cs="Times New Roman"/>
          <w:noProof/>
        </w:rPr>
        <w:t xml:space="preserve"> (1), 5–10, doi: 10.1016/0142-9612(84)90060-7 (1984).</w:t>
      </w:r>
    </w:p>
    <w:p w14:paraId="585893EE" w14:textId="77777777" w:rsidR="00B11A0A" w:rsidRPr="00B11A0A" w:rsidRDefault="00B11A0A" w:rsidP="00B11A0A">
      <w:pPr>
        <w:ind w:left="640" w:hanging="640"/>
        <w:rPr>
          <w:rFonts w:cs="Times New Roman"/>
          <w:noProof/>
        </w:rPr>
      </w:pPr>
      <w:r w:rsidRPr="00B11A0A">
        <w:rPr>
          <w:rFonts w:cs="Times New Roman"/>
          <w:noProof/>
        </w:rPr>
        <w:t>3.</w:t>
      </w:r>
      <w:r w:rsidRPr="00B11A0A">
        <w:rPr>
          <w:rFonts w:cs="Times New Roman"/>
          <w:noProof/>
        </w:rPr>
        <w:tab/>
        <w:t xml:space="preserve">Collier, T.O., Anderson, J.M. Protein and surface effects on monocyte and macrophage adhesion, maturation, and survival. </w:t>
      </w:r>
      <w:r w:rsidRPr="00B11A0A">
        <w:rPr>
          <w:rFonts w:cs="Times New Roman"/>
          <w:i/>
          <w:iCs/>
          <w:noProof/>
        </w:rPr>
        <w:t>Journal of Biomedical Materials Research</w:t>
      </w:r>
      <w:r w:rsidRPr="00B11A0A">
        <w:rPr>
          <w:rFonts w:cs="Times New Roman"/>
          <w:noProof/>
        </w:rPr>
        <w:t xml:space="preserve">. </w:t>
      </w:r>
      <w:r w:rsidRPr="00B11A0A">
        <w:rPr>
          <w:rFonts w:cs="Times New Roman"/>
          <w:b/>
          <w:bCs/>
          <w:noProof/>
        </w:rPr>
        <w:t>60</w:t>
      </w:r>
      <w:r w:rsidRPr="00B11A0A">
        <w:rPr>
          <w:rFonts w:cs="Times New Roman"/>
          <w:noProof/>
        </w:rPr>
        <w:t xml:space="preserve"> (3), 487–496, doi: 10.1002/jbm.10043 (2002).</w:t>
      </w:r>
    </w:p>
    <w:p w14:paraId="592FFA82" w14:textId="77777777" w:rsidR="00B11A0A" w:rsidRPr="00B11A0A" w:rsidRDefault="00B11A0A" w:rsidP="00B11A0A">
      <w:pPr>
        <w:ind w:left="640" w:hanging="640"/>
        <w:rPr>
          <w:rFonts w:cs="Times New Roman"/>
          <w:noProof/>
        </w:rPr>
      </w:pPr>
      <w:r w:rsidRPr="00B11A0A">
        <w:rPr>
          <w:rFonts w:cs="Times New Roman"/>
          <w:noProof/>
        </w:rPr>
        <w:t>4.</w:t>
      </w:r>
      <w:r w:rsidRPr="00B11A0A">
        <w:rPr>
          <w:rFonts w:cs="Times New Roman"/>
          <w:noProof/>
        </w:rPr>
        <w:tab/>
        <w:t xml:space="preserve">Bianchi, M.E. DAMPs, PAMPs and alarmins: all we need to know about danger. </w:t>
      </w:r>
      <w:r w:rsidRPr="00B11A0A">
        <w:rPr>
          <w:rFonts w:cs="Times New Roman"/>
          <w:i/>
          <w:iCs/>
          <w:noProof/>
        </w:rPr>
        <w:t xml:space="preserve">Journal of </w:t>
      </w:r>
      <w:r w:rsidR="00E35262">
        <w:rPr>
          <w:rFonts w:cs="Times New Roman"/>
          <w:i/>
          <w:iCs/>
          <w:noProof/>
        </w:rPr>
        <w:t>L</w:t>
      </w:r>
      <w:r w:rsidRPr="00B11A0A">
        <w:rPr>
          <w:rFonts w:cs="Times New Roman"/>
          <w:i/>
          <w:iCs/>
          <w:noProof/>
        </w:rPr>
        <w:t xml:space="preserve">eukocyte </w:t>
      </w:r>
      <w:r w:rsidR="00E35262">
        <w:rPr>
          <w:rFonts w:cs="Times New Roman"/>
          <w:i/>
          <w:iCs/>
          <w:noProof/>
        </w:rPr>
        <w:t>B</w:t>
      </w:r>
      <w:r w:rsidRPr="00B11A0A">
        <w:rPr>
          <w:rFonts w:cs="Times New Roman"/>
          <w:i/>
          <w:iCs/>
          <w:noProof/>
        </w:rPr>
        <w:t>iology</w:t>
      </w:r>
      <w:r w:rsidRPr="00B11A0A">
        <w:rPr>
          <w:rFonts w:cs="Times New Roman"/>
          <w:noProof/>
        </w:rPr>
        <w:t xml:space="preserve">. </w:t>
      </w:r>
      <w:r w:rsidRPr="00B11A0A">
        <w:rPr>
          <w:rFonts w:cs="Times New Roman"/>
          <w:b/>
          <w:bCs/>
          <w:noProof/>
        </w:rPr>
        <w:t>81</w:t>
      </w:r>
      <w:r w:rsidRPr="00B11A0A">
        <w:rPr>
          <w:rFonts w:cs="Times New Roman"/>
          <w:noProof/>
        </w:rPr>
        <w:t xml:space="preserve"> (1), 1–5, doi: 10.1189/jlb.0306164 (2007).</w:t>
      </w:r>
    </w:p>
    <w:p w14:paraId="20AA4065" w14:textId="77777777" w:rsidR="00B11A0A" w:rsidRPr="00B11A0A" w:rsidRDefault="00B11A0A" w:rsidP="00B11A0A">
      <w:pPr>
        <w:ind w:left="640" w:hanging="640"/>
        <w:rPr>
          <w:rFonts w:cs="Times New Roman"/>
          <w:noProof/>
        </w:rPr>
      </w:pPr>
      <w:r w:rsidRPr="00B11A0A">
        <w:rPr>
          <w:rFonts w:cs="Times New Roman"/>
          <w:noProof/>
        </w:rPr>
        <w:t>5.</w:t>
      </w:r>
      <w:r w:rsidRPr="00B11A0A">
        <w:rPr>
          <w:rFonts w:cs="Times New Roman"/>
          <w:noProof/>
        </w:rPr>
        <w:tab/>
        <w:t xml:space="preserve">McKiel, L.A., Fitzpatrick, L.E. Toll-like Receptor 2-Dependent NF-κB/AP-1 Activation by Damage-Associated Molecular Patterns Adsorbed on Polymeric Surfaces. </w:t>
      </w:r>
      <w:r w:rsidRPr="00B11A0A">
        <w:rPr>
          <w:rFonts w:cs="Times New Roman"/>
          <w:i/>
          <w:iCs/>
          <w:noProof/>
        </w:rPr>
        <w:t>ACS Biomaterials Science &amp; Engineering</w:t>
      </w:r>
      <w:r w:rsidRPr="00B11A0A">
        <w:rPr>
          <w:rFonts w:cs="Times New Roman"/>
          <w:noProof/>
        </w:rPr>
        <w:t xml:space="preserve">. </w:t>
      </w:r>
      <w:r w:rsidRPr="00B11A0A">
        <w:rPr>
          <w:rFonts w:cs="Times New Roman"/>
          <w:b/>
          <w:bCs/>
          <w:noProof/>
        </w:rPr>
        <w:t>4</w:t>
      </w:r>
      <w:r w:rsidRPr="00B11A0A">
        <w:rPr>
          <w:rFonts w:cs="Times New Roman"/>
          <w:noProof/>
        </w:rPr>
        <w:t xml:space="preserve"> (11), 3792–3801, doi: 10.1021/acsbiomaterials.8b00613 (2018).</w:t>
      </w:r>
    </w:p>
    <w:p w14:paraId="3E751D23" w14:textId="77777777" w:rsidR="00B11A0A" w:rsidRPr="00B11A0A" w:rsidRDefault="00B11A0A" w:rsidP="00B11A0A">
      <w:pPr>
        <w:ind w:left="640" w:hanging="640"/>
        <w:rPr>
          <w:rFonts w:cs="Times New Roman"/>
          <w:noProof/>
        </w:rPr>
      </w:pPr>
      <w:r w:rsidRPr="00B11A0A">
        <w:rPr>
          <w:rFonts w:cs="Times New Roman"/>
          <w:noProof/>
        </w:rPr>
        <w:t>6.</w:t>
      </w:r>
      <w:r w:rsidRPr="00B11A0A">
        <w:rPr>
          <w:rFonts w:cs="Times New Roman"/>
          <w:noProof/>
        </w:rPr>
        <w:tab/>
        <w:t xml:space="preserve">Babensee, J.E. Interaction of dendritic cells with biomaterials. </w:t>
      </w:r>
      <w:r w:rsidRPr="00B11A0A">
        <w:rPr>
          <w:rFonts w:cs="Times New Roman"/>
          <w:i/>
          <w:iCs/>
          <w:noProof/>
        </w:rPr>
        <w:t>Seminars in Immunology</w:t>
      </w:r>
      <w:r w:rsidRPr="00B11A0A">
        <w:rPr>
          <w:rFonts w:cs="Times New Roman"/>
          <w:noProof/>
        </w:rPr>
        <w:t xml:space="preserve">. </w:t>
      </w:r>
      <w:r w:rsidRPr="00B11A0A">
        <w:rPr>
          <w:rFonts w:cs="Times New Roman"/>
          <w:b/>
          <w:bCs/>
          <w:noProof/>
        </w:rPr>
        <w:t>20</w:t>
      </w:r>
      <w:r w:rsidRPr="00B11A0A">
        <w:rPr>
          <w:rFonts w:cs="Times New Roman"/>
          <w:noProof/>
        </w:rPr>
        <w:t xml:space="preserve"> (2), 101–108, doi: 10.1016/j.smim.2007.10.013 (2008).</w:t>
      </w:r>
    </w:p>
    <w:p w14:paraId="2DEB9544" w14:textId="77777777" w:rsidR="00B11A0A" w:rsidRPr="00B11A0A" w:rsidRDefault="00B11A0A" w:rsidP="00B11A0A">
      <w:pPr>
        <w:ind w:left="640" w:hanging="640"/>
        <w:rPr>
          <w:rFonts w:cs="Times New Roman"/>
          <w:noProof/>
        </w:rPr>
      </w:pPr>
      <w:r w:rsidRPr="00B11A0A">
        <w:rPr>
          <w:rFonts w:cs="Times New Roman"/>
          <w:noProof/>
        </w:rPr>
        <w:t>7.</w:t>
      </w:r>
      <w:r w:rsidRPr="00B11A0A">
        <w:rPr>
          <w:rFonts w:cs="Times New Roman"/>
          <w:noProof/>
        </w:rPr>
        <w:tab/>
        <w:t xml:space="preserve">Sintes, J., Romero, X., de Salort, J., Terhorst, C., Engel, P. Mouse CD84 is a pan-leukocyte cell-surface molecule that modulates LPS-induced cytokine secretion by macrophages. </w:t>
      </w:r>
      <w:r w:rsidRPr="00B11A0A">
        <w:rPr>
          <w:rFonts w:cs="Times New Roman"/>
          <w:i/>
          <w:iCs/>
          <w:noProof/>
        </w:rPr>
        <w:t>Journal of Leukocyte Biology</w:t>
      </w:r>
      <w:r w:rsidRPr="00B11A0A">
        <w:rPr>
          <w:rFonts w:cs="Times New Roman"/>
          <w:noProof/>
        </w:rPr>
        <w:t xml:space="preserve">. </w:t>
      </w:r>
      <w:r w:rsidRPr="00B11A0A">
        <w:rPr>
          <w:rFonts w:cs="Times New Roman"/>
          <w:b/>
          <w:bCs/>
          <w:noProof/>
        </w:rPr>
        <w:t>88</w:t>
      </w:r>
      <w:r w:rsidRPr="00B11A0A">
        <w:rPr>
          <w:rFonts w:cs="Times New Roman"/>
          <w:noProof/>
        </w:rPr>
        <w:t xml:space="preserve"> (4), 687–97, doi: 10.1189/jlb.1109756 (2010).</w:t>
      </w:r>
    </w:p>
    <w:p w14:paraId="41CA2B78" w14:textId="77777777" w:rsidR="00B11A0A" w:rsidRPr="00B11A0A" w:rsidRDefault="00B11A0A" w:rsidP="00B11A0A">
      <w:pPr>
        <w:ind w:left="640" w:hanging="640"/>
        <w:rPr>
          <w:rFonts w:cs="Times New Roman"/>
          <w:noProof/>
        </w:rPr>
      </w:pPr>
      <w:r w:rsidRPr="00B11A0A">
        <w:rPr>
          <w:rFonts w:cs="Times New Roman"/>
          <w:noProof/>
        </w:rPr>
        <w:t>8.</w:t>
      </w:r>
      <w:r w:rsidRPr="00B11A0A">
        <w:rPr>
          <w:rFonts w:cs="Times New Roman"/>
          <w:noProof/>
        </w:rPr>
        <w:tab/>
        <w:t xml:space="preserve">Tom, J.K., Mancini, R.J., Esser-Kahn, A.P. Covalent modification of cell surfaces with TLR agonists improves and directs immune stimulation. </w:t>
      </w:r>
      <w:r w:rsidRPr="00B11A0A">
        <w:rPr>
          <w:rFonts w:cs="Times New Roman"/>
          <w:i/>
          <w:iCs/>
          <w:noProof/>
        </w:rPr>
        <w:t>Chemical Communications</w:t>
      </w:r>
      <w:r w:rsidRPr="00B11A0A">
        <w:rPr>
          <w:rFonts w:cs="Times New Roman"/>
          <w:noProof/>
        </w:rPr>
        <w:t xml:space="preserve">. </w:t>
      </w:r>
      <w:r w:rsidRPr="00B11A0A">
        <w:rPr>
          <w:rFonts w:cs="Times New Roman"/>
          <w:b/>
          <w:bCs/>
          <w:noProof/>
        </w:rPr>
        <w:t>49</w:t>
      </w:r>
      <w:r w:rsidRPr="00B11A0A">
        <w:rPr>
          <w:rFonts w:cs="Times New Roman"/>
          <w:noProof/>
        </w:rPr>
        <w:t xml:space="preserve"> (83), 9618–9620, doi: 10.1039/c3cc45468a (2013).</w:t>
      </w:r>
    </w:p>
    <w:p w14:paraId="03F2654D" w14:textId="3AB160AB" w:rsidR="00B11A0A" w:rsidRPr="00B11A0A" w:rsidRDefault="00B11A0A" w:rsidP="00B11A0A">
      <w:pPr>
        <w:ind w:left="640" w:hanging="640"/>
        <w:rPr>
          <w:rFonts w:cs="Times New Roman"/>
          <w:noProof/>
        </w:rPr>
      </w:pPr>
      <w:r w:rsidRPr="00B11A0A">
        <w:rPr>
          <w:rFonts w:cs="Times New Roman"/>
          <w:noProof/>
        </w:rPr>
        <w:t>9.</w:t>
      </w:r>
      <w:r w:rsidRPr="00B11A0A">
        <w:rPr>
          <w:rFonts w:cs="Times New Roman"/>
          <w:noProof/>
        </w:rPr>
        <w:tab/>
        <w:t xml:space="preserve">Abdulkhalek, S. </w:t>
      </w:r>
      <w:r w:rsidR="007A0B74" w:rsidRPr="007A0B74">
        <w:rPr>
          <w:rFonts w:cs="Times New Roman"/>
          <w:noProof/>
        </w:rPr>
        <w:t xml:space="preserve">et al. </w:t>
      </w:r>
      <w:r w:rsidRPr="00B11A0A">
        <w:rPr>
          <w:rFonts w:cs="Times New Roman"/>
          <w:noProof/>
        </w:rPr>
        <w:t xml:space="preserve">Neu1 sialidase and matrix metalloproteinase-9 cross-talk is essential for toll-like receptor activation and cellular signaling. </w:t>
      </w:r>
      <w:r w:rsidRPr="00B11A0A">
        <w:rPr>
          <w:rFonts w:cs="Times New Roman"/>
          <w:i/>
          <w:iCs/>
          <w:noProof/>
        </w:rPr>
        <w:t>Journal of Biological Chemistry</w:t>
      </w:r>
      <w:r w:rsidRPr="00B11A0A">
        <w:rPr>
          <w:rFonts w:cs="Times New Roman"/>
          <w:noProof/>
        </w:rPr>
        <w:t xml:space="preserve">. </w:t>
      </w:r>
      <w:r w:rsidRPr="00B11A0A">
        <w:rPr>
          <w:rFonts w:cs="Times New Roman"/>
          <w:b/>
          <w:bCs/>
          <w:noProof/>
        </w:rPr>
        <w:t>286</w:t>
      </w:r>
      <w:r w:rsidRPr="00B11A0A">
        <w:rPr>
          <w:rFonts w:cs="Times New Roman"/>
          <w:noProof/>
        </w:rPr>
        <w:t xml:space="preserve"> (42), 36532–36549, doi: 10.1074/jbc.M111.237578 (2011).</w:t>
      </w:r>
    </w:p>
    <w:p w14:paraId="0524F220" w14:textId="77777777" w:rsidR="00B11A0A" w:rsidRPr="00B11A0A" w:rsidRDefault="00B11A0A" w:rsidP="00B11A0A">
      <w:pPr>
        <w:ind w:left="640" w:hanging="640"/>
        <w:rPr>
          <w:rFonts w:cs="Times New Roman"/>
          <w:noProof/>
        </w:rPr>
      </w:pPr>
      <w:r w:rsidRPr="00B11A0A">
        <w:rPr>
          <w:rFonts w:cs="Times New Roman"/>
          <w:noProof/>
        </w:rPr>
        <w:t>10.</w:t>
      </w:r>
      <w:r w:rsidRPr="00B11A0A">
        <w:rPr>
          <w:rFonts w:cs="Times New Roman"/>
          <w:noProof/>
        </w:rPr>
        <w:tab/>
        <w:t xml:space="preserve">Gorbet, M.B., Sefton, M. V. Endotoxin: The uninvited guest. </w:t>
      </w:r>
      <w:r w:rsidRPr="00B11A0A">
        <w:rPr>
          <w:rFonts w:cs="Times New Roman"/>
          <w:i/>
          <w:iCs/>
          <w:noProof/>
        </w:rPr>
        <w:t>Biomaterials</w:t>
      </w:r>
      <w:r w:rsidRPr="00B11A0A">
        <w:rPr>
          <w:rFonts w:cs="Times New Roman"/>
          <w:noProof/>
        </w:rPr>
        <w:t xml:space="preserve">. </w:t>
      </w:r>
      <w:r w:rsidRPr="00B11A0A">
        <w:rPr>
          <w:rFonts w:cs="Times New Roman"/>
          <w:b/>
          <w:bCs/>
          <w:noProof/>
        </w:rPr>
        <w:t>26</w:t>
      </w:r>
      <w:r w:rsidRPr="00B11A0A">
        <w:rPr>
          <w:rFonts w:cs="Times New Roman"/>
          <w:noProof/>
        </w:rPr>
        <w:t xml:space="preserve"> (34), 6811–6817, doi: 10.1016/j.biomaterials.2005.04.063 (2005).</w:t>
      </w:r>
    </w:p>
    <w:p w14:paraId="75695D1C" w14:textId="77777777" w:rsidR="00B11A0A" w:rsidRPr="00B11A0A" w:rsidRDefault="00B11A0A" w:rsidP="00B11A0A">
      <w:pPr>
        <w:ind w:left="640" w:hanging="640"/>
        <w:rPr>
          <w:rFonts w:cs="Times New Roman"/>
          <w:noProof/>
        </w:rPr>
      </w:pPr>
      <w:r w:rsidRPr="00B11A0A">
        <w:rPr>
          <w:rFonts w:cs="Times New Roman"/>
          <w:noProof/>
        </w:rPr>
        <w:t>11.</w:t>
      </w:r>
      <w:r w:rsidRPr="00B11A0A">
        <w:rPr>
          <w:rFonts w:cs="Times New Roman"/>
          <w:noProof/>
        </w:rPr>
        <w:tab/>
        <w:t xml:space="preserve">Xing, Z., Pabst, M.J., Hasty, K.A., Smith, R.A. Accumulation of LPS by polyethylene particles decreases bone attachment to implants. </w:t>
      </w:r>
      <w:r w:rsidRPr="00B11A0A">
        <w:rPr>
          <w:rFonts w:cs="Times New Roman"/>
          <w:i/>
          <w:iCs/>
          <w:noProof/>
        </w:rPr>
        <w:t>Journal of Orthopaedic Research</w:t>
      </w:r>
      <w:r w:rsidRPr="00B11A0A">
        <w:rPr>
          <w:rFonts w:cs="Times New Roman"/>
          <w:noProof/>
        </w:rPr>
        <w:t xml:space="preserve">. </w:t>
      </w:r>
      <w:r w:rsidRPr="00B11A0A">
        <w:rPr>
          <w:rFonts w:cs="Times New Roman"/>
          <w:b/>
          <w:bCs/>
          <w:noProof/>
        </w:rPr>
        <w:t>24</w:t>
      </w:r>
      <w:r w:rsidRPr="00B11A0A">
        <w:rPr>
          <w:rFonts w:cs="Times New Roman"/>
          <w:noProof/>
        </w:rPr>
        <w:t xml:space="preserve"> (5), 959–966, doi: 10.1002/jor.20038 (2006).</w:t>
      </w:r>
    </w:p>
    <w:p w14:paraId="6625F0CF" w14:textId="29BBF659" w:rsidR="00B11A0A" w:rsidRPr="00B11A0A" w:rsidRDefault="00B11A0A" w:rsidP="00B11A0A">
      <w:pPr>
        <w:ind w:left="640" w:hanging="640"/>
        <w:rPr>
          <w:rFonts w:cs="Times New Roman"/>
          <w:noProof/>
        </w:rPr>
      </w:pPr>
      <w:r w:rsidRPr="00B11A0A">
        <w:rPr>
          <w:rFonts w:cs="Times New Roman"/>
          <w:noProof/>
        </w:rPr>
        <w:t>12.</w:t>
      </w:r>
      <w:r w:rsidRPr="00B11A0A">
        <w:rPr>
          <w:rFonts w:cs="Times New Roman"/>
          <w:noProof/>
        </w:rPr>
        <w:tab/>
        <w:t>Ding, H.</w:t>
      </w:r>
      <w:r w:rsidR="00AB437F">
        <w:rPr>
          <w:rFonts w:cs="Times New Roman"/>
          <w:noProof/>
        </w:rPr>
        <w:t xml:space="preserve"> et al.</w:t>
      </w:r>
      <w:r w:rsidRPr="00B11A0A">
        <w:rPr>
          <w:rFonts w:cs="Times New Roman"/>
          <w:noProof/>
        </w:rPr>
        <w:t xml:space="preserve"> Comparison of the cytotoxic and inflammatory responses of titanium particles with different methods for endotoxin removal in RAW264.7 macrophages. </w:t>
      </w:r>
      <w:r w:rsidRPr="00B11A0A">
        <w:rPr>
          <w:rFonts w:cs="Times New Roman"/>
          <w:i/>
          <w:iCs/>
          <w:noProof/>
        </w:rPr>
        <w:t>Journal of Materials Science: Materials in Medicine</w:t>
      </w:r>
      <w:r w:rsidRPr="00B11A0A">
        <w:rPr>
          <w:rFonts w:cs="Times New Roman"/>
          <w:noProof/>
        </w:rPr>
        <w:t xml:space="preserve">. </w:t>
      </w:r>
      <w:r w:rsidRPr="00B11A0A">
        <w:rPr>
          <w:rFonts w:cs="Times New Roman"/>
          <w:b/>
          <w:bCs/>
          <w:noProof/>
        </w:rPr>
        <w:t>23</w:t>
      </w:r>
      <w:r w:rsidRPr="00B11A0A">
        <w:rPr>
          <w:rFonts w:cs="Times New Roman"/>
          <w:noProof/>
        </w:rPr>
        <w:t xml:space="preserve"> (4), 1055–1062, doi: 10.1007/s10856-012-4574-x (2012).</w:t>
      </w:r>
    </w:p>
    <w:p w14:paraId="589415EE" w14:textId="77777777" w:rsidR="00B11A0A" w:rsidRPr="00B11A0A" w:rsidRDefault="00B11A0A" w:rsidP="00B11A0A">
      <w:pPr>
        <w:ind w:left="640" w:hanging="640"/>
        <w:rPr>
          <w:rFonts w:cs="Times New Roman"/>
          <w:noProof/>
        </w:rPr>
      </w:pPr>
      <w:r w:rsidRPr="00B11A0A">
        <w:rPr>
          <w:rFonts w:cs="Times New Roman"/>
          <w:noProof/>
        </w:rPr>
        <w:t>13.</w:t>
      </w:r>
      <w:r w:rsidRPr="00B11A0A">
        <w:rPr>
          <w:rFonts w:cs="Times New Roman"/>
          <w:noProof/>
        </w:rPr>
        <w:tab/>
        <w:t xml:space="preserve">Hoogenboom, R., Becer, C.R., Guerrero-Sanchez, C., Hoeppener, S., Schubert, U.S. Solubility and thermoresponsiveness of PMMA in alcohol-water solvent mixtures. </w:t>
      </w:r>
      <w:r w:rsidRPr="00B11A0A">
        <w:rPr>
          <w:rFonts w:cs="Times New Roman"/>
          <w:i/>
          <w:iCs/>
          <w:noProof/>
        </w:rPr>
        <w:t>Australian Journal of Chemistry</w:t>
      </w:r>
      <w:r w:rsidRPr="00B11A0A">
        <w:rPr>
          <w:rFonts w:cs="Times New Roman"/>
          <w:noProof/>
        </w:rPr>
        <w:t xml:space="preserve">. </w:t>
      </w:r>
      <w:r w:rsidRPr="00B11A0A">
        <w:rPr>
          <w:rFonts w:cs="Times New Roman"/>
          <w:b/>
          <w:bCs/>
          <w:noProof/>
        </w:rPr>
        <w:t>63</w:t>
      </w:r>
      <w:r w:rsidRPr="00B11A0A">
        <w:rPr>
          <w:rFonts w:cs="Times New Roman"/>
          <w:noProof/>
        </w:rPr>
        <w:t xml:space="preserve"> (8), 1173–1178, doi: 10.1071/CH10083 (2010).</w:t>
      </w:r>
    </w:p>
    <w:p w14:paraId="441A3868" w14:textId="77777777" w:rsidR="00B11A0A" w:rsidRPr="00B11A0A" w:rsidRDefault="00B11A0A" w:rsidP="00B11A0A">
      <w:pPr>
        <w:ind w:left="640" w:hanging="640"/>
        <w:rPr>
          <w:rFonts w:cs="Times New Roman"/>
          <w:noProof/>
        </w:rPr>
      </w:pPr>
      <w:r w:rsidRPr="00B11A0A">
        <w:rPr>
          <w:rFonts w:cs="Times New Roman"/>
          <w:noProof/>
        </w:rPr>
        <w:t>14.</w:t>
      </w:r>
      <w:r w:rsidRPr="00B11A0A">
        <w:rPr>
          <w:rFonts w:cs="Times New Roman"/>
          <w:noProof/>
        </w:rPr>
        <w:tab/>
        <w:t xml:space="preserve">Efimenko, K., Wallace, W.E., Genzer, J. Surface modification of Sylgard-184 poly(dimethyl siloxane) networks by ultraviolet and ultraviolet/ozone treatment. </w:t>
      </w:r>
      <w:r w:rsidRPr="00B11A0A">
        <w:rPr>
          <w:rFonts w:cs="Times New Roman"/>
          <w:i/>
          <w:iCs/>
          <w:noProof/>
        </w:rPr>
        <w:t>Journal of Colloid and Interface Science</w:t>
      </w:r>
      <w:r w:rsidRPr="00B11A0A">
        <w:rPr>
          <w:rFonts w:cs="Times New Roman"/>
          <w:noProof/>
        </w:rPr>
        <w:t xml:space="preserve">. </w:t>
      </w:r>
      <w:r w:rsidRPr="00B11A0A">
        <w:rPr>
          <w:rFonts w:cs="Times New Roman"/>
          <w:b/>
          <w:bCs/>
          <w:noProof/>
        </w:rPr>
        <w:t>254</w:t>
      </w:r>
      <w:r w:rsidRPr="00B11A0A">
        <w:rPr>
          <w:rFonts w:cs="Times New Roman"/>
          <w:noProof/>
        </w:rPr>
        <w:t xml:space="preserve"> (2), 306–315, doi: 10.1006/jcis.2002.8594 (2002).</w:t>
      </w:r>
    </w:p>
    <w:p w14:paraId="3CF2CBAB" w14:textId="087508DE" w:rsidR="00B11A0A" w:rsidRPr="00B11A0A" w:rsidRDefault="00B11A0A" w:rsidP="00B11A0A">
      <w:pPr>
        <w:ind w:left="640" w:hanging="640"/>
        <w:rPr>
          <w:rFonts w:cs="Times New Roman"/>
          <w:noProof/>
        </w:rPr>
      </w:pPr>
      <w:r w:rsidRPr="00B11A0A">
        <w:rPr>
          <w:rFonts w:cs="Times New Roman"/>
          <w:noProof/>
        </w:rPr>
        <w:t>15.</w:t>
      </w:r>
      <w:r w:rsidRPr="00B11A0A">
        <w:rPr>
          <w:rFonts w:cs="Times New Roman"/>
          <w:noProof/>
        </w:rPr>
        <w:tab/>
        <w:t xml:space="preserve">Godek, M.L., Sampson, J.A., Duchsherer, N.L., McElwee, Q., Grainger, D.W. Rho GTPase protein expression and activation in murine monocytes/macrophages is not modulated by model biomaterial surfaces in serum-containing </w:t>
      </w:r>
      <w:r w:rsidR="00DD0575" w:rsidRPr="00DD0575">
        <w:rPr>
          <w:rFonts w:cs="Times New Roman"/>
          <w:noProof/>
        </w:rPr>
        <w:t xml:space="preserve">in vitro </w:t>
      </w:r>
      <w:r w:rsidRPr="00B11A0A">
        <w:rPr>
          <w:rFonts w:cs="Times New Roman"/>
          <w:noProof/>
        </w:rPr>
        <w:t xml:space="preserve">cultures. </w:t>
      </w:r>
      <w:r w:rsidRPr="00B11A0A">
        <w:rPr>
          <w:rFonts w:cs="Times New Roman"/>
          <w:i/>
          <w:iCs/>
          <w:noProof/>
        </w:rPr>
        <w:t xml:space="preserve">Journal of </w:t>
      </w:r>
      <w:r w:rsidR="00E35262">
        <w:rPr>
          <w:rFonts w:cs="Times New Roman"/>
          <w:i/>
          <w:iCs/>
          <w:noProof/>
        </w:rPr>
        <w:t>B</w:t>
      </w:r>
      <w:r w:rsidRPr="00B11A0A">
        <w:rPr>
          <w:rFonts w:cs="Times New Roman"/>
          <w:i/>
          <w:iCs/>
          <w:noProof/>
        </w:rPr>
        <w:t xml:space="preserve">iomaterials </w:t>
      </w:r>
      <w:r w:rsidR="00E35262">
        <w:rPr>
          <w:rFonts w:cs="Times New Roman"/>
          <w:i/>
          <w:iCs/>
          <w:noProof/>
        </w:rPr>
        <w:t>S</w:t>
      </w:r>
      <w:r w:rsidRPr="00B11A0A">
        <w:rPr>
          <w:rFonts w:cs="Times New Roman"/>
          <w:i/>
          <w:iCs/>
          <w:noProof/>
        </w:rPr>
        <w:t>cience. Polymer Edition</w:t>
      </w:r>
      <w:r w:rsidRPr="00B11A0A">
        <w:rPr>
          <w:rFonts w:cs="Times New Roman"/>
          <w:noProof/>
        </w:rPr>
        <w:t xml:space="preserve">. </w:t>
      </w:r>
      <w:r w:rsidRPr="00B11A0A">
        <w:rPr>
          <w:rFonts w:cs="Times New Roman"/>
          <w:b/>
          <w:bCs/>
          <w:noProof/>
        </w:rPr>
        <w:t>17</w:t>
      </w:r>
      <w:r w:rsidRPr="00B11A0A">
        <w:rPr>
          <w:rFonts w:cs="Times New Roman"/>
          <w:noProof/>
        </w:rPr>
        <w:t xml:space="preserve"> (10), 1141–1158, doi: 10.1163/156856206778530731 (2006).</w:t>
      </w:r>
    </w:p>
    <w:p w14:paraId="497C2973" w14:textId="5651AF08" w:rsidR="00B11A0A" w:rsidRPr="00B11A0A" w:rsidRDefault="00B11A0A" w:rsidP="00B11A0A">
      <w:pPr>
        <w:ind w:left="640" w:hanging="640"/>
        <w:rPr>
          <w:rFonts w:cs="Times New Roman"/>
          <w:noProof/>
        </w:rPr>
      </w:pPr>
      <w:r w:rsidRPr="00B11A0A">
        <w:rPr>
          <w:rFonts w:cs="Times New Roman"/>
          <w:noProof/>
        </w:rPr>
        <w:t>16.</w:t>
      </w:r>
      <w:r w:rsidRPr="00B11A0A">
        <w:rPr>
          <w:rFonts w:cs="Times New Roman"/>
          <w:noProof/>
        </w:rPr>
        <w:tab/>
        <w:t xml:space="preserve">Park, J.S. </w:t>
      </w:r>
      <w:r w:rsidR="007A0B74" w:rsidRPr="007A0B74">
        <w:rPr>
          <w:rFonts w:cs="Times New Roman"/>
          <w:noProof/>
        </w:rPr>
        <w:t xml:space="preserve">et al. </w:t>
      </w:r>
      <w:r w:rsidRPr="00B11A0A">
        <w:rPr>
          <w:rFonts w:cs="Times New Roman"/>
          <w:noProof/>
        </w:rPr>
        <w:t xml:space="preserve">Involvement of Toll-like Receptors 2 and 4 in Cellular Activation by High </w:t>
      </w:r>
      <w:r w:rsidRPr="00B11A0A">
        <w:rPr>
          <w:rFonts w:cs="Times New Roman"/>
          <w:noProof/>
        </w:rPr>
        <w:lastRenderedPageBreak/>
        <w:t xml:space="preserve">Mobility Group Box 1 Protein. </w:t>
      </w:r>
      <w:r w:rsidRPr="00B11A0A">
        <w:rPr>
          <w:rFonts w:cs="Times New Roman"/>
          <w:i/>
          <w:iCs/>
          <w:noProof/>
        </w:rPr>
        <w:t>Journal of Biological Chemistry</w:t>
      </w:r>
      <w:r w:rsidRPr="00B11A0A">
        <w:rPr>
          <w:rFonts w:cs="Times New Roman"/>
          <w:noProof/>
        </w:rPr>
        <w:t xml:space="preserve">. </w:t>
      </w:r>
      <w:r w:rsidRPr="00B11A0A">
        <w:rPr>
          <w:rFonts w:cs="Times New Roman"/>
          <w:b/>
          <w:bCs/>
          <w:noProof/>
        </w:rPr>
        <w:t>279</w:t>
      </w:r>
      <w:r w:rsidRPr="00B11A0A">
        <w:rPr>
          <w:rFonts w:cs="Times New Roman"/>
          <w:noProof/>
        </w:rPr>
        <w:t xml:space="preserve"> (9), 7370–7377, doi: 10.1074/jbc.M306793200 (2004).</w:t>
      </w:r>
    </w:p>
    <w:p w14:paraId="3B4F01CF" w14:textId="77777777" w:rsidR="00B11A0A" w:rsidRPr="00B11A0A" w:rsidRDefault="00B11A0A" w:rsidP="00B11A0A">
      <w:pPr>
        <w:ind w:left="640" w:hanging="640"/>
        <w:rPr>
          <w:rFonts w:cs="Times New Roman"/>
          <w:noProof/>
        </w:rPr>
      </w:pPr>
      <w:r w:rsidRPr="00B11A0A">
        <w:rPr>
          <w:rFonts w:cs="Times New Roman"/>
          <w:noProof/>
        </w:rPr>
        <w:t>17.</w:t>
      </w:r>
      <w:r w:rsidRPr="00B11A0A">
        <w:rPr>
          <w:rFonts w:cs="Times New Roman"/>
          <w:noProof/>
        </w:rPr>
        <w:tab/>
        <w:t xml:space="preserve">Ohashi, K., Burkart, V., Flohé, S., Kolb, H. Cutting Edge: Heat Shock Protein 60 Is a Putative Endogenous Ligand of the Toll-Like Receptor-4 Complex. </w:t>
      </w:r>
      <w:r w:rsidRPr="00B11A0A">
        <w:rPr>
          <w:rFonts w:cs="Times New Roman"/>
          <w:i/>
          <w:iCs/>
          <w:noProof/>
        </w:rPr>
        <w:t>The Journal of Immunology</w:t>
      </w:r>
      <w:r w:rsidRPr="00B11A0A">
        <w:rPr>
          <w:rFonts w:cs="Times New Roman"/>
          <w:noProof/>
        </w:rPr>
        <w:t xml:space="preserve">. </w:t>
      </w:r>
      <w:r w:rsidRPr="00B11A0A">
        <w:rPr>
          <w:rFonts w:cs="Times New Roman"/>
          <w:b/>
          <w:bCs/>
          <w:noProof/>
        </w:rPr>
        <w:t>164</w:t>
      </w:r>
      <w:r w:rsidRPr="00B11A0A">
        <w:rPr>
          <w:rFonts w:cs="Times New Roman"/>
          <w:noProof/>
        </w:rPr>
        <w:t xml:space="preserve"> (2), 558–561, doi: 10.4049/jimmunol.164.2.558 (2000).</w:t>
      </w:r>
    </w:p>
    <w:p w14:paraId="610544A7" w14:textId="77777777" w:rsidR="00B11A0A" w:rsidRPr="00B11A0A" w:rsidRDefault="00B11A0A" w:rsidP="00B11A0A">
      <w:pPr>
        <w:ind w:left="640" w:hanging="640"/>
        <w:rPr>
          <w:rFonts w:cs="Times New Roman"/>
          <w:noProof/>
        </w:rPr>
      </w:pPr>
      <w:r w:rsidRPr="00B11A0A">
        <w:rPr>
          <w:rFonts w:cs="Times New Roman"/>
          <w:noProof/>
        </w:rPr>
        <w:t>18.</w:t>
      </w:r>
      <w:r w:rsidRPr="00B11A0A">
        <w:rPr>
          <w:rFonts w:cs="Times New Roman"/>
          <w:noProof/>
        </w:rPr>
        <w:tab/>
        <w:t xml:space="preserve">Wong, T., McGrath, J.A., Navsaria, H. The role of fibroblasts in tissue engineering and regeneration. </w:t>
      </w:r>
      <w:r w:rsidRPr="00B11A0A">
        <w:rPr>
          <w:rFonts w:cs="Times New Roman"/>
          <w:i/>
          <w:iCs/>
          <w:noProof/>
        </w:rPr>
        <w:t>British Journal of Dermatology</w:t>
      </w:r>
      <w:r w:rsidRPr="00B11A0A">
        <w:rPr>
          <w:rFonts w:cs="Times New Roman"/>
          <w:noProof/>
        </w:rPr>
        <w:t xml:space="preserve">. </w:t>
      </w:r>
      <w:r w:rsidRPr="00B11A0A">
        <w:rPr>
          <w:rFonts w:cs="Times New Roman"/>
          <w:b/>
          <w:bCs/>
          <w:noProof/>
        </w:rPr>
        <w:t>156</w:t>
      </w:r>
      <w:r w:rsidRPr="00B11A0A">
        <w:rPr>
          <w:rFonts w:cs="Times New Roman"/>
          <w:noProof/>
        </w:rPr>
        <w:t xml:space="preserve"> (6), 1149–1155, doi: 10.1111/j.1365-2133.2007.07914.x (2007).</w:t>
      </w:r>
    </w:p>
    <w:p w14:paraId="2227AE6F" w14:textId="2B108C2C" w:rsidR="00B11A0A" w:rsidRPr="00B11A0A" w:rsidRDefault="00B11A0A" w:rsidP="00B11A0A">
      <w:pPr>
        <w:ind w:left="640" w:hanging="640"/>
        <w:rPr>
          <w:rFonts w:cs="Times New Roman"/>
          <w:noProof/>
        </w:rPr>
      </w:pPr>
      <w:r w:rsidRPr="00B11A0A">
        <w:rPr>
          <w:rFonts w:cs="Times New Roman"/>
          <w:noProof/>
        </w:rPr>
        <w:t>19.</w:t>
      </w:r>
      <w:r w:rsidRPr="00B11A0A">
        <w:rPr>
          <w:rFonts w:cs="Times New Roman"/>
          <w:noProof/>
        </w:rPr>
        <w:tab/>
        <w:t xml:space="preserve">van Wachem, P.B. </w:t>
      </w:r>
      <w:r w:rsidR="007A0B74" w:rsidRPr="007A0B74">
        <w:rPr>
          <w:rFonts w:cs="Times New Roman"/>
          <w:noProof/>
        </w:rPr>
        <w:t xml:space="preserve">et al. </w:t>
      </w:r>
      <w:r w:rsidRPr="00B11A0A">
        <w:rPr>
          <w:rFonts w:cs="Times New Roman"/>
          <w:noProof/>
        </w:rPr>
        <w:t xml:space="preserve">The influence of protein adsorption on interactions of cultured human endothelial cells with polymers. </w:t>
      </w:r>
      <w:r w:rsidRPr="00B11A0A">
        <w:rPr>
          <w:rFonts w:cs="Times New Roman"/>
          <w:i/>
          <w:iCs/>
          <w:noProof/>
        </w:rPr>
        <w:t>Journal of Biomedical Materials Research</w:t>
      </w:r>
      <w:r w:rsidRPr="00B11A0A">
        <w:rPr>
          <w:rFonts w:cs="Times New Roman"/>
          <w:noProof/>
        </w:rPr>
        <w:t xml:space="preserve">. </w:t>
      </w:r>
      <w:r w:rsidRPr="00B11A0A">
        <w:rPr>
          <w:rFonts w:cs="Times New Roman"/>
          <w:b/>
          <w:bCs/>
          <w:noProof/>
        </w:rPr>
        <w:t>21</w:t>
      </w:r>
      <w:r w:rsidRPr="00B11A0A">
        <w:rPr>
          <w:rFonts w:cs="Times New Roman"/>
          <w:noProof/>
        </w:rPr>
        <w:t xml:space="preserve"> (6), 701–718, doi: 10.1002/jbm.820210603 (1987).</w:t>
      </w:r>
    </w:p>
    <w:p w14:paraId="675BA426" w14:textId="77777777" w:rsidR="00B11A0A" w:rsidRPr="00B11A0A" w:rsidRDefault="00B11A0A" w:rsidP="00B11A0A">
      <w:pPr>
        <w:ind w:left="640" w:hanging="640"/>
        <w:rPr>
          <w:rFonts w:cs="Times New Roman"/>
          <w:noProof/>
        </w:rPr>
      </w:pPr>
      <w:r w:rsidRPr="00B11A0A">
        <w:rPr>
          <w:rFonts w:cs="Times New Roman"/>
          <w:noProof/>
        </w:rPr>
        <w:t>20.</w:t>
      </w:r>
      <w:r w:rsidRPr="00B11A0A">
        <w:rPr>
          <w:rFonts w:cs="Times New Roman"/>
          <w:noProof/>
        </w:rPr>
        <w:tab/>
        <w:t xml:space="preserve">Miller, K.M., Anderson, J.M. Human monocyte/macrophage activation and interleukin 1 generation by biomedical polymers. </w:t>
      </w:r>
      <w:r w:rsidRPr="00B11A0A">
        <w:rPr>
          <w:rFonts w:cs="Times New Roman"/>
          <w:i/>
          <w:iCs/>
          <w:noProof/>
        </w:rPr>
        <w:t>Journal of Biomedical Materials Research</w:t>
      </w:r>
      <w:r w:rsidRPr="00B11A0A">
        <w:rPr>
          <w:rFonts w:cs="Times New Roman"/>
          <w:noProof/>
        </w:rPr>
        <w:t xml:space="preserve">. </w:t>
      </w:r>
      <w:r w:rsidRPr="00B11A0A">
        <w:rPr>
          <w:rFonts w:cs="Times New Roman"/>
          <w:b/>
          <w:bCs/>
          <w:noProof/>
        </w:rPr>
        <w:t>22</w:t>
      </w:r>
      <w:r w:rsidRPr="00B11A0A">
        <w:rPr>
          <w:rFonts w:cs="Times New Roman"/>
          <w:noProof/>
        </w:rPr>
        <w:t xml:space="preserve"> (8), 713–731, doi: 10.1002/jbm.820220805 (1988).</w:t>
      </w:r>
    </w:p>
    <w:p w14:paraId="41B53F1D" w14:textId="77777777" w:rsidR="00B11A0A" w:rsidRPr="00B11A0A" w:rsidRDefault="00B11A0A" w:rsidP="00B11A0A">
      <w:pPr>
        <w:ind w:left="640" w:hanging="640"/>
        <w:rPr>
          <w:rFonts w:cs="Times New Roman"/>
          <w:noProof/>
        </w:rPr>
      </w:pPr>
      <w:r w:rsidRPr="00B11A0A">
        <w:rPr>
          <w:rFonts w:cs="Times New Roman"/>
          <w:noProof/>
        </w:rPr>
        <w:t>21.</w:t>
      </w:r>
      <w:r w:rsidRPr="00B11A0A">
        <w:rPr>
          <w:rFonts w:cs="Times New Roman"/>
          <w:noProof/>
        </w:rPr>
        <w:tab/>
        <w:t xml:space="preserve">Bonfield, T.L., Colton, E., Anderson, J.M. Plasma protein adsorbed biomedical polymers: Activation of human monocytes and induction of interleukin 1. </w:t>
      </w:r>
      <w:r w:rsidRPr="00B11A0A">
        <w:rPr>
          <w:rFonts w:cs="Times New Roman"/>
          <w:i/>
          <w:iCs/>
          <w:noProof/>
        </w:rPr>
        <w:t>Journal of Biomedical Materials Research</w:t>
      </w:r>
      <w:r w:rsidRPr="00B11A0A">
        <w:rPr>
          <w:rFonts w:cs="Times New Roman"/>
          <w:noProof/>
        </w:rPr>
        <w:t xml:space="preserve">. </w:t>
      </w:r>
      <w:r w:rsidRPr="00B11A0A">
        <w:rPr>
          <w:rFonts w:cs="Times New Roman"/>
          <w:b/>
          <w:bCs/>
          <w:noProof/>
        </w:rPr>
        <w:t>23</w:t>
      </w:r>
      <w:r w:rsidRPr="00B11A0A">
        <w:rPr>
          <w:rFonts w:cs="Times New Roman"/>
          <w:noProof/>
        </w:rPr>
        <w:t xml:space="preserve"> (6), 535–548, doi: 10.1002/jbm.820230602 (1989).</w:t>
      </w:r>
    </w:p>
    <w:p w14:paraId="6143184B" w14:textId="77777777" w:rsidR="00B11A0A" w:rsidRPr="00B11A0A" w:rsidRDefault="00B11A0A" w:rsidP="00B11A0A">
      <w:pPr>
        <w:ind w:left="640" w:hanging="640"/>
        <w:rPr>
          <w:rFonts w:cs="Times New Roman"/>
          <w:noProof/>
        </w:rPr>
      </w:pPr>
      <w:r w:rsidRPr="00B11A0A">
        <w:rPr>
          <w:rFonts w:cs="Times New Roman"/>
          <w:noProof/>
        </w:rPr>
        <w:t>22.</w:t>
      </w:r>
      <w:r w:rsidRPr="00B11A0A">
        <w:rPr>
          <w:rFonts w:cs="Times New Roman"/>
          <w:noProof/>
        </w:rPr>
        <w:tab/>
        <w:t xml:space="preserve">González, O., Smith, R.L., Goodman, S.B. Effect of size, concentration, surface area, and volume of polymethylmethacrylate particles on human macrophages in vitro. </w:t>
      </w:r>
      <w:r w:rsidRPr="00B11A0A">
        <w:rPr>
          <w:rFonts w:cs="Times New Roman"/>
          <w:i/>
          <w:iCs/>
          <w:noProof/>
        </w:rPr>
        <w:t>Journal of Biomedical Materials Research</w:t>
      </w:r>
      <w:r w:rsidRPr="00B11A0A">
        <w:rPr>
          <w:rFonts w:cs="Times New Roman"/>
          <w:noProof/>
        </w:rPr>
        <w:t xml:space="preserve">. </w:t>
      </w:r>
      <w:r w:rsidRPr="00B11A0A">
        <w:rPr>
          <w:rFonts w:cs="Times New Roman"/>
          <w:b/>
          <w:bCs/>
          <w:noProof/>
        </w:rPr>
        <w:t>30</w:t>
      </w:r>
      <w:r w:rsidRPr="00B11A0A">
        <w:rPr>
          <w:rFonts w:cs="Times New Roman"/>
          <w:noProof/>
        </w:rPr>
        <w:t xml:space="preserve"> (4), 463–473, doi: 10.1002/(SICI)1097-4636(199604)30:4&lt;463::AID-JBM4&gt;3.0.CO;2-N (1996).</w:t>
      </w:r>
    </w:p>
    <w:p w14:paraId="6607F080" w14:textId="0A482821" w:rsidR="00B11A0A" w:rsidRPr="00B11A0A" w:rsidRDefault="00B11A0A" w:rsidP="00B11A0A">
      <w:pPr>
        <w:ind w:left="640" w:hanging="640"/>
        <w:rPr>
          <w:rFonts w:cs="Times New Roman"/>
          <w:noProof/>
        </w:rPr>
      </w:pPr>
      <w:r w:rsidRPr="00B11A0A">
        <w:rPr>
          <w:rFonts w:cs="Times New Roman"/>
          <w:noProof/>
        </w:rPr>
        <w:t>23.</w:t>
      </w:r>
      <w:r w:rsidRPr="00B11A0A">
        <w:rPr>
          <w:rFonts w:cs="Times New Roman"/>
          <w:noProof/>
        </w:rPr>
        <w:tab/>
        <w:t>Anderson, J.M.</w:t>
      </w:r>
      <w:r w:rsidR="00AB437F">
        <w:rPr>
          <w:rFonts w:cs="Times New Roman"/>
          <w:noProof/>
        </w:rPr>
        <w:t xml:space="preserve"> et al.</w:t>
      </w:r>
      <w:r w:rsidRPr="00B11A0A">
        <w:rPr>
          <w:rFonts w:cs="Times New Roman"/>
          <w:noProof/>
        </w:rPr>
        <w:t xml:space="preserve"> Protein adsorption and macrophage activation on polydimethylsiloxane and silicone rubber. </w:t>
      </w:r>
      <w:r w:rsidRPr="00B11A0A">
        <w:rPr>
          <w:rFonts w:cs="Times New Roman"/>
          <w:i/>
          <w:iCs/>
          <w:noProof/>
        </w:rPr>
        <w:t>Journal of Biomaterials Science. Polymer Edition</w:t>
      </w:r>
      <w:r w:rsidRPr="00B11A0A">
        <w:rPr>
          <w:rFonts w:cs="Times New Roman"/>
          <w:noProof/>
        </w:rPr>
        <w:t xml:space="preserve">. </w:t>
      </w:r>
      <w:r w:rsidRPr="00B11A0A">
        <w:rPr>
          <w:rFonts w:cs="Times New Roman"/>
          <w:b/>
          <w:bCs/>
          <w:noProof/>
        </w:rPr>
        <w:t>7</w:t>
      </w:r>
      <w:r w:rsidRPr="00B11A0A">
        <w:rPr>
          <w:rFonts w:cs="Times New Roman"/>
          <w:noProof/>
        </w:rPr>
        <w:t xml:space="preserve"> (2), 159–69, doi: 10.1163/156856295X00670 (1995).</w:t>
      </w:r>
    </w:p>
    <w:p w14:paraId="59A256FC" w14:textId="77777777" w:rsidR="00B11A0A" w:rsidRPr="00B11A0A" w:rsidRDefault="00B11A0A" w:rsidP="00B11A0A">
      <w:pPr>
        <w:ind w:left="640" w:hanging="640"/>
        <w:rPr>
          <w:rFonts w:cs="Times New Roman"/>
          <w:noProof/>
        </w:rPr>
      </w:pPr>
      <w:r w:rsidRPr="00B11A0A">
        <w:rPr>
          <w:rFonts w:cs="Times New Roman"/>
          <w:noProof/>
        </w:rPr>
        <w:t>24.</w:t>
      </w:r>
      <w:r w:rsidRPr="00B11A0A">
        <w:rPr>
          <w:rFonts w:cs="Times New Roman"/>
          <w:noProof/>
        </w:rPr>
        <w:tab/>
        <w:t xml:space="preserve">Lord, M.S., Foss, M., Besenbacher, F. Influence of nanoscale surface topography on protein adsorption and cellular response. </w:t>
      </w:r>
      <w:r w:rsidRPr="00B11A0A">
        <w:rPr>
          <w:rFonts w:cs="Times New Roman"/>
          <w:i/>
          <w:iCs/>
          <w:noProof/>
        </w:rPr>
        <w:t>Nano Today</w:t>
      </w:r>
      <w:r w:rsidRPr="00B11A0A">
        <w:rPr>
          <w:rFonts w:cs="Times New Roman"/>
          <w:noProof/>
        </w:rPr>
        <w:t xml:space="preserve">. </w:t>
      </w:r>
      <w:r w:rsidRPr="00B11A0A">
        <w:rPr>
          <w:rFonts w:cs="Times New Roman"/>
          <w:b/>
          <w:bCs/>
          <w:noProof/>
        </w:rPr>
        <w:t>5</w:t>
      </w:r>
      <w:r w:rsidRPr="00B11A0A">
        <w:rPr>
          <w:rFonts w:cs="Times New Roman"/>
          <w:noProof/>
        </w:rPr>
        <w:t xml:space="preserve"> (1), 66–78, doi: 10.1016/j.nantod.2010.01.001 (2010).</w:t>
      </w:r>
    </w:p>
    <w:p w14:paraId="43EFDE62" w14:textId="6BFCD5A7" w:rsidR="00B11A0A" w:rsidRPr="00B11A0A" w:rsidRDefault="00B11A0A" w:rsidP="00B11A0A">
      <w:pPr>
        <w:ind w:left="640" w:hanging="640"/>
        <w:rPr>
          <w:rFonts w:cs="Times New Roman"/>
          <w:noProof/>
        </w:rPr>
      </w:pPr>
      <w:r w:rsidRPr="00B11A0A">
        <w:rPr>
          <w:rFonts w:cs="Times New Roman"/>
          <w:noProof/>
        </w:rPr>
        <w:t>25.</w:t>
      </w:r>
      <w:r w:rsidRPr="00B11A0A">
        <w:rPr>
          <w:rFonts w:cs="Times New Roman"/>
          <w:noProof/>
        </w:rPr>
        <w:tab/>
        <w:t>Chen, S.</w:t>
      </w:r>
      <w:r w:rsidR="0059641F">
        <w:rPr>
          <w:rFonts w:cs="Times New Roman"/>
          <w:noProof/>
        </w:rPr>
        <w:t xml:space="preserve"> et al.</w:t>
      </w:r>
      <w:r w:rsidRPr="00B11A0A">
        <w:rPr>
          <w:rFonts w:cs="Times New Roman"/>
          <w:noProof/>
        </w:rPr>
        <w:t xml:space="preserve"> Characterization of topographical effects on macrophage behavior in a foreign body response model. </w:t>
      </w:r>
      <w:r w:rsidRPr="00B11A0A">
        <w:rPr>
          <w:rFonts w:cs="Times New Roman"/>
          <w:i/>
          <w:iCs/>
          <w:noProof/>
        </w:rPr>
        <w:t>Biomaterials</w:t>
      </w:r>
      <w:r w:rsidRPr="00B11A0A">
        <w:rPr>
          <w:rFonts w:cs="Times New Roman"/>
          <w:noProof/>
        </w:rPr>
        <w:t xml:space="preserve">. </w:t>
      </w:r>
      <w:r w:rsidRPr="00B11A0A">
        <w:rPr>
          <w:rFonts w:cs="Times New Roman"/>
          <w:b/>
          <w:bCs/>
          <w:noProof/>
        </w:rPr>
        <w:t>31</w:t>
      </w:r>
      <w:r w:rsidRPr="00B11A0A">
        <w:rPr>
          <w:rFonts w:cs="Times New Roman"/>
          <w:noProof/>
        </w:rPr>
        <w:t xml:space="preserve"> (13), 3479–3491, doi: 10.1016/j.biomaterials.2010.01.074 (2010).</w:t>
      </w:r>
    </w:p>
    <w:p w14:paraId="64333176" w14:textId="2068B9D8" w:rsidR="00B11A0A" w:rsidRPr="00B11A0A" w:rsidRDefault="00B11A0A" w:rsidP="00B11A0A">
      <w:pPr>
        <w:ind w:left="640" w:hanging="640"/>
        <w:rPr>
          <w:rFonts w:cs="Times New Roman"/>
          <w:noProof/>
        </w:rPr>
      </w:pPr>
      <w:r w:rsidRPr="00B11A0A">
        <w:rPr>
          <w:rFonts w:cs="Times New Roman"/>
          <w:noProof/>
        </w:rPr>
        <w:t>26.</w:t>
      </w:r>
      <w:r w:rsidRPr="00B11A0A">
        <w:rPr>
          <w:rFonts w:cs="Times New Roman"/>
          <w:noProof/>
        </w:rPr>
        <w:tab/>
        <w:t xml:space="preserve">Shen, M., Horbett, T.A. The effects of surface chemistry and adsorbed proteins on monocyte/macrophage adhesion to chemically modified polystyrene surfaces. </w:t>
      </w:r>
      <w:r w:rsidRPr="00B11A0A">
        <w:rPr>
          <w:rFonts w:cs="Times New Roman"/>
          <w:i/>
          <w:iCs/>
          <w:noProof/>
        </w:rPr>
        <w:t xml:space="preserve">Journal of </w:t>
      </w:r>
      <w:r>
        <w:rPr>
          <w:rFonts w:cs="Times New Roman"/>
          <w:i/>
          <w:iCs/>
          <w:noProof/>
        </w:rPr>
        <w:t>B</w:t>
      </w:r>
      <w:r w:rsidRPr="00B11A0A">
        <w:rPr>
          <w:rFonts w:cs="Times New Roman"/>
          <w:i/>
          <w:iCs/>
          <w:noProof/>
        </w:rPr>
        <w:t xml:space="preserve">iomedical </w:t>
      </w:r>
      <w:r>
        <w:rPr>
          <w:rFonts w:cs="Times New Roman"/>
          <w:i/>
          <w:iCs/>
          <w:noProof/>
        </w:rPr>
        <w:t>M</w:t>
      </w:r>
      <w:r w:rsidRPr="00B11A0A">
        <w:rPr>
          <w:rFonts w:cs="Times New Roman"/>
          <w:i/>
          <w:iCs/>
          <w:noProof/>
        </w:rPr>
        <w:t xml:space="preserve">aterials </w:t>
      </w:r>
      <w:r>
        <w:rPr>
          <w:rFonts w:cs="Times New Roman"/>
          <w:i/>
          <w:iCs/>
          <w:noProof/>
        </w:rPr>
        <w:t>R</w:t>
      </w:r>
      <w:r w:rsidRPr="00B11A0A">
        <w:rPr>
          <w:rFonts w:cs="Times New Roman"/>
          <w:i/>
          <w:iCs/>
          <w:noProof/>
        </w:rPr>
        <w:t>esearch</w:t>
      </w:r>
      <w:r w:rsidRPr="00B11A0A">
        <w:rPr>
          <w:rFonts w:cs="Times New Roman"/>
          <w:noProof/>
        </w:rPr>
        <w:t xml:space="preserve">. </w:t>
      </w:r>
      <w:r w:rsidRPr="00B11A0A">
        <w:rPr>
          <w:rFonts w:cs="Times New Roman"/>
          <w:b/>
          <w:bCs/>
          <w:noProof/>
        </w:rPr>
        <w:t>57</w:t>
      </w:r>
      <w:r w:rsidRPr="00B11A0A">
        <w:rPr>
          <w:rFonts w:cs="Times New Roman"/>
          <w:noProof/>
        </w:rPr>
        <w:t xml:space="preserve"> (3), 336–</w:t>
      </w:r>
      <w:r w:rsidR="00BD5D9F">
        <w:rPr>
          <w:rFonts w:cs="Times New Roman"/>
          <w:noProof/>
        </w:rPr>
        <w:t>3</w:t>
      </w:r>
      <w:r w:rsidRPr="00B11A0A">
        <w:rPr>
          <w:rFonts w:cs="Times New Roman"/>
          <w:noProof/>
        </w:rPr>
        <w:t>45, doi: 10.1002/1097-4636(20011205)57:3&lt;336::AID-JBM1176&gt;3.0.CO;2-E (2001).</w:t>
      </w:r>
    </w:p>
    <w:p w14:paraId="1AFD703C" w14:textId="77777777" w:rsidR="00B11A0A" w:rsidRPr="00B11A0A" w:rsidRDefault="00B11A0A" w:rsidP="00B11A0A">
      <w:pPr>
        <w:ind w:left="640" w:hanging="640"/>
        <w:rPr>
          <w:rFonts w:cs="Times New Roman"/>
          <w:noProof/>
        </w:rPr>
      </w:pPr>
      <w:r w:rsidRPr="00B11A0A">
        <w:rPr>
          <w:rFonts w:cs="Times New Roman"/>
          <w:noProof/>
        </w:rPr>
        <w:t>27.</w:t>
      </w:r>
      <w:r w:rsidRPr="00B11A0A">
        <w:rPr>
          <w:rFonts w:cs="Times New Roman"/>
          <w:noProof/>
        </w:rPr>
        <w:tab/>
        <w:t xml:space="preserve">Love, R.J., Jones, K.S. The recognition of biomaterials: Pattern recognition of medical polymers and their adsorbed biomolecules. </w:t>
      </w:r>
      <w:r w:rsidRPr="00B11A0A">
        <w:rPr>
          <w:rFonts w:cs="Times New Roman"/>
          <w:i/>
          <w:iCs/>
          <w:noProof/>
        </w:rPr>
        <w:t>Journal of Biomedical Materials Research Part A</w:t>
      </w:r>
      <w:r w:rsidRPr="00B11A0A">
        <w:rPr>
          <w:rFonts w:cs="Times New Roman"/>
          <w:noProof/>
        </w:rPr>
        <w:t xml:space="preserve">. </w:t>
      </w:r>
      <w:r w:rsidRPr="00B11A0A">
        <w:rPr>
          <w:rFonts w:cs="Times New Roman"/>
          <w:b/>
          <w:bCs/>
          <w:noProof/>
        </w:rPr>
        <w:t>101A</w:t>
      </w:r>
      <w:r w:rsidRPr="00B11A0A">
        <w:rPr>
          <w:rFonts w:cs="Times New Roman"/>
          <w:noProof/>
        </w:rPr>
        <w:t xml:space="preserve"> (9), 2740–2752, doi: 10.1002/jbm.a.34577 (2013).</w:t>
      </w:r>
    </w:p>
    <w:p w14:paraId="07C764A6" w14:textId="77777777" w:rsidR="00B11A0A" w:rsidRPr="00B11A0A" w:rsidRDefault="00B11A0A" w:rsidP="00B11A0A">
      <w:pPr>
        <w:ind w:left="640" w:hanging="640"/>
        <w:rPr>
          <w:rFonts w:cs="Times New Roman"/>
          <w:noProof/>
        </w:rPr>
      </w:pPr>
      <w:r w:rsidRPr="00B11A0A">
        <w:rPr>
          <w:rFonts w:cs="Times New Roman"/>
          <w:noProof/>
        </w:rPr>
        <w:t>28.</w:t>
      </w:r>
      <w:r w:rsidRPr="00B11A0A">
        <w:rPr>
          <w:rFonts w:cs="Times New Roman"/>
          <w:noProof/>
        </w:rPr>
        <w:tab/>
        <w:t xml:space="preserve">McNally, A.K., Anderson, J.M. Phenotypic expression in human monocyte-derived interleukin-4-induced foreign body giant cells and macrophages in vitro: Dependence on material surface properties. </w:t>
      </w:r>
      <w:r w:rsidRPr="00B11A0A">
        <w:rPr>
          <w:rFonts w:cs="Times New Roman"/>
          <w:i/>
          <w:iCs/>
          <w:noProof/>
        </w:rPr>
        <w:t>Journal of Biomedical Materials Research Part A</w:t>
      </w:r>
      <w:r w:rsidRPr="00B11A0A">
        <w:rPr>
          <w:rFonts w:cs="Times New Roman"/>
          <w:noProof/>
        </w:rPr>
        <w:t xml:space="preserve">. </w:t>
      </w:r>
      <w:r w:rsidRPr="00B11A0A">
        <w:rPr>
          <w:rFonts w:cs="Times New Roman"/>
          <w:b/>
          <w:bCs/>
          <w:noProof/>
        </w:rPr>
        <w:t>103</w:t>
      </w:r>
      <w:r w:rsidRPr="00B11A0A">
        <w:rPr>
          <w:rFonts w:cs="Times New Roman"/>
          <w:noProof/>
        </w:rPr>
        <w:t xml:space="preserve"> (4), 1380–1390, doi: 10.1002/jbm.a.35280 (2015).</w:t>
      </w:r>
    </w:p>
    <w:p w14:paraId="076CE649" w14:textId="4C1DAEB3" w:rsidR="00B11A0A" w:rsidRPr="00B11A0A" w:rsidRDefault="00B11A0A" w:rsidP="00B11A0A">
      <w:pPr>
        <w:ind w:left="640" w:hanging="640"/>
        <w:rPr>
          <w:rFonts w:cs="Times New Roman"/>
          <w:noProof/>
        </w:rPr>
      </w:pPr>
      <w:r w:rsidRPr="00B11A0A">
        <w:rPr>
          <w:rFonts w:cs="Times New Roman"/>
          <w:noProof/>
        </w:rPr>
        <w:t>29.</w:t>
      </w:r>
      <w:r w:rsidRPr="00B11A0A">
        <w:rPr>
          <w:rFonts w:cs="Times New Roman"/>
          <w:noProof/>
        </w:rPr>
        <w:tab/>
        <w:t xml:space="preserve">Gambhir, V. </w:t>
      </w:r>
      <w:r w:rsidR="007A0B74" w:rsidRPr="007A0B74">
        <w:rPr>
          <w:rFonts w:cs="Times New Roman"/>
          <w:noProof/>
        </w:rPr>
        <w:t xml:space="preserve">et al. </w:t>
      </w:r>
      <w:r w:rsidRPr="00B11A0A">
        <w:rPr>
          <w:rFonts w:cs="Times New Roman"/>
          <w:noProof/>
        </w:rPr>
        <w:t xml:space="preserve">The TLR2 agonists lipoteichoic acid and Pam3CSK4 induce greater pro-inflammatory responses than inactivated Mycobacterium butyricum. </w:t>
      </w:r>
      <w:r w:rsidRPr="00B11A0A">
        <w:rPr>
          <w:rFonts w:cs="Times New Roman"/>
          <w:i/>
          <w:iCs/>
          <w:noProof/>
        </w:rPr>
        <w:t>Cellular Immunology</w:t>
      </w:r>
      <w:r w:rsidRPr="00B11A0A">
        <w:rPr>
          <w:rFonts w:cs="Times New Roman"/>
          <w:noProof/>
        </w:rPr>
        <w:t xml:space="preserve">. </w:t>
      </w:r>
      <w:r w:rsidRPr="00B11A0A">
        <w:rPr>
          <w:rFonts w:cs="Times New Roman"/>
          <w:b/>
          <w:bCs/>
          <w:noProof/>
        </w:rPr>
        <w:t>280</w:t>
      </w:r>
      <w:r w:rsidRPr="00B11A0A">
        <w:rPr>
          <w:rFonts w:cs="Times New Roman"/>
          <w:noProof/>
        </w:rPr>
        <w:t xml:space="preserve"> (1), 101–107, doi: 10.1016/j.cellimm.2012.12.001 (2012).</w:t>
      </w:r>
    </w:p>
    <w:p w14:paraId="77CB37E9" w14:textId="77777777" w:rsidR="00B11A0A" w:rsidRPr="00B11A0A" w:rsidRDefault="00B11A0A" w:rsidP="00B11A0A">
      <w:pPr>
        <w:ind w:left="640" w:hanging="640"/>
        <w:rPr>
          <w:rFonts w:cs="Times New Roman"/>
          <w:noProof/>
        </w:rPr>
      </w:pPr>
      <w:r w:rsidRPr="00B11A0A">
        <w:rPr>
          <w:rFonts w:cs="Times New Roman"/>
          <w:noProof/>
        </w:rPr>
        <w:lastRenderedPageBreak/>
        <w:t>30.</w:t>
      </w:r>
      <w:r w:rsidRPr="00B11A0A">
        <w:rPr>
          <w:rFonts w:cs="Times New Roman"/>
          <w:noProof/>
        </w:rPr>
        <w:tab/>
        <w:t xml:space="preserve">Suzuki, O., Yagishita, H., Yamazaki, M., Aoba, T. Adsorption of Bovine Serum Albumin onto Octacalcium Phosphate and its Hydrolyzates. </w:t>
      </w:r>
      <w:r w:rsidRPr="00B11A0A">
        <w:rPr>
          <w:rFonts w:cs="Times New Roman"/>
          <w:i/>
          <w:iCs/>
          <w:noProof/>
        </w:rPr>
        <w:t>Cells and Materials</w:t>
      </w:r>
      <w:r w:rsidRPr="00B11A0A">
        <w:rPr>
          <w:rFonts w:cs="Times New Roman"/>
          <w:noProof/>
        </w:rPr>
        <w:t xml:space="preserve">. </w:t>
      </w:r>
      <w:r w:rsidRPr="00B11A0A">
        <w:rPr>
          <w:rFonts w:cs="Times New Roman"/>
          <w:b/>
          <w:bCs/>
          <w:noProof/>
        </w:rPr>
        <w:t>5</w:t>
      </w:r>
      <w:r w:rsidRPr="00B11A0A">
        <w:rPr>
          <w:rFonts w:cs="Times New Roman"/>
          <w:noProof/>
        </w:rPr>
        <w:t xml:space="preserve"> (1), 45–54 (1995).</w:t>
      </w:r>
    </w:p>
    <w:p w14:paraId="4A2CEB17" w14:textId="52B5E265" w:rsidR="00B11A0A" w:rsidRPr="00B11A0A" w:rsidRDefault="00B11A0A" w:rsidP="00B11A0A">
      <w:pPr>
        <w:ind w:left="640" w:hanging="640"/>
        <w:rPr>
          <w:rFonts w:cs="Times New Roman"/>
          <w:noProof/>
        </w:rPr>
      </w:pPr>
      <w:r w:rsidRPr="00B11A0A">
        <w:rPr>
          <w:rFonts w:cs="Times New Roman"/>
          <w:noProof/>
        </w:rPr>
        <w:t>31.</w:t>
      </w:r>
      <w:r w:rsidRPr="00B11A0A">
        <w:rPr>
          <w:rFonts w:cs="Times New Roman"/>
          <w:noProof/>
        </w:rPr>
        <w:tab/>
        <w:t xml:space="preserve">Johnston, R.L., Spalton, D.J., Hussain, A., Marshall, J. </w:t>
      </w:r>
      <w:r w:rsidR="00DD0575" w:rsidRPr="00DD0575">
        <w:rPr>
          <w:rFonts w:cs="Times New Roman"/>
          <w:noProof/>
        </w:rPr>
        <w:t xml:space="preserve">In vitro </w:t>
      </w:r>
      <w:r w:rsidRPr="00B11A0A">
        <w:rPr>
          <w:rFonts w:cs="Times New Roman"/>
          <w:noProof/>
        </w:rPr>
        <w:t xml:space="preserve">protein adsorption to 2 intraocular lens materials. </w:t>
      </w:r>
      <w:r w:rsidRPr="00B11A0A">
        <w:rPr>
          <w:rFonts w:cs="Times New Roman"/>
          <w:i/>
          <w:iCs/>
          <w:noProof/>
        </w:rPr>
        <w:t>Journal of Cataract and Refractive Surgery</w:t>
      </w:r>
      <w:r w:rsidRPr="00B11A0A">
        <w:rPr>
          <w:rFonts w:cs="Times New Roman"/>
          <w:noProof/>
        </w:rPr>
        <w:t xml:space="preserve">. </w:t>
      </w:r>
      <w:r w:rsidRPr="00B11A0A">
        <w:rPr>
          <w:rFonts w:cs="Times New Roman"/>
          <w:b/>
          <w:bCs/>
          <w:noProof/>
        </w:rPr>
        <w:t>25</w:t>
      </w:r>
      <w:r w:rsidRPr="00B11A0A">
        <w:rPr>
          <w:rFonts w:cs="Times New Roman"/>
          <w:noProof/>
        </w:rPr>
        <w:t xml:space="preserve"> (8), 1109–1115, doi: 10.1016/S0886-3350(99)00137-6 (1999).</w:t>
      </w:r>
    </w:p>
    <w:p w14:paraId="3843BE87" w14:textId="77777777" w:rsidR="00B11A0A" w:rsidRPr="00B11A0A" w:rsidRDefault="00B11A0A" w:rsidP="00B11A0A">
      <w:pPr>
        <w:ind w:left="640" w:hanging="640"/>
        <w:rPr>
          <w:rFonts w:cs="Times New Roman"/>
          <w:noProof/>
        </w:rPr>
      </w:pPr>
      <w:r w:rsidRPr="00B11A0A">
        <w:rPr>
          <w:rFonts w:cs="Times New Roman"/>
          <w:noProof/>
        </w:rPr>
        <w:t>32.</w:t>
      </w:r>
      <w:r w:rsidRPr="00B11A0A">
        <w:rPr>
          <w:rFonts w:cs="Times New Roman"/>
          <w:noProof/>
        </w:rPr>
        <w:tab/>
        <w:t xml:space="preserve">Jin, J., Jiang, W., Yin, J., Ji, X., Stagnaro, P. Plasma proteins adsorption mechanism on polyethylene-grafted poly(ethylene glycol) surface by quartz crystal microbalance with dissipation. </w:t>
      </w:r>
      <w:r w:rsidRPr="00B11A0A">
        <w:rPr>
          <w:rFonts w:cs="Times New Roman"/>
          <w:i/>
          <w:iCs/>
          <w:noProof/>
        </w:rPr>
        <w:t>Langmuir</w:t>
      </w:r>
      <w:r w:rsidRPr="00B11A0A">
        <w:rPr>
          <w:rFonts w:cs="Times New Roman"/>
          <w:noProof/>
        </w:rPr>
        <w:t xml:space="preserve">. </w:t>
      </w:r>
      <w:r w:rsidRPr="00B11A0A">
        <w:rPr>
          <w:rFonts w:cs="Times New Roman"/>
          <w:b/>
          <w:bCs/>
          <w:noProof/>
        </w:rPr>
        <w:t>29</w:t>
      </w:r>
      <w:r w:rsidRPr="00B11A0A">
        <w:rPr>
          <w:rFonts w:cs="Times New Roman"/>
          <w:noProof/>
        </w:rPr>
        <w:t xml:space="preserve"> (22), 6624–6633, doi: 10.1021/la4017239 (2013).</w:t>
      </w:r>
    </w:p>
    <w:p w14:paraId="19F10D79" w14:textId="4AD95691" w:rsidR="00B11A0A" w:rsidRPr="00B11A0A" w:rsidRDefault="00B11A0A" w:rsidP="00B11A0A">
      <w:pPr>
        <w:ind w:left="640" w:hanging="640"/>
        <w:rPr>
          <w:rFonts w:cs="Times New Roman"/>
          <w:noProof/>
        </w:rPr>
      </w:pPr>
      <w:r w:rsidRPr="00B11A0A">
        <w:rPr>
          <w:rFonts w:cs="Times New Roman"/>
          <w:noProof/>
        </w:rPr>
        <w:t>33.</w:t>
      </w:r>
      <w:r w:rsidRPr="00B11A0A">
        <w:rPr>
          <w:rFonts w:cs="Times New Roman"/>
          <w:noProof/>
        </w:rPr>
        <w:tab/>
        <w:t>Swartzlander, M.D.</w:t>
      </w:r>
      <w:r w:rsidR="0059641F">
        <w:rPr>
          <w:rFonts w:cs="Times New Roman"/>
          <w:noProof/>
        </w:rPr>
        <w:t xml:space="preserve"> et al.</w:t>
      </w:r>
      <w:r w:rsidRPr="00B11A0A">
        <w:rPr>
          <w:rFonts w:cs="Times New Roman"/>
          <w:noProof/>
        </w:rPr>
        <w:t xml:space="preserve"> Linking the foreign body response and protein adsorption to PEG-based hydrogels using proteomics. </w:t>
      </w:r>
      <w:r w:rsidRPr="00B11A0A">
        <w:rPr>
          <w:rFonts w:cs="Times New Roman"/>
          <w:i/>
          <w:iCs/>
          <w:noProof/>
        </w:rPr>
        <w:t>Biomaterials</w:t>
      </w:r>
      <w:r w:rsidRPr="00B11A0A">
        <w:rPr>
          <w:rFonts w:cs="Times New Roman"/>
          <w:noProof/>
        </w:rPr>
        <w:t xml:space="preserve">. </w:t>
      </w:r>
      <w:r w:rsidRPr="00B11A0A">
        <w:rPr>
          <w:rFonts w:cs="Times New Roman"/>
          <w:b/>
          <w:bCs/>
          <w:noProof/>
        </w:rPr>
        <w:t>41</w:t>
      </w:r>
      <w:r w:rsidRPr="00B11A0A">
        <w:rPr>
          <w:rFonts w:cs="Times New Roman"/>
          <w:noProof/>
        </w:rPr>
        <w:t>, 26–36, doi: 10.1016/j.biomaterials.2014.11.026 (2015).</w:t>
      </w:r>
    </w:p>
    <w:p w14:paraId="4F9E98EC" w14:textId="5B140E1F" w:rsidR="00B11A0A" w:rsidRPr="00B11A0A" w:rsidRDefault="00B11A0A" w:rsidP="00B11A0A">
      <w:pPr>
        <w:ind w:left="640" w:hanging="640"/>
        <w:rPr>
          <w:rFonts w:cs="Times New Roman"/>
          <w:noProof/>
        </w:rPr>
      </w:pPr>
      <w:r w:rsidRPr="00B11A0A">
        <w:rPr>
          <w:rFonts w:cs="Times New Roman"/>
          <w:noProof/>
        </w:rPr>
        <w:t>34.</w:t>
      </w:r>
      <w:r w:rsidRPr="00B11A0A">
        <w:rPr>
          <w:rFonts w:cs="Times New Roman"/>
          <w:noProof/>
        </w:rPr>
        <w:tab/>
        <w:t xml:space="preserve">Chamberlain, M.D. </w:t>
      </w:r>
      <w:r w:rsidR="007A0B74" w:rsidRPr="007A0B74">
        <w:rPr>
          <w:rFonts w:cs="Times New Roman"/>
          <w:noProof/>
        </w:rPr>
        <w:t xml:space="preserve">et al. </w:t>
      </w:r>
      <w:r w:rsidRPr="00B11A0A">
        <w:rPr>
          <w:rFonts w:cs="Times New Roman"/>
          <w:noProof/>
        </w:rPr>
        <w:t xml:space="preserve">Unbiased phosphoproteomic method identifies the initial effects of a methacrylic acid copolymer on macrophages. </w:t>
      </w:r>
      <w:r w:rsidRPr="00B11A0A">
        <w:rPr>
          <w:rFonts w:cs="Times New Roman"/>
          <w:i/>
          <w:iCs/>
          <w:noProof/>
        </w:rPr>
        <w:t>Proceedings of the National Academy of Sciences</w:t>
      </w:r>
      <w:r w:rsidRPr="00B11A0A">
        <w:rPr>
          <w:rFonts w:cs="Times New Roman"/>
          <w:noProof/>
        </w:rPr>
        <w:t xml:space="preserve">. </w:t>
      </w:r>
      <w:r w:rsidRPr="00B11A0A">
        <w:rPr>
          <w:rFonts w:cs="Times New Roman"/>
          <w:b/>
          <w:bCs/>
          <w:noProof/>
        </w:rPr>
        <w:t>112</w:t>
      </w:r>
      <w:r w:rsidRPr="00B11A0A">
        <w:rPr>
          <w:rFonts w:cs="Times New Roman"/>
          <w:noProof/>
        </w:rPr>
        <w:t xml:space="preserve"> (34), 10673–10678, doi: 10.1073/pnas.1508826112 (2015).</w:t>
      </w:r>
    </w:p>
    <w:p w14:paraId="125D77E5" w14:textId="77777777" w:rsidR="00B11A0A" w:rsidRPr="00B11A0A" w:rsidRDefault="00B11A0A" w:rsidP="00B11A0A">
      <w:pPr>
        <w:ind w:left="640" w:hanging="640"/>
        <w:rPr>
          <w:rFonts w:cs="Times New Roman"/>
          <w:noProof/>
        </w:rPr>
      </w:pPr>
      <w:r w:rsidRPr="00B11A0A">
        <w:rPr>
          <w:rFonts w:cs="Times New Roman"/>
          <w:noProof/>
        </w:rPr>
        <w:t>35.</w:t>
      </w:r>
      <w:r w:rsidRPr="00B11A0A">
        <w:rPr>
          <w:rFonts w:cs="Times New Roman"/>
          <w:noProof/>
        </w:rPr>
        <w:tab/>
        <w:t xml:space="preserve">Dillman, W.J., Miller, I.F. On the adsorption of serum proteins on polymer membrane surfaces. </w:t>
      </w:r>
      <w:r w:rsidRPr="00B11A0A">
        <w:rPr>
          <w:rFonts w:cs="Times New Roman"/>
          <w:i/>
          <w:iCs/>
          <w:noProof/>
        </w:rPr>
        <w:t>Journal of Colloid And Interface Science</w:t>
      </w:r>
      <w:r w:rsidRPr="00B11A0A">
        <w:rPr>
          <w:rFonts w:cs="Times New Roman"/>
          <w:noProof/>
        </w:rPr>
        <w:t xml:space="preserve">. </w:t>
      </w:r>
      <w:r w:rsidRPr="00B11A0A">
        <w:rPr>
          <w:rFonts w:cs="Times New Roman"/>
          <w:b/>
          <w:bCs/>
          <w:noProof/>
        </w:rPr>
        <w:t>44</w:t>
      </w:r>
      <w:r w:rsidRPr="00B11A0A">
        <w:rPr>
          <w:rFonts w:cs="Times New Roman"/>
          <w:noProof/>
        </w:rPr>
        <w:t xml:space="preserve"> (2), 221–241, doi: 10.1016/0021-9797(73)90215-4 (1973).</w:t>
      </w:r>
    </w:p>
    <w:p w14:paraId="26CD3DB9" w14:textId="77777777" w:rsidR="00B11A0A" w:rsidRPr="00B11A0A" w:rsidRDefault="00B11A0A" w:rsidP="00B11A0A">
      <w:pPr>
        <w:ind w:left="640" w:hanging="640"/>
        <w:rPr>
          <w:rFonts w:cs="Times New Roman"/>
          <w:noProof/>
        </w:rPr>
      </w:pPr>
      <w:r w:rsidRPr="00B11A0A">
        <w:rPr>
          <w:rFonts w:cs="Times New Roman"/>
          <w:noProof/>
        </w:rPr>
        <w:t>36.</w:t>
      </w:r>
      <w:r w:rsidRPr="00B11A0A">
        <w:rPr>
          <w:rFonts w:cs="Times New Roman"/>
          <w:noProof/>
        </w:rPr>
        <w:tab/>
        <w:t xml:space="preserve">Ishihara, K., Ziats, N.P., Tierney, B.P., Nakabayashi, N., Anderson, J.M. Protein adsorption from human plasma is reduced on phospholipid polymers. </w:t>
      </w:r>
      <w:r w:rsidRPr="00B11A0A">
        <w:rPr>
          <w:rFonts w:cs="Times New Roman"/>
          <w:i/>
          <w:iCs/>
          <w:noProof/>
        </w:rPr>
        <w:t>Journal of Biomedical Materials Research</w:t>
      </w:r>
      <w:r w:rsidRPr="00B11A0A">
        <w:rPr>
          <w:rFonts w:cs="Times New Roman"/>
          <w:noProof/>
        </w:rPr>
        <w:t xml:space="preserve">. </w:t>
      </w:r>
      <w:r w:rsidRPr="00B11A0A">
        <w:rPr>
          <w:rFonts w:cs="Times New Roman"/>
          <w:b/>
          <w:bCs/>
          <w:noProof/>
        </w:rPr>
        <w:t>25</w:t>
      </w:r>
      <w:r w:rsidRPr="00B11A0A">
        <w:rPr>
          <w:rFonts w:cs="Times New Roman"/>
          <w:noProof/>
        </w:rPr>
        <w:t xml:space="preserve"> (11), 1397–1407, doi: 10.1002/jbm.820251107 (1991).</w:t>
      </w:r>
    </w:p>
    <w:p w14:paraId="2AC59828" w14:textId="77777777" w:rsidR="00B11A0A" w:rsidRPr="00B11A0A" w:rsidRDefault="00B11A0A" w:rsidP="00B11A0A">
      <w:pPr>
        <w:ind w:left="640" w:hanging="640"/>
        <w:rPr>
          <w:rFonts w:cs="Times New Roman"/>
          <w:noProof/>
        </w:rPr>
      </w:pPr>
      <w:r w:rsidRPr="00B11A0A">
        <w:rPr>
          <w:rFonts w:cs="Times New Roman"/>
          <w:noProof/>
        </w:rPr>
        <w:t>37.</w:t>
      </w:r>
      <w:r w:rsidRPr="00B11A0A">
        <w:rPr>
          <w:rFonts w:cs="Times New Roman"/>
          <w:noProof/>
        </w:rPr>
        <w:tab/>
        <w:t xml:space="preserve">Warkentin, P., Wälivaara, B., Lundström, I., Tengvall, P. Differential surface binding of albumin, immunoglobulin G and fibrinogen. </w:t>
      </w:r>
      <w:r w:rsidRPr="00B11A0A">
        <w:rPr>
          <w:rFonts w:cs="Times New Roman"/>
          <w:i/>
          <w:iCs/>
          <w:noProof/>
        </w:rPr>
        <w:t>Biomaterials</w:t>
      </w:r>
      <w:r w:rsidRPr="00B11A0A">
        <w:rPr>
          <w:rFonts w:cs="Times New Roman"/>
          <w:noProof/>
        </w:rPr>
        <w:t xml:space="preserve">. </w:t>
      </w:r>
      <w:r w:rsidRPr="00B11A0A">
        <w:rPr>
          <w:rFonts w:cs="Times New Roman"/>
          <w:b/>
          <w:bCs/>
          <w:noProof/>
        </w:rPr>
        <w:t>15</w:t>
      </w:r>
      <w:r w:rsidRPr="00B11A0A">
        <w:rPr>
          <w:rFonts w:cs="Times New Roman"/>
          <w:noProof/>
        </w:rPr>
        <w:t xml:space="preserve"> (10), 786–795, doi: 10.1016/0142-9612(94)90033-7 (1994).</w:t>
      </w:r>
    </w:p>
    <w:p w14:paraId="796B07FA" w14:textId="4D496D62" w:rsidR="00B11A0A" w:rsidRPr="00B11A0A" w:rsidRDefault="00B11A0A" w:rsidP="00B11A0A">
      <w:pPr>
        <w:ind w:left="640" w:hanging="640"/>
        <w:rPr>
          <w:rFonts w:cs="Times New Roman"/>
          <w:noProof/>
        </w:rPr>
      </w:pPr>
      <w:r w:rsidRPr="00B11A0A">
        <w:rPr>
          <w:rFonts w:cs="Times New Roman"/>
          <w:noProof/>
        </w:rPr>
        <w:t>38.</w:t>
      </w:r>
      <w:r w:rsidRPr="00B11A0A">
        <w:rPr>
          <w:rFonts w:cs="Times New Roman"/>
          <w:noProof/>
        </w:rPr>
        <w:tab/>
        <w:t xml:space="preserve">Berghaus, L.J. </w:t>
      </w:r>
      <w:r w:rsidR="007A0B74" w:rsidRPr="007A0B74">
        <w:rPr>
          <w:rFonts w:cs="Times New Roman"/>
          <w:noProof/>
        </w:rPr>
        <w:t xml:space="preserve">et al. </w:t>
      </w:r>
      <w:r w:rsidRPr="00B11A0A">
        <w:rPr>
          <w:rFonts w:cs="Times New Roman"/>
          <w:noProof/>
        </w:rPr>
        <w:t xml:space="preserve">Innate immune responses of primary murine macrophage-lineage cells and RAW 264.7 cells to ligands of Toll-like receptors 2, 3, and 4. </w:t>
      </w:r>
      <w:r w:rsidRPr="00B11A0A">
        <w:rPr>
          <w:rFonts w:cs="Times New Roman"/>
          <w:i/>
          <w:iCs/>
          <w:noProof/>
        </w:rPr>
        <w:t>Comparative Immunology, Microbiology and Infectious Diseases</w:t>
      </w:r>
      <w:r w:rsidRPr="00B11A0A">
        <w:rPr>
          <w:rFonts w:cs="Times New Roman"/>
          <w:noProof/>
        </w:rPr>
        <w:t xml:space="preserve">. </w:t>
      </w:r>
      <w:r w:rsidRPr="00B11A0A">
        <w:rPr>
          <w:rFonts w:cs="Times New Roman"/>
          <w:b/>
          <w:bCs/>
          <w:noProof/>
        </w:rPr>
        <w:t>33</w:t>
      </w:r>
      <w:r w:rsidRPr="00B11A0A">
        <w:rPr>
          <w:rFonts w:cs="Times New Roman"/>
          <w:noProof/>
        </w:rPr>
        <w:t xml:space="preserve"> (5), 443–454, doi: 10.1016/j.cimid.2009.07.001 (2010).</w:t>
      </w:r>
    </w:p>
    <w:p w14:paraId="1A1DECAC" w14:textId="77777777" w:rsidR="00B11A0A" w:rsidRPr="00B11A0A" w:rsidRDefault="00B11A0A" w:rsidP="00B11A0A">
      <w:pPr>
        <w:ind w:left="640" w:hanging="640"/>
        <w:rPr>
          <w:rFonts w:cs="Times New Roman"/>
          <w:noProof/>
        </w:rPr>
      </w:pPr>
      <w:r w:rsidRPr="00B11A0A">
        <w:rPr>
          <w:rFonts w:cs="Times New Roman"/>
          <w:noProof/>
        </w:rPr>
        <w:t>39.</w:t>
      </w:r>
      <w:r w:rsidRPr="00B11A0A">
        <w:rPr>
          <w:rFonts w:cs="Times New Roman"/>
          <w:noProof/>
        </w:rPr>
        <w:tab/>
        <w:t xml:space="preserve">Zhang, Y., Karki, R., Igwe, O.J. Toll-like receptor 4 signaling: A common pathway for interactions between prooxidants and extracellular disulfide high mobility group box 1 (HMGB1) protein-coupled activation. </w:t>
      </w:r>
      <w:r w:rsidRPr="00B11A0A">
        <w:rPr>
          <w:rFonts w:cs="Times New Roman"/>
          <w:i/>
          <w:iCs/>
          <w:noProof/>
        </w:rPr>
        <w:t>Biochemical Pharmacology</w:t>
      </w:r>
      <w:r w:rsidRPr="00B11A0A">
        <w:rPr>
          <w:rFonts w:cs="Times New Roman"/>
          <w:noProof/>
        </w:rPr>
        <w:t xml:space="preserve">. </w:t>
      </w:r>
      <w:r w:rsidRPr="00B11A0A">
        <w:rPr>
          <w:rFonts w:cs="Times New Roman"/>
          <w:b/>
          <w:bCs/>
          <w:noProof/>
        </w:rPr>
        <w:t>98</w:t>
      </w:r>
      <w:r w:rsidRPr="00B11A0A">
        <w:rPr>
          <w:rFonts w:cs="Times New Roman"/>
          <w:noProof/>
        </w:rPr>
        <w:t xml:space="preserve"> (1), 132–143, doi: 10.1016/j.bcp.2015.08.109 (2015).</w:t>
      </w:r>
    </w:p>
    <w:p w14:paraId="090D36DD" w14:textId="7993C214" w:rsidR="00B11A0A" w:rsidRPr="00B11A0A" w:rsidRDefault="00B11A0A" w:rsidP="00B11A0A">
      <w:pPr>
        <w:ind w:left="640" w:hanging="640"/>
        <w:rPr>
          <w:rFonts w:cs="Times New Roman"/>
          <w:noProof/>
        </w:rPr>
      </w:pPr>
      <w:r w:rsidRPr="00B11A0A">
        <w:rPr>
          <w:rFonts w:cs="Times New Roman"/>
          <w:noProof/>
        </w:rPr>
        <w:t>40.</w:t>
      </w:r>
      <w:r w:rsidRPr="00B11A0A">
        <w:rPr>
          <w:rFonts w:cs="Times New Roman"/>
          <w:noProof/>
        </w:rPr>
        <w:tab/>
        <w:t xml:space="preserve">Mizel, S.B., Honko, A.N., Moors, M.A., Smith, P.S., West, A.P. Induction of macrophage nitric oxide production by Gram-negative flagellin involves signaling via heteromeric Toll-like receptor 5/Toll-like receptor 4 complexes. </w:t>
      </w:r>
      <w:r w:rsidRPr="00B11A0A">
        <w:rPr>
          <w:rFonts w:cs="Times New Roman"/>
          <w:i/>
          <w:iCs/>
          <w:noProof/>
        </w:rPr>
        <w:t>Journal of Immunology</w:t>
      </w:r>
      <w:r w:rsidRPr="00B11A0A">
        <w:rPr>
          <w:rFonts w:cs="Times New Roman"/>
          <w:noProof/>
        </w:rPr>
        <w:t xml:space="preserve">. </w:t>
      </w:r>
      <w:r w:rsidRPr="00B11A0A">
        <w:rPr>
          <w:rFonts w:cs="Times New Roman"/>
          <w:b/>
          <w:bCs/>
          <w:noProof/>
        </w:rPr>
        <w:t>170</w:t>
      </w:r>
      <w:r w:rsidRPr="00B11A0A">
        <w:rPr>
          <w:rFonts w:cs="Times New Roman"/>
          <w:noProof/>
        </w:rPr>
        <w:t xml:space="preserve"> (12), 6217–</w:t>
      </w:r>
      <w:r w:rsidR="00BD5D9F">
        <w:rPr>
          <w:rFonts w:cs="Times New Roman"/>
          <w:noProof/>
        </w:rPr>
        <w:t>62</w:t>
      </w:r>
      <w:r w:rsidRPr="00B11A0A">
        <w:rPr>
          <w:rFonts w:cs="Times New Roman"/>
          <w:noProof/>
        </w:rPr>
        <w:t>23, doi: 10.4049/jimmunol.170.12.6217 (2003).</w:t>
      </w:r>
    </w:p>
    <w:p w14:paraId="5AFE6E7C" w14:textId="41FE75F0" w:rsidR="00B11A0A" w:rsidRPr="00B11A0A" w:rsidRDefault="00B11A0A" w:rsidP="00B11A0A">
      <w:pPr>
        <w:ind w:left="640" w:hanging="640"/>
        <w:rPr>
          <w:rFonts w:cs="Times New Roman"/>
          <w:noProof/>
        </w:rPr>
      </w:pPr>
      <w:r w:rsidRPr="00B11A0A">
        <w:rPr>
          <w:rFonts w:cs="Times New Roman"/>
          <w:noProof/>
        </w:rPr>
        <w:t>41.</w:t>
      </w:r>
      <w:r w:rsidRPr="00B11A0A">
        <w:rPr>
          <w:rFonts w:cs="Times New Roman"/>
          <w:noProof/>
        </w:rPr>
        <w:tab/>
        <w:t xml:space="preserve">Das, N. </w:t>
      </w:r>
      <w:r w:rsidR="007A0B74" w:rsidRPr="007A0B74">
        <w:rPr>
          <w:rFonts w:cs="Times New Roman"/>
          <w:noProof/>
        </w:rPr>
        <w:t xml:space="preserve">et al. </w:t>
      </w:r>
      <w:r w:rsidRPr="00B11A0A">
        <w:rPr>
          <w:rFonts w:cs="Times New Roman"/>
          <w:noProof/>
        </w:rPr>
        <w:t xml:space="preserve">HMGB1 Activates Proinflammatory Signaling via TLR5 Leading to Allodynia. </w:t>
      </w:r>
      <w:r w:rsidRPr="00B11A0A">
        <w:rPr>
          <w:rFonts w:cs="Times New Roman"/>
          <w:i/>
          <w:iCs/>
          <w:noProof/>
        </w:rPr>
        <w:t>Cell Reports</w:t>
      </w:r>
      <w:r w:rsidRPr="00B11A0A">
        <w:rPr>
          <w:rFonts w:cs="Times New Roman"/>
          <w:noProof/>
        </w:rPr>
        <w:t xml:space="preserve">. </w:t>
      </w:r>
      <w:r w:rsidRPr="00B11A0A">
        <w:rPr>
          <w:rFonts w:cs="Times New Roman"/>
          <w:b/>
          <w:bCs/>
          <w:noProof/>
        </w:rPr>
        <w:t>17</w:t>
      </w:r>
      <w:r w:rsidRPr="00B11A0A">
        <w:rPr>
          <w:rFonts w:cs="Times New Roman"/>
          <w:noProof/>
        </w:rPr>
        <w:t xml:space="preserve"> (4), 1128–1140, doi: 10.1016/j.celrep.2016.09.076 (2016).</w:t>
      </w:r>
    </w:p>
    <w:p w14:paraId="6DE17FB5" w14:textId="475DF562" w:rsidR="00B11A0A" w:rsidRPr="00B11A0A" w:rsidRDefault="00B11A0A" w:rsidP="00B11A0A">
      <w:pPr>
        <w:ind w:left="640" w:hanging="640"/>
        <w:rPr>
          <w:rFonts w:cs="Times New Roman"/>
          <w:noProof/>
        </w:rPr>
      </w:pPr>
      <w:r w:rsidRPr="00B11A0A">
        <w:rPr>
          <w:rFonts w:cs="Times New Roman"/>
          <w:noProof/>
        </w:rPr>
        <w:t>42.</w:t>
      </w:r>
      <w:r w:rsidRPr="00B11A0A">
        <w:rPr>
          <w:rFonts w:cs="Times New Roman"/>
          <w:noProof/>
        </w:rPr>
        <w:tab/>
        <w:t>Pelegrin, P., Barroso-Gutierrez, C., Surprenant, A. P2X</w:t>
      </w:r>
      <w:r w:rsidRPr="00AF5693">
        <w:rPr>
          <w:rFonts w:cs="Times New Roman"/>
          <w:noProof/>
          <w:vertAlign w:val="subscript"/>
        </w:rPr>
        <w:t>7</w:t>
      </w:r>
      <w:r w:rsidRPr="00B11A0A">
        <w:rPr>
          <w:rFonts w:cs="Times New Roman"/>
          <w:noProof/>
        </w:rPr>
        <w:t xml:space="preserve"> Receptor Differentially Couples to Distinct Release Pathways for IL-1β in Mouse Macrophage. </w:t>
      </w:r>
      <w:r w:rsidRPr="00B11A0A">
        <w:rPr>
          <w:rFonts w:cs="Times New Roman"/>
          <w:i/>
          <w:iCs/>
          <w:noProof/>
        </w:rPr>
        <w:t>The Journal of Immunology</w:t>
      </w:r>
      <w:r w:rsidRPr="00B11A0A">
        <w:rPr>
          <w:rFonts w:cs="Times New Roman"/>
          <w:noProof/>
        </w:rPr>
        <w:t xml:space="preserve">. </w:t>
      </w:r>
      <w:r w:rsidRPr="00B11A0A">
        <w:rPr>
          <w:rFonts w:cs="Times New Roman"/>
          <w:b/>
          <w:bCs/>
          <w:noProof/>
        </w:rPr>
        <w:t>180</w:t>
      </w:r>
      <w:r w:rsidRPr="00B11A0A">
        <w:rPr>
          <w:rFonts w:cs="Times New Roman"/>
          <w:noProof/>
        </w:rPr>
        <w:t xml:space="preserve"> (11), 7147–7157, doi: 10.4049/jimmunol.180.11.7147 (2008).</w:t>
      </w:r>
    </w:p>
    <w:p w14:paraId="7EED3BD6" w14:textId="77777777" w:rsidR="00B11A0A" w:rsidRPr="00B11A0A" w:rsidRDefault="00B11A0A" w:rsidP="00B11A0A">
      <w:pPr>
        <w:ind w:left="640" w:hanging="640"/>
        <w:rPr>
          <w:rFonts w:cs="Times New Roman"/>
          <w:noProof/>
        </w:rPr>
      </w:pPr>
      <w:r w:rsidRPr="00B11A0A">
        <w:rPr>
          <w:rFonts w:cs="Times New Roman"/>
          <w:noProof/>
        </w:rPr>
        <w:t>43.</w:t>
      </w:r>
      <w:r w:rsidRPr="00B11A0A">
        <w:rPr>
          <w:rFonts w:cs="Times New Roman"/>
          <w:noProof/>
        </w:rPr>
        <w:tab/>
        <w:t xml:space="preserve">Tak, P.P., Firestein, G.S. NF-κB: A key role in inflammatory diseases. </w:t>
      </w:r>
      <w:r w:rsidRPr="00B11A0A">
        <w:rPr>
          <w:rFonts w:cs="Times New Roman"/>
          <w:i/>
          <w:iCs/>
          <w:noProof/>
        </w:rPr>
        <w:t>Journal of Clinical Investigation</w:t>
      </w:r>
      <w:r w:rsidRPr="00B11A0A">
        <w:rPr>
          <w:rFonts w:cs="Times New Roman"/>
          <w:noProof/>
        </w:rPr>
        <w:t xml:space="preserve">. </w:t>
      </w:r>
      <w:r w:rsidRPr="00B11A0A">
        <w:rPr>
          <w:rFonts w:cs="Times New Roman"/>
          <w:b/>
          <w:bCs/>
          <w:noProof/>
        </w:rPr>
        <w:t>107</w:t>
      </w:r>
      <w:r w:rsidRPr="00B11A0A">
        <w:rPr>
          <w:rFonts w:cs="Times New Roman"/>
          <w:noProof/>
        </w:rPr>
        <w:t xml:space="preserve"> (1), 7–11, doi: 10.1172/JCI11830 (2001).</w:t>
      </w:r>
    </w:p>
    <w:p w14:paraId="6E1D6EF6" w14:textId="7E587E82" w:rsidR="00B11A0A" w:rsidRPr="00B11A0A" w:rsidRDefault="00B11A0A" w:rsidP="00B11A0A">
      <w:pPr>
        <w:ind w:left="640" w:hanging="640"/>
        <w:rPr>
          <w:rFonts w:cs="Times New Roman"/>
          <w:noProof/>
        </w:rPr>
      </w:pPr>
      <w:r w:rsidRPr="00B11A0A">
        <w:rPr>
          <w:rFonts w:cs="Times New Roman"/>
          <w:noProof/>
        </w:rPr>
        <w:t>44.</w:t>
      </w:r>
      <w:r w:rsidRPr="00B11A0A">
        <w:rPr>
          <w:rFonts w:cs="Times New Roman"/>
          <w:noProof/>
        </w:rPr>
        <w:tab/>
        <w:t xml:space="preserve">Ashkenazi, A., Dixit, V.M. Death receptors: signaling and modulation. </w:t>
      </w:r>
      <w:r w:rsidRPr="00B11A0A">
        <w:rPr>
          <w:rFonts w:cs="Times New Roman"/>
          <w:i/>
          <w:iCs/>
          <w:noProof/>
        </w:rPr>
        <w:t>Science</w:t>
      </w:r>
      <w:r w:rsidRPr="00B11A0A">
        <w:rPr>
          <w:rFonts w:cs="Times New Roman"/>
          <w:noProof/>
        </w:rPr>
        <w:t xml:space="preserve">. </w:t>
      </w:r>
      <w:r w:rsidRPr="00B11A0A">
        <w:rPr>
          <w:rFonts w:cs="Times New Roman"/>
          <w:b/>
          <w:bCs/>
          <w:noProof/>
        </w:rPr>
        <w:t>281</w:t>
      </w:r>
      <w:r w:rsidRPr="00B11A0A">
        <w:rPr>
          <w:rFonts w:cs="Times New Roman"/>
          <w:noProof/>
        </w:rPr>
        <w:t xml:space="preserve"> (5381), 1305–</w:t>
      </w:r>
      <w:r w:rsidR="00BD5D9F">
        <w:rPr>
          <w:rFonts w:cs="Times New Roman"/>
          <w:noProof/>
        </w:rPr>
        <w:t>130</w:t>
      </w:r>
      <w:r w:rsidRPr="00B11A0A">
        <w:rPr>
          <w:rFonts w:cs="Times New Roman"/>
          <w:noProof/>
        </w:rPr>
        <w:t>8, doi: 10.1126/science.281.5381.1305 (1998).</w:t>
      </w:r>
    </w:p>
    <w:p w14:paraId="7A36B4B2" w14:textId="77777777" w:rsidR="00B11A0A" w:rsidRPr="00B11A0A" w:rsidRDefault="00B11A0A" w:rsidP="00B11A0A">
      <w:pPr>
        <w:ind w:left="640" w:hanging="640"/>
        <w:rPr>
          <w:rFonts w:cs="Times New Roman"/>
          <w:noProof/>
        </w:rPr>
      </w:pPr>
      <w:r w:rsidRPr="00B11A0A">
        <w:rPr>
          <w:rFonts w:cs="Times New Roman"/>
          <w:noProof/>
        </w:rPr>
        <w:lastRenderedPageBreak/>
        <w:t>45.</w:t>
      </w:r>
      <w:r w:rsidRPr="00B11A0A">
        <w:rPr>
          <w:rFonts w:cs="Times New Roman"/>
          <w:noProof/>
        </w:rPr>
        <w:tab/>
        <w:t xml:space="preserve">Erridge, C. Endogenous ligands of TLR2 and TLR4: agonists or assistants? </w:t>
      </w:r>
      <w:r w:rsidRPr="00B11A0A">
        <w:rPr>
          <w:rFonts w:cs="Times New Roman"/>
          <w:i/>
          <w:iCs/>
          <w:noProof/>
        </w:rPr>
        <w:t>Journal of Leukocyte Biology</w:t>
      </w:r>
      <w:r w:rsidRPr="00B11A0A">
        <w:rPr>
          <w:rFonts w:cs="Times New Roman"/>
          <w:noProof/>
        </w:rPr>
        <w:t xml:space="preserve">. </w:t>
      </w:r>
      <w:r w:rsidRPr="00B11A0A">
        <w:rPr>
          <w:rFonts w:cs="Times New Roman"/>
          <w:b/>
          <w:bCs/>
          <w:noProof/>
        </w:rPr>
        <w:t>87</w:t>
      </w:r>
      <w:r w:rsidRPr="00B11A0A">
        <w:rPr>
          <w:rFonts w:cs="Times New Roman"/>
          <w:noProof/>
        </w:rPr>
        <w:t xml:space="preserve"> (6), 989–999, doi: 10.1189/jlb.1209775 (2010).</w:t>
      </w:r>
    </w:p>
    <w:p w14:paraId="1FBF0F12" w14:textId="3E0B834B" w:rsidR="00B11A0A" w:rsidRPr="00B11A0A" w:rsidRDefault="00B11A0A" w:rsidP="00B11A0A">
      <w:pPr>
        <w:ind w:left="640" w:hanging="640"/>
        <w:rPr>
          <w:rFonts w:cs="Times New Roman"/>
          <w:noProof/>
        </w:rPr>
      </w:pPr>
      <w:r w:rsidRPr="00B11A0A">
        <w:rPr>
          <w:rFonts w:cs="Times New Roman"/>
          <w:noProof/>
        </w:rPr>
        <w:t>46.</w:t>
      </w:r>
      <w:r w:rsidRPr="00B11A0A">
        <w:rPr>
          <w:rFonts w:cs="Times New Roman"/>
          <w:noProof/>
        </w:rPr>
        <w:tab/>
        <w:t xml:space="preserve">Feng, Y. </w:t>
      </w:r>
      <w:r w:rsidR="007A0B74" w:rsidRPr="007A0B74">
        <w:rPr>
          <w:rFonts w:cs="Times New Roman"/>
          <w:noProof/>
        </w:rPr>
        <w:t xml:space="preserve">et al. </w:t>
      </w:r>
      <w:r w:rsidRPr="00B11A0A">
        <w:rPr>
          <w:rFonts w:cs="Times New Roman"/>
          <w:noProof/>
        </w:rPr>
        <w:t xml:space="preserve">A macrophage-activating, injectable hydrogel to sequester endogenous growth factors for in situ angiogenesis. </w:t>
      </w:r>
      <w:r w:rsidRPr="00B11A0A">
        <w:rPr>
          <w:rFonts w:cs="Times New Roman"/>
          <w:i/>
          <w:iCs/>
          <w:noProof/>
        </w:rPr>
        <w:t>Biomaterials</w:t>
      </w:r>
      <w:r w:rsidRPr="00B11A0A">
        <w:rPr>
          <w:rFonts w:cs="Times New Roman"/>
          <w:noProof/>
        </w:rPr>
        <w:t xml:space="preserve">. </w:t>
      </w:r>
      <w:r w:rsidRPr="00B11A0A">
        <w:rPr>
          <w:rFonts w:cs="Times New Roman"/>
          <w:b/>
          <w:bCs/>
          <w:noProof/>
        </w:rPr>
        <w:t>134</w:t>
      </w:r>
      <w:r w:rsidRPr="00B11A0A">
        <w:rPr>
          <w:rFonts w:cs="Times New Roman"/>
          <w:noProof/>
        </w:rPr>
        <w:t>, 128–142, doi: 10.1016/j.biomaterials.2017.04.042 (2017).</w:t>
      </w:r>
    </w:p>
    <w:p w14:paraId="7FB1E97F" w14:textId="7B15A86F" w:rsidR="00B11A0A" w:rsidRPr="00B11A0A" w:rsidRDefault="00B11A0A" w:rsidP="00B11A0A">
      <w:pPr>
        <w:ind w:left="640" w:hanging="640"/>
        <w:rPr>
          <w:noProof/>
        </w:rPr>
      </w:pPr>
      <w:r w:rsidRPr="00B11A0A">
        <w:rPr>
          <w:rFonts w:cs="Times New Roman"/>
          <w:noProof/>
        </w:rPr>
        <w:t>47.</w:t>
      </w:r>
      <w:r w:rsidRPr="00B11A0A">
        <w:rPr>
          <w:rFonts w:cs="Times New Roman"/>
          <w:noProof/>
        </w:rPr>
        <w:tab/>
        <w:t>Lonez, C.</w:t>
      </w:r>
      <w:r w:rsidR="00D25DDB">
        <w:rPr>
          <w:rFonts w:cs="Times New Roman"/>
          <w:noProof/>
        </w:rPr>
        <w:t xml:space="preserve"> et al.</w:t>
      </w:r>
      <w:r w:rsidRPr="00B11A0A">
        <w:rPr>
          <w:rFonts w:cs="Times New Roman"/>
          <w:noProof/>
        </w:rPr>
        <w:t xml:space="preserve"> Cationic lipid nanocarriers activate Toll-like receptor 2 and NLRP3 inflammasome pathways. </w:t>
      </w:r>
      <w:r w:rsidRPr="00B11A0A">
        <w:rPr>
          <w:rFonts w:cs="Times New Roman"/>
          <w:i/>
          <w:iCs/>
          <w:noProof/>
        </w:rPr>
        <w:t>Nanomedicine: Nanotechnology, Biology, and Medicine</w:t>
      </w:r>
      <w:r w:rsidRPr="00B11A0A">
        <w:rPr>
          <w:rFonts w:cs="Times New Roman"/>
          <w:noProof/>
        </w:rPr>
        <w:t xml:space="preserve">. </w:t>
      </w:r>
      <w:r w:rsidRPr="00B11A0A">
        <w:rPr>
          <w:rFonts w:cs="Times New Roman"/>
          <w:b/>
          <w:bCs/>
          <w:noProof/>
        </w:rPr>
        <w:t>10</w:t>
      </w:r>
      <w:r w:rsidRPr="00B11A0A">
        <w:rPr>
          <w:rFonts w:cs="Times New Roman"/>
          <w:noProof/>
        </w:rPr>
        <w:t xml:space="preserve"> (4), 775–782, doi: 10.1016/j.nano.2013.12.003 (2014).</w:t>
      </w:r>
    </w:p>
    <w:p w14:paraId="6757A3AC" w14:textId="77777777" w:rsidR="009F659A" w:rsidRPr="00A033C0" w:rsidRDefault="009F659A" w:rsidP="00B11A0A">
      <w:pPr>
        <w:ind w:left="640" w:hanging="640"/>
        <w:rPr>
          <w:color w:val="808080"/>
        </w:rPr>
      </w:pPr>
    </w:p>
    <w:sectPr w:rsidR="009F659A" w:rsidRPr="00A033C0"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5E930" w14:textId="77777777" w:rsidR="008D531D" w:rsidRDefault="008D531D" w:rsidP="00621C4E">
      <w:r>
        <w:separator/>
      </w:r>
    </w:p>
  </w:endnote>
  <w:endnote w:type="continuationSeparator" w:id="0">
    <w:p w14:paraId="28B3BC89" w14:textId="77777777" w:rsidR="008D531D" w:rsidRDefault="008D531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9FAF" w14:textId="77777777" w:rsidR="001D5493" w:rsidRDefault="001D549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D9949" w14:textId="77777777" w:rsidR="008D531D" w:rsidRDefault="008D531D" w:rsidP="00621C4E">
      <w:r>
        <w:separator/>
      </w:r>
    </w:p>
  </w:footnote>
  <w:footnote w:type="continuationSeparator" w:id="0">
    <w:p w14:paraId="34EAF084" w14:textId="77777777" w:rsidR="008D531D" w:rsidRDefault="008D531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9BDE4" w14:textId="77777777" w:rsidR="001D5493" w:rsidRPr="006F06E4" w:rsidRDefault="001D549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4B173" w14:textId="77777777" w:rsidR="001D5493" w:rsidRPr="006F06E4" w:rsidRDefault="001D549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1203D"/>
    <w:multiLevelType w:val="hybridMultilevel"/>
    <w:tmpl w:val="D6FAB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4D6087"/>
    <w:multiLevelType w:val="multilevel"/>
    <w:tmpl w:val="170A626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F311C1"/>
    <w:multiLevelType w:val="hybridMultilevel"/>
    <w:tmpl w:val="7CF09C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52140"/>
    <w:multiLevelType w:val="hybridMultilevel"/>
    <w:tmpl w:val="941A3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2A0864"/>
    <w:multiLevelType w:val="multilevel"/>
    <w:tmpl w:val="23B2C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1"/>
  </w:num>
  <w:num w:numId="13">
    <w:abstractNumId w:val="19"/>
  </w:num>
  <w:num w:numId="14">
    <w:abstractNumId w:val="27"/>
  </w:num>
  <w:num w:numId="15">
    <w:abstractNumId w:val="12"/>
  </w:num>
  <w:num w:numId="16">
    <w:abstractNumId w:val="7"/>
  </w:num>
  <w:num w:numId="17">
    <w:abstractNumId w:val="21"/>
  </w:num>
  <w:num w:numId="18">
    <w:abstractNumId w:val="13"/>
  </w:num>
  <w:num w:numId="19">
    <w:abstractNumId w:val="24"/>
  </w:num>
  <w:num w:numId="20">
    <w:abstractNumId w:val="2"/>
  </w:num>
  <w:num w:numId="21">
    <w:abstractNumId w:val="25"/>
  </w:num>
  <w:num w:numId="22">
    <w:abstractNumId w:val="23"/>
  </w:num>
  <w:num w:numId="23">
    <w:abstractNumId w:val="14"/>
  </w:num>
  <w:num w:numId="24">
    <w:abstractNumId w:val="29"/>
  </w:num>
  <w:num w:numId="25">
    <w:abstractNumId w:val="6"/>
  </w:num>
  <w:num w:numId="26">
    <w:abstractNumId w:val="28"/>
  </w:num>
  <w:num w:numId="27">
    <w:abstractNumId w:val="20"/>
  </w:num>
  <w:num w:numId="28">
    <w:abstractNumId w:val="26"/>
  </w:num>
  <w:num w:numId="29">
    <w:abstractNumId w:val="8"/>
  </w:num>
  <w:num w:numId="3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1B8B"/>
    <w:rsid w:val="00004698"/>
    <w:rsid w:val="00005815"/>
    <w:rsid w:val="00007DBC"/>
    <w:rsid w:val="00007EA1"/>
    <w:rsid w:val="000100F0"/>
    <w:rsid w:val="000129B2"/>
    <w:rsid w:val="00012FF9"/>
    <w:rsid w:val="0001389C"/>
    <w:rsid w:val="00014314"/>
    <w:rsid w:val="00021434"/>
    <w:rsid w:val="00021774"/>
    <w:rsid w:val="00021DF3"/>
    <w:rsid w:val="00023869"/>
    <w:rsid w:val="00024598"/>
    <w:rsid w:val="00024DC7"/>
    <w:rsid w:val="00025968"/>
    <w:rsid w:val="000279B0"/>
    <w:rsid w:val="00030577"/>
    <w:rsid w:val="00032769"/>
    <w:rsid w:val="0003311E"/>
    <w:rsid w:val="0003509B"/>
    <w:rsid w:val="00037B58"/>
    <w:rsid w:val="00050436"/>
    <w:rsid w:val="00051B73"/>
    <w:rsid w:val="00052C66"/>
    <w:rsid w:val="00052E8B"/>
    <w:rsid w:val="00060ABE"/>
    <w:rsid w:val="00060E04"/>
    <w:rsid w:val="00061A50"/>
    <w:rsid w:val="00063616"/>
    <w:rsid w:val="0006361B"/>
    <w:rsid w:val="00064104"/>
    <w:rsid w:val="000652E3"/>
    <w:rsid w:val="00066025"/>
    <w:rsid w:val="00067A8F"/>
    <w:rsid w:val="000701D1"/>
    <w:rsid w:val="0007714C"/>
    <w:rsid w:val="00080A20"/>
    <w:rsid w:val="00082796"/>
    <w:rsid w:val="00082DF4"/>
    <w:rsid w:val="000856F4"/>
    <w:rsid w:val="00086FF5"/>
    <w:rsid w:val="00087C0A"/>
    <w:rsid w:val="00093636"/>
    <w:rsid w:val="00093BC4"/>
    <w:rsid w:val="000943E6"/>
    <w:rsid w:val="00095C96"/>
    <w:rsid w:val="00097929"/>
    <w:rsid w:val="000A1E80"/>
    <w:rsid w:val="000A39BD"/>
    <w:rsid w:val="000A3B70"/>
    <w:rsid w:val="000A5153"/>
    <w:rsid w:val="000A64EC"/>
    <w:rsid w:val="000A76E2"/>
    <w:rsid w:val="000B10AE"/>
    <w:rsid w:val="000B30BF"/>
    <w:rsid w:val="000B566B"/>
    <w:rsid w:val="000B662E"/>
    <w:rsid w:val="000B7294"/>
    <w:rsid w:val="000B75D0"/>
    <w:rsid w:val="000B7AB2"/>
    <w:rsid w:val="000C1CF8"/>
    <w:rsid w:val="000C315A"/>
    <w:rsid w:val="000C49CF"/>
    <w:rsid w:val="000C52E9"/>
    <w:rsid w:val="000C5925"/>
    <w:rsid w:val="000C5CDC"/>
    <w:rsid w:val="000C65DC"/>
    <w:rsid w:val="000C66F3"/>
    <w:rsid w:val="000C6900"/>
    <w:rsid w:val="000D31E8"/>
    <w:rsid w:val="000D4C1E"/>
    <w:rsid w:val="000D76E4"/>
    <w:rsid w:val="000E1E68"/>
    <w:rsid w:val="000E3816"/>
    <w:rsid w:val="000E4F77"/>
    <w:rsid w:val="000E6FBB"/>
    <w:rsid w:val="000E7756"/>
    <w:rsid w:val="000F265C"/>
    <w:rsid w:val="000F3AFA"/>
    <w:rsid w:val="000F5712"/>
    <w:rsid w:val="000F6611"/>
    <w:rsid w:val="000F7E22"/>
    <w:rsid w:val="001104F3"/>
    <w:rsid w:val="00112EEB"/>
    <w:rsid w:val="00116B9A"/>
    <w:rsid w:val="001173FF"/>
    <w:rsid w:val="00120D18"/>
    <w:rsid w:val="00121C82"/>
    <w:rsid w:val="0012563A"/>
    <w:rsid w:val="001264DE"/>
    <w:rsid w:val="001313A7"/>
    <w:rsid w:val="0013188E"/>
    <w:rsid w:val="0013276F"/>
    <w:rsid w:val="0013621E"/>
    <w:rsid w:val="0013642E"/>
    <w:rsid w:val="00142EFE"/>
    <w:rsid w:val="0014569D"/>
    <w:rsid w:val="00146E43"/>
    <w:rsid w:val="00150A8B"/>
    <w:rsid w:val="00152A23"/>
    <w:rsid w:val="00156C22"/>
    <w:rsid w:val="001626A1"/>
    <w:rsid w:val="00162CB7"/>
    <w:rsid w:val="00162DBF"/>
    <w:rsid w:val="00163045"/>
    <w:rsid w:val="001654C0"/>
    <w:rsid w:val="001665C9"/>
    <w:rsid w:val="00166F32"/>
    <w:rsid w:val="00171E5B"/>
    <w:rsid w:val="00171F94"/>
    <w:rsid w:val="001732B5"/>
    <w:rsid w:val="00173F68"/>
    <w:rsid w:val="00175D4E"/>
    <w:rsid w:val="0017668A"/>
    <w:rsid w:val="001766FE"/>
    <w:rsid w:val="001771E7"/>
    <w:rsid w:val="00186221"/>
    <w:rsid w:val="001911FF"/>
    <w:rsid w:val="00192006"/>
    <w:rsid w:val="00193180"/>
    <w:rsid w:val="00196792"/>
    <w:rsid w:val="001972AD"/>
    <w:rsid w:val="001A5F8A"/>
    <w:rsid w:val="001B1519"/>
    <w:rsid w:val="001B2E2D"/>
    <w:rsid w:val="001B5CD2"/>
    <w:rsid w:val="001C0BEE"/>
    <w:rsid w:val="001C1E49"/>
    <w:rsid w:val="001C24A9"/>
    <w:rsid w:val="001C27C1"/>
    <w:rsid w:val="001C2A98"/>
    <w:rsid w:val="001C4D95"/>
    <w:rsid w:val="001C55E5"/>
    <w:rsid w:val="001D3D7D"/>
    <w:rsid w:val="001D3FFF"/>
    <w:rsid w:val="001D5493"/>
    <w:rsid w:val="001D625F"/>
    <w:rsid w:val="001D68A4"/>
    <w:rsid w:val="001D7576"/>
    <w:rsid w:val="001E05D5"/>
    <w:rsid w:val="001E08FA"/>
    <w:rsid w:val="001E0CD6"/>
    <w:rsid w:val="001E0E3F"/>
    <w:rsid w:val="001E14A0"/>
    <w:rsid w:val="001E7376"/>
    <w:rsid w:val="001F0A99"/>
    <w:rsid w:val="001F225C"/>
    <w:rsid w:val="001F37A1"/>
    <w:rsid w:val="001F6B32"/>
    <w:rsid w:val="00200E20"/>
    <w:rsid w:val="00201CFA"/>
    <w:rsid w:val="0020220D"/>
    <w:rsid w:val="00202448"/>
    <w:rsid w:val="00202D15"/>
    <w:rsid w:val="00203ED6"/>
    <w:rsid w:val="00205B3F"/>
    <w:rsid w:val="00212EAE"/>
    <w:rsid w:val="002148D4"/>
    <w:rsid w:val="00214BEE"/>
    <w:rsid w:val="002205B8"/>
    <w:rsid w:val="00221741"/>
    <w:rsid w:val="00222997"/>
    <w:rsid w:val="00225720"/>
    <w:rsid w:val="002259E5"/>
    <w:rsid w:val="00226140"/>
    <w:rsid w:val="002274F3"/>
    <w:rsid w:val="00227F62"/>
    <w:rsid w:val="0023094C"/>
    <w:rsid w:val="00232640"/>
    <w:rsid w:val="00234A22"/>
    <w:rsid w:val="00234BE3"/>
    <w:rsid w:val="00235A90"/>
    <w:rsid w:val="002364C6"/>
    <w:rsid w:val="00237385"/>
    <w:rsid w:val="00241E48"/>
    <w:rsid w:val="0024214E"/>
    <w:rsid w:val="00242623"/>
    <w:rsid w:val="00246D2A"/>
    <w:rsid w:val="00247902"/>
    <w:rsid w:val="00250558"/>
    <w:rsid w:val="00250AAA"/>
    <w:rsid w:val="00255437"/>
    <w:rsid w:val="00255A41"/>
    <w:rsid w:val="00257A21"/>
    <w:rsid w:val="002605D1"/>
    <w:rsid w:val="00260652"/>
    <w:rsid w:val="00261F25"/>
    <w:rsid w:val="002648A9"/>
    <w:rsid w:val="0026536F"/>
    <w:rsid w:val="0026553C"/>
    <w:rsid w:val="0026750F"/>
    <w:rsid w:val="00267DD5"/>
    <w:rsid w:val="00274A0A"/>
    <w:rsid w:val="0027560A"/>
    <w:rsid w:val="00276180"/>
    <w:rsid w:val="00277593"/>
    <w:rsid w:val="00280909"/>
    <w:rsid w:val="00280918"/>
    <w:rsid w:val="002809B4"/>
    <w:rsid w:val="00282AF6"/>
    <w:rsid w:val="0028596A"/>
    <w:rsid w:val="00287085"/>
    <w:rsid w:val="00290AF9"/>
    <w:rsid w:val="002967CF"/>
    <w:rsid w:val="00297788"/>
    <w:rsid w:val="002A3285"/>
    <w:rsid w:val="002A484B"/>
    <w:rsid w:val="002A64A6"/>
    <w:rsid w:val="002B1E48"/>
    <w:rsid w:val="002B3301"/>
    <w:rsid w:val="002B3377"/>
    <w:rsid w:val="002C47D4"/>
    <w:rsid w:val="002C5C89"/>
    <w:rsid w:val="002D0F38"/>
    <w:rsid w:val="002D5A8D"/>
    <w:rsid w:val="002D77E3"/>
    <w:rsid w:val="002E559C"/>
    <w:rsid w:val="002F1493"/>
    <w:rsid w:val="002F2859"/>
    <w:rsid w:val="002F6E3C"/>
    <w:rsid w:val="002F7022"/>
    <w:rsid w:val="0030117D"/>
    <w:rsid w:val="00301F30"/>
    <w:rsid w:val="003038FD"/>
    <w:rsid w:val="00303C87"/>
    <w:rsid w:val="003108E5"/>
    <w:rsid w:val="003120CB"/>
    <w:rsid w:val="00320153"/>
    <w:rsid w:val="00320367"/>
    <w:rsid w:val="00322871"/>
    <w:rsid w:val="00326FB3"/>
    <w:rsid w:val="003316D4"/>
    <w:rsid w:val="00333822"/>
    <w:rsid w:val="0033545B"/>
    <w:rsid w:val="00336715"/>
    <w:rsid w:val="003401EC"/>
    <w:rsid w:val="00340DFD"/>
    <w:rsid w:val="00344954"/>
    <w:rsid w:val="003460A7"/>
    <w:rsid w:val="00350CD7"/>
    <w:rsid w:val="00360B51"/>
    <w:rsid w:val="00360C17"/>
    <w:rsid w:val="003618F5"/>
    <w:rsid w:val="003621C6"/>
    <w:rsid w:val="003622B8"/>
    <w:rsid w:val="00366B76"/>
    <w:rsid w:val="003704EC"/>
    <w:rsid w:val="00373051"/>
    <w:rsid w:val="00373B8F"/>
    <w:rsid w:val="00376D95"/>
    <w:rsid w:val="00377FBB"/>
    <w:rsid w:val="00385140"/>
    <w:rsid w:val="00393CC7"/>
    <w:rsid w:val="003971F7"/>
    <w:rsid w:val="003A09F6"/>
    <w:rsid w:val="003A16FC"/>
    <w:rsid w:val="003A4FCD"/>
    <w:rsid w:val="003B0944"/>
    <w:rsid w:val="003B1593"/>
    <w:rsid w:val="003B4381"/>
    <w:rsid w:val="003C1043"/>
    <w:rsid w:val="003C1A30"/>
    <w:rsid w:val="003C6779"/>
    <w:rsid w:val="003D2998"/>
    <w:rsid w:val="003D2C66"/>
    <w:rsid w:val="003D2F0A"/>
    <w:rsid w:val="003D3891"/>
    <w:rsid w:val="003D5D84"/>
    <w:rsid w:val="003E0F4F"/>
    <w:rsid w:val="003E18AC"/>
    <w:rsid w:val="003E210B"/>
    <w:rsid w:val="003E2614"/>
    <w:rsid w:val="003E2A12"/>
    <w:rsid w:val="003E3384"/>
    <w:rsid w:val="003E3CA4"/>
    <w:rsid w:val="003E548E"/>
    <w:rsid w:val="00402910"/>
    <w:rsid w:val="00406932"/>
    <w:rsid w:val="00406D73"/>
    <w:rsid w:val="00407EC8"/>
    <w:rsid w:val="00410629"/>
    <w:rsid w:val="0041110A"/>
    <w:rsid w:val="00411624"/>
    <w:rsid w:val="00413D16"/>
    <w:rsid w:val="004148E1"/>
    <w:rsid w:val="00414CFA"/>
    <w:rsid w:val="00415EC0"/>
    <w:rsid w:val="00420BE9"/>
    <w:rsid w:val="004223B2"/>
    <w:rsid w:val="00423AD8"/>
    <w:rsid w:val="00423FDD"/>
    <w:rsid w:val="00424C85"/>
    <w:rsid w:val="004260BD"/>
    <w:rsid w:val="00427A61"/>
    <w:rsid w:val="0043012F"/>
    <w:rsid w:val="00430F1F"/>
    <w:rsid w:val="004326EA"/>
    <w:rsid w:val="0044434C"/>
    <w:rsid w:val="0044456B"/>
    <w:rsid w:val="004475CC"/>
    <w:rsid w:val="00447BD1"/>
    <w:rsid w:val="004507F3"/>
    <w:rsid w:val="00450AF4"/>
    <w:rsid w:val="00453E33"/>
    <w:rsid w:val="00456A57"/>
    <w:rsid w:val="004607DE"/>
    <w:rsid w:val="004611DD"/>
    <w:rsid w:val="00461820"/>
    <w:rsid w:val="004623B9"/>
    <w:rsid w:val="004671C7"/>
    <w:rsid w:val="00472F4D"/>
    <w:rsid w:val="004730BF"/>
    <w:rsid w:val="00474DCB"/>
    <w:rsid w:val="0047535C"/>
    <w:rsid w:val="004762F6"/>
    <w:rsid w:val="00477BB4"/>
    <w:rsid w:val="00482538"/>
    <w:rsid w:val="00485870"/>
    <w:rsid w:val="00485FE8"/>
    <w:rsid w:val="00492473"/>
    <w:rsid w:val="00492EB5"/>
    <w:rsid w:val="00494F77"/>
    <w:rsid w:val="00496D55"/>
    <w:rsid w:val="00497721"/>
    <w:rsid w:val="004A0229"/>
    <w:rsid w:val="004A35D2"/>
    <w:rsid w:val="004A378F"/>
    <w:rsid w:val="004A71E4"/>
    <w:rsid w:val="004A7999"/>
    <w:rsid w:val="004B2F00"/>
    <w:rsid w:val="004B6E31"/>
    <w:rsid w:val="004B7EC5"/>
    <w:rsid w:val="004C1D66"/>
    <w:rsid w:val="004C31D7"/>
    <w:rsid w:val="004C4AD2"/>
    <w:rsid w:val="004C6981"/>
    <w:rsid w:val="004D1F21"/>
    <w:rsid w:val="004D23B2"/>
    <w:rsid w:val="004D268C"/>
    <w:rsid w:val="004D59D8"/>
    <w:rsid w:val="004D5DA1"/>
    <w:rsid w:val="004D6BDD"/>
    <w:rsid w:val="004D7A70"/>
    <w:rsid w:val="004E150F"/>
    <w:rsid w:val="004E1DCA"/>
    <w:rsid w:val="004E23A1"/>
    <w:rsid w:val="004E3489"/>
    <w:rsid w:val="004E358A"/>
    <w:rsid w:val="004E3AFA"/>
    <w:rsid w:val="004E6588"/>
    <w:rsid w:val="004F16C9"/>
    <w:rsid w:val="004F2742"/>
    <w:rsid w:val="004F3001"/>
    <w:rsid w:val="004F4DBB"/>
    <w:rsid w:val="00500615"/>
    <w:rsid w:val="00500A5C"/>
    <w:rsid w:val="00502A0A"/>
    <w:rsid w:val="005051EB"/>
    <w:rsid w:val="005079A8"/>
    <w:rsid w:val="00507C50"/>
    <w:rsid w:val="00511373"/>
    <w:rsid w:val="005125D4"/>
    <w:rsid w:val="00514434"/>
    <w:rsid w:val="00514D40"/>
    <w:rsid w:val="005179A6"/>
    <w:rsid w:val="00517C3A"/>
    <w:rsid w:val="00527BF4"/>
    <w:rsid w:val="005324BE"/>
    <w:rsid w:val="00534F6C"/>
    <w:rsid w:val="00535994"/>
    <w:rsid w:val="0053646D"/>
    <w:rsid w:val="00540AAD"/>
    <w:rsid w:val="00543EC1"/>
    <w:rsid w:val="00544D9A"/>
    <w:rsid w:val="0054563F"/>
    <w:rsid w:val="00546458"/>
    <w:rsid w:val="005468AC"/>
    <w:rsid w:val="0055087C"/>
    <w:rsid w:val="00553413"/>
    <w:rsid w:val="00555983"/>
    <w:rsid w:val="00560E31"/>
    <w:rsid w:val="00561BDA"/>
    <w:rsid w:val="00562121"/>
    <w:rsid w:val="00563EDB"/>
    <w:rsid w:val="0056639A"/>
    <w:rsid w:val="00570077"/>
    <w:rsid w:val="00581B23"/>
    <w:rsid w:val="0058219C"/>
    <w:rsid w:val="005826A6"/>
    <w:rsid w:val="00582B7B"/>
    <w:rsid w:val="005860BA"/>
    <w:rsid w:val="0058707F"/>
    <w:rsid w:val="00591DBD"/>
    <w:rsid w:val="005931FE"/>
    <w:rsid w:val="0059641F"/>
    <w:rsid w:val="0059693E"/>
    <w:rsid w:val="005A0028"/>
    <w:rsid w:val="005A0ACC"/>
    <w:rsid w:val="005A312F"/>
    <w:rsid w:val="005A5A18"/>
    <w:rsid w:val="005B0072"/>
    <w:rsid w:val="005B0732"/>
    <w:rsid w:val="005B38A0"/>
    <w:rsid w:val="005B47C3"/>
    <w:rsid w:val="005B491C"/>
    <w:rsid w:val="005B4DBF"/>
    <w:rsid w:val="005B5DE2"/>
    <w:rsid w:val="005B674C"/>
    <w:rsid w:val="005C24F2"/>
    <w:rsid w:val="005C5323"/>
    <w:rsid w:val="005C7561"/>
    <w:rsid w:val="005D0FD1"/>
    <w:rsid w:val="005D1E57"/>
    <w:rsid w:val="005D2365"/>
    <w:rsid w:val="005D2F57"/>
    <w:rsid w:val="005D34F6"/>
    <w:rsid w:val="005D4F1A"/>
    <w:rsid w:val="005E1884"/>
    <w:rsid w:val="005E4BB5"/>
    <w:rsid w:val="005F373A"/>
    <w:rsid w:val="005F4526"/>
    <w:rsid w:val="005F4F87"/>
    <w:rsid w:val="005F5B1F"/>
    <w:rsid w:val="005F6B0E"/>
    <w:rsid w:val="005F760E"/>
    <w:rsid w:val="005F7B1D"/>
    <w:rsid w:val="006001F2"/>
    <w:rsid w:val="0060222A"/>
    <w:rsid w:val="00606947"/>
    <w:rsid w:val="006070C4"/>
    <w:rsid w:val="00610C21"/>
    <w:rsid w:val="00611907"/>
    <w:rsid w:val="00613116"/>
    <w:rsid w:val="006202A6"/>
    <w:rsid w:val="006202D5"/>
    <w:rsid w:val="0062054B"/>
    <w:rsid w:val="00621C4E"/>
    <w:rsid w:val="0062287A"/>
    <w:rsid w:val="00623A31"/>
    <w:rsid w:val="00624EAE"/>
    <w:rsid w:val="00627685"/>
    <w:rsid w:val="006305D7"/>
    <w:rsid w:val="00632F63"/>
    <w:rsid w:val="00633A01"/>
    <w:rsid w:val="00633B97"/>
    <w:rsid w:val="006341F7"/>
    <w:rsid w:val="00634585"/>
    <w:rsid w:val="00635014"/>
    <w:rsid w:val="00635290"/>
    <w:rsid w:val="006369CE"/>
    <w:rsid w:val="00636EED"/>
    <w:rsid w:val="00637C10"/>
    <w:rsid w:val="006411CA"/>
    <w:rsid w:val="0064605E"/>
    <w:rsid w:val="00652A79"/>
    <w:rsid w:val="00652E90"/>
    <w:rsid w:val="00654F7E"/>
    <w:rsid w:val="006619C8"/>
    <w:rsid w:val="0066228C"/>
    <w:rsid w:val="00671710"/>
    <w:rsid w:val="00673414"/>
    <w:rsid w:val="00673BB8"/>
    <w:rsid w:val="00676079"/>
    <w:rsid w:val="00676ECD"/>
    <w:rsid w:val="00677D0A"/>
    <w:rsid w:val="00680D8B"/>
    <w:rsid w:val="0068185F"/>
    <w:rsid w:val="00682F10"/>
    <w:rsid w:val="0068550F"/>
    <w:rsid w:val="00686CBF"/>
    <w:rsid w:val="006A01CF"/>
    <w:rsid w:val="006A2357"/>
    <w:rsid w:val="006A60DD"/>
    <w:rsid w:val="006A6235"/>
    <w:rsid w:val="006B039B"/>
    <w:rsid w:val="006B0679"/>
    <w:rsid w:val="006B074C"/>
    <w:rsid w:val="006B3B84"/>
    <w:rsid w:val="006B45F0"/>
    <w:rsid w:val="006B4E7C"/>
    <w:rsid w:val="006B5D8C"/>
    <w:rsid w:val="006B72D4"/>
    <w:rsid w:val="006C11CC"/>
    <w:rsid w:val="006C19DE"/>
    <w:rsid w:val="006C1AEB"/>
    <w:rsid w:val="006C57FE"/>
    <w:rsid w:val="006C668E"/>
    <w:rsid w:val="006E4B63"/>
    <w:rsid w:val="006E57A9"/>
    <w:rsid w:val="006F06E4"/>
    <w:rsid w:val="006F7B41"/>
    <w:rsid w:val="00702B5D"/>
    <w:rsid w:val="00703ED2"/>
    <w:rsid w:val="00707B8D"/>
    <w:rsid w:val="00713636"/>
    <w:rsid w:val="00714B8C"/>
    <w:rsid w:val="0071675D"/>
    <w:rsid w:val="00717040"/>
    <w:rsid w:val="007173A8"/>
    <w:rsid w:val="00717736"/>
    <w:rsid w:val="00717A16"/>
    <w:rsid w:val="00720D74"/>
    <w:rsid w:val="00726DD0"/>
    <w:rsid w:val="00732B47"/>
    <w:rsid w:val="00735CF5"/>
    <w:rsid w:val="00736446"/>
    <w:rsid w:val="007378E4"/>
    <w:rsid w:val="0074063A"/>
    <w:rsid w:val="00742AA4"/>
    <w:rsid w:val="00743BA1"/>
    <w:rsid w:val="00745F1E"/>
    <w:rsid w:val="00746B80"/>
    <w:rsid w:val="007515FE"/>
    <w:rsid w:val="007530E3"/>
    <w:rsid w:val="00753135"/>
    <w:rsid w:val="00754134"/>
    <w:rsid w:val="0075670D"/>
    <w:rsid w:val="007601D0"/>
    <w:rsid w:val="007603BB"/>
    <w:rsid w:val="0076109D"/>
    <w:rsid w:val="007619B8"/>
    <w:rsid w:val="007635D9"/>
    <w:rsid w:val="00763AD6"/>
    <w:rsid w:val="00767107"/>
    <w:rsid w:val="00773617"/>
    <w:rsid w:val="00773BFD"/>
    <w:rsid w:val="007743B3"/>
    <w:rsid w:val="00774490"/>
    <w:rsid w:val="00774A2E"/>
    <w:rsid w:val="007819FF"/>
    <w:rsid w:val="007825C1"/>
    <w:rsid w:val="0078360C"/>
    <w:rsid w:val="00784A4C"/>
    <w:rsid w:val="00784BC6"/>
    <w:rsid w:val="0078523D"/>
    <w:rsid w:val="007904DA"/>
    <w:rsid w:val="00791B6D"/>
    <w:rsid w:val="007931DF"/>
    <w:rsid w:val="007A0172"/>
    <w:rsid w:val="007A0B74"/>
    <w:rsid w:val="007A1804"/>
    <w:rsid w:val="007A2511"/>
    <w:rsid w:val="007A260E"/>
    <w:rsid w:val="007A4D4C"/>
    <w:rsid w:val="007A4DD6"/>
    <w:rsid w:val="007A5CB9"/>
    <w:rsid w:val="007B20AE"/>
    <w:rsid w:val="007B6B07"/>
    <w:rsid w:val="007B6D43"/>
    <w:rsid w:val="007B749A"/>
    <w:rsid w:val="007B7865"/>
    <w:rsid w:val="007B7C6E"/>
    <w:rsid w:val="007C511A"/>
    <w:rsid w:val="007D0618"/>
    <w:rsid w:val="007D2200"/>
    <w:rsid w:val="007D44D7"/>
    <w:rsid w:val="007D4B8E"/>
    <w:rsid w:val="007D621A"/>
    <w:rsid w:val="007E058A"/>
    <w:rsid w:val="007E2887"/>
    <w:rsid w:val="007E5278"/>
    <w:rsid w:val="007E749C"/>
    <w:rsid w:val="007E75A2"/>
    <w:rsid w:val="007F0A7D"/>
    <w:rsid w:val="007F1B5C"/>
    <w:rsid w:val="00801257"/>
    <w:rsid w:val="00803B0A"/>
    <w:rsid w:val="00804DED"/>
    <w:rsid w:val="00805B96"/>
    <w:rsid w:val="008105BE"/>
    <w:rsid w:val="008115A5"/>
    <w:rsid w:val="00811D46"/>
    <w:rsid w:val="0081415D"/>
    <w:rsid w:val="00816567"/>
    <w:rsid w:val="00820229"/>
    <w:rsid w:val="00822448"/>
    <w:rsid w:val="00822ABE"/>
    <w:rsid w:val="008244D1"/>
    <w:rsid w:val="008258A0"/>
    <w:rsid w:val="00827F51"/>
    <w:rsid w:val="00830F2F"/>
    <w:rsid w:val="0083104E"/>
    <w:rsid w:val="008343BE"/>
    <w:rsid w:val="00836535"/>
    <w:rsid w:val="00836669"/>
    <w:rsid w:val="00840FB4"/>
    <w:rsid w:val="008410B2"/>
    <w:rsid w:val="00845A77"/>
    <w:rsid w:val="008500A0"/>
    <w:rsid w:val="00850DCE"/>
    <w:rsid w:val="0085158D"/>
    <w:rsid w:val="008516E3"/>
    <w:rsid w:val="008524E5"/>
    <w:rsid w:val="0085351C"/>
    <w:rsid w:val="0085435A"/>
    <w:rsid w:val="008549CA"/>
    <w:rsid w:val="008556C3"/>
    <w:rsid w:val="0085687C"/>
    <w:rsid w:val="008706C5"/>
    <w:rsid w:val="00872CE7"/>
    <w:rsid w:val="00873707"/>
    <w:rsid w:val="00874B20"/>
    <w:rsid w:val="008757C6"/>
    <w:rsid w:val="008763E1"/>
    <w:rsid w:val="0087775C"/>
    <w:rsid w:val="00877EC8"/>
    <w:rsid w:val="00880F36"/>
    <w:rsid w:val="00885530"/>
    <w:rsid w:val="008910D1"/>
    <w:rsid w:val="00891A46"/>
    <w:rsid w:val="0089296C"/>
    <w:rsid w:val="00894496"/>
    <w:rsid w:val="00896ABD"/>
    <w:rsid w:val="00897AB6"/>
    <w:rsid w:val="008A084F"/>
    <w:rsid w:val="008A3380"/>
    <w:rsid w:val="008A7A9C"/>
    <w:rsid w:val="008B5218"/>
    <w:rsid w:val="008B5610"/>
    <w:rsid w:val="008B7102"/>
    <w:rsid w:val="008C1A79"/>
    <w:rsid w:val="008C3B7D"/>
    <w:rsid w:val="008C689E"/>
    <w:rsid w:val="008D0F90"/>
    <w:rsid w:val="008D3715"/>
    <w:rsid w:val="008D531D"/>
    <w:rsid w:val="008D5465"/>
    <w:rsid w:val="008D5E61"/>
    <w:rsid w:val="008D5F12"/>
    <w:rsid w:val="008D7EB7"/>
    <w:rsid w:val="008D7EC5"/>
    <w:rsid w:val="008E1655"/>
    <w:rsid w:val="008E1879"/>
    <w:rsid w:val="008E3684"/>
    <w:rsid w:val="008E4E75"/>
    <w:rsid w:val="008E57F5"/>
    <w:rsid w:val="008E64B0"/>
    <w:rsid w:val="008E73AB"/>
    <w:rsid w:val="008E7606"/>
    <w:rsid w:val="008E7FC2"/>
    <w:rsid w:val="008F1DAA"/>
    <w:rsid w:val="008F2E45"/>
    <w:rsid w:val="008F3EBD"/>
    <w:rsid w:val="008F60B2"/>
    <w:rsid w:val="008F63F3"/>
    <w:rsid w:val="008F78EE"/>
    <w:rsid w:val="008F7C41"/>
    <w:rsid w:val="009031E2"/>
    <w:rsid w:val="00904AD9"/>
    <w:rsid w:val="0090636C"/>
    <w:rsid w:val="0091276C"/>
    <w:rsid w:val="009152DD"/>
    <w:rsid w:val="009159DE"/>
    <w:rsid w:val="009165AC"/>
    <w:rsid w:val="00916FFC"/>
    <w:rsid w:val="00917ADA"/>
    <w:rsid w:val="0092053F"/>
    <w:rsid w:val="0092287E"/>
    <w:rsid w:val="0092340A"/>
    <w:rsid w:val="009313D9"/>
    <w:rsid w:val="00935B7F"/>
    <w:rsid w:val="00941293"/>
    <w:rsid w:val="00945021"/>
    <w:rsid w:val="00946372"/>
    <w:rsid w:val="00950C17"/>
    <w:rsid w:val="00951FAF"/>
    <w:rsid w:val="00954740"/>
    <w:rsid w:val="00955AE5"/>
    <w:rsid w:val="00962A27"/>
    <w:rsid w:val="00962E71"/>
    <w:rsid w:val="0096321A"/>
    <w:rsid w:val="00963ABC"/>
    <w:rsid w:val="00965D21"/>
    <w:rsid w:val="00967764"/>
    <w:rsid w:val="00970B0E"/>
    <w:rsid w:val="00970BB9"/>
    <w:rsid w:val="00970BBD"/>
    <w:rsid w:val="009726EE"/>
    <w:rsid w:val="00972CDE"/>
    <w:rsid w:val="009733DD"/>
    <w:rsid w:val="009747C1"/>
    <w:rsid w:val="0097543C"/>
    <w:rsid w:val="00975573"/>
    <w:rsid w:val="009758F0"/>
    <w:rsid w:val="00976D03"/>
    <w:rsid w:val="00977B30"/>
    <w:rsid w:val="00981E43"/>
    <w:rsid w:val="00982599"/>
    <w:rsid w:val="00982F41"/>
    <w:rsid w:val="00984360"/>
    <w:rsid w:val="00985090"/>
    <w:rsid w:val="00987710"/>
    <w:rsid w:val="009904AB"/>
    <w:rsid w:val="009949BF"/>
    <w:rsid w:val="00995688"/>
    <w:rsid w:val="009958A6"/>
    <w:rsid w:val="00996456"/>
    <w:rsid w:val="009A04F5"/>
    <w:rsid w:val="009A15EF"/>
    <w:rsid w:val="009A1B26"/>
    <w:rsid w:val="009A38A5"/>
    <w:rsid w:val="009A561B"/>
    <w:rsid w:val="009A5B73"/>
    <w:rsid w:val="009B118B"/>
    <w:rsid w:val="009B1737"/>
    <w:rsid w:val="009B3D4B"/>
    <w:rsid w:val="009B5B99"/>
    <w:rsid w:val="009B6EFC"/>
    <w:rsid w:val="009C1FD0"/>
    <w:rsid w:val="009C2DF8"/>
    <w:rsid w:val="009C31BF"/>
    <w:rsid w:val="009C5290"/>
    <w:rsid w:val="009C59E8"/>
    <w:rsid w:val="009C68B7"/>
    <w:rsid w:val="009D0834"/>
    <w:rsid w:val="009D0A1E"/>
    <w:rsid w:val="009D2AE3"/>
    <w:rsid w:val="009D52BC"/>
    <w:rsid w:val="009D5824"/>
    <w:rsid w:val="009D7D0A"/>
    <w:rsid w:val="009E09D9"/>
    <w:rsid w:val="009E76DC"/>
    <w:rsid w:val="009F01B1"/>
    <w:rsid w:val="009F0DBB"/>
    <w:rsid w:val="009F3887"/>
    <w:rsid w:val="009F659A"/>
    <w:rsid w:val="009F6FCB"/>
    <w:rsid w:val="009F732B"/>
    <w:rsid w:val="00A01FE0"/>
    <w:rsid w:val="00A033C0"/>
    <w:rsid w:val="00A06945"/>
    <w:rsid w:val="00A10656"/>
    <w:rsid w:val="00A113C0"/>
    <w:rsid w:val="00A12FA6"/>
    <w:rsid w:val="00A1339B"/>
    <w:rsid w:val="00A14ABA"/>
    <w:rsid w:val="00A20DDD"/>
    <w:rsid w:val="00A24CB6"/>
    <w:rsid w:val="00A24F53"/>
    <w:rsid w:val="00A26CD2"/>
    <w:rsid w:val="00A27667"/>
    <w:rsid w:val="00A31A8A"/>
    <w:rsid w:val="00A32979"/>
    <w:rsid w:val="00A32A74"/>
    <w:rsid w:val="00A34A67"/>
    <w:rsid w:val="00A37462"/>
    <w:rsid w:val="00A377A8"/>
    <w:rsid w:val="00A3795B"/>
    <w:rsid w:val="00A4003C"/>
    <w:rsid w:val="00A40417"/>
    <w:rsid w:val="00A459E1"/>
    <w:rsid w:val="00A46AC4"/>
    <w:rsid w:val="00A52296"/>
    <w:rsid w:val="00A55661"/>
    <w:rsid w:val="00A60261"/>
    <w:rsid w:val="00A61B70"/>
    <w:rsid w:val="00A61FA8"/>
    <w:rsid w:val="00A62C38"/>
    <w:rsid w:val="00A637F4"/>
    <w:rsid w:val="00A6407C"/>
    <w:rsid w:val="00A64DF2"/>
    <w:rsid w:val="00A65485"/>
    <w:rsid w:val="00A666D6"/>
    <w:rsid w:val="00A66DA0"/>
    <w:rsid w:val="00A66E05"/>
    <w:rsid w:val="00A70753"/>
    <w:rsid w:val="00A712D2"/>
    <w:rsid w:val="00A7187F"/>
    <w:rsid w:val="00A82C8A"/>
    <w:rsid w:val="00A8346B"/>
    <w:rsid w:val="00A852FF"/>
    <w:rsid w:val="00A87337"/>
    <w:rsid w:val="00A90C97"/>
    <w:rsid w:val="00A916CA"/>
    <w:rsid w:val="00A92BBE"/>
    <w:rsid w:val="00A92DDC"/>
    <w:rsid w:val="00A960C8"/>
    <w:rsid w:val="00A96604"/>
    <w:rsid w:val="00A96E96"/>
    <w:rsid w:val="00AA03DF"/>
    <w:rsid w:val="00AA1B4F"/>
    <w:rsid w:val="00AA21D8"/>
    <w:rsid w:val="00AA271A"/>
    <w:rsid w:val="00AA3270"/>
    <w:rsid w:val="00AA47EB"/>
    <w:rsid w:val="00AA54F3"/>
    <w:rsid w:val="00AA6B43"/>
    <w:rsid w:val="00AA720D"/>
    <w:rsid w:val="00AB2882"/>
    <w:rsid w:val="00AB367A"/>
    <w:rsid w:val="00AB437F"/>
    <w:rsid w:val="00AB58A1"/>
    <w:rsid w:val="00AC01D1"/>
    <w:rsid w:val="00AC0AB2"/>
    <w:rsid w:val="00AC0E9F"/>
    <w:rsid w:val="00AC52A5"/>
    <w:rsid w:val="00AC6EFD"/>
    <w:rsid w:val="00AC7042"/>
    <w:rsid w:val="00AC7151"/>
    <w:rsid w:val="00AD460A"/>
    <w:rsid w:val="00AD6A05"/>
    <w:rsid w:val="00AE118B"/>
    <w:rsid w:val="00AE272B"/>
    <w:rsid w:val="00AE3E3A"/>
    <w:rsid w:val="00AE77B4"/>
    <w:rsid w:val="00AE7C1A"/>
    <w:rsid w:val="00AE7DF8"/>
    <w:rsid w:val="00AF0BC6"/>
    <w:rsid w:val="00AF0D9C"/>
    <w:rsid w:val="00AF13AB"/>
    <w:rsid w:val="00AF1D36"/>
    <w:rsid w:val="00AF280B"/>
    <w:rsid w:val="00AF5693"/>
    <w:rsid w:val="00AF5F75"/>
    <w:rsid w:val="00AF6001"/>
    <w:rsid w:val="00AF6446"/>
    <w:rsid w:val="00AF6978"/>
    <w:rsid w:val="00AF76D2"/>
    <w:rsid w:val="00B01A16"/>
    <w:rsid w:val="00B02B74"/>
    <w:rsid w:val="00B04D63"/>
    <w:rsid w:val="00B07F45"/>
    <w:rsid w:val="00B1021A"/>
    <w:rsid w:val="00B11A0A"/>
    <w:rsid w:val="00B1481A"/>
    <w:rsid w:val="00B15A1F"/>
    <w:rsid w:val="00B15FE9"/>
    <w:rsid w:val="00B2148A"/>
    <w:rsid w:val="00B220C2"/>
    <w:rsid w:val="00B23801"/>
    <w:rsid w:val="00B23FFF"/>
    <w:rsid w:val="00B240A4"/>
    <w:rsid w:val="00B25B32"/>
    <w:rsid w:val="00B31E0B"/>
    <w:rsid w:val="00B322EE"/>
    <w:rsid w:val="00B32616"/>
    <w:rsid w:val="00B35805"/>
    <w:rsid w:val="00B36C42"/>
    <w:rsid w:val="00B42EA7"/>
    <w:rsid w:val="00B46403"/>
    <w:rsid w:val="00B51845"/>
    <w:rsid w:val="00B51923"/>
    <w:rsid w:val="00B5337C"/>
    <w:rsid w:val="00B53FDE"/>
    <w:rsid w:val="00B56397"/>
    <w:rsid w:val="00B571DA"/>
    <w:rsid w:val="00B6027B"/>
    <w:rsid w:val="00B636C8"/>
    <w:rsid w:val="00B6446E"/>
    <w:rsid w:val="00B65EDB"/>
    <w:rsid w:val="00B67AFF"/>
    <w:rsid w:val="00B70B59"/>
    <w:rsid w:val="00B73657"/>
    <w:rsid w:val="00B739B3"/>
    <w:rsid w:val="00B7430B"/>
    <w:rsid w:val="00B77D9A"/>
    <w:rsid w:val="00B81B15"/>
    <w:rsid w:val="00B915AE"/>
    <w:rsid w:val="00B9242C"/>
    <w:rsid w:val="00BA1735"/>
    <w:rsid w:val="00BA19FA"/>
    <w:rsid w:val="00BA36AB"/>
    <w:rsid w:val="00BA4288"/>
    <w:rsid w:val="00BB0824"/>
    <w:rsid w:val="00BB0902"/>
    <w:rsid w:val="00BB1F9C"/>
    <w:rsid w:val="00BB23E5"/>
    <w:rsid w:val="00BB48E5"/>
    <w:rsid w:val="00BB5607"/>
    <w:rsid w:val="00BB5ACA"/>
    <w:rsid w:val="00BB627F"/>
    <w:rsid w:val="00BB71F3"/>
    <w:rsid w:val="00BB7516"/>
    <w:rsid w:val="00BC0C17"/>
    <w:rsid w:val="00BC3823"/>
    <w:rsid w:val="00BC4419"/>
    <w:rsid w:val="00BC5841"/>
    <w:rsid w:val="00BD2EF0"/>
    <w:rsid w:val="00BD5D9F"/>
    <w:rsid w:val="00BD60B4"/>
    <w:rsid w:val="00BD796B"/>
    <w:rsid w:val="00BE372D"/>
    <w:rsid w:val="00BE40C0"/>
    <w:rsid w:val="00BE4FA5"/>
    <w:rsid w:val="00BE5F4A"/>
    <w:rsid w:val="00BE7AEF"/>
    <w:rsid w:val="00BF09B0"/>
    <w:rsid w:val="00BF1544"/>
    <w:rsid w:val="00BF1B53"/>
    <w:rsid w:val="00BF246D"/>
    <w:rsid w:val="00BF2682"/>
    <w:rsid w:val="00BF5366"/>
    <w:rsid w:val="00C0186C"/>
    <w:rsid w:val="00C06F06"/>
    <w:rsid w:val="00C20FAD"/>
    <w:rsid w:val="00C22CDB"/>
    <w:rsid w:val="00C2375F"/>
    <w:rsid w:val="00C23A7E"/>
    <w:rsid w:val="00C247CB"/>
    <w:rsid w:val="00C263D4"/>
    <w:rsid w:val="00C32E66"/>
    <w:rsid w:val="00C3355F"/>
    <w:rsid w:val="00C33A04"/>
    <w:rsid w:val="00C3569A"/>
    <w:rsid w:val="00C35839"/>
    <w:rsid w:val="00C41B7F"/>
    <w:rsid w:val="00C43F48"/>
    <w:rsid w:val="00C43FD4"/>
    <w:rsid w:val="00C448FF"/>
    <w:rsid w:val="00C45E57"/>
    <w:rsid w:val="00C506ED"/>
    <w:rsid w:val="00C52F29"/>
    <w:rsid w:val="00C55B8F"/>
    <w:rsid w:val="00C56AFD"/>
    <w:rsid w:val="00C56CE6"/>
    <w:rsid w:val="00C5745F"/>
    <w:rsid w:val="00C60005"/>
    <w:rsid w:val="00C61A98"/>
    <w:rsid w:val="00C623B9"/>
    <w:rsid w:val="00C63201"/>
    <w:rsid w:val="00C64E62"/>
    <w:rsid w:val="00C651D5"/>
    <w:rsid w:val="00C65CCC"/>
    <w:rsid w:val="00C7461D"/>
    <w:rsid w:val="00C7618F"/>
    <w:rsid w:val="00C765A9"/>
    <w:rsid w:val="00C81157"/>
    <w:rsid w:val="00C8162D"/>
    <w:rsid w:val="00C830BB"/>
    <w:rsid w:val="00C83A0B"/>
    <w:rsid w:val="00C842D0"/>
    <w:rsid w:val="00C84ED1"/>
    <w:rsid w:val="00C863CC"/>
    <w:rsid w:val="00C9038F"/>
    <w:rsid w:val="00C92AAB"/>
    <w:rsid w:val="00C94A0C"/>
    <w:rsid w:val="00C95D4C"/>
    <w:rsid w:val="00C9637F"/>
    <w:rsid w:val="00C9708A"/>
    <w:rsid w:val="00CA1438"/>
    <w:rsid w:val="00CA2435"/>
    <w:rsid w:val="00CA286F"/>
    <w:rsid w:val="00CA4068"/>
    <w:rsid w:val="00CA53CE"/>
    <w:rsid w:val="00CA67F4"/>
    <w:rsid w:val="00CA7AC8"/>
    <w:rsid w:val="00CB0D5F"/>
    <w:rsid w:val="00CB37F8"/>
    <w:rsid w:val="00CB72D0"/>
    <w:rsid w:val="00CB7DC3"/>
    <w:rsid w:val="00CC16C7"/>
    <w:rsid w:val="00CC1707"/>
    <w:rsid w:val="00CC5BE1"/>
    <w:rsid w:val="00CC75A2"/>
    <w:rsid w:val="00CC7A18"/>
    <w:rsid w:val="00CD0E2F"/>
    <w:rsid w:val="00CD1D49"/>
    <w:rsid w:val="00CD2467"/>
    <w:rsid w:val="00CD2F20"/>
    <w:rsid w:val="00CD5EF9"/>
    <w:rsid w:val="00CD6B20"/>
    <w:rsid w:val="00CE1339"/>
    <w:rsid w:val="00CE2471"/>
    <w:rsid w:val="00CE61CC"/>
    <w:rsid w:val="00CE6E42"/>
    <w:rsid w:val="00CF03A3"/>
    <w:rsid w:val="00CF20B7"/>
    <w:rsid w:val="00CF5C1B"/>
    <w:rsid w:val="00CF6692"/>
    <w:rsid w:val="00CF693F"/>
    <w:rsid w:val="00CF6D58"/>
    <w:rsid w:val="00CF7441"/>
    <w:rsid w:val="00D00D16"/>
    <w:rsid w:val="00D03C6C"/>
    <w:rsid w:val="00D04760"/>
    <w:rsid w:val="00D04A95"/>
    <w:rsid w:val="00D06288"/>
    <w:rsid w:val="00D068C7"/>
    <w:rsid w:val="00D128A4"/>
    <w:rsid w:val="00D147C8"/>
    <w:rsid w:val="00D15131"/>
    <w:rsid w:val="00D15AB5"/>
    <w:rsid w:val="00D16FA2"/>
    <w:rsid w:val="00D17121"/>
    <w:rsid w:val="00D20954"/>
    <w:rsid w:val="00D21C39"/>
    <w:rsid w:val="00D21FC6"/>
    <w:rsid w:val="00D2243A"/>
    <w:rsid w:val="00D25DDB"/>
    <w:rsid w:val="00D33393"/>
    <w:rsid w:val="00D33D36"/>
    <w:rsid w:val="00D34D94"/>
    <w:rsid w:val="00D35003"/>
    <w:rsid w:val="00D409E2"/>
    <w:rsid w:val="00D4105C"/>
    <w:rsid w:val="00D427D7"/>
    <w:rsid w:val="00D44E62"/>
    <w:rsid w:val="00D51570"/>
    <w:rsid w:val="00D519E6"/>
    <w:rsid w:val="00D54538"/>
    <w:rsid w:val="00D556AD"/>
    <w:rsid w:val="00D569A4"/>
    <w:rsid w:val="00D60381"/>
    <w:rsid w:val="00D616DE"/>
    <w:rsid w:val="00D62201"/>
    <w:rsid w:val="00D63AC4"/>
    <w:rsid w:val="00D651D1"/>
    <w:rsid w:val="00D717BB"/>
    <w:rsid w:val="00D7226B"/>
    <w:rsid w:val="00D72707"/>
    <w:rsid w:val="00D75A9C"/>
    <w:rsid w:val="00D7633D"/>
    <w:rsid w:val="00D81C7D"/>
    <w:rsid w:val="00D829C8"/>
    <w:rsid w:val="00D8605B"/>
    <w:rsid w:val="00D90871"/>
    <w:rsid w:val="00D9155F"/>
    <w:rsid w:val="00D9403F"/>
    <w:rsid w:val="00D959B4"/>
    <w:rsid w:val="00DA44DE"/>
    <w:rsid w:val="00DB620A"/>
    <w:rsid w:val="00DC3832"/>
    <w:rsid w:val="00DC7A51"/>
    <w:rsid w:val="00DD0575"/>
    <w:rsid w:val="00DD3B1E"/>
    <w:rsid w:val="00DD476D"/>
    <w:rsid w:val="00DD61D0"/>
    <w:rsid w:val="00DE2A9F"/>
    <w:rsid w:val="00DE5B5F"/>
    <w:rsid w:val="00DE69F2"/>
    <w:rsid w:val="00DF25B6"/>
    <w:rsid w:val="00DF2AEA"/>
    <w:rsid w:val="00DF2B2D"/>
    <w:rsid w:val="00DF614E"/>
    <w:rsid w:val="00E00696"/>
    <w:rsid w:val="00E00EBE"/>
    <w:rsid w:val="00E03651"/>
    <w:rsid w:val="00E03808"/>
    <w:rsid w:val="00E060C2"/>
    <w:rsid w:val="00E06324"/>
    <w:rsid w:val="00E07B81"/>
    <w:rsid w:val="00E10AFD"/>
    <w:rsid w:val="00E12B11"/>
    <w:rsid w:val="00E12FB0"/>
    <w:rsid w:val="00E14814"/>
    <w:rsid w:val="00E14FD5"/>
    <w:rsid w:val="00E15706"/>
    <w:rsid w:val="00E1591B"/>
    <w:rsid w:val="00E161F3"/>
    <w:rsid w:val="00E16A50"/>
    <w:rsid w:val="00E16B69"/>
    <w:rsid w:val="00E246F4"/>
    <w:rsid w:val="00E249D5"/>
    <w:rsid w:val="00E25017"/>
    <w:rsid w:val="00E26F73"/>
    <w:rsid w:val="00E27075"/>
    <w:rsid w:val="00E3030A"/>
    <w:rsid w:val="00E30A34"/>
    <w:rsid w:val="00E33C68"/>
    <w:rsid w:val="00E34EEB"/>
    <w:rsid w:val="00E35262"/>
    <w:rsid w:val="00E3687C"/>
    <w:rsid w:val="00E44EB9"/>
    <w:rsid w:val="00E45BDC"/>
    <w:rsid w:val="00E46358"/>
    <w:rsid w:val="00E471DC"/>
    <w:rsid w:val="00E50153"/>
    <w:rsid w:val="00E50EB4"/>
    <w:rsid w:val="00E532FC"/>
    <w:rsid w:val="00E559B4"/>
    <w:rsid w:val="00E55BB0"/>
    <w:rsid w:val="00E55D80"/>
    <w:rsid w:val="00E609E5"/>
    <w:rsid w:val="00E60F27"/>
    <w:rsid w:val="00E64D93"/>
    <w:rsid w:val="00E65EDB"/>
    <w:rsid w:val="00E66927"/>
    <w:rsid w:val="00E677B8"/>
    <w:rsid w:val="00E67FA1"/>
    <w:rsid w:val="00E7387D"/>
    <w:rsid w:val="00E73D53"/>
    <w:rsid w:val="00E75111"/>
    <w:rsid w:val="00E77296"/>
    <w:rsid w:val="00E87527"/>
    <w:rsid w:val="00E87EF7"/>
    <w:rsid w:val="00E93763"/>
    <w:rsid w:val="00E959CE"/>
    <w:rsid w:val="00E96C4C"/>
    <w:rsid w:val="00EA2AAE"/>
    <w:rsid w:val="00EA2EC0"/>
    <w:rsid w:val="00EA3685"/>
    <w:rsid w:val="00EA427A"/>
    <w:rsid w:val="00EA723B"/>
    <w:rsid w:val="00EB11A6"/>
    <w:rsid w:val="00EB4580"/>
    <w:rsid w:val="00EB6350"/>
    <w:rsid w:val="00EB687A"/>
    <w:rsid w:val="00EC0E48"/>
    <w:rsid w:val="00EC1DA1"/>
    <w:rsid w:val="00EC29BA"/>
    <w:rsid w:val="00EC2F62"/>
    <w:rsid w:val="00EC62EB"/>
    <w:rsid w:val="00EC6E9F"/>
    <w:rsid w:val="00EC7272"/>
    <w:rsid w:val="00ED44F0"/>
    <w:rsid w:val="00ED4B33"/>
    <w:rsid w:val="00ED5460"/>
    <w:rsid w:val="00ED57C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1BE9"/>
    <w:rsid w:val="00F04863"/>
    <w:rsid w:val="00F07F0D"/>
    <w:rsid w:val="00F13112"/>
    <w:rsid w:val="00F141B8"/>
    <w:rsid w:val="00F16FE6"/>
    <w:rsid w:val="00F20695"/>
    <w:rsid w:val="00F215C2"/>
    <w:rsid w:val="00F218B8"/>
    <w:rsid w:val="00F238BD"/>
    <w:rsid w:val="00F24992"/>
    <w:rsid w:val="00F24A47"/>
    <w:rsid w:val="00F30079"/>
    <w:rsid w:val="00F3057F"/>
    <w:rsid w:val="00F32F2F"/>
    <w:rsid w:val="00F33F3F"/>
    <w:rsid w:val="00F35BDD"/>
    <w:rsid w:val="00F35EF0"/>
    <w:rsid w:val="00F3781F"/>
    <w:rsid w:val="00F403FD"/>
    <w:rsid w:val="00F41E72"/>
    <w:rsid w:val="00F45792"/>
    <w:rsid w:val="00F45BDF"/>
    <w:rsid w:val="00F50300"/>
    <w:rsid w:val="00F5414B"/>
    <w:rsid w:val="00F544D5"/>
    <w:rsid w:val="00F56E39"/>
    <w:rsid w:val="00F57A05"/>
    <w:rsid w:val="00F57C0D"/>
    <w:rsid w:val="00F623E9"/>
    <w:rsid w:val="00F63951"/>
    <w:rsid w:val="00F63C86"/>
    <w:rsid w:val="00F70D5D"/>
    <w:rsid w:val="00F72545"/>
    <w:rsid w:val="00F74E0D"/>
    <w:rsid w:val="00F756B6"/>
    <w:rsid w:val="00F7597E"/>
    <w:rsid w:val="00F766BE"/>
    <w:rsid w:val="00F77EB9"/>
    <w:rsid w:val="00F80635"/>
    <w:rsid w:val="00F8115F"/>
    <w:rsid w:val="00F815D1"/>
    <w:rsid w:val="00F81E7E"/>
    <w:rsid w:val="00F81F0F"/>
    <w:rsid w:val="00F825F4"/>
    <w:rsid w:val="00F83E81"/>
    <w:rsid w:val="00F84CA7"/>
    <w:rsid w:val="00F869F4"/>
    <w:rsid w:val="00F90E3C"/>
    <w:rsid w:val="00F92AA1"/>
    <w:rsid w:val="00F932DE"/>
    <w:rsid w:val="00F95452"/>
    <w:rsid w:val="00F963DD"/>
    <w:rsid w:val="00F9641A"/>
    <w:rsid w:val="00F968BC"/>
    <w:rsid w:val="00F96F67"/>
    <w:rsid w:val="00F97004"/>
    <w:rsid w:val="00FA2045"/>
    <w:rsid w:val="00FA5019"/>
    <w:rsid w:val="00FA5468"/>
    <w:rsid w:val="00FA5636"/>
    <w:rsid w:val="00FA7A66"/>
    <w:rsid w:val="00FB0872"/>
    <w:rsid w:val="00FB1AA9"/>
    <w:rsid w:val="00FB4B5A"/>
    <w:rsid w:val="00FB5963"/>
    <w:rsid w:val="00FB5DAA"/>
    <w:rsid w:val="00FB60EE"/>
    <w:rsid w:val="00FC04B9"/>
    <w:rsid w:val="00FC161A"/>
    <w:rsid w:val="00FC23D5"/>
    <w:rsid w:val="00FC25DC"/>
    <w:rsid w:val="00FC4337"/>
    <w:rsid w:val="00FC4C1A"/>
    <w:rsid w:val="00FC628F"/>
    <w:rsid w:val="00FC6468"/>
    <w:rsid w:val="00FC6D49"/>
    <w:rsid w:val="00FD2990"/>
    <w:rsid w:val="00FD4922"/>
    <w:rsid w:val="00FD5A9F"/>
    <w:rsid w:val="00FD614F"/>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AFA22C"/>
  <w15:docId w15:val="{3B2AC794-4527-1C48-8BF8-DA1FEF03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val="en-US"/>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lang w:val="en-US"/>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uiPriority w:val="99"/>
    <w:semiHidden/>
    <w:unhideWhenUsed/>
    <w:rsid w:val="008D5E61"/>
    <w:rPr>
      <w:color w:val="808080"/>
      <w:shd w:val="clear" w:color="auto" w:fill="E6E6E6"/>
    </w:rPr>
  </w:style>
  <w:style w:type="character" w:styleId="UnresolvedMention">
    <w:name w:val="Unresolved Mention"/>
    <w:uiPriority w:val="99"/>
    <w:semiHidden/>
    <w:unhideWhenUsed/>
    <w:rsid w:val="00402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7708289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331928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315597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5A9FF-DF55-44E6-A266-CCB2C3F7F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17</Pages>
  <Words>7388</Words>
  <Characters>42115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Xiaoyan Cao</cp:lastModifiedBy>
  <cp:revision>277</cp:revision>
  <cp:lastPrinted>2019-03-12T10:40:00Z</cp:lastPrinted>
  <dcterms:created xsi:type="dcterms:W3CDTF">2019-08-12T13:19:00Z</dcterms:created>
  <dcterms:modified xsi:type="dcterms:W3CDTF">2019-08-13T13:12:00Z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http://www.zotero.org/styles/apa</vt:lpwstr>
  </property>
  <property fmtid="{D5CDD505-2E9C-101B-9397-08002B2CF9AE}" pid="9" name="Mendeley Recent Style Name 0_1">
    <vt:lpwstr>American Psychological Association 6th edition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http://www.zotero.org/styles/biomaterials</vt:lpwstr>
  </property>
  <property fmtid="{D5CDD505-2E9C-101B-9397-08002B2CF9AE}" pid="13" name="Mendeley Recent Style Name 2_1">
    <vt:lpwstr>Biomaterials</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http://www.zotero.org/styles/harvard1</vt:lpwstr>
  </property>
  <property fmtid="{D5CDD505-2E9C-101B-9397-08002B2CF9AE}" pid="17" name="Mendeley Recent Style Name 4_1">
    <vt:lpwstr>Harvard reference format 1 (deprecated)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http://csl.mendeley.com/styles/482237131/Fitzpatrick-Nature</vt:lpwstr>
  </property>
  <property fmtid="{D5CDD505-2E9C-101B-9397-08002B2CF9AE}" pid="27" name="Mendeley Recent Style Name 9_1">
    <vt:lpwstr>Nature_Fitzpatrick</vt:lpwstr>
  </property>
</Properties>
</file>