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In-Frame Gene Deletion Mutants in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and Testing for Virulence Attenuation in a Simple Mouse Model of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Meagan E. Valentine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Brandon D. Kirby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Hongwei D. Yu</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Progenesis Technologies, LLC, Huntington, WV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Biomedical Sciences, Pediatrics, Joan C. Edwards School of Medicine at Marshall University, Huntington, WV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Meagan E. Valentine </w:t>
        <w:tab/>
        <w:t xml:space="preserve">(lester64@live.marshall.edu)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Kirby, Brandon D.</w:t>
        <w:tab/>
        <w:t xml:space="preserve">(kirbyb@marshall.edu)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Hongwei D. Yu</w:t>
        <w:tab/>
        <w:tab/>
        <w:t xml:space="preserve">(yuh@marshall.edu)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Pseudomonas aeruginosa, </w:t>
      </w:r>
      <w:r>
        <w:rPr>
          <w:rFonts w:ascii="Calibri" w:hAnsi="Calibri" w:cs="Calibri" w:eastAsia="Calibri"/>
          <w:color w:val="auto"/>
          <w:spacing w:val="0"/>
          <w:position w:val="0"/>
          <w:sz w:val="24"/>
          <w:shd w:fill="auto" w:val="clear"/>
        </w:rPr>
        <w:t xml:space="preserve">genetic engineering, multiple gene deletion, marker-free, strain validation, safety evaluation, mouse model of infection, reproducibility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simple and reproducible protocol of mouse model of infection to evaluate the attenuation of the genetically modified strains of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in comparison to the United States Food and Drug Administration (FDA)-approved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for commercial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Microorganisms are genetically versatile and diverse and have become a major source of many commercial products and biopharmaceuticals. Though some of these products are naturally produced by the organisms, other products require genetic engineering of the organism to increase the yields of production. Avirulent strains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have traditionally been the preferred bacterial species for producing biopharmaceuticals; however, some products are difficult for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to produce. Thus, avirulent strains of other bacterial species could provide useful alternatives for production of some commercial products.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is a common and well-studied Gram-negative bacterium that could provide a suitable alternative 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However,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is an opportunistic human pathogen. Here, we detail a procedure that can be used to generate nonpathogenic strains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through sequential genomic deletions using the pEX100T-NotI plasmid. The main advantage of this method is to produce a marker-free strain. This method may be used to generate highly attenuated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strains for the production of commercial products, or to design strains for other specific uses. We also describe a simple and reproducible mouse model of bacterial systemic infection via intraperitoneal injection of validated test strains to test the attenuation of the genetically engineered strain in comparison to the FDA-approved BL21 strain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is an opportunistic bacterial pathogen that can cause life-threatening diseases in humans, especially in the immunocompromised. The pathogenicity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is due to the expression of many virulence factors, including proteases and lipopolysaccharide, as well as its ability to form a protective biofilm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Because of its ability to produce virulence factors and cause disease in humans, using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to make commercial products presents safety concerns. Nonpathogenic strains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have traditionally been used to bioengineer medical and commercial products for human use. However, some products are difficult for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to make, and many are packaged in inclusion bodies, making extraction laborious. Engineered bacterial strains with the ability to make and secrete specific products is highly desirable, as secretion would likely increase yield and ease purification processes. Thus, nonpathogenic strains of other species of bacteria (e.g., species that utilize more secretion pathways) may provide useful alternatives 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We recently reported the development of a strain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PGN5, in which the pathogenicity and toxicity of the organism is highly attenuated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Importantly, this strain still produces large quantities of the polysaccharide alginate, a commercially interesting component of the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biofilm.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PGN5 strain was generated using a two-step allelic exchange procedure with the pEX100T-NotI plasmid to sequentially delete five genes (</w:t>
      </w:r>
      <w:r>
        <w:rPr>
          <w:rFonts w:ascii="Calibri" w:hAnsi="Calibri" w:cs="Calibri" w:eastAsia="Calibri"/>
          <w:i/>
          <w:color w:val="auto"/>
          <w:spacing w:val="0"/>
          <w:position w:val="0"/>
          <w:sz w:val="24"/>
          <w:shd w:fill="auto" w:val="clear"/>
        </w:rPr>
        <w:t xml:space="preserve">toxA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plcH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phzM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wapR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aroA</w:t>
      </w:r>
      <w:r>
        <w:rPr>
          <w:rFonts w:ascii="Calibri" w:hAnsi="Calibri" w:cs="Calibri" w:eastAsia="Calibri"/>
          <w:color w:val="auto"/>
          <w:spacing w:val="0"/>
          <w:position w:val="0"/>
          <w:sz w:val="24"/>
          <w:shd w:fill="auto" w:val="clear"/>
        </w:rPr>
        <w:t xml:space="preserve">) known to contribute to the pathogenicity of the organism. pEX100T-NotI was generated by changing the SmaI to a NotI restriction enzyme recognition site within the multiple cloning site of the plasmid pEX100T, which was developed in Herbert Schweizer's lab</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recognition site for the restriction enzyme NotI is a rarer DNA sequence compared to SmaI and less likely to be present in sequences being cloned, thus it is more convenient for cloning purposes. The plasmid carries genes that allow for selection, including the </w:t>
      </w:r>
      <w:r>
        <w:rPr>
          <w:rFonts w:ascii="Calibri" w:hAnsi="Calibri" w:cs="Calibri" w:eastAsia="Calibri"/>
          <w:i/>
          <w:color w:val="auto"/>
          <w:spacing w:val="0"/>
          <w:position w:val="0"/>
          <w:sz w:val="24"/>
          <w:shd w:fill="auto" w:val="clear"/>
        </w:rPr>
        <w:t xml:space="preserve">bla</w:t>
      </w:r>
      <w:r>
        <w:rPr>
          <w:rFonts w:ascii="Calibri" w:hAnsi="Calibri" w:cs="Calibri" w:eastAsia="Calibri"/>
          <w:color w:val="auto"/>
          <w:spacing w:val="0"/>
          <w:position w:val="0"/>
          <w:sz w:val="24"/>
          <w:shd w:fill="auto" w:val="clear"/>
        </w:rPr>
        <w:t xml:space="preserve"> gene, which encodes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-lactamase and confers resistance to carbenicillin, and the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sacB</w:t>
      </w:r>
      <w:r>
        <w:rPr>
          <w:rFonts w:ascii="Calibri" w:hAnsi="Calibri" w:cs="Calibri" w:eastAsia="Calibri"/>
          <w:color w:val="auto"/>
          <w:spacing w:val="0"/>
          <w:position w:val="0"/>
          <w:sz w:val="24"/>
          <w:shd w:fill="auto" w:val="clear"/>
        </w:rPr>
        <w:t xml:space="preserve"> gene, which confers sensitivity to sucrose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plasmid also carries an origin of replication (</w:t>
      </w:r>
      <w:r>
        <w:rPr>
          <w:rFonts w:ascii="Calibri" w:hAnsi="Calibri" w:cs="Calibri" w:eastAsia="Calibri"/>
          <w:i/>
          <w:color w:val="auto"/>
          <w:spacing w:val="0"/>
          <w:position w:val="0"/>
          <w:sz w:val="24"/>
          <w:shd w:fill="auto" w:val="clear"/>
        </w:rPr>
        <w:t xml:space="preserve">ori</w:t>
      </w:r>
      <w:r>
        <w:rPr>
          <w:rFonts w:ascii="Calibri" w:hAnsi="Calibri" w:cs="Calibri" w:eastAsia="Calibri"/>
          <w:color w:val="auto"/>
          <w:spacing w:val="0"/>
          <w:position w:val="0"/>
          <w:sz w:val="24"/>
          <w:shd w:fill="auto" w:val="clear"/>
        </w:rPr>
        <w:t xml:space="preserve">) compatible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an origin of transfer (</w:t>
      </w:r>
      <w:r>
        <w:rPr>
          <w:rFonts w:ascii="Calibri" w:hAnsi="Calibri" w:cs="Calibri" w:eastAsia="Calibri"/>
          <w:i/>
          <w:color w:val="auto"/>
          <w:spacing w:val="0"/>
          <w:position w:val="0"/>
          <w:sz w:val="24"/>
          <w:shd w:fill="auto" w:val="clear"/>
        </w:rPr>
        <w:t xml:space="preserve">oriT</w:t>
      </w:r>
      <w:r>
        <w:rPr>
          <w:rFonts w:ascii="Calibri" w:hAnsi="Calibri" w:cs="Calibri" w:eastAsia="Calibri"/>
          <w:color w:val="auto"/>
          <w:spacing w:val="0"/>
          <w:position w:val="0"/>
          <w:sz w:val="24"/>
          <w:shd w:fill="auto" w:val="clear"/>
        </w:rPr>
        <w:t xml:space="preserve">) that allows for plasmid transfer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to </w:t>
      </w:r>
      <w:r>
        <w:rPr>
          <w:rFonts w:ascii="Calibri" w:hAnsi="Calibri" w:cs="Calibri" w:eastAsia="Calibri"/>
          <w:i/>
          <w:color w:val="auto"/>
          <w:spacing w:val="0"/>
          <w:position w:val="0"/>
          <w:sz w:val="24"/>
          <w:shd w:fill="auto" w:val="clear"/>
        </w:rPr>
        <w:t xml:space="preserve">Pseudomonas</w:t>
      </w:r>
      <w:r>
        <w:rPr>
          <w:rFonts w:ascii="Calibri" w:hAnsi="Calibri" w:cs="Calibri" w:eastAsia="Calibri"/>
          <w:color w:val="auto"/>
          <w:spacing w:val="0"/>
          <w:position w:val="0"/>
          <w:sz w:val="24"/>
          <w:shd w:fill="auto" w:val="clear"/>
        </w:rPr>
        <w:t xml:space="preserve"> species via conjugation. However, the plasmid lacks an origin of replication compatible with </w:t>
      </w:r>
      <w:r>
        <w:rPr>
          <w:rFonts w:ascii="Calibri" w:hAnsi="Calibri" w:cs="Calibri" w:eastAsia="Calibri"/>
          <w:i/>
          <w:color w:val="auto"/>
          <w:spacing w:val="0"/>
          <w:position w:val="0"/>
          <w:sz w:val="24"/>
          <w:shd w:fill="auto" w:val="clear"/>
        </w:rPr>
        <w:t xml:space="preserve">Pseudomonas</w:t>
      </w:r>
      <w:r>
        <w:rPr>
          <w:rFonts w:ascii="Calibri" w:hAnsi="Calibri" w:cs="Calibri" w:eastAsia="Calibri"/>
          <w:color w:val="auto"/>
          <w:spacing w:val="0"/>
          <w:position w:val="0"/>
          <w:sz w:val="24"/>
          <w:shd w:fill="auto" w:val="clear"/>
        </w:rPr>
        <w:t xml:space="preserve">, and thus cannot replicate within </w:t>
      </w:r>
      <w:r>
        <w:rPr>
          <w:rFonts w:ascii="Calibri" w:hAnsi="Calibri" w:cs="Calibri" w:eastAsia="Calibri"/>
          <w:i/>
          <w:color w:val="auto"/>
          <w:spacing w:val="0"/>
          <w:position w:val="0"/>
          <w:sz w:val="24"/>
          <w:shd w:fill="auto" w:val="clear"/>
        </w:rPr>
        <w:t xml:space="preserve">Pseudomonas</w:t>
      </w:r>
      <w:r>
        <w:rPr>
          <w:rFonts w:ascii="Calibri" w:hAnsi="Calibri" w:cs="Calibri" w:eastAsia="Calibri"/>
          <w:color w:val="auto"/>
          <w:spacing w:val="0"/>
          <w:position w:val="0"/>
          <w:sz w:val="24"/>
          <w:shd w:fill="auto" w:val="clear"/>
        </w:rPr>
        <w:t xml:space="preserve"> species (i.e., it is a </w:t>
      </w:r>
      <w:r>
        <w:rPr>
          <w:rFonts w:ascii="Calibri" w:hAnsi="Calibri" w:cs="Calibri" w:eastAsia="Calibri"/>
          <w:i/>
          <w:color w:val="auto"/>
          <w:spacing w:val="0"/>
          <w:position w:val="0"/>
          <w:sz w:val="24"/>
          <w:shd w:fill="auto" w:val="clear"/>
        </w:rPr>
        <w:t xml:space="preserve">Pseudomonas</w:t>
      </w:r>
      <w:r>
        <w:rPr>
          <w:rFonts w:ascii="Calibri" w:hAnsi="Calibri" w:cs="Calibri" w:eastAsia="Calibri"/>
          <w:color w:val="auto"/>
          <w:spacing w:val="0"/>
          <w:position w:val="0"/>
          <w:sz w:val="24"/>
          <w:shd w:fill="auto" w:val="clear"/>
        </w:rPr>
        <w:t xml:space="preserve"> suicide vector). These characteristics make pEX100T-NotI ideal for targeting genetic deletions from the </w:t>
      </w:r>
      <w:r>
        <w:rPr>
          <w:rFonts w:ascii="Calibri" w:hAnsi="Calibri" w:cs="Calibri" w:eastAsia="Calibri"/>
          <w:i/>
          <w:color w:val="auto"/>
          <w:spacing w:val="0"/>
          <w:position w:val="0"/>
          <w:sz w:val="24"/>
          <w:shd w:fill="auto" w:val="clear"/>
        </w:rPr>
        <w:t xml:space="preserve">Pseudomonas</w:t>
      </w:r>
      <w:r>
        <w:rPr>
          <w:rFonts w:ascii="Calibri" w:hAnsi="Calibri" w:cs="Calibri" w:eastAsia="Calibri"/>
          <w:color w:val="auto"/>
          <w:spacing w:val="0"/>
          <w:position w:val="0"/>
          <w:sz w:val="24"/>
          <w:shd w:fill="auto" w:val="clear"/>
        </w:rPr>
        <w:t xml:space="preserve"> chromosome. Plasmid cloning steps are carried out using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the resultant plasmid is transferred to </w:t>
      </w:r>
      <w:r>
        <w:rPr>
          <w:rFonts w:ascii="Calibri" w:hAnsi="Calibri" w:cs="Calibri" w:eastAsia="Calibri"/>
          <w:i/>
          <w:color w:val="auto"/>
          <w:spacing w:val="0"/>
          <w:position w:val="0"/>
          <w:sz w:val="24"/>
          <w:shd w:fill="auto" w:val="clear"/>
        </w:rPr>
        <w:t xml:space="preserve">Pseudomonas</w:t>
      </w:r>
      <w:r>
        <w:rPr>
          <w:rFonts w:ascii="Calibri" w:hAnsi="Calibri" w:cs="Calibri" w:eastAsia="Calibri"/>
          <w:color w:val="auto"/>
          <w:spacing w:val="0"/>
          <w:position w:val="0"/>
          <w:sz w:val="24"/>
          <w:shd w:fill="auto" w:val="clear"/>
        </w:rPr>
        <w:t xml:space="preserve"> by transformation or conjugation. Then, through homologous recombination events and selective steps, the targeted in-frame deletion is generated, marker-free. This method of sequentially deleting genomic regions from the chromosome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could be used to generate highly attenuated </w:t>
      </w:r>
      <w:r>
        <w:rPr>
          <w:rFonts w:ascii="Calibri" w:hAnsi="Calibri" w:cs="Calibri" w:eastAsia="Calibri"/>
          <w:i/>
          <w:color w:val="auto"/>
          <w:spacing w:val="0"/>
          <w:position w:val="0"/>
          <w:sz w:val="24"/>
          <w:shd w:fill="auto" w:val="clear"/>
        </w:rPr>
        <w:t xml:space="preserve">Pseudomonas</w:t>
      </w:r>
      <w:r>
        <w:rPr>
          <w:rFonts w:ascii="Calibri" w:hAnsi="Calibri" w:cs="Calibri" w:eastAsia="Calibri"/>
          <w:color w:val="auto"/>
          <w:spacing w:val="0"/>
          <w:position w:val="0"/>
          <w:sz w:val="24"/>
          <w:shd w:fill="auto" w:val="clear"/>
        </w:rPr>
        <w:t xml:space="preserve"> strains, like PGN5, or to design strains for other specific uses (e.g., strains deficient in endonucleases for plasmid propagation or strains deficient in proteases for production of proteins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virulence of strains of bacteria is affected by growth conditions and phases, during which mutations occur frequently. Therefore, measuring the safety of genetically-engineered strains can be challenging. To evaluate bacterial isolates for systemic virulence, we adapted a previously published protocol of infection by intraperitoneal injection of C57BL/6 mice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We modified this procedure to use frozen bacterial stocks for injection, which allowed for precise dosing and easy validation of the strains used. In this model,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BL21, which has been FDA-approved for production of biopharmaceuticals, was used as a control safety standard for determining the relative pathogenesis of the strain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The main advantage to using this method is that it is reproducible and minimizes sources of variation, as infecting strains are validated for bacterial cell number, phenotype, and genetic markers both before and after infection. With these controlled steps, the number of animals required is reduced. In this model,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strains that result in C57BL/6 murine mortality rates equal to or less than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BL21 when injected intraperitoneally may be considered attenuated. This simple mouse model of infection may also be used to assess the attenuated pathogenicity of genetically engineered strains from other species using the FDA-approved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as the reference. Steps 1-7 detail the generation of sequential genomic deletions in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steps 8-12 detail the use of a mouse model to test the pathogenicity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beginning animal experiments, the protocol to be used must be approved by the Institutional Animal Care and Use Committee (IACUC). Approval for the protocol described was obtained through the IACUC at Marshall University (Huntington, WV,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Plasmid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To generate a genetic deletion using the pEX100T-NotI plasmid, clone the regions of DNA flanking the desired deletion sequence and insert into the NotI restriction site of the plasmid. The plasmid insert should contain about 500 nucleotides upstream of the target sequence directly adjacent to about 500 nucleotides downstream of the target deletion sequence. Additionally, the insert should contain the NotI recognition sequence (GCGGCCGC) at its 5' and 3' ends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Plasmid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Option 1: Utilize traditional cloning procedures. Use PCR to amplify genomic regions upstream and downstream of the gene of interest, followed by crossover PCR</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to join the generated fragments, restriction endonuclease digestion of the PCR product and plasmid, and ligation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Option 2: After designing the deletion sequence in silico, contract a company that de novo synthesizes it to insert into the plasmid pEX100T-NotI. Many companies have streamlined the process of cloning to quickly and efficiently generate the plasmid of interest. Additionally, sequence verify the plasmids to be mutation-free prior to delivery.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i/>
          <w:color w:val="auto"/>
          <w:spacing w:val="0"/>
          <w:position w:val="0"/>
          <w:sz w:val="24"/>
          <w:shd w:fill="auto" w:val="clear"/>
        </w:rPr>
        <w:t xml:space="preserve">E. coli </w:t>
      </w:r>
      <w:r>
        <w:rPr>
          <w:rFonts w:ascii="Calibri" w:hAnsi="Calibri" w:cs="Calibri" w:eastAsia="Calibri"/>
          <w:b/>
          <w:color w:val="auto"/>
          <w:spacing w:val="0"/>
          <w:position w:val="0"/>
          <w:sz w:val="24"/>
          <w:shd w:fill="auto" w:val="clear"/>
        </w:rPr>
        <w:t xml:space="preserve">transformation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Transform electrocompetent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with the plasmid according to the manufacturer's recommendations. Using a sterile inoculating loop, streak 10 &amp;#181;L of the transformation reaction for isolated colonies onto a pre-warmed Luria Broth (LB) agar plate supplemented with 100 &amp;#181;g/mL of carbenicillin and incubate overnight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equipment and media used to culture bacteria should be treated according to the institution's safety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Passage twice.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Remove the plate from the incubator and identify an isolated colony. Using a sterile inoculating loop, pick up the colony and streak a pre-warmed LB agar plate supplemented with 100 &amp;#181;g/mL of carbenicillin for isolated colonies. Incubate overnight at 37 &amp;#176;C. Repeat this step once more to generate a pure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Using a sterile inoculating loop, inoculate 5 mL of LB with a single colony from the final agar plate. Place the culture in a shaking incubator at 37 &amp;#176;C overnight. The next day, mix 1 mL of this culture with 1 mL of 5% in a cryovial and store at -80 &amp;#176;C to generate a frozen stock of the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Bacterial strain preparation and triparental conjugation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Use a single isolated colony from agar plates of the following strains to inoculate broth cultures and place in a shaking incubator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Add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pEX100T-NotI into 5 mL of LB supplemented with 100 &amp;#181;g/mL of carbenicillin.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Add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strain PAO1 into 5 mL of </w:t>
      </w:r>
      <w:r>
        <w:rPr>
          <w:rFonts w:ascii="Calibri" w:hAnsi="Calibri" w:cs="Calibri" w:eastAsia="Calibri"/>
          <w:i/>
          <w:color w:val="auto"/>
          <w:spacing w:val="0"/>
          <w:position w:val="0"/>
          <w:sz w:val="24"/>
          <w:shd w:fill="auto" w:val="clear"/>
        </w:rPr>
        <w:t xml:space="preserve">Pseudomonas</w:t>
      </w:r>
      <w:r>
        <w:rPr>
          <w:rFonts w:ascii="Calibri" w:hAnsi="Calibri" w:cs="Calibri" w:eastAsia="Calibri"/>
          <w:color w:val="auto"/>
          <w:spacing w:val="0"/>
          <w:position w:val="0"/>
          <w:sz w:val="24"/>
          <w:shd w:fill="auto" w:val="clear"/>
        </w:rPr>
        <w:t xml:space="preserve"> Isolation Broth (PIB).</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Add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prk2013 into 5 mL of LB supplemented with 50 &amp;#181;g/mL of kanamycin.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prk2013 plasmid is a helper plasmid that replicates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but not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it carries the trans-acting transfer genes that mobilize the pEX100T-NotI plasmid from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donor to the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recipient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is a Biosafety Level 2 (BSL-2) pathogen. Please follow the institution's guidelines for safety when working with BSL-2 organisms.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The next day, remove overnight cultures from the incubator and add 0.5 mL of each culture to a 1.5 mL microcentrifuge tube. Centrifuge at 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Discard the supernatant and suspend the cell pellet in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&amp;#181;L of LB.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Pipette the entire cell suspension in one droplet onto a pre-warmed LB agar plate. Allow the droplet to dry. Then invert the plate and incubate at 37 &amp;#176;C for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After the incubation, use a sterile inoculation loop to collect the cells into 1 mL of LB in a microcentrifuge tube. Pipette up and down to mix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Using a cell spreader, streak cells evenly onto a dry pre-warmed </w:t>
      </w:r>
      <w:r>
        <w:rPr>
          <w:rFonts w:ascii="Calibri" w:hAnsi="Calibri" w:cs="Calibri" w:eastAsia="Calibri"/>
          <w:i/>
          <w:color w:val="auto"/>
          <w:spacing w:val="0"/>
          <w:position w:val="0"/>
          <w:sz w:val="24"/>
          <w:shd w:fill="auto" w:val="clear"/>
        </w:rPr>
        <w:t xml:space="preserve">Pseudomonas</w:t>
      </w:r>
      <w:r>
        <w:rPr>
          <w:rFonts w:ascii="Calibri" w:hAnsi="Calibri" w:cs="Calibri" w:eastAsia="Calibri"/>
          <w:color w:val="auto"/>
          <w:spacing w:val="0"/>
          <w:position w:val="0"/>
          <w:sz w:val="24"/>
          <w:shd w:fill="auto" w:val="clear"/>
        </w:rPr>
        <w:t xml:space="preserve"> Isolation Agar (PIA) plate supplemented with 300 &amp;#181;g/mL of carbenicillin. Streak multiple plates with increasing volumes of the cell mixture (e.g., 10 &amp;#181;L, 100 &amp;#181;L, 500 &amp;#181;L). Incubate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Detection of single-crossover</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4"/>
          <w:shd w:fill="auto" w:val="clear"/>
        </w:rPr>
        <w:t xml:space="preserve">recombinants of </w:t>
      </w:r>
      <w:r>
        <w:rPr>
          <w:rFonts w:ascii="Calibri" w:hAnsi="Calibri" w:cs="Calibri" w:eastAsia="Calibri"/>
          <w:b/>
          <w:i/>
          <w:color w:val="auto"/>
          <w:spacing w:val="0"/>
          <w:position w:val="0"/>
          <w:sz w:val="24"/>
          <w:shd w:fill="auto" w:val="clear"/>
        </w:rPr>
        <w:t xml:space="preserve">P. aeruginosa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Remove plates from the incubator and inspect for isolated carbenicillin-resistant colonies. Because the pEX100T-NotI plasmid cannot replicate in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colonies that grew on carbenicillin-supplemented plates should have arisen from cells in which the plasmid was integrated into the chromosome.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Choose at least 4 of these colonies and streak for isolation onto pre-warmed plates of PIA supplemented with 300 &amp;#181;g/mL of carbenicillin. Incubate plates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Remove plates from the incubator and inspect for growth. Carbenicillin-resistant colonies should be single-crossover recombinants (i.e., they have incorporated the plasmid into the chromosome via a recombination event between a homologous region of the plasmid insert and the chromosome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Patch 8 or more colonies with sterile toothpicks onto pre-warmed plates of: 1) PIA supplemented with 300 &amp;#181;g/mL of carbenicillin and 2) PIA supplemented with 300 &amp;#181;g/mL of carbenicillin and 10% sucrose (without glycerol).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If no colony growth was obtained from step 5.1, repeat the conjugation and increase the volume of the cell mixture streaked in step 4.5. If too much growth occurred, repeat conjugation and decrease the volume streaked.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If the conjugation repeatedly fails, prepare electrocompetent cells of the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strain and transform directly with the pEX100T-NotI plasmid. Detailed protocols for preparation of electrocompetent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and transformation are available elsewhere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Incubate plates at 37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Remove plates from incubator and inspect for growth. True single-crossover recombinants will be carbenicillin-resistant and sucrose-sensitive (i.e., colonies that grew on PIA supplemented with carbenicillin, but did not grow on PIA supplemented with carbenicillin and sucrose).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Choose 4 or more true single-crossover recombinants and inoculate each into 5 mL of LB without selection. Incubate in a shaking incubator at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 If no single-crossover recombinants were detected, repeat the conjugation.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Detection of double-crossover</w:t>
      </w:r>
      <w:r>
        <w:rPr>
          <w:rFonts w:ascii="Calibri" w:hAnsi="Calibri" w:cs="Calibri" w:eastAsia="Calibri"/>
          <w:b/>
          <w:color w:val="auto"/>
          <w:spacing w:val="0"/>
          <w:position w:val="0"/>
          <w:sz w:val="22"/>
          <w:shd w:fill="FFFF00" w:val="clear"/>
        </w:rPr>
        <w:t xml:space="preserve"> </w:t>
      </w:r>
      <w:r>
        <w:rPr>
          <w:rFonts w:ascii="Calibri" w:hAnsi="Calibri" w:cs="Calibri" w:eastAsia="Calibri"/>
          <w:b/>
          <w:color w:val="auto"/>
          <w:spacing w:val="0"/>
          <w:position w:val="0"/>
          <w:sz w:val="24"/>
          <w:shd w:fill="FFFF00" w:val="clear"/>
        </w:rPr>
        <w:t xml:space="preserve">recombinants of </w:t>
      </w:r>
      <w:r>
        <w:rPr>
          <w:rFonts w:ascii="Calibri" w:hAnsi="Calibri" w:cs="Calibri" w:eastAsia="Calibri"/>
          <w:b/>
          <w:i/>
          <w:color w:val="auto"/>
          <w:spacing w:val="0"/>
          <w:position w:val="0"/>
          <w:sz w:val="24"/>
          <w:shd w:fill="FFFF00" w:val="clear"/>
        </w:rPr>
        <w:t xml:space="preserve">P. aeruginosa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For each broth culture, inoculate 10 &amp;#181;L of culture onto a pre-warmed plate of PIA supplemented with 10% sucrose (without glycerol) and streak for isolated colonies. Incubate plates overnight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The next day, remove plates from the incubator and inspect them for growth. Sucrose-resistant colonies should be double-crossover recombinants (i.e., have removed the plasmid from the chromosome via a recombination event between the other homologous region of the plasmid insert and the </w:t>
      </w:r>
      <w:r>
        <w:rPr>
          <w:rFonts w:ascii="Calibri" w:hAnsi="Calibri" w:cs="Calibri" w:eastAsia="Calibri"/>
          <w:i/>
          <w:color w:val="auto"/>
          <w:spacing w:val="0"/>
          <w:position w:val="0"/>
          <w:sz w:val="24"/>
          <w:shd w:fill="FFFF00" w:val="clear"/>
        </w:rPr>
        <w:t xml:space="preserve">P. aeruginosa</w:t>
      </w:r>
      <w:r>
        <w:rPr>
          <w:rFonts w:ascii="Calibri" w:hAnsi="Calibri" w:cs="Calibri" w:eastAsia="Calibri"/>
          <w:color w:val="auto"/>
          <w:spacing w:val="0"/>
          <w:position w:val="0"/>
          <w:sz w:val="24"/>
          <w:shd w:fill="FFFF00" w:val="clear"/>
        </w:rPr>
        <w:t xml:space="preserve"> chromosome).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Patch at least 20 colonies with sterile toothpicks onto pre-warmed plates of: 1) PIA, 2) PIA supplemented with 10% sucrose (without glycerol), and 3) PIA supplemented with 300 &amp;#181;g/mL of carbenicillin.</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Incubate plates overnight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w:t>
      </w:r>
      <w:r>
        <w:rPr>
          <w:rFonts w:ascii="Calibri" w:hAnsi="Calibri" w:cs="Calibri" w:eastAsia="Calibri"/>
          <w:color w:val="auto"/>
          <w:spacing w:val="0"/>
          <w:position w:val="0"/>
          <w:sz w:val="24"/>
          <w:shd w:fill="FFFF00" w:val="clear"/>
        </w:rPr>
        <w:t xml:space="preserve">Remove plates from the incubator and examine them for growth. True double-crossover recombinants will be carbenicillin-sensitive and sucrose-resistant (i.e., colonies that grew on PIA and PIA supplemented with sucrose, but did not grow on PIA supplemented with carbenicillin).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Gene deletion confirmation via colony PCR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Prepare 10-20 colonies for a deletion screen with PCR.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 Pick up the growth from a suspected double-crossover recombinant with a sterile toothpick and suspend cells in 50 &amp;#181;L of 1x phosphate buffered saline (PBS). Boil suspension at 100 &amp;#176;C for 10 min, centrifuge for 3 min at 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then place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w:t>
      </w:r>
      <w:r>
        <w:rPr>
          <w:rFonts w:ascii="Calibri" w:hAnsi="Calibri" w:cs="Calibri" w:eastAsia="Calibri"/>
          <w:color w:val="auto"/>
          <w:spacing w:val="0"/>
          <w:position w:val="0"/>
          <w:sz w:val="24"/>
          <w:shd w:fill="FFFF00" w:val="clear"/>
        </w:rPr>
        <w:t xml:space="preserve">Perform PCR to screen colonies for the targeted deletion.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Use 1 &amp;#181;L of the supernatant as the template in a 25 &amp;#181;L PCR reaction to confirm deletion of the gene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 Use gene-specific primers that amplify the region of the genomic deletion. Use primers that amplify the region of the genomic deletion plus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bp of flanking upstream and downstream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 Prepare a separate control PCR reaction with the parent strain (e.g., PAO1).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Thermocycler conditions will vary depending on the optimal annealing temperature for primer pairs, the polymerase cocktail used, and the length of the region to be amplified.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w:t>
      </w:r>
      <w:r>
        <w:rPr>
          <w:rFonts w:ascii="Calibri" w:hAnsi="Calibri" w:cs="Calibri" w:eastAsia="Calibri"/>
          <w:color w:val="auto"/>
          <w:spacing w:val="0"/>
          <w:position w:val="0"/>
          <w:sz w:val="24"/>
          <w:shd w:fill="FFFF00" w:val="clear"/>
        </w:rPr>
        <w:t xml:space="preserve">Perform agarose gel electrophoresis on the PCR products. Colonies in which the region of interest has been deleted yield smaller amplification products than colonies that lack the deletion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Choose one or more colonies with the PCR-confirmed deletion. Streak for isolated colonies onto a pre-warmed PIA plate(s) and incubate at 37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Passage at least one more time. Remove plate(s) from the incubator and identify an isolated colony. Using a sterile inoculating loop, pick up the colony and streak a pre-warmed PIA agar plate for isolated colonies. Incubate overnight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Choose a colony from each final plate and use to inoculate 5 mL of PIB. Place in a shaking incubator at 37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7.6.1. Mix 1 mL of this culture with 1 mL of 5% skim milk in a cryovial and store at -80 &amp;#176;C to generate a stock of the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7.6.2. Using this culture, prepare genomic DNA from the strain (e.g., using a DNA purification kit). Amplify the genomic deletion region using PCR and primers specific to the region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7.6.2.1. Purify these PCR products (e.g., with a DNA purification kit, or phenol-chloroform extraction) and either sequence directly with the gene-specific primers or ligated into a vector for sequencing with plasmid-specific primers.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After the gene deletion is confirmed through sequencing, repeat this procedure with the new deletion strain to sequentially generate numerous marker-free genomic deletions. When the desired strain is generated, use whole genome sequencing to verify the targeted deletions and to detect other changes to the genome (compared to the reference strain, e.g., PAO1) that occurred throughout the process. After annotating the genes, deposit the sequence to GenBank and record accession numbers.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Preparation of bacterial strain for animal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To test for attenuated pathogenicity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strains, first prepare validated cultures and stocks. Prepare the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strains of interest, a wild-type strain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(virulent), and an FDA-approved strain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(e.g., BL21) to serve as a nonpathogenic safety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Streak the strains of the bacteria being tested onto selective agar from sequenced and validated frozen stocks. Incubate at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With a sterile inoculating loop, pick up a single colony from each strain and streak for isolated colonies onto selective media again. Incubate at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Remove plates from the incubator. For each strain, choose a single colony and streak for isolation onto LB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After 24 h of growth at 37 &amp;#176;C, inoculate a 500 mL flask containing 250 mL of LB with a single colony isolate from each strain.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8.5.1. Validation step: using the remnants of the same colony, validate the strain using PCR and strain-specific primers, and/or primers to verify the presence of genetic modifications made to the strain. Use the primers below for verification of strains in the example presented:</w:t>
      </w:r>
    </w:p>
    <w:p>
      <w:pPr>
        <w:spacing w:before="0" w:after="0" w:line="240"/>
        <w:ind w:right="0" w:left="0" w:firstLine="0"/>
        <w:jc w:val="both"/>
        <w:rPr>
          <w:rFonts w:ascii="Calibri" w:hAnsi="Calibri" w:cs="Calibri" w:eastAsia="Calibri"/>
          <w:color w:val="333333"/>
          <w:spacing w:val="0"/>
          <w:position w:val="0"/>
          <w:sz w:val="24"/>
          <w:shd w:fill="auto" w:val="clear"/>
        </w:rPr>
      </w:pP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BL21:</w:t>
        <w:tab/>
        <w:tab/>
        <w:t xml:space="preserve">T7 polymerase </w:t>
      </w:r>
      <w:r>
        <w:rPr>
          <w:rFonts w:ascii="Calibri" w:hAnsi="Calibri" w:cs="Calibri" w:eastAsia="Calibri"/>
          <w:color w:val="333333"/>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color w:val="333333"/>
          <w:spacing w:val="0"/>
          <w:position w:val="0"/>
          <w:sz w:val="24"/>
          <w:shd w:fill="auto" w:val="clear"/>
        </w:rPr>
        <w:t xml:space="preserve">TGGCTATCGCTAATGGTCTTACG</w:t>
      </w:r>
    </w:p>
    <w:p>
      <w:pPr>
        <w:spacing w:before="0" w:after="0" w:line="240"/>
        <w:ind w:right="0" w:left="1440" w:firstLine="720"/>
        <w:jc w:val="both"/>
        <w:rPr>
          <w:rFonts w:ascii="Courier New" w:hAnsi="Courier New" w:cs="Courier New" w:eastAsia="Courier New"/>
          <w:color w:val="333333"/>
          <w:spacing w:val="0"/>
          <w:position w:val="0"/>
          <w:sz w:val="22"/>
          <w:shd w:fill="auto" w:val="clear"/>
        </w:rPr>
      </w:pPr>
      <w:r>
        <w:rPr>
          <w:rFonts w:ascii="Calibri" w:hAnsi="Calibri" w:cs="Calibri" w:eastAsia="Calibri"/>
          <w:color w:val="333333"/>
          <w:spacing w:val="0"/>
          <w:position w:val="0"/>
          <w:sz w:val="24"/>
          <w:shd w:fill="auto" w:val="clear"/>
        </w:rPr>
        <w:t xml:space="preserve">T7 polymerase R:</w:t>
      </w:r>
      <w:r>
        <w:rPr>
          <w:rFonts w:ascii="Calibri" w:hAnsi="Calibri" w:cs="Calibri" w:eastAsia="Calibri"/>
          <w:color w:val="auto"/>
          <w:spacing w:val="0"/>
          <w:position w:val="0"/>
          <w:sz w:val="24"/>
          <w:shd w:fill="auto" w:val="clear"/>
        </w:rPr>
        <w:t xml:space="preserve"> </w:t>
      </w:r>
      <w:r>
        <w:rPr>
          <w:rFonts w:ascii="Calibri" w:hAnsi="Calibri" w:cs="Calibri" w:eastAsia="Calibri"/>
          <w:color w:val="333333"/>
          <w:spacing w:val="0"/>
          <w:position w:val="0"/>
          <w:sz w:val="24"/>
          <w:shd w:fill="auto" w:val="clear"/>
        </w:rPr>
        <w:t xml:space="preserve">TTACGCGAACGCGAAGTCC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333333"/>
          <w:spacing w:val="0"/>
          <w:position w:val="0"/>
          <w:sz w:val="24"/>
          <w:shd w:fill="auto" w:val="clear"/>
        </w:rPr>
      </w:pPr>
      <w:r>
        <w:rPr>
          <w:rFonts w:ascii="Calibri" w:hAnsi="Calibri" w:cs="Calibri" w:eastAsia="Calibri"/>
          <w:color w:val="auto"/>
          <w:spacing w:val="0"/>
          <w:position w:val="0"/>
          <w:sz w:val="24"/>
          <w:shd w:fill="auto" w:val="clear"/>
        </w:rPr>
        <w:t xml:space="preserve">VE2 and PGN5:</w:t>
        <w:tab/>
      </w:r>
      <w:r>
        <w:rPr>
          <w:rFonts w:ascii="Calibri" w:hAnsi="Calibri" w:cs="Calibri" w:eastAsia="Calibri"/>
          <w:i/>
          <w:color w:val="auto"/>
          <w:spacing w:val="0"/>
          <w:position w:val="0"/>
          <w:sz w:val="24"/>
          <w:shd w:fill="auto" w:val="clear"/>
        </w:rPr>
        <w:t xml:space="preserve">aroA</w:t>
      </w:r>
      <w:r>
        <w:rPr>
          <w:rFonts w:ascii="Calibri" w:hAnsi="Calibri" w:cs="Calibri" w:eastAsia="Calibri"/>
          <w:color w:val="auto"/>
          <w:spacing w:val="0"/>
          <w:position w:val="0"/>
          <w:sz w:val="24"/>
          <w:shd w:fill="auto" w:val="clear"/>
        </w:rPr>
        <w:t xml:space="preserve"> F:</w:t>
      </w:r>
      <w:r>
        <w:rPr>
          <w:rFonts w:ascii="Calibri" w:hAnsi="Calibri" w:cs="Calibri" w:eastAsia="Calibri"/>
          <w:color w:val="333333"/>
          <w:spacing w:val="0"/>
          <w:position w:val="0"/>
          <w:sz w:val="24"/>
          <w:shd w:fill="auto" w:val="clear"/>
        </w:rPr>
        <w:t xml:space="preserve"> GCGAACGCCAACAGCCGATAAAGC</w:t>
      </w:r>
    </w:p>
    <w:p>
      <w:pPr>
        <w:spacing w:before="0" w:after="0" w:line="240"/>
        <w:ind w:right="0" w:left="1440" w:firstLine="72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aroA</w:t>
      </w:r>
      <w:r>
        <w:rPr>
          <w:rFonts w:ascii="Calibri" w:hAnsi="Calibri" w:cs="Calibri" w:eastAsia="Calibri"/>
          <w:color w:val="auto"/>
          <w:spacing w:val="0"/>
          <w:position w:val="0"/>
          <w:sz w:val="24"/>
          <w:shd w:fill="auto" w:val="clear"/>
        </w:rPr>
        <w:t xml:space="preserve"> R: </w:t>
      </w:r>
      <w:r>
        <w:rPr>
          <w:rFonts w:ascii="Calibri" w:hAnsi="Calibri" w:cs="Calibri" w:eastAsia="Calibri"/>
          <w:color w:val="333333"/>
          <w:spacing w:val="0"/>
          <w:position w:val="0"/>
          <w:sz w:val="24"/>
          <w:shd w:fill="auto" w:val="clear"/>
        </w:rPr>
        <w:t xml:space="preserve">ATCTGGCTCGCGATGCCGGTCC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Incubate the cultures in a shaking incubator at 160 rpm and 37 &amp;#176;C until they reach log phase growth (i.e.,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measurement of 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on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Using the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value obtained when log phase was achieved, calculate the volume of broth required to yield 2.5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colony forming units (CFU) per mL. Pellet the volume of broth calculated in 50 mL tubes at 4,500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Discard the supernatant and resuspend the pellet in one tube using 50 mL of 1x PBS to wash the cells. Centrifuge again at 4,500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 Discard the supernatant and resuspend the pellet in 25 mL of 5% skim milk in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8.9.1. Validation step: Use a sample of the 25 mL resuspension to perform viable plate counts to determine the number of CFU/mL.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 Aliquot the 25 mL skim milk culture resuspension into 2 mL culture stocks in 2 mL cryovials. Flash freeze in liquid nitrogen and store at -80 &amp;#176;C at least overnight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Validation of growth and strain of stocks stored for animal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For each strain to be tested, remove at least 3 cryovials of frozen stocks from -80 &amp;#176;C storage and thaw at 4 &amp;#176;C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If any frozen stock remains, briefly warm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Take small samples from each cryovial to validate each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 Perform viable plate counts to determine the number of CFU/mL. It is normal to have fewer CFU/mL after freezing, due to death of some bacterial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 Use PCR and strain-specific primers to validate each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 Streak each strain onto selective media to verify the phenotype.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After confirming that strains are of the correct genotype and phenotype, and validating CFU/mL, proceed to animal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10. Inoculation of animals with bacterial strains by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 On the morning of injections, remove cryovials of the bacterial strains being tested and thaw at 4 &amp;#176;C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h. Thaw 0.5 mL for each mouse that will be injected. Keep vials on ice after thawing and inject mice within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 After thawing, transfer each cryovial to a new 2 mL tube and centrifuge at 4,500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discard the supernatant, and resuspend the cell pellet in 1 mL of 1x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 Centrifuge again at 4,500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 Discard supernatant and resuspend pellet in 1x PBS to a final concentration 2.5 x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CFU/mL. To determine the amount of 1x PBS needed for resuspension, use the CFU/mL data obtained from viable plate counts on frozen stocks in step 2.2.1. The exact amount of 1x PBS used will vary slightly between strains.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10.3.1. Take 3 samples from final suspension of each strain to validate CFU/mL, genotype, and phenotype as described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10.4. For each strain, aliquot 1.5 mL of PBS/cell suspension into one 2 mL tube per 5 mice to limit the number of times the tube is entered. Also, prepare tubes of 1x PBS for control injections.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10.5. Gather mice (10 male and 10 female C57BL/6 per group for this experiment) and materials needed for injections (syringes, needles, sharps containers, markers, pen and paper, etc</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Move to the sterile animal surgical room. Wipe all surfaces with sanitizing wipes.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10.5.1. To eliminate distress and risk of injury to experimenter, only bring one sex and experimental group of mice to the surgical room at a time (e.g., a group of 10 male mice to be infected with a particular strain). Wear two pairs of latex gloves to eliminate puncture of gloves if bitten. Wear lab coat, safety glasses, and face mask to avoid contamination.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 Begin injections of the control group with 1x PBS. This will ascertain whether any adverse effects result from injection alone.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10.6.1. Remove a mouse from the cage. Only remove one mouse at a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10.6.2. Weigh the mouse and mark its tail with permanent marker to track for weight loss post-injection.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10.6.3. Open a new 1 mL syringe and 27 G needle (use a new syringe and needle for each mouse to eliminate contamination) and inject 200 &amp;#181;L of sterile 1x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10.6.3.1. Grab the mouse behind its ears using the thumb and forefinger. Pinch to create skin fold at nape of neck to hold onto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 tighter fold reduces neck movement and risk of being bitten during injection. Secure tail into the palm using the pinky to hold mouse flat with little movement.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10.6.3.2. Turn the mouse over and insert needle at 30&amp;#176; angle into the peritoneal cavity to the left or right side of midline. Lift the needle slightly once inserted to ensure it was inserted into the intraperitoneal area and not into organs. Slowly inject the PBS and then withdraw the needle.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10.6.3.3. Place the used needle in a designated biohazard sharps container. Do not re-use the syringe or needle. A bolus at the site of injection is typical.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10.6.4. After injection, move mouse to a separate cage.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10.6.5. Repeat the procedure with the next mouse. After all the mice of one cage are injected, return them to their original cage immediately.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10.7. After injecting the control group, begin injecting suspensions of strains to be tested following same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10.7.1. Inject 200 &amp;#181;L of the cell suspension. When beginning with cell suspensions of 2.5 x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CFU/mL, each mouse receives 5 x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CFU.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These concentrations were optimized with preliminary animal research to determine lethal doses of each strain. The dosing may need to be adjusted for other strains/species.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 </w:t>
      </w:r>
      <w:r>
        <w:rPr>
          <w:rFonts w:ascii="Calibri" w:hAnsi="Calibri" w:cs="Calibri" w:eastAsia="Calibri"/>
          <w:color w:val="auto"/>
          <w:spacing w:val="0"/>
          <w:position w:val="0"/>
          <w:sz w:val="24"/>
          <w:shd w:fill="FFFF00" w:val="clear"/>
        </w:rPr>
        <w:t xml:space="preserve">Once all injections are complete, return mice to the housing room to alleviate distress. Clean work area with sanitizing wipes.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10.9. Monitor the animals for mortality following injection by checking cages for dead mice every 3 h for 72 h and every 12 h for 10 days. Record the weight of mice every 12 h to determine weight loss due to illness.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10.10. Record adverse behavior in the hours following injection, such as difference in posture, lack of grooming or burrowing, immobility, or changes in breathing. Mice that decease from injury associated with injection will exhibit adverse behavior and die quickly following injection. On the other hand, mice that decease from infection will not start to exhibit adverse behavior or death until after 18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10.11. Following the 10-day monitoring period, allow the animals remaining to recover fully and become clear of any infection administered during the testing. Euthanize animals following IACUC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Statistical analysis of animal mortality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Perform statistical analysis using graphing software. Any software capable of producing graphs and performing statistical analysis is suitable.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To plot the mortality data, use the X column to represent time (h) and Y column to represent the groups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Represent each mouse or subject in the study using code = 0 (zero) or code = 1, indicating survival or death,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 For each animal that dies, place a 1 in the Y column of that group at the time of death on the X column. If there are multiple deaths at a single time point within a group, a copy of that time point can be placed in the X column. For example, if three subjects within a group die at 3 h, the 3 h time point will appear three times in the X 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 For all surviving animals within a group, place a zero in the Y column at the final time point measured. For example, if four mice survive, place four ending time points in the X column marked with four zeros in the Y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After animal data is entered for all groups, use a survival graph template to produce a survival graph.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 Leave default coding as 0 and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11.4.2. Set the parameters for the graph as percentage.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Once parameters for survival curve are selected, perform statistical analysis using a Mantel-Cox (log rank)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Format Kaplan-Meier plots using statistical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Strains that exhibit mortality rates that are less than or equal to the parent strain and the FDA-approved strain (e.g.,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 may be considered attenuated.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Visualization of the infection with bioluminescence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To visualize the progress of the infection, insert a chromosomal bioluminescent operon (</w:t>
      </w:r>
      <w:r>
        <w:rPr>
          <w:rFonts w:ascii="Calibri" w:hAnsi="Calibri" w:cs="Calibri" w:eastAsia="Calibri"/>
          <w:i/>
          <w:color w:val="auto"/>
          <w:spacing w:val="0"/>
          <w:position w:val="0"/>
          <w:sz w:val="24"/>
          <w:shd w:fill="auto" w:val="clear"/>
        </w:rPr>
        <w:t xml:space="preserve">luxCDABE</w:t>
      </w:r>
      <w:r>
        <w:rPr>
          <w:rFonts w:ascii="Calibri" w:hAnsi="Calibri" w:cs="Calibri" w:eastAsia="Calibri"/>
          <w:color w:val="auto"/>
          <w:spacing w:val="0"/>
          <w:position w:val="0"/>
          <w:sz w:val="24"/>
          <w:shd w:fill="auto" w:val="clear"/>
        </w:rPr>
        <w:t xml:space="preserve">) into the PGN5 and VE2 strain tested. The plasmids and protocol used to label these strains were developed in the Schweizer lab and may not be compatible with all species/strains of bacteria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Importantly, visualization of the infection is optional; thus, genomic insertion of this operon is not necessary to perform the mortality study described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Prepare and validate strains using the method described above. Additionally, check for bioluminescence in labeled strains at each validation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After strains are prepared, inject the animals in groups of 10 with the bioluminescent strains following the steps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w:t>
      </w:r>
      <w:r>
        <w:rPr>
          <w:rFonts w:ascii="Calibri" w:hAnsi="Calibri" w:cs="Calibri" w:eastAsia="Calibri"/>
          <w:color w:val="auto"/>
          <w:spacing w:val="0"/>
          <w:position w:val="0"/>
          <w:sz w:val="24"/>
          <w:shd w:fill="FFFF00" w:val="clear"/>
        </w:rPr>
        <w:t xml:space="preserve">Image the animals every 3 h for 24 h using an animal imaging system capable of bioluminescence.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12.4.1. </w:t>
      </w:r>
      <w:r>
        <w:rPr>
          <w:rFonts w:ascii="Calibri" w:hAnsi="Calibri" w:cs="Calibri" w:eastAsia="Calibri"/>
          <w:color w:val="auto"/>
          <w:spacing w:val="0"/>
          <w:position w:val="0"/>
          <w:sz w:val="24"/>
          <w:shd w:fill="FFFF00" w:val="clear"/>
        </w:rPr>
        <w:t xml:space="preserve">First prepare the imager by setting the camera parameters and heating the stage for the animals. Also set the oxygen flow to 1.5 L per min (or following manufacturer's recommendations).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12.4.2. After the imager and stage are stabilized, place one mouse into the anesthesia chamber immediately following injection and administer 3.5% isoflurane into the chamber with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for about 4 min. The anesthesia methods may vary depending upon the chamber and/or anesthetic agent used; follow the manufacturer's recommendations. Determine proper anesthesia via withdrawal reflex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12.4.3. Move the mouse to the temperature stabilized stage. Position the mouse on its back with arms outstretched and fit the mouse with a nose cone for administration of 2.5% isoflurane throughout the imaging procedure.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12.4.4. Close the door and take bioluminescent images and X-rays of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12.4.5. </w:t>
      </w:r>
      <w:r>
        <w:rPr>
          <w:rFonts w:ascii="Calibri" w:hAnsi="Calibri" w:cs="Calibri" w:eastAsia="Calibri"/>
          <w:color w:val="auto"/>
          <w:spacing w:val="0"/>
          <w:position w:val="0"/>
          <w:sz w:val="24"/>
          <w:shd w:fill="FFFF00" w:val="clear"/>
        </w:rPr>
        <w:t xml:space="preserve">When imaging is complete, return the mouse to its cage and monitor it. The mouse should regain consciousness within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12.4.6. Continue to image mice every 3 h for 24 h, each time using a different mouse from each group. Do not reimage a mouse within 24 h due to the possibility of adverse effects due to re-exposure to anesthesia. A single mouse should only receive one dose of anesthesia every 24-36 h. Clean the imaging platform after each mouse is imaged. Turn off the imager between imaging time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Bioluminescence will fade, regardless of the strain injected. The intensity and longevity of bioluminescence will vary depending on many factors, including the number of bacteria injected, mouse strain, bacterial strain,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targeted genomic deletion can be confirmed using colony PCR with specific primers that amplify the region of interest. Colonies that carry a genomic deletion will yield a shorter PCR band size in comparison to wild-type colonies. A PCR-screen of 10-12 colonies is usually sufficient to detect at least one colony that carries the targeted deletion. If no deletions are detected after multiple rounds of screens, repeat the procedure beginning with the conjugation. If the deletion still fails, the plasmid insert may need to be confirmed through sequencing, redesigned, or the deletion may be lethal. Upon the verification of a gene deletion via PCR, confirm the deletion through sequencing. The resulting strain may be subjected to the procedure repeatedly to generate sequential genomic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mortality associated with intraperitoneal injection of the attenuated strain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PGN5 (+mucE) was 0%, which was equivalent to mortality observed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 On the other hand, intraperitoneal injection of the parent strain (VE2) was fatal to 80% of mice. These results were obtained with extensive steps to validate the strains injected. While the exact cause of death in these mice is unknown, it can at least in part be attributed to the expression of virulence factors in the parent strain that were deleted from the attenuated PGN5 strain. Differences in the infection progression was tracked using bioluminescence-marked parent and attenuated strains. The attenuated strain remained localized at the site of injection until bioluminescence faded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clearance of the infection most likely coincided with the fading of the bioluminescence. Bioluminescence was not detected 24 h after injection and mice lived for weeks following injection until sacrificed, with no adverse effects observed.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Generating gene deletions in </w:t>
      </w:r>
      <w:r>
        <w:rPr>
          <w:rFonts w:ascii="Calibri" w:hAnsi="Calibri" w:cs="Calibri" w:eastAsia="Calibri"/>
          <w:b/>
          <w:i/>
          <w:color w:val="auto"/>
          <w:spacing w:val="0"/>
          <w:position w:val="0"/>
          <w:sz w:val="24"/>
          <w:shd w:fill="auto" w:val="clear"/>
        </w:rPr>
        <w:t xml:space="preserve">P. aeruginosa</w:t>
      </w:r>
      <w:r>
        <w:rPr>
          <w:rFonts w:ascii="Calibri" w:hAnsi="Calibri" w:cs="Calibri" w:eastAsia="Calibri"/>
          <w:b/>
          <w:color w:val="auto"/>
          <w:spacing w:val="0"/>
          <w:position w:val="0"/>
          <w:sz w:val="24"/>
          <w:shd w:fill="auto" w:val="clear"/>
        </w:rPr>
        <w:t xml:space="preserve"> with pEX100T-NotI.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Map of the pEX100T-NotI plasmid.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Generation of a construct composed of regions directly upstream (yellow) and downstream (blue) of the region of interest (ROI), flanked with NotI restriction enzyme recognition sites. First, PCR-amplify upstream and downstream regions independently with specific primers that add 5' NotI digestion sites (e.g., NotI-</w:t>
      </w:r>
      <w:r>
        <w:rPr>
          <w:rFonts w:ascii="Calibri" w:hAnsi="Calibri" w:cs="Calibri" w:eastAsia="Calibri"/>
          <w:i/>
          <w:color w:val="auto"/>
          <w:spacing w:val="0"/>
          <w:position w:val="0"/>
          <w:sz w:val="24"/>
          <w:shd w:fill="auto" w:val="clear"/>
        </w:rPr>
        <w:t xml:space="preserve">aroA</w:t>
      </w:r>
      <w:r>
        <w:rPr>
          <w:rFonts w:ascii="Calibri" w:hAnsi="Calibri" w:cs="Calibri" w:eastAsia="Calibri"/>
          <w:color w:val="auto"/>
          <w:spacing w:val="0"/>
          <w:position w:val="0"/>
          <w:sz w:val="24"/>
          <w:shd w:fill="auto" w:val="clear"/>
        </w:rPr>
        <w:t xml:space="preserve"> F CGCGGCCGCTGAAGGTCCTGGGCTCCTATCCGAAAGCGGTGCTCT and NotI-</w:t>
      </w:r>
      <w:r>
        <w:rPr>
          <w:rFonts w:ascii="Calibri" w:hAnsi="Calibri" w:cs="Calibri" w:eastAsia="Calibri"/>
          <w:i/>
          <w:color w:val="auto"/>
          <w:spacing w:val="0"/>
          <w:position w:val="0"/>
          <w:sz w:val="24"/>
          <w:shd w:fill="auto" w:val="clear"/>
        </w:rPr>
        <w:t xml:space="preserve">aroA</w:t>
      </w:r>
      <w:r>
        <w:rPr>
          <w:rFonts w:ascii="Calibri" w:hAnsi="Calibri" w:cs="Calibri" w:eastAsia="Calibri"/>
          <w:color w:val="auto"/>
          <w:spacing w:val="0"/>
          <w:position w:val="0"/>
          <w:sz w:val="24"/>
          <w:shd w:fill="auto" w:val="clear"/>
        </w:rPr>
        <w:t xml:space="preserve"> R GCGGCCGCAGTTGGGTTGTTCTGCGATGGCGCCAGGCA) and 3' overlapping homologous regions as shown (e.g., </w:t>
      </w:r>
      <w:r>
        <w:rPr>
          <w:rFonts w:ascii="Calibri" w:hAnsi="Calibri" w:cs="Calibri" w:eastAsia="Calibri"/>
          <w:i/>
          <w:color w:val="auto"/>
          <w:spacing w:val="0"/>
          <w:position w:val="0"/>
          <w:sz w:val="24"/>
          <w:shd w:fill="auto" w:val="clear"/>
        </w:rPr>
        <w:t xml:space="preserve">aroA</w:t>
      </w:r>
      <w:r>
        <w:rPr>
          <w:rFonts w:ascii="Calibri" w:hAnsi="Calibri" w:cs="Calibri" w:eastAsia="Calibri"/>
          <w:color w:val="auto"/>
          <w:spacing w:val="0"/>
          <w:position w:val="0"/>
          <w:sz w:val="24"/>
          <w:shd w:fill="auto" w:val="clear"/>
        </w:rPr>
        <w:t xml:space="preserve">-crossover F CTCCAGGCGCTGGGCAAGGTGCTGGCGCATGACTGAGGTCACGCCGGTCGCCGTGGAGAACA and </w:t>
      </w:r>
      <w:r>
        <w:rPr>
          <w:rFonts w:ascii="Calibri" w:hAnsi="Calibri" w:cs="Calibri" w:eastAsia="Calibri"/>
          <w:i/>
          <w:color w:val="auto"/>
          <w:spacing w:val="0"/>
          <w:position w:val="0"/>
          <w:sz w:val="24"/>
          <w:shd w:fill="auto" w:val="clear"/>
        </w:rPr>
        <w:t xml:space="preserve">aroA</w:t>
      </w:r>
      <w:r>
        <w:rPr>
          <w:rFonts w:ascii="Calibri" w:hAnsi="Calibri" w:cs="Calibri" w:eastAsia="Calibri"/>
          <w:color w:val="auto"/>
          <w:spacing w:val="0"/>
          <w:position w:val="0"/>
          <w:sz w:val="24"/>
          <w:shd w:fill="auto" w:val="clear"/>
        </w:rPr>
        <w:t xml:space="preserve">-crossover R TGTTCTCCACGGCGACCGGCGTGACCTCAGTCATGCGCCAGCACCTTGCCCAGCGCCTGGAG. Then, use PCR with</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4"/>
          <w:shd w:fill="auto" w:val="clear"/>
        </w:rPr>
        <w:t xml:space="preserve">NotI-containing primers to join the upstream and downstream products generated in the first PCR reaction.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pEX100T-NotI plasmid, armed and ready. Ligate the NotI-digested cross-over PCR product into the NotI-digested plasmid.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Flow diagram of the process to delete genomic regions from the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chromosome using the pEX100T-NotI plasmid. After the desired deletion has been confirmed and purified, the resultant strain can be taken through the procedure repeatedly to delete other genomic regions from the chromosome. When the desired strain is obtained, sequence the whole genome to confirm deletions and other changes to the chromosome. The pathogenicity of the strain can then be tested in mice using the procedure outlined in Part II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Gel electrophoresis of colony PCR products from a screen for </w:t>
      </w:r>
      <w:r>
        <w:rPr>
          <w:rFonts w:ascii="Calibri" w:hAnsi="Calibri" w:cs="Calibri" w:eastAsia="Calibri"/>
          <w:b/>
          <w:i/>
          <w:color w:val="auto"/>
          <w:spacing w:val="0"/>
          <w:position w:val="0"/>
          <w:sz w:val="24"/>
          <w:shd w:fill="auto" w:val="clear"/>
        </w:rPr>
        <w:t xml:space="preserve">aroA</w:t>
      </w:r>
      <w:r>
        <w:rPr>
          <w:rFonts w:ascii="Calibri" w:hAnsi="Calibri" w:cs="Calibri" w:eastAsia="Calibri"/>
          <w:b/>
          <w:color w:val="auto"/>
          <w:spacing w:val="0"/>
          <w:position w:val="0"/>
          <w:sz w:val="24"/>
          <w:shd w:fill="auto" w:val="clear"/>
        </w:rPr>
        <w:t xml:space="preserve"> deletion to generate the attenuated </w:t>
      </w:r>
      <w:r>
        <w:rPr>
          <w:rFonts w:ascii="Calibri" w:hAnsi="Calibri" w:cs="Calibri" w:eastAsia="Calibri"/>
          <w:b/>
          <w:i/>
          <w:color w:val="auto"/>
          <w:spacing w:val="0"/>
          <w:position w:val="0"/>
          <w:sz w:val="24"/>
          <w:shd w:fill="auto" w:val="clear"/>
        </w:rPr>
        <w:t xml:space="preserve">P. aeruginosa </w:t>
      </w:r>
      <w:r>
        <w:rPr>
          <w:rFonts w:ascii="Calibri" w:hAnsi="Calibri" w:cs="Calibri" w:eastAsia="Calibri"/>
          <w:b/>
          <w:color w:val="auto"/>
          <w:spacing w:val="0"/>
          <w:position w:val="0"/>
          <w:sz w:val="24"/>
          <w:shd w:fill="auto" w:val="clear"/>
        </w:rPr>
        <w:t xml:space="preserve">strain, PGN5.</w:t>
      </w:r>
      <w:r>
        <w:rPr>
          <w:rFonts w:ascii="Calibri" w:hAnsi="Calibri" w:cs="Calibri" w:eastAsia="Calibri"/>
          <w:color w:val="auto"/>
          <w:spacing w:val="0"/>
          <w:position w:val="0"/>
          <w:sz w:val="24"/>
          <w:shd w:fill="auto" w:val="clear"/>
        </w:rPr>
        <w:t xml:space="preserve"> Colony PCR products run in lanes 2-5 and 8-11 indicate colonies with wild-type </w:t>
      </w:r>
      <w:r>
        <w:rPr>
          <w:rFonts w:ascii="Calibri" w:hAnsi="Calibri" w:cs="Calibri" w:eastAsia="Calibri"/>
          <w:i/>
          <w:color w:val="auto"/>
          <w:spacing w:val="0"/>
          <w:position w:val="0"/>
          <w:sz w:val="24"/>
          <w:shd w:fill="auto" w:val="clear"/>
        </w:rPr>
        <w:t xml:space="preserve">aroA</w:t>
      </w:r>
      <w:r>
        <w:rPr>
          <w:rFonts w:ascii="Calibri" w:hAnsi="Calibri" w:cs="Calibri" w:eastAsia="Calibri"/>
          <w:color w:val="auto"/>
          <w:spacing w:val="0"/>
          <w:position w:val="0"/>
          <w:sz w:val="24"/>
          <w:shd w:fill="auto" w:val="clear"/>
        </w:rPr>
        <w:t xml:space="preserve">. Colony PCR products run in lanes 6 and 7 carry the </w:t>
      </w:r>
      <w:r>
        <w:rPr>
          <w:rFonts w:ascii="Calibri" w:hAnsi="Calibri" w:cs="Calibri" w:eastAsia="Calibri"/>
          <w:i/>
          <w:color w:val="auto"/>
          <w:spacing w:val="0"/>
          <w:position w:val="0"/>
          <w:sz w:val="24"/>
          <w:shd w:fill="auto" w:val="clear"/>
        </w:rPr>
        <w:t xml:space="preserve">aroA</w:t>
      </w:r>
      <w:r>
        <w:rPr>
          <w:rFonts w:ascii="Calibri" w:hAnsi="Calibri" w:cs="Calibri" w:eastAsia="Calibri"/>
          <w:color w:val="auto"/>
          <w:spacing w:val="0"/>
          <w:position w:val="0"/>
          <w:sz w:val="24"/>
          <w:shd w:fill="auto" w:val="clear"/>
        </w:rPr>
        <w:t xml:space="preserve"> gene deletion, indicated by the smaller PCR product (yellow asterisks). Primers used specifically amplified the genomic region containing the </w:t>
      </w:r>
      <w:r>
        <w:rPr>
          <w:rFonts w:ascii="Calibri" w:hAnsi="Calibri" w:cs="Calibri" w:eastAsia="Calibri"/>
          <w:i/>
          <w:color w:val="auto"/>
          <w:spacing w:val="0"/>
          <w:position w:val="0"/>
          <w:sz w:val="24"/>
          <w:shd w:fill="auto" w:val="clear"/>
        </w:rPr>
        <w:t xml:space="preserve">aroA</w:t>
      </w:r>
      <w:r>
        <w:rPr>
          <w:rFonts w:ascii="Calibri" w:hAnsi="Calibri" w:cs="Calibri" w:eastAsia="Calibri"/>
          <w:color w:val="auto"/>
          <w:spacing w:val="0"/>
          <w:position w:val="0"/>
          <w:sz w:val="24"/>
          <w:shd w:fill="auto" w:val="clear"/>
        </w:rPr>
        <w:t xml:space="preserve"> gene: </w:t>
      </w:r>
      <w:r>
        <w:rPr>
          <w:rFonts w:ascii="Calibri" w:hAnsi="Calibri" w:cs="Calibri" w:eastAsia="Calibri"/>
          <w:i/>
          <w:color w:val="auto"/>
          <w:spacing w:val="0"/>
          <w:position w:val="0"/>
          <w:sz w:val="24"/>
          <w:shd w:fill="auto" w:val="clear"/>
        </w:rPr>
        <w:t xml:space="preserve">aroA</w:t>
      </w:r>
      <w:r>
        <w:rPr>
          <w:rFonts w:ascii="Calibri" w:hAnsi="Calibri" w:cs="Calibri" w:eastAsia="Calibri"/>
          <w:color w:val="auto"/>
          <w:spacing w:val="0"/>
          <w:position w:val="0"/>
          <w:sz w:val="24"/>
          <w:shd w:fill="auto" w:val="clear"/>
        </w:rPr>
        <w:t xml:space="preserve">-F: GCGAACGCCAACAGCCGATAAAGC, and </w:t>
      </w:r>
      <w:r>
        <w:rPr>
          <w:rFonts w:ascii="Calibri" w:hAnsi="Calibri" w:cs="Calibri" w:eastAsia="Calibri"/>
          <w:i/>
          <w:color w:val="auto"/>
          <w:spacing w:val="0"/>
          <w:position w:val="0"/>
          <w:sz w:val="24"/>
          <w:shd w:fill="auto" w:val="clear"/>
        </w:rPr>
        <w:t xml:space="preserve">aroA</w:t>
      </w:r>
      <w:r>
        <w:rPr>
          <w:rFonts w:ascii="Calibri" w:hAnsi="Calibri" w:cs="Calibri" w:eastAsia="Calibri"/>
          <w:color w:val="auto"/>
          <w:spacing w:val="0"/>
          <w:position w:val="0"/>
          <w:sz w:val="24"/>
          <w:shd w:fill="auto" w:val="clear"/>
        </w:rPr>
        <w:t xml:space="preserve">-R: ATCTGGCTCGCGATGCCGGTCC. Expected PCR product size in wild-type colonies was 2,548 nucleotides (nt). Expected PCR product size in colonies with </w:t>
      </w:r>
      <w:r>
        <w:rPr>
          <w:rFonts w:ascii="Calibri" w:hAnsi="Calibri" w:cs="Calibri" w:eastAsia="Calibri"/>
          <w:i/>
          <w:color w:val="auto"/>
          <w:spacing w:val="0"/>
          <w:position w:val="0"/>
          <w:sz w:val="24"/>
          <w:shd w:fill="auto" w:val="clear"/>
        </w:rPr>
        <w:t xml:space="preserve">aroA</w:t>
      </w:r>
      <w:r>
        <w:rPr>
          <w:rFonts w:ascii="Calibri" w:hAnsi="Calibri" w:cs="Calibri" w:eastAsia="Calibri"/>
          <w:color w:val="auto"/>
          <w:spacing w:val="0"/>
          <w:position w:val="0"/>
          <w:sz w:val="24"/>
          <w:shd w:fill="auto" w:val="clear"/>
        </w:rPr>
        <w:t xml:space="preserve"> deletion was 307 nt. A DNA ladder was run in lanes 1 and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Overall mortality of mice injected with pathogenic </w:t>
      </w:r>
      <w:r>
        <w:rPr>
          <w:rFonts w:ascii="Calibri" w:hAnsi="Calibri" w:cs="Calibri" w:eastAsia="Calibri"/>
          <w:b/>
          <w:i/>
          <w:color w:val="auto"/>
          <w:spacing w:val="0"/>
          <w:position w:val="0"/>
          <w:sz w:val="24"/>
          <w:shd w:fill="auto" w:val="clear"/>
        </w:rPr>
        <w:t xml:space="preserve">P. aeruginosa</w:t>
      </w:r>
      <w:r>
        <w:rPr>
          <w:rFonts w:ascii="Calibri" w:hAnsi="Calibri" w:cs="Calibri" w:eastAsia="Calibri"/>
          <w:b/>
          <w:color w:val="auto"/>
          <w:spacing w:val="0"/>
          <w:position w:val="0"/>
          <w:sz w:val="24"/>
          <w:shd w:fill="auto" w:val="clear"/>
        </w:rPr>
        <w:t xml:space="preserve"> strain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attenuated </w:t>
      </w:r>
      <w:r>
        <w:rPr>
          <w:rFonts w:ascii="Calibri" w:hAnsi="Calibri" w:cs="Calibri" w:eastAsia="Calibri"/>
          <w:b/>
          <w:i/>
          <w:color w:val="auto"/>
          <w:spacing w:val="0"/>
          <w:position w:val="0"/>
          <w:sz w:val="24"/>
          <w:shd w:fill="auto" w:val="clear"/>
        </w:rPr>
        <w:t xml:space="preserve">P. aeruginosa</w:t>
      </w:r>
      <w:r>
        <w:rPr>
          <w:rFonts w:ascii="Calibri" w:hAnsi="Calibri" w:cs="Calibri" w:eastAsia="Calibri"/>
          <w:b/>
          <w:color w:val="auto"/>
          <w:spacing w:val="0"/>
          <w:position w:val="0"/>
          <w:sz w:val="24"/>
          <w:shd w:fill="auto" w:val="clear"/>
        </w:rPr>
        <w:t xml:space="preserve"> strain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PGN5+mucE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and FDA control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strain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BL21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Only mice injected with pathogenic parent strain exhibited mortality at 80%. Attenuated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strain and FDA control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exhibited 0% mortality.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Image of mouse 3 h post-injection of attenuated strain of </w:t>
      </w:r>
      <w:r>
        <w:rPr>
          <w:rFonts w:ascii="Calibri" w:hAnsi="Calibri" w:cs="Calibri" w:eastAsia="Calibri"/>
          <w:b/>
          <w:i/>
          <w:color w:val="auto"/>
          <w:spacing w:val="0"/>
          <w:position w:val="0"/>
          <w:sz w:val="24"/>
          <w:shd w:fill="auto" w:val="clear"/>
        </w:rPr>
        <w:t xml:space="preserve">P. aeruginosa</w:t>
      </w:r>
      <w:r>
        <w:rPr>
          <w:rFonts w:ascii="Calibri" w:hAnsi="Calibri" w:cs="Calibri" w:eastAsia="Calibri"/>
          <w:b/>
          <w:color w:val="auto"/>
          <w:spacing w:val="0"/>
          <w:position w:val="0"/>
          <w:sz w:val="24"/>
          <w:shd w:fill="auto" w:val="clear"/>
        </w:rPr>
        <w:t xml:space="preserve"> PGN5+mucE carrying a bioluminescent marker.</w:t>
      </w:r>
      <w:r>
        <w:rPr>
          <w:rFonts w:ascii="Calibri" w:hAnsi="Calibri" w:cs="Calibri" w:eastAsia="Calibri"/>
          <w:color w:val="auto"/>
          <w:spacing w:val="0"/>
          <w:position w:val="0"/>
          <w:sz w:val="24"/>
          <w:shd w:fill="auto" w:val="clear"/>
        </w:rPr>
        <w:t xml:space="preserve"> The bioluminescent bacteria were detectable until 18-24 h following injection. During this period, the bioluminescence remained at the site of injection indicating the bacteria stayed localized to injection site. This mouse fully recovered with no adverse effects.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pEX100T-Not1 plasmid is an efficient mediator of sequential genomic deletions that are marker-free and in-frame. When engineering bacterial strains for attenuated virulence, deletion of entire gene sequences rather than generating point mutations decreases the likelihood of reversion to a virulent phenotype. Additionally, each pathogenicity gene deletion attenuates the pathogen further, reinforcing the stability of the attenuation.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can also be used to generate genomic modifications other than deletions, such as point mutations and insertions, simply by modifying the design of the plasmid insert. These types of modifications may be more useful than entire gene deletions for engineering bacteria with modified metabolism, for example. Sequential genomic modification has significant potential for generating designer bacterial strains to suit specific purposes in research and industry. Other methods of generating desired marker-free genomic modifications in bacteria have been described</w:t>
      </w:r>
      <w:r>
        <w:rPr>
          <w:rFonts w:ascii="Calibri" w:hAnsi="Calibri" w:cs="Calibri" w:eastAsia="Calibri"/>
          <w:color w:val="auto"/>
          <w:spacing w:val="0"/>
          <w:position w:val="0"/>
          <w:sz w:val="24"/>
          <w:shd w:fill="auto" w:val="clear"/>
          <w:vertAlign w:val="superscript"/>
        </w:rPr>
        <w:t xml:space="preserve">15,16,17,18</w:t>
      </w:r>
      <w:r>
        <w:rPr>
          <w:rFonts w:ascii="Calibri" w:hAnsi="Calibri" w:cs="Calibri" w:eastAsia="Calibri"/>
          <w:color w:val="auto"/>
          <w:spacing w:val="0"/>
          <w:position w:val="0"/>
          <w:sz w:val="24"/>
          <w:shd w:fill="auto" w:val="clear"/>
        </w:rPr>
        <w:t xml:space="preserve">. As with all genome-editing methods, attempted modifications to essential genomic regions may be lethal, and thus unsuccessful. In these cases, identification of different genetic modifications or other candidate genes is required to generate the bacterial strain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numerous replication events and passages of each colony throughout this protocol, unintended changes to the genome will occur to the generated strain. The exact genomic changes can be identified through whole-genome sequencing. However, the impact of these changes is harder to determine. When engineering bacteria for a specific purpose, genomic changes that do not negatively affect the growth of the organism or the targeted pathway(s) are tolerable. Depending on the strain being generated, it may be possible to identify a "readout" to ensure that the strain is still useful for its intended purpose. For example, with PGN5, the goal was to create an attenuated strain that retained the ability to produce large amounts of alginate. After deletion of five pathogenicity genes, the amount and composition of alginate produced by PGN5 was measured and determined to be comparable to other alginate-producing strains. Thus, alginate production was unaffected by the five gene deletions, nor by the unintended genomic changes that occurred during the development of PGN5.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model of intraperitoneal mouse injection was used to determine whether an engineered strain was attenuated compared to the parent strain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 a strain approved by the FDA for production of biopharmaceuticals. The most important steps taken during this animal testing procedure were preparation and validation of frozen bacterial stocks. Preparation and use of frozen bacterial cultures to inject mice is preferable to using continuous culture, as it reduces the number mutations that naturally occur in bacterial populations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Additionally, frozen cultures should remain viable for years. Viable plate counts showed no significant difference between the CFU/mL directly after stocks were prepared and three months after preparation. The use of multiple validation steps throughout this procedure ensured that the method was reproducible, and the results were not skewed by contaminating bacteria. Additionally, with the number of precautionary steps taken to ensure reproducibility, fewer animals were needed. Using a bacterial strain that is FDA-approved for biopharmaceutical production as the control (such as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strain BL21), this method could be used to test the attenuation of other genetically engineered strains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or other species of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bioluminescence as a marker provides additional validation of the bacterial strains injected, as the marker can be visualized at the injection site. Insertion of the bioluminescence marker into the bacterial chromosome is required for bioluminescence imaging but may not be possible if working with incompatible strains/species. However, marking strains with bioluminescence is not required to test for attenuation. The strains tested in this study were marked with bioluminescence, which allowed for visualization of localization differences between strains throughout the course of the infection. We observed that the pathogenic strain disseminated through the body of the mouse, but the non-pathogenic strain remained at the site of injection. While this experiment only tested two very closely related strains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it suggests that bacterial dissemination is linked to virulence, at least in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Thus, this procedure of labeling with bioluminescence to visualize the progression of the infection could be used in the future to quickly evaluate the attenuation of engineered strains of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Institutes of Health (NIH) grants R44GM113545 and P20GM103434.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Hongwei D. Yu is the Chief Science Officer and Co-founder of Progenesis Technologies, LLC.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Gellatly, S. L., Hancock, R. E. Pseudomonas aeruginosa: new insights into pathogenesis and host defenses. </w:t>
      </w:r>
      <w:r>
        <w:rPr>
          <w:rFonts w:ascii="Calibri" w:hAnsi="Calibri" w:cs="Calibri" w:eastAsia="Calibri"/>
          <w:i/>
          <w:color w:val="auto"/>
          <w:spacing w:val="0"/>
          <w:position w:val="0"/>
          <w:sz w:val="24"/>
          <w:shd w:fill="auto" w:val="clear"/>
        </w:rPr>
        <w:t xml:space="preserve">Pathogens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(3), 159-173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Valentine, M.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of a highly attenuated strain of Pseudomonas aeruginosa for commercial production of alginate. </w:t>
      </w:r>
      <w:r>
        <w:rPr>
          <w:rFonts w:ascii="Calibri" w:hAnsi="Calibri" w:cs="Calibri" w:eastAsia="Calibri"/>
          <w:i/>
          <w:color w:val="auto"/>
          <w:spacing w:val="0"/>
          <w:position w:val="0"/>
          <w:sz w:val="24"/>
          <w:shd w:fill="auto" w:val="clear"/>
        </w:rPr>
        <w:t xml:space="preserve">Microbial Biotechnology. </w:t>
      </w:r>
      <w:r>
        <w:rPr>
          <w:rFonts w:ascii="Calibri" w:hAnsi="Calibri" w:cs="Calibri" w:eastAsia="Calibri"/>
          <w:color w:val="auto"/>
          <w:spacing w:val="0"/>
          <w:position w:val="0"/>
          <w:sz w:val="24"/>
          <w:shd w:fill="auto" w:val="clear"/>
        </w:rPr>
        <w:t xml:space="preserve">(2019).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Schweizer, H. P., Hoang, T. T. An improved system for gene replacement and xylE fusion analysis in Pseudomonas aeruginosa.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(1), 15-22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Damron, F. H., Qiu, D., Yu, H. D. The Pseudomonas aeruginosa sensor kinase KinB negatively controls alginate production through AlgW-dependent MucA proteolysis.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(7), 2285-2295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Yu, H., Boucher, J. C., Hibler, N. S., Deretic, V. Virulence properties of Pseudomonas aeruginosa lacking the extreme-stress sigma factor AlgU (sigmaE).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(7), 2774-2781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Baeshen, M.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Production of Biopharmaceuticals in E. coli: Current Scenario and Future Perspectives. </w:t>
      </w:r>
      <w:r>
        <w:rPr>
          <w:rFonts w:ascii="Calibri" w:hAnsi="Calibri" w:cs="Calibri" w:eastAsia="Calibri"/>
          <w:i/>
          <w:color w:val="auto"/>
          <w:spacing w:val="0"/>
          <w:position w:val="0"/>
          <w:sz w:val="24"/>
          <w:shd w:fill="auto" w:val="clear"/>
        </w:rPr>
        <w:t xml:space="preserve">Journal of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 953-962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Marisch, K., Bayer, K., Cserjan-Puschmann, M., Luchner, M., Striedner, G. Evaluation of three industrial Escherichia coli strains in fed-batch cultivations during high-level SOD protein production.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Ferrer-Miralles, N., Domingo-Espin, J., Corchero, J. L., Vazquez, E., Villaverde, A. Microbial factories for recombinant pharmaceuticals.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17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Horton, R. M., Cai, Z. L., Ho, S. N., Pease, L. R. Gene splicing by overlap extension: tailor-made genes using the polymerase chain reaction.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528-535 (1990).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Horton, R. M., Hunt, H. D., Ho, S. N., Pullen, J. K., Pease, L. R. Engineering hybrid genes without the use of restriction enzymes: gene splicing by overlap extension.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61-68, (1989).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Sambrook, J., Fritsch, E. F., Maniatis, T. in </w:t>
      </w:r>
      <w:r>
        <w:rPr>
          <w:rFonts w:ascii="Calibri" w:hAnsi="Calibri" w:cs="Calibri" w:eastAsia="Calibri"/>
          <w:i/>
          <w:color w:val="auto"/>
          <w:spacing w:val="0"/>
          <w:position w:val="0"/>
          <w:sz w:val="24"/>
          <w:shd w:fill="auto" w:val="clear"/>
        </w:rPr>
        <w:t xml:space="preserve">Molecular cloning: a laboratory manual</w:t>
      </w:r>
      <w:r>
        <w:rPr>
          <w:rFonts w:ascii="Calibri" w:hAnsi="Calibri" w:cs="Calibri" w:eastAsia="Calibri"/>
          <w:color w:val="auto"/>
          <w:spacing w:val="0"/>
          <w:position w:val="0"/>
          <w:sz w:val="24"/>
          <w:shd w:fill="auto" w:val="clear"/>
        </w:rPr>
        <w:t xml:space="preserve">  (Cold Spring Harbor Laboratory Press, 1989).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Figurski, D. H., Helinski, D. R. Replication of an origin-containing derivative of plasmid RK2 dependent on a plasmid function provided in trans.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(4), 1648-1652 (1979).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Choi, K. H., Schweizer, H. P. mini-Tn7 insertion in bacteria with single attTn7 sites: example Pseudomonas aeruginosa.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153-161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Choi, K. H., Kumar, A., Schweizer, H. P. A 10-min method for preparation of highly electrocompetent Pseudomonas aeruginosa cells: application for DNA fragment transfer between chromosomes and plasmid transformation. </w:t>
      </w:r>
      <w:r>
        <w:rPr>
          <w:rFonts w:ascii="Calibri" w:hAnsi="Calibri" w:cs="Calibri" w:eastAsia="Calibri"/>
          <w:i/>
          <w:color w:val="auto"/>
          <w:spacing w:val="0"/>
          <w:position w:val="0"/>
          <w:sz w:val="24"/>
          <w:shd w:fill="auto" w:val="clear"/>
        </w:rPr>
        <w:t xml:space="preserve">Journal of Microbiological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 391-397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Liang, R., Liu, J. Scarless and sequential gene modification in Pseudomonas using PCR product flanked by short homology regions. </w:t>
      </w:r>
      <w:r>
        <w:rPr>
          <w:rFonts w:ascii="Calibri" w:hAnsi="Calibri" w:cs="Calibri" w:eastAsia="Calibri"/>
          <w:i/>
          <w:color w:val="auto"/>
          <w:spacing w:val="0"/>
          <w:position w:val="0"/>
          <w:sz w:val="24"/>
          <w:shd w:fill="auto" w:val="clear"/>
        </w:rPr>
        <w:t xml:space="preserve">BMC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209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Martinez-Garcia, E., de Lorenzo, V. Engineering multiple genomic deletions in Gram-negative bacteria: analysis of the multi-resistant antibiotic profile of Pseudomonas putida KT2440. </w:t>
      </w:r>
      <w:r>
        <w:rPr>
          <w:rFonts w:ascii="Calibri" w:hAnsi="Calibri" w:cs="Calibri" w:eastAsia="Calibri"/>
          <w:i/>
          <w:color w:val="auto"/>
          <w:spacing w:val="0"/>
          <w:position w:val="0"/>
          <w:sz w:val="24"/>
          <w:shd w:fill="auto" w:val="clear"/>
        </w:rPr>
        <w:t xml:space="preserve">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2702-2716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Song, C. W., Lee, S. Y. Rapid one-step inactivation of single or multiple genes in Escherichia coli.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776-784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Yan, M.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CRISPR-Cas12a-Assisted Recombineering in Bacteria.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Prakash, O., Nimonkar, Y., Shouche, Y. S. Practice and prospects of microbial preservation.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(1), 1-9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