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9EEA8D6" w14:textId="77777777" w:rsidR="00260252" w:rsidRPr="001F16EC" w:rsidRDefault="00260252" w:rsidP="00F16CB6">
      <w:pPr>
        <w:pStyle w:val="NormaleWeb1"/>
        <w:spacing w:before="0" w:after="0"/>
        <w:outlineLvl w:val="0"/>
        <w:rPr>
          <w:noProof w:val="0"/>
          <w:color w:val="auto"/>
          <w:lang w:val="en-US"/>
        </w:rPr>
      </w:pPr>
      <w:r w:rsidRPr="001F16EC">
        <w:rPr>
          <w:b/>
          <w:bCs/>
          <w:noProof w:val="0"/>
          <w:color w:val="auto"/>
          <w:lang w:val="en-US"/>
        </w:rPr>
        <w:t>TITLE:</w:t>
      </w:r>
    </w:p>
    <w:p w14:paraId="482A5D40" w14:textId="490EC02C" w:rsidR="0069295C" w:rsidRPr="001F16EC" w:rsidRDefault="0069295C" w:rsidP="0069295C">
      <w:pPr>
        <w:rPr>
          <w:noProof w:val="0"/>
          <w:color w:val="auto"/>
          <w:lang w:val="en-US"/>
        </w:rPr>
      </w:pPr>
      <w:proofErr w:type="spellStart"/>
      <w:r w:rsidRPr="001F16EC">
        <w:rPr>
          <w:noProof w:val="0"/>
          <w:color w:val="auto"/>
          <w:lang w:val="en-US"/>
        </w:rPr>
        <w:t>Abbiategrasso</w:t>
      </w:r>
      <w:proofErr w:type="spellEnd"/>
      <w:r w:rsidRPr="001F16EC">
        <w:rPr>
          <w:noProof w:val="0"/>
          <w:color w:val="auto"/>
          <w:lang w:val="en-US"/>
        </w:rPr>
        <w:t xml:space="preserve"> Brain Bank </w:t>
      </w:r>
      <w:r w:rsidR="00B977F5" w:rsidRPr="001F16EC">
        <w:rPr>
          <w:noProof w:val="0"/>
          <w:color w:val="auto"/>
          <w:lang w:val="en-US"/>
        </w:rPr>
        <w:t xml:space="preserve">Protocol for Collecting, Processing </w:t>
      </w:r>
      <w:r w:rsidR="003357C4" w:rsidRPr="001F16EC">
        <w:rPr>
          <w:noProof w:val="0"/>
          <w:color w:val="auto"/>
          <w:lang w:val="en-US"/>
        </w:rPr>
        <w:t>and</w:t>
      </w:r>
      <w:r w:rsidR="00B977F5" w:rsidRPr="001F16EC">
        <w:rPr>
          <w:noProof w:val="0"/>
          <w:color w:val="auto"/>
          <w:lang w:val="en-US"/>
        </w:rPr>
        <w:t xml:space="preserve"> Characterizing Aging Brains</w:t>
      </w:r>
    </w:p>
    <w:p w14:paraId="61C34AFD" w14:textId="77777777" w:rsidR="00A2682E" w:rsidRPr="001F16EC" w:rsidRDefault="00A2682E">
      <w:pPr>
        <w:rPr>
          <w:b/>
          <w:bCs/>
          <w:noProof w:val="0"/>
          <w:color w:val="auto"/>
          <w:lang w:val="en-US"/>
        </w:rPr>
      </w:pPr>
    </w:p>
    <w:p w14:paraId="53FE1243" w14:textId="77777777" w:rsidR="00A2682E" w:rsidRPr="001F16EC" w:rsidRDefault="00A2682E" w:rsidP="00F16CB6">
      <w:pPr>
        <w:outlineLvl w:val="0"/>
        <w:rPr>
          <w:color w:val="auto"/>
        </w:rPr>
      </w:pPr>
      <w:r w:rsidRPr="001F16EC">
        <w:rPr>
          <w:b/>
          <w:color w:val="auto"/>
        </w:rPr>
        <w:t>AUTHORS AND AFFILIATIONS:</w:t>
      </w:r>
    </w:p>
    <w:p w14:paraId="550F7047" w14:textId="0285A9B3" w:rsidR="00A2682E" w:rsidRPr="001F16EC" w:rsidRDefault="00A2682E" w:rsidP="00A2682E">
      <w:pPr>
        <w:rPr>
          <w:color w:val="auto"/>
        </w:rPr>
      </w:pPr>
      <w:r w:rsidRPr="001F16EC">
        <w:rPr>
          <w:color w:val="auto"/>
        </w:rPr>
        <w:t>Tino Emanuele Poloni</w:t>
      </w:r>
      <w:r w:rsidRPr="001F16EC">
        <w:rPr>
          <w:color w:val="auto"/>
          <w:vertAlign w:val="superscript"/>
        </w:rPr>
        <w:t>1,</w:t>
      </w:r>
      <w:r w:rsidR="00F80656" w:rsidRPr="001F16EC">
        <w:rPr>
          <w:color w:val="auto"/>
          <w:vertAlign w:val="superscript"/>
        </w:rPr>
        <w:t>4</w:t>
      </w:r>
      <w:r w:rsidRPr="001F16EC">
        <w:rPr>
          <w:color w:val="auto"/>
        </w:rPr>
        <w:t>*, Valentina Medici</w:t>
      </w:r>
      <w:r w:rsidRPr="001F16EC">
        <w:rPr>
          <w:color w:val="auto"/>
          <w:vertAlign w:val="superscript"/>
        </w:rPr>
        <w:t>1</w:t>
      </w:r>
      <w:r w:rsidRPr="001F16EC">
        <w:rPr>
          <w:color w:val="auto"/>
        </w:rPr>
        <w:t>*, Arenn Faye Carlos</w:t>
      </w:r>
      <w:r w:rsidRPr="001F16EC">
        <w:rPr>
          <w:color w:val="auto"/>
          <w:vertAlign w:val="superscript"/>
        </w:rPr>
        <w:t>1</w:t>
      </w:r>
      <w:r w:rsidRPr="001F16EC">
        <w:rPr>
          <w:color w:val="auto"/>
        </w:rPr>
        <w:t>, Annalisa Davin</w:t>
      </w:r>
      <w:r w:rsidR="00DD1AE3" w:rsidRPr="001F16EC">
        <w:rPr>
          <w:color w:val="auto"/>
          <w:vertAlign w:val="superscript"/>
        </w:rPr>
        <w:t>2</w:t>
      </w:r>
      <w:r w:rsidRPr="001F16EC">
        <w:rPr>
          <w:color w:val="auto"/>
        </w:rPr>
        <w:t>, Arcangelo Ceretti</w:t>
      </w:r>
      <w:r w:rsidRPr="001F16EC">
        <w:rPr>
          <w:color w:val="auto"/>
          <w:vertAlign w:val="superscript"/>
        </w:rPr>
        <w:t>1</w:t>
      </w:r>
      <w:r w:rsidRPr="001F16EC">
        <w:rPr>
          <w:color w:val="auto"/>
        </w:rPr>
        <w:t xml:space="preserve">, </w:t>
      </w:r>
      <w:r w:rsidR="00BF4BD1" w:rsidRPr="00900F5E">
        <w:rPr>
          <w:noProof w:val="0"/>
          <w:color w:val="FF0000"/>
        </w:rPr>
        <w:t>Michela Mangieri</w:t>
      </w:r>
      <w:r w:rsidR="00BF4BD1" w:rsidRPr="00900F5E">
        <w:rPr>
          <w:noProof w:val="0"/>
          <w:color w:val="FF0000"/>
          <w:vertAlign w:val="superscript"/>
        </w:rPr>
        <w:t>1</w:t>
      </w:r>
      <w:bookmarkStart w:id="0" w:name="_Hlk35442907"/>
      <w:r w:rsidR="00BF4BD1">
        <w:rPr>
          <w:noProof w:val="0"/>
          <w:color w:val="FF0000"/>
          <w:vertAlign w:val="superscript"/>
        </w:rPr>
        <w:t>†</w:t>
      </w:r>
      <w:bookmarkEnd w:id="0"/>
      <w:r w:rsidR="00BF4BD1" w:rsidRPr="00900F5E">
        <w:rPr>
          <w:noProof w:val="0"/>
          <w:color w:val="FF0000"/>
        </w:rPr>
        <w:t>,</w:t>
      </w:r>
      <w:r w:rsidR="00BF4BD1" w:rsidRPr="001F16EC">
        <w:rPr>
          <w:color w:val="auto"/>
        </w:rPr>
        <w:t xml:space="preserve"> </w:t>
      </w:r>
      <w:r w:rsidRPr="001F16EC">
        <w:rPr>
          <w:color w:val="auto"/>
        </w:rPr>
        <w:t>Paola Cassini</w:t>
      </w:r>
      <w:r w:rsidRPr="001F16EC">
        <w:rPr>
          <w:color w:val="auto"/>
          <w:vertAlign w:val="superscript"/>
        </w:rPr>
        <w:t>1,</w:t>
      </w:r>
      <w:r w:rsidR="00F80656" w:rsidRPr="001F16EC">
        <w:rPr>
          <w:color w:val="auto"/>
          <w:vertAlign w:val="superscript"/>
        </w:rPr>
        <w:t>4</w:t>
      </w:r>
      <w:r w:rsidRPr="001F16EC">
        <w:rPr>
          <w:color w:val="auto"/>
        </w:rPr>
        <w:t>, Roberta Vaccaro</w:t>
      </w:r>
      <w:r w:rsidR="00F80656" w:rsidRPr="001F16EC">
        <w:rPr>
          <w:color w:val="auto"/>
          <w:vertAlign w:val="superscript"/>
        </w:rPr>
        <w:t>3</w:t>
      </w:r>
      <w:r w:rsidRPr="001F16EC">
        <w:rPr>
          <w:color w:val="auto"/>
        </w:rPr>
        <w:t>, Daniele Zaccaria</w:t>
      </w:r>
      <w:r w:rsidR="00F80656" w:rsidRPr="001F16EC">
        <w:rPr>
          <w:color w:val="auto"/>
          <w:vertAlign w:val="superscript"/>
        </w:rPr>
        <w:t>3</w:t>
      </w:r>
      <w:r w:rsidRPr="001F16EC">
        <w:rPr>
          <w:color w:val="auto"/>
          <w:kern w:val="24"/>
        </w:rPr>
        <w:t>,</w:t>
      </w:r>
      <w:r w:rsidRPr="001F16EC">
        <w:rPr>
          <w:color w:val="auto"/>
          <w:vertAlign w:val="superscript"/>
        </w:rPr>
        <w:t xml:space="preserve"> </w:t>
      </w:r>
      <w:r w:rsidRPr="001F16EC">
        <w:rPr>
          <w:color w:val="auto"/>
        </w:rPr>
        <w:t>Simona Abbondanza</w:t>
      </w:r>
      <w:r w:rsidR="00F80656" w:rsidRPr="001F16EC">
        <w:rPr>
          <w:color w:val="auto"/>
          <w:vertAlign w:val="superscript"/>
        </w:rPr>
        <w:t>3</w:t>
      </w:r>
      <w:r w:rsidRPr="001F16EC">
        <w:rPr>
          <w:color w:val="auto"/>
        </w:rPr>
        <w:t>,</w:t>
      </w:r>
      <w:r w:rsidRPr="001F16EC">
        <w:rPr>
          <w:color w:val="auto"/>
          <w:vertAlign w:val="superscript"/>
        </w:rPr>
        <w:t xml:space="preserve"> </w:t>
      </w:r>
      <w:r w:rsidRPr="001F16EC">
        <w:rPr>
          <w:color w:val="auto"/>
        </w:rPr>
        <w:t>Matteo Bordoni</w:t>
      </w:r>
      <w:r w:rsidR="00F80656" w:rsidRPr="001F16EC">
        <w:rPr>
          <w:color w:val="auto"/>
          <w:vertAlign w:val="superscript"/>
        </w:rPr>
        <w:t>5</w:t>
      </w:r>
      <w:r w:rsidRPr="001F16EC">
        <w:rPr>
          <w:color w:val="auto"/>
          <w:kern w:val="24"/>
        </w:rPr>
        <w:t>, Valentina Fantini</w:t>
      </w:r>
      <w:r w:rsidR="00F80656" w:rsidRPr="001F16EC">
        <w:rPr>
          <w:color w:val="auto"/>
          <w:kern w:val="24"/>
          <w:vertAlign w:val="superscript"/>
        </w:rPr>
        <w:t>2</w:t>
      </w:r>
      <w:r w:rsidRPr="001F16EC">
        <w:rPr>
          <w:color w:val="auto"/>
          <w:kern w:val="24"/>
          <w:vertAlign w:val="superscript"/>
        </w:rPr>
        <w:t>,</w:t>
      </w:r>
      <w:r w:rsidR="00F80656" w:rsidRPr="001F16EC">
        <w:rPr>
          <w:color w:val="auto"/>
          <w:vertAlign w:val="superscript"/>
        </w:rPr>
        <w:t>6</w:t>
      </w:r>
      <w:r w:rsidRPr="001F16EC">
        <w:rPr>
          <w:color w:val="auto"/>
          <w:kern w:val="24"/>
        </w:rPr>
        <w:t xml:space="preserve">, </w:t>
      </w:r>
      <w:r w:rsidRPr="001F16EC">
        <w:rPr>
          <w:color w:val="auto"/>
        </w:rPr>
        <w:t>Elena Fogato</w:t>
      </w:r>
      <w:r w:rsidR="00F80656" w:rsidRPr="001F16EC">
        <w:rPr>
          <w:color w:val="auto"/>
          <w:vertAlign w:val="superscript"/>
        </w:rPr>
        <w:t>7</w:t>
      </w:r>
      <w:r w:rsidRPr="001F16EC">
        <w:rPr>
          <w:color w:val="auto"/>
        </w:rPr>
        <w:t>,</w:t>
      </w:r>
      <w:r w:rsidR="00900F5E" w:rsidRPr="00900F5E">
        <w:rPr>
          <w:noProof w:val="0"/>
          <w:color w:val="FF0000"/>
        </w:rPr>
        <w:t xml:space="preserve"> </w:t>
      </w:r>
      <w:r w:rsidRPr="001F16EC">
        <w:rPr>
          <w:color w:val="auto"/>
          <w:kern w:val="24"/>
        </w:rPr>
        <w:t>Cristina Cereda</w:t>
      </w:r>
      <w:r w:rsidR="00F80656" w:rsidRPr="001F16EC">
        <w:rPr>
          <w:color w:val="auto"/>
          <w:vertAlign w:val="superscript"/>
        </w:rPr>
        <w:t>5</w:t>
      </w:r>
      <w:r w:rsidRPr="001F16EC">
        <w:rPr>
          <w:color w:val="auto"/>
          <w:kern w:val="24"/>
        </w:rPr>
        <w:t>,</w:t>
      </w:r>
      <w:r w:rsidRPr="001F16EC">
        <w:rPr>
          <w:color w:val="auto"/>
        </w:rPr>
        <w:t xml:space="preserve"> Mauro Ceroni</w:t>
      </w:r>
      <w:r w:rsidR="00F80656" w:rsidRPr="001F16EC">
        <w:rPr>
          <w:color w:val="auto"/>
          <w:vertAlign w:val="superscript"/>
        </w:rPr>
        <w:t>8</w:t>
      </w:r>
      <w:r w:rsidRPr="001F16EC">
        <w:rPr>
          <w:color w:val="auto"/>
          <w:vertAlign w:val="superscript"/>
        </w:rPr>
        <w:t xml:space="preserve"> </w:t>
      </w:r>
      <w:r w:rsidRPr="001F16EC">
        <w:rPr>
          <w:color w:val="auto"/>
        </w:rPr>
        <w:t>and Antonio Guaita</w:t>
      </w:r>
      <w:r w:rsidRPr="001F16EC">
        <w:rPr>
          <w:color w:val="auto"/>
          <w:vertAlign w:val="superscript"/>
        </w:rPr>
        <w:t>1</w:t>
      </w:r>
      <w:r w:rsidR="00F80656" w:rsidRPr="001F16EC">
        <w:rPr>
          <w:color w:val="auto"/>
          <w:vertAlign w:val="superscript"/>
        </w:rPr>
        <w:t>,2,3</w:t>
      </w:r>
    </w:p>
    <w:p w14:paraId="4C5328C3" w14:textId="77777777" w:rsidR="00A2682E" w:rsidRPr="001F16EC" w:rsidRDefault="00A2682E" w:rsidP="00A2682E">
      <w:pPr>
        <w:rPr>
          <w:color w:val="auto"/>
          <w:vertAlign w:val="superscript"/>
        </w:rPr>
      </w:pPr>
    </w:p>
    <w:p w14:paraId="2D4F99EE" w14:textId="1653C2BB" w:rsidR="00A2682E" w:rsidRPr="001F16EC" w:rsidRDefault="00A2682E" w:rsidP="00A2682E">
      <w:pPr>
        <w:rPr>
          <w:bCs/>
          <w:noProof w:val="0"/>
          <w:color w:val="auto"/>
          <w:lang w:val="en-US"/>
        </w:rPr>
      </w:pPr>
      <w:r w:rsidRPr="001F16EC">
        <w:rPr>
          <w:bCs/>
          <w:noProof w:val="0"/>
          <w:color w:val="auto"/>
          <w:vertAlign w:val="superscript"/>
          <w:lang w:val="en-US"/>
        </w:rPr>
        <w:t>1</w:t>
      </w:r>
      <w:r w:rsidRPr="001F16EC">
        <w:rPr>
          <w:bCs/>
          <w:noProof w:val="0"/>
          <w:color w:val="auto"/>
          <w:lang w:val="en-US"/>
        </w:rPr>
        <w:t xml:space="preserve">Department of Neurology and Neuropathology;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52389805" w14:textId="58FC8FAB" w:rsidR="00DD1AE3" w:rsidRPr="001F16EC" w:rsidRDefault="00DD1AE3" w:rsidP="00DD1AE3">
      <w:pPr>
        <w:rPr>
          <w:bCs/>
          <w:noProof w:val="0"/>
          <w:color w:val="auto"/>
          <w:lang w:val="en-US"/>
        </w:rPr>
      </w:pPr>
      <w:r w:rsidRPr="001F16EC">
        <w:rPr>
          <w:bCs/>
          <w:noProof w:val="0"/>
          <w:color w:val="auto"/>
          <w:vertAlign w:val="superscript"/>
          <w:lang w:val="en-US"/>
        </w:rPr>
        <w:t>2</w:t>
      </w:r>
      <w:r w:rsidR="00F80656" w:rsidRPr="001F16EC">
        <w:rPr>
          <w:bCs/>
          <w:noProof w:val="0"/>
          <w:color w:val="auto"/>
          <w:lang w:val="en-US"/>
        </w:rPr>
        <w:t>Laboratory</w:t>
      </w:r>
      <w:r w:rsidRPr="001F16EC">
        <w:rPr>
          <w:bCs/>
          <w:noProof w:val="0"/>
          <w:color w:val="auto"/>
          <w:lang w:val="en-US"/>
        </w:rPr>
        <w:t xml:space="preserve"> of Neurobiology and Neurogenetic;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7A2C8A82" w14:textId="71A77D9A" w:rsidR="00F80656" w:rsidRPr="001F16EC" w:rsidRDefault="00F80656" w:rsidP="00F80656">
      <w:pPr>
        <w:rPr>
          <w:bCs/>
          <w:noProof w:val="0"/>
          <w:color w:val="auto"/>
          <w:lang w:val="en-US"/>
        </w:rPr>
      </w:pPr>
      <w:r w:rsidRPr="001F16EC">
        <w:rPr>
          <w:bCs/>
          <w:noProof w:val="0"/>
          <w:color w:val="auto"/>
          <w:vertAlign w:val="superscript"/>
          <w:lang w:val="en-US"/>
        </w:rPr>
        <w:t>3</w:t>
      </w:r>
      <w:r w:rsidRPr="001F16EC">
        <w:rPr>
          <w:bCs/>
          <w:noProof w:val="0"/>
          <w:color w:val="auto"/>
          <w:lang w:val="en-US"/>
        </w:rPr>
        <w:t xml:space="preserve">Department of Neuropsychology and Social Sciences; Golgi-Cenci Foundation, </w:t>
      </w:r>
      <w:proofErr w:type="spellStart"/>
      <w:r w:rsidRPr="001F16EC">
        <w:rPr>
          <w:bCs/>
          <w:noProof w:val="0"/>
          <w:color w:val="auto"/>
          <w:lang w:val="en-US"/>
        </w:rPr>
        <w:t>Abbiategrasso</w:t>
      </w:r>
      <w:proofErr w:type="spellEnd"/>
      <w:r w:rsidRPr="001F16EC">
        <w:rPr>
          <w:bCs/>
          <w:noProof w:val="0"/>
          <w:color w:val="auto"/>
          <w:lang w:val="en-US"/>
        </w:rPr>
        <w:t>, Italy</w:t>
      </w:r>
    </w:p>
    <w:p w14:paraId="61D1182D" w14:textId="39A09658" w:rsidR="00A2682E" w:rsidRPr="001F16EC" w:rsidRDefault="00F80656" w:rsidP="00A2682E">
      <w:pPr>
        <w:rPr>
          <w:noProof w:val="0"/>
          <w:color w:val="auto"/>
          <w:lang w:val="en-US"/>
        </w:rPr>
      </w:pPr>
      <w:r w:rsidRPr="001F16EC">
        <w:rPr>
          <w:bCs/>
          <w:noProof w:val="0"/>
          <w:color w:val="auto"/>
          <w:vertAlign w:val="superscript"/>
          <w:lang w:val="en-US"/>
        </w:rPr>
        <w:t>4</w:t>
      </w:r>
      <w:r w:rsidR="00A2682E" w:rsidRPr="001F16EC">
        <w:rPr>
          <w:bCs/>
          <w:noProof w:val="0"/>
          <w:color w:val="auto"/>
          <w:lang w:val="en-US"/>
        </w:rPr>
        <w:t>Department of Rehabilitation;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2D995296" w14:textId="2F21787A" w:rsidR="00A2682E" w:rsidRPr="001F16EC" w:rsidRDefault="00F80656" w:rsidP="00F16CB6">
      <w:pPr>
        <w:outlineLvl w:val="0"/>
        <w:rPr>
          <w:bCs/>
          <w:noProof w:val="0"/>
          <w:color w:val="auto"/>
          <w:lang w:val="en-US"/>
        </w:rPr>
      </w:pPr>
      <w:r w:rsidRPr="001F16EC">
        <w:rPr>
          <w:bCs/>
          <w:noProof w:val="0"/>
          <w:color w:val="auto"/>
          <w:vertAlign w:val="superscript"/>
          <w:lang w:val="en-US"/>
        </w:rPr>
        <w:t>5</w:t>
      </w:r>
      <w:r w:rsidR="00A2682E" w:rsidRPr="001F16EC">
        <w:rPr>
          <w:bCs/>
          <w:noProof w:val="0"/>
          <w:color w:val="auto"/>
          <w:lang w:val="en-US"/>
        </w:rPr>
        <w:t>Genomic and Post-Genomic Center, IRCCS Mondino Foundation, Pavia, Italy</w:t>
      </w:r>
    </w:p>
    <w:p w14:paraId="6E020EF8" w14:textId="1FF0413B" w:rsidR="00A2682E" w:rsidRPr="001F16EC" w:rsidRDefault="00F80656" w:rsidP="00A2682E">
      <w:pPr>
        <w:rPr>
          <w:bCs/>
          <w:noProof w:val="0"/>
          <w:color w:val="auto"/>
          <w:lang w:val="en-US"/>
        </w:rPr>
      </w:pPr>
      <w:r w:rsidRPr="001F16EC">
        <w:rPr>
          <w:bCs/>
          <w:noProof w:val="0"/>
          <w:color w:val="auto"/>
          <w:vertAlign w:val="superscript"/>
          <w:lang w:val="en-US"/>
        </w:rPr>
        <w:t>6</w:t>
      </w:r>
      <w:r w:rsidR="00A2682E" w:rsidRPr="001F16EC">
        <w:rPr>
          <w:bCs/>
          <w:noProof w:val="0"/>
          <w:color w:val="auto"/>
          <w:lang w:val="en-US"/>
        </w:rPr>
        <w:t>Department of Brain and Behavioral Sciences; University of Pavia, Pavia, Italy</w:t>
      </w:r>
    </w:p>
    <w:p w14:paraId="60052F10" w14:textId="2D48DD3D" w:rsidR="00A2682E" w:rsidRPr="001F16EC" w:rsidRDefault="00F80656" w:rsidP="00F16CB6">
      <w:pPr>
        <w:outlineLvl w:val="0"/>
        <w:rPr>
          <w:noProof w:val="0"/>
          <w:color w:val="auto"/>
          <w:lang w:val="en-US"/>
        </w:rPr>
      </w:pPr>
      <w:r w:rsidRPr="001F16EC">
        <w:rPr>
          <w:bCs/>
          <w:noProof w:val="0"/>
          <w:color w:val="auto"/>
          <w:vertAlign w:val="superscript"/>
          <w:lang w:val="en-US"/>
        </w:rPr>
        <w:t>7</w:t>
      </w:r>
      <w:r w:rsidR="00A2682E" w:rsidRPr="001F16EC">
        <w:rPr>
          <w:bCs/>
          <w:noProof w:val="0"/>
          <w:color w:val="auto"/>
          <w:lang w:val="en-US"/>
        </w:rPr>
        <w:t>Department of Pathology; ASP Golgi-</w:t>
      </w:r>
      <w:proofErr w:type="spellStart"/>
      <w:r w:rsidR="00A2682E" w:rsidRPr="001F16EC">
        <w:rPr>
          <w:bCs/>
          <w:noProof w:val="0"/>
          <w:color w:val="auto"/>
          <w:lang w:val="en-US"/>
        </w:rPr>
        <w:t>Redaelli</w:t>
      </w:r>
      <w:proofErr w:type="spellEnd"/>
      <w:r w:rsidR="00A2682E" w:rsidRPr="001F16EC">
        <w:rPr>
          <w:bCs/>
          <w:noProof w:val="0"/>
          <w:color w:val="auto"/>
          <w:lang w:val="en-US"/>
        </w:rPr>
        <w:t xml:space="preserve"> Geriatric Hospital, Milan, Italy</w:t>
      </w:r>
    </w:p>
    <w:p w14:paraId="4F1FBC65" w14:textId="503D06C1" w:rsidR="008100FF" w:rsidRPr="001F16EC" w:rsidRDefault="00F80656" w:rsidP="00A2682E">
      <w:pPr>
        <w:rPr>
          <w:noProof w:val="0"/>
          <w:color w:val="auto"/>
          <w:lang w:val="en-US"/>
        </w:rPr>
      </w:pPr>
      <w:r w:rsidRPr="001F16EC">
        <w:rPr>
          <w:bCs/>
          <w:noProof w:val="0"/>
          <w:color w:val="auto"/>
          <w:vertAlign w:val="superscript"/>
          <w:lang w:val="en-US"/>
        </w:rPr>
        <w:t>8</w:t>
      </w:r>
      <w:r w:rsidR="00A2682E" w:rsidRPr="001F16EC">
        <w:rPr>
          <w:bCs/>
          <w:noProof w:val="0"/>
          <w:color w:val="auto"/>
          <w:lang w:val="en-US"/>
        </w:rPr>
        <w:t>Department of Neurological Science; IRCCS Mondino Foundation; University of Pavia, Pavia, Italy</w:t>
      </w:r>
    </w:p>
    <w:p w14:paraId="17DBE620" w14:textId="3E27B79F" w:rsidR="00A2682E" w:rsidRPr="001F16EC" w:rsidRDefault="00A2682E" w:rsidP="00A2682E">
      <w:pPr>
        <w:rPr>
          <w:noProof w:val="0"/>
          <w:color w:val="auto"/>
          <w:lang w:val="en-US"/>
        </w:rPr>
      </w:pPr>
      <w:r w:rsidRPr="001F16EC">
        <w:rPr>
          <w:bCs/>
          <w:noProof w:val="0"/>
          <w:color w:val="auto"/>
          <w:lang w:val="en-US"/>
        </w:rPr>
        <w:t>*These authors contributed equally and are listed in order of age.</w:t>
      </w:r>
    </w:p>
    <w:p w14:paraId="5B3B2963" w14:textId="5A5E03B0" w:rsidR="008100FF" w:rsidRPr="00D33E0C" w:rsidRDefault="00D33E0C" w:rsidP="00A2682E">
      <w:pPr>
        <w:rPr>
          <w:noProof w:val="0"/>
          <w:color w:val="FF0000"/>
          <w:lang w:val="en-US"/>
        </w:rPr>
      </w:pPr>
      <w:r w:rsidRPr="00D33E0C">
        <w:rPr>
          <w:noProof w:val="0"/>
          <w:color w:val="FF0000"/>
          <w:lang w:val="en-US"/>
        </w:rPr>
        <w:t>† Deceased 19 September 2016</w:t>
      </w:r>
    </w:p>
    <w:p w14:paraId="63C05ABD" w14:textId="77777777" w:rsidR="00D33E0C" w:rsidRPr="00063CE2" w:rsidRDefault="00D33E0C" w:rsidP="00A2682E">
      <w:pPr>
        <w:rPr>
          <w:noProof w:val="0"/>
          <w:color w:val="000000" w:themeColor="text1"/>
          <w:lang w:val="en-US"/>
        </w:rPr>
      </w:pPr>
    </w:p>
    <w:p w14:paraId="6A181916" w14:textId="77777777" w:rsidR="00A2682E" w:rsidRPr="00063CE2" w:rsidRDefault="00A2682E" w:rsidP="00702561">
      <w:pPr>
        <w:rPr>
          <w:b/>
          <w:noProof w:val="0"/>
          <w:color w:val="000000" w:themeColor="text1"/>
          <w:lang w:val="en-US"/>
        </w:rPr>
      </w:pPr>
      <w:r w:rsidRPr="00063CE2">
        <w:rPr>
          <w:b/>
          <w:noProof w:val="0"/>
          <w:color w:val="000000" w:themeColor="text1"/>
          <w:lang w:val="en-US"/>
        </w:rPr>
        <w:t>Email addresses of co-authors:</w:t>
      </w:r>
    </w:p>
    <w:p w14:paraId="39875B6D" w14:textId="77777777" w:rsidR="00A2682E" w:rsidRPr="00063CE2" w:rsidRDefault="00A2682E" w:rsidP="00702561">
      <w:pPr>
        <w:pStyle w:val="NormaleWeb1"/>
        <w:spacing w:before="0" w:after="0"/>
        <w:rPr>
          <w:color w:val="000000" w:themeColor="text1"/>
        </w:rPr>
      </w:pPr>
      <w:r w:rsidRPr="00063CE2">
        <w:rPr>
          <w:color w:val="000000" w:themeColor="text1"/>
        </w:rPr>
        <w:t>Valentina Medici</w:t>
      </w:r>
      <w:r w:rsidRPr="00063CE2">
        <w:rPr>
          <w:color w:val="000000" w:themeColor="text1"/>
        </w:rPr>
        <w:tab/>
      </w:r>
      <w:r w:rsidRPr="00063CE2">
        <w:rPr>
          <w:color w:val="000000" w:themeColor="text1"/>
        </w:rPr>
        <w:tab/>
        <w:t>(</w:t>
      </w:r>
      <w:hyperlink r:id="rId8" w:history="1">
        <w:r w:rsidRPr="00063CE2">
          <w:rPr>
            <w:rStyle w:val="Collegamentoipertestuale"/>
            <w:color w:val="000000" w:themeColor="text1"/>
          </w:rPr>
          <w:t>v.medici@golgicenci.it</w:t>
        </w:r>
      </w:hyperlink>
      <w:r w:rsidRPr="00063CE2">
        <w:rPr>
          <w:color w:val="000000" w:themeColor="text1"/>
        </w:rPr>
        <w:t>)</w:t>
      </w:r>
    </w:p>
    <w:p w14:paraId="0A2F8CA5" w14:textId="09ED07E0" w:rsidR="00A42C96" w:rsidRPr="00063CE2" w:rsidRDefault="00A42C96" w:rsidP="00702561">
      <w:pPr>
        <w:rPr>
          <w:rFonts w:cs="Arial"/>
          <w:bCs/>
          <w:noProof w:val="0"/>
          <w:color w:val="000000" w:themeColor="text1"/>
          <w:lang w:val="en-US"/>
        </w:rPr>
      </w:pPr>
      <w:proofErr w:type="spellStart"/>
      <w:r w:rsidRPr="00063CE2">
        <w:rPr>
          <w:rFonts w:cs="Arial"/>
          <w:bCs/>
          <w:noProof w:val="0"/>
          <w:color w:val="000000" w:themeColor="text1"/>
          <w:lang w:val="en-US"/>
        </w:rPr>
        <w:t>Arenn</w:t>
      </w:r>
      <w:proofErr w:type="spellEnd"/>
      <w:r w:rsidRPr="00063CE2">
        <w:rPr>
          <w:rFonts w:cs="Arial"/>
          <w:bCs/>
          <w:noProof w:val="0"/>
          <w:color w:val="000000" w:themeColor="text1"/>
          <w:lang w:val="en-US"/>
        </w:rPr>
        <w:t xml:space="preserve"> Faye Carlos</w:t>
      </w:r>
      <w:r w:rsidR="00077D8E" w:rsidRPr="00063CE2">
        <w:rPr>
          <w:rFonts w:cs="Arial"/>
          <w:bCs/>
          <w:noProof w:val="0"/>
          <w:color w:val="000000" w:themeColor="text1"/>
          <w:lang w:val="en-US"/>
        </w:rPr>
        <w:tab/>
      </w:r>
      <w:r w:rsidR="00077D8E" w:rsidRPr="00063CE2">
        <w:rPr>
          <w:rFonts w:cs="Arial"/>
          <w:bCs/>
          <w:noProof w:val="0"/>
          <w:color w:val="000000" w:themeColor="text1"/>
          <w:lang w:val="en-US"/>
        </w:rPr>
        <w:tab/>
      </w:r>
      <w:r w:rsidR="00AA45DE" w:rsidRPr="00063CE2">
        <w:rPr>
          <w:bCs/>
          <w:noProof w:val="0"/>
          <w:color w:val="000000" w:themeColor="text1"/>
          <w:lang w:val="en-US"/>
        </w:rPr>
        <w:t>(</w:t>
      </w:r>
      <w:hyperlink r:id="rId9" w:history="1">
        <w:r w:rsidR="002D4CAC" w:rsidRPr="00063CE2">
          <w:rPr>
            <w:rStyle w:val="Collegamentoipertestuale"/>
            <w:bCs/>
            <w:noProof w:val="0"/>
            <w:color w:val="000000" w:themeColor="text1"/>
            <w:lang w:val="en-US"/>
          </w:rPr>
          <w:t>arennfaye.carlos01@universitadipavia.it</w:t>
        </w:r>
      </w:hyperlink>
      <w:r w:rsidR="00AA45DE" w:rsidRPr="00063CE2">
        <w:rPr>
          <w:bCs/>
          <w:noProof w:val="0"/>
          <w:color w:val="000000" w:themeColor="text1"/>
          <w:lang w:val="en-US"/>
        </w:rPr>
        <w:t>)</w:t>
      </w:r>
      <w:r w:rsidR="00AA45DE" w:rsidRPr="00063CE2" w:rsidDel="00AA45DE">
        <w:rPr>
          <w:rFonts w:cs="Arial"/>
          <w:bCs/>
          <w:noProof w:val="0"/>
          <w:color w:val="000000" w:themeColor="text1"/>
          <w:lang w:val="en-US"/>
        </w:rPr>
        <w:t xml:space="preserve"> </w:t>
      </w:r>
    </w:p>
    <w:p w14:paraId="3B2AABEF" w14:textId="7ECB1CB3" w:rsidR="00A42C96" w:rsidRPr="00063CE2" w:rsidRDefault="00A42C96" w:rsidP="00702561">
      <w:pPr>
        <w:rPr>
          <w:color w:val="000000" w:themeColor="text1"/>
        </w:rPr>
      </w:pPr>
      <w:r w:rsidRPr="00063CE2">
        <w:rPr>
          <w:color w:val="000000" w:themeColor="text1"/>
        </w:rPr>
        <w:t>Annalisa Davin</w:t>
      </w:r>
      <w:r w:rsidRPr="00063CE2">
        <w:rPr>
          <w:color w:val="000000" w:themeColor="text1"/>
        </w:rPr>
        <w:tab/>
      </w:r>
      <w:r w:rsidRPr="00063CE2">
        <w:rPr>
          <w:color w:val="000000" w:themeColor="text1"/>
        </w:rPr>
        <w:tab/>
      </w:r>
      <w:r w:rsidRPr="00063CE2">
        <w:rPr>
          <w:color w:val="000000" w:themeColor="text1"/>
        </w:rPr>
        <w:tab/>
        <w:t>(</w:t>
      </w:r>
      <w:hyperlink r:id="rId10" w:history="1">
        <w:r w:rsidRPr="00063CE2">
          <w:rPr>
            <w:rStyle w:val="Collegamentoipertestuale"/>
            <w:color w:val="000000" w:themeColor="text1"/>
          </w:rPr>
          <w:t>a.davin@golgicenci.it</w:t>
        </w:r>
      </w:hyperlink>
      <w:r w:rsidRPr="00063CE2">
        <w:rPr>
          <w:color w:val="000000" w:themeColor="text1"/>
        </w:rPr>
        <w:t>)</w:t>
      </w:r>
    </w:p>
    <w:p w14:paraId="75AF4656" w14:textId="73807005" w:rsidR="00A42C96" w:rsidRPr="00063CE2" w:rsidRDefault="00A42C96" w:rsidP="00702561">
      <w:pPr>
        <w:rPr>
          <w:color w:val="000000" w:themeColor="text1"/>
        </w:rPr>
      </w:pPr>
      <w:r w:rsidRPr="00063CE2">
        <w:rPr>
          <w:color w:val="000000" w:themeColor="text1"/>
        </w:rPr>
        <w:t xml:space="preserve">Arcangelo Ceretti </w:t>
      </w:r>
      <w:r w:rsidRPr="00063CE2">
        <w:rPr>
          <w:color w:val="000000" w:themeColor="text1"/>
        </w:rPr>
        <w:tab/>
      </w:r>
      <w:r w:rsidRPr="00063CE2">
        <w:rPr>
          <w:color w:val="000000" w:themeColor="text1"/>
        </w:rPr>
        <w:tab/>
        <w:t>(</w:t>
      </w:r>
      <w:hyperlink r:id="rId11" w:history="1">
        <w:r w:rsidRPr="00063CE2">
          <w:rPr>
            <w:rStyle w:val="Collegamentoipertestuale"/>
            <w:color w:val="000000" w:themeColor="text1"/>
          </w:rPr>
          <w:t>a.ceretti@golgicenci.it</w:t>
        </w:r>
      </w:hyperlink>
      <w:r w:rsidRPr="00063CE2">
        <w:rPr>
          <w:color w:val="000000" w:themeColor="text1"/>
        </w:rPr>
        <w:t>)</w:t>
      </w:r>
    </w:p>
    <w:p w14:paraId="283B4BE0" w14:textId="16B5537C" w:rsidR="00A42C96" w:rsidRPr="00063CE2" w:rsidRDefault="00A42C96" w:rsidP="00702561">
      <w:pPr>
        <w:rPr>
          <w:color w:val="000000" w:themeColor="text1"/>
        </w:rPr>
      </w:pPr>
      <w:r w:rsidRPr="00063CE2">
        <w:rPr>
          <w:color w:val="000000" w:themeColor="text1"/>
        </w:rPr>
        <w:t xml:space="preserve">Paola Cassini </w:t>
      </w:r>
      <w:r w:rsidRPr="00063CE2">
        <w:rPr>
          <w:color w:val="000000" w:themeColor="text1"/>
        </w:rPr>
        <w:tab/>
      </w:r>
      <w:r w:rsidRPr="00063CE2">
        <w:rPr>
          <w:color w:val="000000" w:themeColor="text1"/>
        </w:rPr>
        <w:tab/>
      </w:r>
      <w:r w:rsidRPr="00063CE2">
        <w:rPr>
          <w:color w:val="000000" w:themeColor="text1"/>
        </w:rPr>
        <w:tab/>
        <w:t>(</w:t>
      </w:r>
      <w:hyperlink r:id="rId12" w:history="1">
        <w:r w:rsidRPr="00063CE2">
          <w:rPr>
            <w:rStyle w:val="Collegamentoipertestuale"/>
            <w:color w:val="000000" w:themeColor="text1"/>
          </w:rPr>
          <w:t>pla.cassini@gmail.com</w:t>
        </w:r>
      </w:hyperlink>
      <w:r w:rsidRPr="00063CE2">
        <w:rPr>
          <w:color w:val="000000" w:themeColor="text1"/>
        </w:rPr>
        <w:t>)</w:t>
      </w:r>
    </w:p>
    <w:p w14:paraId="356E350A" w14:textId="27F0F06C" w:rsidR="00A42C96" w:rsidRPr="00063CE2" w:rsidRDefault="00A42C96" w:rsidP="00702561">
      <w:pPr>
        <w:rPr>
          <w:color w:val="000000" w:themeColor="text1"/>
        </w:rPr>
      </w:pPr>
      <w:r w:rsidRPr="00063CE2">
        <w:rPr>
          <w:color w:val="000000" w:themeColor="text1"/>
        </w:rPr>
        <w:t>Roberta Vaccaro</w:t>
      </w:r>
      <w:r w:rsidRPr="00063CE2">
        <w:rPr>
          <w:color w:val="000000" w:themeColor="text1"/>
        </w:rPr>
        <w:tab/>
      </w:r>
      <w:r w:rsidRPr="00063CE2">
        <w:rPr>
          <w:color w:val="000000" w:themeColor="text1"/>
        </w:rPr>
        <w:tab/>
        <w:t>(</w:t>
      </w:r>
      <w:hyperlink r:id="rId13" w:history="1">
        <w:r w:rsidRPr="00063CE2">
          <w:rPr>
            <w:rStyle w:val="Collegamentoipertestuale"/>
            <w:color w:val="000000" w:themeColor="text1"/>
          </w:rPr>
          <w:t>r.vaccaro@golgicenci.it</w:t>
        </w:r>
      </w:hyperlink>
      <w:r w:rsidRPr="00063CE2">
        <w:rPr>
          <w:color w:val="000000" w:themeColor="text1"/>
        </w:rPr>
        <w:t>)</w:t>
      </w:r>
    </w:p>
    <w:p w14:paraId="29E4280F" w14:textId="605FE05D" w:rsidR="00A42C96" w:rsidRPr="00063CE2" w:rsidRDefault="00A42C96" w:rsidP="00702561">
      <w:pPr>
        <w:rPr>
          <w:color w:val="000000" w:themeColor="text1"/>
        </w:rPr>
      </w:pPr>
      <w:r w:rsidRPr="00063CE2">
        <w:rPr>
          <w:color w:val="000000" w:themeColor="text1"/>
        </w:rPr>
        <w:t xml:space="preserve">Daniele Zaccaria </w:t>
      </w:r>
      <w:r w:rsidRPr="00063CE2">
        <w:rPr>
          <w:color w:val="000000" w:themeColor="text1"/>
        </w:rPr>
        <w:tab/>
      </w:r>
      <w:r w:rsidRPr="00063CE2">
        <w:rPr>
          <w:color w:val="000000" w:themeColor="text1"/>
        </w:rPr>
        <w:tab/>
        <w:t>(</w:t>
      </w:r>
      <w:hyperlink r:id="rId14" w:history="1">
        <w:r w:rsidRPr="00063CE2">
          <w:rPr>
            <w:rStyle w:val="Collegamentoipertestuale"/>
            <w:color w:val="000000" w:themeColor="text1"/>
          </w:rPr>
          <w:t>d.zaccaria@golgicenci.it</w:t>
        </w:r>
      </w:hyperlink>
      <w:r w:rsidRPr="00063CE2">
        <w:rPr>
          <w:color w:val="000000" w:themeColor="text1"/>
        </w:rPr>
        <w:t>)</w:t>
      </w:r>
    </w:p>
    <w:p w14:paraId="36F0970A" w14:textId="5795403E" w:rsidR="00A42C96" w:rsidRPr="00063CE2" w:rsidRDefault="00A42C96" w:rsidP="00702561">
      <w:pPr>
        <w:rPr>
          <w:color w:val="000000" w:themeColor="text1"/>
        </w:rPr>
      </w:pPr>
      <w:r w:rsidRPr="00063CE2">
        <w:rPr>
          <w:color w:val="000000" w:themeColor="text1"/>
        </w:rPr>
        <w:t>Simona Abbondanza</w:t>
      </w:r>
      <w:r w:rsidR="00806A3C" w:rsidRPr="00063CE2">
        <w:rPr>
          <w:color w:val="000000" w:themeColor="text1"/>
        </w:rPr>
        <w:tab/>
      </w:r>
      <w:r w:rsidR="00806A3C" w:rsidRPr="00063CE2">
        <w:rPr>
          <w:color w:val="000000" w:themeColor="text1"/>
        </w:rPr>
        <w:tab/>
        <w:t>(</w:t>
      </w:r>
      <w:hyperlink r:id="rId15" w:history="1">
        <w:r w:rsidR="00806A3C" w:rsidRPr="00063CE2">
          <w:rPr>
            <w:rStyle w:val="Collegamentoipertestuale"/>
            <w:color w:val="000000" w:themeColor="text1"/>
          </w:rPr>
          <w:t>s.abbondanza@golgicenci.it</w:t>
        </w:r>
      </w:hyperlink>
      <w:r w:rsidR="00806A3C" w:rsidRPr="00063CE2">
        <w:rPr>
          <w:color w:val="000000" w:themeColor="text1"/>
        </w:rPr>
        <w:t>)</w:t>
      </w:r>
    </w:p>
    <w:p w14:paraId="1E6903A6" w14:textId="677D4C9B" w:rsidR="00A42C96" w:rsidRPr="00063CE2" w:rsidRDefault="00A42C96" w:rsidP="00702561">
      <w:pPr>
        <w:rPr>
          <w:color w:val="000000" w:themeColor="text1"/>
        </w:rPr>
      </w:pPr>
      <w:r w:rsidRPr="00063CE2">
        <w:rPr>
          <w:color w:val="000000" w:themeColor="text1"/>
        </w:rPr>
        <w:t>Matteo Bordoni</w:t>
      </w:r>
      <w:r w:rsidR="00806A3C" w:rsidRPr="00063CE2">
        <w:rPr>
          <w:color w:val="000000" w:themeColor="text1"/>
        </w:rPr>
        <w:tab/>
      </w:r>
      <w:r w:rsidR="00806A3C" w:rsidRPr="00063CE2">
        <w:rPr>
          <w:color w:val="000000" w:themeColor="text1"/>
        </w:rPr>
        <w:tab/>
        <w:t>(</w:t>
      </w:r>
      <w:hyperlink r:id="rId16" w:history="1">
        <w:r w:rsidR="00806A3C" w:rsidRPr="00063CE2">
          <w:rPr>
            <w:rStyle w:val="Collegamentoipertestuale"/>
            <w:color w:val="000000" w:themeColor="text1"/>
          </w:rPr>
          <w:t>matteo.bordoni@mondino.it</w:t>
        </w:r>
      </w:hyperlink>
      <w:r w:rsidR="00806A3C" w:rsidRPr="00063CE2">
        <w:rPr>
          <w:color w:val="000000" w:themeColor="text1"/>
        </w:rPr>
        <w:t>)</w:t>
      </w:r>
    </w:p>
    <w:p w14:paraId="08A82D6E" w14:textId="4A9F4AF6" w:rsidR="00A42C96" w:rsidRPr="00063CE2" w:rsidRDefault="00A42C96" w:rsidP="00702561">
      <w:pPr>
        <w:rPr>
          <w:color w:val="000000" w:themeColor="text1"/>
        </w:rPr>
      </w:pPr>
      <w:r w:rsidRPr="00063CE2">
        <w:rPr>
          <w:color w:val="000000" w:themeColor="text1"/>
        </w:rPr>
        <w:t>Valentina Fantini</w:t>
      </w:r>
      <w:r w:rsidR="00806A3C" w:rsidRPr="00063CE2">
        <w:rPr>
          <w:color w:val="000000" w:themeColor="text1"/>
        </w:rPr>
        <w:tab/>
      </w:r>
      <w:r w:rsidR="00806A3C" w:rsidRPr="00063CE2">
        <w:rPr>
          <w:color w:val="000000" w:themeColor="text1"/>
        </w:rPr>
        <w:tab/>
        <w:t>(</w:t>
      </w:r>
      <w:hyperlink r:id="rId17" w:history="1">
        <w:r w:rsidR="00806A3C" w:rsidRPr="00063CE2">
          <w:rPr>
            <w:rStyle w:val="Collegamentoipertestuale"/>
            <w:color w:val="000000" w:themeColor="text1"/>
          </w:rPr>
          <w:t>valentina.fantini02@universitadipavia.it</w:t>
        </w:r>
      </w:hyperlink>
      <w:r w:rsidR="00806A3C" w:rsidRPr="00063CE2">
        <w:rPr>
          <w:color w:val="000000" w:themeColor="text1"/>
        </w:rPr>
        <w:t>)</w:t>
      </w:r>
    </w:p>
    <w:p w14:paraId="16BEE399" w14:textId="1875C8B5" w:rsidR="00A42C96" w:rsidRPr="00063CE2" w:rsidRDefault="00A42C96" w:rsidP="00702561">
      <w:pPr>
        <w:rPr>
          <w:color w:val="000000" w:themeColor="text1"/>
        </w:rPr>
      </w:pPr>
      <w:r w:rsidRPr="00063CE2">
        <w:rPr>
          <w:color w:val="000000" w:themeColor="text1"/>
        </w:rPr>
        <w:t>Elena Fogato</w:t>
      </w:r>
      <w:r w:rsidRPr="00063CE2">
        <w:rPr>
          <w:color w:val="000000" w:themeColor="text1"/>
        </w:rPr>
        <w:tab/>
      </w:r>
      <w:r w:rsidRPr="00063CE2">
        <w:rPr>
          <w:color w:val="000000" w:themeColor="text1"/>
        </w:rPr>
        <w:tab/>
      </w:r>
      <w:r w:rsidRPr="00063CE2">
        <w:rPr>
          <w:color w:val="000000" w:themeColor="text1"/>
        </w:rPr>
        <w:tab/>
        <w:t>(</w:t>
      </w:r>
      <w:hyperlink r:id="rId18" w:history="1">
        <w:r w:rsidRPr="00063CE2">
          <w:rPr>
            <w:rStyle w:val="Collegamentoipertestuale"/>
            <w:color w:val="000000" w:themeColor="text1"/>
          </w:rPr>
          <w:t>e.fogato@golgiredaelli.it</w:t>
        </w:r>
      </w:hyperlink>
      <w:r w:rsidRPr="00063CE2">
        <w:rPr>
          <w:color w:val="000000" w:themeColor="text1"/>
        </w:rPr>
        <w:t>)</w:t>
      </w:r>
    </w:p>
    <w:p w14:paraId="636C8BB7" w14:textId="6B85F95A" w:rsidR="00A42C96" w:rsidRPr="00063CE2" w:rsidRDefault="00A42C96" w:rsidP="00702561">
      <w:pPr>
        <w:rPr>
          <w:color w:val="000000" w:themeColor="text1"/>
        </w:rPr>
      </w:pPr>
      <w:r w:rsidRPr="00063CE2">
        <w:rPr>
          <w:color w:val="000000" w:themeColor="text1"/>
        </w:rPr>
        <w:t>Cristina Cereda</w:t>
      </w:r>
      <w:r w:rsidR="00806A3C" w:rsidRPr="00063CE2">
        <w:rPr>
          <w:color w:val="000000" w:themeColor="text1"/>
        </w:rPr>
        <w:tab/>
      </w:r>
      <w:r w:rsidR="00806A3C" w:rsidRPr="00063CE2">
        <w:rPr>
          <w:color w:val="000000" w:themeColor="text1"/>
        </w:rPr>
        <w:tab/>
        <w:t>(</w:t>
      </w:r>
      <w:hyperlink r:id="rId19" w:history="1">
        <w:r w:rsidR="00806A3C" w:rsidRPr="00063CE2">
          <w:rPr>
            <w:rStyle w:val="Collegamentoipertestuale"/>
            <w:color w:val="000000" w:themeColor="text1"/>
          </w:rPr>
          <w:t>cristina.cereda@mondino.it</w:t>
        </w:r>
      </w:hyperlink>
      <w:r w:rsidR="00806A3C" w:rsidRPr="00063CE2">
        <w:rPr>
          <w:color w:val="000000" w:themeColor="text1"/>
        </w:rPr>
        <w:t>)</w:t>
      </w:r>
    </w:p>
    <w:p w14:paraId="4B04E1C7" w14:textId="17D6F003" w:rsidR="00A42C96" w:rsidRPr="00063CE2" w:rsidRDefault="00A42C96" w:rsidP="00702561">
      <w:pPr>
        <w:rPr>
          <w:color w:val="000000" w:themeColor="text1"/>
        </w:rPr>
      </w:pPr>
      <w:r w:rsidRPr="00063CE2">
        <w:rPr>
          <w:color w:val="000000" w:themeColor="text1"/>
        </w:rPr>
        <w:t>Mauro Ceroni</w:t>
      </w:r>
      <w:r w:rsidR="00806A3C" w:rsidRPr="00063CE2">
        <w:rPr>
          <w:color w:val="000000" w:themeColor="text1"/>
        </w:rPr>
        <w:tab/>
      </w:r>
      <w:r w:rsidR="00806A3C" w:rsidRPr="00063CE2">
        <w:rPr>
          <w:color w:val="000000" w:themeColor="text1"/>
        </w:rPr>
        <w:tab/>
      </w:r>
      <w:r w:rsidR="00806A3C" w:rsidRPr="00063CE2">
        <w:rPr>
          <w:color w:val="000000" w:themeColor="text1"/>
        </w:rPr>
        <w:tab/>
        <w:t>(</w:t>
      </w:r>
      <w:hyperlink r:id="rId20" w:history="1">
        <w:r w:rsidR="00806A3C" w:rsidRPr="00063CE2">
          <w:rPr>
            <w:rStyle w:val="Collegamentoipertestuale"/>
            <w:color w:val="000000" w:themeColor="text1"/>
          </w:rPr>
          <w:t>mauro.ceroni@unipv.it</w:t>
        </w:r>
      </w:hyperlink>
      <w:r w:rsidR="00806A3C" w:rsidRPr="00063CE2">
        <w:rPr>
          <w:color w:val="000000" w:themeColor="text1"/>
        </w:rPr>
        <w:t>)</w:t>
      </w:r>
    </w:p>
    <w:p w14:paraId="4701ED8D" w14:textId="5037B897" w:rsidR="00A2682E" w:rsidRPr="00063CE2" w:rsidRDefault="00A42C96" w:rsidP="00702561">
      <w:pPr>
        <w:rPr>
          <w:color w:val="000000" w:themeColor="text1"/>
        </w:rPr>
      </w:pPr>
      <w:r w:rsidRPr="00063CE2">
        <w:rPr>
          <w:color w:val="000000" w:themeColor="text1"/>
        </w:rPr>
        <w:t xml:space="preserve">Antonio Guaita </w:t>
      </w:r>
      <w:r w:rsidRPr="00063CE2">
        <w:rPr>
          <w:color w:val="000000" w:themeColor="text1"/>
        </w:rPr>
        <w:tab/>
      </w:r>
      <w:r w:rsidRPr="00063CE2">
        <w:rPr>
          <w:color w:val="000000" w:themeColor="text1"/>
        </w:rPr>
        <w:tab/>
        <w:t>(</w:t>
      </w:r>
      <w:hyperlink r:id="rId21" w:history="1">
        <w:r w:rsidRPr="00063CE2">
          <w:rPr>
            <w:rStyle w:val="Collegamentoipertestuale"/>
            <w:color w:val="000000" w:themeColor="text1"/>
          </w:rPr>
          <w:t>a.guaita@golgicenci.it</w:t>
        </w:r>
      </w:hyperlink>
      <w:r w:rsidRPr="00063CE2">
        <w:rPr>
          <w:color w:val="000000" w:themeColor="text1"/>
        </w:rPr>
        <w:t xml:space="preserve">) </w:t>
      </w:r>
    </w:p>
    <w:p w14:paraId="18B38444" w14:textId="77777777" w:rsidR="00A42C96" w:rsidRPr="00063CE2" w:rsidRDefault="00A42C96" w:rsidP="00A2682E">
      <w:pPr>
        <w:rPr>
          <w:color w:val="000000" w:themeColor="text1"/>
        </w:rPr>
      </w:pPr>
    </w:p>
    <w:p w14:paraId="5682BF0D" w14:textId="77777777" w:rsidR="00702561" w:rsidRPr="00063CE2" w:rsidRDefault="00A2682E" w:rsidP="00A2682E">
      <w:pPr>
        <w:rPr>
          <w:b/>
          <w:noProof w:val="0"/>
          <w:color w:val="000000" w:themeColor="text1"/>
          <w:lang w:val="en-US"/>
        </w:rPr>
      </w:pPr>
      <w:r w:rsidRPr="00063CE2">
        <w:rPr>
          <w:b/>
          <w:noProof w:val="0"/>
          <w:color w:val="000000" w:themeColor="text1"/>
          <w:lang w:val="en-US"/>
        </w:rPr>
        <w:t xml:space="preserve">Corresponding author: </w:t>
      </w:r>
    </w:p>
    <w:p w14:paraId="41E7CD3F" w14:textId="7BF138DB" w:rsidR="00260252" w:rsidRPr="00063CE2" w:rsidRDefault="00A2682E" w:rsidP="00A2682E">
      <w:pPr>
        <w:rPr>
          <w:noProof w:val="0"/>
          <w:color w:val="000000" w:themeColor="text1"/>
          <w:lang w:val="en-US"/>
        </w:rPr>
      </w:pPr>
      <w:r w:rsidRPr="00063CE2">
        <w:rPr>
          <w:bCs/>
          <w:noProof w:val="0"/>
          <w:color w:val="000000" w:themeColor="text1"/>
          <w:lang w:val="en-US"/>
        </w:rPr>
        <w:t xml:space="preserve">Tino Emanuele </w:t>
      </w:r>
      <w:proofErr w:type="spellStart"/>
      <w:r w:rsidRPr="00063CE2">
        <w:rPr>
          <w:bCs/>
          <w:noProof w:val="0"/>
          <w:color w:val="000000" w:themeColor="text1"/>
          <w:lang w:val="en-US"/>
        </w:rPr>
        <w:t>Poloni</w:t>
      </w:r>
      <w:proofErr w:type="spellEnd"/>
      <w:r w:rsidR="00702561" w:rsidRPr="00063CE2">
        <w:rPr>
          <w:bCs/>
          <w:noProof w:val="0"/>
          <w:color w:val="000000" w:themeColor="text1"/>
          <w:lang w:val="en-US"/>
        </w:rPr>
        <w:t xml:space="preserve"> (</w:t>
      </w:r>
      <w:hyperlink r:id="rId22" w:history="1">
        <w:r w:rsidRPr="00063CE2">
          <w:rPr>
            <w:rStyle w:val="Collegamentoipertestuale"/>
            <w:bCs/>
            <w:noProof w:val="0"/>
            <w:color w:val="000000" w:themeColor="text1"/>
            <w:lang w:val="en-US"/>
          </w:rPr>
          <w:t>tepoloni@gmail.com</w:t>
        </w:r>
      </w:hyperlink>
      <w:r w:rsidR="001F16EC" w:rsidRPr="00063CE2">
        <w:rPr>
          <w:rStyle w:val="Collegamentoipertestuale"/>
          <w:bCs/>
          <w:noProof w:val="0"/>
          <w:color w:val="000000" w:themeColor="text1"/>
          <w:lang w:val="en-US"/>
        </w:rPr>
        <w:t xml:space="preserve"> or </w:t>
      </w:r>
      <w:hyperlink r:id="rId23" w:history="1">
        <w:r w:rsidRPr="00063CE2">
          <w:rPr>
            <w:rStyle w:val="Collegamentoipertestuale"/>
            <w:bCs/>
            <w:noProof w:val="0"/>
            <w:color w:val="000000" w:themeColor="text1"/>
            <w:lang w:val="en-US"/>
          </w:rPr>
          <w:t>e.poloni@golgicenci.it</w:t>
        </w:r>
      </w:hyperlink>
      <w:r w:rsidR="00702561" w:rsidRPr="00063CE2">
        <w:rPr>
          <w:rStyle w:val="Collegamentoipertestuale"/>
          <w:bCs/>
          <w:noProof w:val="0"/>
          <w:color w:val="000000" w:themeColor="text1"/>
          <w:lang w:val="en-US"/>
        </w:rPr>
        <w:t>)</w:t>
      </w:r>
      <w:r w:rsidRPr="00063CE2">
        <w:rPr>
          <w:bCs/>
          <w:noProof w:val="0"/>
          <w:color w:val="000000" w:themeColor="text1"/>
          <w:lang w:val="en-US"/>
        </w:rPr>
        <w:t xml:space="preserve"> </w:t>
      </w:r>
    </w:p>
    <w:p w14:paraId="74B9C885" w14:textId="77777777" w:rsidR="00260252" w:rsidRPr="00063CE2" w:rsidRDefault="00260252">
      <w:pPr>
        <w:rPr>
          <w:bCs/>
          <w:noProof w:val="0"/>
          <w:color w:val="000000" w:themeColor="text1"/>
          <w:lang w:val="en-US"/>
        </w:rPr>
      </w:pPr>
    </w:p>
    <w:p w14:paraId="55FFCE39" w14:textId="77777777" w:rsidR="00702561" w:rsidRPr="00063CE2" w:rsidRDefault="00260252">
      <w:pPr>
        <w:pStyle w:val="NormaleWeb1"/>
        <w:spacing w:before="0" w:after="0"/>
        <w:rPr>
          <w:bCs/>
          <w:noProof w:val="0"/>
          <w:color w:val="000000" w:themeColor="text1"/>
          <w:lang w:val="en-US"/>
        </w:rPr>
      </w:pPr>
      <w:r w:rsidRPr="00063CE2">
        <w:rPr>
          <w:b/>
          <w:bCs/>
          <w:noProof w:val="0"/>
          <w:color w:val="000000" w:themeColor="text1"/>
          <w:lang w:val="en-US"/>
        </w:rPr>
        <w:t>KEYWORDS</w:t>
      </w:r>
      <w:r w:rsidRPr="00063CE2">
        <w:rPr>
          <w:bCs/>
          <w:noProof w:val="0"/>
          <w:color w:val="000000" w:themeColor="text1"/>
          <w:lang w:val="en-US"/>
        </w:rPr>
        <w:t>:</w:t>
      </w:r>
      <w:r w:rsidR="005B499B" w:rsidRPr="00063CE2">
        <w:rPr>
          <w:bCs/>
          <w:noProof w:val="0"/>
          <w:color w:val="000000" w:themeColor="text1"/>
          <w:lang w:val="en-US"/>
        </w:rPr>
        <w:t xml:space="preserve"> </w:t>
      </w:r>
    </w:p>
    <w:p w14:paraId="164E7FF8" w14:textId="5AB111AC" w:rsidR="00260252" w:rsidRPr="00063CE2" w:rsidRDefault="005B499B">
      <w:pPr>
        <w:pStyle w:val="NormaleWeb1"/>
        <w:spacing w:before="0" w:after="0"/>
        <w:rPr>
          <w:noProof w:val="0"/>
          <w:color w:val="000000" w:themeColor="text1"/>
          <w:lang w:val="en-US"/>
        </w:rPr>
      </w:pPr>
      <w:r w:rsidRPr="00063CE2">
        <w:rPr>
          <w:bCs/>
          <w:noProof w:val="0"/>
          <w:color w:val="000000" w:themeColor="text1"/>
          <w:lang w:val="en-US"/>
        </w:rPr>
        <w:t>Brain Bank,</w:t>
      </w:r>
      <w:r w:rsidRPr="00063CE2">
        <w:rPr>
          <w:b/>
          <w:bCs/>
          <w:noProof w:val="0"/>
          <w:color w:val="000000" w:themeColor="text1"/>
          <w:lang w:val="en-US"/>
        </w:rPr>
        <w:t xml:space="preserve"> </w:t>
      </w:r>
      <w:r w:rsidRPr="00063CE2">
        <w:rPr>
          <w:bCs/>
          <w:noProof w:val="0"/>
          <w:color w:val="000000" w:themeColor="text1"/>
          <w:lang w:val="en-US"/>
        </w:rPr>
        <w:t>neuropathology, aging, elderly care,</w:t>
      </w:r>
      <w:r w:rsidR="009A2551" w:rsidRPr="00063CE2">
        <w:rPr>
          <w:noProof w:val="0"/>
          <w:color w:val="000000" w:themeColor="text1"/>
          <w:lang w:val="en-US"/>
        </w:rPr>
        <w:t xml:space="preserve"> </w:t>
      </w:r>
      <w:r w:rsidRPr="00063CE2">
        <w:rPr>
          <w:noProof w:val="0"/>
          <w:color w:val="000000" w:themeColor="text1"/>
          <w:lang w:val="en-US"/>
        </w:rPr>
        <w:t>longitudinal cohort study, brain donation,</w:t>
      </w:r>
      <w:r w:rsidR="00537D20" w:rsidRPr="00063CE2">
        <w:rPr>
          <w:noProof w:val="0"/>
          <w:color w:val="000000" w:themeColor="text1"/>
          <w:lang w:val="en-US"/>
        </w:rPr>
        <w:t xml:space="preserve"> brain dissection protocol, QEEG, clinico-pathological correlation, omics.</w:t>
      </w:r>
    </w:p>
    <w:p w14:paraId="1C1F2AF4" w14:textId="77777777" w:rsidR="00260252" w:rsidRPr="00063CE2" w:rsidRDefault="00260252">
      <w:pPr>
        <w:pStyle w:val="NormaleWeb1"/>
        <w:spacing w:before="0" w:after="0"/>
        <w:rPr>
          <w:noProof w:val="0"/>
          <w:color w:val="000000" w:themeColor="text1"/>
          <w:lang w:val="en-US"/>
        </w:rPr>
      </w:pPr>
    </w:p>
    <w:p w14:paraId="637AD01A" w14:textId="20EBE882" w:rsidR="009A2551" w:rsidRPr="00063CE2" w:rsidRDefault="00260252" w:rsidP="009A2551">
      <w:pPr>
        <w:rPr>
          <w:noProof w:val="0"/>
          <w:color w:val="000000" w:themeColor="text1"/>
          <w:lang w:val="en-US"/>
        </w:rPr>
      </w:pPr>
      <w:r w:rsidRPr="00063CE2">
        <w:rPr>
          <w:b/>
          <w:bCs/>
          <w:noProof w:val="0"/>
          <w:color w:val="000000" w:themeColor="text1"/>
          <w:lang w:val="en-US"/>
        </w:rPr>
        <w:lastRenderedPageBreak/>
        <w:t>SUMMARY:</w:t>
      </w:r>
      <w:r w:rsidRPr="00063CE2">
        <w:rPr>
          <w:noProof w:val="0"/>
          <w:color w:val="000000" w:themeColor="text1"/>
          <w:lang w:val="en-US"/>
        </w:rPr>
        <w:t xml:space="preserve"> </w:t>
      </w:r>
    </w:p>
    <w:p w14:paraId="5AE50571" w14:textId="047DD1C0" w:rsidR="009A2551" w:rsidRPr="00063CE2" w:rsidRDefault="00E11CDB" w:rsidP="009A2551">
      <w:pPr>
        <w:rPr>
          <w:rFonts w:asciiTheme="minorHAnsi" w:hAnsiTheme="minorHAnsi" w:cstheme="minorHAnsi"/>
          <w:noProof w:val="0"/>
          <w:color w:val="000000" w:themeColor="text1"/>
          <w:lang w:val="en-US"/>
        </w:rPr>
      </w:pPr>
      <w:r w:rsidRPr="00063CE2">
        <w:rPr>
          <w:rFonts w:asciiTheme="minorHAnsi" w:hAnsiTheme="minorHAnsi" w:cstheme="minorHAnsi"/>
          <w:noProof w:val="0"/>
          <w:color w:val="000000" w:themeColor="text1"/>
          <w:lang w:val="en-US"/>
        </w:rPr>
        <w:t>T</w:t>
      </w:r>
      <w:r w:rsidR="00194FBD" w:rsidRPr="00063CE2">
        <w:rPr>
          <w:rFonts w:asciiTheme="minorHAnsi" w:hAnsiTheme="minorHAnsi" w:cstheme="minorHAnsi"/>
          <w:noProof w:val="0"/>
          <w:color w:val="000000" w:themeColor="text1"/>
          <w:lang w:val="en-US"/>
        </w:rPr>
        <w:t xml:space="preserve">his protocol </w:t>
      </w:r>
      <w:r w:rsidRPr="00063CE2">
        <w:rPr>
          <w:rFonts w:asciiTheme="minorHAnsi" w:hAnsiTheme="minorHAnsi" w:cstheme="minorHAnsi"/>
          <w:noProof w:val="0"/>
          <w:color w:val="000000" w:themeColor="text1"/>
          <w:lang w:val="en-US"/>
        </w:rPr>
        <w:t xml:space="preserve">describes </w:t>
      </w:r>
      <w:r w:rsidR="00194FBD" w:rsidRPr="00063CE2">
        <w:rPr>
          <w:rFonts w:asciiTheme="minorHAnsi" w:hAnsiTheme="minorHAnsi" w:cstheme="minorHAnsi"/>
          <w:noProof w:val="0"/>
          <w:color w:val="000000" w:themeColor="text1"/>
          <w:lang w:val="en-US"/>
        </w:rPr>
        <w:t>a method</w:t>
      </w:r>
      <w:r w:rsidR="00F16CB6" w:rsidRPr="00063CE2">
        <w:rPr>
          <w:rFonts w:asciiTheme="minorHAnsi" w:hAnsiTheme="minorHAnsi" w:cstheme="minorHAnsi"/>
          <w:noProof w:val="0"/>
          <w:color w:val="000000" w:themeColor="text1"/>
          <w:lang w:val="en-US"/>
        </w:rPr>
        <w:t xml:space="preserve"> </w:t>
      </w:r>
      <w:r w:rsidR="00194FBD" w:rsidRPr="00063CE2">
        <w:rPr>
          <w:rFonts w:asciiTheme="minorHAnsi" w:hAnsiTheme="minorHAnsi" w:cstheme="minorHAnsi"/>
          <w:noProof w:val="0"/>
          <w:color w:val="000000" w:themeColor="text1"/>
          <w:lang w:val="en-US"/>
        </w:rPr>
        <w:t xml:space="preserve">to </w:t>
      </w:r>
      <w:r w:rsidR="00F16CB6" w:rsidRPr="00063CE2">
        <w:rPr>
          <w:rFonts w:asciiTheme="minorHAnsi" w:hAnsiTheme="minorHAnsi" w:cstheme="minorHAnsi"/>
          <w:noProof w:val="0"/>
          <w:color w:val="000000" w:themeColor="text1"/>
          <w:lang w:val="en-US"/>
        </w:rPr>
        <w:t>track</w:t>
      </w:r>
      <w:r w:rsidR="00CB2430" w:rsidRPr="00063CE2">
        <w:rPr>
          <w:rFonts w:asciiTheme="minorHAnsi" w:hAnsiTheme="minorHAnsi" w:cstheme="minorHAnsi"/>
          <w:noProof w:val="0"/>
          <w:color w:val="000000" w:themeColor="text1"/>
          <w:lang w:val="en-US"/>
        </w:rPr>
        <w:t xml:space="preserve"> individual</w:t>
      </w:r>
      <w:r w:rsidR="00194FBD" w:rsidRPr="00063CE2">
        <w:rPr>
          <w:rFonts w:asciiTheme="minorHAnsi" w:hAnsiTheme="minorHAnsi" w:cstheme="minorHAnsi"/>
          <w:noProof w:val="0"/>
          <w:color w:val="000000" w:themeColor="text1"/>
          <w:lang w:val="en-US"/>
        </w:rPr>
        <w:t xml:space="preserve"> brain-aging trajectories</w:t>
      </w:r>
      <w:r w:rsidR="00CB2430" w:rsidRPr="00063CE2">
        <w:rPr>
          <w:rFonts w:asciiTheme="minorHAnsi" w:hAnsiTheme="minorHAnsi" w:cstheme="minorHAnsi"/>
          <w:noProof w:val="0"/>
          <w:color w:val="000000" w:themeColor="text1"/>
          <w:lang w:val="en-US"/>
        </w:rPr>
        <w:t xml:space="preserve"> </w:t>
      </w:r>
      <w:r w:rsidRPr="00063CE2">
        <w:rPr>
          <w:rFonts w:asciiTheme="minorHAnsi" w:hAnsiTheme="minorHAnsi" w:cstheme="minorHAnsi"/>
          <w:noProof w:val="0"/>
          <w:color w:val="000000" w:themeColor="text1"/>
          <w:lang w:val="en-US"/>
        </w:rPr>
        <w:t>through</w:t>
      </w:r>
      <w:r w:rsidR="00CB2430" w:rsidRPr="00063CE2">
        <w:rPr>
          <w:rFonts w:asciiTheme="minorHAnsi" w:hAnsiTheme="minorHAnsi" w:cstheme="minorHAnsi"/>
          <w:noProof w:val="0"/>
          <w:color w:val="000000" w:themeColor="text1"/>
          <w:lang w:val="en-US"/>
        </w:rPr>
        <w:t xml:space="preserve"> a brain donation program and proper characterization of brains</w:t>
      </w:r>
      <w:r w:rsidR="008E2EA2" w:rsidRPr="00063CE2">
        <w:rPr>
          <w:rFonts w:asciiTheme="minorHAnsi" w:hAnsiTheme="minorHAnsi" w:cstheme="minorHAnsi"/>
          <w:noProof w:val="0"/>
          <w:color w:val="000000" w:themeColor="text1"/>
          <w:lang w:val="en-US"/>
        </w:rPr>
        <w:t xml:space="preserve">. Brain </w:t>
      </w:r>
      <w:r w:rsidR="00CB2430" w:rsidRPr="00063CE2">
        <w:rPr>
          <w:rFonts w:asciiTheme="minorHAnsi" w:hAnsiTheme="minorHAnsi" w:cstheme="minorHAnsi"/>
          <w:noProof w:val="0"/>
          <w:color w:val="000000" w:themeColor="text1"/>
          <w:lang w:val="en-US"/>
        </w:rPr>
        <w:t xml:space="preserve">donors </w:t>
      </w:r>
      <w:r w:rsidR="008E2EA2" w:rsidRPr="00063CE2">
        <w:rPr>
          <w:rFonts w:asciiTheme="minorHAnsi" w:hAnsiTheme="minorHAnsi" w:cstheme="minorHAnsi"/>
          <w:noProof w:val="0"/>
          <w:color w:val="000000" w:themeColor="text1"/>
          <w:lang w:val="en-US"/>
        </w:rPr>
        <w:t xml:space="preserve">are </w:t>
      </w:r>
      <w:r w:rsidR="00CB2430" w:rsidRPr="00063CE2">
        <w:rPr>
          <w:rFonts w:asciiTheme="minorHAnsi" w:hAnsiTheme="minorHAnsi" w:cstheme="minorHAnsi"/>
          <w:noProof w:val="0"/>
          <w:color w:val="000000" w:themeColor="text1"/>
          <w:lang w:val="en-US"/>
        </w:rPr>
        <w:t xml:space="preserve">involved in a </w:t>
      </w:r>
      <w:r w:rsidR="00194FBD" w:rsidRPr="00063CE2">
        <w:rPr>
          <w:rFonts w:asciiTheme="minorHAnsi" w:hAnsiTheme="minorHAnsi" w:cstheme="minorHAnsi"/>
          <w:noProof w:val="0"/>
          <w:color w:val="000000" w:themeColor="text1"/>
          <w:lang w:val="en-US"/>
        </w:rPr>
        <w:t xml:space="preserve">long-term </w:t>
      </w:r>
      <w:r w:rsidR="00CB2430" w:rsidRPr="00063CE2">
        <w:rPr>
          <w:rFonts w:asciiTheme="minorHAnsi" w:hAnsiTheme="minorHAnsi" w:cstheme="minorHAnsi"/>
          <w:noProof w:val="0"/>
          <w:color w:val="000000" w:themeColor="text1"/>
          <w:lang w:val="en-US"/>
        </w:rPr>
        <w:t xml:space="preserve">longitudinal study </w:t>
      </w:r>
      <w:r w:rsidR="008E2EA2" w:rsidRPr="00063CE2">
        <w:rPr>
          <w:rFonts w:asciiTheme="minorHAnsi" w:hAnsiTheme="minorHAnsi" w:cstheme="minorHAnsi"/>
          <w:noProof w:val="0"/>
          <w:color w:val="000000" w:themeColor="text1"/>
          <w:lang w:val="en-US"/>
        </w:rPr>
        <w:t>including serial multi-dimensional assessments</w:t>
      </w:r>
      <w:r w:rsidRPr="00063CE2">
        <w:rPr>
          <w:rFonts w:asciiTheme="minorHAnsi" w:hAnsiTheme="minorHAnsi" w:cstheme="minorHAnsi"/>
          <w:noProof w:val="0"/>
          <w:color w:val="000000" w:themeColor="text1"/>
          <w:lang w:val="en-US"/>
        </w:rPr>
        <w:t>.</w:t>
      </w:r>
      <w:r w:rsidRPr="00063CE2">
        <w:rPr>
          <w:noProof w:val="0"/>
          <w:color w:val="000000" w:themeColor="text1"/>
          <w:lang w:val="en-US"/>
        </w:rPr>
        <w:t xml:space="preserve"> </w:t>
      </w:r>
      <w:r w:rsidRPr="00063CE2">
        <w:rPr>
          <w:rFonts w:asciiTheme="minorHAnsi" w:hAnsiTheme="minorHAnsi" w:cstheme="minorHAnsi"/>
          <w:noProof w:val="0"/>
          <w:color w:val="000000" w:themeColor="text1"/>
          <w:lang w:val="en-US"/>
        </w:rPr>
        <w:t xml:space="preserve">The protocol contains a detailed description of brain processing and an accurate diagnostic </w:t>
      </w:r>
      <w:r w:rsidR="00FB3150" w:rsidRPr="00063CE2">
        <w:rPr>
          <w:rFonts w:asciiTheme="minorHAnsi" w:hAnsiTheme="minorHAnsi" w:cstheme="minorHAnsi"/>
          <w:noProof w:val="0"/>
          <w:color w:val="000000" w:themeColor="text1"/>
          <w:lang w:val="en-US"/>
        </w:rPr>
        <w:t>methodology.</w:t>
      </w:r>
    </w:p>
    <w:p w14:paraId="66591E8A" w14:textId="77777777" w:rsidR="008E2EA2" w:rsidRPr="00063CE2" w:rsidRDefault="008E2EA2" w:rsidP="009A2551">
      <w:pPr>
        <w:rPr>
          <w:noProof w:val="0"/>
          <w:color w:val="000000" w:themeColor="text1"/>
          <w:lang w:val="en-US"/>
        </w:rPr>
      </w:pPr>
    </w:p>
    <w:p w14:paraId="643BC287" w14:textId="507A1550" w:rsidR="009A2551" w:rsidRPr="00063CE2" w:rsidRDefault="00260252" w:rsidP="009A2551">
      <w:pPr>
        <w:rPr>
          <w:noProof w:val="0"/>
          <w:color w:val="000000" w:themeColor="text1"/>
          <w:lang w:val="en-US"/>
        </w:rPr>
      </w:pPr>
      <w:r w:rsidRPr="00063CE2">
        <w:rPr>
          <w:b/>
          <w:bCs/>
          <w:noProof w:val="0"/>
          <w:color w:val="000000" w:themeColor="text1"/>
          <w:lang w:val="en-US"/>
        </w:rPr>
        <w:t>ABSTRACT</w:t>
      </w:r>
      <w:r w:rsidR="00FB3150" w:rsidRPr="00063CE2">
        <w:rPr>
          <w:b/>
          <w:bCs/>
          <w:noProof w:val="0"/>
          <w:color w:val="000000" w:themeColor="text1"/>
          <w:lang w:val="en-US"/>
        </w:rPr>
        <w:t>:</w:t>
      </w:r>
      <w:r w:rsidR="00D535B4" w:rsidRPr="00063CE2">
        <w:rPr>
          <w:b/>
          <w:bCs/>
          <w:noProof w:val="0"/>
          <w:color w:val="000000" w:themeColor="text1"/>
          <w:lang w:val="en-US"/>
        </w:rPr>
        <w:t xml:space="preserve"> </w:t>
      </w:r>
    </w:p>
    <w:p w14:paraId="3335D876" w14:textId="00A50046" w:rsidR="0069295C" w:rsidRPr="00063CE2" w:rsidRDefault="0069295C" w:rsidP="0069295C">
      <w:pPr>
        <w:rPr>
          <w:noProof w:val="0"/>
          <w:color w:val="000000" w:themeColor="text1"/>
          <w:lang w:val="en-US"/>
        </w:rPr>
      </w:pPr>
      <w:r w:rsidRPr="00063CE2">
        <w:rPr>
          <w:rFonts w:ascii="AppleSystemUIFont" w:hAnsi="AppleSystemUIFont" w:cs="AppleSystemUIFont"/>
          <w:noProof w:val="0"/>
          <w:color w:val="000000" w:themeColor="text1"/>
          <w:lang w:val="en-US"/>
        </w:rPr>
        <w:t>In a constantly aging population, the prevalence of neurodegenerative disorders is expected to rise. Understanding disease mechanisms is the key to find preventive and curative measures. The most effective way to achieve this is through direct examination of diseased and healthy brain tissue. The authors present a protocol to obtain, process, characterize and store good quality brain tissue donated by individuals registered in an antemortem brain donation program. The donation program includes a fac</w:t>
      </w:r>
      <w:r w:rsidR="00125A2F" w:rsidRPr="00063CE2">
        <w:rPr>
          <w:rFonts w:ascii="AppleSystemUIFont" w:hAnsi="AppleSystemUIFont" w:cs="AppleSystemUIFont"/>
          <w:noProof w:val="0"/>
          <w:color w:val="000000" w:themeColor="text1"/>
          <w:lang w:val="en-US"/>
        </w:rPr>
        <w:t>e-</w:t>
      </w:r>
      <w:r w:rsidRPr="00063CE2">
        <w:rPr>
          <w:rFonts w:ascii="AppleSystemUIFont" w:hAnsi="AppleSystemUIFont" w:cs="AppleSystemUIFont"/>
          <w:noProof w:val="0"/>
          <w:color w:val="000000" w:themeColor="text1"/>
          <w:lang w:val="en-US"/>
        </w:rPr>
        <w:t>t</w:t>
      </w:r>
      <w:r w:rsidR="00125A2F" w:rsidRPr="00063CE2">
        <w:rPr>
          <w:rFonts w:ascii="AppleSystemUIFont" w:hAnsi="AppleSystemUIFont" w:cs="AppleSystemUIFont"/>
          <w:noProof w:val="0"/>
          <w:color w:val="000000" w:themeColor="text1"/>
          <w:lang w:val="en-US"/>
        </w:rPr>
        <w:t>o-</w:t>
      </w:r>
      <w:r w:rsidRPr="00063CE2">
        <w:rPr>
          <w:rFonts w:ascii="AppleSystemUIFont" w:hAnsi="AppleSystemUIFont" w:cs="AppleSystemUIFont"/>
          <w:noProof w:val="0"/>
          <w:color w:val="000000" w:themeColor="text1"/>
          <w:lang w:val="en-US"/>
        </w:rPr>
        <w:t>face empathic approach to people, a collection of complementary clinical, biological, social and lifestyle information and serial multi-dimensional assessments over time to track individual trajectories of normal aging and cognitive decline. Since many neurological diseases are asymmetrical, our brain bank offers a unique protocol for slicing fresh specimens. Brain sections of both hemispheres are alternately frozen (at -80</w:t>
      </w:r>
      <w:r w:rsidR="00125A2F" w:rsidRPr="00063CE2">
        <w:rPr>
          <w:rFonts w:ascii="AppleSystemUIFont" w:hAnsi="AppleSystemUIFont" w:cs="AppleSystemUIFont"/>
          <w:noProof w:val="0"/>
          <w:color w:val="000000" w:themeColor="text1"/>
          <w:lang w:val="en-US"/>
        </w:rPr>
        <w:t xml:space="preserve"> </w:t>
      </w:r>
      <w:r w:rsidRPr="00063CE2">
        <w:rPr>
          <w:rFonts w:ascii="AppleSystemUIFont" w:hAnsi="AppleSystemUIFont" w:cs="AppleSystemUIFont"/>
          <w:noProof w:val="0"/>
          <w:color w:val="000000" w:themeColor="text1"/>
          <w:lang w:val="en-US"/>
        </w:rPr>
        <w:t xml:space="preserve">°C) or fixed in formalin; </w:t>
      </w:r>
      <w:r w:rsidR="00F22ECF" w:rsidRPr="00063CE2">
        <w:rPr>
          <w:rFonts w:ascii="AppleSystemUIFont" w:hAnsi="AppleSystemUIFont" w:cs="AppleSystemUIFont"/>
          <w:noProof w:val="0"/>
          <w:color w:val="000000" w:themeColor="text1"/>
          <w:lang w:val="en-US"/>
        </w:rPr>
        <w:t xml:space="preserve">a </w:t>
      </w:r>
      <w:r w:rsidRPr="00063CE2">
        <w:rPr>
          <w:rFonts w:ascii="AppleSystemUIFont" w:hAnsi="AppleSystemUIFont" w:cs="AppleSystemUIFont"/>
          <w:noProof w:val="0"/>
          <w:color w:val="000000" w:themeColor="text1"/>
          <w:lang w:val="en-US"/>
        </w:rPr>
        <w:t>fix</w:t>
      </w:r>
      <w:r w:rsidR="00F22ECF" w:rsidRPr="00063CE2">
        <w:rPr>
          <w:rFonts w:ascii="AppleSystemUIFont" w:hAnsi="AppleSystemUIFont" w:cs="AppleSystemUIFont"/>
          <w:noProof w:val="0"/>
          <w:color w:val="000000" w:themeColor="text1"/>
          <w:lang w:val="en-US"/>
        </w:rPr>
        <w:t xml:space="preserve">ed </w:t>
      </w:r>
      <w:r w:rsidRPr="00063CE2">
        <w:rPr>
          <w:rFonts w:ascii="AppleSystemUIFont" w:hAnsi="AppleSystemUIFont" w:cs="AppleSystemUIFont"/>
          <w:noProof w:val="0"/>
          <w:color w:val="000000" w:themeColor="text1"/>
          <w:lang w:val="en-US"/>
        </w:rPr>
        <w:t>slice</w:t>
      </w:r>
      <w:r w:rsidR="00F22ECF" w:rsidRPr="00063CE2">
        <w:rPr>
          <w:rFonts w:ascii="AppleSystemUIFont" w:hAnsi="AppleSystemUIFont" w:cs="AppleSystemUIFont"/>
          <w:noProof w:val="0"/>
          <w:color w:val="000000" w:themeColor="text1"/>
          <w:lang w:val="en-US"/>
        </w:rPr>
        <w:t xml:space="preserve"> on one hemisphere</w:t>
      </w:r>
      <w:r w:rsidRPr="00063CE2">
        <w:rPr>
          <w:rFonts w:ascii="AppleSystemUIFont" w:hAnsi="AppleSystemUIFont" w:cs="AppleSystemUIFont"/>
          <w:noProof w:val="0"/>
          <w:color w:val="000000" w:themeColor="text1"/>
          <w:lang w:val="en-US"/>
        </w:rPr>
        <w:t xml:space="preserve"> correspond</w:t>
      </w:r>
      <w:r w:rsidR="00F22ECF" w:rsidRPr="00063CE2">
        <w:rPr>
          <w:rFonts w:ascii="AppleSystemUIFont" w:hAnsi="AppleSystemUIFont" w:cs="AppleSystemUIFont"/>
          <w:noProof w:val="0"/>
          <w:color w:val="000000" w:themeColor="text1"/>
          <w:lang w:val="en-US"/>
        </w:rPr>
        <w:t>s to a frozen</w:t>
      </w:r>
      <w:r w:rsidRPr="00063CE2">
        <w:rPr>
          <w:rFonts w:ascii="AppleSystemUIFont" w:hAnsi="AppleSystemUIFont" w:cs="AppleSystemUIFont"/>
          <w:noProof w:val="0"/>
          <w:color w:val="000000" w:themeColor="text1"/>
          <w:lang w:val="en-US"/>
        </w:rPr>
        <w:t xml:space="preserve"> one </w:t>
      </w:r>
      <w:r w:rsidR="00F22ECF" w:rsidRPr="00063CE2">
        <w:rPr>
          <w:rFonts w:ascii="AppleSystemUIFont" w:hAnsi="AppleSystemUIFont" w:cs="AppleSystemUIFont"/>
          <w:noProof w:val="0"/>
          <w:color w:val="000000" w:themeColor="text1"/>
          <w:lang w:val="en-US"/>
        </w:rPr>
        <w:t>on</w:t>
      </w:r>
      <w:r w:rsidRPr="00063CE2">
        <w:rPr>
          <w:rFonts w:ascii="AppleSystemUIFont" w:hAnsi="AppleSystemUIFont" w:cs="AppleSystemUIFont"/>
          <w:noProof w:val="0"/>
          <w:color w:val="000000" w:themeColor="text1"/>
          <w:lang w:val="en-US"/>
        </w:rPr>
        <w:t xml:space="preserve"> the other hemisphere. With this approach, a complete histological characterization of all frozen material can be obtained, and </w:t>
      </w:r>
      <w:r w:rsidR="00B977F5" w:rsidRPr="00063CE2">
        <w:rPr>
          <w:rFonts w:ascii="AppleSystemUIFont" w:hAnsi="AppleSystemUIFont" w:cs="AppleSystemUIFont"/>
          <w:noProof w:val="0"/>
          <w:color w:val="000000" w:themeColor="text1"/>
          <w:lang w:val="en-US"/>
        </w:rPr>
        <w:t>o</w:t>
      </w:r>
      <w:r w:rsidRPr="00063CE2">
        <w:rPr>
          <w:rFonts w:ascii="AppleSystemUIFont" w:hAnsi="AppleSystemUIFont" w:cs="AppleSystemUIFont"/>
          <w:noProof w:val="0"/>
          <w:color w:val="000000" w:themeColor="text1"/>
          <w:lang w:val="en-US"/>
        </w:rPr>
        <w:t xml:space="preserve">mics studies can be performed on </w:t>
      </w:r>
      <w:r w:rsidRPr="00063CE2">
        <w:rPr>
          <w:rFonts w:eastAsia="Baskerville" w:cs="Baskerville"/>
          <w:noProof w:val="0"/>
          <w:color w:val="000000" w:themeColor="text1"/>
          <w:lang w:val="en-US"/>
        </w:rPr>
        <w:t xml:space="preserve">histologically well-defined tissues from both hemispheres thus offering a more complete assessment of neurodegenerative disease mechanisms. </w:t>
      </w:r>
      <w:r w:rsidRPr="00063CE2">
        <w:rPr>
          <w:noProof w:val="0"/>
          <w:color w:val="000000" w:themeColor="text1"/>
          <w:lang w:val="en-US"/>
        </w:rPr>
        <w:t>Correct and definite diagnosis of these diseases can only be achieved by combining the clinical syndrome with the neuropathological evaluation</w:t>
      </w:r>
      <w:r w:rsidR="00125A2F" w:rsidRPr="00063CE2">
        <w:rPr>
          <w:noProof w:val="0"/>
          <w:color w:val="000000" w:themeColor="text1"/>
          <w:lang w:val="en-US"/>
        </w:rPr>
        <w:t>,</w:t>
      </w:r>
      <w:r w:rsidRPr="00063CE2">
        <w:rPr>
          <w:noProof w:val="0"/>
          <w:color w:val="000000" w:themeColor="text1"/>
          <w:lang w:val="en-US"/>
        </w:rPr>
        <w:t xml:space="preserve"> which often adds important etiological clues necessary to interpret the pathogenesis. This method can be time consuming, expensive and limited as it only covers a limited geographical area. Regardless of its limitations, the high degree of characterization it provides can be rewarding. Our ultimate goal is to </w:t>
      </w:r>
      <w:r w:rsidRPr="00063CE2">
        <w:rPr>
          <w:bCs/>
          <w:noProof w:val="0"/>
          <w:color w:val="000000" w:themeColor="text1"/>
          <w:lang w:val="en-US"/>
        </w:rPr>
        <w:t>establish the first Italian Brain Bank, all the while emphasizing the importance of neuropathologically verified epidemiological studies.</w:t>
      </w:r>
    </w:p>
    <w:p w14:paraId="212567A6" w14:textId="77777777" w:rsidR="009A2551" w:rsidRPr="00063CE2" w:rsidRDefault="009A2551" w:rsidP="009A2551">
      <w:pPr>
        <w:rPr>
          <w:noProof w:val="0"/>
          <w:color w:val="000000" w:themeColor="text1"/>
          <w:lang w:val="en-US"/>
        </w:rPr>
      </w:pPr>
    </w:p>
    <w:p w14:paraId="2C0244FE" w14:textId="77777777" w:rsidR="007D20DD" w:rsidRPr="00063CE2" w:rsidRDefault="007D20DD" w:rsidP="00F16CB6">
      <w:pPr>
        <w:outlineLvl w:val="0"/>
        <w:rPr>
          <w:noProof w:val="0"/>
          <w:color w:val="000000" w:themeColor="text1"/>
          <w:lang w:val="en-US"/>
        </w:rPr>
      </w:pPr>
      <w:r w:rsidRPr="00063CE2">
        <w:rPr>
          <w:b/>
          <w:noProof w:val="0"/>
          <w:color w:val="000000" w:themeColor="text1"/>
          <w:lang w:val="en-US"/>
        </w:rPr>
        <w:t>INTRODUCTION</w:t>
      </w:r>
      <w:r w:rsidRPr="00063CE2">
        <w:rPr>
          <w:b/>
          <w:bCs/>
          <w:noProof w:val="0"/>
          <w:color w:val="000000" w:themeColor="text1"/>
          <w:lang w:val="en-US"/>
        </w:rPr>
        <w:t>:</w:t>
      </w:r>
    </w:p>
    <w:p w14:paraId="3A7D748F" w14:textId="33B8230B" w:rsidR="0069295C" w:rsidRPr="00063CE2" w:rsidRDefault="0069295C" w:rsidP="0069295C">
      <w:pPr>
        <w:rPr>
          <w:noProof w:val="0"/>
          <w:color w:val="000000" w:themeColor="text1"/>
          <w:lang w:val="en-US"/>
        </w:rPr>
      </w:pPr>
      <w:r w:rsidRPr="00063CE2">
        <w:rPr>
          <w:noProof w:val="0"/>
          <w:color w:val="000000" w:themeColor="text1"/>
          <w:lang w:val="en-US"/>
        </w:rPr>
        <w:t>According to WHO, approximately 50 million people are currently suffering from dementia, a figure that is projected to triple by 2050. Alzheimer’s Disease is the major cause of dementia, followed by cerebrovascular disease and other age-related neurodegenerative disorders. In 2017, WHO developed the Global Dementia Observatory to raise awareness of dementia and encourage a global action plan against it</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{"citationItems":[{"id":"ITEM-1","itemData":{"URL":"http://apps.who.int/bookorders","abstract":"World Health Organization","id":"ITEM-1","issued":{"date-parts":[["2018"]]},"title":"The Global Dementia Observatory Reference Guide World Health Organization","type":"webpage"},"uris":["http://www.mendeley.com/documents/?uuid=28b9818d-6347-36d9-8140-9d8491f04e6d"]}],"mendeley":{"formattedCitation":"&lt;sup&gt;1&lt;/sup&gt;","plainTextFormattedCitation":"1","previouslyFormattedCitation":"&lt;sup&gt;1&lt;/sup&gt;"},"properties":{"noteIndex":0},"schema":"https://github.com/citation-style-language/schema/raw/master/csl-citation.json"}</w:instrText>
      </w:r>
      <w:r w:rsidRPr="00063CE2">
        <w:rPr>
          <w:noProof w:val="0"/>
          <w:color w:val="000000" w:themeColor="text1"/>
          <w:lang w:val="en-US"/>
        </w:rPr>
        <w:fldChar w:fldCharType="separate"/>
      </w:r>
      <w:r w:rsidRPr="00063CE2">
        <w:rPr>
          <w:color w:val="000000" w:themeColor="text1"/>
          <w:vertAlign w:val="superscript"/>
          <w:lang w:val="en-US"/>
        </w:rPr>
        <w:t>1</w:t>
      </w:r>
      <w:r w:rsidRPr="00063CE2">
        <w:rPr>
          <w:noProof w:val="0"/>
          <w:color w:val="000000" w:themeColor="text1"/>
          <w:lang w:val="en-US"/>
        </w:rPr>
        <w:fldChar w:fldCharType="end"/>
      </w:r>
      <w:r w:rsidRPr="00063CE2">
        <w:rPr>
          <w:noProof w:val="0"/>
          <w:color w:val="000000" w:themeColor="text1"/>
          <w:lang w:val="en-US"/>
        </w:rPr>
        <w:t xml:space="preserve">. Each individual has </w:t>
      </w:r>
      <w:r w:rsidR="00F12538" w:rsidRPr="00063CE2">
        <w:rPr>
          <w:noProof w:val="0"/>
          <w:color w:val="000000" w:themeColor="text1"/>
          <w:lang w:val="en-US"/>
        </w:rPr>
        <w:t>their</w:t>
      </w:r>
      <w:r w:rsidRPr="00063CE2">
        <w:rPr>
          <w:noProof w:val="0"/>
          <w:color w:val="000000" w:themeColor="text1"/>
          <w:lang w:val="en-US"/>
        </w:rPr>
        <w:t xml:space="preserve"> own brain aging trajectory</w:t>
      </w:r>
      <w:r w:rsidR="00803A49" w:rsidRPr="00063CE2">
        <w:rPr>
          <w:noProof w:val="0"/>
          <w:color w:val="000000" w:themeColor="text1"/>
          <w:lang w:val="en-US"/>
        </w:rPr>
        <w:t xml:space="preserve">, therefore </w:t>
      </w:r>
      <w:r w:rsidRPr="00063CE2">
        <w:rPr>
          <w:noProof w:val="0"/>
          <w:color w:val="000000" w:themeColor="text1"/>
          <w:lang w:val="en-US"/>
        </w:rPr>
        <w:t>the search for the cure can be challenging due to the complexity of the pathogenesis of neurodegenerative diseases. P</w:t>
      </w:r>
      <w:r w:rsidR="00B977F5" w:rsidRPr="00063CE2">
        <w:rPr>
          <w:noProof w:val="0"/>
          <w:color w:val="000000" w:themeColor="text1"/>
          <w:lang w:val="en-US"/>
        </w:rPr>
        <w:t>erhaps</w:t>
      </w:r>
      <w:r w:rsidRPr="00063CE2">
        <w:rPr>
          <w:noProof w:val="0"/>
          <w:color w:val="000000" w:themeColor="text1"/>
          <w:lang w:val="en-US"/>
        </w:rPr>
        <w:t xml:space="preserve">, each person possesses </w:t>
      </w:r>
      <w:r w:rsidR="002D4CAC" w:rsidRPr="00063CE2">
        <w:rPr>
          <w:noProof w:val="0"/>
          <w:color w:val="000000" w:themeColor="text1"/>
          <w:lang w:val="en-US"/>
        </w:rPr>
        <w:t>her or his</w:t>
      </w:r>
      <w:r w:rsidRPr="00063CE2">
        <w:rPr>
          <w:noProof w:val="0"/>
          <w:color w:val="000000" w:themeColor="text1"/>
          <w:lang w:val="en-US"/>
        </w:rPr>
        <w:t xml:space="preserve"> own pathogenesis written in the brain tissue requiring a personalized approach. Thus, the study of brain tissue will be the key to understanding the mechanisms of neurodegeneration.</w:t>
      </w:r>
    </w:p>
    <w:p w14:paraId="67C9A394" w14:textId="77777777" w:rsidR="00B977F5" w:rsidRPr="00063CE2" w:rsidRDefault="00B977F5" w:rsidP="0069295C">
      <w:pPr>
        <w:rPr>
          <w:noProof w:val="0"/>
          <w:color w:val="000000" w:themeColor="text1"/>
          <w:lang w:val="en-US"/>
        </w:rPr>
      </w:pPr>
    </w:p>
    <w:p w14:paraId="79ED5621" w14:textId="477158AD" w:rsidR="0069295C" w:rsidRPr="00063CE2" w:rsidRDefault="0069295C" w:rsidP="0069295C">
      <w:pPr>
        <w:rPr>
          <w:noProof w:val="0"/>
          <w:color w:val="000000" w:themeColor="text1"/>
          <w:lang w:val="en-US"/>
        </w:rPr>
      </w:pPr>
      <w:r w:rsidRPr="00063CE2">
        <w:rPr>
          <w:noProof w:val="0"/>
          <w:color w:val="000000" w:themeColor="text1"/>
          <w:lang w:val="en-US"/>
        </w:rPr>
        <w:t xml:space="preserve">Looking back at the history of neuroscience, we realize that the most impressive and groundbreaking discoveries could never have occurred without the direct examination of the human brain. Throughout time, the source of brain tissue to be studied has changed from crude dissections, random ‘chance encounters’ and, in some cases, illegal trading, to organized brain </w:t>
      </w:r>
      <w:r w:rsidRPr="00063CE2">
        <w:rPr>
          <w:noProof w:val="0"/>
          <w:color w:val="000000" w:themeColor="text1"/>
          <w:lang w:val="en-US"/>
        </w:rPr>
        <w:lastRenderedPageBreak/>
        <w:t>collections and strategic modern brain banks.</w:t>
      </w:r>
      <w:r w:rsidR="0002609D" w:rsidRPr="00063CE2">
        <w:rPr>
          <w:noProof w:val="0"/>
          <w:color w:val="000000" w:themeColor="text1"/>
          <w:lang w:val="en-US"/>
        </w:rPr>
        <w:t xml:space="preserve"> </w:t>
      </w:r>
      <w:r w:rsidR="0002609D" w:rsidRPr="00063CE2">
        <w:rPr>
          <w:rFonts w:eastAsia="Baskerville" w:cs="Baskerville"/>
          <w:noProof w:val="0"/>
          <w:color w:val="000000" w:themeColor="text1"/>
          <w:lang w:val="en-US"/>
        </w:rPr>
        <w:t>The consideration of many ethical aspects is one of the main factors differentiating modern brain banks from the brain collections of the past.</w:t>
      </w:r>
      <w:r w:rsidRPr="00063CE2">
        <w:rPr>
          <w:noProof w:val="0"/>
          <w:color w:val="000000" w:themeColor="text1"/>
          <w:lang w:val="en-US"/>
        </w:rPr>
        <w:t xml:space="preserve"> The first real modern Brain Banks (BBs) were instituted in the second half of the 20</w:t>
      </w:r>
      <w:r w:rsidRPr="00063CE2">
        <w:rPr>
          <w:noProof w:val="0"/>
          <w:color w:val="000000" w:themeColor="text1"/>
          <w:vertAlign w:val="superscript"/>
          <w:lang w:val="en-US"/>
        </w:rPr>
        <w:t>th</w:t>
      </w:r>
      <w:r w:rsidRPr="00063CE2">
        <w:rPr>
          <w:noProof w:val="0"/>
          <w:color w:val="000000" w:themeColor="text1"/>
          <w:lang w:val="en-US"/>
        </w:rPr>
        <w:t xml:space="preserve"> century. Nicholas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and Wallace </w:t>
      </w:r>
      <w:proofErr w:type="spellStart"/>
      <w:r w:rsidRPr="00063CE2">
        <w:rPr>
          <w:noProof w:val="0"/>
          <w:color w:val="000000" w:themeColor="text1"/>
          <w:lang w:val="en-US"/>
        </w:rPr>
        <w:t>Tourtelotte</w:t>
      </w:r>
      <w:proofErr w:type="spellEnd"/>
      <w:r w:rsidRPr="00063CE2">
        <w:rPr>
          <w:noProof w:val="0"/>
          <w:color w:val="000000" w:themeColor="text1"/>
          <w:lang w:val="en-US"/>
        </w:rPr>
        <w:t xml:space="preserve"> can be considered pioneers of modern brain banking. In the UK,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assembled a collection holding over 1000 well-documented brains affected with various mental and neurological disorders</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{"citationItems":[{"id":"ITEM-1","itemData":{"ISSN":"1460-2156","PMID":"20817923","abstract":"Professor J.A.N. Corsellis, whose life and work is recalled here, gained great insight into the meaning of morphological cerebral aberrations found in neuropsychiatric disease through exact neuropathological investigations of tissue specimens obtained from patients with distinct syndromes. He was a leading authority in the field. We have searched and compiled resources relating to J.A.N. Corsellis' life and work, including personal memories from colleagues and data from scientific publications. J.A.N. Corsellis made seminal contributions to the understanding of neuropsychiatric disease; his works substantially added to the understanding of the dementias, schizophrenia and the psychoses, and morphological sequelae of boxing. In seizure disorders, his name is linked to the first description of focal cortical dysplasia and limbic encephalitis, the pathology of status epilepticus and Ammon's horn sclerosis, and the systematic investigation of epilepsy surgery specimens in general. Both his life and work are closely linked to Runwell Hospital, Wickford, Essex and the Maudsley Hospital. During his professional life he established a large brain bank, now known as the Corsellis Collection. J.A.N. Corsellis had significant impact on neuroscience; many of his observations were groundbreaking and are still valid.","author":[{"dropping-particle":"","family":"Kasper","given":"Burkhard S","non-dropping-particle":"","parse-names":false,"suffix":""},{"dropping-particle":"","family":"Taylor","given":"David C","non-dropping-particle":"","parse-names":false,"suffix":""},{"dropping-particle":"","family":"Janz","given":"Dieter","non-dropping-particle":"","parse-names":false,"suffix":""},{"dropping-particle":"","family":"Kasper","given":"Ekkehard M","non-dropping-particle":"","parse-names":false,"suffix":""},{"dropping-particle":"","family":"Maier","given":"Michael","non-dropping-particle":"","parse-names":false,"suffix":""},{"dropping-particle":"","family":"Williams","given":"Matthew R","non-dropping-particle":"","parse-names":false,"suffix":""},{"dropping-particle":"","family":"Crow","given":"Timothy J","non-dropping-particle":"","parse-names":false,"suffix":""}],"container-title":"Brain : a journal of neurology","id":"ITEM-1","issue":"Pt 12","issued":{"date-parts":[["2010","12"]]},"page":"3795-805","title":"Neuropathology of epilepsy and psychosis: the contributions of J.A.N. Corsellis.","type":"article-journal","volume":"133"},"uris":["http://www.mendeley.com/documents/?uuid=7abd34bb-18d3-389b-9100-7f4b7bf058e8"]}],"mendeley":{"formattedCitation":"&lt;sup&gt;2&lt;/sup&gt;","plainTextFormattedCitation":"2","previouslyFormattedCitation":"&lt;sup&gt;2&lt;/sup&gt;"},"properties":{"noteIndex":0},"schema":"https://github.com/citation-style-language/schema/raw/master/csl-citation.json"}</w:instrText>
      </w:r>
      <w:r w:rsidRPr="00063CE2">
        <w:rPr>
          <w:noProof w:val="0"/>
          <w:color w:val="000000" w:themeColor="text1"/>
          <w:lang w:val="en-US"/>
        </w:rPr>
        <w:fldChar w:fldCharType="separate"/>
      </w:r>
      <w:r w:rsidR="006C1655" w:rsidRPr="00063CE2">
        <w:rPr>
          <w:color w:val="000000" w:themeColor="text1"/>
          <w:vertAlign w:val="superscript"/>
          <w:lang w:val="en-US"/>
        </w:rPr>
        <w:t>2</w:t>
      </w:r>
      <w:r w:rsidRPr="00063CE2">
        <w:rPr>
          <w:noProof w:val="0"/>
          <w:color w:val="000000" w:themeColor="text1"/>
          <w:lang w:val="en-US"/>
        </w:rPr>
        <w:fldChar w:fldCharType="end"/>
      </w:r>
      <w:r w:rsidRPr="00063CE2">
        <w:rPr>
          <w:noProof w:val="0"/>
          <w:color w:val="000000" w:themeColor="text1"/>
          <w:lang w:val="en-US"/>
        </w:rPr>
        <w:t xml:space="preserve">. Furthermore, </w:t>
      </w:r>
      <w:proofErr w:type="spellStart"/>
      <w:r w:rsidRPr="00063CE2">
        <w:rPr>
          <w:noProof w:val="0"/>
          <w:color w:val="000000" w:themeColor="text1"/>
          <w:lang w:val="en-US"/>
        </w:rPr>
        <w:t>Corsellis</w:t>
      </w:r>
      <w:proofErr w:type="spellEnd"/>
      <w:r w:rsidRPr="00063CE2">
        <w:rPr>
          <w:noProof w:val="0"/>
          <w:color w:val="000000" w:themeColor="text1"/>
          <w:lang w:val="en-US"/>
        </w:rPr>
        <w:t xml:space="preserve"> helped reveal the need to preserve fresh brain tissue in ice for the sake of biochemical testings</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mendeley":{"formattedCitation":"&lt;sup&gt;3&lt;/sup&gt;","plainTextFormattedCitation":"3","previouslyFormattedCitation":"&lt;sup&gt;3&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3</w:t>
      </w:r>
      <w:r w:rsidR="006C1655" w:rsidRPr="00063CE2">
        <w:rPr>
          <w:noProof w:val="0"/>
          <w:color w:val="000000" w:themeColor="text1"/>
          <w:lang w:val="en-US"/>
        </w:rPr>
        <w:fldChar w:fldCharType="end"/>
      </w:r>
      <w:r w:rsidRPr="00063CE2">
        <w:rPr>
          <w:noProof w:val="0"/>
          <w:color w:val="000000" w:themeColor="text1"/>
          <w:lang w:val="en-US"/>
        </w:rPr>
        <w:t xml:space="preserve">. Meanwhile in the USA, Wallace </w:t>
      </w:r>
      <w:proofErr w:type="spellStart"/>
      <w:r w:rsidRPr="00063CE2">
        <w:rPr>
          <w:noProof w:val="0"/>
          <w:color w:val="000000" w:themeColor="text1"/>
          <w:lang w:val="en-US"/>
        </w:rPr>
        <w:t>Tourtelotte</w:t>
      </w:r>
      <w:proofErr w:type="spellEnd"/>
      <w:r w:rsidRPr="00063CE2">
        <w:rPr>
          <w:noProof w:val="0"/>
          <w:color w:val="000000" w:themeColor="text1"/>
          <w:lang w:val="en-US"/>
        </w:rPr>
        <w:t xml:space="preserve"> introduced antemortem brain donation programs to facilitate solicitation of potential brain donors and ensure that the brains collected are accompanied by a complete medical and neurological history</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{"citationItems":[{"id":"ITEM-1","itemData":{"ISSN":"0077-8923","PMID":"6598028","author":[{"dropping-particle":"","family":"Tourtellotte","given":"W W","non-dropping-particle":"","parse-names":false,"suffix":""},{"dropping-particle":"","family":"Itabashi","given":"H H","non-dropping-particle":"","parse-names":false,"suffix":""},{"dropping-particle":"","family":"Rosario","given":"I","non-dropping-particle":"","parse-names":false,"suffix":""},{"dropping-particle":"","family":"Berman","given":"K","non-dropping-particle":"","parse-names":false,"suffix":""}],"container-title":"Annals of the New York Academy of Sciences","id":"ITEM-1","issued":{"date-parts":[["1984"]]},"page":"513-6","title":"The National Neurological Research Bank. A collection of cryopreserved human neurological specimens for neuroscientists.","type":"article-journal","volume":"436"},"uris":["http://www.mendeley.com/documents/?uuid=b42267fc-7232-3372-979c-01d9b58c7ba5"]},{"id":"ITEM-2","itemData":{"ISSN":"0303-6995","PMID":"8360665","abstract":"The National Neurological Research Specimen Bank (The Bank) was established in 1961 to provide a vital service to neuroscientists. Our purpose is to support medical research which seeks the etiopathogenesis for devastating neurological disorders with no known cause, treatment or precise animal model. It serves as a bridge between the neurology clinician who diagnoses and cares for patients with incurable disease and the basic scientist who has need for specimens to find their etiopathogenesis. In the long run this service should advance neurologic diagnoses and serve as the basis for designing treatment. The Bank has grown to be the largest, most diverse neurological specimen bank of its kind in the world. It is a type of \"tissue bank\" where donor members \"will\" their central nervous system tissues to science. Then we collect, photograph, seal in air tight bags, quick freeze, cryogenically store and distribute on request the donated tissue to research scientists around the world. All tissue diagnoses are confirmed by clinical records and neuropathologic examination; further histology is conducted on request. In addition to brain and spinal cord tissues, the Bank has samples of other tissues. There are also samples of pre- and post-mortem CSF and sera from normal individuals and patients with various neurological disorders, especially serial specimens on multiple sclerosis patients and HIV-1 seropositive and at risk individuals. This paper outlines the global operations of our human brain bank, based on protocols developed and used by the authors. These operations include donor solicitation, tissue acquisition and documentation, tissue processing and storage, specimen dissemination to users, outcome assessment of banking, quality control, cost of our operation, table of organization and the future.","author":[{"dropping-particle":"","family":"Tourtellotte","given":"W W","non-dropping-particle":"","parse-names":false,"suffix":""},{"dropping-particle":"","family":"Rosario","given":"I P","non-dropping-particle":"","parse-names":false,"suffix":""},{"dropping-particle":"","family":"Conrad","given":"A","non-dropping-particle":"","parse-names":false,"suffix":""},{"dropping-particle":"","family":"Syndulko","given":"K","non-dropping-particle":"","parse-names":false,"suffix":""}],"container-title":"Journal of neural transmission. Supplementum","id":"ITEM-2","issued":{"date-parts":[["1993"]]},"page":"5-15","title":"Human neuro-specimen banking 1961-1992. The National Neurological Research Specimen Bank (a donor program of pre- and post-mortem tissues and cerebrospinal fluid/blood; and a collection of cryopreserved human neurological specimens for neuroscientists).","type":"article-journal","volume":"39"},"uris":["http://www.mendeley.com/documents/?uuid=812fb161-6f7c-3ba7-9399-5abe3af7825c"]}],"mendeley":{"formattedCitation":"&lt;sup&gt;4, 5&lt;/sup&gt;","plainTextFormattedCitation":"4, 5","previouslyFormattedCitation":"&lt;sup&gt;4, 5&lt;/sup&gt;"},"properties":{"noteIndex":0},"schema":"https://github.com/citation-style-language/schema/raw/master/csl-citation.json"}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4, 5</w:t>
      </w:r>
      <w:r w:rsidR="006C1655" w:rsidRPr="00063CE2">
        <w:rPr>
          <w:noProof w:val="0"/>
          <w:color w:val="000000" w:themeColor="text1"/>
          <w:lang w:val="en-US"/>
        </w:rPr>
        <w:fldChar w:fldCharType="end"/>
      </w:r>
      <w:r w:rsidRPr="00063CE2">
        <w:rPr>
          <w:noProof w:val="0"/>
          <w:color w:val="000000" w:themeColor="text1"/>
          <w:lang w:val="en-US"/>
        </w:rPr>
        <w:t xml:space="preserve">. For a historical overview of brain collections and modern BBs, see Carlos </w:t>
      </w:r>
      <w:r w:rsidR="001F16EC" w:rsidRPr="00063CE2">
        <w:rPr>
          <w:i/>
          <w:iCs/>
          <w:noProof w:val="0"/>
          <w:color w:val="000000" w:themeColor="text1"/>
          <w:lang w:val="en-US"/>
        </w:rPr>
        <w:t>et al</w:t>
      </w:r>
      <w:r w:rsidR="00B977F5" w:rsidRPr="00063CE2">
        <w:rPr>
          <w:i/>
          <w:iCs/>
          <w:noProof w:val="0"/>
          <w:color w:val="000000" w:themeColor="text1"/>
          <w:lang w:val="en-US"/>
        </w:rPr>
        <w:t>.</w:t>
      </w:r>
      <w:r w:rsidR="006C1655"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{"citationItems":[{"id":"ITEM-1","itemData":{"ISSN":"2352-8737","PMID":"30775417","abstract":"Our current knowledge of the structure, function, and diseases of the brain comes from direct examination of its substance. In the last centuries, only a few elite had managed to retrieve, gather, and preserve the elusive brain for their own research. The resulting brain collections, stored in formalin-filled jars or dried up in cabinets, served anatomical, neuropathological, anthropometric, ideological, and diagnostic purposes. In the 1960s, the first modern brain banks actively collecting and strategically preserving both diseased and healthy brains to be consequently distributed to the scientific community were instituted. In an era where state-of-the-art biochemical \"Omic\" studies and advanced metabolic and molecular neuroimaging exist, it is now, more than ever, that postmortem brain investigations must be performed. Only through the comparison and integration of postmortem neuropathological and biochemical findings and antemortem data from clinical, neuropsychological neuroimaging, and other biomarker examinations can we truly understand neurological disease mechanisms. Brain banks supplying brain specimens, antemortem information, and postmortem diagnosis are a major benefactor of brain research.","author":[{"dropping-particle":"","family":"Carlos","given":"Arenn Faye","non-dropping-particle":"","parse-names":false,"suffix":""},{"dropping-particle":"","family":"Poloni","given":"Tino Emanuele","non-dropping-particle":"","parse-names":false,"suffix":""},{"dropping-particle":"","family":"Medici","given":"Valentina","non-dropping-particle":"","parse-names":false,"suffix":""},{"dropping-particle":"","family":"Chikhladze","given":"Maia","non-dropping-particle":"","parse-names":false,"suffix":""},{"dropping-particle":"","family":"Guaita","given":"Antonio","non-dropping-particle":"","parse-names":false,"suffix":""},{"dropping-particle":"","family":"Ceroni","given":"Mauro","non-dropping-particle":"","parse-names":false,"suffix":""}],"container-title":"Alzheimer's &amp; dementia (New York, N. Y.)","id":"ITEM-1","issued":{"date-parts":[["2019"]]},"page":"52-60","title":"From brain collections to modern brain banks: A historical perspective.","type":"article-journal","volume":"5"},"uris":["http://www.mendeley.com/documents/?uuid=20e631a2-e85d-3e52-b7fc-7216fb71ed20"]}],"mendeley":{"formattedCitation":"&lt;sup&gt;6&lt;/sup&gt;","plainTextFormattedCitation":"6","previouslyFormattedCitation":"&lt;sup&gt;6&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6</w:t>
      </w:r>
      <w:r w:rsidR="006C1655" w:rsidRPr="00063CE2">
        <w:rPr>
          <w:noProof w:val="0"/>
          <w:color w:val="000000" w:themeColor="text1"/>
          <w:lang w:val="en-US"/>
        </w:rPr>
        <w:fldChar w:fldCharType="end"/>
      </w:r>
      <w:r w:rsidRPr="00063CE2">
        <w:rPr>
          <w:noProof w:val="0"/>
          <w:color w:val="000000" w:themeColor="text1"/>
          <w:lang w:val="en-US"/>
        </w:rPr>
        <w:t>.</w:t>
      </w:r>
    </w:p>
    <w:p w14:paraId="44908C4C" w14:textId="77777777" w:rsidR="00B977F5" w:rsidRPr="00063CE2" w:rsidRDefault="00B977F5" w:rsidP="0069295C">
      <w:pPr>
        <w:rPr>
          <w:noProof w:val="0"/>
          <w:color w:val="000000" w:themeColor="text1"/>
          <w:lang w:val="en-US"/>
        </w:rPr>
      </w:pPr>
    </w:p>
    <w:p w14:paraId="210E3B6F" w14:textId="37CB0E8D" w:rsidR="0069295C" w:rsidRPr="00063CE2" w:rsidRDefault="0069295C" w:rsidP="0069295C">
      <w:pPr>
        <w:rPr>
          <w:noProof w:val="0"/>
          <w:color w:val="000000" w:themeColor="text1"/>
          <w:lang w:val="en-US"/>
        </w:rPr>
      </w:pPr>
      <w:r w:rsidRPr="00063CE2">
        <w:rPr>
          <w:noProof w:val="0"/>
          <w:color w:val="000000" w:themeColor="text1"/>
          <w:lang w:val="en-US"/>
        </w:rPr>
        <w:t>So</w:t>
      </w:r>
      <w:r w:rsidR="002D4CAC" w:rsidRPr="00063CE2">
        <w:rPr>
          <w:noProof w:val="0"/>
          <w:color w:val="000000" w:themeColor="text1"/>
          <w:lang w:val="en-US"/>
        </w:rPr>
        <w:t>,</w:t>
      </w:r>
      <w:r w:rsidRPr="00063CE2">
        <w:rPr>
          <w:noProof w:val="0"/>
          <w:color w:val="000000" w:themeColor="text1"/>
          <w:lang w:val="en-US"/>
        </w:rPr>
        <w:t xml:space="preserve"> why do we still need human brains? Brain diseases can only </w:t>
      </w:r>
      <w:r w:rsidR="002D4CAC" w:rsidRPr="00063CE2">
        <w:rPr>
          <w:noProof w:val="0"/>
          <w:color w:val="000000" w:themeColor="text1"/>
          <w:lang w:val="en-US"/>
        </w:rPr>
        <w:t>be given</w:t>
      </w:r>
      <w:r w:rsidRPr="00063CE2">
        <w:rPr>
          <w:noProof w:val="0"/>
          <w:color w:val="000000" w:themeColor="text1"/>
          <w:lang w:val="en-US"/>
        </w:rPr>
        <w:t xml:space="preserve"> a definite diagnosis following neuropathological examination. Neuropathology challenges the clinical diagnosis, and is the key to a correct interpretation of the clinical symptoms and to the discovery of the histological bases of new syndromic variants. Indeed, the diagnosis can be redefined based on the pathological picture. Nonetheless, the autopsy rate has declined in the last decades due to recent development of innovative neuroimaging techniques. Through brain imaging, the morphological, functional and metabolic alterations in the brain, as well as the extent of protein misfolding, can be appraised </w:t>
      </w:r>
      <w:r w:rsidRPr="00063CE2">
        <w:rPr>
          <w:i/>
          <w:noProof w:val="0"/>
          <w:color w:val="000000" w:themeColor="text1"/>
          <w:lang w:val="en-US"/>
        </w:rPr>
        <w:t>in vivo</w:t>
      </w:r>
      <w:r w:rsidRPr="00063CE2">
        <w:rPr>
          <w:iCs/>
          <w:noProof w:val="0"/>
          <w:color w:val="000000" w:themeColor="text1"/>
          <w:lang w:val="en-US"/>
        </w:rPr>
        <w:t xml:space="preserve">. However, </w:t>
      </w:r>
      <w:r w:rsidRPr="00063CE2">
        <w:rPr>
          <w:i/>
          <w:noProof w:val="0"/>
          <w:color w:val="000000" w:themeColor="text1"/>
          <w:lang w:val="en-US"/>
        </w:rPr>
        <w:t>in vivo</w:t>
      </w:r>
      <w:r w:rsidRPr="00063CE2">
        <w:rPr>
          <w:noProof w:val="0"/>
          <w:color w:val="000000" w:themeColor="text1"/>
          <w:lang w:val="en-US"/>
        </w:rPr>
        <w:t xml:space="preserve"> neuroimaging and other biomarker studies can only give an “estimate” of the pathological picture </w:t>
      </w:r>
      <w:r w:rsidR="002D4CAC" w:rsidRPr="00063CE2">
        <w:rPr>
          <w:noProof w:val="0"/>
          <w:color w:val="000000" w:themeColor="text1"/>
          <w:lang w:val="en-US"/>
        </w:rPr>
        <w:t>as</w:t>
      </w:r>
      <w:r w:rsidRPr="00063CE2">
        <w:rPr>
          <w:noProof w:val="0"/>
          <w:color w:val="000000" w:themeColor="text1"/>
          <w:lang w:val="en-US"/>
        </w:rPr>
        <w:t xml:space="preserve"> they are unable to detect subtle </w:t>
      </w:r>
      <w:r w:rsidR="001E7620" w:rsidRPr="00063CE2">
        <w:rPr>
          <w:noProof w:val="0"/>
          <w:color w:val="000000" w:themeColor="text1"/>
          <w:lang w:val="en-US"/>
        </w:rPr>
        <w:t xml:space="preserve">cellular and </w:t>
      </w:r>
      <w:r w:rsidRPr="00063CE2">
        <w:rPr>
          <w:noProof w:val="0"/>
          <w:color w:val="000000" w:themeColor="text1"/>
          <w:lang w:val="en-US"/>
        </w:rPr>
        <w:t>molecular changes. Advances in molecular imaging and the discovery of new biomarkers, target molecules, and tracers</w:t>
      </w:r>
      <w:r w:rsidRPr="00063CE2">
        <w:rPr>
          <w:noProof w:val="0"/>
          <w:color w:val="000000" w:themeColor="text1"/>
          <w:lang w:val="en-US"/>
        </w:rPr>
        <w:fldChar w:fldCharType="begin" w:fldLock="1"/>
      </w:r>
      <w:r w:rsidR="006C1655" w:rsidRPr="00063CE2">
        <w:rPr>
          <w:noProof w:val="0"/>
          <w:color w:val="000000" w:themeColor="text1"/>
          <w:lang w:val="en-US"/>
        </w:rPr>
        <w:instrText>ADDIN CSL_CITATION {"citationItems":[{"id":"ITEM-1","itemData":{"ISSN":"1506-9680","PMID":"21154313","abstract":"Dementia affects about 8% of people age 65 years and older. Identification of dementia is particularly difficult in its early phases when family members and physicians often incorrectly attribute the patient's symptoms to normal aging. The most frequently occurring ailments that are connected with neurodegeneration are: Alzheimer's disease, Parkinson's disease, Huntington's disease, amyotrophic lateral sclerosis, and multiple sclerosis. A variety of powerful techniques that have allowed visualization of organ structure and function with exact detail have been introduced in the last twenty-five years. One such neuroimaging technique is positron emission tomography (PET), which measures in detail the functioning of distinct areas of the human brain and as a result plays a critical role in clinical and research applications. Radiotracer-based functional imaging provides a sensitive means of recognizing and characterizing the regional changes in brain metabolism and receptor binding associated with cognitive disorders. The next functional imaging technique widely used in the diagnosis of cognitive disorders is single photon emission computed tomography (SPECT). New radiotracers are being developed and promise to expand further the list of indications for PET. Prospects for developing new tracers for imaging other organ diseases also appear to be very promising. In this review, we present current opportunities of neuroimaging techniques in the diagnosis and differentiation of neurodegenerative disorders.","author":[{"dropping-particle":"","family":"Szymański","given":"Paweł","non-dropping-particle":"","parse-names":false,"suffix":""},{"dropping-particle":"","family":"Markowicz","given":"Magdalena","non-dropping-particle":"","parse-names":false,"suffix":""},{"dropping-particle":"","family":"Janik","given":"Agnieszka","non-dropping-particle":"","parse-names":false,"suffix":""},{"dropping-particle":"","family":"Ciesielski","given":"Mateusz","non-dropping-particle":"","parse-names":false,"suffix":""},{"dropping-particle":"","family":"Mikiciuk-Olasik","given":"Elżbieta","non-dropping-particle":"","parse-names":false,"suffix":""}],"container-title":"Nuclear medicine review. Central &amp; Eastern Europe","id":"ITEM-1","issue":"1","issued":{"date-parts":[["2010"]]},"page":"23-31","title":"Neuroimaging diagnosis in neurodegenerative diseases.","type":"article-journal","volume":"13"},"uris":["http://www.mendeley.com/documents/?uuid=df1e8da7-11af-3af0-a4ed-7c54974de2e6"]}],"mendeley":{"formattedCitation":"&lt;sup&gt;7&lt;/sup&gt;","plainTextFormattedCitation":"7","previouslyFormattedCitation":"&lt;sup&gt;7&lt;/sup&gt;"},"properties":{"noteIndex":0},"schema":"https://github.com/citation-style-language/schema/raw/master/csl-citation.json"}</w:instrText>
      </w:r>
      <w:r w:rsidRPr="00063CE2">
        <w:rPr>
          <w:noProof w:val="0"/>
          <w:color w:val="000000" w:themeColor="text1"/>
          <w:lang w:val="en-US"/>
        </w:rPr>
        <w:fldChar w:fldCharType="separate"/>
      </w:r>
      <w:r w:rsidR="006C1655" w:rsidRPr="00063CE2">
        <w:rPr>
          <w:color w:val="000000" w:themeColor="text1"/>
          <w:vertAlign w:val="superscript"/>
          <w:lang w:val="en-US"/>
        </w:rPr>
        <w:t>7</w:t>
      </w:r>
      <w:r w:rsidRPr="00063CE2">
        <w:rPr>
          <w:noProof w:val="0"/>
          <w:color w:val="000000" w:themeColor="text1"/>
          <w:lang w:val="en-US"/>
        </w:rPr>
        <w:fldChar w:fldCharType="end"/>
      </w:r>
      <w:r w:rsidRPr="00063CE2">
        <w:rPr>
          <w:noProof w:val="0"/>
          <w:color w:val="000000" w:themeColor="text1"/>
          <w:lang w:val="en-US"/>
        </w:rPr>
        <w:t xml:space="preserve"> (e.g.</w:t>
      </w:r>
      <w:r w:rsidR="00B977F5" w:rsidRPr="00063CE2">
        <w:rPr>
          <w:noProof w:val="0"/>
          <w:color w:val="000000" w:themeColor="text1"/>
          <w:lang w:val="en-US"/>
        </w:rPr>
        <w:t>,</w:t>
      </w:r>
      <w:r w:rsidRPr="00063CE2">
        <w:rPr>
          <w:noProof w:val="0"/>
          <w:color w:val="000000" w:themeColor="text1"/>
          <w:lang w:val="en-US"/>
        </w:rPr>
        <w:t xml:space="preserve"> amyloid, TAU, microglial tracers) render the human brain even more indispensable to the interpretation of data obtained from clinical evaluations and biomarker testing. Furthermore, the </w:t>
      </w:r>
      <w:r w:rsidR="00B977F5" w:rsidRPr="00063CE2">
        <w:rPr>
          <w:noProof w:val="0"/>
          <w:color w:val="000000" w:themeColor="text1"/>
          <w:lang w:val="en-US"/>
        </w:rPr>
        <w:t>o</w:t>
      </w:r>
      <w:r w:rsidRPr="00063CE2">
        <w:rPr>
          <w:noProof w:val="0"/>
          <w:color w:val="000000" w:themeColor="text1"/>
          <w:lang w:val="en-US"/>
        </w:rPr>
        <w:t>mics technologies (genomics, epigenomics, trans</w:t>
      </w:r>
      <w:r w:rsidR="00F12538" w:rsidRPr="00063CE2">
        <w:rPr>
          <w:noProof w:val="0"/>
          <w:color w:val="000000" w:themeColor="text1"/>
          <w:lang w:val="en-US"/>
        </w:rPr>
        <w:t>c</w:t>
      </w:r>
      <w:r w:rsidRPr="00063CE2">
        <w:rPr>
          <w:noProof w:val="0"/>
          <w:color w:val="000000" w:themeColor="text1"/>
          <w:lang w:val="en-US"/>
        </w:rPr>
        <w:t xml:space="preserve">riptomics, metabolomics, proteomics, </w:t>
      </w:r>
      <w:proofErr w:type="spellStart"/>
      <w:r w:rsidRPr="00063CE2">
        <w:rPr>
          <w:noProof w:val="0"/>
          <w:color w:val="000000" w:themeColor="text1"/>
          <w:lang w:val="en-US"/>
        </w:rPr>
        <w:t>lipidomics</w:t>
      </w:r>
      <w:proofErr w:type="spellEnd"/>
      <w:r w:rsidRPr="00063CE2">
        <w:rPr>
          <w:noProof w:val="0"/>
          <w:color w:val="000000" w:themeColor="text1"/>
          <w:lang w:val="en-US"/>
        </w:rPr>
        <w:t>, etc.), performed on fresh and frozen brain tissue, opened up new possibilities for understanding disease mechanisms and discovering risk genes, novel diagnostic and prognostic markers, and potential drug targets</w:t>
      </w:r>
      <w:r w:rsidR="006C1655" w:rsidRPr="00063CE2">
        <w:rPr>
          <w:noProof w:val="0"/>
          <w:color w:val="000000" w:themeColor="text1"/>
          <w:lang w:val="en-US"/>
        </w:rPr>
        <w:fldChar w:fldCharType="begin" w:fldLock="1"/>
      </w:r>
      <w:r w:rsidR="00C1675A">
        <w:rPr>
          <w:noProof w:val="0"/>
          <w:color w:val="000000" w:themeColor="text1"/>
          <w:lang w:val="en-US"/>
        </w:rPr>
        <w:instrText>ADDIN CSL_CITATION {"citationItems":[{"id":"ITEM-1","itemData":{"ISSN":"1660-3818","author":[{"dropping-particle":"","family":"Nowak","given":"Daniel","non-dropping-particle":"","parse-names":false,"suffix":""},{"dropping-particle":"","family":"Hofmann","given":"Wolf-Karsten","non-dropping-particle":"","parse-names":false,"suffix":""},{"dropping-particle":"","family":"Koeffler","given":"H. Phillip","non-dropping-particle":"","parse-names":false,"suffix":""}],"container-title":"Transfusion Medicine and Hemotherapy","id":"ITEM-1","issue":"4","issued":{"date-parts":[["2009"]]},"page":"246-251","title":"Genome-Wide Mapping Of Copy Number Variations using SNP Arrays","type":"article-journal","volume":"36"},"uris":["http://www.mendeley.com/documents/?uuid=87a98c0c-041c-3d2c-ab5f-96ee928121b6"]},{"id":"ITEM-2","itemData":{"ISSN":"1553-7358","PMID":"23300413","abstract":"Genome-wide association studies (GWAS) have evolved over the last ten years into a powerful tool for investigating the genetic architecture of human disease. In this work, we review the key concepts underlying GWAS, including the architecture of common diseases, the structure of common human genetic variation, technologies for capturing genetic information, study designs, and the statistical methods used for data analysis. We also look forward to the future beyond GWAS.","author":[{"dropping-particle":"","family":"Bush","given":"William S","non-dropping-particle":"","parse-names":false,"suffix":""},{"dropping-particle":"","family":"Moore","given":"Jason H","non-dropping-particle":"","parse-names":false,"suffix":""}],"container-title":"PLoS computational biology","editor":[{"dropping-particle":"","family":"Lewitter","given":"Fran","non-dropping-particle":"","parse-names":false,"suffix":""},{"dropping-particle":"","family":"Kann","given":"Maricel","non-dropping-particle":"","parse-names":false,"suffix":""}],"id":"ITEM-2","issue":"12","issued":{"date-parts":[["2012","12","27"]]},"page":"e1002822","title":"Chapter 11: Genome-wide association studies.","type":"article-journal","volume":"8"},"uris":["http://www.mendeley.com/documents/?uuid=16314cbe-823f-3049-8aaa-c103c31a0454"]},{"id":"ITEM-3","itemData":{"ISSN":"0006-3002","PMID":"25680928","abstract":"Neurodegenerative disorders such as Alzheimer's disease (AD), Parkinson's disease (PD), and amyotrophic lateral sclerosis (ALS) are characterized by neuronal impairment that leads to disease-specific changes in the neuronal proteins. The early diagnosis of these disorders is difficult, thus, the need for identifying, developing and using valid clinically applicable biomarkers that meet the criteria of precision, specificity and repeatability is very vital. The application of rapidly emerging technology such as mass spectrometry (MS) in proteomics has opened new avenues to accelerate biomarker discovery, both for diagnostic as well as for prognostic purposes. This review summarizes the most recent advances in the mass spectrometry-based neuroproteomics and analyses the current and future directions in the biomarker discovery for the neurodegenerative diseases. This article is part of a Special Issue entitled: Neuroproteomics: Applications in Neuroscience and Neurology.","author":[{"dropping-particle":"","family":"Shevchenko","given":"Ganna","non-dropping-particle":"","parse-names":false,"suffix":""},{"dropping-particle":"","family":"Konzer","given":"Anne","non-dropping-particle":"","parse-names":false,"suffix":""},{"dropping-particle":"","family":"Musunuri","given":"Sravani","non-dropping-particle":"","parse-names":false,"suffix":""},{"dropping-particle":"","family":"Bergquist","given":"Jonas","non-dropping-particle":"","parse-names":false,"suffix":""}],"container-title":"Biochimica et biophysica acta","id":"ITEM-3","issue":"7","issued":{"date-parts":[["2015","7"]]},"page":"705-17","title":"Neuroproteomics tools in clinical practice.","type":"article-journal","volume":"1854"},"uris":["http://www.mendeley.com/documents/?uuid=804a3ffc-04a0-360c-bdbd-69ad36fc9818"]},{"id":"ITEM-4","itemData":{"ISSN":"0736-6205","PMID":"14513544","author":[{"dropping-particle":"","family":"Patterson","given":"Scott D","non-dropping-particle":"","parse-names":false,"suffix":""}],"container-title":"BioTechniques","id":"ITEM-4","issue":"3","issued":{"date-parts":[["2003","9"]]},"page":"440-4","title":"Proteomics: evolution of the technology.","type":"article-journal","volume":"35"},"uris":["http://www.mendeley.com/documents/?uuid=95ea60d5-72e1-306b-91e6-3be0f205a466"]},{"id":"ITEM-5","itemData":{"ISSN":"1862-8354","PMID":"26059592","abstract":"Neurodegenerative diseases (NDs), such as Alzheimer's disease and Parkinson's disease, are among the most debilitating neurological disorders, and as life expectancy rises quickly around the world, the scientific and clinical challenges of dealing with them will also increase dramatically, putting increased pressure on the biomedical community to come up with innovative solutions for the understanding, diagnosis, and treatment of these conditions. Despite several decades of intensive research, there is still little that can be done to prevent, cure, or even slow down the progression of NDs in most patients. There is an urgent need to develop new lines of basic and applied research that can be quickly translated into clinical application. One way to do this is to apply the tools of proteomics to well-characterized samples of human brain tissue, but a closer partnership must still be forged between proteomic scientists, brain banks, and clinicians to explore the maximum potential of this approach. Here, we analyze the challenges and potential benefits of using human brain tissue for proteomics research toward NDs.","author":[{"dropping-particle":"","family":"Paraizo Leite","given":"Renata Elaine","non-dropping-particle":"","parse-names":false,"suffix":""},{"dropping-particle":"","family":"Tenenholz Grinberg","given":"Lea","non-dropping-particle":"","parse-names":false,"suffix":""}],"container-title":"Proteomics. Clinical applications","id":"ITEM-5","issue":"9-10","issued":{"date-parts":[["2015","10"]]},"page":"832-7","title":"Closing the gap between brain banks and proteomics to advance the study of neurodegenerative diseases.","type":"article-journal","volume":"9"},"uris":["http://www.mendeley.com/documents/?uuid=47dc4983-852b-3f27-9077-fbbb5bcee321"]},{"id":"ITEM-6","itemData":{"ISSN":"00062952","PMID":"28159621","abstract":"The aggregation of specific proteins plays a pivotal role in the etiopathogenesis of several neurodegenerative diseases (NDs). β-Amyloid (Aβ) peptide-containing plaques and intraneuronal neurofibrillary tangles composed of hyperphosphorylated protein tau are the two main neuropathological lesions in Alzheimer's disease. Meanwhile, Parkinson's disease is defined by the presence of intraneuronal inclusions (Lewy bodies), in which α-synuclein (α-syn) has been identified as a major protein component. The current literature provides considerable insights into the mechanisms underlying oligomeric-related neurodegeneration, as well as the relationship between protein aggregation and ND, thus facilitating the development of novel putative biomarkers and/or pharmacological targets. Recently, α-syn, tau and Aβ have been shown to interact each other or with other \"pathological proteins\" to form toxic heteroaggregates. These latest findings are overcoming the concept that each neurodegenerative disease is related to the misfolding of a single specific protein. In this review, potential opportunities and pharmacological approaches targeting α-syn, tau and Aβ and their oligomeric forms are highlighted with examples from recent studies. Protein aggregation as a biomarker of NDs, in both the brain and peripheral fluids, is deeply explored. Finally, the relationship between biomarker establishment and assessment and their use as diagnostics or therapeutic targets are discussed.","author":[{"dropping-particle":"","family":"Giacomelli","given":"Chiara","non-dropping-particle":"","parse-names":false,"suffix":""},{"dropping-particle":"","family":"Daniele","given":"Simona","non-dropping-particle":"","parse-names":false,"suffix":""},{"dropping-particle":"","family":"Martini","given":"Claudia","non-dropping-particle":"","parse-names":false,"suffix":""}],"container-title":"Biochemical Pharmacology","id":"ITEM-6","issued":{"date-parts":[["2017","5","1"]]},"page":"1-15","title":"Potential biomarkers and novel pharmacological targets in protein aggregation-related neurodegenerative diseases","type":"article-journal","volume":"131"},"uris":["http://www.mendeley.com/documents/?uuid=836b5d85-9309-3637-a193-af6b73d72b53"]},{"id":"ITEM-7","itemData":{"ISSN":"1473-7159","PMID":"15137899","abstract":"Neurological diseases are defined as an inappropriate function of the peripheral or central nervous system due to impaired electrical impulses throughout the brain and/or nervous system that may present with heterogeneous symptoms according to the parts of the system involved in these pathologic processes. Growing evidence on genetic components of neurological disease have been collected during recent years. Genetic studies have opened the way for understanding the underlying pathology of many neurological disorders. The outcome of current intense research into the genetics of neurological disorders will hopefully be the introduction of new diagnostic tools and the discovery of potential targets for new and more effective medications and preventive measures.","author":[{"dropping-particle":"","family":"Faghihi","given":"Mohammad Ali","non-dropping-particle":"","parse-names":false,"suffix":""},{"dropping-particle":"","family":"Mottagui-Tabar","given":"Salim","non-dropping-particle":"","parse-names":false,"suffix":""},{"dropping-particle":"","family":"Wahlestedt","given":"Claes","non-dropping-particle":"","parse-names":false,"suffix":""}],"container-title":"Expert review of molecular diagnostics","id":"ITEM-7","issue":"3","issued":{"date-parts":[["2004","5","9"]]},"page":"317-32","title":"Genetics of neurological disorders.","type":"article-journal","volume":"4"},"uris":["http://www.mendeley.com/documents/?uuid=3513af7c-2254-3f08-ab17-839f332fed63"]},{"id":"ITEM-8","itemData":{"ISSN":"00016314","author":[{"dropping-particle":"","family":"Toft","given":"M.","non-dropping-particle":"","parse-names":false,"suffix":""}],"container-title":"Acta Neurologica Scandinavica","id":"ITEM-8","issued":{"date-parts":[["2014","4"]]},"page":"20-25","title":"Advances in genetic diagnosis of neurological disorders","type":"article-journal","volume":"129"},"uris":["http://www.mendeley.com/documents/?uuid=f97f3fa2-f53d-3cd3-8072-cd5d976712bd"]},{"id":"ITEM-9","itemData":{"ISBN":"9780195188134","abstract":"Part I. General genomics. From genes to genomes: a historical perspective / Ian Dunham and Don Powell -- The human genome: structure and organization / Andrew Read -- Human functional genomics and proteomics / Yoshiji Yamada, Sahoko Ichiahara, and Masaharu Takemura -- Epigenomics and human disease / Santiago Uribe Lewis, Christopher Everett, and Richard Festenstein -- Genomic perspective of human development / Dhavendra Kumar -- Genetic and genomic approaches to taxonomy of human disease / Dhavendra Kumar -- Genomic technologies / Ian M. Frayling -- Nutritional genomics / Patrick J. Stover -- Pharmacogenomics: drug development, drug response, and precision medicines / Michelle Penny and Duncan McHale -- Part II. Clinical genomics. Clinical medicine in the genome era: an introduction / Dhavendra Kumar -- Complex cardiovascular disorders / Dan E. Arking -- Diabetes mellitus and obesity / Mark I. McCarthy -- Chronic renal disease / Albert C.M. Ong and A. Peter Maxwell -- Hemostasis and thrombosis / John H. McVet and Edward G.D. Tuddenham -- Disorders of platelets / Wadie F. Bahou -- Applications in critical care medicine / Christopher S. Garrard, Charles Hinds, and Julian Knight -- The epilepsies / Mark Gardiner -- Neurodegenerative disorders: tauopathies and synucleinopathies / Huw R. Morris and Andrew Singleton -- Neuropsychiatric disease I: schizophrenia / Patrick F. Sullivan -- Neuropsychiatric diseases II: mood disorders / Dhavendra Kumar -- Asthma and chronic obstructive pulmonary disease / William O.C. Cookson -- Inflammatory bowel disease / Saad Pathan and Derek Jewell -- Genomics and cancer: mechanisms and applications / Mark Davies and Julian Sampson -- Hematological malignancies: the paradigm of acute myeloid leukemia / Kenneth I. Mills and Alan Burnett -- Genomics and infectious diseases: susceptibility, resistance, antimicrobial therapy / Sarra E. Jamiesson and Christopher S. Peacock. Rheumatoid arthritis and related arthropathies / Pille Harrison and Paul Wordsworth -- Immunological disorders / Tineke C.M.T. van der Pouw Kraan and Cornelis L. Verweij -- Applications in clinical pediatrics / Michael R. Konikoff and Michael D. Bates -- Learning and behavioral disorders / Lucy Raymound and James Cox -- Complex ophthalmic disorders / Forbes D.C. Manson, Andrew R. Webster, and Graeme C.M. Black -- Application in audiological medicine / Lut van Laer and Guy van Camp -- Complex skin diseases I: psoriasis / Colin Veal and David Burden -- Complex skin…","author":[{"dropping-particle":"","family":"Kumar","given":"Dhavendra.","non-dropping-particle":"","parse-names":false,"suffix":""},{"dropping-particle":"","family":"Weatherall","given":"D. J.","non-dropping-particle":"","parse-names":false,"suffix":""}],"chapter-number":"Chapter: G","id":"ITEM-9","issued":{"date-parts":[["2008"]]},"page":"651","publisher":"Oxford University Press","title":"Genomics and clinical medicine","type":"chapter"},"uris":["http://www.mendeley.com/documents/?uuid=c995861e-b1a6-326e-8120-183251efdf38"]},{"id":"ITEM-10","itemData":{"ISSN":"16720229","PMID":"25108264","abstract":"Neurological disorders comprise a variety of complex diseases in the central nervous system, which can be roughly classified as neurodegenerative diseases and psychiatric disorders. The basic and translational research of neurological disorders has been hindered by the difficulty in accessing the pathological center (i.e., the brain) in live patients. The rapid advancement of sequencing and array technologies has made it possible to investigate the disease mechanism and biomarkers from a systems perspective. In this review, recent progresses in the discovery of novel risk genes, treatment targets and peripheral biomarkers employing genomic technologies will be discussed. Our major focus will be on two of the most heavily investigated neurological disorders, namely Alzheimer's disease and autism spectrum disorder.","author":[{"dropping-particle":"","family":"Han","given":"Guangchun","non-dropping-particle":"","parse-names":false,"suffix":""},{"dropping-particle":"","family":"Sun","given":"Jiya","non-dropping-particle":"","parse-names":false,"suffix":""},{"dropping-particle":"","family":"Wang","given":"Jiajia","non-dropping-particle":"","parse-names":false,"suffix":""},{"dropping-particle":"","family":"Bai","given":"Zhouxian","non-dropping-particle":"","parse-names":false,"suffix":""},{"dropping-particle":"","family":"Song","given":"Fuhai","non-dropping-particle":"","parse-names":false,"suffix":""},{"dropping-particle":"","family":"Lei","given":"Hongxing","non-dropping-particle":"","parse-names":false,"suffix":""}],"container-title":"Genomics, Proteomics &amp; Bioinformatics","id":"ITEM-10","issue":"4","issued":{"date-parts":[["2014","8"]]},"page":"156-163","title":"Genomics in Neurological Disorders","type":"article-journal","volume":"12"},"uris":["http://www.mendeley.com/documents/?uuid=c06a548d-81bf-3af5-8cb6-fc34a61ee1df"]},{"id":"ITEM-11","itemData":{"ISSN":"1868-7083","PMID":"27895806","abstract":"A myriad of diseases is caused or characterized by alteration of epigenetic patterns, including changes in DNA methylation, post-translational histone modifications, or chromatin structure. These changes of the epigenome represent a highly interesting layer of information for disease stratification and for personalized medicine. Traditionally, epigenomic profiling required large amounts of cells, which are rarely available with clinical samples. Also, the cellular heterogeneity complicates analysis when profiling clinical samples for unbiased genome-wide biomarker discovery. Recent years saw great progress in miniaturization of genome-wide epigenomic profiling, enabling large-scale epigenetic biomarker screens for disease diagnosis, prognosis, and stratification on patient-derived samples. All main genome-wide profiling technologies have now been scaled down and/or are compatible with single-cell readout, including: (i) Bisulfite sequencing to determine DNA methylation at base-pair resolution, (ii) ChIP-Seq to identify protein binding sites on the genome, (iii) DNaseI-Seq/ATAC-Seq to profile open chromatin, and (iv) 4C-Seq and HiC-Seq to determine the spatial organization of chromosomes. In this review we provide an overview of current genome-wide epigenomic profiling technologies and main technological advances that allowed miniaturization of these assays down to single-cell level. For each of these technologies we evaluate their application for future biomarker discovery. We will focus on (i) compatibility of these technologies with methods used for clinical sample preservation, including methods used by biobanks that store large numbers of patient samples, and (ii) automation of these technologies for robust sample preparation and increased throughput.","author":[{"dropping-particle":"","family":"Dirks","given":"René A M","non-dropping-particle":"","parse-names":false,"suffix":""},{"dropping-particle":"","family":"Stunnenberg","given":"Hendrik G","non-dropping-particle":"","parse-names":false,"suffix":""},{"dropping-particle":"","family":"Marks","given":"Hendrik","non-dropping-particle":"","parse-names":false,"suffix":""}],"container-title":"Clinical epigenetics","id":"ITEM-11","issue":"1","issued":{"date-parts":[["2016","12","21"]]},"page":"122","title":"Genome-wide epigenomic profiling for biomarker discovery.","type":"article-journal","volume":"8"},"uris":["http://www.mendeley.com/documents/?uuid=aad2a2a9-de04-3aeb-9397-55b3924787f8"]},{"id":"ITEM-12","itemData":{"DOI":"10.1101/cshperspect.a018200","ISSN":"1943-0264","author":[{"dropping-particle":"","family":"Felsenfeld","given":"G.","non-dropping-particle":"","parse-names":false,"suffix":""}],"container-title":"Cold Spring Harbor Perspectives in Biology","id":"ITEM-12","issue":"1","issued":{"date-parts":[["2014","1","1"]]},"page":"a018200-a018200","title":"A Brief History of Epigenetics","type":"article-journal","volume":"6"},"uris":["http://www.mendeley.com/documents/?uuid=1b6a0c67-7253-3c2a-af49-a8e82d449280"]},{"id":"ITEM-13","itemData":{"ISSN":"18758908","author":[{"dropping-particle":"","family":"Cogswell","given":"John P.","non-dropping-particle":"","parse-names":false,"suffix":""},{"dropping-particle":"","family":"Ward","given":"James","non-dropping-particle":"","parse-names":false,"suffix":""},{"dropping-particle":"","family":"Taylor","given":"Ian A.","non-dropping-particle":"","parse-names":false,"suffix":""},{"dropping-particle":"","family":"Waters","given":"Michelle","non-dropping-particle":"","parse-names":false,"suffix":""},{"dropping-particle":"","family":"Shi","given":"Yunling","non-dropping-particle":"","parse-names":false,"suffix":""},{"dropping-particle":"","family":"Cannon","given":"Brian","non-dropping-particle":"","parse-names":false,"suffix":""},{"dropping-particle":"","family":"Kelnar","given":"Kevin","non-dropping-particle":"","parse-names":false,"suffix":""},{"dropping-particle":"","family":"Kemppainen","given":"Jon","non-dropping-particle":"","parse-names":false,"suffix":""},{"dropping-particle":"","family":"Brown","given":"David","non-dropping-particle":"","parse-names":false,"suffix":""},{"dropping-particle":"","family":"Chen","given":"Caifu","non-dropping-particle":"","parse-names":false,"suffix":""},{"dropping-particle":"","family":"Prinjha","given":"Rab K.","non-dropping-particle":"","parse-names":false,"suffix":""},{"dropping-particle":"","family":"Richardson","given":"Jill C.","non-dropping-particle":"","parse-names":false,"suffix":""},{"dropping-particle":"","family":"Saunders","given":"Ann M.","non-dropping-particle":"","parse-names":false,"suffix":""},{"dropping-particle":"","family":"Roses","given":"Allen D.","non-dropping-particle":"","parse-names":false,"suffix":""},{"dropping-particle":"","family":"Richards","given":"Cynthia A.","non-dropping-particle":"","parse-names":false,"suffix":""}],"container-title":"Journal of Alzheimer's Disease","id":"ITEM-13","issue":"1","issued":{"date-parts":[["2008","5","9"]]},"page":"27-41","publisher":"IOS Press","title":"Identification of miRNA Changes in Alzheimer's Disease Brain and CSF Yields Putative Biomarkers and Insights into Disease Pathways","type":"article-journal","volume":"14"},"uris":["http://www.mendeley.com/documents/?uuid=987b55bf-1473-3a74-b330-573c20dd41f3"]},{"id":"ITEM-14","itemData":{"ISSN":"1757-4684","PMID":"24014289","abstract":"An overview of miRNAs altered in Alzheimer's disease (AD) was established by profiling the hippocampus of a cohort of 41 late-onset AD (LOAD) patients and 23 controls, showing deregulation of 35 miRNAs. Profiling of miRNAs in the prefrontal cortex of a second independent cohort of 49 patients grouped by Braak stages revealed 41 deregulated miRNAs. We focused on miR-132-3p which is strongly altered in both brain areas. Downregulation of this miRNA occurs already at Braak stages III and IV, before loss of neuron-specific miRNAs. Next-generation sequencing confirmed a strong decrease of miR-132-3p and of three family-related miRNAs encoded by the same miRNA cluster on chromosome 17. Deregulation of miR-132-3p in AD brain appears to occur mainly in neurons displaying Tau hyper-phosphorylation. We provide evidence that miR-132-3p may contribute to disease progression through aberrant regulation of mRNA targets in the Tau network. The transcription factor (TF) FOXO1a appears to be a key target of miR-132-3p in this pathway.","author":[{"dropping-particle":"","family":"Lau","given":"Pierre","non-dropping-particle":"","parse-names":false,"suffix":""},{"dropping-particle":"","family":"Bossers","given":"Koen","non-dropping-particle":"","parse-names":false,"suffix":""},{"dropping-particle":"","family":"Janky","given":"Rekin's","non-dropping-particle":"","parse-names":false,"suffix":""},{"dropping-particle":"","family":"Salta","given":"Evgenia","non-dropping-particle":"","parse-names":false,"suffix":""},{"dropping-particle":"","family":"Frigerio","given":"Carlo Sala","non-dropping-particle":"","parse-names":false,"suffix":""},{"dropping-particle":"","family":"Barbash","given":"Shahar","non-dropping-particle":"","parse-names":false,"suffix":""},{"dropping-particle":"","family":"Rothman","given":"Roy","non-dropping-particle":"","parse-names":false,"suffix":""},{"dropping-particle":"","family":"Sierksma","given":"Annerieke S R","non-dropping-particle":"","parse-names":false,"suffix":""},{"dropping-particle":"","family":"Thathiah","given":"Amantha","non-dropping-particle":"","parse-names":false,"suffix":""},{"dropping-particle":"","family":"Greenberg","given":"David","non-dropping-particle":"","parse-names":false,"suffix":""},{"dropping-particle":"","family":"Papadopoulou","given":"Aikaterini S","non-dropping-particle":"","parse-names":false,"suffix":""},{"dropping-particle":"","family":"Achsel","given":"Tilmann","non-dropping-particle":"","parse-names":false,"suffix":""},{"dropping-particle":"","family":"Ayoubi","given":"Torik","non-dropping-particle":"","parse-names":false,"suffix":""},{"dropping-particle":"","family":"Soreq","given":"Hermona","non-dropping-particle":"","parse-names":false,"suffix":""},{"dropping-particle":"","family":"Verhaagen","given":"Joost","non-dropping-particle":"","parse-names":false,"suffix":""},{"dropping-particle":"","family":"Swaab","given":"Dick F","non-dropping-particle":"","parse-names":false,"suffix":""},{"dropping-particle":"","family":"Aerts","given":"Stein","non-dropping-particle":"","parse-names":false,"suffix":""},{"dropping-particle":"","family":"Strooper","given":"Bart","non-dropping-particle":"De","parse-names":false,"suffix":""}],"container-title":"EMBO molecular medicine","id":"ITEM-14","issue":"10","issued":{"date-parts":[["2013","10"]]},"page":"1613-34","title":"Alteration of the microRNA network during the progression of Alzheimer's disease.","type":"article-journal","volume":"5"},"uris":["http://www.mendeley.com/documents/?uuid=813985a4-0a76-320e-9c9c-76fc4bff98bc"]},{"id":"ITEM-15","itemData":{"ISSN":"1553-7358","PMID":"28545146","abstract":"Transcriptomics technologies are the techniques used to study an organism's transcriptome, the sum of all of its RNA transcripts. The information content of an organism is recorded in the DNA of its genome and expressed through transcription. Here, mRNA serves as a transient intermediary molecule in the information network, whilst noncoding RNAs perform additional diverse functions. A transcriptome captures a snapshot in time of the total transcripts present in a cell. The first attempts to study the whole transcriptome began in the early 1990s, and technological advances since the late 1990s have made transcriptomics a widespread discipline. Transcriptomics has been defined by repeated technological innovations that transform the field. There are two key contemporary techniques in the field: microarrays, which quantify a set of predetermined sequences, and RNA sequencing (RNA-Seq), which uses high-throughput sequencing to capture all sequences. Measuring the expression of an organism's genes in different tissues, conditions, or time points gives information on how genes are regulated and reveals details of an organism's biology. It can also help to infer the functions of previously unannotated genes. Transcriptomic analysis has enabled the study of how gene expression changes in different organisms and has been instrumental in the understanding of human disease. An analysis of gene expression in its entirety allows detection of broad coordinated trends which cannot be discerned by more targeted assays.","author":[{"dropping-particle":"","family":"Lowe","given":"Rohan","non-dropping-particle":"","parse-names":false,"suffix":""},{"dropping-particle":"","family":"Shirley","given":"Neil","non-dropping-particle":"","parse-names":false,"suffix":""},{"dropping-particle":"","family":"Bleackley","given":"Mark","non-dropping-particle":"","parse-names":false,"suffix":""},{"dropping-particle":"","family":"Dolan","given":"Stephen","non-dropping-particle":"","parse-names":false,"suffix":""},{"dropping-particle":"","family":"Shafee","given":"Thomas","non-dropping-particle":"","parse-names":false,"suffix":""}],"container-title":"PLoS computational biology","id":"ITEM-15","issue":"5","issued":{"date-parts":[["2017","5","18"]]},"page":"e1005457","title":"Transcriptomics technologies.","type":"article-journal","volume":"13"},"uris":["http://www.mendeley.com/documents/?uuid=11c1141c-67c6-316e-8546-c52a03c1bbb4"]},{"id":"ITEM-16","itemData":{"ISSN":"1558-1497","PMID":"21705112","abstract":"Astrocytes contribute to a variety of functions in the brain, including homeostasis, synapse formation, plasticity, and metabolism. Astrocyte dysfunction may disrupt their normal role, including neuronal support, thereby contributing to neurodegenerative pathologies, including Alzheimer's disease (AD). To understand the role of astrocytes in the pathogenesis of age-related disorders, we isolated astrocytes by laser capture microdissection, using glial fibrillary acidic protein (GFAP) as a marker, and characterized the astrocyte transcriptome at different Braak neurofibrillary tangle stages in postmortem temporal cortex samples derived from the Medical Research Council Cognitive Function and Ageing Study (MRC CFAS) cohort, using microarray analysis. The largest number of significant, differentially expressed genes were identified when the expression profile of astrocytes from isocortical stages of neurofibrillary tangle pathology (Braak stages V-VI) were compared with entorhinal stages (Braak stages I-II). Dysregulation of genes associated with the actin cytoskeleton, proliferation, apoptosis, and ubiquitin-mediated proteolysis occurred at low Braak stages, while altered regulation of intracellular signaling pathways, including insulin, phosphatidylinositol 3-kinase (PI3K)/Akt, and mitogen-activated protein kinase (MAPK) pathways were primarily associated with high levels of Alzheimer-type pathology, and occurred at lower Braak stages in individuals with the APOEε4 allele. Our findings implicate astrocyte dysfunction in the pathogenesis of neurodegenerative pathology in the aging brain, and provide a basis for future candidate studies based on specific pathways.","author":[{"dropping-particle":"","family":"Simpson","given":"Julie E","non-dropping-particle":"","parse-names":false,"suffix":""},{"dropping-particle":"","family":"Ince","given":"Paul G","non-dropping-particle":"","parse-names":false,"suffix":""},{"dropping-particle":"","family":"Shaw","given":"Pamela J","non-dropping-particle":"","parse-names":false,"suffix":""},{"dropping-particle":"","family":"Heath","given":"Paul R","non-dropping-particle":"","parse-names":false,"suffix":""},{"dropping-particle":"","family":"Raman","given":"Rohini","non-dropping-particle":"","parse-names":false,"suffix":""},{"dropping-particle":"","family":"Garwood","given":"Claire J","non-dropping-particle":"","parse-names":false,"suffix":""},{"dropping-particle":"","family":"Gelsthorpe","given":"Catherine","non-dropping-particle":"","parse-names":false,"suffix":""},{"dropping-particle":"","family":"Baxter","given":"Lynne","non-dropping-particle":"","parse-names":false,"suffix":""},{"dropping-particle":"","family":"Forster","given":"Gillian","non-dropping-particle":"","parse-names":false,"suffix":""},{"dropping-particle":"","family":"Matthews","given":"Fiona E","non-dropping-particle":"","parse-names":false,"suffix":""},{"dropping-particle":"","family":"Brayne","given":"Carol","non-dropping-particle":"","parse-names":false,"suffix":""},{"dropping-particle":"","family":"Wharton","given":"Stephen B","non-dropping-particle":"","parse-names":false,"suffix":""},{"dropping-particle":"","family":"MRC Cognitive Function and Ageing Neuropathology Study Group","given":"","non-dropping-particle":"","parse-names":false,"suffix":""}],"container-title":"Neurobiology of aging","id":"ITEM-16","issue":"10","issued":{"date-parts":[["2011","10"]]},"page":"1795-807","title":"Microarray analysis of the astrocyte transcriptome in the aging brain: relationship to Alzheimer's pathology and APOE genotype.","type":"article-journal","volume":"32"},"uris":["http://www.mendeley.com/documents/?uuid=74dbf384-0b76-309f-ae67-eb4db823dcef"]}],"mendeley":{"formattedCitation":"&lt;sup&gt;8–23&lt;/sup&gt;","manualFormatting":"8–23","plainTextFormattedCitation":"8–23","previouslyFormattedCitation":"&lt;sup&gt;8, 9, 18–23, 10–17&lt;/sup&gt;"},"properties":{"noteIndex":0},"schema":"https://github.com/citation-style-language/schema/raw/master/csl-citation.json"}</w:instrText>
      </w:r>
      <w:r w:rsidR="006C1655" w:rsidRPr="00063CE2">
        <w:rPr>
          <w:noProof w:val="0"/>
          <w:color w:val="000000" w:themeColor="text1"/>
          <w:lang w:val="en-US"/>
        </w:rPr>
        <w:fldChar w:fldCharType="separate"/>
      </w:r>
      <w:r w:rsidR="006C1655" w:rsidRPr="00063CE2">
        <w:rPr>
          <w:color w:val="000000" w:themeColor="text1"/>
          <w:vertAlign w:val="superscript"/>
          <w:lang w:val="en-US"/>
        </w:rPr>
        <w:t>8–23</w:t>
      </w:r>
      <w:r w:rsidR="006C1655" w:rsidRPr="00063CE2">
        <w:rPr>
          <w:noProof w:val="0"/>
          <w:color w:val="000000" w:themeColor="text1"/>
          <w:lang w:val="en-US"/>
        </w:rPr>
        <w:fldChar w:fldCharType="end"/>
      </w:r>
      <w:r w:rsidRPr="00063CE2">
        <w:rPr>
          <w:noProof w:val="0"/>
          <w:color w:val="000000" w:themeColor="text1"/>
          <w:lang w:val="en-US"/>
        </w:rPr>
        <w:t>.</w:t>
      </w:r>
    </w:p>
    <w:p w14:paraId="7040E2E1" w14:textId="77777777" w:rsidR="00B977F5" w:rsidRPr="00063CE2" w:rsidRDefault="00B977F5" w:rsidP="0069295C">
      <w:pPr>
        <w:rPr>
          <w:noProof w:val="0"/>
          <w:color w:val="000000" w:themeColor="text1"/>
          <w:lang w:val="en-US"/>
        </w:rPr>
      </w:pPr>
    </w:p>
    <w:p w14:paraId="696726EB" w14:textId="2256F887" w:rsidR="0069295C" w:rsidRPr="00063CE2" w:rsidRDefault="0069295C" w:rsidP="0069295C">
      <w:pPr>
        <w:rPr>
          <w:noProof w:val="0"/>
          <w:color w:val="000000" w:themeColor="text1"/>
          <w:lang w:val="en-US"/>
        </w:rPr>
      </w:pPr>
      <w:r w:rsidRPr="00063CE2">
        <w:rPr>
          <w:noProof w:val="0"/>
          <w:color w:val="000000" w:themeColor="text1"/>
          <w:lang w:val="en-US"/>
        </w:rPr>
        <w:t>For these purposes, modern BBs archive well-characterized, high-quality brain tissues making them available for the scientific community</w:t>
      </w:r>
      <w:r w:rsidR="00902537" w:rsidRPr="00063CE2">
        <w:rPr>
          <w:noProof w:val="0"/>
          <w:color w:val="000000" w:themeColor="text1"/>
          <w:lang w:val="en-US"/>
        </w:rPr>
        <w:fldChar w:fldCharType="begin" w:fldLock="1"/>
      </w:r>
      <w:r w:rsidR="00902537" w:rsidRPr="00063CE2">
        <w:rPr>
          <w:noProof w:val="0"/>
          <w:color w:val="000000" w:themeColor="text1"/>
          <w:lang w:val="en-US"/>
        </w:rPr>
        <w:instrText>ADDIN CSL_CITATION {"citationItems":[{"id":"ITEM-1","itemData":{"ISBN":"9781910195024","author":[{"dropping-particle":"","family":"Overy C","given":"Tansey E M.","non-dropping-particle":"","parse-names":false,"suffix":""}],"editor":[{"dropping-particle":"","family":"Wellcome Witnesses to Contemporary Medicine","given":"vol. 53. London","non-dropping-particle":"","parse-names":false,"suffix":""}],"id":"ITEM-1","issued":{"date-parts":[["2013"]]},"title":"The development of brain banks in the UK c.1970–c.2010","type":"book"},"uris":["http://www.mendeley.com/documents/?uuid=1eef81cb-0ac9-3e97-85a9-85c4c112672e"]},{"id":"ITEM-2","itemData":{"ISSN":"0964-704X","author":[{"dropping-particle":"","family":"Gere","given":"Cathy","non-dropping-particle":"","parse-names":false,"suffix":""}],"container-title":"Journal of the History of the Neurosciences","id":"ITEM-2","issue":"4","issued":{"date-parts":[["2003","12","1"]]},"page":"396-410","title":"A Brief History of Brain Archiving","type":"article-journal","volume":"12"},"uris":["http://www.mendeley.com/documents/?uuid=1517d558-129b-3e87-ac6e-c2f05c10445d"]}],"mendeley":{"formattedCitation":"&lt;sup&gt;3, 24&lt;/sup&gt;","plainTextFormattedCitation":"3, 24","previouslyFormattedCitation":"&lt;sup&gt;3, 24&lt;/sup&gt;"},"properties":{"noteIndex":0},"schema":"https://github.com/citation-style-language/schema/raw/master/csl-citation.json"}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3,</w:t>
      </w:r>
      <w:r w:rsidR="00B977F5" w:rsidRPr="00063CE2">
        <w:rPr>
          <w:color w:val="000000" w:themeColor="text1"/>
          <w:vertAlign w:val="superscript"/>
          <w:lang w:val="en-US"/>
        </w:rPr>
        <w:t xml:space="preserve"> </w:t>
      </w:r>
      <w:r w:rsidR="00902537" w:rsidRPr="00063CE2">
        <w:rPr>
          <w:color w:val="000000" w:themeColor="text1"/>
          <w:vertAlign w:val="superscript"/>
          <w:lang w:val="en-US"/>
        </w:rPr>
        <w:t>24</w:t>
      </w:r>
      <w:r w:rsidR="00902537" w:rsidRPr="00063CE2">
        <w:rPr>
          <w:noProof w:val="0"/>
          <w:color w:val="000000" w:themeColor="text1"/>
          <w:lang w:val="en-US"/>
        </w:rPr>
        <w:fldChar w:fldCharType="end"/>
      </w:r>
      <w:r w:rsidRPr="00063CE2">
        <w:rPr>
          <w:noProof w:val="0"/>
          <w:color w:val="000000" w:themeColor="text1"/>
          <w:lang w:val="en-US"/>
        </w:rPr>
        <w:t>. The brains supplied by BBs should be accompanied by a complete clinical history.</w:t>
      </w:r>
      <w:r w:rsidR="0002609D" w:rsidRPr="00063CE2">
        <w:rPr>
          <w:noProof w:val="0"/>
          <w:color w:val="000000" w:themeColor="text1"/>
          <w:lang w:val="en-US"/>
        </w:rPr>
        <w:t xml:space="preserve"> </w:t>
      </w:r>
      <w:r w:rsidRPr="00063CE2">
        <w:rPr>
          <w:noProof w:val="0"/>
          <w:color w:val="000000" w:themeColor="text1"/>
          <w:lang w:val="en-US"/>
        </w:rPr>
        <w:t xml:space="preserve">The activity of a BB includes the following: </w:t>
      </w:r>
      <w:r w:rsidR="00B977F5" w:rsidRPr="00063CE2">
        <w:rPr>
          <w:noProof w:val="0"/>
          <w:color w:val="000000" w:themeColor="text1"/>
          <w:lang w:val="en-US"/>
        </w:rPr>
        <w:t>(</w:t>
      </w:r>
      <w:r w:rsidRPr="00063CE2">
        <w:rPr>
          <w:noProof w:val="0"/>
          <w:color w:val="000000" w:themeColor="text1"/>
          <w:lang w:val="en-US"/>
        </w:rPr>
        <w:t>1) Recognition and recruitment of diseased and healthy individuals to brain donation programs; the ideal condition would be to achieve a multi-disciplinary follow-up of donors throughout life to obtain a complete clinical, lifestyle and social history, and biomarker profiles;</w:t>
      </w:r>
      <w:r w:rsidR="000B7D4A" w:rsidRPr="00063CE2">
        <w:rPr>
          <w:noProof w:val="0"/>
          <w:color w:val="000000" w:themeColor="text1"/>
          <w:lang w:val="en-US"/>
        </w:rPr>
        <w:t xml:space="preserve"> indeed</w:t>
      </w:r>
      <w:r w:rsidR="00CA3D05" w:rsidRPr="00063CE2">
        <w:rPr>
          <w:noProof w:val="0"/>
          <w:color w:val="000000" w:themeColor="text1"/>
          <w:lang w:val="en-US"/>
        </w:rPr>
        <w:t>, cognitive reserve and brain structure</w:t>
      </w:r>
      <w:r w:rsidR="00CE326B" w:rsidRPr="00063CE2">
        <w:rPr>
          <w:noProof w:val="0"/>
          <w:color w:val="000000" w:themeColor="text1"/>
          <w:lang w:val="en-US"/>
        </w:rPr>
        <w:t xml:space="preserve"> </w:t>
      </w:r>
      <w:r w:rsidR="00CA3D05" w:rsidRPr="00063CE2">
        <w:rPr>
          <w:noProof w:val="0"/>
          <w:color w:val="000000" w:themeColor="text1"/>
          <w:lang w:val="en-US"/>
        </w:rPr>
        <w:t>depend on lifestyle and socio-educational factors</w:t>
      </w:r>
      <w:r w:rsidR="00902537" w:rsidRPr="00063CE2">
        <w:rPr>
          <w:noProof w:val="0"/>
          <w:color w:val="000000" w:themeColor="text1"/>
          <w:lang w:val="en-US"/>
        </w:rPr>
        <w:fldChar w:fldCharType="begin" w:fldLock="1"/>
      </w:r>
      <w:r w:rsidR="00902537" w:rsidRPr="00063CE2">
        <w:rPr>
          <w:noProof w:val="0"/>
          <w:color w:val="000000" w:themeColor="text1"/>
          <w:lang w:val="en-US"/>
        </w:rPr>
        <w:instrText>ADDIN CSL_CITATION {"citationItems":[{"id":"ITEM-1","itemData":{"ISSN":"1474-4422","PMID":"15157849","abstract":"The recent availability of longitudinal data on the possible association of different lifestyles with dementia and Alzheimer's disease (AD) allow some preliminary conclusions on this topic. This review systematically analyses the published longitudinal studies exploring the effect of social network, physical leisure, and non-physical activity on cognition and dementia and then summarises the current evidence taking into account the limitations of the studies and the biological plausibility. For all three lifestyle components (social, mental, and physical), a beneficial effect on cognition and a protective effect against dementia are suggested. The three components seem to have common pathways, rather than specific mechanisms, which might converge within three major aetiological hypotheses for dementia and AD: the cognitive reserve hypothesis, the vascular hypothesis, and the stress hypothesis. Taking into account the accumulated evidence and the biological plausibility of these hypotheses, we conclude that an active and socially integrated lifestyle in late life protects against dementia and AD. Further research is necessary to better define the mechanisms of these associations and better delineate preventive and therapeutic strategies.","author":[{"dropping-particle":"","family":"Fratiglioni","given":"Laura","non-dropping-particle":"","parse-names":false,"suffix":""},{"dropping-particle":"","family":"Paillard-Borg","given":"Stephanie","non-dropping-particle":"","parse-names":false,"suffix":""},{"dropping-particle":"","family":"Winblad","given":"Bengt","non-dropping-particle":"","parse-names":false,"suffix":""}],"container-title":"Lancet neurology","id":"ITEM-1","issue":"6","issued":{"date-parts":[["2004","6"]]},"page":"343-353","title":"An active and socially integrated lifestyle in late life might protect against dementia.","type":"article-journal","volume":"3"},"uris":["http://www.mendeley.com/documents/?uuid=40e4f0a6-3fd8-4ba0-8d0e-71cac30d5afb"]},{"id":"ITEM-2","itemData":{"ISSN":"2574-3805","PMID":"31002329","abstract":"Importance Dementia risk may be attenuated by physical activity (PA); however, the specific activity levels optimal for dementia prevention are unclear. Moreover, most older adults are unable to meet the nationally recommended PA guidelines, set at 150 minutes of moderate to vigorous PA per week. Objective To assess the association of total steps walked per day and total dose (intensity × duration) of PA with brain volumes on magnetic resonance imaging (MRI) among Framingham Heart Study participants. Design, Setting, and Participants This cross-sectional, community-based cohort study of the association of accelerometry-determined PA with brain MRI measures in Framingham, Massachusetts, included the Framingham Heart Study third-generation (examination 2, 2008-2011) and offspring (examination 9, 2011-2014) cohorts. Of 4021 participants who agreed to wear an accelerometer and had valid data (≥10 hours/day for ≥3 days), 1667 participants who did not undergo brain MRI (n = 1604) or had prevalent dementia or stroke (n = 63) were excluded. Data analysis began in 2016 and was completed in February 2019. Exposures Physical activity achieved using accelerometry-derived total activity (steps per day) and 2 intensity levels (light intensity and moderate to vigorous intensity). Main Outcomes and Measures Differences in total brain volume and other MRI markers of brain aging. Results The study sample of 2354 participants had a mean (SD) age of 53 (13) years, 1276 (54.2%) were women, and 1099 (46.7%) met the PA guidelines. Incremental light-intensity PA was associated with higher total brain volume; each additional hour of light-intensity PA was associated with approximately 1.1 years less brain aging (β estimate, 0.22; SD, 0.07; P = .003). Among individuals not meeting the PA guidelines, each hour of light-intensity PA (β estimate, 0.28; SD, 0.11; P = .01) and achieving 7500 steps or more per day (β estimate, 0.44; SD, 0.18; P = .02) were associated with higher total brain volume, equivalent to approximately 1.4 to 2.2 years less brain aging. After adjusting for light-intensity PA, neither increasing moderate to vigorous PA levels nor meeting the threshold moderate to vigorous PA level recommended by the PA guidelines were significantly associated with total brain volume. Conclusions and Relevance Every additional hour of light-intensity PA was associated with higher brain volumes, even among individuals not meeting current PA guidelines. These data are consistent wi…","author":[{"dropping-particle":"","family":"Spartano","given":"Nicole L.","non-dropping-particle":"","parse-names":false,"suffix":""},{"dropping-particle":"","family":"Davis-Plourde","given":"Kendra L.","non-dropping-particle":"","parse-names":false,"suffix":""},{"dropping-particle":"","family":"Himali","given":"Jayandra J.","non-dropping-particle":"","parse-names":false,"suffix":""},{"dropping-particle":"","family":"Andersson","given":"Charlotte","non-dropping-particle":"","parse-names":false,"suffix":""},{"dropping-particle":"","family":"Pase","given":"Matthew P.","non-dropping-particle":"","parse-names":false,"suffix":""},{"dropping-particle":"","family":"Maillard","given":"Pauline","non-dropping-particle":"","parse-names":false,"suffix":""},{"dropping-particle":"","family":"DeCarli","given":"Charles","non-dropping-particle":"","parse-names":false,"suffix":""},{"dropping-particle":"","family":"Murabito","given":"Joanne M.","non-dropping-particle":"","parse-names":false,"suffix":""},{"dropping-particle":"","family":"Beiser","given":"Alexa S.","non-dropping-particle":"","parse-names":false,"suffix":""},{"dropping-particle":"","family":"Vasan","given":"Ramachandran S.","non-dropping-particle":"","parse-names":false,"suffix":""},{"dropping-particle":"","family":"Seshadri","given":"Sudha","non-dropping-particle":"","parse-names":false,"suffix":""}],"container-title":"JAMA Network Open","id":"ITEM-2","issue":"4","issued":{"date-parts":[["2019"]]},"page":"e192745","title":"Association of Accelerometer-Measured Light-Intensity Physical Activity With Brain Volume","type":"article-journal","volume":"2"},"uris":["http://www.mendeley.com/documents/?uuid=26a0a258-963f-39c6-bdd0-abcdfc304719"]}],"mendeley":{"formattedCitation":"&lt;sup&gt;25, 26&lt;/sup&gt;","plainTextFormattedCitation":"25, 26","previouslyFormattedCitation":"&lt;sup&gt;25, 26&lt;/sup&gt;"},"properties":{"noteIndex":0},"schema":"https://github.com/citation-style-language/schema/raw/master/csl-citation.json"}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25, 26</w:t>
      </w:r>
      <w:r w:rsidR="00902537" w:rsidRPr="00063CE2">
        <w:rPr>
          <w:noProof w:val="0"/>
          <w:color w:val="000000" w:themeColor="text1"/>
          <w:lang w:val="en-US"/>
        </w:rPr>
        <w:fldChar w:fldCharType="end"/>
      </w:r>
      <w:r w:rsidR="00CE326B" w:rsidRPr="00063CE2">
        <w:rPr>
          <w:noProof w:val="0"/>
          <w:color w:val="000000" w:themeColor="text1"/>
          <w:lang w:val="en-US"/>
        </w:rPr>
        <w:t>, so th</w:t>
      </w:r>
      <w:r w:rsidR="00382F2D" w:rsidRPr="00063CE2">
        <w:rPr>
          <w:noProof w:val="0"/>
          <w:color w:val="000000" w:themeColor="text1"/>
          <w:lang w:val="en-US"/>
        </w:rPr>
        <w:t>ese</w:t>
      </w:r>
      <w:r w:rsidR="00CE326B" w:rsidRPr="00063CE2">
        <w:rPr>
          <w:noProof w:val="0"/>
          <w:color w:val="000000" w:themeColor="text1"/>
          <w:lang w:val="en-US"/>
        </w:rPr>
        <w:t xml:space="preserve"> information enrich</w:t>
      </w:r>
      <w:r w:rsidR="00B977F5" w:rsidRPr="00063CE2">
        <w:rPr>
          <w:noProof w:val="0"/>
          <w:color w:val="000000" w:themeColor="text1"/>
          <w:lang w:val="en-US"/>
        </w:rPr>
        <w:t>es</w:t>
      </w:r>
      <w:r w:rsidR="00CE326B" w:rsidRPr="00063CE2">
        <w:rPr>
          <w:noProof w:val="0"/>
          <w:color w:val="000000" w:themeColor="text1"/>
          <w:lang w:val="en-US"/>
        </w:rPr>
        <w:t xml:space="preserve"> the total data at hand</w:t>
      </w:r>
      <w:r w:rsidR="00B977F5" w:rsidRPr="00063CE2">
        <w:rPr>
          <w:noProof w:val="0"/>
          <w:color w:val="000000" w:themeColor="text1"/>
          <w:lang w:val="en-US"/>
        </w:rPr>
        <w:t>. (</w:t>
      </w:r>
      <w:r w:rsidRPr="00063CE2">
        <w:rPr>
          <w:noProof w:val="0"/>
          <w:color w:val="000000" w:themeColor="text1"/>
          <w:lang w:val="en-US"/>
        </w:rPr>
        <w:t xml:space="preserve">2) </w:t>
      </w:r>
      <w:r w:rsidRPr="00063CE2">
        <w:rPr>
          <w:iCs/>
          <w:noProof w:val="0"/>
          <w:color w:val="000000" w:themeColor="text1"/>
          <w:lang w:val="en-US"/>
        </w:rPr>
        <w:t xml:space="preserve">Acquisition of </w:t>
      </w:r>
      <w:r w:rsidR="00B977F5" w:rsidRPr="00063CE2">
        <w:rPr>
          <w:iCs/>
          <w:noProof w:val="0"/>
          <w:color w:val="000000" w:themeColor="text1"/>
          <w:lang w:val="en-US"/>
        </w:rPr>
        <w:t xml:space="preserve">the </w:t>
      </w:r>
      <w:r w:rsidRPr="00063CE2">
        <w:rPr>
          <w:noProof w:val="0"/>
          <w:color w:val="000000" w:themeColor="text1"/>
          <w:lang w:val="en-US"/>
        </w:rPr>
        <w:t>brain (consisting of cerebrum, cerebellum and brain stem) and related tissues (e.g.</w:t>
      </w:r>
      <w:r w:rsidR="00B977F5" w:rsidRPr="00063CE2">
        <w:rPr>
          <w:noProof w:val="0"/>
          <w:color w:val="000000" w:themeColor="text1"/>
          <w:lang w:val="en-US"/>
        </w:rPr>
        <w:t>,</w:t>
      </w:r>
      <w:r w:rsidRPr="00063CE2">
        <w:rPr>
          <w:noProof w:val="0"/>
          <w:color w:val="000000" w:themeColor="text1"/>
          <w:lang w:val="en-US"/>
        </w:rPr>
        <w:t xml:space="preserve"> spinal cord, cranial nerves and ganglia, </w:t>
      </w:r>
      <w:r w:rsidRPr="00063CE2">
        <w:rPr>
          <w:iCs/>
          <w:noProof w:val="0"/>
          <w:color w:val="000000" w:themeColor="text1"/>
          <w:lang w:val="en-US"/>
        </w:rPr>
        <w:t>etc.)</w:t>
      </w:r>
      <w:r w:rsidRPr="00063CE2">
        <w:rPr>
          <w:noProof w:val="0"/>
          <w:color w:val="000000" w:themeColor="text1"/>
          <w:lang w:val="en-US"/>
        </w:rPr>
        <w:t xml:space="preserve"> following the donor’s demise, all the while observing standardized legal and ethical regulations</w:t>
      </w:r>
      <w:r w:rsidR="00B977F5" w:rsidRPr="00063CE2">
        <w:rPr>
          <w:noProof w:val="0"/>
          <w:color w:val="000000" w:themeColor="text1"/>
          <w:lang w:val="en-US"/>
        </w:rPr>
        <w:t>. (</w:t>
      </w:r>
      <w:r w:rsidRPr="00063CE2">
        <w:rPr>
          <w:noProof w:val="0"/>
          <w:color w:val="000000" w:themeColor="text1"/>
          <w:lang w:val="en-US"/>
        </w:rPr>
        <w:t>3) Appropriate processing (dissection, fixation, freezing) of the brain, as defined in a standardized operative protocol, to obtain high quality tissue and to allow for future use in multidisciplinary research</w:t>
      </w:r>
      <w:r w:rsidR="00B977F5" w:rsidRPr="00063CE2">
        <w:rPr>
          <w:noProof w:val="0"/>
          <w:color w:val="000000" w:themeColor="text1"/>
          <w:lang w:val="en-US"/>
        </w:rPr>
        <w:t>. (</w:t>
      </w:r>
      <w:r w:rsidRPr="00063CE2">
        <w:rPr>
          <w:noProof w:val="0"/>
          <w:color w:val="000000" w:themeColor="text1"/>
          <w:lang w:val="en-US"/>
        </w:rPr>
        <w:t>4) Detailed neuropathological characterization providing a final definite diagnosis</w:t>
      </w:r>
      <w:r w:rsidR="00B977F5" w:rsidRPr="00063CE2">
        <w:rPr>
          <w:noProof w:val="0"/>
          <w:color w:val="000000" w:themeColor="text1"/>
          <w:lang w:val="en-US"/>
        </w:rPr>
        <w:t>. (</w:t>
      </w:r>
      <w:r w:rsidRPr="00063CE2">
        <w:rPr>
          <w:noProof w:val="0"/>
          <w:color w:val="000000" w:themeColor="text1"/>
          <w:lang w:val="en-US"/>
        </w:rPr>
        <w:t>5) Storage and distribution of tissue material to research community</w:t>
      </w:r>
      <w:r w:rsidR="00902537" w:rsidRPr="00063CE2">
        <w:rPr>
          <w:noProof w:val="0"/>
          <w:color w:val="000000" w:themeColor="text1"/>
          <w:lang w:val="en-US"/>
        </w:rPr>
        <w:fldChar w:fldCharType="begin" w:fldLock="1"/>
      </w:r>
      <w:r w:rsidR="004F5243" w:rsidRPr="00063CE2">
        <w:rPr>
          <w:noProof w:val="0"/>
          <w:color w:val="000000" w:themeColor="text1"/>
          <w:lang w:val="en-US"/>
        </w:rPr>
        <w:instrText>ADDIN CSL_CITATION {"citationItems":[{"id":"ITEM-1","itemData":{"ISSN":"0001-6322","PMID":"18365220","abstract":"Collections of human postmortem brains gathered in brain banks have underpinned many significant developments in the understanding of central nervous system (CNS) disorders and continue to support current research. Unfortunately, the worldwide decline in postmortem examinations has had an adverse effect on research tissue procurement, particularly from control cases (non-diseased brains). Recruitment to brain donor programmes partially addresses this problem and has been successful for dementing and neurodegenerative conditions. However, the collection of brains from control subjects, particularly from younger individuals, and from CNS disorders of sudden onset, remains a problem. Brain banks need to adopt additional strategies to circumvent such shortages. The establishment of brain bank networks allows data on, and access to, control cases and unusual CNS disorders to be shared, providing a larger resource for potential users. For the brain banks themselves, inclusion in a network fosters the sharing of protocols and development of best practice and quality control. One aspect of this collective experience concerns brain bank management, excellence in which is a prerequisite not only for gaining the trust of potential donors and of society in general, but also for ensuring equitable distribution to researchers of high quality tissue samples. This review addresses the legal, ethical and governance issues, tissue quality, and health and safety aspects of brain bank management and data management in a network, as well as the needs of users, brain bank staffing, donor programs, funding issues and public relations. Recent developments in research methodology present new opportunities for researchers who use brain tissue samples, but will require brain banks to adopt more complex protocols for tissue collection, preparation and storage, with inevitable cost implications for the future.","author":[{"dropping-particle":"","family":"Bell","given":"Jeanne E","non-dropping-particle":"","parse-names":false,"suffix":""},{"dropping-particle":"","family":"Alafuzoff","given":"Irina","non-dropping-particle":"","parse-names":false,"suffix":""},{"dropping-particle":"","family":"Al-Sarraj","given":"Safa","non-dropping-particle":"","parse-names":false,"suffix":""},{"dropping-particle":"","family":"Arzberger","given":"Thomas","non-dropping-particle":"","parse-names":false,"suffix":""},{"dropping-particle":"","family":"Bogdanovic","given":"Nenad","non-dropping-particle":"","parse-names":false,"suffix":""},{"dropping-particle":"","family":"Budka","given":"Herbert","non-dropping-particle":"","parse-names":false,"suffix":""},{"dropping-particle":"","family":"Dexter","given":"David T","non-dropping-particle":"","parse-names":false,"suffix":""},{"dropping-particle":"","family":"Falkai","given":"Peter","non-dropping-particle":"","parse-names":false,"suffix":""},{"dropping-particle":"","family":"Ferrer","given":"Isidro","non-dropping-particle":"","parse-names":false,"suffix":""},{"dropping-particle":"","family":"Gelpi","given":"Elena","non-dropping-particle":"","parse-names":false,"suffix":""},{"dropping-particle":"","family":"Gentleman","given":"Steven M","non-dropping-particle":"","parse-names":false,"suffix":""},{"dropping-particle":"","family":"Giaccone","given":"Giorgio","non-dropping-particle":"","parse-names":false,"suffix":""},{"dropping-particle":"","family":"Huitinga","given":"Inge","non-dropping-particle":"","parse-names":false,"suffix":""},{"dropping-particle":"","family":"Ironside","given":"James W","non-dropping-particle":"","parse-names":false,"suffix":""},{"dropping-particle":"","family":"Klioueva","given":"Natasja","non-dropping-particle":"","parse-names":false,"suffix":""},{"dropping-particle":"","family":"Kovacs","given":"Gabor G","non-dropping-particle":"","parse-names":false,"suffix":""},{"dropping-particle":"","family":"Meyronet","given":"David","non-dropping-particle":"","parse-names":false,"suffix":""},{"dropping-particle":"","family":"Palkovits","given":"Miklos","non-dropping-particle":"","parse-names":false,"suffix":""},{"dropping-particle":"","family":"Parchi","given":"Piero","non-dropping-particle":"","parse-names":false,"suffix":""},{"dropping-particle":"","family":"Patsouris","given":"Efstatios","non-dropping-particle":"","parse-names":false,"suffix":""},{"dropping-particle":"","family":"Reynolds","given":"Richard","non-dropping-particle":"","parse-names":false,"suffix":""},{"dropping-particle":"","family":"Riederer","given":"Peter","non-dropping-particle":"","parse-names":false,"suffix":""},{"dropping-particle":"","family":"Roggendorf","given":"Wolfgang","non-dropping-particle":"","parse-names":false,"suffix":""},{"dropping-particle":"","family":"Seilhean","given":"Danielle","non-dropping-particle":"","parse-names":false,"suffix":""},{"dropping-particle":"","family":"Schmitt","given":"Andrea","non-dropping-particle":"","parse-names":false,"suffix":""},{"dropping-particle":"","family":"Schmitz","given":"Peer","non-dropping-particle":"","parse-names":false,"suffix":""},{"dropping-particle":"","family":"Streichenberger","given":"Nathalie","non-dropping-particle":"","parse-names":false,"suffix":""},{"dropping-particle":"","family":"Schwalber","given":"Ameli","non-dropping-particle":"","parse-names":false,"suffix":""},{"dropping-particle":"","family":"Kretzschmar","given":"Hans","non-dropping-particle":"","parse-names":false,"suffix":""}],"container-title":"Acta neuropathologica","id":"ITEM-1","issue":"5","issued":{"date-parts":[["2008","5","26"]]},"page":"497-507","title":"Management of a twenty-first century brain bank: experience in the BrainNet Europe consortium.","type":"article-journal","volume":"115"},"uris":["http://www.mendeley.com/documents/?uuid=abdd8026-166c-3fa5-bd77-fe43eac15784"]},{"id":"ITEM-2","itemData":{"ISSN":"2253-1785","author":[{"dropping-particle":"","family":"Ravid","given":"Rivka","non-dropping-particle":"","parse-names":false,"suffix":""},{"dropping-particle":"","family":"Park","given":"Young mok","non-dropping-particle":"","parse-names":false,"suffix":""}],"container-title":"Journal of Biorepository Science for Applied Medicine","id":"ITEM-2","issued":{"date-parts":[["2014","8","13"]]},"page":"17","publisher":"Dove Press","title":"Brain banking in the twenty-first century: creative solutions and ongoing challenges","type":"article-journal","volume":"2"},"uris":["http://www.mendeley.com/documents/?uuid=ff1b7ac3-eeeb-302c-b116-124aa5b0868c"]}],"mendeley":{"formattedCitation":"&lt;sup&gt;27, 28&lt;/sup&gt;","plainTextFormattedCitation":"27, 28","previouslyFormattedCitation":"&lt;sup&gt;27, 28&lt;/sup&gt;"},"properties":{"noteIndex":0},"schema":"https://github.com/citation-style-language/schema/raw/master/csl-citation.json"}</w:instrText>
      </w:r>
      <w:r w:rsidR="00902537" w:rsidRPr="00063CE2">
        <w:rPr>
          <w:noProof w:val="0"/>
          <w:color w:val="000000" w:themeColor="text1"/>
          <w:lang w:val="en-US"/>
        </w:rPr>
        <w:fldChar w:fldCharType="separate"/>
      </w:r>
      <w:r w:rsidR="00902537" w:rsidRPr="00063CE2">
        <w:rPr>
          <w:color w:val="000000" w:themeColor="text1"/>
          <w:vertAlign w:val="superscript"/>
          <w:lang w:val="en-US"/>
        </w:rPr>
        <w:t>27, 28</w:t>
      </w:r>
      <w:r w:rsidR="00902537" w:rsidRPr="00063CE2">
        <w:rPr>
          <w:noProof w:val="0"/>
          <w:color w:val="000000" w:themeColor="text1"/>
          <w:lang w:val="en-US"/>
        </w:rPr>
        <w:fldChar w:fldCharType="end"/>
      </w:r>
      <w:r w:rsidRPr="00063CE2">
        <w:rPr>
          <w:noProof w:val="0"/>
          <w:color w:val="000000" w:themeColor="text1"/>
          <w:lang w:val="en-US"/>
        </w:rPr>
        <w:t>.</w:t>
      </w:r>
    </w:p>
    <w:p w14:paraId="1D6870D4" w14:textId="77777777" w:rsidR="00B977F5" w:rsidRPr="00063CE2" w:rsidRDefault="00B977F5" w:rsidP="0069295C">
      <w:pPr>
        <w:tabs>
          <w:tab w:val="left" w:pos="426"/>
        </w:tabs>
        <w:rPr>
          <w:noProof w:val="0"/>
          <w:color w:val="000000" w:themeColor="text1"/>
          <w:lang w:val="en-US"/>
        </w:rPr>
      </w:pPr>
    </w:p>
    <w:p w14:paraId="354D06B3" w14:textId="23BA3CF2" w:rsidR="0069295C" w:rsidRPr="00063CE2" w:rsidRDefault="0069295C" w:rsidP="0069295C">
      <w:pPr>
        <w:tabs>
          <w:tab w:val="left" w:pos="426"/>
        </w:tabs>
        <w:rPr>
          <w:noProof w:val="0"/>
          <w:color w:val="000000" w:themeColor="text1"/>
          <w:lang w:val="en-US"/>
        </w:rPr>
      </w:pPr>
      <w:r w:rsidRPr="00063CE2">
        <w:rPr>
          <w:noProof w:val="0"/>
          <w:color w:val="000000" w:themeColor="text1"/>
          <w:lang w:val="en-US"/>
        </w:rPr>
        <w:lastRenderedPageBreak/>
        <w:t>All BBs store both frozen and formalin-fixed-paraffin embedded tissues. Each BB has its own protocol. Except for particular studies, such as the bihemispheric cutting protocol of the B</w:t>
      </w:r>
      <w:r w:rsidR="0002609D" w:rsidRPr="00063CE2">
        <w:rPr>
          <w:noProof w:val="0"/>
          <w:color w:val="000000" w:themeColor="text1"/>
          <w:lang w:val="en-US"/>
        </w:rPr>
        <w:t xml:space="preserve">iomedical </w:t>
      </w:r>
      <w:r w:rsidRPr="00063CE2">
        <w:rPr>
          <w:noProof w:val="0"/>
          <w:color w:val="000000" w:themeColor="text1"/>
          <w:lang w:val="en-US"/>
        </w:rPr>
        <w:t>R</w:t>
      </w:r>
      <w:r w:rsidR="0002609D" w:rsidRPr="00063CE2">
        <w:rPr>
          <w:noProof w:val="0"/>
          <w:color w:val="000000" w:themeColor="text1"/>
          <w:lang w:val="en-US"/>
        </w:rPr>
        <w:t xml:space="preserve">esearch </w:t>
      </w:r>
      <w:r w:rsidRPr="00063CE2">
        <w:rPr>
          <w:noProof w:val="0"/>
          <w:color w:val="000000" w:themeColor="text1"/>
          <w:lang w:val="en-US"/>
        </w:rPr>
        <w:t>I</w:t>
      </w:r>
      <w:r w:rsidR="0002609D" w:rsidRPr="00063CE2">
        <w:rPr>
          <w:noProof w:val="0"/>
          <w:color w:val="000000" w:themeColor="text1"/>
          <w:lang w:val="en-US"/>
        </w:rPr>
        <w:t>nstitute (New Jersey)</w:t>
      </w:r>
      <w:r w:rsidR="004F5243" w:rsidRPr="00063CE2">
        <w:rPr>
          <w:noProof w:val="0"/>
          <w:color w:val="000000" w:themeColor="text1"/>
          <w:lang w:val="en-US"/>
        </w:rPr>
        <w:fldChar w:fldCharType="begin" w:fldLock="1"/>
      </w:r>
      <w:r w:rsidR="004F5243" w:rsidRPr="00063CE2">
        <w:rPr>
          <w:noProof w:val="0"/>
          <w:color w:val="000000" w:themeColor="text1"/>
          <w:lang w:val="en-US"/>
        </w:rPr>
        <w:instrText>ADDIN CSL_CITATION {"citationItems":[{"id":"ITEM-1","itemData":{"ISSN":"1940-087X","PMID":"28060309","abstract":"Neuropathologists, at times, feel intimidated by the amount of knowledge needed to generate definitive diagnoses for complex neuropsychiatric phenomena described in those patients for whom a brain autopsy has been requested. Although the advancements of biomedical sciences and neuroimaging have revolutionized the neuropsychiatric field, they have also generated the misleading idea that brain autopsies have only a confirmatory value. This false idea created a drastic reduction of autopsy rates and, consequently, a reduced possibility to perform more detailed and extensive neuropathological investigations, which are necessary to comprehend numerous normal and pathological aspects yet unknown of the human brain. The traditional inferential method of correlation between observed neuropsychiatric phenomena and corresponding localization/characterization of their possible neurohistological correlates continues to have an undeniable value. In the context of neuropsychiatric diseases, the traditional clinicopathological method is still the best possible methodology (and often the only available) to link unique neuropsychiatric features to their corresponding neuropathological substrates, since it relies specifically upon the direct physical assessment of brain tissues. The assessment of postmortem brains is based on brain cutting procedures that vary across different neuropathology centers. Brain cuttings are performed in a relatively extensive and systematic way based on the various clinical and academic contingencies present in each institution. A more anatomically inclusive and symmetric bi-hemispheric brain cutting methodology should at least be used for research purposes in human neuropathology to coherently investigate, in depth, normal and pathological conditions with the peculiarities of the human brain (i.e., hemispheric specialization and lateralization for specific functions). Such a method would provide a more comprehensive collection of neuropathologically well-characterized brains available for current and future biotechnological and neuroimaging techniques. We describe a symmetric bi-hemispheric brain cutting procedure for the investigation of hemispheric differences in human brain pathologies and for use with current as well as future biomolecular/neuroimaging techniques.","author":[{"dropping-particle":"","family":"Iacono","given":"Diego","non-dropping-particle":"","parse-names":false,"suffix":""},{"dropping-particle":"","family":"Geraci-Erck","given":"Maria","non-dropping-particle":"","parse-names":false,"suffix":""},{"dropping-particle":"","family":"Peng","given":"Hui","non-dropping-particle":"","parse-names":false,"suffix":""},{"dropping-particle":"","family":"Bouffard","given":"John Paul","non-dropping-particle":"","parse-names":false,"suffix":""}],"container-title":"Journal of visualized experiments : JoVE","id":"ITEM-1","issue":"118","issued":{"date-parts":[["2016"]]},"title":"Symmetric Bihemispheric Postmortem Brain Cutting to Study Healthy and Pathological Brain Conditions in Humans.","type":"article-journal"},"uris":["http://www.mendeley.com/documents/?uuid=7e55cc3e-d927-31db-97e9-406ee21ee41d"]}],"mendeley":{"formattedCitation":"&lt;sup&gt;29&lt;/sup&gt;","plainTextFormattedCitation":"29","previouslyFormattedCitation":"&lt;sup&gt;29&lt;/sup&gt;"},"properties":{"noteIndex":0},"schema":"https://github.com/citation-style-language/schema/raw/master/csl-citation.json"}</w:instrText>
      </w:r>
      <w:r w:rsidR="004F5243" w:rsidRPr="00063CE2">
        <w:rPr>
          <w:noProof w:val="0"/>
          <w:color w:val="000000" w:themeColor="text1"/>
          <w:lang w:val="en-US"/>
        </w:rPr>
        <w:fldChar w:fldCharType="separate"/>
      </w:r>
      <w:r w:rsidR="004F5243" w:rsidRPr="00063CE2">
        <w:rPr>
          <w:color w:val="000000" w:themeColor="text1"/>
          <w:vertAlign w:val="superscript"/>
          <w:lang w:val="en-US"/>
        </w:rPr>
        <w:t>29</w:t>
      </w:r>
      <w:r w:rsidR="004F5243" w:rsidRPr="00063CE2">
        <w:rPr>
          <w:noProof w:val="0"/>
          <w:color w:val="000000" w:themeColor="text1"/>
          <w:lang w:val="en-US"/>
        </w:rPr>
        <w:fldChar w:fldCharType="end"/>
      </w:r>
      <w:r w:rsidR="004F5243" w:rsidRPr="00063CE2">
        <w:rPr>
          <w:noProof w:val="0"/>
          <w:color w:val="000000" w:themeColor="text1"/>
          <w:lang w:val="en-US"/>
        </w:rPr>
        <w:t xml:space="preserve"> </w:t>
      </w:r>
      <w:r w:rsidRPr="00063CE2">
        <w:rPr>
          <w:noProof w:val="0"/>
          <w:color w:val="000000" w:themeColor="text1"/>
          <w:lang w:val="en-US"/>
        </w:rPr>
        <w:t xml:space="preserve">and the </w:t>
      </w:r>
      <w:proofErr w:type="spellStart"/>
      <w:r w:rsidRPr="00063CE2">
        <w:rPr>
          <w:noProof w:val="0"/>
          <w:color w:val="000000" w:themeColor="text1"/>
          <w:lang w:val="en-US"/>
        </w:rPr>
        <w:t>Deramecourt’s</w:t>
      </w:r>
      <w:proofErr w:type="spellEnd"/>
      <w:r w:rsidRPr="00063CE2">
        <w:rPr>
          <w:noProof w:val="0"/>
          <w:color w:val="000000" w:themeColor="text1"/>
          <w:lang w:val="en-US"/>
        </w:rPr>
        <w:t xml:space="preserve"> study of cerebrovascular pathology</w:t>
      </w:r>
      <w:r w:rsidR="004F5243"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004F5243" w:rsidRPr="00063CE2">
        <w:rPr>
          <w:noProof w:val="0"/>
          <w:color w:val="000000" w:themeColor="text1"/>
          <w:lang w:val="en-US"/>
        </w:rPr>
        <w:fldChar w:fldCharType="separate"/>
      </w:r>
      <w:r w:rsidR="004F5243" w:rsidRPr="00063CE2">
        <w:rPr>
          <w:color w:val="000000" w:themeColor="text1"/>
          <w:vertAlign w:val="superscript"/>
          <w:lang w:val="en-US"/>
        </w:rPr>
        <w:t>30</w:t>
      </w:r>
      <w:r w:rsidR="004F5243" w:rsidRPr="00063CE2">
        <w:rPr>
          <w:noProof w:val="0"/>
          <w:color w:val="000000" w:themeColor="text1"/>
          <w:lang w:val="en-US"/>
        </w:rPr>
        <w:fldChar w:fldCharType="end"/>
      </w:r>
      <w:r w:rsidRPr="00063CE2">
        <w:rPr>
          <w:noProof w:val="0"/>
          <w:color w:val="000000" w:themeColor="text1"/>
          <w:lang w:val="en-US"/>
        </w:rPr>
        <w:t xml:space="preserve">, the biggest BBs in the world simply cut the cerebrum, cerebellum and brainstem </w:t>
      </w:r>
      <w:r w:rsidR="00B977F5" w:rsidRPr="00063CE2">
        <w:rPr>
          <w:noProof w:val="0"/>
          <w:color w:val="000000" w:themeColor="text1"/>
          <w:lang w:val="en-US"/>
        </w:rPr>
        <w:t>along</w:t>
      </w:r>
      <w:r w:rsidRPr="00063CE2">
        <w:rPr>
          <w:noProof w:val="0"/>
          <w:color w:val="000000" w:themeColor="text1"/>
          <w:lang w:val="en-US"/>
        </w:rPr>
        <w:t xml:space="preserve"> the midline (sagittal plane). One half is dissected fresh and then frozen for biochemical studies, while the other is fixed in formalin for histopathological assessment. So, biochemical and histopathological analys</w:t>
      </w:r>
      <w:r w:rsidR="00B977F5" w:rsidRPr="00063CE2">
        <w:rPr>
          <w:noProof w:val="0"/>
          <w:color w:val="000000" w:themeColor="text1"/>
          <w:lang w:val="en-US"/>
        </w:rPr>
        <w:t>e</w:t>
      </w:r>
      <w:r w:rsidRPr="00063CE2">
        <w:rPr>
          <w:noProof w:val="0"/>
          <w:color w:val="000000" w:themeColor="text1"/>
          <w:lang w:val="en-US"/>
        </w:rPr>
        <w:t>s are conducted separately on each hemisphere. The decision as to which side is fixed or frozen (laterality), depends on the singular bank</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31–35</w:t>
      </w:r>
      <w:r w:rsidRPr="00063CE2">
        <w:rPr>
          <w:noProof w:val="0"/>
          <w:color w:val="000000" w:themeColor="text1"/>
          <w:lang w:val="en-US"/>
        </w:rPr>
        <w:fldChar w:fldCharType="end"/>
      </w:r>
      <w:r w:rsidRPr="00063CE2">
        <w:rPr>
          <w:noProof w:val="0"/>
          <w:color w:val="000000" w:themeColor="text1"/>
          <w:lang w:val="en-US"/>
        </w:rPr>
        <w:t>. As many neurological diseases are asymmetrical, our BB offers a unique protocol for slicing fresh brains: adjacent sections of the brainstem and each hemisphere are alternately fixed and frozen</w:t>
      </w:r>
      <w:r w:rsidR="00974BE9" w:rsidRPr="00063CE2">
        <w:rPr>
          <w:noProof w:val="0"/>
          <w:color w:val="000000" w:themeColor="text1"/>
          <w:lang w:val="en-US"/>
        </w:rPr>
        <w:t>; a</w:t>
      </w:r>
      <w:r w:rsidR="00974BE9" w:rsidRPr="00063CE2">
        <w:rPr>
          <w:rFonts w:ascii="AppleSystemUIFont" w:hAnsi="AppleSystemUIFont" w:cs="AppleSystemUIFont"/>
          <w:noProof w:val="0"/>
          <w:color w:val="000000" w:themeColor="text1"/>
          <w:lang w:val="en-US"/>
        </w:rPr>
        <w:t xml:space="preserve"> </w:t>
      </w:r>
      <w:r w:rsidR="008100FF" w:rsidRPr="00063CE2">
        <w:rPr>
          <w:rFonts w:ascii="AppleSystemUIFont" w:hAnsi="AppleSystemUIFont" w:cs="AppleSystemUIFont"/>
          <w:noProof w:val="0"/>
          <w:color w:val="000000" w:themeColor="text1"/>
          <w:lang w:val="en-US"/>
        </w:rPr>
        <w:t>fixed slice on one hemisphere corresponds to a frozen one on the other hemisphere.</w:t>
      </w:r>
      <w:r w:rsidRPr="00063CE2">
        <w:rPr>
          <w:noProof w:val="0"/>
          <w:color w:val="000000" w:themeColor="text1"/>
          <w:lang w:val="en-US"/>
        </w:rPr>
        <w:t xml:space="preserve"> </w:t>
      </w:r>
      <w:r w:rsidR="00862F67" w:rsidRPr="00063CE2">
        <w:rPr>
          <w:noProof w:val="0"/>
          <w:color w:val="000000" w:themeColor="text1"/>
          <w:lang w:val="en-US"/>
        </w:rPr>
        <w:t xml:space="preserve">Through this method, the use of brain tissue is optimized, and </w:t>
      </w:r>
      <w:r w:rsidRPr="00063CE2">
        <w:rPr>
          <w:noProof w:val="0"/>
          <w:color w:val="000000" w:themeColor="text1"/>
          <w:lang w:val="en-US"/>
        </w:rPr>
        <w:t xml:space="preserve">a complete histological characterization of all frozen material </w:t>
      </w:r>
      <w:r w:rsidR="00862F67" w:rsidRPr="00063CE2">
        <w:rPr>
          <w:noProof w:val="0"/>
          <w:color w:val="000000" w:themeColor="text1"/>
          <w:lang w:val="en-US"/>
        </w:rPr>
        <w:t>can be achieved</w:t>
      </w:r>
      <w:r w:rsidRPr="00063CE2">
        <w:rPr>
          <w:noProof w:val="0"/>
          <w:color w:val="000000" w:themeColor="text1"/>
          <w:lang w:val="en-US"/>
        </w:rPr>
        <w:t xml:space="preserve"> with the possibility </w:t>
      </w:r>
      <w:r w:rsidR="00F7085E" w:rsidRPr="00063CE2">
        <w:rPr>
          <w:noProof w:val="0"/>
          <w:color w:val="000000" w:themeColor="text1"/>
          <w:lang w:val="en-US"/>
        </w:rPr>
        <w:t xml:space="preserve">to obtain and compare </w:t>
      </w:r>
      <w:r w:rsidR="00A94F4A" w:rsidRPr="00063CE2">
        <w:rPr>
          <w:noProof w:val="0"/>
          <w:color w:val="000000" w:themeColor="text1"/>
          <w:lang w:val="en-US"/>
        </w:rPr>
        <w:t>histological and biochemical</w:t>
      </w:r>
      <w:r w:rsidR="008100FF" w:rsidRPr="00063CE2">
        <w:rPr>
          <w:noProof w:val="0"/>
          <w:color w:val="000000" w:themeColor="text1"/>
          <w:lang w:val="en-US"/>
        </w:rPr>
        <w:t xml:space="preserve"> information from </w:t>
      </w:r>
      <w:r w:rsidR="00A94F4A" w:rsidRPr="00063CE2">
        <w:rPr>
          <w:noProof w:val="0"/>
          <w:color w:val="000000" w:themeColor="text1"/>
          <w:lang w:val="en-US"/>
        </w:rPr>
        <w:t xml:space="preserve">all areas of </w:t>
      </w:r>
      <w:r w:rsidR="008100FF" w:rsidRPr="00063CE2">
        <w:rPr>
          <w:noProof w:val="0"/>
          <w:color w:val="000000" w:themeColor="text1"/>
          <w:lang w:val="en-US"/>
        </w:rPr>
        <w:t>both hemispheres</w:t>
      </w:r>
      <w:r w:rsidRPr="00063CE2">
        <w:rPr>
          <w:noProof w:val="0"/>
          <w:color w:val="000000" w:themeColor="text1"/>
          <w:lang w:val="en-US"/>
        </w:rPr>
        <w:t>.</w:t>
      </w:r>
    </w:p>
    <w:p w14:paraId="14B6AA00" w14:textId="77777777" w:rsidR="00B977F5" w:rsidRPr="00063CE2" w:rsidRDefault="00B977F5" w:rsidP="0069295C">
      <w:pPr>
        <w:tabs>
          <w:tab w:val="left" w:pos="426"/>
        </w:tabs>
        <w:rPr>
          <w:b/>
          <w:bCs/>
          <w:noProof w:val="0"/>
          <w:color w:val="000000" w:themeColor="text1"/>
          <w:lang w:val="en-US"/>
        </w:rPr>
      </w:pPr>
    </w:p>
    <w:p w14:paraId="13EFE860" w14:textId="04074554" w:rsidR="00991913" w:rsidRPr="00063CE2" w:rsidRDefault="00D5038E" w:rsidP="0069295C">
      <w:pPr>
        <w:tabs>
          <w:tab w:val="left" w:pos="426"/>
        </w:tabs>
        <w:rPr>
          <w:noProof w:val="0"/>
          <w:color w:val="000000" w:themeColor="text1"/>
          <w:lang w:val="en-US"/>
        </w:rPr>
      </w:pPr>
      <w:r w:rsidRPr="00063CE2">
        <w:rPr>
          <w:noProof w:val="0"/>
          <w:color w:val="000000" w:themeColor="text1"/>
          <w:lang w:val="en-US"/>
        </w:rPr>
        <w:t xml:space="preserve">The </w:t>
      </w:r>
      <w:r w:rsidR="009930B3" w:rsidRPr="00063CE2">
        <w:rPr>
          <w:noProof w:val="0"/>
          <w:color w:val="000000" w:themeColor="text1"/>
          <w:lang w:val="en-US"/>
        </w:rPr>
        <w:t>frame</w:t>
      </w:r>
      <w:r w:rsidRPr="00063CE2">
        <w:rPr>
          <w:noProof w:val="0"/>
          <w:color w:val="000000" w:themeColor="text1"/>
          <w:lang w:val="en-US"/>
        </w:rPr>
        <w:t xml:space="preserve"> </w:t>
      </w:r>
      <w:r w:rsidR="00694CF7" w:rsidRPr="00063CE2">
        <w:rPr>
          <w:noProof w:val="0"/>
          <w:color w:val="000000" w:themeColor="text1"/>
          <w:lang w:val="en-US"/>
        </w:rPr>
        <w:t>of</w:t>
      </w:r>
      <w:r w:rsidRPr="00063CE2">
        <w:rPr>
          <w:noProof w:val="0"/>
          <w:color w:val="000000" w:themeColor="text1"/>
          <w:lang w:val="en-US"/>
        </w:rPr>
        <w:t xml:space="preserve"> our </w:t>
      </w:r>
      <w:r w:rsidR="009930B3" w:rsidRPr="00063CE2">
        <w:rPr>
          <w:noProof w:val="0"/>
          <w:color w:val="000000" w:themeColor="text1"/>
          <w:lang w:val="en-US"/>
        </w:rPr>
        <w:t>brain bank</w:t>
      </w:r>
      <w:r w:rsidR="00694CF7" w:rsidRPr="00063CE2">
        <w:rPr>
          <w:noProof w:val="0"/>
          <w:color w:val="000000" w:themeColor="text1"/>
          <w:lang w:val="en-US"/>
        </w:rPr>
        <w:t xml:space="preserve"> project</w:t>
      </w:r>
      <w:r w:rsidRPr="00063CE2">
        <w:rPr>
          <w:noProof w:val="0"/>
          <w:color w:val="000000" w:themeColor="text1"/>
          <w:lang w:val="en-US"/>
        </w:rPr>
        <w:t xml:space="preserve"> is </w:t>
      </w:r>
      <w:r w:rsidRPr="00063CE2">
        <w:rPr>
          <w:rFonts w:cstheme="minorHAnsi"/>
          <w:noProof w:val="0"/>
          <w:color w:val="000000" w:themeColor="text1"/>
          <w:lang w:val="en-US"/>
        </w:rPr>
        <w:t xml:space="preserve">the town of </w:t>
      </w:r>
      <w:proofErr w:type="spellStart"/>
      <w:r w:rsidRPr="00063CE2">
        <w:rPr>
          <w:rFonts w:cstheme="minorHAnsi"/>
          <w:noProof w:val="0"/>
          <w:color w:val="000000" w:themeColor="text1"/>
          <w:lang w:val="en-US"/>
        </w:rPr>
        <w:t>Abbiategrasso</w:t>
      </w:r>
      <w:proofErr w:type="spellEnd"/>
      <w:r w:rsidR="009930B3" w:rsidRPr="00063CE2">
        <w:rPr>
          <w:rFonts w:cstheme="minorHAnsi"/>
          <w:noProof w:val="0"/>
          <w:color w:val="000000" w:themeColor="text1"/>
          <w:lang w:val="en-US"/>
        </w:rPr>
        <w:t xml:space="preserve">.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is a small town about 22 km southwest of the city of Milan, in Northern Italy. It has a population of about 32,600 people. It is home to the </w:t>
      </w:r>
      <w:r w:rsidR="009930B3" w:rsidRPr="00063CE2">
        <w:rPr>
          <w:rFonts w:asciiTheme="minorHAnsi" w:hAnsiTheme="minorHAnsi" w:cstheme="minorHAnsi"/>
          <w:b/>
          <w:noProof w:val="0"/>
          <w:color w:val="000000" w:themeColor="text1"/>
          <w:lang w:val="en-US"/>
        </w:rPr>
        <w:t>Golgi-Cenci (GC) Foundation</w:t>
      </w:r>
      <w:r w:rsidR="009930B3" w:rsidRPr="00063CE2">
        <w:rPr>
          <w:noProof w:val="0"/>
          <w:color w:val="000000" w:themeColor="text1"/>
          <w:lang w:val="en-US"/>
        </w:rPr>
        <w:t>. GC Foundation is part of a large Rehabilitation Geriatric Hospital (ASP Golgi-</w:t>
      </w:r>
      <w:proofErr w:type="spellStart"/>
      <w:r w:rsidR="009930B3" w:rsidRPr="00063CE2">
        <w:rPr>
          <w:noProof w:val="0"/>
          <w:color w:val="000000" w:themeColor="text1"/>
          <w:lang w:val="en-US"/>
        </w:rPr>
        <w:t>Redaelli</w:t>
      </w:r>
      <w:proofErr w:type="spellEnd"/>
      <w:r w:rsidR="009930B3" w:rsidRPr="00063CE2">
        <w:rPr>
          <w:noProof w:val="0"/>
          <w:color w:val="000000" w:themeColor="text1"/>
          <w:lang w:val="en-US"/>
        </w:rPr>
        <w:t xml:space="preserve">), and is an institute focusing on research about aging and care of the elderly. Particularly, it focuses on studying mental aging, the social and </w:t>
      </w:r>
      <w:r w:rsidR="00E845D2" w:rsidRPr="00063CE2">
        <w:rPr>
          <w:noProof w:val="0"/>
          <w:color w:val="000000" w:themeColor="text1"/>
          <w:lang w:val="en-US"/>
        </w:rPr>
        <w:t>behavioral</w:t>
      </w:r>
      <w:r w:rsidR="009930B3" w:rsidRPr="00063CE2">
        <w:rPr>
          <w:noProof w:val="0"/>
          <w:color w:val="000000" w:themeColor="text1"/>
          <w:lang w:val="en-US"/>
        </w:rPr>
        <w:t xml:space="preserve"> factors influencing it, and the biology and pathology underlying age-dependent neurocognitive disorders</w:t>
      </w:r>
      <w:r w:rsidR="00E73FEF" w:rsidRPr="00063CE2">
        <w:rPr>
          <w:noProof w:val="0"/>
          <w:color w:val="000000" w:themeColor="text1"/>
          <w:lang w:val="en-US"/>
        </w:rPr>
        <w:t xml:space="preserve"> (NCDs)</w:t>
      </w:r>
      <w:r w:rsidR="009930B3" w:rsidRPr="00063CE2">
        <w:rPr>
          <w:noProof w:val="0"/>
          <w:color w:val="000000" w:themeColor="text1"/>
          <w:lang w:val="en-US"/>
        </w:rPr>
        <w:t xml:space="preserve">. In 2009, the GC Foundation </w:t>
      </w:r>
      <w:r w:rsidR="00BE0E9D" w:rsidRPr="00063CE2">
        <w:rPr>
          <w:noProof w:val="0"/>
          <w:color w:val="000000" w:themeColor="text1"/>
          <w:lang w:val="en-US"/>
        </w:rPr>
        <w:t>launched</w:t>
      </w:r>
      <w:r w:rsidR="009930B3" w:rsidRPr="00063CE2">
        <w:rPr>
          <w:noProof w:val="0"/>
          <w:color w:val="000000" w:themeColor="text1"/>
          <w:lang w:val="en-US"/>
        </w:rPr>
        <w:t xml:space="preserve"> a</w:t>
      </w:r>
      <w:r w:rsidR="00BE0E9D" w:rsidRPr="00063CE2">
        <w:rPr>
          <w:noProof w:val="0"/>
          <w:color w:val="000000" w:themeColor="text1"/>
          <w:lang w:val="en-US"/>
        </w:rPr>
        <w:t xml:space="preserve"> new</w:t>
      </w:r>
      <w:r w:rsidR="009930B3" w:rsidRPr="00063CE2">
        <w:rPr>
          <w:noProof w:val="0"/>
          <w:color w:val="000000" w:themeColor="text1"/>
          <w:lang w:val="en-US"/>
        </w:rPr>
        <w:t xml:space="preserve"> longitudinal study with 1321</w:t>
      </w:r>
      <w:r w:rsidR="00B65CD0" w:rsidRPr="00063CE2">
        <w:rPr>
          <w:noProof w:val="0"/>
          <w:color w:val="000000" w:themeColor="text1"/>
          <w:lang w:val="en-US"/>
        </w:rPr>
        <w:t xml:space="preserve"> participants</w:t>
      </w:r>
      <w:r w:rsidR="00BE0E9D" w:rsidRPr="00063CE2">
        <w:rPr>
          <w:noProof w:val="0"/>
          <w:color w:val="000000" w:themeColor="text1"/>
          <w:lang w:val="en-US"/>
        </w:rPr>
        <w:t xml:space="preserve"> (out of 1644 eligible subjects: initi</w:t>
      </w:r>
      <w:r w:rsidR="00B65CD0" w:rsidRPr="00063CE2">
        <w:rPr>
          <w:noProof w:val="0"/>
          <w:color w:val="000000" w:themeColor="text1"/>
          <w:lang w:val="en-US"/>
        </w:rPr>
        <w:t>al response rate of 80.3%</w:t>
      </w:r>
      <w:r w:rsidR="00BE0E9D" w:rsidRPr="00063CE2">
        <w:rPr>
          <w:noProof w:val="0"/>
          <w:color w:val="000000" w:themeColor="text1"/>
          <w:lang w:val="en-US"/>
        </w:rPr>
        <w:t>)</w:t>
      </w:r>
      <w:r w:rsidR="009930B3" w:rsidRPr="00063CE2">
        <w:rPr>
          <w:noProof w:val="0"/>
          <w:color w:val="000000" w:themeColor="text1"/>
          <w:lang w:val="en-US"/>
        </w:rPr>
        <w:t xml:space="preserve"> born between 1935 and 1939 (aged between 70</w:t>
      </w:r>
      <w:r w:rsidR="00B977F5" w:rsidRPr="00063CE2">
        <w:rPr>
          <w:noProof w:val="0"/>
          <w:color w:val="000000" w:themeColor="text1"/>
          <w:lang w:val="en-US"/>
        </w:rPr>
        <w:t>–</w:t>
      </w:r>
      <w:r w:rsidR="009930B3" w:rsidRPr="00063CE2">
        <w:rPr>
          <w:noProof w:val="0"/>
          <w:color w:val="000000" w:themeColor="text1"/>
          <w:lang w:val="en-US"/>
        </w:rPr>
        <w:t xml:space="preserve">75 years), of Caucasian ethnicity, living in the same small geographic area. The study was called </w:t>
      </w:r>
      <w:proofErr w:type="spellStart"/>
      <w:r w:rsidR="009930B3" w:rsidRPr="00063CE2">
        <w:rPr>
          <w:b/>
          <w:noProof w:val="0"/>
          <w:color w:val="000000" w:themeColor="text1"/>
          <w:lang w:val="en-US"/>
        </w:rPr>
        <w:t>InveCe.Ab</w:t>
      </w:r>
      <w:proofErr w:type="spellEnd"/>
      <w:r w:rsidR="009930B3" w:rsidRPr="00063CE2">
        <w:rPr>
          <w:noProof w:val="0"/>
          <w:color w:val="000000" w:themeColor="text1"/>
          <w:lang w:val="en-US"/>
        </w:rPr>
        <w:t xml:space="preserve"> (</w:t>
      </w:r>
      <w:proofErr w:type="spellStart"/>
      <w:r w:rsidR="009930B3" w:rsidRPr="00063CE2">
        <w:rPr>
          <w:b/>
          <w:i/>
          <w:noProof w:val="0"/>
          <w:color w:val="000000" w:themeColor="text1"/>
          <w:lang w:val="en-US"/>
        </w:rPr>
        <w:t>Inve</w:t>
      </w:r>
      <w:r w:rsidR="009930B3" w:rsidRPr="00063CE2">
        <w:rPr>
          <w:i/>
          <w:noProof w:val="0"/>
          <w:color w:val="000000" w:themeColor="text1"/>
          <w:lang w:val="en-US"/>
        </w:rPr>
        <w:t>cchiamento</w:t>
      </w:r>
      <w:proofErr w:type="spellEnd"/>
      <w:r w:rsidR="009930B3" w:rsidRPr="00063CE2">
        <w:rPr>
          <w:i/>
          <w:noProof w:val="0"/>
          <w:color w:val="000000" w:themeColor="text1"/>
          <w:lang w:val="en-US"/>
        </w:rPr>
        <w:t xml:space="preserve"> </w:t>
      </w:r>
      <w:proofErr w:type="spellStart"/>
      <w:r w:rsidR="009930B3" w:rsidRPr="00063CE2">
        <w:rPr>
          <w:b/>
          <w:i/>
          <w:noProof w:val="0"/>
          <w:color w:val="000000" w:themeColor="text1"/>
          <w:lang w:val="en-US"/>
        </w:rPr>
        <w:t>Ce</w:t>
      </w:r>
      <w:r w:rsidR="009930B3" w:rsidRPr="00063CE2">
        <w:rPr>
          <w:i/>
          <w:noProof w:val="0"/>
          <w:color w:val="000000" w:themeColor="text1"/>
          <w:lang w:val="en-US"/>
        </w:rPr>
        <w:t>rebrale</w:t>
      </w:r>
      <w:proofErr w:type="spellEnd"/>
      <w:r w:rsidR="009930B3" w:rsidRPr="00063CE2">
        <w:rPr>
          <w:i/>
          <w:noProof w:val="0"/>
          <w:color w:val="000000" w:themeColor="text1"/>
          <w:lang w:val="en-US"/>
        </w:rPr>
        <w:t xml:space="preserve"> </w:t>
      </w:r>
      <w:proofErr w:type="spellStart"/>
      <w:r w:rsidR="009930B3" w:rsidRPr="00063CE2">
        <w:rPr>
          <w:b/>
          <w:i/>
          <w:noProof w:val="0"/>
          <w:color w:val="000000" w:themeColor="text1"/>
          <w:lang w:val="en-US"/>
        </w:rPr>
        <w:t>Ab</w:t>
      </w:r>
      <w:r w:rsidR="009930B3" w:rsidRPr="00063CE2">
        <w:rPr>
          <w:i/>
          <w:noProof w:val="0"/>
          <w:color w:val="000000" w:themeColor="text1"/>
          <w:lang w:val="en-US"/>
        </w:rPr>
        <w:t>biategrasso</w:t>
      </w:r>
      <w:proofErr w:type="spellEnd"/>
      <w:r w:rsidR="009930B3" w:rsidRPr="00063CE2">
        <w:rPr>
          <w:noProof w:val="0"/>
          <w:color w:val="000000" w:themeColor="text1"/>
          <w:lang w:val="en-US"/>
        </w:rPr>
        <w:t xml:space="preserve">; in English: Brain Aging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ClinicalTrials.gov, NCT01345110) and is currently ongoing. InveCe.Ab is planned to obtain a cohort with maximum homogeneity and least variability in order to assess the incidence, prevalence and natural history of dementia, along with its possible risk or protective factors, including </w:t>
      </w:r>
      <w:r w:rsidR="00E845D2" w:rsidRPr="00063CE2">
        <w:rPr>
          <w:noProof w:val="0"/>
          <w:color w:val="000000" w:themeColor="text1"/>
          <w:lang w:val="en-US"/>
        </w:rPr>
        <w:t>behavioral</w:t>
      </w:r>
      <w:r w:rsidR="009930B3" w:rsidRPr="00063CE2">
        <w:rPr>
          <w:noProof w:val="0"/>
          <w:color w:val="000000" w:themeColor="text1"/>
          <w:lang w:val="en-US"/>
        </w:rPr>
        <w:t>, psychosocial, clinical and biological variables</w:t>
      </w:r>
      <w:r w:rsidR="00682D24"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682D24" w:rsidRPr="00063CE2">
        <w:rPr>
          <w:noProof w:val="0"/>
          <w:color w:val="000000" w:themeColor="text1"/>
          <w:lang w:val="en-US"/>
        </w:rPr>
        <w:fldChar w:fldCharType="separate"/>
      </w:r>
      <w:r w:rsidR="004F5243" w:rsidRPr="00063CE2">
        <w:rPr>
          <w:color w:val="000000" w:themeColor="text1"/>
          <w:vertAlign w:val="superscript"/>
          <w:lang w:val="en-US"/>
        </w:rPr>
        <w:t>36</w:t>
      </w:r>
      <w:r w:rsidR="00682D24" w:rsidRPr="00063CE2">
        <w:rPr>
          <w:noProof w:val="0"/>
          <w:color w:val="000000" w:themeColor="text1"/>
          <w:lang w:val="en-US"/>
        </w:rPr>
        <w:fldChar w:fldCharType="end"/>
      </w:r>
      <w:r w:rsidR="00E73FEF" w:rsidRPr="00063CE2">
        <w:rPr>
          <w:noProof w:val="0"/>
          <w:color w:val="000000" w:themeColor="text1"/>
          <w:lang w:val="en-US"/>
        </w:rPr>
        <w:t>.</w:t>
      </w:r>
      <w:r w:rsidR="005D78F9" w:rsidRPr="00063CE2">
        <w:rPr>
          <w:noProof w:val="0"/>
          <w:color w:val="000000" w:themeColor="text1"/>
          <w:sz w:val="22"/>
          <w:szCs w:val="22"/>
          <w:lang w:val="en-US"/>
        </w:rPr>
        <w:t xml:space="preserve"> </w:t>
      </w:r>
      <w:r w:rsidR="005D78F9" w:rsidRPr="00063CE2">
        <w:rPr>
          <w:noProof w:val="0"/>
          <w:color w:val="000000" w:themeColor="text1"/>
          <w:lang w:val="en-US"/>
        </w:rPr>
        <w:t xml:space="preserve">The cohort’s characteristics are shown in </w:t>
      </w:r>
      <w:r w:rsidR="00B977F5" w:rsidRPr="00063CE2">
        <w:rPr>
          <w:b/>
          <w:bCs/>
          <w:noProof w:val="0"/>
          <w:color w:val="000000" w:themeColor="text1"/>
          <w:lang w:val="en-US"/>
        </w:rPr>
        <w:t>F</w:t>
      </w:r>
      <w:r w:rsidR="005D78F9" w:rsidRPr="00063CE2">
        <w:rPr>
          <w:b/>
          <w:bCs/>
          <w:noProof w:val="0"/>
          <w:color w:val="000000" w:themeColor="text1"/>
          <w:lang w:val="en-US"/>
        </w:rPr>
        <w:t>ig</w:t>
      </w:r>
      <w:r w:rsidR="00B977F5" w:rsidRPr="00063CE2">
        <w:rPr>
          <w:b/>
          <w:bCs/>
          <w:noProof w:val="0"/>
          <w:color w:val="000000" w:themeColor="text1"/>
          <w:lang w:val="en-US"/>
        </w:rPr>
        <w:t>ure</w:t>
      </w:r>
      <w:r w:rsidR="005D78F9" w:rsidRPr="00063CE2">
        <w:rPr>
          <w:b/>
          <w:bCs/>
          <w:noProof w:val="0"/>
          <w:color w:val="000000" w:themeColor="text1"/>
          <w:lang w:val="en-US"/>
        </w:rPr>
        <w:t xml:space="preserve"> </w:t>
      </w:r>
      <w:r w:rsidR="00395897" w:rsidRPr="00063CE2">
        <w:rPr>
          <w:b/>
          <w:bCs/>
          <w:noProof w:val="0"/>
          <w:color w:val="000000" w:themeColor="text1"/>
          <w:lang w:val="en-US"/>
        </w:rPr>
        <w:t>1</w:t>
      </w:r>
      <w:r w:rsidR="005D78F9" w:rsidRPr="00063CE2">
        <w:rPr>
          <w:noProof w:val="0"/>
          <w:color w:val="000000" w:themeColor="text1"/>
          <w:lang w:val="en-US"/>
        </w:rPr>
        <w:t xml:space="preserve"> and </w:t>
      </w:r>
      <w:r w:rsidR="00B977F5" w:rsidRPr="00063CE2">
        <w:rPr>
          <w:b/>
          <w:bCs/>
          <w:noProof w:val="0"/>
          <w:color w:val="000000" w:themeColor="text1"/>
          <w:lang w:val="en-US"/>
        </w:rPr>
        <w:t>T</w:t>
      </w:r>
      <w:r w:rsidR="005D78F9" w:rsidRPr="00063CE2">
        <w:rPr>
          <w:b/>
          <w:bCs/>
          <w:noProof w:val="0"/>
          <w:color w:val="000000" w:themeColor="text1"/>
          <w:lang w:val="en-US"/>
        </w:rPr>
        <w:t>ab</w:t>
      </w:r>
      <w:r w:rsidR="00B977F5" w:rsidRPr="00063CE2">
        <w:rPr>
          <w:b/>
          <w:bCs/>
          <w:noProof w:val="0"/>
          <w:color w:val="000000" w:themeColor="text1"/>
          <w:lang w:val="en-US"/>
        </w:rPr>
        <w:t>le</w:t>
      </w:r>
      <w:r w:rsidR="005D78F9" w:rsidRPr="00063CE2">
        <w:rPr>
          <w:b/>
          <w:bCs/>
          <w:noProof w:val="0"/>
          <w:color w:val="000000" w:themeColor="text1"/>
          <w:lang w:val="en-US"/>
        </w:rPr>
        <w:t xml:space="preserve"> </w:t>
      </w:r>
      <w:r w:rsidR="00437FC6" w:rsidRPr="00063CE2">
        <w:rPr>
          <w:b/>
          <w:bCs/>
          <w:noProof w:val="0"/>
          <w:color w:val="000000" w:themeColor="text1"/>
          <w:lang w:val="en-US"/>
        </w:rPr>
        <w:t>1</w:t>
      </w:r>
      <w:r w:rsidR="005D78F9" w:rsidRPr="00063CE2">
        <w:rPr>
          <w:noProof w:val="0"/>
          <w:color w:val="000000" w:themeColor="text1"/>
          <w:lang w:val="en-US"/>
        </w:rPr>
        <w:t>. The epidemiological data are consistent with the dementia trend in European population</w:t>
      </w:r>
      <w:r w:rsidR="0046128C"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{"citationItems":[{"id":"ITEM-1","itemData":{"ISSN":"0028-3878","PMID":"10854354","abstract":"The last comparison of prevalence figures of dementia across European studies was 10 years ago. Using studies conducted in the 1990s, the authors compare the age- and sex-specific prevalence of dementia, AD, and vascular dementia (VaD) across European population-based studies of persons 65 years and older. Data from these studies were also pooled to obtain stable estimates of age- and sex-specific prevalence. A total of 2346 cases of mild to severe dementia were identified in 11 cohorts. Age-standardized prevalence was 6.4% for dementia (all causes), 4.4% for AD, and 1.6% for VaD. The prevalence of dementia increased continuously with age and was 0.8% in the group age 65 to 69 years and 28.5% at age 90 years and older. The corresponding figures for AD (53.7% of cases) were 0.6% and 22.2%, and for VaD (15.8% of cases), 0.3% and 5.2%. Variation of AD prevalence across studies was greatest for men. In the VaD subtype, a large variation across studies was observed, as well as a difference in prevalence between men and women that was age dependent. Dementia is more prevalent in women, and AD is the main contributor to the steep increase of prevalence with age.","author":[{"dropping-particle":"","family":"Lobo","given":"A","non-dropping-particle":"","parse-names":false,"suffix":""},{"dropping-particle":"","family":"Launer","given":"L J","non-dropping-particle":"","parse-names":false,"suffix":""},{"dropping-particle":"","family":"Fratiglioni","given":"L","non-dropping-particle":"","parse-names":false,"suffix":""},{"dropping-particle":"","family":"Andersen","given":"K","non-dropping-particle":"","parse-names":false,"suffix":""},{"dropping-particle":"","family":"Carlo","given":"A","non-dropping-particle":"Di","parse-names":false,"suffix":""},{"dropping-particle":"","family":"Breteler","given":"M M","non-dropping-particle":"","parse-names":false,"suffix":""},{"dropping-particle":"","family":"Copeland","given":"J R","non-dropping-particle":"","parse-names":false,"suffix":""},{"dropping-particle":"","family":"Dartigues","given":"J F","non-dropping-particle":"","parse-names":false,"suffix":""},{"dropping-particle":"","family":"Jagger","given":"C","non-dropping-particle":"","parse-names":false,"suffix":""},{"dropping-particle":"","family":"Martinez-Lage","given":"J","non-dropping-particle":"","parse-names":false,"suffix":""},{"dropping-particle":"","family":"Soininen","given":"H","non-dropping-particle":"","parse-names":false,"suffix":""},{"dropping-particle":"","family":"Hofman","given":"A","non-dropping-particle":"","parse-names":false,"suffix":""}],"container-title":"Neurology","id":"ITEM-1","issued":{"date-parts":[["2000","1"]]},"page":"S4-9","title":"Prevalence of dementia and major subtypes in Europe: A collaborative study of population-based cohorts. Neurologic Diseases in the Elderly Research Group.","type":"article-journal","volume":"54"},"uris":["http://www.mendeley.com/documents/?uuid=c075b7c6-7ac2-494d-b519-43689375eb1e"]},{"id":"ITEM-2","itemData":{"ISSN":"0300-5771","PMID":"1955260","abstract":"To obtain age- and gender-specific estimates of the prevalence of dementia in Europe and to study differences in prevalence across countries, we pooled and re-analysed original data of prevalence studies of dementia carried out in some European countries between 1980 and 1990. The study followed these steps: census of existing datasets, collection of data in a standardized format, selection of datasets suitable for comparison, comparison of age and gender patterns. From the 23 datasets of European surveys considered, 12 were selected for comparison. Only population-based studies in which dementia was defined by DSM-III or equivalent criteria and in which all subjects were examined personally were included. Studies in which institutionalized subjects were not investigated were excluded. Age- and gender-specific prevalences were compared within and across studies and overall prevalences were computed. Although prevalence estimates differed across studies, the general age- and gender-distribution was similar for all studies. The overall European prevalences for the five-year age groups from 60 to 94 years, were 1.0, 1.4, 4.1, 5.7, 13.0, 21.6 and 32.2%, respectively. In subjects under 75 years the prevalence of dementia was slightly higher in men than in women; in those aged 75 years or over the prevalence was higher in women. The prevalence figures nearly doubled with every five years of increase in age.","author":[{"dropping-particle":"","family":"Hofman","given":"A","non-dropping-particle":"","parse-names":false,"suffix":""},{"dropping-particle":"","family":"Rocca","given":"W A","non-dropping-particle":"","parse-names":false,"suffix":""},{"dropping-particle":"","family":"Brayne","given":"C","non-dropping-particle":"","parse-names":false,"suffix":""},{"dropping-particle":"","family":"Breteler","given":"M M","non-dropping-particle":"","parse-names":false,"suffix":""},{"dropping-particle":"","family":"Clarke","given":"M","non-dropping-particle":"","parse-names":false,"suffix":""},{"dropping-particle":"","family":"Cooper","given":"B","non-dropping-particle":"","parse-names":false,"suffix":""},{"dropping-particle":"","family":"Copeland","given":"J R","non-dropping-particle":"","parse-names":false,"suffix":""},{"dropping-particle":"","family":"Dartigues","given":"J F","non-dropping-particle":"","parse-names":false,"suffix":""},{"dropping-particle":"","family":"Silva Droux","given":"A","non-dropping-particle":"da","parse-names":false,"suffix":""},{"dropping-particle":"","family":"Hagnell","given":"O","non-dropping-particle":"","parse-names":false,"suffix":""}],"container-title":"Int J Epidemiol","id":"ITEM-2","issue":"3","issued":{"date-parts":[["1991","9"]]},"page":"736-48","title":"The prevalence of dementia in Europe: a collaborative study of 1980-1990 findings. Eurodem Prevalence Research Group.","type":"article-journal","volume":"20"},"uris":["http://www.mendeley.com/documents/?uuid=e202b967-83b7-47a9-a1f5-1478ff6322ff"]}],"mendeley":{"formattedCitation":"&lt;sup&gt;37, 38&lt;/sup&gt;","plainTextFormattedCitation":"37, 38","previouslyFormattedCitation":"&lt;sup&gt;37, 38&lt;/sup&gt;"},"properties":{"noteIndex":0},"schema":"https://github.com/citation-style-language/schema/raw/master/csl-citation.json"}</w:instrText>
      </w:r>
      <w:r w:rsidR="0046128C" w:rsidRPr="00063CE2">
        <w:rPr>
          <w:noProof w:val="0"/>
          <w:color w:val="000000" w:themeColor="text1"/>
          <w:lang w:val="en-US"/>
        </w:rPr>
        <w:fldChar w:fldCharType="separate"/>
      </w:r>
      <w:r w:rsidR="0046128C" w:rsidRPr="00063CE2">
        <w:rPr>
          <w:color w:val="000000" w:themeColor="text1"/>
          <w:vertAlign w:val="superscript"/>
          <w:lang w:val="en-US"/>
        </w:rPr>
        <w:t>37, 38</w:t>
      </w:r>
      <w:r w:rsidR="0046128C" w:rsidRPr="00063CE2">
        <w:rPr>
          <w:noProof w:val="0"/>
          <w:color w:val="000000" w:themeColor="text1"/>
          <w:lang w:val="en-US"/>
        </w:rPr>
        <w:fldChar w:fldCharType="end"/>
      </w:r>
      <w:r w:rsidR="005D78F9" w:rsidRPr="00063CE2">
        <w:rPr>
          <w:noProof w:val="0"/>
          <w:color w:val="000000" w:themeColor="text1"/>
          <w:lang w:val="en-US"/>
        </w:rPr>
        <w:t xml:space="preserve"> and InveCe.Ab participants have homogeneous genetic and environmental characteristics, representing a good model to study the trajectory from normal aging to neurocognitive disorders. Indeed, homogeneous populations require fewer subjects to reach adequate statistical power.</w:t>
      </w:r>
      <w:r w:rsidR="00E73FEF" w:rsidRPr="00063CE2">
        <w:rPr>
          <w:noProof w:val="0"/>
          <w:color w:val="000000" w:themeColor="text1"/>
          <w:lang w:val="en-US"/>
        </w:rPr>
        <w:t xml:space="preserve"> The InveCe.Ab methodology has already been reported elsewhere</w:t>
      </w:r>
      <w:r w:rsidR="009930B3"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009930B3" w:rsidRPr="00063CE2">
        <w:rPr>
          <w:noProof w:val="0"/>
          <w:color w:val="000000" w:themeColor="text1"/>
          <w:lang w:val="en-US"/>
        </w:rPr>
        <w:fldChar w:fldCharType="separate"/>
      </w:r>
      <w:r w:rsidR="004F5243" w:rsidRPr="00063CE2">
        <w:rPr>
          <w:color w:val="000000" w:themeColor="text1"/>
          <w:vertAlign w:val="superscript"/>
          <w:lang w:val="en-US"/>
        </w:rPr>
        <w:t>36</w:t>
      </w:r>
      <w:r w:rsidR="009930B3" w:rsidRPr="00063CE2">
        <w:rPr>
          <w:noProof w:val="0"/>
          <w:color w:val="000000" w:themeColor="text1"/>
          <w:lang w:val="en-US"/>
        </w:rPr>
        <w:fldChar w:fldCharType="end"/>
      </w:r>
      <w:r w:rsidR="00DE2B2D" w:rsidRPr="00063CE2">
        <w:rPr>
          <w:noProof w:val="0"/>
          <w:color w:val="000000" w:themeColor="text1"/>
          <w:lang w:val="en-US"/>
        </w:rPr>
        <w:t xml:space="preserve"> but it is important to underline its m</w:t>
      </w:r>
      <w:r w:rsidR="00FA5D0A" w:rsidRPr="00063CE2">
        <w:rPr>
          <w:noProof w:val="0"/>
          <w:color w:val="000000" w:themeColor="text1"/>
          <w:lang w:val="en-US"/>
        </w:rPr>
        <w:t>ulti-dimensional approach through periodic checks (every 2–3 years)</w:t>
      </w:r>
      <w:r w:rsidR="00BE0E9D" w:rsidRPr="00063CE2">
        <w:rPr>
          <w:rFonts w:asciiTheme="minorHAnsi" w:eastAsiaTheme="minorHAnsi" w:hAnsiTheme="minorHAnsi" w:cstheme="minorBidi"/>
          <w:noProof w:val="0"/>
          <w:color w:val="000000" w:themeColor="text1"/>
          <w:kern w:val="0"/>
          <w:sz w:val="22"/>
          <w:szCs w:val="22"/>
          <w:lang w:val="en-US" w:eastAsia="en-US"/>
        </w:rPr>
        <w:t xml:space="preserve"> </w:t>
      </w:r>
      <w:r w:rsidR="00BE0E9D" w:rsidRPr="00063CE2">
        <w:rPr>
          <w:noProof w:val="0"/>
          <w:color w:val="000000" w:themeColor="text1"/>
          <w:lang w:val="en-US"/>
        </w:rPr>
        <w:t>using the same set of evaluations</w:t>
      </w:r>
      <w:r w:rsidR="00FA5D0A" w:rsidRPr="00063CE2">
        <w:rPr>
          <w:noProof w:val="0"/>
          <w:color w:val="000000" w:themeColor="text1"/>
          <w:lang w:val="en-US"/>
        </w:rPr>
        <w:t xml:space="preserve"> including</w:t>
      </w:r>
      <w:r w:rsidR="00DE2B2D" w:rsidRPr="00063CE2">
        <w:rPr>
          <w:noProof w:val="0"/>
          <w:color w:val="000000" w:themeColor="text1"/>
          <w:lang w:val="en-US"/>
        </w:rPr>
        <w:t xml:space="preserve">: </w:t>
      </w:r>
      <w:r w:rsidR="00F163D2" w:rsidRPr="00063CE2">
        <w:rPr>
          <w:noProof w:val="0"/>
          <w:color w:val="000000" w:themeColor="text1"/>
          <w:lang w:val="en-US"/>
        </w:rPr>
        <w:t xml:space="preserve">blood sampling (metabolic panel, homocysteine and vitamins, DNA extraction to profile </w:t>
      </w:r>
      <w:r w:rsidR="00B977F5" w:rsidRPr="00063CE2">
        <w:rPr>
          <w:noProof w:val="0"/>
          <w:color w:val="000000" w:themeColor="text1"/>
          <w:lang w:val="en-US"/>
        </w:rPr>
        <w:t>Apolipoprotein E (</w:t>
      </w:r>
      <w:r w:rsidR="00F163D2" w:rsidRPr="00063CE2">
        <w:rPr>
          <w:noProof w:val="0"/>
          <w:color w:val="000000" w:themeColor="text1"/>
          <w:lang w:val="en-US"/>
        </w:rPr>
        <w:t>A</w:t>
      </w:r>
      <w:r w:rsidR="00910D51" w:rsidRPr="00063CE2">
        <w:rPr>
          <w:noProof w:val="0"/>
          <w:color w:val="000000" w:themeColor="text1"/>
          <w:lang w:val="en-US"/>
        </w:rPr>
        <w:t>PO</w:t>
      </w:r>
      <w:r w:rsidR="00F163D2" w:rsidRPr="00063CE2">
        <w:rPr>
          <w:noProof w:val="0"/>
          <w:color w:val="000000" w:themeColor="text1"/>
          <w:lang w:val="en-US"/>
        </w:rPr>
        <w:t>E</w:t>
      </w:r>
      <w:r w:rsidR="00B977F5" w:rsidRPr="00063CE2">
        <w:rPr>
          <w:noProof w:val="0"/>
          <w:color w:val="000000" w:themeColor="text1"/>
          <w:lang w:val="en-US"/>
        </w:rPr>
        <w:t>)</w:t>
      </w:r>
      <w:r w:rsidR="00F163D2" w:rsidRPr="00063CE2">
        <w:rPr>
          <w:noProof w:val="0"/>
          <w:color w:val="000000" w:themeColor="text1"/>
          <w:lang w:val="en-US"/>
        </w:rPr>
        <w:t xml:space="preserve"> and other genetic polymorphisms related to cognition and aging), anthropometric measurements (weight, height and waist), Talking While Wa</w:t>
      </w:r>
      <w:r w:rsidR="00040B59" w:rsidRPr="00063CE2">
        <w:rPr>
          <w:noProof w:val="0"/>
          <w:color w:val="000000" w:themeColor="text1"/>
          <w:lang w:val="en-US"/>
        </w:rPr>
        <w:t xml:space="preserve">lking Test (dual task test), an </w:t>
      </w:r>
      <w:r w:rsidR="00F163D2" w:rsidRPr="00063CE2">
        <w:rPr>
          <w:noProof w:val="0"/>
          <w:color w:val="000000" w:themeColor="text1"/>
          <w:lang w:val="en-US"/>
        </w:rPr>
        <w:t>interview to appraise lifestyle (Mediterranean diet adherence, levels of physical activity and cognitive engagement) and social factors (social involvement, loneliness), a neuropsychological evaluation and a clinical general examination</w:t>
      </w:r>
      <w:r w:rsidR="009930B3" w:rsidRPr="00063CE2">
        <w:rPr>
          <w:noProof w:val="0"/>
          <w:color w:val="000000" w:themeColor="text1"/>
          <w:lang w:val="en-US"/>
        </w:rPr>
        <w:t>. To compare</w:t>
      </w:r>
      <w:r w:rsidR="00F163D2" w:rsidRPr="00063CE2">
        <w:rPr>
          <w:noProof w:val="0"/>
          <w:color w:val="000000" w:themeColor="text1"/>
          <w:lang w:val="en-US"/>
        </w:rPr>
        <w:t xml:space="preserve"> such</w:t>
      </w:r>
      <w:r w:rsidR="009930B3" w:rsidRPr="00063CE2">
        <w:rPr>
          <w:noProof w:val="0"/>
          <w:color w:val="000000" w:themeColor="text1"/>
          <w:lang w:val="en-US"/>
        </w:rPr>
        <w:t xml:space="preserve"> longitudinal data with postmortem neuropathological data would be crucial for research.</w:t>
      </w:r>
      <w:r w:rsidR="00423DAD" w:rsidRPr="00063CE2">
        <w:rPr>
          <w:noProof w:val="0"/>
          <w:color w:val="000000" w:themeColor="text1"/>
          <w:lang w:val="en-US"/>
        </w:rPr>
        <w:t xml:space="preserve"> </w:t>
      </w:r>
      <w:r w:rsidR="00352FA6" w:rsidRPr="00063CE2">
        <w:rPr>
          <w:noProof w:val="0"/>
          <w:color w:val="000000" w:themeColor="text1"/>
          <w:lang w:val="en-US"/>
        </w:rPr>
        <w:t>Th</w:t>
      </w:r>
      <w:r w:rsidR="00FA5D0A" w:rsidRPr="00063CE2">
        <w:rPr>
          <w:noProof w:val="0"/>
          <w:color w:val="000000" w:themeColor="text1"/>
          <w:lang w:val="en-US"/>
        </w:rPr>
        <w:t>erefore</w:t>
      </w:r>
      <w:r w:rsidR="00352FA6" w:rsidRPr="00063CE2">
        <w:rPr>
          <w:noProof w:val="0"/>
          <w:color w:val="000000" w:themeColor="text1"/>
          <w:lang w:val="en-US"/>
        </w:rPr>
        <w:t xml:space="preserve">, our team and particularly </w:t>
      </w:r>
      <w:r w:rsidR="000624C2" w:rsidRPr="00063CE2">
        <w:rPr>
          <w:noProof w:val="0"/>
          <w:color w:val="000000" w:themeColor="text1"/>
          <w:lang w:val="en-US"/>
        </w:rPr>
        <w:t xml:space="preserve">Dr. Michela </w:t>
      </w:r>
      <w:proofErr w:type="spellStart"/>
      <w:r w:rsidR="000624C2" w:rsidRPr="00063CE2">
        <w:rPr>
          <w:noProof w:val="0"/>
          <w:color w:val="000000" w:themeColor="text1"/>
          <w:lang w:val="en-US"/>
        </w:rPr>
        <w:t>Mang</w:t>
      </w:r>
      <w:r w:rsidR="00352FA6" w:rsidRPr="00063CE2">
        <w:rPr>
          <w:noProof w:val="0"/>
          <w:color w:val="000000" w:themeColor="text1"/>
          <w:lang w:val="en-US"/>
        </w:rPr>
        <w:t>i</w:t>
      </w:r>
      <w:r w:rsidR="00FA5D0A" w:rsidRPr="00063CE2">
        <w:rPr>
          <w:noProof w:val="0"/>
          <w:color w:val="000000" w:themeColor="text1"/>
          <w:lang w:val="en-US"/>
        </w:rPr>
        <w:t>eri</w:t>
      </w:r>
      <w:proofErr w:type="spellEnd"/>
      <w:r w:rsidR="00FA5D0A" w:rsidRPr="00063CE2">
        <w:rPr>
          <w:noProof w:val="0"/>
          <w:color w:val="000000" w:themeColor="text1"/>
          <w:lang w:val="en-US"/>
        </w:rPr>
        <w:t xml:space="preserve"> </w:t>
      </w:r>
      <w:r w:rsidR="00423DAD" w:rsidRPr="00063CE2">
        <w:rPr>
          <w:noProof w:val="0"/>
          <w:color w:val="000000" w:themeColor="text1"/>
          <w:lang w:val="en-US"/>
        </w:rPr>
        <w:t>conceived th</w:t>
      </w:r>
      <w:r w:rsidR="000624C2" w:rsidRPr="00063CE2">
        <w:rPr>
          <w:noProof w:val="0"/>
          <w:color w:val="000000" w:themeColor="text1"/>
          <w:lang w:val="en-US"/>
        </w:rPr>
        <w:t xml:space="preserve">e </w:t>
      </w:r>
      <w:r w:rsidR="00423DAD" w:rsidRPr="00063CE2">
        <w:rPr>
          <w:noProof w:val="0"/>
          <w:color w:val="000000" w:themeColor="text1"/>
          <w:lang w:val="en-US"/>
        </w:rPr>
        <w:t>neuropathological approach</w:t>
      </w:r>
      <w:r w:rsidR="000624C2" w:rsidRPr="00063CE2">
        <w:rPr>
          <w:noProof w:val="0"/>
          <w:color w:val="000000" w:themeColor="text1"/>
          <w:lang w:val="en-US"/>
        </w:rPr>
        <w:t xml:space="preserve"> mentioned </w:t>
      </w:r>
      <w:r w:rsidR="000624C2" w:rsidRPr="00063CE2">
        <w:rPr>
          <w:noProof w:val="0"/>
          <w:color w:val="000000" w:themeColor="text1"/>
          <w:lang w:val="en-US"/>
        </w:rPr>
        <w:lastRenderedPageBreak/>
        <w:t>above</w:t>
      </w:r>
      <w:r w:rsidR="00423DAD" w:rsidRPr="00063CE2">
        <w:rPr>
          <w:noProof w:val="0"/>
          <w:color w:val="000000" w:themeColor="text1"/>
          <w:lang w:val="en-US"/>
        </w:rPr>
        <w:t>.</w:t>
      </w:r>
      <w:r w:rsidR="009930B3" w:rsidRPr="00063CE2">
        <w:rPr>
          <w:noProof w:val="0"/>
          <w:color w:val="000000" w:themeColor="text1"/>
          <w:lang w:val="en-US"/>
        </w:rPr>
        <w:t xml:space="preserve"> Since 2014</w:t>
      </w:r>
      <w:r w:rsidR="006B4B45" w:rsidRPr="00063CE2">
        <w:rPr>
          <w:noProof w:val="0"/>
          <w:color w:val="000000" w:themeColor="text1"/>
          <w:lang w:val="en-US"/>
        </w:rPr>
        <w:t xml:space="preserve"> </w:t>
      </w:r>
      <w:r w:rsidR="00E17942" w:rsidRPr="00063CE2">
        <w:rPr>
          <w:noProof w:val="0"/>
          <w:color w:val="000000" w:themeColor="text1"/>
          <w:lang w:val="en-US"/>
        </w:rPr>
        <w:t xml:space="preserve">and </w:t>
      </w:r>
      <w:r w:rsidR="006B4B45" w:rsidRPr="00063CE2">
        <w:rPr>
          <w:noProof w:val="0"/>
          <w:color w:val="000000" w:themeColor="text1"/>
          <w:lang w:val="en-US"/>
        </w:rPr>
        <w:t>during the second follow-up</w:t>
      </w:r>
      <w:r w:rsidR="009930B3" w:rsidRPr="00063CE2">
        <w:rPr>
          <w:noProof w:val="0"/>
          <w:color w:val="000000" w:themeColor="text1"/>
          <w:lang w:val="en-US"/>
        </w:rPr>
        <w:t xml:space="preserve">, the </w:t>
      </w:r>
      <w:r w:rsidR="00E17942" w:rsidRPr="00063CE2">
        <w:rPr>
          <w:noProof w:val="0"/>
          <w:color w:val="000000" w:themeColor="text1"/>
          <w:lang w:val="en-US"/>
        </w:rPr>
        <w:t xml:space="preserve">InveCe.Ab </w:t>
      </w:r>
      <w:r w:rsidR="009930B3" w:rsidRPr="00063CE2">
        <w:rPr>
          <w:noProof w:val="0"/>
          <w:color w:val="000000" w:themeColor="text1"/>
          <w:lang w:val="en-US"/>
        </w:rPr>
        <w:t xml:space="preserve">participants were asked to donate their brains, and thus </w:t>
      </w:r>
      <w:r w:rsidR="00B977F5" w:rsidRPr="00063CE2">
        <w:rPr>
          <w:noProof w:val="0"/>
          <w:color w:val="000000" w:themeColor="text1"/>
          <w:lang w:val="en-US"/>
        </w:rPr>
        <w:t>bringing about</w:t>
      </w:r>
      <w:r w:rsidR="009930B3" w:rsidRPr="00063CE2">
        <w:rPr>
          <w:noProof w:val="0"/>
          <w:color w:val="000000" w:themeColor="text1"/>
          <w:lang w:val="en-US"/>
        </w:rPr>
        <w:t xml:space="preserve"> the birth of the </w:t>
      </w:r>
      <w:proofErr w:type="spellStart"/>
      <w:r w:rsidR="009930B3" w:rsidRPr="00063CE2">
        <w:rPr>
          <w:b/>
          <w:noProof w:val="0"/>
          <w:color w:val="000000" w:themeColor="text1"/>
          <w:lang w:val="en-US"/>
        </w:rPr>
        <w:t>Abbiategrasso</w:t>
      </w:r>
      <w:proofErr w:type="spellEnd"/>
      <w:r w:rsidR="009930B3" w:rsidRPr="00063CE2">
        <w:rPr>
          <w:b/>
          <w:noProof w:val="0"/>
          <w:color w:val="000000" w:themeColor="text1"/>
          <w:lang w:val="en-US"/>
        </w:rPr>
        <w:t xml:space="preserve"> Brain Bank</w:t>
      </w:r>
      <w:r w:rsidR="009930B3" w:rsidRPr="00063CE2">
        <w:rPr>
          <w:noProof w:val="0"/>
          <w:color w:val="000000" w:themeColor="text1"/>
          <w:lang w:val="en-US"/>
        </w:rPr>
        <w:t xml:space="preserve"> (</w:t>
      </w:r>
      <w:r w:rsidR="009930B3" w:rsidRPr="00063CE2">
        <w:rPr>
          <w:b/>
          <w:noProof w:val="0"/>
          <w:color w:val="000000" w:themeColor="text1"/>
          <w:lang w:val="en-US"/>
        </w:rPr>
        <w:t>ABB</w:t>
      </w:r>
      <w:r w:rsidR="009930B3" w:rsidRPr="00063CE2">
        <w:rPr>
          <w:noProof w:val="0"/>
          <w:color w:val="000000" w:themeColor="text1"/>
          <w:lang w:val="en-US"/>
        </w:rPr>
        <w:t>). The core donors of ABB are the InveCe.Ab participants but ABB is now open to other volunteer donors. They are patients from ASP Golgi-</w:t>
      </w:r>
      <w:proofErr w:type="spellStart"/>
      <w:r w:rsidR="009930B3" w:rsidRPr="00063CE2">
        <w:rPr>
          <w:noProof w:val="0"/>
          <w:color w:val="000000" w:themeColor="text1"/>
          <w:lang w:val="en-US"/>
        </w:rPr>
        <w:t>Redaelli</w:t>
      </w:r>
      <w:proofErr w:type="spellEnd"/>
      <w:r w:rsidR="009930B3" w:rsidRPr="00063CE2">
        <w:rPr>
          <w:noProof w:val="0"/>
          <w:color w:val="000000" w:themeColor="text1"/>
          <w:lang w:val="en-US"/>
        </w:rPr>
        <w:t>, home to several patients afflicted with different neurological diseases or adult volunteers who learn about the ABB Project and belong to the same geographic area (</w:t>
      </w:r>
      <w:proofErr w:type="spellStart"/>
      <w:r w:rsidR="009930B3" w:rsidRPr="00063CE2">
        <w:rPr>
          <w:noProof w:val="0"/>
          <w:color w:val="000000" w:themeColor="text1"/>
          <w:lang w:val="en-US"/>
        </w:rPr>
        <w:t>Abbiategrasso</w:t>
      </w:r>
      <w:proofErr w:type="spellEnd"/>
      <w:r w:rsidR="009930B3" w:rsidRPr="00063CE2">
        <w:rPr>
          <w:noProof w:val="0"/>
          <w:color w:val="000000" w:themeColor="text1"/>
          <w:lang w:val="en-US"/>
        </w:rPr>
        <w:t xml:space="preserve"> and surroundings). All donors undergo the same evaluation protocol.</w:t>
      </w:r>
    </w:p>
    <w:p w14:paraId="3B51517D" w14:textId="77777777" w:rsidR="00B977F5" w:rsidRPr="00063CE2" w:rsidRDefault="00B977F5" w:rsidP="0069295C">
      <w:pPr>
        <w:tabs>
          <w:tab w:val="left" w:pos="426"/>
        </w:tabs>
        <w:rPr>
          <w:noProof w:val="0"/>
          <w:color w:val="000000" w:themeColor="text1"/>
          <w:lang w:val="en-US"/>
        </w:rPr>
      </w:pPr>
    </w:p>
    <w:p w14:paraId="4F210B3E" w14:textId="25DE54A4" w:rsidR="00520964" w:rsidRPr="00063CE2" w:rsidRDefault="00520964" w:rsidP="00520964">
      <w:pPr>
        <w:tabs>
          <w:tab w:val="left" w:pos="426"/>
        </w:tabs>
        <w:rPr>
          <w:b/>
          <w:noProof w:val="0"/>
          <w:color w:val="000000" w:themeColor="text1"/>
          <w:lang w:val="en-US"/>
        </w:rPr>
      </w:pPr>
      <w:r w:rsidRPr="00063CE2">
        <w:rPr>
          <w:rFonts w:asciiTheme="minorHAnsi" w:hAnsiTheme="minorHAnsi" w:cstheme="minorHAnsi"/>
          <w:noProof w:val="0"/>
          <w:color w:val="000000" w:themeColor="text1"/>
          <w:lang w:val="en-US"/>
        </w:rPr>
        <w:t xml:space="preserve">The authors propose a method to track individual trajectories of normal aging and the possible progression to </w:t>
      </w:r>
      <w:r w:rsidR="00E17942" w:rsidRPr="00063CE2">
        <w:rPr>
          <w:rFonts w:asciiTheme="minorHAnsi" w:hAnsiTheme="minorHAnsi" w:cstheme="minorHAnsi"/>
          <w:noProof w:val="0"/>
          <w:color w:val="000000" w:themeColor="text1"/>
          <w:lang w:val="en-US"/>
        </w:rPr>
        <w:t>NCDs</w:t>
      </w:r>
      <w:r w:rsidRPr="00063CE2">
        <w:rPr>
          <w:rFonts w:asciiTheme="minorHAnsi" w:hAnsiTheme="minorHAnsi" w:cstheme="minorHAnsi"/>
          <w:noProof w:val="0"/>
          <w:color w:val="000000" w:themeColor="text1"/>
          <w:lang w:val="en-US"/>
        </w:rPr>
        <w:t>,</w:t>
      </w:r>
      <w:r w:rsidR="00694CF7" w:rsidRPr="00063CE2">
        <w:rPr>
          <w:rFonts w:asciiTheme="minorHAnsi" w:hAnsiTheme="minorHAnsi" w:cstheme="minorHAnsi"/>
          <w:noProof w:val="0"/>
          <w:color w:val="000000" w:themeColor="text1"/>
          <w:lang w:val="en-US"/>
        </w:rPr>
        <w:t xml:space="preserve"> and </w:t>
      </w:r>
      <w:r w:rsidRPr="00063CE2">
        <w:rPr>
          <w:rFonts w:asciiTheme="minorHAnsi" w:hAnsiTheme="minorHAnsi" w:cstheme="minorHAnsi"/>
          <w:noProof w:val="0"/>
          <w:color w:val="000000" w:themeColor="text1"/>
          <w:lang w:val="en-US"/>
        </w:rPr>
        <w:t xml:space="preserve">to </w:t>
      </w:r>
      <w:r w:rsidR="009C2CE4" w:rsidRPr="00063CE2">
        <w:rPr>
          <w:rFonts w:asciiTheme="minorHAnsi" w:hAnsiTheme="minorHAnsi" w:cstheme="minorHAnsi"/>
          <w:noProof w:val="0"/>
          <w:color w:val="000000" w:themeColor="text1"/>
          <w:lang w:val="en-US"/>
        </w:rPr>
        <w:t xml:space="preserve">accurately </w:t>
      </w:r>
      <w:r w:rsidRPr="00063CE2">
        <w:rPr>
          <w:rFonts w:asciiTheme="minorHAnsi" w:hAnsiTheme="minorHAnsi" w:cstheme="minorHAnsi"/>
          <w:noProof w:val="0"/>
          <w:color w:val="000000" w:themeColor="text1"/>
          <w:lang w:val="en-US"/>
        </w:rPr>
        <w:t>manage</w:t>
      </w:r>
      <w:r w:rsidR="00694CF7" w:rsidRPr="00063CE2">
        <w:rPr>
          <w:rFonts w:asciiTheme="minorHAnsi" w:hAnsiTheme="minorHAnsi" w:cstheme="minorHAnsi"/>
          <w:noProof w:val="0"/>
          <w:color w:val="000000" w:themeColor="text1"/>
          <w:lang w:val="en-US"/>
        </w:rPr>
        <w:t>, process</w:t>
      </w:r>
      <w:r w:rsidRPr="00063CE2">
        <w:rPr>
          <w:rFonts w:asciiTheme="minorHAnsi" w:hAnsiTheme="minorHAnsi" w:cstheme="minorHAnsi"/>
          <w:noProof w:val="0"/>
          <w:color w:val="000000" w:themeColor="text1"/>
          <w:lang w:val="en-US"/>
        </w:rPr>
        <w:t xml:space="preserve"> and characterize</w:t>
      </w:r>
      <w:r w:rsidR="00694CF7" w:rsidRPr="00063CE2">
        <w:rPr>
          <w:rFonts w:asciiTheme="minorHAnsi" w:hAnsiTheme="minorHAnsi" w:cstheme="minorHAnsi"/>
          <w:noProof w:val="0"/>
          <w:color w:val="000000" w:themeColor="text1"/>
          <w:lang w:val="en-US"/>
        </w:rPr>
        <w:t xml:space="preserve"> </w:t>
      </w:r>
      <w:r w:rsidRPr="00063CE2">
        <w:rPr>
          <w:rFonts w:asciiTheme="minorHAnsi" w:hAnsiTheme="minorHAnsi" w:cstheme="minorHAnsi"/>
          <w:noProof w:val="0"/>
          <w:color w:val="000000" w:themeColor="text1"/>
          <w:lang w:val="en-US"/>
        </w:rPr>
        <w:t xml:space="preserve">brains acquired </w:t>
      </w:r>
      <w:r w:rsidR="00717FE2" w:rsidRPr="00063CE2">
        <w:rPr>
          <w:rFonts w:asciiTheme="minorHAnsi" w:hAnsiTheme="minorHAnsi" w:cstheme="minorHAnsi"/>
          <w:noProof w:val="0"/>
          <w:color w:val="000000" w:themeColor="text1"/>
          <w:lang w:val="en-US"/>
        </w:rPr>
        <w:t xml:space="preserve">from </w:t>
      </w:r>
      <w:r w:rsidR="00E17942" w:rsidRPr="00063CE2">
        <w:rPr>
          <w:rFonts w:asciiTheme="minorHAnsi" w:hAnsiTheme="minorHAnsi" w:cstheme="minorHAnsi"/>
          <w:noProof w:val="0"/>
          <w:color w:val="000000" w:themeColor="text1"/>
          <w:lang w:val="en-US"/>
        </w:rPr>
        <w:t xml:space="preserve">such </w:t>
      </w:r>
      <w:r w:rsidR="00717FE2" w:rsidRPr="00063CE2">
        <w:rPr>
          <w:rFonts w:asciiTheme="minorHAnsi" w:hAnsiTheme="minorHAnsi" w:cstheme="minorHAnsi"/>
          <w:noProof w:val="0"/>
          <w:color w:val="000000" w:themeColor="text1"/>
          <w:lang w:val="en-US"/>
        </w:rPr>
        <w:t>donors followed longitudinally</w:t>
      </w:r>
      <w:r w:rsidRPr="00063CE2">
        <w:rPr>
          <w:rFonts w:asciiTheme="minorHAnsi" w:hAnsiTheme="minorHAnsi" w:cstheme="minorHAnsi"/>
          <w:noProof w:val="0"/>
          <w:color w:val="000000" w:themeColor="text1"/>
          <w:lang w:val="en-US"/>
        </w:rPr>
        <w:t>. Moreover, our aim is to meet and engage individual</w:t>
      </w:r>
      <w:r w:rsidR="00B977F5" w:rsidRPr="00063CE2">
        <w:rPr>
          <w:rFonts w:asciiTheme="minorHAnsi" w:hAnsiTheme="minorHAnsi" w:cstheme="minorHAnsi"/>
          <w:noProof w:val="0"/>
          <w:color w:val="000000" w:themeColor="text1"/>
          <w:lang w:val="en-US"/>
        </w:rPr>
        <w:t>s</w:t>
      </w:r>
      <w:r w:rsidRPr="00063CE2">
        <w:rPr>
          <w:rFonts w:asciiTheme="minorHAnsi" w:hAnsiTheme="minorHAnsi" w:cstheme="minorHAnsi"/>
          <w:noProof w:val="0"/>
          <w:color w:val="000000" w:themeColor="text1"/>
          <w:lang w:val="en-US"/>
        </w:rPr>
        <w:t xml:space="preserve"> in periodic neurological assessments, seminars and educational activities regarding the well-being of the brain and to raise their awareness of brain donation for research purposes.</w:t>
      </w:r>
    </w:p>
    <w:p w14:paraId="4290D65D" w14:textId="77777777" w:rsidR="00F163D2" w:rsidRPr="00063CE2" w:rsidRDefault="00F163D2" w:rsidP="0069295C">
      <w:pPr>
        <w:outlineLvl w:val="0"/>
        <w:rPr>
          <w:b/>
          <w:noProof w:val="0"/>
          <w:color w:val="000000" w:themeColor="text1"/>
          <w:lang w:val="en-US"/>
        </w:rPr>
      </w:pPr>
    </w:p>
    <w:p w14:paraId="5CBF078D" w14:textId="2B84E6D3" w:rsidR="00AF5653" w:rsidRPr="00063CE2" w:rsidRDefault="00AF5653" w:rsidP="00AF5653">
      <w:pPr>
        <w:outlineLvl w:val="0"/>
        <w:rPr>
          <w:b/>
          <w:noProof w:val="0"/>
          <w:color w:val="000000" w:themeColor="text1"/>
          <w:lang w:val="en-US"/>
        </w:rPr>
      </w:pPr>
      <w:bookmarkStart w:id="1" w:name="_Hlk14094147"/>
      <w:r w:rsidRPr="00063CE2">
        <w:rPr>
          <w:b/>
          <w:noProof w:val="0"/>
          <w:color w:val="000000" w:themeColor="text1"/>
          <w:lang w:val="en-US"/>
        </w:rPr>
        <w:t>PROTOCOL:</w:t>
      </w:r>
    </w:p>
    <w:p w14:paraId="677CB1CD" w14:textId="02A9365F" w:rsidR="00F80ADD" w:rsidRPr="00063CE2" w:rsidRDefault="00F80ADD" w:rsidP="00F80ADD">
      <w:pPr>
        <w:rPr>
          <w:noProof w:val="0"/>
          <w:color w:val="000000" w:themeColor="text1"/>
          <w:lang w:val="en-US"/>
        </w:rPr>
      </w:pPr>
      <w:r w:rsidRPr="00063CE2">
        <w:rPr>
          <w:rFonts w:eastAsia="Baskerville" w:cs="Baskerville"/>
          <w:noProof w:val="0"/>
          <w:color w:val="000000" w:themeColor="text1"/>
          <w:lang w:val="en-US"/>
        </w:rPr>
        <w:t>In line with</w:t>
      </w:r>
      <w:r w:rsidR="00CB3F5B" w:rsidRPr="00063CE2">
        <w:rPr>
          <w:rFonts w:eastAsia="Baskerville" w:cs="Baskerville"/>
          <w:noProof w:val="0"/>
          <w:color w:val="000000" w:themeColor="text1"/>
          <w:lang w:val="en-US"/>
        </w:rPr>
        <w:t xml:space="preserve"> our institution</w:t>
      </w:r>
      <w:r w:rsidR="00382F2D" w:rsidRPr="00063CE2">
        <w:rPr>
          <w:rFonts w:eastAsia="Baskerville" w:cs="Baskerville"/>
          <w:noProof w:val="0"/>
          <w:color w:val="000000" w:themeColor="text1"/>
          <w:lang w:val="en-US"/>
        </w:rPr>
        <w:t>’s</w:t>
      </w:r>
      <w:r w:rsidR="00CB3F5B" w:rsidRPr="00063CE2">
        <w:rPr>
          <w:rFonts w:eastAsia="Baskerville" w:cs="Baskerville"/>
          <w:noProof w:val="0"/>
          <w:color w:val="000000" w:themeColor="text1"/>
          <w:lang w:val="en-US"/>
        </w:rPr>
        <w:t xml:space="preserve"> </w:t>
      </w:r>
      <w:r w:rsidR="00382F2D" w:rsidRPr="00063CE2">
        <w:rPr>
          <w:rFonts w:eastAsia="Baskerville" w:cs="Baskerville"/>
          <w:noProof w:val="0"/>
          <w:color w:val="000000" w:themeColor="text1"/>
          <w:lang w:val="en-US"/>
        </w:rPr>
        <w:t>H</w:t>
      </w:r>
      <w:r w:rsidR="00CB3F5B" w:rsidRPr="00063CE2">
        <w:rPr>
          <w:rFonts w:eastAsia="Baskerville" w:cs="Baskerville"/>
          <w:noProof w:val="0"/>
          <w:color w:val="000000" w:themeColor="text1"/>
          <w:lang w:val="en-US"/>
        </w:rPr>
        <w:t xml:space="preserve">uman </w:t>
      </w:r>
      <w:r w:rsidR="00382F2D" w:rsidRPr="00063CE2">
        <w:rPr>
          <w:rFonts w:eastAsia="Baskerville" w:cs="Baskerville"/>
          <w:noProof w:val="0"/>
          <w:color w:val="000000" w:themeColor="text1"/>
          <w:lang w:val="en-US"/>
        </w:rPr>
        <w:t>R</w:t>
      </w:r>
      <w:r w:rsidR="00CB3F5B" w:rsidRPr="00063CE2">
        <w:rPr>
          <w:rFonts w:eastAsia="Baskerville" w:cs="Baskerville"/>
          <w:noProof w:val="0"/>
          <w:color w:val="000000" w:themeColor="text1"/>
          <w:lang w:val="en-US"/>
        </w:rPr>
        <w:t xml:space="preserve">esearch </w:t>
      </w:r>
      <w:r w:rsidR="00382F2D" w:rsidRPr="00063CE2">
        <w:rPr>
          <w:rFonts w:eastAsia="Baskerville" w:cs="Baskerville"/>
          <w:noProof w:val="0"/>
          <w:color w:val="000000" w:themeColor="text1"/>
          <w:lang w:val="en-US"/>
        </w:rPr>
        <w:t>E</w:t>
      </w:r>
      <w:r w:rsidR="00CB3F5B" w:rsidRPr="00063CE2">
        <w:rPr>
          <w:rFonts w:eastAsia="Baskerville" w:cs="Baskerville"/>
          <w:noProof w:val="0"/>
          <w:color w:val="000000" w:themeColor="text1"/>
          <w:lang w:val="en-US"/>
        </w:rPr>
        <w:t xml:space="preserve">thics </w:t>
      </w:r>
      <w:r w:rsidR="00382F2D" w:rsidRPr="00063CE2">
        <w:rPr>
          <w:rFonts w:eastAsia="Baskerville" w:cs="Baskerville"/>
          <w:noProof w:val="0"/>
          <w:color w:val="000000" w:themeColor="text1"/>
          <w:lang w:val="en-US"/>
        </w:rPr>
        <w:t>C</w:t>
      </w:r>
      <w:r w:rsidR="00CB3F5B" w:rsidRPr="00063CE2">
        <w:rPr>
          <w:rFonts w:eastAsia="Baskerville" w:cs="Baskerville"/>
          <w:noProof w:val="0"/>
          <w:color w:val="000000" w:themeColor="text1"/>
          <w:lang w:val="en-US"/>
        </w:rPr>
        <w:t>ommittee</w:t>
      </w:r>
      <w:r w:rsidR="00975873" w:rsidRPr="00063CE2">
        <w:rPr>
          <w:rFonts w:eastAsia="Baskerville" w:cs="Baskerville"/>
          <w:noProof w:val="0"/>
          <w:color w:val="000000" w:themeColor="text1"/>
          <w:lang w:val="en-US"/>
        </w:rPr>
        <w:t xml:space="preserve"> and</w:t>
      </w:r>
      <w:r w:rsidRPr="00063CE2">
        <w:rPr>
          <w:rFonts w:eastAsia="Baskerville" w:cs="Baskerville"/>
          <w:noProof w:val="0"/>
          <w:color w:val="000000" w:themeColor="text1"/>
          <w:lang w:val="en-US"/>
        </w:rPr>
        <w:t xml:space="preserve"> the BNE Code of Conduct,</w:t>
      </w:r>
      <w:r w:rsidRPr="00063CE2">
        <w:rPr>
          <w:noProof w:val="0"/>
          <w:color w:val="000000" w:themeColor="text1"/>
          <w:vertAlign w:val="superscript"/>
          <w:lang w:val="en-US"/>
        </w:rPr>
        <w:t xml:space="preserve"> </w:t>
      </w:r>
      <w:r w:rsidRPr="00063CE2">
        <w:rPr>
          <w:rFonts w:eastAsia="Baskerville" w:cs="Baskerville"/>
          <w:noProof w:val="0"/>
          <w:color w:val="000000" w:themeColor="text1"/>
          <w:lang w:val="en-US"/>
        </w:rPr>
        <w:t>the ABB performs its activities following ethical standards</w:t>
      </w:r>
      <w:r w:rsidR="0046128C" w:rsidRPr="00063CE2">
        <w:rPr>
          <w:rFonts w:eastAsia="Baskerville" w:cs="Baskerville"/>
          <w:noProof w:val="0"/>
          <w:color w:val="000000" w:themeColor="text1"/>
          <w:lang w:val="en-US"/>
        </w:rPr>
        <w:fldChar w:fldCharType="begin" w:fldLock="1"/>
      </w:r>
      <w:r w:rsidR="00F84C1A" w:rsidRPr="00063CE2">
        <w:rPr>
          <w:rFonts w:eastAsia="Baskerville" w:cs="Baskerville"/>
          <w:noProof w:val="0"/>
          <w:color w:val="000000" w:themeColor="text1"/>
          <w:lang w:val="en-US"/>
        </w:rPr>
        <w:instrText>ADDIN CSL_CITATION {"citationItems":[{"id":"ITEM-1","itemData":{"URL":"https://www.brainnet-europe.org/indexe151.html?option=com_content&amp;view=article&amp;id=89&amp;Itemid=89","accessed":{"date-parts":[["2019","5","9"]]},"id":"ITEM-1","issued":{"date-parts":[["2008"]]},"title":"BrainNet Europe - Code of Conduct","type":"webpage"},"uris":["http://www.mendeley.com/documents/?uuid=acb6b7b0-53e1-30fc-b25e-2d7e9ba4bb74"]},{"id":"ITEM-2","itemData":{"ISBN":"9780444636393","ISSN":"22124152","abstract":"The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Neurology","edition":"1","id":"ITEM-2","issued":{"date-parts":[["2018"]]},"number-of-pages":"51-81","publisher":"Elsevier B.V.","title":"Design of a European code of conduct for brain banking","type":"book","volume":"150"},"uris":["http://www.mendeley.com/documents/?uuid=1cb29315-0c03-4c99-9d6a-90521388c916"]}],"mendeley":{"formattedCitation":"&lt;sup&gt;39, 40&lt;/sup&gt;","plainTextFormattedCitation":"39, 40","previouslyFormattedCitation":"&lt;sup&gt;39, 40&lt;/sup&gt;"},"properties":{"noteIndex":0},"schema":"https://github.com/citation-style-language/schema/raw/master/csl-citation.json"}</w:instrText>
      </w:r>
      <w:r w:rsidR="0046128C" w:rsidRPr="00063CE2">
        <w:rPr>
          <w:rFonts w:eastAsia="Baskerville" w:cs="Baskerville"/>
          <w:noProof w:val="0"/>
          <w:color w:val="000000" w:themeColor="text1"/>
          <w:lang w:val="en-US"/>
        </w:rPr>
        <w:fldChar w:fldCharType="separate"/>
      </w:r>
      <w:r w:rsidR="0046128C" w:rsidRPr="00063CE2">
        <w:rPr>
          <w:rFonts w:eastAsia="Baskerville" w:cs="Baskerville"/>
          <w:color w:val="000000" w:themeColor="text1"/>
          <w:vertAlign w:val="superscript"/>
          <w:lang w:val="en-US"/>
        </w:rPr>
        <w:t>39, 40</w:t>
      </w:r>
      <w:r w:rsidR="0046128C" w:rsidRPr="00063CE2">
        <w:rPr>
          <w:rFonts w:eastAsia="Baskerville" w:cs="Baskerville"/>
          <w:noProof w:val="0"/>
          <w:color w:val="000000" w:themeColor="text1"/>
          <w:lang w:val="en-US"/>
        </w:rPr>
        <w:fldChar w:fldCharType="end"/>
      </w:r>
      <w:r w:rsidRPr="00063CE2">
        <w:rPr>
          <w:rFonts w:eastAsia="Baskerville" w:cs="Baskerville"/>
          <w:noProof w:val="0"/>
          <w:color w:val="000000" w:themeColor="text1"/>
          <w:lang w:val="en-US"/>
        </w:rPr>
        <w:t>.</w:t>
      </w:r>
      <w:r w:rsidRPr="00063CE2">
        <w:rPr>
          <w:noProof w:val="0"/>
          <w:color w:val="000000" w:themeColor="text1"/>
          <w:lang w:val="en-US"/>
        </w:rPr>
        <w:t xml:space="preserve"> </w:t>
      </w:r>
      <w:r w:rsidR="00382F2D" w:rsidRPr="00063CE2">
        <w:rPr>
          <w:noProof w:val="0"/>
          <w:color w:val="000000" w:themeColor="text1"/>
          <w:lang w:val="en-US"/>
        </w:rPr>
        <w:t>The b</w:t>
      </w:r>
      <w:r w:rsidRPr="00063CE2">
        <w:rPr>
          <w:noProof w:val="0"/>
          <w:color w:val="000000" w:themeColor="text1"/>
          <w:lang w:val="en-US"/>
        </w:rPr>
        <w:t>rain harvesting procedure was submitted</w:t>
      </w:r>
      <w:r w:rsidR="00382F2D" w:rsidRPr="00063CE2">
        <w:rPr>
          <w:noProof w:val="0"/>
          <w:color w:val="000000" w:themeColor="text1"/>
          <w:lang w:val="en-US"/>
        </w:rPr>
        <w:t xml:space="preserve"> to</w:t>
      </w:r>
      <w:r w:rsidRPr="00063CE2">
        <w:rPr>
          <w:noProof w:val="0"/>
          <w:color w:val="000000" w:themeColor="text1"/>
          <w:lang w:val="en-US"/>
        </w:rPr>
        <w:t xml:space="preserve"> and approved by the Ethics Committee of the University of Pavia in the context of the InveCe.Ab study</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{"citationItems":[{"id":"ITEM-1","itemData":{"ISSN":"1471-2318","PMID":"24063518","abstract":"BACKGROUND: Developed countries are experiencing an unprecedented increase in life expectancy that is accompanied by a tremendous rise in the number of people with dementia. The purpose of this paper is to report on the study design and methodology of an Italian population-based study on brain aging and dementia in the elderly. This multi-domain study is structured in two phases. Our goal is to gather sufficient data to estimate the prevalence (phase I: cross-sectional study), the incidence and the progression of dementia and its subtypes as well as cognitive impairment (phase II: follow-up study) and to identify socio-demographic, clinical, and lifestyle factors associated with dementia and the quality of brain aging in people aged 70--74 years, a crucial point between late adulthood and old age. METHODS: We chose to contact all 1773 people born between 1935--39 residing in Abbiategrasso, Milan, Italy. Those who agreed to participate in the \"Invece.Ab\" study were enrolled in a cross-sectional assessment and will be contacted two and four years after the initial data collection to participate in the longitudinal survey. Both the cross-sectional and longitudinal assessments include a medical evaluation, a neuropsychological test battery, several anthropometric measurements, a social and lifestyle interview, blood analyses, and the storage of a blood sample for the evaluation of putative biological markers. DISCUSSION: Now at the end of the recruitment phase, the evaluable population has amounted to 1644 people. Among these, 1321 (80.35%) of the participants have completed phase I. This high return rate was likely due to the style of recruitment and personalization of the contacts.Trial registration: ClinicalTrials.gov: NCT01345110.","author":[{"dropping-particle":"","family":"Guaita","given":"Antonio","non-dropping-particle":"","parse-names":false,"suffix":""},{"dropping-particle":"","family":"Colombo","given":"Mauro","non-dropping-particle":"","parse-names":false,"suffix":""},{"dropping-particle":"","family":"Vaccaro","given":"Roberta","non-dropping-particle":"","parse-names":false,"suffix":""},{"dropping-particle":"","family":"Fossi","given":"Silvia","non-dropping-particle":"","parse-names":false,"suffix":""},{"dropping-particle":"","family":"Vitali","given":"Silvia Francesca","non-dropping-particle":"","parse-names":false,"suffix":""},{"dropping-particle":"","family":"Forloni","given":"Gianluigi","non-dropping-particle":"","parse-names":false,"suffix":""},{"dropping-particle":"","family":"Polito","given":"Letizia","non-dropping-particle":"","parse-names":false,"suffix":""},{"dropping-particle":"","family":"Davin","given":"Annalisa","non-dropping-particle":"","parse-names":false,"suffix":""},{"dropping-particle":"","family":"Ferretti","given":"Virginia Valeria","non-dropping-particle":"","parse-names":false,"suffix":""},{"dropping-particle":"","family":"Villani","given":"Simona","non-dropping-particle":"","parse-names":false,"suffix":""}],"container-title":"BMC Geriatr","id":"ITEM-1","issued":{"date-parts":[["2013"]]},"page":"98","title":"Brain aging and dementia during the transition from late adulthood to old age: design and methodology of the \"Invece.Ab\" population-based study.","type":"article-journal","volume":"13"},"uris":["http://www.mendeley.com/documents/?uuid=39150453-531e-4d40-85b3-c697bf0ed4bb"]}],"mendeley":{"formattedCitation":"&lt;sup&gt;36&lt;/sup&gt;","plainTextFormattedCitation":"36","previouslyFormattedCitation":"&lt;sup&gt;36&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36</w:t>
      </w:r>
      <w:r w:rsidRPr="00063CE2">
        <w:rPr>
          <w:noProof w:val="0"/>
          <w:color w:val="000000" w:themeColor="text1"/>
          <w:lang w:val="en-US"/>
        </w:rPr>
        <w:fldChar w:fldCharType="end"/>
      </w:r>
      <w:r w:rsidRPr="00063CE2">
        <w:rPr>
          <w:noProof w:val="0"/>
          <w:color w:val="000000" w:themeColor="text1"/>
          <w:lang w:val="en-US"/>
        </w:rPr>
        <w:t>.</w:t>
      </w:r>
      <w:r w:rsidRPr="00063CE2">
        <w:rPr>
          <w:noProof w:val="0"/>
          <w:color w:val="000000" w:themeColor="text1"/>
          <w:vertAlign w:val="superscript"/>
          <w:lang w:val="en-US"/>
        </w:rPr>
        <w:t xml:space="preserve"> </w:t>
      </w:r>
      <w:r w:rsidRPr="00063CE2">
        <w:rPr>
          <w:noProof w:val="0"/>
          <w:color w:val="000000" w:themeColor="text1"/>
          <w:lang w:val="en-US"/>
        </w:rPr>
        <w:t>The study procedures were in accordance with the principles outlined in the Declaration of Helsinki of 1964 and the following amendments. The consent form is complete and easily comprehensible. Joining the donation program is a personal decision, and complete awareness is needed. In case a person is not deemed competent to sign the consent</w:t>
      </w:r>
      <w:r w:rsidR="00F7085E" w:rsidRPr="00063CE2">
        <w:rPr>
          <w:noProof w:val="0"/>
          <w:color w:val="000000" w:themeColor="text1"/>
          <w:lang w:val="en-US"/>
        </w:rPr>
        <w:t xml:space="preserve"> form</w:t>
      </w:r>
      <w:r w:rsidRPr="00063CE2">
        <w:rPr>
          <w:noProof w:val="0"/>
          <w:color w:val="000000" w:themeColor="text1"/>
          <w:lang w:val="en-US"/>
        </w:rPr>
        <w:t xml:space="preserve">, authorization from legal guardian or next-of-kin (NOK) is warranted. </w:t>
      </w:r>
      <w:r w:rsidRPr="00063CE2">
        <w:rPr>
          <w:b/>
          <w:bCs/>
          <w:noProof w:val="0"/>
          <w:color w:val="000000" w:themeColor="text1"/>
          <w:lang w:val="en-US"/>
        </w:rPr>
        <w:t>Ta</w:t>
      </w:r>
      <w:r w:rsidR="00B977F5" w:rsidRPr="00063CE2">
        <w:rPr>
          <w:b/>
          <w:bCs/>
          <w:noProof w:val="0"/>
          <w:color w:val="000000" w:themeColor="text1"/>
          <w:lang w:val="en-US"/>
        </w:rPr>
        <w:t>ble</w:t>
      </w:r>
      <w:r w:rsidR="003F6609" w:rsidRPr="00063CE2">
        <w:rPr>
          <w:b/>
          <w:bCs/>
          <w:noProof w:val="0"/>
          <w:color w:val="000000" w:themeColor="text1"/>
          <w:lang w:val="en-US"/>
        </w:rPr>
        <w:t xml:space="preserve"> 2</w:t>
      </w:r>
      <w:r w:rsidRPr="00063CE2">
        <w:rPr>
          <w:b/>
          <w:bCs/>
          <w:noProof w:val="0"/>
          <w:color w:val="000000" w:themeColor="text1"/>
          <w:lang w:val="en-US"/>
        </w:rPr>
        <w:t xml:space="preserve"> </w:t>
      </w:r>
      <w:r w:rsidRPr="00063CE2">
        <w:rPr>
          <w:noProof w:val="0"/>
          <w:color w:val="000000" w:themeColor="text1"/>
          <w:lang w:val="en-US"/>
        </w:rPr>
        <w:t xml:space="preserve">reports inclusion and exclusion criteria for brain donation. The research was </w:t>
      </w:r>
      <w:r w:rsidR="0026547F" w:rsidRPr="00063CE2">
        <w:rPr>
          <w:noProof w:val="0"/>
          <w:color w:val="000000" w:themeColor="text1"/>
          <w:lang w:val="en-US"/>
        </w:rPr>
        <w:t>performed</w:t>
      </w:r>
      <w:r w:rsidR="0048119B" w:rsidRPr="00063CE2">
        <w:rPr>
          <w:noProof w:val="0"/>
          <w:color w:val="000000" w:themeColor="text1"/>
          <w:lang w:val="en-US"/>
        </w:rPr>
        <w:t xml:space="preserve"> </w:t>
      </w:r>
      <w:r w:rsidRPr="00063CE2">
        <w:rPr>
          <w:noProof w:val="0"/>
          <w:color w:val="000000" w:themeColor="text1"/>
          <w:lang w:val="en-US"/>
        </w:rPr>
        <w:t xml:space="preserve">under the supervision of the </w:t>
      </w:r>
      <w:proofErr w:type="spellStart"/>
      <w:r w:rsidRPr="00063CE2">
        <w:rPr>
          <w:i/>
          <w:noProof w:val="0"/>
          <w:color w:val="000000" w:themeColor="text1"/>
          <w:lang w:val="en-US"/>
        </w:rPr>
        <w:t>Federazione</w:t>
      </w:r>
      <w:proofErr w:type="spellEnd"/>
      <w:r w:rsidRPr="00063CE2">
        <w:rPr>
          <w:i/>
          <w:noProof w:val="0"/>
          <w:color w:val="000000" w:themeColor="text1"/>
          <w:lang w:val="en-US"/>
        </w:rPr>
        <w:t xml:space="preserve"> Alzheimer Italia</w:t>
      </w:r>
      <w:r w:rsidRPr="00063CE2">
        <w:rPr>
          <w:noProof w:val="0"/>
          <w:color w:val="000000" w:themeColor="text1"/>
          <w:lang w:val="en-US"/>
        </w:rPr>
        <w:t>.</w:t>
      </w:r>
    </w:p>
    <w:p w14:paraId="35BDFC89" w14:textId="77777777" w:rsidR="00F80ADD" w:rsidRPr="00063CE2" w:rsidRDefault="00F80ADD" w:rsidP="00F80ADD">
      <w:pPr>
        <w:rPr>
          <w:noProof w:val="0"/>
          <w:color w:val="000000" w:themeColor="text1"/>
          <w:lang w:val="en-US"/>
        </w:rPr>
      </w:pPr>
    </w:p>
    <w:p w14:paraId="1823CAAC" w14:textId="77777777" w:rsidR="00AF5653" w:rsidRPr="00063CE2" w:rsidRDefault="00AF5653" w:rsidP="00AF5653">
      <w:pPr>
        <w:rPr>
          <w:noProof w:val="0"/>
          <w:color w:val="000000" w:themeColor="text1"/>
          <w:lang w:val="en-US"/>
        </w:rPr>
      </w:pPr>
      <w:r w:rsidRPr="00063CE2">
        <w:rPr>
          <w:b/>
          <w:noProof w:val="0"/>
          <w:color w:val="000000" w:themeColor="text1"/>
          <w:lang w:val="en-US"/>
        </w:rPr>
        <w:t>1.</w:t>
      </w:r>
      <w:r w:rsidRPr="00063CE2">
        <w:rPr>
          <w:noProof w:val="0"/>
          <w:color w:val="000000" w:themeColor="text1"/>
          <w:lang w:val="en-US"/>
        </w:rPr>
        <w:t xml:space="preserve"> </w:t>
      </w:r>
      <w:r w:rsidRPr="00063CE2">
        <w:rPr>
          <w:b/>
          <w:noProof w:val="0"/>
          <w:color w:val="000000" w:themeColor="text1"/>
          <w:lang w:val="en-US"/>
        </w:rPr>
        <w:t>Recruitment to the brain donation program</w:t>
      </w:r>
    </w:p>
    <w:p w14:paraId="3022DB49" w14:textId="77777777" w:rsidR="00AF5653" w:rsidRPr="00063CE2" w:rsidRDefault="00AF5653" w:rsidP="00AF5653">
      <w:pPr>
        <w:rPr>
          <w:noProof w:val="0"/>
          <w:color w:val="000000" w:themeColor="text1"/>
          <w:lang w:val="en-US"/>
        </w:rPr>
      </w:pPr>
    </w:p>
    <w:p w14:paraId="38C6E595" w14:textId="4BD54053" w:rsidR="00AF5653" w:rsidRPr="00063CE2" w:rsidRDefault="00AF5653" w:rsidP="00AF5653">
      <w:pPr>
        <w:rPr>
          <w:noProof w:val="0"/>
          <w:color w:val="000000" w:themeColor="text1"/>
          <w:lang w:val="en-US"/>
        </w:rPr>
      </w:pPr>
      <w:r w:rsidRPr="00063CE2">
        <w:rPr>
          <w:noProof w:val="0"/>
          <w:color w:val="000000" w:themeColor="text1"/>
          <w:lang w:val="en-US"/>
        </w:rPr>
        <w:t>1.1. Convene the subjects who had expressed interest in brain donation and their NOK and/or legal guardian to present the project (the scope of the donation program; the process of brain removal, conservation, use and distribution), the right to withdraw from the program at any given time, the protection of anonymity, and the follow</w:t>
      </w:r>
      <w:r w:rsidR="000F4C71" w:rsidRPr="00063CE2">
        <w:rPr>
          <w:noProof w:val="0"/>
          <w:color w:val="000000" w:themeColor="text1"/>
          <w:lang w:val="en-US"/>
        </w:rPr>
        <w:t>-</w:t>
      </w:r>
      <w:r w:rsidRPr="00063CE2">
        <w:rPr>
          <w:noProof w:val="0"/>
          <w:color w:val="000000" w:themeColor="text1"/>
          <w:lang w:val="en-US"/>
        </w:rPr>
        <w:t>up strategies. Discuss the possibility of additional biomarker investigations and genetic tests. Note the wishes of the potential donor or his NOK to be informed about the results.</w:t>
      </w:r>
    </w:p>
    <w:p w14:paraId="41624A37" w14:textId="77777777" w:rsidR="00AF5653" w:rsidRPr="00063CE2" w:rsidRDefault="00AF5653" w:rsidP="00AF5653">
      <w:pPr>
        <w:rPr>
          <w:noProof w:val="0"/>
          <w:color w:val="000000" w:themeColor="text1"/>
          <w:lang w:val="en-US"/>
        </w:rPr>
      </w:pPr>
    </w:p>
    <w:p w14:paraId="72C5E596" w14:textId="6DE3905C" w:rsidR="00AF5653" w:rsidRPr="00063CE2" w:rsidRDefault="00AF5653" w:rsidP="00AF5653">
      <w:pPr>
        <w:rPr>
          <w:noProof w:val="0"/>
          <w:color w:val="000000" w:themeColor="text1"/>
          <w:lang w:val="en-US"/>
        </w:rPr>
      </w:pPr>
      <w:r w:rsidRPr="00063CE2">
        <w:rPr>
          <w:noProof w:val="0"/>
          <w:color w:val="000000" w:themeColor="text1"/>
          <w:lang w:val="en-US"/>
        </w:rPr>
        <w:t xml:space="preserve">1.2. Explain all the economic aspects including the lack of financial gain for both the Foundation and the donor (brains are donated and distributed altruistically). Inform </w:t>
      </w:r>
      <w:r w:rsidR="0026547F" w:rsidRPr="00063CE2">
        <w:rPr>
          <w:noProof w:val="0"/>
          <w:color w:val="000000" w:themeColor="text1"/>
          <w:lang w:val="en-US"/>
        </w:rPr>
        <w:t xml:space="preserve">them </w:t>
      </w:r>
      <w:r w:rsidRPr="00063CE2">
        <w:rPr>
          <w:noProof w:val="0"/>
          <w:color w:val="000000" w:themeColor="text1"/>
          <w:lang w:val="en-US"/>
        </w:rPr>
        <w:t>that ABB covers the cost of body transportation, while the family covers those of the funeral, burial or cremation.</w:t>
      </w:r>
    </w:p>
    <w:p w14:paraId="2D05A1E1" w14:textId="77777777" w:rsidR="00AF5653" w:rsidRPr="00063CE2" w:rsidRDefault="00AF5653" w:rsidP="00AF5653">
      <w:pPr>
        <w:rPr>
          <w:noProof w:val="0"/>
          <w:color w:val="000000" w:themeColor="text1"/>
          <w:lang w:val="en-US"/>
        </w:rPr>
      </w:pPr>
    </w:p>
    <w:p w14:paraId="4C200E47" w14:textId="20A8C8F1" w:rsidR="00AF5653" w:rsidRPr="00063CE2" w:rsidRDefault="00AF5653" w:rsidP="00AF5653">
      <w:pPr>
        <w:rPr>
          <w:noProof w:val="0"/>
          <w:color w:val="000000" w:themeColor="text1"/>
          <w:lang w:val="en-US"/>
        </w:rPr>
      </w:pPr>
      <w:r w:rsidRPr="00063CE2">
        <w:rPr>
          <w:noProof w:val="0"/>
          <w:color w:val="000000" w:themeColor="text1"/>
          <w:lang w:val="en-US"/>
        </w:rPr>
        <w:t xml:space="preserve">1.3. In case of acceptance, obtain the signature of the consent to participate in </w:t>
      </w:r>
      <w:r w:rsidR="0026547F" w:rsidRPr="00063CE2">
        <w:rPr>
          <w:noProof w:val="0"/>
          <w:color w:val="000000" w:themeColor="text1"/>
          <w:lang w:val="en-US"/>
        </w:rPr>
        <w:t xml:space="preserve">the </w:t>
      </w:r>
      <w:r w:rsidRPr="00063CE2">
        <w:rPr>
          <w:noProof w:val="0"/>
          <w:color w:val="000000" w:themeColor="text1"/>
          <w:lang w:val="en-US"/>
        </w:rPr>
        <w:t>donation program. Give the donor an individual numerical code to guarantee anonymity. Write down the identification number of those participating in the longitudinal study and provide another code for the brain bank to easily separate the two subgroups of donors (participants or no</w:t>
      </w:r>
      <w:r w:rsidR="0026547F" w:rsidRPr="00063CE2">
        <w:rPr>
          <w:noProof w:val="0"/>
          <w:color w:val="000000" w:themeColor="text1"/>
          <w:lang w:val="en-US"/>
        </w:rPr>
        <w:t>n-participants</w:t>
      </w:r>
      <w:r w:rsidRPr="00063CE2">
        <w:rPr>
          <w:noProof w:val="0"/>
          <w:color w:val="000000" w:themeColor="text1"/>
          <w:lang w:val="en-US"/>
        </w:rPr>
        <w:t xml:space="preserve"> in the longitudinal study; see </w:t>
      </w:r>
      <w:r w:rsidR="0026547F" w:rsidRPr="00063CE2">
        <w:rPr>
          <w:b/>
          <w:bCs/>
          <w:noProof w:val="0"/>
          <w:color w:val="000000" w:themeColor="text1"/>
          <w:lang w:val="en-US"/>
        </w:rPr>
        <w:t>T</w:t>
      </w:r>
      <w:r w:rsidRPr="00063CE2">
        <w:rPr>
          <w:b/>
          <w:bCs/>
          <w:noProof w:val="0"/>
          <w:color w:val="000000" w:themeColor="text1"/>
          <w:lang w:val="en-US"/>
        </w:rPr>
        <w:t>a</w:t>
      </w:r>
      <w:r w:rsidR="0026547F" w:rsidRPr="00063CE2">
        <w:rPr>
          <w:b/>
          <w:bCs/>
          <w:noProof w:val="0"/>
          <w:color w:val="000000" w:themeColor="text1"/>
          <w:lang w:val="en-US"/>
        </w:rPr>
        <w:t>ble</w:t>
      </w:r>
      <w:r w:rsidRPr="00063CE2">
        <w:rPr>
          <w:b/>
          <w:bCs/>
          <w:noProof w:val="0"/>
          <w:color w:val="000000" w:themeColor="text1"/>
          <w:lang w:val="en-US"/>
        </w:rPr>
        <w:t xml:space="preserve"> </w:t>
      </w:r>
      <w:r w:rsidR="003F6609" w:rsidRPr="00063CE2">
        <w:rPr>
          <w:b/>
          <w:bCs/>
          <w:noProof w:val="0"/>
          <w:color w:val="000000" w:themeColor="text1"/>
          <w:lang w:val="en-US"/>
        </w:rPr>
        <w:t>3</w:t>
      </w:r>
      <w:r w:rsidRPr="00063CE2">
        <w:rPr>
          <w:noProof w:val="0"/>
          <w:color w:val="000000" w:themeColor="text1"/>
          <w:lang w:val="en-US"/>
        </w:rPr>
        <w:t>).</w:t>
      </w:r>
    </w:p>
    <w:p w14:paraId="04D095F5" w14:textId="77777777" w:rsidR="00AF5653" w:rsidRPr="00063CE2" w:rsidRDefault="00AF5653" w:rsidP="00AF5653">
      <w:pPr>
        <w:rPr>
          <w:noProof w:val="0"/>
          <w:color w:val="000000" w:themeColor="text1"/>
          <w:lang w:val="en-US"/>
        </w:rPr>
      </w:pPr>
    </w:p>
    <w:p w14:paraId="51159B83" w14:textId="6DA6755B" w:rsidR="00AF5653" w:rsidRPr="00063CE2" w:rsidRDefault="00AF5653" w:rsidP="00AF5653">
      <w:pPr>
        <w:rPr>
          <w:noProof w:val="0"/>
          <w:color w:val="000000" w:themeColor="text1"/>
          <w:lang w:val="en-US"/>
        </w:rPr>
      </w:pPr>
      <w:r w:rsidRPr="00063CE2">
        <w:rPr>
          <w:noProof w:val="0"/>
          <w:color w:val="000000" w:themeColor="text1"/>
          <w:lang w:val="en-US"/>
        </w:rPr>
        <w:t xml:space="preserve">1.4. Give the donor an identification card that declares his status as a donor and </w:t>
      </w:r>
      <w:r w:rsidR="0026547F" w:rsidRPr="00063CE2">
        <w:rPr>
          <w:noProof w:val="0"/>
          <w:color w:val="000000" w:themeColor="text1"/>
          <w:lang w:val="en-US"/>
        </w:rPr>
        <w:t>displays</w:t>
      </w:r>
      <w:r w:rsidRPr="00063CE2">
        <w:rPr>
          <w:noProof w:val="0"/>
          <w:color w:val="000000" w:themeColor="text1"/>
          <w:lang w:val="en-US"/>
        </w:rPr>
        <w:t xml:space="preserve"> the telephone number </w:t>
      </w:r>
      <w:r w:rsidR="003535B2" w:rsidRPr="00063CE2">
        <w:rPr>
          <w:noProof w:val="0"/>
          <w:color w:val="000000" w:themeColor="text1"/>
          <w:lang w:val="en-US"/>
        </w:rPr>
        <w:t xml:space="preserve">(available 24/7) </w:t>
      </w:r>
      <w:r w:rsidRPr="00063CE2">
        <w:rPr>
          <w:noProof w:val="0"/>
          <w:color w:val="000000" w:themeColor="text1"/>
          <w:lang w:val="en-US"/>
        </w:rPr>
        <w:t>to notify the Brain Bank of his death.</w:t>
      </w:r>
    </w:p>
    <w:p w14:paraId="44FBE3AE" w14:textId="77777777" w:rsidR="00AF5653" w:rsidRPr="00063CE2" w:rsidRDefault="00AF5653" w:rsidP="00AF5653">
      <w:pPr>
        <w:rPr>
          <w:rFonts w:eastAsia="Baskerville" w:cs="Baskerville"/>
          <w:b/>
          <w:noProof w:val="0"/>
          <w:color w:val="000000" w:themeColor="text1"/>
          <w:lang w:val="en-US"/>
        </w:rPr>
      </w:pPr>
    </w:p>
    <w:p w14:paraId="0E5A640E" w14:textId="77777777" w:rsidR="00AF5653" w:rsidRPr="00063CE2" w:rsidRDefault="00AF5653" w:rsidP="00AF5653">
      <w:pPr>
        <w:rPr>
          <w:noProof w:val="0"/>
          <w:color w:val="000000" w:themeColor="text1"/>
          <w:lang w:val="en-US"/>
        </w:rPr>
      </w:pPr>
      <w:r w:rsidRPr="00063CE2">
        <w:rPr>
          <w:rFonts w:eastAsia="Baskerville" w:cs="Baskerville"/>
          <w:b/>
          <w:noProof w:val="0"/>
          <w:color w:val="000000" w:themeColor="text1"/>
          <w:lang w:val="en-US"/>
        </w:rPr>
        <w:t>2. Donor evaluation and serial follow-ups</w:t>
      </w:r>
    </w:p>
    <w:p w14:paraId="3CBD1865" w14:textId="77777777" w:rsidR="00AF5653" w:rsidRPr="00063CE2" w:rsidRDefault="00AF5653" w:rsidP="00AF5653">
      <w:pPr>
        <w:rPr>
          <w:rFonts w:eastAsia="Baskerville" w:cs="Baskerville"/>
          <w:noProof w:val="0"/>
          <w:color w:val="000000" w:themeColor="text1"/>
          <w:lang w:val="en-US"/>
        </w:rPr>
      </w:pPr>
    </w:p>
    <w:p w14:paraId="3D5DB415"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NOTE: It is possible to give consent only for some, and not all, of the below mentioned examinations.</w:t>
      </w:r>
      <w:r w:rsidRPr="00063CE2">
        <w:rPr>
          <w:noProof w:val="0"/>
          <w:color w:val="000000" w:themeColor="text1"/>
          <w:lang w:val="en-US"/>
        </w:rPr>
        <w:t xml:space="preserve"> All clinical assessments are performed by the same team including a neurologist, a geriatrician with expertise in neurology and 3 psychologists.</w:t>
      </w:r>
      <w:r w:rsidRPr="00063CE2">
        <w:rPr>
          <w:rFonts w:eastAsia="Baskerville" w:cs="Baskerville"/>
          <w:noProof w:val="0"/>
          <w:color w:val="000000" w:themeColor="text1"/>
          <w:lang w:val="en-US"/>
        </w:rPr>
        <w:t xml:space="preserve"> If new symptoms develop or the cognitive decline progresses, the time interval between follow-ups can be shortened.</w:t>
      </w:r>
    </w:p>
    <w:p w14:paraId="4ED257DA" w14:textId="77777777" w:rsidR="00AF5653" w:rsidRPr="00063CE2" w:rsidRDefault="00AF5653" w:rsidP="00AF5653">
      <w:pPr>
        <w:rPr>
          <w:rFonts w:eastAsia="Baskerville" w:cs="Baskerville"/>
          <w:b/>
          <w:noProof w:val="0"/>
          <w:color w:val="000000" w:themeColor="text1"/>
          <w:lang w:val="en-US"/>
        </w:rPr>
      </w:pPr>
    </w:p>
    <w:p w14:paraId="7681384F" w14:textId="5939492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2.1. </w:t>
      </w:r>
      <w:r w:rsidRPr="00063CE2">
        <w:rPr>
          <w:noProof w:val="0"/>
          <w:color w:val="000000" w:themeColor="text1"/>
          <w:lang w:val="en-US"/>
        </w:rPr>
        <w:t>As in the case of the InveCe.Ab study, obtain a lifestyle-social questionnaire, including degree of autonomy (ADL, IADL), personal habits, social and lifestyle factors that may affect mental functions</w:t>
      </w:r>
      <w:r w:rsidRPr="00063CE2">
        <w:rPr>
          <w:rFonts w:eastAsia="Baskerville" w:cs="Baskerville"/>
          <w:noProof w:val="0"/>
          <w:color w:val="000000" w:themeColor="text1"/>
          <w:lang w:val="en-US"/>
        </w:rPr>
        <w:t>.</w:t>
      </w:r>
      <w:r w:rsidRPr="00063CE2">
        <w:rPr>
          <w:noProof w:val="0"/>
          <w:color w:val="000000" w:themeColor="text1"/>
          <w:lang w:val="en-US"/>
        </w:rPr>
        <w:t xml:space="preserve"> Collect family, medical and neurological history with information regarding genetic, infective, toxic, metabolic, autoimmune, cardiovascular, traumatic, degenerative, neoplastic, and neurological diseases. Collect previous clinical exams and list pharmacological treatments</w:t>
      </w:r>
      <w:r w:rsidRPr="00063CE2">
        <w:rPr>
          <w:rFonts w:eastAsia="Baskerville" w:cs="Baskerville"/>
          <w:noProof w:val="0"/>
          <w:color w:val="000000" w:themeColor="text1"/>
          <w:lang w:val="en-US"/>
        </w:rPr>
        <w:t>.</w:t>
      </w:r>
    </w:p>
    <w:p w14:paraId="565A210A" w14:textId="77777777" w:rsidR="00AF5653" w:rsidRPr="00063CE2" w:rsidRDefault="00AF5653" w:rsidP="00AF5653">
      <w:pPr>
        <w:rPr>
          <w:rFonts w:eastAsia="Baskerville" w:cs="Baskerville"/>
          <w:noProof w:val="0"/>
          <w:color w:val="000000" w:themeColor="text1"/>
          <w:lang w:val="en-US"/>
        </w:rPr>
      </w:pPr>
    </w:p>
    <w:p w14:paraId="5AB25DAA" w14:textId="20126BC6"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2.2. Carry out an extensive neuro-motor evaluation including testing for cranial nerves function, </w:t>
      </w:r>
      <w:r w:rsidRPr="00063CE2">
        <w:rPr>
          <w:rFonts w:eastAsia="Baskerville" w:cs="Baskerville"/>
          <w:iCs/>
          <w:noProof w:val="0"/>
          <w:color w:val="000000" w:themeColor="text1"/>
          <w:lang w:val="en-US"/>
        </w:rPr>
        <w:t>fundus oculi,</w:t>
      </w:r>
      <w:r w:rsidRPr="00063CE2">
        <w:rPr>
          <w:rFonts w:eastAsia="Baskerville" w:cs="Baskerville"/>
          <w:noProof w:val="0"/>
          <w:color w:val="000000" w:themeColor="text1"/>
          <w:lang w:val="en-US"/>
        </w:rPr>
        <w:t xml:space="preserve"> visual field, muscle strength and tone, sensibilities, tendon reflexes, exteroceptive and primitive reflexes, meningeal signs, posture, gait, movements, coordination, sphincteric functions, and any presence of focal or Babinski signs. </w:t>
      </w:r>
      <w:r w:rsidRPr="00063CE2">
        <w:rPr>
          <w:noProof w:val="0"/>
          <w:color w:val="000000" w:themeColor="text1"/>
          <w:lang w:val="en-US"/>
        </w:rPr>
        <w:t>Evaluate language, mental status and any change in behavior</w:t>
      </w:r>
      <w:r w:rsidRPr="00063CE2">
        <w:rPr>
          <w:rFonts w:eastAsia="Baskerville" w:cs="Baskerville"/>
          <w:noProof w:val="0"/>
          <w:color w:val="000000" w:themeColor="text1"/>
          <w:lang w:val="en-US"/>
        </w:rPr>
        <w:t>.</w:t>
      </w:r>
    </w:p>
    <w:p w14:paraId="07C02538" w14:textId="77777777" w:rsidR="00AF5653" w:rsidRPr="00063CE2" w:rsidRDefault="00AF5653" w:rsidP="00AF5653">
      <w:pPr>
        <w:rPr>
          <w:rFonts w:eastAsia="Baskerville" w:cs="Baskerville"/>
          <w:noProof w:val="0"/>
          <w:color w:val="000000" w:themeColor="text1"/>
          <w:lang w:val="en-US"/>
        </w:rPr>
      </w:pPr>
    </w:p>
    <w:p w14:paraId="71607C61" w14:textId="01ADF7B2"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2.3. Carry out an extensive neuro-cognitive evaluation including global cognition and a complete neuropsychological assessment of</w:t>
      </w:r>
      <w:r w:rsidRPr="00063CE2">
        <w:rPr>
          <w:noProof w:val="0"/>
          <w:color w:val="000000" w:themeColor="text1"/>
          <w:lang w:val="en-US"/>
        </w:rPr>
        <w:t xml:space="preserve"> specific cognitive domains:</w:t>
      </w:r>
      <w:r w:rsidRPr="00063CE2">
        <w:rPr>
          <w:rFonts w:eastAsia="Baskerville" w:cs="Baskerville"/>
          <w:noProof w:val="0"/>
          <w:color w:val="000000" w:themeColor="text1"/>
          <w:lang w:val="en-US"/>
        </w:rPr>
        <w:t xml:space="preserve"> </w:t>
      </w:r>
      <w:r w:rsidRPr="00063CE2">
        <w:rPr>
          <w:noProof w:val="0"/>
          <w:color w:val="000000" w:themeColor="text1"/>
          <w:lang w:val="en-US"/>
        </w:rPr>
        <w:t xml:space="preserve">verbal and visual memory, attention, </w:t>
      </w:r>
      <w:r w:rsidRPr="00063CE2">
        <w:rPr>
          <w:rFonts w:asciiTheme="minorHAnsi" w:hAnsiTheme="minorHAnsi" w:cs="Arial"/>
          <w:noProof w:val="0"/>
          <w:color w:val="000000" w:themeColor="text1"/>
          <w:szCs w:val="22"/>
          <w:lang w:val="en-US" w:eastAsia="en-AU"/>
        </w:rPr>
        <w:t>psychomotor speed,</w:t>
      </w:r>
      <w:r w:rsidRPr="00063CE2">
        <w:rPr>
          <w:noProof w:val="0"/>
          <w:color w:val="000000" w:themeColor="text1"/>
          <w:lang w:val="en-US"/>
        </w:rPr>
        <w:t xml:space="preserve"> language, semantic memory, executive functions, and visuospatial abilities (</w:t>
      </w:r>
      <w:r w:rsidR="0026547F" w:rsidRPr="00063CE2">
        <w:rPr>
          <w:b/>
          <w:bCs/>
          <w:noProof w:val="0"/>
          <w:color w:val="000000" w:themeColor="text1"/>
          <w:lang w:val="en-US"/>
        </w:rPr>
        <w:t>T</w:t>
      </w:r>
      <w:r w:rsidRPr="00063CE2">
        <w:rPr>
          <w:b/>
          <w:bCs/>
          <w:noProof w:val="0"/>
          <w:color w:val="000000" w:themeColor="text1"/>
          <w:lang w:val="en-US"/>
        </w:rPr>
        <w:t>ab</w:t>
      </w:r>
      <w:r w:rsidR="0026547F" w:rsidRPr="00063CE2">
        <w:rPr>
          <w:b/>
          <w:bCs/>
          <w:noProof w:val="0"/>
          <w:color w:val="000000" w:themeColor="text1"/>
          <w:lang w:val="en-US"/>
        </w:rPr>
        <w:t>le</w:t>
      </w:r>
      <w:r w:rsidRPr="00063CE2">
        <w:rPr>
          <w:b/>
          <w:bCs/>
          <w:noProof w:val="0"/>
          <w:color w:val="000000" w:themeColor="text1"/>
          <w:lang w:val="en-US"/>
        </w:rPr>
        <w:t xml:space="preserve"> </w:t>
      </w:r>
      <w:r w:rsidR="003F6609" w:rsidRPr="00063CE2">
        <w:rPr>
          <w:b/>
          <w:bCs/>
          <w:noProof w:val="0"/>
          <w:color w:val="000000" w:themeColor="text1"/>
          <w:lang w:val="en-US"/>
        </w:rPr>
        <w:t>4</w:t>
      </w:r>
      <w:r w:rsidRPr="00063CE2">
        <w:rPr>
          <w:b/>
          <w:bCs/>
          <w:noProof w:val="0"/>
          <w:color w:val="000000" w:themeColor="text1"/>
          <w:lang w:val="en-US"/>
        </w:rPr>
        <w:t xml:space="preserve"> </w:t>
      </w:r>
      <w:r w:rsidRPr="00063CE2">
        <w:rPr>
          <w:noProof w:val="0"/>
          <w:color w:val="000000" w:themeColor="text1"/>
          <w:lang w:val="en-US"/>
        </w:rPr>
        <w:t>for details)</w:t>
      </w:r>
      <w:r w:rsidRPr="00063CE2">
        <w:rPr>
          <w:rFonts w:eastAsia="Baskerville" w:cs="Baskerville"/>
          <w:noProof w:val="0"/>
          <w:color w:val="000000" w:themeColor="text1"/>
          <w:lang w:val="en-US"/>
        </w:rPr>
        <w:t>. Consider the presence of depression (CES-D scale).</w:t>
      </w:r>
    </w:p>
    <w:p w14:paraId="1D90876E" w14:textId="77777777" w:rsidR="00AF5653" w:rsidRPr="00063CE2" w:rsidRDefault="00AF5653" w:rsidP="00AF5653">
      <w:pPr>
        <w:rPr>
          <w:rFonts w:eastAsia="Baskerville" w:cs="Baskerville"/>
          <w:noProof w:val="0"/>
          <w:color w:val="000000" w:themeColor="text1"/>
          <w:lang w:val="en-US"/>
        </w:rPr>
      </w:pPr>
    </w:p>
    <w:p w14:paraId="4CA859E8" w14:textId="64666E2A" w:rsidR="00AF5653" w:rsidRPr="00063CE2" w:rsidRDefault="00AF5653" w:rsidP="00AF5653">
      <w:pPr>
        <w:rPr>
          <w:rFonts w:asciiTheme="minorHAnsi" w:eastAsia="Baskerville" w:hAnsiTheme="minorHAnsi" w:cs="Baskerville"/>
          <w:b/>
          <w:bCs/>
          <w:noProof w:val="0"/>
          <w:color w:val="000000" w:themeColor="text1"/>
          <w:bdr w:val="nil"/>
          <w:lang w:val="en-US"/>
        </w:rPr>
      </w:pPr>
      <w:r w:rsidRPr="00063CE2">
        <w:rPr>
          <w:rFonts w:eastAsia="Baskerville" w:cs="Baskerville"/>
          <w:noProof w:val="0"/>
          <w:color w:val="000000" w:themeColor="text1"/>
          <w:lang w:val="en-US"/>
        </w:rPr>
        <w:t>2.4. Obtain</w:t>
      </w:r>
      <w:r w:rsidRPr="00063CE2">
        <w:rPr>
          <w:rFonts w:asciiTheme="minorHAnsi" w:eastAsia="Baskerville" w:hAnsiTheme="minorHAnsi" w:cs="Baskerville"/>
          <w:noProof w:val="0"/>
          <w:color w:val="000000" w:themeColor="text1"/>
          <w:bdr w:val="nil"/>
          <w:lang w:val="en-US"/>
        </w:rPr>
        <w:t xml:space="preserve"> blood sample which is used for both blood chemistry analysis (</w:t>
      </w:r>
      <w:r w:rsidR="0026547F" w:rsidRPr="00063CE2">
        <w:rPr>
          <w:rFonts w:asciiTheme="minorHAnsi" w:eastAsia="Baskerville" w:hAnsiTheme="minorHAnsi" w:cs="Baskerville"/>
          <w:b/>
          <w:bCs/>
          <w:noProof w:val="0"/>
          <w:color w:val="000000" w:themeColor="text1"/>
          <w:bdr w:val="nil"/>
          <w:lang w:val="en-US"/>
        </w:rPr>
        <w:t>T</w:t>
      </w:r>
      <w:r w:rsidRPr="00063CE2">
        <w:rPr>
          <w:rFonts w:asciiTheme="minorHAnsi" w:eastAsia="Baskerville" w:hAnsiTheme="minorHAnsi" w:cs="Baskerville"/>
          <w:b/>
          <w:bCs/>
          <w:noProof w:val="0"/>
          <w:color w:val="000000" w:themeColor="text1"/>
          <w:bdr w:val="nil"/>
          <w:lang w:val="en-US"/>
        </w:rPr>
        <w:t>ab</w:t>
      </w:r>
      <w:r w:rsidR="0026547F" w:rsidRPr="00063CE2">
        <w:rPr>
          <w:rFonts w:asciiTheme="minorHAnsi" w:eastAsia="Baskerville" w:hAnsiTheme="minorHAnsi" w:cs="Baskerville"/>
          <w:b/>
          <w:bCs/>
          <w:noProof w:val="0"/>
          <w:color w:val="000000" w:themeColor="text1"/>
          <w:bdr w:val="nil"/>
          <w:lang w:val="en-US"/>
        </w:rPr>
        <w:t>le</w:t>
      </w:r>
      <w:r w:rsidRPr="00063CE2">
        <w:rPr>
          <w:rFonts w:asciiTheme="minorHAnsi" w:eastAsia="Baskerville" w:hAnsiTheme="minorHAnsi" w:cs="Baskerville"/>
          <w:b/>
          <w:bCs/>
          <w:noProof w:val="0"/>
          <w:color w:val="000000" w:themeColor="text1"/>
          <w:bdr w:val="nil"/>
          <w:lang w:val="en-US"/>
        </w:rPr>
        <w:t xml:space="preserve"> </w:t>
      </w:r>
      <w:r w:rsidR="003F6609" w:rsidRPr="00063CE2">
        <w:rPr>
          <w:rFonts w:asciiTheme="minorHAnsi" w:eastAsia="Baskerville" w:hAnsiTheme="minorHAnsi" w:cs="Baskerville"/>
          <w:b/>
          <w:bCs/>
          <w:noProof w:val="0"/>
          <w:color w:val="000000" w:themeColor="text1"/>
          <w:bdr w:val="nil"/>
          <w:lang w:val="en-US"/>
        </w:rPr>
        <w:t>5</w:t>
      </w:r>
      <w:r w:rsidRPr="00063CE2">
        <w:rPr>
          <w:rFonts w:asciiTheme="minorHAnsi" w:eastAsia="Baskerville" w:hAnsiTheme="minorHAnsi" w:cs="Baskerville"/>
          <w:noProof w:val="0"/>
          <w:color w:val="000000" w:themeColor="text1"/>
          <w:bdr w:val="nil"/>
          <w:lang w:val="en-US"/>
        </w:rPr>
        <w:t>) and isolation and storage of DNA, plasma and peripheral blood mononuclear cell</w:t>
      </w:r>
      <w:r w:rsidR="00F97AE9" w:rsidRPr="00063CE2">
        <w:rPr>
          <w:rFonts w:asciiTheme="minorHAnsi" w:eastAsia="Baskerville" w:hAnsiTheme="minorHAnsi" w:cs="Baskerville"/>
          <w:noProof w:val="0"/>
          <w:color w:val="000000" w:themeColor="text1"/>
          <w:bdr w:val="nil"/>
          <w:lang w:val="en-US"/>
        </w:rPr>
        <w:t>s</w:t>
      </w:r>
      <w:r w:rsidRPr="00063CE2">
        <w:rPr>
          <w:rFonts w:asciiTheme="minorHAnsi" w:eastAsia="Baskerville" w:hAnsiTheme="minorHAnsi" w:cs="Baskerville"/>
          <w:noProof w:val="0"/>
          <w:color w:val="000000" w:themeColor="text1"/>
          <w:bdr w:val="nil"/>
          <w:lang w:val="en-US"/>
        </w:rPr>
        <w:t xml:space="preserve"> (PBMC). Determine A</w:t>
      </w:r>
      <w:r w:rsidR="00910D51" w:rsidRPr="00063CE2">
        <w:rPr>
          <w:rFonts w:asciiTheme="minorHAnsi" w:eastAsia="Baskerville" w:hAnsiTheme="minorHAnsi" w:cs="Baskerville"/>
          <w:noProof w:val="0"/>
          <w:color w:val="000000" w:themeColor="text1"/>
          <w:bdr w:val="nil"/>
          <w:lang w:val="en-US"/>
        </w:rPr>
        <w:t>PO</w:t>
      </w:r>
      <w:r w:rsidRPr="00063CE2">
        <w:rPr>
          <w:rFonts w:asciiTheme="minorHAnsi" w:eastAsia="Baskerville" w:hAnsiTheme="minorHAnsi" w:cs="Baskerville"/>
          <w:noProof w:val="0"/>
          <w:color w:val="000000" w:themeColor="text1"/>
          <w:bdr w:val="nil"/>
          <w:lang w:val="en-US"/>
        </w:rPr>
        <w:t xml:space="preserve">E genotyping (rs429358 and rs7412) (a more extensive genetic profiling has been determined in InveCe.Ab participants; see </w:t>
      </w:r>
      <w:r w:rsidR="0026547F" w:rsidRPr="00063CE2">
        <w:rPr>
          <w:rFonts w:asciiTheme="minorHAnsi" w:eastAsia="Baskerville" w:hAnsiTheme="minorHAnsi" w:cs="Baskerville"/>
          <w:b/>
          <w:bCs/>
          <w:noProof w:val="0"/>
          <w:color w:val="000000" w:themeColor="text1"/>
          <w:bdr w:val="nil"/>
          <w:lang w:val="en-US"/>
        </w:rPr>
        <w:t>T</w:t>
      </w:r>
      <w:r w:rsidRPr="00063CE2">
        <w:rPr>
          <w:rFonts w:asciiTheme="minorHAnsi" w:eastAsia="Baskerville" w:hAnsiTheme="minorHAnsi" w:cs="Baskerville"/>
          <w:b/>
          <w:bCs/>
          <w:noProof w:val="0"/>
          <w:color w:val="000000" w:themeColor="text1"/>
          <w:bdr w:val="nil"/>
          <w:lang w:val="en-US"/>
        </w:rPr>
        <w:t>ab</w:t>
      </w:r>
      <w:r w:rsidR="0026547F" w:rsidRPr="00063CE2">
        <w:rPr>
          <w:rFonts w:asciiTheme="minorHAnsi" w:eastAsia="Baskerville" w:hAnsiTheme="minorHAnsi" w:cs="Baskerville"/>
          <w:b/>
          <w:bCs/>
          <w:noProof w:val="0"/>
          <w:color w:val="000000" w:themeColor="text1"/>
          <w:bdr w:val="nil"/>
          <w:lang w:val="en-US"/>
        </w:rPr>
        <w:t>le</w:t>
      </w:r>
      <w:r w:rsidRPr="00063CE2">
        <w:rPr>
          <w:rFonts w:asciiTheme="minorHAnsi" w:eastAsia="Baskerville" w:hAnsiTheme="minorHAnsi" w:cs="Baskerville"/>
          <w:b/>
          <w:bCs/>
          <w:noProof w:val="0"/>
          <w:color w:val="000000" w:themeColor="text1"/>
          <w:bdr w:val="nil"/>
          <w:lang w:val="en-US"/>
        </w:rPr>
        <w:t xml:space="preserve"> </w:t>
      </w:r>
      <w:r w:rsidR="003F6609" w:rsidRPr="00063CE2">
        <w:rPr>
          <w:rFonts w:asciiTheme="minorHAnsi" w:eastAsia="Baskerville" w:hAnsiTheme="minorHAnsi" w:cs="Baskerville"/>
          <w:b/>
          <w:bCs/>
          <w:noProof w:val="0"/>
          <w:color w:val="000000" w:themeColor="text1"/>
          <w:bdr w:val="nil"/>
          <w:lang w:val="en-US"/>
        </w:rPr>
        <w:t>6</w:t>
      </w:r>
      <w:r w:rsidRPr="00063CE2">
        <w:rPr>
          <w:rFonts w:asciiTheme="minorHAnsi" w:eastAsia="Baskerville" w:hAnsiTheme="minorHAnsi" w:cs="Baskerville"/>
          <w:noProof w:val="0"/>
          <w:color w:val="000000" w:themeColor="text1"/>
          <w:bdr w:val="nil"/>
          <w:lang w:val="en-US"/>
        </w:rPr>
        <w:t xml:space="preserve">). Register an </w:t>
      </w:r>
      <w:r w:rsidRPr="00063CE2">
        <w:rPr>
          <w:rFonts w:eastAsia="Baskerville" w:cs="Baskerville"/>
          <w:noProof w:val="0"/>
          <w:color w:val="000000" w:themeColor="text1"/>
          <w:lang w:val="en-US"/>
        </w:rPr>
        <w:t>ECG (cardiac alterations, atrial fibrillation) and a resting state Electroencephalogram for Quantitative analysis (QEEG).</w:t>
      </w:r>
    </w:p>
    <w:p w14:paraId="718DF60A" w14:textId="77777777" w:rsidR="00AF5653" w:rsidRPr="00063CE2" w:rsidRDefault="00AF5653" w:rsidP="00AF5653">
      <w:pPr>
        <w:rPr>
          <w:rFonts w:eastAsia="Baskerville" w:cs="Baskerville"/>
          <w:noProof w:val="0"/>
          <w:color w:val="000000" w:themeColor="text1"/>
          <w:lang w:val="en-US"/>
        </w:rPr>
      </w:pPr>
    </w:p>
    <w:p w14:paraId="6E24D8E3" w14:textId="77D608CB"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2.5. </w:t>
      </w:r>
      <w:r w:rsidRPr="00063CE2">
        <w:rPr>
          <w:noProof w:val="0"/>
          <w:color w:val="000000" w:themeColor="text1"/>
          <w:lang w:val="en-US"/>
        </w:rPr>
        <w:t xml:space="preserve">Consider optional biomarker testing including </w:t>
      </w:r>
      <w:r w:rsidR="0026547F" w:rsidRPr="00063CE2">
        <w:rPr>
          <w:noProof w:val="0"/>
          <w:color w:val="000000" w:themeColor="text1"/>
          <w:lang w:val="en-US"/>
        </w:rPr>
        <w:t>cerebrospinal fluid (</w:t>
      </w:r>
      <w:r w:rsidRPr="00063CE2">
        <w:rPr>
          <w:noProof w:val="0"/>
          <w:color w:val="000000" w:themeColor="text1"/>
          <w:lang w:val="en-US"/>
        </w:rPr>
        <w:t>CSF</w:t>
      </w:r>
      <w:r w:rsidR="0026547F" w:rsidRPr="00063CE2">
        <w:rPr>
          <w:noProof w:val="0"/>
          <w:color w:val="000000" w:themeColor="text1"/>
          <w:lang w:val="en-US"/>
        </w:rPr>
        <w:t>)</w:t>
      </w:r>
      <w:r w:rsidRPr="00063CE2">
        <w:rPr>
          <w:noProof w:val="0"/>
          <w:color w:val="000000" w:themeColor="text1"/>
          <w:lang w:val="en-US"/>
        </w:rPr>
        <w:t xml:space="preserve"> TAU, phospho-TAU and β-amyloid, and brain imaging (MRI to detect in vivo degeneration, ischemia or inflammation; FDG-PET to detect metabolic failure; PIB-PET to detect brain amyloidosis related to Alzheimer’s pathophysiology)</w:t>
      </w:r>
      <w:r w:rsidRPr="00063CE2">
        <w:rPr>
          <w:rFonts w:eastAsia="Baskerville" w:cs="Baskerville"/>
          <w:noProof w:val="0"/>
          <w:color w:val="000000" w:themeColor="text1"/>
          <w:lang w:val="en-US"/>
        </w:rPr>
        <w:t>.</w:t>
      </w:r>
    </w:p>
    <w:p w14:paraId="16A17507"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ab/>
      </w:r>
    </w:p>
    <w:p w14:paraId="4B134B0F" w14:textId="503E4E3F"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2.6. </w:t>
      </w:r>
      <w:r w:rsidRPr="00063CE2">
        <w:rPr>
          <w:noProof w:val="0"/>
          <w:color w:val="000000" w:themeColor="text1"/>
          <w:lang w:val="en-US"/>
        </w:rPr>
        <w:t>Plan the brain donor’s subsequent check-up program. Set up the time intervals according to different age groups (up to 64 y</w:t>
      </w:r>
      <w:r w:rsidR="0026547F" w:rsidRPr="00063CE2">
        <w:rPr>
          <w:noProof w:val="0"/>
          <w:color w:val="000000" w:themeColor="text1"/>
          <w:lang w:val="en-US"/>
        </w:rPr>
        <w:t xml:space="preserve">ears </w:t>
      </w:r>
      <w:r w:rsidRPr="00063CE2">
        <w:rPr>
          <w:noProof w:val="0"/>
          <w:color w:val="000000" w:themeColor="text1"/>
          <w:lang w:val="en-US"/>
        </w:rPr>
        <w:t>o</w:t>
      </w:r>
      <w:r w:rsidR="0026547F" w:rsidRPr="00063CE2">
        <w:rPr>
          <w:noProof w:val="0"/>
          <w:color w:val="000000" w:themeColor="text1"/>
          <w:lang w:val="en-US"/>
        </w:rPr>
        <w:t>ld</w:t>
      </w:r>
      <w:r w:rsidRPr="00063CE2">
        <w:rPr>
          <w:noProof w:val="0"/>
          <w:color w:val="000000" w:themeColor="text1"/>
          <w:lang w:val="en-US"/>
        </w:rPr>
        <w:t>: every 10 years, 65–74 y</w:t>
      </w:r>
      <w:r w:rsidR="0026547F" w:rsidRPr="00063CE2">
        <w:rPr>
          <w:noProof w:val="0"/>
          <w:color w:val="000000" w:themeColor="text1"/>
          <w:lang w:val="en-US"/>
        </w:rPr>
        <w:t>ears old</w:t>
      </w:r>
      <w:r w:rsidRPr="00063CE2">
        <w:rPr>
          <w:noProof w:val="0"/>
          <w:color w:val="000000" w:themeColor="text1"/>
          <w:lang w:val="en-US"/>
        </w:rPr>
        <w:t>: every 3 years, from 75 y</w:t>
      </w:r>
      <w:r w:rsidR="0026547F" w:rsidRPr="00063CE2">
        <w:rPr>
          <w:noProof w:val="0"/>
          <w:color w:val="000000" w:themeColor="text1"/>
          <w:lang w:val="en-US"/>
        </w:rPr>
        <w:t>ears</w:t>
      </w:r>
      <w:r w:rsidRPr="00063CE2">
        <w:rPr>
          <w:noProof w:val="0"/>
          <w:color w:val="000000" w:themeColor="text1"/>
          <w:lang w:val="en-US"/>
        </w:rPr>
        <w:t xml:space="preserve"> onwards: every 2 years)</w:t>
      </w:r>
      <w:r w:rsidRPr="00063CE2">
        <w:rPr>
          <w:rFonts w:eastAsia="Baskerville" w:cs="Baskerville"/>
          <w:noProof w:val="0"/>
          <w:color w:val="000000" w:themeColor="text1"/>
          <w:lang w:val="en-US"/>
        </w:rPr>
        <w:t>.</w:t>
      </w:r>
    </w:p>
    <w:p w14:paraId="3E335D29" w14:textId="77777777" w:rsidR="00AF5653" w:rsidRPr="00063CE2" w:rsidRDefault="00AF5653" w:rsidP="00AF5653">
      <w:pPr>
        <w:rPr>
          <w:rFonts w:eastAsia="Baskerville" w:cs="Baskerville"/>
          <w:noProof w:val="0"/>
          <w:color w:val="000000" w:themeColor="text1"/>
          <w:lang w:val="en-US"/>
        </w:rPr>
      </w:pPr>
    </w:p>
    <w:p w14:paraId="5389B826" w14:textId="49CE68EA"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2.7. </w:t>
      </w:r>
      <w:r w:rsidRPr="00063CE2">
        <w:rPr>
          <w:noProof w:val="0"/>
          <w:color w:val="000000" w:themeColor="text1"/>
          <w:lang w:val="en-US"/>
        </w:rPr>
        <w:t xml:space="preserve">Assign a clinical diagnosis and/or a neurocognitive diagnosis according to DSM-V. Classify </w:t>
      </w:r>
      <w:r w:rsidRPr="00063CE2">
        <w:rPr>
          <w:noProof w:val="0"/>
          <w:color w:val="000000" w:themeColor="text1"/>
          <w:lang w:val="en-US"/>
        </w:rPr>
        <w:lastRenderedPageBreak/>
        <w:t xml:space="preserve">clinical dementia staging with </w:t>
      </w:r>
      <w:r w:rsidR="0026547F" w:rsidRPr="00063CE2">
        <w:rPr>
          <w:noProof w:val="0"/>
          <w:color w:val="000000" w:themeColor="text1"/>
          <w:lang w:val="en-US"/>
        </w:rPr>
        <w:t xml:space="preserve">Clinical Dementia Rating </w:t>
      </w:r>
      <w:r w:rsidRPr="00063CE2">
        <w:rPr>
          <w:noProof w:val="0"/>
          <w:color w:val="000000" w:themeColor="text1"/>
          <w:lang w:val="en-US"/>
        </w:rPr>
        <w:t>(</w:t>
      </w:r>
      <w:r w:rsidR="0026547F" w:rsidRPr="00063CE2">
        <w:rPr>
          <w:noProof w:val="0"/>
          <w:color w:val="000000" w:themeColor="text1"/>
          <w:lang w:val="en-US"/>
        </w:rPr>
        <w:t>CDR</w:t>
      </w:r>
      <w:r w:rsidRPr="00063CE2">
        <w:rPr>
          <w:noProof w:val="0"/>
          <w:color w:val="000000" w:themeColor="text1"/>
          <w:lang w:val="en-US"/>
        </w:rPr>
        <w:t>) score. Update CDR in the last period before death</w:t>
      </w:r>
      <w:r w:rsidRPr="00063CE2">
        <w:rPr>
          <w:rFonts w:eastAsia="Baskerville" w:cs="Baskerville"/>
          <w:noProof w:val="0"/>
          <w:color w:val="000000" w:themeColor="text1"/>
          <w:lang w:val="en-US"/>
        </w:rPr>
        <w:t>.</w:t>
      </w:r>
    </w:p>
    <w:p w14:paraId="656A63DE" w14:textId="77777777" w:rsidR="00AF5653" w:rsidRPr="00063CE2" w:rsidRDefault="00AF5653" w:rsidP="00AF5653">
      <w:pPr>
        <w:rPr>
          <w:rFonts w:eastAsia="Baskerville" w:cs="Baskerville"/>
          <w:noProof w:val="0"/>
          <w:color w:val="000000" w:themeColor="text1"/>
          <w:lang w:val="en-US"/>
        </w:rPr>
      </w:pPr>
    </w:p>
    <w:p w14:paraId="3D86223A" w14:textId="55386CEC"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2.8. </w:t>
      </w:r>
      <w:r w:rsidRPr="00063CE2">
        <w:rPr>
          <w:noProof w:val="0"/>
          <w:color w:val="000000" w:themeColor="text1"/>
          <w:lang w:val="en-US"/>
        </w:rPr>
        <w:t xml:space="preserve">Prepare a database graphically similar to the paper one. Insert all collected data into the Brain Bank database. Plan a revision by another clerk to </w:t>
      </w:r>
      <w:r w:rsidR="00F7085E" w:rsidRPr="00063CE2">
        <w:rPr>
          <w:noProof w:val="0"/>
          <w:color w:val="000000" w:themeColor="text1"/>
          <w:lang w:val="en-US"/>
        </w:rPr>
        <w:t>check for any mistakes</w:t>
      </w:r>
      <w:r w:rsidRPr="00063CE2">
        <w:rPr>
          <w:rFonts w:eastAsia="Baskerville" w:cs="Baskerville"/>
          <w:noProof w:val="0"/>
          <w:color w:val="000000" w:themeColor="text1"/>
          <w:lang w:val="en-US"/>
        </w:rPr>
        <w:t>.</w:t>
      </w:r>
    </w:p>
    <w:p w14:paraId="5DDBD818" w14:textId="77777777" w:rsidR="00AF5653" w:rsidRPr="00063CE2" w:rsidRDefault="00AF5653" w:rsidP="00AF5653">
      <w:pPr>
        <w:rPr>
          <w:noProof w:val="0"/>
          <w:color w:val="000000" w:themeColor="text1"/>
          <w:lang w:val="en-US"/>
        </w:rPr>
      </w:pPr>
      <w:r w:rsidRPr="00063CE2">
        <w:rPr>
          <w:rFonts w:eastAsia="Baskerville" w:cs="Baskerville"/>
          <w:noProof w:val="0"/>
          <w:color w:val="000000" w:themeColor="text1"/>
          <w:lang w:val="en-US"/>
        </w:rPr>
        <w:t xml:space="preserve"> </w:t>
      </w:r>
    </w:p>
    <w:p w14:paraId="55FE066E" w14:textId="77777777" w:rsidR="00AF5653" w:rsidRPr="00063CE2" w:rsidRDefault="00AF5653" w:rsidP="00AF5653">
      <w:pPr>
        <w:rPr>
          <w:noProof w:val="0"/>
          <w:color w:val="000000" w:themeColor="text1"/>
          <w:lang w:val="en-US"/>
        </w:rPr>
      </w:pPr>
      <w:r w:rsidRPr="00063CE2">
        <w:rPr>
          <w:rFonts w:cs="Baskerville-SemiBold"/>
          <w:b/>
          <w:bCs/>
          <w:noProof w:val="0"/>
          <w:color w:val="000000" w:themeColor="text1"/>
          <w:highlight w:val="yellow"/>
          <w:lang w:val="en-US"/>
        </w:rPr>
        <w:t xml:space="preserve">3. Time of death and </w:t>
      </w:r>
      <w:r w:rsidRPr="00063CE2">
        <w:rPr>
          <w:b/>
          <w:noProof w:val="0"/>
          <w:color w:val="000000" w:themeColor="text1"/>
          <w:highlight w:val="yellow"/>
          <w:lang w:val="en-US"/>
        </w:rPr>
        <w:t>brain removal</w:t>
      </w:r>
    </w:p>
    <w:p w14:paraId="0D499184" w14:textId="77777777" w:rsidR="00AF5653" w:rsidRPr="00063CE2" w:rsidRDefault="00AF5653" w:rsidP="00AF5653">
      <w:pPr>
        <w:rPr>
          <w:rFonts w:cs="Baskerville"/>
          <w:noProof w:val="0"/>
          <w:color w:val="000000" w:themeColor="text1"/>
          <w:lang w:val="en-US"/>
        </w:rPr>
      </w:pPr>
    </w:p>
    <w:p w14:paraId="5A60297A" w14:textId="6822F174" w:rsidR="00AF5653" w:rsidRPr="00063CE2" w:rsidRDefault="00AF5653" w:rsidP="00AF5653">
      <w:pPr>
        <w:rPr>
          <w:noProof w:val="0"/>
          <w:color w:val="000000" w:themeColor="text1"/>
          <w:lang w:val="en-US"/>
        </w:rPr>
      </w:pPr>
      <w:r w:rsidRPr="00063CE2">
        <w:rPr>
          <w:rFonts w:cs="Baskerville"/>
          <w:noProof w:val="0"/>
          <w:color w:val="000000" w:themeColor="text1"/>
          <w:lang w:val="en-US"/>
        </w:rPr>
        <w:t xml:space="preserve">NOTE: </w:t>
      </w:r>
      <w:r w:rsidR="0026547F" w:rsidRPr="00063CE2">
        <w:rPr>
          <w:rFonts w:cs="Baskerville"/>
          <w:noProof w:val="0"/>
          <w:color w:val="000000" w:themeColor="text1"/>
          <w:lang w:val="en-US"/>
        </w:rPr>
        <w:t>T</w:t>
      </w:r>
      <w:r w:rsidRPr="00063CE2">
        <w:rPr>
          <w:rFonts w:cs="Baskerville"/>
          <w:noProof w:val="0"/>
          <w:color w:val="000000" w:themeColor="text1"/>
          <w:lang w:val="en-US"/>
        </w:rPr>
        <w:t xml:space="preserve">he Italian law establishes that asystole must last longer than 20 min to confirm death. The registration of a flat </w:t>
      </w:r>
      <w:r w:rsidR="0026547F" w:rsidRPr="00063CE2">
        <w:rPr>
          <w:rFonts w:cs="Baskerville"/>
          <w:noProof w:val="0"/>
          <w:color w:val="000000" w:themeColor="text1"/>
          <w:lang w:val="en-US"/>
        </w:rPr>
        <w:t>electrocardiogram (</w:t>
      </w:r>
      <w:r w:rsidRPr="00063CE2">
        <w:rPr>
          <w:rFonts w:cs="Baskerville"/>
          <w:noProof w:val="0"/>
          <w:color w:val="000000" w:themeColor="text1"/>
          <w:lang w:val="en-US"/>
        </w:rPr>
        <w:t>ECG</w:t>
      </w:r>
      <w:r w:rsidR="0026547F" w:rsidRPr="00063CE2">
        <w:rPr>
          <w:rFonts w:cs="Baskerville"/>
          <w:noProof w:val="0"/>
          <w:color w:val="000000" w:themeColor="text1"/>
          <w:lang w:val="en-US"/>
        </w:rPr>
        <w:t>)</w:t>
      </w:r>
      <w:r w:rsidRPr="00063CE2">
        <w:rPr>
          <w:rFonts w:cs="Baskerville"/>
          <w:noProof w:val="0"/>
          <w:color w:val="000000" w:themeColor="text1"/>
          <w:lang w:val="en-US"/>
        </w:rPr>
        <w:t xml:space="preserve"> for a</w:t>
      </w:r>
      <w:r w:rsidR="00F7085E" w:rsidRPr="00063CE2">
        <w:rPr>
          <w:rFonts w:cs="Baskerville"/>
          <w:noProof w:val="0"/>
          <w:color w:val="000000" w:themeColor="text1"/>
          <w:lang w:val="en-US"/>
        </w:rPr>
        <w:t>t</w:t>
      </w:r>
      <w:r w:rsidRPr="00063CE2">
        <w:rPr>
          <w:rFonts w:cs="Baskerville"/>
          <w:noProof w:val="0"/>
          <w:color w:val="000000" w:themeColor="text1"/>
          <w:lang w:val="en-US"/>
        </w:rPr>
        <w:t xml:space="preserve"> least 20 min (named </w:t>
      </w:r>
      <w:bookmarkStart w:id="2" w:name="_Hlk12618326"/>
      <w:r w:rsidRPr="00063CE2">
        <w:rPr>
          <w:rFonts w:cs="Baskerville"/>
          <w:noProof w:val="0"/>
          <w:color w:val="000000" w:themeColor="text1"/>
          <w:lang w:val="en-US"/>
        </w:rPr>
        <w:t>thanatography</w:t>
      </w:r>
      <w:bookmarkEnd w:id="2"/>
      <w:r w:rsidRPr="00063CE2">
        <w:rPr>
          <w:rFonts w:cs="Baskerville"/>
          <w:noProof w:val="0"/>
          <w:color w:val="000000" w:themeColor="text1"/>
          <w:lang w:val="en-US"/>
        </w:rPr>
        <w:t xml:space="preserve">) allows for an autopsy to be carried out within 24 h of death (DPR 285/90 art. 8 and Law n. 578 Dec 29, 1993). </w:t>
      </w:r>
      <w:r w:rsidRPr="00063CE2">
        <w:rPr>
          <w:noProof w:val="0"/>
          <w:color w:val="000000" w:themeColor="text1"/>
          <w:lang w:val="en-US"/>
        </w:rPr>
        <w:t xml:space="preserve">A </w:t>
      </w:r>
      <w:bookmarkStart w:id="3" w:name="_Hlk12618575"/>
      <w:r w:rsidRPr="00063CE2">
        <w:rPr>
          <w:iCs/>
          <w:noProof w:val="0"/>
          <w:color w:val="000000" w:themeColor="text1"/>
          <w:lang w:val="en-US"/>
        </w:rPr>
        <w:t>postmortem</w:t>
      </w:r>
      <w:r w:rsidRPr="00063CE2">
        <w:rPr>
          <w:noProof w:val="0"/>
          <w:color w:val="000000" w:themeColor="text1"/>
          <w:lang w:val="en-US"/>
        </w:rPr>
        <w:t xml:space="preserve"> time of &lt;24 h </w:t>
      </w:r>
      <w:bookmarkEnd w:id="3"/>
      <w:r w:rsidRPr="00063CE2">
        <w:rPr>
          <w:noProof w:val="0"/>
          <w:color w:val="000000" w:themeColor="text1"/>
          <w:lang w:val="en-US"/>
        </w:rPr>
        <w:t xml:space="preserve">is a good target to preserve the overall tissue quality. In case of a postmortem time &gt;30 h the autopsy is cancelled (see </w:t>
      </w:r>
      <w:r w:rsidR="0026547F" w:rsidRPr="00063CE2">
        <w:rPr>
          <w:b/>
          <w:bCs/>
          <w:noProof w:val="0"/>
          <w:color w:val="000000" w:themeColor="text1"/>
          <w:lang w:val="en-US"/>
        </w:rPr>
        <w:t>T</w:t>
      </w:r>
      <w:r w:rsidRPr="00063CE2">
        <w:rPr>
          <w:b/>
          <w:bCs/>
          <w:noProof w:val="0"/>
          <w:color w:val="000000" w:themeColor="text1"/>
          <w:lang w:val="en-US"/>
        </w:rPr>
        <w:t>ab</w:t>
      </w:r>
      <w:r w:rsidR="0026547F" w:rsidRPr="00063CE2">
        <w:rPr>
          <w:b/>
          <w:bCs/>
          <w:noProof w:val="0"/>
          <w:color w:val="000000" w:themeColor="text1"/>
          <w:lang w:val="en-US"/>
        </w:rPr>
        <w:t>le</w:t>
      </w:r>
      <w:r w:rsidRPr="00063CE2">
        <w:rPr>
          <w:b/>
          <w:bCs/>
          <w:noProof w:val="0"/>
          <w:color w:val="000000" w:themeColor="text1"/>
          <w:lang w:val="en-US"/>
        </w:rPr>
        <w:t xml:space="preserve"> </w:t>
      </w:r>
      <w:r w:rsidR="003F6609" w:rsidRPr="00063CE2">
        <w:rPr>
          <w:b/>
          <w:bCs/>
          <w:noProof w:val="0"/>
          <w:color w:val="000000" w:themeColor="text1"/>
          <w:lang w:val="en-US"/>
        </w:rPr>
        <w:t>2</w:t>
      </w:r>
      <w:r w:rsidRPr="00063CE2">
        <w:rPr>
          <w:noProof w:val="0"/>
          <w:color w:val="000000" w:themeColor="text1"/>
          <w:lang w:val="en-US"/>
        </w:rPr>
        <w:t xml:space="preserve">). </w:t>
      </w:r>
      <w:r w:rsidR="00F7085E" w:rsidRPr="00063CE2">
        <w:rPr>
          <w:noProof w:val="0"/>
          <w:color w:val="000000" w:themeColor="text1"/>
          <w:lang w:val="en-US"/>
        </w:rPr>
        <w:t>The a</w:t>
      </w:r>
      <w:r w:rsidRPr="00063CE2">
        <w:rPr>
          <w:noProof w:val="0"/>
          <w:color w:val="000000" w:themeColor="text1"/>
          <w:lang w:val="en-US"/>
        </w:rPr>
        <w:t xml:space="preserve">utopsy team is composed </w:t>
      </w:r>
      <w:r w:rsidR="00F7085E" w:rsidRPr="00063CE2">
        <w:rPr>
          <w:noProof w:val="0"/>
          <w:color w:val="000000" w:themeColor="text1"/>
          <w:lang w:val="en-US"/>
        </w:rPr>
        <w:t>of</w:t>
      </w:r>
      <w:r w:rsidRPr="00063CE2">
        <w:rPr>
          <w:noProof w:val="0"/>
          <w:color w:val="000000" w:themeColor="text1"/>
          <w:lang w:val="en-US"/>
        </w:rPr>
        <w:t xml:space="preserve"> a pathologist, a neurologist and/or a neurobiologist,</w:t>
      </w:r>
      <w:r w:rsidR="00F97AE9" w:rsidRPr="00063CE2">
        <w:rPr>
          <w:noProof w:val="0"/>
          <w:color w:val="000000" w:themeColor="text1"/>
          <w:lang w:val="en-US"/>
        </w:rPr>
        <w:t xml:space="preserve"> a nurse,</w:t>
      </w:r>
      <w:r w:rsidRPr="00063CE2">
        <w:rPr>
          <w:noProof w:val="0"/>
          <w:color w:val="000000" w:themeColor="text1"/>
          <w:lang w:val="en-US"/>
        </w:rPr>
        <w:t xml:space="preserve"> an anatomical room technician and any trainee students</w:t>
      </w:r>
      <w:r w:rsidR="00C5070D" w:rsidRPr="00063CE2">
        <w:rPr>
          <w:noProof w:val="0"/>
          <w:color w:val="000000" w:themeColor="text1"/>
          <w:lang w:val="en-US"/>
        </w:rPr>
        <w:t>; the first two team members also perform the neuropathological diagnosis</w:t>
      </w:r>
      <w:r w:rsidRPr="00063CE2">
        <w:rPr>
          <w:noProof w:val="0"/>
          <w:color w:val="000000" w:themeColor="text1"/>
          <w:lang w:val="en-US"/>
        </w:rPr>
        <w:t xml:space="preserve">. </w:t>
      </w:r>
      <w:r w:rsidRPr="00063CE2">
        <w:rPr>
          <w:rFonts w:cs="Baskerville"/>
          <w:noProof w:val="0"/>
          <w:color w:val="000000" w:themeColor="text1"/>
          <w:lang w:val="en-US"/>
        </w:rPr>
        <w:t>During c</w:t>
      </w:r>
      <w:r w:rsidR="00F7085E" w:rsidRPr="00063CE2">
        <w:rPr>
          <w:rFonts w:cs="Baskerville"/>
          <w:noProof w:val="0"/>
          <w:color w:val="000000" w:themeColor="text1"/>
          <w:lang w:val="en-US"/>
        </w:rPr>
        <w:t>adaver</w:t>
      </w:r>
      <w:r w:rsidRPr="00063CE2">
        <w:rPr>
          <w:rFonts w:cs="Baskerville"/>
          <w:noProof w:val="0"/>
          <w:color w:val="000000" w:themeColor="text1"/>
          <w:lang w:val="en-US"/>
        </w:rPr>
        <w:t xml:space="preserve"> handling and dissection, the use of appropriate clothing (coat, gloves, eyeglasses and hairnet) is mandatory. In this section, we describe the main tools and </w:t>
      </w:r>
      <w:r w:rsidR="00E845D2" w:rsidRPr="00063CE2">
        <w:rPr>
          <w:rFonts w:cs="Baskerville"/>
          <w:noProof w:val="0"/>
          <w:color w:val="000000" w:themeColor="text1"/>
          <w:lang w:val="en-US"/>
        </w:rPr>
        <w:t>equipment</w:t>
      </w:r>
      <w:r w:rsidRPr="00063CE2">
        <w:rPr>
          <w:rFonts w:cs="Baskerville"/>
          <w:noProof w:val="0"/>
          <w:color w:val="000000" w:themeColor="text1"/>
          <w:lang w:val="en-US"/>
        </w:rPr>
        <w:t xml:space="preserve"> normally used in our laboratory. Readers can choose the instruments to be used at their discretion. For a detailed description of the materials herein utilized, please </w:t>
      </w:r>
      <w:r w:rsidRPr="00063CE2">
        <w:rPr>
          <w:color w:val="000000" w:themeColor="text1"/>
          <w:lang w:val="en-US"/>
        </w:rPr>
        <w:t xml:space="preserve">see </w:t>
      </w:r>
      <w:r w:rsidR="0026547F" w:rsidRPr="00063CE2">
        <w:rPr>
          <w:b/>
          <w:color w:val="000000" w:themeColor="text1"/>
          <w:lang w:val="en-US"/>
        </w:rPr>
        <w:t>Table</w:t>
      </w:r>
      <w:r w:rsidR="0083561F" w:rsidRPr="00063CE2">
        <w:rPr>
          <w:b/>
          <w:color w:val="000000" w:themeColor="text1"/>
          <w:lang w:val="en-US"/>
        </w:rPr>
        <w:t xml:space="preserve"> </w:t>
      </w:r>
      <w:r w:rsidR="0083561F" w:rsidRPr="00063CE2">
        <w:rPr>
          <w:rFonts w:cs="Baskerville"/>
          <w:b/>
          <w:bCs/>
          <w:noProof w:val="0"/>
          <w:color w:val="000000" w:themeColor="text1"/>
          <w:lang w:val="en-US"/>
        </w:rPr>
        <w:t>of Materials</w:t>
      </w:r>
      <w:r w:rsidRPr="00063CE2">
        <w:rPr>
          <w:color w:val="000000" w:themeColor="text1"/>
          <w:lang w:val="en-US"/>
        </w:rPr>
        <w:t>.</w:t>
      </w:r>
    </w:p>
    <w:p w14:paraId="362413D3" w14:textId="77777777" w:rsidR="00AF5653" w:rsidRPr="00063CE2" w:rsidRDefault="00AF5653" w:rsidP="00AF5653">
      <w:pPr>
        <w:rPr>
          <w:noProof w:val="0"/>
          <w:color w:val="000000" w:themeColor="text1"/>
          <w:lang w:val="en-US"/>
        </w:rPr>
      </w:pPr>
    </w:p>
    <w:p w14:paraId="21194BB6" w14:textId="2806B884" w:rsidR="00AF5653" w:rsidRPr="00063CE2" w:rsidRDefault="00AF5653" w:rsidP="00AF5653">
      <w:pPr>
        <w:rPr>
          <w:noProof w:val="0"/>
          <w:color w:val="000000" w:themeColor="text1"/>
          <w:lang w:val="en-US"/>
        </w:rPr>
      </w:pPr>
      <w:r w:rsidRPr="00063CE2">
        <w:rPr>
          <w:rFonts w:cs="Baskerville"/>
          <w:noProof w:val="0"/>
          <w:color w:val="000000" w:themeColor="text1"/>
          <w:lang w:val="en-US"/>
        </w:rPr>
        <w:t>3.1.</w:t>
      </w:r>
      <w:r w:rsidRPr="00063CE2">
        <w:rPr>
          <w:rFonts w:cs="Baskerville"/>
          <w:b/>
          <w:noProof w:val="0"/>
          <w:color w:val="000000" w:themeColor="text1"/>
          <w:lang w:val="en-US"/>
        </w:rPr>
        <w:t xml:space="preserve"> </w:t>
      </w:r>
      <w:r w:rsidRPr="00063CE2">
        <w:rPr>
          <w:rFonts w:cs="Baskerville"/>
          <w:noProof w:val="0"/>
          <w:color w:val="000000" w:themeColor="text1"/>
          <w:lang w:val="en-US"/>
        </w:rPr>
        <w:t>Make sure that the funeral agency chosen by the family brings the body to the ABB facilities</w:t>
      </w:r>
      <w:r w:rsidR="00F97AE9" w:rsidRPr="00063CE2">
        <w:rPr>
          <w:rFonts w:cs="Baskerville"/>
          <w:noProof w:val="0"/>
          <w:color w:val="000000" w:themeColor="text1"/>
          <w:lang w:val="en-US"/>
        </w:rPr>
        <w:t xml:space="preserve">. </w:t>
      </w:r>
      <w:r w:rsidR="00F97AE9" w:rsidRPr="00063CE2">
        <w:rPr>
          <w:noProof w:val="0"/>
          <w:color w:val="000000" w:themeColor="text1"/>
          <w:lang w:val="en-US"/>
        </w:rPr>
        <w:t>P</w:t>
      </w:r>
      <w:r w:rsidRPr="00063CE2">
        <w:rPr>
          <w:noProof w:val="0"/>
          <w:color w:val="000000" w:themeColor="text1"/>
          <w:lang w:val="en-US"/>
        </w:rPr>
        <w:t>erform the thanatography</w:t>
      </w:r>
      <w:r w:rsidRPr="00063CE2">
        <w:rPr>
          <w:rFonts w:cs="Baskerville"/>
          <w:noProof w:val="0"/>
          <w:color w:val="000000" w:themeColor="text1"/>
          <w:lang w:val="en-US"/>
        </w:rPr>
        <w:t xml:space="preserve"> during which the cardiac activity must be absent. If so, </w:t>
      </w:r>
      <w:r w:rsidR="00F97AE9" w:rsidRPr="00063CE2">
        <w:rPr>
          <w:rFonts w:cs="Baskerville"/>
          <w:noProof w:val="0"/>
          <w:color w:val="000000" w:themeColor="text1"/>
          <w:lang w:val="en-US"/>
        </w:rPr>
        <w:t>s</w:t>
      </w:r>
      <w:r w:rsidRPr="00063CE2">
        <w:rPr>
          <w:rFonts w:cs="Baskerville"/>
          <w:noProof w:val="0"/>
          <w:color w:val="000000" w:themeColor="text1"/>
          <w:lang w:val="en-US"/>
        </w:rPr>
        <w:t>ign a death certificate and begin the autopsy procedures.</w:t>
      </w:r>
    </w:p>
    <w:p w14:paraId="627A5896" w14:textId="77777777" w:rsidR="00AF5653" w:rsidRPr="00063CE2" w:rsidRDefault="00AF5653" w:rsidP="00AF5653">
      <w:pPr>
        <w:rPr>
          <w:rFonts w:cs="Baskerville-SemiBold"/>
          <w:b/>
          <w:bCs/>
          <w:noProof w:val="0"/>
          <w:color w:val="000000" w:themeColor="text1"/>
          <w:lang w:val="en-US"/>
        </w:rPr>
      </w:pPr>
    </w:p>
    <w:p w14:paraId="0AA559AC" w14:textId="1FA4D2C6" w:rsidR="00AF5653" w:rsidRPr="00063CE2"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val="0"/>
          <w:color w:val="000000" w:themeColor="text1"/>
          <w:lang w:val="en-US"/>
        </w:rPr>
      </w:pPr>
      <w:r w:rsidRPr="00063CE2">
        <w:rPr>
          <w:rFonts w:cs="Baskerville"/>
          <w:noProof w:val="0"/>
          <w:color w:val="000000" w:themeColor="text1"/>
          <w:lang w:val="en-US"/>
        </w:rPr>
        <w:t xml:space="preserve">3.2. </w:t>
      </w:r>
      <w:r w:rsidR="00E845D2" w:rsidRPr="00063CE2">
        <w:rPr>
          <w:rFonts w:cs="Baskerville"/>
          <w:noProof w:val="0"/>
          <w:color w:val="000000" w:themeColor="text1"/>
          <w:lang w:val="en-US"/>
        </w:rPr>
        <w:t>Transport</w:t>
      </w:r>
      <w:r w:rsidRPr="00063CE2">
        <w:rPr>
          <w:rFonts w:cs="Baskerville"/>
          <w:noProof w:val="0"/>
          <w:color w:val="000000" w:themeColor="text1"/>
          <w:lang w:val="en-US"/>
        </w:rPr>
        <w:t xml:space="preserve"> the cadaver to </w:t>
      </w:r>
      <w:r w:rsidR="0026547F" w:rsidRPr="00063CE2">
        <w:rPr>
          <w:rFonts w:cs="Baskerville"/>
          <w:noProof w:val="0"/>
          <w:color w:val="000000" w:themeColor="text1"/>
          <w:lang w:val="en-US"/>
        </w:rPr>
        <w:t xml:space="preserve">the </w:t>
      </w:r>
      <w:r w:rsidRPr="00063CE2">
        <w:rPr>
          <w:rFonts w:cs="Baskerville"/>
          <w:noProof w:val="0"/>
          <w:color w:val="000000" w:themeColor="text1"/>
          <w:lang w:val="en-US"/>
        </w:rPr>
        <w:t xml:space="preserve">autopsy room. Measure the circumference of the skull at the level of the widest part of the head. Measure from the </w:t>
      </w:r>
      <w:proofErr w:type="spellStart"/>
      <w:r w:rsidRPr="00063CE2">
        <w:rPr>
          <w:rFonts w:cs="Baskerville"/>
          <w:iCs/>
          <w:noProof w:val="0"/>
          <w:color w:val="000000" w:themeColor="text1"/>
          <w:lang w:val="en-US"/>
        </w:rPr>
        <w:t>nasion</w:t>
      </w:r>
      <w:proofErr w:type="spellEnd"/>
      <w:r w:rsidRPr="00063CE2">
        <w:rPr>
          <w:rFonts w:cs="Baskerville"/>
          <w:iCs/>
          <w:noProof w:val="0"/>
          <w:color w:val="000000" w:themeColor="text1"/>
          <w:lang w:val="en-US"/>
        </w:rPr>
        <w:t xml:space="preserve"> to the inion</w:t>
      </w:r>
      <w:r w:rsidRPr="00063CE2">
        <w:rPr>
          <w:rFonts w:cs="Baskerville"/>
          <w:noProof w:val="0"/>
          <w:color w:val="000000" w:themeColor="text1"/>
          <w:lang w:val="en-US"/>
        </w:rPr>
        <w:t xml:space="preserve"> to obtain the anteroposterior diameter (APD), while the distance from one ear to the other yields the transverse diameter (TD). Calculate the cephalic index </w:t>
      </w:r>
      <w:r w:rsidR="0026547F" w:rsidRPr="00063CE2">
        <w:rPr>
          <w:rFonts w:cs="Baskerville"/>
          <w:noProof w:val="0"/>
          <w:color w:val="000000" w:themeColor="text1"/>
          <w:lang w:val="en-US"/>
        </w:rPr>
        <w:t xml:space="preserve">(CI) </w:t>
      </w:r>
      <w:r w:rsidRPr="00063CE2">
        <w:rPr>
          <w:rFonts w:cs="Baskerville"/>
          <w:noProof w:val="0"/>
          <w:color w:val="000000" w:themeColor="text1"/>
          <w:lang w:val="en-US"/>
        </w:rPr>
        <w:t>using the formula: CI = TD/APD x 100.</w:t>
      </w:r>
    </w:p>
    <w:p w14:paraId="046DD389" w14:textId="77777777" w:rsidR="00AF5653" w:rsidRPr="00063CE2" w:rsidRDefault="00AF5653" w:rsidP="00AF56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noProof w:val="0"/>
          <w:color w:val="000000" w:themeColor="text1"/>
          <w:lang w:val="en-US"/>
        </w:rPr>
      </w:pPr>
    </w:p>
    <w:p w14:paraId="0458DD27" w14:textId="166526DB"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3.3. Using a sharp scalpel, make a scalp incision on the coronal plane, from the tip of the mastoid process on one side to the other, passing over the vertex. Cut through hair, skin and subcutaneous tissue and separate the two folds of the scalp carefully from the underneath skull. Perform the incision until the yellow supraorbital fat </w:t>
      </w:r>
      <w:r w:rsidR="00BA7785" w:rsidRPr="00063CE2">
        <w:rPr>
          <w:rFonts w:cs="Baskerville"/>
          <w:noProof w:val="0"/>
          <w:color w:val="000000" w:themeColor="text1"/>
          <w:highlight w:val="yellow"/>
          <w:lang w:val="en-US"/>
        </w:rPr>
        <w:t xml:space="preserve">becomes visible </w:t>
      </w:r>
      <w:r w:rsidRPr="00063CE2">
        <w:rPr>
          <w:rFonts w:cs="Baskerville"/>
          <w:noProof w:val="0"/>
          <w:color w:val="000000" w:themeColor="text1"/>
          <w:highlight w:val="yellow"/>
          <w:lang w:val="en-US"/>
        </w:rPr>
        <w:t xml:space="preserve">and reflect the scalp anteriorly. Pull the other part posteriorly. </w:t>
      </w:r>
    </w:p>
    <w:p w14:paraId="6028E55A" w14:textId="77777777" w:rsidR="00AF5653" w:rsidRPr="00063CE2" w:rsidRDefault="00AF5653" w:rsidP="00AF5653">
      <w:pPr>
        <w:rPr>
          <w:rFonts w:cs="Baskerville"/>
          <w:noProof w:val="0"/>
          <w:color w:val="000000" w:themeColor="text1"/>
          <w:highlight w:val="yellow"/>
          <w:lang w:val="en-US"/>
        </w:rPr>
      </w:pPr>
    </w:p>
    <w:p w14:paraId="1BF392C7" w14:textId="127491EF" w:rsidR="00AF5653" w:rsidRPr="00063CE2" w:rsidRDefault="00AF5653" w:rsidP="00E62EB3">
      <w:pPr>
        <w:rPr>
          <w:color w:val="000000" w:themeColor="text1"/>
          <w:lang w:val="en-US"/>
        </w:rPr>
      </w:pPr>
      <w:r w:rsidRPr="00063CE2">
        <w:rPr>
          <w:rFonts w:cs="Baskerville"/>
          <w:noProof w:val="0"/>
          <w:color w:val="000000" w:themeColor="text1"/>
          <w:highlight w:val="yellow"/>
          <w:lang w:val="en-US"/>
        </w:rPr>
        <w:t xml:space="preserve">3.4. Using scalpel and forceps, take a small sample of the temporal muscle at each side, put one in </w:t>
      </w:r>
      <w:r w:rsidR="00F35896" w:rsidRPr="00063CE2">
        <w:rPr>
          <w:rFonts w:cs="Baskerville"/>
          <w:noProof w:val="0"/>
          <w:color w:val="000000" w:themeColor="text1"/>
          <w:highlight w:val="yellow"/>
          <w:lang w:val="en-US"/>
        </w:rPr>
        <w:t xml:space="preserve">4% </w:t>
      </w:r>
      <w:r w:rsidR="003C4DE2" w:rsidRPr="00063CE2">
        <w:rPr>
          <w:rFonts w:cs="Baskerville"/>
          <w:noProof w:val="0"/>
          <w:color w:val="000000" w:themeColor="text1"/>
          <w:highlight w:val="yellow"/>
          <w:lang w:val="en-US"/>
        </w:rPr>
        <w:t>f</w:t>
      </w:r>
      <w:r w:rsidR="00E62EB3" w:rsidRPr="00063CE2">
        <w:rPr>
          <w:rFonts w:cs="Baskerville"/>
          <w:noProof w:val="0"/>
          <w:color w:val="000000" w:themeColor="text1"/>
          <w:highlight w:val="yellow"/>
          <w:lang w:val="en-US"/>
        </w:rPr>
        <w:t xml:space="preserve">ormaldehyde </w:t>
      </w:r>
      <w:r w:rsidRPr="00063CE2">
        <w:rPr>
          <w:rFonts w:cs="Baskerville"/>
          <w:noProof w:val="0"/>
          <w:color w:val="000000" w:themeColor="text1"/>
          <w:highlight w:val="yellow"/>
          <w:lang w:val="en-US"/>
        </w:rPr>
        <w:t>and freeze the other</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w:t>
      </w:r>
      <w:r w:rsidRPr="00063CE2">
        <w:rPr>
          <w:color w:val="000000" w:themeColor="text1"/>
          <w:highlight w:val="yellow"/>
          <w:lang w:val="en-US"/>
        </w:rPr>
        <w:t xml:space="preserve"> </w:t>
      </w:r>
    </w:p>
    <w:p w14:paraId="6A52910A" w14:textId="77777777" w:rsidR="00AF5653" w:rsidRPr="00063CE2" w:rsidRDefault="00AF5653" w:rsidP="00AF5653">
      <w:pPr>
        <w:rPr>
          <w:rFonts w:cs="Baskerville"/>
          <w:noProof w:val="0"/>
          <w:color w:val="000000" w:themeColor="text1"/>
          <w:highlight w:val="yellow"/>
          <w:lang w:val="en-US"/>
        </w:rPr>
      </w:pPr>
    </w:p>
    <w:p w14:paraId="7C932809" w14:textId="738F1FE3"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3.5. Cut the skull using an electrical saw following a V-cut on the frontal side. Remove the skullcap and cut the meninges. Sample pieces of dura are both fixed </w:t>
      </w:r>
      <w:r w:rsidR="00250A81" w:rsidRPr="00063CE2">
        <w:rPr>
          <w:rFonts w:cs="Baskerville"/>
          <w:noProof w:val="0"/>
          <w:color w:val="000000" w:themeColor="text1"/>
          <w:highlight w:val="yellow"/>
          <w:lang w:val="en-US"/>
        </w:rPr>
        <w:t xml:space="preserve">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 xml:space="preserve">formaldehyde </w:t>
      </w:r>
      <w:r w:rsidRPr="00063CE2">
        <w:rPr>
          <w:rFonts w:cs="Baskerville"/>
          <w:noProof w:val="0"/>
          <w:color w:val="000000" w:themeColor="text1"/>
          <w:highlight w:val="yellow"/>
          <w:lang w:val="en-US"/>
        </w:rPr>
        <w:t>and frozen</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 xml:space="preserve">. </w:t>
      </w:r>
    </w:p>
    <w:p w14:paraId="3473E7B1" w14:textId="77777777" w:rsidR="00AF5653" w:rsidRPr="00063CE2" w:rsidRDefault="00AF5653" w:rsidP="00AF5653">
      <w:pPr>
        <w:rPr>
          <w:rFonts w:cs="Baskerville"/>
          <w:noProof w:val="0"/>
          <w:color w:val="000000" w:themeColor="text1"/>
          <w:highlight w:val="yellow"/>
          <w:lang w:val="en-US"/>
        </w:rPr>
      </w:pPr>
    </w:p>
    <w:p w14:paraId="5D8C460B" w14:textId="0A64204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3.6.</w:t>
      </w:r>
      <w:r w:rsidRPr="00063CE2">
        <w:rPr>
          <w:rFonts w:cs="Baskerville"/>
          <w:b/>
          <w:noProof w:val="0"/>
          <w:color w:val="000000" w:themeColor="text1"/>
          <w:highlight w:val="yellow"/>
          <w:lang w:val="en-US"/>
        </w:rPr>
        <w:t xml:space="preserve"> </w:t>
      </w:r>
      <w:r w:rsidRPr="00063CE2">
        <w:rPr>
          <w:rFonts w:cs="Baskerville"/>
          <w:noProof w:val="0"/>
          <w:color w:val="000000" w:themeColor="text1"/>
          <w:highlight w:val="yellow"/>
          <w:lang w:val="en-US"/>
        </w:rPr>
        <w:t>Obtain</w:t>
      </w:r>
      <w:r w:rsidR="00AE4F10" w:rsidRPr="00063CE2">
        <w:rPr>
          <w:rFonts w:cs="Baskerville"/>
          <w:noProof w:val="0"/>
          <w:color w:val="000000" w:themeColor="text1"/>
          <w:highlight w:val="yellow"/>
          <w:lang w:val="en-US"/>
        </w:rPr>
        <w:t xml:space="preserve"> about 10 m</w:t>
      </w:r>
      <w:r w:rsidR="0026547F" w:rsidRPr="00063CE2">
        <w:rPr>
          <w:rFonts w:cs="Baskerville"/>
          <w:noProof w:val="0"/>
          <w:color w:val="000000" w:themeColor="text1"/>
          <w:highlight w:val="yellow"/>
          <w:lang w:val="en-US"/>
        </w:rPr>
        <w:t>L</w:t>
      </w:r>
      <w:r w:rsidR="00AE4F10" w:rsidRPr="00063CE2">
        <w:rPr>
          <w:rFonts w:cs="Baskerville"/>
          <w:noProof w:val="0"/>
          <w:color w:val="000000" w:themeColor="text1"/>
          <w:highlight w:val="yellow"/>
          <w:lang w:val="en-US"/>
        </w:rPr>
        <w:t xml:space="preserve"> of</w:t>
      </w:r>
      <w:r w:rsidRPr="00063CE2">
        <w:rPr>
          <w:rFonts w:cs="Baskerville"/>
          <w:b/>
          <w:noProof w:val="0"/>
          <w:color w:val="000000" w:themeColor="text1"/>
          <w:highlight w:val="yellow"/>
          <w:lang w:val="en-US"/>
        </w:rPr>
        <w:t xml:space="preserve"> </w:t>
      </w:r>
      <w:r w:rsidRPr="00063CE2">
        <w:rPr>
          <w:rFonts w:cs="Baskerville"/>
          <w:noProof w:val="0"/>
          <w:color w:val="000000" w:themeColor="text1"/>
          <w:highlight w:val="yellow"/>
          <w:lang w:val="en-US"/>
        </w:rPr>
        <w:t xml:space="preserve">CSF </w:t>
      </w:r>
      <w:r w:rsidR="0026547F" w:rsidRPr="00063CE2">
        <w:rPr>
          <w:rFonts w:cs="Baskerville"/>
          <w:noProof w:val="0"/>
          <w:color w:val="000000" w:themeColor="text1"/>
          <w:highlight w:val="yellow"/>
          <w:lang w:val="en-US"/>
        </w:rPr>
        <w:t xml:space="preserve">by </w:t>
      </w:r>
      <w:r w:rsidRPr="00063CE2">
        <w:rPr>
          <w:rFonts w:cs="Baskerville"/>
          <w:noProof w:val="0"/>
          <w:color w:val="000000" w:themeColor="text1"/>
          <w:highlight w:val="yellow"/>
          <w:lang w:val="en-US"/>
        </w:rPr>
        <w:t>inserting a 20 G 3.5 in</w:t>
      </w:r>
      <w:r w:rsidR="0026547F"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needle through the corpus callosum to </w:t>
      </w:r>
      <w:r w:rsidRPr="00063CE2">
        <w:rPr>
          <w:rFonts w:cs="Baskerville"/>
          <w:noProof w:val="0"/>
          <w:color w:val="000000" w:themeColor="text1"/>
          <w:highlight w:val="yellow"/>
          <w:lang w:val="en-US"/>
        </w:rPr>
        <w:lastRenderedPageBreak/>
        <w:t xml:space="preserve">reach the third ventricle. Assess the appearance, color and turbidity of CSF and measure the </w:t>
      </w:r>
      <w:proofErr w:type="spellStart"/>
      <w:r w:rsidRPr="00063CE2">
        <w:rPr>
          <w:rFonts w:cs="Baskerville"/>
          <w:noProof w:val="0"/>
          <w:color w:val="000000" w:themeColor="text1"/>
          <w:highlight w:val="yellow"/>
          <w:lang w:val="en-US"/>
        </w:rPr>
        <w:t>pH.</w:t>
      </w:r>
      <w:proofErr w:type="spellEnd"/>
      <w:r w:rsidRPr="00063CE2">
        <w:rPr>
          <w:rFonts w:cs="Baskerville"/>
          <w:noProof w:val="0"/>
          <w:color w:val="000000" w:themeColor="text1"/>
          <w:highlight w:val="yellow"/>
          <w:lang w:val="en-US"/>
        </w:rPr>
        <w:t xml:space="preserve"> </w:t>
      </w:r>
      <w:r w:rsidRPr="00063CE2">
        <w:rPr>
          <w:rFonts w:cs="Baskerville"/>
          <w:noProof w:val="0"/>
          <w:color w:val="000000" w:themeColor="text1"/>
          <w:lang w:val="en-US"/>
        </w:rPr>
        <w:t>Then, make 10 aliquots of about 1 m</w:t>
      </w:r>
      <w:r w:rsidR="0026547F" w:rsidRPr="00063CE2">
        <w:rPr>
          <w:rFonts w:cs="Baskerville"/>
          <w:noProof w:val="0"/>
          <w:color w:val="000000" w:themeColor="text1"/>
          <w:lang w:val="en-US"/>
        </w:rPr>
        <w:t>L each</w:t>
      </w:r>
      <w:r w:rsidRPr="00063CE2">
        <w:rPr>
          <w:rFonts w:cs="Baskerville"/>
          <w:noProof w:val="0"/>
          <w:color w:val="000000" w:themeColor="text1"/>
          <w:lang w:val="en-US"/>
        </w:rPr>
        <w:t xml:space="preserve"> and store them at -80</w:t>
      </w:r>
      <w:r w:rsidR="00E6551D" w:rsidRPr="00063CE2">
        <w:rPr>
          <w:rFonts w:cs="Baskerville"/>
          <w:noProof w:val="0"/>
          <w:color w:val="000000" w:themeColor="text1"/>
          <w:lang w:val="en-US"/>
        </w:rPr>
        <w:t xml:space="preserve"> </w:t>
      </w:r>
      <w:r w:rsidRPr="00063CE2">
        <w:rPr>
          <w:rFonts w:cs="Baskerville"/>
          <w:noProof w:val="0"/>
          <w:color w:val="000000" w:themeColor="text1"/>
          <w:lang w:val="en-US"/>
        </w:rPr>
        <w:t>°C.</w:t>
      </w:r>
    </w:p>
    <w:p w14:paraId="6967FE8B" w14:textId="77777777" w:rsidR="00AF5653" w:rsidRPr="00063CE2" w:rsidRDefault="00AF5653" w:rsidP="00AF5653">
      <w:pPr>
        <w:rPr>
          <w:rFonts w:cs="Baskerville"/>
          <w:noProof w:val="0"/>
          <w:color w:val="000000" w:themeColor="text1"/>
          <w:highlight w:val="yellow"/>
          <w:lang w:val="en-US"/>
        </w:rPr>
      </w:pPr>
    </w:p>
    <w:p w14:paraId="559CFF93" w14:textId="13372F4F"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3.7. </w:t>
      </w:r>
      <w:r w:rsidR="0026547F" w:rsidRPr="00063CE2">
        <w:rPr>
          <w:rFonts w:cs="Baskerville"/>
          <w:noProof w:val="0"/>
          <w:color w:val="000000" w:themeColor="text1"/>
          <w:highlight w:val="yellow"/>
          <w:lang w:val="en-US"/>
        </w:rPr>
        <w:t>L</w:t>
      </w:r>
      <w:r w:rsidRPr="00063CE2">
        <w:rPr>
          <w:rFonts w:cs="Baskerville"/>
          <w:noProof w:val="0"/>
          <w:color w:val="000000" w:themeColor="text1"/>
          <w:highlight w:val="yellow"/>
          <w:lang w:val="en-US"/>
        </w:rPr>
        <w:t xml:space="preserve">ift </w:t>
      </w:r>
      <w:r w:rsidR="0026547F" w:rsidRPr="00063CE2">
        <w:rPr>
          <w:rFonts w:cs="Baskerville"/>
          <w:noProof w:val="0"/>
          <w:color w:val="000000" w:themeColor="text1"/>
          <w:highlight w:val="yellow"/>
          <w:lang w:val="en-US"/>
        </w:rPr>
        <w:t xml:space="preserve">up </w:t>
      </w:r>
      <w:r w:rsidRPr="00063CE2">
        <w:rPr>
          <w:rFonts w:cs="Baskerville"/>
          <w:noProof w:val="0"/>
          <w:color w:val="000000" w:themeColor="text1"/>
          <w:highlight w:val="yellow"/>
          <w:lang w:val="en-US"/>
        </w:rPr>
        <w:t>the brain delicately pulling on both frontal lobes and cut</w:t>
      </w:r>
      <w:r w:rsidR="00086403" w:rsidRPr="00063CE2">
        <w:rPr>
          <w:rFonts w:cs="Baskerville"/>
          <w:noProof w:val="0"/>
          <w:color w:val="000000" w:themeColor="text1"/>
          <w:highlight w:val="yellow"/>
          <w:lang w:val="en-US"/>
        </w:rPr>
        <w:t xml:space="preserve"> </w:t>
      </w:r>
      <w:r w:rsidRPr="00063CE2">
        <w:rPr>
          <w:rFonts w:cs="Baskerville"/>
          <w:noProof w:val="0"/>
          <w:color w:val="000000" w:themeColor="text1"/>
          <w:highlight w:val="yellow"/>
          <w:lang w:val="en-US"/>
        </w:rPr>
        <w:t xml:space="preserve">both optic nerves infundibulum, the internal carotid arteries (ICA) and the third, fourth, fifth and sixth cranial nerves. Cut the </w:t>
      </w:r>
      <w:r w:rsidRPr="00063CE2">
        <w:rPr>
          <w:rFonts w:cs="Baskerville"/>
          <w:iCs/>
          <w:noProof w:val="0"/>
          <w:color w:val="000000" w:themeColor="text1"/>
          <w:highlight w:val="yellow"/>
          <w:lang w:val="en-US"/>
        </w:rPr>
        <w:t xml:space="preserve">tentorium </w:t>
      </w:r>
      <w:r w:rsidRPr="00063CE2">
        <w:rPr>
          <w:rFonts w:cs="Baskerville"/>
          <w:noProof w:val="0"/>
          <w:color w:val="000000" w:themeColor="text1"/>
          <w:highlight w:val="yellow"/>
          <w:lang w:val="en-US"/>
        </w:rPr>
        <w:t>to reach the posterior fossa and cut vertebral arteries and lower cranial nerves. Insert the scalpel as deep as possible through the foramen magnum, to cut the most caudal portion of the medulla. At this point, remove the whole brain gently.</w:t>
      </w:r>
    </w:p>
    <w:p w14:paraId="03058585" w14:textId="77777777" w:rsidR="00AF5653" w:rsidRPr="00063CE2" w:rsidRDefault="00AF5653" w:rsidP="00AF5653">
      <w:pPr>
        <w:rPr>
          <w:rFonts w:cs="Baskerville"/>
          <w:noProof w:val="0"/>
          <w:color w:val="000000" w:themeColor="text1"/>
          <w:highlight w:val="yellow"/>
          <w:lang w:val="en-US"/>
        </w:rPr>
      </w:pPr>
    </w:p>
    <w:p w14:paraId="05DFEE00" w14:textId="28A8AC18"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3.8. With the scalpel, pierce the bone over Meckel’s cave and obtain the </w:t>
      </w:r>
      <w:proofErr w:type="spellStart"/>
      <w:r w:rsidRPr="00063CE2">
        <w:rPr>
          <w:rFonts w:cs="Baskerville"/>
          <w:noProof w:val="0"/>
          <w:color w:val="000000" w:themeColor="text1"/>
          <w:highlight w:val="yellow"/>
          <w:lang w:val="en-US"/>
        </w:rPr>
        <w:t>Gasserian</w:t>
      </w:r>
      <w:proofErr w:type="spellEnd"/>
      <w:r w:rsidRPr="00063CE2">
        <w:rPr>
          <w:rFonts w:cs="Baskerville"/>
          <w:noProof w:val="0"/>
          <w:color w:val="000000" w:themeColor="text1"/>
          <w:highlight w:val="yellow"/>
          <w:lang w:val="en-US"/>
        </w:rPr>
        <w:t xml:space="preserve"> ganglion from both sides. </w:t>
      </w:r>
      <w:r w:rsidR="00AE4F10" w:rsidRPr="00063CE2">
        <w:rPr>
          <w:rFonts w:cs="Baskerville"/>
          <w:noProof w:val="0"/>
          <w:color w:val="000000" w:themeColor="text1"/>
          <w:highlight w:val="yellow"/>
          <w:lang w:val="en-US"/>
        </w:rPr>
        <w:t>Fix o</w:t>
      </w:r>
      <w:r w:rsidRPr="00063CE2">
        <w:rPr>
          <w:rFonts w:cs="Baskerville"/>
          <w:noProof w:val="0"/>
          <w:color w:val="000000" w:themeColor="text1"/>
          <w:highlight w:val="yellow"/>
          <w:lang w:val="en-US"/>
        </w:rPr>
        <w:t>ne ganglion</w:t>
      </w:r>
      <w:r w:rsidR="00250A81" w:rsidRPr="00063CE2">
        <w:rPr>
          <w:rFonts w:cs="Baskerville"/>
          <w:noProof w:val="0"/>
          <w:color w:val="000000" w:themeColor="text1"/>
          <w:highlight w:val="yellow"/>
          <w:lang w:val="en-US"/>
        </w:rPr>
        <w:t xml:space="preserve">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 xml:space="preserve">formaldehyde </w:t>
      </w:r>
      <w:r w:rsidR="00AE4F10" w:rsidRPr="00063CE2">
        <w:rPr>
          <w:rFonts w:cs="Baskerville"/>
          <w:noProof w:val="0"/>
          <w:color w:val="000000" w:themeColor="text1"/>
          <w:highlight w:val="yellow"/>
          <w:lang w:val="en-US"/>
        </w:rPr>
        <w:t>and freeze</w:t>
      </w:r>
      <w:r w:rsidRPr="00063CE2">
        <w:rPr>
          <w:rFonts w:cs="Baskerville"/>
          <w:noProof w:val="0"/>
          <w:color w:val="000000" w:themeColor="text1"/>
          <w:highlight w:val="yellow"/>
          <w:lang w:val="en-US"/>
        </w:rPr>
        <w:t xml:space="preserve"> the other</w:t>
      </w:r>
      <w:r w:rsidR="00250A81" w:rsidRPr="00063CE2">
        <w:rPr>
          <w:rFonts w:cs="Baskerville"/>
          <w:noProof w:val="0"/>
          <w:color w:val="000000" w:themeColor="text1"/>
          <w:highlight w:val="yellow"/>
          <w:lang w:val="en-US"/>
        </w:rPr>
        <w:t xml:space="preserve"> (see </w:t>
      </w:r>
      <w:r w:rsidR="00CB0CC2" w:rsidRPr="00063CE2">
        <w:rPr>
          <w:noProof w:val="0"/>
          <w:color w:val="000000" w:themeColor="text1"/>
          <w:highlight w:val="yellow"/>
          <w:lang w:val="en-US"/>
        </w:rPr>
        <w:t>section</w:t>
      </w:r>
      <w:r w:rsidR="00250A81" w:rsidRPr="00063CE2">
        <w:rPr>
          <w:rFonts w:cs="Baskerville"/>
          <w:noProof w:val="0"/>
          <w:color w:val="000000" w:themeColor="text1"/>
          <w:highlight w:val="yellow"/>
          <w:lang w:val="en-US"/>
        </w:rPr>
        <w:t xml:space="preserve"> 7)</w:t>
      </w:r>
      <w:r w:rsidRPr="00063CE2">
        <w:rPr>
          <w:rFonts w:cs="Baskerville"/>
          <w:noProof w:val="0"/>
          <w:color w:val="000000" w:themeColor="text1"/>
          <w:highlight w:val="yellow"/>
          <w:lang w:val="en-US"/>
        </w:rPr>
        <w:t xml:space="preserve">. Fracture the bony </w:t>
      </w:r>
      <w:proofErr w:type="spellStart"/>
      <w:r w:rsidRPr="00063CE2">
        <w:rPr>
          <w:rFonts w:cs="Baskerville"/>
          <w:iCs/>
          <w:noProof w:val="0"/>
          <w:color w:val="000000" w:themeColor="text1"/>
          <w:highlight w:val="yellow"/>
          <w:lang w:val="en-US"/>
        </w:rPr>
        <w:t>sella</w:t>
      </w:r>
      <w:proofErr w:type="spellEnd"/>
      <w:r w:rsidRPr="00063CE2">
        <w:rPr>
          <w:rFonts w:cs="Baskerville"/>
          <w:iCs/>
          <w:noProof w:val="0"/>
          <w:color w:val="000000" w:themeColor="text1"/>
          <w:highlight w:val="yellow"/>
          <w:lang w:val="en-US"/>
        </w:rPr>
        <w:t xml:space="preserve"> turcica</w:t>
      </w:r>
      <w:r w:rsidRPr="00063CE2">
        <w:rPr>
          <w:rFonts w:cs="Baskerville"/>
          <w:noProof w:val="0"/>
          <w:color w:val="000000" w:themeColor="text1"/>
          <w:highlight w:val="yellow"/>
          <w:lang w:val="en-US"/>
        </w:rPr>
        <w:t xml:space="preserve"> using a surgical mallet and chisel to remove the pituitary gland and </w:t>
      </w:r>
      <w:r w:rsidR="002417B0" w:rsidRPr="00063CE2">
        <w:rPr>
          <w:rFonts w:cs="Baskerville"/>
          <w:noProof w:val="0"/>
          <w:color w:val="000000" w:themeColor="text1"/>
          <w:highlight w:val="yellow"/>
          <w:lang w:val="en-US"/>
        </w:rPr>
        <w:t xml:space="preserve">then </w:t>
      </w:r>
      <w:r w:rsidRPr="00063CE2">
        <w:rPr>
          <w:rFonts w:cs="Baskerville"/>
          <w:noProof w:val="0"/>
          <w:color w:val="000000" w:themeColor="text1"/>
          <w:highlight w:val="yellow"/>
          <w:lang w:val="en-US"/>
        </w:rPr>
        <w:t xml:space="preserve">fix it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formaldehyde</w:t>
      </w:r>
      <w:r w:rsidR="00F35896" w:rsidRPr="00063CE2">
        <w:rPr>
          <w:rFonts w:cs="Baskerville"/>
          <w:noProof w:val="0"/>
          <w:color w:val="000000" w:themeColor="text1"/>
          <w:highlight w:val="yellow"/>
          <w:lang w:val="en-US"/>
        </w:rPr>
        <w:t>.</w:t>
      </w:r>
    </w:p>
    <w:p w14:paraId="7ABA2FB2" w14:textId="77777777" w:rsidR="00AF5653" w:rsidRPr="00063CE2" w:rsidRDefault="00AF5653" w:rsidP="00AF5653">
      <w:pPr>
        <w:rPr>
          <w:rFonts w:cs="Baskerville"/>
          <w:noProof w:val="0"/>
          <w:color w:val="000000" w:themeColor="text1"/>
          <w:highlight w:val="yellow"/>
          <w:lang w:val="en-US"/>
        </w:rPr>
      </w:pPr>
    </w:p>
    <w:p w14:paraId="53C4AB40" w14:textId="1E655C72" w:rsidR="00AF5653" w:rsidRPr="00063CE2" w:rsidRDefault="00AF5653" w:rsidP="00AF5653">
      <w:pPr>
        <w:rPr>
          <w:rFonts w:cs="Baskerville"/>
          <w:noProof w:val="0"/>
          <w:color w:val="000000" w:themeColor="text1"/>
          <w:highlight w:val="yellow"/>
          <w:lang w:val="en-US"/>
        </w:rPr>
      </w:pPr>
      <w:r w:rsidRPr="008246AE">
        <w:rPr>
          <w:rFonts w:cs="Baskerville"/>
          <w:noProof w:val="0"/>
          <w:color w:val="FF0000"/>
          <w:highlight w:val="yellow"/>
          <w:lang w:val="en-US"/>
        </w:rPr>
        <w:t>3.9</w:t>
      </w:r>
      <w:r w:rsidRPr="00063CE2">
        <w:rPr>
          <w:rFonts w:cs="Baskerville"/>
          <w:noProof w:val="0"/>
          <w:color w:val="000000" w:themeColor="text1"/>
          <w:highlight w:val="yellow"/>
          <w:lang w:val="en-US"/>
        </w:rPr>
        <w:t xml:space="preserve">. Inspect the skull and the whole brain for macroscopic alterations and vascular changes. With a measuring tape, measure the brain obtaining the transverse and anteroposterior diameters. Weigh the brain using a scale. </w:t>
      </w:r>
      <w:r w:rsidR="00AC1AD7" w:rsidRPr="00AC1AD7">
        <w:rPr>
          <w:rFonts w:cs="Baskerville"/>
          <w:noProof w:val="0"/>
          <w:color w:val="FF0000"/>
          <w:highlight w:val="yellow"/>
          <w:lang w:val="en-US"/>
        </w:rPr>
        <w:t>Retrieve with care the circle of Willis and assess it macroscopically (</w:t>
      </w:r>
      <w:r w:rsidR="00AC1AD7" w:rsidRPr="00AC1AD7">
        <w:rPr>
          <w:rFonts w:cs="Baskerville"/>
          <w:b/>
          <w:bCs/>
          <w:noProof w:val="0"/>
          <w:color w:val="FF0000"/>
          <w:highlight w:val="yellow"/>
          <w:lang w:val="en-US"/>
        </w:rPr>
        <w:t>Figure 2E</w:t>
      </w:r>
      <w:r w:rsidR="00AC1AD7" w:rsidRPr="00AC1AD7">
        <w:rPr>
          <w:rFonts w:cs="Baskerville"/>
          <w:noProof w:val="0"/>
          <w:color w:val="FF0000"/>
          <w:highlight w:val="yellow"/>
          <w:lang w:val="en-US"/>
        </w:rPr>
        <w:t>) for the presence of anatomic variants, lesions or vessel stenosis.</w:t>
      </w:r>
    </w:p>
    <w:p w14:paraId="3AEAA106" w14:textId="77777777" w:rsidR="00AF5653" w:rsidRPr="00063CE2" w:rsidRDefault="00AF5653" w:rsidP="00AF5653">
      <w:pPr>
        <w:rPr>
          <w:rFonts w:cs="Baskerville"/>
          <w:noProof w:val="0"/>
          <w:color w:val="000000" w:themeColor="text1"/>
          <w:highlight w:val="yellow"/>
          <w:lang w:val="en-US"/>
        </w:rPr>
      </w:pPr>
    </w:p>
    <w:p w14:paraId="563036CC" w14:textId="69DED933" w:rsidR="00AF5653" w:rsidRPr="00063CE2" w:rsidRDefault="00AF5653" w:rsidP="00AF5653">
      <w:pPr>
        <w:rPr>
          <w:noProof w:val="0"/>
          <w:color w:val="000000" w:themeColor="text1"/>
          <w:lang w:val="en-US"/>
        </w:rPr>
      </w:pPr>
      <w:r w:rsidRPr="00063CE2">
        <w:rPr>
          <w:rFonts w:cs="Baskerville"/>
          <w:noProof w:val="0"/>
          <w:color w:val="000000" w:themeColor="text1"/>
          <w:highlight w:val="yellow"/>
          <w:lang w:val="en-US"/>
        </w:rPr>
        <w:t xml:space="preserve">3.10. </w:t>
      </w:r>
      <w:r w:rsidRPr="00063CE2">
        <w:rPr>
          <w:noProof w:val="0"/>
          <w:color w:val="000000" w:themeColor="text1"/>
          <w:highlight w:val="yellow"/>
          <w:lang w:val="en-US"/>
        </w:rPr>
        <w:t>Take 1</w:t>
      </w:r>
      <w:r w:rsidR="002417B0" w:rsidRPr="00063CE2">
        <w:rPr>
          <w:noProof w:val="0"/>
          <w:color w:val="000000" w:themeColor="text1"/>
          <w:highlight w:val="yellow"/>
          <w:lang w:val="en-US"/>
        </w:rPr>
        <w:t>–</w:t>
      </w:r>
      <w:r w:rsidRPr="00063CE2">
        <w:rPr>
          <w:noProof w:val="0"/>
          <w:color w:val="000000" w:themeColor="text1"/>
          <w:highlight w:val="yellow"/>
          <w:lang w:val="en-US"/>
        </w:rPr>
        <w:t>2 pieces of leptomeninges of 2</w:t>
      </w:r>
      <w:r w:rsidR="002417B0" w:rsidRPr="00063CE2">
        <w:rPr>
          <w:noProof w:val="0"/>
          <w:color w:val="000000" w:themeColor="text1"/>
          <w:highlight w:val="yellow"/>
          <w:lang w:val="en-US"/>
        </w:rPr>
        <w:t>–</w:t>
      </w:r>
      <w:r w:rsidRPr="00063CE2">
        <w:rPr>
          <w:noProof w:val="0"/>
          <w:color w:val="000000" w:themeColor="text1"/>
          <w:highlight w:val="yellow"/>
          <w:lang w:val="en-US"/>
        </w:rPr>
        <w:t>4 cm</w:t>
      </w:r>
      <w:r w:rsidRPr="00063CE2">
        <w:rPr>
          <w:noProof w:val="0"/>
          <w:color w:val="000000" w:themeColor="text1"/>
          <w:highlight w:val="yellow"/>
          <w:vertAlign w:val="superscript"/>
          <w:lang w:val="en-US"/>
        </w:rPr>
        <w:t>2</w:t>
      </w:r>
      <w:r w:rsidRPr="00063CE2">
        <w:rPr>
          <w:noProof w:val="0"/>
          <w:color w:val="000000" w:themeColor="text1"/>
          <w:highlight w:val="yellow"/>
          <w:lang w:val="en-US"/>
        </w:rPr>
        <w:t xml:space="preserve"> from the convexity and preserve them in complete </w:t>
      </w:r>
      <w:r w:rsidR="00F35896" w:rsidRPr="00063CE2">
        <w:rPr>
          <w:noProof w:val="0"/>
          <w:color w:val="000000" w:themeColor="text1"/>
          <w:highlight w:val="yellow"/>
          <w:lang w:val="en-US"/>
        </w:rPr>
        <w:t xml:space="preserve">high glucose </w:t>
      </w:r>
      <w:r w:rsidR="002417B0" w:rsidRPr="00063CE2">
        <w:rPr>
          <w:noProof w:val="0"/>
          <w:color w:val="000000" w:themeColor="text1"/>
          <w:highlight w:val="yellow"/>
          <w:lang w:val="en-US"/>
        </w:rPr>
        <w:t>Dulbecco's modified Eagle media (</w:t>
      </w:r>
      <w:r w:rsidRPr="00063CE2">
        <w:rPr>
          <w:noProof w:val="0"/>
          <w:color w:val="000000" w:themeColor="text1"/>
          <w:highlight w:val="yellow"/>
          <w:lang w:val="en-US"/>
        </w:rPr>
        <w:t>DMEM</w:t>
      </w:r>
      <w:r w:rsidR="002417B0" w:rsidRPr="00063CE2">
        <w:rPr>
          <w:noProof w:val="0"/>
          <w:color w:val="000000" w:themeColor="text1"/>
          <w:highlight w:val="yellow"/>
          <w:lang w:val="en-US"/>
        </w:rPr>
        <w:t>)</w:t>
      </w:r>
      <w:r w:rsidRPr="00063CE2">
        <w:rPr>
          <w:noProof w:val="0"/>
          <w:color w:val="000000" w:themeColor="text1"/>
          <w:highlight w:val="yellow"/>
          <w:lang w:val="en-US"/>
        </w:rPr>
        <w:t xml:space="preserve"> culture medium </w:t>
      </w:r>
      <w:r w:rsidR="00250A81" w:rsidRPr="00063CE2">
        <w:rPr>
          <w:noProof w:val="0"/>
          <w:color w:val="000000" w:themeColor="text1"/>
          <w:highlight w:val="yellow"/>
          <w:lang w:val="en-US"/>
        </w:rPr>
        <w:t xml:space="preserve">at </w:t>
      </w:r>
      <w:r w:rsidR="00CB0CC2" w:rsidRPr="00063CE2">
        <w:rPr>
          <w:noProof w:val="0"/>
          <w:color w:val="000000" w:themeColor="text1"/>
          <w:highlight w:val="yellow"/>
          <w:lang w:val="en-US"/>
        </w:rPr>
        <w:t>4</w:t>
      </w:r>
      <w:r w:rsidR="00F35896" w:rsidRPr="00063CE2">
        <w:rPr>
          <w:noProof w:val="0"/>
          <w:color w:val="000000" w:themeColor="text1"/>
          <w:highlight w:val="yellow"/>
          <w:lang w:val="en-US"/>
        </w:rPr>
        <w:t xml:space="preserve"> </w:t>
      </w:r>
      <w:r w:rsidR="00250A81" w:rsidRPr="00063CE2">
        <w:rPr>
          <w:noProof w:val="0"/>
          <w:color w:val="000000" w:themeColor="text1"/>
          <w:highlight w:val="yellow"/>
          <w:lang w:val="en-US"/>
        </w:rPr>
        <w:t xml:space="preserve">°C </w:t>
      </w:r>
      <w:r w:rsidRPr="00063CE2">
        <w:rPr>
          <w:noProof w:val="0"/>
          <w:color w:val="000000" w:themeColor="text1"/>
          <w:highlight w:val="yellow"/>
          <w:lang w:val="en-US"/>
        </w:rPr>
        <w:t>containing 20% fetal bovine serum</w:t>
      </w:r>
      <w:r w:rsidR="002417B0" w:rsidRPr="00063CE2">
        <w:rPr>
          <w:noProof w:val="0"/>
          <w:color w:val="000000" w:themeColor="text1"/>
          <w:highlight w:val="yellow"/>
          <w:lang w:val="en-US"/>
        </w:rPr>
        <w:t xml:space="preserve"> (FBS)</w:t>
      </w:r>
      <w:r w:rsidRPr="00063CE2">
        <w:rPr>
          <w:noProof w:val="0"/>
          <w:color w:val="000000" w:themeColor="text1"/>
          <w:highlight w:val="yellow"/>
          <w:lang w:val="en-US"/>
        </w:rPr>
        <w:t xml:space="preserve">,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 xml:space="preserve">pen/strep,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 xml:space="preserve">glutamine and </w:t>
      </w:r>
      <w:r w:rsidR="00F80438" w:rsidRPr="00063CE2">
        <w:rPr>
          <w:noProof w:val="0"/>
          <w:color w:val="000000" w:themeColor="text1"/>
          <w:highlight w:val="yellow"/>
          <w:lang w:val="en-US"/>
        </w:rPr>
        <w:t xml:space="preserve">1% </w:t>
      </w:r>
      <w:r w:rsidRPr="00063CE2">
        <w:rPr>
          <w:noProof w:val="0"/>
          <w:color w:val="000000" w:themeColor="text1"/>
          <w:highlight w:val="yellow"/>
          <w:lang w:val="en-US"/>
        </w:rPr>
        <w:t>non</w:t>
      </w:r>
      <w:r w:rsidR="003B2B7D" w:rsidRPr="00063CE2">
        <w:rPr>
          <w:noProof w:val="0"/>
          <w:color w:val="000000" w:themeColor="text1"/>
          <w:highlight w:val="yellow"/>
          <w:lang w:val="en-US"/>
        </w:rPr>
        <w:t>-</w:t>
      </w:r>
      <w:r w:rsidRPr="00063CE2">
        <w:rPr>
          <w:noProof w:val="0"/>
          <w:color w:val="000000" w:themeColor="text1"/>
          <w:highlight w:val="yellow"/>
          <w:lang w:val="en-US"/>
        </w:rPr>
        <w:t xml:space="preserve">essential aminoacids </w:t>
      </w:r>
      <w:r w:rsidRPr="00063CE2">
        <w:rPr>
          <w:rFonts w:cs="Baskerville"/>
          <w:noProof w:val="0"/>
          <w:color w:val="000000" w:themeColor="text1"/>
          <w:highlight w:val="yellow"/>
          <w:lang w:val="en-US"/>
        </w:rPr>
        <w:t>(</w:t>
      </w:r>
      <w:r w:rsidR="00BA7785" w:rsidRPr="00063CE2">
        <w:rPr>
          <w:noProof w:val="0"/>
          <w:color w:val="000000" w:themeColor="text1"/>
          <w:highlight w:val="yellow"/>
          <w:lang w:val="en-US"/>
        </w:rPr>
        <w:t>as previously</w:t>
      </w:r>
      <w:r w:rsidRPr="00063CE2">
        <w:rPr>
          <w:noProof w:val="0"/>
          <w:color w:val="000000" w:themeColor="text1"/>
          <w:highlight w:val="yellow"/>
          <w:lang w:val="en-US"/>
        </w:rPr>
        <w:t xml:space="preserve"> published</w:t>
      </w:r>
      <w:r w:rsidR="0092492D" w:rsidRPr="00063CE2">
        <w:rPr>
          <w:noProof w:val="0"/>
          <w:color w:val="000000" w:themeColor="text1"/>
          <w:highlight w:val="yellow"/>
          <w:lang w:val="en-US"/>
        </w:rPr>
        <w:t>,</w:t>
      </w:r>
      <w:r w:rsidRPr="00063CE2">
        <w:rPr>
          <w:noProof w:val="0"/>
          <w:color w:val="000000" w:themeColor="text1"/>
          <w:highlight w:val="yellow"/>
          <w:lang w:val="en-US"/>
        </w:rPr>
        <w:t xml:space="preserve"> with some modifications)</w:t>
      </w:r>
      <w:r w:rsidRPr="00063CE2">
        <w:rPr>
          <w:noProof w:val="0"/>
          <w:color w:val="000000" w:themeColor="text1"/>
          <w:highlight w:val="yellow"/>
          <w:lang w:val="en-US"/>
        </w:rPr>
        <w:fldChar w:fldCharType="begin" w:fldLock="1"/>
      </w:r>
      <w:r w:rsidR="00F84C1A" w:rsidRPr="00063CE2">
        <w:rPr>
          <w:noProof w:val="0"/>
          <w:color w:val="000000" w:themeColor="text1"/>
          <w:highlight w:val="yellow"/>
          <w:lang w:val="en-US"/>
        </w:rPr>
        <w:instrText>ADDIN CSL_CITATION {"citationItems":[{"id":"ITEM-1","itemData":{"ISSN":"1940-087X","PMID":"28190070","abstract":"Even though great progress has been made in the clinical characterization of Parkinson's disease, several studies report that the diagnosis of Parkinson's disease is not pathologically confirmed in up to 25% of clinically diagnosed Parkinson's disease. Therefore, tissue collected from clinically diagnosed patients with idiopathic Parkinson's disease can have a high rate of misdiagnosis; hence in vitro studies from such tissues to study Parkinson's disease as a preclinical model can become futile. By collecting postmortem human leptomeninges with a confirmed neuropathological diagnosis of Parkinson's disease and characterized by nigrostriatal cell loss and intracellular protein inclusions called Lewy bodies, one can be certain that clinically observed parkinsonism is not caused by another underlying disease process (e.g. tumor, arteriosclerosis). This protocol presents the dissection and preparation of postmortem human leptomeninges for derivation of a meningeal fibroblast culture. This procedure is robust and has a high success rate. The challenge of the culture is sterility as the brain procurement is generally not performed under sterile conditions. Therefore, it is important to supplement the culture media with a cocktail of penicillin, streptomycin, and amphotericin B. The derivation of meningeal fibroblasts from autopsy-confirmed cases with Parkinson's disease provides the foundation for in vitro modeling of Parkinson's disease. Meningeal fibroblasts appear 3-9 days after sample preparation and about 20-30 million cells can be cryopreserved in 6-8 weeks. The meningeal fibroblast culture is homogenous and the cells express fibronectin, a commonly used marker to identify meninges.","author":[{"dropping-particle":"","family":"Lee","given":"Kelsey","non-dropping-particle":"","parse-names":false,"suffix":""},{"dropping-particle":"","family":"Saetern","given":"Ou Chong","non-dropping-particle":"","parse-names":false,"suffix":""},{"dropping-particle":"","family":"Nguyen","given":"Andrew","non-dropping-particle":"","parse-names":false,"suffix":""},{"dropping-particle":"","family":"Rodriguez","given":"Leonardo","non-dropping-particle":"","parse-names":false,"suffix":""},{"dropping-particle":"","family":"Schüle","given":"Birgitt","non-dropping-particle":"","parse-names":false,"suffix":""}],"container-title":"Journal of visualized experiments : JoVE","id":"ITEM-1","issue":"119","issued":{"date-parts":[["2017","1","21"]]},"title":"Derivation of Leptomeninges Explant Cultures from Postmortem Human Brain Donors.","type":"article-journal"},"uris":["http://www.mendeley.com/documents/?uuid=c3f18f85-db3f-3548-b81d-66518fc37c0d"]}],"mendeley":{"formattedCitation":"&lt;sup&gt;41&lt;/sup&gt;","plainTextFormattedCitation":"41","previouslyFormattedCitation":"&lt;sup&gt;41&lt;/sup&gt;"},"properties":{"noteIndex":0},"schema":"https://github.com/citation-style-language/schema/raw/master/csl-citation.json"}</w:instrText>
      </w:r>
      <w:r w:rsidRPr="00063CE2">
        <w:rPr>
          <w:noProof w:val="0"/>
          <w:color w:val="000000" w:themeColor="text1"/>
          <w:highlight w:val="yellow"/>
          <w:lang w:val="en-US"/>
        </w:rPr>
        <w:fldChar w:fldCharType="separate"/>
      </w:r>
      <w:r w:rsidR="0046128C" w:rsidRPr="00063CE2">
        <w:rPr>
          <w:color w:val="000000" w:themeColor="text1"/>
          <w:highlight w:val="yellow"/>
          <w:vertAlign w:val="superscript"/>
          <w:lang w:val="en-US"/>
        </w:rPr>
        <w:t>41</w:t>
      </w:r>
      <w:r w:rsidRPr="00063CE2">
        <w:rPr>
          <w:noProof w:val="0"/>
          <w:color w:val="000000" w:themeColor="text1"/>
          <w:highlight w:val="yellow"/>
          <w:lang w:val="en-US"/>
        </w:rPr>
        <w:fldChar w:fldCharType="end"/>
      </w:r>
      <w:r w:rsidRPr="00063CE2">
        <w:rPr>
          <w:noProof w:val="0"/>
          <w:color w:val="000000" w:themeColor="text1"/>
          <w:highlight w:val="yellow"/>
          <w:lang w:val="en-US"/>
        </w:rPr>
        <w:t>.</w:t>
      </w:r>
    </w:p>
    <w:p w14:paraId="12B3253A" w14:textId="77777777" w:rsidR="00AF5653" w:rsidRPr="00063CE2" w:rsidRDefault="00AF5653" w:rsidP="00AF5653">
      <w:pPr>
        <w:rPr>
          <w:noProof w:val="0"/>
          <w:color w:val="000000" w:themeColor="text1"/>
          <w:lang w:val="en-US"/>
        </w:rPr>
      </w:pPr>
    </w:p>
    <w:p w14:paraId="05C768A2" w14:textId="77777777" w:rsidR="002417B0" w:rsidRPr="00063CE2" w:rsidRDefault="00AF5653" w:rsidP="00AF5653">
      <w:pPr>
        <w:rPr>
          <w:noProof w:val="0"/>
          <w:color w:val="000000" w:themeColor="text1"/>
          <w:lang w:val="en-US"/>
        </w:rPr>
      </w:pPr>
      <w:r w:rsidRPr="00063CE2">
        <w:rPr>
          <w:noProof w:val="0"/>
          <w:color w:val="000000" w:themeColor="text1"/>
          <w:lang w:val="en-US"/>
        </w:rPr>
        <w:t xml:space="preserve">3.10.1. </w:t>
      </w:r>
      <w:r w:rsidR="00D433CC" w:rsidRPr="00063CE2">
        <w:rPr>
          <w:noProof w:val="0"/>
          <w:color w:val="000000" w:themeColor="text1"/>
          <w:lang w:val="en-US"/>
        </w:rPr>
        <w:t>In order to obtain fibroblasts cultures, p</w:t>
      </w:r>
      <w:r w:rsidRPr="00063CE2">
        <w:rPr>
          <w:noProof w:val="0"/>
          <w:color w:val="000000" w:themeColor="text1"/>
          <w:lang w:val="en-US"/>
        </w:rPr>
        <w:t xml:space="preserve">lace the leptomeninges on a 10 cm </w:t>
      </w:r>
      <w:r w:rsidR="002417B0" w:rsidRPr="00063CE2">
        <w:rPr>
          <w:noProof w:val="0"/>
          <w:color w:val="000000" w:themeColor="text1"/>
          <w:lang w:val="en-US"/>
        </w:rPr>
        <w:t>P</w:t>
      </w:r>
      <w:r w:rsidRPr="00063CE2">
        <w:rPr>
          <w:noProof w:val="0"/>
          <w:color w:val="000000" w:themeColor="text1"/>
          <w:lang w:val="en-US"/>
        </w:rPr>
        <w:t xml:space="preserve">etri dish and wash twice with phosphate buffer saline (PBS), each time discarding the liquid. </w:t>
      </w:r>
    </w:p>
    <w:p w14:paraId="07FE8AED" w14:textId="77777777" w:rsidR="002417B0" w:rsidRPr="00063CE2" w:rsidRDefault="002417B0" w:rsidP="00AF5653">
      <w:pPr>
        <w:rPr>
          <w:noProof w:val="0"/>
          <w:color w:val="000000" w:themeColor="text1"/>
          <w:lang w:val="en-US"/>
        </w:rPr>
      </w:pPr>
    </w:p>
    <w:p w14:paraId="7DA7D1DF" w14:textId="79ED18C7" w:rsidR="00AF5653" w:rsidRPr="00063CE2" w:rsidRDefault="002417B0" w:rsidP="00AF5653">
      <w:pPr>
        <w:rPr>
          <w:noProof w:val="0"/>
          <w:color w:val="000000" w:themeColor="text1"/>
          <w:lang w:val="en-US"/>
        </w:rPr>
      </w:pPr>
      <w:r w:rsidRPr="00063CE2">
        <w:rPr>
          <w:noProof w:val="0"/>
          <w:color w:val="000000" w:themeColor="text1"/>
          <w:lang w:val="en-US"/>
        </w:rPr>
        <w:t xml:space="preserve">3.10.2. </w:t>
      </w:r>
      <w:r w:rsidR="00AF5653" w:rsidRPr="00063CE2">
        <w:rPr>
          <w:noProof w:val="0"/>
          <w:color w:val="000000" w:themeColor="text1"/>
          <w:lang w:val="en-US"/>
        </w:rPr>
        <w:t>Using a scalpel and a pipette tip, cut the leptomeninges into small pieces of about 2 or 3 mm, seed 3</w:t>
      </w:r>
      <w:r w:rsidRPr="00063CE2">
        <w:rPr>
          <w:noProof w:val="0"/>
          <w:color w:val="000000" w:themeColor="text1"/>
          <w:lang w:val="en-US"/>
        </w:rPr>
        <w:t>–</w:t>
      </w:r>
      <w:r w:rsidR="00AF5653" w:rsidRPr="00063CE2">
        <w:rPr>
          <w:noProof w:val="0"/>
          <w:color w:val="000000" w:themeColor="text1"/>
          <w:lang w:val="en-US"/>
        </w:rPr>
        <w:t>4 pieces in each well of a 6-well plate previously coated with gelatin at 0.5% and fill each well with 2 mL of complete medium supplemented with 1% of amphotericin B (conduct the processing in a biosafety cabinet to guarantee the sterility of the culture).</w:t>
      </w:r>
    </w:p>
    <w:p w14:paraId="2A2B53DF" w14:textId="77777777" w:rsidR="00AF5653" w:rsidRPr="00063CE2" w:rsidRDefault="00AF5653" w:rsidP="00AF5653">
      <w:pPr>
        <w:rPr>
          <w:noProof w:val="0"/>
          <w:color w:val="000000" w:themeColor="text1"/>
          <w:lang w:val="en-US"/>
        </w:rPr>
      </w:pPr>
    </w:p>
    <w:p w14:paraId="5B3D4F3A" w14:textId="08AAFEF1" w:rsidR="00AF5653" w:rsidRPr="00063CE2" w:rsidRDefault="00AF5653" w:rsidP="00AF5653">
      <w:pPr>
        <w:rPr>
          <w:noProof w:val="0"/>
          <w:color w:val="000000" w:themeColor="text1"/>
          <w:lang w:val="en-US"/>
        </w:rPr>
      </w:pPr>
      <w:r w:rsidRPr="00063CE2">
        <w:rPr>
          <w:noProof w:val="0"/>
          <w:color w:val="000000" w:themeColor="text1"/>
          <w:lang w:val="en-US"/>
        </w:rPr>
        <w:t>3.10.</w:t>
      </w:r>
      <w:r w:rsidR="002417B0" w:rsidRPr="00063CE2">
        <w:rPr>
          <w:noProof w:val="0"/>
          <w:color w:val="000000" w:themeColor="text1"/>
          <w:lang w:val="en-US"/>
        </w:rPr>
        <w:t>3</w:t>
      </w:r>
      <w:r w:rsidRPr="00063CE2">
        <w:rPr>
          <w:noProof w:val="0"/>
          <w:color w:val="000000" w:themeColor="text1"/>
          <w:lang w:val="en-US"/>
        </w:rPr>
        <w:t>. Place the plate into a 37 °C, 5% CO</w:t>
      </w:r>
      <w:r w:rsidRPr="00063CE2">
        <w:rPr>
          <w:noProof w:val="0"/>
          <w:color w:val="000000" w:themeColor="text1"/>
          <w:vertAlign w:val="subscript"/>
          <w:lang w:val="en-US"/>
        </w:rPr>
        <w:t>2</w:t>
      </w:r>
      <w:r w:rsidRPr="00063CE2">
        <w:rPr>
          <w:noProof w:val="0"/>
          <w:color w:val="000000" w:themeColor="text1"/>
          <w:lang w:val="en-US"/>
        </w:rPr>
        <w:t xml:space="preserve"> incubator for at least one week and change spent medium every 3</w:t>
      </w:r>
      <w:r w:rsidR="002417B0" w:rsidRPr="00063CE2">
        <w:rPr>
          <w:noProof w:val="0"/>
          <w:color w:val="000000" w:themeColor="text1"/>
          <w:lang w:val="en-US"/>
        </w:rPr>
        <w:t>–</w:t>
      </w:r>
      <w:r w:rsidRPr="00063CE2">
        <w:rPr>
          <w:noProof w:val="0"/>
          <w:color w:val="000000" w:themeColor="text1"/>
          <w:lang w:val="en-US"/>
        </w:rPr>
        <w:t xml:space="preserve">4 days. </w:t>
      </w:r>
      <w:proofErr w:type="spellStart"/>
      <w:r w:rsidRPr="00063CE2">
        <w:rPr>
          <w:noProof w:val="0"/>
          <w:color w:val="000000" w:themeColor="text1"/>
          <w:lang w:val="en-US"/>
        </w:rPr>
        <w:t>Trypsinize</w:t>
      </w:r>
      <w:proofErr w:type="spellEnd"/>
      <w:r w:rsidRPr="00063CE2">
        <w:rPr>
          <w:noProof w:val="0"/>
          <w:color w:val="000000" w:themeColor="text1"/>
          <w:lang w:val="en-US"/>
        </w:rPr>
        <w:t xml:space="preserve"> cells with sterile 1</w:t>
      </w:r>
      <w:r w:rsidR="002417B0" w:rsidRPr="00063CE2">
        <w:rPr>
          <w:noProof w:val="0"/>
          <w:color w:val="000000" w:themeColor="text1"/>
          <w:lang w:val="en-US"/>
        </w:rPr>
        <w:t>x</w:t>
      </w:r>
      <w:r w:rsidRPr="00063CE2">
        <w:rPr>
          <w:noProof w:val="0"/>
          <w:color w:val="000000" w:themeColor="text1"/>
          <w:lang w:val="en-US"/>
        </w:rPr>
        <w:t xml:space="preserve"> trypsin when the well is </w:t>
      </w:r>
      <w:r w:rsidR="00A50171" w:rsidRPr="00063CE2">
        <w:rPr>
          <w:noProof w:val="0"/>
          <w:color w:val="000000" w:themeColor="text1"/>
          <w:lang w:val="en-US"/>
        </w:rPr>
        <w:t xml:space="preserve">at </w:t>
      </w:r>
      <w:r w:rsidRPr="00063CE2">
        <w:rPr>
          <w:noProof w:val="0"/>
          <w:color w:val="000000" w:themeColor="text1"/>
          <w:lang w:val="en-US"/>
        </w:rPr>
        <w:t>about 70% of confluence. Place</w:t>
      </w:r>
      <w:r w:rsidR="00D433CC" w:rsidRPr="00063CE2">
        <w:rPr>
          <w:noProof w:val="0"/>
          <w:color w:val="000000" w:themeColor="text1"/>
          <w:lang w:val="en-US"/>
        </w:rPr>
        <w:t xml:space="preserve"> leptomeningeal</w:t>
      </w:r>
      <w:r w:rsidRPr="00063CE2">
        <w:rPr>
          <w:noProof w:val="0"/>
          <w:color w:val="000000" w:themeColor="text1"/>
          <w:lang w:val="en-US"/>
        </w:rPr>
        <w:t xml:space="preserve"> fibroblast</w:t>
      </w:r>
      <w:r w:rsidR="00086403" w:rsidRPr="00063CE2">
        <w:rPr>
          <w:noProof w:val="0"/>
          <w:color w:val="000000" w:themeColor="text1"/>
          <w:lang w:val="en-US"/>
        </w:rPr>
        <w:t>s</w:t>
      </w:r>
      <w:r w:rsidRPr="00063CE2">
        <w:rPr>
          <w:noProof w:val="0"/>
          <w:color w:val="000000" w:themeColor="text1"/>
          <w:lang w:val="en-US"/>
        </w:rPr>
        <w:t xml:space="preserve"> into a T75 flask and fill it with 12 mL of complete medium. After 5 days </w:t>
      </w:r>
      <w:proofErr w:type="spellStart"/>
      <w:r w:rsidRPr="00063CE2">
        <w:rPr>
          <w:noProof w:val="0"/>
          <w:color w:val="000000" w:themeColor="text1"/>
          <w:lang w:val="en-US"/>
        </w:rPr>
        <w:t>trypsinize</w:t>
      </w:r>
      <w:proofErr w:type="spellEnd"/>
      <w:r w:rsidRPr="00063CE2">
        <w:rPr>
          <w:noProof w:val="0"/>
          <w:color w:val="000000" w:themeColor="text1"/>
          <w:lang w:val="en-US"/>
        </w:rPr>
        <w:t xml:space="preserve"> and preserve them in 900 </w:t>
      </w:r>
      <w:proofErr w:type="spellStart"/>
      <w:r w:rsidR="00BD75E0" w:rsidRPr="00063CE2">
        <w:rPr>
          <w:noProof w:val="0"/>
          <w:color w:val="000000" w:themeColor="text1"/>
          <w:lang w:val="en-US"/>
        </w:rPr>
        <w:t>μ</w:t>
      </w:r>
      <w:r w:rsidRPr="00063CE2">
        <w:rPr>
          <w:noProof w:val="0"/>
          <w:color w:val="000000" w:themeColor="text1"/>
          <w:lang w:val="en-US"/>
        </w:rPr>
        <w:t>L</w:t>
      </w:r>
      <w:proofErr w:type="spellEnd"/>
      <w:r w:rsidRPr="00063CE2">
        <w:rPr>
          <w:noProof w:val="0"/>
          <w:color w:val="000000" w:themeColor="text1"/>
          <w:lang w:val="en-US"/>
        </w:rPr>
        <w:t xml:space="preserve"> of FBS and 100 </w:t>
      </w:r>
      <w:proofErr w:type="spellStart"/>
      <w:r w:rsidR="00236BD3" w:rsidRPr="00063CE2">
        <w:rPr>
          <w:noProof w:val="0"/>
          <w:color w:val="000000" w:themeColor="text1"/>
          <w:lang w:val="en-US"/>
        </w:rPr>
        <w:t>μ</w:t>
      </w:r>
      <w:r w:rsidRPr="00063CE2">
        <w:rPr>
          <w:noProof w:val="0"/>
          <w:color w:val="000000" w:themeColor="text1"/>
          <w:lang w:val="en-US"/>
        </w:rPr>
        <w:t>L</w:t>
      </w:r>
      <w:proofErr w:type="spellEnd"/>
      <w:r w:rsidRPr="00063CE2">
        <w:rPr>
          <w:noProof w:val="0"/>
          <w:color w:val="000000" w:themeColor="text1"/>
          <w:lang w:val="en-US"/>
        </w:rPr>
        <w:t xml:space="preserve"> of </w:t>
      </w:r>
      <w:r w:rsidR="002417B0" w:rsidRPr="00063CE2">
        <w:rPr>
          <w:noProof w:val="0"/>
          <w:color w:val="000000" w:themeColor="text1"/>
          <w:lang w:val="en-US"/>
        </w:rPr>
        <w:t>dimethyl sulfoxide (</w:t>
      </w:r>
      <w:r w:rsidRPr="00063CE2">
        <w:rPr>
          <w:noProof w:val="0"/>
          <w:color w:val="000000" w:themeColor="text1"/>
          <w:lang w:val="en-US"/>
        </w:rPr>
        <w:t>DMSO</w:t>
      </w:r>
      <w:r w:rsidR="002417B0" w:rsidRPr="00063CE2">
        <w:rPr>
          <w:noProof w:val="0"/>
          <w:color w:val="000000" w:themeColor="text1"/>
          <w:lang w:val="en-US"/>
        </w:rPr>
        <w:t>)</w:t>
      </w:r>
      <w:r w:rsidRPr="00063CE2">
        <w:rPr>
          <w:noProof w:val="0"/>
          <w:color w:val="000000" w:themeColor="text1"/>
          <w:lang w:val="en-US"/>
        </w:rPr>
        <w:t>.</w:t>
      </w:r>
    </w:p>
    <w:p w14:paraId="5A154D45" w14:textId="77777777" w:rsidR="00AF5653" w:rsidRPr="00063CE2" w:rsidRDefault="00AF5653" w:rsidP="00AF5653">
      <w:pPr>
        <w:rPr>
          <w:rFonts w:cs="Baskerville"/>
          <w:noProof w:val="0"/>
          <w:color w:val="000000" w:themeColor="text1"/>
          <w:lang w:val="en-US"/>
        </w:rPr>
      </w:pPr>
    </w:p>
    <w:p w14:paraId="7E422ACD" w14:textId="3A4B6A7D" w:rsidR="00AF5653" w:rsidRPr="00063CE2" w:rsidRDefault="00AF5653" w:rsidP="00AF5653">
      <w:pPr>
        <w:rPr>
          <w:noProof w:val="0"/>
          <w:color w:val="000000" w:themeColor="text1"/>
          <w:highlight w:val="yellow"/>
          <w:lang w:val="en-US"/>
        </w:rPr>
      </w:pPr>
      <w:r w:rsidRPr="008246AE">
        <w:rPr>
          <w:rFonts w:cs="Baskerville"/>
          <w:noProof w:val="0"/>
          <w:color w:val="FF0000"/>
          <w:highlight w:val="yellow"/>
          <w:lang w:val="en-US"/>
        </w:rPr>
        <w:t>3.11</w:t>
      </w:r>
      <w:r w:rsidRPr="00063CE2">
        <w:rPr>
          <w:rFonts w:cs="Baskerville"/>
          <w:noProof w:val="0"/>
          <w:color w:val="000000" w:themeColor="text1"/>
          <w:highlight w:val="yellow"/>
          <w:lang w:val="en-US"/>
        </w:rPr>
        <w:t>.</w:t>
      </w:r>
      <w:r w:rsidR="00AC1AD7" w:rsidRPr="00AC1AD7">
        <w:rPr>
          <w:rFonts w:cs="Baskerville"/>
          <w:noProof w:val="0"/>
          <w:color w:val="FF0000"/>
          <w:highlight w:val="yellow"/>
          <w:lang w:val="en-US"/>
        </w:rPr>
        <w:t xml:space="preserve"> Separate and inspect cerebrum, cerebellum and brainstem and weight them individually.</w:t>
      </w:r>
      <w:r w:rsidRPr="00063CE2">
        <w:rPr>
          <w:rFonts w:cs="Baskerville"/>
          <w:noProof w:val="0"/>
          <w:color w:val="000000" w:themeColor="text1"/>
          <w:highlight w:val="yellow"/>
          <w:lang w:val="en-US"/>
        </w:rPr>
        <w:t xml:space="preserve"> Take off </w:t>
      </w:r>
      <w:r w:rsidR="002417B0" w:rsidRPr="00063CE2">
        <w:rPr>
          <w:rFonts w:cs="Baskerville"/>
          <w:noProof w:val="0"/>
          <w:color w:val="000000" w:themeColor="text1"/>
          <w:highlight w:val="yellow"/>
          <w:lang w:val="en-US"/>
        </w:rPr>
        <w:t xml:space="preserve">the </w:t>
      </w:r>
      <w:r w:rsidRPr="00063CE2">
        <w:rPr>
          <w:rFonts w:cs="Baskerville"/>
          <w:noProof w:val="0"/>
          <w:color w:val="000000" w:themeColor="text1"/>
          <w:highlight w:val="yellow"/>
          <w:lang w:val="en-US"/>
        </w:rPr>
        <w:t>pineal gland and fix it</w:t>
      </w:r>
      <w:r w:rsidR="00CB0CC2" w:rsidRPr="00063CE2">
        <w:rPr>
          <w:rFonts w:cs="Baskerville"/>
          <w:noProof w:val="0"/>
          <w:color w:val="000000" w:themeColor="text1"/>
          <w:highlight w:val="yellow"/>
          <w:lang w:val="en-US"/>
        </w:rPr>
        <w:t xml:space="preserve"> in </w:t>
      </w:r>
      <w:r w:rsidR="00F35896" w:rsidRPr="00063CE2">
        <w:rPr>
          <w:rFonts w:cs="Baskerville"/>
          <w:noProof w:val="0"/>
          <w:color w:val="000000" w:themeColor="text1"/>
          <w:highlight w:val="yellow"/>
          <w:lang w:val="en-US"/>
        </w:rPr>
        <w:t xml:space="preserve">4% </w:t>
      </w:r>
      <w:r w:rsidR="007D10D3" w:rsidRPr="00063CE2">
        <w:rPr>
          <w:rFonts w:cs="Baskerville"/>
          <w:noProof w:val="0"/>
          <w:color w:val="000000" w:themeColor="text1"/>
          <w:highlight w:val="yellow"/>
          <w:lang w:val="en-US"/>
        </w:rPr>
        <w:t>formaldehyde</w:t>
      </w:r>
      <w:r w:rsidRPr="00063CE2">
        <w:rPr>
          <w:rFonts w:cs="Baskerville"/>
          <w:noProof w:val="0"/>
          <w:color w:val="000000" w:themeColor="text1"/>
          <w:highlight w:val="yellow"/>
          <w:lang w:val="en-US"/>
        </w:rPr>
        <w:t>. Remove olfactory bulbs and optic nerves, and fix or freeze one of each pair, independently of the side. K</w:t>
      </w:r>
      <w:r w:rsidRPr="00063CE2">
        <w:rPr>
          <w:noProof w:val="0"/>
          <w:color w:val="000000" w:themeColor="text1"/>
          <w:highlight w:val="yellow"/>
          <w:lang w:val="en-US"/>
        </w:rPr>
        <w:t>eep the cerebrum, cerebellum and brainstem in ice at 4</w:t>
      </w:r>
      <w:r w:rsidR="009003E9" w:rsidRPr="00063CE2">
        <w:rPr>
          <w:noProof w:val="0"/>
          <w:color w:val="000000" w:themeColor="text1"/>
          <w:highlight w:val="yellow"/>
          <w:lang w:val="en-US"/>
        </w:rPr>
        <w:t xml:space="preserve"> </w:t>
      </w:r>
      <w:r w:rsidRPr="00063CE2">
        <w:rPr>
          <w:noProof w:val="0"/>
          <w:color w:val="000000" w:themeColor="text1"/>
          <w:highlight w:val="yellow"/>
          <w:lang w:val="en-US"/>
        </w:rPr>
        <w:t xml:space="preserve">°C </w:t>
      </w:r>
      <w:r w:rsidRPr="00063CE2">
        <w:rPr>
          <w:noProof w:val="0"/>
          <w:color w:val="000000" w:themeColor="text1"/>
          <w:lang w:val="en-US"/>
        </w:rPr>
        <w:t>for</w:t>
      </w:r>
      <w:r w:rsidR="005E099E" w:rsidRPr="00063CE2">
        <w:rPr>
          <w:noProof w:val="0"/>
          <w:color w:val="000000" w:themeColor="text1"/>
          <w:lang w:val="en-US"/>
        </w:rPr>
        <w:t xml:space="preserve"> at least</w:t>
      </w:r>
      <w:r w:rsidRPr="00063CE2">
        <w:rPr>
          <w:noProof w:val="0"/>
          <w:color w:val="000000" w:themeColor="text1"/>
          <w:lang w:val="en-US"/>
        </w:rPr>
        <w:t xml:space="preserve"> 2</w:t>
      </w:r>
      <w:r w:rsidR="002417B0" w:rsidRPr="00063CE2">
        <w:rPr>
          <w:noProof w:val="0"/>
          <w:color w:val="000000" w:themeColor="text1"/>
          <w:lang w:val="en-US"/>
        </w:rPr>
        <w:t>–</w:t>
      </w:r>
      <w:r w:rsidRPr="00063CE2">
        <w:rPr>
          <w:noProof w:val="0"/>
          <w:color w:val="000000" w:themeColor="text1"/>
          <w:lang w:val="en-US"/>
        </w:rPr>
        <w:t>4 h until ready for dissection to minimize tissue dis</w:t>
      </w:r>
      <w:r w:rsidR="00ED39FF" w:rsidRPr="00063CE2">
        <w:rPr>
          <w:noProof w:val="0"/>
          <w:color w:val="000000" w:themeColor="text1"/>
          <w:lang w:val="en-US"/>
        </w:rPr>
        <w:t>rup</w:t>
      </w:r>
      <w:r w:rsidRPr="00063CE2">
        <w:rPr>
          <w:noProof w:val="0"/>
          <w:color w:val="000000" w:themeColor="text1"/>
          <w:lang w:val="en-US"/>
        </w:rPr>
        <w:t>tion and reduce the softness of tissue.</w:t>
      </w:r>
    </w:p>
    <w:p w14:paraId="4B70F967" w14:textId="77777777" w:rsidR="00AF5653" w:rsidRPr="00063CE2" w:rsidRDefault="00AF5653" w:rsidP="00AF5653">
      <w:pPr>
        <w:rPr>
          <w:rFonts w:cs="Baskerville"/>
          <w:noProof w:val="0"/>
          <w:color w:val="000000" w:themeColor="text1"/>
          <w:highlight w:val="yellow"/>
          <w:lang w:val="en-US"/>
        </w:rPr>
      </w:pPr>
    </w:p>
    <w:p w14:paraId="5BD6AEE4" w14:textId="27429C32" w:rsidR="002417B0" w:rsidRPr="00063CE2" w:rsidRDefault="00AF5653" w:rsidP="00AF5653">
      <w:pPr>
        <w:rPr>
          <w:rFonts w:cs="Baskerville"/>
          <w:noProof w:val="0"/>
          <w:color w:val="000000" w:themeColor="text1"/>
          <w:lang w:val="en-US"/>
        </w:rPr>
      </w:pPr>
      <w:r w:rsidRPr="00063CE2">
        <w:rPr>
          <w:rFonts w:cs="Baskerville"/>
          <w:noProof w:val="0"/>
          <w:color w:val="000000" w:themeColor="text1"/>
          <w:highlight w:val="yellow"/>
          <w:lang w:val="en-US"/>
        </w:rPr>
        <w:lastRenderedPageBreak/>
        <w:t>3.12. After the harvesting</w:t>
      </w:r>
      <w:r w:rsidR="00E716F4"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 xml:space="preserve"> </w:t>
      </w:r>
      <w:r w:rsidR="002417B0" w:rsidRPr="00063CE2">
        <w:rPr>
          <w:rFonts w:cs="Baskerville"/>
          <w:noProof w:val="0"/>
          <w:color w:val="000000" w:themeColor="text1"/>
          <w:highlight w:val="yellow"/>
          <w:lang w:val="en-US"/>
        </w:rPr>
        <w:t>pay</w:t>
      </w:r>
      <w:r w:rsidRPr="00063CE2">
        <w:rPr>
          <w:rFonts w:cs="Baskerville"/>
          <w:noProof w:val="0"/>
          <w:color w:val="000000" w:themeColor="text1"/>
          <w:highlight w:val="yellow"/>
          <w:lang w:val="en-US"/>
        </w:rPr>
        <w:t xml:space="preserve"> appropriate attention and care to the </w:t>
      </w:r>
      <w:r w:rsidR="00ED39FF" w:rsidRPr="00063CE2">
        <w:rPr>
          <w:rFonts w:cs="Baskerville"/>
          <w:noProof w:val="0"/>
          <w:color w:val="000000" w:themeColor="text1"/>
          <w:highlight w:val="yellow"/>
          <w:lang w:val="en-US"/>
        </w:rPr>
        <w:t>cadaver</w:t>
      </w:r>
      <w:r w:rsidRPr="00063CE2">
        <w:rPr>
          <w:rFonts w:cs="Baskerville"/>
          <w:noProof w:val="0"/>
          <w:color w:val="000000" w:themeColor="text1"/>
          <w:highlight w:val="yellow"/>
          <w:lang w:val="en-US"/>
        </w:rPr>
        <w:t>. Reattach the bone using a super adhesive glue, and stitch back the scalp using a surgical needle and non</w:t>
      </w:r>
      <w:r w:rsidR="00466126" w:rsidRPr="00063CE2">
        <w:rPr>
          <w:rFonts w:cs="Baskerville"/>
          <w:noProof w:val="0"/>
          <w:color w:val="000000" w:themeColor="text1"/>
          <w:highlight w:val="yellow"/>
          <w:lang w:val="en-US"/>
        </w:rPr>
        <w:t>-</w:t>
      </w:r>
      <w:r w:rsidRPr="00063CE2">
        <w:rPr>
          <w:rFonts w:cs="Baskerville"/>
          <w:noProof w:val="0"/>
          <w:color w:val="000000" w:themeColor="text1"/>
          <w:highlight w:val="yellow"/>
          <w:lang w:val="en-US"/>
        </w:rPr>
        <w:t>absorbable sutures.</w:t>
      </w:r>
    </w:p>
    <w:p w14:paraId="4E56C64E" w14:textId="77777777" w:rsidR="002417B0" w:rsidRPr="00063CE2" w:rsidRDefault="002417B0" w:rsidP="00AF5653">
      <w:pPr>
        <w:rPr>
          <w:rFonts w:cs="Baskerville"/>
          <w:noProof w:val="0"/>
          <w:color w:val="000000" w:themeColor="text1"/>
          <w:lang w:val="en-US"/>
        </w:rPr>
      </w:pPr>
    </w:p>
    <w:p w14:paraId="481CB2DE" w14:textId="39C44CC7" w:rsidR="00AF5653" w:rsidRPr="00063CE2" w:rsidRDefault="002417B0" w:rsidP="00AF5653">
      <w:pPr>
        <w:rPr>
          <w:noProof w:val="0"/>
          <w:color w:val="000000" w:themeColor="text1"/>
          <w:lang w:val="en-US"/>
        </w:rPr>
      </w:pPr>
      <w:r w:rsidRPr="00063CE2">
        <w:rPr>
          <w:rFonts w:cs="Baskerville"/>
          <w:noProof w:val="0"/>
          <w:color w:val="000000" w:themeColor="text1"/>
          <w:lang w:val="en-US"/>
        </w:rPr>
        <w:t xml:space="preserve">3.13. </w:t>
      </w:r>
      <w:r w:rsidR="00AF5653" w:rsidRPr="00063CE2">
        <w:rPr>
          <w:rFonts w:cs="Baskerville"/>
          <w:noProof w:val="0"/>
          <w:color w:val="000000" w:themeColor="text1"/>
          <w:lang w:val="en-US"/>
        </w:rPr>
        <w:t xml:space="preserve">Show respect and gratitude to the deceased person by treating the cadaver gently. Clean and shave the face, </w:t>
      </w:r>
      <w:r w:rsidR="00E716F4" w:rsidRPr="00063CE2">
        <w:rPr>
          <w:rFonts w:cs="Baskerville"/>
          <w:noProof w:val="0"/>
          <w:color w:val="000000" w:themeColor="text1"/>
          <w:lang w:val="en-US"/>
        </w:rPr>
        <w:t xml:space="preserve">and </w:t>
      </w:r>
      <w:r w:rsidR="00AF5653" w:rsidRPr="00063CE2">
        <w:rPr>
          <w:rFonts w:cs="Baskerville"/>
          <w:noProof w:val="0"/>
          <w:color w:val="000000" w:themeColor="text1"/>
          <w:lang w:val="en-US"/>
        </w:rPr>
        <w:t xml:space="preserve">wash and dry the hair, because the cadaver will be put in </w:t>
      </w:r>
      <w:r w:rsidRPr="00063CE2">
        <w:rPr>
          <w:rFonts w:cs="Baskerville"/>
          <w:noProof w:val="0"/>
          <w:color w:val="000000" w:themeColor="text1"/>
          <w:lang w:val="en-US"/>
        </w:rPr>
        <w:t xml:space="preserve">an </w:t>
      </w:r>
      <w:r w:rsidR="00AF5653" w:rsidRPr="00063CE2">
        <w:rPr>
          <w:rFonts w:cs="Baskerville"/>
          <w:noProof w:val="0"/>
          <w:color w:val="000000" w:themeColor="text1"/>
          <w:lang w:val="en-US"/>
        </w:rPr>
        <w:t>open coffin visible to loved ones.</w:t>
      </w:r>
    </w:p>
    <w:p w14:paraId="1006CF4F" w14:textId="77777777" w:rsidR="00AF5653" w:rsidRPr="00063CE2" w:rsidRDefault="00AF5653" w:rsidP="00AF5653">
      <w:pPr>
        <w:rPr>
          <w:noProof w:val="0"/>
          <w:color w:val="000000" w:themeColor="text1"/>
          <w:highlight w:val="yellow"/>
          <w:lang w:val="en-US"/>
        </w:rPr>
      </w:pPr>
    </w:p>
    <w:p w14:paraId="704BC950" w14:textId="0B9DFB04" w:rsidR="00AF5653" w:rsidRPr="00063CE2" w:rsidRDefault="00AF5653" w:rsidP="00AF5653">
      <w:pPr>
        <w:outlineLvl w:val="0"/>
        <w:rPr>
          <w:noProof w:val="0"/>
          <w:color w:val="000000" w:themeColor="text1"/>
          <w:lang w:val="en-US"/>
        </w:rPr>
      </w:pPr>
      <w:r w:rsidRPr="00063CE2">
        <w:rPr>
          <w:noProof w:val="0"/>
          <w:color w:val="000000" w:themeColor="text1"/>
          <w:lang w:val="en-US"/>
        </w:rPr>
        <w:t>NOTE</w:t>
      </w:r>
      <w:r w:rsidRPr="00063CE2">
        <w:rPr>
          <w:b/>
          <w:noProof w:val="0"/>
          <w:color w:val="000000" w:themeColor="text1"/>
          <w:lang w:val="en-US"/>
        </w:rPr>
        <w:t>:</w:t>
      </w:r>
      <w:r w:rsidRPr="00063CE2">
        <w:rPr>
          <w:noProof w:val="0"/>
          <w:color w:val="000000" w:themeColor="text1"/>
          <w:lang w:val="en-US"/>
        </w:rPr>
        <w:t xml:space="preserve"> </w:t>
      </w:r>
      <w:r w:rsidR="0032772D" w:rsidRPr="00063CE2">
        <w:rPr>
          <w:noProof w:val="0"/>
          <w:color w:val="000000" w:themeColor="text1"/>
          <w:lang w:val="en-US"/>
        </w:rPr>
        <w:t xml:space="preserve">Recomposition of the cadaver is done by a technician. </w:t>
      </w:r>
      <w:r w:rsidRPr="00063CE2">
        <w:rPr>
          <w:noProof w:val="0"/>
          <w:color w:val="000000" w:themeColor="text1"/>
          <w:lang w:val="en-US"/>
        </w:rPr>
        <w:t>The protocol can be paused here.</w:t>
      </w:r>
    </w:p>
    <w:p w14:paraId="2676E412" w14:textId="77777777" w:rsidR="00AF5653" w:rsidRPr="00063CE2" w:rsidRDefault="00AF5653" w:rsidP="00AF5653">
      <w:pPr>
        <w:rPr>
          <w:b/>
          <w:noProof w:val="0"/>
          <w:color w:val="000000" w:themeColor="text1"/>
          <w:lang w:val="en-US"/>
        </w:rPr>
      </w:pPr>
    </w:p>
    <w:p w14:paraId="3A18507E" w14:textId="77777777" w:rsidR="00AF5653" w:rsidRPr="00063CE2" w:rsidRDefault="00AF5653" w:rsidP="00AF5653">
      <w:pPr>
        <w:rPr>
          <w:noProof w:val="0"/>
          <w:color w:val="000000" w:themeColor="text1"/>
          <w:lang w:val="en-US"/>
        </w:rPr>
      </w:pPr>
      <w:r w:rsidRPr="00063CE2">
        <w:rPr>
          <w:b/>
          <w:caps/>
          <w:noProof w:val="0"/>
          <w:color w:val="000000" w:themeColor="text1"/>
          <w:highlight w:val="yellow"/>
          <w:lang w:val="en-US"/>
        </w:rPr>
        <w:t xml:space="preserve">4. </w:t>
      </w:r>
      <w:r w:rsidRPr="00063CE2">
        <w:rPr>
          <w:b/>
          <w:noProof w:val="0"/>
          <w:color w:val="000000" w:themeColor="text1"/>
          <w:highlight w:val="yellow"/>
          <w:lang w:val="en-US"/>
        </w:rPr>
        <w:t>ABB dissection protocol</w:t>
      </w:r>
      <w:r w:rsidRPr="00063CE2">
        <w:rPr>
          <w:b/>
          <w:noProof w:val="0"/>
          <w:color w:val="000000" w:themeColor="text1"/>
          <w:lang w:val="en-US"/>
        </w:rPr>
        <w:t xml:space="preserve"> </w:t>
      </w:r>
    </w:p>
    <w:p w14:paraId="51D4D654" w14:textId="77777777" w:rsidR="00AF5653" w:rsidRPr="00063CE2" w:rsidRDefault="00AF5653" w:rsidP="00AF5653">
      <w:pPr>
        <w:rPr>
          <w:b/>
          <w:caps/>
          <w:noProof w:val="0"/>
          <w:color w:val="000000" w:themeColor="text1"/>
          <w:lang w:val="en-US"/>
        </w:rPr>
      </w:pPr>
    </w:p>
    <w:p w14:paraId="6D2F2536" w14:textId="0979B9D3"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007C058F" w:rsidRPr="00063CE2">
        <w:rPr>
          <w:noProof w:val="0"/>
          <w:color w:val="000000" w:themeColor="text1"/>
          <w:lang w:val="en-US"/>
        </w:rPr>
        <w:t>The</w:t>
      </w:r>
      <w:r w:rsidR="00C5070D" w:rsidRPr="00063CE2">
        <w:rPr>
          <w:noProof w:val="0"/>
          <w:color w:val="000000" w:themeColor="text1"/>
          <w:lang w:val="en-US"/>
        </w:rPr>
        <w:t xml:space="preserve"> </w:t>
      </w:r>
      <w:r w:rsidR="007C058F" w:rsidRPr="00063CE2">
        <w:rPr>
          <w:noProof w:val="0"/>
          <w:color w:val="000000" w:themeColor="text1"/>
          <w:lang w:val="en-US"/>
        </w:rPr>
        <w:t xml:space="preserve">same </w:t>
      </w:r>
      <w:r w:rsidR="00C5070D" w:rsidRPr="00063CE2">
        <w:rPr>
          <w:noProof w:val="0"/>
          <w:color w:val="000000" w:themeColor="text1"/>
          <w:lang w:val="en-US"/>
        </w:rPr>
        <w:t xml:space="preserve">pathologist and/or neurologist </w:t>
      </w:r>
      <w:r w:rsidRPr="00063CE2">
        <w:rPr>
          <w:noProof w:val="0"/>
          <w:color w:val="000000" w:themeColor="text1"/>
          <w:lang w:val="en-US"/>
        </w:rPr>
        <w:t>slice</w:t>
      </w:r>
      <w:r w:rsidR="00141C0D" w:rsidRPr="00063CE2">
        <w:rPr>
          <w:noProof w:val="0"/>
          <w:color w:val="000000" w:themeColor="text1"/>
          <w:lang w:val="en-US"/>
        </w:rPr>
        <w:t xml:space="preserve"> the</w:t>
      </w:r>
      <w:r w:rsidRPr="00063CE2">
        <w:rPr>
          <w:noProof w:val="0"/>
          <w:color w:val="000000" w:themeColor="text1"/>
          <w:lang w:val="en-US"/>
        </w:rPr>
        <w:t xml:space="preserve"> </w:t>
      </w:r>
      <w:r w:rsidRPr="00063CE2">
        <w:rPr>
          <w:rFonts w:cs="Baskerville"/>
          <w:noProof w:val="0"/>
          <w:color w:val="000000" w:themeColor="text1"/>
          <w:lang w:val="en-US"/>
        </w:rPr>
        <w:t>brainstem, cerebellum and</w:t>
      </w:r>
      <w:r w:rsidRPr="00063CE2">
        <w:rPr>
          <w:noProof w:val="0"/>
          <w:color w:val="000000" w:themeColor="text1"/>
          <w:lang w:val="en-US"/>
        </w:rPr>
        <w:t xml:space="preserve"> </w:t>
      </w:r>
      <w:r w:rsidRPr="00063CE2">
        <w:rPr>
          <w:rFonts w:cs="Baskerville"/>
          <w:noProof w:val="0"/>
          <w:color w:val="000000" w:themeColor="text1"/>
          <w:lang w:val="en-US"/>
        </w:rPr>
        <w:t xml:space="preserve">cerebrum </w:t>
      </w:r>
      <w:r w:rsidRPr="00063CE2">
        <w:rPr>
          <w:noProof w:val="0"/>
          <w:color w:val="000000" w:themeColor="text1"/>
          <w:lang w:val="en-US"/>
        </w:rPr>
        <w:t xml:space="preserve">under a fume hood. A </w:t>
      </w:r>
      <w:r w:rsidR="00C5070D" w:rsidRPr="00063CE2">
        <w:rPr>
          <w:noProof w:val="0"/>
          <w:color w:val="000000" w:themeColor="text1"/>
          <w:lang w:val="en-US"/>
        </w:rPr>
        <w:t>neurobiologist</w:t>
      </w:r>
      <w:r w:rsidRPr="00063CE2">
        <w:rPr>
          <w:noProof w:val="0"/>
          <w:color w:val="000000" w:themeColor="text1"/>
          <w:lang w:val="en-US"/>
        </w:rPr>
        <w:t xml:space="preserve"> arranges the slices after sectioning. </w:t>
      </w:r>
      <w:r w:rsidRPr="00063CE2">
        <w:rPr>
          <w:rFonts w:cs="Baskerville"/>
          <w:noProof w:val="0"/>
          <w:color w:val="000000" w:themeColor="text1"/>
          <w:lang w:val="en-US"/>
        </w:rPr>
        <w:t xml:space="preserve">A </w:t>
      </w:r>
      <w:r w:rsidR="00C5070D" w:rsidRPr="00063CE2">
        <w:rPr>
          <w:rFonts w:cs="Baskerville"/>
          <w:noProof w:val="0"/>
          <w:color w:val="000000" w:themeColor="text1"/>
          <w:lang w:val="en-US"/>
        </w:rPr>
        <w:t>trainee</w:t>
      </w:r>
      <w:r w:rsidRPr="00063CE2">
        <w:rPr>
          <w:rFonts w:cs="Baskerville"/>
          <w:noProof w:val="0"/>
          <w:color w:val="000000" w:themeColor="text1"/>
          <w:lang w:val="en-US"/>
        </w:rPr>
        <w:t xml:space="preserve"> not handling brain sections documents the whole procedure with photos to be uploaded </w:t>
      </w:r>
      <w:r w:rsidR="002417B0" w:rsidRPr="00063CE2">
        <w:rPr>
          <w:rFonts w:cs="Baskerville"/>
          <w:noProof w:val="0"/>
          <w:color w:val="000000" w:themeColor="text1"/>
          <w:lang w:val="en-US"/>
        </w:rPr>
        <w:t>to</w:t>
      </w:r>
      <w:r w:rsidRPr="00063CE2">
        <w:rPr>
          <w:rFonts w:cs="Baskerville"/>
          <w:noProof w:val="0"/>
          <w:color w:val="000000" w:themeColor="text1"/>
          <w:lang w:val="en-US"/>
        </w:rPr>
        <w:t xml:space="preserve"> the database to serve as guide during the subsequent tissue processing phases. </w:t>
      </w:r>
    </w:p>
    <w:p w14:paraId="44B37A82" w14:textId="77777777" w:rsidR="00AF5653" w:rsidRPr="00063CE2" w:rsidRDefault="00AF5653" w:rsidP="00AF5653">
      <w:pPr>
        <w:rPr>
          <w:rFonts w:cs="Baskerville"/>
          <w:noProof w:val="0"/>
          <w:color w:val="000000" w:themeColor="text1"/>
          <w:highlight w:val="yellow"/>
          <w:lang w:val="en-US"/>
        </w:rPr>
      </w:pPr>
    </w:p>
    <w:p w14:paraId="346FAAAA" w14:textId="6447460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4.1</w:t>
      </w:r>
      <w:r w:rsidRPr="00063CE2">
        <w:rPr>
          <w:noProof w:val="0"/>
          <w:color w:val="000000" w:themeColor="text1"/>
          <w:highlight w:val="yellow"/>
          <w:lang w:val="en-US"/>
        </w:rPr>
        <w:t>.</w:t>
      </w:r>
      <w:r w:rsidRPr="00063CE2">
        <w:rPr>
          <w:b/>
          <w:noProof w:val="0"/>
          <w:color w:val="000000" w:themeColor="text1"/>
          <w:highlight w:val="yellow"/>
          <w:lang w:val="en-US"/>
        </w:rPr>
        <w:t xml:space="preserve"> </w:t>
      </w:r>
      <w:r w:rsidRPr="00063CE2">
        <w:rPr>
          <w:noProof w:val="0"/>
          <w:color w:val="000000" w:themeColor="text1"/>
          <w:highlight w:val="yellow"/>
          <w:lang w:val="en-US"/>
        </w:rPr>
        <w:t xml:space="preserve">Using a dissecting knife, cut the </w:t>
      </w:r>
      <w:r w:rsidRPr="00063CE2">
        <w:rPr>
          <w:b/>
          <w:noProof w:val="0"/>
          <w:color w:val="000000" w:themeColor="text1"/>
          <w:highlight w:val="yellow"/>
          <w:lang w:val="en-US"/>
        </w:rPr>
        <w:t>brainstem</w:t>
      </w:r>
      <w:r w:rsidRPr="00063CE2">
        <w:rPr>
          <w:noProof w:val="0"/>
          <w:color w:val="000000" w:themeColor="text1"/>
          <w:highlight w:val="yellow"/>
          <w:lang w:val="en-US"/>
        </w:rPr>
        <w:t xml:space="preserve"> axially and make the first cut at the level of rostral midbrain, through the superior colliculus, to obtain two slices exposing the </w:t>
      </w:r>
      <w:r w:rsidR="002417B0" w:rsidRPr="00063CE2">
        <w:rPr>
          <w:iCs/>
          <w:noProof w:val="0"/>
          <w:color w:val="000000" w:themeColor="text1"/>
          <w:highlight w:val="yellow"/>
          <w:lang w:val="en-US"/>
        </w:rPr>
        <w:t xml:space="preserve">substantia </w:t>
      </w:r>
      <w:proofErr w:type="spellStart"/>
      <w:r w:rsidR="002417B0" w:rsidRPr="00063CE2">
        <w:rPr>
          <w:iCs/>
          <w:noProof w:val="0"/>
          <w:color w:val="000000" w:themeColor="text1"/>
          <w:highlight w:val="yellow"/>
          <w:lang w:val="en-US"/>
        </w:rPr>
        <w:t>nigra</w:t>
      </w:r>
      <w:proofErr w:type="spellEnd"/>
      <w:r w:rsidR="002417B0" w:rsidRPr="00063CE2">
        <w:rPr>
          <w:noProof w:val="0"/>
          <w:color w:val="000000" w:themeColor="text1"/>
          <w:highlight w:val="yellow"/>
          <w:lang w:val="en-US"/>
        </w:rPr>
        <w:t xml:space="preserve"> </w:t>
      </w:r>
      <w:r w:rsidRPr="00063CE2">
        <w:rPr>
          <w:noProof w:val="0"/>
          <w:color w:val="000000" w:themeColor="text1"/>
          <w:highlight w:val="yellow"/>
          <w:lang w:val="en-US"/>
        </w:rPr>
        <w:t xml:space="preserve">(SN). </w:t>
      </w:r>
    </w:p>
    <w:p w14:paraId="3AF302A4" w14:textId="77777777" w:rsidR="00AF5653" w:rsidRPr="00063CE2" w:rsidRDefault="00AF5653" w:rsidP="00AF5653">
      <w:pPr>
        <w:rPr>
          <w:noProof w:val="0"/>
          <w:color w:val="000000" w:themeColor="text1"/>
          <w:highlight w:val="yellow"/>
          <w:lang w:val="en-US"/>
        </w:rPr>
      </w:pPr>
    </w:p>
    <w:p w14:paraId="17B920FA" w14:textId="5945BC2B"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4.2. Make the rest of the cuts to acquire 8 mm brainstem slices to obtain about 10 sections. Be careful to include cuts passing through the rostral pons near the superior margins of the fourth ventricle to observe the </w:t>
      </w:r>
      <w:r w:rsidR="00CB6477" w:rsidRPr="00063CE2">
        <w:rPr>
          <w:iCs/>
          <w:noProof w:val="0"/>
          <w:color w:val="000000" w:themeColor="text1"/>
          <w:highlight w:val="yellow"/>
          <w:lang w:val="en-US"/>
        </w:rPr>
        <w:t>l</w:t>
      </w:r>
      <w:r w:rsidRPr="00063CE2">
        <w:rPr>
          <w:iCs/>
          <w:noProof w:val="0"/>
          <w:color w:val="000000" w:themeColor="text1"/>
          <w:highlight w:val="yellow"/>
          <w:lang w:val="en-US"/>
        </w:rPr>
        <w:t xml:space="preserve">ocus </w:t>
      </w:r>
      <w:r w:rsidR="00CB6477" w:rsidRPr="00063CE2">
        <w:rPr>
          <w:iCs/>
          <w:noProof w:val="0"/>
          <w:color w:val="000000" w:themeColor="text1"/>
          <w:highlight w:val="yellow"/>
          <w:lang w:val="en-US"/>
        </w:rPr>
        <w:t>c</w:t>
      </w:r>
      <w:r w:rsidRPr="00063CE2">
        <w:rPr>
          <w:iCs/>
          <w:noProof w:val="0"/>
          <w:color w:val="000000" w:themeColor="text1"/>
          <w:highlight w:val="yellow"/>
          <w:lang w:val="en-US"/>
        </w:rPr>
        <w:t>oeruleus</w:t>
      </w:r>
      <w:r w:rsidRPr="00063CE2">
        <w:rPr>
          <w:noProof w:val="0"/>
          <w:color w:val="000000" w:themeColor="text1"/>
          <w:highlight w:val="yellow"/>
          <w:lang w:val="en-US"/>
        </w:rPr>
        <w:t xml:space="preserve"> (LC) and through the </w:t>
      </w:r>
      <w:r w:rsidRPr="00063CE2">
        <w:rPr>
          <w:iCs/>
          <w:noProof w:val="0"/>
          <w:color w:val="000000" w:themeColor="text1"/>
          <w:highlight w:val="yellow"/>
          <w:lang w:val="en-US"/>
        </w:rPr>
        <w:t>medulla oblongata</w:t>
      </w:r>
      <w:r w:rsidRPr="00063CE2">
        <w:rPr>
          <w:noProof w:val="0"/>
          <w:color w:val="000000" w:themeColor="text1"/>
          <w:highlight w:val="yellow"/>
          <w:lang w:val="en-US"/>
        </w:rPr>
        <w:t xml:space="preserve"> inferior to the </w:t>
      </w:r>
      <w:r w:rsidRPr="00063CE2">
        <w:rPr>
          <w:iCs/>
          <w:noProof w:val="0"/>
          <w:color w:val="000000" w:themeColor="text1"/>
          <w:highlight w:val="yellow"/>
          <w:lang w:val="en-US"/>
        </w:rPr>
        <w:t xml:space="preserve">acoustic striae just above the inferior apex of the fourth ventricle to have slices including the </w:t>
      </w:r>
      <w:r w:rsidR="00CB6477" w:rsidRPr="00063CE2">
        <w:rPr>
          <w:iCs/>
          <w:noProof w:val="0"/>
          <w:color w:val="000000" w:themeColor="text1"/>
          <w:highlight w:val="yellow"/>
          <w:lang w:val="en-US"/>
        </w:rPr>
        <w:t xml:space="preserve">dorsal motor nucleus of the </w:t>
      </w:r>
      <w:proofErr w:type="spellStart"/>
      <w:r w:rsidR="00CB6477" w:rsidRPr="00063CE2">
        <w:rPr>
          <w:iCs/>
          <w:noProof w:val="0"/>
          <w:color w:val="000000" w:themeColor="text1"/>
          <w:highlight w:val="yellow"/>
          <w:lang w:val="en-US"/>
        </w:rPr>
        <w:t>vagus</w:t>
      </w:r>
      <w:proofErr w:type="spellEnd"/>
      <w:r w:rsidR="00CB6477" w:rsidRPr="00063CE2">
        <w:rPr>
          <w:iCs/>
          <w:noProof w:val="0"/>
          <w:color w:val="000000" w:themeColor="text1"/>
          <w:highlight w:val="yellow"/>
          <w:lang w:val="en-US"/>
        </w:rPr>
        <w:t xml:space="preserve"> </w:t>
      </w:r>
      <w:r w:rsidRPr="00063CE2">
        <w:rPr>
          <w:iCs/>
          <w:noProof w:val="0"/>
          <w:color w:val="000000" w:themeColor="text1"/>
          <w:highlight w:val="yellow"/>
          <w:lang w:val="en-US"/>
        </w:rPr>
        <w:t>(DMNV).</w:t>
      </w:r>
      <w:r w:rsidRPr="00063CE2">
        <w:rPr>
          <w:noProof w:val="0"/>
          <w:color w:val="000000" w:themeColor="text1"/>
          <w:highlight w:val="yellow"/>
          <w:lang w:val="en-US"/>
        </w:rPr>
        <w:t xml:space="preserve"> </w:t>
      </w:r>
    </w:p>
    <w:p w14:paraId="3432D0AA" w14:textId="77777777" w:rsidR="00AF5653" w:rsidRPr="00063CE2" w:rsidRDefault="00AF5653" w:rsidP="00AF5653">
      <w:pPr>
        <w:rPr>
          <w:noProof w:val="0"/>
          <w:color w:val="000000" w:themeColor="text1"/>
          <w:highlight w:val="yellow"/>
          <w:lang w:val="en-US"/>
        </w:rPr>
      </w:pPr>
    </w:p>
    <w:p w14:paraId="1C7BEC4A" w14:textId="4E15F666"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4.3. Name all slices in a </w:t>
      </w:r>
      <w:proofErr w:type="spellStart"/>
      <w:r w:rsidRPr="00063CE2">
        <w:rPr>
          <w:noProof w:val="0"/>
          <w:color w:val="000000" w:themeColor="text1"/>
          <w:highlight w:val="yellow"/>
          <w:lang w:val="en-US"/>
        </w:rPr>
        <w:t>rostrocaudal</w:t>
      </w:r>
      <w:proofErr w:type="spellEnd"/>
      <w:r w:rsidRPr="00063CE2">
        <w:rPr>
          <w:noProof w:val="0"/>
          <w:color w:val="000000" w:themeColor="text1"/>
          <w:highlight w:val="yellow"/>
          <w:lang w:val="en-US"/>
        </w:rPr>
        <w:t xml:space="preserve"> sense as BS (brainstem) followed by Arabic numbers to identify the sections. After the last brainstem section, use the designation SC (spinal cord) followed by numbers 1</w:t>
      </w:r>
      <w:r w:rsidR="00CB6477" w:rsidRPr="00063CE2">
        <w:rPr>
          <w:noProof w:val="0"/>
          <w:color w:val="000000" w:themeColor="text1"/>
          <w:highlight w:val="yellow"/>
          <w:lang w:val="en-US"/>
        </w:rPr>
        <w:t>–</w:t>
      </w:r>
      <w:r w:rsidRPr="00063CE2">
        <w:rPr>
          <w:noProof w:val="0"/>
          <w:color w:val="000000" w:themeColor="text1"/>
          <w:highlight w:val="yellow"/>
          <w:lang w:val="en-US"/>
        </w:rPr>
        <w:t>n. About 2</w:t>
      </w:r>
      <w:r w:rsidR="00CB6477" w:rsidRPr="00063CE2">
        <w:rPr>
          <w:noProof w:val="0"/>
          <w:color w:val="000000" w:themeColor="text1"/>
          <w:highlight w:val="yellow"/>
          <w:lang w:val="en-US"/>
        </w:rPr>
        <w:t>–</w:t>
      </w:r>
      <w:r w:rsidRPr="00063CE2">
        <w:rPr>
          <w:noProof w:val="0"/>
          <w:color w:val="000000" w:themeColor="text1"/>
          <w:highlight w:val="yellow"/>
          <w:lang w:val="en-US"/>
        </w:rPr>
        <w:t xml:space="preserve">4 SC slices are obtained depending on the </w:t>
      </w:r>
      <w:r w:rsidR="00CB6477" w:rsidRPr="00063CE2">
        <w:rPr>
          <w:noProof w:val="0"/>
          <w:color w:val="000000" w:themeColor="text1"/>
          <w:highlight w:val="yellow"/>
          <w:lang w:val="en-US"/>
        </w:rPr>
        <w:t>number</w:t>
      </w:r>
      <w:r w:rsidRPr="00063CE2">
        <w:rPr>
          <w:noProof w:val="0"/>
          <w:color w:val="000000" w:themeColor="text1"/>
          <w:highlight w:val="yellow"/>
          <w:lang w:val="en-US"/>
        </w:rPr>
        <w:t xml:space="preserve"> of</w:t>
      </w:r>
      <w:r w:rsidR="001F16EC" w:rsidRPr="00063CE2">
        <w:rPr>
          <w:noProof w:val="0"/>
          <w:color w:val="000000" w:themeColor="text1"/>
          <w:highlight w:val="yellow"/>
          <w:lang w:val="en-US"/>
        </w:rPr>
        <w:t xml:space="preserve"> </w:t>
      </w:r>
      <w:r w:rsidRPr="00063CE2">
        <w:rPr>
          <w:noProof w:val="0"/>
          <w:color w:val="000000" w:themeColor="text1"/>
          <w:highlight w:val="yellow"/>
          <w:lang w:val="en-US"/>
        </w:rPr>
        <w:t>spinal metameres removed (</w:t>
      </w:r>
      <w:r w:rsidR="00CB6477" w:rsidRPr="00063CE2">
        <w:rPr>
          <w:b/>
          <w:bCs/>
          <w:noProof w:val="0"/>
          <w:color w:val="000000" w:themeColor="text1"/>
          <w:highlight w:val="yellow"/>
          <w:lang w:val="en-US"/>
        </w:rPr>
        <w:t>F</w:t>
      </w:r>
      <w:r w:rsidRPr="00063CE2">
        <w:rPr>
          <w:b/>
          <w:bCs/>
          <w:noProof w:val="0"/>
          <w:color w:val="000000" w:themeColor="text1"/>
          <w:highlight w:val="yellow"/>
          <w:lang w:val="en-US"/>
        </w:rPr>
        <w:t>ig</w:t>
      </w:r>
      <w:r w:rsidR="00CB6477" w:rsidRPr="00063CE2">
        <w:rPr>
          <w:b/>
          <w:bCs/>
          <w:noProof w:val="0"/>
          <w:color w:val="000000" w:themeColor="text1"/>
          <w:highlight w:val="yellow"/>
          <w:lang w:val="en-US"/>
        </w:rPr>
        <w:t>ure</w:t>
      </w:r>
      <w:r w:rsidRPr="00063CE2">
        <w:rPr>
          <w:b/>
          <w:bCs/>
          <w:noProof w:val="0"/>
          <w:color w:val="000000" w:themeColor="text1"/>
          <w:highlight w:val="yellow"/>
          <w:lang w:val="en-US"/>
        </w:rPr>
        <w:t xml:space="preserve"> 2H</w:t>
      </w:r>
      <w:r w:rsidR="00CB6477" w:rsidRPr="00063CE2">
        <w:rPr>
          <w:b/>
          <w:bCs/>
          <w:noProof w:val="0"/>
          <w:color w:val="000000" w:themeColor="text1"/>
          <w:highlight w:val="yellow"/>
          <w:lang w:val="en-US"/>
        </w:rPr>
        <w:t>–</w:t>
      </w:r>
      <w:r w:rsidRPr="00063CE2">
        <w:rPr>
          <w:b/>
          <w:bCs/>
          <w:noProof w:val="0"/>
          <w:color w:val="000000" w:themeColor="text1"/>
          <w:highlight w:val="yellow"/>
          <w:lang w:val="en-US"/>
        </w:rPr>
        <w:t>I</w:t>
      </w:r>
      <w:r w:rsidRPr="00063CE2">
        <w:rPr>
          <w:noProof w:val="0"/>
          <w:color w:val="000000" w:themeColor="text1"/>
          <w:highlight w:val="yellow"/>
          <w:lang w:val="en-US"/>
        </w:rPr>
        <w:t>).</w:t>
      </w:r>
    </w:p>
    <w:p w14:paraId="5924A740" w14:textId="77777777" w:rsidR="00AF5653" w:rsidRPr="00063CE2" w:rsidRDefault="00AF5653" w:rsidP="00AF5653">
      <w:pPr>
        <w:rPr>
          <w:noProof w:val="0"/>
          <w:color w:val="000000" w:themeColor="text1"/>
          <w:highlight w:val="yellow"/>
          <w:lang w:val="en-US"/>
        </w:rPr>
      </w:pPr>
    </w:p>
    <w:p w14:paraId="6E313051" w14:textId="3598F1F3"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4.4. Label all sections to be fixed or to be frozen alternately and take a picture for the photo archive (</w:t>
      </w:r>
      <w:r w:rsidR="00CB6477" w:rsidRPr="00063CE2">
        <w:rPr>
          <w:b/>
          <w:bCs/>
          <w:noProof w:val="0"/>
          <w:color w:val="000000" w:themeColor="text1"/>
          <w:highlight w:val="yellow"/>
          <w:lang w:val="en-US"/>
        </w:rPr>
        <w:t>F</w:t>
      </w:r>
      <w:r w:rsidRPr="00063CE2">
        <w:rPr>
          <w:b/>
          <w:bCs/>
          <w:noProof w:val="0"/>
          <w:color w:val="000000" w:themeColor="text1"/>
          <w:highlight w:val="yellow"/>
          <w:lang w:val="en-US"/>
        </w:rPr>
        <w:t>ig</w:t>
      </w:r>
      <w:r w:rsidR="00CB6477" w:rsidRPr="00063CE2">
        <w:rPr>
          <w:b/>
          <w:bCs/>
          <w:noProof w:val="0"/>
          <w:color w:val="000000" w:themeColor="text1"/>
          <w:highlight w:val="yellow"/>
          <w:lang w:val="en-US"/>
        </w:rPr>
        <w:t>ure</w:t>
      </w:r>
      <w:r w:rsidRPr="00063CE2">
        <w:rPr>
          <w:b/>
          <w:bCs/>
          <w:noProof w:val="0"/>
          <w:color w:val="000000" w:themeColor="text1"/>
          <w:highlight w:val="yellow"/>
          <w:lang w:val="en-US"/>
        </w:rPr>
        <w:t xml:space="preserve"> 2</w:t>
      </w:r>
      <w:r w:rsidRPr="00063CE2">
        <w:rPr>
          <w:noProof w:val="0"/>
          <w:color w:val="000000" w:themeColor="text1"/>
          <w:highlight w:val="yellow"/>
          <w:lang w:val="en-US"/>
        </w:rPr>
        <w:t xml:space="preserve">). Then, fix and freeze all slices as described below (steps </w:t>
      </w:r>
      <w:r w:rsidR="00CB6477" w:rsidRPr="00063CE2">
        <w:rPr>
          <w:noProof w:val="0"/>
          <w:color w:val="000000" w:themeColor="text1"/>
          <w:highlight w:val="yellow"/>
          <w:lang w:val="en-US"/>
        </w:rPr>
        <w:t>4.</w:t>
      </w:r>
      <w:r w:rsidRPr="00063CE2">
        <w:rPr>
          <w:noProof w:val="0"/>
          <w:color w:val="000000" w:themeColor="text1"/>
          <w:highlight w:val="yellow"/>
          <w:lang w:val="en-US"/>
        </w:rPr>
        <w:t xml:space="preserve">7 and </w:t>
      </w:r>
      <w:r w:rsidR="00CB6477" w:rsidRPr="00063CE2">
        <w:rPr>
          <w:noProof w:val="0"/>
          <w:color w:val="000000" w:themeColor="text1"/>
          <w:highlight w:val="yellow"/>
          <w:lang w:val="en-US"/>
        </w:rPr>
        <w:t>4.</w:t>
      </w:r>
      <w:r w:rsidRPr="00063CE2">
        <w:rPr>
          <w:noProof w:val="0"/>
          <w:color w:val="000000" w:themeColor="text1"/>
          <w:highlight w:val="yellow"/>
          <w:lang w:val="en-US"/>
        </w:rPr>
        <w:t>8)</w:t>
      </w:r>
      <w:r w:rsidR="00CB6477" w:rsidRPr="00063CE2">
        <w:rPr>
          <w:noProof w:val="0"/>
          <w:color w:val="000000" w:themeColor="text1"/>
          <w:highlight w:val="yellow"/>
          <w:lang w:val="en-US"/>
        </w:rPr>
        <w:t>.</w:t>
      </w:r>
    </w:p>
    <w:p w14:paraId="70178D1B" w14:textId="77777777" w:rsidR="00AF5653" w:rsidRPr="00063CE2" w:rsidRDefault="00AF5653" w:rsidP="00AF5653">
      <w:pPr>
        <w:rPr>
          <w:b/>
          <w:noProof w:val="0"/>
          <w:color w:val="000000" w:themeColor="text1"/>
          <w:highlight w:val="yellow"/>
          <w:lang w:val="en-US"/>
        </w:rPr>
      </w:pPr>
    </w:p>
    <w:p w14:paraId="528D4469" w14:textId="189E4200"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4.5. Cut the </w:t>
      </w:r>
      <w:r w:rsidRPr="00063CE2">
        <w:rPr>
          <w:b/>
          <w:noProof w:val="0"/>
          <w:color w:val="000000" w:themeColor="text1"/>
          <w:highlight w:val="yellow"/>
          <w:lang w:val="en-US"/>
        </w:rPr>
        <w:t>cerebellum</w:t>
      </w:r>
      <w:r w:rsidRPr="00063CE2">
        <w:rPr>
          <w:noProof w:val="0"/>
          <w:color w:val="000000" w:themeColor="text1"/>
          <w:highlight w:val="yellow"/>
          <w:lang w:val="en-US"/>
        </w:rPr>
        <w:t xml:space="preserve"> on the sagittal plane to separate the two cerebellar hemispheres at the level of the vermis. Perform sagittal section</w:t>
      </w:r>
      <w:r w:rsidR="00CB6477" w:rsidRPr="00063CE2">
        <w:rPr>
          <w:noProof w:val="0"/>
          <w:color w:val="000000" w:themeColor="text1"/>
          <w:highlight w:val="yellow"/>
          <w:lang w:val="en-US"/>
        </w:rPr>
        <w:t>ing</w:t>
      </w:r>
      <w:r w:rsidRPr="00063CE2">
        <w:rPr>
          <w:noProof w:val="0"/>
          <w:color w:val="000000" w:themeColor="text1"/>
          <w:highlight w:val="yellow"/>
          <w:lang w:val="en-US"/>
        </w:rPr>
        <w:t xml:space="preserve"> to </w:t>
      </w:r>
      <w:r w:rsidR="00086403" w:rsidRPr="00063CE2">
        <w:rPr>
          <w:noProof w:val="0"/>
          <w:color w:val="000000" w:themeColor="text1"/>
          <w:highlight w:val="yellow"/>
          <w:lang w:val="en-US"/>
        </w:rPr>
        <w:t>obtain</w:t>
      </w:r>
      <w:r w:rsidRPr="00063CE2">
        <w:rPr>
          <w:noProof w:val="0"/>
          <w:color w:val="000000" w:themeColor="text1"/>
          <w:highlight w:val="yellow"/>
          <w:lang w:val="en-US"/>
        </w:rPr>
        <w:t xml:space="preserve"> 5 slices from each hemisphere</w:t>
      </w:r>
      <w:r w:rsidRPr="00063CE2">
        <w:rPr>
          <w:noProof w:val="0"/>
          <w:color w:val="000000" w:themeColor="text1"/>
          <w:lang w:val="en-US"/>
        </w:rPr>
        <w:t xml:space="preserve"> (</w:t>
      </w:r>
      <w:r w:rsidR="00CB6477" w:rsidRPr="00063CE2">
        <w:rPr>
          <w:b/>
          <w:bCs/>
          <w:noProof w:val="0"/>
          <w:color w:val="000000" w:themeColor="text1"/>
          <w:lang w:val="en-US"/>
        </w:rPr>
        <w:t>Figure</w:t>
      </w:r>
      <w:r w:rsidRPr="00063CE2">
        <w:rPr>
          <w:noProof w:val="0"/>
          <w:color w:val="000000" w:themeColor="text1"/>
          <w:lang w:val="en-US"/>
        </w:rPr>
        <w:t xml:space="preserve"> </w:t>
      </w:r>
      <w:r w:rsidRPr="00063CE2">
        <w:rPr>
          <w:b/>
          <w:bCs/>
          <w:noProof w:val="0"/>
          <w:color w:val="000000" w:themeColor="text1"/>
          <w:lang w:val="en-US"/>
        </w:rPr>
        <w:t>2F</w:t>
      </w:r>
      <w:r w:rsidR="00CB6477" w:rsidRPr="00063CE2">
        <w:rPr>
          <w:b/>
          <w:bCs/>
          <w:noProof w:val="0"/>
          <w:color w:val="000000" w:themeColor="text1"/>
          <w:lang w:val="en-US"/>
        </w:rPr>
        <w:t>–</w:t>
      </w:r>
      <w:r w:rsidRPr="00063CE2">
        <w:rPr>
          <w:b/>
          <w:bCs/>
          <w:noProof w:val="0"/>
          <w:color w:val="000000" w:themeColor="text1"/>
          <w:lang w:val="en-US"/>
        </w:rPr>
        <w:t>G</w:t>
      </w:r>
      <w:r w:rsidRPr="00063CE2">
        <w:rPr>
          <w:noProof w:val="0"/>
          <w:color w:val="000000" w:themeColor="text1"/>
          <w:lang w:val="en-US"/>
        </w:rPr>
        <w:t>).</w:t>
      </w:r>
    </w:p>
    <w:p w14:paraId="108656E0" w14:textId="77777777" w:rsidR="00AF5653" w:rsidRPr="00063CE2" w:rsidRDefault="00AF5653" w:rsidP="00AF5653">
      <w:pPr>
        <w:rPr>
          <w:noProof w:val="0"/>
          <w:color w:val="000000" w:themeColor="text1"/>
          <w:highlight w:val="yellow"/>
          <w:lang w:val="en-US"/>
        </w:rPr>
      </w:pPr>
    </w:p>
    <w:p w14:paraId="0CBF83FA" w14:textId="1B4BFB0C"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4.6. Name all slices from vermis as CBR or CBL (for right and left cerebellum respectively) and use Arabic numbers to identify the sections. Label all sections to be fixed or frozen alternately and take a photo for the archive (</w:t>
      </w:r>
      <w:r w:rsidR="00CB6477" w:rsidRPr="00063CE2">
        <w:rPr>
          <w:b/>
          <w:bCs/>
          <w:noProof w:val="0"/>
          <w:color w:val="000000" w:themeColor="text1"/>
          <w:highlight w:val="yellow"/>
          <w:lang w:val="en-US"/>
        </w:rPr>
        <w:t>Figure</w:t>
      </w:r>
      <w:r w:rsidRPr="00063CE2">
        <w:rPr>
          <w:noProof w:val="0"/>
          <w:color w:val="000000" w:themeColor="text1"/>
          <w:highlight w:val="yellow"/>
          <w:lang w:val="en-US"/>
        </w:rPr>
        <w:t xml:space="preserve"> </w:t>
      </w:r>
      <w:r w:rsidRPr="00063CE2">
        <w:rPr>
          <w:b/>
          <w:bCs/>
          <w:noProof w:val="0"/>
          <w:color w:val="000000" w:themeColor="text1"/>
          <w:highlight w:val="yellow"/>
          <w:lang w:val="en-US"/>
        </w:rPr>
        <w:t>2</w:t>
      </w:r>
      <w:r w:rsidRPr="00063CE2">
        <w:rPr>
          <w:noProof w:val="0"/>
          <w:color w:val="000000" w:themeColor="text1"/>
          <w:highlight w:val="yellow"/>
          <w:lang w:val="en-US"/>
        </w:rPr>
        <w:t>). Then, fix and freeze all slices as described below.</w:t>
      </w:r>
    </w:p>
    <w:p w14:paraId="2A36D4EE" w14:textId="77777777" w:rsidR="00AF5653" w:rsidRPr="00063CE2" w:rsidRDefault="00AF5653" w:rsidP="00AF5653">
      <w:pPr>
        <w:rPr>
          <w:b/>
          <w:noProof w:val="0"/>
          <w:color w:val="000000" w:themeColor="text1"/>
          <w:highlight w:val="yellow"/>
          <w:lang w:val="en-US"/>
        </w:rPr>
      </w:pPr>
    </w:p>
    <w:p w14:paraId="14937067" w14:textId="7BDF358B"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4.7.</w:t>
      </w:r>
      <w:r w:rsidRPr="00063CE2">
        <w:rPr>
          <w:b/>
          <w:noProof w:val="0"/>
          <w:color w:val="000000" w:themeColor="text1"/>
          <w:highlight w:val="yellow"/>
          <w:lang w:val="en-US"/>
        </w:rPr>
        <w:t xml:space="preserve"> </w:t>
      </w:r>
      <w:r w:rsidRPr="00063CE2">
        <w:rPr>
          <w:noProof w:val="0"/>
          <w:color w:val="000000" w:themeColor="text1"/>
          <w:highlight w:val="yellow"/>
          <w:lang w:val="en-US"/>
        </w:rPr>
        <w:t xml:space="preserve">Separate the two hemispheres of the </w:t>
      </w:r>
      <w:r w:rsidRPr="00063CE2">
        <w:rPr>
          <w:b/>
          <w:noProof w:val="0"/>
          <w:color w:val="000000" w:themeColor="text1"/>
          <w:highlight w:val="yellow"/>
          <w:lang w:val="en-US"/>
        </w:rPr>
        <w:t>cerebrum</w:t>
      </w:r>
      <w:r w:rsidRPr="00063CE2">
        <w:rPr>
          <w:noProof w:val="0"/>
          <w:color w:val="000000" w:themeColor="text1"/>
          <w:highlight w:val="yellow"/>
          <w:lang w:val="en-US"/>
        </w:rPr>
        <w:t xml:space="preserve"> through the corpus callosum </w:t>
      </w:r>
      <w:r w:rsidR="003E47E9" w:rsidRPr="00063CE2">
        <w:rPr>
          <w:noProof w:val="0"/>
          <w:color w:val="000000" w:themeColor="text1"/>
          <w:highlight w:val="yellow"/>
          <w:lang w:val="en-US"/>
        </w:rPr>
        <w:t>(</w:t>
      </w:r>
      <w:r w:rsidR="003E47E9" w:rsidRPr="00063CE2">
        <w:rPr>
          <w:b/>
          <w:bCs/>
          <w:noProof w:val="0"/>
          <w:color w:val="000000" w:themeColor="text1"/>
          <w:highlight w:val="yellow"/>
          <w:lang w:val="en-US"/>
        </w:rPr>
        <w:t>Figure</w:t>
      </w:r>
      <w:r w:rsidR="003E47E9" w:rsidRPr="00063CE2">
        <w:rPr>
          <w:noProof w:val="0"/>
          <w:color w:val="000000" w:themeColor="text1"/>
          <w:highlight w:val="yellow"/>
          <w:lang w:val="en-US"/>
        </w:rPr>
        <w:t xml:space="preserve"> </w:t>
      </w:r>
      <w:r w:rsidR="003E47E9" w:rsidRPr="00063CE2">
        <w:rPr>
          <w:b/>
          <w:bCs/>
          <w:noProof w:val="0"/>
          <w:color w:val="000000" w:themeColor="text1"/>
          <w:highlight w:val="yellow"/>
          <w:lang w:val="en-US"/>
        </w:rPr>
        <w:t>2A–B</w:t>
      </w:r>
      <w:r w:rsidR="003E47E9" w:rsidRPr="00063CE2">
        <w:rPr>
          <w:noProof w:val="0"/>
          <w:color w:val="000000" w:themeColor="text1"/>
          <w:highlight w:val="yellow"/>
          <w:lang w:val="en-US"/>
        </w:rPr>
        <w:t xml:space="preserve">) </w:t>
      </w:r>
      <w:r w:rsidRPr="00063CE2">
        <w:rPr>
          <w:noProof w:val="0"/>
          <w:color w:val="000000" w:themeColor="text1"/>
          <w:highlight w:val="yellow"/>
          <w:lang w:val="en-US"/>
        </w:rPr>
        <w:t>and slice them singularly on the coronal plane</w:t>
      </w:r>
      <w:r w:rsidR="003E47E9" w:rsidRPr="00063CE2">
        <w:rPr>
          <w:noProof w:val="0"/>
          <w:color w:val="000000" w:themeColor="text1"/>
          <w:highlight w:val="yellow"/>
          <w:lang w:val="en-US"/>
        </w:rPr>
        <w:t>.</w:t>
      </w:r>
      <w:r w:rsidRPr="00063CE2">
        <w:rPr>
          <w:noProof w:val="0"/>
          <w:color w:val="000000" w:themeColor="text1"/>
          <w:highlight w:val="yellow"/>
          <w:lang w:val="en-US"/>
        </w:rPr>
        <w:t xml:space="preserve"> Make the first cut in a plane passing between the </w:t>
      </w:r>
      <w:r w:rsidRPr="00063CE2">
        <w:rPr>
          <w:noProof w:val="0"/>
          <w:color w:val="000000" w:themeColor="text1"/>
          <w:highlight w:val="yellow"/>
          <w:lang w:val="en-US"/>
        </w:rPr>
        <w:lastRenderedPageBreak/>
        <w:t xml:space="preserve">optic chiasm and the mammillary bodies, through frontal lobe, temporal pole, anterior cingulate, anterior commissure, nucleus of </w:t>
      </w:r>
      <w:proofErr w:type="spellStart"/>
      <w:r w:rsidRPr="00063CE2">
        <w:rPr>
          <w:noProof w:val="0"/>
          <w:color w:val="000000" w:themeColor="text1"/>
          <w:highlight w:val="yellow"/>
          <w:lang w:val="en-US"/>
        </w:rPr>
        <w:t>Meynert</w:t>
      </w:r>
      <w:proofErr w:type="spellEnd"/>
      <w:r w:rsidRPr="00063CE2">
        <w:rPr>
          <w:noProof w:val="0"/>
          <w:color w:val="000000" w:themeColor="text1"/>
          <w:highlight w:val="yellow"/>
          <w:lang w:val="en-US"/>
        </w:rPr>
        <w:t xml:space="preserve"> and basal ganglia. </w:t>
      </w:r>
    </w:p>
    <w:p w14:paraId="774BCCE5" w14:textId="77777777" w:rsidR="00AF5653" w:rsidRPr="00063CE2" w:rsidRDefault="00AF5653" w:rsidP="00AF5653">
      <w:pPr>
        <w:rPr>
          <w:noProof w:val="0"/>
          <w:color w:val="000000" w:themeColor="text1"/>
          <w:highlight w:val="yellow"/>
          <w:lang w:val="en-US"/>
        </w:rPr>
      </w:pPr>
    </w:p>
    <w:p w14:paraId="32007736" w14:textId="77777777"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4.8. Perform the second cut about 1 cm posteriorly passing through the mammillary bodies and exposing the basal ganglia, anterior thalamus, subthalamus and amygdala. Continue slicing to dissect the anterior and posterior regions to acquire 1 cm slices in order to obtain 15 to 20 sections for each hemisphere.</w:t>
      </w:r>
    </w:p>
    <w:p w14:paraId="56EA1C92" w14:textId="77777777" w:rsidR="00AF5653" w:rsidRPr="00063CE2" w:rsidRDefault="00AF5653" w:rsidP="00AF5653">
      <w:pPr>
        <w:rPr>
          <w:noProof w:val="0"/>
          <w:color w:val="000000" w:themeColor="text1"/>
          <w:highlight w:val="yellow"/>
          <w:lang w:val="en-US"/>
        </w:rPr>
      </w:pPr>
    </w:p>
    <w:p w14:paraId="6E56F197" w14:textId="77777777"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4.9. Set the slices on a flat surface. Lay them following their original position in the anteroposterior direction, from the frontal to the occipital pole, with the portion continuous with the previous slice facing upwards.</w:t>
      </w:r>
    </w:p>
    <w:p w14:paraId="187F24EB" w14:textId="77777777" w:rsidR="00AF5653" w:rsidRPr="00063CE2" w:rsidRDefault="00AF5653" w:rsidP="00AF5653">
      <w:pPr>
        <w:rPr>
          <w:noProof w:val="0"/>
          <w:color w:val="000000" w:themeColor="text1"/>
          <w:highlight w:val="yellow"/>
          <w:lang w:val="en-US"/>
        </w:rPr>
      </w:pPr>
    </w:p>
    <w:p w14:paraId="60B816F9" w14:textId="179A104A"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 xml:space="preserve">4.10. By comparing the sections from both hemispheres, select alternate sections from each hemisphere to be retained as fixed or frozen material. Recognize the main sections to be fixed and processed for histopathology including frontal and temporal lobes, cingulate, basal ganglia, </w:t>
      </w:r>
      <w:r w:rsidR="00CB0CC2" w:rsidRPr="00063CE2">
        <w:rPr>
          <w:noProof w:val="0"/>
          <w:color w:val="000000" w:themeColor="text1"/>
          <w:highlight w:val="yellow"/>
          <w:lang w:val="en-US"/>
        </w:rPr>
        <w:t xml:space="preserve">nucleus basalis of </w:t>
      </w:r>
      <w:proofErr w:type="spellStart"/>
      <w:r w:rsidRPr="00063CE2">
        <w:rPr>
          <w:noProof w:val="0"/>
          <w:color w:val="000000" w:themeColor="text1"/>
          <w:highlight w:val="yellow"/>
          <w:lang w:val="en-US"/>
        </w:rPr>
        <w:t>Meynert</w:t>
      </w:r>
      <w:proofErr w:type="spellEnd"/>
      <w:r w:rsidRPr="00063CE2">
        <w:rPr>
          <w:noProof w:val="0"/>
          <w:color w:val="000000" w:themeColor="text1"/>
          <w:highlight w:val="yellow"/>
          <w:lang w:val="en-US"/>
        </w:rPr>
        <w:t xml:space="preserve">, </w:t>
      </w:r>
      <w:r w:rsidR="00CB6477" w:rsidRPr="00063CE2">
        <w:rPr>
          <w:noProof w:val="0"/>
          <w:color w:val="000000" w:themeColor="text1"/>
          <w:highlight w:val="yellow"/>
          <w:lang w:val="en-US"/>
        </w:rPr>
        <w:t>a</w:t>
      </w:r>
      <w:r w:rsidRPr="00063CE2">
        <w:rPr>
          <w:noProof w:val="0"/>
          <w:color w:val="000000" w:themeColor="text1"/>
          <w:highlight w:val="yellow"/>
          <w:lang w:val="en-US"/>
        </w:rPr>
        <w:t xml:space="preserve">mygdala, thalamus, hippocampus and entorhinal cortex, </w:t>
      </w:r>
      <w:proofErr w:type="spellStart"/>
      <w:r w:rsidRPr="00063CE2">
        <w:rPr>
          <w:noProof w:val="0"/>
          <w:color w:val="000000" w:themeColor="text1"/>
          <w:highlight w:val="yellow"/>
          <w:lang w:val="en-US"/>
        </w:rPr>
        <w:t>occipito</w:t>
      </w:r>
      <w:proofErr w:type="spellEnd"/>
      <w:r w:rsidRPr="00063CE2">
        <w:rPr>
          <w:noProof w:val="0"/>
          <w:color w:val="000000" w:themeColor="text1"/>
          <w:highlight w:val="yellow"/>
          <w:lang w:val="en-US"/>
        </w:rPr>
        <w:t>-temporal gyrus, parietal and occipital lobes.</w:t>
      </w:r>
    </w:p>
    <w:p w14:paraId="115632DD" w14:textId="77777777" w:rsidR="00AF5653" w:rsidRPr="00063CE2" w:rsidRDefault="00AF5653" w:rsidP="00AF5653">
      <w:pPr>
        <w:rPr>
          <w:noProof w:val="0"/>
          <w:color w:val="000000" w:themeColor="text1"/>
          <w:highlight w:val="yellow"/>
          <w:lang w:val="en-US"/>
        </w:rPr>
      </w:pPr>
    </w:p>
    <w:p w14:paraId="32EA0B0C" w14:textId="22E50C1C" w:rsidR="00AF5653" w:rsidRPr="00063CE2" w:rsidRDefault="00AF5653" w:rsidP="00AF5653">
      <w:pPr>
        <w:rPr>
          <w:noProof w:val="0"/>
          <w:color w:val="000000" w:themeColor="text1"/>
          <w:lang w:val="en-US"/>
        </w:rPr>
      </w:pPr>
      <w:r w:rsidRPr="00063CE2">
        <w:rPr>
          <w:noProof w:val="0"/>
          <w:color w:val="000000" w:themeColor="text1"/>
          <w:highlight w:val="yellow"/>
          <w:lang w:val="en-US"/>
        </w:rPr>
        <w:t>4.11. Name all slices in anteroposterior sense as L (left) or R (right) followed by Arabic numbers and put a label indicating whether the slice is to be fixed or frozen (</w:t>
      </w:r>
      <w:r w:rsidR="00CB6477" w:rsidRPr="00063CE2">
        <w:rPr>
          <w:b/>
          <w:bCs/>
          <w:noProof w:val="0"/>
          <w:color w:val="000000" w:themeColor="text1"/>
          <w:highlight w:val="yellow"/>
          <w:lang w:val="en-US"/>
        </w:rPr>
        <w:t>Figure</w:t>
      </w:r>
      <w:r w:rsidRPr="00063CE2">
        <w:rPr>
          <w:noProof w:val="0"/>
          <w:color w:val="000000" w:themeColor="text1"/>
          <w:highlight w:val="yellow"/>
          <w:lang w:val="en-US"/>
        </w:rPr>
        <w:t xml:space="preserve"> </w:t>
      </w:r>
      <w:r w:rsidRPr="00063CE2">
        <w:rPr>
          <w:b/>
          <w:bCs/>
          <w:noProof w:val="0"/>
          <w:color w:val="000000" w:themeColor="text1"/>
          <w:highlight w:val="yellow"/>
          <w:lang w:val="en-US"/>
        </w:rPr>
        <w:t>2A</w:t>
      </w:r>
      <w:r w:rsidR="00CB6477" w:rsidRPr="00063CE2">
        <w:rPr>
          <w:b/>
          <w:bCs/>
          <w:noProof w:val="0"/>
          <w:color w:val="000000" w:themeColor="text1"/>
          <w:highlight w:val="yellow"/>
          <w:lang w:val="en-US"/>
        </w:rPr>
        <w:t>–</w:t>
      </w:r>
      <w:r w:rsidRPr="00063CE2">
        <w:rPr>
          <w:b/>
          <w:bCs/>
          <w:noProof w:val="0"/>
          <w:color w:val="000000" w:themeColor="text1"/>
          <w:highlight w:val="yellow"/>
          <w:lang w:val="en-US"/>
        </w:rPr>
        <w:t>D</w:t>
      </w:r>
      <w:r w:rsidRPr="00063CE2">
        <w:rPr>
          <w:noProof w:val="0"/>
          <w:color w:val="000000" w:themeColor="text1"/>
          <w:highlight w:val="yellow"/>
          <w:lang w:val="en-US"/>
        </w:rPr>
        <w:t xml:space="preserve">). To identify the sections, take a picture for the photo archive. Then, fix and freeze all slices as described </w:t>
      </w:r>
      <w:r w:rsidR="00CB0CC2" w:rsidRPr="00063CE2">
        <w:rPr>
          <w:noProof w:val="0"/>
          <w:color w:val="000000" w:themeColor="text1"/>
          <w:highlight w:val="yellow"/>
          <w:lang w:val="en-US"/>
        </w:rPr>
        <w:t>in section</w:t>
      </w:r>
      <w:r w:rsidR="004679DA" w:rsidRPr="00063CE2">
        <w:rPr>
          <w:noProof w:val="0"/>
          <w:color w:val="000000" w:themeColor="text1"/>
          <w:highlight w:val="yellow"/>
          <w:lang w:val="en-US"/>
        </w:rPr>
        <w:t>s</w:t>
      </w:r>
      <w:r w:rsidR="00CB0CC2" w:rsidRPr="00063CE2">
        <w:rPr>
          <w:noProof w:val="0"/>
          <w:color w:val="000000" w:themeColor="text1"/>
          <w:highlight w:val="yellow"/>
          <w:lang w:val="en-US"/>
        </w:rPr>
        <w:t xml:space="preserve"> 7</w:t>
      </w:r>
      <w:r w:rsidR="00F736EB" w:rsidRPr="00063CE2">
        <w:rPr>
          <w:noProof w:val="0"/>
          <w:color w:val="000000" w:themeColor="text1"/>
          <w:highlight w:val="yellow"/>
          <w:lang w:val="en-US"/>
        </w:rPr>
        <w:t xml:space="preserve"> and 8</w:t>
      </w:r>
      <w:r w:rsidR="00F35896" w:rsidRPr="00063CE2">
        <w:rPr>
          <w:noProof w:val="0"/>
          <w:color w:val="000000" w:themeColor="text1"/>
          <w:lang w:val="en-US"/>
        </w:rPr>
        <w:t>.</w:t>
      </w:r>
    </w:p>
    <w:p w14:paraId="57B69F21" w14:textId="77777777" w:rsidR="00AF5653" w:rsidRPr="00063CE2" w:rsidRDefault="00AF5653" w:rsidP="00AF5653">
      <w:pPr>
        <w:rPr>
          <w:b/>
          <w:noProof w:val="0"/>
          <w:color w:val="000000" w:themeColor="text1"/>
          <w:lang w:val="en-US"/>
        </w:rPr>
      </w:pPr>
    </w:p>
    <w:p w14:paraId="140391AD" w14:textId="77777777" w:rsidR="00AF5653" w:rsidRPr="00063CE2" w:rsidRDefault="00AF5653" w:rsidP="00AF5653">
      <w:pPr>
        <w:rPr>
          <w:noProof w:val="0"/>
          <w:color w:val="000000" w:themeColor="text1"/>
          <w:lang w:val="en-US"/>
        </w:rPr>
      </w:pPr>
      <w:r w:rsidRPr="00063CE2">
        <w:rPr>
          <w:b/>
          <w:noProof w:val="0"/>
          <w:color w:val="000000" w:themeColor="text1"/>
          <w:lang w:val="en-US"/>
        </w:rPr>
        <w:t>5. Brain and vessels inspection and macroscopic pathological assessment</w:t>
      </w:r>
      <w:r w:rsidRPr="00063CE2">
        <w:rPr>
          <w:noProof w:val="0"/>
          <w:color w:val="000000" w:themeColor="text1"/>
          <w:lang w:val="en-US"/>
        </w:rPr>
        <w:t xml:space="preserve"> </w:t>
      </w:r>
      <w:r w:rsidRPr="00063CE2">
        <w:rPr>
          <w:b/>
          <w:bCs/>
          <w:noProof w:val="0"/>
          <w:color w:val="000000" w:themeColor="text1"/>
          <w:lang w:val="en-US"/>
        </w:rPr>
        <w:t>(with the naked eye)</w:t>
      </w:r>
    </w:p>
    <w:p w14:paraId="67F867C5" w14:textId="77777777" w:rsidR="00AF5653" w:rsidRPr="00063CE2" w:rsidRDefault="00AF5653" w:rsidP="00AF5653">
      <w:pPr>
        <w:rPr>
          <w:noProof w:val="0"/>
          <w:color w:val="000000" w:themeColor="text1"/>
          <w:lang w:val="en-US"/>
        </w:rPr>
      </w:pPr>
    </w:p>
    <w:p w14:paraId="3FB1ED2C" w14:textId="4FAFBD3D" w:rsidR="00AF5653" w:rsidRPr="00063CE2" w:rsidRDefault="00AF5653" w:rsidP="00AF5653">
      <w:pPr>
        <w:rPr>
          <w:noProof w:val="0"/>
          <w:color w:val="000000" w:themeColor="text1"/>
          <w:lang w:val="en-US"/>
        </w:rPr>
      </w:pPr>
      <w:r w:rsidRPr="00063CE2">
        <w:rPr>
          <w:bCs/>
          <w:noProof w:val="0"/>
          <w:color w:val="000000" w:themeColor="text1"/>
          <w:lang w:val="en-US"/>
        </w:rPr>
        <w:t xml:space="preserve">5.1. Carry out a general macroscopic examination </w:t>
      </w:r>
      <w:r w:rsidRPr="00063CE2">
        <w:rPr>
          <w:noProof w:val="0"/>
          <w:color w:val="000000" w:themeColor="text1"/>
          <w:lang w:val="en-US"/>
        </w:rPr>
        <w:t>considering</w:t>
      </w:r>
      <w:r w:rsidRPr="00063CE2">
        <w:rPr>
          <w:bCs/>
          <w:noProof w:val="0"/>
          <w:color w:val="000000" w:themeColor="text1"/>
          <w:lang w:val="en-US"/>
        </w:rPr>
        <w:t xml:space="preserve"> </w:t>
      </w:r>
      <w:r w:rsidRPr="00063CE2">
        <w:rPr>
          <w:noProof w:val="0"/>
          <w:color w:val="000000" w:themeColor="text1"/>
          <w:lang w:val="en-US"/>
        </w:rPr>
        <w:t>meningeal alterations</w:t>
      </w:r>
      <w:r w:rsidRPr="00063CE2">
        <w:rPr>
          <w:bCs/>
          <w:noProof w:val="0"/>
          <w:color w:val="000000" w:themeColor="text1"/>
          <w:lang w:val="en-US"/>
        </w:rPr>
        <w:t>, d</w:t>
      </w:r>
      <w:r w:rsidRPr="00063CE2">
        <w:rPr>
          <w:noProof w:val="0"/>
          <w:color w:val="000000" w:themeColor="text1"/>
          <w:lang w:val="en-US"/>
        </w:rPr>
        <w:t>iffuse or localized cortical atrophy</w:t>
      </w:r>
      <w:r w:rsidRPr="00063CE2">
        <w:rPr>
          <w:bCs/>
          <w:noProof w:val="0"/>
          <w:color w:val="000000" w:themeColor="text1"/>
          <w:lang w:val="en-US"/>
        </w:rPr>
        <w:t xml:space="preserve">, </w:t>
      </w:r>
      <w:r w:rsidRPr="00063CE2">
        <w:rPr>
          <w:noProof w:val="0"/>
          <w:color w:val="000000" w:themeColor="text1"/>
          <w:lang w:val="en-US"/>
        </w:rPr>
        <w:t>hippocampal atrophy</w:t>
      </w:r>
      <w:r w:rsidRPr="00063CE2">
        <w:rPr>
          <w:bCs/>
          <w:noProof w:val="0"/>
          <w:color w:val="000000" w:themeColor="text1"/>
          <w:lang w:val="en-US"/>
        </w:rPr>
        <w:t>, v</w:t>
      </w:r>
      <w:r w:rsidRPr="00063CE2">
        <w:rPr>
          <w:noProof w:val="0"/>
          <w:color w:val="000000" w:themeColor="text1"/>
          <w:lang w:val="en-US"/>
        </w:rPr>
        <w:t>entricular enlargement</w:t>
      </w:r>
      <w:r w:rsidRPr="00063CE2">
        <w:rPr>
          <w:bCs/>
          <w:noProof w:val="0"/>
          <w:color w:val="000000" w:themeColor="text1"/>
          <w:lang w:val="en-US"/>
        </w:rPr>
        <w:t xml:space="preserve">, </w:t>
      </w:r>
      <w:r w:rsidRPr="00063CE2">
        <w:rPr>
          <w:noProof w:val="0"/>
          <w:color w:val="000000" w:themeColor="text1"/>
          <w:lang w:val="en-US"/>
        </w:rPr>
        <w:t>cerebellar atrophy</w:t>
      </w:r>
      <w:r w:rsidRPr="00063CE2">
        <w:rPr>
          <w:bCs/>
          <w:noProof w:val="0"/>
          <w:color w:val="000000" w:themeColor="text1"/>
          <w:lang w:val="en-US"/>
        </w:rPr>
        <w:t xml:space="preserve">, </w:t>
      </w:r>
      <w:r w:rsidRPr="00063CE2">
        <w:rPr>
          <w:noProof w:val="0"/>
          <w:color w:val="000000" w:themeColor="text1"/>
          <w:lang w:val="en-US"/>
        </w:rPr>
        <w:t>brainstem atrophy</w:t>
      </w:r>
      <w:r w:rsidRPr="00063CE2">
        <w:rPr>
          <w:bCs/>
          <w:noProof w:val="0"/>
          <w:color w:val="000000" w:themeColor="text1"/>
          <w:lang w:val="en-US"/>
        </w:rPr>
        <w:t xml:space="preserve">, </w:t>
      </w:r>
      <w:r w:rsidR="00CB6477" w:rsidRPr="00063CE2">
        <w:rPr>
          <w:bCs/>
          <w:noProof w:val="0"/>
          <w:color w:val="000000" w:themeColor="text1"/>
          <w:lang w:val="en-US"/>
        </w:rPr>
        <w:t>s</w:t>
      </w:r>
      <w:r w:rsidRPr="00063CE2">
        <w:rPr>
          <w:noProof w:val="0"/>
          <w:color w:val="000000" w:themeColor="text1"/>
          <w:lang w:val="en-US"/>
        </w:rPr>
        <w:t xml:space="preserve">ubstantia </w:t>
      </w:r>
      <w:proofErr w:type="spellStart"/>
      <w:r w:rsidRPr="00063CE2">
        <w:rPr>
          <w:noProof w:val="0"/>
          <w:color w:val="000000" w:themeColor="text1"/>
          <w:lang w:val="en-US"/>
        </w:rPr>
        <w:t>nigra</w:t>
      </w:r>
      <w:proofErr w:type="spellEnd"/>
      <w:r w:rsidRPr="00063CE2">
        <w:rPr>
          <w:noProof w:val="0"/>
          <w:color w:val="000000" w:themeColor="text1"/>
          <w:lang w:val="en-US"/>
        </w:rPr>
        <w:t xml:space="preserve"> pallor</w:t>
      </w:r>
      <w:r w:rsidRPr="00063CE2">
        <w:rPr>
          <w:bCs/>
          <w:noProof w:val="0"/>
          <w:color w:val="000000" w:themeColor="text1"/>
          <w:lang w:val="en-US"/>
        </w:rPr>
        <w:t xml:space="preserve">, </w:t>
      </w:r>
      <w:r w:rsidRPr="00063CE2">
        <w:rPr>
          <w:noProof w:val="0"/>
          <w:color w:val="000000" w:themeColor="text1"/>
          <w:lang w:val="en-US"/>
        </w:rPr>
        <w:t>white matter alterations</w:t>
      </w:r>
      <w:r w:rsidRPr="00063CE2">
        <w:rPr>
          <w:bCs/>
          <w:iCs/>
          <w:noProof w:val="0"/>
          <w:color w:val="000000" w:themeColor="text1"/>
          <w:lang w:val="en-US"/>
        </w:rPr>
        <w:t xml:space="preserve"> (specify type and location).</w:t>
      </w:r>
    </w:p>
    <w:p w14:paraId="27E48D73" w14:textId="77777777" w:rsidR="00AF5653" w:rsidRPr="00063CE2" w:rsidRDefault="00AF5653" w:rsidP="00AF5653">
      <w:pPr>
        <w:rPr>
          <w:bCs/>
          <w:iCs/>
          <w:noProof w:val="0"/>
          <w:color w:val="000000" w:themeColor="text1"/>
          <w:lang w:val="en-US"/>
        </w:rPr>
      </w:pPr>
    </w:p>
    <w:p w14:paraId="06132DCD" w14:textId="35AC4BD5" w:rsidR="00AF5653" w:rsidRPr="00063CE2" w:rsidRDefault="00AF5653" w:rsidP="00AF5653">
      <w:pPr>
        <w:rPr>
          <w:noProof w:val="0"/>
          <w:color w:val="000000" w:themeColor="text1"/>
          <w:lang w:val="en-US"/>
        </w:rPr>
      </w:pPr>
      <w:r w:rsidRPr="00063CE2">
        <w:rPr>
          <w:bCs/>
          <w:iCs/>
          <w:noProof w:val="0"/>
          <w:color w:val="000000" w:themeColor="text1"/>
          <w:lang w:val="en-US"/>
        </w:rPr>
        <w:t>5.2. E</w:t>
      </w:r>
      <w:r w:rsidRPr="00063CE2">
        <w:rPr>
          <w:noProof w:val="0"/>
          <w:color w:val="000000" w:themeColor="text1"/>
          <w:lang w:val="en-US"/>
        </w:rPr>
        <w:t xml:space="preserve">xamine the circle of Willis considering atherosclerosis and occlusion. Assign </w:t>
      </w:r>
      <w:r w:rsidR="00880353" w:rsidRPr="00063CE2">
        <w:rPr>
          <w:noProof w:val="0"/>
          <w:color w:val="000000" w:themeColor="text1"/>
          <w:lang w:val="en-US"/>
        </w:rPr>
        <w:t>s</w:t>
      </w:r>
      <w:r w:rsidRPr="00063CE2">
        <w:rPr>
          <w:noProof w:val="0"/>
          <w:color w:val="000000" w:themeColor="text1"/>
          <w:lang w:val="en-US"/>
        </w:rPr>
        <w:t>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1 in the presence of atheroma without stenosis of more than 50%, score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2 if at least one artery is 50% or more occluded, score</w:t>
      </w:r>
      <w:r w:rsidR="00CB6477" w:rsidRPr="00063CE2">
        <w:rPr>
          <w:noProof w:val="0"/>
          <w:color w:val="000000" w:themeColor="text1"/>
          <w:lang w:val="en-US"/>
        </w:rPr>
        <w:t xml:space="preserve"> </w:t>
      </w:r>
      <w:r w:rsidRPr="00063CE2">
        <w:rPr>
          <w:noProof w:val="0"/>
          <w:color w:val="000000" w:themeColor="text1"/>
          <w:lang w:val="en-US"/>
        </w:rPr>
        <w:t>=</w:t>
      </w:r>
      <w:r w:rsidR="00CB6477" w:rsidRPr="00063CE2">
        <w:rPr>
          <w:noProof w:val="0"/>
          <w:color w:val="000000" w:themeColor="text1"/>
          <w:lang w:val="en-US"/>
        </w:rPr>
        <w:t xml:space="preserve"> </w:t>
      </w:r>
      <w:r w:rsidRPr="00063CE2">
        <w:rPr>
          <w:noProof w:val="0"/>
          <w:color w:val="000000" w:themeColor="text1"/>
          <w:lang w:val="en-US"/>
        </w:rPr>
        <w:t>3 if two or more arteries are 50% or more occluded</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mendeley":{"formattedCitation":"&lt;sup&gt;42&lt;/sup&gt;","plainTextFormattedCitation":"42","previouslyFormattedCitation":"&lt;sup&gt;42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42</w:t>
      </w:r>
      <w:r w:rsidRPr="00063CE2">
        <w:rPr>
          <w:noProof w:val="0"/>
          <w:color w:val="000000" w:themeColor="text1"/>
          <w:lang w:val="en-US"/>
        </w:rPr>
        <w:fldChar w:fldCharType="end"/>
      </w:r>
      <w:r w:rsidRPr="00063CE2">
        <w:rPr>
          <w:noProof w:val="0"/>
          <w:color w:val="000000" w:themeColor="text1"/>
          <w:lang w:val="en-US"/>
        </w:rPr>
        <w:t>. Evaluate the presence or absence of pathology in other intracranial vessels.</w:t>
      </w:r>
    </w:p>
    <w:p w14:paraId="28D0CDB7" w14:textId="77777777" w:rsidR="00AF5653" w:rsidRPr="00063CE2" w:rsidRDefault="00AF5653" w:rsidP="00AF5653">
      <w:pPr>
        <w:rPr>
          <w:noProof w:val="0"/>
          <w:color w:val="000000" w:themeColor="text1"/>
          <w:lang w:val="en-US"/>
        </w:rPr>
      </w:pPr>
    </w:p>
    <w:p w14:paraId="6D70C0D1" w14:textId="2E2A8569" w:rsidR="00AF5653" w:rsidRPr="00063CE2" w:rsidRDefault="00AF5653" w:rsidP="00AF5653">
      <w:pPr>
        <w:rPr>
          <w:noProof w:val="0"/>
          <w:color w:val="000000" w:themeColor="text1"/>
          <w:lang w:val="en-US"/>
        </w:rPr>
      </w:pPr>
      <w:r w:rsidRPr="00063CE2">
        <w:rPr>
          <w:noProof w:val="0"/>
          <w:color w:val="000000" w:themeColor="text1"/>
          <w:lang w:val="en-US"/>
        </w:rPr>
        <w:t>5.3. To detect parenchymal vascular lesions</w:t>
      </w:r>
      <w:r w:rsidRPr="00063CE2">
        <w:rPr>
          <w:bCs/>
          <w:iCs/>
          <w:noProof w:val="0"/>
          <w:color w:val="000000" w:themeColor="text1"/>
          <w:lang w:val="en-US"/>
        </w:rPr>
        <w:t>, examine brain hemispheres, cerebellum and brainstem</w:t>
      </w:r>
      <w:r w:rsidRPr="00063CE2">
        <w:rPr>
          <w:noProof w:val="0"/>
          <w:color w:val="000000" w:themeColor="text1"/>
          <w:lang w:val="en-US"/>
        </w:rPr>
        <w:t>. Consider lacunar lesions (diameter &lt;</w:t>
      </w:r>
      <w:r w:rsidR="00CB6477" w:rsidRPr="00063CE2">
        <w:rPr>
          <w:noProof w:val="0"/>
          <w:color w:val="000000" w:themeColor="text1"/>
          <w:lang w:val="en-US"/>
        </w:rPr>
        <w:t xml:space="preserve"> </w:t>
      </w:r>
      <w:r w:rsidRPr="00063CE2">
        <w:rPr>
          <w:noProof w:val="0"/>
          <w:color w:val="000000" w:themeColor="text1"/>
          <w:lang w:val="en-US"/>
        </w:rPr>
        <w:t xml:space="preserve">10 mm), </w:t>
      </w:r>
      <w:r w:rsidRPr="00063CE2">
        <w:rPr>
          <w:bCs/>
          <w:iCs/>
          <w:noProof w:val="0"/>
          <w:color w:val="000000" w:themeColor="text1"/>
          <w:lang w:val="en-US"/>
        </w:rPr>
        <w:t>ischemic or hemorrhagic</w:t>
      </w:r>
      <w:r w:rsidRPr="00063CE2">
        <w:rPr>
          <w:noProof w:val="0"/>
          <w:color w:val="000000" w:themeColor="text1"/>
          <w:lang w:val="en-US"/>
        </w:rPr>
        <w:t xml:space="preserve"> infarcts and hemorrhage</w:t>
      </w:r>
      <w:r w:rsidRPr="00063CE2">
        <w:rPr>
          <w:bCs/>
          <w:iCs/>
          <w:noProof w:val="0"/>
          <w:color w:val="000000" w:themeColor="text1"/>
          <w:lang w:val="en-US"/>
        </w:rPr>
        <w:t xml:space="preserve"> (</w:t>
      </w:r>
      <w:r w:rsidRPr="00063CE2">
        <w:rPr>
          <w:noProof w:val="0"/>
          <w:color w:val="000000" w:themeColor="text1"/>
          <w:lang w:val="en-US"/>
        </w:rPr>
        <w:t>diameter &gt;</w:t>
      </w:r>
      <w:r w:rsidR="00CB6477" w:rsidRPr="00063CE2">
        <w:rPr>
          <w:noProof w:val="0"/>
          <w:color w:val="000000" w:themeColor="text1"/>
          <w:lang w:val="en-US"/>
        </w:rPr>
        <w:t xml:space="preserve"> </w:t>
      </w:r>
      <w:r w:rsidRPr="00063CE2">
        <w:rPr>
          <w:noProof w:val="0"/>
          <w:color w:val="000000" w:themeColor="text1"/>
          <w:lang w:val="en-US"/>
        </w:rPr>
        <w:t>10 mm</w:t>
      </w:r>
      <w:r w:rsidRPr="00063CE2">
        <w:rPr>
          <w:bCs/>
          <w:iCs/>
          <w:noProof w:val="0"/>
          <w:color w:val="000000" w:themeColor="text1"/>
          <w:lang w:val="en-US"/>
        </w:rPr>
        <w:t>)</w:t>
      </w:r>
      <w:r w:rsidRPr="00063CE2">
        <w:rPr>
          <w:noProof w:val="0"/>
          <w:color w:val="000000" w:themeColor="text1"/>
          <w:lang w:val="en-US"/>
        </w:rPr>
        <w:t>. I</w:t>
      </w:r>
      <w:r w:rsidRPr="00063CE2">
        <w:rPr>
          <w:bCs/>
          <w:iCs/>
          <w:noProof w:val="0"/>
          <w:color w:val="000000" w:themeColor="text1"/>
          <w:lang w:val="en-US"/>
        </w:rPr>
        <w:t>f present, specify size in m</w:t>
      </w:r>
      <w:r w:rsidR="00CB6477" w:rsidRPr="00063CE2">
        <w:rPr>
          <w:bCs/>
          <w:iCs/>
          <w:noProof w:val="0"/>
          <w:color w:val="000000" w:themeColor="text1"/>
          <w:lang w:val="en-US"/>
        </w:rPr>
        <w:t>illi</w:t>
      </w:r>
      <w:r w:rsidRPr="00063CE2">
        <w:rPr>
          <w:bCs/>
          <w:iCs/>
          <w:noProof w:val="0"/>
          <w:color w:val="000000" w:themeColor="text1"/>
          <w:lang w:val="en-US"/>
        </w:rPr>
        <w:t>m</w:t>
      </w:r>
      <w:r w:rsidR="00CB6477" w:rsidRPr="00063CE2">
        <w:rPr>
          <w:bCs/>
          <w:iCs/>
          <w:noProof w:val="0"/>
          <w:color w:val="000000" w:themeColor="text1"/>
          <w:lang w:val="en-US"/>
        </w:rPr>
        <w:t>eter</w:t>
      </w:r>
      <w:r w:rsidRPr="00063CE2">
        <w:rPr>
          <w:bCs/>
          <w:iCs/>
          <w:noProof w:val="0"/>
          <w:color w:val="000000" w:themeColor="text1"/>
          <w:lang w:val="en-US"/>
        </w:rPr>
        <w:t>, number and location</w:t>
      </w:r>
      <w:r w:rsidRPr="00063CE2">
        <w:rPr>
          <w:noProof w:val="0"/>
          <w:color w:val="000000" w:themeColor="text1"/>
          <w:lang w:val="en-US"/>
        </w:rPr>
        <w:t>. Also, consider the presence or absence of subarachnoid hemorrhage.</w:t>
      </w:r>
    </w:p>
    <w:p w14:paraId="19A1FBE1" w14:textId="77777777" w:rsidR="00AF5653" w:rsidRPr="00063CE2" w:rsidRDefault="00AF5653" w:rsidP="00AF5653">
      <w:pPr>
        <w:rPr>
          <w:noProof w:val="0"/>
          <w:color w:val="000000" w:themeColor="text1"/>
          <w:lang w:val="en-US"/>
        </w:rPr>
      </w:pPr>
    </w:p>
    <w:p w14:paraId="76489437" w14:textId="77777777" w:rsidR="00AF5653" w:rsidRPr="00063CE2" w:rsidRDefault="00AF5653" w:rsidP="00AF5653">
      <w:pPr>
        <w:rPr>
          <w:noProof w:val="0"/>
          <w:color w:val="000000" w:themeColor="text1"/>
          <w:lang w:val="en-US"/>
        </w:rPr>
      </w:pPr>
      <w:r w:rsidRPr="00063CE2">
        <w:rPr>
          <w:b/>
          <w:noProof w:val="0"/>
          <w:color w:val="000000" w:themeColor="text1"/>
          <w:lang w:val="en-US"/>
        </w:rPr>
        <w:t>6. Tissue quality control</w:t>
      </w:r>
    </w:p>
    <w:p w14:paraId="596B0BFF" w14:textId="77777777" w:rsidR="00AF5653" w:rsidRPr="00063CE2" w:rsidRDefault="00AF5653" w:rsidP="00AF5653">
      <w:pPr>
        <w:rPr>
          <w:noProof w:val="0"/>
          <w:color w:val="000000" w:themeColor="text1"/>
          <w:lang w:val="en-US"/>
        </w:rPr>
      </w:pPr>
    </w:p>
    <w:p w14:paraId="7AB825F3" w14:textId="61724EA5"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Pr="00063CE2">
        <w:rPr>
          <w:b/>
          <w:noProof w:val="0"/>
          <w:color w:val="000000" w:themeColor="text1"/>
          <w:lang w:val="en-US"/>
        </w:rPr>
        <w:t xml:space="preserve">Agonal </w:t>
      </w:r>
      <w:r w:rsidR="00CB6477" w:rsidRPr="00063CE2">
        <w:rPr>
          <w:b/>
          <w:noProof w:val="0"/>
          <w:color w:val="000000" w:themeColor="text1"/>
          <w:lang w:val="en-US"/>
        </w:rPr>
        <w:t xml:space="preserve">factor score </w:t>
      </w:r>
      <w:r w:rsidRPr="00063CE2">
        <w:rPr>
          <w:b/>
          <w:noProof w:val="0"/>
          <w:color w:val="000000" w:themeColor="text1"/>
          <w:lang w:val="en-US"/>
        </w:rPr>
        <w:t>(AFS)</w:t>
      </w:r>
      <w:r w:rsidRPr="00063CE2">
        <w:rPr>
          <w:noProof w:val="0"/>
          <w:color w:val="000000" w:themeColor="text1"/>
          <w:lang w:val="en-US"/>
        </w:rPr>
        <w:t xml:space="preserve"> ranges between 0 and 2 and is important in the evaluation of tissue quality. To determine AFS, consider clinical conditions occurring around the time of death (particularly conditio</w:t>
      </w:r>
      <w:r w:rsidR="007C7ADA" w:rsidRPr="00063CE2">
        <w:rPr>
          <w:noProof w:val="0"/>
          <w:color w:val="000000" w:themeColor="text1"/>
          <w:lang w:val="en-US"/>
        </w:rPr>
        <w:t>n</w:t>
      </w:r>
      <w:r w:rsidRPr="00063CE2">
        <w:rPr>
          <w:noProof w:val="0"/>
          <w:color w:val="000000" w:themeColor="text1"/>
          <w:lang w:val="en-US"/>
        </w:rPr>
        <w:t xml:space="preserve">s determining brain acidosis) and the duration of agonal state (sudden </w:t>
      </w:r>
      <w:r w:rsidRPr="00063CE2">
        <w:rPr>
          <w:noProof w:val="0"/>
          <w:color w:val="000000" w:themeColor="text1"/>
          <w:lang w:val="en-US"/>
        </w:rPr>
        <w:lastRenderedPageBreak/>
        <w:t>death or prolonged agony). If AFS</w:t>
      </w:r>
      <w:r w:rsidR="00CB6477" w:rsidRPr="00063CE2">
        <w:rPr>
          <w:noProof w:val="0"/>
          <w:color w:val="000000" w:themeColor="text1"/>
          <w:lang w:val="en-US"/>
        </w:rPr>
        <w:t xml:space="preserve"> </w:t>
      </w:r>
      <w:r w:rsidRPr="00063CE2">
        <w:rPr>
          <w:noProof w:val="0"/>
          <w:color w:val="000000" w:themeColor="text1"/>
          <w:lang w:val="en-US"/>
        </w:rPr>
        <w:t>&gt;</w:t>
      </w:r>
      <w:r w:rsidR="00CB6477" w:rsidRPr="00063CE2">
        <w:rPr>
          <w:noProof w:val="0"/>
          <w:color w:val="000000" w:themeColor="text1"/>
          <w:lang w:val="en-US"/>
        </w:rPr>
        <w:t xml:space="preserve"> </w:t>
      </w:r>
      <w:r w:rsidRPr="00063CE2">
        <w:rPr>
          <w:noProof w:val="0"/>
          <w:color w:val="000000" w:themeColor="text1"/>
          <w:lang w:val="en-US"/>
        </w:rPr>
        <w:t>1, the brain tissue might not be of optimal quality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mendeley":{"formattedCitation":"&lt;sup&gt;43&lt;/sup&gt;","plainTextFormattedCitation":"43","previouslyFormattedCitation":"&lt;sup&gt;43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43</w:t>
      </w:r>
      <w:r w:rsidRPr="00063CE2">
        <w:rPr>
          <w:noProof w:val="0"/>
          <w:color w:val="000000" w:themeColor="text1"/>
          <w:lang w:val="en-US"/>
        </w:rPr>
        <w:fldChar w:fldCharType="end"/>
      </w:r>
      <w:r w:rsidRPr="00063CE2">
        <w:rPr>
          <w:noProof w:val="0"/>
          <w:color w:val="000000" w:themeColor="text1"/>
          <w:lang w:val="en-US"/>
        </w:rPr>
        <w:t xml:space="preserve">. Also consider </w:t>
      </w:r>
      <w:r w:rsidR="00CB6477" w:rsidRPr="00063CE2">
        <w:rPr>
          <w:b/>
          <w:noProof w:val="0"/>
          <w:color w:val="000000" w:themeColor="text1"/>
          <w:lang w:val="en-US"/>
        </w:rPr>
        <w:t>b</w:t>
      </w:r>
      <w:r w:rsidRPr="00063CE2">
        <w:rPr>
          <w:b/>
          <w:noProof w:val="0"/>
          <w:color w:val="000000" w:themeColor="text1"/>
          <w:lang w:val="en-US"/>
        </w:rPr>
        <w:t>rain and CSF pH</w:t>
      </w:r>
      <w:r w:rsidRPr="00063CE2">
        <w:rPr>
          <w:noProof w:val="0"/>
          <w:color w:val="000000" w:themeColor="text1"/>
          <w:lang w:val="en-US"/>
        </w:rPr>
        <w:t xml:space="preserve">; </w:t>
      </w:r>
      <w:r w:rsidR="00CB6477" w:rsidRPr="00063CE2">
        <w:rPr>
          <w:noProof w:val="0"/>
          <w:color w:val="000000" w:themeColor="text1"/>
          <w:lang w:val="en-US"/>
        </w:rPr>
        <w:t>i</w:t>
      </w:r>
      <w:r w:rsidRPr="00063CE2">
        <w:rPr>
          <w:noProof w:val="0"/>
          <w:color w:val="000000" w:themeColor="text1"/>
          <w:lang w:val="en-US"/>
        </w:rPr>
        <w:t>f pH</w:t>
      </w:r>
      <w:r w:rsidR="00CB6477" w:rsidRPr="00063CE2">
        <w:rPr>
          <w:noProof w:val="0"/>
          <w:color w:val="000000" w:themeColor="text1"/>
          <w:lang w:val="en-US"/>
        </w:rPr>
        <w:t xml:space="preserve"> </w:t>
      </w:r>
      <w:r w:rsidRPr="00063CE2">
        <w:rPr>
          <w:noProof w:val="0"/>
          <w:color w:val="000000" w:themeColor="text1"/>
          <w:lang w:val="en-US"/>
        </w:rPr>
        <w:t>&lt;</w:t>
      </w:r>
      <w:r w:rsidR="00CB6477" w:rsidRPr="00063CE2">
        <w:rPr>
          <w:noProof w:val="0"/>
          <w:color w:val="000000" w:themeColor="text1"/>
          <w:lang w:val="en-US"/>
        </w:rPr>
        <w:t xml:space="preserve"> </w:t>
      </w:r>
      <w:r w:rsidRPr="00063CE2">
        <w:rPr>
          <w:noProof w:val="0"/>
          <w:color w:val="000000" w:themeColor="text1"/>
          <w:lang w:val="en-US"/>
        </w:rPr>
        <w:t>6, the brain tissue might not be of optimal quality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{"citationItems":[{"id":"ITEM-1","itemData":{"ISSN":"0006-3223","PMID":"14960286","abstract":"There are major concerns that specific agonal conditions, including coma and hypoxia, might affect ribonucleic acid (RNA) integrity in postmortem brain studies. We report that agonal factors significantly affect RNA integrity and have a major impact on gene expression profiles in microarrays. In contrast to agonal factors, gender, age, and postmortem factors have less effect on gene expression profiles. The Average Correlation Index is proposed as a method for evaluating RNA integrity on the basis of similarity of microarray profiles. Reducing the variance due to agonal factors is critical in investigating small but validated gene expression differences in messenger RNA levels between psychiatric patients and control subjects.","author":[{"dropping-particle":"","family":"Tomita","given":"Hiroaki","non-dropping-particle":"","parse-names":false,"suffix":""},{"dropping-particle":"","family":"Vawter","given":"Marquis P","non-dropping-particle":"","parse-names":false,"suffix":""},{"dropping-particle":"","family":"Walsh","given":"David M","non-dropping-particle":"","parse-names":false,"suffix":""},{"dropping-particle":"","family":"Evans","given":"Simon J","non-dropping-particle":"","parse-names":false,"suffix":""},{"dropping-particle":"V","family":"Choudary","given":"Prabhakara","non-dropping-particle":"","parse-names":false,"suffix":""},{"dropping-particle":"","family":"Li","given":"Jun","non-dropping-particle":"","parse-names":false,"suffix":""},{"dropping-particle":"","family":"Overman","given":"Kevin M","non-dropping-particle":"","parse-names":false,"suffix":""},{"dropping-particle":"","family":"Atz","given":"Mary E","non-dropping-particle":"","parse-names":false,"suffix":""},{"dropping-particle":"","family":"Myers","given":"Richard M","non-dropping-particle":"","parse-names":false,"suffix":""},{"dropping-particle":"","family":"Jones","given":"Edward G","non-dropping-particle":"","parse-names":false,"suffix":""},{"dropping-particle":"","family":"Watson","given":"Stanley J","non-dropping-particle":"","parse-names":false,"suffix":""},{"dropping-particle":"","family":"Akil","given":"Huda","non-dropping-particle":"","parse-names":false,"suffix":""},{"dropping-particle":"","family":"Bunney","given":"William E","non-dropping-particle":"","parse-names":false,"suffix":""}],"container-title":"Biological psychiatry","id":"ITEM-1","issue":"4","issued":{"date-parts":[["2004","2","15"]]},"page":"346-52","title":"Effect of agonal and postmortem factors on gene expression profile: quality control in microarray analyses of postmortem human brain.","type":"article-journal","volume":"55"},"uris":["http://www.mendeley.com/documents/?uuid=41028731-e8be-37f5-821f-f1efddf670aa"]},{"id":"ITEM-2","itemData":{"ISSN":"0006-8993","PMID":"17045977","abstract":"Postmortem human brain tissue is used for the study of many different brain diseases. A key factor in conducting postmortem research is the quality of the tissue. Unlike animal tissue, whose condition at death can be controlled and influenced, human tissue can only be collected naturalistically. This introduces potential confounds, based both on pre- and postmortem conditions, that may influence the quality of tissue and its ability to yield accurate results. The traditionally recognized confounds that reduce tissue quality are agonal factors (e.g., coma, hypoxia, hyperpyrexia at the time of death), and long postmortem interval (PMI). We measured tissue quality parameters in over 100 postmortem cases collected from different sources and correlated them with RNA quality (as indicated by the RNA Integrity Number (RIN)) and with protein quality (as measured by the level of representative proteins). Our results show that the most sensible indicator of tissue quality is RIN and that there is a good correlation between RIN and the pH. No correlation developed between protein levels and the aforementioned factors. Moreover, even when RNA was degraded, the protein levels remained stable. However, these correlations did not prove true under all circumstances (e.g., thawed tissue, surgical tissue), that yielded unexpected quality indicators. These data also suggest that cases whose source was a Medical Examiner's office represent high tissue quality.","author":[{"dropping-particle":"","family":"Stan","given":"Ana D","non-dropping-particle":"","parse-names":false,"suffix":""},{"dropping-particle":"","family":"Ghose","given":"Subroto","non-dropping-particle":"","parse-names":false,"suffix":""},{"dropping-particle":"","family":"Gao","given":"Xue-Min","non-dropping-particle":"","parse-names":false,"suffix":""},{"dropping-particle":"","family":"Roberts","given":"Rosalinda C","non-dropping-particle":"","parse-names":false,"suffix":""},{"dropping-particle":"","family":"Lewis-Amezcua","given":"Kelly","non-dropping-particle":"","parse-names":false,"suffix":""},{"dropping-particle":"","family":"Hatanpaa","given":"Kimmo J","non-dropping-particle":"","parse-names":false,"suffix":""},{"dropping-particle":"","family":"Tamminga","given":"Carol A","non-dropping-particle":"","parse-names":false,"suffix":""}],"container-title":"Brain research","id":"ITEM-2","issue":"1","issued":{"date-parts":[["2006","12","6"]]},"page":"1-11","title":"Human postmortem tissue: what quality markers matter?","type":"article-journal","volume":"1123"},"uris":["http://www.mendeley.com/documents/?uuid=a388ae53-4b43-360c-8583-8a61752f6a98"]}],"mendeley":{"formattedCitation":"&lt;sup&gt;43, 44&lt;/sup&gt;","plainTextFormattedCitation":"43, 44","previouslyFormattedCitation":"&lt;sup&gt;43, 44&lt;/sup&gt;"},"properties":{"noteIndex":0},"schema":"https://github.com/citation-style-language/schema/raw/master/csl-citation.json"}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43, 44</w:t>
      </w:r>
      <w:r w:rsidRPr="00063CE2">
        <w:rPr>
          <w:noProof w:val="0"/>
          <w:color w:val="000000" w:themeColor="text1"/>
          <w:lang w:val="en-US"/>
        </w:rPr>
        <w:fldChar w:fldCharType="end"/>
      </w:r>
      <w:r w:rsidRPr="00063CE2">
        <w:rPr>
          <w:noProof w:val="0"/>
          <w:color w:val="000000" w:themeColor="text1"/>
          <w:lang w:val="en-US"/>
        </w:rPr>
        <w:t>.</w:t>
      </w:r>
    </w:p>
    <w:p w14:paraId="0594E633" w14:textId="77777777" w:rsidR="00AF5653" w:rsidRPr="00063CE2" w:rsidRDefault="00AF5653" w:rsidP="00AF5653">
      <w:pPr>
        <w:rPr>
          <w:noProof w:val="0"/>
          <w:color w:val="000000" w:themeColor="text1"/>
          <w:lang w:val="en-US"/>
        </w:rPr>
      </w:pPr>
    </w:p>
    <w:p w14:paraId="3C4FDD03" w14:textId="77777777" w:rsidR="00AF5653" w:rsidRPr="00063CE2" w:rsidRDefault="00AF5653" w:rsidP="00AF5653">
      <w:pPr>
        <w:rPr>
          <w:noProof w:val="0"/>
          <w:color w:val="000000" w:themeColor="text1"/>
          <w:lang w:val="en-US"/>
        </w:rPr>
      </w:pPr>
      <w:r w:rsidRPr="00063CE2">
        <w:rPr>
          <w:noProof w:val="0"/>
          <w:color w:val="000000" w:themeColor="text1"/>
          <w:lang w:val="en-US"/>
        </w:rPr>
        <w:t>6.1. Verify if death has been caused by conditions that can damage brain tissue including hypoxia, protracted acidosis, mechanical ventilation, multi-organ failure, high fever, severe cranial trauma, ingestion of neurotoxic substances, severe dehydration, severe hypoglycemia, epileptic state and prolonged coma. If one of these conditions is present, assign 1 point.</w:t>
      </w:r>
    </w:p>
    <w:p w14:paraId="5EDE958D" w14:textId="77777777" w:rsidR="00AF5653" w:rsidRPr="00063CE2" w:rsidRDefault="00AF5653" w:rsidP="00AF5653">
      <w:pPr>
        <w:rPr>
          <w:noProof w:val="0"/>
          <w:color w:val="000000" w:themeColor="text1"/>
          <w:lang w:val="en-US"/>
        </w:rPr>
      </w:pPr>
    </w:p>
    <w:p w14:paraId="1C1C3DC8" w14:textId="268178E1" w:rsidR="00AF5653" w:rsidRPr="00063CE2" w:rsidRDefault="00AF5653" w:rsidP="00AF5653">
      <w:pPr>
        <w:rPr>
          <w:noProof w:val="0"/>
          <w:color w:val="000000" w:themeColor="text1"/>
          <w:lang w:val="en-US"/>
        </w:rPr>
      </w:pPr>
      <w:r w:rsidRPr="00063CE2">
        <w:rPr>
          <w:noProof w:val="0"/>
          <w:color w:val="000000" w:themeColor="text1"/>
          <w:lang w:val="en-US"/>
        </w:rPr>
        <w:t>6.2. Verify the duration of agon</w:t>
      </w:r>
      <w:r w:rsidR="0070383E" w:rsidRPr="00063CE2">
        <w:rPr>
          <w:noProof w:val="0"/>
          <w:color w:val="000000" w:themeColor="text1"/>
          <w:lang w:val="en-US"/>
        </w:rPr>
        <w:t>al</w:t>
      </w:r>
      <w:r w:rsidRPr="00063CE2">
        <w:rPr>
          <w:noProof w:val="0"/>
          <w:color w:val="000000" w:themeColor="text1"/>
          <w:lang w:val="en-US"/>
        </w:rPr>
        <w:t xml:space="preserve"> state (</w:t>
      </w:r>
      <w:r w:rsidRPr="00063CE2">
        <w:rPr>
          <w:b/>
          <w:bCs/>
          <w:iCs/>
          <w:noProof w:val="0"/>
          <w:color w:val="000000" w:themeColor="text1"/>
          <w:lang w:val="en-US"/>
        </w:rPr>
        <w:t>rapid</w:t>
      </w:r>
      <w:r w:rsidRPr="00063CE2">
        <w:rPr>
          <w:noProof w:val="0"/>
          <w:color w:val="000000" w:themeColor="text1"/>
          <w:lang w:val="en-US"/>
        </w:rPr>
        <w:t xml:space="preserve"> if death occurs within 1 h, </w:t>
      </w:r>
      <w:r w:rsidRPr="00063CE2">
        <w:rPr>
          <w:b/>
          <w:bCs/>
          <w:iCs/>
          <w:noProof w:val="0"/>
          <w:color w:val="000000" w:themeColor="text1"/>
          <w:lang w:val="en-US"/>
        </w:rPr>
        <w:t xml:space="preserve">intermediate </w:t>
      </w:r>
      <w:r w:rsidRPr="00063CE2">
        <w:rPr>
          <w:noProof w:val="0"/>
          <w:color w:val="000000" w:themeColor="text1"/>
          <w:lang w:val="en-US"/>
        </w:rPr>
        <w:t xml:space="preserve">if death occurs between 1 and 24 h, </w:t>
      </w:r>
      <w:r w:rsidRPr="00063CE2">
        <w:rPr>
          <w:b/>
          <w:bCs/>
          <w:iCs/>
          <w:noProof w:val="0"/>
          <w:color w:val="000000" w:themeColor="text1"/>
          <w:lang w:val="en-US"/>
        </w:rPr>
        <w:t xml:space="preserve">slow </w:t>
      </w:r>
      <w:r w:rsidRPr="00063CE2">
        <w:rPr>
          <w:noProof w:val="0"/>
          <w:color w:val="000000" w:themeColor="text1"/>
          <w:lang w:val="en-US"/>
        </w:rPr>
        <w:t>if the agonal state lasts more than 1 day). If an intermediate or a slow death happens, assign 1 point.</w:t>
      </w:r>
    </w:p>
    <w:p w14:paraId="027AE94B" w14:textId="77777777" w:rsidR="00AF5653" w:rsidRPr="00063CE2" w:rsidRDefault="00AF5653" w:rsidP="00AF5653">
      <w:pPr>
        <w:rPr>
          <w:noProof w:val="0"/>
          <w:color w:val="000000" w:themeColor="text1"/>
          <w:lang w:val="en-US"/>
        </w:rPr>
      </w:pPr>
    </w:p>
    <w:p w14:paraId="4054883C" w14:textId="1B7ECABC" w:rsidR="00AF5653" w:rsidRPr="00063CE2" w:rsidRDefault="00AF5653" w:rsidP="00AF5653">
      <w:pPr>
        <w:rPr>
          <w:noProof w:val="0"/>
          <w:color w:val="000000" w:themeColor="text1"/>
          <w:lang w:val="en-US"/>
        </w:rPr>
      </w:pPr>
      <w:r w:rsidRPr="00063CE2">
        <w:rPr>
          <w:noProof w:val="0"/>
          <w:color w:val="000000" w:themeColor="text1"/>
          <w:lang w:val="en-US"/>
        </w:rPr>
        <w:t>6.3. Calculate AFS score</w:t>
      </w:r>
      <w:r w:rsidR="0032772D" w:rsidRPr="00063CE2">
        <w:rPr>
          <w:noProof w:val="0"/>
          <w:color w:val="000000" w:themeColor="text1"/>
          <w:lang w:val="en-US"/>
        </w:rPr>
        <w:t>,</w:t>
      </w:r>
      <w:r w:rsidRPr="00063CE2">
        <w:rPr>
          <w:noProof w:val="0"/>
          <w:color w:val="000000" w:themeColor="text1"/>
          <w:lang w:val="en-US"/>
        </w:rPr>
        <w:t xml:space="preserve"> and measure </w:t>
      </w:r>
      <w:r w:rsidR="0032772D" w:rsidRPr="00063CE2">
        <w:rPr>
          <w:noProof w:val="0"/>
          <w:color w:val="000000" w:themeColor="text1"/>
          <w:lang w:val="en-US"/>
        </w:rPr>
        <w:t xml:space="preserve">CSF pH by an electrode pH needle and </w:t>
      </w:r>
      <w:r w:rsidRPr="00063CE2">
        <w:rPr>
          <w:noProof w:val="0"/>
          <w:color w:val="000000" w:themeColor="text1"/>
          <w:lang w:val="en-US"/>
        </w:rPr>
        <w:t xml:space="preserve">tissue pH </w:t>
      </w:r>
      <w:r w:rsidR="0032772D" w:rsidRPr="00063CE2">
        <w:rPr>
          <w:noProof w:val="0"/>
          <w:color w:val="000000" w:themeColor="text1"/>
          <w:lang w:val="en-US"/>
        </w:rPr>
        <w:t>by</w:t>
      </w:r>
      <w:r w:rsidRPr="00063CE2">
        <w:rPr>
          <w:noProof w:val="0"/>
          <w:color w:val="000000" w:themeColor="text1"/>
          <w:lang w:val="en-US"/>
        </w:rPr>
        <w:t xml:space="preserve"> a surface pH</w:t>
      </w:r>
      <w:r w:rsidR="00CB6477" w:rsidRPr="00063CE2">
        <w:rPr>
          <w:noProof w:val="0"/>
          <w:color w:val="000000" w:themeColor="text1"/>
          <w:lang w:val="en-US"/>
        </w:rPr>
        <w:t xml:space="preserve"> </w:t>
      </w:r>
      <w:r w:rsidRPr="00063CE2">
        <w:rPr>
          <w:noProof w:val="0"/>
          <w:color w:val="000000" w:themeColor="text1"/>
          <w:lang w:val="en-US"/>
        </w:rPr>
        <w:t>meter on a brain slice from each lobe and on a cerebellar section.</w:t>
      </w:r>
    </w:p>
    <w:p w14:paraId="05FB432A" w14:textId="77777777" w:rsidR="00AF5653" w:rsidRPr="00063CE2" w:rsidRDefault="00AF5653" w:rsidP="00AF5653">
      <w:pPr>
        <w:rPr>
          <w:b/>
          <w:noProof w:val="0"/>
          <w:color w:val="000000" w:themeColor="text1"/>
          <w:lang w:val="en-US"/>
        </w:rPr>
      </w:pPr>
    </w:p>
    <w:p w14:paraId="134C52D0" w14:textId="6F276334" w:rsidR="00AF5653" w:rsidRPr="00063CE2" w:rsidRDefault="00AF5653" w:rsidP="00AF5653">
      <w:pPr>
        <w:rPr>
          <w:noProof w:val="0"/>
          <w:color w:val="000000" w:themeColor="text1"/>
          <w:highlight w:val="yellow"/>
          <w:lang w:val="en-US"/>
        </w:rPr>
      </w:pPr>
      <w:r w:rsidRPr="00063CE2">
        <w:rPr>
          <w:b/>
          <w:noProof w:val="0"/>
          <w:color w:val="000000" w:themeColor="text1"/>
          <w:highlight w:val="yellow"/>
          <w:lang w:val="en-US"/>
        </w:rPr>
        <w:t xml:space="preserve">7. Tissue </w:t>
      </w:r>
      <w:r w:rsidR="00CB6477" w:rsidRPr="00063CE2">
        <w:rPr>
          <w:b/>
          <w:noProof w:val="0"/>
          <w:color w:val="000000" w:themeColor="text1"/>
          <w:highlight w:val="yellow"/>
          <w:lang w:val="en-US"/>
        </w:rPr>
        <w:t>f</w:t>
      </w:r>
      <w:r w:rsidRPr="00063CE2">
        <w:rPr>
          <w:b/>
          <w:noProof w:val="0"/>
          <w:color w:val="000000" w:themeColor="text1"/>
          <w:highlight w:val="yellow"/>
          <w:lang w:val="en-US"/>
        </w:rPr>
        <w:t>reezing</w:t>
      </w:r>
    </w:p>
    <w:p w14:paraId="7211C402" w14:textId="77777777" w:rsidR="00AF5653" w:rsidRPr="00063CE2" w:rsidRDefault="00AF5653" w:rsidP="00AF5653">
      <w:pPr>
        <w:rPr>
          <w:b/>
          <w:noProof w:val="0"/>
          <w:color w:val="000000" w:themeColor="text1"/>
          <w:highlight w:val="yellow"/>
          <w:lang w:val="en-US"/>
        </w:rPr>
      </w:pPr>
    </w:p>
    <w:p w14:paraId="2E9987C0" w14:textId="230B42BE" w:rsidR="00AF5653" w:rsidRPr="00063CE2" w:rsidRDefault="00AF5653" w:rsidP="00AF5653">
      <w:pPr>
        <w:rPr>
          <w:noProof w:val="0"/>
          <w:color w:val="000000" w:themeColor="text1"/>
          <w:highlight w:val="yellow"/>
          <w:lang w:val="en-US"/>
        </w:rPr>
      </w:pPr>
      <w:r w:rsidRPr="00063CE2">
        <w:rPr>
          <w:rFonts w:cs="Baskerville"/>
          <w:noProof w:val="0"/>
          <w:color w:val="000000" w:themeColor="text1"/>
          <w:highlight w:val="yellow"/>
          <w:lang w:val="en-US"/>
        </w:rPr>
        <w:t xml:space="preserve">7.1. Keep all tissues to be frozen </w:t>
      </w:r>
      <w:r w:rsidRPr="00063CE2">
        <w:rPr>
          <w:noProof w:val="0"/>
          <w:color w:val="000000" w:themeColor="text1"/>
          <w:highlight w:val="yellow"/>
          <w:lang w:val="en-US"/>
        </w:rPr>
        <w:t>in ice at 4</w:t>
      </w:r>
      <w:r w:rsidR="0023022D" w:rsidRPr="00063CE2">
        <w:rPr>
          <w:noProof w:val="0"/>
          <w:color w:val="000000" w:themeColor="text1"/>
          <w:highlight w:val="yellow"/>
          <w:lang w:val="en-US"/>
        </w:rPr>
        <w:t xml:space="preserve"> </w:t>
      </w:r>
      <w:r w:rsidRPr="00063CE2">
        <w:rPr>
          <w:noProof w:val="0"/>
          <w:color w:val="000000" w:themeColor="text1"/>
          <w:highlight w:val="yellow"/>
          <w:lang w:val="en-US"/>
        </w:rPr>
        <w:t>°C. Then, freeze them quickly. Place them on</w:t>
      </w:r>
      <w:r w:rsidR="0023022D" w:rsidRPr="00063CE2">
        <w:rPr>
          <w:noProof w:val="0"/>
          <w:color w:val="000000" w:themeColor="text1"/>
          <w:highlight w:val="yellow"/>
          <w:lang w:val="en-US"/>
        </w:rPr>
        <w:t xml:space="preserve"> a</w:t>
      </w:r>
      <w:r w:rsidRPr="00063CE2">
        <w:rPr>
          <w:noProof w:val="0"/>
          <w:color w:val="000000" w:themeColor="text1"/>
          <w:highlight w:val="yellow"/>
          <w:lang w:val="en-US"/>
        </w:rPr>
        <w:t xml:space="preserve"> </w:t>
      </w:r>
      <w:proofErr w:type="spellStart"/>
      <w:r w:rsidRPr="00063CE2">
        <w:rPr>
          <w:noProof w:val="0"/>
          <w:color w:val="000000" w:themeColor="text1"/>
          <w:highlight w:val="yellow"/>
          <w:lang w:val="en-US"/>
        </w:rPr>
        <w:t>prefrozen</w:t>
      </w:r>
      <w:proofErr w:type="spellEnd"/>
      <w:r w:rsidRPr="00063CE2">
        <w:rPr>
          <w:noProof w:val="0"/>
          <w:color w:val="000000" w:themeColor="text1"/>
          <w:highlight w:val="yellow"/>
          <w:lang w:val="en-US"/>
        </w:rPr>
        <w:t xml:space="preserve"> aluminum tray. Cover with an interlocking a</w:t>
      </w:r>
      <w:r w:rsidR="0023022D" w:rsidRPr="00063CE2">
        <w:rPr>
          <w:noProof w:val="0"/>
          <w:color w:val="000000" w:themeColor="text1"/>
          <w:highlight w:val="yellow"/>
          <w:lang w:val="en-US"/>
        </w:rPr>
        <w:t>l</w:t>
      </w:r>
      <w:r w:rsidRPr="00063CE2">
        <w:rPr>
          <w:noProof w:val="0"/>
          <w:color w:val="000000" w:themeColor="text1"/>
          <w:highlight w:val="yellow"/>
          <w:lang w:val="en-US"/>
        </w:rPr>
        <w:t>uminum plate to keep them flat. Put them in liquid nitrogen</w:t>
      </w:r>
      <w:r w:rsidR="003C4DE2" w:rsidRPr="00063CE2">
        <w:rPr>
          <w:noProof w:val="0"/>
          <w:color w:val="000000" w:themeColor="text1"/>
          <w:highlight w:val="yellow"/>
          <w:lang w:val="en-US"/>
        </w:rPr>
        <w:t xml:space="preserve"> at -120 °C</w:t>
      </w:r>
      <w:r w:rsidRPr="00063CE2">
        <w:rPr>
          <w:noProof w:val="0"/>
          <w:color w:val="000000" w:themeColor="text1"/>
          <w:highlight w:val="yellow"/>
          <w:lang w:val="en-US"/>
        </w:rPr>
        <w:t xml:space="preserve"> for 3 min.</w:t>
      </w:r>
    </w:p>
    <w:p w14:paraId="52F99083" w14:textId="77777777" w:rsidR="00AF5653" w:rsidRPr="00063CE2" w:rsidRDefault="00AF5653" w:rsidP="00AF5653">
      <w:pPr>
        <w:rPr>
          <w:noProof w:val="0"/>
          <w:color w:val="000000" w:themeColor="text1"/>
          <w:highlight w:val="yellow"/>
          <w:lang w:val="en-US"/>
        </w:rPr>
      </w:pPr>
    </w:p>
    <w:p w14:paraId="4B29E188" w14:textId="1DD6CE34" w:rsidR="00AF5653" w:rsidRPr="00063CE2" w:rsidRDefault="00AF5653" w:rsidP="00AF5653">
      <w:pPr>
        <w:rPr>
          <w:noProof w:val="0"/>
          <w:color w:val="000000" w:themeColor="text1"/>
          <w:highlight w:val="yellow"/>
          <w:lang w:val="en-US"/>
        </w:rPr>
      </w:pPr>
      <w:r w:rsidRPr="00063CE2">
        <w:rPr>
          <w:noProof w:val="0"/>
          <w:color w:val="000000" w:themeColor="text1"/>
          <w:highlight w:val="yellow"/>
          <w:lang w:val="en-US"/>
        </w:rPr>
        <w:t>7.2. Place the slices inside a plastic bag labeled with their corresponding identification code and slice number. Divide the plastic bags into three cr</w:t>
      </w:r>
      <w:r w:rsidR="00CB6477" w:rsidRPr="00063CE2">
        <w:rPr>
          <w:noProof w:val="0"/>
          <w:color w:val="000000" w:themeColor="text1"/>
          <w:highlight w:val="yellow"/>
          <w:lang w:val="en-US"/>
        </w:rPr>
        <w:t>y</w:t>
      </w:r>
      <w:r w:rsidRPr="00063CE2">
        <w:rPr>
          <w:noProof w:val="0"/>
          <w:color w:val="000000" w:themeColor="text1"/>
          <w:highlight w:val="yellow"/>
          <w:lang w:val="en-US"/>
        </w:rPr>
        <w:t>o</w:t>
      </w:r>
      <w:r w:rsidR="00CB6477" w:rsidRPr="00063CE2">
        <w:rPr>
          <w:noProof w:val="0"/>
          <w:color w:val="000000" w:themeColor="text1"/>
          <w:highlight w:val="yellow"/>
          <w:lang w:val="en-US"/>
        </w:rPr>
        <w:t xml:space="preserve">genic </w:t>
      </w:r>
      <w:r w:rsidRPr="00063CE2">
        <w:rPr>
          <w:noProof w:val="0"/>
          <w:color w:val="000000" w:themeColor="text1"/>
          <w:highlight w:val="yellow"/>
          <w:lang w:val="en-US"/>
        </w:rPr>
        <w:t>boxes (for right hemisphere, left hemisphere and brainstem) and store at -80</w:t>
      </w:r>
      <w:r w:rsidR="0023022D" w:rsidRPr="00063CE2">
        <w:rPr>
          <w:noProof w:val="0"/>
          <w:color w:val="000000" w:themeColor="text1"/>
          <w:highlight w:val="yellow"/>
          <w:lang w:val="en-US"/>
        </w:rPr>
        <w:t xml:space="preserve"> </w:t>
      </w:r>
      <w:r w:rsidRPr="00063CE2">
        <w:rPr>
          <w:noProof w:val="0"/>
          <w:color w:val="000000" w:themeColor="text1"/>
          <w:highlight w:val="yellow"/>
          <w:lang w:val="en-US"/>
        </w:rPr>
        <w:t>°C.</w:t>
      </w:r>
    </w:p>
    <w:p w14:paraId="20BE067C" w14:textId="77777777" w:rsidR="00AF5653" w:rsidRPr="00063CE2" w:rsidRDefault="00AF5653" w:rsidP="00AF5653">
      <w:pPr>
        <w:rPr>
          <w:b/>
          <w:noProof w:val="0"/>
          <w:color w:val="000000" w:themeColor="text1"/>
          <w:highlight w:val="yellow"/>
          <w:lang w:val="en-US"/>
        </w:rPr>
      </w:pPr>
    </w:p>
    <w:p w14:paraId="350B81FD" w14:textId="37219B7C" w:rsidR="00AF5653" w:rsidRPr="00063CE2" w:rsidRDefault="00AF5653" w:rsidP="00AF5653">
      <w:pPr>
        <w:rPr>
          <w:noProof w:val="0"/>
          <w:color w:val="000000" w:themeColor="text1"/>
          <w:highlight w:val="yellow"/>
          <w:lang w:val="en-US"/>
        </w:rPr>
      </w:pPr>
      <w:r w:rsidRPr="00063CE2">
        <w:rPr>
          <w:b/>
          <w:noProof w:val="0"/>
          <w:color w:val="000000" w:themeColor="text1"/>
          <w:highlight w:val="yellow"/>
          <w:lang w:val="en-US"/>
        </w:rPr>
        <w:t xml:space="preserve">8. Tissue </w:t>
      </w:r>
      <w:r w:rsidR="00CB6477" w:rsidRPr="00063CE2">
        <w:rPr>
          <w:b/>
          <w:noProof w:val="0"/>
          <w:color w:val="000000" w:themeColor="text1"/>
          <w:highlight w:val="yellow"/>
          <w:lang w:val="en-US"/>
        </w:rPr>
        <w:t>f</w:t>
      </w:r>
      <w:r w:rsidRPr="00063CE2">
        <w:rPr>
          <w:b/>
          <w:noProof w:val="0"/>
          <w:color w:val="000000" w:themeColor="text1"/>
          <w:highlight w:val="yellow"/>
          <w:lang w:val="en-US"/>
        </w:rPr>
        <w:t>ixation</w:t>
      </w:r>
    </w:p>
    <w:p w14:paraId="15869091" w14:textId="77777777" w:rsidR="00AF5653" w:rsidRPr="00063CE2" w:rsidRDefault="00AF5653" w:rsidP="00AF5653">
      <w:pPr>
        <w:rPr>
          <w:noProof w:val="0"/>
          <w:color w:val="000000" w:themeColor="text1"/>
          <w:highlight w:val="yellow"/>
          <w:lang w:val="en-US"/>
        </w:rPr>
      </w:pPr>
    </w:p>
    <w:p w14:paraId="6664D35B" w14:textId="42021FA0" w:rsidR="00AF5653" w:rsidRPr="00063CE2" w:rsidRDefault="00AF5653" w:rsidP="00AF5653">
      <w:pPr>
        <w:rPr>
          <w:noProof w:val="0"/>
          <w:color w:val="000000" w:themeColor="text1"/>
          <w:lang w:val="en-US"/>
        </w:rPr>
      </w:pPr>
      <w:r w:rsidRPr="00063CE2">
        <w:rPr>
          <w:noProof w:val="0"/>
          <w:color w:val="000000" w:themeColor="text1"/>
          <w:highlight w:val="yellow"/>
          <w:lang w:val="en-US"/>
        </w:rPr>
        <w:t>8.1. Wrap the slices in gauze one by one, and put the slices in 10% phosphate buffered formalin solution.</w:t>
      </w:r>
      <w:r w:rsidRPr="00063CE2">
        <w:rPr>
          <w:noProof w:val="0"/>
          <w:color w:val="000000" w:themeColor="text1"/>
          <w:lang w:val="en-US"/>
        </w:rPr>
        <w:t xml:space="preserve"> After 1 day, substitute the formalin solution with</w:t>
      </w:r>
      <w:r w:rsidR="00141C0D" w:rsidRPr="00063CE2">
        <w:rPr>
          <w:noProof w:val="0"/>
          <w:color w:val="000000" w:themeColor="text1"/>
          <w:lang w:val="en-US"/>
        </w:rPr>
        <w:t xml:space="preserve"> a</w:t>
      </w:r>
      <w:r w:rsidRPr="00063CE2">
        <w:rPr>
          <w:noProof w:val="0"/>
          <w:color w:val="000000" w:themeColor="text1"/>
          <w:lang w:val="en-US"/>
        </w:rPr>
        <w:t xml:space="preserve"> </w:t>
      </w:r>
      <w:r w:rsidR="00CB6477" w:rsidRPr="00063CE2">
        <w:rPr>
          <w:noProof w:val="0"/>
          <w:color w:val="000000" w:themeColor="text1"/>
          <w:lang w:val="en-US"/>
        </w:rPr>
        <w:t>fresh solution</w:t>
      </w:r>
      <w:r w:rsidRPr="00063CE2">
        <w:rPr>
          <w:noProof w:val="0"/>
          <w:color w:val="000000" w:themeColor="text1"/>
          <w:lang w:val="en-US"/>
        </w:rPr>
        <w:t>. Leave them for about 5 days in a cold room at 4</w:t>
      </w:r>
      <w:r w:rsidR="0023022D" w:rsidRPr="00063CE2">
        <w:rPr>
          <w:noProof w:val="0"/>
          <w:color w:val="000000" w:themeColor="text1"/>
          <w:lang w:val="en-US"/>
        </w:rPr>
        <w:t xml:space="preserve"> </w:t>
      </w:r>
      <w:r w:rsidRPr="00063CE2">
        <w:rPr>
          <w:noProof w:val="0"/>
          <w:color w:val="000000" w:themeColor="text1"/>
          <w:lang w:val="en-US"/>
        </w:rPr>
        <w:t>°C.</w:t>
      </w:r>
    </w:p>
    <w:p w14:paraId="450D2B3E" w14:textId="77777777" w:rsidR="00AF5653" w:rsidRPr="00063CE2" w:rsidRDefault="00AF5653" w:rsidP="00AF5653">
      <w:pPr>
        <w:rPr>
          <w:noProof w:val="0"/>
          <w:color w:val="000000" w:themeColor="text1"/>
          <w:lang w:val="en-US"/>
        </w:rPr>
      </w:pPr>
      <w:r w:rsidRPr="00063CE2">
        <w:rPr>
          <w:noProof w:val="0"/>
          <w:color w:val="000000" w:themeColor="text1"/>
          <w:lang w:val="en-US"/>
        </w:rPr>
        <w:t xml:space="preserve"> </w:t>
      </w:r>
    </w:p>
    <w:p w14:paraId="6CD9A547" w14:textId="2741F4AF" w:rsidR="00CB6477" w:rsidRPr="00063CE2" w:rsidRDefault="00AF5653" w:rsidP="00AF5653">
      <w:pPr>
        <w:rPr>
          <w:noProof w:val="0"/>
          <w:color w:val="000000" w:themeColor="text1"/>
          <w:lang w:val="en-US"/>
        </w:rPr>
      </w:pPr>
      <w:r w:rsidRPr="00063CE2">
        <w:rPr>
          <w:noProof w:val="0"/>
          <w:color w:val="000000" w:themeColor="text1"/>
          <w:lang w:val="en-US"/>
        </w:rPr>
        <w:t xml:space="preserve">8.2. </w:t>
      </w:r>
      <w:r w:rsidR="00141C0D" w:rsidRPr="00063CE2">
        <w:rPr>
          <w:noProof w:val="0"/>
          <w:color w:val="000000" w:themeColor="text1"/>
          <w:lang w:val="en-US"/>
        </w:rPr>
        <w:t>K</w:t>
      </w:r>
      <w:r w:rsidRPr="00063CE2">
        <w:rPr>
          <w:noProof w:val="0"/>
          <w:color w:val="000000" w:themeColor="text1"/>
          <w:lang w:val="en-US"/>
        </w:rPr>
        <w:t>eep all slices</w:t>
      </w:r>
      <w:r w:rsidR="00141C0D" w:rsidRPr="00063CE2">
        <w:rPr>
          <w:noProof w:val="0"/>
          <w:color w:val="000000" w:themeColor="text1"/>
          <w:lang w:val="en-US"/>
        </w:rPr>
        <w:t xml:space="preserve"> as a</w:t>
      </w:r>
      <w:r w:rsidRPr="00063CE2">
        <w:rPr>
          <w:noProof w:val="0"/>
          <w:color w:val="000000" w:themeColor="text1"/>
          <w:lang w:val="en-US"/>
        </w:rPr>
        <w:t xml:space="preserve"> whole </w:t>
      </w:r>
      <w:r w:rsidR="00141C0D" w:rsidRPr="00063CE2">
        <w:rPr>
          <w:noProof w:val="0"/>
          <w:color w:val="000000" w:themeColor="text1"/>
          <w:lang w:val="en-US"/>
        </w:rPr>
        <w:t xml:space="preserve">and </w:t>
      </w:r>
      <w:r w:rsidRPr="00063CE2">
        <w:rPr>
          <w:noProof w:val="0"/>
          <w:color w:val="000000" w:themeColor="text1"/>
          <w:lang w:val="en-US"/>
        </w:rPr>
        <w:t>split only the slices containing hippocampus and amygdala in two parts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Pr="00063CE2">
        <w:rPr>
          <w:noProof w:val="0"/>
          <w:color w:val="000000" w:themeColor="text1"/>
          <w:lang w:val="en-US"/>
        </w:rPr>
        <w:t>). The upper part of both slices will contain the frontal lobe (R10a</w:t>
      </w:r>
      <w:r w:rsidR="00CB6477" w:rsidRPr="00063CE2">
        <w:rPr>
          <w:noProof w:val="0"/>
          <w:color w:val="000000" w:themeColor="text1"/>
          <w:lang w:val="en-US"/>
        </w:rPr>
        <w:t>–</w:t>
      </w:r>
      <w:r w:rsidRPr="00063CE2">
        <w:rPr>
          <w:noProof w:val="0"/>
          <w:color w:val="000000" w:themeColor="text1"/>
          <w:lang w:val="en-US"/>
        </w:rPr>
        <w:t xml:space="preserve">L9a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Pr="00063CE2">
        <w:rPr>
          <w:noProof w:val="0"/>
          <w:color w:val="000000" w:themeColor="text1"/>
          <w:lang w:val="en-US"/>
        </w:rPr>
        <w:t xml:space="preserve">); the lower parts will contain respectively: </w:t>
      </w:r>
      <w:r w:rsidR="00CB6477" w:rsidRPr="00063CE2">
        <w:rPr>
          <w:noProof w:val="0"/>
          <w:color w:val="000000" w:themeColor="text1"/>
          <w:lang w:val="en-US"/>
        </w:rPr>
        <w:t>(</w:t>
      </w:r>
      <w:r w:rsidRPr="00063CE2">
        <w:rPr>
          <w:noProof w:val="0"/>
          <w:color w:val="000000" w:themeColor="text1"/>
          <w:lang w:val="en-US"/>
        </w:rPr>
        <w:t xml:space="preserve">1) amygdala, temporal lobe and basal ganglia (L9b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003E47E9" w:rsidRPr="00063CE2">
        <w:rPr>
          <w:b/>
          <w:noProof w:val="0"/>
          <w:color w:val="000000" w:themeColor="text1"/>
          <w:lang w:val="en-US"/>
        </w:rPr>
        <w:t>B</w:t>
      </w:r>
      <w:r w:rsidRPr="00063CE2">
        <w:rPr>
          <w:noProof w:val="0"/>
          <w:color w:val="000000" w:themeColor="text1"/>
          <w:lang w:val="en-US"/>
        </w:rPr>
        <w:t xml:space="preserve">), and </w:t>
      </w:r>
      <w:r w:rsidR="00CB6477" w:rsidRPr="00063CE2">
        <w:rPr>
          <w:noProof w:val="0"/>
          <w:color w:val="000000" w:themeColor="text1"/>
          <w:lang w:val="en-US"/>
        </w:rPr>
        <w:t>(</w:t>
      </w:r>
      <w:r w:rsidRPr="00063CE2">
        <w:rPr>
          <w:noProof w:val="0"/>
          <w:color w:val="000000" w:themeColor="text1"/>
          <w:lang w:val="en-US"/>
        </w:rPr>
        <w:t xml:space="preserve">2) hippocampus and part of temporal lobe (R10b in </w:t>
      </w:r>
      <w:r w:rsidR="00CB6477" w:rsidRPr="00063CE2">
        <w:rPr>
          <w:b/>
          <w:bCs/>
          <w:noProof w:val="0"/>
          <w:color w:val="000000" w:themeColor="text1"/>
          <w:lang w:val="en-US"/>
        </w:rPr>
        <w:t>Figure</w:t>
      </w:r>
      <w:r w:rsidRPr="00063CE2">
        <w:rPr>
          <w:noProof w:val="0"/>
          <w:color w:val="000000" w:themeColor="text1"/>
          <w:lang w:val="en-US"/>
        </w:rPr>
        <w:t xml:space="preserve"> </w:t>
      </w:r>
      <w:r w:rsidR="00F736EB" w:rsidRPr="00063CE2">
        <w:rPr>
          <w:b/>
          <w:noProof w:val="0"/>
          <w:color w:val="000000" w:themeColor="text1"/>
          <w:lang w:val="en-US"/>
        </w:rPr>
        <w:t>3</w:t>
      </w:r>
      <w:r w:rsidR="003E47E9" w:rsidRPr="00063CE2">
        <w:rPr>
          <w:b/>
          <w:noProof w:val="0"/>
          <w:color w:val="000000" w:themeColor="text1"/>
          <w:lang w:val="en-US"/>
        </w:rPr>
        <w:t>A</w:t>
      </w:r>
      <w:r w:rsidRPr="00063CE2">
        <w:rPr>
          <w:noProof w:val="0"/>
          <w:color w:val="000000" w:themeColor="text1"/>
          <w:lang w:val="en-US"/>
        </w:rPr>
        <w:t xml:space="preserve">). This is made in order to maintain the relationship between the various structures. </w:t>
      </w:r>
    </w:p>
    <w:p w14:paraId="26091C5B" w14:textId="77777777" w:rsidR="00CB6477" w:rsidRPr="00063CE2" w:rsidRDefault="00CB6477" w:rsidP="00AF5653">
      <w:pPr>
        <w:rPr>
          <w:noProof w:val="0"/>
          <w:color w:val="000000" w:themeColor="text1"/>
          <w:lang w:val="en-US"/>
        </w:rPr>
      </w:pPr>
    </w:p>
    <w:p w14:paraId="2540B38E" w14:textId="5DA4A65C" w:rsidR="00AF5653" w:rsidRPr="00063CE2" w:rsidRDefault="00CB6477" w:rsidP="00AF5653">
      <w:pPr>
        <w:rPr>
          <w:noProof w:val="0"/>
          <w:color w:val="000000" w:themeColor="text1"/>
          <w:lang w:val="en-US"/>
        </w:rPr>
      </w:pPr>
      <w:r w:rsidRPr="00063CE2">
        <w:rPr>
          <w:noProof w:val="0"/>
          <w:color w:val="000000" w:themeColor="text1"/>
          <w:lang w:val="en-US"/>
        </w:rPr>
        <w:t xml:space="preserve">8.3. </w:t>
      </w:r>
      <w:r w:rsidR="00AF5653" w:rsidRPr="00063CE2">
        <w:rPr>
          <w:noProof w:val="0"/>
          <w:color w:val="000000" w:themeColor="text1"/>
          <w:lang w:val="en-US"/>
        </w:rPr>
        <w:t>Put all sections in phosphate buffer for at least 2 days to wash out and remove cross linking products.</w:t>
      </w:r>
    </w:p>
    <w:p w14:paraId="3E3513BF" w14:textId="77777777" w:rsidR="00AF5653" w:rsidRPr="00063CE2" w:rsidRDefault="00AF5653" w:rsidP="00AF5653">
      <w:pPr>
        <w:rPr>
          <w:noProof w:val="0"/>
          <w:color w:val="000000" w:themeColor="text1"/>
          <w:lang w:val="en-US"/>
        </w:rPr>
      </w:pPr>
    </w:p>
    <w:p w14:paraId="154352F7" w14:textId="77777777" w:rsidR="00AF5653" w:rsidRPr="00063CE2" w:rsidRDefault="00AF5653" w:rsidP="00AF5653">
      <w:pPr>
        <w:outlineLvl w:val="0"/>
        <w:rPr>
          <w:noProof w:val="0"/>
          <w:color w:val="000000" w:themeColor="text1"/>
          <w:lang w:val="en-US"/>
        </w:rPr>
      </w:pPr>
      <w:r w:rsidRPr="00063CE2">
        <w:rPr>
          <w:noProof w:val="0"/>
          <w:color w:val="000000" w:themeColor="text1"/>
          <w:lang w:val="en-US"/>
        </w:rPr>
        <w:t>NOTE</w:t>
      </w:r>
      <w:r w:rsidRPr="00063CE2">
        <w:rPr>
          <w:b/>
          <w:noProof w:val="0"/>
          <w:color w:val="000000" w:themeColor="text1"/>
          <w:lang w:val="en-US"/>
        </w:rPr>
        <w:t>:</w:t>
      </w:r>
      <w:r w:rsidRPr="00063CE2">
        <w:rPr>
          <w:noProof w:val="0"/>
          <w:color w:val="000000" w:themeColor="text1"/>
          <w:lang w:val="en-US"/>
        </w:rPr>
        <w:t xml:space="preserve"> The protocol can be paused here.</w:t>
      </w:r>
    </w:p>
    <w:p w14:paraId="52D299A2" w14:textId="77777777" w:rsidR="00AF5653" w:rsidRPr="00063CE2" w:rsidRDefault="00AF5653" w:rsidP="00AF5653">
      <w:pPr>
        <w:rPr>
          <w:noProof w:val="0"/>
          <w:color w:val="000000" w:themeColor="text1"/>
          <w:lang w:val="en-US"/>
        </w:rPr>
      </w:pPr>
    </w:p>
    <w:p w14:paraId="745CB5C3" w14:textId="77777777" w:rsidR="00AF5653" w:rsidRPr="00063CE2" w:rsidRDefault="00AF5653" w:rsidP="00AF5653">
      <w:pPr>
        <w:rPr>
          <w:noProof w:val="0"/>
          <w:color w:val="000000" w:themeColor="text1"/>
          <w:lang w:val="en-US"/>
        </w:rPr>
      </w:pPr>
      <w:r w:rsidRPr="00063CE2">
        <w:rPr>
          <w:b/>
          <w:noProof w:val="0"/>
          <w:color w:val="000000" w:themeColor="text1"/>
          <w:lang w:val="en-US"/>
        </w:rPr>
        <w:t>9. Dehydration, clearing, paraffin embedding and slide preparation</w:t>
      </w:r>
    </w:p>
    <w:p w14:paraId="23B5F8D8" w14:textId="77777777" w:rsidR="00AF5653" w:rsidRPr="00063CE2" w:rsidRDefault="00AF5653" w:rsidP="00AF5653">
      <w:pPr>
        <w:rPr>
          <w:noProof w:val="0"/>
          <w:color w:val="000000" w:themeColor="text1"/>
          <w:lang w:val="en-US"/>
        </w:rPr>
      </w:pPr>
    </w:p>
    <w:p w14:paraId="17184BD1" w14:textId="6CDA25EB" w:rsidR="00AF5653" w:rsidRPr="00063CE2" w:rsidRDefault="00AF5653" w:rsidP="00AF5653">
      <w:pPr>
        <w:rPr>
          <w:noProof w:val="0"/>
          <w:color w:val="000000" w:themeColor="text1"/>
          <w:lang w:val="en-US"/>
        </w:rPr>
      </w:pPr>
      <w:r w:rsidRPr="00063CE2">
        <w:rPr>
          <w:noProof w:val="0"/>
          <w:color w:val="000000" w:themeColor="text1"/>
          <w:lang w:val="en-US"/>
        </w:rPr>
        <w:lastRenderedPageBreak/>
        <w:t>9.1. Prepare increasing concentrations of ethyl alcohol from 70% to 100%, xylene and two sets of molten paraffin wax. Place the brain sections in the automatic processor for dehydration, clearing procedure and paraffin infiltration (use two different tissue processing protocol</w:t>
      </w:r>
      <w:r w:rsidR="00CB6477" w:rsidRPr="00063CE2">
        <w:rPr>
          <w:noProof w:val="0"/>
          <w:color w:val="000000" w:themeColor="text1"/>
          <w:lang w:val="en-US"/>
        </w:rPr>
        <w:t>s</w:t>
      </w:r>
      <w:r w:rsidRPr="00063CE2">
        <w:rPr>
          <w:noProof w:val="0"/>
          <w:color w:val="000000" w:themeColor="text1"/>
          <w:lang w:val="en-US"/>
        </w:rPr>
        <w:t xml:space="preserve"> for macro (cerebrum and cerebellum slices) and micro samples (brainstem slices and the other small samples); </w:t>
      </w:r>
      <w:r w:rsidR="0026547F" w:rsidRPr="00063CE2">
        <w:rPr>
          <w:b/>
          <w:bCs/>
          <w:noProof w:val="0"/>
          <w:color w:val="000000" w:themeColor="text1"/>
          <w:lang w:val="en-US"/>
        </w:rPr>
        <w:t>Table</w:t>
      </w:r>
      <w:r w:rsidRPr="00063CE2">
        <w:rPr>
          <w:noProof w:val="0"/>
          <w:color w:val="000000" w:themeColor="text1"/>
          <w:lang w:val="en-US"/>
        </w:rPr>
        <w:t xml:space="preserve"> </w:t>
      </w:r>
      <w:r w:rsidR="00F65E1F" w:rsidRPr="00063CE2">
        <w:rPr>
          <w:b/>
          <w:bCs/>
          <w:noProof w:val="0"/>
          <w:color w:val="000000" w:themeColor="text1"/>
          <w:lang w:val="en-US"/>
        </w:rPr>
        <w:t>7</w:t>
      </w:r>
      <w:r w:rsidRPr="00063CE2">
        <w:rPr>
          <w:noProof w:val="0"/>
          <w:color w:val="000000" w:themeColor="text1"/>
          <w:lang w:val="en-US"/>
        </w:rPr>
        <w:t>). Embed the tissue in paraffin wax on a metal or plastic mold.</w:t>
      </w:r>
    </w:p>
    <w:p w14:paraId="1A214022" w14:textId="77777777" w:rsidR="00AF5653" w:rsidRPr="00063CE2" w:rsidRDefault="00AF5653" w:rsidP="00AF5653">
      <w:pPr>
        <w:rPr>
          <w:noProof w:val="0"/>
          <w:color w:val="000000" w:themeColor="text1"/>
          <w:lang w:val="en-US"/>
        </w:rPr>
      </w:pPr>
    </w:p>
    <w:p w14:paraId="08A61C77" w14:textId="45067A5D" w:rsidR="00AF5653" w:rsidRPr="00063CE2" w:rsidRDefault="00AF5653" w:rsidP="00AF5653">
      <w:pPr>
        <w:rPr>
          <w:noProof w:val="0"/>
          <w:color w:val="000000" w:themeColor="text1"/>
          <w:lang w:val="en-US"/>
        </w:rPr>
      </w:pPr>
      <w:r w:rsidRPr="00063CE2">
        <w:rPr>
          <w:noProof w:val="0"/>
          <w:color w:val="000000" w:themeColor="text1"/>
          <w:lang w:val="en-US"/>
        </w:rPr>
        <w:t xml:space="preserve">9.2. </w:t>
      </w:r>
      <w:r w:rsidRPr="00063CE2">
        <w:rPr>
          <w:rFonts w:cs="Courier New"/>
          <w:noProof w:val="0"/>
          <w:color w:val="000000" w:themeColor="text1"/>
          <w:lang w:val="en-US"/>
        </w:rPr>
        <w:t>Select the sections to slice for evaluating all the regions of interest applying</w:t>
      </w:r>
      <w:r w:rsidRPr="00063CE2">
        <w:rPr>
          <w:noProof w:val="0"/>
          <w:color w:val="000000" w:themeColor="text1"/>
          <w:lang w:val="en-US"/>
        </w:rPr>
        <w:t xml:space="preserve"> </w:t>
      </w:r>
      <w:proofErr w:type="spellStart"/>
      <w:r w:rsidRPr="00063CE2">
        <w:rPr>
          <w:noProof w:val="0"/>
          <w:color w:val="000000" w:themeColor="text1"/>
          <w:lang w:val="en-US"/>
        </w:rPr>
        <w:t>Montine’s</w:t>
      </w:r>
      <w:proofErr w:type="spellEnd"/>
      <w:r w:rsidRPr="00063CE2">
        <w:rPr>
          <w:noProof w:val="0"/>
          <w:color w:val="000000" w:themeColor="text1"/>
          <w:lang w:val="en-US"/>
        </w:rPr>
        <w:t xml:space="preserve"> index for neuropathological characterization</w:t>
      </w:r>
      <w:bookmarkStart w:id="4" w:name="_Hlk7609563"/>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bookmarkEnd w:id="4"/>
      <w:r w:rsidRPr="00063CE2">
        <w:rPr>
          <w:noProof w:val="0"/>
          <w:color w:val="000000" w:themeColor="text1"/>
          <w:lang w:val="en-US"/>
        </w:rPr>
        <w:t xml:space="preserve"> (</w:t>
      </w:r>
      <w:r w:rsidR="0026547F" w:rsidRPr="00063CE2">
        <w:rPr>
          <w:b/>
          <w:bCs/>
          <w:noProof w:val="0"/>
          <w:color w:val="000000" w:themeColor="text1"/>
          <w:lang w:val="en-US"/>
        </w:rPr>
        <w:t>Table</w:t>
      </w:r>
      <w:r w:rsidRPr="00063CE2">
        <w:rPr>
          <w:noProof w:val="0"/>
          <w:color w:val="000000" w:themeColor="text1"/>
          <w:lang w:val="en-US"/>
        </w:rPr>
        <w:t xml:space="preserve"> </w:t>
      </w:r>
      <w:r w:rsidR="00F65E1F" w:rsidRPr="00063CE2">
        <w:rPr>
          <w:b/>
          <w:bCs/>
          <w:noProof w:val="0"/>
          <w:color w:val="000000" w:themeColor="text1"/>
          <w:lang w:val="en-US"/>
        </w:rPr>
        <w:t>8</w:t>
      </w:r>
      <w:r w:rsidRPr="00063CE2">
        <w:rPr>
          <w:noProof w:val="0"/>
          <w:color w:val="000000" w:themeColor="text1"/>
          <w:lang w:val="en-US"/>
        </w:rPr>
        <w:t>). Then, slice the selected sections</w:t>
      </w:r>
      <w:r w:rsidR="0023022D" w:rsidRPr="00063CE2">
        <w:rPr>
          <w:noProof w:val="0"/>
          <w:color w:val="000000" w:themeColor="text1"/>
          <w:lang w:val="en-US"/>
        </w:rPr>
        <w:t>.</w:t>
      </w:r>
    </w:p>
    <w:p w14:paraId="679EB8FA" w14:textId="77777777" w:rsidR="00AF5653" w:rsidRPr="00063CE2" w:rsidRDefault="00AF5653" w:rsidP="00AF5653">
      <w:pPr>
        <w:rPr>
          <w:noProof w:val="0"/>
          <w:color w:val="000000" w:themeColor="text1"/>
          <w:lang w:val="en-US"/>
        </w:rPr>
      </w:pPr>
    </w:p>
    <w:p w14:paraId="4F2B2E0E" w14:textId="6A7081A6" w:rsidR="00AF5653" w:rsidRPr="00063CE2" w:rsidRDefault="00AF5653" w:rsidP="00AF5653">
      <w:pPr>
        <w:rPr>
          <w:noProof w:val="0"/>
          <w:color w:val="000000" w:themeColor="text1"/>
          <w:lang w:val="en-US"/>
        </w:rPr>
      </w:pPr>
      <w:r w:rsidRPr="00063CE2">
        <w:rPr>
          <w:noProof w:val="0"/>
          <w:color w:val="000000" w:themeColor="text1"/>
          <w:lang w:val="en-US"/>
        </w:rPr>
        <w:t xml:space="preserve">9.3. Use a sledge microtome for macrosections and a </w:t>
      </w:r>
      <w:r w:rsidRPr="00063CE2">
        <w:rPr>
          <w:rFonts w:cs="Arial"/>
          <w:noProof w:val="0"/>
          <w:color w:val="000000" w:themeColor="text1"/>
          <w:shd w:val="clear" w:color="auto" w:fill="FFFFFF"/>
          <w:lang w:val="en-US"/>
        </w:rPr>
        <w:t>rotary microtome</w:t>
      </w:r>
      <w:r w:rsidRPr="00063CE2">
        <w:rPr>
          <w:noProof w:val="0"/>
          <w:color w:val="000000" w:themeColor="text1"/>
          <w:lang w:val="en-US"/>
        </w:rPr>
        <w:t xml:space="preserve"> for small sections. Cut 5</w:t>
      </w:r>
      <w:r w:rsidR="003E1EE0" w:rsidRPr="00063CE2">
        <w:rPr>
          <w:noProof w:val="0"/>
          <w:color w:val="000000" w:themeColor="text1"/>
          <w:lang w:val="en-US"/>
        </w:rPr>
        <w:t xml:space="preserve"> </w:t>
      </w:r>
      <w:proofErr w:type="spellStart"/>
      <w:r w:rsidRPr="00063CE2">
        <w:rPr>
          <w:noProof w:val="0"/>
          <w:color w:val="000000" w:themeColor="text1"/>
          <w:lang w:val="en-US"/>
        </w:rPr>
        <w:t>μm</w:t>
      </w:r>
      <w:proofErr w:type="spellEnd"/>
      <w:r w:rsidRPr="00063CE2">
        <w:rPr>
          <w:noProof w:val="0"/>
          <w:color w:val="000000" w:themeColor="text1"/>
          <w:lang w:val="en-US"/>
        </w:rPr>
        <w:t xml:space="preserve"> slices for </w:t>
      </w:r>
      <w:proofErr w:type="spellStart"/>
      <w:r w:rsidRPr="00063CE2">
        <w:rPr>
          <w:bCs/>
          <w:iCs/>
          <w:noProof w:val="0"/>
          <w:color w:val="000000" w:themeColor="text1"/>
          <w:lang w:val="en-US"/>
        </w:rPr>
        <w:t>Haematoxylin</w:t>
      </w:r>
      <w:proofErr w:type="spellEnd"/>
      <w:r w:rsidRPr="00063CE2">
        <w:rPr>
          <w:bCs/>
          <w:iCs/>
          <w:noProof w:val="0"/>
          <w:color w:val="000000" w:themeColor="text1"/>
          <w:lang w:val="en-US"/>
        </w:rPr>
        <w:t xml:space="preserve"> and Eosin (</w:t>
      </w:r>
      <w:r w:rsidRPr="00063CE2">
        <w:rPr>
          <w:noProof w:val="0"/>
          <w:color w:val="000000" w:themeColor="text1"/>
          <w:lang w:val="en-US"/>
        </w:rPr>
        <w:t xml:space="preserve">H&amp;E) staining and 8 </w:t>
      </w:r>
      <w:proofErr w:type="spellStart"/>
      <w:r w:rsidRPr="00063CE2">
        <w:rPr>
          <w:noProof w:val="0"/>
          <w:color w:val="000000" w:themeColor="text1"/>
          <w:lang w:val="en-US"/>
        </w:rPr>
        <w:t>μm</w:t>
      </w:r>
      <w:proofErr w:type="spellEnd"/>
      <w:r w:rsidRPr="00063CE2">
        <w:rPr>
          <w:noProof w:val="0"/>
          <w:color w:val="000000" w:themeColor="text1"/>
          <w:lang w:val="en-US"/>
        </w:rPr>
        <w:t xml:space="preserve"> slices for the other stainings and immunohistochemistry. Put the slices on three different kind of </w:t>
      </w:r>
      <w:r w:rsidRPr="00063CE2">
        <w:rPr>
          <w:rFonts w:cs="Courier New"/>
          <w:noProof w:val="0"/>
          <w:color w:val="000000" w:themeColor="text1"/>
          <w:lang w:val="en-US"/>
        </w:rPr>
        <w:t>histological slides: 8</w:t>
      </w:r>
      <w:r w:rsidR="003E1EE0" w:rsidRPr="00063CE2">
        <w:rPr>
          <w:rFonts w:cs="Courier New"/>
          <w:noProof w:val="0"/>
          <w:color w:val="000000" w:themeColor="text1"/>
          <w:lang w:val="en-US"/>
        </w:rPr>
        <w:t>.</w:t>
      </w:r>
      <w:r w:rsidRPr="00063CE2">
        <w:rPr>
          <w:rFonts w:cs="Courier New"/>
          <w:noProof w:val="0"/>
          <w:color w:val="000000" w:themeColor="text1"/>
          <w:lang w:val="en-US"/>
        </w:rPr>
        <w:t>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11 cm for biggest slices, 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7</w:t>
      </w:r>
      <w:r w:rsidR="003E1EE0" w:rsidRPr="00063CE2">
        <w:rPr>
          <w:rFonts w:cs="Courier New"/>
          <w:noProof w:val="0"/>
          <w:color w:val="000000" w:themeColor="text1"/>
          <w:lang w:val="en-US"/>
        </w:rPr>
        <w:t>.</w:t>
      </w:r>
      <w:r w:rsidRPr="00063CE2">
        <w:rPr>
          <w:rFonts w:cs="Courier New"/>
          <w:noProof w:val="0"/>
          <w:color w:val="000000" w:themeColor="text1"/>
          <w:lang w:val="en-US"/>
        </w:rPr>
        <w:t>5 cm for medium slices and the classic 2</w:t>
      </w:r>
      <w:r w:rsidR="003E1EE0" w:rsidRPr="00063CE2">
        <w:rPr>
          <w:rFonts w:cs="Courier New"/>
          <w:noProof w:val="0"/>
          <w:color w:val="000000" w:themeColor="text1"/>
          <w:lang w:val="en-US"/>
        </w:rPr>
        <w:t>.</w:t>
      </w:r>
      <w:r w:rsidRPr="00063CE2">
        <w:rPr>
          <w:rFonts w:cs="Courier New"/>
          <w:noProof w:val="0"/>
          <w:color w:val="000000" w:themeColor="text1"/>
          <w:lang w:val="en-US"/>
        </w:rPr>
        <w:t>5</w:t>
      </w:r>
      <w:r w:rsidR="00CB6477" w:rsidRPr="00063CE2">
        <w:rPr>
          <w:rFonts w:cs="Courier New"/>
          <w:noProof w:val="0"/>
          <w:color w:val="000000" w:themeColor="text1"/>
          <w:lang w:val="en-US"/>
        </w:rPr>
        <w:t xml:space="preserve"> cm </w:t>
      </w:r>
      <w:r w:rsidRPr="00063CE2">
        <w:rPr>
          <w:rFonts w:cs="Courier New"/>
          <w:noProof w:val="0"/>
          <w:color w:val="000000" w:themeColor="text1"/>
          <w:lang w:val="en-US"/>
        </w:rPr>
        <w:t>x</w:t>
      </w:r>
      <w:r w:rsidR="00CB6477" w:rsidRPr="00063CE2">
        <w:rPr>
          <w:rFonts w:cs="Courier New"/>
          <w:noProof w:val="0"/>
          <w:color w:val="000000" w:themeColor="text1"/>
          <w:lang w:val="en-US"/>
        </w:rPr>
        <w:t xml:space="preserve"> </w:t>
      </w:r>
      <w:r w:rsidRPr="00063CE2">
        <w:rPr>
          <w:rFonts w:cs="Courier New"/>
          <w:noProof w:val="0"/>
          <w:color w:val="000000" w:themeColor="text1"/>
          <w:lang w:val="en-US"/>
        </w:rPr>
        <w:t>7</w:t>
      </w:r>
      <w:r w:rsidR="003E1EE0" w:rsidRPr="00063CE2">
        <w:rPr>
          <w:rFonts w:cs="Courier New"/>
          <w:noProof w:val="0"/>
          <w:color w:val="000000" w:themeColor="text1"/>
          <w:lang w:val="en-US"/>
        </w:rPr>
        <w:t>.</w:t>
      </w:r>
      <w:r w:rsidRPr="00063CE2">
        <w:rPr>
          <w:rFonts w:cs="Courier New"/>
          <w:noProof w:val="0"/>
          <w:color w:val="000000" w:themeColor="text1"/>
          <w:lang w:val="en-US"/>
        </w:rPr>
        <w:t>5 cm for smallest ones.</w:t>
      </w:r>
    </w:p>
    <w:p w14:paraId="4692A3C1" w14:textId="77777777" w:rsidR="00AF5653" w:rsidRPr="00063CE2" w:rsidRDefault="00AF5653" w:rsidP="00AF5653">
      <w:pPr>
        <w:rPr>
          <w:noProof w:val="0"/>
          <w:color w:val="000000" w:themeColor="text1"/>
          <w:lang w:val="en-US"/>
        </w:rPr>
      </w:pPr>
    </w:p>
    <w:p w14:paraId="02A106B2" w14:textId="77777777" w:rsidR="00AF5653" w:rsidRPr="00063CE2" w:rsidRDefault="00AF5653" w:rsidP="00AF5653">
      <w:pPr>
        <w:outlineLvl w:val="0"/>
        <w:rPr>
          <w:noProof w:val="0"/>
          <w:color w:val="000000" w:themeColor="text1"/>
          <w:lang w:val="en-US"/>
        </w:rPr>
      </w:pPr>
      <w:r w:rsidRPr="00063CE2">
        <w:rPr>
          <w:noProof w:val="0"/>
          <w:color w:val="000000" w:themeColor="text1"/>
          <w:lang w:val="en-US"/>
        </w:rPr>
        <w:t>NOTE: The protocol can be paused here.</w:t>
      </w:r>
    </w:p>
    <w:p w14:paraId="768A9D7F" w14:textId="77777777" w:rsidR="00AF5653" w:rsidRPr="00063CE2" w:rsidRDefault="00AF5653" w:rsidP="00AF5653">
      <w:pPr>
        <w:rPr>
          <w:noProof w:val="0"/>
          <w:color w:val="000000" w:themeColor="text1"/>
          <w:lang w:val="en-US"/>
        </w:rPr>
      </w:pPr>
    </w:p>
    <w:p w14:paraId="3EC9123E" w14:textId="77777777" w:rsidR="00AF5653" w:rsidRPr="00063CE2" w:rsidRDefault="00AF5653" w:rsidP="00AF5653">
      <w:pPr>
        <w:rPr>
          <w:b/>
          <w:bCs/>
          <w:iCs/>
          <w:noProof w:val="0"/>
          <w:color w:val="000000" w:themeColor="text1"/>
          <w:lang w:val="en-US"/>
        </w:rPr>
      </w:pPr>
      <w:r w:rsidRPr="00063CE2">
        <w:rPr>
          <w:b/>
          <w:bCs/>
          <w:iCs/>
          <w:noProof w:val="0"/>
          <w:color w:val="000000" w:themeColor="text1"/>
          <w:lang w:val="en-US"/>
        </w:rPr>
        <w:t>10. Deparaffinization, histological staining and immunohistochemistry (IHC)</w:t>
      </w:r>
    </w:p>
    <w:p w14:paraId="42CD9DBB" w14:textId="77777777" w:rsidR="00AF5653" w:rsidRPr="00063CE2" w:rsidRDefault="00AF5653" w:rsidP="00AF5653">
      <w:pPr>
        <w:rPr>
          <w:b/>
          <w:bCs/>
          <w:iCs/>
          <w:noProof w:val="0"/>
          <w:color w:val="000000" w:themeColor="text1"/>
          <w:lang w:val="en-US"/>
        </w:rPr>
      </w:pPr>
    </w:p>
    <w:p w14:paraId="6528D42A" w14:textId="09DAA0E7" w:rsidR="00AF5653" w:rsidRPr="00063CE2" w:rsidRDefault="00AF5653" w:rsidP="00AF5653">
      <w:pPr>
        <w:rPr>
          <w:noProof w:val="0"/>
          <w:color w:val="000000" w:themeColor="text1"/>
          <w:lang w:val="en-US"/>
        </w:rPr>
      </w:pPr>
      <w:r w:rsidRPr="00063CE2">
        <w:rPr>
          <w:rFonts w:cs="Courier New"/>
          <w:noProof w:val="0"/>
          <w:color w:val="000000" w:themeColor="text1"/>
          <w:lang w:val="en-US"/>
        </w:rPr>
        <w:t>10.1.</w:t>
      </w:r>
      <w:r w:rsidRPr="00063CE2">
        <w:rPr>
          <w:noProof w:val="0"/>
          <w:color w:val="000000" w:themeColor="text1"/>
          <w:lang w:val="en-US"/>
        </w:rPr>
        <w:t xml:space="preserve"> Perform deparaffinization to enable reaction with aqueous dye solutions. Perform it using xylene and decreasing alcohol concentration (5</w:t>
      </w:r>
      <w:r w:rsidR="00F736EB" w:rsidRPr="00063CE2">
        <w:rPr>
          <w:noProof w:val="0"/>
          <w:color w:val="000000" w:themeColor="text1"/>
          <w:lang w:val="en-US"/>
        </w:rPr>
        <w:t xml:space="preserve"> min</w:t>
      </w:r>
      <w:r w:rsidRPr="00063CE2">
        <w:rPr>
          <w:noProof w:val="0"/>
          <w:color w:val="000000" w:themeColor="text1"/>
          <w:lang w:val="en-US"/>
        </w:rPr>
        <w:t xml:space="preserve"> for every step). Rehydrate</w:t>
      </w:r>
      <w:r w:rsidR="00F736EB" w:rsidRPr="00063CE2">
        <w:rPr>
          <w:noProof w:val="0"/>
          <w:color w:val="000000" w:themeColor="text1"/>
          <w:lang w:val="en-US"/>
        </w:rPr>
        <w:t xml:space="preserve"> for 5 min</w:t>
      </w:r>
      <w:r w:rsidRPr="00063CE2">
        <w:rPr>
          <w:color w:val="000000" w:themeColor="text1"/>
          <w:lang w:val="en-US"/>
        </w:rPr>
        <w:t xml:space="preserve"> </w:t>
      </w:r>
      <w:r w:rsidRPr="00063CE2">
        <w:rPr>
          <w:noProof w:val="0"/>
          <w:color w:val="000000" w:themeColor="text1"/>
          <w:lang w:val="en-US"/>
        </w:rPr>
        <w:t>with distilled water.</w:t>
      </w:r>
    </w:p>
    <w:p w14:paraId="6A60492A" w14:textId="77777777" w:rsidR="00AF5653" w:rsidRPr="00063CE2" w:rsidRDefault="00AF5653" w:rsidP="00AF5653">
      <w:pPr>
        <w:rPr>
          <w:b/>
          <w:bCs/>
          <w:iCs/>
          <w:noProof w:val="0"/>
          <w:color w:val="000000" w:themeColor="text1"/>
          <w:lang w:val="en-US"/>
        </w:rPr>
      </w:pPr>
    </w:p>
    <w:p w14:paraId="0AE3BE68" w14:textId="3D1617E0" w:rsidR="00AF5653" w:rsidRPr="00063CE2" w:rsidRDefault="00AF5653" w:rsidP="00AF5653">
      <w:pPr>
        <w:rPr>
          <w:b/>
          <w:bCs/>
          <w:iCs/>
          <w:noProof w:val="0"/>
          <w:color w:val="000000" w:themeColor="text1"/>
          <w:lang w:val="en-US"/>
        </w:rPr>
      </w:pPr>
      <w:r w:rsidRPr="00063CE2">
        <w:rPr>
          <w:bCs/>
          <w:iCs/>
          <w:noProof w:val="0"/>
          <w:color w:val="000000" w:themeColor="text1"/>
          <w:lang w:val="en-US"/>
        </w:rPr>
        <w:t>10.2. Use the following histological</w:t>
      </w:r>
      <w:r w:rsidRPr="00063CE2">
        <w:rPr>
          <w:b/>
          <w:bCs/>
          <w:iCs/>
          <w:noProof w:val="0"/>
          <w:color w:val="000000" w:themeColor="text1"/>
          <w:lang w:val="en-US"/>
        </w:rPr>
        <w:t xml:space="preserve"> </w:t>
      </w:r>
      <w:r w:rsidRPr="00063CE2">
        <w:rPr>
          <w:bCs/>
          <w:iCs/>
          <w:noProof w:val="0"/>
          <w:color w:val="000000" w:themeColor="text1"/>
          <w:lang w:val="en-US"/>
        </w:rPr>
        <w:t>stainings</w:t>
      </w:r>
      <w:r w:rsidRPr="00063CE2">
        <w:rPr>
          <w:noProof w:val="0"/>
          <w:color w:val="000000" w:themeColor="text1"/>
          <w:lang w:val="en-US"/>
        </w:rPr>
        <w:t xml:space="preserve"> to evaluate architectural and structural tissue abnormalities, and cellular morphology: </w:t>
      </w:r>
      <w:r w:rsidRPr="00063CE2">
        <w:rPr>
          <w:bCs/>
          <w:iCs/>
          <w:noProof w:val="0"/>
          <w:color w:val="000000" w:themeColor="text1"/>
          <w:lang w:val="en-US"/>
        </w:rPr>
        <w:t xml:space="preserve">H&amp;E </w:t>
      </w:r>
      <w:r w:rsidRPr="00063CE2">
        <w:rPr>
          <w:noProof w:val="0"/>
          <w:color w:val="000000" w:themeColor="text1"/>
          <w:lang w:val="en-US"/>
        </w:rPr>
        <w:t xml:space="preserve">(for vascular microscopic lesions and inflammation), </w:t>
      </w:r>
      <w:proofErr w:type="spellStart"/>
      <w:r w:rsidRPr="00063CE2">
        <w:rPr>
          <w:bCs/>
          <w:iCs/>
          <w:noProof w:val="0"/>
          <w:color w:val="000000" w:themeColor="text1"/>
          <w:lang w:val="en-US"/>
        </w:rPr>
        <w:t>Cresyl</w:t>
      </w:r>
      <w:proofErr w:type="spellEnd"/>
      <w:r w:rsidRPr="00063CE2">
        <w:rPr>
          <w:bCs/>
          <w:iCs/>
          <w:noProof w:val="0"/>
          <w:color w:val="000000" w:themeColor="text1"/>
          <w:lang w:val="en-US"/>
        </w:rPr>
        <w:t xml:space="preserve"> Violet (NISSL; for </w:t>
      </w:r>
      <w:r w:rsidRPr="00063CE2">
        <w:rPr>
          <w:noProof w:val="0"/>
          <w:color w:val="000000" w:themeColor="text1"/>
          <w:lang w:val="en-US"/>
        </w:rPr>
        <w:t xml:space="preserve">neuronal loss), </w:t>
      </w:r>
      <w:proofErr w:type="spellStart"/>
      <w:r w:rsidRPr="00063CE2">
        <w:rPr>
          <w:noProof w:val="0"/>
          <w:color w:val="000000" w:themeColor="text1"/>
          <w:lang w:val="en-US"/>
        </w:rPr>
        <w:t>Luxol</w:t>
      </w:r>
      <w:proofErr w:type="spellEnd"/>
      <w:r w:rsidRPr="00063CE2">
        <w:rPr>
          <w:noProof w:val="0"/>
          <w:color w:val="000000" w:themeColor="text1"/>
          <w:lang w:val="en-US"/>
        </w:rPr>
        <w:t xml:space="preserve"> Fast Blue (LFB; for demyelination), </w:t>
      </w:r>
      <w:proofErr w:type="spellStart"/>
      <w:r w:rsidRPr="00063CE2">
        <w:rPr>
          <w:noProof w:val="0"/>
          <w:color w:val="000000" w:themeColor="text1"/>
          <w:lang w:val="en-US"/>
        </w:rPr>
        <w:t>Gallyas</w:t>
      </w:r>
      <w:proofErr w:type="spellEnd"/>
      <w:r w:rsidRPr="00063CE2">
        <w:rPr>
          <w:noProof w:val="0"/>
          <w:color w:val="000000" w:themeColor="text1"/>
          <w:lang w:val="en-US"/>
        </w:rPr>
        <w:t xml:space="preserve"> (for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and neuropil threads).</w:t>
      </w:r>
    </w:p>
    <w:p w14:paraId="5E0C4FB4" w14:textId="77777777" w:rsidR="00AF5653" w:rsidRPr="00063CE2" w:rsidRDefault="00AF5653" w:rsidP="00AF5653">
      <w:pPr>
        <w:rPr>
          <w:b/>
          <w:bCs/>
          <w:iCs/>
          <w:noProof w:val="0"/>
          <w:color w:val="000000" w:themeColor="text1"/>
          <w:lang w:val="en-US"/>
        </w:rPr>
      </w:pPr>
    </w:p>
    <w:p w14:paraId="195AA7E0" w14:textId="37D12EA9" w:rsidR="00AF5653" w:rsidRPr="00063CE2" w:rsidRDefault="00AF5653" w:rsidP="00AF5653">
      <w:pPr>
        <w:rPr>
          <w:bCs/>
          <w:noProof w:val="0"/>
          <w:color w:val="000000" w:themeColor="text1"/>
          <w:lang w:val="en-US"/>
        </w:rPr>
      </w:pPr>
      <w:r w:rsidRPr="00063CE2">
        <w:rPr>
          <w:bCs/>
          <w:noProof w:val="0"/>
          <w:color w:val="000000" w:themeColor="text1"/>
          <w:lang w:val="en-US"/>
        </w:rPr>
        <w:t>10.3.</w:t>
      </w:r>
      <w:r w:rsidRPr="00063CE2">
        <w:rPr>
          <w:b/>
          <w:bCs/>
          <w:noProof w:val="0"/>
          <w:color w:val="000000" w:themeColor="text1"/>
          <w:lang w:val="en-US"/>
        </w:rPr>
        <w:t xml:space="preserve"> </w:t>
      </w:r>
      <w:r w:rsidRPr="00063CE2">
        <w:rPr>
          <w:bCs/>
          <w:noProof w:val="0"/>
          <w:color w:val="000000" w:themeColor="text1"/>
          <w:lang w:val="en-US"/>
        </w:rPr>
        <w:t xml:space="preserve">Use immunohistochemistry (IHC) </w:t>
      </w:r>
      <w:r w:rsidRPr="00063CE2">
        <w:rPr>
          <w:noProof w:val="0"/>
          <w:color w:val="000000" w:themeColor="text1"/>
          <w:lang w:val="en-US"/>
        </w:rPr>
        <w:t>in order to highlight the presence of specific target structures. Anti-</w:t>
      </w:r>
      <w:proofErr w:type="spellStart"/>
      <w:r w:rsidRPr="00063CE2">
        <w:rPr>
          <w:noProof w:val="0"/>
          <w:color w:val="000000" w:themeColor="text1"/>
          <w:lang w:val="en-US"/>
        </w:rPr>
        <w:t>NeuN</w:t>
      </w:r>
      <w:proofErr w:type="spellEnd"/>
      <w:r w:rsidRPr="00063CE2">
        <w:rPr>
          <w:noProof w:val="0"/>
          <w:color w:val="000000" w:themeColor="text1"/>
          <w:lang w:val="en-US"/>
        </w:rPr>
        <w:t xml:space="preserve"> and anti-GFAP are used to identify neuronal and glial compartments; 4G8, AT8, α-SYN and TDP-43 are used to identify proteins that aggregate in neurodegenerative diseases (</w:t>
      </w:r>
      <w:r w:rsidR="0026547F" w:rsidRPr="00063CE2">
        <w:rPr>
          <w:b/>
          <w:bCs/>
          <w:noProof w:val="0"/>
          <w:color w:val="000000" w:themeColor="text1"/>
          <w:lang w:val="en-US"/>
        </w:rPr>
        <w:t>Table</w:t>
      </w:r>
      <w:r w:rsidRPr="00063CE2">
        <w:rPr>
          <w:noProof w:val="0"/>
          <w:color w:val="000000" w:themeColor="text1"/>
          <w:lang w:val="en-US"/>
        </w:rPr>
        <w:t xml:space="preserve"> </w:t>
      </w:r>
      <w:r w:rsidR="00005288" w:rsidRPr="00063CE2">
        <w:rPr>
          <w:b/>
          <w:noProof w:val="0"/>
          <w:color w:val="000000" w:themeColor="text1"/>
          <w:lang w:val="en-US"/>
        </w:rPr>
        <w:t>of Materials</w:t>
      </w:r>
      <w:r w:rsidRPr="00063CE2">
        <w:rPr>
          <w:noProof w:val="0"/>
          <w:color w:val="000000" w:themeColor="text1"/>
          <w:lang w:val="en-US"/>
        </w:rPr>
        <w:t>).</w:t>
      </w:r>
    </w:p>
    <w:p w14:paraId="45E6FD0A" w14:textId="77777777" w:rsidR="00AF5653" w:rsidRPr="00063CE2" w:rsidRDefault="00AF5653" w:rsidP="00AF5653">
      <w:pPr>
        <w:rPr>
          <w:noProof w:val="0"/>
          <w:color w:val="000000" w:themeColor="text1"/>
          <w:lang w:val="en-US"/>
        </w:rPr>
      </w:pPr>
    </w:p>
    <w:p w14:paraId="4986391B" w14:textId="5D284240" w:rsidR="00AF5653" w:rsidRPr="00063CE2" w:rsidRDefault="00AF5653" w:rsidP="00AF5653">
      <w:pPr>
        <w:rPr>
          <w:rFonts w:cs="Times New Roman"/>
          <w:noProof w:val="0"/>
          <w:color w:val="000000" w:themeColor="text1"/>
          <w:lang w:val="en-US"/>
        </w:rPr>
      </w:pPr>
      <w:r w:rsidRPr="00063CE2">
        <w:rPr>
          <w:noProof w:val="0"/>
          <w:color w:val="000000" w:themeColor="text1"/>
          <w:lang w:val="en-US"/>
        </w:rPr>
        <w:t xml:space="preserve">10.3.1. Pretreat dewaxed sections with </w:t>
      </w:r>
      <w:r w:rsidRPr="00063CE2">
        <w:rPr>
          <w:rFonts w:cs="Times New Roman"/>
          <w:noProof w:val="0"/>
          <w:color w:val="000000" w:themeColor="text1"/>
          <w:lang w:val="en-US"/>
        </w:rPr>
        <w:t>3% H</w:t>
      </w:r>
      <w:r w:rsidRPr="00063CE2">
        <w:rPr>
          <w:rFonts w:cs="Times New Roman"/>
          <w:noProof w:val="0"/>
          <w:color w:val="000000" w:themeColor="text1"/>
          <w:vertAlign w:val="subscript"/>
          <w:lang w:val="en-US"/>
        </w:rPr>
        <w:t>2</w:t>
      </w:r>
      <w:r w:rsidRPr="00063CE2">
        <w:rPr>
          <w:rFonts w:cs="Times New Roman"/>
          <w:noProof w:val="0"/>
          <w:color w:val="000000" w:themeColor="text1"/>
          <w:lang w:val="en-US"/>
        </w:rPr>
        <w:t>O</w:t>
      </w:r>
      <w:r w:rsidRPr="00063CE2">
        <w:rPr>
          <w:rFonts w:cs="Times New Roman"/>
          <w:noProof w:val="0"/>
          <w:color w:val="000000" w:themeColor="text1"/>
          <w:vertAlign w:val="subscript"/>
          <w:lang w:val="en-US"/>
        </w:rPr>
        <w:t>2</w:t>
      </w:r>
      <w:r w:rsidRPr="00063CE2">
        <w:rPr>
          <w:rFonts w:cs="Times New Roman"/>
          <w:noProof w:val="0"/>
          <w:color w:val="000000" w:themeColor="text1"/>
          <w:lang w:val="en-US"/>
        </w:rPr>
        <w:t xml:space="preserve"> for 10 min then rinse in PBS. Perform </w:t>
      </w:r>
      <w:r w:rsidRPr="00063CE2">
        <w:rPr>
          <w:noProof w:val="0"/>
          <w:color w:val="000000" w:themeColor="text1"/>
          <w:lang w:val="en-US"/>
        </w:rPr>
        <w:t xml:space="preserve">retrieval treatment with citrate </w:t>
      </w:r>
      <w:r w:rsidRPr="00063CE2">
        <w:rPr>
          <w:color w:val="000000" w:themeColor="text1"/>
          <w:lang w:val="en-US"/>
        </w:rPr>
        <w:t>buffer</w:t>
      </w:r>
      <w:r w:rsidR="006B3862" w:rsidRPr="00063CE2">
        <w:rPr>
          <w:color w:val="000000" w:themeColor="text1"/>
          <w:lang w:val="en-US"/>
        </w:rPr>
        <w:t xml:space="preserve"> </w:t>
      </w:r>
      <w:r w:rsidR="006B3862" w:rsidRPr="00063CE2">
        <w:rPr>
          <w:noProof w:val="0"/>
          <w:color w:val="000000" w:themeColor="text1"/>
          <w:lang w:val="en-US"/>
        </w:rPr>
        <w:t>0.01</w:t>
      </w:r>
      <w:r w:rsidR="00F35896" w:rsidRPr="00063CE2">
        <w:rPr>
          <w:noProof w:val="0"/>
          <w:color w:val="000000" w:themeColor="text1"/>
          <w:lang w:val="en-US"/>
        </w:rPr>
        <w:t xml:space="preserve"> </w:t>
      </w:r>
      <w:r w:rsidR="006B3862" w:rsidRPr="00063CE2">
        <w:rPr>
          <w:noProof w:val="0"/>
          <w:color w:val="000000" w:themeColor="text1"/>
          <w:lang w:val="en-US"/>
        </w:rPr>
        <w:t>M pH 6 (microwaved serially for 2, 1 and 2 min)</w:t>
      </w:r>
      <w:r w:rsidRPr="00063CE2">
        <w:rPr>
          <w:noProof w:val="0"/>
          <w:color w:val="000000" w:themeColor="text1"/>
          <w:lang w:val="en-US"/>
        </w:rPr>
        <w:t xml:space="preserve"> </w:t>
      </w:r>
      <w:r w:rsidRPr="00063CE2">
        <w:rPr>
          <w:rFonts w:cs="Times New Roman"/>
          <w:noProof w:val="0"/>
          <w:color w:val="000000" w:themeColor="text1"/>
          <w:lang w:val="en-US"/>
        </w:rPr>
        <w:t xml:space="preserve">for 4G8, </w:t>
      </w:r>
      <w:r w:rsidRPr="00063CE2">
        <w:rPr>
          <w:noProof w:val="0"/>
          <w:color w:val="000000" w:themeColor="text1"/>
          <w:lang w:val="en-US"/>
        </w:rPr>
        <w:t xml:space="preserve">α-SYN, TDP-43 and </w:t>
      </w:r>
      <w:proofErr w:type="spellStart"/>
      <w:r w:rsidRPr="00063CE2">
        <w:rPr>
          <w:noProof w:val="0"/>
          <w:color w:val="000000" w:themeColor="text1"/>
          <w:lang w:val="en-US"/>
        </w:rPr>
        <w:t>NeuN</w:t>
      </w:r>
      <w:proofErr w:type="spellEnd"/>
      <w:r w:rsidRPr="00063CE2">
        <w:rPr>
          <w:noProof w:val="0"/>
          <w:color w:val="000000" w:themeColor="text1"/>
          <w:lang w:val="en-US"/>
        </w:rPr>
        <w:t xml:space="preserve"> antigens;</w:t>
      </w:r>
      <w:r w:rsidRPr="00063CE2">
        <w:rPr>
          <w:rFonts w:cs="Times New Roman"/>
          <w:noProof w:val="0"/>
          <w:color w:val="000000" w:themeColor="text1"/>
          <w:lang w:val="en-US"/>
        </w:rPr>
        <w:t xml:space="preserve"> </w:t>
      </w:r>
      <w:r w:rsidRPr="00063CE2">
        <w:rPr>
          <w:noProof w:val="0"/>
          <w:color w:val="000000" w:themeColor="text1"/>
          <w:lang w:val="en-US"/>
        </w:rPr>
        <w:t>use 70% formic acid</w:t>
      </w:r>
      <w:r w:rsidRPr="00063CE2">
        <w:rPr>
          <w:rFonts w:cs="Times New Roman"/>
          <w:noProof w:val="0"/>
          <w:color w:val="000000" w:themeColor="text1"/>
          <w:lang w:val="en-US"/>
        </w:rPr>
        <w:t xml:space="preserve"> for 4G8 and </w:t>
      </w:r>
      <w:r w:rsidRPr="00063CE2">
        <w:rPr>
          <w:noProof w:val="0"/>
          <w:color w:val="000000" w:themeColor="text1"/>
          <w:lang w:val="en-US"/>
        </w:rPr>
        <w:t xml:space="preserve">α-SYN. </w:t>
      </w:r>
      <w:r w:rsidRPr="00063CE2">
        <w:rPr>
          <w:rFonts w:cs="Times New Roman"/>
          <w:noProof w:val="0"/>
          <w:color w:val="000000" w:themeColor="text1"/>
          <w:lang w:val="en-US"/>
        </w:rPr>
        <w:t>Preincubate for 30 min in 5% normal goat serum.</w:t>
      </w:r>
      <w:r w:rsidRPr="00063CE2">
        <w:rPr>
          <w:noProof w:val="0"/>
          <w:color w:val="000000" w:themeColor="text1"/>
          <w:lang w:val="en-US"/>
        </w:rPr>
        <w:t xml:space="preserve"> </w:t>
      </w:r>
    </w:p>
    <w:p w14:paraId="3D499DCC" w14:textId="77777777" w:rsidR="00AF5653" w:rsidRPr="00063CE2" w:rsidRDefault="00AF5653" w:rsidP="00AF5653">
      <w:pPr>
        <w:rPr>
          <w:rFonts w:cs="Times New Roman"/>
          <w:noProof w:val="0"/>
          <w:color w:val="000000" w:themeColor="text1"/>
          <w:lang w:val="en-US"/>
        </w:rPr>
      </w:pPr>
      <w:r w:rsidRPr="00063CE2">
        <w:rPr>
          <w:rFonts w:cs="Times New Roman"/>
          <w:noProof w:val="0"/>
          <w:color w:val="000000" w:themeColor="text1"/>
          <w:lang w:val="en-US"/>
        </w:rPr>
        <w:t xml:space="preserve"> </w:t>
      </w:r>
    </w:p>
    <w:p w14:paraId="4C375E8B" w14:textId="3F6266EB" w:rsidR="00AF5653" w:rsidRPr="00063CE2" w:rsidRDefault="00AF5653" w:rsidP="00AF5653">
      <w:pPr>
        <w:rPr>
          <w:noProof w:val="0"/>
          <w:color w:val="000000" w:themeColor="text1"/>
          <w:lang w:val="en-US"/>
        </w:rPr>
      </w:pPr>
      <w:r w:rsidRPr="00063CE2">
        <w:rPr>
          <w:rFonts w:cs="Times New Roman"/>
          <w:noProof w:val="0"/>
          <w:color w:val="000000" w:themeColor="text1"/>
          <w:lang w:val="en-US"/>
        </w:rPr>
        <w:t>10.3.2. Incubate overnight at 4</w:t>
      </w:r>
      <w:r w:rsidR="00997CB9" w:rsidRPr="00063CE2">
        <w:rPr>
          <w:rFonts w:cs="Times New Roman"/>
          <w:noProof w:val="0"/>
          <w:color w:val="000000" w:themeColor="text1"/>
          <w:lang w:val="en-US"/>
        </w:rPr>
        <w:t xml:space="preserve"> </w:t>
      </w:r>
      <w:r w:rsidRPr="00063CE2">
        <w:rPr>
          <w:rFonts w:cs="Times New Roman"/>
          <w:noProof w:val="0"/>
          <w:color w:val="000000" w:themeColor="text1"/>
          <w:lang w:val="en-US"/>
        </w:rPr>
        <w:t xml:space="preserve">°C with the primary antibody. </w:t>
      </w:r>
      <w:r w:rsidR="00CB6477" w:rsidRPr="00063CE2">
        <w:rPr>
          <w:noProof w:val="0"/>
          <w:color w:val="000000" w:themeColor="text1"/>
          <w:lang w:val="en-US"/>
        </w:rPr>
        <w:t>On t</w:t>
      </w:r>
      <w:r w:rsidRPr="00063CE2">
        <w:rPr>
          <w:noProof w:val="0"/>
          <w:color w:val="000000" w:themeColor="text1"/>
          <w:lang w:val="en-US"/>
        </w:rPr>
        <w:t>he day after</w:t>
      </w:r>
      <w:r w:rsidR="00CB6477" w:rsidRPr="00063CE2">
        <w:rPr>
          <w:noProof w:val="0"/>
          <w:color w:val="000000" w:themeColor="text1"/>
          <w:lang w:val="en-US"/>
        </w:rPr>
        <w:t>,</w:t>
      </w:r>
      <w:r w:rsidRPr="00063CE2">
        <w:rPr>
          <w:noProof w:val="0"/>
          <w:color w:val="000000" w:themeColor="text1"/>
          <w:lang w:val="en-US"/>
        </w:rPr>
        <w:t xml:space="preserve"> rinse the sections in PBS before incubation with the secondary antibody (Envision+</w:t>
      </w:r>
      <w:r w:rsidR="00CB6477" w:rsidRPr="00063CE2">
        <w:rPr>
          <w:noProof w:val="0"/>
          <w:color w:val="000000" w:themeColor="text1"/>
          <w:lang w:val="en-US"/>
        </w:rPr>
        <w:t xml:space="preserve"> </w:t>
      </w:r>
      <w:r w:rsidRPr="00063CE2">
        <w:rPr>
          <w:noProof w:val="0"/>
          <w:color w:val="000000" w:themeColor="text1"/>
          <w:lang w:val="en-US"/>
        </w:rPr>
        <w:t>System-HRP labeled Polymer)</w:t>
      </w:r>
      <w:r w:rsidRPr="00063CE2">
        <w:rPr>
          <w:rFonts w:cs="Times New Roman"/>
          <w:noProof w:val="0"/>
          <w:color w:val="000000" w:themeColor="text1"/>
          <w:lang w:val="en-US"/>
        </w:rPr>
        <w:t xml:space="preserve"> at a dilution of 1:2 in PBS for 1 h at room temperature.</w:t>
      </w:r>
      <w:r w:rsidRPr="00063CE2">
        <w:rPr>
          <w:noProof w:val="0"/>
          <w:color w:val="000000" w:themeColor="text1"/>
          <w:lang w:val="en-US"/>
        </w:rPr>
        <w:t xml:space="preserve"> </w:t>
      </w:r>
    </w:p>
    <w:p w14:paraId="0332E69F" w14:textId="77777777" w:rsidR="00AF5653" w:rsidRPr="00063CE2" w:rsidRDefault="00AF5653" w:rsidP="00AF5653">
      <w:pPr>
        <w:rPr>
          <w:rFonts w:cs="Times New Roman"/>
          <w:noProof w:val="0"/>
          <w:color w:val="000000" w:themeColor="text1"/>
          <w:lang w:val="en-US"/>
        </w:rPr>
      </w:pPr>
    </w:p>
    <w:p w14:paraId="52C6195C" w14:textId="6A4403E7" w:rsidR="00AF5653" w:rsidRPr="00063CE2" w:rsidRDefault="00AF5653" w:rsidP="00AF5653">
      <w:pPr>
        <w:rPr>
          <w:rFonts w:cs="Times New Roman"/>
          <w:noProof w:val="0"/>
          <w:color w:val="000000" w:themeColor="text1"/>
          <w:lang w:val="en-US"/>
        </w:rPr>
      </w:pPr>
      <w:r w:rsidRPr="00063CE2">
        <w:rPr>
          <w:rFonts w:cs="Times New Roman"/>
          <w:noProof w:val="0"/>
          <w:color w:val="000000" w:themeColor="text1"/>
          <w:lang w:val="en-US"/>
        </w:rPr>
        <w:t xml:space="preserve">10.3.3. Wash several times in PBS and incubate in chromogen system with diaminobenzidine (Liquid </w:t>
      </w:r>
      <w:proofErr w:type="spellStart"/>
      <w:r w:rsidRPr="00063CE2">
        <w:rPr>
          <w:rFonts w:cs="Times New Roman"/>
          <w:noProof w:val="0"/>
          <w:color w:val="000000" w:themeColor="text1"/>
          <w:lang w:val="en-US"/>
        </w:rPr>
        <w:t>DAB+Substrate</w:t>
      </w:r>
      <w:proofErr w:type="spellEnd"/>
      <w:r w:rsidRPr="00063CE2">
        <w:rPr>
          <w:rFonts w:cs="Times New Roman"/>
          <w:noProof w:val="0"/>
          <w:color w:val="000000" w:themeColor="text1"/>
          <w:lang w:val="en-US"/>
        </w:rPr>
        <w:t xml:space="preserve"> Chromogen System) looking at reaction development under the </w:t>
      </w:r>
      <w:r w:rsidRPr="00063CE2">
        <w:rPr>
          <w:rFonts w:cs="Times New Roman"/>
          <w:noProof w:val="0"/>
          <w:color w:val="000000" w:themeColor="text1"/>
          <w:lang w:val="en-US"/>
        </w:rPr>
        <w:lastRenderedPageBreak/>
        <w:t>microscope</w:t>
      </w:r>
      <w:r w:rsidR="006C7648" w:rsidRPr="00063CE2">
        <w:rPr>
          <w:rFonts w:cs="Times New Roman"/>
          <w:noProof w:val="0"/>
          <w:color w:val="000000" w:themeColor="text1"/>
          <w:lang w:val="en-US"/>
        </w:rPr>
        <w:t xml:space="preserve"> (magnification 4</w:t>
      </w:r>
      <w:r w:rsidR="00F35896" w:rsidRPr="00063CE2">
        <w:rPr>
          <w:rFonts w:cs="Times New Roman"/>
          <w:noProof w:val="0"/>
          <w:color w:val="000000" w:themeColor="text1"/>
          <w:lang w:val="en-US"/>
        </w:rPr>
        <w:t>–</w:t>
      </w:r>
      <w:r w:rsidR="006C7648" w:rsidRPr="00063CE2">
        <w:rPr>
          <w:rFonts w:cs="Times New Roman"/>
          <w:noProof w:val="0"/>
          <w:color w:val="000000" w:themeColor="text1"/>
          <w:lang w:val="en-US"/>
        </w:rPr>
        <w:t>10</w:t>
      </w:r>
      <w:r w:rsidR="00F35896" w:rsidRPr="00063CE2">
        <w:rPr>
          <w:rFonts w:cs="Times New Roman"/>
          <w:noProof w:val="0"/>
          <w:color w:val="000000" w:themeColor="text1"/>
          <w:lang w:val="en-US"/>
        </w:rPr>
        <w:t>x</w:t>
      </w:r>
      <w:r w:rsidR="006C7648" w:rsidRPr="00063CE2">
        <w:rPr>
          <w:rFonts w:cs="Times New Roman"/>
          <w:noProof w:val="0"/>
          <w:color w:val="000000" w:themeColor="text1"/>
          <w:lang w:val="en-US"/>
        </w:rPr>
        <w:t>)</w:t>
      </w:r>
      <w:r w:rsidRPr="00063CE2">
        <w:rPr>
          <w:rFonts w:cs="Times New Roman"/>
          <w:noProof w:val="0"/>
          <w:color w:val="000000" w:themeColor="text1"/>
          <w:lang w:val="en-US"/>
        </w:rPr>
        <w:t xml:space="preserve">. Finally wash the sections in PBS. Counterstain the sections in </w:t>
      </w:r>
      <w:proofErr w:type="spellStart"/>
      <w:r w:rsidRPr="00063CE2">
        <w:rPr>
          <w:rFonts w:cs="Times New Roman"/>
          <w:noProof w:val="0"/>
          <w:color w:val="000000" w:themeColor="text1"/>
          <w:lang w:val="en-US"/>
        </w:rPr>
        <w:t>haematoxylin</w:t>
      </w:r>
      <w:proofErr w:type="spellEnd"/>
      <w:r w:rsidRPr="00063CE2">
        <w:rPr>
          <w:rFonts w:cs="Times New Roman"/>
          <w:noProof w:val="0"/>
          <w:color w:val="000000" w:themeColor="text1"/>
          <w:lang w:val="en-US"/>
        </w:rPr>
        <w:t>, dehydrate and coverslip with DPX mounting.</w:t>
      </w:r>
    </w:p>
    <w:p w14:paraId="14C7AFB9" w14:textId="77777777" w:rsidR="00AF5653" w:rsidRPr="00063CE2" w:rsidRDefault="00AF5653" w:rsidP="00AF5653">
      <w:pPr>
        <w:rPr>
          <w:rFonts w:cs="Cambria"/>
          <w:noProof w:val="0"/>
          <w:color w:val="000000" w:themeColor="text1"/>
          <w:lang w:val="en-US"/>
        </w:rPr>
      </w:pPr>
    </w:p>
    <w:p w14:paraId="4BAD19C2" w14:textId="37C8E7FE" w:rsidR="00AF5653" w:rsidRPr="00063CE2" w:rsidRDefault="00AF5653" w:rsidP="00AF5653">
      <w:pPr>
        <w:rPr>
          <w:noProof w:val="0"/>
          <w:color w:val="000000" w:themeColor="text1"/>
          <w:lang w:val="en-US"/>
        </w:rPr>
      </w:pPr>
      <w:r w:rsidRPr="00063CE2">
        <w:rPr>
          <w:noProof w:val="0"/>
          <w:color w:val="000000" w:themeColor="text1"/>
          <w:lang w:val="en-US"/>
        </w:rPr>
        <w:t xml:space="preserve">NOTE: </w:t>
      </w:r>
      <w:r w:rsidR="0026547F" w:rsidRPr="00063CE2">
        <w:rPr>
          <w:b/>
          <w:bCs/>
          <w:noProof w:val="0"/>
          <w:color w:val="000000" w:themeColor="text1"/>
          <w:lang w:val="en-US"/>
        </w:rPr>
        <w:t>Table</w:t>
      </w:r>
      <w:r w:rsidRPr="00063CE2">
        <w:rPr>
          <w:noProof w:val="0"/>
          <w:color w:val="000000" w:themeColor="text1"/>
          <w:lang w:val="en-US"/>
        </w:rPr>
        <w:t xml:space="preserve"> </w:t>
      </w:r>
      <w:r w:rsidR="00613451" w:rsidRPr="00063CE2">
        <w:rPr>
          <w:b/>
          <w:bCs/>
          <w:noProof w:val="0"/>
          <w:color w:val="000000" w:themeColor="text1"/>
          <w:lang w:val="en-US"/>
        </w:rPr>
        <w:t>8</w:t>
      </w:r>
      <w:r w:rsidRPr="00063CE2">
        <w:rPr>
          <w:color w:val="000000" w:themeColor="text1"/>
          <w:lang w:val="en-US"/>
        </w:rPr>
        <w:t xml:space="preserve"> </w:t>
      </w:r>
      <w:r w:rsidRPr="00063CE2">
        <w:rPr>
          <w:noProof w:val="0"/>
          <w:color w:val="000000" w:themeColor="text1"/>
          <w:lang w:val="en-US"/>
        </w:rPr>
        <w:t xml:space="preserve">summarizes </w:t>
      </w:r>
      <w:r w:rsidR="00141C0D" w:rsidRPr="00063CE2">
        <w:rPr>
          <w:noProof w:val="0"/>
          <w:color w:val="000000" w:themeColor="text1"/>
          <w:lang w:val="en-US"/>
        </w:rPr>
        <w:t xml:space="preserve">the </w:t>
      </w:r>
      <w:r w:rsidRPr="00063CE2">
        <w:rPr>
          <w:noProof w:val="0"/>
          <w:color w:val="000000" w:themeColor="text1"/>
          <w:lang w:val="en-US"/>
        </w:rPr>
        <w:t xml:space="preserve">standard protocol. Perform H&amp;E staining on all sections, while special/specific stains and reactions are used on selected sections. Selected cases require additional areas or reactions. </w:t>
      </w:r>
      <w:r w:rsidR="0026547F" w:rsidRPr="00063CE2">
        <w:rPr>
          <w:b/>
          <w:bCs/>
          <w:noProof w:val="0"/>
          <w:color w:val="000000" w:themeColor="text1"/>
          <w:lang w:val="en-US"/>
        </w:rPr>
        <w:t>Table</w:t>
      </w:r>
      <w:r w:rsidRPr="00063CE2">
        <w:rPr>
          <w:noProof w:val="0"/>
          <w:color w:val="000000" w:themeColor="text1"/>
          <w:lang w:val="en-US"/>
        </w:rPr>
        <w:t xml:space="preserve"> </w:t>
      </w:r>
      <w:r w:rsidR="00613451" w:rsidRPr="00063CE2">
        <w:rPr>
          <w:b/>
          <w:bCs/>
          <w:noProof w:val="0"/>
          <w:color w:val="000000" w:themeColor="text1"/>
          <w:lang w:val="en-US"/>
        </w:rPr>
        <w:t>of Materials</w:t>
      </w:r>
      <w:r w:rsidRPr="00063CE2">
        <w:rPr>
          <w:color w:val="000000" w:themeColor="text1"/>
          <w:lang w:val="en-US"/>
        </w:rPr>
        <w:t xml:space="preserve"> </w:t>
      </w:r>
      <w:r w:rsidRPr="00063CE2">
        <w:rPr>
          <w:noProof w:val="0"/>
          <w:color w:val="000000" w:themeColor="text1"/>
          <w:lang w:val="en-US"/>
        </w:rPr>
        <w:t xml:space="preserve">shows the details of antibodies used for IHC. </w:t>
      </w:r>
    </w:p>
    <w:p w14:paraId="4AC2013E" w14:textId="77777777" w:rsidR="00AF5653" w:rsidRPr="00063CE2" w:rsidRDefault="00AF5653" w:rsidP="00AF5653">
      <w:pPr>
        <w:rPr>
          <w:noProof w:val="0"/>
          <w:color w:val="000000" w:themeColor="text1"/>
          <w:lang w:val="en-US"/>
        </w:rPr>
      </w:pPr>
    </w:p>
    <w:p w14:paraId="6BE16291" w14:textId="77777777" w:rsidR="003978E5" w:rsidRPr="00063CE2" w:rsidRDefault="00AF5653" w:rsidP="00AF5653">
      <w:pPr>
        <w:rPr>
          <w:b/>
          <w:noProof w:val="0"/>
          <w:color w:val="000000" w:themeColor="text1"/>
          <w:lang w:val="en-US"/>
        </w:rPr>
      </w:pPr>
      <w:r w:rsidRPr="00063CE2">
        <w:rPr>
          <w:b/>
          <w:noProof w:val="0"/>
          <w:color w:val="000000" w:themeColor="text1"/>
          <w:lang w:val="en-US"/>
        </w:rPr>
        <w:t xml:space="preserve">11. Basic neuropathological characterization </w:t>
      </w:r>
    </w:p>
    <w:p w14:paraId="1FBD1027" w14:textId="77777777" w:rsidR="003978E5" w:rsidRPr="00063CE2" w:rsidRDefault="003978E5" w:rsidP="00AF5653">
      <w:pPr>
        <w:rPr>
          <w:b/>
          <w:noProof w:val="0"/>
          <w:color w:val="000000" w:themeColor="text1"/>
          <w:lang w:val="en-US"/>
        </w:rPr>
      </w:pPr>
    </w:p>
    <w:p w14:paraId="59D73900" w14:textId="36459B59" w:rsidR="00AF5653" w:rsidRPr="001F16EC" w:rsidRDefault="003978E5" w:rsidP="00AF5653">
      <w:pPr>
        <w:rPr>
          <w:noProof w:val="0"/>
          <w:color w:val="auto"/>
          <w:lang w:val="en-US"/>
        </w:rPr>
      </w:pPr>
      <w:r w:rsidRPr="00063CE2">
        <w:rPr>
          <w:noProof w:val="0"/>
          <w:color w:val="000000" w:themeColor="text1"/>
          <w:lang w:val="en-US"/>
        </w:rPr>
        <w:t>NOTE: N</w:t>
      </w:r>
      <w:r w:rsidR="00AF5653" w:rsidRPr="00063CE2">
        <w:rPr>
          <w:noProof w:val="0"/>
          <w:color w:val="000000" w:themeColor="text1"/>
          <w:lang w:val="en-US"/>
        </w:rPr>
        <w:t>onspecific brain tissue alterations, vascular pathology, Alzheimer’s Disease (AD) pathology, non</w:t>
      </w:r>
      <w:r w:rsidRPr="00063CE2">
        <w:rPr>
          <w:noProof w:val="0"/>
          <w:color w:val="000000" w:themeColor="text1"/>
          <w:lang w:val="en-US"/>
        </w:rPr>
        <w:t>-</w:t>
      </w:r>
      <w:r w:rsidR="00AF5653" w:rsidRPr="00063CE2">
        <w:rPr>
          <w:noProof w:val="0"/>
          <w:color w:val="000000" w:themeColor="text1"/>
          <w:lang w:val="en-US"/>
        </w:rPr>
        <w:t xml:space="preserve">AD </w:t>
      </w:r>
      <w:proofErr w:type="spellStart"/>
      <w:r w:rsidR="00AF5653" w:rsidRPr="00063CE2">
        <w:rPr>
          <w:noProof w:val="0"/>
          <w:color w:val="000000" w:themeColor="text1"/>
          <w:lang w:val="en-US"/>
        </w:rPr>
        <w:t>TAUopathies</w:t>
      </w:r>
      <w:proofErr w:type="spellEnd"/>
      <w:r w:rsidR="00AF5653" w:rsidRPr="00063CE2">
        <w:rPr>
          <w:noProof w:val="0"/>
          <w:color w:val="000000" w:themeColor="text1"/>
          <w:lang w:val="en-US"/>
        </w:rPr>
        <w:t xml:space="preserve">, </w:t>
      </w:r>
      <w:proofErr w:type="spellStart"/>
      <w:r w:rsidR="003E6A10" w:rsidRPr="00063CE2">
        <w:rPr>
          <w:noProof w:val="0"/>
          <w:color w:val="000000" w:themeColor="text1"/>
          <w:lang w:val="en-US"/>
        </w:rPr>
        <w:t>s</w:t>
      </w:r>
      <w:r w:rsidR="00AF5653" w:rsidRPr="00063CE2">
        <w:rPr>
          <w:noProof w:val="0"/>
          <w:color w:val="000000" w:themeColor="text1"/>
          <w:lang w:val="en-US"/>
        </w:rPr>
        <w:t>ynucleinopathies</w:t>
      </w:r>
      <w:proofErr w:type="spellEnd"/>
      <w:r w:rsidR="00AF5653" w:rsidRPr="00063CE2">
        <w:rPr>
          <w:noProof w:val="0"/>
          <w:color w:val="000000" w:themeColor="text1"/>
          <w:lang w:val="en-US"/>
        </w:rPr>
        <w:t>, TAR DNA-binding Protein (TDP-43) pathology and hippocampal lesions</w:t>
      </w:r>
      <w:r w:rsidRPr="00063CE2">
        <w:rPr>
          <w:noProof w:val="0"/>
          <w:color w:val="000000" w:themeColor="text1"/>
          <w:lang w:val="en-US"/>
        </w:rPr>
        <w:t xml:space="preserve"> are studied. </w:t>
      </w:r>
      <w:r w:rsidR="003851DE" w:rsidRPr="00063CE2">
        <w:rPr>
          <w:noProof w:val="0"/>
          <w:color w:val="000000" w:themeColor="text1"/>
          <w:lang w:val="en-US"/>
        </w:rPr>
        <w:t>A</w:t>
      </w:r>
      <w:r w:rsidR="00AF5653" w:rsidRPr="00063CE2">
        <w:rPr>
          <w:noProof w:val="0"/>
          <w:color w:val="000000" w:themeColor="text1"/>
          <w:lang w:val="en-US"/>
        </w:rPr>
        <w:t>n optic</w:t>
      </w:r>
      <w:r w:rsidRPr="00063CE2">
        <w:rPr>
          <w:noProof w:val="0"/>
          <w:color w:val="000000" w:themeColor="text1"/>
          <w:lang w:val="en-US"/>
        </w:rPr>
        <w:t>al</w:t>
      </w:r>
      <w:r w:rsidR="00AF5653" w:rsidRPr="00063CE2">
        <w:rPr>
          <w:noProof w:val="0"/>
          <w:color w:val="000000" w:themeColor="text1"/>
          <w:lang w:val="en-US"/>
        </w:rPr>
        <w:t xml:space="preserve"> microscope connected </w:t>
      </w:r>
      <w:r w:rsidR="00141C0D" w:rsidRPr="00063CE2">
        <w:rPr>
          <w:noProof w:val="0"/>
          <w:color w:val="000000" w:themeColor="text1"/>
          <w:lang w:val="en-US"/>
        </w:rPr>
        <w:t>to</w:t>
      </w:r>
      <w:r w:rsidR="00AF5653" w:rsidRPr="00063CE2">
        <w:rPr>
          <w:noProof w:val="0"/>
          <w:color w:val="000000" w:themeColor="text1"/>
          <w:lang w:val="en-US"/>
        </w:rPr>
        <w:t xml:space="preserve"> a camera</w:t>
      </w:r>
      <w:r w:rsidR="003851DE" w:rsidRPr="00063CE2">
        <w:rPr>
          <w:noProof w:val="0"/>
          <w:color w:val="000000" w:themeColor="text1"/>
          <w:lang w:val="en-US"/>
        </w:rPr>
        <w:t xml:space="preserve"> is used to</w:t>
      </w:r>
      <w:r w:rsidR="003851DE" w:rsidRPr="00063CE2">
        <w:rPr>
          <w:color w:val="000000" w:themeColor="text1"/>
          <w:lang w:val="en-US"/>
        </w:rPr>
        <w:t xml:space="preserve"> </w:t>
      </w:r>
      <w:r w:rsidR="003851DE" w:rsidRPr="00063CE2">
        <w:rPr>
          <w:noProof w:val="0"/>
          <w:color w:val="000000" w:themeColor="text1"/>
          <w:lang w:val="en-US"/>
        </w:rPr>
        <w:t>detect parenchymal microscopic lesions</w:t>
      </w:r>
      <w:r w:rsidR="00AF5653" w:rsidRPr="00063CE2">
        <w:rPr>
          <w:noProof w:val="0"/>
          <w:color w:val="000000" w:themeColor="text1"/>
          <w:lang w:val="en-US"/>
        </w:rPr>
        <w:t xml:space="preserve">. </w:t>
      </w:r>
      <w:r w:rsidR="00B6463D" w:rsidRPr="00063CE2">
        <w:rPr>
          <w:noProof w:val="0"/>
          <w:color w:val="000000" w:themeColor="text1"/>
          <w:lang w:val="en-US"/>
        </w:rPr>
        <w:t>The h</w:t>
      </w:r>
      <w:r w:rsidR="00AF5653" w:rsidRPr="00063CE2">
        <w:rPr>
          <w:noProof w:val="0"/>
          <w:color w:val="000000" w:themeColor="text1"/>
          <w:lang w:val="en-US"/>
        </w:rPr>
        <w:t>istological assessment</w:t>
      </w:r>
      <w:r w:rsidR="00D3465F" w:rsidRPr="00063CE2">
        <w:rPr>
          <w:noProof w:val="0"/>
          <w:color w:val="000000" w:themeColor="text1"/>
          <w:lang w:val="en-US"/>
        </w:rPr>
        <w:t xml:space="preserve"> is performed by the same team of trained personnel in neuropathology, including a professor of neurology, a neurologist and a pathologist. It</w:t>
      </w:r>
      <w:r w:rsidR="00AF5653" w:rsidRPr="00063CE2">
        <w:rPr>
          <w:noProof w:val="0"/>
          <w:color w:val="000000" w:themeColor="text1"/>
          <w:lang w:val="en-US"/>
        </w:rPr>
        <w:t xml:space="preserve"> is based on a modified </w:t>
      </w:r>
      <w:proofErr w:type="spellStart"/>
      <w:r w:rsidR="00AF5653" w:rsidRPr="00063CE2">
        <w:rPr>
          <w:noProof w:val="0"/>
          <w:color w:val="000000" w:themeColor="text1"/>
          <w:lang w:val="en-US"/>
        </w:rPr>
        <w:t>Montine’s</w:t>
      </w:r>
      <w:proofErr w:type="spellEnd"/>
      <w:r w:rsidR="00AF5653" w:rsidRPr="00063CE2">
        <w:rPr>
          <w:noProof w:val="0"/>
          <w:color w:val="000000" w:themeColor="text1"/>
          <w:lang w:val="en-US"/>
        </w:rPr>
        <w:t xml:space="preserve"> approach</w:t>
      </w:r>
      <w:r w:rsidR="00AF5653" w:rsidRPr="00063CE2">
        <w:rPr>
          <w:noProof w:val="0"/>
          <w:color w:val="000000" w:themeColor="text1"/>
          <w:vertAlign w:val="superscript"/>
          <w:lang w:val="en-US"/>
        </w:rPr>
        <w:fldChar w:fldCharType="begin" w:fldLock="1"/>
      </w:r>
      <w:r w:rsidR="00F84C1A" w:rsidRPr="00063CE2">
        <w:rPr>
          <w:noProof w:val="0"/>
          <w:color w:val="000000" w:themeColor="text1"/>
          <w:vertAlign w:val="superscript"/>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063CE2">
        <w:rPr>
          <w:noProof w:val="0"/>
          <w:color w:val="000000" w:themeColor="text1"/>
          <w:vertAlign w:val="superscript"/>
          <w:lang w:val="en-US"/>
        </w:rPr>
        <w:fldChar w:fldCharType="separate"/>
      </w:r>
      <w:r w:rsidR="0046128C" w:rsidRPr="00063CE2">
        <w:rPr>
          <w:color w:val="000000" w:themeColor="text1"/>
          <w:vertAlign w:val="superscript"/>
          <w:lang w:val="en-US"/>
        </w:rPr>
        <w:t>45</w:t>
      </w:r>
      <w:r w:rsidR="00AF5653" w:rsidRPr="00063CE2">
        <w:rPr>
          <w:noProof w:val="0"/>
          <w:color w:val="000000" w:themeColor="text1"/>
          <w:vertAlign w:val="superscript"/>
          <w:lang w:val="en-US"/>
        </w:rPr>
        <w:fldChar w:fldCharType="end"/>
      </w:r>
      <w:r w:rsidR="00AF5653" w:rsidRPr="00063CE2">
        <w:rPr>
          <w:noProof w:val="0"/>
          <w:color w:val="000000" w:themeColor="text1"/>
          <w:lang w:val="en-US"/>
        </w:rPr>
        <w:t xml:space="preserve"> (</w:t>
      </w:r>
      <w:r w:rsidR="0026547F" w:rsidRPr="00063CE2">
        <w:rPr>
          <w:b/>
          <w:bCs/>
          <w:noProof w:val="0"/>
          <w:color w:val="000000" w:themeColor="text1"/>
          <w:lang w:val="en-US"/>
        </w:rPr>
        <w:t>Table</w:t>
      </w:r>
      <w:r w:rsidR="00AF5653" w:rsidRPr="00063CE2">
        <w:rPr>
          <w:noProof w:val="0"/>
          <w:color w:val="000000" w:themeColor="text1"/>
          <w:lang w:val="en-US"/>
        </w:rPr>
        <w:t xml:space="preserve"> </w:t>
      </w:r>
      <w:r w:rsidR="00620DFA" w:rsidRPr="00063CE2">
        <w:rPr>
          <w:b/>
          <w:bCs/>
          <w:noProof w:val="0"/>
          <w:color w:val="000000" w:themeColor="text1"/>
          <w:lang w:val="en-US"/>
        </w:rPr>
        <w:t>8</w:t>
      </w:r>
      <w:r w:rsidR="00AF5653" w:rsidRPr="00063CE2">
        <w:rPr>
          <w:noProof w:val="0"/>
          <w:color w:val="000000" w:themeColor="text1"/>
          <w:lang w:val="en-US"/>
        </w:rPr>
        <w:t xml:space="preserve">) </w:t>
      </w:r>
      <w:r w:rsidR="006C439F" w:rsidRPr="00063CE2">
        <w:rPr>
          <w:noProof w:val="0"/>
          <w:color w:val="000000" w:themeColor="text1"/>
          <w:lang w:val="en-US"/>
        </w:rPr>
        <w:t xml:space="preserve">also </w:t>
      </w:r>
      <w:r w:rsidR="00AF5653" w:rsidRPr="00063CE2">
        <w:rPr>
          <w:noProof w:val="0"/>
          <w:color w:val="000000" w:themeColor="text1"/>
          <w:lang w:val="en-US"/>
        </w:rPr>
        <w:t>includ</w:t>
      </w:r>
      <w:r w:rsidR="006C439F" w:rsidRPr="00063CE2">
        <w:rPr>
          <w:noProof w:val="0"/>
          <w:color w:val="000000" w:themeColor="text1"/>
          <w:lang w:val="en-US"/>
        </w:rPr>
        <w:t>ing</w:t>
      </w:r>
      <w:r w:rsidRPr="00063CE2">
        <w:rPr>
          <w:rFonts w:ascii="Segoe UI Emoji" w:eastAsia="Segoe UI Emoji" w:hAnsi="Segoe UI Emoji" w:cs="Segoe UI Emoji"/>
          <w:noProof w:val="0"/>
          <w:color w:val="000000" w:themeColor="text1"/>
          <w:lang w:val="en-US"/>
        </w:rPr>
        <w:t>: (</w:t>
      </w:r>
      <w:r w:rsidR="00AF5653" w:rsidRPr="00063CE2">
        <w:rPr>
          <w:noProof w:val="0"/>
          <w:color w:val="000000" w:themeColor="text1"/>
          <w:lang w:val="en-US"/>
        </w:rPr>
        <w:t>1)</w:t>
      </w:r>
      <w:r w:rsidR="00AF5653" w:rsidRPr="00063CE2">
        <w:rPr>
          <w:b/>
          <w:noProof w:val="0"/>
          <w:color w:val="000000" w:themeColor="text1"/>
          <w:lang w:val="en-US"/>
        </w:rPr>
        <w:t xml:space="preserve"> </w:t>
      </w:r>
      <w:r w:rsidR="00AF5653" w:rsidRPr="00063CE2">
        <w:rPr>
          <w:noProof w:val="0"/>
          <w:color w:val="000000" w:themeColor="text1"/>
          <w:lang w:val="en-US"/>
        </w:rPr>
        <w:t xml:space="preserve">Heterogeneous </w:t>
      </w:r>
      <w:r w:rsidR="00AF5653" w:rsidRPr="00063CE2">
        <w:rPr>
          <w:b/>
          <w:noProof w:val="0"/>
          <w:color w:val="000000" w:themeColor="text1"/>
          <w:lang w:val="en-US"/>
        </w:rPr>
        <w:t>non</w:t>
      </w:r>
      <w:r w:rsidR="003E6A10" w:rsidRPr="00063CE2">
        <w:rPr>
          <w:b/>
          <w:noProof w:val="0"/>
          <w:color w:val="000000" w:themeColor="text1"/>
          <w:lang w:val="en-US"/>
        </w:rPr>
        <w:t>-</w:t>
      </w:r>
      <w:r w:rsidR="00AF5653" w:rsidRPr="00063CE2">
        <w:rPr>
          <w:b/>
          <w:noProof w:val="0"/>
          <w:color w:val="000000" w:themeColor="text1"/>
          <w:lang w:val="en-US"/>
        </w:rPr>
        <w:t xml:space="preserve">AD </w:t>
      </w:r>
      <w:proofErr w:type="spellStart"/>
      <w:r w:rsidR="00AF5653" w:rsidRPr="00063CE2">
        <w:rPr>
          <w:b/>
          <w:noProof w:val="0"/>
          <w:color w:val="000000" w:themeColor="text1"/>
          <w:lang w:val="en-US"/>
        </w:rPr>
        <w:t>TAUopathies</w:t>
      </w:r>
      <w:proofErr w:type="spellEnd"/>
      <w:r w:rsidR="00AF5653" w:rsidRPr="00063CE2">
        <w:rPr>
          <w:noProof w:val="0"/>
          <w:color w:val="000000" w:themeColor="text1"/>
          <w:lang w:val="en-US"/>
        </w:rPr>
        <w:t xml:space="preserve"> which constitute the pathologic hallmark of the </w:t>
      </w:r>
      <w:r w:rsidR="003E6A10" w:rsidRPr="00063CE2">
        <w:rPr>
          <w:noProof w:val="0"/>
          <w:color w:val="000000" w:themeColor="text1"/>
          <w:lang w:val="en-US"/>
        </w:rPr>
        <w:t>F</w:t>
      </w:r>
      <w:r w:rsidR="00AF5653" w:rsidRPr="00063CE2">
        <w:rPr>
          <w:noProof w:val="0"/>
          <w:color w:val="000000" w:themeColor="text1"/>
          <w:lang w:val="en-US"/>
        </w:rPr>
        <w:t>ronto-</w:t>
      </w:r>
      <w:r w:rsidR="003E6A10" w:rsidRPr="00063CE2">
        <w:rPr>
          <w:noProof w:val="0"/>
          <w:color w:val="000000" w:themeColor="text1"/>
          <w:lang w:val="en-US"/>
        </w:rPr>
        <w:t>T</w:t>
      </w:r>
      <w:r w:rsidR="00AF5653" w:rsidRPr="00063CE2">
        <w:rPr>
          <w:noProof w:val="0"/>
          <w:color w:val="000000" w:themeColor="text1"/>
          <w:lang w:val="en-US"/>
        </w:rPr>
        <w:t xml:space="preserve">emporal </w:t>
      </w:r>
      <w:r w:rsidR="003E6A10" w:rsidRPr="00063CE2">
        <w:rPr>
          <w:noProof w:val="0"/>
          <w:color w:val="000000" w:themeColor="text1"/>
          <w:lang w:val="en-US"/>
        </w:rPr>
        <w:t>L</w:t>
      </w:r>
      <w:r w:rsidR="00AF5653" w:rsidRPr="00063CE2">
        <w:rPr>
          <w:noProof w:val="0"/>
          <w:color w:val="000000" w:themeColor="text1"/>
          <w:lang w:val="en-US"/>
        </w:rPr>
        <w:t xml:space="preserve">obe </w:t>
      </w:r>
      <w:r w:rsidR="003E6A10" w:rsidRPr="00063CE2">
        <w:rPr>
          <w:noProof w:val="0"/>
          <w:color w:val="000000" w:themeColor="text1"/>
          <w:lang w:val="en-US"/>
        </w:rPr>
        <w:t>D</w:t>
      </w:r>
      <w:r w:rsidR="00AF5653" w:rsidRPr="00063CE2">
        <w:rPr>
          <w:noProof w:val="0"/>
          <w:color w:val="000000" w:themeColor="text1"/>
          <w:lang w:val="en-US"/>
        </w:rPr>
        <w:t>egeneration (FTLD) related to TAU deposits: Pick’s disease, non</w:t>
      </w:r>
      <w:r w:rsidRPr="00063CE2">
        <w:rPr>
          <w:noProof w:val="0"/>
          <w:color w:val="000000" w:themeColor="text1"/>
          <w:lang w:val="en-US"/>
        </w:rPr>
        <w:t>-</w:t>
      </w:r>
      <w:r w:rsidR="00AF5653" w:rsidRPr="00063CE2">
        <w:rPr>
          <w:noProof w:val="0"/>
          <w:color w:val="000000" w:themeColor="text1"/>
          <w:lang w:val="en-US"/>
        </w:rPr>
        <w:t xml:space="preserve">fluent </w:t>
      </w:r>
      <w:r w:rsidR="003E6A10" w:rsidRPr="00063CE2">
        <w:rPr>
          <w:noProof w:val="0"/>
          <w:color w:val="000000" w:themeColor="text1"/>
          <w:lang w:val="en-US"/>
        </w:rPr>
        <w:t>P</w:t>
      </w:r>
      <w:r w:rsidR="00AF5653" w:rsidRPr="00063CE2">
        <w:rPr>
          <w:noProof w:val="0"/>
          <w:color w:val="000000" w:themeColor="text1"/>
          <w:lang w:val="en-US"/>
        </w:rPr>
        <w:t xml:space="preserve">rimary </w:t>
      </w:r>
      <w:r w:rsidR="003E6A10" w:rsidRPr="00063CE2">
        <w:rPr>
          <w:noProof w:val="0"/>
          <w:color w:val="000000" w:themeColor="text1"/>
          <w:lang w:val="en-US"/>
        </w:rPr>
        <w:t>P</w:t>
      </w:r>
      <w:r w:rsidR="00AF5653" w:rsidRPr="00063CE2">
        <w:rPr>
          <w:noProof w:val="0"/>
          <w:color w:val="000000" w:themeColor="text1"/>
          <w:lang w:val="en-US"/>
        </w:rPr>
        <w:t xml:space="preserve">rogressive </w:t>
      </w:r>
      <w:r w:rsidR="003E6A10" w:rsidRPr="00063CE2">
        <w:rPr>
          <w:noProof w:val="0"/>
          <w:color w:val="000000" w:themeColor="text1"/>
          <w:lang w:val="en-US"/>
        </w:rPr>
        <w:t>A</w:t>
      </w:r>
      <w:r w:rsidR="00AF5653" w:rsidRPr="00063CE2">
        <w:rPr>
          <w:noProof w:val="0"/>
          <w:color w:val="000000" w:themeColor="text1"/>
          <w:lang w:val="en-US"/>
        </w:rPr>
        <w:t>phasia (TAU-</w:t>
      </w:r>
      <w:proofErr w:type="spellStart"/>
      <w:r w:rsidR="00AF5653" w:rsidRPr="00063CE2">
        <w:rPr>
          <w:noProof w:val="0"/>
          <w:color w:val="000000" w:themeColor="text1"/>
          <w:lang w:val="en-US"/>
        </w:rPr>
        <w:t>nfPPA</w:t>
      </w:r>
      <w:proofErr w:type="spellEnd"/>
      <w:r w:rsidR="00AF5653" w:rsidRPr="00063CE2">
        <w:rPr>
          <w:noProof w:val="0"/>
          <w:color w:val="000000" w:themeColor="text1"/>
          <w:lang w:val="en-US"/>
        </w:rPr>
        <w:t xml:space="preserve">), </w:t>
      </w:r>
      <w:r w:rsidR="003E6A10" w:rsidRPr="00063CE2">
        <w:rPr>
          <w:noProof w:val="0"/>
          <w:color w:val="000000" w:themeColor="text1"/>
          <w:lang w:val="en-US"/>
        </w:rPr>
        <w:t>P</w:t>
      </w:r>
      <w:r w:rsidR="00AF5653" w:rsidRPr="00063CE2">
        <w:rPr>
          <w:noProof w:val="0"/>
          <w:color w:val="000000" w:themeColor="text1"/>
          <w:lang w:val="en-US"/>
        </w:rPr>
        <w:t xml:space="preserve">rogressive </w:t>
      </w:r>
      <w:r w:rsidR="003E6A10" w:rsidRPr="00063CE2">
        <w:rPr>
          <w:noProof w:val="0"/>
          <w:color w:val="000000" w:themeColor="text1"/>
          <w:lang w:val="en-US"/>
        </w:rPr>
        <w:t>S</w:t>
      </w:r>
      <w:r w:rsidR="00141C0D" w:rsidRPr="00063CE2">
        <w:rPr>
          <w:noProof w:val="0"/>
          <w:color w:val="000000" w:themeColor="text1"/>
          <w:lang w:val="en-US"/>
        </w:rPr>
        <w:t>u</w:t>
      </w:r>
      <w:r w:rsidR="00AF5653" w:rsidRPr="00063CE2">
        <w:rPr>
          <w:noProof w:val="0"/>
          <w:color w:val="000000" w:themeColor="text1"/>
          <w:lang w:val="en-US"/>
        </w:rPr>
        <w:t xml:space="preserve">pranuclear </w:t>
      </w:r>
      <w:r w:rsidR="003E6A10" w:rsidRPr="00063CE2">
        <w:rPr>
          <w:noProof w:val="0"/>
          <w:color w:val="000000" w:themeColor="text1"/>
          <w:lang w:val="en-US"/>
        </w:rPr>
        <w:t>P</w:t>
      </w:r>
      <w:r w:rsidR="00AF5653" w:rsidRPr="00063CE2">
        <w:rPr>
          <w:noProof w:val="0"/>
          <w:color w:val="000000" w:themeColor="text1"/>
          <w:lang w:val="en-US"/>
        </w:rPr>
        <w:t>alsy (PSP)</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{"citationItems":[{"id":"ITEM-1","itemData":{"ISSN":"14744422","author":[{"dropping-particle":"","family":"Boxer","given":"Adam L","non-dropping-particle":"","parse-names":false,"suffix":""},{"dropping-particle":"","family":"Yu","given":"Jin-Tai","non-dropping-particle":"","parse-names":false,"suffix":""},{"dropping-particle":"","family":"Golbe","given":"Lawrence I","non-dropping-particle":"","parse-names":false,"suffix":""},{"dropping-particle":"","family":"Litvan","given":"Irene","non-dropping-particle":"","parse-names":false,"suffix":""},{"dropping-particle":"","family":"Lang","given":"Anthony E","non-dropping-particle":"","parse-names":false,"suffix":""},{"dropping-particle":"","family":"Höglinger","given":"Günter U","non-dropping-particle":"","parse-names":false,"suffix":""}],"container-title":"The Lancet Neurology","id":"ITEM-1","issue":"7","issued":{"date-parts":[["2017","7"]]},"page":"552-563","title":"Advances in progressive supranuclear palsy: new diagnostic criteria, biomarkers, and therapeutic approaches","type":"article-journal","volume":"16"},"uris":["http://www.mendeley.com/documents/?uuid=e2acd2f3-a0eb-3dde-9c86-e4cc0c3eb657"]},{"id":"ITEM-2","itemData":{"ISSN":"1473-6551","PMID":"20610990","abstract":"PURPOSE OF REVIEW Neurodegenerative tauopathies, of which progressive supranuclear palsy (PSP) is one of the most common, are clinically heterogeneous, reflecting differences in distribution and biochemical composition of tau pathology. This review highlights the range of clinical and pathologic presentations of PSP and its variants. RECENT FINDINGS Progressive supranuclear palsy is a 4R tauopathy with neuronal and glial tau-immunoreactive lesions in neuroanatomically specific nuclei in the basal ganglia, diencephalon, brainstem and cerebellum, with restricted involvement of the neocortex. Hierarchical cluster analyses of clinical and pathologic features of PSP indicate that there are distinct clinicopathologic variants of PSP. In variants of PSP presenting with focal cortical syndromes, such as frontotemporal dementia, corticobasal syndrome and apraxia of speech, there is greater cortical pathology than in typical PSP. In variants of PSP presenting with levodopa-responsive Parkinsonism, as well as pure akinesia and gait failure, there is less cortical pathology and more severe degeneration in the cardinal nuclei - globus pallidus, subthalamic nucleus and substantia nigra - than in typical PSP. SUMMARY Clinical variants in PSP reflect varying anatomical distribution of tau pathology, but they share histopathologic, biochemical and genetic features with typical PSP. The basis for anatomical selective vulnerability in PSP and its variants remains to be determined.","author":[{"dropping-particle":"","family":"Dickson","given":"Dennis W","non-dropping-particle":"","parse-names":false,"suffix":""},{"dropping-particle":"","family":"Ahmed","given":"Zeshan","non-dropping-particle":"","parse-names":false,"suffix":""},{"dropping-particle":"","family":"Algom","given":"Avi A","non-dropping-particle":"","parse-names":false,"suffix":""},{"dropping-particle":"","family":"Tsuboi","given":"Yoshio","non-dropping-particle":"","parse-names":false,"suffix":""},{"dropping-particle":"","family":"Josephs","given":"Keith A","non-dropping-particle":"","parse-names":false,"suffix":""}],"container-title":"Current opinion in neurology","id":"ITEM-2","issue":"4","issued":{"date-parts":[["2010","8"]]},"page":"394-400","title":"Neuropathology of variants of progressive supranuclear palsy.","type":"article-journal","volume":"23"},"uris":["http://www.mendeley.com/documents/?uuid=46eaabaf-66bf-3371-ba6a-02df37a44ca5"]}],"mendeley":{"formattedCitation":"&lt;sup&gt;46, 47&lt;/sup&gt;","plainTextFormattedCitation":"46, 47","previouslyFormattedCitation":"&lt;sup&gt;46, 47&lt;/sup&gt;"},"properties":{"noteIndex":0},"schema":"https://github.com/citation-style-language/schema/raw/master/csl-citation.json"}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46, 47</w:t>
      </w:r>
      <w:r w:rsidR="00AF5653" w:rsidRPr="00063CE2">
        <w:rPr>
          <w:noProof w:val="0"/>
          <w:color w:val="000000" w:themeColor="text1"/>
          <w:lang w:val="en-US"/>
        </w:rPr>
        <w:fldChar w:fldCharType="end"/>
      </w:r>
      <w:r w:rsidR="00AF5653" w:rsidRPr="00063CE2">
        <w:rPr>
          <w:noProof w:val="0"/>
          <w:color w:val="000000" w:themeColor="text1"/>
          <w:lang w:val="en-US"/>
        </w:rPr>
        <w:t xml:space="preserve"> and </w:t>
      </w:r>
      <w:r w:rsidR="003E6A10" w:rsidRPr="00063CE2">
        <w:rPr>
          <w:noProof w:val="0"/>
          <w:color w:val="000000" w:themeColor="text1"/>
          <w:lang w:val="en-US"/>
        </w:rPr>
        <w:t>C</w:t>
      </w:r>
      <w:r w:rsidR="00AF5653" w:rsidRPr="00063CE2">
        <w:rPr>
          <w:noProof w:val="0"/>
          <w:color w:val="000000" w:themeColor="text1"/>
          <w:lang w:val="en-US"/>
        </w:rPr>
        <w:t>ortico-</w:t>
      </w:r>
      <w:r w:rsidR="003E6A10" w:rsidRPr="00063CE2">
        <w:rPr>
          <w:noProof w:val="0"/>
          <w:color w:val="000000" w:themeColor="text1"/>
          <w:lang w:val="en-US"/>
        </w:rPr>
        <w:t>B</w:t>
      </w:r>
      <w:r w:rsidR="00AF5653" w:rsidRPr="00063CE2">
        <w:rPr>
          <w:noProof w:val="0"/>
          <w:color w:val="000000" w:themeColor="text1"/>
          <w:lang w:val="en-US"/>
        </w:rPr>
        <w:t xml:space="preserve">asal </w:t>
      </w:r>
      <w:r w:rsidR="003E6A10" w:rsidRPr="00063CE2">
        <w:rPr>
          <w:noProof w:val="0"/>
          <w:color w:val="000000" w:themeColor="text1"/>
          <w:lang w:val="en-US"/>
        </w:rPr>
        <w:t>D</w:t>
      </w:r>
      <w:r w:rsidR="00AF5653" w:rsidRPr="00063CE2">
        <w:rPr>
          <w:noProof w:val="0"/>
          <w:color w:val="000000" w:themeColor="text1"/>
          <w:lang w:val="en-US"/>
        </w:rPr>
        <w:t>egeneration (CBD)</w:t>
      </w:r>
      <w:bookmarkStart w:id="5" w:name="_Hlk8842266"/>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48</w:t>
      </w:r>
      <w:r w:rsidR="00AF5653" w:rsidRPr="00063CE2">
        <w:rPr>
          <w:noProof w:val="0"/>
          <w:color w:val="000000" w:themeColor="text1"/>
          <w:lang w:val="en-US"/>
        </w:rPr>
        <w:fldChar w:fldCharType="end"/>
      </w:r>
      <w:bookmarkEnd w:id="5"/>
      <w:r w:rsidR="00AF5653" w:rsidRPr="00063CE2">
        <w:rPr>
          <w:noProof w:val="0"/>
          <w:color w:val="000000" w:themeColor="text1"/>
          <w:lang w:val="en-US"/>
        </w:rPr>
        <w:t xml:space="preserve">. In addition, </w:t>
      </w:r>
      <w:r w:rsidR="00596394" w:rsidRPr="00063CE2">
        <w:rPr>
          <w:noProof w:val="0"/>
          <w:color w:val="000000" w:themeColor="text1"/>
          <w:lang w:val="en-US"/>
        </w:rPr>
        <w:t>n</w:t>
      </w:r>
      <w:r w:rsidR="003E6A10" w:rsidRPr="00063CE2">
        <w:rPr>
          <w:noProof w:val="0"/>
          <w:color w:val="000000" w:themeColor="text1"/>
          <w:lang w:val="en-US"/>
        </w:rPr>
        <w:t xml:space="preserve">on-AD </w:t>
      </w:r>
      <w:proofErr w:type="spellStart"/>
      <w:r w:rsidR="003E6A10" w:rsidRPr="00063CE2">
        <w:rPr>
          <w:noProof w:val="0"/>
          <w:color w:val="000000" w:themeColor="text1"/>
          <w:lang w:val="en-US"/>
        </w:rPr>
        <w:t>TAUopathies</w:t>
      </w:r>
      <w:proofErr w:type="spellEnd"/>
      <w:r w:rsidR="003E6A10" w:rsidRPr="00063CE2">
        <w:rPr>
          <w:noProof w:val="0"/>
          <w:color w:val="000000" w:themeColor="text1"/>
          <w:lang w:val="en-US"/>
        </w:rPr>
        <w:t xml:space="preserve"> </w:t>
      </w:r>
      <w:r w:rsidR="00596394" w:rsidRPr="00063CE2">
        <w:rPr>
          <w:noProof w:val="0"/>
          <w:color w:val="000000" w:themeColor="text1"/>
          <w:lang w:val="en-US"/>
        </w:rPr>
        <w:t>include</w:t>
      </w:r>
      <w:r w:rsidR="00AF5653" w:rsidRPr="00063CE2">
        <w:rPr>
          <w:noProof w:val="0"/>
          <w:color w:val="000000" w:themeColor="text1"/>
          <w:lang w:val="en-US"/>
        </w:rPr>
        <w:t xml:space="preserve"> conditions related to aging and with no definite clinical significance such as </w:t>
      </w:r>
      <w:r w:rsidR="003E6A10" w:rsidRPr="00063CE2">
        <w:rPr>
          <w:noProof w:val="0"/>
          <w:color w:val="000000" w:themeColor="text1"/>
          <w:lang w:val="en-US"/>
        </w:rPr>
        <w:t>P</w:t>
      </w:r>
      <w:r w:rsidR="00AF5653" w:rsidRPr="00063CE2">
        <w:rPr>
          <w:noProof w:val="0"/>
          <w:color w:val="000000" w:themeColor="text1"/>
          <w:lang w:val="en-US"/>
        </w:rPr>
        <w:t xml:space="preserve">rimary </w:t>
      </w:r>
      <w:r w:rsidR="003E6A10" w:rsidRPr="00063CE2">
        <w:rPr>
          <w:noProof w:val="0"/>
          <w:color w:val="000000" w:themeColor="text1"/>
          <w:lang w:val="en-US"/>
        </w:rPr>
        <w:t>A</w:t>
      </w:r>
      <w:r w:rsidR="00AF5653" w:rsidRPr="00063CE2">
        <w:rPr>
          <w:noProof w:val="0"/>
          <w:color w:val="000000" w:themeColor="text1"/>
          <w:lang w:val="en-US"/>
        </w:rPr>
        <w:t>ge-</w:t>
      </w:r>
      <w:r w:rsidR="003E6A10" w:rsidRPr="00063CE2">
        <w:rPr>
          <w:noProof w:val="0"/>
          <w:color w:val="000000" w:themeColor="text1"/>
          <w:lang w:val="en-US"/>
        </w:rPr>
        <w:t>R</w:t>
      </w:r>
      <w:r w:rsidR="00AF5653" w:rsidRPr="00063CE2">
        <w:rPr>
          <w:noProof w:val="0"/>
          <w:color w:val="000000" w:themeColor="text1"/>
          <w:lang w:val="en-US"/>
        </w:rPr>
        <w:t xml:space="preserve">elated </w:t>
      </w:r>
      <w:proofErr w:type="spellStart"/>
      <w:r w:rsidR="00AF5653" w:rsidRPr="00063CE2">
        <w:rPr>
          <w:noProof w:val="0"/>
          <w:color w:val="000000" w:themeColor="text1"/>
          <w:lang w:val="en-US"/>
        </w:rPr>
        <w:t>TAUopathy</w:t>
      </w:r>
      <w:proofErr w:type="spellEnd"/>
      <w:r w:rsidR="00AF5653" w:rsidRPr="00063CE2">
        <w:rPr>
          <w:noProof w:val="0"/>
          <w:color w:val="000000" w:themeColor="text1"/>
          <w:lang w:val="en-US"/>
        </w:rPr>
        <w:t xml:space="preserve"> (PART)</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{"citationItems":[{"id":"ITEM-1","itemData":{"ISSN":"1432-0533","PMID":"25348064","abstract":"We recommend a new term, \"primary age-related tauopathy\" (PART), to describe a pathology that is commonly observed in the brains of aged individuals. Many autopsy studies have reported brains with neurofibrillary tangles (NFTs) that are indistinguishable from those of Alzheimer's disease (AD), in the absence of amyloid (Aβ) plaques. For these \"NFT+/Aβ-\" brains, for which formal criteria for AD neuropathologic changes are not met, the NFTs are mostly restricted to structures in the medial temporal lobe, basal forebrain, brainstem, and olfactory areas (bulb and cortex). Symptoms in persons with PART usually range from normal to amnestic cognitive changes, with only a minority exhibiting profound impairment. Because cognitive impairment is often mild, existing clinicopathologic designations, such as \"tangle-only dementia\" and \"tangle-predominant senile dementia\", are imprecise and not appropriate for most subjects. PART is almost universally detectable at autopsy among elderly individuals, yet this pathological process cannot be specifically identified pre-mortem at the present time. Improved biomarkers and tau imaging may enable diagnosis of PART in clinical settings in the future. Indeed, recent studies have identified a common biomarker profile consisting of temporal lobe atrophy and tauopathy without evidence of Aβ accumulation. For both researchers and clinicians, a revised nomenclature will raise awareness of this extremely common pathologic change while providing a conceptual foundation for future studies. Prior reports that have elucidated features of the pathologic entity we refer to as PART are discussed, and working neuropathological diagnostic criteria are proposed.","author":[{"dropping-particle":"","family":"Crary","given":"John F","non-dropping-particle":"","parse-names":false,"suffix":""},{"dropping-particle":"","family":"Trojanowski","given":"John Q","non-dropping-particle":"","parse-names":false,"suffix":""},{"dropping-particle":"","family":"Schneider","given":"Julie A","non-dropping-particle":"","parse-names":false,"suffix":""},{"dropping-particle":"","family":"Abisambra","given":"Jose F","non-dropping-particle":"","parse-names":false,"suffix":""},{"dropping-particle":"","family":"Abner","given":"Erin L","non-dropping-particle":"","parse-names":false,"suffix":""},{"dropping-particle":"","family":"Alafuzoff","given":"Irina","non-dropping-particle":"","parse-names":false,"suffix":""},{"dropping-particle":"","family":"Arnold","given":"Steven E","non-dropping-particle":"","parse-names":false,"suffix":""},{"dropping-particle":"","family":"Attems","given":"Johannes","non-dropping-particle":"","parse-names":false,"suffix":""},{"dropping-particle":"","family":"Beach","given":"Thomas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W","non-dropping-particle":"","parse-names":false,"suffix":""},{"dropping-particle":"","family":"Gearing","given":"Marla","non-dropping-particle":"","parse-names":false,"suffix":""},{"dropping-particle":"","family":"Grinberg","given":"Lea T","non-dropping-particle":"","parse-names":false,"suffix":""},{"dropping-particle":"","family":"Hof","given":"Patrick R","non-dropping-particle":"","parse-names":false,"suffix":""},{"dropping-particle":"","family":"Hyman","given":"Bradley T","non-dropping-particle":"","parse-names":false,"suffix":""},{"dropping-particle":"","family":"Jellinger","given":"Kurt","non-dropping-particle":"","parse-names":false,"suffix":""},{"dropping-particle":"","family":"Jicha","given":"Gregory A","non-dropping-particle":"","parse-names":false,"suffix":""},{"dropping-particle":"","family":"Kovacs","given":"Gabor G","non-dropping-particle":"","parse-names":false,"suffix":""},{"dropping-particle":"","family":"Knopman","given":"David S","non-dropping-particle":"","parse-names":false,"suffix":""},{"dropping-particle":"","family":"Kofler","given":"Julia","non-dropping-particle":"","parse-names":false,"suffix":""},{"dropping-particle":"","family":"Kukull","given":"Walter A","non-dropping-particle":"","parse-names":false,"suffix":""},{"dropping-particle":"","family":"Mackenzie","given":"Ian R","non-dropping-particle":"","parse-names":false,"suffix":""},{"dropping-particle":"","family":"Masliah","given":"Eliezer","non-dropping-particle":"","parse-names":false,"suffix":""},{"dropping-particle":"","family":"McKee","given":"Ann","non-dropping-particle":"","parse-names":false,"suffix":""},{"dropping-particle":"","family":"Montine","given":"Thomas J","non-dropping-particle":"","parse-names":false,"suffix":""},{"dropping-particle":"","family":"Murray","given":"Melissa E","non-dropping-particle":"","parse-names":false,"suffix":""},{"dropping-particle":"","family":"Neltner","given":"Janna H","non-dropping-particle":"","parse-names":false,"suffix":""},{"dropping-particle":"","family":"Santa-Maria","given":"Ismael","non-dropping-particle":"","parse-names":false,"suffix":""},{"dropping-particle":"","family":"Seeley","given":"William W","non-dropping-particle":"","parse-names":false,"suffix":""},{"dropping-particle":"","family":"Serrano-Pozo","given":"Alberto","non-dropping-particle":"","parse-names":false,"suffix":""},{"dropping-particle":"","family":"Shelanski","given":"Michael L","non-dropping-particle":"","parse-names":false,"suffix":""},{"dropping-particle":"","family":"Stein","given":"Thor","non-dropping-particle":"","parse-names":false,"suffix":""},{"dropping-particle":"","family":"Takao","given":"Masaki","non-dropping-particle":"","parse-names":false,"suffix":""},{"dropping-particle":"","family":"Thal","given":"Dietmar R","non-dropping-particle":"","parse-names":false,"suffix":""},{"dropping-particle":"","family":"Toledo","given":"Jonathan B","non-dropping-particle":"","parse-names":false,"suffix":""},{"dropping-particle":"","family":"Troncoso","given":"Juan C","non-dropping-particle":"","parse-names":false,"suffix":""},{"dropping-particle":"","family":"Vonsattel","given":"Jean Paul","non-dropping-particle":"","parse-names":false,"suffix":""},{"dropping-particle":"","family":"White","given":"Charles L","non-dropping-particle":"","parse-names":false,"suffix":""},{"dropping-particle":"","family":"Wisniewski","given":"Thomas","non-dropping-particle":"","parse-names":false,"suffix":""},{"dropping-particle":"","family":"Woltjer","given":"Randall L","non-dropping-particle":"","parse-names":false,"suffix":""},{"dropping-particle":"","family":"Yamada","given":"Masahito","non-dropping-particle":"","parse-names":false,"suffix":""},{"dropping-particle":"","family":"Nelson","given":"Peter T","non-dropping-particle":"","parse-names":false,"suffix":""}],"container-title":"Acta neuropathologica","id":"ITEM-1","issue":"6","issued":{"date-parts":[["2014","12","28"]]},"page":"755-66","title":"Primary age-related tauopathy (PART): a common pathology associated with human aging.","type":"article-journal","volume":"128"},"uris":["http://www.mendeley.com/documents/?uuid=8c7194ee-4fe3-3633-9e7e-fe03547239ca"]}],"mendeley":{"formattedCitation":"&lt;sup&gt;49&lt;/sup&gt;","plainTextFormattedCitation":"49","previouslyFormattedCitation":"&lt;sup&gt;49&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49</w:t>
      </w:r>
      <w:r w:rsidR="00AF5653" w:rsidRPr="00063CE2">
        <w:rPr>
          <w:noProof w:val="0"/>
          <w:color w:val="000000" w:themeColor="text1"/>
          <w:lang w:val="en-US"/>
        </w:rPr>
        <w:fldChar w:fldCharType="end"/>
      </w:r>
      <w:r w:rsidR="00AF5653" w:rsidRPr="00063CE2">
        <w:rPr>
          <w:noProof w:val="0"/>
          <w:color w:val="000000" w:themeColor="text1"/>
          <w:lang w:val="en-US"/>
        </w:rPr>
        <w:t xml:space="preserve">, </w:t>
      </w:r>
      <w:r w:rsidR="003E6A10" w:rsidRPr="00063CE2">
        <w:rPr>
          <w:noProof w:val="0"/>
          <w:color w:val="000000" w:themeColor="text1"/>
          <w:lang w:val="en-US"/>
        </w:rPr>
        <w:t>A</w:t>
      </w:r>
      <w:r w:rsidR="00AF5653" w:rsidRPr="00063CE2">
        <w:rPr>
          <w:noProof w:val="0"/>
          <w:color w:val="000000" w:themeColor="text1"/>
          <w:lang w:val="en-US"/>
        </w:rPr>
        <w:t>ge-</w:t>
      </w:r>
      <w:r w:rsidR="003E6A10" w:rsidRPr="00063CE2">
        <w:rPr>
          <w:noProof w:val="0"/>
          <w:color w:val="000000" w:themeColor="text1"/>
          <w:lang w:val="en-US"/>
        </w:rPr>
        <w:t>R</w:t>
      </w:r>
      <w:r w:rsidR="00AF5653" w:rsidRPr="00063CE2">
        <w:rPr>
          <w:noProof w:val="0"/>
          <w:color w:val="000000" w:themeColor="text1"/>
          <w:lang w:val="en-US"/>
        </w:rPr>
        <w:t xml:space="preserve">elated TAU </w:t>
      </w:r>
      <w:r w:rsidR="003E6A10" w:rsidRPr="00063CE2">
        <w:rPr>
          <w:noProof w:val="0"/>
          <w:color w:val="000000" w:themeColor="text1"/>
          <w:lang w:val="en-US"/>
        </w:rPr>
        <w:t>A</w:t>
      </w:r>
      <w:r w:rsidR="00AF5653" w:rsidRPr="00063CE2">
        <w:rPr>
          <w:noProof w:val="0"/>
          <w:color w:val="000000" w:themeColor="text1"/>
          <w:lang w:val="en-US"/>
        </w:rPr>
        <w:t>stro-</w:t>
      </w:r>
      <w:proofErr w:type="spellStart"/>
      <w:r w:rsidR="003E6A10" w:rsidRPr="00063CE2">
        <w:rPr>
          <w:noProof w:val="0"/>
          <w:color w:val="000000" w:themeColor="text1"/>
          <w:lang w:val="en-US"/>
        </w:rPr>
        <w:t>G</w:t>
      </w:r>
      <w:r w:rsidR="00AF5653" w:rsidRPr="00063CE2">
        <w:rPr>
          <w:noProof w:val="0"/>
          <w:color w:val="000000" w:themeColor="text1"/>
          <w:lang w:val="en-US"/>
        </w:rPr>
        <w:t>liopathy</w:t>
      </w:r>
      <w:proofErr w:type="spellEnd"/>
      <w:r w:rsidR="00AF5653" w:rsidRPr="00063CE2">
        <w:rPr>
          <w:noProof w:val="0"/>
          <w:color w:val="000000" w:themeColor="text1"/>
          <w:lang w:val="en-US"/>
        </w:rPr>
        <w:t xml:space="preserve"> (ARTAG)</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{"citationItems":[{"id":"ITEM-1","itemData":{"ISSN":"1432-0533","PMID":"26659578","abstract":"Pathological accumulation of abnormally phosphorylated tau protein in astrocytes is a frequent, but poorly characterized feature of the aging brain. Its etiology is uncertain, but its presence is sufficiently ubiquitous to merit further characterization and classification, which may stimulate clinicopathological studies and research into its pathobiology. This paper aims to harmonize evaluation and nomenclature of aging-related tau astrogliopathy (ARTAG), a term that refers to a morphological spectrum of astroglial pathology detected by tau immunohistochemistry, especially with phosphorylation-dependent and 4R isoform-specific antibodies. ARTAG occurs mainly, but not exclusively, in individuals over 60 years of age. Tau-immunoreactive astrocytes in ARTAG include thorn-shaped astrocytes at the glia limitans and in white matter, as well as solitary or clustered astrocytes with perinuclear cytoplasmic tau immunoreactivity that extends into the astroglial processes as fine fibrillar or granular immunopositivity, typically in gray matter. Various forms of ARTAG may coexist in the same brain and might reflect different pathogenic processes. Based on morphology and anatomical distribution, ARTAG can be distinguished from primary tauopathies, but may be concurrent with primary tauopathies or other disorders. We recommend four steps for evaluation of ARTAG: (1) identification of five types based on the location of either morphologies of tau astrogliopathy: subpial, subependymal, perivascular, white matter, gray matter; (2) documentation of the regional involvement: medial temporal lobe, lobar (frontal, parietal, occipital, lateral temporal), subcortical, brainstem; (3) documentation of the severity of tau astrogliopathy; and (4) description of subregional involvement. Some types of ARTAG may underlie neurological symptoms; however, the clinical significance of ARTAG is currently uncertain and awaits further studies. The goal of this proposal is to raise awareness of astroglial tau pathology in the aged brain, facilitating communication among neuropathologists and researchers, and informing interpretation of clinical biomarkers and imaging studies that focus on tau-related indicators.","author":[{"dropping-particle":"","family":"Kovacs","given":"Gabor G","non-dropping-particle":"","parse-names":false,"suffix":""},{"dropping-particle":"","family":"Ferrer","given":"Isidro","non-dropping-particle":"","parse-names":false,"suffix":""},{"dropping-particle":"","family":"Grinberg","given":"Lea T","non-dropping-particle":"","parse-names":false,"suffix":""},{"dropping-particle":"","family":"Alafuzoff","given":"Irina","non-dropping-particle":"","parse-names":false,"suffix":""},{"dropping-particle":"","family":"Attems","given":"Johannes","non-dropping-particle":"","parse-names":false,"suffix":""},{"dropping-particle":"","family":"Budka","given":"Herbert","non-dropping-particle":"","parse-names":false,"suffix":""},{"dropping-particle":"","family":"Cairns","given":"Nigel J","non-dropping-particle":"","parse-names":false,"suffix":""},{"dropping-particle":"","family":"Crary","given":"John F","non-dropping-particle":"","parse-names":false,"suffix":""},{"dropping-particle":"","family":"Duyckaerts","given":"Charles","non-dropping-particle":"","parse-names":false,"suffix":""},{"dropping-particle":"","family":"Ghetti","given":"Bernardino","non-dropping-particle":"","parse-names":false,"suffix":""},{"dropping-particle":"","family":"Halliday","given":"Glenda M","non-dropping-particle":"","parse-names":false,"suffix":""},{"dropping-particle":"","family":"Ironside","given":"James W","non-dropping-particle":"","parse-names":false,"suffix":""},{"dropping-particle":"","family":"Love","given":"Seth","non-dropping-particle":"","parse-names":false,"suffix":""},{"dropping-particle":"","family":"Mackenzie","given":"Ian R","non-dropping-particle":"","parse-names":false,"suffix":""},{"dropping-particle":"","family":"Munoz","given":"David G","non-dropping-particle":"","parse-names":false,"suffix":""},{"dropping-particle":"","family":"Murray","given":"Melissa E","non-dropping-particle":"","parse-names":false,"suffix":""},{"dropping-particle":"","family":"Nelson","given":"Peter T","non-dropping-particle":"","parse-names":false,"suffix":""},{"dropping-particle":"","family":"Takahashi","given":"Hitoshi","non-dropping-particle":"","parse-names":false,"suffix":""},{"dropping-particle":"","family":"Trojanowski","given":"John Q","non-dropping-particle":"","parse-names":false,"suffix":""},{"dropping-particle":"","family":"Ansorge","given":"Olaf","non-dropping-particle":"","parse-names":false,"suffix":""},{"dropping-particle":"","family":"Arzberger","given":"Thomas","non-dropping-particle":"","parse-names":false,"suffix":""},{"dropping-particle":"","family":"Baborie","given":"Atik","non-dropping-particle":"","parse-names":false,"suffix":""},{"dropping-particle":"","family":"Beach","given":"Thomas G","non-dropping-particle":"","parse-names":false,"suffix":""},{"dropping-particle":"","family":"Bieniek","given":"Kevin F","non-dropping-particle":"","parse-names":false,"suffix":""},{"dropping-particle":"","family":"Bigio","given":"Eileen H","non-dropping-particle":"","parse-names":false,"suffix":""},{"dropping-particle":"","family":"Bodi","given":"Istvan","non-dropping-particle":"","parse-names":false,"suffix":""},{"dropping-particle":"","family":"Dugger","given":"Brittany N","non-dropping-particle":"","parse-names":false,"suffix":""},{"dropping-particle":"","family":"Feany","given":"Mel","non-dropping-particle":"","parse-names":false,"suffix":""},{"dropping-particle":"","family":"Gelpi","given":"Ellen","non-dropping-particle":"","parse-names":false,"suffix":""},{"dropping-particle":"","family":"Gentleman","given":"Stephen M","non-dropping-particle":"","parse-names":false,"suffix":""},{"dropping-particle":"","family":"Giaccone","given":"Giorgio","non-dropping-particle":"","parse-names":false,"suffix":""},{"dropping-particle":"","family":"Hatanpaa","given":"Kimmo J","non-dropping-particle":"","parse-names":false,"suffix":""},{"dropping-particle":"","family":"Heale","given":"Richard","non-dropping-particle":"","parse-names":false,"suffix":""},{"dropping-particle":"","family":"Hof","given":"Patrick R","non-dropping-particle":"","parse-names":false,"suffix":""},{"dropping-particle":"","family":"Hofer","given":"Monika","non-dropping-particle":"","parse-names":false,"suffix":""},{"dropping-particle":"","family":"Hortobágyi","given":"Tibor","non-dropping-particle":"","parse-names":false,"suffix":""},{"dropping-particle":"","family":"Jellinger","given":"Kurt","non-dropping-particle":"","parse-names":false,"suffix":""},{"dropping-particle":"","family":"Jicha","given":"Gregory A","non-dropping-particle":"","parse-names":false,"suffix":""},{"dropping-particle":"","family":"Ince","given":"Paul","non-dropping-particle":"","parse-names":false,"suffix":""},{"dropping-particle":"","family":"Kofler","given":"Julia","non-dropping-particle":"","parse-names":false,"suffix":""},{"dropping-particle":"","family":"Kövari","given":"Enikö","non-dropping-particle":"","parse-names":false,"suffix":""},{"dropping-particle":"","family":"Kril","given":"Jillian J","non-dropping-particle":"","parse-names":false,"suffix":""},{"dropping-particle":"","family":"Mann","given":"David M","non-dropping-particle":"","parse-names":false,"suffix":""},{"dropping-particle":"","family":"Matej","given":"Radoslav","non-dropping-particle":"","parse-names":false,"suffix":""},{"dropping-particle":"","family":"McKee","given":"Ann C","non-dropping-particle":"","parse-names":false,"suffix":""},{"dropping-particle":"","family":"McLean","given":"Catriona","non-dropping-particle":"","parse-names":false,"suffix":""},{"dropping-particle":"","family":"Milenkovic","given":"Ivan","non-dropping-particle":"","parse-names":false,"suffix":""},{"dropping-particle":"","family":"Montine","given":"Thomas J","non-dropping-particle":"","parse-names":false,"suffix":""},{"dropping-particle":"","family":"Murayama","given":"Shigeo","non-dropping-particle":"","parse-names":false,"suffix":""},{"dropping-particle":"","family":"Lee","given":"Edward B","non-dropping-particle":"","parse-names":false,"suffix":""},{"dropping-particle":"","family":"Rahimi","given":"Jasmin","non-dropping-particle":"","parse-names":false,"suffix":""},{"dropping-particle":"","family":"Rodriguez","given":"Roberta D","non-dropping-particle":"","parse-names":false,"suffix":""},{"dropping-particle":"","family":"Rozemüller","given":"Annemieke","non-dropping-particle":"","parse-names":false,"suffix":""},{"dropping-particle":"","family":"Schneider","given":"Julie A","non-dropping-particle":"","parse-names":false,"suffix":""},{"dropping-particle":"","family":"Schultz","given":"Christian","non-dropping-particle":"","parse-names":false,"suffix":""},{"dropping-particle":"","family":"Seeley","given":"William","non-dropping-particle":"","parse-names":false,"suffix":""},{"dropping-particle":"","family":"Seilhean","given":"Danielle","non-dropping-particle":"","parse-names":false,"suffix":""},{"dropping-particle":"","family":"Smith","given":"Colin","non-dropping-particle":"","parse-names":false,"suffix":""},{"dropping-particle":"","family":"Tagliavini","given":"Fabrizio","non-dropping-particle":"","parse-names":false,"suffix":""},{"dropping-particle":"","family":"Takao","given":"Masaki","non-dropping-particle":"","parse-names":false,"suffix":""},{"dropping-particle":"","family":"Thal","given":"Dietmar Rudolf","non-dropping-particle":"","parse-names":false,"suffix":""},{"dropping-particle":"","family":"Toledo","given":"Jon B","non-dropping-particle":"","parse-names":false,"suffix":""},{"dropping-particle":"","family":"Tolnay","given":"Markus","non-dropping-particle":"","parse-names":false,"suffix":""},{"dropping-particle":"","family":"Troncoso","given":"Juan C","non-dropping-particle":"","parse-names":false,"suffix":""},{"dropping-particle":"V","family":"Vinters","given":"Harry","non-dropping-particle":"","parse-names":false,"suffix":""},{"dropping-particle":"","family":"Weis","given":"Serge","non-dropping-particle":"","parse-names":false,"suffix":""},{"dropping-particle":"","family":"Wharton","given":"Stephen B","non-dropping-particle":"","parse-names":false,"suffix":""},{"dropping-particle":"","family":"White","given":"Charles L","non-dropping-particle":"","parse-names":false,"suffix":""},{"dropping-particle":"","family":"Wisniewski","given":"Thomas","non-dropping-particle":"","parse-names":false,"suffix":""},{"dropping-particle":"","family":"Woulfe","given":"John M","non-dropping-particle":"","parse-names":false,"suffix":""},{"dropping-particle":"","family":"Yamada","given":"Masahito","non-dropping-particle":"","parse-names":false,"suffix":""},{"dropping-particle":"","family":"Dickson","given":"Dennis W","non-dropping-particle":"","parse-names":false,"suffix":""}],"container-title":"Acta neuropathologica","id":"ITEM-1","issue":"1","issued":{"date-parts":[["2016","1","10"]]},"page":"87-102","title":"Aging-related tau astrogliopathy (ARTAG): harmonized evaluation strategy.","type":"article-journal","volume":"131"},"uris":["http://www.mendeley.com/documents/?uuid=c56d14c8-02cd-34de-a949-0210514154fd"]}],"mendeley":{"formattedCitation":"&lt;sup&gt;50&lt;/sup&gt;","plainTextFormattedCitation":"50","previouslyFormattedCitation":"&lt;sup&gt;50&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50</w:t>
      </w:r>
      <w:r w:rsidR="00AF5653" w:rsidRPr="00063CE2">
        <w:rPr>
          <w:noProof w:val="0"/>
          <w:color w:val="000000" w:themeColor="text1"/>
          <w:lang w:val="en-US"/>
        </w:rPr>
        <w:fldChar w:fldCharType="end"/>
      </w:r>
      <w:r w:rsidR="00AF5653" w:rsidRPr="00063CE2">
        <w:rPr>
          <w:noProof w:val="0"/>
          <w:color w:val="000000" w:themeColor="text1"/>
          <w:lang w:val="en-US"/>
        </w:rPr>
        <w:t>, arg</w:t>
      </w:r>
      <w:r w:rsidR="005F6FF2" w:rsidRPr="00063CE2">
        <w:rPr>
          <w:noProof w:val="0"/>
          <w:color w:val="000000" w:themeColor="text1"/>
          <w:lang w:val="en-US"/>
        </w:rPr>
        <w:t>y</w:t>
      </w:r>
      <w:r w:rsidR="00AF5653" w:rsidRPr="00063CE2">
        <w:rPr>
          <w:noProof w:val="0"/>
          <w:color w:val="000000" w:themeColor="text1"/>
          <w:lang w:val="en-US"/>
        </w:rPr>
        <w:t>rophilic grain disease</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{"citationItems":[{"id":"ITEM-1","itemData":{"ISBN":"9781405196932","abstract":"2nd ed. Most textbooks on neurodegenerative disorders have used a classification scheme based upon either clinical syndromes or anatomical distribution of the pathology.℗¡ In contrast, this book looks to the future and uses a classification based upon molecular mechanisms, rather than clinical or anatomical boundaries.℗¡ Major advances in molecular genetics and the application of biochemical and immunocytochemical techniques to neurodegenerative disorders have generated this new approach. Throughout most of the current volume, diseases are clustered according to the proteins that accumulate within cells. Neurodegeneration: The Molecular Pathology of Dementia and Movement Disorders; Contents; List of Contributors; Preface; List of Abbreviations; Part 1: Introduction: Basic Mechanisms of Neurodegeneration; 1: Introduction to Neurodegeneration: The Molecular Pathology of Dementia and Movement Disorders; 2: Cell Death and Neurodegeneration; 3: Oxidative Stress and Balance in Neurodegenerative Diseases; 4: Protein Aggregation in Neurodegeneration; 5: Protein Degradation in Neurodegeneration: The Ubiquitin Pathway; 6: Genetics of Neurodegeneration; 7: Transgenic Animal Models of Proteinopathies.","author":[{"dropping-particle":"","family":"Dickson","given":"Dennis.","non-dropping-particle":"","parse-names":false,"suffix":""}],"id":"ITEM-1","issued":{"date-parts":[["2011"]]},"number-of-pages":"477","publisher":"Wiley-Blackwell","title":"Neurodegeneration : the molecular pathology of dementia and movement disorders","type":"book"},"uris":["http://www.mendeley.com/documents/?uuid=0c2db0e2-cdf9-3eff-beee-52b80498757f"]}],"mendeley":{"formattedCitation":"&lt;sup&gt;48&lt;/sup&gt;","plainTextFormattedCitation":"48","previouslyFormattedCitation":"&lt;sup&gt;48&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48</w:t>
      </w:r>
      <w:r w:rsidR="00AF5653" w:rsidRPr="00063CE2">
        <w:rPr>
          <w:noProof w:val="0"/>
          <w:color w:val="000000" w:themeColor="text1"/>
          <w:lang w:val="en-US"/>
        </w:rPr>
        <w:fldChar w:fldCharType="end"/>
      </w:r>
      <w:r w:rsidR="00AF5653" w:rsidRPr="00063CE2">
        <w:rPr>
          <w:noProof w:val="0"/>
          <w:color w:val="000000" w:themeColor="text1"/>
          <w:lang w:val="en-US"/>
        </w:rPr>
        <w:t>.</w:t>
      </w:r>
      <w:r w:rsidRPr="00063CE2">
        <w:rPr>
          <w:noProof w:val="0"/>
          <w:color w:val="000000" w:themeColor="text1"/>
          <w:lang w:val="en-US"/>
        </w:rPr>
        <w:t xml:space="preserve"> (</w:t>
      </w:r>
      <w:r w:rsidR="00AF5653" w:rsidRPr="00063CE2">
        <w:rPr>
          <w:noProof w:val="0"/>
          <w:color w:val="000000" w:themeColor="text1"/>
          <w:lang w:val="en-US"/>
        </w:rPr>
        <w:t xml:space="preserve">2) </w:t>
      </w:r>
      <w:r w:rsidR="00AF5653" w:rsidRPr="00063CE2">
        <w:rPr>
          <w:b/>
          <w:noProof w:val="0"/>
          <w:color w:val="000000" w:themeColor="text1"/>
          <w:lang w:val="en-US"/>
        </w:rPr>
        <w:t xml:space="preserve">Lewy Type </w:t>
      </w:r>
      <w:proofErr w:type="spellStart"/>
      <w:r w:rsidR="00AF5653" w:rsidRPr="00063CE2">
        <w:rPr>
          <w:b/>
          <w:noProof w:val="0"/>
          <w:color w:val="000000" w:themeColor="text1"/>
          <w:lang w:val="en-US"/>
        </w:rPr>
        <w:t>Synucleinopathy</w:t>
      </w:r>
      <w:proofErr w:type="spellEnd"/>
      <w:r w:rsidR="00AF5653" w:rsidRPr="00063CE2">
        <w:rPr>
          <w:b/>
          <w:noProof w:val="0"/>
          <w:color w:val="000000" w:themeColor="text1"/>
          <w:lang w:val="en-US"/>
        </w:rPr>
        <w:t xml:space="preserve"> (LTS) </w:t>
      </w:r>
      <w:r w:rsidR="00AF5653" w:rsidRPr="00063CE2">
        <w:rPr>
          <w:noProof w:val="0"/>
          <w:color w:val="000000" w:themeColor="text1"/>
          <w:lang w:val="en-US"/>
        </w:rPr>
        <w:t>that is related to Parkinson’s Disease (PD) and Lewy Bodies Dementia (LBD). To search for LTS, apply the following hierarch</w:t>
      </w:r>
      <w:r w:rsidR="00086403" w:rsidRPr="00063CE2">
        <w:rPr>
          <w:noProof w:val="0"/>
          <w:color w:val="000000" w:themeColor="text1"/>
          <w:lang w:val="en-US"/>
        </w:rPr>
        <w:t>ic steps:</w:t>
      </w:r>
      <w:r w:rsidR="00AF5653" w:rsidRPr="00063CE2">
        <w:rPr>
          <w:noProof w:val="0"/>
          <w:color w:val="000000" w:themeColor="text1"/>
          <w:lang w:val="en-US"/>
        </w:rPr>
        <w:t xml:space="preserve"> </w:t>
      </w:r>
      <w:r w:rsidR="00D5218E" w:rsidRPr="00063CE2">
        <w:rPr>
          <w:noProof w:val="0"/>
          <w:color w:val="000000" w:themeColor="text1"/>
          <w:lang w:val="en-US"/>
        </w:rPr>
        <w:t xml:space="preserve">at first, </w:t>
      </w:r>
      <w:r w:rsidR="00AF5653" w:rsidRPr="00063CE2">
        <w:rPr>
          <w:noProof w:val="0"/>
          <w:color w:val="000000" w:themeColor="text1"/>
          <w:lang w:val="en-US"/>
        </w:rPr>
        <w:t xml:space="preserve">olfactory bulb, brainstem, amygdala/temporal cortex; if </w:t>
      </w:r>
      <w:r w:rsidR="003851DE" w:rsidRPr="00063CE2">
        <w:rPr>
          <w:noProof w:val="0"/>
          <w:color w:val="000000" w:themeColor="text1"/>
          <w:lang w:val="en-US"/>
        </w:rPr>
        <w:t xml:space="preserve">the previous </w:t>
      </w:r>
      <w:r w:rsidR="00965DE0" w:rsidRPr="00063CE2">
        <w:rPr>
          <w:noProof w:val="0"/>
          <w:color w:val="000000" w:themeColor="text1"/>
          <w:lang w:val="en-US"/>
        </w:rPr>
        <w:t>areas are</w:t>
      </w:r>
      <w:r w:rsidR="00AF5653" w:rsidRPr="00063CE2">
        <w:rPr>
          <w:noProof w:val="0"/>
          <w:color w:val="000000" w:themeColor="text1"/>
          <w:lang w:val="en-US"/>
        </w:rPr>
        <w:t xml:space="preserve"> positive</w:t>
      </w:r>
      <w:r w:rsidR="00965DE0" w:rsidRPr="00063CE2">
        <w:rPr>
          <w:noProof w:val="0"/>
          <w:color w:val="000000" w:themeColor="text1"/>
          <w:lang w:val="en-US"/>
        </w:rPr>
        <w:t>,</w:t>
      </w:r>
      <w:r w:rsidR="00D5218E" w:rsidRPr="00063CE2">
        <w:rPr>
          <w:noProof w:val="0"/>
          <w:color w:val="000000" w:themeColor="text1"/>
          <w:lang w:val="en-US"/>
        </w:rPr>
        <w:t xml:space="preserve"> add</w:t>
      </w:r>
      <w:r w:rsidR="00AF5653" w:rsidRPr="00063CE2">
        <w:rPr>
          <w:noProof w:val="0"/>
          <w:color w:val="000000" w:themeColor="text1"/>
          <w:lang w:val="en-US"/>
        </w:rPr>
        <w:t xml:space="preserve"> limbic structures (hippocampal formation, entorhinal cortex, anterior cingulate), middle frontal gyrus, inferior parietal lobule and occipital cortex</w:t>
      </w:r>
      <w:r w:rsidR="00AF5653"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00AF5653" w:rsidRPr="00063CE2">
        <w:rPr>
          <w:noProof w:val="0"/>
          <w:color w:val="000000" w:themeColor="text1"/>
          <w:lang w:val="en-US"/>
        </w:rPr>
        <w:fldChar w:fldCharType="separate"/>
      </w:r>
      <w:r w:rsidR="0046128C" w:rsidRPr="00063CE2">
        <w:rPr>
          <w:color w:val="000000" w:themeColor="text1"/>
          <w:vertAlign w:val="superscript"/>
          <w:lang w:val="en-US"/>
        </w:rPr>
        <w:t>45</w:t>
      </w:r>
      <w:r w:rsidR="00AF5653" w:rsidRPr="00063CE2">
        <w:rPr>
          <w:noProof w:val="0"/>
          <w:color w:val="000000" w:themeColor="text1"/>
          <w:lang w:val="en-US"/>
        </w:rPr>
        <w:fldChar w:fldCharType="end"/>
      </w:r>
      <w:r w:rsidR="00AF5653" w:rsidRPr="00063CE2">
        <w:rPr>
          <w:noProof w:val="0"/>
          <w:color w:val="000000" w:themeColor="text1"/>
          <w:lang w:val="en-US"/>
        </w:rPr>
        <w:t>. If clinical features of cortical LBD are present (i.e.</w:t>
      </w:r>
      <w:r w:rsidRPr="00063CE2">
        <w:rPr>
          <w:noProof w:val="0"/>
          <w:color w:val="000000" w:themeColor="text1"/>
          <w:lang w:val="en-US"/>
        </w:rPr>
        <w:t>,</w:t>
      </w:r>
      <w:r w:rsidR="00AF5653" w:rsidRPr="00063CE2">
        <w:rPr>
          <w:noProof w:val="0"/>
          <w:color w:val="000000" w:themeColor="text1"/>
          <w:lang w:val="en-US"/>
        </w:rPr>
        <w:t xml:space="preserve"> fluctuations and/or hallucinations), consider limbic structures and </w:t>
      </w:r>
      <w:proofErr w:type="spellStart"/>
      <w:r w:rsidR="00AF5653" w:rsidRPr="00063CE2">
        <w:rPr>
          <w:noProof w:val="0"/>
          <w:color w:val="000000" w:themeColor="text1"/>
          <w:lang w:val="en-US"/>
        </w:rPr>
        <w:t>isocortex</w:t>
      </w:r>
      <w:proofErr w:type="spellEnd"/>
      <w:r w:rsidR="00AF5653" w:rsidRPr="00063CE2">
        <w:rPr>
          <w:noProof w:val="0"/>
          <w:color w:val="000000" w:themeColor="text1"/>
          <w:lang w:val="en-US"/>
        </w:rPr>
        <w:t xml:space="preserve"> for the first step.</w:t>
      </w:r>
      <w:r w:rsidRPr="00063CE2">
        <w:rPr>
          <w:noProof w:val="0"/>
          <w:color w:val="000000" w:themeColor="text1"/>
          <w:lang w:val="en-US"/>
        </w:rPr>
        <w:t xml:space="preserve"> (</w:t>
      </w:r>
      <w:r w:rsidR="00AF5653" w:rsidRPr="00063CE2">
        <w:rPr>
          <w:noProof w:val="0"/>
          <w:color w:val="000000" w:themeColor="text1"/>
          <w:lang w:val="en-US"/>
        </w:rPr>
        <w:t xml:space="preserve">3) </w:t>
      </w:r>
      <w:r w:rsidR="00AF5653" w:rsidRPr="00063CE2">
        <w:rPr>
          <w:b/>
          <w:noProof w:val="0"/>
          <w:color w:val="000000" w:themeColor="text1"/>
          <w:lang w:val="en-US"/>
        </w:rPr>
        <w:t>TDP-43 deposits</w:t>
      </w:r>
      <w:r w:rsidR="00AF5653" w:rsidRPr="00063CE2">
        <w:rPr>
          <w:noProof w:val="0"/>
          <w:color w:val="000000" w:themeColor="text1"/>
          <w:lang w:val="en-US"/>
        </w:rPr>
        <w:t xml:space="preserve">, the pathologic hallmark of FTLD related to TDP-43 deposits: behavioral variant of </w:t>
      </w:r>
      <w:r w:rsidR="005F6FF2" w:rsidRPr="00063CE2">
        <w:rPr>
          <w:noProof w:val="0"/>
          <w:color w:val="000000" w:themeColor="text1"/>
          <w:lang w:val="en-US"/>
        </w:rPr>
        <w:t>F</w:t>
      </w:r>
      <w:r w:rsidR="00AF5653" w:rsidRPr="00063CE2">
        <w:rPr>
          <w:noProof w:val="0"/>
          <w:color w:val="000000" w:themeColor="text1"/>
          <w:lang w:val="en-US"/>
        </w:rPr>
        <w:t>ronto</w:t>
      </w:r>
      <w:r w:rsidR="005F6FF2" w:rsidRPr="00063CE2">
        <w:rPr>
          <w:noProof w:val="0"/>
          <w:color w:val="000000" w:themeColor="text1"/>
          <w:lang w:val="en-US"/>
        </w:rPr>
        <w:t>-T</w:t>
      </w:r>
      <w:r w:rsidR="00AF5653" w:rsidRPr="00063CE2">
        <w:rPr>
          <w:noProof w:val="0"/>
          <w:color w:val="000000" w:themeColor="text1"/>
          <w:lang w:val="en-US"/>
        </w:rPr>
        <w:t xml:space="preserve">emporal </w:t>
      </w:r>
      <w:r w:rsidR="005F6FF2" w:rsidRPr="00063CE2">
        <w:rPr>
          <w:noProof w:val="0"/>
          <w:color w:val="000000" w:themeColor="text1"/>
          <w:lang w:val="en-US"/>
        </w:rPr>
        <w:t>D</w:t>
      </w:r>
      <w:r w:rsidR="00AF5653" w:rsidRPr="00063CE2">
        <w:rPr>
          <w:noProof w:val="0"/>
          <w:color w:val="000000" w:themeColor="text1"/>
          <w:lang w:val="en-US"/>
        </w:rPr>
        <w:t>ementia (</w:t>
      </w:r>
      <w:proofErr w:type="spellStart"/>
      <w:r w:rsidR="00AF5653" w:rsidRPr="00063CE2">
        <w:rPr>
          <w:noProof w:val="0"/>
          <w:color w:val="000000" w:themeColor="text1"/>
          <w:lang w:val="en-US"/>
        </w:rPr>
        <w:t>bvFTD</w:t>
      </w:r>
      <w:proofErr w:type="spellEnd"/>
      <w:r w:rsidR="00AF5653" w:rsidRPr="00063CE2">
        <w:rPr>
          <w:noProof w:val="0"/>
          <w:color w:val="000000" w:themeColor="text1"/>
          <w:lang w:val="en-US"/>
        </w:rPr>
        <w:t xml:space="preserve">), </w:t>
      </w:r>
      <w:r w:rsidR="005F6FF2" w:rsidRPr="00063CE2">
        <w:rPr>
          <w:noProof w:val="0"/>
          <w:color w:val="000000" w:themeColor="text1"/>
          <w:lang w:val="en-US"/>
        </w:rPr>
        <w:t>S</w:t>
      </w:r>
      <w:r w:rsidR="00AF5653" w:rsidRPr="00063CE2">
        <w:rPr>
          <w:noProof w:val="0"/>
          <w:color w:val="000000" w:themeColor="text1"/>
          <w:lang w:val="en-US"/>
        </w:rPr>
        <w:t xml:space="preserve">emantic </w:t>
      </w:r>
      <w:r w:rsidR="005F6FF2" w:rsidRPr="00063CE2">
        <w:rPr>
          <w:noProof w:val="0"/>
          <w:color w:val="000000" w:themeColor="text1"/>
          <w:lang w:val="en-US"/>
        </w:rPr>
        <w:t>D</w:t>
      </w:r>
      <w:r w:rsidR="00AF5653" w:rsidRPr="00063CE2">
        <w:rPr>
          <w:noProof w:val="0"/>
          <w:color w:val="000000" w:themeColor="text1"/>
          <w:lang w:val="en-US"/>
        </w:rPr>
        <w:t>ementia (</w:t>
      </w:r>
      <w:r w:rsidR="005F6FF2" w:rsidRPr="00063CE2">
        <w:rPr>
          <w:noProof w:val="0"/>
          <w:color w:val="000000" w:themeColor="text1"/>
          <w:lang w:val="en-US"/>
        </w:rPr>
        <w:t xml:space="preserve">SD or </w:t>
      </w:r>
      <w:proofErr w:type="spellStart"/>
      <w:r w:rsidR="00AF5653" w:rsidRPr="00063CE2">
        <w:rPr>
          <w:noProof w:val="0"/>
          <w:color w:val="000000" w:themeColor="text1"/>
          <w:lang w:val="en-US"/>
        </w:rPr>
        <w:t>svFTD</w:t>
      </w:r>
      <w:proofErr w:type="spellEnd"/>
      <w:r w:rsidR="00AF5653" w:rsidRPr="00063CE2">
        <w:rPr>
          <w:noProof w:val="0"/>
          <w:color w:val="000000" w:themeColor="text1"/>
          <w:lang w:val="en-US"/>
        </w:rPr>
        <w:t>), TDP-</w:t>
      </w:r>
      <w:proofErr w:type="spellStart"/>
      <w:r w:rsidR="00AF5653" w:rsidRPr="00063CE2">
        <w:rPr>
          <w:noProof w:val="0"/>
          <w:color w:val="000000" w:themeColor="text1"/>
          <w:lang w:val="en-US"/>
        </w:rPr>
        <w:t>nfPPA</w:t>
      </w:r>
      <w:proofErr w:type="spellEnd"/>
      <w:r w:rsidR="00AF5653" w:rsidRPr="00063CE2">
        <w:rPr>
          <w:noProof w:val="0"/>
          <w:color w:val="000000" w:themeColor="text1"/>
          <w:lang w:val="en-US"/>
        </w:rPr>
        <w:t xml:space="preserve"> and FTD-</w:t>
      </w:r>
      <w:r w:rsidR="005F6FF2" w:rsidRPr="00063CE2">
        <w:rPr>
          <w:noProof w:val="0"/>
          <w:color w:val="000000" w:themeColor="text1"/>
          <w:lang w:val="en-US"/>
        </w:rPr>
        <w:t>M</w:t>
      </w:r>
      <w:r w:rsidR="00AF5653" w:rsidRPr="00063CE2">
        <w:rPr>
          <w:noProof w:val="0"/>
          <w:color w:val="000000" w:themeColor="text1"/>
          <w:lang w:val="en-US"/>
        </w:rPr>
        <w:t xml:space="preserve">otor </w:t>
      </w:r>
      <w:r w:rsidR="005F6FF2" w:rsidRPr="00063CE2">
        <w:rPr>
          <w:noProof w:val="0"/>
          <w:color w:val="000000" w:themeColor="text1"/>
          <w:lang w:val="en-US"/>
        </w:rPr>
        <w:t>N</w:t>
      </w:r>
      <w:r w:rsidR="00AF5653" w:rsidRPr="00063CE2">
        <w:rPr>
          <w:noProof w:val="0"/>
          <w:color w:val="000000" w:themeColor="text1"/>
          <w:lang w:val="en-US"/>
        </w:rPr>
        <w:t xml:space="preserve">euron </w:t>
      </w:r>
      <w:r w:rsidR="005F6FF2" w:rsidRPr="00063CE2">
        <w:rPr>
          <w:noProof w:val="0"/>
          <w:color w:val="000000" w:themeColor="text1"/>
          <w:lang w:val="en-US"/>
        </w:rPr>
        <w:t>D</w:t>
      </w:r>
      <w:r w:rsidR="00AF5653" w:rsidRPr="00063CE2">
        <w:rPr>
          <w:noProof w:val="0"/>
          <w:color w:val="000000" w:themeColor="text1"/>
          <w:lang w:val="en-US"/>
        </w:rPr>
        <w:t xml:space="preserve">isease (FTD-MND). The IHC for TDP-43 is performed on the following sections: </w:t>
      </w:r>
      <w:r w:rsidR="00AF5653" w:rsidRPr="00063CE2">
        <w:rPr>
          <w:noProof w:val="0"/>
          <w:color w:val="auto"/>
          <w:lang w:val="en-US"/>
        </w:rPr>
        <w:t xml:space="preserve">amygdala, hippocampus, entorhinal cortex and </w:t>
      </w:r>
      <w:r w:rsidR="00063CE2" w:rsidRPr="001E1FEA">
        <w:rPr>
          <w:noProof w:val="0"/>
          <w:color w:val="FF0000"/>
          <w:lang w:val="en-US"/>
        </w:rPr>
        <w:t>middle frontal gyrus</w:t>
      </w:r>
      <w:r w:rsidR="00AF5653" w:rsidRPr="001E1FEA">
        <w:rPr>
          <w:noProof w:val="0"/>
          <w:color w:val="FF0000"/>
          <w:lang w:val="en-US"/>
        </w:rPr>
        <w:t xml:space="preserve">; in cases with suspected clinical FTLD, </w:t>
      </w:r>
      <w:r w:rsidR="00063CE2" w:rsidRPr="001E1FEA">
        <w:rPr>
          <w:noProof w:val="0"/>
          <w:color w:val="FF0000"/>
          <w:lang w:val="en-US"/>
        </w:rPr>
        <w:t>consider to</w:t>
      </w:r>
      <w:r w:rsidRPr="001E1FEA">
        <w:rPr>
          <w:noProof w:val="0"/>
          <w:color w:val="FF0000"/>
          <w:lang w:val="en-US"/>
        </w:rPr>
        <w:t xml:space="preserve"> </w:t>
      </w:r>
      <w:r w:rsidR="00AF5653" w:rsidRPr="001E1FEA">
        <w:rPr>
          <w:noProof w:val="0"/>
          <w:color w:val="FF0000"/>
          <w:lang w:val="en-US"/>
        </w:rPr>
        <w:t xml:space="preserve">examine </w:t>
      </w:r>
      <w:r w:rsidR="00063CE2" w:rsidRPr="001E1FEA">
        <w:rPr>
          <w:noProof w:val="0"/>
          <w:color w:val="FF0000"/>
          <w:lang w:val="en-US"/>
        </w:rPr>
        <w:t>other sections</w:t>
      </w:r>
      <w:r w:rsidR="00F84C1A" w:rsidRPr="001E1FEA">
        <w:rPr>
          <w:noProof w:val="0"/>
          <w:color w:val="FF0000"/>
          <w:lang w:val="en-US"/>
        </w:rPr>
        <w:fldChar w:fldCharType="begin" w:fldLock="1"/>
      </w:r>
      <w:r w:rsidR="00793071" w:rsidRPr="001E1FEA">
        <w:rPr>
          <w:noProof w:val="0"/>
          <w:color w:val="FF0000"/>
          <w:lang w:val="en-US"/>
        </w:rPr>
        <w:instrText>ADDIN CSL_CITATION {"citationItems":[{"id":"ITEM-1","itemData":{"ISSN":"1435-1463","PMID":"25239189","abstract":"The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1996)","id":"ITEM-1","issue":"7","issued":{"date-parts":[["2015","7","20"]]},"page":"957-72","title":"Neuropathological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lt;/sup&gt;","plainTextFormattedCitation":"51","previouslyFormattedCitation":"&lt;sup&gt;51&lt;/sup&gt;"},"properties":{"noteIndex":0},"schema":"https://github.com/citation-style-language/schema/raw/master/csl-citation.json"}</w:instrText>
      </w:r>
      <w:r w:rsidR="00F84C1A" w:rsidRPr="001E1FEA">
        <w:rPr>
          <w:noProof w:val="0"/>
          <w:color w:val="FF0000"/>
          <w:lang w:val="en-US"/>
        </w:rPr>
        <w:fldChar w:fldCharType="separate"/>
      </w:r>
      <w:r w:rsidR="00F84C1A" w:rsidRPr="001E1FEA">
        <w:rPr>
          <w:color w:val="FF0000"/>
          <w:vertAlign w:val="superscript"/>
          <w:lang w:val="en-US"/>
        </w:rPr>
        <w:t>51</w:t>
      </w:r>
      <w:r w:rsidR="00F84C1A" w:rsidRPr="001E1FEA">
        <w:rPr>
          <w:noProof w:val="0"/>
          <w:color w:val="FF0000"/>
          <w:lang w:val="en-US"/>
        </w:rPr>
        <w:fldChar w:fldCharType="end"/>
      </w:r>
      <w:r w:rsidR="00AF5653" w:rsidRPr="001E1FEA">
        <w:rPr>
          <w:noProof w:val="0"/>
          <w:color w:val="auto"/>
          <w:lang w:val="en-US"/>
        </w:rPr>
        <w:t>.</w:t>
      </w:r>
    </w:p>
    <w:p w14:paraId="30B29B21" w14:textId="77777777" w:rsidR="00AF5653" w:rsidRPr="001F16EC" w:rsidRDefault="00AF5653" w:rsidP="00AF5653">
      <w:pPr>
        <w:rPr>
          <w:noProof w:val="0"/>
          <w:color w:val="auto"/>
          <w:lang w:val="en-US"/>
        </w:rPr>
      </w:pPr>
    </w:p>
    <w:p w14:paraId="4EF60A91" w14:textId="77777777" w:rsidR="00AF5653" w:rsidRPr="00063CE2" w:rsidRDefault="00AF5653" w:rsidP="00AF5653">
      <w:pPr>
        <w:rPr>
          <w:noProof w:val="0"/>
          <w:color w:val="000000" w:themeColor="text1"/>
          <w:lang w:val="en-US"/>
        </w:rPr>
      </w:pPr>
      <w:r w:rsidRPr="00063CE2">
        <w:rPr>
          <w:noProof w:val="0"/>
          <w:color w:val="000000" w:themeColor="text1"/>
          <w:lang w:val="en-US"/>
        </w:rPr>
        <w:t xml:space="preserve">11.1. Evaluate </w:t>
      </w:r>
      <w:r w:rsidRPr="00063CE2">
        <w:rPr>
          <w:b/>
          <w:noProof w:val="0"/>
          <w:color w:val="000000" w:themeColor="text1"/>
          <w:lang w:val="en-US"/>
        </w:rPr>
        <w:t>nonspecific brain tissue alterations</w:t>
      </w:r>
      <w:r w:rsidRPr="00063CE2">
        <w:rPr>
          <w:noProof w:val="0"/>
          <w:color w:val="000000" w:themeColor="text1"/>
          <w:lang w:val="en-US"/>
        </w:rPr>
        <w:t xml:space="preserve"> in selected sections using H&amp;E, NISSL, LFB, and IHC for GFAP and </w:t>
      </w:r>
      <w:proofErr w:type="spellStart"/>
      <w:r w:rsidRPr="00063CE2">
        <w:rPr>
          <w:noProof w:val="0"/>
          <w:color w:val="000000" w:themeColor="text1"/>
          <w:lang w:val="en-US"/>
        </w:rPr>
        <w:t>NeuN</w:t>
      </w:r>
      <w:proofErr w:type="spellEnd"/>
      <w:r w:rsidRPr="00063CE2">
        <w:rPr>
          <w:noProof w:val="0"/>
          <w:color w:val="000000" w:themeColor="text1"/>
          <w:lang w:val="en-US"/>
        </w:rPr>
        <w:t>. Consider neuronal rarefaction, ballooned neurons, spongiosis, gliosis, myelin loss, the presence or absence of inflammatory or tumoral infiltrates</w:t>
      </w:r>
      <w:r w:rsidRPr="00063CE2">
        <w:rPr>
          <w:bCs/>
          <w:noProof w:val="0"/>
          <w:color w:val="000000" w:themeColor="text1"/>
          <w:lang w:val="en-US"/>
        </w:rPr>
        <w:t>. S</w:t>
      </w:r>
      <w:r w:rsidRPr="00063CE2">
        <w:rPr>
          <w:bCs/>
          <w:iCs/>
          <w:noProof w:val="0"/>
          <w:color w:val="000000" w:themeColor="text1"/>
          <w:lang w:val="en-US"/>
        </w:rPr>
        <w:t>pecify the prevalent location of these alterations.</w:t>
      </w:r>
    </w:p>
    <w:p w14:paraId="500044C0" w14:textId="77777777" w:rsidR="00AF5653" w:rsidRPr="00063CE2" w:rsidRDefault="00AF5653" w:rsidP="00AF5653">
      <w:pPr>
        <w:rPr>
          <w:b/>
          <w:noProof w:val="0"/>
          <w:color w:val="000000" w:themeColor="text1"/>
          <w:lang w:val="en-US"/>
        </w:rPr>
      </w:pPr>
    </w:p>
    <w:p w14:paraId="355A5F0E" w14:textId="44E37F07" w:rsidR="00AF5653" w:rsidRPr="00063CE2" w:rsidRDefault="00AF5653" w:rsidP="00AF5653">
      <w:pPr>
        <w:pStyle w:val="Paragrafoelenco1"/>
        <w:ind w:left="0"/>
        <w:rPr>
          <w:noProof w:val="0"/>
          <w:color w:val="000000" w:themeColor="text1"/>
          <w:lang w:val="en-US"/>
        </w:rPr>
      </w:pPr>
      <w:r w:rsidRPr="00063CE2">
        <w:rPr>
          <w:noProof w:val="0"/>
          <w:color w:val="000000" w:themeColor="text1"/>
          <w:lang w:val="en-US"/>
        </w:rPr>
        <w:t xml:space="preserve">11.2. To detect </w:t>
      </w:r>
      <w:r w:rsidRPr="00063CE2">
        <w:rPr>
          <w:b/>
          <w:noProof w:val="0"/>
          <w:color w:val="000000" w:themeColor="text1"/>
          <w:lang w:val="en-US"/>
        </w:rPr>
        <w:t>microscopic vascular lesions</w:t>
      </w:r>
      <w:r w:rsidRPr="00063CE2">
        <w:rPr>
          <w:noProof w:val="0"/>
          <w:color w:val="000000" w:themeColor="text1"/>
          <w:lang w:val="en-US"/>
        </w:rPr>
        <w:t xml:space="preserve">, examine H&amp;E and LFB slides including at least two hemispheric macro-sections (the first passing through the </w:t>
      </w:r>
      <w:r w:rsidR="003978E5" w:rsidRPr="00063CE2">
        <w:rPr>
          <w:noProof w:val="0"/>
          <w:color w:val="000000" w:themeColor="text1"/>
          <w:lang w:val="en-US"/>
        </w:rPr>
        <w:t>mammillary</w:t>
      </w:r>
      <w:r w:rsidRPr="00063CE2">
        <w:rPr>
          <w:noProof w:val="0"/>
          <w:color w:val="000000" w:themeColor="text1"/>
          <w:lang w:val="en-US"/>
        </w:rPr>
        <w:t xml:space="preserve"> bodies (Charcot cut) with frontal and temporal lobes, basal ganglia, anterior thalamus, amygdala, and the second passing through the occipital lobe), the “geniculate” section of the hippocampal formation, one cerebellar section, and all three principal sections of the brainstem (through </w:t>
      </w:r>
      <w:r w:rsidRPr="00063CE2">
        <w:rPr>
          <w:iCs/>
          <w:noProof w:val="0"/>
          <w:color w:val="000000" w:themeColor="text1"/>
          <w:lang w:val="en-US"/>
        </w:rPr>
        <w:t xml:space="preserve">substantia </w:t>
      </w:r>
      <w:proofErr w:type="spellStart"/>
      <w:r w:rsidRPr="00063CE2">
        <w:rPr>
          <w:iCs/>
          <w:noProof w:val="0"/>
          <w:color w:val="000000" w:themeColor="text1"/>
          <w:lang w:val="en-US"/>
        </w:rPr>
        <w:t>nigra</w:t>
      </w:r>
      <w:proofErr w:type="spellEnd"/>
      <w:r w:rsidRPr="00063CE2">
        <w:rPr>
          <w:iCs/>
          <w:noProof w:val="0"/>
          <w:color w:val="000000" w:themeColor="text1"/>
          <w:lang w:val="en-US"/>
        </w:rPr>
        <w:t>, locus coeruleus</w:t>
      </w:r>
      <w:r w:rsidRPr="00063CE2">
        <w:rPr>
          <w:noProof w:val="0"/>
          <w:color w:val="000000" w:themeColor="text1"/>
          <w:lang w:val="en-US"/>
        </w:rPr>
        <w:t xml:space="preserve"> and DMNV).</w:t>
      </w:r>
    </w:p>
    <w:p w14:paraId="66FD65BD" w14:textId="77777777" w:rsidR="00AF5653" w:rsidRPr="00063CE2" w:rsidRDefault="00AF5653" w:rsidP="00AF5653">
      <w:pPr>
        <w:pStyle w:val="Paragrafoelenco1"/>
        <w:ind w:left="0"/>
        <w:rPr>
          <w:noProof w:val="0"/>
          <w:color w:val="000000" w:themeColor="text1"/>
          <w:lang w:val="en-US"/>
        </w:rPr>
      </w:pPr>
    </w:p>
    <w:p w14:paraId="2234F2B5" w14:textId="5292113E" w:rsidR="00AF5653" w:rsidRPr="00063CE2" w:rsidRDefault="00AF5653" w:rsidP="00AF5653">
      <w:pPr>
        <w:pStyle w:val="Paragrafoelenco1"/>
        <w:ind w:left="0"/>
        <w:rPr>
          <w:noProof w:val="0"/>
          <w:color w:val="000000" w:themeColor="text1"/>
          <w:lang w:val="en-US"/>
        </w:rPr>
      </w:pPr>
      <w:r w:rsidRPr="00063CE2">
        <w:rPr>
          <w:noProof w:val="0"/>
          <w:color w:val="000000" w:themeColor="text1"/>
          <w:lang w:val="en-US"/>
        </w:rPr>
        <w:t xml:space="preserve">11.2.1. Detect small vessel disease including arteriolosclerosis, </w:t>
      </w:r>
      <w:proofErr w:type="spellStart"/>
      <w:r w:rsidRPr="00063CE2">
        <w:rPr>
          <w:noProof w:val="0"/>
          <w:color w:val="000000" w:themeColor="text1"/>
          <w:lang w:val="en-US"/>
        </w:rPr>
        <w:t>lipohyalinosis</w:t>
      </w:r>
      <w:proofErr w:type="spellEnd"/>
      <w:r w:rsidRPr="00063CE2">
        <w:rPr>
          <w:noProof w:val="0"/>
          <w:color w:val="000000" w:themeColor="text1"/>
          <w:lang w:val="en-US"/>
        </w:rPr>
        <w:t>, perivascular space dilatation, white matter loss, leptomeningeal and/or parenchymal and/or capillary cerebral amyloid angiopathy. Specify grading (0</w:t>
      </w:r>
      <w:r w:rsidR="003978E5" w:rsidRPr="00063CE2">
        <w:rPr>
          <w:noProof w:val="0"/>
          <w:color w:val="000000" w:themeColor="text1"/>
          <w:lang w:val="en-US"/>
        </w:rPr>
        <w:t>–</w:t>
      </w:r>
      <w:r w:rsidRPr="00063CE2">
        <w:rPr>
          <w:noProof w:val="0"/>
          <w:color w:val="000000" w:themeColor="text1"/>
          <w:lang w:val="en-US"/>
        </w:rPr>
        <w:t>3) and prevalent location</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{"citationItems":[{"id":"ITEM-1","itemData":{"ISSN":"0022-3050","author":[{"dropping-particle":"","family":"Esiri","given":"M M","non-dropping-particle":"","parse-names":false,"suffix":""},{"dropping-particle":"","family":"Wilcock","given":"G K","non-dropping-particle":"","parse-names":false,"suffix":""},{"dropping-particle":"","family":"Morris","given":"J H","non-dropping-particle":"","parse-names":false,"suffix":""}],"container-title":"Journal of Neurology, Neurosurgery &amp; Psychiatry","id":"ITEM-1","issue":"6","issued":{"date-parts":[["1997","12","1"]]},"page":"749-753","title":"Neuropathological assessment of the lesions of significance in vascular dementia","type":"article-journal","volume":"63"},"uris":["http://www.mendeley.com/documents/?uuid=d332468b-4125-3f1f-9693-c4fb6365bfb2"]},{"id":"ITEM-2","itemData":{"ISSN":"2165-591X","PMID":"24754000","abstract":"In a collaboration involving 11 groups with research interests in cerebral amyloid angiopathy (CAA), we used a two-stage process to develop and in turn validate a new consensus protocol and scoring scheme for the assessment of CAA and associated vasculopathic abnormalities in post-mortem brain tissue. Stage one used an iterative Delphi-style survey to develop the consensus protocol. The resultant scoring scheme was tested on a series of digital images and paraffin sections that were circulated blind to a number of scorers. The scoring scheme and choice of staining methods were refined by open-forum discussion. The agreed protocol scored parenchymal and meningeal CAA on a 0-3 scale, capillary CAA as present/absent and vasculopathy on 0-2 scale, in the 4 cortical lobes that were scored separately. A further assessment involving three centres was then undertaken. Neuropathologists in three centres (Bristol, Oxford and Sheffield) independently scored sections from 75 cases (25 from each centre) and high inter-rater reliability was demonstrated. Stage two used the results of the three-centre assessment to validate the protocol by investigating previously described associations between APOE genotype (previously determined), and both CAA and vasculopathy. Association of capillary CAA with or without arteriolar CAA with APOE ε4 was confirmed. However APOE ε2 was also found to be a strong risk factor for the development of CAA, not only in AD but also in elderly non-demented controls. Further validation of this protocol and scoring scheme is encouraged, to aid its wider adoption to facilitate collaborative and replication studies of CAA.","author":[{"dropping-particle":"","family":"Love","given":"Seth","non-dropping-particle":"","parse-names":false,"suffix":""},{"dropping-particle":"","family":"Chalmers","given":"Katy","non-dropping-particle":"","parse-names":false,"suffix":""},{"dropping-particle":"","family":"Ince","given":"Paul","non-dropping-particle":"","parse-names":false,"suffix":""},{"dropping-particle":"","family":"Esiri","given":"Margaret","non-dropping-particle":"","parse-names":false,"suffix":""},{"dropping-particle":"","family":"Attems","given":"Johannes","non-dropping-particle":"","parse-names":false,"suffix":""},{"dropping-particle":"","family":"Jellinger","given":"Kurt","non-dropping-particle":"","parse-names":false,"suffix":""},{"dropping-particle":"","family":"Yamada","given":"Masahito","non-dropping-particle":"","parse-names":false,"suffix":""},{"dropping-particle":"","family":"McCarron","given":"Mark","non-dropping-particle":"","parse-names":false,"suffix":""},{"dropping-particle":"","family":"Minett","given":"Thais","non-dropping-particle":"","parse-names":false,"suffix":""},{"dropping-particle":"","family":"Matthews","given":"Fiona","non-dropping-particle":"","parse-names":false,"suffix":""},{"dropping-particle":"","family":"Greenberg","given":"Steven","non-dropping-particle":"","parse-names":false,"suffix":""},{"dropping-particle":"","family":"Mann","given":"David","non-dropping-particle":"","parse-names":false,"suffix":""},{"dropping-particle":"","family":"Kehoe","given":"Patrick Gavin","non-dropping-particle":"","parse-names":false,"suffix":""}],"container-title":"American journal of neurodegenerative disease","id":"ITEM-2","issue":"1","issued":{"date-parts":[["2014"]]},"page":"19-32","title":"Development, appraisal, validation and implementation of a consensus protocol for the assessment of cerebral amyloid angiopathy in post-mortem brain tissue.","type":"article-journal","volume":"3"},"uris":["http://www.mendeley.com/documents/?uuid=52627e3a-e9d8-3601-b32c-418fa3320eb1"]}],"mendeley":{"formattedCitation":"&lt;sup&gt;42, 52&lt;/sup&gt;","plainTextFormattedCitation":"42, 52","previouslyFormattedCitation":"&lt;sup&gt;42, 52&lt;/sup&gt;"},"properties":{"noteIndex":0},"schema":"https://github.com/citation-style-language/schema/raw/master/csl-citation.json"}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42, 52</w:t>
      </w:r>
      <w:r w:rsidRPr="00063CE2">
        <w:rPr>
          <w:noProof w:val="0"/>
          <w:color w:val="000000" w:themeColor="text1"/>
          <w:lang w:val="en-US"/>
        </w:rPr>
        <w:fldChar w:fldCharType="end"/>
      </w:r>
      <w:r w:rsidRPr="00063CE2">
        <w:rPr>
          <w:noProof w:val="0"/>
          <w:color w:val="000000" w:themeColor="text1"/>
          <w:lang w:val="en-US"/>
        </w:rPr>
        <w:t xml:space="preserve">. Consider the presence or absence of hemosiderin leakage, microbleeds and microinfarcts. </w:t>
      </w:r>
    </w:p>
    <w:p w14:paraId="644FC492" w14:textId="77777777" w:rsidR="00AF5653" w:rsidRPr="00063CE2" w:rsidRDefault="00AF5653" w:rsidP="00AF5653">
      <w:pPr>
        <w:rPr>
          <w:noProof w:val="0"/>
          <w:color w:val="000000" w:themeColor="text1"/>
          <w:lang w:val="en-US"/>
        </w:rPr>
      </w:pPr>
    </w:p>
    <w:p w14:paraId="6335056E" w14:textId="157ABF62" w:rsidR="00AF5653" w:rsidRPr="00063CE2" w:rsidRDefault="00AF5653" w:rsidP="00AF5653">
      <w:pPr>
        <w:rPr>
          <w:noProof w:val="0"/>
          <w:color w:val="000000" w:themeColor="text1"/>
          <w:lang w:val="en-US"/>
        </w:rPr>
      </w:pPr>
      <w:r w:rsidRPr="00063CE2">
        <w:rPr>
          <w:noProof w:val="0"/>
          <w:color w:val="000000" w:themeColor="text1"/>
          <w:lang w:val="en-US"/>
        </w:rPr>
        <w:t>11.2.2</w:t>
      </w:r>
      <w:r w:rsidR="00997CB9" w:rsidRPr="00063CE2">
        <w:rPr>
          <w:noProof w:val="0"/>
          <w:color w:val="000000" w:themeColor="text1"/>
          <w:lang w:val="en-US"/>
        </w:rPr>
        <w:t>.</w:t>
      </w:r>
      <w:r w:rsidRPr="00063CE2">
        <w:rPr>
          <w:noProof w:val="0"/>
          <w:color w:val="000000" w:themeColor="text1"/>
          <w:lang w:val="en-US"/>
        </w:rPr>
        <w:t xml:space="preserve"> Evaluate the contribution of vascular damage to cognitive impairment using hierarchic </w:t>
      </w:r>
      <w:proofErr w:type="spellStart"/>
      <w:r w:rsidRPr="00063CE2">
        <w:rPr>
          <w:b/>
          <w:noProof w:val="0"/>
          <w:color w:val="000000" w:themeColor="text1"/>
          <w:lang w:val="en-US"/>
        </w:rPr>
        <w:t>Deramecourt’s</w:t>
      </w:r>
      <w:proofErr w:type="spellEnd"/>
      <w:r w:rsidRPr="00063CE2">
        <w:rPr>
          <w:b/>
          <w:noProof w:val="0"/>
          <w:color w:val="000000" w:themeColor="text1"/>
          <w:lang w:val="en-US"/>
        </w:rPr>
        <w:t xml:space="preserve"> scheme</w:t>
      </w:r>
      <w:r w:rsidRPr="00063CE2">
        <w:rPr>
          <w:noProof w:val="0"/>
          <w:color w:val="000000" w:themeColor="text1"/>
          <w:lang w:val="en-US"/>
        </w:rPr>
        <w:t xml:space="preserve"> (vessel wall alterations</w:t>
      </w:r>
      <w:r w:rsidR="003978E5" w:rsidRPr="00063CE2">
        <w:rPr>
          <w:noProof w:val="0"/>
          <w:color w:val="000000" w:themeColor="text1"/>
          <w:lang w:val="en-US"/>
        </w:rPr>
        <w:t>–</w:t>
      </w:r>
      <w:r w:rsidRPr="00063CE2">
        <w:rPr>
          <w:noProof w:val="0"/>
          <w:color w:val="000000" w:themeColor="text1"/>
          <w:lang w:val="en-US"/>
        </w:rPr>
        <w:t>small vessel di</w:t>
      </w:r>
      <w:r w:rsidR="003978E5" w:rsidRPr="00063CE2">
        <w:rPr>
          <w:noProof w:val="0"/>
          <w:color w:val="000000" w:themeColor="text1"/>
          <w:lang w:val="en-US"/>
        </w:rPr>
        <w:t>s</w:t>
      </w:r>
      <w:r w:rsidRPr="00063CE2">
        <w:rPr>
          <w:noProof w:val="0"/>
          <w:color w:val="000000" w:themeColor="text1"/>
          <w:lang w:val="en-US"/>
        </w:rPr>
        <w:t>ease</w:t>
      </w:r>
      <w:r w:rsidR="003978E5" w:rsidRPr="00063CE2">
        <w:rPr>
          <w:noProof w:val="0"/>
          <w:color w:val="000000" w:themeColor="text1"/>
          <w:lang w:val="en-US"/>
        </w:rPr>
        <w:t>–</w:t>
      </w:r>
      <w:r w:rsidRPr="00063CE2">
        <w:rPr>
          <w:noProof w:val="0"/>
          <w:color w:val="000000" w:themeColor="text1"/>
          <w:lang w:val="en-US"/>
        </w:rPr>
        <w:t>macroscopic infarcts). For this evaluation consider a frontal and temporal lobe section, basal ganglia and hippocampus (score 0</w:t>
      </w:r>
      <w:r w:rsidR="003978E5" w:rsidRPr="00063CE2">
        <w:rPr>
          <w:noProof w:val="0"/>
          <w:color w:val="000000" w:themeColor="text1"/>
          <w:lang w:val="en-US"/>
        </w:rPr>
        <w:t>–</w:t>
      </w:r>
      <w:r w:rsidRPr="00063CE2">
        <w:rPr>
          <w:noProof w:val="0"/>
          <w:color w:val="000000" w:themeColor="text1"/>
          <w:lang w:val="en-US"/>
        </w:rPr>
        <w:t>20)</w:t>
      </w:r>
      <w:r w:rsidRPr="00063CE2">
        <w:rPr>
          <w:noProof w:val="0"/>
          <w:color w:val="000000" w:themeColor="text1"/>
          <w:lang w:val="en-US"/>
        </w:rPr>
        <w:fldChar w:fldCharType="begin" w:fldLock="1"/>
      </w:r>
      <w:r w:rsidR="0046128C" w:rsidRPr="00063CE2">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mendeley":{"formattedCitation":"&lt;sup&gt;30&lt;/sup&gt;","plainTextFormattedCitation":"30","previouslyFormattedCitation":"&lt;sup&gt;30&lt;/sup&gt;"},"properties":{"noteIndex":0},"schema":"https://github.com/citation-style-language/schema/raw/master/csl-citation.json"}</w:instrText>
      </w:r>
      <w:r w:rsidRPr="00063CE2">
        <w:rPr>
          <w:noProof w:val="0"/>
          <w:color w:val="000000" w:themeColor="text1"/>
          <w:lang w:val="en-US"/>
        </w:rPr>
        <w:fldChar w:fldCharType="separate"/>
      </w:r>
      <w:r w:rsidR="004F5243" w:rsidRPr="00063CE2">
        <w:rPr>
          <w:color w:val="000000" w:themeColor="text1"/>
          <w:vertAlign w:val="superscript"/>
          <w:lang w:val="en-US"/>
        </w:rPr>
        <w:t>30</w:t>
      </w:r>
      <w:r w:rsidRPr="00063CE2">
        <w:rPr>
          <w:noProof w:val="0"/>
          <w:color w:val="000000" w:themeColor="text1"/>
          <w:lang w:val="en-US"/>
        </w:rPr>
        <w:fldChar w:fldCharType="end"/>
      </w:r>
      <w:r w:rsidRPr="00063CE2">
        <w:rPr>
          <w:noProof w:val="0"/>
          <w:color w:val="000000" w:themeColor="text1"/>
          <w:lang w:val="en-US"/>
        </w:rPr>
        <w:t xml:space="preserve">. Also, estimate the probability that cerebral vascular disease contributed to </w:t>
      </w:r>
      <w:r w:rsidR="005F6FF2" w:rsidRPr="00063CE2">
        <w:rPr>
          <w:noProof w:val="0"/>
          <w:color w:val="000000" w:themeColor="text1"/>
          <w:lang w:val="en-US"/>
        </w:rPr>
        <w:t xml:space="preserve">the </w:t>
      </w:r>
      <w:r w:rsidRPr="00063CE2">
        <w:rPr>
          <w:noProof w:val="0"/>
          <w:color w:val="000000" w:themeColor="text1"/>
          <w:lang w:val="en-US"/>
        </w:rPr>
        <w:t xml:space="preserve">cognitive impairment using </w:t>
      </w:r>
      <w:r w:rsidRPr="00063CE2">
        <w:rPr>
          <w:b/>
          <w:noProof w:val="0"/>
          <w:color w:val="000000" w:themeColor="text1"/>
          <w:lang w:val="en-US"/>
        </w:rPr>
        <w:t>VCING score</w:t>
      </w:r>
      <w:r w:rsidRPr="00063CE2">
        <w:rPr>
          <w:noProof w:val="0"/>
          <w:color w:val="000000" w:themeColor="text1"/>
          <w:lang w:val="en-US"/>
        </w:rPr>
        <w:t xml:space="preserve"> (low-intermediate-high), obtained </w:t>
      </w:r>
      <w:r w:rsidR="005F6FF2" w:rsidRPr="00063CE2">
        <w:rPr>
          <w:noProof w:val="0"/>
          <w:color w:val="000000" w:themeColor="text1"/>
          <w:lang w:val="en-US"/>
        </w:rPr>
        <w:t xml:space="preserve">by </w:t>
      </w:r>
      <w:r w:rsidRPr="00063CE2">
        <w:rPr>
          <w:noProof w:val="0"/>
          <w:color w:val="000000" w:themeColor="text1"/>
          <w:lang w:val="en-US"/>
        </w:rPr>
        <w:t>considering hemispheric macroscopic infarcts and small vessel disease of the occipital lobe including moderate to severe arteriolosclerosis and amyloid angiopathy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-1","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53&lt;/sup&gt;","plainTextFormattedCitation":"53","previouslyFormattedCitation":"&lt;sup&gt;53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53</w:t>
      </w:r>
      <w:r w:rsidRPr="00063CE2">
        <w:rPr>
          <w:noProof w:val="0"/>
          <w:color w:val="000000" w:themeColor="text1"/>
          <w:lang w:val="en-US"/>
        </w:rPr>
        <w:fldChar w:fldCharType="end"/>
      </w:r>
      <w:r w:rsidRPr="00063CE2">
        <w:rPr>
          <w:noProof w:val="0"/>
          <w:color w:val="000000" w:themeColor="text1"/>
          <w:lang w:val="en-US"/>
        </w:rPr>
        <w:t>.</w:t>
      </w:r>
    </w:p>
    <w:p w14:paraId="041E387D" w14:textId="77777777" w:rsidR="00AF5653" w:rsidRPr="00063CE2" w:rsidRDefault="00AF5653" w:rsidP="00AF5653">
      <w:pPr>
        <w:rPr>
          <w:noProof w:val="0"/>
          <w:color w:val="000000" w:themeColor="text1"/>
          <w:lang w:val="en-US"/>
        </w:rPr>
      </w:pPr>
    </w:p>
    <w:p w14:paraId="1669B9A0" w14:textId="007D3EE4" w:rsidR="00AF5653" w:rsidRPr="00063CE2" w:rsidRDefault="00AF5653" w:rsidP="00AF5653">
      <w:pPr>
        <w:pStyle w:val="Paragrafoelenco2"/>
        <w:ind w:left="0"/>
        <w:rPr>
          <w:noProof w:val="0"/>
          <w:color w:val="000000" w:themeColor="text1"/>
          <w:lang w:val="en-US"/>
        </w:rPr>
      </w:pPr>
      <w:r w:rsidRPr="00063CE2">
        <w:rPr>
          <w:noProof w:val="0"/>
          <w:webHidden/>
          <w:color w:val="000000" w:themeColor="text1"/>
          <w:lang w:val="en-US"/>
        </w:rPr>
        <w:t xml:space="preserve">11.3. </w:t>
      </w:r>
      <w:r w:rsidRPr="00063CE2">
        <w:rPr>
          <w:noProof w:val="0"/>
          <w:color w:val="000000" w:themeColor="text1"/>
          <w:lang w:val="en-US"/>
        </w:rPr>
        <w:t xml:space="preserve">Evaluate </w:t>
      </w:r>
      <w:r w:rsidRPr="00063CE2">
        <w:rPr>
          <w:b/>
          <w:noProof w:val="0"/>
          <w:color w:val="000000" w:themeColor="text1"/>
          <w:lang w:val="en-US"/>
        </w:rPr>
        <w:t xml:space="preserve">AD pathology </w:t>
      </w:r>
      <w:r w:rsidRPr="00063CE2">
        <w:rPr>
          <w:noProof w:val="0"/>
          <w:color w:val="000000" w:themeColor="text1"/>
          <w:lang w:val="en-US"/>
        </w:rPr>
        <w:t xml:space="preserve">using IHC (4G8) for amyloid spread. Define </w:t>
      </w:r>
      <w:proofErr w:type="spellStart"/>
      <w:r w:rsidRPr="00063CE2">
        <w:rPr>
          <w:noProof w:val="0"/>
          <w:color w:val="000000" w:themeColor="text1"/>
          <w:lang w:val="en-US"/>
        </w:rPr>
        <w:t>Thal</w:t>
      </w:r>
      <w:r w:rsidR="00932DB9" w:rsidRPr="00063CE2">
        <w:rPr>
          <w:noProof w:val="0"/>
          <w:color w:val="000000" w:themeColor="text1"/>
          <w:lang w:val="en-US"/>
        </w:rPr>
        <w:t>’s</w:t>
      </w:r>
      <w:proofErr w:type="spellEnd"/>
      <w:r w:rsidRPr="00063CE2">
        <w:rPr>
          <w:noProof w:val="0"/>
          <w:color w:val="000000" w:themeColor="text1"/>
          <w:lang w:val="en-US"/>
        </w:rPr>
        <w:t xml:space="preserve"> stages </w:t>
      </w:r>
      <w:r w:rsidRPr="00063CE2">
        <w:rPr>
          <w:bCs/>
          <w:noProof w:val="0"/>
          <w:color w:val="000000" w:themeColor="text1"/>
          <w:lang w:val="en-US"/>
        </w:rPr>
        <w:t>(1</w:t>
      </w:r>
      <w:r w:rsidR="003978E5" w:rsidRPr="00063CE2">
        <w:rPr>
          <w:bCs/>
          <w:noProof w:val="0"/>
          <w:color w:val="000000" w:themeColor="text1"/>
          <w:lang w:val="en-US"/>
        </w:rPr>
        <w:t>–</w:t>
      </w:r>
      <w:r w:rsidRPr="00063CE2">
        <w:rPr>
          <w:bCs/>
          <w:noProof w:val="0"/>
          <w:color w:val="000000" w:themeColor="text1"/>
          <w:lang w:val="en-US"/>
        </w:rPr>
        <w:t>5)</w:t>
      </w:r>
      <w:r w:rsidRPr="00063CE2">
        <w:rPr>
          <w:bCs/>
          <w:noProof w:val="0"/>
          <w:color w:val="000000" w:themeColor="text1"/>
          <w:lang w:val="en-US"/>
        </w:rPr>
        <w:fldChar w:fldCharType="begin" w:fldLock="1"/>
      </w:r>
      <w:r w:rsidR="00F84C1A" w:rsidRPr="00063CE2">
        <w:rPr>
          <w:bCs/>
          <w:noProof w:val="0"/>
          <w:color w:val="000000" w:themeColor="text1"/>
          <w:lang w:val="en-US"/>
        </w:rPr>
        <w:instrText>ADDIN CSL_CITATION {"citationItems":[{"id":"ITEM-1","itemData":{"ISSN":"0028-3878","PMID":"12084879","abstract":"BACKGROUND The deposition of the amyloid beta protein (Abeta) is a histopathologic hallmark of AD. The regions of the medial temporal lobe (MTL) are hierarchically involved in Abeta-deposition. OBJECTIVE To clarify whether there is a hierarchical involvement of the regions of the entire brain as well and whether there are differences in the expansion of Abeta-pathology between clinically proven AD cases and nondemented cases with AD-related pathology, the authors investigated 47 brains from demented and nondemented patients with AD-related pathology covering all phases of beta-amyloidosis in the MTL (AbetaMTL phases) and four control brains without any AD-related pathology. METHODS Abeta deposits were detected by the use of the Campbell-Switzer silver technique and by immunohistochemistry in sections covering all brain regions and brainstem nuclei. It was analyzed how often distinct regions exhibited Abeta deposits. RESULTS In the first of five phases in the evolution of beta-amyloidosis Abeta deposits are found exclusively in the neocortex. The second phase is characterized by the additional involvement of allocortical brain regions. In phase 3, diencephalic nuclei, the striatum, and the cholinergic nuclei of the basal forebrain exhibit Abeta deposits as well. Several brainstem nuclei become additionally involved in phase 4. Phase 5, finally, is characterized by cerebellar Abeta-deposition. The 17 clinically proven AD cases exhibit Abeta-phases 3, 4, or 5. The nine nondemented cases with AD-related Abeta pathology show Abeta-phases 1, 2, or 3. CONCLUSIONS Abeta-deposition in the entire brain follows a distinct sequence in which the regions are hierarchically involved. Abeta-deposition, thereby, expands anterogradely into regions that receive neuronal projections from regions already exhibiting Abeta. There are also indications that clinically proven AD cases with full-blown beta-amyloidosis may be preceded in early stages by nondemented cases exhibiting AD-related Abeta pathology.","author":[{"dropping-particle":"","family":"Thal","given":"Dietmar R","non-dropping-particle":"","parse-names":false,"suffix":""},{"dropping-particle":"","family":"Rüb","given":"Udo","non-dropping-particle":"","parse-names":false,"suffix":""},{"dropping-particle":"","family":"Orantes","given":"Mario","non-dropping-particle":"","parse-names":false,"suffix":""},{"dropping-particle":"","family":"Braak","given":"Heiko","non-dropping-particle":"","parse-names":false,"suffix":""}],"container-title":"Neurology","id":"ITEM-1","issue":"12","issued":{"date-parts":[["2002","6","25"]]},"page":"1791-800","title":"Phases of A beta-deposition in the human brain and its relevance for the development of AD.","type":"article-journal","volume":"58"},"uris":["http://www.mendeley.com/documents/?uuid=08b94c35-92ca-34ab-ae32-2e1fa7ea26f0"]}],"mendeley":{"formattedCitation":"&lt;sup&gt;54&lt;/sup&gt;","plainTextFormattedCitation":"54","previouslyFormattedCitation":"&lt;sup&gt;54&lt;/sup&gt;"},"properties":{"noteIndex":0},"schema":"https://github.com/citation-style-language/schema/raw/master/csl-citation.json"}</w:instrText>
      </w:r>
      <w:r w:rsidRPr="00063CE2">
        <w:rPr>
          <w:bCs/>
          <w:noProof w:val="0"/>
          <w:color w:val="000000" w:themeColor="text1"/>
          <w:lang w:val="en-US"/>
        </w:rPr>
        <w:fldChar w:fldCharType="separate"/>
      </w:r>
      <w:r w:rsidR="0046128C" w:rsidRPr="00063CE2">
        <w:rPr>
          <w:bCs/>
          <w:color w:val="000000" w:themeColor="text1"/>
          <w:vertAlign w:val="superscript"/>
          <w:lang w:val="en-US"/>
        </w:rPr>
        <w:t>54</w:t>
      </w:r>
      <w:r w:rsidRPr="00063CE2">
        <w:rPr>
          <w:bCs/>
          <w:noProof w:val="0"/>
          <w:color w:val="000000" w:themeColor="text1"/>
          <w:lang w:val="en-US"/>
        </w:rPr>
        <w:fldChar w:fldCharType="end"/>
      </w:r>
      <w:r w:rsidRPr="00063CE2">
        <w:rPr>
          <w:bCs/>
          <w:noProof w:val="0"/>
          <w:color w:val="000000" w:themeColor="text1"/>
          <w:lang w:val="en-US"/>
        </w:rPr>
        <w:t>,</w:t>
      </w:r>
      <w:r w:rsidRPr="00063CE2">
        <w:rPr>
          <w:bCs/>
          <w:noProof w:val="0"/>
          <w:color w:val="000000" w:themeColor="text1"/>
          <w:vertAlign w:val="superscript"/>
          <w:lang w:val="en-US"/>
        </w:rPr>
        <w:t xml:space="preserve"> </w:t>
      </w:r>
      <w:r w:rsidRPr="00063CE2">
        <w:rPr>
          <w:noProof w:val="0"/>
          <w:color w:val="000000" w:themeColor="text1"/>
          <w:lang w:val="en-US"/>
        </w:rPr>
        <w:t xml:space="preserve">aggregate </w:t>
      </w:r>
      <w:r w:rsidRPr="00063CE2">
        <w:rPr>
          <w:b/>
          <w:noProof w:val="0"/>
          <w:color w:val="000000" w:themeColor="text1"/>
          <w:lang w:val="en-US"/>
        </w:rPr>
        <w:t>Amyloid scoring</w:t>
      </w:r>
      <w:r w:rsidRPr="00063CE2">
        <w:rPr>
          <w:noProof w:val="0"/>
          <w:color w:val="000000" w:themeColor="text1"/>
          <w:lang w:val="en-US"/>
        </w:rPr>
        <w:t xml:space="preserve"> (0</w:t>
      </w:r>
      <w:r w:rsidR="003978E5" w:rsidRPr="00063CE2">
        <w:rPr>
          <w:noProof w:val="0"/>
          <w:color w:val="000000" w:themeColor="text1"/>
          <w:lang w:val="en-US"/>
        </w:rPr>
        <w:t>–</w:t>
      </w:r>
      <w:r w:rsidRPr="00063CE2">
        <w:rPr>
          <w:noProof w:val="0"/>
          <w:color w:val="000000" w:themeColor="text1"/>
          <w:lang w:val="en-US"/>
        </w:rPr>
        <w:t>3)</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 xml:space="preserve">, and morphology per site (diffuse, focal, cored). </w:t>
      </w:r>
    </w:p>
    <w:p w14:paraId="7102FB06" w14:textId="77777777" w:rsidR="00AF5653" w:rsidRPr="00063CE2" w:rsidRDefault="00AF5653" w:rsidP="00AF5653">
      <w:pPr>
        <w:pStyle w:val="Paragrafoelenco2"/>
        <w:ind w:left="0"/>
        <w:rPr>
          <w:noProof w:val="0"/>
          <w:color w:val="000000" w:themeColor="text1"/>
          <w:lang w:val="en-US"/>
        </w:rPr>
      </w:pPr>
    </w:p>
    <w:p w14:paraId="1A651576" w14:textId="796B3EC5" w:rsidR="00AF5653" w:rsidRPr="00063CE2" w:rsidRDefault="00AF5653" w:rsidP="00AF5653">
      <w:pPr>
        <w:pStyle w:val="Paragrafoelenco2"/>
        <w:ind w:left="0"/>
        <w:rPr>
          <w:b/>
          <w:noProof w:val="0"/>
          <w:color w:val="000000" w:themeColor="text1"/>
          <w:lang w:val="en-US"/>
        </w:rPr>
      </w:pPr>
      <w:r w:rsidRPr="00063CE2">
        <w:rPr>
          <w:noProof w:val="0"/>
          <w:color w:val="000000" w:themeColor="text1"/>
          <w:lang w:val="en-US"/>
        </w:rPr>
        <w:t>11.3.1</w:t>
      </w:r>
      <w:r w:rsidR="006963FD" w:rsidRPr="00063CE2">
        <w:rPr>
          <w:noProof w:val="0"/>
          <w:color w:val="000000" w:themeColor="text1"/>
          <w:lang w:val="en-US"/>
        </w:rPr>
        <w:t>.</w:t>
      </w:r>
      <w:r w:rsidRPr="00063CE2">
        <w:rPr>
          <w:noProof w:val="0"/>
          <w:color w:val="000000" w:themeColor="text1"/>
          <w:lang w:val="en-US"/>
        </w:rPr>
        <w:t xml:space="preserve"> Evaluate AD Tau pathology using IHC (AT8) and describe the prevalent morphology per site (neurofibrillary tangles, neuropil threads,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Define </w:t>
      </w:r>
      <w:proofErr w:type="spellStart"/>
      <w:r w:rsidRPr="00063CE2">
        <w:rPr>
          <w:b/>
          <w:noProof w:val="0"/>
          <w:color w:val="000000" w:themeColor="text1"/>
          <w:lang w:val="en-US"/>
        </w:rPr>
        <w:t>Braak</w:t>
      </w:r>
      <w:r w:rsidR="00932DB9" w:rsidRPr="00063CE2">
        <w:rPr>
          <w:b/>
          <w:noProof w:val="0"/>
          <w:color w:val="000000" w:themeColor="text1"/>
          <w:lang w:val="en-US"/>
        </w:rPr>
        <w:t>’s</w:t>
      </w:r>
      <w:proofErr w:type="spellEnd"/>
      <w:r w:rsidRPr="00063CE2">
        <w:rPr>
          <w:b/>
          <w:noProof w:val="0"/>
          <w:color w:val="000000" w:themeColor="text1"/>
          <w:lang w:val="en-US"/>
        </w:rPr>
        <w:t xml:space="preserve"> stage</w:t>
      </w:r>
      <w:r w:rsidRPr="00063CE2">
        <w:rPr>
          <w:noProof w:val="0"/>
          <w:color w:val="000000" w:themeColor="text1"/>
          <w:lang w:val="en-US"/>
        </w:rPr>
        <w:t xml:space="preserve"> (I</w:t>
      </w:r>
      <w:r w:rsidR="003978E5" w:rsidRPr="00063CE2">
        <w:rPr>
          <w:noProof w:val="0"/>
          <w:color w:val="000000" w:themeColor="text1"/>
          <w:lang w:val="en-US"/>
        </w:rPr>
        <w:t>–</w:t>
      </w:r>
      <w:r w:rsidRPr="00063CE2">
        <w:rPr>
          <w:noProof w:val="0"/>
          <w:color w:val="000000" w:themeColor="text1"/>
          <w:lang w:val="en-US"/>
        </w:rPr>
        <w:t xml:space="preserve">VI +; </w:t>
      </w:r>
      <w:r w:rsidR="003978E5" w:rsidRPr="00063CE2">
        <w:rPr>
          <w:noProof w:val="0"/>
          <w:color w:val="000000" w:themeColor="text1"/>
          <w:lang w:val="en-US"/>
        </w:rPr>
        <w:t xml:space="preserve">positive </w:t>
      </w:r>
      <w:r w:rsidRPr="00063CE2">
        <w:rPr>
          <w:noProof w:val="0"/>
          <w:color w:val="000000" w:themeColor="text1"/>
          <w:lang w:val="en-US"/>
        </w:rPr>
        <w:t>sign indicates the presence of additional areas of hyperphosphor</w:t>
      </w:r>
      <w:r w:rsidR="005F6FF2" w:rsidRPr="00063CE2">
        <w:rPr>
          <w:noProof w:val="0"/>
          <w:color w:val="000000" w:themeColor="text1"/>
          <w:lang w:val="en-US"/>
        </w:rPr>
        <w:t>y</w:t>
      </w:r>
      <w:r w:rsidRPr="00063CE2">
        <w:rPr>
          <w:noProof w:val="0"/>
          <w:color w:val="000000" w:themeColor="text1"/>
          <w:lang w:val="en-US"/>
        </w:rPr>
        <w:t xml:space="preserve">lated Tau pathology not following the </w:t>
      </w:r>
      <w:proofErr w:type="spellStart"/>
      <w:r w:rsidRPr="00063CE2">
        <w:rPr>
          <w:noProof w:val="0"/>
          <w:color w:val="000000" w:themeColor="text1"/>
          <w:lang w:val="en-US"/>
        </w:rPr>
        <w:t>Braak’s</w:t>
      </w:r>
      <w:proofErr w:type="spellEnd"/>
      <w:r w:rsidRPr="00063CE2">
        <w:rPr>
          <w:noProof w:val="0"/>
          <w:color w:val="000000" w:themeColor="text1"/>
          <w:lang w:val="en-US"/>
        </w:rPr>
        <w:t xml:space="preserve"> hierarchy)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{"citationItems":[{"id":"ITEM-1","itemData":{"ISSN":"0001-6322","PMID":"16906426","abstract":"Assessment of Alzheimer's disease (AD)-related neurofibrillary pathology requires a procedure that permits a sufficient differentiation between initial, intermediate, and late stages. The gradual deposition of a hyperphosphorylated tau protein within select neuronal types in specific nuclei or areas is central to the disease process. The staging of AD-related neurofibrillary pathology originally described in 1991 was performed on unconventionally thick sections (100 mum) using a modern silver technique and reflected the progress of the disease process based chiefly on the topographic expansion of the lesions. To better meet the demands of routine laboratories this procedure is revised here by adapting tissue selection and processing to the needs of paraffin-embedded sections (5-15 mum) and by introducing a robust immunoreaction (AT8) for hyperphosphorylated tau protein that can be processed on an automated basis. It is anticipated that this revised methodological protocol will enable a more uniform application of the staging procedure.","author":[{"dropping-particle":"","family":"Braak","given":"Heiko","non-dropping-particle":"","parse-names":false,"suffix":""},{"dropping-particle":"","family":"Alafuzoff","given":"Irina","non-dropping-particle":"","parse-names":false,"suffix":""},{"dropping-particle":"","family":"Arzberger","given":"Thomas","non-dropping-particle":"","parse-names":false,"suffix":""},{"dropping-particle":"","family":"Kretzschmar","given":"Hans","non-dropping-particle":"","parse-names":false,"suffix":""},{"dropping-particle":"","family":"Tredici","given":"Kelly","non-dropping-particle":"Del","parse-names":false,"suffix":""}],"container-title":"Acta Neuropathologica","id":"ITEM-1","issue":"4","issued":{"date-parts":[["2006","10","12"]]},"page":"389-404","title":"Staging of Alzheimer disease-associated neurofibrillary pathology using paraffin sections and immunocytochemistry","type":"article-journal","volume":"112"},"uris":["http://www.mendeley.com/documents/?uuid=dae02da7-9daa-3667-97ab-3936cd5c811e"]}],"mendeley":{"formattedCitation":"&lt;sup&gt;55&lt;/sup&gt;","plainTextFormattedCitation":"55","previouslyFormattedCitation":"&lt;sup&gt;55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55</w:t>
      </w:r>
      <w:r w:rsidRPr="00063CE2">
        <w:rPr>
          <w:noProof w:val="0"/>
          <w:color w:val="000000" w:themeColor="text1"/>
          <w:lang w:val="en-US"/>
        </w:rPr>
        <w:fldChar w:fldCharType="end"/>
      </w:r>
      <w:r w:rsidRPr="00063CE2">
        <w:rPr>
          <w:noProof w:val="0"/>
          <w:color w:val="000000" w:themeColor="text1"/>
          <w:lang w:val="en-US"/>
        </w:rPr>
        <w:t xml:space="preserve"> and aggregate scoring (0</w:t>
      </w:r>
      <w:r w:rsidR="003978E5" w:rsidRPr="00063CE2">
        <w:rPr>
          <w:noProof w:val="0"/>
          <w:color w:val="000000" w:themeColor="text1"/>
          <w:lang w:val="en-US"/>
        </w:rPr>
        <w:t>–</w:t>
      </w:r>
      <w:r w:rsidRPr="00063CE2">
        <w:rPr>
          <w:noProof w:val="0"/>
          <w:color w:val="000000" w:themeColor="text1"/>
          <w:lang w:val="en-US"/>
        </w:rPr>
        <w:t>3)</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w:t>
      </w:r>
    </w:p>
    <w:p w14:paraId="32F50225" w14:textId="77777777" w:rsidR="00AF5653" w:rsidRPr="00063CE2" w:rsidRDefault="00AF5653" w:rsidP="00AF5653">
      <w:pPr>
        <w:pStyle w:val="Paragrafoelenco2"/>
        <w:ind w:left="0"/>
        <w:rPr>
          <w:b/>
          <w:noProof w:val="0"/>
          <w:color w:val="000000" w:themeColor="text1"/>
          <w:lang w:val="en-US"/>
        </w:rPr>
      </w:pPr>
    </w:p>
    <w:p w14:paraId="7C601AB5" w14:textId="322CF8E8" w:rsidR="00AF5653" w:rsidRPr="00063CE2" w:rsidRDefault="00AF5653" w:rsidP="00AF5653">
      <w:pPr>
        <w:pStyle w:val="Paragrafoelenco2"/>
        <w:ind w:left="0"/>
        <w:rPr>
          <w:noProof w:val="0"/>
          <w:color w:val="000000" w:themeColor="text1"/>
          <w:lang w:val="en-US"/>
        </w:rPr>
      </w:pPr>
      <w:r w:rsidRPr="00063CE2">
        <w:rPr>
          <w:noProof w:val="0"/>
          <w:color w:val="000000" w:themeColor="text1"/>
          <w:lang w:val="en-US"/>
        </w:rPr>
        <w:t>11.3.2</w:t>
      </w:r>
      <w:r w:rsidR="006963FD" w:rsidRPr="00063CE2">
        <w:rPr>
          <w:noProof w:val="0"/>
          <w:color w:val="000000" w:themeColor="text1"/>
          <w:lang w:val="en-US"/>
        </w:rPr>
        <w:t>.</w:t>
      </w:r>
      <w:r w:rsidRPr="00063CE2">
        <w:rPr>
          <w:noProof w:val="0"/>
          <w:color w:val="000000" w:themeColor="text1"/>
          <w:lang w:val="en-US"/>
        </w:rPr>
        <w:t xml:space="preserve"> Evaluate </w:t>
      </w:r>
      <w:proofErr w:type="spellStart"/>
      <w:r w:rsidRPr="00063CE2">
        <w:rPr>
          <w:noProof w:val="0"/>
          <w:color w:val="000000" w:themeColor="text1"/>
          <w:lang w:val="en-US"/>
        </w:rPr>
        <w:t>neuritic</w:t>
      </w:r>
      <w:proofErr w:type="spellEnd"/>
      <w:r w:rsidRPr="00063CE2">
        <w:rPr>
          <w:noProof w:val="0"/>
          <w:color w:val="000000" w:themeColor="text1"/>
          <w:lang w:val="en-US"/>
        </w:rPr>
        <w:t xml:space="preserve"> plaques using </w:t>
      </w:r>
      <w:proofErr w:type="spellStart"/>
      <w:r w:rsidRPr="00063CE2">
        <w:rPr>
          <w:noProof w:val="0"/>
          <w:color w:val="000000" w:themeColor="text1"/>
          <w:lang w:val="en-US"/>
        </w:rPr>
        <w:t>Gallyas</w:t>
      </w:r>
      <w:proofErr w:type="spellEnd"/>
      <w:r w:rsidRPr="00063CE2">
        <w:rPr>
          <w:noProof w:val="0"/>
          <w:color w:val="000000" w:themeColor="text1"/>
          <w:lang w:val="en-US"/>
        </w:rPr>
        <w:t xml:space="preserve"> staining and </w:t>
      </w:r>
      <w:r w:rsidRPr="00063CE2">
        <w:rPr>
          <w:b/>
          <w:noProof w:val="0"/>
          <w:color w:val="000000" w:themeColor="text1"/>
          <w:lang w:val="en-US"/>
        </w:rPr>
        <w:t>CERAD score</w:t>
      </w:r>
      <w:r w:rsidRPr="00063CE2">
        <w:rPr>
          <w:noProof w:val="0"/>
          <w:color w:val="000000" w:themeColor="text1"/>
          <w:lang w:val="en-US"/>
        </w:rPr>
        <w:t xml:space="preserve"> (</w:t>
      </w:r>
      <w:r w:rsidRPr="00063CE2">
        <w:rPr>
          <w:bCs/>
          <w:noProof w:val="0"/>
          <w:color w:val="000000" w:themeColor="text1"/>
          <w:lang w:val="en-US"/>
        </w:rPr>
        <w:t>0</w:t>
      </w:r>
      <w:r w:rsidR="003978E5" w:rsidRPr="00063CE2">
        <w:rPr>
          <w:bCs/>
          <w:noProof w:val="0"/>
          <w:color w:val="000000" w:themeColor="text1"/>
          <w:lang w:val="en-US"/>
        </w:rPr>
        <w:t>–</w:t>
      </w:r>
      <w:r w:rsidRPr="00063CE2">
        <w:rPr>
          <w:bCs/>
          <w:noProof w:val="0"/>
          <w:color w:val="000000" w:themeColor="text1"/>
          <w:lang w:val="en-US"/>
        </w:rPr>
        <w:t>3)</w:t>
      </w:r>
      <w:r w:rsidRPr="00063CE2">
        <w:rPr>
          <w:bCs/>
          <w:noProof w:val="0"/>
          <w:color w:val="000000" w:themeColor="text1"/>
          <w:lang w:val="en-US"/>
        </w:rPr>
        <w:fldChar w:fldCharType="begin" w:fldLock="1"/>
      </w:r>
      <w:r w:rsidR="00F84C1A" w:rsidRPr="00063CE2">
        <w:rPr>
          <w:bCs/>
          <w:noProof w:val="0"/>
          <w:color w:val="000000" w:themeColor="text1"/>
          <w:lang w:val="en-US"/>
        </w:rPr>
        <w:instrText>ADDIN CSL_CITATION {"citationItems":[{"id":"ITEM-1","itemData":{"ISSN":"0028-3878","author":[{"dropping-particle":"","family":"Mirra","given":"S. S.","non-dropping-particle":"","parse-names":false,"suffix":""},{"dropping-particle":"","family":"Heyman","given":"A.","non-dropping-particle":"","parse-names":false,"suffix":""},{"dropping-particle":"","family":"McKeel","given":"D.","non-dropping-particle":"","parse-names":false,"suffix":""},{"dropping-particle":"","family":"Sumi","given":"S. M.","non-dropping-particle":"","parse-names":false,"suffix":""},{"dropping-particle":"","family":"Crain","given":"B. J.","non-dropping-particle":"","parse-names":false,"suffix":""},{"dropping-particle":"","family":"Brownlee","given":"L. M.","non-dropping-particle":"","parse-names":false,"suffix":""},{"dropping-particle":"","family":"Vogel","given":"F. S.","non-dropping-particle":"","parse-names":false,"suffix":""},{"dropping-particle":"","family":"Hughes","given":"J. P.","non-dropping-particle":"","parse-names":false,"suffix":""},{"dropping-particle":"v.","family":"Belle","given":"G.","non-dropping-particle":"","parse-names":false,"suffix":""},{"dropping-particle":"","family":"Berg","given":"L.","non-dropping-particle":"","parse-names":false,"suffix":""}],"container-title":"Neurology","id":"ITEM-1","issue":"4","issued":{"date-parts":[["1991","4","1"]]},"page":"479-479","title":"The Consortium to Establish a Registry for Alzheimer's Disease (CERAD): Part II. Standardization of the neuropathologic assessment of Alzheimer's disease","type":"article-journal","volume":"41"},"uris":["http://www.mendeley.com/documents/?uuid=5e9f528d-30f4-3688-ab3a-7c6cc80aba23"]}],"mendeley":{"formattedCitation":"&lt;sup&gt;56&lt;/sup&gt;","plainTextFormattedCitation":"56","previouslyFormattedCitation":"&lt;sup&gt;56&lt;/sup&gt;"},"properties":{"noteIndex":0},"schema":"https://github.com/citation-style-language/schema/raw/master/csl-citation.json"}</w:instrText>
      </w:r>
      <w:r w:rsidRPr="00063CE2">
        <w:rPr>
          <w:bCs/>
          <w:noProof w:val="0"/>
          <w:color w:val="000000" w:themeColor="text1"/>
          <w:lang w:val="en-US"/>
        </w:rPr>
        <w:fldChar w:fldCharType="separate"/>
      </w:r>
      <w:r w:rsidR="0046128C" w:rsidRPr="00063CE2">
        <w:rPr>
          <w:bCs/>
          <w:color w:val="000000" w:themeColor="text1"/>
          <w:vertAlign w:val="superscript"/>
          <w:lang w:val="en-US"/>
        </w:rPr>
        <w:t>56</w:t>
      </w:r>
      <w:r w:rsidRPr="00063CE2">
        <w:rPr>
          <w:bCs/>
          <w:noProof w:val="0"/>
          <w:color w:val="000000" w:themeColor="text1"/>
          <w:lang w:val="en-US"/>
        </w:rPr>
        <w:fldChar w:fldCharType="end"/>
      </w:r>
      <w:r w:rsidRPr="00063CE2">
        <w:rPr>
          <w:bCs/>
          <w:noProof w:val="0"/>
          <w:color w:val="000000" w:themeColor="text1"/>
          <w:lang w:val="en-US"/>
        </w:rPr>
        <w:t>.</w:t>
      </w:r>
      <w:r w:rsidR="001F16EC" w:rsidRPr="00063CE2">
        <w:rPr>
          <w:bCs/>
          <w:noProof w:val="0"/>
          <w:color w:val="000000" w:themeColor="text1"/>
          <w:vertAlign w:val="superscript"/>
          <w:lang w:val="en-US"/>
        </w:rPr>
        <w:t xml:space="preserve"> </w:t>
      </w:r>
      <w:r w:rsidRPr="00063CE2">
        <w:rPr>
          <w:bCs/>
          <w:noProof w:val="0"/>
          <w:color w:val="000000" w:themeColor="text1"/>
          <w:lang w:val="en-US"/>
        </w:rPr>
        <w:t xml:space="preserve">Then, define the </w:t>
      </w:r>
      <w:r w:rsidRPr="00063CE2">
        <w:rPr>
          <w:noProof w:val="0"/>
          <w:color w:val="000000" w:themeColor="text1"/>
          <w:lang w:val="en-US"/>
        </w:rPr>
        <w:t xml:space="preserve">probability of the neuropathological features corresponding to an AD clinical syndrome using the </w:t>
      </w:r>
      <w:r w:rsidRPr="00063CE2">
        <w:rPr>
          <w:b/>
          <w:noProof w:val="0"/>
          <w:color w:val="000000" w:themeColor="text1"/>
          <w:lang w:val="en-US"/>
        </w:rPr>
        <w:t>A</w:t>
      </w:r>
      <w:r w:rsidRPr="00063CE2">
        <w:rPr>
          <w:noProof w:val="0"/>
          <w:color w:val="000000" w:themeColor="text1"/>
          <w:lang w:val="en-US"/>
        </w:rPr>
        <w:t>myloid-</w:t>
      </w:r>
      <w:proofErr w:type="spellStart"/>
      <w:r w:rsidRPr="00063CE2">
        <w:rPr>
          <w:b/>
          <w:noProof w:val="0"/>
          <w:color w:val="000000" w:themeColor="text1"/>
          <w:lang w:val="en-US"/>
        </w:rPr>
        <w:t>B</w:t>
      </w:r>
      <w:r w:rsidRPr="00063CE2">
        <w:rPr>
          <w:noProof w:val="0"/>
          <w:color w:val="000000" w:themeColor="text1"/>
          <w:lang w:val="en-US"/>
        </w:rPr>
        <w:t>raak</w:t>
      </w:r>
      <w:proofErr w:type="spellEnd"/>
      <w:r w:rsidRPr="00063CE2">
        <w:rPr>
          <w:noProof w:val="0"/>
          <w:color w:val="000000" w:themeColor="text1"/>
          <w:lang w:val="en-US"/>
        </w:rPr>
        <w:t>-</w:t>
      </w:r>
      <w:r w:rsidRPr="00063CE2">
        <w:rPr>
          <w:b/>
          <w:noProof w:val="0"/>
          <w:color w:val="000000" w:themeColor="text1"/>
          <w:lang w:val="en-US"/>
        </w:rPr>
        <w:t>C</w:t>
      </w:r>
      <w:r w:rsidRPr="00063CE2">
        <w:rPr>
          <w:noProof w:val="0"/>
          <w:color w:val="000000" w:themeColor="text1"/>
          <w:lang w:val="en-US"/>
        </w:rPr>
        <w:t xml:space="preserve">ERAD </w:t>
      </w:r>
      <w:r w:rsidRPr="00063CE2">
        <w:rPr>
          <w:b/>
          <w:noProof w:val="0"/>
          <w:color w:val="000000" w:themeColor="text1"/>
          <w:lang w:val="en-US"/>
        </w:rPr>
        <w:t>score</w:t>
      </w:r>
      <w:r w:rsidRPr="00063CE2">
        <w:rPr>
          <w:noProof w:val="0"/>
          <w:color w:val="000000" w:themeColor="text1"/>
          <w:lang w:val="en-US"/>
        </w:rPr>
        <w:t xml:space="preserve"> (ABC score </w:t>
      </w:r>
      <w:r w:rsidRPr="00063CE2">
        <w:rPr>
          <w:bCs/>
          <w:noProof w:val="0"/>
          <w:color w:val="000000" w:themeColor="text1"/>
          <w:lang w:val="en-US"/>
        </w:rPr>
        <w:t>0</w:t>
      </w:r>
      <w:r w:rsidR="003978E5" w:rsidRPr="00063CE2">
        <w:rPr>
          <w:bCs/>
          <w:noProof w:val="0"/>
          <w:color w:val="000000" w:themeColor="text1"/>
          <w:lang w:val="en-US"/>
        </w:rPr>
        <w:t>–</w:t>
      </w:r>
      <w:r w:rsidRPr="00063CE2">
        <w:rPr>
          <w:bCs/>
          <w:noProof w:val="0"/>
          <w:color w:val="000000" w:themeColor="text1"/>
          <w:lang w:val="en-US"/>
        </w:rPr>
        <w:t xml:space="preserve">3): </w:t>
      </w:r>
      <w:r w:rsidRPr="00063CE2">
        <w:rPr>
          <w:noProof w:val="0"/>
          <w:color w:val="000000" w:themeColor="text1"/>
          <w:lang w:val="en-US"/>
        </w:rPr>
        <w:t>none-low-intermediate-high</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{"citationItems":[{"id":"ITEM-1","itemData":{"ISSN":"0001-6322","PMID":"22101365","abstract":"We present a practical guide for the implementation of recently revised National Institute on Aging-Alzheimer's Association guidelines for the neuropathologic assessment of Alzheimer's disease (AD). Major revisions from previous consensus criteria are: (1) recognition that AD neuropathologic changes may occur in the apparent absence of cognitive impairment, (2) an \"ABC\" score for AD neuropathologic change that incorporates histopathologic assessments of amyloid β deposits (A), staging of neurofibrillary tangles (B), and scoring of neuritic plaques (C), and (3) more detailed approaches for assessing commonly co-morbid conditions such as Lewy body disease, vascular brain injury, hippocampal sclerosis, and TAR DNA binding protein (TDP)-43 immunoreactive inclusions. Recommendations also are made for the minimum sampling of brain, preferred staining methods with acceptable alternatives, reporting of results, and clinico-pathologic correlations.","author":[{"dropping-particle":"","family":"Montine","given":"Thomas J.","non-dropping-particle":"","parse-names":false,"suffix":""},{"dropping-particle":"","family":"Phelps","given":"Creighton H.","non-dropping-particle":"","parse-names":false,"suffix":""},{"dropping-particle":"","family":"Beach","given":"Thomas G.","non-dropping-particle":"","parse-names":false,"suffix":""},{"dropping-particle":"","family":"Bigio","given":"Eileen H.","non-dropping-particle":"","parse-names":false,"suffix":""},{"dropping-particle":"","family":"Cairns","given":"Nigel J.","non-dropping-particle":"","parse-names":false,"suffix":""},{"dropping-particle":"","family":"Dickson","given":"Dennis W.","non-dropping-particle":"","parse-names":false,"suffix":""},{"dropping-particle":"","family":"Duyckaerts","given":"Charles","non-dropping-particle":"","parse-names":false,"suffix":""},{"dropping-particle":"","family":"Frosch","given":"Matthew P.","non-dropping-particle":"","parse-names":false,"suffix":""},{"dropping-particle":"","family":"Masliah","given":"Eliezer","non-dropping-particle":"","parse-names":false,"suffix":""},{"dropping-particle":"","family":"Mirra","given":"Suzanne S.","non-dropping-particle":"","parse-names":false,"suffix":""},{"dropping-particle":"","family":"Nelson","given":"Peter T.","non-dropping-particle":"","parse-names":false,"suffix":""},{"dropping-particle":"","family":"Schneider","given":"Julie A.","non-dropping-particle":"","parse-names":false,"suffix":""},{"dropping-particle":"","family":"Thal","given":"Dietmar Rudolf","non-dropping-particle":"","parse-names":false,"suffix":""},{"dropping-particle":"","family":"Trojanowski","given":"John Q.","non-dropping-particle":"","parse-names":false,"suffix":""},{"dropping-particle":"V.","family":"Vinters","given":"Harry","non-dropping-particle":"","parse-names":false,"suffix":""},{"dropping-particle":"","family":"Hyman","given":"Bradley T.","non-dropping-particle":"","parse-names":false,"suffix":""},{"dropping-particle":"","family":"National Institute on Aging","given":"","non-dropping-particle":"","parse-names":false,"suffix":""},{"dropping-particle":"","family":"Alzheimer’s Association","given":"","non-dropping-particle":"","parse-names":false,"suffix":""}],"container-title":"Acta Neuropathologica","id":"ITEM-1","issue":"1","issued":{"date-parts":[["2012","1","20"]]},"page":"1-11","title":"National Institute on Aging–Alzheimer’s Association guidelines for the neuropathologic assessment of Alzheimer’s disease: a practical approach","type":"article-journal","volume":"123"},"uris":["http://www.mendeley.com/documents/?uuid=67e9034b-80e0-3f22-a59a-256a52d9a0a7"]}],"mendeley":{"formattedCitation":"&lt;sup&gt;45&lt;/sup&gt;","plainTextFormattedCitation":"45","previouslyFormattedCitation":"&lt;sup&gt;45&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45</w:t>
      </w:r>
      <w:r w:rsidRPr="00063CE2">
        <w:rPr>
          <w:noProof w:val="0"/>
          <w:color w:val="000000" w:themeColor="text1"/>
          <w:lang w:val="en-US"/>
        </w:rPr>
        <w:fldChar w:fldCharType="end"/>
      </w:r>
      <w:r w:rsidRPr="00063CE2">
        <w:rPr>
          <w:noProof w:val="0"/>
          <w:color w:val="000000" w:themeColor="text1"/>
          <w:lang w:val="en-US"/>
        </w:rPr>
        <w:t>.</w:t>
      </w:r>
    </w:p>
    <w:p w14:paraId="0DED86B8" w14:textId="77777777" w:rsidR="00AF5653" w:rsidRPr="00063CE2" w:rsidRDefault="00AF5653" w:rsidP="00AF5653">
      <w:pPr>
        <w:rPr>
          <w:noProof w:val="0"/>
          <w:webHidden/>
          <w:color w:val="000000" w:themeColor="text1"/>
          <w:lang w:val="en-US"/>
        </w:rPr>
      </w:pPr>
    </w:p>
    <w:p w14:paraId="6C560926" w14:textId="072A1C78" w:rsidR="00AF5653" w:rsidRPr="00063CE2" w:rsidRDefault="00AF5653" w:rsidP="00AF5653">
      <w:pPr>
        <w:rPr>
          <w:noProof w:val="0"/>
          <w:color w:val="000000" w:themeColor="text1"/>
          <w:sz w:val="18"/>
          <w:szCs w:val="18"/>
          <w:lang w:val="en-US"/>
        </w:rPr>
      </w:pPr>
      <w:r w:rsidRPr="00063CE2">
        <w:rPr>
          <w:noProof w:val="0"/>
          <w:color w:val="000000" w:themeColor="text1"/>
          <w:lang w:val="en-US"/>
        </w:rPr>
        <w:t xml:space="preserve">11.4. Use AT8 IHC to notice the presence or absence of </w:t>
      </w:r>
      <w:r w:rsidRPr="00063CE2">
        <w:rPr>
          <w:b/>
          <w:noProof w:val="0"/>
          <w:color w:val="000000" w:themeColor="text1"/>
          <w:lang w:val="en-US"/>
        </w:rPr>
        <w:t>non</w:t>
      </w:r>
      <w:r w:rsidR="005F6FF2" w:rsidRPr="00063CE2">
        <w:rPr>
          <w:b/>
          <w:noProof w:val="0"/>
          <w:color w:val="000000" w:themeColor="text1"/>
          <w:lang w:val="en-US"/>
        </w:rPr>
        <w:t>-</w:t>
      </w:r>
      <w:r w:rsidRPr="00063CE2">
        <w:rPr>
          <w:b/>
          <w:noProof w:val="0"/>
          <w:color w:val="000000" w:themeColor="text1"/>
          <w:lang w:val="en-US"/>
        </w:rPr>
        <w:t>AD TAU pathology</w:t>
      </w:r>
      <w:r w:rsidRPr="00063CE2">
        <w:rPr>
          <w:noProof w:val="0"/>
          <w:color w:val="000000" w:themeColor="text1"/>
          <w:lang w:val="en-US"/>
        </w:rPr>
        <w:t xml:space="preserve"> specifying prevalent location and peculiar morphologic picture. Consider neuronal inclusions such as flame shaped or globose tangles, spherical-globular inclusions (i.e.</w:t>
      </w:r>
      <w:r w:rsidR="003978E5" w:rsidRPr="00063CE2">
        <w:rPr>
          <w:noProof w:val="0"/>
          <w:color w:val="000000" w:themeColor="text1"/>
          <w:lang w:val="en-US"/>
        </w:rPr>
        <w:t>,</w:t>
      </w:r>
      <w:r w:rsidRPr="00063CE2">
        <w:rPr>
          <w:noProof w:val="0"/>
          <w:color w:val="000000" w:themeColor="text1"/>
          <w:lang w:val="en-US"/>
        </w:rPr>
        <w:t xml:space="preserve"> Pick’s bodies)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{"citationItems":[{"id":"ITEM-1","itemData":{"ISSN":"1080-2371","PMID":"27042904","abstract":"PURPOSE OF REVIEW This article reviews the common behavioral and cognitive features of frontotemporal dementia (FTD) and related disorders as well as the distinguishing clinical, genetic, and pathologic features of the most common subtypes. RECENT FINDINGS Advances in clinical phenotyping, genetics, and biomarkers have enabled improved predictions of the specific underlying molecular pathology associated with different presentations of FTD. Evaluation of large international cohorts has led to recent refinements in diagnostic criteria for several of the FTD subtypes. SUMMARY The FTDs are a group of neurodegenerative disorders featuring progressive deterioration of behavior or language and associated pathology in the frontal or temporal lobes. Based on anatomic, genetic, and neuropathologic categorizations, the six clinical subtypes of FTD or related disorders are: (1) behavioral variant of FTD, (2) semantic variant primary progressive aphasia, (3) nonfluent agrammatic variant primary progressive aphasia, (4) corticobasal syndrome, (5) progressive supranuclear palsy, and (6) FTD associated with motor neuron disease. Recognition and accurate diagnoses of FTD subtypes will aid the neurologist in the management of patients with FTD.","author":[{"dropping-particle":"","family":"Finger","given":"Elizabeth C.","non-dropping-particle":"","parse-names":false,"suffix":""}],"container-title":"CONTINUUM: Lifelong Learning in Neurology","id":"ITEM-1","issue":"2, Dementia","issued":{"date-parts":[["2016","4"]]},"page":"464-489","title":"Frontotemporal Dementias","type":"article-journal","volume":"22"},"uris":["http://www.mendeley.com/documents/?uuid=11ee3600-7116-3ff7-92bb-4822a3b5ccf6"]}],"mendeley":{"formattedCitation":"&lt;sup&gt;57&lt;/sup&gt;","plainTextFormattedCitation":"57","previouslyFormattedCitation":"&lt;sup&gt;57&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57</w:t>
      </w:r>
      <w:r w:rsidRPr="00063CE2">
        <w:rPr>
          <w:noProof w:val="0"/>
          <w:color w:val="000000" w:themeColor="text1"/>
          <w:lang w:val="en-US"/>
        </w:rPr>
        <w:fldChar w:fldCharType="end"/>
      </w:r>
      <w:r w:rsidRPr="00063CE2">
        <w:rPr>
          <w:noProof w:val="0"/>
          <w:color w:val="000000" w:themeColor="text1"/>
          <w:lang w:val="en-US"/>
        </w:rPr>
        <w:t>, neuropil threads, dystrophic neurites, argyrophilic grains;</w:t>
      </w:r>
      <w:r w:rsidR="003978E5" w:rsidRPr="00063CE2">
        <w:rPr>
          <w:noProof w:val="0"/>
          <w:color w:val="000000" w:themeColor="text1"/>
          <w:lang w:val="en-US"/>
        </w:rPr>
        <w:t xml:space="preserve"> and</w:t>
      </w:r>
      <w:r w:rsidRPr="00063CE2">
        <w:rPr>
          <w:b/>
          <w:noProof w:val="0"/>
          <w:color w:val="000000" w:themeColor="text1"/>
          <w:lang w:val="en-US"/>
        </w:rPr>
        <w:t xml:space="preserve"> </w:t>
      </w:r>
      <w:r w:rsidRPr="00063CE2">
        <w:rPr>
          <w:noProof w:val="0"/>
          <w:color w:val="000000" w:themeColor="text1"/>
          <w:lang w:val="en-US"/>
        </w:rPr>
        <w:t>glial inclusions such as tufted astrocytes, thorny astrocytes, astrocytic plaques, coiled bodies, globular inclusions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{"citationItems":[{"id":"ITEM-1","itemData":{"ISBN":"9781107588660","author":[{"dropping-particle":"","family":"Kovacs","given":"Gabor G.","non-dropping-particle":"","parse-names":false,"suffix":""}],"id":"ITEM-1","issued":{"date-parts":[["2014"]]},"publisher":"Cambridge University Press","publisher-place":"Cambridge","title":"Neuropathology of Neurodegenerative Diseases","type":"book"},"uris":["http://www.mendeley.com/documents/?uuid=7b09adf2-7155-3c26-ba59-a106b953ac89"]},{"id":"ITEM-2","itemData":{"ISSN":"1365-2990","PMID":"22471883","abstract":"AIMS Frontotemporal lobar degeneration with Pick bodies (Pick's disease) is characterized by the presence of tau immunoreactive spherical structures in the cytoplasm of neurones. In view of confusion about the molecular pathology of Pick's disease, we aimed to evaluate the spectrum of tau pathology and concomitant neurodegeneration-associated protein depositions in the characteristically affected hippocampus. METHODS We evaluated immunoreactivity (IR) for tau (AT8, 3R, 4R), α-synuclein, TDP43, p62, and ubiquitin in the hippocampus, entorhinal and temporal cortex in 66 archival cases diagnosed neuropathologically as Pick's disease. RESULTS Mean age at death was 68.2 years (range 49-96). Fifty-two (79%) brains showed 3R immunoreactive spherical inclusions in the granule cells of the dentate gyrus. These typical cases presented mainly with the behavioural variant of frontotemporal dementia, followed by progressive aphasia, mixed syndromes or early memory disturbance. α-Synuclein IR was seen only in occasional spherical tau-positive inclusions, TDP-43 IR was absent, and 4R IR was present only as neurofibrillary tangles in pyramidal neurones. Aβ IR was observed in 16 cases; however, the overall level of Alzheimer's disease-related alterations was mainly low or intermediate (n = 3). Furthermore, we identified six cases with unclassifiable tauopathy. CONCLUSIONS (i) Pick's disease may occur also in elderly patients and is characterized by a relatively uniform pathology with 3R tau inclusions particularly in the granule cells of dentate gyrus; (ii) even minor deviation from these morphological criteria suggests a different disorder; and (iii) immunohistological revision of archival cases expands the spectrum of tauopathies that require further classification.","author":[{"dropping-particle":"","family":"Kovacs","given":"G G","non-dropping-particle":"","parse-names":false,"suffix":""},{"dropping-particle":"","family":"Rozemuller","given":"A J M","non-dropping-particle":"","parse-names":false,"suffix":""},{"dropping-particle":"","family":"Swieten","given":"J C","non-dropping-particle":"van","parse-names":false,"suffix":""},{"dropping-particle":"","family":"Gelpi","given":"E","non-dropping-particle":"","parse-names":false,"suffix":""},{"dropping-particle":"","family":"Majtenyi","given":"K","non-dropping-particle":"","parse-names":false,"suffix":""},{"dropping-particle":"","family":"Al-Sarraj","given":"S","non-dropping-particle":"","parse-names":false,"suffix":""},{"dropping-particle":"","family":"Troakes","given":"C","non-dropping-particle":"","parse-names":false,"suffix":""},{"dropping-particle":"","family":"Bódi","given":"I","non-dropping-particle":"","parse-names":false,"suffix":""},{"dropping-particle":"","family":"King","given":"A","non-dropping-particle":"","parse-names":false,"suffix":""},{"dropping-particle":"","family":"Hortobágyi","given":"T","non-dropping-particle":"","parse-names":false,"suffix":""},{"dropping-particle":"","family":"Esiri","given":"M M","non-dropping-particle":"","parse-names":false,"suffix":""},{"dropping-particle":"","family":"Ansorge","given":"O","non-dropping-particle":"","parse-names":false,"suffix":""},{"dropping-particle":"","family":"Giaccone","given":"G","non-dropping-particle":"","parse-names":false,"suffix":""},{"dropping-particle":"","family":"Ferrer","given":"I","non-dropping-particle":"","parse-names":false,"suffix":""},{"dropping-particle":"","family":"Arzberger","given":"T","non-dropping-particle":"","parse-names":false,"suffix":""},{"dropping-particle":"","family":"Bogdanovic","given":"N","non-dropping-particle":"","parse-names":false,"suffix":""},{"dropping-particle":"","family":"Nilsson","given":"T","non-dropping-particle":"","parse-names":false,"suffix":""},{"dropping-particle":"","family":"Leisser","given":"I","non-dropping-particle":"","parse-names":false,"suffix":""},{"dropping-particle":"","family":"Alafuzoff","given":"I","non-dropping-particle":"","parse-names":false,"suffix":""},{"dropping-particle":"","family":"Ironside","given":"J W","non-dropping-particle":"","parse-names":false,"suffix":""},{"dropping-particle":"","family":"Kretzschmar","given":"H","non-dropping-particle":"","parse-names":false,"suffix":""},{"dropping-particle":"","family":"Budka","given":"H","non-dropping-particle":"","parse-names":false,"suffix":""}],"container-title":"Neuropathology and applied neurobiology","id":"ITEM-2","issue":"2","issued":{"date-parts":[["2013","2"]]},"page":"166-78","title":"Neuropathology of the hippocampus in FTLD-Tau with Pick bodies: a study of the BrainNet Europe Consortium.","type":"article-journal","volume":"39"},"uris":["http://www.mendeley.com/documents/?uuid=a8c6495a-a55a-3fc9-967e-17538db44315"]}],"mendeley":{"formattedCitation":"&lt;sup&gt;58, 59&lt;/sup&gt;","plainTextFormattedCitation":"58, 59","previouslyFormattedCitation":"&lt;sup&gt;58, 59&lt;/sup&gt;"},"properties":{"noteIndex":0},"schema":"https://github.com/citation-style-language/schema/raw/master/csl-citation.json"}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58, 59</w:t>
      </w:r>
      <w:r w:rsidRPr="00063CE2">
        <w:rPr>
          <w:noProof w:val="0"/>
          <w:color w:val="000000" w:themeColor="text1"/>
          <w:lang w:val="en-US"/>
        </w:rPr>
        <w:fldChar w:fldCharType="end"/>
      </w:r>
      <w:r w:rsidRPr="00063CE2">
        <w:rPr>
          <w:noProof w:val="0"/>
          <w:color w:val="000000" w:themeColor="text1"/>
          <w:lang w:val="en-US"/>
        </w:rPr>
        <w:t>.</w:t>
      </w:r>
    </w:p>
    <w:p w14:paraId="3BA9DB82" w14:textId="77777777" w:rsidR="00AF5653" w:rsidRPr="00063CE2" w:rsidRDefault="00AF5653" w:rsidP="00AF5653">
      <w:pPr>
        <w:rPr>
          <w:noProof w:val="0"/>
          <w:webHidden/>
          <w:color w:val="000000" w:themeColor="text1"/>
          <w:lang w:val="en-US"/>
        </w:rPr>
      </w:pPr>
    </w:p>
    <w:p w14:paraId="7E56E8DC" w14:textId="44EB0596" w:rsidR="00AF5653" w:rsidRPr="00063CE2" w:rsidRDefault="00AF5653" w:rsidP="00AF5653">
      <w:pPr>
        <w:rPr>
          <w:noProof w:val="0"/>
          <w:color w:val="000000" w:themeColor="text1"/>
          <w:lang w:val="en-US"/>
        </w:rPr>
      </w:pPr>
      <w:r w:rsidRPr="00063CE2">
        <w:rPr>
          <w:noProof w:val="0"/>
          <w:color w:val="000000" w:themeColor="text1"/>
          <w:lang w:val="en-US"/>
        </w:rPr>
        <w:t>11.5.</w:t>
      </w:r>
      <w:r w:rsidRPr="00063CE2">
        <w:rPr>
          <w:rStyle w:val="NoneA"/>
          <w:noProof w:val="0"/>
          <w:color w:val="000000" w:themeColor="text1"/>
          <w:lang w:val="en-US"/>
        </w:rPr>
        <w:t xml:space="preserve"> Use </w:t>
      </w:r>
      <w:r w:rsidR="00E137DE" w:rsidRPr="00063CE2">
        <w:rPr>
          <w:rStyle w:val="NoneA"/>
          <w:noProof w:val="0"/>
          <w:color w:val="000000" w:themeColor="text1"/>
          <w:lang w:val="en-US"/>
        </w:rPr>
        <w:t>α</w:t>
      </w:r>
      <w:r w:rsidRPr="00063CE2">
        <w:rPr>
          <w:rStyle w:val="NoneA"/>
          <w:noProof w:val="0"/>
          <w:color w:val="000000" w:themeColor="text1"/>
          <w:lang w:val="en-US"/>
        </w:rPr>
        <w:t xml:space="preserve">-syn IHC to detect </w:t>
      </w:r>
      <w:r w:rsidRPr="00063CE2">
        <w:rPr>
          <w:rStyle w:val="NoneA"/>
          <w:b/>
          <w:noProof w:val="0"/>
          <w:color w:val="000000" w:themeColor="text1"/>
          <w:lang w:val="en-US"/>
        </w:rPr>
        <w:t>LTS</w:t>
      </w:r>
      <w:r w:rsidRPr="00063CE2">
        <w:rPr>
          <w:rStyle w:val="NoneA"/>
          <w:noProof w:val="0"/>
          <w:color w:val="000000" w:themeColor="text1"/>
          <w:lang w:val="en-US"/>
        </w:rPr>
        <w:t xml:space="preserve"> (Lewy bodies, pale bodies and Lewy neurites)</w:t>
      </w:r>
      <w:r w:rsidRPr="00063CE2">
        <w:rPr>
          <w:noProof w:val="0"/>
          <w:color w:val="000000" w:themeColor="text1"/>
          <w:lang w:val="en-US"/>
        </w:rPr>
        <w:t xml:space="preserve"> on the areas in the note above</w:t>
      </w:r>
      <w:r w:rsidRPr="00063CE2">
        <w:rPr>
          <w:bCs/>
          <w:noProof w:val="0"/>
          <w:color w:val="000000" w:themeColor="text1"/>
          <w:lang w:val="en-US"/>
        </w:rPr>
        <w:t xml:space="preserve">. In case of positivity, apply </w:t>
      </w:r>
      <w:proofErr w:type="spellStart"/>
      <w:r w:rsidRPr="00063CE2">
        <w:rPr>
          <w:b/>
          <w:noProof w:val="0"/>
          <w:color w:val="000000" w:themeColor="text1"/>
          <w:lang w:val="en-US"/>
        </w:rPr>
        <w:t>McKeith</w:t>
      </w:r>
      <w:r w:rsidR="00132EE6" w:rsidRPr="00063CE2">
        <w:rPr>
          <w:b/>
          <w:noProof w:val="0"/>
          <w:color w:val="000000" w:themeColor="text1"/>
          <w:lang w:val="en-US"/>
        </w:rPr>
        <w:t>’s</w:t>
      </w:r>
      <w:proofErr w:type="spellEnd"/>
      <w:r w:rsidRPr="00063CE2">
        <w:rPr>
          <w:b/>
          <w:bCs/>
          <w:noProof w:val="0"/>
          <w:color w:val="000000" w:themeColor="text1"/>
          <w:lang w:val="en-US"/>
        </w:rPr>
        <w:t xml:space="preserve"> </w:t>
      </w:r>
      <w:r w:rsidRPr="00063CE2">
        <w:rPr>
          <w:b/>
          <w:noProof w:val="0"/>
          <w:color w:val="000000" w:themeColor="text1"/>
          <w:lang w:val="en-US"/>
        </w:rPr>
        <w:t>grading</w:t>
      </w:r>
      <w:r w:rsidRPr="00063CE2">
        <w:rPr>
          <w:noProof w:val="0"/>
          <w:color w:val="000000" w:themeColor="text1"/>
          <w:lang w:val="en-US"/>
        </w:rPr>
        <w:t xml:space="preserve"> (0</w:t>
      </w:r>
      <w:r w:rsidR="003978E5" w:rsidRPr="00063CE2">
        <w:rPr>
          <w:noProof w:val="0"/>
          <w:color w:val="000000" w:themeColor="text1"/>
          <w:lang w:val="en-US"/>
        </w:rPr>
        <w:t>–</w:t>
      </w:r>
      <w:r w:rsidRPr="00063CE2">
        <w:rPr>
          <w:noProof w:val="0"/>
          <w:color w:val="000000" w:themeColor="text1"/>
          <w:lang w:val="en-US"/>
        </w:rPr>
        <w:t>4) to evaluate the severity of the lesions</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-1","issued":{"date-parts":[["2005"]]},"page":"1863-1872","title":"Diagnosis and management of dementia with Lewy bodies: third report of the DLB Consortium.","type":"article-journal","volume":"65"},"uris":["http://www.mendeley.com/documents/?uuid=40ea8620-2e1d-4f84-bb8b-edd00951cbe0"]}],"mendeley":{"formattedCitation":"&lt;sup&gt;60&lt;/sup&gt;","plainTextFormattedCitation":"60","previouslyFormattedCitation":"&lt;sup&gt;60&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60</w:t>
      </w:r>
      <w:r w:rsidRPr="00063CE2">
        <w:rPr>
          <w:noProof w:val="0"/>
          <w:color w:val="000000" w:themeColor="text1"/>
          <w:lang w:val="en-US"/>
        </w:rPr>
        <w:fldChar w:fldCharType="end"/>
      </w:r>
      <w:r w:rsidRPr="00063CE2">
        <w:rPr>
          <w:noProof w:val="0"/>
          <w:color w:val="000000" w:themeColor="text1"/>
          <w:lang w:val="en-US"/>
        </w:rPr>
        <w:t xml:space="preserve">; </w:t>
      </w:r>
      <w:r w:rsidRPr="00063CE2">
        <w:rPr>
          <w:bCs/>
          <w:noProof w:val="0"/>
          <w:color w:val="000000" w:themeColor="text1"/>
          <w:lang w:val="en-US"/>
        </w:rPr>
        <w:t xml:space="preserve">then, use </w:t>
      </w:r>
      <w:r w:rsidRPr="00063CE2">
        <w:rPr>
          <w:b/>
          <w:noProof w:val="0"/>
          <w:color w:val="000000" w:themeColor="text1"/>
          <w:lang w:val="en-US"/>
        </w:rPr>
        <w:t>Beach’s stages</w:t>
      </w:r>
      <w:r w:rsidRPr="00063CE2">
        <w:rPr>
          <w:noProof w:val="0"/>
          <w:color w:val="000000" w:themeColor="text1"/>
          <w:lang w:val="en-US"/>
        </w:rPr>
        <w:t xml:space="preserve"> (I</w:t>
      </w:r>
      <w:r w:rsidR="003978E5" w:rsidRPr="00063CE2">
        <w:rPr>
          <w:noProof w:val="0"/>
          <w:color w:val="000000" w:themeColor="text1"/>
          <w:lang w:val="en-US"/>
        </w:rPr>
        <w:t>–</w:t>
      </w:r>
      <w:r w:rsidRPr="00063CE2">
        <w:rPr>
          <w:noProof w:val="0"/>
          <w:color w:val="000000" w:themeColor="text1"/>
          <w:lang w:val="en-US"/>
        </w:rPr>
        <w:t>IV) for topographical distribution (olfactory bulb, brainstem predominant, limbic predominant, neocortical)</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mendeley":{"formattedCitation":"&lt;sup&gt;61&lt;/sup&gt;","plainTextFormattedCitation":"61","previouslyFormattedCitation":"&lt;sup&gt;61&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61</w:t>
      </w:r>
      <w:r w:rsidRPr="00063CE2">
        <w:rPr>
          <w:noProof w:val="0"/>
          <w:color w:val="000000" w:themeColor="text1"/>
          <w:lang w:val="en-US"/>
        </w:rPr>
        <w:fldChar w:fldCharType="end"/>
      </w:r>
      <w:r w:rsidRPr="00063CE2">
        <w:rPr>
          <w:bCs/>
          <w:noProof w:val="0"/>
          <w:color w:val="000000" w:themeColor="text1"/>
          <w:lang w:val="en-US"/>
        </w:rPr>
        <w:t xml:space="preserve">. </w:t>
      </w:r>
      <w:r w:rsidRPr="00063CE2">
        <w:rPr>
          <w:noProof w:val="0"/>
          <w:color w:val="000000" w:themeColor="text1"/>
          <w:lang w:val="en-US"/>
        </w:rPr>
        <w:t xml:space="preserve">Compare Beach’s and </w:t>
      </w:r>
      <w:proofErr w:type="spellStart"/>
      <w:r w:rsidRPr="00063CE2">
        <w:rPr>
          <w:noProof w:val="0"/>
          <w:color w:val="000000" w:themeColor="text1"/>
          <w:lang w:val="en-US"/>
        </w:rPr>
        <w:t>Braak’s</w:t>
      </w:r>
      <w:proofErr w:type="spellEnd"/>
      <w:r w:rsidRPr="00063CE2">
        <w:rPr>
          <w:noProof w:val="0"/>
          <w:color w:val="000000" w:themeColor="text1"/>
          <w:lang w:val="en-US"/>
        </w:rPr>
        <w:t xml:space="preserve"> stages to define the relationship between LBD and AD pathology</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{"citationItems":[{"id":"ITEM-1","itemData":{"ISSN":"1432-0533","PMID":"19399512","abstract":"The two current major staging systems in use for Lewy body disorders fail to classify up to 50% of subjects. Both systems do not allow for large numbers of subjects who have Lewy-type alpha-synucleinopathy (LTS) confined to the olfactory bulb or who pass through a limbic-predominant pathway that at least initially bypasses the brainstem. The results of the current study, based on examination of a standard set of ten brain regions from 417 subjects stained immunohistochemically for alpha-synuclein, suggest a new staging system that, in this study, allows for the classification of all subjects with Lewy body disorders. The autopsied subjects included elderly subjects with Parkinson's disease, dementia with Lewy bodies, incidental Lewy body disease and Alzheimer's disease with Lewy bodies, as well as comparison groups without Lewy bodies. All subjects were classifiable into one of the following stages: I. Olfactory Bulb Only; IIa Brainstem Predominant; IIb Limbic Predominant; III Brainstem and Limbic; IV Neocortical. Progression of subjects through these stages was accompanied by a generally stepwise worsening in terms of striatal tyrosine hydroxylase concentration, substantia nigra pigmented neuron loss score, Mini Mental State Examination score and score on the Unified Parkinson's Disease Rating Scale Part 3. Additionally, there were significant correlations between these measures and LTS density scores. It is suggested that the proposed staging system would improve on its predecessors by allowing classification of a much greater proportion of cases.","author":[{"dropping-particle":"","family":"Beach","given":"Thomas G","non-dropping-particle":"","parse-names":false,"suffix":""},{"dropping-particle":"","family":"Adler","given":"Charles H","non-dropping-particle":"","parse-names":false,"suffix":""},{"dropping-particle":"","family":"Lue","given":"LihFen","non-dropping-particle":"","parse-names":false,"suffix":""},{"dropping-particle":"","family":"Sue","given":"Lucia I","non-dropping-particle":"","parse-names":false,"suffix":""},{"dropping-particle":"","family":"Bachalakuri","given":"Jyothi","non-dropping-particle":"","parse-names":false,"suffix":""},{"dropping-particle":"","family":"Henry-Watson","given":"Jonette","non-dropping-particle":"","parse-names":false,"suffix":""},{"dropping-particle":"","family":"Sasse","given":"Jeanne","non-dropping-particle":"","parse-names":false,"suffix":""},{"dropping-particle":"","family":"Boyer","given":"Sarah","non-dropping-particle":"","parse-names":false,"suffix":""},{"dropping-particle":"","family":"Shirohi","given":"Scophil","non-dropping-particle":"","parse-names":false,"suffix":""},{"dropping-particle":"","family":"Brooks","given":"Reed","non-dropping-particle":"","parse-names":false,"suffix":""},{"dropping-particle":"","family":"Eschbacher","given":"Jennifer","non-dropping-particle":"","parse-names":false,"suffix":""},{"dropping-particle":"","family":"White","given":"Charles L","non-dropping-particle":"","parse-names":false,"suffix":""},{"dropping-particle":"","family":"Akiyama","given":"Haru","non-dropping-particle":"","parse-names":false,"suffix":""},{"dropping-particle":"","family":"Caviness","given":"John","non-dropping-particle":"","parse-names":false,"suffix":""},{"dropping-particle":"","family":"Shill","given":"Holly A","non-dropping-particle":"","parse-names":false,"suffix":""},{"dropping-particle":"","family":"Connor","given":"Donald J","non-dropping-particle":"","parse-names":false,"suffix":""},{"dropping-particle":"","family":"Sabbagh","given":"Marwan N","non-dropping-particle":"","parse-names":false,"suffix":""},{"dropping-particle":"","family":"Walker","given":"Douglas G","non-dropping-particle":"","parse-names":false,"suffix":""},{"dropping-particle":"","family":"Arizona Parkinson's Disease Consortium","given":"","non-dropping-particle":"","parse-names":false,"suffix":""}],"container-title":"Acta neuropathologica","id":"ITEM-1","issue":"6","issued":{"date-parts":[["2009","6","28"]]},"page":"613-34","title":"Unified staging system for Lewy body disorders: correlation with nigrostriatal degeneration, cognitive impairment and motor dysfunction.","type":"article-journal","volume":"117"},"uris":["http://www.mendeley.com/documents/?uuid=7ceaaca7-cf15-392d-b251-ad3dd4291e81"]},{"id":"ITEM-2","itemData":{"abstract":"The dementia with Lewy bodies (DLB) Consortium has revised criteria for the clinical and pathologic diagnosis of DLB incorporating new information about the core clinical features and suggesting improved methods to assess them. REM sleep behavior disorder, severe neuroleptic sensitivity, and reduced striatal dopamine transporter activity on functional neuroimaging are given greater diagnostic weighting as features suggestive of a DLB diagnosis. The 1-year rule distinguishing between DLB and Parkinson disease with dementia may be difficult to apply in clinical settings and in such cases the term most appropriate to each individual patient should be used. Generic terms such as Lewy body (LB) disease are often helpful. The authors propose a new scheme for the pathologic assessment of LBs and Lewy neurites (LN) using alpha-synuclein immunohistochemistry and semiquantitative grading of lesion density, with the pattern of regional involvement being more important than total LB count. The new criteria take into account both Lewy-related and Alzheimer disease (AD)-type pathology to allocate a probability that these are associated with the clinical DLB syndrome. Finally, the authors suggest patient management guidelines including the need for accurate diagnosis, a target symptom approach, and use of appropriate outcome measures. There is limited evidence about specific interventions but available data suggest only a partial response of motor symptoms to levodopa: severe sensitivity to typical and atypical antipsychotics in approximately 50%, and improvements in attention, visual hallucinations, and sleep disorders with cholinesterase inhibitors.","author":[{"dropping-particle":"","family":"McKeith","given":"I G","non-dropping-particle":"","parse-names":false,"suffix":""},{"dropping-particle":"","family":"Dickson","given":"D W","non-dropping-particle":"","parse-names":false,"suffix":""},{"dropping-particle":"","family":"Lowe","given":"J","non-dropping-particle":"","parse-names":false,"suffix":""},{"dropping-particle":"","family":"Emre","given":"M","non-dropping-particle":"","parse-names":false,"suffix":""},{"dropping-particle":"","family":"O'Brien","given":"J T","non-dropping-particle":"","parse-names":false,"suffix":""},{"dropping-particle":"","family":"Feldman","given":"H","non-dropping-particle":"","parse-names":false,"suffix":""},{"dropping-particle":"","family":"Cummings","given":"J","non-dropping-particle":"","parse-names":false,"suffix":""},{"dropping-particle":"","family":"Duda","given":"J E","non-dropping-particle":"","parse-names":false,"suffix":""},{"dropping-particle":"","family":"Lippa","given":"C","non-dropping-particle":"","parse-names":false,"suffix":""},{"dropping-particle":"","family":"Perry","given":"E K","non-dropping-particle":"","parse-names":false,"suffix":""},{"dropping-particle":"","family":"Aarsland","given":"D","non-dropping-particle":"","parse-names":false,"suffix":""},{"dropping-particle":"","family":"Arai","given":"H","non-dropping-particle":"","parse-names":false,"suffix":""},{"dropping-particle":"","family":"Ballard","given":"C G","non-dropping-particle":"","parse-names":false,"suffix":""},{"dropping-particle":"","family":"Boeve","given":"B","non-dropping-particle":"","parse-names":false,"suffix":""},{"dropping-particle":"","family":"Burn","given":"D J","non-dropping-particle":"","parse-names":false,"suffix":""},{"dropping-particle":"","family":"Costa","given":"D","non-dropping-particle":"","parse-names":false,"suffix":""},{"dropping-particle":"","family":"Ser","given":"T","non-dropping-particle":"Del","parse-names":false,"suffix":""},{"dropping-particle":"","family":"Dubois","given":"B","non-dropping-particle":"","parse-names":false,"suffix":""},{"dropping-particle":"","family":"Galasko","given":"D","non-dropping-particle":"","parse-names":false,"suffix":""},{"dropping-particle":"","family":"Gauthier","given":"S","non-dropping-particle":"","parse-names":false,"suffix":""},{"dropping-particle":"","family":"Goetz","given":"C G","non-dropping-particle":"","parse-names":false,"suffix":""},{"dropping-particle":"","family":"Gomez-Tortosa","given":"E","non-dropping-particle":"","parse-names":false,"suffix":""},{"dropping-particle":"","family":"Halliday","given":"G","non-dropping-particle":"","parse-names":false,"suffix":""},{"dropping-particle":"","family":"Hansen","given":"L A","non-dropping-particle":"","parse-names":false,"suffix":""},{"dropping-particle":"","family":"Hardy","given":"J","non-dropping-particle":"","parse-names":false,"suffix":""},{"dropping-particle":"","family":"Iwatsubo","given":"T","non-dropping-particle":"","parse-names":false,"suffix":""},{"dropping-particle":"","family":"Kalaria","given":"R N","non-dropping-particle":"","parse-names":false,"suffix":""},{"dropping-particle":"","family":"Kaufer","given":"D","non-dropping-particle":"","parse-names":false,"suffix":""},{"dropping-particle":"","family":"Kenny","given":"R A","non-dropping-particle":"","parse-names":false,"suffix":""},{"dropping-particle":"","family":"Korczyn","given":"A","non-dropping-particle":"","parse-names":false,"suffix":""},{"dropping-particle":"","family":"Kosaka","given":"K","non-dropping-particle":"","parse-names":false,"suffix":""},{"dropping-particle":"","family":"Lee","given":"V M Y","non-dropping-particle":"","parse-names":false,"suffix":""},{"dropping-particle":"","family":"Lees","given":"A","non-dropping-particle":"","parse-names":false,"suffix":""},{"dropping-particle":"","family":"Litvan","given":"I","non-dropping-particle":"","parse-names":false,"suffix":""},{"dropping-particle":"","family":"Londos","given":"E","non-dropping-particle":"","parse-names":false,"suffix":""},{"dropping-particle":"","family":"Lopez","given":"O L","non-dropping-particle":"","parse-names":false,"suffix":""},{"dropping-particle":"","family":"Minoshima","given":"S","non-dropping-particle":"","parse-names":false,"suffix":""},{"dropping-particle":"","family":"Mizuno","given":"Y","non-dropping-particle":"","parse-names":false,"suffix":""},{"dropping-particle":"","family":"Molina","given":"J A","non-dropping-particle":"","parse-names":false,"suffix":""},{"dropping-particle":"","family":"Mukaetova-Ladinska","given":"E B","non-dropping-particle":"","parse-names":false,"suffix":""},{"dropping-particle":"","family":"Pasquier","given":"F","non-dropping-particle":"","parse-names":false,"suffix":""},{"dropping-particle":"","family":"Perry","given":"R H","non-dropping-particle":"","parse-names":false,"suffix":""},{"dropping-particle":"","family":"Schulz","given":"J B","non-dropping-particle":"","parse-names":false,"suffix":""},{"dropping-particle":"","family":"Trojanowski","given":"J Q","non-dropping-particle":"","parse-names":false,"suffix":""},{"dropping-particle":"","family":"Yamada","given":"M","non-dropping-particle":"","parse-names":false,"suffix":""}],"container-title":"Neurology","id":"ITEM-2","issued":{"date-parts":[["2005"]]},"page":"1863-1872","title":"Diagnosis and management of dementia with Lewy bodies: third report of the DLB Consortium.","type":"article-journal","volume":"65"},"uris":["http://www.mendeley.com/documents/?uuid=40ea8620-2e1d-4f84-bb8b-edd00951cbe0"]},{"id":"ITEM-3","itemData":{"ISSN":"0028-3878","PMID":"28592453","abstract":"The Dementia with Lewy Bodies (DLB) Consortium has refined its recommendations about the clinical and pathologic diagnosis of DLB, updating the previous report, which has been in widespread use for the last decade. The revised DLB consensus criteria now distinguish clearly between clinical features and diagnostic biomarkers, and give guidance about optimal methods to establish and interpret these. Substantial new information has been incorporated about previously reported aspects of DLB, with increased diagnostic weighting given to REM sleep behavior disorder and 123iodine-metaiodobenzylguanidine (MIBG) myocardial scintigraphy. The diagnostic role of other neuroimaging, electrophysiologic, and laboratory investigations is also described. Minor modifications to pathologic methods and criteria are recommended to take account of Alzheimer disease neuropathologic change, to add previously omitted Lewy-related pathology categories, and to include assessments for substantia nigra neuronal loss. Recommendations about clinical management are largely based upon expert opinion since randomized controlled trials in DLB are few. Substantial progress has been made since the previous report in the detection and recognition of DLB as a common and important clinical disorder. During that period it has been incorporated into DSM-5, as major neurocognitive disorder with Lewy bodies. There remains a pressing need to understand the underlying neurobiology and pathophysiology of DLB, to develop and deliver clinical trials with both symptomatic and disease-modifying agents, and to help patients and carers worldwide to inform themselves about the disease, its prognosis, best available treatments, ongoing research, and how to get adequate support.","author":[{"dropping-particle":"","family":"McKeith","given":"Ian G.","non-dropping-particle":"","parse-names":false,"suffix":""},{"dropping-particle":"","family":"Boeve","given":"Bradley F.","non-dropping-particle":"","parse-names":false,"suffix":""},{"dropping-particle":"","family":"Dickson","given":"Dennis W.","non-dropping-particle":"","parse-names":false,"suffix":""},{"dropping-particle":"","family":"Halliday","given":"Glenda","non-dropping-particle":"","parse-names":false,"suffix":""},{"dropping-particle":"","family":"Taylor","given":"John-Paul","non-dropping-particle":"","parse-names":false,"suffix":""},{"dropping-particle":"","family":"Weintraub","given":"Daniel","non-dropping-particle":"","parse-names":false,"suffix":""},{"dropping-particle":"","family":"Aarsland","given":"Dag","non-dropping-particle":"","parse-names":false,"suffix":""},{"dropping-particle":"","family":"Galvin","given":"James","non-dropping-particle":"","parse-names":false,"suffix":""},{"dropping-particle":"","family":"Attems","given":"Johannes","non-dropping-particle":"","parse-names":false,"suffix":""},{"dropping-particle":"","family":"Ballard","given":"Clive G.","non-dropping-particle":"","parse-names":false,"suffix":""},{"dropping-particle":"","family":"Bayston","given":"Ashley","non-dropping-particle":"","parse-names":false,"suffix":""},{"dropping-particle":"","family":"Beach","given":"Thomas G.","non-dropping-particle":"","parse-names":false,"suffix":""},{"dropping-particle":"","family":"Blanc","given":"Frédéric","non-dropping-particle":"","parse-names":false,"suffix":""},{"dropping-particle":"","family":"Bohnen","given":"Nicolaas","non-dropping-particle":"","parse-names":false,"suffix":""},{"dropping-particle":"","family":"Bonanni","given":"Laura","non-dropping-particle":"","parse-names":false,"suffix":""},{"dropping-particle":"","family":"Bras","given":"Jose","non-dropping-particle":"","parse-names":false,"suffix":""},{"dropping-particle":"","family":"Brundin","given":"Patrik","non-dropping-particle":"","parse-names":false,"suffix":""},{"dropping-particle":"","family":"Burn","given":"David","non-dropping-particle":"","parse-names":false,"suffix":""},{"dropping-particle":"","family":"Chen-Plotkin","given":"Alice","non-dropping-particle":"","parse-names":false,"suffix":""},{"dropping-particle":"","family":"Duda","given":"John E.","non-dropping-particle":"","parse-names":false,"suffix":""},{"dropping-particle":"","family":"El-Agnaf","given":"Omar","non-dropping-particle":"","parse-names":false,"suffix":""},{"dropping-particle":"","family":"Feldman","given":"Howard","non-dropping-particle":"","parse-names":false,"suffix":""},{"dropping-particle":"","family":"Ferman","given":"Tanis J.","non-dropping-particle":"","parse-names":false,"suffix":""},{"dropping-particle":"","family":"Ffytche","given":"Dominic","non-dropping-particle":"","parse-names":false,"suffix":""},{"dropping-particle":"","family":"Fujishiro","given":"Hiroshige","non-dropping-particle":"","parse-names":false,"suffix":""},{"dropping-particle":"","family":"Galasko","given":"Douglas","non-dropping-particle":"","parse-names":false,"suffix":""},{"dropping-particle":"","family":"Goldman","given":"Jennifer G.","non-dropping-particle":"","parse-names":false,"suffix":""},{"dropping-particle":"","family":"Gomperts","given":"Stephen N.","non-dropping-particle":"","parse-names":false,"suffix":""},{"dropping-particle":"","family":"Graff-Radford","given":"Neill R.","non-dropping-particle":"","parse-names":false,"suffix":""},{"dropping-particle":"","family":"Honig","given":"Lawrence S.","non-dropping-particle":"","parse-names":false,"suffix":""},{"dropping-particle":"","family":"Iranzo","given":"Alex","non-dropping-particle":"","parse-names":false,"suffix":""},{"dropping-particle":"","family":"Kantarci","given":"Kejal","non-dropping-particle":"","parse-names":false,"suffix":""},{"dropping-particle":"","family":"Kaufer","given":"Daniel","non-dropping-particle":"","parse-names":false,"suffix":""},{"dropping-particle":"","family":"Kukull","given":"Walter","non-dropping-particle":"","parse-names":false,"suffix":""},{"dropping-particle":"","family":"Lee","given":"Virginia M.Y.","non-dropping-particle":"","parse-names":false,"suffix":""},{"dropping-particle":"","family":"Leverenz","given":"James B.","non-dropping-particle":"","parse-names":false,"suffix":""},{"dropping-particle":"","family":"Lewis","given":"Simon","non-dropping-particle":"","parse-names":false,"suffix":""},{"dropping-particle":"","family":"Lippa","given":"Carol","non-dropping-particle":"","parse-names":false,"suffix":""},{"dropping-particle":"","family":"Lunde","given":"Angela","non-dropping-particle":"","parse-names":false,"suffix":""},{"dropping-particle":"","family":"Masellis","given":"Mario","non-dropping-particle":"","parse-names":false,"suffix":""},{"dropping-particle":"","family":"Masliah","given":"Eliezer","non-dropping-particle":"","parse-names":false,"suffix":""},{"dropping-particle":"","family":"McLean","given":"Pamela","non-dropping-particle":"","parse-names":false,"suffix":""},{"dropping-particle":"","family":"Mollenhauer","given":"Brit","non-dropping-particle":"","parse-names":false,"suffix":""},{"dropping-particle":"","family":"Montine","given":"Thomas J.","non-dropping-particle":"","parse-names":false,"suffix":""},{"dropping-particle":"","family":"Moreno","given":"Emilio","non-dropping-particle":"","parse-names":false,"suffix":""},{"dropping-particle":"","family":"Mori","given":"Etsuro","non-dropping-particle":"","parse-names":false,"suffix":""},{"dropping-particle":"","family":"Murray","given":"Melissa","non-dropping-particle":"","parse-names":false,"suffix":""},{"dropping-particle":"","family":"O'Brien","given":"John T.","non-dropping-particle":"","parse-names":false,"suffix":""},{"dropping-particle":"","family":"Orimo","given":"Sotoshi","non-dropping-particle":"","parse-names":false,"suffix":""},{"dropping-particle":"","family":"Postuma","given":"Ronald B.","non-dropping-particle":"","parse-names":false,"suffix":""},{"dropping-particle":"","family":"Ramaswamy","given":"Shankar","non-dropping-particle":"","parse-names":false,"suffix":""},{"dropping-particle":"","family":"Ross","given":"Owen A.","non-dropping-particle":"","parse-names":false,"suffix":""},{"dropping-particle":"","family":"Salmon","given":"David P.","non-dropping-particle":"","parse-names":false,"suffix":""},{"dropping-particle":"","family":"Singleton","given":"Andrew","non-dropping-particle":"","parse-names":false,"suffix":""},{"dropping-particle":"","family":"Taylor","given":"Angela","non-dropping-particle":"","parse-names":false,"suffix":""},{"dropping-particle":"","family":"Thomas","given":"Alan","non-dropping-particle":"","parse-names":false,"suffix":""},{"dropping-particle":"","family":"Tiraboschi","given":"Pietro","non-dropping-particle":"","parse-names":false,"suffix":""},{"dropping-particle":"","family":"Toledo","given":"Jon B.","non-dropping-particle":"","parse-names":false,"suffix":""},{"dropping-particle":"","family":"Trojanowski","given":"John Q.","non-dropping-particle":"","parse-names":false,"suffix":""},{"dropping-particle":"","family":"Tsuang","given":"Debby","non-dropping-particle":"","parse-names":false,"suffix":""},{"dropping-particle":"","family":"Walker","given":"Zuzana","non-dropping-particle":"","parse-names":false,"suffix":""},{"dropping-particle":"","family":"Yamada","given":"Masahito","non-dropping-particle":"","parse-names":false,"suffix":""},{"dropping-particle":"","family":"Kosaka","given":"Kenji","non-dropping-particle":"","parse-names":false,"suffix":""}],"container-title":"Neurology","id":"ITEM-3","issue":"1","issued":{"date-parts":[["2017","7","4"]]},"page":"88-100","title":"Diagnosis and management of dementia with Lewy bodies","type":"article-journal","volume":"89"},"uris":["http://www.mendeley.com/documents/?uuid=c12755cd-fe91-34dc-81b6-d7192c160355"]}],"mendeley":{"formattedCitation":"&lt;sup&gt;60–62&lt;/sup&gt;","plainTextFormattedCitation":"60–62","previouslyFormattedCitation":"&lt;sup&gt;60–62&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60–62</w:t>
      </w:r>
      <w:r w:rsidRPr="00063CE2">
        <w:rPr>
          <w:noProof w:val="0"/>
          <w:color w:val="000000" w:themeColor="text1"/>
          <w:lang w:val="en-US"/>
        </w:rPr>
        <w:fldChar w:fldCharType="end"/>
      </w:r>
      <w:r w:rsidRPr="00063CE2">
        <w:rPr>
          <w:noProof w:val="0"/>
          <w:color w:val="000000" w:themeColor="text1"/>
          <w:lang w:val="en-US"/>
        </w:rPr>
        <w:t>.</w:t>
      </w:r>
    </w:p>
    <w:p w14:paraId="67302992" w14:textId="77777777" w:rsidR="00AF5653" w:rsidRPr="00063CE2" w:rsidRDefault="00AF5653" w:rsidP="00AF5653">
      <w:pPr>
        <w:rPr>
          <w:b/>
          <w:noProof w:val="0"/>
          <w:color w:val="000000" w:themeColor="text1"/>
          <w:lang w:val="en-US"/>
        </w:rPr>
      </w:pPr>
    </w:p>
    <w:p w14:paraId="3DB7A460" w14:textId="15AC65BB" w:rsidR="00AF5653" w:rsidRPr="00063CE2" w:rsidRDefault="00AF5653" w:rsidP="00AF5653">
      <w:pPr>
        <w:rPr>
          <w:noProof w:val="0"/>
          <w:color w:val="000000" w:themeColor="text1"/>
          <w:lang w:val="en-US"/>
        </w:rPr>
      </w:pPr>
      <w:r w:rsidRPr="00063CE2">
        <w:rPr>
          <w:noProof w:val="0"/>
          <w:color w:val="000000" w:themeColor="text1"/>
          <w:lang w:val="en-US"/>
        </w:rPr>
        <w:t xml:space="preserve">11.6. Consider the presence or absence of Glial Cytoplasmic Inclusions (GCI; non Lewy-type glial </w:t>
      </w:r>
      <w:proofErr w:type="spellStart"/>
      <w:r w:rsidRPr="00063CE2">
        <w:rPr>
          <w:noProof w:val="0"/>
          <w:color w:val="000000" w:themeColor="text1"/>
          <w:lang w:val="en-US"/>
        </w:rPr>
        <w:t>synucleinopathy</w:t>
      </w:r>
      <w:proofErr w:type="spellEnd"/>
      <w:r w:rsidRPr="00063CE2">
        <w:rPr>
          <w:noProof w:val="0"/>
          <w:color w:val="000000" w:themeColor="text1"/>
          <w:lang w:val="en-US"/>
        </w:rPr>
        <w:t>) which are the pathological hallmark of Multiple System Atrophy (MSA) and specify their prevalent location</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{"citationItems":[{"id":"ITEM-1","itemData":{"ISSN":"0305-1846","PMID":"17990994","abstract":"This report summarizes the recommendations of the multiple system atrophy (MSA) Working Group on Diagnostic Neuropathology Criteria for MSA that was part of an international MSA Workshop held on 26 and 27 April 2007 in Boston, MA. The workshop was supported by a grant from the National Institute of Neurological Disorders and Stroke that was intended to convene a group of international experts to revise and update criteria for the clinical and neuropathological diagnosis of MSA. The MSA Workshop recognized the glial cytoplasmic inclusions (GCIs) composed of filamentous alpha-synuclein as a defining morphological feature of MSA, and it recommends that widespread GCIs should be a criterion for the definite neuropathological diagnosis of MSA. The deliberations and recommendations of the Working Group on Diagnostic Neuropathology Criteria for MSA are summarized in this report.","author":[{"dropping-particle":"","family":"Trojanowski","given":"J Q","non-dropping-particle":"","parse-names":false,"suffix":""},{"dropping-particle":"","family":"Revesz","given":"T","non-dropping-particle":"","parse-names":false,"suffix":""},{"dropping-particle":"","family":"Neuropathology Working Group on MSA","given":"","non-dropping-particle":"","parse-names":false,"suffix":""}],"container-title":"Neuropathology and applied neurobiology","id":"ITEM-1","issue":"6","issued":{"date-parts":[["2007","12"]]},"page":"615-20","title":"Proposed neuropathological criteria for the post mortem diagnosis of multiple system atrophy.","type":"article-journal","volume":"33"},"uris":["http://www.mendeley.com/documents/?uuid=8303bca9-7236-3110-97ab-d5bf7f31767f"]}],"mendeley":{"formattedCitation":"&lt;sup&gt;63&lt;/sup&gt;","plainTextFormattedCitation":"63","previouslyFormattedCitation":"&lt;sup&gt;63&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63</w:t>
      </w:r>
      <w:r w:rsidRPr="00063CE2">
        <w:rPr>
          <w:noProof w:val="0"/>
          <w:color w:val="000000" w:themeColor="text1"/>
          <w:lang w:val="en-US"/>
        </w:rPr>
        <w:fldChar w:fldCharType="end"/>
      </w:r>
      <w:r w:rsidRPr="00063CE2">
        <w:rPr>
          <w:noProof w:val="0"/>
          <w:color w:val="000000" w:themeColor="text1"/>
          <w:lang w:val="en-US"/>
        </w:rPr>
        <w:t>.</w:t>
      </w:r>
    </w:p>
    <w:p w14:paraId="4929C4A6" w14:textId="77777777" w:rsidR="00AF5653" w:rsidRPr="00063CE2" w:rsidRDefault="00AF5653" w:rsidP="00AF5653">
      <w:pPr>
        <w:rPr>
          <w:noProof w:val="0"/>
          <w:color w:val="000000" w:themeColor="text1"/>
          <w:lang w:val="en-US"/>
        </w:rPr>
      </w:pPr>
    </w:p>
    <w:p w14:paraId="626A02F9" w14:textId="3A0EAB83" w:rsidR="00AF5653" w:rsidRPr="001E1FEA" w:rsidRDefault="00AF5653" w:rsidP="00AF5653">
      <w:pPr>
        <w:rPr>
          <w:noProof w:val="0"/>
          <w:webHidden/>
          <w:color w:val="FF0000"/>
          <w:lang w:val="en-US"/>
        </w:rPr>
      </w:pPr>
      <w:r w:rsidRPr="00063CE2">
        <w:rPr>
          <w:noProof w:val="0"/>
          <w:color w:val="000000" w:themeColor="text1"/>
          <w:lang w:val="en-US"/>
        </w:rPr>
        <w:t xml:space="preserve">11.7. Use TDP-43 IHC to detect </w:t>
      </w:r>
      <w:r w:rsidRPr="00063CE2">
        <w:rPr>
          <w:b/>
          <w:noProof w:val="0"/>
          <w:color w:val="000000" w:themeColor="text1"/>
          <w:lang w:val="en-US"/>
        </w:rPr>
        <w:t>TDP-43 deposits</w:t>
      </w:r>
      <w:r w:rsidRPr="00063CE2">
        <w:rPr>
          <w:noProof w:val="0"/>
          <w:color w:val="000000" w:themeColor="text1"/>
          <w:lang w:val="en-US"/>
        </w:rPr>
        <w:t xml:space="preserve"> on the areas in the note above. Identify the prevalent morphology per site: </w:t>
      </w:r>
      <w:r w:rsidR="006C439F" w:rsidRPr="00063CE2">
        <w:rPr>
          <w:noProof w:val="0"/>
          <w:color w:val="000000" w:themeColor="text1"/>
          <w:lang w:val="en-US"/>
        </w:rPr>
        <w:t>Neuronal C</w:t>
      </w:r>
      <w:r w:rsidRPr="00063CE2">
        <w:rPr>
          <w:noProof w:val="0"/>
          <w:color w:val="000000" w:themeColor="text1"/>
          <w:lang w:val="en-US"/>
        </w:rPr>
        <w:t xml:space="preserve">ytoplasmic </w:t>
      </w:r>
      <w:r w:rsidR="006C439F" w:rsidRPr="00063CE2">
        <w:rPr>
          <w:noProof w:val="0"/>
          <w:color w:val="000000" w:themeColor="text1"/>
          <w:lang w:val="en-US"/>
        </w:rPr>
        <w:t>I</w:t>
      </w:r>
      <w:r w:rsidRPr="00063CE2">
        <w:rPr>
          <w:noProof w:val="0"/>
          <w:color w:val="000000" w:themeColor="text1"/>
          <w:lang w:val="en-US"/>
        </w:rPr>
        <w:t xml:space="preserve">nclusions (NCIs), </w:t>
      </w:r>
      <w:proofErr w:type="spellStart"/>
      <w:r w:rsidR="006C439F" w:rsidRPr="00063CE2">
        <w:rPr>
          <w:noProof w:val="0"/>
          <w:color w:val="000000" w:themeColor="text1"/>
          <w:lang w:val="en-US"/>
        </w:rPr>
        <w:t>D</w:t>
      </w:r>
      <w:r w:rsidRPr="00063CE2">
        <w:rPr>
          <w:noProof w:val="0"/>
          <w:color w:val="000000" w:themeColor="text1"/>
          <w:lang w:val="en-US"/>
        </w:rPr>
        <w:t>istrophic</w:t>
      </w:r>
      <w:proofErr w:type="spellEnd"/>
      <w:r w:rsidRPr="00063CE2">
        <w:rPr>
          <w:noProof w:val="0"/>
          <w:color w:val="000000" w:themeColor="text1"/>
          <w:lang w:val="en-US"/>
        </w:rPr>
        <w:t xml:space="preserve"> </w:t>
      </w:r>
      <w:r w:rsidR="006C439F" w:rsidRPr="00063CE2">
        <w:rPr>
          <w:noProof w:val="0"/>
          <w:color w:val="000000" w:themeColor="text1"/>
          <w:lang w:val="en-US"/>
        </w:rPr>
        <w:t>N</w:t>
      </w:r>
      <w:r w:rsidRPr="00063CE2">
        <w:rPr>
          <w:noProof w:val="0"/>
          <w:color w:val="000000" w:themeColor="text1"/>
          <w:lang w:val="en-US"/>
        </w:rPr>
        <w:t xml:space="preserve">eurites </w:t>
      </w:r>
      <w:r w:rsidRPr="00063CE2">
        <w:rPr>
          <w:noProof w:val="0"/>
          <w:color w:val="000000" w:themeColor="text1"/>
          <w:lang w:val="en-US"/>
        </w:rPr>
        <w:lastRenderedPageBreak/>
        <w:t xml:space="preserve">inclusions (DNs), </w:t>
      </w:r>
      <w:r w:rsidR="006C439F" w:rsidRPr="00063CE2">
        <w:rPr>
          <w:noProof w:val="0"/>
          <w:color w:val="000000" w:themeColor="text1"/>
          <w:lang w:val="en-US"/>
        </w:rPr>
        <w:t>N</w:t>
      </w:r>
      <w:r w:rsidRPr="00063CE2">
        <w:rPr>
          <w:noProof w:val="0"/>
          <w:color w:val="000000" w:themeColor="text1"/>
          <w:lang w:val="en-US"/>
        </w:rPr>
        <w:t xml:space="preserve">uclear </w:t>
      </w:r>
      <w:r w:rsidR="006C439F" w:rsidRPr="00063CE2">
        <w:rPr>
          <w:noProof w:val="0"/>
          <w:color w:val="000000" w:themeColor="text1"/>
          <w:lang w:val="en-US"/>
        </w:rPr>
        <w:t>I</w:t>
      </w:r>
      <w:r w:rsidRPr="00063CE2">
        <w:rPr>
          <w:noProof w:val="0"/>
          <w:color w:val="000000" w:themeColor="text1"/>
          <w:lang w:val="en-US"/>
        </w:rPr>
        <w:t xml:space="preserve">nclusions (NIIs). Define the pattern: A (predominant NCIs and DNs: </w:t>
      </w:r>
      <w:proofErr w:type="spellStart"/>
      <w:r w:rsidRPr="00063CE2">
        <w:rPr>
          <w:noProof w:val="0"/>
          <w:color w:val="000000" w:themeColor="text1"/>
          <w:lang w:val="en-US"/>
        </w:rPr>
        <w:t>bvFTD</w:t>
      </w:r>
      <w:proofErr w:type="spellEnd"/>
      <w:r w:rsidRPr="00063CE2">
        <w:rPr>
          <w:noProof w:val="0"/>
          <w:color w:val="000000" w:themeColor="text1"/>
          <w:lang w:val="en-US"/>
        </w:rPr>
        <w:t xml:space="preserve"> and </w:t>
      </w:r>
      <w:proofErr w:type="spellStart"/>
      <w:r w:rsidRPr="00063CE2">
        <w:rPr>
          <w:noProof w:val="0"/>
          <w:color w:val="000000" w:themeColor="text1"/>
          <w:lang w:val="en-US"/>
        </w:rPr>
        <w:t>nfPPA</w:t>
      </w:r>
      <w:proofErr w:type="spellEnd"/>
      <w:r w:rsidRPr="00063CE2">
        <w:rPr>
          <w:noProof w:val="0"/>
          <w:color w:val="000000" w:themeColor="text1"/>
          <w:lang w:val="en-US"/>
        </w:rPr>
        <w:t xml:space="preserve">); B (predominant NCIs: FTD-MND); C (predominant long DNs: </w:t>
      </w:r>
      <w:proofErr w:type="spellStart"/>
      <w:r w:rsidRPr="00063CE2">
        <w:rPr>
          <w:noProof w:val="0"/>
          <w:color w:val="000000" w:themeColor="text1"/>
          <w:lang w:val="en-US"/>
        </w:rPr>
        <w:t>svPPA</w:t>
      </w:r>
      <w:proofErr w:type="spellEnd"/>
      <w:r w:rsidRPr="00063CE2">
        <w:rPr>
          <w:noProof w:val="0"/>
          <w:color w:val="000000" w:themeColor="text1"/>
          <w:lang w:val="en-US"/>
        </w:rPr>
        <w:t xml:space="preserve"> and </w:t>
      </w:r>
      <w:proofErr w:type="spellStart"/>
      <w:r w:rsidRPr="00063CE2">
        <w:rPr>
          <w:noProof w:val="0"/>
          <w:color w:val="000000" w:themeColor="text1"/>
          <w:lang w:val="en-US"/>
        </w:rPr>
        <w:t>bvFTD</w:t>
      </w:r>
      <w:proofErr w:type="spellEnd"/>
      <w:r w:rsidRPr="00063CE2">
        <w:rPr>
          <w:noProof w:val="0"/>
          <w:color w:val="000000" w:themeColor="text1"/>
          <w:lang w:val="en-US"/>
        </w:rPr>
        <w:t>)</w:t>
      </w:r>
      <w:r w:rsidRPr="00063CE2">
        <w:rPr>
          <w:noProof w:val="0"/>
          <w:color w:val="000000" w:themeColor="text1"/>
          <w:lang w:val="en-US"/>
        </w:rPr>
        <w:fldChar w:fldCharType="begin" w:fldLock="1"/>
      </w:r>
      <w:r w:rsidR="00F84C1A" w:rsidRPr="00063CE2">
        <w:rPr>
          <w:noProof w:val="0"/>
          <w:color w:val="000000" w:themeColor="text1"/>
          <w:lang w:val="en-US"/>
        </w:rPr>
        <w:instrText>ADDIN CSL_CITATION {"citationItems":[{"id":"ITEM-1","itemData":{"ISSN":"1432-0533","PMID":"21644037","author":[{"dropping-particle":"","family":"Mackenzie","given":"Ian R A","non-dropping-particle":"","parse-names":false,"suffix":""},{"dropping-particle":"","family":"Neumann","given":"Manuela","non-dropping-particle":"","parse-names":false,"suffix":""},{"dropping-particle":"","family":"Baborie","given":"Atik","non-dropping-particle":"","parse-names":false,"suffix":""},{"dropping-particle":"","family":"Sampathu","given":"Deepak M","non-dropping-particle":"","parse-names":false,"suffix":""},{"dropping-particle":"","family":"Plessis","given":"Daniel","non-dropping-particle":"Du","parse-names":false,"suffix":""},{"dropping-particle":"","family":"Jaros","given":"Evelyn","non-dropping-particle":"","parse-names":false,"suffix":""},{"dropping-particle":"","family":"Perry","given":"Robert H","non-dropping-particle":"","parse-names":false,"suffix":""},{"dropping-particle":"","family":"Trojanowski","given":"John Q","non-dropping-particle":"","parse-names":false,"suffix":""},{"dropping-particle":"","family":"Mann","given":"David M A","non-dropping-particle":"","parse-names":false,"suffix":""},{"dropping-particle":"","family":"Lee","given":"Virginia M Y","non-dropping-particle":"","parse-names":false,"suffix":""}],"container-title":"Acta neuropathologica","id":"ITEM-1","issue":"1","issued":{"date-parts":[["2011","7","5"]]},"page":"111-3","title":"A harmonized classification system for FTLD-TDP pathology.","type":"article-journal","volume":"122"},"uris":["http://www.mendeley.com/documents/?uuid=ca8abf66-abab-321c-9959-f99eafbf185e"]},{"id":"ITEM-2","itemData":{"ISSN":"1435-1463","PMID":"25239189","abstract":"The BrainNet Europe consortium assessed the reproducibility in the assignment of the type of frontotemporal lobar degeneration (FTLD) with TAR DNA-binding protein (TDP) 43 following current recommendations. The agreement rates were influenced by the immunohistochemical (IHC) method and by the classification strategy followed. p62-IHC staining yielded good uniform quality of stains, but the most reliable results were obtained implementing specific Abs directed against the hallmark protein TDP43. Both assessment of the type and the extent of lesions were influenced by the Abs and by the quality of stain. Assessment of the extent of the lesions yielded poor results repeatedly; thus, the extent of pathology should not be used in diagnostic consensus criteria. Whilst 31 neuropathologists typed 30 FTLD-TDP cases, inter-rater agreement ranged from 19 to 100 per cent, being highest when applying phosphorylated TDP43/IHC. The agreement was highest when designating Type C or Type A/B. In contrast, there was a poor agreement when attempting to separate Type A or Type B FTLD-TDP. In conclusion, we can expect that neuropathologist, independent of his/her familiarity with FTLD-TDP pathology, can identify a TDP43-positive FTLD case. The goal should be to state a Type (A, B, C, D) or a mixture of Types (A/B, A/C or B/C). Neuropathologists, other clinicians and researchers should be aware of the pitfalls whilst doing so. Agreement can be reached in an inter-laboratory setting regarding Type C cases with thick and long neurites, whereas the differentiation between Types A and B may be more troublesome.","author":[{"dropping-particle":"","family":"Alafuzoff","given":"Irina","non-dropping-particle":"","parse-names":false,"suffix":""},{"dropping-particle":"","family":"Pikkarainen","given":"Maria","non-dropping-particle":"","parse-names":false,"suffix":""},{"dropping-particle":"","family":"Neumann","given":"Manuela","non-dropping-particle":"","parse-names":false,"suffix":""},{"dropping-particle":"","family":"Arzberger","given":"Thomas","non-dropping-particle":"","parse-names":false,"suffix":""},{"dropping-particle":"","family":"Al-Sarraj","given":"Safa","non-dropping-particle":"","parse-names":false,"suffix":""},{"dropping-particle":"","family":"Bodi","given":"Istvan","non-dropping-particle":"","parse-names":false,"suffix":""},{"dropping-particle":"","family":"Bogdanovic","given":"Nenad","non-dropping-particle":"","parse-names":false,"suffix":""},{"dropping-particle":"","family":"Bugiani","given":"Orso","non-dropping-particle":"","parse-names":false,"suffix":""},{"dropping-particle":"","family":"Ferrer","given":"Isidro","non-dropping-particle":"","parse-names":false,"suffix":""},{"dropping-particle":"","family":"Gelpi","given":"Ellen","non-dropping-particle":"","parse-names":false,"suffix":""},{"dropping-particle":"","family":"Gentleman","given":"Stephen","non-dropping-particle":"","parse-names":false,"suffix":""},{"dropping-particle":"","family":"Giaccone","given":"Giorgio","non-dropping-particle":"","parse-names":false,"suffix":""},{"dropping-particle":"","family":"Graeber","given":"Manuel B","non-dropping-particle":"","parse-names":false,"suffix":""},{"dropping-particle":"","family":"Hortobagyi","given":"Tibor","non-dropping-particle":"","parse-names":false,"suffix":""},{"dropping-particle":"","family":"Ince","given":"Paul G","non-dropping-particle":"","parse-names":false,"suffix":""},{"dropping-particle":"","family":"Ironside","given":"James W","non-dropping-particle":"","parse-names":false,"suffix":""},{"dropping-particle":"","family":"Kavantzas","given":"Nikolaos","non-dropping-particle":"","parse-names":false,"suffix":""},{"dropping-particle":"","family":"King","given":"Andrew","non-dropping-particle":"","parse-names":false,"suffix":""},{"dropping-particle":"","family":"Korkolopoulou","given":"Penelope","non-dropping-particle":"","parse-names":false,"suffix":""},{"dropping-particle":"","family":"Kovács","given":"Gábor G","non-dropping-particle":"","parse-names":false,"suffix":""},{"dropping-particle":"","family":"Meyronet","given":"David","non-dropping-particle":"","parse-names":false,"suffix":""},{"dropping-particle":"","family":"Monoranu","given":"Camelia","non-dropping-particle":"","parse-names":false,"suffix":""},{"dropping-particle":"","family":"Nilsson","given":"Tatjana","non-dropping-particle":"","parse-names":false,"suffix":""},{"dropping-particle":"","family":"Parchi","given":"Piero","non-dropping-particle":"","parse-names":false,"suffix":""},{"dropping-particle":"","family":"Patsouris","given":"Efstratios","non-dropping-particle":"","parse-names":false,"suffix":""},{"dropping-particle":"","family":"Revesz","given":"Tamas","non-dropping-particle":"","parse-names":false,"suffix":""},{"dropping-particle":"","family":"Roggendorf","given":"Wolfgang","non-dropping-particle":"","parse-names":false,"suffix":""},{"dropping-particle":"","family":"Rozemuller","given":"Annemieke","non-dropping-particle":"","parse-names":false,"suffix":""},{"dropping-particle":"","family":"Seilhean","given":"Danielle","non-dropping-particle":"","parse-names":false,"suffix":""},{"dropping-particle":"","family":"Streichenberger","given":"Nathalie","non-dropping-particle":"","parse-names":false,"suffix":""},{"dropping-particle":"","family":"Thal","given":"Dietmar R","non-dropping-particle":"","parse-names":false,"suffix":""},{"dropping-particle":"","family":"Wharton","given":"Stephen B","non-dropping-particle":"","parse-names":false,"suffix":""},{"dropping-particle":"","family":"Kretzschmar","given":"Hans","non-dropping-particle":"","parse-names":false,"suffix":""}],"container-title":"Journal of neural transmission (Vienna, Austria : 1996)","id":"ITEM-2","issue":"7","issued":{"date-parts":[["2015","7","20"]]},"page":"957-72","title":"Neuropathological assessments of the pathology in frontotemporal lobar degeneration with TDP43-positive inclusions: an inter-laboratory study by the BrainNet Europe consortium.","type":"article-journal","volume":"122"},"uris":["http://www.mendeley.com/documents/?uuid=4b1df678-2cfb-370f-9d5c-82df4f4e45dc"]}],"mendeley":{"formattedCitation":"&lt;sup&gt;51, 64&lt;/sup&gt;","plainTextFormattedCitation":"51, 64","previouslyFormattedCitation":"&lt;sup&gt;51, 64&lt;/sup&gt;"},"properties":{"noteIndex":0},"schema":"https://github.com/citation-style-language/schema/raw/master/csl-citation.json"}</w:instrText>
      </w:r>
      <w:r w:rsidRPr="00063CE2">
        <w:rPr>
          <w:noProof w:val="0"/>
          <w:color w:val="000000" w:themeColor="text1"/>
          <w:lang w:val="en-US"/>
        </w:rPr>
        <w:fldChar w:fldCharType="separate"/>
      </w:r>
      <w:r w:rsidR="0046128C" w:rsidRPr="00063CE2">
        <w:rPr>
          <w:color w:val="000000" w:themeColor="text1"/>
          <w:vertAlign w:val="superscript"/>
          <w:lang w:val="en-US"/>
        </w:rPr>
        <w:t>51, 64</w:t>
      </w:r>
      <w:r w:rsidRPr="00063CE2">
        <w:rPr>
          <w:noProof w:val="0"/>
          <w:color w:val="000000" w:themeColor="text1"/>
          <w:lang w:val="en-US"/>
        </w:rPr>
        <w:fldChar w:fldCharType="end"/>
      </w:r>
      <w:r w:rsidRPr="001F16EC">
        <w:rPr>
          <w:noProof w:val="0"/>
          <w:color w:val="auto"/>
          <w:lang w:val="en-US"/>
        </w:rPr>
        <w:t xml:space="preserve">. </w:t>
      </w:r>
      <w:r w:rsidRPr="001E1FEA">
        <w:rPr>
          <w:noProof w:val="0"/>
          <w:color w:val="FF0000"/>
          <w:lang w:val="en-US"/>
        </w:rPr>
        <w:t xml:space="preserve">Use </w:t>
      </w:r>
      <w:r w:rsidR="00063CE2" w:rsidRPr="001E1FEA">
        <w:rPr>
          <w:noProof w:val="0"/>
          <w:color w:val="FF0000"/>
          <w:lang w:val="en-US"/>
        </w:rPr>
        <w:t>Nelson’</w:t>
      </w:r>
      <w:r w:rsidRPr="001E1FEA">
        <w:rPr>
          <w:noProof w:val="0"/>
          <w:color w:val="FF0000"/>
          <w:lang w:val="en-US"/>
        </w:rPr>
        <w:t>s scheme to define the presence of TDP-43 in AD cases</w:t>
      </w:r>
      <w:r w:rsidR="00C1675A" w:rsidRPr="001E1FEA">
        <w:rPr>
          <w:noProof w:val="0"/>
          <w:color w:val="FF0000"/>
          <w:lang w:val="en-US"/>
        </w:rPr>
        <w:fldChar w:fldCharType="begin" w:fldLock="1"/>
      </w:r>
      <w:r w:rsidR="00C1675A" w:rsidRPr="001E1FEA">
        <w:rPr>
          <w:noProof w:val="0"/>
          <w:color w:val="FF0000"/>
          <w:lang w:val="en-US"/>
        </w:rPr>
        <w:instrText xml:space="preserve">ADDIN CSL_CITATION {"citationItems":[{"id":"ITEM-1","itemData":{"ISSN":"0006-8950","abstract":"We describe a recently recognized disease entity, limbic-predominant age-related TDP-43 encephalopathy (LATE). LATE neuropathological change (LATE-NC) is defined by a stereotypical TDP-43 proteinopathy in older adults, with or without coexisting hippocampal sclerosis pathology. LATE-NC is a common TDP-43 proteinopathy, associated with an amnestic dementia syndrome that mimicked Alzheimer's-type dementia in retrospective autopsy studies. LATE is distinguished from frontotemporal lobar degeneration with TDP-43 pathology based on its epidemiology (LATE generally affects older subjects), and relatively restricted neuroanatomical distribution of TDP-43 proteinopathy. In community-based autopsy cohorts, </w:instrText>
      </w:r>
      <w:r w:rsidR="00C1675A" w:rsidRPr="001E1FEA">
        <w:rPr>
          <w:rFonts w:ascii="Cambria Math" w:hAnsi="Cambria Math" w:cs="Cambria Math"/>
          <w:noProof w:val="0"/>
          <w:color w:val="FF0000"/>
          <w:lang w:val="en-US"/>
        </w:rPr>
        <w:instrText>∼</w:instrText>
      </w:r>
      <w:r w:rsidR="00C1675A" w:rsidRPr="001E1FEA">
        <w:rPr>
          <w:noProof w:val="0"/>
          <w:color w:val="FF0000"/>
          <w:lang w:val="en-US"/>
        </w:rPr>
        <w:instrText>25% of brains had sufficient burden of LATE-NC to be associated with discernible cognitive impairment. Many subjects with LATE-NC have comorbid brain pathologies, often including amyloid-β plaques and tauopathy. Given that the 'oldest-old' are at greatest risk for LATE-NC, and subjects of advanced age constitute a rapidly growing demographic group in many countries, LATE has an expanding but under-recognized impact on public health. For these reasons, a working group was convened to develop diagnostic criteria for LATE, aiming both to stimulate research and to promote awareness of this pathway to dementia. We report consensus-based recommendations including guidelines for diagnosis and staging of LATE-NC. For routine autopsy workup of LATE-NC, an anatomically-based preliminary staging scheme is proposed with TDP-43 immunohistochemistry on tissue from three brain areas, reflecting a hierarchical pattern of brain involvement: amygdala, hippocampus, and middle frontal gyrus. LATE-NC appears to affect the medial temporal lobe structures preferentially, but other areas also are impacted. Neuroimaging studies demonstrated that subjects with LATE-NC also had atrophy in the medial temporal lobes, frontal cortex, and other brain regions. Genetic studies have thus far indicated five genes with risk alleles for LATE-NC: GRN, TMEM106B, ABCC9, KCNMB2, and APOE. The discovery of these genetic risk variants indicate that LATE shares pathogenetic mechanisms with both frontotemporal lobar degeneration and Alzheimer's disease, but also suggests disease-specific underlying mechanisms. Large gaps remain in our understanding of LATE. For advances in prevention, diagnosis, and treatment, there is an urgent need for research focused on LATE, including in vitro and animal models. An…","author":[{"dropping-particle":"","family":"Nelson","given":"Peter T","non-dropping-particle":"","parse-names":false,"suffix":""},{"dropping-particle":"","family":"Dickson","given":"Dennis W","non-dropping-particle":"","parse-names":false,"suffix":""},{"dropping-particle":"","family":"Trojanowski","given":"John Q","non-dropping-particle":"","parse-names":false,"suffix":""},{"dropping-particle":"","family":"Jack","given":"Clifford R","non-dropping-particle":"","parse-names":false,"suffix":""},{"dropping-particle":"","family":"Boyle","given":"Patricia A","non-dropping-particle":"","parse-names":false,"suffix":""},{"dropping-particle":"","family":"Arfanakis","given":"Konstantinos","non-dropping-particle":"","parse-names":false,"suffix":""},{"dropping-particle":"","family":"Rademakers","given":"Rosa","non-dropping-particle":"","parse-names":false,"suffix":""},{"dropping-particle":"","family":"Alafuzoff","given":"Irina","non-dropping-particle":"","parse-names":false,"suffix":""},{"dropping-particle":"","family":"Attems","given":"Johannes","non-dropping-particle":"","parse-names":false,"suffix":""},{"dropping-particle":"","family":"Brayne","given":"Carol","non-dropping-particle":"","parse-names":false,"suffix":""},{"dropping-particle":"","family":"Coyle-Gilchrist","given":"Ian T S","non-dropping-particle":"","parse-names":false,"suffix":""},{"dropping-particle":"","family":"Chui","given":"Helena C","non-dropping-particle":"","parse-names":false,"suffix":""},{"dropping-particle":"","family":"Fardo","given":"David W","non-dropping-particle":"","parse-names":false,"suffix":""},{"dropping-particle":"","family":"Flanagan","given":"Margaret E","non-dropping-particle":"","parse-names":false,"suffix":""},{"dropping-particle":"","family":"Halliday","given":"Glenda","non-dropping-particle":"","parse-names":false,"suffix":""},{"dropping-particle":"","family":"Hokkanen","given":"Suvi R K","non-dropping-particle":"","parse-names":false,"suffix":""},{"dropping-particle":"","family":"Hunter","given":"Sally","non-dropping-particle":"","parse-names":false,"suffix":""},{"dropping-particle":"","family":"Jicha","given":"Gregory A","non-dropping-particle":"","parse-names":false,"suffix":""},{"dropping-particle":"","family":"Katsumata","given":"Yuriko","non-dropping-particle":"","parse-names":false,"suffix":""},{"dropping-particle":"","family":"Kawas","given":"Claudia H","non-dropping-particle":"","parse-names":false,"suffix":""},{"dropping-particle":"","family":"Keene","given":"C Dirk","non-dropping-particle":"","parse-names":false,"suffix":""},{"dropping-particle":"","family":"Kovacs","given":"Gabor G","non-dropping-particle":"","parse-names":false,"suffix":""},{"dropping-particle":"","family":"Kukull","given":"Walter A","non-dropping-particle":"","parse-names":false,"suffix":""},{"dropping-particle":"","family":"Levey","given":"Allan I","non-dropping-particle":"","parse-names":false,"suffix":""},{"dropping-particle":"","family":"Makkinejad","given":"Nazanin","non-dropping-particle":"","parse-names":false,"suffix":""},{"dropping-particle":"","family":"Montine","given":"Thomas J","non-dropping-particle":"","parse-names":false,"suffix":""},{"dropping-particle":"","family":"Murayama","given":"Shigeo","non-dropping-particle":"","parse-names":false,"suffix":""},{"dropping-particle":"","family":"Murray","given":"Melissa E","non-dropping-particle":"","parse-names":false,"suffix":""},{"dropping-particle":"","family":"Nag","given":"Sukriti","non-dropping-particle":"","parse-names":false,"suffix":""},{"dropping-particle":"","family":"Rissman","given":"Robert A","non-dropping-particle":"","parse-names":false,"suffix":""},{"dropping-particle":"","family":"Seeley","given":"William W","non-dropping-particle":"","parse-names":false,"suffix":""},{"dropping-particle":"","family":"Sperling","given":"Reisa A","non-dropping-particle":"","parse-names":false,"suffix":""},{"dropping-particle":"","family":"White III","given":"Charles L","non-dropping-particle":"","parse-names":false,"suffix":""},{"dropping-particle":"","family":"Yu","given":"Lei","non-dropping-particle":"","parse-names":false,"suffix":""},{"dropping-particle":"","family":"Schneider","given":"Julie A","non-dropping-particle":"","parse-names":false,"suffix":""}],"container-title":"Brain","id":"ITEM-1","issue":"6","issued":{"date-parts":[["2019","6","1"]]},"page":"1503-1527","title":"Limbic-predominant age-related TDP-43 encephalopathy (LATE): consensus working group report","type":"article-journal","volume":"142"},"uris":["http://www.mendeley.com/documents/?uuid=57e14edb-8382-3fd2-bac6-a4ab5d402dc8"]},{"id":"ITEM-2","itemData":{"ISSN":"1432-0533","PMID":"24240737","abstract":"TDP-43 immunoreactivity occurs in 19-57 % of Alzheimer's disease (AD) cases. Two patterns of TDP-43 deposition in AD have been described involving hippocampus (limbic) or hippocampus and neocortex (diffuse), although focal amygdala involvement has been observed. In 195 AD cases with TDP-43, we investigated regional TDP-43 immunoreactivity with the aim of developing a TDP-43 in AD staging scheme. TDP-43 immunoreactivity was assessed in amygdala, entorhinal cortex, subiculum, hippocampal dentate gyrus, occipitotemporal, inferior temporal and frontal cortices, and basal ganglia. Clinical, neuroimaging, genetic and pathological characteristics were assessed across stages. Five stages were identified: stage I showed scant-sparse TDP-43 in the amygdala only (17 %); stage II showed moderate-frequent amygdala TDP-43 with spread into entorhinal and subiculum (25 %); stage III showed further spread into dentate gyrus and occipitotemporal cortex (31 %); stage IV showed further spread into inferior temporal cortex (20 %); and stage V showed involvement of frontal cortex and basal ganglia (7 %). Cognition and medial temporal volumes differed across all stages and progression across stages correlated with worsening cognition and medial temporal volume loss. Compared to 147 AD patients without TDP-43, only the Boston Naming Test showed abnormalities in stage I. The findings demonstrate that TDP-43 deposition in AD progresses in a stereotypic manner that can be divided into five distinct topographic stages which are supported by correlations with clinical and neuroimaging features. Given these findings, we recommend sequential regional TDP-43 screening in AD beginning with the amygdala.","author":[{"dropping-particle":"","family":"Josephs","given":"Keith A","non-dropping-particle":"","parse-names":false,"suffix":""},{"dropping-particle":"","family":"Murray","given":"Melissa E","non-dropping-particle":"","parse-names":false,"suffix":""},{"dropping-particle":"","family":"Whitwell","given":"Jennifer L","non-dropping-particle":"","parse-names":false,"suffix":""},{"dropping-particle":"","family":"Parisi","given":"Joseph E","non-dropping-particle":"","parse-names":false,"suffix":""},{"dropping-particle":"","family":"Petrucelli","given":"Leonard","non-dropping-particle":"","parse-names":false,"suffix":""},{"dropping-particle":"","family":"Jack","given":"Clifford R","non-dropping-particle":"","parse-names":false,"suffix":""},{"dropping-particle":"","family":"Petersen","given":"Ronald C","non-dropping-particle":"","parse-names":false,"suffix":""},{"dropping-particle":"","family":"Dickson","given":"Dennis W","non-dropping-particle":"","parse-names":false,"suffix":""}],"container-title":"Acta neuropathologica","id":"ITEM-2","issue":"3","issued":{"date-parts":[["2014","3","16"]]},"page":"441-50","title":"Staging TDP-43 pathology in Alzheimer's disease.","type":"article-journal","volume":"127"},"uris":["http://www.mendeley.com/documents/?uuid=6dbd667c-9183-3ed8-beb6-5784dfe8f340"]}],"mendeley":{"formattedCitation":"&lt;sup&gt;65, 66&lt;/sup&gt;","plainTextFormattedCitation":"65, 66"},"properties":{"noteIndex":0},"schema":"https://github.com/citation-style-language/schema/raw/master/csl-citation.json"}</w:instrText>
      </w:r>
      <w:r w:rsidR="00C1675A" w:rsidRPr="001E1FEA">
        <w:rPr>
          <w:noProof w:val="0"/>
          <w:color w:val="FF0000"/>
          <w:lang w:val="en-US"/>
        </w:rPr>
        <w:fldChar w:fldCharType="separate"/>
      </w:r>
      <w:r w:rsidR="00C1675A" w:rsidRPr="001E1FEA">
        <w:rPr>
          <w:color w:val="FF0000"/>
          <w:vertAlign w:val="superscript"/>
          <w:lang w:val="en-US"/>
        </w:rPr>
        <w:t>65, 66</w:t>
      </w:r>
      <w:r w:rsidR="00C1675A" w:rsidRPr="001E1FEA">
        <w:rPr>
          <w:noProof w:val="0"/>
          <w:color w:val="FF0000"/>
          <w:lang w:val="en-US"/>
        </w:rPr>
        <w:fldChar w:fldCharType="end"/>
      </w:r>
      <w:r w:rsidRPr="001E1FEA">
        <w:rPr>
          <w:noProof w:val="0"/>
          <w:color w:val="FF0000"/>
          <w:lang w:val="en-US"/>
        </w:rPr>
        <w:t>.</w:t>
      </w:r>
    </w:p>
    <w:p w14:paraId="1800EF2A" w14:textId="77777777" w:rsidR="00AF5653" w:rsidRPr="001F16EC" w:rsidRDefault="00AF5653" w:rsidP="00AF5653">
      <w:pPr>
        <w:rPr>
          <w:b/>
          <w:noProof w:val="0"/>
          <w:color w:val="auto"/>
          <w:lang w:val="en-US"/>
        </w:rPr>
      </w:pPr>
    </w:p>
    <w:p w14:paraId="76E3D687" w14:textId="12D77BEA" w:rsidR="00AF5653" w:rsidRPr="00063CE2" w:rsidRDefault="00AF5653" w:rsidP="00AF5653">
      <w:pPr>
        <w:rPr>
          <w:b/>
          <w:noProof w:val="0"/>
          <w:color w:val="auto"/>
          <w:lang w:val="en-US"/>
        </w:rPr>
      </w:pPr>
      <w:r w:rsidRPr="00063CE2">
        <w:rPr>
          <w:noProof w:val="0"/>
          <w:color w:val="auto"/>
          <w:lang w:val="en-US"/>
        </w:rPr>
        <w:t xml:space="preserve">11.8. Evaluate the </w:t>
      </w:r>
      <w:r w:rsidRPr="00063CE2">
        <w:rPr>
          <w:b/>
          <w:noProof w:val="0"/>
          <w:color w:val="auto"/>
          <w:lang w:val="en-US"/>
        </w:rPr>
        <w:t>hippocampus</w:t>
      </w:r>
      <w:r w:rsidRPr="00063CE2">
        <w:rPr>
          <w:noProof w:val="0"/>
          <w:color w:val="auto"/>
          <w:lang w:val="en-US"/>
        </w:rPr>
        <w:t xml:space="preserve"> starting from </w:t>
      </w:r>
      <w:r w:rsidRPr="00063CE2">
        <w:rPr>
          <w:iCs/>
          <w:noProof w:val="0"/>
          <w:color w:val="auto"/>
          <w:lang w:val="en-US"/>
        </w:rPr>
        <w:t>subiculum</w:t>
      </w:r>
      <w:r w:rsidRPr="00063CE2">
        <w:rPr>
          <w:noProof w:val="0"/>
          <w:color w:val="auto"/>
          <w:lang w:val="en-US"/>
        </w:rPr>
        <w:t xml:space="preserve"> and Sommer sector (CA1). Use the </w:t>
      </w:r>
      <w:proofErr w:type="spellStart"/>
      <w:r w:rsidRPr="00063CE2">
        <w:rPr>
          <w:noProof w:val="0"/>
          <w:color w:val="auto"/>
          <w:lang w:val="en-US"/>
        </w:rPr>
        <w:t>Rauramaa’s</w:t>
      </w:r>
      <w:proofErr w:type="spellEnd"/>
      <w:r w:rsidRPr="00063CE2">
        <w:rPr>
          <w:noProof w:val="0"/>
          <w:color w:val="auto"/>
          <w:lang w:val="en-US"/>
        </w:rPr>
        <w:t xml:space="preserve"> score (</w:t>
      </w:r>
      <w:r w:rsidRPr="00063CE2">
        <w:rPr>
          <w:bCs/>
          <w:noProof w:val="0"/>
          <w:color w:val="auto"/>
          <w:lang w:val="en-US"/>
        </w:rPr>
        <w:t>0</w:t>
      </w:r>
      <w:r w:rsidR="003978E5" w:rsidRPr="00063CE2">
        <w:rPr>
          <w:bCs/>
          <w:noProof w:val="0"/>
          <w:color w:val="auto"/>
          <w:lang w:val="en-US"/>
        </w:rPr>
        <w:t>–</w:t>
      </w:r>
      <w:r w:rsidRPr="00063CE2">
        <w:rPr>
          <w:bCs/>
          <w:noProof w:val="0"/>
          <w:color w:val="auto"/>
          <w:lang w:val="en-US"/>
        </w:rPr>
        <w:t>4): 1</w:t>
      </w:r>
      <w:r w:rsidR="003978E5" w:rsidRPr="00063CE2">
        <w:rPr>
          <w:bCs/>
          <w:noProof w:val="0"/>
          <w:color w:val="auto"/>
          <w:lang w:val="en-US"/>
        </w:rPr>
        <w:t>–</w:t>
      </w:r>
      <w:r w:rsidRPr="00063CE2">
        <w:rPr>
          <w:bCs/>
          <w:noProof w:val="0"/>
          <w:color w:val="auto"/>
          <w:lang w:val="en-US"/>
        </w:rPr>
        <w:t>2</w:t>
      </w:r>
      <w:r w:rsidRPr="00063CE2">
        <w:rPr>
          <w:noProof w:val="0"/>
          <w:color w:val="auto"/>
          <w:lang w:val="en-US"/>
        </w:rPr>
        <w:t xml:space="preserve"> for microinfarcts and </w:t>
      </w:r>
      <w:proofErr w:type="spellStart"/>
      <w:r w:rsidRPr="00063CE2">
        <w:rPr>
          <w:noProof w:val="0"/>
          <w:color w:val="auto"/>
          <w:lang w:val="en-US"/>
        </w:rPr>
        <w:t>macroinfarcts</w:t>
      </w:r>
      <w:proofErr w:type="spellEnd"/>
      <w:r w:rsidRPr="00063CE2">
        <w:rPr>
          <w:noProof w:val="0"/>
          <w:color w:val="auto"/>
          <w:lang w:val="en-US"/>
        </w:rPr>
        <w:t xml:space="preserve">, respectively; </w:t>
      </w:r>
      <w:r w:rsidRPr="00063CE2">
        <w:rPr>
          <w:bCs/>
          <w:noProof w:val="0"/>
          <w:color w:val="auto"/>
          <w:lang w:val="en-US"/>
        </w:rPr>
        <w:t>3</w:t>
      </w:r>
      <w:r w:rsidR="003978E5" w:rsidRPr="00063CE2">
        <w:rPr>
          <w:bCs/>
          <w:noProof w:val="0"/>
          <w:color w:val="auto"/>
          <w:lang w:val="en-US"/>
        </w:rPr>
        <w:t>–</w:t>
      </w:r>
      <w:r w:rsidRPr="00063CE2">
        <w:rPr>
          <w:bCs/>
          <w:noProof w:val="0"/>
          <w:color w:val="auto"/>
          <w:lang w:val="en-US"/>
        </w:rPr>
        <w:t>4</w:t>
      </w:r>
      <w:r w:rsidRPr="00063CE2">
        <w:rPr>
          <w:noProof w:val="0"/>
          <w:color w:val="auto"/>
          <w:lang w:val="en-US"/>
        </w:rPr>
        <w:t xml:space="preserve"> corresponding to moderate and severe neuronal loss, respectively, and hippocampal atrophy (hippocampal sclerosis:</w:t>
      </w:r>
      <w:r w:rsidRPr="00063CE2">
        <w:rPr>
          <w:b/>
          <w:bCs/>
          <w:noProof w:val="0"/>
          <w:color w:val="auto"/>
          <w:lang w:val="en-US"/>
        </w:rPr>
        <w:t xml:space="preserve"> </w:t>
      </w:r>
      <w:r w:rsidRPr="00063CE2">
        <w:rPr>
          <w:bCs/>
          <w:noProof w:val="0"/>
          <w:color w:val="auto"/>
          <w:lang w:val="en-US"/>
        </w:rPr>
        <w:t>HS)</w:t>
      </w:r>
      <w:r w:rsidRPr="00063CE2">
        <w:rPr>
          <w:noProof w:val="0"/>
          <w:color w:val="auto"/>
          <w:lang w:val="en-US"/>
        </w:rPr>
        <w:t xml:space="preserve">. Point out the presence or absence of pathological protein deposits (in decreasing order of frequency: </w:t>
      </w:r>
      <w:proofErr w:type="spellStart"/>
      <w:r w:rsidRPr="00063CE2">
        <w:rPr>
          <w:noProof w:val="0"/>
          <w:color w:val="auto"/>
          <w:lang w:val="en-US"/>
        </w:rPr>
        <w:t>pTAU</w:t>
      </w:r>
      <w:proofErr w:type="spellEnd"/>
      <w:r w:rsidRPr="00063CE2">
        <w:rPr>
          <w:noProof w:val="0"/>
          <w:color w:val="auto"/>
          <w:lang w:val="en-US"/>
        </w:rPr>
        <w:t xml:space="preserve">, TDP-43, </w:t>
      </w:r>
      <w:r w:rsidR="007C1795" w:rsidRPr="00063CE2">
        <w:rPr>
          <w:noProof w:val="0"/>
          <w:color w:val="auto"/>
          <w:lang w:val="en-US"/>
        </w:rPr>
        <w:t>α-</w:t>
      </w:r>
      <w:r w:rsidRPr="00063CE2">
        <w:rPr>
          <w:noProof w:val="0"/>
          <w:color w:val="auto"/>
          <w:lang w:val="en-US"/>
        </w:rPr>
        <w:t>syn)</w:t>
      </w:r>
      <w:r w:rsidRPr="00063CE2">
        <w:rPr>
          <w:noProof w:val="0"/>
          <w:color w:val="auto"/>
          <w:lang w:val="en-US"/>
        </w:rPr>
        <w:fldChar w:fldCharType="begin" w:fldLock="1"/>
      </w:r>
      <w:r w:rsidR="00C1675A">
        <w:rPr>
          <w:noProof w:val="0"/>
          <w:color w:val="auto"/>
          <w:lang w:val="en-US"/>
        </w:rPr>
        <w:instrText>ADDIN CSL_CITATION {"citationItems":[{"id":"ITEM-1","itemData":{"ISSN":"1554-6578","PMID":"23656988","abstract":"There is no consensus on the pathologic conditions or severity implied by the term \"hippocampal sclerosis\" (HS). In this study, a panel of experienced neuropathologists evaluated inter-rater agreement for pathologic diagnoses in the hippocampus and proposes consensus recommendations on the use of the term \"HS.\" In a group of 251 cases of HS selected from a large autopsy cohort (1,388; 18%), a coordinating group identified 5 patterns of degenerative or vascular pathology. Four independent neuropathologists assessed a single set of hematoxylin and eosin-stained sections following descriptive definitions to classify the appearances and assign the diagnosis of HS, if appropriate. Diagnostic agreement (range, 36%-70%) was highest for vascular lesions. Subsequent joint review of all cases highlighted the need to identify neurodegenerative lesions using immunohistochemistry. Initial agreement in assigning the diagnosis of HS varied from 0% to 86%. After a joint review, the group recommended that the term \"HS\" should be applied to all cases with complete/near-complete neuronal loss and gliosis in the subfields of the cornu Ammonis but not to hippocampal microinfarction. Therefore, the etiology of HS must be defined in association with a neurodegenerative process or as \"lacking neurodegenerative markers,\" a pathologic condition presumed to arise from hypoxic/ischemic mechanisms.","author":[{"dropping-particle":"","family":"Rauramaa","given":"Tuomas","non-dropping-particle":"","parse-names":false,"suffix":""},{"dropping-particle":"","family":"Pikkarainen","given":"Maria","non-dropping-particle":"","parse-names":false,"suffix":""},{"dropping-particle":"","family":"Englund","given":"Elisabet","non-dropping-particle":"","parse-names":false,"suffix":""},{"dropping-particle":"","family":"Ince","given":"Paul G","non-dropping-particle":"","parse-names":false,"suffix":""},{"dropping-particle":"","family":"Jellinger","given":"Kurt","non-dropping-particle":"","parse-names":false,"suffix":""},{"dropping-particle":"","family":"Paetau","given":"Anders","non-dropping-particle":"","parse-names":false,"suffix":""},{"dropping-particle":"","family":"Alafuzoff","given":"Irina","non-dropping-particle":"","parse-names":false,"suffix":""}],"container-title":"Journal of neuropathology and experimental neurology","id":"ITEM-1","issue":"6","issued":{"date-parts":[["2013","6","1"]]},"page":"452-61","title":"Consensus recommendations on pathologic changes in the hippocampus: a postmortem multicenter inter-rater study.","type":"article-journal","volume":"72"},"uris":["http://www.mendeley.com/documents/?uuid=22a84390-8cd2-3fdf-aae7-e2ba6b3c1f53"]}],"mendeley":{"formattedCitation":"&lt;sup&gt;67&lt;/sup&gt;","plainTextFormattedCitation":"67","previouslyFormattedCitation":"&lt;sup&gt;67&lt;/sup&gt;"},"properties":{"noteIndex":0},"schema":"https://github.com/citation-style-language/schema/raw/master/csl-citation.json"}</w:instrText>
      </w:r>
      <w:r w:rsidRPr="00063CE2">
        <w:rPr>
          <w:noProof w:val="0"/>
          <w:color w:val="auto"/>
          <w:lang w:val="en-US"/>
        </w:rPr>
        <w:fldChar w:fldCharType="separate"/>
      </w:r>
      <w:r w:rsidR="00C1675A" w:rsidRPr="00C1675A">
        <w:rPr>
          <w:color w:val="auto"/>
          <w:vertAlign w:val="superscript"/>
          <w:lang w:val="en-US"/>
        </w:rPr>
        <w:t>67</w:t>
      </w:r>
      <w:r w:rsidRPr="00063CE2">
        <w:rPr>
          <w:noProof w:val="0"/>
          <w:color w:val="auto"/>
          <w:lang w:val="en-US"/>
        </w:rPr>
        <w:fldChar w:fldCharType="end"/>
      </w:r>
      <w:r w:rsidRPr="00063CE2">
        <w:rPr>
          <w:noProof w:val="0"/>
          <w:color w:val="auto"/>
          <w:lang w:val="en-US"/>
        </w:rPr>
        <w:t>.</w:t>
      </w:r>
    </w:p>
    <w:p w14:paraId="1DA9E2B2" w14:textId="77777777" w:rsidR="00AF5653" w:rsidRPr="00063CE2" w:rsidRDefault="00AF5653" w:rsidP="00AF5653">
      <w:pPr>
        <w:rPr>
          <w:noProof w:val="0"/>
          <w:color w:val="auto"/>
          <w:lang w:val="en-US"/>
        </w:rPr>
      </w:pPr>
    </w:p>
    <w:p w14:paraId="196A7EA3" w14:textId="750F5C93" w:rsidR="00AF5653" w:rsidRPr="00063CE2" w:rsidRDefault="00AF5653" w:rsidP="00AF5653">
      <w:pPr>
        <w:rPr>
          <w:noProof w:val="0"/>
          <w:color w:val="auto"/>
          <w:lang w:val="en-US"/>
        </w:rPr>
      </w:pPr>
      <w:r w:rsidRPr="00063CE2">
        <w:rPr>
          <w:noProof w:val="0"/>
          <w:color w:val="auto"/>
          <w:lang w:val="en-US"/>
        </w:rPr>
        <w:t>11.9. Define the neuropathological diagnosis and enter all the pathological data in the database.</w:t>
      </w:r>
    </w:p>
    <w:p w14:paraId="695F6571" w14:textId="28C7A9ED" w:rsidR="00480E84" w:rsidRPr="00063CE2" w:rsidRDefault="00480E84" w:rsidP="00AF5653">
      <w:pPr>
        <w:rPr>
          <w:noProof w:val="0"/>
          <w:color w:val="auto"/>
          <w:lang w:val="en-US"/>
        </w:rPr>
      </w:pPr>
    </w:p>
    <w:p w14:paraId="564B6F74" w14:textId="3A060E35" w:rsidR="006F190B" w:rsidRPr="00063CE2" w:rsidRDefault="006F190B" w:rsidP="006F190B">
      <w:pPr>
        <w:rPr>
          <w:noProof w:val="0"/>
          <w:color w:val="auto"/>
          <w:lang w:val="en-US"/>
        </w:rPr>
      </w:pPr>
      <w:r w:rsidRPr="00063CE2">
        <w:rPr>
          <w:noProof w:val="0"/>
          <w:color w:val="auto"/>
          <w:lang w:val="en-US"/>
        </w:rPr>
        <w:t>NOTE: The rooms in which</w:t>
      </w:r>
      <w:r w:rsidR="00132EE6" w:rsidRPr="00063CE2">
        <w:rPr>
          <w:noProof w:val="0"/>
          <w:color w:val="auto"/>
          <w:lang w:val="en-US"/>
        </w:rPr>
        <w:t xml:space="preserve"> the</w:t>
      </w:r>
      <w:r w:rsidRPr="00063CE2">
        <w:rPr>
          <w:noProof w:val="0"/>
          <w:color w:val="auto"/>
          <w:lang w:val="en-US"/>
        </w:rPr>
        <w:t xml:space="preserve"> biologic</w:t>
      </w:r>
      <w:r w:rsidR="003978E5" w:rsidRPr="00063CE2">
        <w:rPr>
          <w:noProof w:val="0"/>
          <w:color w:val="auto"/>
          <w:lang w:val="en-US"/>
        </w:rPr>
        <w:t>al</w:t>
      </w:r>
      <w:r w:rsidRPr="00063CE2">
        <w:rPr>
          <w:noProof w:val="0"/>
          <w:color w:val="auto"/>
          <w:lang w:val="en-US"/>
        </w:rPr>
        <w:t xml:space="preserve"> material and sensible data of the donors are stored are always locked and </w:t>
      </w:r>
      <w:r w:rsidR="003978E5" w:rsidRPr="00063CE2">
        <w:rPr>
          <w:noProof w:val="0"/>
          <w:color w:val="auto"/>
          <w:lang w:val="en-US"/>
        </w:rPr>
        <w:t>only</w:t>
      </w:r>
      <w:r w:rsidRPr="00063CE2">
        <w:rPr>
          <w:noProof w:val="0"/>
          <w:color w:val="auto"/>
          <w:lang w:val="en-US"/>
        </w:rPr>
        <w:t xml:space="preserve"> the authorized personnel </w:t>
      </w:r>
      <w:r w:rsidR="003978E5" w:rsidRPr="00063CE2">
        <w:rPr>
          <w:noProof w:val="0"/>
          <w:color w:val="auto"/>
          <w:lang w:val="en-US"/>
        </w:rPr>
        <w:t>are</w:t>
      </w:r>
      <w:r w:rsidRPr="00063CE2">
        <w:rPr>
          <w:noProof w:val="0"/>
          <w:color w:val="auto"/>
          <w:lang w:val="en-US"/>
        </w:rPr>
        <w:t xml:space="preserve"> allowed to enter, in order to guarantee both security and privacy. The frozen biologic</w:t>
      </w:r>
      <w:r w:rsidR="003978E5" w:rsidRPr="00063CE2">
        <w:rPr>
          <w:noProof w:val="0"/>
          <w:color w:val="auto"/>
          <w:lang w:val="en-US"/>
        </w:rPr>
        <w:t>al</w:t>
      </w:r>
      <w:r w:rsidRPr="00063CE2">
        <w:rPr>
          <w:noProof w:val="0"/>
          <w:color w:val="auto"/>
          <w:lang w:val="en-US"/>
        </w:rPr>
        <w:t xml:space="preserve"> material is stored in locked freezers at -80</w:t>
      </w:r>
      <w:r w:rsidR="003978E5" w:rsidRPr="00063CE2">
        <w:rPr>
          <w:noProof w:val="0"/>
          <w:color w:val="auto"/>
          <w:lang w:val="en-US"/>
        </w:rPr>
        <w:t xml:space="preserve"> </w:t>
      </w:r>
      <w:r w:rsidRPr="00063CE2">
        <w:rPr>
          <w:noProof w:val="0"/>
          <w:color w:val="auto"/>
          <w:lang w:val="en-US"/>
        </w:rPr>
        <w:t>°C, while formalin-fixed</w:t>
      </w:r>
      <w:r w:rsidR="00132EE6" w:rsidRPr="00063CE2">
        <w:rPr>
          <w:noProof w:val="0"/>
          <w:color w:val="auto"/>
          <w:lang w:val="en-US"/>
        </w:rPr>
        <w:t xml:space="preserve"> </w:t>
      </w:r>
      <w:r w:rsidRPr="00063CE2">
        <w:rPr>
          <w:noProof w:val="0"/>
          <w:color w:val="auto"/>
          <w:lang w:val="en-US"/>
        </w:rPr>
        <w:t>paraffin</w:t>
      </w:r>
      <w:r w:rsidR="00132EE6" w:rsidRPr="00063CE2">
        <w:rPr>
          <w:noProof w:val="0"/>
          <w:color w:val="auto"/>
          <w:lang w:val="en-US"/>
        </w:rPr>
        <w:t>-</w:t>
      </w:r>
      <w:r w:rsidRPr="00063CE2">
        <w:rPr>
          <w:noProof w:val="0"/>
          <w:color w:val="auto"/>
          <w:lang w:val="en-US"/>
        </w:rPr>
        <w:t xml:space="preserve">embedded tissues are stored in locked closets at room temperature. </w:t>
      </w:r>
      <w:r w:rsidR="00132EE6" w:rsidRPr="00063CE2">
        <w:rPr>
          <w:noProof w:val="0"/>
          <w:color w:val="auto"/>
          <w:lang w:val="en-US"/>
        </w:rPr>
        <w:t>Dual motor freezers are</w:t>
      </w:r>
      <w:r w:rsidRPr="00063CE2">
        <w:rPr>
          <w:noProof w:val="0"/>
          <w:color w:val="auto"/>
          <w:lang w:val="en-US"/>
        </w:rPr>
        <w:t xml:space="preserve"> </w:t>
      </w:r>
      <w:r w:rsidR="00132EE6" w:rsidRPr="00063CE2">
        <w:rPr>
          <w:noProof w:val="0"/>
          <w:color w:val="auto"/>
          <w:lang w:val="en-US"/>
        </w:rPr>
        <w:t>used</w:t>
      </w:r>
      <w:r w:rsidRPr="00063CE2">
        <w:rPr>
          <w:noProof w:val="0"/>
          <w:color w:val="auto"/>
          <w:lang w:val="en-US"/>
        </w:rPr>
        <w:t xml:space="preserve"> and a back-up </w:t>
      </w:r>
      <w:r w:rsidR="009D7C10" w:rsidRPr="00063CE2">
        <w:rPr>
          <w:noProof w:val="0"/>
          <w:color w:val="auto"/>
          <w:lang w:val="en-US"/>
        </w:rPr>
        <w:t>freezer</w:t>
      </w:r>
      <w:r w:rsidRPr="00063CE2">
        <w:rPr>
          <w:noProof w:val="0"/>
          <w:color w:val="auto"/>
          <w:lang w:val="en-US"/>
        </w:rPr>
        <w:t xml:space="preserve"> is also present</w:t>
      </w:r>
      <w:r w:rsidR="00132EE6" w:rsidRPr="00063CE2">
        <w:rPr>
          <w:noProof w:val="0"/>
          <w:color w:val="auto"/>
          <w:lang w:val="en-US"/>
        </w:rPr>
        <w:t>. F</w:t>
      </w:r>
      <w:r w:rsidRPr="00063CE2">
        <w:rPr>
          <w:noProof w:val="0"/>
          <w:color w:val="auto"/>
          <w:lang w:val="en-US"/>
        </w:rPr>
        <w:t xml:space="preserve">urthermore, to </w:t>
      </w:r>
      <w:r w:rsidR="00132EE6" w:rsidRPr="00063CE2">
        <w:rPr>
          <w:noProof w:val="0"/>
          <w:color w:val="auto"/>
          <w:lang w:val="en-US"/>
        </w:rPr>
        <w:t>en</w:t>
      </w:r>
      <w:r w:rsidRPr="00063CE2">
        <w:rPr>
          <w:noProof w:val="0"/>
          <w:color w:val="auto"/>
          <w:lang w:val="en-US"/>
        </w:rPr>
        <w:t>sure the</w:t>
      </w:r>
      <w:r w:rsidR="00132EE6" w:rsidRPr="00063CE2">
        <w:rPr>
          <w:noProof w:val="0"/>
          <w:color w:val="auto"/>
          <w:lang w:val="en-US"/>
        </w:rPr>
        <w:t xml:space="preserve"> freezers</w:t>
      </w:r>
      <w:r w:rsidRPr="00063CE2">
        <w:rPr>
          <w:noProof w:val="0"/>
          <w:color w:val="auto"/>
          <w:lang w:val="en-US"/>
        </w:rPr>
        <w:t xml:space="preserve"> are always working, they are provided with a 24/7 monitoring system that sets off an alarm</w:t>
      </w:r>
      <w:r w:rsidR="00132EE6" w:rsidRPr="00063CE2">
        <w:rPr>
          <w:noProof w:val="0"/>
          <w:color w:val="auto"/>
          <w:lang w:val="en-US"/>
        </w:rPr>
        <w:t>. A</w:t>
      </w:r>
      <w:r w:rsidRPr="00063CE2">
        <w:rPr>
          <w:noProof w:val="0"/>
          <w:color w:val="auto"/>
          <w:lang w:val="en-US"/>
        </w:rPr>
        <w:t xml:space="preserve">n emergency generator is </w:t>
      </w:r>
      <w:r w:rsidR="00132EE6" w:rsidRPr="00063CE2">
        <w:rPr>
          <w:noProof w:val="0"/>
          <w:color w:val="auto"/>
          <w:lang w:val="en-US"/>
        </w:rPr>
        <w:t xml:space="preserve">also </w:t>
      </w:r>
      <w:r w:rsidRPr="00063CE2">
        <w:rPr>
          <w:noProof w:val="0"/>
          <w:color w:val="auto"/>
          <w:lang w:val="en-US"/>
        </w:rPr>
        <w:t xml:space="preserve">present, in case of power failure. The participants are anonymized with a numerical code to ensure their privacy; it is not possible for non-authorized personnel to go back to the identity of the donors and their sensible data. All information </w:t>
      </w:r>
      <w:r w:rsidR="003978E5" w:rsidRPr="00063CE2">
        <w:rPr>
          <w:noProof w:val="0"/>
          <w:color w:val="auto"/>
          <w:lang w:val="en-US"/>
        </w:rPr>
        <w:t>is</w:t>
      </w:r>
      <w:r w:rsidRPr="00063CE2">
        <w:rPr>
          <w:noProof w:val="0"/>
          <w:color w:val="auto"/>
          <w:lang w:val="en-US"/>
        </w:rPr>
        <w:t xml:space="preserve"> collected in a password-protected database; </w:t>
      </w:r>
      <w:r w:rsidR="00132EE6" w:rsidRPr="00063CE2">
        <w:rPr>
          <w:noProof w:val="0"/>
          <w:color w:val="auto"/>
          <w:lang w:val="en-US"/>
        </w:rPr>
        <w:t>likewise</w:t>
      </w:r>
      <w:r w:rsidRPr="00063CE2">
        <w:rPr>
          <w:noProof w:val="0"/>
          <w:color w:val="auto"/>
          <w:lang w:val="en-US"/>
        </w:rPr>
        <w:t>, a hard copy of these data is kept in locked archives.</w:t>
      </w:r>
    </w:p>
    <w:bookmarkEnd w:id="1"/>
    <w:p w14:paraId="258900FE" w14:textId="77777777" w:rsidR="00AF5653" w:rsidRPr="00063CE2" w:rsidRDefault="00AF5653" w:rsidP="00AF5653">
      <w:pPr>
        <w:pStyle w:val="NormaleWeb1"/>
        <w:spacing w:before="0" w:after="0"/>
        <w:rPr>
          <w:b/>
          <w:noProof w:val="0"/>
          <w:color w:val="auto"/>
          <w:lang w:val="en-US"/>
        </w:rPr>
      </w:pPr>
    </w:p>
    <w:p w14:paraId="13F7D895" w14:textId="77777777" w:rsidR="00AF5653" w:rsidRPr="00063CE2" w:rsidRDefault="00AF5653" w:rsidP="00AF5653">
      <w:pPr>
        <w:pStyle w:val="NormaleWeb1"/>
        <w:spacing w:before="0" w:after="0"/>
        <w:outlineLvl w:val="0"/>
        <w:rPr>
          <w:b/>
          <w:noProof w:val="0"/>
          <w:color w:val="auto"/>
          <w:lang w:val="en-US"/>
        </w:rPr>
      </w:pPr>
      <w:r w:rsidRPr="00063CE2">
        <w:rPr>
          <w:b/>
          <w:noProof w:val="0"/>
          <w:color w:val="auto"/>
          <w:lang w:val="en-US"/>
        </w:rPr>
        <w:t>REPRESENTATIVE RESULTS:</w:t>
      </w:r>
    </w:p>
    <w:p w14:paraId="263C8A79" w14:textId="77777777" w:rsidR="00AF5653" w:rsidRPr="00063CE2" w:rsidRDefault="00AF5653" w:rsidP="00AF5653">
      <w:pPr>
        <w:rPr>
          <w:noProof w:val="0"/>
          <w:color w:val="auto"/>
          <w:lang w:val="en-US"/>
        </w:rPr>
      </w:pPr>
    </w:p>
    <w:p w14:paraId="5767441C" w14:textId="77777777" w:rsidR="003978E5" w:rsidRPr="00063CE2" w:rsidRDefault="00CC4E04" w:rsidP="00CC4E04">
      <w:pPr>
        <w:rPr>
          <w:noProof w:val="0"/>
          <w:color w:val="auto"/>
          <w:lang w:val="en-US"/>
        </w:rPr>
      </w:pPr>
      <w:r w:rsidRPr="00063CE2">
        <w:rPr>
          <w:b/>
          <w:noProof w:val="0"/>
          <w:color w:val="auto"/>
          <w:lang w:val="en-US"/>
        </w:rPr>
        <w:t>Brain donors and brain harvesting data</w:t>
      </w:r>
      <w:r w:rsidRPr="00063CE2">
        <w:rPr>
          <w:noProof w:val="0"/>
          <w:color w:val="auto"/>
          <w:lang w:val="en-US"/>
        </w:rPr>
        <w:t xml:space="preserve"> </w:t>
      </w:r>
    </w:p>
    <w:p w14:paraId="2F8D0FD9" w14:textId="4DB49E0C" w:rsidR="00CC4E04" w:rsidRPr="00063CE2" w:rsidRDefault="00CC4E04" w:rsidP="00CC4E04">
      <w:pPr>
        <w:rPr>
          <w:noProof w:val="0"/>
          <w:color w:val="auto"/>
          <w:u w:val="single"/>
          <w:lang w:val="en-US"/>
        </w:rPr>
      </w:pPr>
      <w:r w:rsidRPr="00063CE2">
        <w:rPr>
          <w:noProof w:val="0"/>
          <w:color w:val="auto"/>
          <w:lang w:val="en-US"/>
        </w:rPr>
        <w:t xml:space="preserve">In 2014, donor recruitment began during the second InveCe.Ab follow-up, involving </w:t>
      </w:r>
      <w:r w:rsidR="00164A0C" w:rsidRPr="001E1FEA">
        <w:rPr>
          <w:noProof w:val="0"/>
          <w:color w:val="FF0000"/>
          <w:lang w:val="en-US"/>
        </w:rPr>
        <w:t>1010</w:t>
      </w:r>
      <w:r w:rsidRPr="001F16EC">
        <w:rPr>
          <w:noProof w:val="0"/>
          <w:color w:val="auto"/>
          <w:lang w:val="en-US"/>
        </w:rPr>
        <w:t xml:space="preserve"> out of 1061 eligible subjects (response rate: 93%; </w:t>
      </w:r>
      <w:r w:rsidR="00CB6477" w:rsidRPr="001F16EC">
        <w:rPr>
          <w:b/>
          <w:bCs/>
          <w:noProof w:val="0"/>
          <w:color w:val="auto"/>
          <w:lang w:val="en-US"/>
        </w:rPr>
        <w:t>Figure</w:t>
      </w:r>
      <w:r w:rsidRPr="001F16EC">
        <w:rPr>
          <w:noProof w:val="0"/>
          <w:color w:val="auto"/>
          <w:lang w:val="en-US"/>
        </w:rPr>
        <w:t xml:space="preserve"> </w:t>
      </w:r>
      <w:r w:rsidR="0010383A" w:rsidRPr="001F16EC">
        <w:rPr>
          <w:b/>
          <w:bCs/>
          <w:noProof w:val="0"/>
          <w:color w:val="auto"/>
          <w:lang w:val="en-US"/>
        </w:rPr>
        <w:t>1</w:t>
      </w:r>
      <w:r w:rsidRPr="001F16EC">
        <w:rPr>
          <w:noProof w:val="0"/>
          <w:color w:val="auto"/>
          <w:lang w:val="en-US"/>
        </w:rPr>
        <w:t xml:space="preserve">). With relation to the InveCe.Ab longitudinal </w:t>
      </w:r>
      <w:r w:rsidRPr="001E1FEA">
        <w:rPr>
          <w:noProof w:val="0"/>
          <w:color w:val="auto"/>
          <w:lang w:val="en-US"/>
        </w:rPr>
        <w:t xml:space="preserve">study, 290 out of </w:t>
      </w:r>
      <w:r w:rsidR="00164A0C" w:rsidRPr="001E1FEA">
        <w:rPr>
          <w:noProof w:val="0"/>
          <w:color w:val="FF0000"/>
          <w:lang w:val="en-US"/>
        </w:rPr>
        <w:t>1010</w:t>
      </w:r>
      <w:r w:rsidRPr="001E1FEA">
        <w:rPr>
          <w:noProof w:val="0"/>
          <w:color w:val="auto"/>
          <w:lang w:val="en-US"/>
        </w:rPr>
        <w:t xml:space="preserve"> participants (</w:t>
      </w:r>
      <w:r w:rsidRPr="001E1FEA">
        <w:rPr>
          <w:noProof w:val="0"/>
          <w:color w:val="FF0000"/>
          <w:lang w:val="en-US"/>
        </w:rPr>
        <w:t>2</w:t>
      </w:r>
      <w:r w:rsidR="00164A0C" w:rsidRPr="001E1FEA">
        <w:rPr>
          <w:noProof w:val="0"/>
          <w:color w:val="FF0000"/>
          <w:lang w:val="en-US"/>
        </w:rPr>
        <w:t>8</w:t>
      </w:r>
      <w:r w:rsidR="00490518" w:rsidRPr="001E1FEA">
        <w:rPr>
          <w:noProof w:val="0"/>
          <w:color w:val="FF0000"/>
          <w:lang w:val="en-US"/>
        </w:rPr>
        <w:t>.</w:t>
      </w:r>
      <w:r w:rsidR="00164A0C" w:rsidRPr="001E1FEA">
        <w:rPr>
          <w:noProof w:val="0"/>
          <w:color w:val="FF0000"/>
          <w:lang w:val="en-US"/>
        </w:rPr>
        <w:t>7</w:t>
      </w:r>
      <w:r w:rsidRPr="001E1FEA">
        <w:rPr>
          <w:noProof w:val="0"/>
          <w:color w:val="FF0000"/>
          <w:lang w:val="en-US"/>
        </w:rPr>
        <w:t>%</w:t>
      </w:r>
      <w:r w:rsidRPr="001E1FEA">
        <w:rPr>
          <w:noProof w:val="0"/>
          <w:color w:val="auto"/>
          <w:lang w:val="en-US"/>
        </w:rPr>
        <w:t>)</w:t>
      </w:r>
      <w:r w:rsidRPr="001F16EC">
        <w:rPr>
          <w:noProof w:val="0"/>
          <w:color w:val="auto"/>
          <w:lang w:val="en-US"/>
        </w:rPr>
        <w:t xml:space="preserve"> agreed to register as donors</w:t>
      </w:r>
      <w:r w:rsidR="00C3295B">
        <w:rPr>
          <w:noProof w:val="0"/>
          <w:color w:val="auto"/>
          <w:lang w:val="en-US"/>
        </w:rPr>
        <w:t xml:space="preserve"> </w:t>
      </w:r>
      <w:r w:rsidR="00C3295B" w:rsidRPr="001E1FEA">
        <w:rPr>
          <w:noProof w:val="0"/>
          <w:color w:val="FF0000"/>
          <w:lang w:val="en-US"/>
        </w:rPr>
        <w:t>(160 already registered and 130 who expressed their intention to register)</w:t>
      </w:r>
      <w:r w:rsidRPr="001E1FEA">
        <w:rPr>
          <w:noProof w:val="0"/>
          <w:color w:val="auto"/>
          <w:lang w:val="en-US"/>
        </w:rPr>
        <w:t>.</w:t>
      </w:r>
      <w:r w:rsidRPr="001F16EC">
        <w:rPr>
          <w:noProof w:val="0"/>
          <w:color w:val="auto"/>
          <w:lang w:val="en-US"/>
        </w:rPr>
        <w:t xml:space="preserve"> </w:t>
      </w:r>
      <w:r w:rsidRPr="00063CE2">
        <w:rPr>
          <w:noProof w:val="0"/>
          <w:color w:val="auto"/>
          <w:lang w:val="en-US"/>
        </w:rPr>
        <w:t>The educational level is higher in donors than in non-donors (66% of our donors have a medium-high level of education: 8 or more years of school), indicating the importance of culture and education. Many “healthy” individuals also showed interest in the brain donation program. Most of our “controls” confess that they can sympathize with the diseased and their relatives, and want to contribute somehow to research leading to a better understanding of neurological diseases. Selfless people who regularly engage in blood or marrow donation programs during life are more open to the idea of brain donation, as are people who have already agreed to donate organs after death. They are aware of the fact that even though there would not be a living recipient, their donation would be of great importance to research. Another factor contributing to brain donation is the preference to be cremated. Currently, the ABB donor population includes a total of 427 individuals (290 InveCe.Ab participants + 137 volunteers or patients from the ASP Golgi-</w:t>
      </w:r>
      <w:proofErr w:type="spellStart"/>
      <w:r w:rsidRPr="00063CE2">
        <w:rPr>
          <w:noProof w:val="0"/>
          <w:color w:val="auto"/>
          <w:lang w:val="en-US"/>
        </w:rPr>
        <w:t>Redaelli</w:t>
      </w:r>
      <w:proofErr w:type="spellEnd"/>
      <w:r w:rsidRPr="00063CE2">
        <w:rPr>
          <w:noProof w:val="0"/>
          <w:color w:val="auto"/>
          <w:lang w:val="en-US"/>
        </w:rPr>
        <w:t xml:space="preserve"> Geriatric Hospital), 75% of which are 70 years old or older. There is a clear predominance of females (64%) and mentally intact elderly (about 85%). So far, 27 brains have been harvested out of 40 deceased donors (67% autopsy rate); 13 subjects have not been autopsied for various reasons including failure to report </w:t>
      </w:r>
      <w:r w:rsidRPr="00063CE2">
        <w:rPr>
          <w:noProof w:val="0"/>
          <w:color w:val="auto"/>
          <w:lang w:val="en-US"/>
        </w:rPr>
        <w:lastRenderedPageBreak/>
        <w:t xml:space="preserve">death to ABB, severe injuries leading to brain destruction, dangerous infective diseases and 1 CJD case; 4 subjects have revoked their consent. Up till now, 24 out of the 27 brains harvested </w:t>
      </w:r>
      <w:r w:rsidR="003978E5" w:rsidRPr="00063CE2">
        <w:rPr>
          <w:noProof w:val="0"/>
          <w:color w:val="auto"/>
          <w:lang w:val="en-US"/>
        </w:rPr>
        <w:t>received</w:t>
      </w:r>
      <w:r w:rsidRPr="00063CE2">
        <w:rPr>
          <w:noProof w:val="0"/>
          <w:color w:val="auto"/>
          <w:lang w:val="en-US"/>
        </w:rPr>
        <w:t xml:space="preserve"> a complete neuropathological characterization with a definite clinico-pathological diagnosis, while the remaining 3 brains are still under examination (</w:t>
      </w:r>
      <w:r w:rsidR="0026547F" w:rsidRPr="00063CE2">
        <w:rPr>
          <w:b/>
          <w:bCs/>
          <w:noProof w:val="0"/>
          <w:color w:val="auto"/>
          <w:lang w:val="en-US"/>
        </w:rPr>
        <w:t>Table</w:t>
      </w:r>
      <w:r w:rsidRPr="00063CE2">
        <w:rPr>
          <w:noProof w:val="0"/>
          <w:color w:val="auto"/>
          <w:lang w:val="en-US"/>
        </w:rPr>
        <w:t xml:space="preserve"> </w:t>
      </w:r>
      <w:r w:rsidR="00635008" w:rsidRPr="00063CE2">
        <w:rPr>
          <w:b/>
          <w:bCs/>
          <w:noProof w:val="0"/>
          <w:color w:val="auto"/>
          <w:lang w:val="en-US"/>
        </w:rPr>
        <w:t>3</w:t>
      </w:r>
      <w:r w:rsidRPr="00063CE2">
        <w:rPr>
          <w:noProof w:val="0"/>
          <w:color w:val="auto"/>
          <w:lang w:val="en-US"/>
        </w:rPr>
        <w:t xml:space="preserve">). Additional brain harvesting data from ABB include: mean age at death (81 years); mean </w:t>
      </w:r>
      <w:r w:rsidRPr="00063CE2">
        <w:rPr>
          <w:iCs/>
          <w:noProof w:val="0"/>
          <w:color w:val="auto"/>
          <w:lang w:val="en-US"/>
        </w:rPr>
        <w:t>postmortem</w:t>
      </w:r>
      <w:r w:rsidRPr="00063CE2">
        <w:rPr>
          <w:noProof w:val="0"/>
          <w:color w:val="auto"/>
          <w:lang w:val="en-US"/>
        </w:rPr>
        <w:t xml:space="preserve"> interval (10.37 h); mean CSF pH (6.64); mean tissue pH (6.07); average brain weight (1012.86 gr); AFS was 1 in 90% of deceased subjects.</w:t>
      </w:r>
    </w:p>
    <w:p w14:paraId="2002AC17" w14:textId="77777777" w:rsidR="003978E5" w:rsidRPr="00063CE2" w:rsidRDefault="003978E5" w:rsidP="00AF5653">
      <w:pPr>
        <w:rPr>
          <w:b/>
          <w:noProof w:val="0"/>
          <w:color w:val="auto"/>
          <w:lang w:val="en-US"/>
        </w:rPr>
      </w:pPr>
    </w:p>
    <w:p w14:paraId="6AFEDC81" w14:textId="77777777" w:rsidR="003978E5" w:rsidRPr="00063CE2" w:rsidRDefault="00AF5653" w:rsidP="00AF5653">
      <w:pPr>
        <w:rPr>
          <w:b/>
          <w:noProof w:val="0"/>
          <w:color w:val="auto"/>
          <w:lang w:val="en-US"/>
        </w:rPr>
      </w:pPr>
      <w:r w:rsidRPr="00063CE2">
        <w:rPr>
          <w:b/>
          <w:noProof w:val="0"/>
          <w:color w:val="auto"/>
          <w:lang w:val="en-US"/>
        </w:rPr>
        <w:t>Neurophysiological biomarkers (QEEG)</w:t>
      </w:r>
    </w:p>
    <w:p w14:paraId="371126B8" w14:textId="5CED7049" w:rsidR="00AF5653" w:rsidRPr="00063CE2" w:rsidRDefault="00AF5653" w:rsidP="00AF5653">
      <w:pPr>
        <w:rPr>
          <w:noProof w:val="0"/>
          <w:color w:val="auto"/>
          <w:lang w:val="en-US"/>
        </w:rPr>
      </w:pPr>
      <w:r w:rsidRPr="00063CE2">
        <w:rPr>
          <w:noProof w:val="0"/>
          <w:color w:val="auto"/>
          <w:lang w:val="en-US"/>
        </w:rPr>
        <w:t xml:space="preserve">QEEG is part of the multi-dimensional approach. It is a straightforward, non-invasive and inexpensive method, with a likely potential to detect conversion from mild Neuro-Cognitive Disorder (mild-NCD or MCI) to major Neuro-Cognitive Disorder (major-NCD or dementia). All through our multi-dimensional approach, a plain QEEG examination is performed and its possible role as a biomarker for dementia is tested. Our data on a preliminary series of 36 brain donors </w:t>
      </w:r>
      <w:r w:rsidR="00202586" w:rsidRPr="00063CE2">
        <w:rPr>
          <w:noProof w:val="0"/>
          <w:color w:val="auto"/>
          <w:lang w:val="en-US"/>
        </w:rPr>
        <w:t xml:space="preserve">(18 normal elderly (NOLD), 11 mild-NCD and 7 major-NCD; </w:t>
      </w:r>
      <w:r w:rsidR="00F62C2F" w:rsidRPr="00063CE2">
        <w:rPr>
          <w:noProof w:val="0"/>
          <w:color w:val="auto"/>
          <w:lang w:val="en-US"/>
        </w:rPr>
        <w:t>9</w:t>
      </w:r>
      <w:r w:rsidRPr="00063CE2">
        <w:rPr>
          <w:noProof w:val="0"/>
          <w:color w:val="auto"/>
          <w:lang w:val="en-US"/>
        </w:rPr>
        <w:t xml:space="preserve"> of which with a definite neuropathological diagnosis) indicate that the mean alpha rhythm percentage was significantly lower in </w:t>
      </w:r>
      <w:r w:rsidR="00016181" w:rsidRPr="00063CE2">
        <w:rPr>
          <w:noProof w:val="0"/>
          <w:color w:val="auto"/>
          <w:lang w:val="en-US"/>
        </w:rPr>
        <w:t>major-NCD</w:t>
      </w:r>
      <w:r w:rsidRPr="00063CE2">
        <w:rPr>
          <w:noProof w:val="0"/>
          <w:color w:val="auto"/>
          <w:lang w:val="en-US"/>
        </w:rPr>
        <w:t xml:space="preserve"> compared to </w:t>
      </w:r>
      <w:r w:rsidR="00016181" w:rsidRPr="00063CE2">
        <w:rPr>
          <w:noProof w:val="0"/>
          <w:color w:val="auto"/>
          <w:lang w:val="en-US"/>
        </w:rPr>
        <w:t>mild-NCD</w:t>
      </w:r>
      <w:r w:rsidRPr="00063CE2">
        <w:rPr>
          <w:noProof w:val="0"/>
          <w:color w:val="auto"/>
          <w:lang w:val="en-US"/>
        </w:rPr>
        <w:t xml:space="preserve"> (p: 0,002) and NOLD (p: 0,033). Conversely, slower EEG frequencies (theta/delta) w</w:t>
      </w:r>
      <w:r w:rsidR="00F026D6" w:rsidRPr="00063CE2">
        <w:rPr>
          <w:noProof w:val="0"/>
          <w:color w:val="auto"/>
          <w:lang w:val="en-US"/>
        </w:rPr>
        <w:t>ere</w:t>
      </w:r>
      <w:r w:rsidRPr="00063CE2">
        <w:rPr>
          <w:noProof w:val="0"/>
          <w:color w:val="auto"/>
          <w:lang w:val="en-US"/>
        </w:rPr>
        <w:t xml:space="preserve"> significantly higher in major-NCD than in NOLD/mild-NCD (see the </w:t>
      </w:r>
      <w:r w:rsidR="003978E5" w:rsidRPr="00063CE2">
        <w:rPr>
          <w:noProof w:val="0"/>
          <w:color w:val="auto"/>
          <w:lang w:val="en-US"/>
        </w:rPr>
        <w:t>example</w:t>
      </w:r>
      <w:r w:rsidRPr="00063CE2">
        <w:rPr>
          <w:noProof w:val="0"/>
          <w:color w:val="auto"/>
          <w:lang w:val="en-US"/>
        </w:rPr>
        <w:t xml:space="preserve"> cases in </w:t>
      </w:r>
      <w:r w:rsidR="00CB6477" w:rsidRPr="00063CE2">
        <w:rPr>
          <w:b/>
          <w:bCs/>
          <w:noProof w:val="0"/>
          <w:color w:val="auto"/>
          <w:lang w:val="en-US"/>
        </w:rPr>
        <w:t>Figure</w:t>
      </w:r>
      <w:r w:rsidRPr="00063CE2">
        <w:rPr>
          <w:noProof w:val="0"/>
          <w:color w:val="auto"/>
          <w:lang w:val="en-US"/>
        </w:rPr>
        <w:t xml:space="preserve"> </w:t>
      </w:r>
      <w:r w:rsidR="00620DFA" w:rsidRPr="00063CE2">
        <w:rPr>
          <w:b/>
          <w:bCs/>
          <w:noProof w:val="0"/>
          <w:color w:val="auto"/>
          <w:lang w:val="en-US"/>
        </w:rPr>
        <w:t>4</w:t>
      </w:r>
      <w:r w:rsidRPr="00063CE2">
        <w:rPr>
          <w:noProof w:val="0"/>
          <w:color w:val="auto"/>
          <w:lang w:val="en-US"/>
        </w:rPr>
        <w:t xml:space="preserve">). </w:t>
      </w:r>
      <w:r w:rsidR="00C0614E" w:rsidRPr="00063CE2">
        <w:rPr>
          <w:noProof w:val="0"/>
          <w:color w:val="auto"/>
          <w:lang w:val="en-US"/>
        </w:rPr>
        <w:t>In our series, EEG rhythm distribution can differentiate NOLD/mild-NCD subjects from major-NDC patients regardless of the etiological diagnosis</w:t>
      </w:r>
      <w:r w:rsidR="00016181" w:rsidRPr="00063CE2">
        <w:rPr>
          <w:noProof w:val="0"/>
          <w:color w:val="auto"/>
          <w:lang w:val="en-US"/>
        </w:rPr>
        <w:t>, suggesting that brain rhythms are influenced by the burden of degenerative lesions regardless of lesion type</w:t>
      </w:r>
      <w:r w:rsidR="00C0614E" w:rsidRPr="00063CE2">
        <w:rPr>
          <w:noProof w:val="0"/>
          <w:color w:val="auto"/>
          <w:lang w:val="en-US"/>
        </w:rPr>
        <w:t xml:space="preserve">. Indeed, </w:t>
      </w:r>
      <w:r w:rsidR="00016181" w:rsidRPr="00063CE2">
        <w:rPr>
          <w:noProof w:val="0"/>
          <w:color w:val="auto"/>
          <w:lang w:val="en-US"/>
        </w:rPr>
        <w:t>7 out of 9</w:t>
      </w:r>
      <w:r w:rsidR="00C0614E" w:rsidRPr="00063CE2">
        <w:rPr>
          <w:noProof w:val="0"/>
          <w:color w:val="auto"/>
          <w:lang w:val="en-US"/>
        </w:rPr>
        <w:t xml:space="preserve"> examined brains show dementia due to mixed pathologies. The specificity concerning the nature of the pathology would seem to be low and brain electrical rhythms appear to be influenced more by the burden and topography of the lesions than by their molecular nature</w:t>
      </w:r>
      <w:r w:rsidRPr="00063CE2">
        <w:rPr>
          <w:noProof w:val="0"/>
          <w:color w:val="auto"/>
          <w:lang w:val="en-US"/>
        </w:rPr>
        <w:t xml:space="preserve"> (</w:t>
      </w:r>
      <w:proofErr w:type="spellStart"/>
      <w:r w:rsidRPr="00063CE2">
        <w:rPr>
          <w:noProof w:val="0"/>
          <w:color w:val="auto"/>
          <w:lang w:val="en-US"/>
        </w:rPr>
        <w:t>Poloni</w:t>
      </w:r>
      <w:proofErr w:type="spellEnd"/>
      <w:r w:rsidRPr="00063CE2">
        <w:rPr>
          <w:noProof w:val="0"/>
          <w:color w:val="auto"/>
          <w:lang w:val="en-US"/>
        </w:rPr>
        <w:t xml:space="preserve">, </w:t>
      </w:r>
      <w:r w:rsidR="001F16EC" w:rsidRPr="00063CE2">
        <w:rPr>
          <w:noProof w:val="0"/>
          <w:color w:val="auto"/>
          <w:lang w:val="en-US"/>
        </w:rPr>
        <w:t>et al</w:t>
      </w:r>
      <w:r w:rsidRPr="00063CE2">
        <w:rPr>
          <w:noProof w:val="0"/>
          <w:color w:val="auto"/>
          <w:lang w:val="en-US"/>
        </w:rPr>
        <w:t>. proc</w:t>
      </w:r>
      <w:r w:rsidR="00F35896" w:rsidRPr="00063CE2">
        <w:rPr>
          <w:noProof w:val="0"/>
          <w:color w:val="auto"/>
          <w:lang w:val="en-US"/>
        </w:rPr>
        <w:t>eedings</w:t>
      </w:r>
      <w:r w:rsidRPr="00063CE2">
        <w:rPr>
          <w:noProof w:val="0"/>
          <w:color w:val="auto"/>
          <w:lang w:val="en-US"/>
        </w:rPr>
        <w:t xml:space="preserve"> of AD/PD 2019, Lisbon</w:t>
      </w:r>
      <w:r w:rsidR="006A5F2B" w:rsidRPr="00063CE2">
        <w:rPr>
          <w:noProof w:val="0"/>
          <w:color w:val="auto"/>
          <w:lang w:val="en-US"/>
        </w:rPr>
        <w:t>, data unpublished</w:t>
      </w:r>
      <w:r w:rsidRPr="00063CE2">
        <w:rPr>
          <w:noProof w:val="0"/>
          <w:color w:val="auto"/>
          <w:lang w:val="en-US"/>
        </w:rPr>
        <w:t>).</w:t>
      </w:r>
    </w:p>
    <w:p w14:paraId="61494BB3" w14:textId="77777777" w:rsidR="003978E5" w:rsidRPr="00063CE2" w:rsidRDefault="003978E5" w:rsidP="00AF5653">
      <w:pPr>
        <w:rPr>
          <w:b/>
          <w:noProof w:val="0"/>
          <w:color w:val="auto"/>
          <w:lang w:val="en-US"/>
        </w:rPr>
      </w:pPr>
    </w:p>
    <w:p w14:paraId="500A8B3F" w14:textId="77777777" w:rsidR="003978E5" w:rsidRPr="00063CE2" w:rsidRDefault="00AF5653" w:rsidP="00AF5653">
      <w:pPr>
        <w:rPr>
          <w:noProof w:val="0"/>
          <w:color w:val="auto"/>
          <w:lang w:val="en-US"/>
        </w:rPr>
      </w:pPr>
      <w:r w:rsidRPr="00063CE2">
        <w:rPr>
          <w:b/>
          <w:noProof w:val="0"/>
          <w:color w:val="auto"/>
          <w:lang w:val="en-US"/>
        </w:rPr>
        <w:t>Emblematic cases</w:t>
      </w:r>
    </w:p>
    <w:p w14:paraId="28073F2E" w14:textId="645B859E" w:rsidR="00AF5653" w:rsidRPr="00063CE2" w:rsidRDefault="003C0120" w:rsidP="00AF5653">
      <w:pPr>
        <w:rPr>
          <w:noProof w:val="0"/>
          <w:color w:val="auto"/>
          <w:lang w:val="en-US"/>
        </w:rPr>
      </w:pPr>
      <w:r w:rsidRPr="00063CE2">
        <w:rPr>
          <w:noProof w:val="0"/>
          <w:color w:val="auto"/>
          <w:lang w:val="en-US"/>
        </w:rPr>
        <w:t xml:space="preserve">The </w:t>
      </w:r>
      <w:r w:rsidR="00AF5653" w:rsidRPr="00063CE2">
        <w:rPr>
          <w:noProof w:val="0"/>
          <w:color w:val="auto"/>
          <w:lang w:val="en-US"/>
        </w:rPr>
        <w:t>ABB protocol may be useful and necessary in some cases and conditions. An example is the presence of an asymmetric pathology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noProof w:val="0"/>
          <w:color w:val="auto"/>
          <w:lang w:val="en-US"/>
        </w:rPr>
        <w:t xml:space="preserve">). Our protocol is very suitable for the identification and proper characterization of this type of pathology. So far, we have examined 4 brains with asymmetric involvement, some of which are shown in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noProof w:val="0"/>
          <w:color w:val="auto"/>
          <w:lang w:val="en-US"/>
        </w:rPr>
        <w:t>. Macroscopically, right side atrophy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A</w:t>
      </w:r>
      <w:r w:rsidR="00AF5653" w:rsidRPr="00063CE2">
        <w:rPr>
          <w:noProof w:val="0"/>
          <w:color w:val="auto"/>
          <w:lang w:val="en-US"/>
        </w:rPr>
        <w:t>) is present in one case with severe ventricular dilatation in the right coronal section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C</w:t>
      </w:r>
      <w:r w:rsidR="00AF5653" w:rsidRPr="00063CE2">
        <w:rPr>
          <w:noProof w:val="0"/>
          <w:color w:val="auto"/>
          <w:lang w:val="en-US"/>
        </w:rPr>
        <w:t>) compared to the left side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B</w:t>
      </w:r>
      <w:r w:rsidR="00AF5653" w:rsidRPr="00063CE2">
        <w:rPr>
          <w:noProof w:val="0"/>
          <w:color w:val="auto"/>
          <w:lang w:val="en-US"/>
        </w:rPr>
        <w:t>). Another case displays infarct of the right hemisphere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D</w:t>
      </w:r>
      <w:r w:rsidR="00AF5653" w:rsidRPr="00063CE2">
        <w:rPr>
          <w:noProof w:val="0"/>
          <w:color w:val="auto"/>
          <w:lang w:val="en-US"/>
        </w:rPr>
        <w:t>) and another one shows a clear atrophy of the right mammillary body (</w:t>
      </w:r>
      <w:r w:rsidR="00CB6477" w:rsidRPr="00063CE2">
        <w:rPr>
          <w:b/>
          <w:bCs/>
          <w:noProof w:val="0"/>
          <w:color w:val="auto"/>
          <w:lang w:val="en-US"/>
        </w:rPr>
        <w:t>Figure</w:t>
      </w:r>
      <w:r w:rsidR="00AF5653" w:rsidRPr="00063CE2">
        <w:rPr>
          <w:noProof w:val="0"/>
          <w:color w:val="auto"/>
          <w:lang w:val="en-US"/>
        </w:rPr>
        <w:t xml:space="preserve"> </w:t>
      </w:r>
      <w:r w:rsidR="00620DFA" w:rsidRPr="00063CE2">
        <w:rPr>
          <w:b/>
          <w:bCs/>
          <w:noProof w:val="0"/>
          <w:color w:val="auto"/>
          <w:lang w:val="en-US"/>
        </w:rPr>
        <w:t>5</w:t>
      </w:r>
      <w:r w:rsidR="00AF5653" w:rsidRPr="00063CE2">
        <w:rPr>
          <w:b/>
          <w:bCs/>
          <w:noProof w:val="0"/>
          <w:color w:val="auto"/>
          <w:lang w:val="en-US"/>
        </w:rPr>
        <w:t>E</w:t>
      </w:r>
      <w:r w:rsidR="00AF5653" w:rsidRPr="00063CE2">
        <w:rPr>
          <w:noProof w:val="0"/>
          <w:color w:val="auto"/>
          <w:lang w:val="en-US"/>
        </w:rPr>
        <w:t>). At the microscopic level, a case of FTLD shows an asymmetrical TDP</w:t>
      </w:r>
      <w:r w:rsidR="00BF292C" w:rsidRPr="00063CE2">
        <w:rPr>
          <w:noProof w:val="0"/>
          <w:color w:val="auto"/>
          <w:lang w:val="en-US"/>
        </w:rPr>
        <w:t>-</w:t>
      </w:r>
      <w:r w:rsidR="00AF5653" w:rsidRPr="00063CE2">
        <w:rPr>
          <w:noProof w:val="0"/>
          <w:color w:val="auto"/>
          <w:lang w:val="en-US"/>
        </w:rPr>
        <w:t>43 positivity that is more intense in the right frontal side compared to the left (</w:t>
      </w:r>
      <w:r w:rsidR="00CB6477" w:rsidRPr="00063CE2">
        <w:rPr>
          <w:b/>
          <w:bCs/>
          <w:noProof w:val="0"/>
          <w:color w:val="auto"/>
          <w:lang w:val="en-US"/>
        </w:rPr>
        <w:t>Figure</w:t>
      </w:r>
      <w:r w:rsidR="00F35896" w:rsidRPr="00063CE2">
        <w:rPr>
          <w:b/>
          <w:bCs/>
          <w:noProof w:val="0"/>
          <w:color w:val="auto"/>
          <w:lang w:val="en-US"/>
        </w:rPr>
        <w:t xml:space="preserve"> </w:t>
      </w:r>
      <w:r w:rsidR="00F04B97" w:rsidRPr="00063CE2">
        <w:rPr>
          <w:b/>
          <w:bCs/>
          <w:noProof w:val="0"/>
          <w:color w:val="auto"/>
          <w:lang w:val="en-US"/>
        </w:rPr>
        <w:t>5</w:t>
      </w:r>
      <w:proofErr w:type="gramStart"/>
      <w:r w:rsidR="00AF5653" w:rsidRPr="00063CE2">
        <w:rPr>
          <w:b/>
          <w:bCs/>
          <w:noProof w:val="0"/>
          <w:color w:val="auto"/>
          <w:lang w:val="en-US"/>
        </w:rPr>
        <w:t>F,G</w:t>
      </w:r>
      <w:proofErr w:type="gramEnd"/>
      <w:r w:rsidR="00AF5653" w:rsidRPr="00063CE2">
        <w:rPr>
          <w:noProof w:val="0"/>
          <w:color w:val="auto"/>
          <w:lang w:val="en-US"/>
        </w:rPr>
        <w:t xml:space="preserve">). </w:t>
      </w:r>
    </w:p>
    <w:p w14:paraId="08BB435A" w14:textId="77777777" w:rsidR="003978E5" w:rsidRPr="00063CE2" w:rsidRDefault="003978E5" w:rsidP="00AF5653">
      <w:pPr>
        <w:rPr>
          <w:noProof w:val="0"/>
          <w:color w:val="auto"/>
          <w:lang w:val="en-US"/>
        </w:rPr>
      </w:pPr>
    </w:p>
    <w:p w14:paraId="25E6A4B8" w14:textId="1C5BB8C6" w:rsidR="00AF5653" w:rsidRPr="00063CE2" w:rsidRDefault="003C0120" w:rsidP="00AF5653">
      <w:pPr>
        <w:rPr>
          <w:noProof w:val="0"/>
          <w:color w:val="auto"/>
          <w:lang w:val="en-US"/>
        </w:rPr>
      </w:pPr>
      <w:r w:rsidRPr="00063CE2">
        <w:rPr>
          <w:noProof w:val="0"/>
          <w:color w:val="auto"/>
          <w:lang w:val="en-US"/>
        </w:rPr>
        <w:t>M</w:t>
      </w:r>
      <w:r w:rsidR="00AF5653" w:rsidRPr="00063CE2">
        <w:rPr>
          <w:noProof w:val="0"/>
          <w:color w:val="auto"/>
          <w:lang w:val="en-US"/>
        </w:rPr>
        <w:t>acrosections (</w:t>
      </w:r>
      <w:r w:rsidR="00CB6477" w:rsidRPr="00063CE2">
        <w:rPr>
          <w:b/>
          <w:bCs/>
          <w:noProof w:val="0"/>
          <w:color w:val="auto"/>
          <w:lang w:val="en-US"/>
        </w:rPr>
        <w:t>Figure</w:t>
      </w:r>
      <w:r w:rsidR="00AF5653" w:rsidRPr="00063CE2">
        <w:rPr>
          <w:noProof w:val="0"/>
          <w:color w:val="auto"/>
          <w:lang w:val="en-US"/>
        </w:rPr>
        <w:t xml:space="preserve"> </w:t>
      </w:r>
      <w:r w:rsidR="00F04B97" w:rsidRPr="00063CE2">
        <w:rPr>
          <w:b/>
          <w:bCs/>
          <w:noProof w:val="0"/>
          <w:color w:val="auto"/>
          <w:lang w:val="en-US"/>
        </w:rPr>
        <w:t>6</w:t>
      </w:r>
      <w:proofErr w:type="gramStart"/>
      <w:r w:rsidR="00AF5653" w:rsidRPr="00063CE2">
        <w:rPr>
          <w:b/>
          <w:bCs/>
          <w:noProof w:val="0"/>
          <w:color w:val="auto"/>
          <w:lang w:val="en-US"/>
        </w:rPr>
        <w:t>A,C</w:t>
      </w:r>
      <w:proofErr w:type="gramEnd"/>
      <w:r w:rsidR="00AF5653" w:rsidRPr="00063CE2">
        <w:rPr>
          <w:noProof w:val="0"/>
          <w:color w:val="auto"/>
          <w:lang w:val="en-US"/>
        </w:rPr>
        <w:t xml:space="preserve">) </w:t>
      </w:r>
      <w:r w:rsidRPr="00063CE2">
        <w:rPr>
          <w:noProof w:val="0"/>
          <w:color w:val="auto"/>
          <w:lang w:val="en-US"/>
        </w:rPr>
        <w:t>are used to get</w:t>
      </w:r>
      <w:r w:rsidR="00AF5653" w:rsidRPr="00063CE2">
        <w:rPr>
          <w:noProof w:val="0"/>
          <w:color w:val="auto"/>
          <w:lang w:val="en-US"/>
        </w:rPr>
        <w:t xml:space="preserve"> an overall view. LFB staining helps </w:t>
      </w:r>
      <w:r w:rsidRPr="00063CE2">
        <w:rPr>
          <w:noProof w:val="0"/>
          <w:color w:val="auto"/>
          <w:lang w:val="en-US"/>
        </w:rPr>
        <w:t xml:space="preserve">to </w:t>
      </w:r>
      <w:r w:rsidR="00AF5653" w:rsidRPr="00063CE2">
        <w:rPr>
          <w:noProof w:val="0"/>
          <w:color w:val="auto"/>
          <w:lang w:val="en-US"/>
        </w:rPr>
        <w:t>identif</w:t>
      </w:r>
      <w:r w:rsidR="00AE18C2" w:rsidRPr="00063CE2">
        <w:rPr>
          <w:noProof w:val="0"/>
          <w:color w:val="auto"/>
          <w:lang w:val="en-US"/>
        </w:rPr>
        <w:t>y</w:t>
      </w:r>
      <w:r w:rsidR="00AF5653" w:rsidRPr="00063CE2">
        <w:rPr>
          <w:noProof w:val="0"/>
          <w:color w:val="auto"/>
          <w:lang w:val="en-US"/>
        </w:rPr>
        <w:t xml:space="preserve"> myelin loss (</w:t>
      </w:r>
      <w:r w:rsidR="00CB6477" w:rsidRPr="00063CE2">
        <w:rPr>
          <w:b/>
          <w:bCs/>
          <w:noProof w:val="0"/>
          <w:color w:val="auto"/>
          <w:lang w:val="en-US"/>
        </w:rPr>
        <w:t>Figure</w:t>
      </w:r>
      <w:r w:rsidR="00AF5653" w:rsidRPr="00063CE2">
        <w:rPr>
          <w:b/>
          <w:bCs/>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D</w:t>
      </w:r>
      <w:r w:rsidR="00AF5653" w:rsidRPr="00063CE2">
        <w:rPr>
          <w:noProof w:val="0"/>
          <w:color w:val="auto"/>
          <w:lang w:val="en-US"/>
        </w:rPr>
        <w:t>) and IHC for both 4G8 and AT8 (</w:t>
      </w:r>
      <w:r w:rsidR="00CB6477" w:rsidRPr="00063CE2">
        <w:rPr>
          <w:b/>
          <w:bCs/>
          <w:noProof w:val="0"/>
          <w:color w:val="auto"/>
          <w:lang w:val="en-US"/>
        </w:rPr>
        <w:t>Figure</w:t>
      </w:r>
      <w:r w:rsidR="00AF5653" w:rsidRPr="00063CE2">
        <w:rPr>
          <w:noProof w:val="0"/>
          <w:color w:val="auto"/>
          <w:lang w:val="en-US"/>
        </w:rPr>
        <w:t xml:space="preserve"> </w:t>
      </w:r>
      <w:r w:rsidR="00F04B97" w:rsidRPr="00063CE2">
        <w:rPr>
          <w:b/>
          <w:bCs/>
          <w:noProof w:val="0"/>
          <w:color w:val="auto"/>
          <w:lang w:val="en-US"/>
        </w:rPr>
        <w:t>6</w:t>
      </w:r>
      <w:r w:rsidR="00AF5653" w:rsidRPr="00063CE2">
        <w:rPr>
          <w:b/>
          <w:bCs/>
          <w:noProof w:val="0"/>
          <w:color w:val="auto"/>
          <w:lang w:val="en-US"/>
        </w:rPr>
        <w:t>B</w:t>
      </w:r>
      <w:r w:rsidR="00AF5653" w:rsidRPr="00063CE2">
        <w:rPr>
          <w:noProof w:val="0"/>
          <w:color w:val="auto"/>
          <w:lang w:val="en-US"/>
        </w:rPr>
        <w:t>) allows to evaluate the distribution of the immunoreactivity in the hemispheres with the naked eye.</w:t>
      </w:r>
      <w:r w:rsidR="003978E5" w:rsidRPr="00063CE2">
        <w:rPr>
          <w:noProof w:val="0"/>
          <w:color w:val="auto"/>
          <w:lang w:val="en-US"/>
        </w:rPr>
        <w:t xml:space="preserve"> </w:t>
      </w:r>
      <w:r w:rsidR="00AF5653" w:rsidRPr="00063CE2">
        <w:rPr>
          <w:noProof w:val="0"/>
          <w:color w:val="auto"/>
          <w:lang w:val="en-US"/>
        </w:rPr>
        <w:t xml:space="preserve">In the ABB series, brains of related individuals are available to be compared. </w:t>
      </w:r>
    </w:p>
    <w:p w14:paraId="61EE79C6" w14:textId="77777777" w:rsidR="003978E5" w:rsidRPr="00063CE2" w:rsidRDefault="003978E5" w:rsidP="00AF5653">
      <w:pPr>
        <w:rPr>
          <w:noProof w:val="0"/>
          <w:color w:val="auto"/>
          <w:lang w:val="en-US"/>
        </w:rPr>
      </w:pPr>
    </w:p>
    <w:p w14:paraId="1C49E530" w14:textId="512D3123" w:rsidR="00AF5653" w:rsidRPr="00063CE2" w:rsidRDefault="00AF5653" w:rsidP="00AF5653">
      <w:pPr>
        <w:rPr>
          <w:noProof w:val="0"/>
          <w:color w:val="auto"/>
          <w:lang w:val="en-US"/>
        </w:rPr>
      </w:pPr>
      <w:r w:rsidRPr="00063CE2">
        <w:rPr>
          <w:noProof w:val="0"/>
          <w:color w:val="auto"/>
          <w:lang w:val="en-US"/>
        </w:rPr>
        <w:t xml:space="preserve">In </w:t>
      </w:r>
      <w:r w:rsidR="00CB6477" w:rsidRPr="00063CE2">
        <w:rPr>
          <w:b/>
          <w:bCs/>
          <w:noProof w:val="0"/>
          <w:color w:val="auto"/>
          <w:lang w:val="en-US"/>
        </w:rPr>
        <w:t>Figure</w:t>
      </w:r>
      <w:r w:rsidRPr="00063CE2">
        <w:rPr>
          <w:noProof w:val="0"/>
          <w:color w:val="auto"/>
          <w:lang w:val="en-US"/>
        </w:rPr>
        <w:t xml:space="preserve"> </w:t>
      </w:r>
      <w:r w:rsidR="00F04B97" w:rsidRPr="00063CE2">
        <w:rPr>
          <w:b/>
          <w:bCs/>
          <w:noProof w:val="0"/>
          <w:color w:val="auto"/>
          <w:lang w:val="en-US"/>
        </w:rPr>
        <w:t>7</w:t>
      </w:r>
      <w:r w:rsidRPr="00063CE2">
        <w:rPr>
          <w:noProof w:val="0"/>
          <w:color w:val="auto"/>
          <w:lang w:val="en-US"/>
        </w:rPr>
        <w:t xml:space="preserve">, microscopic images of sections from the brains of </w:t>
      </w:r>
      <w:r w:rsidRPr="00063CE2">
        <w:rPr>
          <w:rFonts w:eastAsia="Calibri"/>
          <w:noProof w:val="0"/>
          <w:color w:val="auto"/>
          <w:lang w:val="en-US"/>
        </w:rPr>
        <w:t>homozygous twins</w:t>
      </w:r>
      <w:r w:rsidRPr="00063CE2">
        <w:rPr>
          <w:noProof w:val="0"/>
          <w:color w:val="auto"/>
          <w:lang w:val="en-US"/>
        </w:rPr>
        <w:t xml:space="preserve"> are placed side by side for easier comparison (twin 1 (BB1</w:t>
      </w:r>
      <w:r w:rsidR="00433B9B" w:rsidRPr="00063CE2">
        <w:rPr>
          <w:noProof w:val="0"/>
          <w:color w:val="auto"/>
          <w:lang w:val="en-US"/>
        </w:rPr>
        <w:t>3</w:t>
      </w:r>
      <w:r w:rsidRPr="00063CE2">
        <w:rPr>
          <w:noProof w:val="0"/>
          <w:color w:val="auto"/>
          <w:lang w:val="en-US"/>
        </w:rPr>
        <w:t xml:space="preserve">7): </w:t>
      </w:r>
      <w:r w:rsidR="00CB6477" w:rsidRPr="00063CE2">
        <w:rPr>
          <w:b/>
          <w:bCs/>
          <w:noProof w:val="0"/>
          <w:color w:val="auto"/>
          <w:lang w:val="en-US"/>
        </w:rPr>
        <w:t>Figure</w:t>
      </w:r>
      <w:r w:rsidRPr="00063CE2">
        <w:rPr>
          <w:noProof w:val="0"/>
          <w:color w:val="auto"/>
          <w:lang w:val="en-US"/>
        </w:rPr>
        <w:t xml:space="preserve"> </w:t>
      </w:r>
      <w:r w:rsidR="00F04B97" w:rsidRPr="00063CE2">
        <w:rPr>
          <w:b/>
          <w:bCs/>
          <w:noProof w:val="0"/>
          <w:color w:val="auto"/>
          <w:lang w:val="en-US"/>
        </w:rPr>
        <w:t>7</w:t>
      </w:r>
      <w:proofErr w:type="gramStart"/>
      <w:r w:rsidRPr="00063CE2">
        <w:rPr>
          <w:b/>
          <w:bCs/>
          <w:noProof w:val="0"/>
          <w:color w:val="auto"/>
          <w:lang w:val="en-US"/>
        </w:rPr>
        <w:t>A,C</w:t>
      </w:r>
      <w:proofErr w:type="gramEnd"/>
      <w:r w:rsidRPr="00063CE2">
        <w:rPr>
          <w:b/>
          <w:bCs/>
          <w:noProof w:val="0"/>
          <w:color w:val="auto"/>
          <w:lang w:val="en-US"/>
        </w:rPr>
        <w:t>,E,G,I,K</w:t>
      </w:r>
      <w:r w:rsidRPr="00063CE2">
        <w:rPr>
          <w:noProof w:val="0"/>
          <w:color w:val="auto"/>
          <w:lang w:val="en-US"/>
        </w:rPr>
        <w:t xml:space="preserve"> v</w:t>
      </w:r>
      <w:r w:rsidR="003978E5" w:rsidRPr="00063CE2">
        <w:rPr>
          <w:noProof w:val="0"/>
          <w:color w:val="auto"/>
          <w:lang w:val="en-US"/>
        </w:rPr>
        <w:t>ersus</w:t>
      </w:r>
      <w:r w:rsidRPr="00063CE2">
        <w:rPr>
          <w:noProof w:val="0"/>
          <w:color w:val="auto"/>
          <w:lang w:val="en-US"/>
        </w:rPr>
        <w:t xml:space="preserve"> twin 2 (BB138: </w:t>
      </w:r>
      <w:r w:rsidR="00CB6477" w:rsidRPr="00063CE2">
        <w:rPr>
          <w:b/>
          <w:bCs/>
          <w:noProof w:val="0"/>
          <w:color w:val="auto"/>
          <w:lang w:val="en-US"/>
        </w:rPr>
        <w:t>Figure</w:t>
      </w:r>
      <w:r w:rsidRPr="00063CE2">
        <w:rPr>
          <w:noProof w:val="0"/>
          <w:color w:val="auto"/>
          <w:lang w:val="en-US"/>
        </w:rPr>
        <w:t xml:space="preserve"> </w:t>
      </w:r>
      <w:r w:rsidR="00A55943" w:rsidRPr="00063CE2">
        <w:rPr>
          <w:b/>
          <w:bCs/>
          <w:noProof w:val="0"/>
          <w:color w:val="auto"/>
          <w:lang w:val="en-US"/>
        </w:rPr>
        <w:lastRenderedPageBreak/>
        <w:t>7</w:t>
      </w:r>
      <w:r w:rsidRPr="00063CE2">
        <w:rPr>
          <w:b/>
          <w:bCs/>
          <w:noProof w:val="0"/>
          <w:color w:val="auto"/>
          <w:lang w:val="en-US"/>
        </w:rPr>
        <w:t>B,D,F,H,J</w:t>
      </w:r>
      <w:r w:rsidR="003978E5" w:rsidRPr="00063CE2">
        <w:rPr>
          <w:b/>
          <w:bCs/>
          <w:noProof w:val="0"/>
          <w:color w:val="auto"/>
          <w:lang w:val="en-US"/>
        </w:rPr>
        <w:t>,</w:t>
      </w:r>
      <w:r w:rsidRPr="00063CE2">
        <w:rPr>
          <w:b/>
          <w:bCs/>
          <w:noProof w:val="0"/>
          <w:color w:val="auto"/>
          <w:lang w:val="en-US"/>
        </w:rPr>
        <w:t>L</w:t>
      </w:r>
      <w:r w:rsidRPr="00063CE2">
        <w:rPr>
          <w:noProof w:val="0"/>
          <w:color w:val="auto"/>
          <w:lang w:val="en-US"/>
        </w:rPr>
        <w:t>). As in a similar previous study</w:t>
      </w:r>
      <w:r w:rsidR="00793071" w:rsidRPr="00063CE2">
        <w:rPr>
          <w:noProof w:val="0"/>
          <w:color w:val="auto"/>
          <w:lang w:val="en-US"/>
        </w:rPr>
        <w:fldChar w:fldCharType="begin" w:fldLock="1"/>
      </w:r>
      <w:r w:rsidR="00C1675A">
        <w:rPr>
          <w:noProof w:val="0"/>
          <w:color w:val="auto"/>
          <w:lang w:val="en-US"/>
        </w:rPr>
        <w:instrText>ADDIN CSL_CITATION {"citationItems":[{"id":"ITEM-1","itemData":{"ISSN":"0893-0341","author":[{"dropping-particle":"","family":"Iacono","given":"Diego","non-dropping-particle":"","parse-names":false,"suffix":""},{"dropping-particle":"","family":"Volkmann","given":"Inga","non-dropping-particle":"","parse-names":false,"suffix":""},{"dropping-particle":"","family":"Nennesmo","given":"Inger","non-dropping-particle":"","parse-names":false,"suffix":""},{"dropping-particle":"","family":"Pedersen","given":"Nancy L.","non-dropping-particle":"","parse-names":false,"suffix":""},{"dropping-particle":"","family":"Fratiglioni","given":"Laura","non-dropping-particle":"","parse-names":false,"suffix":""},{"dropping-particle":"","family":"Johansson","given":"Boo","non-dropping-particle":"","parse-names":false,"suffix":""},{"dropping-particle":"","family":"Karlsson","given":"David","non-dropping-particle":"","parse-names":false,"suffix":""},{"dropping-particle":"","family":"Winblad","given":"Bengt","non-dropping-particle":"","parse-names":false,"suffix":""},{"dropping-particle":"","family":"Gatz","given":"Margaret","non-dropping-particle":"","parse-names":false,"suffix":""}],"container-title":"Alzheimer Disease &amp; Associated Disorders","id":"ITEM-1","issue":"2","issued":{"date-parts":[["2016"]]},"page":"178-182","title":"Same Ages, Same Genes: Same Brains, Same Pathologies?: Dementia Timings, Co-Occurring Brain Pathologies, ApoE Genotypes in Identical and Fraternal Age-matched Twins at Autopsy","type":"article-journal","volume":"30"},"uris":["http://www.mendeley.com/documents/?uuid=51af66d0-bf46-3405-893c-afe4379d681c"]}],"mendeley":{"formattedCitation":"&lt;sup&gt;68&lt;/sup&gt;","plainTextFormattedCitation":"68","previouslyFormattedCitation":"&lt;sup&gt;68&lt;/sup&gt;"},"properties":{"noteIndex":0},"schema":"https://github.com/citation-style-language/schema/raw/master/csl-citation.json"}</w:instrText>
      </w:r>
      <w:r w:rsidR="00793071" w:rsidRPr="00063CE2">
        <w:rPr>
          <w:noProof w:val="0"/>
          <w:color w:val="auto"/>
          <w:lang w:val="en-US"/>
        </w:rPr>
        <w:fldChar w:fldCharType="separate"/>
      </w:r>
      <w:r w:rsidR="00C1675A" w:rsidRPr="00C1675A">
        <w:rPr>
          <w:color w:val="auto"/>
          <w:vertAlign w:val="superscript"/>
          <w:lang w:val="en-US"/>
        </w:rPr>
        <w:t>68</w:t>
      </w:r>
      <w:r w:rsidR="00793071" w:rsidRPr="00063CE2">
        <w:rPr>
          <w:noProof w:val="0"/>
          <w:color w:val="auto"/>
          <w:lang w:val="en-US"/>
        </w:rPr>
        <w:fldChar w:fldCharType="end"/>
      </w:r>
      <w:r w:rsidRPr="00063CE2">
        <w:rPr>
          <w:noProof w:val="0"/>
          <w:color w:val="auto"/>
          <w:lang w:val="en-US"/>
        </w:rPr>
        <w:t xml:space="preserve">, both twins were compared by clinical and neuropathological assessments. The twins reported the same diagnosis of </w:t>
      </w:r>
      <w:r w:rsidR="00AE18C2" w:rsidRPr="00063CE2">
        <w:rPr>
          <w:noProof w:val="0"/>
          <w:color w:val="auto"/>
          <w:lang w:val="en-US"/>
        </w:rPr>
        <w:t>m</w:t>
      </w:r>
      <w:r w:rsidRPr="00063CE2">
        <w:rPr>
          <w:noProof w:val="0"/>
          <w:color w:val="auto"/>
          <w:lang w:val="en-US"/>
        </w:rPr>
        <w:t>ajor</w:t>
      </w:r>
      <w:r w:rsidR="00AE18C2" w:rsidRPr="00063CE2">
        <w:rPr>
          <w:noProof w:val="0"/>
          <w:color w:val="auto"/>
          <w:lang w:val="en-US"/>
        </w:rPr>
        <w:t>-</w:t>
      </w:r>
      <w:r w:rsidRPr="00063CE2">
        <w:rPr>
          <w:noProof w:val="0"/>
          <w:color w:val="auto"/>
          <w:lang w:val="en-US"/>
        </w:rPr>
        <w:t xml:space="preserve">NCD due to multiple etiologies, but they died two years apart, at age </w:t>
      </w:r>
      <w:r w:rsidRPr="00063CE2">
        <w:rPr>
          <w:rFonts w:eastAsia="Calibri"/>
          <w:noProof w:val="0"/>
          <w:color w:val="auto"/>
          <w:lang w:val="en-US"/>
        </w:rPr>
        <w:t xml:space="preserve">83 (dementia-onset at 72 years) and 85 (dementia-onset at 76 years), respectively. Their brains </w:t>
      </w:r>
      <w:r w:rsidRPr="00063CE2">
        <w:rPr>
          <w:noProof w:val="0"/>
          <w:color w:val="auto"/>
          <w:lang w:val="en-US"/>
        </w:rPr>
        <w:t>have a very similar neuropathological picture, with high AD pathology associated with amyloid angiopathy. 4G8 immunoreactivity is diffused throughout the cortex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A,B</w:t>
      </w:r>
      <w:proofErr w:type="gramEnd"/>
      <w:r w:rsidRPr="00063CE2">
        <w:rPr>
          <w:noProof w:val="0"/>
          <w:color w:val="auto"/>
          <w:lang w:val="en-US"/>
        </w:rPr>
        <w:t>) and basal ganglia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r w:rsidRPr="00063CE2">
        <w:rPr>
          <w:b/>
          <w:bCs/>
          <w:noProof w:val="0"/>
          <w:color w:val="auto"/>
          <w:lang w:val="en-US"/>
        </w:rPr>
        <w:t>C</w:t>
      </w:r>
      <w:r w:rsidR="003978E5" w:rsidRPr="00063CE2">
        <w:rPr>
          <w:b/>
          <w:bCs/>
          <w:noProof w:val="0"/>
          <w:color w:val="auto"/>
          <w:lang w:val="en-US"/>
        </w:rPr>
        <w:t>,</w:t>
      </w:r>
      <w:r w:rsidRPr="00063CE2">
        <w:rPr>
          <w:b/>
          <w:bCs/>
          <w:noProof w:val="0"/>
          <w:color w:val="auto"/>
          <w:lang w:val="en-US"/>
        </w:rPr>
        <w:t>D</w:t>
      </w:r>
      <w:r w:rsidRPr="00063CE2">
        <w:rPr>
          <w:noProof w:val="0"/>
          <w:color w:val="auto"/>
          <w:lang w:val="en-US"/>
        </w:rPr>
        <w:t xml:space="preserve">) with diffuse, dense, and cored plaques. </w:t>
      </w:r>
      <w:r w:rsidR="00F67739" w:rsidRPr="00063CE2">
        <w:rPr>
          <w:noProof w:val="0"/>
          <w:color w:val="auto"/>
          <w:lang w:val="en-US"/>
        </w:rPr>
        <w:t>It</w:t>
      </w:r>
      <w:r w:rsidRPr="00063CE2">
        <w:rPr>
          <w:noProof w:val="0"/>
          <w:color w:val="auto"/>
          <w:lang w:val="en-US"/>
        </w:rPr>
        <w:t xml:space="preserve"> is also clearly detected in both parenchymal and leptomeningeal vessels of the cortex and the cerebellum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A</w:t>
      </w:r>
      <w:r w:rsidR="003978E5" w:rsidRPr="00063CE2">
        <w:rPr>
          <w:b/>
          <w:bCs/>
          <w:noProof w:val="0"/>
          <w:color w:val="auto"/>
          <w:lang w:val="en-US"/>
        </w:rPr>
        <w:t>,</w:t>
      </w:r>
      <w:r w:rsidR="005805BC" w:rsidRPr="00063CE2">
        <w:rPr>
          <w:b/>
          <w:bCs/>
          <w:noProof w:val="0"/>
          <w:color w:val="auto"/>
          <w:lang w:val="en-US"/>
        </w:rPr>
        <w:t>B</w:t>
      </w:r>
      <w:proofErr w:type="gramEnd"/>
      <w:r w:rsidR="003978E5" w:rsidRPr="00063CE2">
        <w:rPr>
          <w:b/>
          <w:bCs/>
          <w:noProof w:val="0"/>
          <w:color w:val="auto"/>
          <w:lang w:val="en-US"/>
        </w:rPr>
        <w:t>,</w:t>
      </w:r>
      <w:r w:rsidRPr="00063CE2">
        <w:rPr>
          <w:b/>
          <w:bCs/>
          <w:noProof w:val="0"/>
          <w:color w:val="auto"/>
          <w:lang w:val="en-US"/>
        </w:rPr>
        <w:t>G</w:t>
      </w:r>
      <w:r w:rsidR="003978E5" w:rsidRPr="00063CE2">
        <w:rPr>
          <w:b/>
          <w:bCs/>
          <w:noProof w:val="0"/>
          <w:color w:val="auto"/>
          <w:lang w:val="en-US"/>
        </w:rPr>
        <w:t>–</w:t>
      </w:r>
      <w:r w:rsidRPr="00063CE2">
        <w:rPr>
          <w:b/>
          <w:bCs/>
          <w:noProof w:val="0"/>
          <w:color w:val="auto"/>
          <w:lang w:val="en-US"/>
        </w:rPr>
        <w:t>J</w:t>
      </w:r>
      <w:r w:rsidRPr="00063CE2">
        <w:rPr>
          <w:noProof w:val="0"/>
          <w:color w:val="auto"/>
          <w:lang w:val="en-US"/>
        </w:rPr>
        <w:t xml:space="preserve">). At higher magnification, </w:t>
      </w:r>
      <w:proofErr w:type="spellStart"/>
      <w:r w:rsidRPr="00063CE2">
        <w:rPr>
          <w:noProof w:val="0"/>
          <w:color w:val="auto"/>
          <w:lang w:val="en-US"/>
        </w:rPr>
        <w:t>capCAA</w:t>
      </w:r>
      <w:proofErr w:type="spellEnd"/>
      <w:r w:rsidRPr="00063CE2">
        <w:rPr>
          <w:noProof w:val="0"/>
          <w:color w:val="auto"/>
          <w:lang w:val="en-US"/>
        </w:rPr>
        <w:t xml:space="preserve"> is clearly evident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G,H</w:t>
      </w:r>
      <w:proofErr w:type="gramEnd"/>
      <w:r w:rsidRPr="00063CE2">
        <w:rPr>
          <w:noProof w:val="0"/>
          <w:color w:val="auto"/>
          <w:lang w:val="en-US"/>
        </w:rPr>
        <w:t xml:space="preserve">). AT8 </w:t>
      </w:r>
      <w:proofErr w:type="spellStart"/>
      <w:r w:rsidRPr="00063CE2">
        <w:rPr>
          <w:noProof w:val="0"/>
          <w:color w:val="auto"/>
          <w:lang w:val="en-US"/>
        </w:rPr>
        <w:t>immunopositive</w:t>
      </w:r>
      <w:proofErr w:type="spellEnd"/>
      <w:r w:rsidRPr="00063CE2">
        <w:rPr>
          <w:noProof w:val="0"/>
          <w:color w:val="auto"/>
          <w:lang w:val="en-US"/>
        </w:rPr>
        <w:t xml:space="preserve"> plaques, tangles and threads are diffuse in the parietal cortices of both brains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7</w:t>
      </w:r>
      <w:proofErr w:type="gramStart"/>
      <w:r w:rsidRPr="00063CE2">
        <w:rPr>
          <w:b/>
          <w:bCs/>
          <w:noProof w:val="0"/>
          <w:color w:val="auto"/>
          <w:lang w:val="en-US"/>
        </w:rPr>
        <w:t>E,F</w:t>
      </w:r>
      <w:proofErr w:type="gramEnd"/>
      <w:r w:rsidRPr="00063CE2">
        <w:rPr>
          <w:b/>
          <w:bCs/>
          <w:noProof w:val="0"/>
          <w:color w:val="auto"/>
          <w:lang w:val="en-US"/>
        </w:rPr>
        <w:t>,L</w:t>
      </w:r>
      <w:r w:rsidRPr="00063CE2">
        <w:rPr>
          <w:noProof w:val="0"/>
          <w:color w:val="auto"/>
          <w:lang w:val="en-US"/>
        </w:rPr>
        <w:t xml:space="preserve">). Regarding the amyloid and NFT pathology burden, twin 1 is considered a </w:t>
      </w:r>
      <w:proofErr w:type="spellStart"/>
      <w:r w:rsidRPr="00063CE2">
        <w:rPr>
          <w:noProof w:val="0"/>
          <w:color w:val="auto"/>
          <w:lang w:val="en-US"/>
        </w:rPr>
        <w:t>Thal</w:t>
      </w:r>
      <w:proofErr w:type="spellEnd"/>
      <w:r w:rsidRPr="00063CE2">
        <w:rPr>
          <w:noProof w:val="0"/>
          <w:color w:val="auto"/>
          <w:lang w:val="en-US"/>
        </w:rPr>
        <w:t xml:space="preserve"> stage 3 (</w:t>
      </w:r>
      <w:proofErr w:type="spellStart"/>
      <w:r w:rsidRPr="00063CE2">
        <w:rPr>
          <w:noProof w:val="0"/>
          <w:color w:val="auto"/>
          <w:lang w:val="en-US"/>
        </w:rPr>
        <w:t>montine</w:t>
      </w:r>
      <w:proofErr w:type="spellEnd"/>
      <w:r w:rsidRPr="00063CE2">
        <w:rPr>
          <w:noProof w:val="0"/>
          <w:color w:val="auto"/>
          <w:lang w:val="en-US"/>
        </w:rPr>
        <w:t xml:space="preserve"> A2) and a </w:t>
      </w:r>
      <w:proofErr w:type="spellStart"/>
      <w:r w:rsidRPr="00063CE2">
        <w:rPr>
          <w:noProof w:val="0"/>
          <w:color w:val="auto"/>
          <w:lang w:val="en-US"/>
        </w:rPr>
        <w:t>Braak</w:t>
      </w:r>
      <w:proofErr w:type="spellEnd"/>
      <w:r w:rsidRPr="00063CE2">
        <w:rPr>
          <w:noProof w:val="0"/>
          <w:color w:val="auto"/>
          <w:lang w:val="en-US"/>
        </w:rPr>
        <w:t xml:space="preserve"> stage 5 (</w:t>
      </w:r>
      <w:proofErr w:type="spellStart"/>
      <w:r w:rsidRPr="00063CE2">
        <w:rPr>
          <w:noProof w:val="0"/>
          <w:color w:val="auto"/>
          <w:lang w:val="en-US"/>
        </w:rPr>
        <w:t>montine</w:t>
      </w:r>
      <w:proofErr w:type="spellEnd"/>
      <w:r w:rsidRPr="00063CE2">
        <w:rPr>
          <w:noProof w:val="0"/>
          <w:color w:val="auto"/>
          <w:lang w:val="en-US"/>
        </w:rPr>
        <w:t xml:space="preserve"> B3), while twin 2 is considered a </w:t>
      </w:r>
      <w:proofErr w:type="spellStart"/>
      <w:r w:rsidRPr="00063CE2">
        <w:rPr>
          <w:noProof w:val="0"/>
          <w:color w:val="auto"/>
          <w:lang w:val="en-US"/>
        </w:rPr>
        <w:t>Thal</w:t>
      </w:r>
      <w:proofErr w:type="spellEnd"/>
      <w:r w:rsidRPr="00063CE2">
        <w:rPr>
          <w:noProof w:val="0"/>
          <w:color w:val="auto"/>
          <w:lang w:val="en-US"/>
        </w:rPr>
        <w:t xml:space="preserve"> stage 5 (</w:t>
      </w:r>
      <w:proofErr w:type="spellStart"/>
      <w:r w:rsidR="003978E5" w:rsidRPr="00063CE2">
        <w:rPr>
          <w:noProof w:val="0"/>
          <w:color w:val="auto"/>
          <w:lang w:val="en-US"/>
        </w:rPr>
        <w:t>m</w:t>
      </w:r>
      <w:r w:rsidRPr="00063CE2">
        <w:rPr>
          <w:noProof w:val="0"/>
          <w:color w:val="auto"/>
          <w:lang w:val="en-US"/>
        </w:rPr>
        <w:t>ontine</w:t>
      </w:r>
      <w:proofErr w:type="spellEnd"/>
      <w:r w:rsidRPr="00063CE2">
        <w:rPr>
          <w:noProof w:val="0"/>
          <w:color w:val="auto"/>
          <w:lang w:val="en-US"/>
        </w:rPr>
        <w:t xml:space="preserve"> A3) and a </w:t>
      </w:r>
      <w:proofErr w:type="spellStart"/>
      <w:r w:rsidRPr="00063CE2">
        <w:rPr>
          <w:noProof w:val="0"/>
          <w:color w:val="auto"/>
          <w:lang w:val="en-US"/>
        </w:rPr>
        <w:t>Braak</w:t>
      </w:r>
      <w:proofErr w:type="spellEnd"/>
      <w:r w:rsidRPr="00063CE2">
        <w:rPr>
          <w:noProof w:val="0"/>
          <w:color w:val="auto"/>
          <w:lang w:val="en-US"/>
        </w:rPr>
        <w:t xml:space="preserve"> stage 6 (</w:t>
      </w:r>
      <w:proofErr w:type="spellStart"/>
      <w:r w:rsidR="003978E5" w:rsidRPr="00063CE2">
        <w:rPr>
          <w:noProof w:val="0"/>
          <w:color w:val="auto"/>
          <w:lang w:val="en-US"/>
        </w:rPr>
        <w:t>m</w:t>
      </w:r>
      <w:r w:rsidRPr="00063CE2">
        <w:rPr>
          <w:noProof w:val="0"/>
          <w:color w:val="auto"/>
          <w:lang w:val="en-US"/>
        </w:rPr>
        <w:t>ontine</w:t>
      </w:r>
      <w:proofErr w:type="spellEnd"/>
      <w:r w:rsidRPr="00063CE2">
        <w:rPr>
          <w:noProof w:val="0"/>
          <w:color w:val="auto"/>
          <w:lang w:val="en-US"/>
        </w:rPr>
        <w:t xml:space="preserve"> B3). They had the same years of education and similar lifestyle</w:t>
      </w:r>
      <w:r w:rsidR="003C0120" w:rsidRPr="00063CE2">
        <w:rPr>
          <w:noProof w:val="0"/>
          <w:color w:val="auto"/>
          <w:lang w:val="en-US"/>
        </w:rPr>
        <w:t>;</w:t>
      </w:r>
      <w:r w:rsidRPr="00063CE2">
        <w:rPr>
          <w:noProof w:val="0"/>
          <w:color w:val="auto"/>
          <w:lang w:val="en-US"/>
        </w:rPr>
        <w:t xml:space="preserve"> </w:t>
      </w:r>
      <w:r w:rsidR="003C0120" w:rsidRPr="00063CE2">
        <w:rPr>
          <w:noProof w:val="0"/>
          <w:color w:val="auto"/>
          <w:lang w:val="en-US"/>
        </w:rPr>
        <w:t>however,</w:t>
      </w:r>
      <w:r w:rsidRPr="00063CE2">
        <w:rPr>
          <w:noProof w:val="0"/>
          <w:color w:val="auto"/>
          <w:lang w:val="en-US"/>
        </w:rPr>
        <w:t xml:space="preserve"> one (BB137) </w:t>
      </w:r>
      <w:r w:rsidR="00A45D9C" w:rsidRPr="00063CE2">
        <w:rPr>
          <w:noProof w:val="0"/>
          <w:color w:val="auto"/>
          <w:lang w:val="en-US"/>
        </w:rPr>
        <w:t xml:space="preserve">was </w:t>
      </w:r>
      <w:r w:rsidRPr="00063CE2">
        <w:rPr>
          <w:noProof w:val="0"/>
          <w:color w:val="auto"/>
          <w:lang w:val="en-US"/>
        </w:rPr>
        <w:t>married and became widowed soon</w:t>
      </w:r>
      <w:r w:rsidR="003354DA" w:rsidRPr="00063CE2">
        <w:rPr>
          <w:noProof w:val="0"/>
          <w:color w:val="auto"/>
          <w:lang w:val="en-US"/>
        </w:rPr>
        <w:t xml:space="preserve"> after</w:t>
      </w:r>
      <w:r w:rsidRPr="00063CE2">
        <w:rPr>
          <w:noProof w:val="0"/>
          <w:color w:val="auto"/>
          <w:lang w:val="en-US"/>
        </w:rPr>
        <w:t xml:space="preserve"> </w:t>
      </w:r>
      <w:r w:rsidR="003C0120" w:rsidRPr="00063CE2">
        <w:rPr>
          <w:noProof w:val="0"/>
          <w:color w:val="auto"/>
          <w:lang w:val="en-US"/>
        </w:rPr>
        <w:t>while</w:t>
      </w:r>
      <w:r w:rsidRPr="00063CE2">
        <w:rPr>
          <w:noProof w:val="0"/>
          <w:color w:val="auto"/>
          <w:lang w:val="en-US"/>
        </w:rPr>
        <w:t xml:space="preserve"> the other was single (BB138). They showed different degrees of clinico-pathologic variability with the same beginning and same course of illness but in different </w:t>
      </w:r>
      <w:r w:rsidR="003C0120" w:rsidRPr="00063CE2">
        <w:rPr>
          <w:noProof w:val="0"/>
          <w:color w:val="auto"/>
          <w:lang w:val="en-US"/>
        </w:rPr>
        <w:t>time fra</w:t>
      </w:r>
      <w:r w:rsidRPr="00063CE2">
        <w:rPr>
          <w:noProof w:val="0"/>
          <w:color w:val="auto"/>
          <w:lang w:val="en-US"/>
        </w:rPr>
        <w:t>mes. This confirms the fact that, although the genetic component plays a key role in the development of the disease, the epigenetic and environmental component are fundamental in determining slightly different manifestations.</w:t>
      </w:r>
    </w:p>
    <w:p w14:paraId="08116EF8" w14:textId="77777777" w:rsidR="003978E5" w:rsidRPr="00063CE2" w:rsidRDefault="003978E5" w:rsidP="00AF5653">
      <w:pPr>
        <w:rPr>
          <w:noProof w:val="0"/>
          <w:color w:val="auto"/>
          <w:lang w:val="en-US"/>
        </w:rPr>
      </w:pPr>
    </w:p>
    <w:p w14:paraId="59EA1AB5" w14:textId="2E242BAE" w:rsidR="00AF5653" w:rsidRPr="00063CE2" w:rsidRDefault="00AF5653" w:rsidP="00AF5653">
      <w:pPr>
        <w:rPr>
          <w:noProof w:val="0"/>
          <w:color w:val="auto"/>
          <w:lang w:val="en-US"/>
        </w:rPr>
      </w:pPr>
      <w:r w:rsidRPr="00063CE2">
        <w:rPr>
          <w:noProof w:val="0"/>
          <w:color w:val="auto"/>
          <w:lang w:val="en-US"/>
        </w:rPr>
        <w:t xml:space="preserve">In some </w:t>
      </w:r>
      <w:r w:rsidR="003978E5" w:rsidRPr="00063CE2">
        <w:rPr>
          <w:noProof w:val="0"/>
          <w:color w:val="auto"/>
          <w:lang w:val="en-US"/>
        </w:rPr>
        <w:t>cases,</w:t>
      </w:r>
      <w:r w:rsidRPr="00063CE2">
        <w:rPr>
          <w:noProof w:val="0"/>
          <w:color w:val="auto"/>
          <w:lang w:val="en-US"/>
        </w:rPr>
        <w:t xml:space="preserve"> the clinical picture does not correspond to the neuropathological features. In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noProof w:val="0"/>
          <w:color w:val="auto"/>
          <w:lang w:val="en-US"/>
        </w:rPr>
        <w:t xml:space="preserve">, two different cases were clinically defined as AD cases; neuropathological </w:t>
      </w:r>
      <w:r w:rsidR="003978E5" w:rsidRPr="00063CE2">
        <w:rPr>
          <w:noProof w:val="0"/>
          <w:color w:val="auto"/>
          <w:lang w:val="en-US"/>
        </w:rPr>
        <w:t>analyses</w:t>
      </w:r>
      <w:r w:rsidRPr="00063CE2">
        <w:rPr>
          <w:noProof w:val="0"/>
          <w:color w:val="auto"/>
          <w:lang w:val="en-US"/>
        </w:rPr>
        <w:t xml:space="preserve"> show, in addition to an intermediate AD pathology, a diffuse positivity for α-syn. In the first case, a severe LTS (Beach IV) picture shows Lewy bodies homogeneously found throughout the </w:t>
      </w:r>
      <w:r w:rsidRPr="00063CE2">
        <w:rPr>
          <w:iCs/>
          <w:noProof w:val="0"/>
          <w:color w:val="auto"/>
          <w:lang w:val="en-US"/>
        </w:rPr>
        <w:t xml:space="preserve">gyrus </w:t>
      </w:r>
      <w:proofErr w:type="spellStart"/>
      <w:r w:rsidRPr="00063CE2">
        <w:rPr>
          <w:iCs/>
          <w:noProof w:val="0"/>
          <w:color w:val="auto"/>
          <w:lang w:val="en-US"/>
        </w:rPr>
        <w:t>cingoli</w:t>
      </w:r>
      <w:proofErr w:type="spellEnd"/>
      <w:r w:rsidRPr="00063CE2">
        <w:rPr>
          <w:iCs/>
          <w:noProof w:val="0"/>
          <w:color w:val="auto"/>
          <w:lang w:val="en-US"/>
        </w:rPr>
        <w:t xml:space="preserve">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A</w:t>
      </w:r>
      <w:r w:rsidRPr="00063CE2">
        <w:rPr>
          <w:noProof w:val="0"/>
          <w:color w:val="auto"/>
          <w:lang w:val="en-US"/>
        </w:rPr>
        <w:t>) and in SN as cytoplasmic inclusions surrounded by neuromelanin (</w:t>
      </w:r>
      <w:r w:rsidR="00CB6477" w:rsidRPr="00063CE2">
        <w:rPr>
          <w:b/>
          <w:bCs/>
          <w:noProof w:val="0"/>
          <w:color w:val="auto"/>
          <w:lang w:val="en-US"/>
        </w:rPr>
        <w:t>Figure</w:t>
      </w:r>
      <w:r w:rsidR="00F35896" w:rsidRPr="00063CE2">
        <w:rPr>
          <w:noProof w:val="0"/>
          <w:color w:val="auto"/>
          <w:lang w:val="en-US"/>
        </w:rPr>
        <w:t xml:space="preserve"> </w:t>
      </w:r>
      <w:r w:rsidR="0042308E" w:rsidRPr="00063CE2">
        <w:rPr>
          <w:b/>
          <w:bCs/>
          <w:noProof w:val="0"/>
          <w:color w:val="auto"/>
          <w:lang w:val="en-US"/>
        </w:rPr>
        <w:t>8</w:t>
      </w:r>
      <w:proofErr w:type="gramStart"/>
      <w:r w:rsidRPr="00063CE2">
        <w:rPr>
          <w:b/>
          <w:bCs/>
          <w:noProof w:val="0"/>
          <w:color w:val="auto"/>
          <w:lang w:val="en-US"/>
        </w:rPr>
        <w:t>B,C</w:t>
      </w:r>
      <w:proofErr w:type="gramEnd"/>
      <w:r w:rsidRPr="00063CE2">
        <w:rPr>
          <w:noProof w:val="0"/>
          <w:color w:val="auto"/>
          <w:lang w:val="en-US"/>
        </w:rPr>
        <w:t>). In the second case, Lewy bodies associated with Lewy neurites are diffusely distributed in the amygdala (</w:t>
      </w:r>
      <w:r w:rsidR="00CB6477" w:rsidRPr="00063CE2">
        <w:rPr>
          <w:b/>
          <w:bCs/>
          <w:noProof w:val="0"/>
          <w:color w:val="auto"/>
          <w:lang w:val="en-US"/>
        </w:rPr>
        <w:t>Figure</w:t>
      </w:r>
      <w:r w:rsidR="00F35896" w:rsidRPr="00063CE2">
        <w:rPr>
          <w:b/>
          <w:bCs/>
          <w:noProof w:val="0"/>
          <w:color w:val="auto"/>
          <w:lang w:val="en-US"/>
        </w:rPr>
        <w:t xml:space="preserve"> </w:t>
      </w:r>
      <w:r w:rsidR="0042308E" w:rsidRPr="00063CE2">
        <w:rPr>
          <w:b/>
          <w:bCs/>
          <w:noProof w:val="0"/>
          <w:color w:val="auto"/>
          <w:lang w:val="en-US"/>
        </w:rPr>
        <w:t>8</w:t>
      </w:r>
      <w:proofErr w:type="gramStart"/>
      <w:r w:rsidRPr="00063CE2">
        <w:rPr>
          <w:b/>
          <w:bCs/>
          <w:noProof w:val="0"/>
          <w:color w:val="auto"/>
          <w:lang w:val="en-US"/>
        </w:rPr>
        <w:t>D,E</w:t>
      </w:r>
      <w:proofErr w:type="gramEnd"/>
      <w:r w:rsidRPr="00063CE2">
        <w:rPr>
          <w:noProof w:val="0"/>
          <w:color w:val="auto"/>
          <w:lang w:val="en-US"/>
        </w:rPr>
        <w:t xml:space="preserve">) and in </w:t>
      </w:r>
      <w:proofErr w:type="spellStart"/>
      <w:r w:rsidRPr="00063CE2">
        <w:rPr>
          <w:noProof w:val="0"/>
          <w:color w:val="auto"/>
          <w:lang w:val="en-US"/>
        </w:rPr>
        <w:t>Meynert’s</w:t>
      </w:r>
      <w:proofErr w:type="spellEnd"/>
      <w:r w:rsidRPr="00063CE2">
        <w:rPr>
          <w:noProof w:val="0"/>
          <w:color w:val="auto"/>
          <w:lang w:val="en-US"/>
        </w:rPr>
        <w:t xml:space="preserve"> </w:t>
      </w:r>
      <w:r w:rsidR="003978E5" w:rsidRPr="00063CE2">
        <w:rPr>
          <w:noProof w:val="0"/>
          <w:color w:val="auto"/>
          <w:lang w:val="en-US"/>
        </w:rPr>
        <w:t>n</w:t>
      </w:r>
      <w:r w:rsidRPr="00063CE2">
        <w:rPr>
          <w:noProof w:val="0"/>
          <w:color w:val="auto"/>
          <w:lang w:val="en-US"/>
        </w:rPr>
        <w:t>ucleus (</w:t>
      </w:r>
      <w:r w:rsidR="00CB6477" w:rsidRPr="00063CE2">
        <w:rPr>
          <w:b/>
          <w:bCs/>
          <w:noProof w:val="0"/>
          <w:color w:val="auto"/>
          <w:lang w:val="en-US"/>
        </w:rPr>
        <w:t>Figure</w:t>
      </w:r>
      <w:r w:rsidRPr="00063CE2">
        <w:rPr>
          <w:noProof w:val="0"/>
          <w:color w:val="auto"/>
          <w:lang w:val="en-US"/>
        </w:rPr>
        <w:t xml:space="preserve"> </w:t>
      </w:r>
      <w:r w:rsidR="0042308E" w:rsidRPr="00063CE2">
        <w:rPr>
          <w:b/>
          <w:bCs/>
          <w:noProof w:val="0"/>
          <w:color w:val="auto"/>
          <w:lang w:val="en-US"/>
        </w:rPr>
        <w:t>8</w:t>
      </w:r>
      <w:r w:rsidRPr="00063CE2">
        <w:rPr>
          <w:b/>
          <w:bCs/>
          <w:noProof w:val="0"/>
          <w:color w:val="auto"/>
          <w:lang w:val="en-US"/>
        </w:rPr>
        <w:t>F</w:t>
      </w:r>
      <w:r w:rsidR="003978E5" w:rsidRPr="00063CE2">
        <w:rPr>
          <w:b/>
          <w:bCs/>
          <w:noProof w:val="0"/>
          <w:color w:val="auto"/>
          <w:lang w:val="en-US"/>
        </w:rPr>
        <w:t>,</w:t>
      </w:r>
      <w:r w:rsidRPr="00063CE2">
        <w:rPr>
          <w:b/>
          <w:bCs/>
          <w:noProof w:val="0"/>
          <w:color w:val="auto"/>
          <w:lang w:val="en-US"/>
        </w:rPr>
        <w:t>G</w:t>
      </w:r>
      <w:r w:rsidRPr="00063CE2">
        <w:rPr>
          <w:noProof w:val="0"/>
          <w:color w:val="auto"/>
          <w:lang w:val="en-US"/>
        </w:rPr>
        <w:t>) suggesting a limbic LTS diagnosis. Indeed, the topography of lesions rather than their molecular nature produces the clinical manifestations.</w:t>
      </w:r>
    </w:p>
    <w:p w14:paraId="050F7B68" w14:textId="201A80C2" w:rsidR="00AF5653" w:rsidRPr="00063CE2" w:rsidRDefault="00AF5653" w:rsidP="00AF5653">
      <w:pPr>
        <w:rPr>
          <w:noProof w:val="0"/>
          <w:color w:val="auto"/>
          <w:lang w:val="en-US"/>
        </w:rPr>
      </w:pPr>
    </w:p>
    <w:p w14:paraId="3DFDFC9A" w14:textId="1CF87B97" w:rsidR="00AF5653" w:rsidRPr="00063CE2" w:rsidRDefault="00AF5653" w:rsidP="00AF5653">
      <w:pPr>
        <w:outlineLvl w:val="0"/>
        <w:rPr>
          <w:b/>
          <w:noProof w:val="0"/>
          <w:color w:val="auto"/>
          <w:lang w:val="en-US"/>
        </w:rPr>
      </w:pPr>
      <w:r w:rsidRPr="00063CE2">
        <w:rPr>
          <w:b/>
          <w:noProof w:val="0"/>
          <w:color w:val="auto"/>
          <w:lang w:val="en-US"/>
        </w:rPr>
        <w:t>FIGURE</w:t>
      </w:r>
      <w:r w:rsidR="00635008" w:rsidRPr="00063CE2">
        <w:rPr>
          <w:b/>
          <w:noProof w:val="0"/>
          <w:color w:val="auto"/>
          <w:lang w:val="en-US"/>
        </w:rPr>
        <w:t>S</w:t>
      </w:r>
      <w:r w:rsidRPr="00063CE2">
        <w:rPr>
          <w:b/>
          <w:noProof w:val="0"/>
          <w:color w:val="auto"/>
          <w:lang w:val="en-US"/>
        </w:rPr>
        <w:t xml:space="preserve"> AND TABLE</w:t>
      </w:r>
      <w:r w:rsidR="00635008" w:rsidRPr="00063CE2">
        <w:rPr>
          <w:b/>
          <w:noProof w:val="0"/>
          <w:color w:val="auto"/>
          <w:lang w:val="en-US"/>
        </w:rPr>
        <w:t>S</w:t>
      </w:r>
      <w:r w:rsidRPr="00063CE2">
        <w:rPr>
          <w:b/>
          <w:noProof w:val="0"/>
          <w:color w:val="auto"/>
          <w:lang w:val="en-US"/>
        </w:rPr>
        <w:t xml:space="preserve"> LEGENDS:</w:t>
      </w:r>
    </w:p>
    <w:p w14:paraId="03AA0236" w14:textId="77777777" w:rsidR="003978E5" w:rsidRPr="00063CE2" w:rsidRDefault="003978E5" w:rsidP="00AF5653">
      <w:pPr>
        <w:outlineLvl w:val="0"/>
        <w:rPr>
          <w:noProof w:val="0"/>
          <w:color w:val="auto"/>
          <w:lang w:val="en-US"/>
        </w:rPr>
      </w:pPr>
    </w:p>
    <w:p w14:paraId="01B7305B" w14:textId="108ED1F2" w:rsidR="00AF5653" w:rsidRPr="00063CE2" w:rsidRDefault="00AF5653" w:rsidP="00AF5653">
      <w:pPr>
        <w:outlineLvl w:val="0"/>
        <w:rPr>
          <w:b/>
          <w:noProof w:val="0"/>
          <w:color w:val="auto"/>
          <w:lang w:val="en-US"/>
        </w:rPr>
      </w:pPr>
      <w:r w:rsidRPr="00063CE2">
        <w:rPr>
          <w:b/>
          <w:noProof w:val="0"/>
          <w:color w:val="auto"/>
          <w:lang w:val="en-US"/>
        </w:rPr>
        <w:t xml:space="preserve">Figure 1: Flow chart of the </w:t>
      </w:r>
      <w:proofErr w:type="spellStart"/>
      <w:proofErr w:type="gramStart"/>
      <w:r w:rsidRPr="00063CE2">
        <w:rPr>
          <w:b/>
          <w:noProof w:val="0"/>
          <w:color w:val="auto"/>
          <w:lang w:val="en-US"/>
        </w:rPr>
        <w:t>Inve.Ce.Ab</w:t>
      </w:r>
      <w:proofErr w:type="spellEnd"/>
      <w:proofErr w:type="gramEnd"/>
      <w:r w:rsidRPr="00063CE2">
        <w:rPr>
          <w:b/>
          <w:noProof w:val="0"/>
          <w:color w:val="auto"/>
          <w:lang w:val="en-US"/>
        </w:rPr>
        <w:t xml:space="preserve"> </w:t>
      </w:r>
      <w:r w:rsidR="003978E5" w:rsidRPr="00063CE2">
        <w:rPr>
          <w:b/>
          <w:noProof w:val="0"/>
          <w:color w:val="auto"/>
          <w:lang w:val="en-US"/>
        </w:rPr>
        <w:t>s</w:t>
      </w:r>
      <w:r w:rsidRPr="00063CE2">
        <w:rPr>
          <w:b/>
          <w:noProof w:val="0"/>
          <w:color w:val="auto"/>
          <w:lang w:val="en-US"/>
        </w:rPr>
        <w:t>tudy</w:t>
      </w:r>
      <w:r w:rsidR="003978E5" w:rsidRPr="00063CE2">
        <w:rPr>
          <w:b/>
          <w:noProof w:val="0"/>
          <w:color w:val="auto"/>
          <w:lang w:val="en-US"/>
        </w:rPr>
        <w:t xml:space="preserve">. </w:t>
      </w:r>
      <w:r w:rsidRPr="00063CE2">
        <w:rPr>
          <w:noProof w:val="0"/>
          <w:color w:val="auto"/>
          <w:lang w:val="en-US"/>
        </w:rPr>
        <w:t>At baseline, the overall prevalence of dementia was 3%. During the course of the follow-ups, the prevalence rates were: 4.4% (1</w:t>
      </w:r>
      <w:r w:rsidRPr="00063CE2">
        <w:rPr>
          <w:noProof w:val="0"/>
          <w:color w:val="auto"/>
          <w:vertAlign w:val="superscript"/>
          <w:lang w:val="en-US"/>
        </w:rPr>
        <w:t>st</w:t>
      </w:r>
      <w:r w:rsidRPr="00063CE2">
        <w:rPr>
          <w:noProof w:val="0"/>
          <w:color w:val="auto"/>
          <w:lang w:val="en-US"/>
        </w:rPr>
        <w:t>)</w:t>
      </w:r>
      <w:r w:rsidR="00793071" w:rsidRPr="00063CE2">
        <w:rPr>
          <w:noProof w:val="0"/>
          <w:color w:val="auto"/>
          <w:lang w:val="en-US"/>
        </w:rPr>
        <w:fldChar w:fldCharType="begin" w:fldLock="1"/>
      </w:r>
      <w:r w:rsidR="00C1675A">
        <w:rPr>
          <w:noProof w:val="0"/>
          <w:color w:val="auto"/>
          <w:lang w:val="en-US"/>
        </w:rPr>
        <w:instrText>ADDIN CSL_CITATION {"citationItems":[{"id":"ITEM-1","itemData":{"ISSN":"01674943","PMID":"25466513","abstract":"The age-specific prevalence rates of dementia vary widely. Studies focusing on specific age groups are needed to provide reliable estimates for healthcare providers and policy makers. We estimated the prevalence of dementia, dementia subtypes and cognitive impairment in \"InveCe.Ab\" (ClinicalTrials.gov, NCT01345110), a single-step multidimensional population-based study of 70-74-year olds living in Abbiategrasso (Milan, Italy). We also looked for associations with socio-demographic factors and the presence of the apolipoprotein E-ɛ4 allele. The overall dementia prevalence was 3% (95%CI: 2.1-4.1%) [Alzheimer's disease (AD): 1.2% (95%CI 0.6-1.9%); vascular dementia (VD): 1.4% (95%CI: 0.8-2.2%)]. Being single was found to be a risk factor for vascular dementia; subjects born in southern Italy were shown to be at greater risk both of overall dementia and of vascular dementia. The prevalence of cognitive impairment, with or without subjective cognitive complaints (cognitive impairment, no dementia, CIND) was 7.8% (95%CI: 6.4-9.4%). As regards the CIND subgroups, the prevalence of subjects with subjective cognitive complaints (mild cognitive impairment, MCI) was 5.0% (95%CI 3.9-6.3%), while the prevalence of those without MCI (CIND-other) was 2.8% (95%CI: 1.9-3.8). The males had a higher risk of MCI and CIND-other; the older subjects were more likely to have MCI, and those born in north-eastern Italy to have CIND-other. The prevalence of AD was higher among the apolipoprotein E-ɛ4 carriers. Our data highlight the importance of dementia and cognitive impairment in the transitional period from adulthood to old age, and reveal the presence of different associations with socio-demographic and genetic factors.","author":[{"dropping-particle":"","family":"Guaita","given":"Antonio","non-dropping-particle":"","parse-names":false,"suffix":""},{"dropping-particle":"","family":"Vaccaro","given":"Roberta","non-dropping-particle":"","parse-names":false,"suffix":""},{"dropping-particle":"","family":"Davin","given":"Annalisa","non-dropping-particle":"","parse-names":false,"suffix":""},{"dropping-particle":"","family":"Colombo","given":"Mauro","non-dropping-particle":"","parse-names":false,"suffix":""},{"dropping-particle":"","family":"Vitali","given":"Silvia Francesca","non-dropping-particle":"","parse-names":false,"suffix":""},{"dropping-particle":"","family":"Polito","given":"Letizia","non-dropping-particle":"","parse-names":false,"suffix":""},{"dropping-particle":"","family":"Abbondanza","given":"Simona","non-dropping-particle":"","parse-names":false,"suffix":""},{"dropping-particle":"","family":"Valle","given":"Eleonora","non-dropping-particle":"","parse-names":false,"suffix":""},{"dropping-particle":"","family":"Forloni","given":"Gianluigi","non-dropping-particle":"","parse-names":false,"suffix":""},{"dropping-particle":"","family":"Ferretti","given":"Virginia Valeria","non-dropping-particle":"","parse-names":false,"suffix":""},{"dropping-particle":"","family":"Villani","given":"Simona","non-dropping-particle":"","parse-names":false,"suffix":""}],"container-title":"Archives of Gerontology and Geriatrics","id":"ITEM-1","issue":"2","issued":{"date-parts":[["2015","3"]]},"page":"334-343","title":"Influence of socio-demographic features and apolipoprotein E epsilon 4 expression on the prevalence of dementia and cognitive impairment in a population of 70–74-year olds: The InveCe.Ab study","type":"article-journal","volume":"60"},"uris":["http://www.mendeley.com/documents/?uuid=0bcff181-08a3-3d16-9f4b-7470ca4c66c3"]}],"mendeley":{"formattedCitation":"&lt;sup&gt;69&lt;/sup&gt;","plainTextFormattedCitation":"69","previouslyFormattedCitation":"&lt;sup&gt;69&lt;/sup&gt;"},"properties":{"noteIndex":0},"schema":"https://github.com/citation-style-language/schema/raw/master/csl-citation.json"}</w:instrText>
      </w:r>
      <w:r w:rsidR="00793071" w:rsidRPr="00063CE2">
        <w:rPr>
          <w:noProof w:val="0"/>
          <w:color w:val="auto"/>
          <w:lang w:val="en-US"/>
        </w:rPr>
        <w:fldChar w:fldCharType="separate"/>
      </w:r>
      <w:r w:rsidR="00C1675A" w:rsidRPr="00C1675A">
        <w:rPr>
          <w:color w:val="auto"/>
          <w:vertAlign w:val="superscript"/>
          <w:lang w:val="en-US"/>
        </w:rPr>
        <w:t>69</w:t>
      </w:r>
      <w:r w:rsidR="00793071" w:rsidRPr="00063CE2">
        <w:rPr>
          <w:noProof w:val="0"/>
          <w:color w:val="auto"/>
          <w:lang w:val="en-US"/>
        </w:rPr>
        <w:fldChar w:fldCharType="end"/>
      </w:r>
      <w:r w:rsidRPr="00063CE2">
        <w:rPr>
          <w:noProof w:val="0"/>
          <w:color w:val="auto"/>
          <w:lang w:val="en-US"/>
        </w:rPr>
        <w:t>, 7.1% (2</w:t>
      </w:r>
      <w:r w:rsidRPr="00063CE2">
        <w:rPr>
          <w:noProof w:val="0"/>
          <w:color w:val="auto"/>
          <w:vertAlign w:val="superscript"/>
          <w:lang w:val="en-US"/>
        </w:rPr>
        <w:t>nd</w:t>
      </w:r>
      <w:r w:rsidRPr="00063CE2">
        <w:rPr>
          <w:noProof w:val="0"/>
          <w:color w:val="auto"/>
          <w:lang w:val="en-US"/>
        </w:rPr>
        <w:t>), 10.9% (3</w:t>
      </w:r>
      <w:r w:rsidRPr="00063CE2">
        <w:rPr>
          <w:noProof w:val="0"/>
          <w:color w:val="auto"/>
          <w:vertAlign w:val="superscript"/>
          <w:lang w:val="en-US"/>
        </w:rPr>
        <w:t>rd</w:t>
      </w:r>
      <w:r w:rsidRPr="00063CE2">
        <w:rPr>
          <w:noProof w:val="0"/>
          <w:color w:val="auto"/>
          <w:lang w:val="en-US"/>
        </w:rPr>
        <w:t>). The eight-year incidence rate was 15 p/1000/year (95% CI: 13–18 p/1000/year). Donor recruitment started in 2014 (during the second follow</w:t>
      </w:r>
      <w:r w:rsidR="00AE2E76" w:rsidRPr="00063CE2">
        <w:rPr>
          <w:noProof w:val="0"/>
          <w:color w:val="auto"/>
          <w:lang w:val="en-US"/>
        </w:rPr>
        <w:t>-</w:t>
      </w:r>
      <w:r w:rsidRPr="00063CE2">
        <w:rPr>
          <w:noProof w:val="0"/>
          <w:color w:val="auto"/>
          <w:lang w:val="en-US"/>
        </w:rPr>
        <w:t>up)</w:t>
      </w:r>
      <w:r w:rsidR="0054757E" w:rsidRPr="00063CE2">
        <w:rPr>
          <w:noProof w:val="0"/>
          <w:color w:val="auto"/>
          <w:lang w:val="en-US"/>
        </w:rPr>
        <w:t>.</w:t>
      </w:r>
    </w:p>
    <w:p w14:paraId="6BC6D0A6" w14:textId="77777777" w:rsidR="00AF5653" w:rsidRPr="00063CE2" w:rsidRDefault="00AF5653" w:rsidP="00AF5653">
      <w:pPr>
        <w:rPr>
          <w:noProof w:val="0"/>
          <w:color w:val="auto"/>
          <w:sz w:val="22"/>
          <w:szCs w:val="22"/>
          <w:lang w:val="en-US"/>
        </w:rPr>
      </w:pPr>
    </w:p>
    <w:p w14:paraId="29D281AF" w14:textId="44EC60A9" w:rsidR="00AF5653" w:rsidRPr="00063CE2" w:rsidRDefault="00AF5653" w:rsidP="003978E5">
      <w:pPr>
        <w:outlineLvl w:val="0"/>
        <w:rPr>
          <w:noProof w:val="0"/>
          <w:color w:val="auto"/>
          <w:lang w:val="en-US"/>
        </w:rPr>
      </w:pPr>
      <w:r w:rsidRPr="00063CE2">
        <w:rPr>
          <w:b/>
          <w:noProof w:val="0"/>
          <w:color w:val="auto"/>
          <w:lang w:val="en-US"/>
        </w:rPr>
        <w:t>Figure 2: Dissection protocol of cerebrum (A), cerebellum (F) and brainstem (H).</w:t>
      </w:r>
      <w:r w:rsidR="003978E5" w:rsidRPr="00063CE2">
        <w:rPr>
          <w:b/>
          <w:noProof w:val="0"/>
          <w:color w:val="auto"/>
          <w:lang w:val="en-US"/>
        </w:rPr>
        <w:t xml:space="preserve"> </w:t>
      </w:r>
      <w:r w:rsidR="003C0120" w:rsidRPr="00063CE2">
        <w:rPr>
          <w:bCs/>
          <w:noProof w:val="0"/>
          <w:color w:val="auto"/>
          <w:lang w:val="en-US"/>
        </w:rPr>
        <w:t>The c</w:t>
      </w:r>
      <w:r w:rsidR="003978E5" w:rsidRPr="00063CE2">
        <w:rPr>
          <w:bCs/>
          <w:noProof w:val="0"/>
          <w:color w:val="auto"/>
          <w:lang w:val="en-US"/>
        </w:rPr>
        <w:t>ircle of</w:t>
      </w:r>
      <w:r w:rsidR="003978E5" w:rsidRPr="00063CE2">
        <w:rPr>
          <w:b/>
          <w:noProof w:val="0"/>
          <w:color w:val="auto"/>
          <w:lang w:val="en-US"/>
        </w:rPr>
        <w:t xml:space="preserve"> </w:t>
      </w:r>
      <w:r w:rsidRPr="00063CE2">
        <w:rPr>
          <w:noProof w:val="0"/>
          <w:color w:val="auto"/>
          <w:lang w:val="en-US"/>
        </w:rPr>
        <w:t>Willis</w:t>
      </w:r>
      <w:r w:rsidR="003978E5" w:rsidRPr="00063CE2">
        <w:rPr>
          <w:noProof w:val="0"/>
          <w:color w:val="auto"/>
          <w:lang w:val="en-US"/>
        </w:rPr>
        <w:t xml:space="preserve"> </w:t>
      </w:r>
      <w:r w:rsidRPr="00063CE2">
        <w:rPr>
          <w:noProof w:val="0"/>
          <w:color w:val="auto"/>
          <w:lang w:val="en-US"/>
        </w:rPr>
        <w:t>and single hemispheres are shown in (</w:t>
      </w:r>
      <w:r w:rsidRPr="00063CE2">
        <w:rPr>
          <w:b/>
          <w:bCs/>
          <w:noProof w:val="0"/>
          <w:color w:val="auto"/>
          <w:lang w:val="en-US"/>
        </w:rPr>
        <w:t>E</w:t>
      </w:r>
      <w:r w:rsidRPr="00063CE2">
        <w:rPr>
          <w:noProof w:val="0"/>
          <w:color w:val="auto"/>
          <w:lang w:val="en-US"/>
        </w:rPr>
        <w:t>) and (</w:t>
      </w:r>
      <w:r w:rsidRPr="00063CE2">
        <w:rPr>
          <w:b/>
          <w:bCs/>
          <w:noProof w:val="0"/>
          <w:color w:val="auto"/>
          <w:lang w:val="en-US"/>
        </w:rPr>
        <w:t>B</w:t>
      </w:r>
      <w:r w:rsidRPr="00063CE2">
        <w:rPr>
          <w:noProof w:val="0"/>
          <w:color w:val="auto"/>
          <w:lang w:val="en-US"/>
        </w:rPr>
        <w:t>). Coronal cuts of right (</w:t>
      </w:r>
      <w:r w:rsidRPr="00063CE2">
        <w:rPr>
          <w:b/>
          <w:bCs/>
          <w:noProof w:val="0"/>
          <w:color w:val="auto"/>
          <w:lang w:val="en-US"/>
        </w:rPr>
        <w:t>C</w:t>
      </w:r>
      <w:r w:rsidRPr="00063CE2">
        <w:rPr>
          <w:noProof w:val="0"/>
          <w:color w:val="auto"/>
          <w:lang w:val="en-US"/>
        </w:rPr>
        <w:t>) and left side (</w:t>
      </w:r>
      <w:r w:rsidRPr="00063CE2">
        <w:rPr>
          <w:b/>
          <w:bCs/>
          <w:noProof w:val="0"/>
          <w:color w:val="auto"/>
          <w:lang w:val="en-US"/>
        </w:rPr>
        <w:t>D</w:t>
      </w:r>
      <w:r w:rsidRPr="00063CE2">
        <w:rPr>
          <w:noProof w:val="0"/>
          <w:color w:val="auto"/>
          <w:lang w:val="en-US"/>
        </w:rPr>
        <w:t>) are numbered and alternatively fixed (“F”) and frozen (“C”). Sagittal cerebellum sections (</w:t>
      </w:r>
      <w:r w:rsidR="005805BC" w:rsidRPr="00063CE2">
        <w:rPr>
          <w:b/>
          <w:bCs/>
          <w:noProof w:val="0"/>
          <w:color w:val="auto"/>
          <w:lang w:val="en-US"/>
        </w:rPr>
        <w:t>G</w:t>
      </w:r>
      <w:r w:rsidRPr="00063CE2">
        <w:rPr>
          <w:noProof w:val="0"/>
          <w:color w:val="auto"/>
          <w:lang w:val="en-US"/>
        </w:rPr>
        <w:t>) and brainstem axial sections (</w:t>
      </w:r>
      <w:r w:rsidRPr="00063CE2">
        <w:rPr>
          <w:b/>
          <w:bCs/>
          <w:noProof w:val="0"/>
          <w:color w:val="auto"/>
          <w:lang w:val="en-US"/>
        </w:rPr>
        <w:t>I</w:t>
      </w:r>
      <w:r w:rsidRPr="00063CE2">
        <w:rPr>
          <w:noProof w:val="0"/>
          <w:color w:val="auto"/>
          <w:lang w:val="en-US"/>
        </w:rPr>
        <w:t>) are show</w:t>
      </w:r>
      <w:r w:rsidR="003978E5" w:rsidRPr="00063CE2">
        <w:rPr>
          <w:noProof w:val="0"/>
          <w:color w:val="auto"/>
          <w:lang w:val="en-US"/>
        </w:rPr>
        <w:t>n</w:t>
      </w:r>
      <w:r w:rsidR="0054757E" w:rsidRPr="00063CE2">
        <w:rPr>
          <w:noProof w:val="0"/>
          <w:color w:val="auto"/>
          <w:lang w:val="en-US"/>
        </w:rPr>
        <w:t>.</w:t>
      </w:r>
    </w:p>
    <w:p w14:paraId="0D157B70" w14:textId="77777777" w:rsidR="003978E5" w:rsidRPr="00063CE2" w:rsidRDefault="003978E5" w:rsidP="003978E5">
      <w:pPr>
        <w:outlineLvl w:val="0"/>
        <w:rPr>
          <w:b/>
          <w:noProof w:val="0"/>
          <w:color w:val="auto"/>
          <w:lang w:val="en-US"/>
        </w:rPr>
      </w:pPr>
    </w:p>
    <w:p w14:paraId="7ABDD474" w14:textId="75805D27" w:rsidR="00AF5653" w:rsidRPr="00063CE2" w:rsidRDefault="00AF5653" w:rsidP="00F35896">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3</w:t>
      </w:r>
      <w:r w:rsidRPr="00063CE2">
        <w:rPr>
          <w:b/>
          <w:noProof w:val="0"/>
          <w:color w:val="auto"/>
          <w:lang w:val="en-US"/>
        </w:rPr>
        <w:t>:</w:t>
      </w:r>
      <w:r w:rsidR="00F35896" w:rsidRPr="00063CE2">
        <w:rPr>
          <w:b/>
          <w:noProof w:val="0"/>
          <w:color w:val="auto"/>
          <w:lang w:val="en-US"/>
        </w:rPr>
        <w:t xml:space="preserve"> </w:t>
      </w:r>
      <w:r w:rsidRPr="00063CE2">
        <w:rPr>
          <w:b/>
          <w:bCs/>
          <w:noProof w:val="0"/>
          <w:color w:val="auto"/>
          <w:lang w:val="en-US"/>
        </w:rPr>
        <w:t>Coronal slices of fixed right (</w:t>
      </w:r>
      <w:r w:rsidR="00F35896" w:rsidRPr="00063CE2">
        <w:rPr>
          <w:b/>
          <w:bCs/>
          <w:noProof w:val="0"/>
          <w:color w:val="auto"/>
          <w:lang w:val="en-US"/>
        </w:rPr>
        <w:t>A</w:t>
      </w:r>
      <w:r w:rsidRPr="00063CE2">
        <w:rPr>
          <w:b/>
          <w:bCs/>
          <w:noProof w:val="0"/>
          <w:color w:val="auto"/>
          <w:lang w:val="en-US"/>
        </w:rPr>
        <w:t>) and left (</w:t>
      </w:r>
      <w:r w:rsidR="00F35896" w:rsidRPr="00063CE2">
        <w:rPr>
          <w:b/>
          <w:bCs/>
          <w:noProof w:val="0"/>
          <w:color w:val="auto"/>
          <w:lang w:val="en-US"/>
        </w:rPr>
        <w:t>B</w:t>
      </w:r>
      <w:r w:rsidRPr="00063CE2">
        <w:rPr>
          <w:b/>
          <w:bCs/>
          <w:noProof w:val="0"/>
          <w:color w:val="auto"/>
          <w:lang w:val="en-US"/>
        </w:rPr>
        <w:t>) fronto-temporal lobe are shown</w:t>
      </w:r>
      <w:r w:rsidRPr="00063CE2">
        <w:rPr>
          <w:noProof w:val="0"/>
          <w:color w:val="auto"/>
          <w:lang w:val="en-US"/>
        </w:rPr>
        <w:t>. Hippocampus and temporal lobe (</w:t>
      </w:r>
      <w:r w:rsidR="00F35896" w:rsidRPr="00063CE2">
        <w:rPr>
          <w:noProof w:val="0"/>
          <w:color w:val="auto"/>
          <w:lang w:val="en-US"/>
        </w:rPr>
        <w:t>A</w:t>
      </w:r>
      <w:r w:rsidRPr="00063CE2">
        <w:rPr>
          <w:noProof w:val="0"/>
          <w:color w:val="auto"/>
          <w:lang w:val="en-US"/>
        </w:rPr>
        <w:t>, R10b) are split from the frontal lobe (</w:t>
      </w:r>
      <w:r w:rsidR="00F35896" w:rsidRPr="00063CE2">
        <w:rPr>
          <w:noProof w:val="0"/>
          <w:color w:val="auto"/>
          <w:lang w:val="en-US"/>
        </w:rPr>
        <w:t>A</w:t>
      </w:r>
      <w:r w:rsidRPr="00063CE2">
        <w:rPr>
          <w:noProof w:val="0"/>
          <w:color w:val="auto"/>
          <w:lang w:val="en-US"/>
        </w:rPr>
        <w:t>, R10a) on the right slice. On the opposite slice, the amygdala and basal ganglia (</w:t>
      </w:r>
      <w:r w:rsidR="00F35896" w:rsidRPr="00063CE2">
        <w:rPr>
          <w:noProof w:val="0"/>
          <w:color w:val="auto"/>
          <w:lang w:val="en-US"/>
        </w:rPr>
        <w:t>B</w:t>
      </w:r>
      <w:r w:rsidRPr="00063CE2">
        <w:rPr>
          <w:noProof w:val="0"/>
          <w:color w:val="auto"/>
          <w:lang w:val="en-US"/>
        </w:rPr>
        <w:t xml:space="preserve">, L9b) are divided from the frontal </w:t>
      </w:r>
      <w:r w:rsidRPr="00063CE2">
        <w:rPr>
          <w:noProof w:val="0"/>
          <w:color w:val="auto"/>
          <w:lang w:val="en-US"/>
        </w:rPr>
        <w:lastRenderedPageBreak/>
        <w:t>lobe (</w:t>
      </w:r>
      <w:r w:rsidR="00F35896" w:rsidRPr="00063CE2">
        <w:rPr>
          <w:noProof w:val="0"/>
          <w:color w:val="auto"/>
          <w:lang w:val="en-US"/>
        </w:rPr>
        <w:t>B</w:t>
      </w:r>
      <w:r w:rsidRPr="00063CE2">
        <w:rPr>
          <w:noProof w:val="0"/>
          <w:color w:val="auto"/>
          <w:lang w:val="en-US"/>
        </w:rPr>
        <w:t xml:space="preserve">, L9a). </w:t>
      </w:r>
      <w:r w:rsidRPr="00063CE2">
        <w:rPr>
          <w:color w:val="auto"/>
          <w:lang w:val="en-US"/>
        </w:rPr>
        <w:t>Scale bar: 1.7 cm</w:t>
      </w:r>
      <w:r w:rsidR="00F35896" w:rsidRPr="00063CE2">
        <w:rPr>
          <w:color w:val="auto"/>
          <w:lang w:val="en-US"/>
        </w:rPr>
        <w:t>.</w:t>
      </w:r>
    </w:p>
    <w:p w14:paraId="5F8C56C2" w14:textId="77777777" w:rsidR="00AF5653" w:rsidRPr="00063CE2" w:rsidRDefault="00AF5653" w:rsidP="00AF5653">
      <w:pPr>
        <w:rPr>
          <w:color w:val="auto"/>
          <w:lang w:val="en-US"/>
        </w:rPr>
      </w:pPr>
    </w:p>
    <w:p w14:paraId="25E92A9E" w14:textId="72E83125" w:rsidR="00AF5653" w:rsidRPr="00063CE2" w:rsidRDefault="00AF5653" w:rsidP="00AF5653">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4</w:t>
      </w:r>
      <w:r w:rsidRPr="00063CE2">
        <w:rPr>
          <w:b/>
          <w:noProof w:val="0"/>
          <w:color w:val="auto"/>
          <w:lang w:val="en-US"/>
        </w:rPr>
        <w:t xml:space="preserve">: Relative </w:t>
      </w:r>
      <w:r w:rsidR="003978E5" w:rsidRPr="00063CE2">
        <w:rPr>
          <w:b/>
          <w:noProof w:val="0"/>
          <w:color w:val="auto"/>
          <w:lang w:val="en-US"/>
        </w:rPr>
        <w:t xml:space="preserve">spectral power distribution </w:t>
      </w:r>
      <w:r w:rsidRPr="00063CE2">
        <w:rPr>
          <w:b/>
          <w:noProof w:val="0"/>
          <w:color w:val="auto"/>
          <w:lang w:val="en-US"/>
        </w:rPr>
        <w:t xml:space="preserve">in NOLD and </w:t>
      </w:r>
      <w:r w:rsidR="0054757E" w:rsidRPr="00063CE2">
        <w:rPr>
          <w:b/>
          <w:noProof w:val="0"/>
          <w:color w:val="auto"/>
          <w:lang w:val="en-US"/>
        </w:rPr>
        <w:t>m</w:t>
      </w:r>
      <w:r w:rsidRPr="00063CE2">
        <w:rPr>
          <w:b/>
          <w:noProof w:val="0"/>
          <w:color w:val="auto"/>
          <w:lang w:val="en-US"/>
        </w:rPr>
        <w:t>ajor-NCD subjects</w:t>
      </w:r>
      <w:r w:rsidR="00F35896" w:rsidRPr="00063CE2">
        <w:rPr>
          <w:b/>
          <w:noProof w:val="0"/>
          <w:color w:val="auto"/>
          <w:lang w:val="en-US"/>
        </w:rPr>
        <w:t>.</w:t>
      </w:r>
    </w:p>
    <w:p w14:paraId="7D14B694" w14:textId="77777777" w:rsidR="00AF5653" w:rsidRPr="00063CE2" w:rsidRDefault="00AF5653" w:rsidP="00AF5653">
      <w:pPr>
        <w:rPr>
          <w:noProof w:val="0"/>
          <w:color w:val="auto"/>
          <w:lang w:val="en-US"/>
        </w:rPr>
      </w:pPr>
    </w:p>
    <w:p w14:paraId="3E7F301D" w14:textId="4C711F3B" w:rsidR="00AF5653" w:rsidRPr="00063CE2" w:rsidRDefault="00AF5653" w:rsidP="003978E5">
      <w:pPr>
        <w:outlineLvl w:val="0"/>
        <w:rPr>
          <w:b/>
          <w:noProof w:val="0"/>
          <w:color w:val="auto"/>
          <w:lang w:val="en-US"/>
        </w:rPr>
      </w:pPr>
      <w:r w:rsidRPr="00063CE2">
        <w:rPr>
          <w:b/>
          <w:noProof w:val="0"/>
          <w:color w:val="auto"/>
          <w:lang w:val="en-US"/>
        </w:rPr>
        <w:t xml:space="preserve">Figure </w:t>
      </w:r>
      <w:r w:rsidR="00FD2E82" w:rsidRPr="00063CE2">
        <w:rPr>
          <w:b/>
          <w:noProof w:val="0"/>
          <w:color w:val="auto"/>
          <w:lang w:val="en-US"/>
        </w:rPr>
        <w:t>5</w:t>
      </w:r>
      <w:r w:rsidRPr="00063CE2">
        <w:rPr>
          <w:b/>
          <w:noProof w:val="0"/>
          <w:color w:val="auto"/>
          <w:lang w:val="en-US"/>
        </w:rPr>
        <w:t>: Representative images of asymmetric pathologies</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Pr="00063CE2">
        <w:rPr>
          <w:noProof w:val="0"/>
          <w:color w:val="auto"/>
          <w:lang w:val="en-US"/>
        </w:rPr>
        <w:t>) First case: brain with right atrophy. Coronal slices (</w:t>
      </w:r>
      <w:r w:rsidRPr="00063CE2">
        <w:rPr>
          <w:b/>
          <w:bCs/>
          <w:noProof w:val="0"/>
          <w:color w:val="auto"/>
          <w:lang w:val="en-US"/>
        </w:rPr>
        <w:t>B</w:t>
      </w:r>
      <w:r w:rsidRPr="00063CE2">
        <w:rPr>
          <w:noProof w:val="0"/>
          <w:color w:val="auto"/>
          <w:lang w:val="en-US"/>
        </w:rPr>
        <w:t>) and (</w:t>
      </w:r>
      <w:r w:rsidRPr="00063CE2">
        <w:rPr>
          <w:b/>
          <w:bCs/>
          <w:noProof w:val="0"/>
          <w:color w:val="auto"/>
          <w:lang w:val="en-US"/>
        </w:rPr>
        <w:t>C</w:t>
      </w:r>
      <w:r w:rsidRPr="00063CE2">
        <w:rPr>
          <w:noProof w:val="0"/>
          <w:color w:val="auto"/>
          <w:lang w:val="en-US"/>
        </w:rPr>
        <w:t>) show right-sided ventricular dilation particularly evident in sections 10</w:t>
      </w:r>
      <w:r w:rsidR="003978E5" w:rsidRPr="00063CE2">
        <w:rPr>
          <w:noProof w:val="0"/>
          <w:color w:val="auto"/>
          <w:lang w:val="en-US"/>
        </w:rPr>
        <w:t>–</w:t>
      </w:r>
      <w:r w:rsidRPr="00063CE2">
        <w:rPr>
          <w:noProof w:val="0"/>
          <w:color w:val="auto"/>
          <w:lang w:val="en-US"/>
        </w:rPr>
        <w:t>12 (C</w:t>
      </w:r>
      <w:r w:rsidR="003978E5" w:rsidRPr="00063CE2">
        <w:rPr>
          <w:noProof w:val="0"/>
          <w:color w:val="auto"/>
          <w:lang w:val="en-US"/>
        </w:rPr>
        <w:t>,</w:t>
      </w:r>
      <w:r w:rsidRPr="00063CE2">
        <w:rPr>
          <w:noProof w:val="0"/>
          <w:color w:val="auto"/>
          <w:lang w:val="en-US"/>
        </w:rPr>
        <w:t xml:space="preserve"> arrows). In sections (B) and (C), “F” stands for </w:t>
      </w:r>
      <w:r w:rsidR="0054757E" w:rsidRPr="00063CE2">
        <w:rPr>
          <w:noProof w:val="0"/>
          <w:color w:val="auto"/>
          <w:lang w:val="en-US"/>
        </w:rPr>
        <w:t>f</w:t>
      </w:r>
      <w:r w:rsidRPr="00063CE2">
        <w:rPr>
          <w:noProof w:val="0"/>
          <w:color w:val="auto"/>
          <w:lang w:val="en-US"/>
        </w:rPr>
        <w:t xml:space="preserve">ixed and “C” for frozen (in </w:t>
      </w:r>
      <w:proofErr w:type="spellStart"/>
      <w:r w:rsidRPr="00063CE2">
        <w:rPr>
          <w:noProof w:val="0"/>
          <w:color w:val="auto"/>
          <w:lang w:val="en-US"/>
        </w:rPr>
        <w:t>italian</w:t>
      </w:r>
      <w:proofErr w:type="spellEnd"/>
      <w:r w:rsidRPr="00063CE2">
        <w:rPr>
          <w:noProof w:val="0"/>
          <w:color w:val="auto"/>
          <w:lang w:val="en-US"/>
        </w:rPr>
        <w:t xml:space="preserve">: </w:t>
      </w:r>
      <w:proofErr w:type="spellStart"/>
      <w:r w:rsidRPr="00063CE2">
        <w:rPr>
          <w:b/>
          <w:i/>
          <w:noProof w:val="0"/>
          <w:color w:val="auto"/>
          <w:lang w:val="en-US"/>
        </w:rPr>
        <w:t>c</w:t>
      </w:r>
      <w:r w:rsidRPr="00063CE2">
        <w:rPr>
          <w:i/>
          <w:noProof w:val="0"/>
          <w:color w:val="auto"/>
          <w:lang w:val="en-US"/>
        </w:rPr>
        <w:t>ongelato</w:t>
      </w:r>
      <w:proofErr w:type="spellEnd"/>
      <w:r w:rsidRPr="00063CE2">
        <w:rPr>
          <w:noProof w:val="0"/>
          <w:color w:val="auto"/>
          <w:lang w:val="en-US"/>
        </w:rPr>
        <w:t>)</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D</w:t>
      </w:r>
      <w:r w:rsidRPr="00063CE2">
        <w:rPr>
          <w:noProof w:val="0"/>
          <w:color w:val="auto"/>
          <w:lang w:val="en-US"/>
        </w:rPr>
        <w:t>) Second case: severe infarct of the right hemisphere</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E</w:t>
      </w:r>
      <w:r w:rsidRPr="00063CE2">
        <w:rPr>
          <w:noProof w:val="0"/>
          <w:color w:val="auto"/>
          <w:lang w:val="en-US"/>
        </w:rPr>
        <w:t>) Third case: atrophy of right mammillary body (arrow)</w:t>
      </w:r>
      <w:r w:rsidR="003978E5" w:rsidRPr="00063CE2">
        <w:rPr>
          <w:bCs/>
          <w:noProof w:val="0"/>
          <w:color w:val="auto"/>
          <w:lang w:val="en-US"/>
        </w:rPr>
        <w: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F</w:t>
      </w:r>
      <w:r w:rsidR="003978E5" w:rsidRPr="00063CE2">
        <w:rPr>
          <w:noProof w:val="0"/>
          <w:color w:val="auto"/>
          <w:lang w:val="en-US"/>
        </w:rPr>
        <w:t xml:space="preserve">, </w:t>
      </w:r>
      <w:r w:rsidRPr="00063CE2">
        <w:rPr>
          <w:b/>
          <w:bCs/>
          <w:noProof w:val="0"/>
          <w:color w:val="auto"/>
          <w:lang w:val="en-US"/>
        </w:rPr>
        <w:t>G</w:t>
      </w:r>
      <w:r w:rsidRPr="00063CE2">
        <w:rPr>
          <w:noProof w:val="0"/>
          <w:color w:val="auto"/>
          <w:lang w:val="en-US"/>
        </w:rPr>
        <w:t>) Fourth case: microscopic images show a more intense TDP</w:t>
      </w:r>
      <w:r w:rsidR="0054757E" w:rsidRPr="00063CE2">
        <w:rPr>
          <w:noProof w:val="0"/>
          <w:color w:val="auto"/>
          <w:lang w:val="en-US"/>
        </w:rPr>
        <w:t>-</w:t>
      </w:r>
      <w:r w:rsidRPr="00063CE2">
        <w:rPr>
          <w:noProof w:val="0"/>
          <w:color w:val="auto"/>
          <w:lang w:val="en-US"/>
        </w:rPr>
        <w:t>43 immunoreactivity in the frontal right cortex (G) compared to the left one (F) in a case of frontotemporal dementia.</w:t>
      </w:r>
      <w:r w:rsidR="003978E5" w:rsidRPr="00063CE2">
        <w:rPr>
          <w:b/>
          <w:noProof w:val="0"/>
          <w:color w:val="auto"/>
          <w:lang w:val="en-US"/>
        </w:rPr>
        <w:t xml:space="preserve"> </w:t>
      </w:r>
      <w:r w:rsidRPr="00063CE2">
        <w:rPr>
          <w:noProof w:val="0"/>
          <w:color w:val="auto"/>
          <w:lang w:val="en-US"/>
        </w:rPr>
        <w:t>Scale bars: 183 µm (F,</w:t>
      </w:r>
      <w:r w:rsidR="003978E5" w:rsidRPr="00063CE2">
        <w:rPr>
          <w:noProof w:val="0"/>
          <w:color w:val="auto"/>
          <w:lang w:val="en-US"/>
        </w:rPr>
        <w:t xml:space="preserve"> </w:t>
      </w:r>
      <w:r w:rsidRPr="00063CE2">
        <w:rPr>
          <w:noProof w:val="0"/>
          <w:color w:val="auto"/>
          <w:lang w:val="en-US"/>
        </w:rPr>
        <w:t>G)</w:t>
      </w:r>
    </w:p>
    <w:p w14:paraId="30659377" w14:textId="77777777" w:rsidR="00AF5653" w:rsidRPr="00063CE2" w:rsidRDefault="00AF5653" w:rsidP="00AF5653">
      <w:pPr>
        <w:rPr>
          <w:noProof w:val="0"/>
          <w:color w:val="auto"/>
          <w:lang w:val="en-US"/>
        </w:rPr>
      </w:pPr>
    </w:p>
    <w:p w14:paraId="4473C57F" w14:textId="55C72088"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6</w:t>
      </w:r>
      <w:r w:rsidRPr="00063CE2">
        <w:rPr>
          <w:b/>
          <w:noProof w:val="0"/>
          <w:color w:val="auto"/>
          <w:lang w:val="en-US"/>
        </w:rPr>
        <w:t>: Macrosections</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003978E5" w:rsidRPr="00063CE2">
        <w:rPr>
          <w:b/>
          <w:bCs/>
          <w:noProof w:val="0"/>
          <w:color w:val="auto"/>
          <w:lang w:val="en-US"/>
        </w:rPr>
        <w:t xml:space="preserve">, </w:t>
      </w:r>
      <w:r w:rsidRPr="00063CE2">
        <w:rPr>
          <w:b/>
          <w:bCs/>
          <w:noProof w:val="0"/>
          <w:color w:val="auto"/>
          <w:lang w:val="en-US"/>
        </w:rPr>
        <w:t>C</w:t>
      </w:r>
      <w:r w:rsidRPr="00063CE2">
        <w:rPr>
          <w:noProof w:val="0"/>
          <w:color w:val="auto"/>
          <w:lang w:val="en-US"/>
        </w:rPr>
        <w:t xml:space="preserve">) </w:t>
      </w:r>
      <w:r w:rsidR="003978E5" w:rsidRPr="00063CE2">
        <w:rPr>
          <w:noProof w:val="0"/>
          <w:color w:val="auto"/>
          <w:lang w:val="en-US"/>
        </w:rPr>
        <w:t>C</w:t>
      </w:r>
      <w:r w:rsidRPr="00063CE2">
        <w:rPr>
          <w:noProof w:val="0"/>
          <w:color w:val="auto"/>
          <w:lang w:val="en-US"/>
        </w:rPr>
        <w:t>oronal slices of fixed fronto-temporal lobe (A) and fresh parietal lobe (C). (</w:t>
      </w:r>
      <w:r w:rsidRPr="00063CE2">
        <w:rPr>
          <w:b/>
          <w:bCs/>
          <w:noProof w:val="0"/>
          <w:color w:val="auto"/>
          <w:lang w:val="en-US"/>
        </w:rPr>
        <w:t>B</w:t>
      </w:r>
      <w:r w:rsidRPr="00063CE2">
        <w:rPr>
          <w:noProof w:val="0"/>
          <w:color w:val="auto"/>
          <w:lang w:val="en-US"/>
        </w:rPr>
        <w:t>) Histological fronto-temporal section immunolabeled with AT8 antibody. Immunoreactivity is clearly distributed all over the cortex, but more intense in the temporal lobe.</w:t>
      </w:r>
      <w:r w:rsidR="003978E5" w:rsidRPr="00063CE2">
        <w:rPr>
          <w:noProof w:val="0"/>
          <w:color w:val="auto"/>
          <w:lang w:val="en-US"/>
        </w:rPr>
        <w:t xml:space="preserve"> </w:t>
      </w:r>
      <w:r w:rsidRPr="00063CE2">
        <w:rPr>
          <w:noProof w:val="0"/>
          <w:color w:val="auto"/>
          <w:lang w:val="en-US"/>
        </w:rPr>
        <w:t>(</w:t>
      </w:r>
      <w:r w:rsidRPr="00063CE2">
        <w:rPr>
          <w:b/>
          <w:bCs/>
          <w:noProof w:val="0"/>
          <w:color w:val="auto"/>
          <w:lang w:val="en-US"/>
        </w:rPr>
        <w:t>D</w:t>
      </w:r>
      <w:r w:rsidRPr="00063CE2">
        <w:rPr>
          <w:noProof w:val="0"/>
          <w:color w:val="auto"/>
          <w:lang w:val="en-US"/>
        </w:rPr>
        <w:t>) Histological parietal section stained with LFB. The arrow indicates an area of demyelination of the white matter.</w:t>
      </w:r>
      <w:r w:rsidR="003978E5" w:rsidRPr="00063CE2">
        <w:rPr>
          <w:noProof w:val="0"/>
          <w:color w:val="auto"/>
          <w:lang w:val="en-US"/>
        </w:rPr>
        <w:t xml:space="preserve"> </w:t>
      </w:r>
      <w:r w:rsidRPr="00063CE2">
        <w:rPr>
          <w:noProof w:val="0"/>
          <w:color w:val="auto"/>
          <w:lang w:val="en-US"/>
        </w:rPr>
        <w:t>Scale bar: 1.55 cm (B,</w:t>
      </w:r>
      <w:r w:rsidR="003978E5" w:rsidRPr="00063CE2">
        <w:rPr>
          <w:noProof w:val="0"/>
          <w:color w:val="auto"/>
          <w:lang w:val="en-US"/>
        </w:rPr>
        <w:t xml:space="preserve"> </w:t>
      </w:r>
      <w:r w:rsidRPr="00063CE2">
        <w:rPr>
          <w:noProof w:val="0"/>
          <w:color w:val="auto"/>
          <w:lang w:val="en-US"/>
        </w:rPr>
        <w:t>D)</w:t>
      </w:r>
    </w:p>
    <w:p w14:paraId="286C84E3" w14:textId="77777777" w:rsidR="00AF5653" w:rsidRPr="00063CE2" w:rsidRDefault="00AF5653" w:rsidP="00AF5653">
      <w:pPr>
        <w:rPr>
          <w:noProof w:val="0"/>
          <w:color w:val="auto"/>
          <w:lang w:val="en-US"/>
        </w:rPr>
      </w:pPr>
    </w:p>
    <w:p w14:paraId="3CF33289" w14:textId="1708922C"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7</w:t>
      </w:r>
      <w:r w:rsidRPr="00063CE2">
        <w:rPr>
          <w:b/>
          <w:noProof w:val="0"/>
          <w:color w:val="auto"/>
          <w:lang w:val="en-US"/>
        </w:rPr>
        <w:t>: Twins</w:t>
      </w:r>
      <w:r w:rsidR="003978E5" w:rsidRPr="00063CE2">
        <w:rPr>
          <w:b/>
          <w:noProof w:val="0"/>
          <w:color w:val="auto"/>
          <w:lang w:val="en-US"/>
        </w:rPr>
        <w:t xml:space="preserve">. </w:t>
      </w:r>
      <w:r w:rsidRPr="00063CE2">
        <w:rPr>
          <w:noProof w:val="0"/>
          <w:color w:val="auto"/>
          <w:lang w:val="en-US"/>
        </w:rPr>
        <w:t>Comparison between brains of two homoz</w:t>
      </w:r>
      <w:r w:rsidR="003C0120" w:rsidRPr="00063CE2">
        <w:rPr>
          <w:noProof w:val="0"/>
          <w:color w:val="auto"/>
          <w:lang w:val="en-US"/>
        </w:rPr>
        <w:t>y</w:t>
      </w:r>
      <w:r w:rsidRPr="00063CE2">
        <w:rPr>
          <w:noProof w:val="0"/>
          <w:color w:val="auto"/>
          <w:lang w:val="en-US"/>
        </w:rPr>
        <w:t>gous twins: BB137 (A,</w:t>
      </w:r>
      <w:r w:rsidR="003978E5" w:rsidRPr="00063CE2">
        <w:rPr>
          <w:noProof w:val="0"/>
          <w:color w:val="auto"/>
          <w:lang w:val="en-US"/>
        </w:rPr>
        <w:t xml:space="preserve"> </w:t>
      </w:r>
      <w:r w:rsidRPr="00063CE2">
        <w:rPr>
          <w:noProof w:val="0"/>
          <w:color w:val="auto"/>
          <w:lang w:val="en-US"/>
        </w:rPr>
        <w:t>C,</w:t>
      </w:r>
      <w:r w:rsidR="003978E5" w:rsidRPr="00063CE2">
        <w:rPr>
          <w:noProof w:val="0"/>
          <w:color w:val="auto"/>
          <w:lang w:val="en-US"/>
        </w:rPr>
        <w:t xml:space="preserve"> </w:t>
      </w:r>
      <w:r w:rsidRPr="00063CE2">
        <w:rPr>
          <w:noProof w:val="0"/>
          <w:color w:val="auto"/>
          <w:lang w:val="en-US"/>
        </w:rPr>
        <w:t>E,</w:t>
      </w:r>
      <w:r w:rsidR="003978E5" w:rsidRPr="00063CE2">
        <w:rPr>
          <w:noProof w:val="0"/>
          <w:color w:val="auto"/>
          <w:lang w:val="en-US"/>
        </w:rPr>
        <w:t xml:space="preserve"> </w:t>
      </w:r>
      <w:r w:rsidRPr="00063CE2">
        <w:rPr>
          <w:noProof w:val="0"/>
          <w:color w:val="auto"/>
          <w:lang w:val="en-US"/>
        </w:rPr>
        <w:t>G,</w:t>
      </w:r>
      <w:r w:rsidR="003978E5" w:rsidRPr="00063CE2">
        <w:rPr>
          <w:noProof w:val="0"/>
          <w:color w:val="auto"/>
          <w:lang w:val="en-US"/>
        </w:rPr>
        <w:t xml:space="preserve"> </w:t>
      </w:r>
      <w:r w:rsidRPr="00063CE2">
        <w:rPr>
          <w:noProof w:val="0"/>
          <w:color w:val="auto"/>
          <w:lang w:val="en-US"/>
        </w:rPr>
        <w:t>I,</w:t>
      </w:r>
      <w:r w:rsidR="003978E5" w:rsidRPr="00063CE2">
        <w:rPr>
          <w:noProof w:val="0"/>
          <w:color w:val="auto"/>
          <w:lang w:val="en-US"/>
        </w:rPr>
        <w:t xml:space="preserve"> </w:t>
      </w:r>
      <w:r w:rsidRPr="00063CE2">
        <w:rPr>
          <w:noProof w:val="0"/>
          <w:color w:val="auto"/>
          <w:lang w:val="en-US"/>
        </w:rPr>
        <w:t>K) and BB138 (B,</w:t>
      </w:r>
      <w:r w:rsidR="003978E5" w:rsidRPr="00063CE2">
        <w:rPr>
          <w:noProof w:val="0"/>
          <w:color w:val="auto"/>
          <w:lang w:val="en-US"/>
        </w:rPr>
        <w:t xml:space="preserve"> </w:t>
      </w:r>
      <w:r w:rsidRPr="00063CE2">
        <w:rPr>
          <w:noProof w:val="0"/>
          <w:color w:val="auto"/>
          <w:lang w:val="en-US"/>
        </w:rPr>
        <w:t>D,</w:t>
      </w:r>
      <w:r w:rsidR="003978E5" w:rsidRPr="00063CE2">
        <w:rPr>
          <w:noProof w:val="0"/>
          <w:color w:val="auto"/>
          <w:lang w:val="en-US"/>
        </w:rPr>
        <w:t xml:space="preserve"> </w:t>
      </w:r>
      <w:r w:rsidRPr="00063CE2">
        <w:rPr>
          <w:noProof w:val="0"/>
          <w:color w:val="auto"/>
          <w:lang w:val="en-US"/>
        </w:rPr>
        <w:t>F,</w:t>
      </w:r>
      <w:r w:rsidR="003978E5" w:rsidRPr="00063CE2">
        <w:rPr>
          <w:noProof w:val="0"/>
          <w:color w:val="auto"/>
          <w:lang w:val="en-US"/>
        </w:rPr>
        <w:t xml:space="preserve"> </w:t>
      </w:r>
      <w:r w:rsidRPr="00063CE2">
        <w:rPr>
          <w:noProof w:val="0"/>
          <w:color w:val="auto"/>
          <w:lang w:val="en-US"/>
        </w:rPr>
        <w:t>H,</w:t>
      </w:r>
      <w:r w:rsidR="003978E5" w:rsidRPr="00063CE2">
        <w:rPr>
          <w:noProof w:val="0"/>
          <w:color w:val="auto"/>
          <w:lang w:val="en-US"/>
        </w:rPr>
        <w:t xml:space="preserve"> </w:t>
      </w:r>
      <w:r w:rsidRPr="00063CE2">
        <w:rPr>
          <w:noProof w:val="0"/>
          <w:color w:val="auto"/>
          <w:lang w:val="en-US"/>
        </w:rPr>
        <w:t>J,</w:t>
      </w:r>
      <w:r w:rsidR="003978E5" w:rsidRPr="00063CE2">
        <w:rPr>
          <w:noProof w:val="0"/>
          <w:color w:val="auto"/>
          <w:lang w:val="en-US"/>
        </w:rPr>
        <w:t xml:space="preserve"> </w:t>
      </w:r>
      <w:r w:rsidR="00E14BA0" w:rsidRPr="00063CE2">
        <w:rPr>
          <w:noProof w:val="0"/>
          <w:color w:val="auto"/>
          <w:lang w:val="en-US"/>
        </w:rPr>
        <w:t>L</w:t>
      </w:r>
      <w:r w:rsidRPr="00063CE2">
        <w:rPr>
          <w:noProof w:val="0"/>
          <w:color w:val="auto"/>
          <w:lang w:val="en-US"/>
        </w:rPr>
        <w:t>). The neuropathological pictures are very similar.</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Pr="00063CE2">
        <w:rPr>
          <w:noProof w:val="0"/>
          <w:color w:val="auto"/>
          <w:lang w:val="en-US"/>
        </w:rPr>
        <w:t>) and (</w:t>
      </w:r>
      <w:r w:rsidRPr="00063CE2">
        <w:rPr>
          <w:b/>
          <w:bCs/>
          <w:noProof w:val="0"/>
          <w:color w:val="auto"/>
          <w:lang w:val="en-US"/>
        </w:rPr>
        <w:t>B</w:t>
      </w:r>
      <w:r w:rsidRPr="00063CE2">
        <w:rPr>
          <w:noProof w:val="0"/>
          <w:color w:val="auto"/>
          <w:lang w:val="en-US"/>
        </w:rPr>
        <w:t>) show diffuse 4G8 positivity in the occipital lobe with amyloid plaque, leptomeningeal (arrows) and parench</w:t>
      </w:r>
      <w:r w:rsidR="003C0120" w:rsidRPr="00063CE2">
        <w:rPr>
          <w:noProof w:val="0"/>
          <w:color w:val="auto"/>
          <w:lang w:val="en-US"/>
        </w:rPr>
        <w:t>y</w:t>
      </w:r>
      <w:r w:rsidRPr="00063CE2">
        <w:rPr>
          <w:noProof w:val="0"/>
          <w:color w:val="auto"/>
          <w:lang w:val="en-US"/>
        </w:rPr>
        <w:t>mal (arrowheads) vessels. Capillary amyloid angiopathy (asterisks) is well recognized at higher magnifications (</w:t>
      </w:r>
      <w:r w:rsidRPr="00063CE2">
        <w:rPr>
          <w:b/>
          <w:bCs/>
          <w:noProof w:val="0"/>
          <w:color w:val="auto"/>
          <w:lang w:val="en-US"/>
        </w:rPr>
        <w:t>G</w:t>
      </w:r>
      <w:r w:rsidRPr="00063CE2">
        <w:rPr>
          <w:noProof w:val="0"/>
          <w:color w:val="auto"/>
          <w:lang w:val="en-US"/>
        </w:rPr>
        <w:t>) and (</w:t>
      </w:r>
      <w:r w:rsidRPr="00063CE2">
        <w:rPr>
          <w:b/>
          <w:bCs/>
          <w:noProof w:val="0"/>
          <w:color w:val="auto"/>
          <w:lang w:val="en-US"/>
        </w:rPr>
        <w:t>H</w:t>
      </w:r>
      <w:r w:rsidRPr="00063CE2">
        <w:rPr>
          <w:noProof w:val="0"/>
          <w:color w:val="auto"/>
          <w:lang w:val="en-US"/>
        </w:rPr>
        <w:t>).</w:t>
      </w:r>
      <w:r w:rsidR="003978E5" w:rsidRPr="00063CE2">
        <w:rPr>
          <w:b/>
          <w:noProof w:val="0"/>
          <w:color w:val="auto"/>
          <w:lang w:val="en-US"/>
        </w:rPr>
        <w:t xml:space="preserve"> </w:t>
      </w:r>
      <w:r w:rsidRPr="00063CE2">
        <w:rPr>
          <w:noProof w:val="0"/>
          <w:color w:val="auto"/>
          <w:lang w:val="en-US"/>
        </w:rPr>
        <w:t>4G8 is diffusely distributed throughout the basal ganglia (</w:t>
      </w:r>
      <w:r w:rsidRPr="00063CE2">
        <w:rPr>
          <w:b/>
          <w:bCs/>
          <w:noProof w:val="0"/>
          <w:color w:val="auto"/>
          <w:lang w:val="en-US"/>
        </w:rPr>
        <w:t>C,</w:t>
      </w:r>
      <w:r w:rsidR="003978E5" w:rsidRPr="00063CE2">
        <w:rPr>
          <w:b/>
          <w:bCs/>
          <w:noProof w:val="0"/>
          <w:color w:val="auto"/>
          <w:lang w:val="en-US"/>
        </w:rPr>
        <w:t xml:space="preserve"> </w:t>
      </w:r>
      <w:r w:rsidRPr="00063CE2">
        <w:rPr>
          <w:b/>
          <w:bCs/>
          <w:noProof w:val="0"/>
          <w:color w:val="auto"/>
          <w:lang w:val="en-US"/>
        </w:rPr>
        <w:t>D</w:t>
      </w:r>
      <w:r w:rsidRPr="00063CE2">
        <w:rPr>
          <w:noProof w:val="0"/>
          <w:color w:val="auto"/>
          <w:lang w:val="en-US"/>
        </w:rPr>
        <w:t>) and around leptomeningeal vessels of cerebellum (</w:t>
      </w:r>
      <w:r w:rsidRPr="00063CE2">
        <w:rPr>
          <w:b/>
          <w:bCs/>
          <w:noProof w:val="0"/>
          <w:color w:val="auto"/>
          <w:lang w:val="en-US"/>
        </w:rPr>
        <w:t>I</w:t>
      </w:r>
      <w:r w:rsidRPr="00063CE2">
        <w:rPr>
          <w:noProof w:val="0"/>
          <w:color w:val="auto"/>
          <w:lang w:val="en-US"/>
        </w:rPr>
        <w:t>,</w:t>
      </w:r>
      <w:r w:rsidR="003978E5" w:rsidRPr="00063CE2">
        <w:rPr>
          <w:noProof w:val="0"/>
          <w:color w:val="auto"/>
          <w:lang w:val="en-US"/>
        </w:rPr>
        <w:t xml:space="preserve"> </w:t>
      </w:r>
      <w:r w:rsidRPr="00063CE2">
        <w:rPr>
          <w:b/>
          <w:bCs/>
          <w:noProof w:val="0"/>
          <w:color w:val="auto"/>
          <w:lang w:val="en-US"/>
        </w:rPr>
        <w:t>J</w:t>
      </w:r>
      <w:r w:rsidR="003978E5" w:rsidRPr="00063CE2">
        <w:rPr>
          <w:noProof w:val="0"/>
          <w:color w:val="auto"/>
          <w:lang w:val="en-US"/>
        </w:rPr>
        <w:t>:</w:t>
      </w:r>
      <w:r w:rsidRPr="00063CE2">
        <w:rPr>
          <w:noProof w:val="0"/>
          <w:color w:val="auto"/>
          <w:lang w:val="en-US"/>
        </w:rPr>
        <w:t xml:space="preserve"> arrows).</w:t>
      </w:r>
      <w:r w:rsidR="003978E5" w:rsidRPr="00063CE2">
        <w:rPr>
          <w:noProof w:val="0"/>
          <w:color w:val="auto"/>
          <w:lang w:val="en-US"/>
        </w:rPr>
        <w:t xml:space="preserve"> </w:t>
      </w:r>
      <w:r w:rsidRPr="00063CE2">
        <w:rPr>
          <w:noProof w:val="0"/>
          <w:color w:val="auto"/>
          <w:lang w:val="en-US"/>
        </w:rPr>
        <w:t>AT8 immunoreactivity identify tangles, threads and plaques (arrows) in the parietal cortex (</w:t>
      </w:r>
      <w:r w:rsidRPr="00063CE2">
        <w:rPr>
          <w:b/>
          <w:bCs/>
          <w:noProof w:val="0"/>
          <w:color w:val="auto"/>
          <w:lang w:val="en-US"/>
        </w:rPr>
        <w:t>E,</w:t>
      </w:r>
      <w:r w:rsidR="003978E5" w:rsidRPr="00063CE2">
        <w:rPr>
          <w:b/>
          <w:bCs/>
          <w:noProof w:val="0"/>
          <w:color w:val="auto"/>
          <w:lang w:val="en-US"/>
        </w:rPr>
        <w:t xml:space="preserve"> </w:t>
      </w:r>
      <w:r w:rsidRPr="00063CE2">
        <w:rPr>
          <w:b/>
          <w:bCs/>
          <w:noProof w:val="0"/>
          <w:color w:val="auto"/>
          <w:lang w:val="en-US"/>
        </w:rPr>
        <w:t>F</w:t>
      </w:r>
      <w:r w:rsidRPr="00063CE2">
        <w:rPr>
          <w:noProof w:val="0"/>
          <w:color w:val="auto"/>
          <w:lang w:val="en-US"/>
        </w:rPr>
        <w:t>)</w:t>
      </w:r>
      <w:r w:rsidR="003978E5" w:rsidRPr="00063CE2">
        <w:rPr>
          <w:noProof w:val="0"/>
          <w:color w:val="auto"/>
          <w:lang w:val="en-US"/>
        </w:rPr>
        <w:t xml:space="preserve">. </w:t>
      </w:r>
      <w:proofErr w:type="spellStart"/>
      <w:r w:rsidRPr="00063CE2">
        <w:rPr>
          <w:noProof w:val="0"/>
          <w:color w:val="auto"/>
          <w:lang w:val="en-US"/>
        </w:rPr>
        <w:t>Gallyas</w:t>
      </w:r>
      <w:proofErr w:type="spellEnd"/>
      <w:r w:rsidRPr="00063CE2">
        <w:rPr>
          <w:noProof w:val="0"/>
          <w:color w:val="auto"/>
          <w:lang w:val="en-US"/>
        </w:rPr>
        <w:t xml:space="preserve"> staining</w:t>
      </w:r>
      <w:r w:rsidR="00E14BA0" w:rsidRPr="00063CE2">
        <w:rPr>
          <w:noProof w:val="0"/>
          <w:color w:val="auto"/>
          <w:lang w:val="en-US"/>
        </w:rPr>
        <w:t xml:space="preserve"> (</w:t>
      </w:r>
      <w:r w:rsidR="00E14BA0" w:rsidRPr="00063CE2">
        <w:rPr>
          <w:b/>
          <w:bCs/>
          <w:noProof w:val="0"/>
          <w:color w:val="auto"/>
          <w:lang w:val="en-US"/>
        </w:rPr>
        <w:t>K</w:t>
      </w:r>
      <w:r w:rsidR="00E14BA0" w:rsidRPr="00063CE2">
        <w:rPr>
          <w:noProof w:val="0"/>
          <w:color w:val="auto"/>
          <w:lang w:val="en-US"/>
        </w:rPr>
        <w:t>)</w:t>
      </w:r>
      <w:r w:rsidRPr="00063CE2">
        <w:rPr>
          <w:noProof w:val="0"/>
          <w:color w:val="auto"/>
          <w:lang w:val="en-US"/>
        </w:rPr>
        <w:t xml:space="preserve"> reveals </w:t>
      </w:r>
      <w:proofErr w:type="spellStart"/>
      <w:r w:rsidRPr="00063CE2">
        <w:rPr>
          <w:noProof w:val="0"/>
          <w:color w:val="auto"/>
          <w:lang w:val="en-US"/>
        </w:rPr>
        <w:t>neuritic</w:t>
      </w:r>
      <w:proofErr w:type="spellEnd"/>
      <w:r w:rsidRPr="00063CE2">
        <w:rPr>
          <w:noProof w:val="0"/>
          <w:color w:val="auto"/>
          <w:lang w:val="en-US"/>
        </w:rPr>
        <w:t xml:space="preserve"> plaques as AT8 antibody (</w:t>
      </w:r>
      <w:r w:rsidRPr="00063CE2">
        <w:rPr>
          <w:b/>
          <w:bCs/>
          <w:noProof w:val="0"/>
          <w:color w:val="auto"/>
          <w:lang w:val="en-US"/>
        </w:rPr>
        <w:t>L</w:t>
      </w:r>
      <w:r w:rsidRPr="00063CE2">
        <w:rPr>
          <w:noProof w:val="0"/>
          <w:color w:val="auto"/>
          <w:lang w:val="en-US"/>
        </w:rPr>
        <w:t>) does.</w:t>
      </w:r>
      <w:r w:rsidR="003978E5" w:rsidRPr="00063CE2">
        <w:rPr>
          <w:noProof w:val="0"/>
          <w:color w:val="auto"/>
          <w:lang w:val="en-US"/>
        </w:rPr>
        <w:t xml:space="preserve"> </w:t>
      </w:r>
      <w:r w:rsidRPr="00063CE2">
        <w:rPr>
          <w:noProof w:val="0"/>
          <w:color w:val="auto"/>
          <w:lang w:val="en-US"/>
        </w:rPr>
        <w:t>Scale bars: 470 µm (A</w:t>
      </w:r>
      <w:r w:rsidR="003978E5" w:rsidRPr="00063CE2">
        <w:rPr>
          <w:noProof w:val="0"/>
          <w:color w:val="auto"/>
          <w:lang w:val="en-US"/>
        </w:rPr>
        <w:t>–</w:t>
      </w:r>
      <w:r w:rsidRPr="00063CE2">
        <w:rPr>
          <w:noProof w:val="0"/>
          <w:color w:val="auto"/>
          <w:lang w:val="en-US"/>
        </w:rPr>
        <w:t>F; I</w:t>
      </w:r>
      <w:r w:rsidR="003978E5" w:rsidRPr="00063CE2">
        <w:rPr>
          <w:noProof w:val="0"/>
          <w:color w:val="auto"/>
          <w:lang w:val="en-US"/>
        </w:rPr>
        <w:t>–</w:t>
      </w:r>
      <w:r w:rsidRPr="00063CE2">
        <w:rPr>
          <w:noProof w:val="0"/>
          <w:color w:val="auto"/>
          <w:lang w:val="en-US"/>
        </w:rPr>
        <w:t>J); 90 µm (G</w:t>
      </w:r>
      <w:r w:rsidR="003978E5" w:rsidRPr="00063CE2">
        <w:rPr>
          <w:noProof w:val="0"/>
          <w:color w:val="auto"/>
          <w:lang w:val="en-US"/>
        </w:rPr>
        <w:t>–</w:t>
      </w:r>
      <w:r w:rsidRPr="00063CE2">
        <w:rPr>
          <w:noProof w:val="0"/>
          <w:color w:val="auto"/>
          <w:lang w:val="en-US"/>
        </w:rPr>
        <w:t>H; K</w:t>
      </w:r>
      <w:r w:rsidR="003978E5" w:rsidRPr="00063CE2">
        <w:rPr>
          <w:noProof w:val="0"/>
          <w:color w:val="auto"/>
          <w:lang w:val="en-US"/>
        </w:rPr>
        <w:t>–</w:t>
      </w:r>
      <w:r w:rsidRPr="00063CE2">
        <w:rPr>
          <w:noProof w:val="0"/>
          <w:color w:val="auto"/>
          <w:lang w:val="en-US"/>
        </w:rPr>
        <w:t>L)</w:t>
      </w:r>
      <w:r w:rsidR="003978E5" w:rsidRPr="00063CE2">
        <w:rPr>
          <w:noProof w:val="0"/>
          <w:color w:val="auto"/>
          <w:lang w:val="en-US"/>
        </w:rPr>
        <w:t>.</w:t>
      </w:r>
    </w:p>
    <w:p w14:paraId="58E68D55" w14:textId="77777777" w:rsidR="00AF5653" w:rsidRPr="00063CE2" w:rsidRDefault="00AF5653" w:rsidP="00AF5653">
      <w:pPr>
        <w:rPr>
          <w:noProof w:val="0"/>
          <w:color w:val="auto"/>
          <w:lang w:val="en-US"/>
        </w:rPr>
      </w:pPr>
    </w:p>
    <w:p w14:paraId="7A8CA724" w14:textId="22C12090" w:rsidR="00AF5653" w:rsidRPr="00063CE2" w:rsidRDefault="00AF5653" w:rsidP="003978E5">
      <w:pPr>
        <w:outlineLvl w:val="0"/>
        <w:rPr>
          <w:noProof w:val="0"/>
          <w:color w:val="auto"/>
          <w:lang w:val="en-US"/>
        </w:rPr>
      </w:pPr>
      <w:r w:rsidRPr="00063CE2">
        <w:rPr>
          <w:b/>
          <w:noProof w:val="0"/>
          <w:color w:val="auto"/>
          <w:lang w:val="en-US"/>
        </w:rPr>
        <w:t xml:space="preserve">Figure </w:t>
      </w:r>
      <w:r w:rsidR="00CA108B" w:rsidRPr="00063CE2">
        <w:rPr>
          <w:b/>
          <w:noProof w:val="0"/>
          <w:color w:val="auto"/>
          <w:lang w:val="en-US"/>
        </w:rPr>
        <w:t>8</w:t>
      </w:r>
      <w:r w:rsidRPr="00063CE2">
        <w:rPr>
          <w:b/>
          <w:noProof w:val="0"/>
          <w:color w:val="auto"/>
          <w:lang w:val="en-US"/>
        </w:rPr>
        <w:t>: Clinical versus neuropathological diagnosis</w:t>
      </w:r>
      <w:r w:rsidR="003978E5" w:rsidRPr="00063CE2">
        <w:rPr>
          <w:b/>
          <w:noProof w:val="0"/>
          <w:color w:val="auto"/>
          <w:lang w:val="en-US"/>
        </w:rPr>
        <w:t xml:space="preserve">. </w:t>
      </w:r>
      <w:r w:rsidRPr="00063CE2">
        <w:rPr>
          <w:noProof w:val="0"/>
          <w:color w:val="auto"/>
          <w:lang w:val="en-US"/>
        </w:rPr>
        <w:t xml:space="preserve">In this figure, two different cases are reported in which the neuropathological diagnosis differs from the clinical diagnosis. Immunoreactivity for </w:t>
      </w:r>
      <w:r w:rsidRPr="00063CE2">
        <w:rPr>
          <w:rFonts w:asciiTheme="minorHAnsi" w:hAnsiTheme="minorHAnsi" w:cs="Arial"/>
          <w:noProof w:val="0"/>
          <w:color w:val="auto"/>
          <w:lang w:val="en-US"/>
        </w:rPr>
        <w:t>α</w:t>
      </w:r>
      <w:r w:rsidRPr="00063CE2">
        <w:rPr>
          <w:rFonts w:asciiTheme="minorHAnsi" w:hAnsiTheme="minorHAnsi"/>
          <w:noProof w:val="0"/>
          <w:color w:val="auto"/>
          <w:lang w:val="en-US"/>
        </w:rPr>
        <w:t>-</w:t>
      </w:r>
      <w:r w:rsidRPr="00063CE2">
        <w:rPr>
          <w:noProof w:val="0"/>
          <w:color w:val="auto"/>
          <w:lang w:val="en-US"/>
        </w:rPr>
        <w:t>syn is an unexpected result.</w:t>
      </w:r>
      <w:r w:rsidR="003978E5" w:rsidRPr="00063CE2">
        <w:rPr>
          <w:b/>
          <w:noProof w:val="0"/>
          <w:color w:val="auto"/>
          <w:lang w:val="en-US"/>
        </w:rPr>
        <w:t xml:space="preserve"> </w:t>
      </w:r>
      <w:r w:rsidRPr="00063CE2">
        <w:rPr>
          <w:noProof w:val="0"/>
          <w:color w:val="auto"/>
          <w:lang w:val="en-US"/>
        </w:rPr>
        <w:t>(</w:t>
      </w:r>
      <w:r w:rsidRPr="00063CE2">
        <w:rPr>
          <w:b/>
          <w:bCs/>
          <w:noProof w:val="0"/>
          <w:color w:val="auto"/>
          <w:lang w:val="en-US"/>
        </w:rPr>
        <w:t>A</w:t>
      </w:r>
      <w:r w:rsidR="003978E5" w:rsidRPr="00063CE2">
        <w:rPr>
          <w:noProof w:val="0"/>
          <w:color w:val="auto"/>
          <w:lang w:val="en-US"/>
        </w:rPr>
        <w:t>–</w:t>
      </w:r>
      <w:r w:rsidR="003978E5" w:rsidRPr="00063CE2">
        <w:rPr>
          <w:b/>
          <w:bCs/>
          <w:noProof w:val="0"/>
          <w:color w:val="auto"/>
          <w:lang w:val="en-US"/>
        </w:rPr>
        <w:t>C</w:t>
      </w:r>
      <w:r w:rsidRPr="00063CE2">
        <w:rPr>
          <w:noProof w:val="0"/>
          <w:color w:val="auto"/>
          <w:lang w:val="en-US"/>
        </w:rPr>
        <w:t xml:space="preserve">) First case: Gyrus </w:t>
      </w:r>
      <w:proofErr w:type="spellStart"/>
      <w:r w:rsidRPr="00063CE2">
        <w:rPr>
          <w:noProof w:val="0"/>
          <w:color w:val="auto"/>
          <w:lang w:val="en-US"/>
        </w:rPr>
        <w:t>cingoli</w:t>
      </w:r>
      <w:proofErr w:type="spellEnd"/>
      <w:r w:rsidRPr="00063CE2">
        <w:rPr>
          <w:noProof w:val="0"/>
          <w:color w:val="auto"/>
          <w:lang w:val="en-US"/>
        </w:rPr>
        <w:t xml:space="preserve"> (A) shows homogeneous distribution of Lewy bodies in SN (B-arrows). In a neuron of SN, a double Lewy body surrounded by neuromelanin is shown</w:t>
      </w:r>
      <w:r w:rsidR="00F4582F" w:rsidRPr="00063CE2">
        <w:rPr>
          <w:noProof w:val="0"/>
          <w:color w:val="auto"/>
          <w:lang w:val="en-US"/>
        </w:rPr>
        <w:t xml:space="preserve"> (C).</w:t>
      </w:r>
      <w:r w:rsidR="003978E5" w:rsidRPr="00063CE2">
        <w:rPr>
          <w:noProof w:val="0"/>
          <w:color w:val="auto"/>
          <w:lang w:val="en-US"/>
        </w:rPr>
        <w:t xml:space="preserve"> </w:t>
      </w:r>
      <w:r w:rsidRPr="00063CE2">
        <w:rPr>
          <w:noProof w:val="0"/>
          <w:color w:val="auto"/>
          <w:lang w:val="en-US"/>
        </w:rPr>
        <w:t>(</w:t>
      </w:r>
      <w:r w:rsidRPr="00063CE2">
        <w:rPr>
          <w:b/>
          <w:bCs/>
          <w:noProof w:val="0"/>
          <w:color w:val="auto"/>
          <w:lang w:val="en-US"/>
        </w:rPr>
        <w:t>D</w:t>
      </w:r>
      <w:r w:rsidR="003978E5" w:rsidRPr="00063CE2">
        <w:rPr>
          <w:noProof w:val="0"/>
          <w:color w:val="auto"/>
          <w:lang w:val="en-US"/>
        </w:rPr>
        <w:t>–</w:t>
      </w:r>
      <w:r w:rsidRPr="00063CE2">
        <w:rPr>
          <w:b/>
          <w:bCs/>
          <w:noProof w:val="0"/>
          <w:color w:val="auto"/>
          <w:lang w:val="en-US"/>
        </w:rPr>
        <w:t>G</w:t>
      </w:r>
      <w:r w:rsidRPr="00063CE2">
        <w:rPr>
          <w:noProof w:val="0"/>
          <w:color w:val="auto"/>
          <w:lang w:val="en-US"/>
        </w:rPr>
        <w:t>) Second case: A diffuse positivity for</w:t>
      </w:r>
      <w:r w:rsidRPr="00063CE2">
        <w:rPr>
          <w:rFonts w:ascii="Arial" w:hAnsi="Arial" w:cs="Arial"/>
          <w:noProof w:val="0"/>
          <w:color w:val="auto"/>
          <w:lang w:val="en-US"/>
        </w:rPr>
        <w:t xml:space="preserve"> </w:t>
      </w:r>
      <w:r w:rsidRPr="00063CE2">
        <w:rPr>
          <w:rFonts w:asciiTheme="minorHAnsi" w:hAnsiTheme="minorHAnsi" w:cs="Arial"/>
          <w:noProof w:val="0"/>
          <w:color w:val="auto"/>
          <w:lang w:val="en-US"/>
        </w:rPr>
        <w:t>α</w:t>
      </w:r>
      <w:r w:rsidRPr="00063CE2">
        <w:rPr>
          <w:noProof w:val="0"/>
          <w:color w:val="auto"/>
          <w:lang w:val="en-US"/>
        </w:rPr>
        <w:t>-syn is detectable in the amygdala (D,</w:t>
      </w:r>
      <w:r w:rsidR="003978E5" w:rsidRPr="00063CE2">
        <w:rPr>
          <w:noProof w:val="0"/>
          <w:color w:val="auto"/>
          <w:lang w:val="en-US"/>
        </w:rPr>
        <w:t xml:space="preserve"> </w:t>
      </w:r>
      <w:r w:rsidRPr="00063CE2">
        <w:rPr>
          <w:noProof w:val="0"/>
          <w:color w:val="auto"/>
          <w:lang w:val="en-US"/>
        </w:rPr>
        <w:t xml:space="preserve">E) and </w:t>
      </w:r>
      <w:proofErr w:type="spellStart"/>
      <w:r w:rsidRPr="00063CE2">
        <w:rPr>
          <w:noProof w:val="0"/>
          <w:color w:val="auto"/>
          <w:lang w:val="en-US"/>
        </w:rPr>
        <w:t>Meynert</w:t>
      </w:r>
      <w:proofErr w:type="spellEnd"/>
      <w:r w:rsidRPr="00063CE2">
        <w:rPr>
          <w:noProof w:val="0"/>
          <w:color w:val="auto"/>
          <w:lang w:val="en-US"/>
        </w:rPr>
        <w:t xml:space="preserve"> nucleus (F,</w:t>
      </w:r>
      <w:r w:rsidR="003978E5" w:rsidRPr="00063CE2">
        <w:rPr>
          <w:noProof w:val="0"/>
          <w:color w:val="auto"/>
          <w:lang w:val="en-US"/>
        </w:rPr>
        <w:t xml:space="preserve"> </w:t>
      </w:r>
      <w:r w:rsidRPr="00063CE2">
        <w:rPr>
          <w:noProof w:val="0"/>
          <w:color w:val="auto"/>
          <w:lang w:val="en-US"/>
        </w:rPr>
        <w:t>G). Cellular bodies and Lewy neurites (asteri</w:t>
      </w:r>
      <w:r w:rsidR="00F4582F" w:rsidRPr="00063CE2">
        <w:rPr>
          <w:noProof w:val="0"/>
          <w:color w:val="auto"/>
          <w:lang w:val="en-US"/>
        </w:rPr>
        <w:t>sk</w:t>
      </w:r>
      <w:r w:rsidRPr="00063CE2">
        <w:rPr>
          <w:noProof w:val="0"/>
          <w:color w:val="auto"/>
          <w:lang w:val="en-US"/>
        </w:rPr>
        <w:t>) are well marked.</w:t>
      </w:r>
      <w:r w:rsidR="003978E5" w:rsidRPr="00063CE2">
        <w:rPr>
          <w:noProof w:val="0"/>
          <w:color w:val="auto"/>
          <w:lang w:val="en-US"/>
        </w:rPr>
        <w:t xml:space="preserve"> </w:t>
      </w:r>
      <w:r w:rsidRPr="00063CE2">
        <w:rPr>
          <w:noProof w:val="0"/>
          <w:color w:val="auto"/>
          <w:lang w:val="en-US"/>
        </w:rPr>
        <w:t>Scale bars: 154 µm (A,</w:t>
      </w:r>
      <w:r w:rsidR="003978E5" w:rsidRPr="00063CE2">
        <w:rPr>
          <w:noProof w:val="0"/>
          <w:color w:val="auto"/>
          <w:lang w:val="en-US"/>
        </w:rPr>
        <w:t xml:space="preserve"> </w:t>
      </w:r>
      <w:r w:rsidRPr="00063CE2">
        <w:rPr>
          <w:noProof w:val="0"/>
          <w:color w:val="auto"/>
          <w:lang w:val="en-US"/>
        </w:rPr>
        <w:t>D,</w:t>
      </w:r>
      <w:r w:rsidR="003978E5" w:rsidRPr="00063CE2">
        <w:rPr>
          <w:noProof w:val="0"/>
          <w:color w:val="auto"/>
          <w:lang w:val="en-US"/>
        </w:rPr>
        <w:t xml:space="preserve"> </w:t>
      </w:r>
      <w:r w:rsidRPr="00063CE2">
        <w:rPr>
          <w:noProof w:val="0"/>
          <w:color w:val="auto"/>
          <w:lang w:val="en-US"/>
        </w:rPr>
        <w:t>F); 37 µm (B,</w:t>
      </w:r>
      <w:r w:rsidR="003978E5" w:rsidRPr="00063CE2">
        <w:rPr>
          <w:noProof w:val="0"/>
          <w:color w:val="auto"/>
          <w:lang w:val="en-US"/>
        </w:rPr>
        <w:t xml:space="preserve"> </w:t>
      </w:r>
      <w:r w:rsidRPr="00063CE2">
        <w:rPr>
          <w:noProof w:val="0"/>
          <w:color w:val="auto"/>
          <w:lang w:val="en-US"/>
        </w:rPr>
        <w:t>E,</w:t>
      </w:r>
      <w:r w:rsidR="003978E5" w:rsidRPr="00063CE2">
        <w:rPr>
          <w:noProof w:val="0"/>
          <w:color w:val="auto"/>
          <w:lang w:val="en-US"/>
        </w:rPr>
        <w:t xml:space="preserve"> </w:t>
      </w:r>
      <w:r w:rsidRPr="00063CE2">
        <w:rPr>
          <w:noProof w:val="0"/>
          <w:color w:val="auto"/>
          <w:lang w:val="en-US"/>
        </w:rPr>
        <w:t>G); 20 µm (C)</w:t>
      </w:r>
      <w:r w:rsidR="003978E5" w:rsidRPr="00063CE2">
        <w:rPr>
          <w:noProof w:val="0"/>
          <w:color w:val="auto"/>
          <w:lang w:val="en-US"/>
        </w:rPr>
        <w:t>.</w:t>
      </w:r>
    </w:p>
    <w:p w14:paraId="2356B1D1" w14:textId="727BC7C9" w:rsidR="00F4582F" w:rsidRPr="00063CE2" w:rsidRDefault="00F4582F" w:rsidP="00AF5653">
      <w:pPr>
        <w:rPr>
          <w:noProof w:val="0"/>
          <w:color w:val="auto"/>
          <w:lang w:val="en-US"/>
        </w:rPr>
      </w:pPr>
    </w:p>
    <w:p w14:paraId="11AC6727" w14:textId="27311F68" w:rsidR="00F4582F" w:rsidRPr="00063CE2" w:rsidRDefault="00327DD7" w:rsidP="00AF5653">
      <w:pPr>
        <w:rPr>
          <w:b/>
          <w:bCs/>
          <w:noProof w:val="0"/>
          <w:color w:val="auto"/>
          <w:lang w:val="en-US"/>
        </w:rPr>
      </w:pPr>
      <w:r w:rsidRPr="00063CE2">
        <w:rPr>
          <w:b/>
          <w:bCs/>
          <w:noProof w:val="0"/>
          <w:color w:val="auto"/>
          <w:lang w:val="en-US"/>
        </w:rPr>
        <w:t>Figure</w:t>
      </w:r>
      <w:r w:rsidR="00CA108B" w:rsidRPr="00063CE2">
        <w:rPr>
          <w:b/>
          <w:bCs/>
          <w:noProof w:val="0"/>
          <w:color w:val="auto"/>
          <w:lang w:val="en-US"/>
        </w:rPr>
        <w:t xml:space="preserve"> 9</w:t>
      </w:r>
      <w:r w:rsidRPr="00063CE2">
        <w:rPr>
          <w:b/>
          <w:bCs/>
          <w:noProof w:val="0"/>
          <w:color w:val="auto"/>
          <w:lang w:val="en-US"/>
        </w:rPr>
        <w:t>: Transfer agreement template</w:t>
      </w:r>
      <w:r w:rsidR="003978E5" w:rsidRPr="00063CE2">
        <w:rPr>
          <w:b/>
          <w:bCs/>
          <w:noProof w:val="0"/>
          <w:color w:val="auto"/>
          <w:lang w:val="en-US"/>
        </w:rPr>
        <w:t>.</w:t>
      </w:r>
    </w:p>
    <w:p w14:paraId="00F51814" w14:textId="77777777" w:rsidR="00AF5653" w:rsidRPr="00063CE2" w:rsidRDefault="00AF5653" w:rsidP="00AF5653">
      <w:pPr>
        <w:rPr>
          <w:noProof w:val="0"/>
          <w:color w:val="auto"/>
          <w:lang w:val="en-US"/>
        </w:rPr>
      </w:pPr>
    </w:p>
    <w:p w14:paraId="3C0CFDE7" w14:textId="48FB88A8" w:rsidR="00635008" w:rsidRPr="00063CE2" w:rsidRDefault="00635008" w:rsidP="00AF5653">
      <w:pPr>
        <w:outlineLvl w:val="0"/>
        <w:rPr>
          <w:b/>
          <w:noProof w:val="0"/>
          <w:color w:val="auto"/>
          <w:lang w:val="en-US"/>
        </w:rPr>
      </w:pPr>
      <w:r w:rsidRPr="00063CE2">
        <w:rPr>
          <w:b/>
          <w:noProof w:val="0"/>
          <w:color w:val="auto"/>
          <w:lang w:val="en-US"/>
        </w:rPr>
        <w:t>Table 1: Socio-demographic features of the InveCe.Ab study participants</w:t>
      </w:r>
      <w:r w:rsidR="003978E5" w:rsidRPr="00063CE2">
        <w:rPr>
          <w:b/>
          <w:noProof w:val="0"/>
          <w:color w:val="auto"/>
          <w:lang w:val="en-US"/>
        </w:rPr>
        <w:t>.</w:t>
      </w:r>
    </w:p>
    <w:p w14:paraId="7BEC9C5A" w14:textId="77777777" w:rsidR="00635008" w:rsidRPr="00063CE2" w:rsidRDefault="00635008" w:rsidP="00AF5653">
      <w:pPr>
        <w:outlineLvl w:val="0"/>
        <w:rPr>
          <w:b/>
          <w:noProof w:val="0"/>
          <w:color w:val="auto"/>
          <w:lang w:val="en-US"/>
        </w:rPr>
      </w:pPr>
    </w:p>
    <w:p w14:paraId="55A95E74" w14:textId="536CDD03"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2</w:t>
      </w:r>
      <w:r w:rsidRPr="00063CE2">
        <w:rPr>
          <w:b/>
          <w:noProof w:val="0"/>
          <w:color w:val="auto"/>
          <w:lang w:val="en-US"/>
        </w:rPr>
        <w:t>: Criteria for brain donation</w:t>
      </w:r>
      <w:r w:rsidR="003978E5" w:rsidRPr="00063CE2">
        <w:rPr>
          <w:b/>
          <w:noProof w:val="0"/>
          <w:color w:val="auto"/>
          <w:lang w:val="en-US"/>
        </w:rPr>
        <w:t>.</w:t>
      </w:r>
    </w:p>
    <w:p w14:paraId="5D9961E8" w14:textId="77777777" w:rsidR="00AF5653" w:rsidRPr="00063CE2" w:rsidRDefault="00AF5653" w:rsidP="00AF5653">
      <w:pPr>
        <w:rPr>
          <w:b/>
          <w:noProof w:val="0"/>
          <w:color w:val="auto"/>
          <w:lang w:val="en-US"/>
        </w:rPr>
      </w:pPr>
    </w:p>
    <w:p w14:paraId="547B52E2" w14:textId="185DF90B" w:rsidR="00635008" w:rsidRPr="00063CE2" w:rsidRDefault="00635008" w:rsidP="00635008">
      <w:pPr>
        <w:outlineLvl w:val="0"/>
        <w:rPr>
          <w:b/>
          <w:noProof w:val="0"/>
          <w:color w:val="auto"/>
          <w:lang w:val="en-US"/>
        </w:rPr>
      </w:pPr>
      <w:r w:rsidRPr="00063CE2">
        <w:rPr>
          <w:b/>
          <w:noProof w:val="0"/>
          <w:color w:val="auto"/>
          <w:lang w:val="en-US"/>
        </w:rPr>
        <w:t>Table</w:t>
      </w:r>
      <w:r w:rsidR="00F35896" w:rsidRPr="00063CE2">
        <w:rPr>
          <w:b/>
          <w:noProof w:val="0"/>
          <w:color w:val="auto"/>
          <w:lang w:val="en-US"/>
        </w:rPr>
        <w:t xml:space="preserve"> </w:t>
      </w:r>
      <w:r w:rsidRPr="00063CE2">
        <w:rPr>
          <w:b/>
          <w:noProof w:val="0"/>
          <w:color w:val="auto"/>
          <w:lang w:val="en-US"/>
        </w:rPr>
        <w:t>3: Clinical/neuropathological diagnosis of ABB series</w:t>
      </w:r>
      <w:r w:rsidR="003978E5" w:rsidRPr="00063CE2">
        <w:rPr>
          <w:b/>
          <w:noProof w:val="0"/>
          <w:color w:val="auto"/>
          <w:lang w:val="en-US"/>
        </w:rPr>
        <w:t xml:space="preserve">. </w:t>
      </w:r>
      <w:r w:rsidRPr="00063CE2">
        <w:rPr>
          <w:noProof w:val="0"/>
          <w:color w:val="auto"/>
          <w:lang w:val="en-US"/>
        </w:rPr>
        <w:t xml:space="preserve">BB: Brain Bank; </w:t>
      </w:r>
      <w:proofErr w:type="spellStart"/>
      <w:r w:rsidRPr="00063CE2">
        <w:rPr>
          <w:noProof w:val="0"/>
          <w:color w:val="auto"/>
          <w:lang w:val="en-US"/>
        </w:rPr>
        <w:t>edu</w:t>
      </w:r>
      <w:proofErr w:type="spellEnd"/>
      <w:r w:rsidRPr="00063CE2">
        <w:rPr>
          <w:noProof w:val="0"/>
          <w:color w:val="auto"/>
          <w:lang w:val="en-US"/>
        </w:rPr>
        <w:t xml:space="preserve"> (</w:t>
      </w:r>
      <w:proofErr w:type="spellStart"/>
      <w:r w:rsidRPr="00063CE2">
        <w:rPr>
          <w:noProof w:val="0"/>
          <w:color w:val="auto"/>
          <w:lang w:val="en-US"/>
        </w:rPr>
        <w:t>yrs</w:t>
      </w:r>
      <w:proofErr w:type="spellEnd"/>
      <w:r w:rsidRPr="00063CE2">
        <w:rPr>
          <w:noProof w:val="0"/>
          <w:color w:val="auto"/>
          <w:lang w:val="en-US"/>
        </w:rPr>
        <w:t>): educational years; CDR: Clinical Dementia Rating (0</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 xml:space="preserve">no dementia; </w:t>
      </w:r>
      <w:r w:rsidR="00CA108B" w:rsidRPr="00063CE2">
        <w:rPr>
          <w:color w:val="auto"/>
          <w:lang w:val="en-US"/>
        </w:rPr>
        <w:t>0</w:t>
      </w:r>
      <w:r w:rsidR="00CA108B" w:rsidRPr="00063CE2">
        <w:rPr>
          <w:noProof w:val="0"/>
          <w:color w:val="auto"/>
          <w:lang w:val="en-US"/>
        </w:rPr>
        <w:t>.</w:t>
      </w:r>
      <w:r w:rsidR="00CA108B" w:rsidRPr="00063CE2">
        <w:rPr>
          <w:color w:val="auto"/>
          <w:lang w:val="en-US"/>
        </w:rPr>
        <w:t xml:space="preserve">5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mild cognitive impairment; 1</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mild dementia; 2</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moderate dementia; 3</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severe dementia; 4</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 xml:space="preserve">very severe </w:t>
      </w:r>
      <w:r w:rsidRPr="00063CE2">
        <w:rPr>
          <w:noProof w:val="0"/>
          <w:color w:val="auto"/>
          <w:lang w:val="en-US"/>
        </w:rPr>
        <w:lastRenderedPageBreak/>
        <w:t>dementia; 5</w:t>
      </w:r>
      <w:r w:rsidR="003978E5" w:rsidRPr="00063CE2">
        <w:rPr>
          <w:noProof w:val="0"/>
          <w:color w:val="auto"/>
          <w:lang w:val="en-US"/>
        </w:rPr>
        <w:t xml:space="preserve"> </w:t>
      </w:r>
      <w:r w:rsidRPr="00063CE2">
        <w:rPr>
          <w:noProof w:val="0"/>
          <w:color w:val="auto"/>
          <w:lang w:val="en-US"/>
        </w:rPr>
        <w:t>=</w:t>
      </w:r>
      <w:r w:rsidR="003978E5" w:rsidRPr="00063CE2">
        <w:rPr>
          <w:noProof w:val="0"/>
          <w:color w:val="auto"/>
          <w:lang w:val="en-US"/>
        </w:rPr>
        <w:t xml:space="preserve"> </w:t>
      </w:r>
      <w:r w:rsidRPr="00063CE2">
        <w:rPr>
          <w:noProof w:val="0"/>
          <w:color w:val="auto"/>
          <w:lang w:val="en-US"/>
        </w:rPr>
        <w:t>terminal dementia); AFS: Agonal Factor Score; PM (</w:t>
      </w:r>
      <w:proofErr w:type="spellStart"/>
      <w:r w:rsidRPr="00063CE2">
        <w:rPr>
          <w:noProof w:val="0"/>
          <w:color w:val="auto"/>
          <w:lang w:val="en-US"/>
        </w:rPr>
        <w:t>hrs</w:t>
      </w:r>
      <w:proofErr w:type="spellEnd"/>
      <w:r w:rsidRPr="00063CE2">
        <w:rPr>
          <w:noProof w:val="0"/>
          <w:color w:val="auto"/>
          <w:lang w:val="en-US"/>
        </w:rPr>
        <w:t xml:space="preserve">): Post Mortem hours; </w:t>
      </w:r>
      <w:proofErr w:type="spellStart"/>
      <w:r w:rsidRPr="00063CE2">
        <w:rPr>
          <w:noProof w:val="0"/>
          <w:color w:val="auto"/>
          <w:lang w:val="en-US"/>
        </w:rPr>
        <w:t>nd</w:t>
      </w:r>
      <w:proofErr w:type="spellEnd"/>
      <w:r w:rsidRPr="00063CE2">
        <w:rPr>
          <w:noProof w:val="0"/>
          <w:color w:val="auto"/>
          <w:lang w:val="en-US"/>
        </w:rPr>
        <w:t xml:space="preserve">: not done; M/F: Males/Females; BPSD: Behavioral and Psychological Symptoms of Dementia; </w:t>
      </w:r>
      <w:proofErr w:type="spellStart"/>
      <w:r w:rsidRPr="00063CE2">
        <w:rPr>
          <w:noProof w:val="0"/>
          <w:color w:val="auto"/>
          <w:lang w:val="en-US"/>
        </w:rPr>
        <w:t>VaD</w:t>
      </w:r>
      <w:proofErr w:type="spellEnd"/>
      <w:r w:rsidRPr="00063CE2">
        <w:rPr>
          <w:noProof w:val="0"/>
          <w:color w:val="auto"/>
          <w:lang w:val="en-US"/>
        </w:rPr>
        <w:t xml:space="preserve">: Vascular Dementia; NOLD: Normal elderly; GBL: Glioblastoma; </w:t>
      </w:r>
      <w:proofErr w:type="spellStart"/>
      <w:r w:rsidRPr="00063CE2">
        <w:rPr>
          <w:noProof w:val="0"/>
          <w:color w:val="auto"/>
          <w:lang w:val="en-US"/>
        </w:rPr>
        <w:t>nfPPA</w:t>
      </w:r>
      <w:proofErr w:type="spellEnd"/>
      <w:r w:rsidRPr="00063CE2">
        <w:rPr>
          <w:noProof w:val="0"/>
          <w:color w:val="auto"/>
          <w:lang w:val="en-US"/>
        </w:rPr>
        <w:t xml:space="preserve">: non fluent Primary Progressive Aphasia; </w:t>
      </w:r>
      <w:proofErr w:type="spellStart"/>
      <w:r w:rsidRPr="00063CE2">
        <w:rPr>
          <w:noProof w:val="0"/>
          <w:color w:val="auto"/>
          <w:lang w:val="en-US"/>
        </w:rPr>
        <w:t>bvFTD</w:t>
      </w:r>
      <w:proofErr w:type="spellEnd"/>
      <w:r w:rsidRPr="00063CE2">
        <w:rPr>
          <w:noProof w:val="0"/>
          <w:color w:val="auto"/>
          <w:lang w:val="en-US"/>
        </w:rPr>
        <w:t xml:space="preserve">: behavioral variant of Frontotemporal Dementia; SVD: Small Vessel Disease; LTS: Lewy Type </w:t>
      </w:r>
      <w:proofErr w:type="spellStart"/>
      <w:r w:rsidRPr="00063CE2">
        <w:rPr>
          <w:noProof w:val="0"/>
          <w:color w:val="auto"/>
          <w:lang w:val="en-US"/>
        </w:rPr>
        <w:t>Synucleinopathy</w:t>
      </w:r>
      <w:proofErr w:type="spellEnd"/>
      <w:r w:rsidRPr="00063CE2">
        <w:rPr>
          <w:noProof w:val="0"/>
          <w:color w:val="auto"/>
          <w:lang w:val="en-US"/>
        </w:rPr>
        <w:t xml:space="preserve">; HS: Hippocampal Sclerosis; CAA: Cerebral Amyloid Angiopathy; </w:t>
      </w:r>
      <w:proofErr w:type="spellStart"/>
      <w:r w:rsidRPr="00063CE2">
        <w:rPr>
          <w:noProof w:val="0"/>
          <w:color w:val="auto"/>
          <w:lang w:val="en-US"/>
        </w:rPr>
        <w:t>capCAA</w:t>
      </w:r>
      <w:proofErr w:type="spellEnd"/>
      <w:r w:rsidRPr="00063CE2">
        <w:rPr>
          <w:noProof w:val="0"/>
          <w:color w:val="auto"/>
          <w:lang w:val="en-US"/>
        </w:rPr>
        <w:t xml:space="preserve">: capillary CAA; </w:t>
      </w:r>
      <w:proofErr w:type="spellStart"/>
      <w:r w:rsidRPr="00063CE2">
        <w:rPr>
          <w:noProof w:val="0"/>
          <w:color w:val="auto"/>
          <w:lang w:val="en-US"/>
        </w:rPr>
        <w:t>mCAA</w:t>
      </w:r>
      <w:proofErr w:type="spellEnd"/>
      <w:r w:rsidRPr="00063CE2">
        <w:rPr>
          <w:noProof w:val="0"/>
          <w:color w:val="auto"/>
          <w:lang w:val="en-US"/>
        </w:rPr>
        <w:t>: meningeal CAA; ILBD: Incidental Lewy Body Disease; BG: Basal Ganglia; ARTAG: Age-Related TAU Astro-</w:t>
      </w:r>
      <w:proofErr w:type="spellStart"/>
      <w:r w:rsidRPr="00063CE2">
        <w:rPr>
          <w:noProof w:val="0"/>
          <w:color w:val="auto"/>
          <w:lang w:val="en-US"/>
        </w:rPr>
        <w:t>Gliopathy</w:t>
      </w:r>
      <w:proofErr w:type="spellEnd"/>
      <w:r w:rsidRPr="00063CE2">
        <w:rPr>
          <w:noProof w:val="0"/>
          <w:color w:val="auto"/>
          <w:lang w:val="en-US"/>
        </w:rPr>
        <w:t xml:space="preserve">; PART: Primary Age-Related </w:t>
      </w:r>
      <w:proofErr w:type="spellStart"/>
      <w:r w:rsidRPr="00063CE2">
        <w:rPr>
          <w:noProof w:val="0"/>
          <w:color w:val="auto"/>
          <w:lang w:val="en-US"/>
        </w:rPr>
        <w:t>TAUopathy</w:t>
      </w:r>
      <w:proofErr w:type="spellEnd"/>
      <w:r w:rsidRPr="00063CE2">
        <w:rPr>
          <w:noProof w:val="0"/>
          <w:color w:val="auto"/>
          <w:lang w:val="en-US"/>
        </w:rPr>
        <w:t xml:space="preserve">; </w:t>
      </w:r>
      <w:proofErr w:type="spellStart"/>
      <w:r w:rsidRPr="00063CE2">
        <w:rPr>
          <w:noProof w:val="0"/>
          <w:color w:val="auto"/>
          <w:lang w:val="en-US"/>
        </w:rPr>
        <w:t>amy</w:t>
      </w:r>
      <w:proofErr w:type="spellEnd"/>
      <w:r w:rsidRPr="00063CE2">
        <w:rPr>
          <w:noProof w:val="0"/>
          <w:color w:val="auto"/>
          <w:lang w:val="en-US"/>
        </w:rPr>
        <w:t xml:space="preserve">: </w:t>
      </w:r>
      <w:proofErr w:type="spellStart"/>
      <w:r w:rsidRPr="00063CE2">
        <w:rPr>
          <w:noProof w:val="0"/>
          <w:color w:val="auto"/>
          <w:lang w:val="en-US"/>
        </w:rPr>
        <w:t>amigdala</w:t>
      </w:r>
      <w:proofErr w:type="spellEnd"/>
      <w:r w:rsidR="003978E5" w:rsidRPr="00063CE2">
        <w:rPr>
          <w:noProof w:val="0"/>
          <w:color w:val="auto"/>
          <w:lang w:val="en-US"/>
        </w:rPr>
        <w:t>.</w:t>
      </w:r>
    </w:p>
    <w:p w14:paraId="06BC42C4" w14:textId="77777777" w:rsidR="00635008" w:rsidRPr="00063CE2" w:rsidRDefault="00635008" w:rsidP="00635008">
      <w:pPr>
        <w:outlineLvl w:val="0"/>
        <w:rPr>
          <w:noProof w:val="0"/>
          <w:color w:val="auto"/>
          <w:lang w:val="en-US"/>
        </w:rPr>
      </w:pPr>
    </w:p>
    <w:p w14:paraId="604DD772" w14:textId="714C748F" w:rsidR="00AF5653" w:rsidRPr="00063CE2" w:rsidRDefault="00AF5653" w:rsidP="00635008">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4</w:t>
      </w:r>
      <w:r w:rsidRPr="00063CE2">
        <w:rPr>
          <w:b/>
          <w:noProof w:val="0"/>
          <w:color w:val="auto"/>
          <w:lang w:val="en-US"/>
        </w:rPr>
        <w:t>: Neuropsychological assessment for brain donors</w:t>
      </w:r>
      <w:r w:rsidR="003978E5" w:rsidRPr="00063CE2">
        <w:rPr>
          <w:b/>
          <w:noProof w:val="0"/>
          <w:color w:val="auto"/>
          <w:lang w:val="en-US"/>
        </w:rPr>
        <w:t>.</w:t>
      </w:r>
    </w:p>
    <w:p w14:paraId="254F2C46" w14:textId="77777777" w:rsidR="00AF5653" w:rsidRPr="00063CE2" w:rsidRDefault="00AF5653" w:rsidP="00AF5653">
      <w:pPr>
        <w:rPr>
          <w:b/>
          <w:noProof w:val="0"/>
          <w:color w:val="auto"/>
          <w:lang w:val="en-US"/>
        </w:rPr>
      </w:pPr>
    </w:p>
    <w:p w14:paraId="69623692" w14:textId="35359C61"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5</w:t>
      </w:r>
      <w:r w:rsidRPr="00063CE2">
        <w:rPr>
          <w:b/>
          <w:noProof w:val="0"/>
          <w:color w:val="auto"/>
          <w:lang w:val="en-US"/>
        </w:rPr>
        <w:t>: Metabolic panel for brain donors</w:t>
      </w:r>
      <w:r w:rsidR="003978E5" w:rsidRPr="00063CE2">
        <w:rPr>
          <w:b/>
          <w:noProof w:val="0"/>
          <w:color w:val="auto"/>
          <w:lang w:val="en-US"/>
        </w:rPr>
        <w:t>.</w:t>
      </w:r>
    </w:p>
    <w:p w14:paraId="77D46144" w14:textId="77777777" w:rsidR="00AF5653" w:rsidRPr="00063CE2" w:rsidRDefault="00AF5653" w:rsidP="00AF5653">
      <w:pPr>
        <w:rPr>
          <w:b/>
          <w:noProof w:val="0"/>
          <w:color w:val="auto"/>
          <w:lang w:val="en-US"/>
        </w:rPr>
      </w:pPr>
    </w:p>
    <w:p w14:paraId="29A472ED" w14:textId="4AB3ADBD" w:rsidR="00AF5653" w:rsidRPr="00063CE2" w:rsidRDefault="00AF5653" w:rsidP="00AF5653">
      <w:pPr>
        <w:outlineLvl w:val="0"/>
        <w:rPr>
          <w:b/>
          <w:noProof w:val="0"/>
          <w:color w:val="auto"/>
          <w:lang w:val="en-US"/>
        </w:rPr>
      </w:pPr>
      <w:r w:rsidRPr="00063CE2">
        <w:rPr>
          <w:b/>
          <w:noProof w:val="0"/>
          <w:color w:val="auto"/>
          <w:lang w:val="en-US"/>
        </w:rPr>
        <w:t xml:space="preserve">Table </w:t>
      </w:r>
      <w:r w:rsidR="00635008" w:rsidRPr="00063CE2">
        <w:rPr>
          <w:b/>
          <w:noProof w:val="0"/>
          <w:color w:val="auto"/>
          <w:lang w:val="en-US"/>
        </w:rPr>
        <w:t>6</w:t>
      </w:r>
      <w:r w:rsidRPr="00063CE2">
        <w:rPr>
          <w:b/>
          <w:noProof w:val="0"/>
          <w:color w:val="auto"/>
          <w:lang w:val="en-US"/>
        </w:rPr>
        <w:t>: SNPs analyzed for InveCe.Ab brain donors</w:t>
      </w:r>
      <w:r w:rsidR="003978E5" w:rsidRPr="00063CE2">
        <w:rPr>
          <w:b/>
          <w:noProof w:val="0"/>
          <w:color w:val="auto"/>
          <w:lang w:val="en-US"/>
        </w:rPr>
        <w:t>.</w:t>
      </w:r>
    </w:p>
    <w:p w14:paraId="24D9C671" w14:textId="77777777" w:rsidR="00AF5653" w:rsidRPr="00063CE2" w:rsidRDefault="00AF5653" w:rsidP="00F35896">
      <w:pPr>
        <w:rPr>
          <w:b/>
          <w:noProof w:val="0"/>
          <w:color w:val="auto"/>
          <w:lang w:val="en-US"/>
        </w:rPr>
      </w:pPr>
    </w:p>
    <w:p w14:paraId="519E9672" w14:textId="0F9D9F51" w:rsidR="00AF5653" w:rsidRPr="00063CE2" w:rsidRDefault="00AF5653" w:rsidP="00AF5653">
      <w:pPr>
        <w:outlineLvl w:val="0"/>
        <w:rPr>
          <w:b/>
          <w:noProof w:val="0"/>
          <w:color w:val="auto"/>
          <w:lang w:val="en-US"/>
        </w:rPr>
      </w:pPr>
      <w:r w:rsidRPr="00063CE2">
        <w:rPr>
          <w:b/>
          <w:noProof w:val="0"/>
          <w:color w:val="auto"/>
          <w:lang w:val="en-US"/>
        </w:rPr>
        <w:t xml:space="preserve">Table </w:t>
      </w:r>
      <w:r w:rsidR="00C66D11" w:rsidRPr="00063CE2">
        <w:rPr>
          <w:b/>
          <w:color w:val="auto"/>
          <w:lang w:val="en-US"/>
        </w:rPr>
        <w:t>7</w:t>
      </w:r>
      <w:r w:rsidRPr="00063CE2">
        <w:rPr>
          <w:b/>
          <w:noProof w:val="0"/>
          <w:color w:val="auto"/>
          <w:lang w:val="en-US"/>
        </w:rPr>
        <w:t>: ABB tissue processing protocol</w:t>
      </w:r>
      <w:r w:rsidR="003978E5" w:rsidRPr="00063CE2">
        <w:rPr>
          <w:b/>
          <w:noProof w:val="0"/>
          <w:color w:val="auto"/>
          <w:lang w:val="en-US"/>
        </w:rPr>
        <w:t>.</w:t>
      </w:r>
    </w:p>
    <w:p w14:paraId="4BFE727F" w14:textId="77777777" w:rsidR="00AF5653" w:rsidRPr="00063CE2" w:rsidRDefault="00AF5653" w:rsidP="00AF5653">
      <w:pPr>
        <w:rPr>
          <w:b/>
          <w:noProof w:val="0"/>
          <w:color w:val="auto"/>
          <w:lang w:val="en-US"/>
        </w:rPr>
      </w:pPr>
    </w:p>
    <w:p w14:paraId="3483AE68" w14:textId="3D99C45F" w:rsidR="00C66D11" w:rsidRPr="00063CE2" w:rsidRDefault="00AF5653" w:rsidP="00635008">
      <w:pPr>
        <w:outlineLvl w:val="0"/>
        <w:rPr>
          <w:b/>
          <w:noProof w:val="0"/>
          <w:color w:val="auto"/>
          <w:lang w:val="en-US"/>
        </w:rPr>
      </w:pPr>
      <w:r w:rsidRPr="00063CE2">
        <w:rPr>
          <w:b/>
          <w:noProof w:val="0"/>
          <w:color w:val="auto"/>
          <w:lang w:val="en-US"/>
        </w:rPr>
        <w:t xml:space="preserve">Table </w:t>
      </w:r>
      <w:r w:rsidR="00C66D11" w:rsidRPr="00063CE2">
        <w:rPr>
          <w:b/>
          <w:color w:val="auto"/>
          <w:lang w:val="en-US"/>
        </w:rPr>
        <w:t>8</w:t>
      </w:r>
      <w:r w:rsidRPr="00063CE2">
        <w:rPr>
          <w:b/>
          <w:noProof w:val="0"/>
          <w:color w:val="auto"/>
          <w:lang w:val="en-US"/>
        </w:rPr>
        <w:t>: Assessed regions, staining</w:t>
      </w:r>
      <w:r w:rsidR="003978E5" w:rsidRPr="00063CE2">
        <w:rPr>
          <w:b/>
          <w:noProof w:val="0"/>
          <w:color w:val="auto"/>
          <w:lang w:val="en-US"/>
        </w:rPr>
        <w:t xml:space="preserve"> </w:t>
      </w:r>
      <w:r w:rsidRPr="00063CE2">
        <w:rPr>
          <w:b/>
          <w:noProof w:val="0"/>
          <w:color w:val="auto"/>
          <w:lang w:val="en-US"/>
        </w:rPr>
        <w:t>and immunohistochemistry</w:t>
      </w:r>
      <w:r w:rsidR="003978E5" w:rsidRPr="00063CE2">
        <w:rPr>
          <w:b/>
          <w:noProof w:val="0"/>
          <w:color w:val="auto"/>
          <w:lang w:val="en-US"/>
        </w:rPr>
        <w:t>.</w:t>
      </w:r>
    </w:p>
    <w:p w14:paraId="5481069D" w14:textId="77777777" w:rsidR="0047511B" w:rsidRPr="00063CE2" w:rsidRDefault="0047511B" w:rsidP="00F35896">
      <w:pPr>
        <w:outlineLvl w:val="0"/>
        <w:rPr>
          <w:b/>
          <w:color w:val="auto"/>
          <w:lang w:val="en-US"/>
        </w:rPr>
      </w:pPr>
    </w:p>
    <w:p w14:paraId="0C481674" w14:textId="6941C4A7" w:rsidR="00260252" w:rsidRPr="00063CE2" w:rsidRDefault="00260252" w:rsidP="00F16CB6">
      <w:pPr>
        <w:outlineLvl w:val="0"/>
        <w:rPr>
          <w:bCs/>
          <w:noProof w:val="0"/>
          <w:color w:val="auto"/>
          <w:lang w:val="en-US"/>
        </w:rPr>
      </w:pPr>
      <w:r w:rsidRPr="00063CE2">
        <w:rPr>
          <w:b/>
          <w:noProof w:val="0"/>
          <w:color w:val="auto"/>
          <w:lang w:val="en-US"/>
        </w:rPr>
        <w:t>DISCUSSION</w:t>
      </w:r>
      <w:r w:rsidRPr="00063CE2">
        <w:rPr>
          <w:b/>
          <w:bCs/>
          <w:noProof w:val="0"/>
          <w:color w:val="auto"/>
          <w:lang w:val="en-US"/>
        </w:rPr>
        <w:t>:</w:t>
      </w:r>
    </w:p>
    <w:p w14:paraId="35D3B2B8" w14:textId="77777777" w:rsidR="00775945" w:rsidRPr="00063CE2" w:rsidRDefault="00775945">
      <w:pPr>
        <w:rPr>
          <w:noProof w:val="0"/>
          <w:color w:val="auto"/>
          <w:lang w:val="en-US"/>
        </w:rPr>
      </w:pPr>
    </w:p>
    <w:p w14:paraId="3AEA5F79" w14:textId="77777777" w:rsidR="003978E5" w:rsidRPr="00063CE2" w:rsidRDefault="000F2FB6">
      <w:pPr>
        <w:rPr>
          <w:noProof w:val="0"/>
          <w:color w:val="auto"/>
          <w:lang w:val="en-US"/>
        </w:rPr>
      </w:pPr>
      <w:r w:rsidRPr="00063CE2">
        <w:rPr>
          <w:rFonts w:asciiTheme="minorHAnsi" w:hAnsiTheme="minorHAnsi" w:cstheme="minorHAnsi"/>
          <w:b/>
          <w:noProof w:val="0"/>
          <w:color w:val="auto"/>
          <w:lang w:val="en-US"/>
        </w:rPr>
        <w:t>Critical steps in the protocol</w:t>
      </w:r>
    </w:p>
    <w:p w14:paraId="60C19460" w14:textId="34A2A362" w:rsidR="009E2E97" w:rsidRPr="00063CE2" w:rsidRDefault="00D22F2D">
      <w:pPr>
        <w:rPr>
          <w:noProof w:val="0"/>
          <w:color w:val="auto"/>
          <w:lang w:val="en-US"/>
        </w:rPr>
      </w:pPr>
      <w:r w:rsidRPr="00063CE2">
        <w:rPr>
          <w:noProof w:val="0"/>
          <w:color w:val="auto"/>
          <w:lang w:val="en-US"/>
        </w:rPr>
        <w:t xml:space="preserve">Our </w:t>
      </w:r>
      <w:r w:rsidR="00E66F40" w:rsidRPr="00063CE2">
        <w:rPr>
          <w:noProof w:val="0"/>
          <w:color w:val="auto"/>
          <w:lang w:val="en-US"/>
        </w:rPr>
        <w:t>aim</w:t>
      </w:r>
      <w:r w:rsidRPr="00063CE2">
        <w:rPr>
          <w:noProof w:val="0"/>
          <w:color w:val="auto"/>
          <w:lang w:val="en-US"/>
        </w:rPr>
        <w:t xml:space="preserve"> is to obtain, characterize and store good quality tissues coming from subjects with detailed history derived from longitudinal observation. </w:t>
      </w:r>
      <w:r w:rsidR="000C6F3A" w:rsidRPr="00063CE2">
        <w:rPr>
          <w:noProof w:val="0"/>
          <w:color w:val="auto"/>
          <w:lang w:val="en-US"/>
        </w:rPr>
        <w:t>In order to reach</w:t>
      </w:r>
      <w:r w:rsidRPr="00063CE2">
        <w:rPr>
          <w:noProof w:val="0"/>
          <w:color w:val="auto"/>
          <w:lang w:val="en-US"/>
        </w:rPr>
        <w:t xml:space="preserve"> this goal</w:t>
      </w:r>
      <w:r w:rsidR="000C6F3A" w:rsidRPr="00063CE2">
        <w:rPr>
          <w:noProof w:val="0"/>
          <w:color w:val="auto"/>
          <w:lang w:val="en-US"/>
        </w:rPr>
        <w:t xml:space="preserve">, it is </w:t>
      </w:r>
      <w:r w:rsidRPr="00063CE2">
        <w:rPr>
          <w:noProof w:val="0"/>
          <w:color w:val="auto"/>
          <w:lang w:val="en-US"/>
        </w:rPr>
        <w:t>require</w:t>
      </w:r>
      <w:r w:rsidR="000C6F3A" w:rsidRPr="00063CE2">
        <w:rPr>
          <w:noProof w:val="0"/>
          <w:color w:val="auto"/>
          <w:lang w:val="en-US"/>
        </w:rPr>
        <w:t>d</w:t>
      </w:r>
      <w:r w:rsidRPr="00063CE2">
        <w:rPr>
          <w:noProof w:val="0"/>
          <w:color w:val="auto"/>
          <w:lang w:val="en-US"/>
        </w:rPr>
        <w:t xml:space="preserve"> </w:t>
      </w:r>
      <w:r w:rsidR="000C6F3A" w:rsidRPr="00063CE2">
        <w:rPr>
          <w:noProof w:val="0"/>
          <w:color w:val="auto"/>
          <w:lang w:val="en-US"/>
        </w:rPr>
        <w:t xml:space="preserve">to </w:t>
      </w:r>
      <w:r w:rsidR="00E66F40" w:rsidRPr="00063CE2">
        <w:rPr>
          <w:noProof w:val="0"/>
          <w:color w:val="auto"/>
          <w:lang w:val="en-US"/>
        </w:rPr>
        <w:t>deal</w:t>
      </w:r>
      <w:r w:rsidRPr="00063CE2">
        <w:rPr>
          <w:noProof w:val="0"/>
          <w:color w:val="auto"/>
          <w:lang w:val="en-US"/>
        </w:rPr>
        <w:t xml:space="preserve"> </w:t>
      </w:r>
      <w:r w:rsidR="00E66F40" w:rsidRPr="00063CE2">
        <w:rPr>
          <w:noProof w:val="0"/>
          <w:color w:val="auto"/>
          <w:lang w:val="en-US"/>
        </w:rPr>
        <w:t>with</w:t>
      </w:r>
      <w:r w:rsidRPr="00063CE2">
        <w:rPr>
          <w:noProof w:val="0"/>
          <w:color w:val="auto"/>
          <w:lang w:val="en-US"/>
        </w:rPr>
        <w:t xml:space="preserve"> </w:t>
      </w:r>
      <w:r w:rsidR="00466126" w:rsidRPr="00063CE2">
        <w:rPr>
          <w:noProof w:val="0"/>
          <w:color w:val="auto"/>
          <w:lang w:val="en-US"/>
        </w:rPr>
        <w:t xml:space="preserve">the following </w:t>
      </w:r>
      <w:r w:rsidR="00E66F40" w:rsidRPr="00063CE2">
        <w:rPr>
          <w:noProof w:val="0"/>
          <w:color w:val="auto"/>
          <w:lang w:val="en-US"/>
        </w:rPr>
        <w:t>key aspects</w:t>
      </w:r>
      <w:r w:rsidR="00466126" w:rsidRPr="00063CE2">
        <w:rPr>
          <w:noProof w:val="0"/>
          <w:color w:val="auto"/>
          <w:lang w:val="en-US"/>
        </w:rPr>
        <w:t>.</w:t>
      </w:r>
      <w:r w:rsidRPr="00063CE2">
        <w:rPr>
          <w:noProof w:val="0"/>
          <w:color w:val="auto"/>
          <w:lang w:val="en-US"/>
        </w:rPr>
        <w:t xml:space="preserve"> </w:t>
      </w:r>
      <w:r w:rsidR="008F67FA" w:rsidRPr="00063CE2">
        <w:rPr>
          <w:noProof w:val="0"/>
          <w:color w:val="auto"/>
          <w:lang w:val="en-US"/>
        </w:rPr>
        <w:t>As described</w:t>
      </w:r>
      <w:r w:rsidR="0020593C" w:rsidRPr="00063CE2">
        <w:rPr>
          <w:noProof w:val="0"/>
          <w:color w:val="auto"/>
          <w:lang w:val="en-US"/>
        </w:rPr>
        <w:t xml:space="preserve"> above</w:t>
      </w:r>
      <w:r w:rsidR="008F67FA" w:rsidRPr="00063CE2">
        <w:rPr>
          <w:noProof w:val="0"/>
          <w:color w:val="auto"/>
          <w:lang w:val="en-US"/>
        </w:rPr>
        <w:t>, the protocol begins with the recruitment of donors</w:t>
      </w:r>
      <w:r w:rsidR="002F70F5" w:rsidRPr="00063CE2">
        <w:rPr>
          <w:noProof w:val="0"/>
          <w:color w:val="auto"/>
          <w:lang w:val="en-US"/>
        </w:rPr>
        <w:t>,</w:t>
      </w:r>
      <w:r w:rsidR="008F67FA" w:rsidRPr="00063CE2">
        <w:rPr>
          <w:noProof w:val="0"/>
          <w:color w:val="auto"/>
          <w:lang w:val="en-US"/>
        </w:rPr>
        <w:t xml:space="preserve"> which is</w:t>
      </w:r>
      <w:r w:rsidR="004357A4" w:rsidRPr="00063CE2">
        <w:rPr>
          <w:noProof w:val="0"/>
          <w:color w:val="auto"/>
          <w:lang w:val="en-US"/>
        </w:rPr>
        <w:t xml:space="preserve"> the first</w:t>
      </w:r>
      <w:r w:rsidR="008F67FA" w:rsidRPr="00063CE2">
        <w:rPr>
          <w:noProof w:val="0"/>
          <w:color w:val="auto"/>
          <w:lang w:val="en-US"/>
        </w:rPr>
        <w:t xml:space="preserve"> </w:t>
      </w:r>
      <w:r w:rsidR="002F70F5" w:rsidRPr="00063CE2">
        <w:rPr>
          <w:noProof w:val="0"/>
          <w:color w:val="auto"/>
          <w:lang w:val="en-US"/>
        </w:rPr>
        <w:t xml:space="preserve">crucial </w:t>
      </w:r>
      <w:r w:rsidR="004357A4" w:rsidRPr="00063CE2">
        <w:rPr>
          <w:noProof w:val="0"/>
          <w:color w:val="auto"/>
          <w:lang w:val="en-US"/>
        </w:rPr>
        <w:t>step</w:t>
      </w:r>
      <w:r w:rsidR="00466126" w:rsidRPr="00063CE2">
        <w:rPr>
          <w:noProof w:val="0"/>
          <w:color w:val="auto"/>
          <w:lang w:val="en-US"/>
        </w:rPr>
        <w:t>. T</w:t>
      </w:r>
      <w:r w:rsidR="004357A4" w:rsidRPr="00063CE2">
        <w:rPr>
          <w:noProof w:val="0"/>
          <w:color w:val="auto"/>
          <w:lang w:val="en-US"/>
        </w:rPr>
        <w:t>hen, i</w:t>
      </w:r>
      <w:r w:rsidR="009C10FC" w:rsidRPr="00063CE2">
        <w:rPr>
          <w:noProof w:val="0"/>
          <w:color w:val="auto"/>
          <w:lang w:val="en-US"/>
        </w:rPr>
        <w:t>t is necessary that the donors continue the follow-up</w:t>
      </w:r>
      <w:r w:rsidR="004F1B8A" w:rsidRPr="00063CE2">
        <w:rPr>
          <w:noProof w:val="0"/>
          <w:color w:val="auto"/>
          <w:lang w:val="en-US"/>
        </w:rPr>
        <w:t xml:space="preserve"> program</w:t>
      </w:r>
      <w:r w:rsidR="009C10FC" w:rsidRPr="00063CE2">
        <w:rPr>
          <w:noProof w:val="0"/>
          <w:color w:val="auto"/>
          <w:lang w:val="en-US"/>
        </w:rPr>
        <w:t xml:space="preserve"> and maintain the adhesion to the project</w:t>
      </w:r>
      <w:r w:rsidRPr="00063CE2">
        <w:rPr>
          <w:noProof w:val="0"/>
          <w:color w:val="auto"/>
          <w:lang w:val="en-US"/>
        </w:rPr>
        <w:t xml:space="preserve"> over time</w:t>
      </w:r>
      <w:r w:rsidR="009C10FC" w:rsidRPr="00063CE2">
        <w:rPr>
          <w:noProof w:val="0"/>
          <w:color w:val="auto"/>
          <w:lang w:val="en-US"/>
        </w:rPr>
        <w:t xml:space="preserve"> until the </w:t>
      </w:r>
      <w:r w:rsidR="004F1B8A" w:rsidRPr="00063CE2">
        <w:rPr>
          <w:noProof w:val="0"/>
          <w:color w:val="auto"/>
          <w:lang w:val="en-US"/>
        </w:rPr>
        <w:t>actual</w:t>
      </w:r>
      <w:r w:rsidR="009C10FC" w:rsidRPr="00063CE2">
        <w:rPr>
          <w:noProof w:val="0"/>
          <w:color w:val="auto"/>
          <w:lang w:val="en-US"/>
        </w:rPr>
        <w:t xml:space="preserve"> donation of the brain</w:t>
      </w:r>
      <w:r w:rsidR="00466126" w:rsidRPr="00063CE2">
        <w:rPr>
          <w:noProof w:val="0"/>
          <w:color w:val="auto"/>
          <w:lang w:val="en-US"/>
        </w:rPr>
        <w:t>.</w:t>
      </w:r>
      <w:r w:rsidRPr="00063CE2">
        <w:rPr>
          <w:noProof w:val="0"/>
          <w:color w:val="auto"/>
          <w:lang w:val="en-US"/>
        </w:rPr>
        <w:t xml:space="preserve"> </w:t>
      </w:r>
      <w:r w:rsidR="004F1B8A" w:rsidRPr="00063CE2">
        <w:rPr>
          <w:noProof w:val="0"/>
          <w:color w:val="auto"/>
          <w:lang w:val="en-US"/>
        </w:rPr>
        <w:t>At the time of death</w:t>
      </w:r>
      <w:r w:rsidR="004357A4" w:rsidRPr="00063CE2">
        <w:rPr>
          <w:noProof w:val="0"/>
          <w:color w:val="auto"/>
          <w:lang w:val="en-US"/>
        </w:rPr>
        <w:t>,</w:t>
      </w:r>
      <w:r w:rsidR="004F1B8A" w:rsidRPr="00063CE2">
        <w:rPr>
          <w:noProof w:val="0"/>
          <w:color w:val="auto"/>
          <w:lang w:val="en-US"/>
        </w:rPr>
        <w:t xml:space="preserve"> it is necessary for </w:t>
      </w:r>
      <w:r w:rsidR="0020593C" w:rsidRPr="00063CE2">
        <w:rPr>
          <w:noProof w:val="0"/>
          <w:color w:val="auto"/>
          <w:lang w:val="en-US"/>
        </w:rPr>
        <w:t xml:space="preserve">the </w:t>
      </w:r>
      <w:r w:rsidRPr="00063CE2">
        <w:rPr>
          <w:noProof w:val="0"/>
          <w:color w:val="auto"/>
          <w:lang w:val="en-US"/>
        </w:rPr>
        <w:t>ABB</w:t>
      </w:r>
      <w:r w:rsidR="004F1B8A" w:rsidRPr="00063CE2">
        <w:rPr>
          <w:noProof w:val="0"/>
          <w:color w:val="auto"/>
          <w:lang w:val="en-US"/>
        </w:rPr>
        <w:t xml:space="preserve"> staff to be promptly notified in order to convene the autopsy team within 24 hours</w:t>
      </w:r>
      <w:r w:rsidR="008437A8" w:rsidRPr="00063CE2">
        <w:rPr>
          <w:noProof w:val="0"/>
          <w:color w:val="auto"/>
          <w:lang w:val="en-US"/>
        </w:rPr>
        <w:t xml:space="preserve">, </w:t>
      </w:r>
      <w:r w:rsidR="001E2B8E" w:rsidRPr="00063CE2">
        <w:rPr>
          <w:noProof w:val="0"/>
          <w:color w:val="auto"/>
          <w:lang w:val="en-US"/>
        </w:rPr>
        <w:t>being</w:t>
      </w:r>
      <w:r w:rsidR="008437A8" w:rsidRPr="00063CE2">
        <w:rPr>
          <w:noProof w:val="0"/>
          <w:color w:val="auto"/>
          <w:lang w:val="en-US"/>
        </w:rPr>
        <w:t xml:space="preserve"> important for adequate tissue quality</w:t>
      </w:r>
      <w:r w:rsidR="00466126" w:rsidRPr="00063CE2">
        <w:rPr>
          <w:noProof w:val="0"/>
          <w:color w:val="auto"/>
          <w:lang w:val="en-US"/>
        </w:rPr>
        <w:t>.</w:t>
      </w:r>
      <w:r w:rsidRPr="00063CE2">
        <w:rPr>
          <w:noProof w:val="0"/>
          <w:color w:val="auto"/>
          <w:lang w:val="en-US"/>
        </w:rPr>
        <w:t xml:space="preserve"> </w:t>
      </w:r>
      <w:r w:rsidR="008437A8" w:rsidRPr="00063CE2">
        <w:rPr>
          <w:noProof w:val="0"/>
          <w:color w:val="auto"/>
          <w:lang w:val="en-US"/>
        </w:rPr>
        <w:t xml:space="preserve">Fresh cutting of the cerebral hemispheres requires a steady hand and </w:t>
      </w:r>
      <w:r w:rsidR="002F70F5" w:rsidRPr="00063CE2">
        <w:rPr>
          <w:noProof w:val="0"/>
          <w:color w:val="auto"/>
          <w:lang w:val="en-US"/>
        </w:rPr>
        <w:t xml:space="preserve">a </w:t>
      </w:r>
      <w:r w:rsidR="008437A8" w:rsidRPr="00063CE2">
        <w:rPr>
          <w:noProof w:val="0"/>
          <w:color w:val="auto"/>
          <w:lang w:val="en-US"/>
        </w:rPr>
        <w:t>specific training</w:t>
      </w:r>
      <w:r w:rsidR="00466126" w:rsidRPr="00063CE2">
        <w:rPr>
          <w:noProof w:val="0"/>
          <w:color w:val="auto"/>
          <w:lang w:val="en-US"/>
        </w:rPr>
        <w:t>.</w:t>
      </w:r>
      <w:r w:rsidR="00F25AC8" w:rsidRPr="00063CE2">
        <w:rPr>
          <w:noProof w:val="0"/>
          <w:color w:val="auto"/>
          <w:lang w:val="en-US"/>
        </w:rPr>
        <w:t xml:space="preserve"> </w:t>
      </w:r>
      <w:r w:rsidR="005E07F9" w:rsidRPr="00063CE2">
        <w:rPr>
          <w:noProof w:val="0"/>
          <w:color w:val="auto"/>
          <w:lang w:val="en-US"/>
        </w:rPr>
        <w:t>To</w:t>
      </w:r>
      <w:r w:rsidR="004357A4" w:rsidRPr="00063CE2">
        <w:rPr>
          <w:noProof w:val="0"/>
          <w:color w:val="auto"/>
          <w:lang w:val="en-US"/>
        </w:rPr>
        <w:t xml:space="preserve"> avoid cellular damage caused by slow freezing and</w:t>
      </w:r>
      <w:r w:rsidR="008437A8" w:rsidRPr="00063CE2">
        <w:rPr>
          <w:noProof w:val="0"/>
          <w:color w:val="auto"/>
          <w:lang w:val="en-US"/>
        </w:rPr>
        <w:t xml:space="preserve"> </w:t>
      </w:r>
      <w:r w:rsidR="00F11D97" w:rsidRPr="00063CE2">
        <w:rPr>
          <w:noProof w:val="0"/>
          <w:color w:val="auto"/>
          <w:lang w:val="en-US"/>
        </w:rPr>
        <w:t xml:space="preserve">obtain good quality slices </w:t>
      </w:r>
      <w:r w:rsidR="004357A4" w:rsidRPr="00063CE2">
        <w:rPr>
          <w:noProof w:val="0"/>
          <w:color w:val="auto"/>
          <w:lang w:val="en-US"/>
        </w:rPr>
        <w:t>for</w:t>
      </w:r>
      <w:r w:rsidR="00F11D97" w:rsidRPr="00063CE2">
        <w:rPr>
          <w:noProof w:val="0"/>
          <w:color w:val="auto"/>
          <w:lang w:val="en-US"/>
        </w:rPr>
        <w:t xml:space="preserve"> the cryostat</w:t>
      </w:r>
      <w:r w:rsidR="004357A4" w:rsidRPr="00063CE2">
        <w:rPr>
          <w:noProof w:val="0"/>
          <w:color w:val="auto"/>
          <w:lang w:val="en-US"/>
        </w:rPr>
        <w:t xml:space="preserve"> and </w:t>
      </w:r>
      <w:r w:rsidR="00F47A85" w:rsidRPr="00063CE2">
        <w:rPr>
          <w:noProof w:val="0"/>
          <w:color w:val="auto"/>
          <w:lang w:val="en-US"/>
        </w:rPr>
        <w:t>O</w:t>
      </w:r>
      <w:r w:rsidR="00815A91" w:rsidRPr="00063CE2">
        <w:rPr>
          <w:noProof w:val="0"/>
          <w:color w:val="auto"/>
          <w:lang w:val="en-US"/>
        </w:rPr>
        <w:t>mics</w:t>
      </w:r>
      <w:r w:rsidR="00F11D97" w:rsidRPr="00063CE2">
        <w:rPr>
          <w:noProof w:val="0"/>
          <w:color w:val="auto"/>
          <w:lang w:val="en-US"/>
        </w:rPr>
        <w:t xml:space="preserve">, </w:t>
      </w:r>
      <w:r w:rsidR="004357A4" w:rsidRPr="00063CE2">
        <w:rPr>
          <w:noProof w:val="0"/>
          <w:color w:val="auto"/>
          <w:lang w:val="en-US"/>
        </w:rPr>
        <w:t>i</w:t>
      </w:r>
      <w:r w:rsidR="008437A8" w:rsidRPr="00063CE2">
        <w:rPr>
          <w:noProof w:val="0"/>
          <w:color w:val="auto"/>
          <w:lang w:val="en-US"/>
        </w:rPr>
        <w:t xml:space="preserve">t is important that </w:t>
      </w:r>
      <w:r w:rsidR="00F11D97" w:rsidRPr="00063CE2">
        <w:rPr>
          <w:noProof w:val="0"/>
          <w:color w:val="auto"/>
          <w:lang w:val="en-US"/>
        </w:rPr>
        <w:t>they</w:t>
      </w:r>
      <w:r w:rsidR="008437A8" w:rsidRPr="00063CE2">
        <w:rPr>
          <w:noProof w:val="0"/>
          <w:color w:val="auto"/>
          <w:lang w:val="en-US"/>
        </w:rPr>
        <w:t xml:space="preserve"> </w:t>
      </w:r>
      <w:r w:rsidR="001E2B8E" w:rsidRPr="00063CE2">
        <w:rPr>
          <w:noProof w:val="0"/>
          <w:color w:val="auto"/>
          <w:lang w:val="en-US"/>
        </w:rPr>
        <w:t>are frozen quickly</w:t>
      </w:r>
      <w:r w:rsidR="00466126" w:rsidRPr="00063CE2">
        <w:rPr>
          <w:noProof w:val="0"/>
          <w:color w:val="auto"/>
          <w:lang w:val="en-US"/>
        </w:rPr>
        <w:t>.</w:t>
      </w:r>
      <w:r w:rsidR="009E2E97" w:rsidRPr="00063CE2">
        <w:rPr>
          <w:noProof w:val="0"/>
          <w:color w:val="auto"/>
          <w:lang w:val="en-US"/>
        </w:rPr>
        <w:t xml:space="preserve"> </w:t>
      </w:r>
      <w:r w:rsidR="00FD079E" w:rsidRPr="00063CE2">
        <w:rPr>
          <w:noProof w:val="0"/>
          <w:color w:val="auto"/>
          <w:lang w:val="en-US"/>
        </w:rPr>
        <w:t>Considering the speed of penetration of formalin</w:t>
      </w:r>
      <w:r w:rsidR="004E7E7F" w:rsidRPr="00063CE2">
        <w:rPr>
          <w:noProof w:val="0"/>
          <w:color w:val="auto"/>
          <w:lang w:val="en-US"/>
        </w:rPr>
        <w:t xml:space="preserve"> solution</w:t>
      </w:r>
      <w:r w:rsidR="00FD079E" w:rsidRPr="00063CE2">
        <w:rPr>
          <w:noProof w:val="0"/>
          <w:color w:val="auto"/>
          <w:lang w:val="en-US"/>
        </w:rPr>
        <w:t xml:space="preserve"> (1 mm/hour), to preserve tissue antigenicity the soaking time of</w:t>
      </w:r>
      <w:r w:rsidR="00165415" w:rsidRPr="00063CE2">
        <w:rPr>
          <w:noProof w:val="0"/>
          <w:color w:val="auto"/>
          <w:lang w:val="en-US"/>
        </w:rPr>
        <w:t xml:space="preserve"> the</w:t>
      </w:r>
      <w:r w:rsidR="00FD079E" w:rsidRPr="00063CE2">
        <w:rPr>
          <w:noProof w:val="0"/>
          <w:color w:val="auto"/>
          <w:lang w:val="en-US"/>
        </w:rPr>
        <w:t xml:space="preserve"> single </w:t>
      </w:r>
      <w:r w:rsidR="00165415" w:rsidRPr="00063CE2">
        <w:rPr>
          <w:noProof w:val="0"/>
          <w:color w:val="auto"/>
          <w:lang w:val="en-US"/>
        </w:rPr>
        <w:t>slice is kept at its minimum.</w:t>
      </w:r>
    </w:p>
    <w:p w14:paraId="1227D3FF" w14:textId="77777777" w:rsidR="003978E5" w:rsidRPr="00063CE2" w:rsidRDefault="003978E5">
      <w:pPr>
        <w:rPr>
          <w:noProof w:val="0"/>
          <w:color w:val="auto"/>
          <w:lang w:val="en-US"/>
        </w:rPr>
      </w:pPr>
    </w:p>
    <w:p w14:paraId="7DB53FDE" w14:textId="77777777" w:rsidR="003978E5" w:rsidRPr="00063CE2" w:rsidRDefault="00F12231">
      <w:pPr>
        <w:rPr>
          <w:rFonts w:asciiTheme="minorHAnsi" w:hAnsiTheme="minorHAnsi" w:cstheme="minorHAnsi"/>
          <w:noProof w:val="0"/>
          <w:color w:val="auto"/>
          <w:lang w:val="en-US"/>
        </w:rPr>
      </w:pPr>
      <w:r w:rsidRPr="00063CE2">
        <w:rPr>
          <w:rFonts w:asciiTheme="minorHAnsi" w:hAnsiTheme="minorHAnsi" w:cstheme="minorHAnsi"/>
          <w:b/>
          <w:noProof w:val="0"/>
          <w:color w:val="auto"/>
          <w:lang w:val="en-US"/>
        </w:rPr>
        <w:t>T</w:t>
      </w:r>
      <w:r w:rsidR="00F869F2" w:rsidRPr="00063CE2">
        <w:rPr>
          <w:rFonts w:asciiTheme="minorHAnsi" w:hAnsiTheme="minorHAnsi" w:cstheme="minorHAnsi"/>
          <w:b/>
          <w:noProof w:val="0"/>
          <w:color w:val="auto"/>
          <w:lang w:val="en-US"/>
        </w:rPr>
        <w:t>roubleshooting of the method</w:t>
      </w:r>
    </w:p>
    <w:p w14:paraId="065951AF" w14:textId="138EFF75" w:rsidR="00C0076D" w:rsidRPr="00063CE2" w:rsidRDefault="00AD579F">
      <w:pPr>
        <w:rPr>
          <w:noProof w:val="0"/>
          <w:color w:val="auto"/>
          <w:lang w:val="en-US"/>
        </w:rPr>
      </w:pPr>
      <w:r w:rsidRPr="00063CE2">
        <w:rPr>
          <w:noProof w:val="0"/>
          <w:color w:val="auto"/>
          <w:lang w:val="en-US"/>
        </w:rPr>
        <w:t>In order to address the critical steps mentioned above</w:t>
      </w:r>
      <w:r w:rsidR="00C0076D" w:rsidRPr="00063CE2">
        <w:rPr>
          <w:noProof w:val="0"/>
          <w:color w:val="auto"/>
          <w:lang w:val="en-US"/>
        </w:rPr>
        <w:t xml:space="preserve"> we </w:t>
      </w:r>
      <w:r w:rsidR="00F24A5E" w:rsidRPr="00063CE2">
        <w:rPr>
          <w:noProof w:val="0"/>
          <w:color w:val="auto"/>
          <w:lang w:val="en-US"/>
        </w:rPr>
        <w:t>offer</w:t>
      </w:r>
      <w:r w:rsidR="00C0076D" w:rsidRPr="00063CE2">
        <w:rPr>
          <w:noProof w:val="0"/>
          <w:color w:val="auto"/>
          <w:lang w:val="en-US"/>
        </w:rPr>
        <w:t xml:space="preserve"> the following approach.</w:t>
      </w:r>
    </w:p>
    <w:p w14:paraId="39EA38A1" w14:textId="5931AB9C" w:rsidR="00C0076D" w:rsidRPr="00063CE2" w:rsidRDefault="00C0076D">
      <w:pPr>
        <w:rPr>
          <w:rFonts w:cs="Baskerville"/>
          <w:noProof w:val="0"/>
          <w:color w:val="auto"/>
          <w:lang w:val="en-US"/>
        </w:rPr>
      </w:pPr>
      <w:r w:rsidRPr="00063CE2">
        <w:rPr>
          <w:noProof w:val="0"/>
          <w:color w:val="auto"/>
          <w:lang w:val="en-US"/>
        </w:rPr>
        <w:t>Donor recruitment</w:t>
      </w:r>
      <w:r w:rsidR="00815A91" w:rsidRPr="00063CE2">
        <w:rPr>
          <w:noProof w:val="0"/>
          <w:color w:val="auto"/>
          <w:lang w:val="en-US"/>
        </w:rPr>
        <w:t xml:space="preserve"> and adherence to follow-ups</w:t>
      </w:r>
      <w:r w:rsidRPr="00063CE2">
        <w:rPr>
          <w:noProof w:val="0"/>
          <w:color w:val="auto"/>
          <w:lang w:val="en-US"/>
        </w:rPr>
        <w:t xml:space="preserve">: </w:t>
      </w:r>
      <w:r w:rsidR="00815A91" w:rsidRPr="00063CE2">
        <w:rPr>
          <w:noProof w:val="0"/>
          <w:color w:val="auto"/>
          <w:lang w:val="en-US"/>
        </w:rPr>
        <w:t xml:space="preserve">There are several factors that hinder brain donation including fears of damaging the body’s figure, purity and integrity, or of the possibility of </w:t>
      </w:r>
      <w:r w:rsidR="00BA7785" w:rsidRPr="00063CE2">
        <w:rPr>
          <w:noProof w:val="0"/>
          <w:color w:val="auto"/>
          <w:lang w:val="en-US"/>
        </w:rPr>
        <w:t>feeling</w:t>
      </w:r>
      <w:r w:rsidR="00815A91" w:rsidRPr="00063CE2">
        <w:rPr>
          <w:noProof w:val="0"/>
          <w:color w:val="auto"/>
          <w:lang w:val="en-US"/>
        </w:rPr>
        <w:t xml:space="preserve"> pain after death. Some even worry that the autopsy may be conducted whilst they are still alive</w:t>
      </w:r>
      <w:r w:rsidR="004A14CB" w:rsidRPr="00063CE2">
        <w:rPr>
          <w:noProof w:val="0"/>
          <w:color w:val="auto"/>
          <w:lang w:val="en-US"/>
        </w:rPr>
        <w:fldChar w:fldCharType="begin" w:fldLock="1"/>
      </w:r>
      <w:r w:rsidR="00C1675A">
        <w:rPr>
          <w:noProof w:val="0"/>
          <w:color w:val="auto"/>
          <w:lang w:val="en-US"/>
        </w:rPr>
        <w:instrText>ADDIN CSL_CITATION {"citationItems":[{"id":"ITEM-1","itemData":{"ISSN":"0002-0729","PMID":"12675101","abstract":"OBJECTIVES to find out the attitudes to brain donation for research purposes and factors involved in decision-making in elderly people. DESIGN questionnaire administered after the decision had been made. SETTING AND SUBJECTS 200 of the 640 people in Nottingham aged 67-100 who were assessed as part of the Medical Research Council multicentre Cognitive Function and Ageing Study of 2,518 people over 65 and were approached to consider brain donation for the neuropathology component of the study of dementia incidence. RESULTS Most people completing the questionnaire had positive or neutral feelings about being approached. Positive influences included: personal approach, awareness of need for research and of suffering caused by dementia and a desire to help others. Many had fears about not being really dead, about post mortem examinations and feeling pain after death. Most preferred cremation and these were much more likely to donate. Two-thirds thought death was not talked about enough: 65% of those visited found talking helpful. Relatives had an important influence, usually dissuading the person from donating. CONCLUSIONS some families who agreed to a relative's decision to donate only did so after discussing it together well in advance of death would have been unlikely to have agreed had they been approached for the first timeonly after death. There is a need to: (i) talk more about death, addressing people's fears, (ii) increase awareness of the need for autopsies and donation for research and (iii) provide more training in talking about death andautopsies.","author":[{"dropping-particle":"","family":"Stevens","given":"M","non-dropping-particle":"","parse-names":false,"suffix":""}],"container-title":"Age and ageing","id":"ITEM-1","issue":"5","issued":{"date-parts":[["1998","9"]]},"page":"623-9","title":"Factors influencing decisions about donation of the brain for research purposes.","type":"article-journal","volume":"27"},"uris":["http://www.mendeley.com/documents/?uuid=84be64d6-d666-3704-b095-389a2ddf0180"]},{"id":"ITEM-2","itemData":{"ISSN":"1875-8908","PMID":"26756326","abstract":"Postmortem neuropathological examination of the brain is essential in neurodegenerative diseases, to ensure accurate diagnosis, to obtain an a posteriori critical assessment of the adequacy of clinical care, and to validate new biomarkers, but is only rarely performed. The purpose of this study was to assess factors limiting brain donation, such as reluctance of physicians to seek donation consent, opposition from patients and families, and organizational constraints. We conducted a survey across French memory clinics and major neuropathological centers. Few postmortem examinations were performed annually, as less than one third of the centers had performed at least five autopsies, and 41% had performed none. The main limiting factor was the lack of donation requests made by physicians, as half of them never approach patients for brain donation. Reasons for not seeking donation consent often include discomfort broaching the subject and lack of awareness of the medical and scientific benefit of postmortems (77%), organizational constraints (61%), and overestimation of families' negative reaction (51%). Family refusals represented a second major obstacle, and were often caused by misconceptions. Identifying and addressing these biases early could help improve physicians' rate of making requests and the public's awareness about the importance of brain donation.","author":[{"dropping-particle":"","family":"Bouc","given":"Raphael","non-dropping-particle":"Le","parse-names":false,"suffix":""},{"dropping-particle":"","family":"Marelli","given":"Cecilia","non-dropping-particle":"","parse-names":false,"suffix":""},{"dropping-particle":"","family":"Beaufils","given":"Emilie","non-dropping-particle":"","parse-names":false,"suffix":""},{"dropping-particle":"","family":"Berr","given":"Claudine","non-dropping-particle":"","parse-names":false,"suffix":""},{"dropping-particle":"","family":"Hommet","given":"Caroline","non-dropping-particle":"","parse-names":false,"suffix":""},{"dropping-particle":"","family":"Touchon","given":"Jacques","non-dropping-particle":"","parse-names":false,"suffix":""},{"dropping-particle":"","family":"Pasquier","given":"Florence","non-dropping-particle":"","parse-names":false,"suffix":""},{"dropping-particle":"","family":"Deramecourt","given":"Vincent","non-dropping-particle":"","parse-names":false,"suffix":""}],"container-title":"Journal of Alzheimer's disease : JAD","id":"ITEM-2","issue":"4","issued":{"date-parts":[["2016","11","20"]]},"page":"1075-83","title":"Limiting Factors of Brain Donation in Neurodegenerative Diseases: The Example of French Memory Clinics.","type":"article-journal","volume":"49"},"uris":["http://www.mendeley.com/documents/?uuid=7f40eef7-041a-385e-b84d-1b62dbbc9b54"]}],"mendeley":{"formattedCitation":"&lt;sup&gt;70, 71&lt;/sup&gt;","plainTextFormattedCitation":"70, 71","previouslyFormattedCitation":"&lt;sup&gt;70, 71&lt;/sup&gt;"},"properties":{"noteIndex":0},"schema":"https://github.com/citation-style-language/schema/raw/master/csl-citation.json"}</w:instrText>
      </w:r>
      <w:r w:rsidR="004A14CB" w:rsidRPr="00063CE2">
        <w:rPr>
          <w:noProof w:val="0"/>
          <w:color w:val="auto"/>
          <w:lang w:val="en-US"/>
        </w:rPr>
        <w:fldChar w:fldCharType="separate"/>
      </w:r>
      <w:r w:rsidR="00C1675A" w:rsidRPr="00C1675A">
        <w:rPr>
          <w:color w:val="auto"/>
          <w:vertAlign w:val="superscript"/>
          <w:lang w:val="en-US"/>
        </w:rPr>
        <w:t>70, 71</w:t>
      </w:r>
      <w:r w:rsidR="004A14CB" w:rsidRPr="00063CE2">
        <w:rPr>
          <w:noProof w:val="0"/>
          <w:color w:val="auto"/>
          <w:lang w:val="en-US"/>
        </w:rPr>
        <w:fldChar w:fldCharType="end"/>
      </w:r>
      <w:r w:rsidR="00815A91" w:rsidRPr="00063CE2">
        <w:rPr>
          <w:noProof w:val="0"/>
          <w:color w:val="auto"/>
          <w:lang w:val="en-US"/>
        </w:rPr>
        <w:t>.</w:t>
      </w:r>
      <w:r w:rsidR="00815A91" w:rsidRPr="00063CE2">
        <w:rPr>
          <w:noProof w:val="0"/>
          <w:color w:val="auto"/>
          <w:vertAlign w:val="superscript"/>
          <w:lang w:val="en-US"/>
        </w:rPr>
        <w:t xml:space="preserve"> </w:t>
      </w:r>
      <w:r w:rsidR="00815A91" w:rsidRPr="00063CE2">
        <w:rPr>
          <w:noProof w:val="0"/>
          <w:color w:val="auto"/>
          <w:lang w:val="en-US"/>
        </w:rPr>
        <w:t>Concerns about disruption of funeral arrangements and financial burden are also present</w:t>
      </w:r>
      <w:r w:rsidR="00815A91" w:rsidRPr="00063CE2">
        <w:rPr>
          <w:noProof w:val="0"/>
          <w:color w:val="auto"/>
          <w:lang w:val="en-US"/>
        </w:rPr>
        <w:fldChar w:fldCharType="begin" w:fldLock="1"/>
      </w:r>
      <w:r w:rsidR="00C1675A">
        <w:rPr>
          <w:noProof w:val="0"/>
          <w:color w:val="auto"/>
          <w:lang w:val="en-US"/>
        </w:rPr>
        <w:instrText>ADDIN CSL_CITATION {"citationItems":[{"id":"ITEM-1","itemData":{"ISSN":"1474-4465","PMID":"24074724","abstract":"Brain banks are used to gather, store, and provide human brain tissue for research and have been fundamental to improving our knowledge of the brain in health and disease. To maintain this role, the legal and ethical issues relevant to the operations of brain banks need to be more widely understood. In recent years, researchers have reported that shortages of high-quality brain tissue samples from both healthy and diseased people have impaired their efforts. Closer collaborations between brain banks and improved strategies for brain donation programmes will be essential to overcome these problems as the demand for brain tissue increases and new research techniques become more widespread, with the potential for substantial scientific advances in increasingly common neurological disorders.","author":[{"dropping-particle":"","family":"Samarasekera","given":"Neshika","non-dropping-particle":"","parse-names":false,"suffix":""},{"dropping-particle":"","family":"Al-Shahi Salman","given":"Rustam","non-dropping-particle":"","parse-names":false,"suffix":""},{"dropping-particle":"","family":"Huitinga","given":"Inge","non-dropping-particle":"","parse-names":false,"suffix":""},{"dropping-particle":"","family":"Klioueva","given":"Natasja","non-dropping-particle":"","parse-names":false,"suffix":""},{"dropping-particle":"","family":"McLean","given":"Catriona A","non-dropping-particle":"","parse-names":false,"suffix":""},{"dropping-particle":"","family":"Kretzschmar","given":"Hans","non-dropping-particle":"","parse-names":false,"suffix":""},{"dropping-particle":"","family":"Smith","given":"Colin","non-dropping-particle":"","parse-names":false,"suffix":""},{"dropping-particle":"","family":"Ironside","given":"James W","non-dropping-particle":"","parse-names":false,"suffix":""}],"container-title":"The Lancet. Neurology","id":"ITEM-1","issue":"11","issued":{"date-parts":[["2013","11"]]},"page":"1096-105","title":"Brain banking for neurological disorders.","type":"article-journal","volume":"12"},"uris":["http://www.mendeley.com/documents/?uuid=094bf0c7-ad05-3f92-83d5-c08f9a66e9b5"]}],"mendeley":{"formattedCitation":"&lt;sup&gt;72&lt;/sup&gt;","plainTextFormattedCitation":"72","previouslyFormattedCitation":"&lt;sup&gt;72&lt;/sup&gt;"},"properties":{"noteIndex":0},"schema":"https://github.com/citation-style-language/schema/raw/master/csl-citation.json"}</w:instrText>
      </w:r>
      <w:r w:rsidR="00815A91" w:rsidRPr="00063CE2">
        <w:rPr>
          <w:noProof w:val="0"/>
          <w:color w:val="auto"/>
          <w:lang w:val="en-US"/>
        </w:rPr>
        <w:fldChar w:fldCharType="separate"/>
      </w:r>
      <w:r w:rsidR="00C1675A" w:rsidRPr="00C1675A">
        <w:rPr>
          <w:color w:val="auto"/>
          <w:vertAlign w:val="superscript"/>
          <w:lang w:val="en-US"/>
        </w:rPr>
        <w:t>72</w:t>
      </w:r>
      <w:r w:rsidR="00815A91" w:rsidRPr="00063CE2">
        <w:rPr>
          <w:noProof w:val="0"/>
          <w:color w:val="auto"/>
          <w:lang w:val="en-US"/>
        </w:rPr>
        <w:fldChar w:fldCharType="end"/>
      </w:r>
      <w:r w:rsidR="00815A91" w:rsidRPr="00063CE2">
        <w:rPr>
          <w:noProof w:val="0"/>
          <w:color w:val="auto"/>
          <w:lang w:val="en-US"/>
        </w:rPr>
        <w:t xml:space="preserve">. Furthermore, a medical personnel’s lack of knowledge about postmortem procedures and the inability to address the concerns of potential donors or their NOK may discourage registration. All these factors may produce a low level of awareness with a low number of enrolled </w:t>
      </w:r>
      <w:r w:rsidR="00815A91" w:rsidRPr="00063CE2">
        <w:rPr>
          <w:noProof w:val="0"/>
          <w:color w:val="auto"/>
          <w:lang w:val="en-US"/>
        </w:rPr>
        <w:lastRenderedPageBreak/>
        <w:t>participants and a high possibility of donor loss over time.</w:t>
      </w:r>
      <w:r w:rsidR="00927894" w:rsidRPr="00063CE2">
        <w:rPr>
          <w:noProof w:val="0"/>
          <w:color w:val="auto"/>
          <w:lang w:val="en-US"/>
        </w:rPr>
        <w:t xml:space="preserve"> Indeed, </w:t>
      </w:r>
      <w:r w:rsidR="00BA7785" w:rsidRPr="00063CE2">
        <w:rPr>
          <w:noProof w:val="0"/>
          <w:color w:val="auto"/>
          <w:lang w:val="en-US"/>
        </w:rPr>
        <w:t>t</w:t>
      </w:r>
      <w:r w:rsidR="00927894" w:rsidRPr="00063CE2">
        <w:rPr>
          <w:noProof w:val="0"/>
          <w:color w:val="auto"/>
          <w:lang w:val="en-US"/>
        </w:rPr>
        <w:t xml:space="preserve">he donor recruitment program should be efficient in spreading awareness, instilling trust and convincing people to register and maintain high rates of follow-up participation. In our experience, this is done through careful selection of potential donors and thorough explanation of the BB’s purposes. </w:t>
      </w:r>
      <w:r w:rsidR="00111DA7" w:rsidRPr="00063CE2">
        <w:rPr>
          <w:noProof w:val="0"/>
          <w:color w:val="auto"/>
          <w:lang w:val="en-US"/>
        </w:rPr>
        <w:t>W</w:t>
      </w:r>
      <w:r w:rsidR="00927894" w:rsidRPr="00063CE2">
        <w:rPr>
          <w:noProof w:val="0"/>
          <w:color w:val="auto"/>
          <w:lang w:val="en-US"/>
        </w:rPr>
        <w:t xml:space="preserve">e offer educational activities and an empathic approach addressing the fears and needs of both healthy people and </w:t>
      </w:r>
      <w:r w:rsidR="0020593C" w:rsidRPr="00063CE2">
        <w:rPr>
          <w:noProof w:val="0"/>
          <w:color w:val="auto"/>
          <w:lang w:val="en-US"/>
        </w:rPr>
        <w:t>those</w:t>
      </w:r>
      <w:r w:rsidR="00927894" w:rsidRPr="00063CE2">
        <w:rPr>
          <w:noProof w:val="0"/>
          <w:color w:val="auto"/>
          <w:lang w:val="en-US"/>
        </w:rPr>
        <w:t xml:space="preserve"> affected with neurodegenerative diseases and their families. We find that potential donors are more likely to give their consent when approached in person. A face-to-face approach creates a relationship based on mutual trust and respect which is fundamental to achieving a high percentage of registration to brain donation and follow-up assessments. </w:t>
      </w:r>
      <w:r w:rsidR="0020593C" w:rsidRPr="00063CE2">
        <w:rPr>
          <w:noProof w:val="0"/>
          <w:color w:val="auto"/>
          <w:lang w:val="en-US"/>
        </w:rPr>
        <w:t>A h</w:t>
      </w:r>
      <w:r w:rsidR="00927894" w:rsidRPr="00063CE2">
        <w:rPr>
          <w:noProof w:val="0"/>
          <w:color w:val="auto"/>
          <w:lang w:val="en-US"/>
        </w:rPr>
        <w:t xml:space="preserve">ighly trained </w:t>
      </w:r>
      <w:r w:rsidR="0020593C" w:rsidRPr="00063CE2">
        <w:rPr>
          <w:noProof w:val="0"/>
          <w:color w:val="auto"/>
          <w:lang w:val="en-US"/>
        </w:rPr>
        <w:t>staff</w:t>
      </w:r>
      <w:r w:rsidR="00927894" w:rsidRPr="00063CE2">
        <w:rPr>
          <w:noProof w:val="0"/>
          <w:color w:val="auto"/>
          <w:lang w:val="en-US"/>
        </w:rPr>
        <w:t xml:space="preserve"> with a strong sense of ethics first approaches the potential donor, discusses the possibility of donating the brain after death, explains the value of human brain tissue to neuroscientific research, and clarifies any doubt regarding postmortem procedures.</w:t>
      </w:r>
      <w:r w:rsidR="00996289" w:rsidRPr="00063CE2">
        <w:rPr>
          <w:noProof w:val="0"/>
          <w:color w:val="auto"/>
          <w:lang w:val="en-US"/>
        </w:rPr>
        <w:t xml:space="preserve"> Favorable word of mouth is equally important. A</w:t>
      </w:r>
      <w:r w:rsidR="00996289" w:rsidRPr="00063CE2">
        <w:rPr>
          <w:rFonts w:cs="Baskerville"/>
          <w:noProof w:val="0"/>
          <w:color w:val="auto"/>
          <w:lang w:val="en-US"/>
        </w:rPr>
        <w:t>fter the brain harvesting, appropriate attention and care is given to recompose the cadaver. It is important to show respect and gratitude to the deceased person by treating the cadaver gently. A few months after, a meeting is scheduled to communicate the results of the neuropathological analysis whenever requested by family members.</w:t>
      </w:r>
    </w:p>
    <w:p w14:paraId="723836EB" w14:textId="77777777" w:rsidR="00F35896" w:rsidRPr="00063CE2" w:rsidRDefault="00F35896">
      <w:pPr>
        <w:rPr>
          <w:noProof w:val="0"/>
          <w:color w:val="auto"/>
          <w:lang w:val="en-US"/>
        </w:rPr>
      </w:pPr>
    </w:p>
    <w:p w14:paraId="0A4256FA" w14:textId="4F16888B" w:rsidR="00344FDD" w:rsidRPr="00063CE2" w:rsidRDefault="00996289">
      <w:pPr>
        <w:rPr>
          <w:noProof w:val="0"/>
          <w:color w:val="auto"/>
          <w:lang w:val="en-US"/>
        </w:rPr>
      </w:pPr>
      <w:r w:rsidRPr="00063CE2">
        <w:rPr>
          <w:noProof w:val="0"/>
          <w:color w:val="auto"/>
          <w:lang w:val="en-US"/>
        </w:rPr>
        <w:t xml:space="preserve">The time of death and brain harvesting: </w:t>
      </w:r>
      <w:r w:rsidR="00111DA7" w:rsidRPr="00063CE2">
        <w:rPr>
          <w:noProof w:val="0"/>
          <w:color w:val="auto"/>
          <w:lang w:val="en-US"/>
        </w:rPr>
        <w:t>When</w:t>
      </w:r>
      <w:r w:rsidRPr="00063CE2">
        <w:rPr>
          <w:noProof w:val="0"/>
          <w:color w:val="auto"/>
          <w:lang w:val="en-US"/>
        </w:rPr>
        <w:t xml:space="preserve"> the person accepts, </w:t>
      </w:r>
      <w:r w:rsidR="0020551F" w:rsidRPr="00063CE2">
        <w:rPr>
          <w:noProof w:val="0"/>
          <w:color w:val="auto"/>
          <w:lang w:val="en-US"/>
        </w:rPr>
        <w:t>they</w:t>
      </w:r>
      <w:r w:rsidRPr="00063CE2">
        <w:rPr>
          <w:noProof w:val="0"/>
          <w:color w:val="auto"/>
          <w:lang w:val="en-US"/>
        </w:rPr>
        <w:t xml:space="preserve"> become a donor and </w:t>
      </w:r>
      <w:r w:rsidR="0020551F" w:rsidRPr="00063CE2">
        <w:rPr>
          <w:noProof w:val="0"/>
          <w:color w:val="auto"/>
          <w:lang w:val="en-US"/>
        </w:rPr>
        <w:t>are</w:t>
      </w:r>
      <w:r w:rsidRPr="00063CE2">
        <w:rPr>
          <w:noProof w:val="0"/>
          <w:color w:val="auto"/>
          <w:lang w:val="en-US"/>
        </w:rPr>
        <w:t xml:space="preserve"> given an identification card with a number to contact 24 hours/day, 7 days/week (the reception number of </w:t>
      </w:r>
      <w:r w:rsidR="0020551F" w:rsidRPr="00063CE2">
        <w:rPr>
          <w:noProof w:val="0"/>
          <w:color w:val="auto"/>
          <w:lang w:val="en-US"/>
        </w:rPr>
        <w:t xml:space="preserve">ASP </w:t>
      </w:r>
      <w:r w:rsidRPr="00063CE2">
        <w:rPr>
          <w:noProof w:val="0"/>
          <w:color w:val="auto"/>
          <w:lang w:val="en-US"/>
        </w:rPr>
        <w:t>Golgi-</w:t>
      </w:r>
      <w:proofErr w:type="spellStart"/>
      <w:r w:rsidRPr="00063CE2">
        <w:rPr>
          <w:noProof w:val="0"/>
          <w:color w:val="auto"/>
          <w:lang w:val="en-US"/>
        </w:rPr>
        <w:t>Redaelli</w:t>
      </w:r>
      <w:proofErr w:type="spellEnd"/>
      <w:r w:rsidRPr="00063CE2">
        <w:rPr>
          <w:noProof w:val="0"/>
          <w:color w:val="auto"/>
          <w:lang w:val="en-US"/>
        </w:rPr>
        <w:t xml:space="preserve"> Geriatric Hospital which is connected </w:t>
      </w:r>
      <w:r w:rsidR="0020593C" w:rsidRPr="00063CE2">
        <w:rPr>
          <w:noProof w:val="0"/>
          <w:color w:val="auto"/>
          <w:lang w:val="en-US"/>
        </w:rPr>
        <w:t>to</w:t>
      </w:r>
      <w:r w:rsidRPr="00063CE2">
        <w:rPr>
          <w:noProof w:val="0"/>
          <w:color w:val="auto"/>
          <w:lang w:val="en-US"/>
        </w:rPr>
        <w:t xml:space="preserve"> us). Moreover, an adhesive tag is given to</w:t>
      </w:r>
      <w:r w:rsidR="0020593C" w:rsidRPr="00063CE2">
        <w:rPr>
          <w:noProof w:val="0"/>
          <w:color w:val="auto"/>
          <w:lang w:val="en-US"/>
        </w:rPr>
        <w:t xml:space="preserve"> the</w:t>
      </w:r>
      <w:r w:rsidRPr="00063CE2">
        <w:rPr>
          <w:noProof w:val="0"/>
          <w:color w:val="auto"/>
          <w:lang w:val="en-US"/>
        </w:rPr>
        <w:t xml:space="preserve"> relatives to be used in case of hospitalizatio</w:t>
      </w:r>
      <w:r w:rsidR="00D43E9D" w:rsidRPr="00063CE2">
        <w:rPr>
          <w:noProof w:val="0"/>
          <w:color w:val="auto"/>
          <w:lang w:val="en-US"/>
        </w:rPr>
        <w:t>n.</w:t>
      </w:r>
      <w:r w:rsidR="00D43E9D" w:rsidRPr="00063CE2">
        <w:rPr>
          <w:rFonts w:cs="Baskerville"/>
          <w:noProof w:val="0"/>
          <w:color w:val="auto"/>
          <w:lang w:val="en-US"/>
        </w:rPr>
        <w:t xml:space="preserve"> The funeral agencies of the area were</w:t>
      </w:r>
      <w:r w:rsidR="00246754" w:rsidRPr="00063CE2">
        <w:rPr>
          <w:rFonts w:cs="Baskerville"/>
          <w:noProof w:val="0"/>
          <w:color w:val="auto"/>
          <w:lang w:val="en-US"/>
        </w:rPr>
        <w:t xml:space="preserve"> previously</w:t>
      </w:r>
      <w:r w:rsidR="00D43E9D" w:rsidRPr="00063CE2">
        <w:rPr>
          <w:rFonts w:cs="Baskerville"/>
          <w:noProof w:val="0"/>
          <w:color w:val="auto"/>
          <w:lang w:val="en-US"/>
        </w:rPr>
        <w:t xml:space="preserve"> informed to bring the body to the ABB facilities, where the autopsy team </w:t>
      </w:r>
      <w:r w:rsidR="0087273E" w:rsidRPr="00063CE2">
        <w:rPr>
          <w:rFonts w:cs="Baskerville"/>
          <w:noProof w:val="0"/>
          <w:color w:val="auto"/>
          <w:lang w:val="en-US"/>
        </w:rPr>
        <w:t>i</w:t>
      </w:r>
      <w:r w:rsidR="00D43E9D" w:rsidRPr="00063CE2">
        <w:rPr>
          <w:rFonts w:cs="Baskerville"/>
          <w:noProof w:val="0"/>
          <w:color w:val="auto"/>
          <w:lang w:val="en-US"/>
        </w:rPr>
        <w:t xml:space="preserve">s </w:t>
      </w:r>
      <w:r w:rsidR="00246754" w:rsidRPr="00063CE2">
        <w:rPr>
          <w:rFonts w:cs="Baskerville"/>
          <w:noProof w:val="0"/>
          <w:color w:val="auto"/>
          <w:lang w:val="en-US"/>
        </w:rPr>
        <w:t>summoned</w:t>
      </w:r>
      <w:r w:rsidR="00D43E9D" w:rsidRPr="00063CE2">
        <w:rPr>
          <w:rFonts w:cs="Baskerville"/>
          <w:noProof w:val="0"/>
          <w:color w:val="auto"/>
          <w:lang w:val="en-US"/>
        </w:rPr>
        <w:t>.</w:t>
      </w:r>
      <w:r w:rsidR="00246754" w:rsidRPr="00063CE2">
        <w:rPr>
          <w:rFonts w:cs="Baskerville"/>
          <w:noProof w:val="0"/>
          <w:color w:val="auto"/>
          <w:lang w:val="en-US"/>
        </w:rPr>
        <w:t xml:space="preserve"> The autopsy team is composed </w:t>
      </w:r>
      <w:r w:rsidR="0020593C" w:rsidRPr="00063CE2">
        <w:rPr>
          <w:rFonts w:cs="Baskerville"/>
          <w:noProof w:val="0"/>
          <w:color w:val="auto"/>
          <w:lang w:val="en-US"/>
        </w:rPr>
        <w:t>of</w:t>
      </w:r>
      <w:r w:rsidR="00246754" w:rsidRPr="00063CE2">
        <w:rPr>
          <w:rFonts w:cs="Baskerville"/>
          <w:noProof w:val="0"/>
          <w:color w:val="auto"/>
          <w:lang w:val="en-US"/>
        </w:rPr>
        <w:t xml:space="preserve"> a pathologist, </w:t>
      </w:r>
      <w:r w:rsidR="00246754" w:rsidRPr="00063CE2">
        <w:rPr>
          <w:noProof w:val="0"/>
          <w:color w:val="auto"/>
          <w:lang w:val="en-US"/>
        </w:rPr>
        <w:t xml:space="preserve">a neurologist and/or a neurobiologist, </w:t>
      </w:r>
      <w:r w:rsidR="00EB1B40" w:rsidRPr="00063CE2">
        <w:rPr>
          <w:noProof w:val="0"/>
          <w:color w:val="auto"/>
          <w:lang w:val="en-US"/>
        </w:rPr>
        <w:t xml:space="preserve">and </w:t>
      </w:r>
      <w:r w:rsidR="00246754" w:rsidRPr="00063CE2">
        <w:rPr>
          <w:noProof w:val="0"/>
          <w:color w:val="auto"/>
          <w:lang w:val="en-US"/>
        </w:rPr>
        <w:t>an anatomical room technicia</w:t>
      </w:r>
      <w:r w:rsidR="00EB1B40" w:rsidRPr="00063CE2">
        <w:rPr>
          <w:noProof w:val="0"/>
          <w:color w:val="auto"/>
          <w:lang w:val="en-US"/>
        </w:rPr>
        <w:t>n, which are on call from 6 am to 11 pm every day; some trainee students are also frequently present</w:t>
      </w:r>
      <w:r w:rsidR="00333E98" w:rsidRPr="00063CE2">
        <w:rPr>
          <w:noProof w:val="0"/>
          <w:color w:val="auto"/>
          <w:lang w:val="en-US"/>
        </w:rPr>
        <w:t xml:space="preserve"> to assist and take pictures.</w:t>
      </w:r>
    </w:p>
    <w:p w14:paraId="1CEE6287" w14:textId="24D14CFF" w:rsidR="004E7E7F" w:rsidRPr="00063CE2" w:rsidRDefault="00EB1B40">
      <w:pPr>
        <w:rPr>
          <w:noProof w:val="0"/>
          <w:color w:val="auto"/>
          <w:lang w:val="en-US"/>
        </w:rPr>
      </w:pPr>
      <w:r w:rsidRPr="00063CE2">
        <w:rPr>
          <w:noProof w:val="0"/>
          <w:color w:val="auto"/>
          <w:lang w:val="en-US"/>
        </w:rPr>
        <w:t xml:space="preserve">The precision and consistency of the fresh cutting procedures </w:t>
      </w:r>
      <w:r w:rsidR="0020593C" w:rsidRPr="00063CE2">
        <w:rPr>
          <w:noProof w:val="0"/>
          <w:color w:val="auto"/>
          <w:lang w:val="en-US"/>
        </w:rPr>
        <w:t>are</w:t>
      </w:r>
      <w:r w:rsidRPr="00063CE2">
        <w:rPr>
          <w:noProof w:val="0"/>
          <w:color w:val="auto"/>
          <w:lang w:val="en-US"/>
        </w:rPr>
        <w:t xml:space="preserve"> ensured by </w:t>
      </w:r>
      <w:r w:rsidR="00333E98" w:rsidRPr="00063CE2">
        <w:rPr>
          <w:noProof w:val="0"/>
          <w:color w:val="auto"/>
          <w:lang w:val="en-US"/>
        </w:rPr>
        <w:t xml:space="preserve">the </w:t>
      </w:r>
      <w:r w:rsidRPr="00063CE2">
        <w:rPr>
          <w:noProof w:val="0"/>
          <w:color w:val="auto"/>
          <w:lang w:val="en-US"/>
        </w:rPr>
        <w:t xml:space="preserve">involvement of the same </w:t>
      </w:r>
      <w:r w:rsidR="00F01FEA" w:rsidRPr="00063CE2">
        <w:rPr>
          <w:noProof w:val="0"/>
          <w:color w:val="auto"/>
          <w:lang w:val="en-US"/>
        </w:rPr>
        <w:t>two</w:t>
      </w:r>
      <w:r w:rsidRPr="00063CE2">
        <w:rPr>
          <w:noProof w:val="0"/>
          <w:color w:val="auto"/>
          <w:lang w:val="en-US"/>
        </w:rPr>
        <w:t xml:space="preserve"> operators</w:t>
      </w:r>
      <w:r w:rsidR="004F4BB4" w:rsidRPr="00063CE2">
        <w:rPr>
          <w:noProof w:val="0"/>
          <w:color w:val="auto"/>
          <w:lang w:val="en-US"/>
        </w:rPr>
        <w:t xml:space="preserve"> (a neurologist and a pathologist)</w:t>
      </w:r>
      <w:r w:rsidR="00E54172" w:rsidRPr="00063CE2">
        <w:rPr>
          <w:noProof w:val="0"/>
          <w:color w:val="auto"/>
          <w:lang w:val="en-US"/>
        </w:rPr>
        <w:t xml:space="preserve"> </w:t>
      </w:r>
      <w:r w:rsidR="00333E98" w:rsidRPr="00063CE2">
        <w:rPr>
          <w:noProof w:val="0"/>
          <w:color w:val="auto"/>
          <w:lang w:val="en-US"/>
        </w:rPr>
        <w:t>who have developed the method and have</w:t>
      </w:r>
      <w:r w:rsidR="00E54172" w:rsidRPr="00063CE2">
        <w:rPr>
          <w:noProof w:val="0"/>
          <w:color w:val="auto"/>
          <w:lang w:val="en-US"/>
        </w:rPr>
        <w:t xml:space="preserve"> several years of experience in neuropathology</w:t>
      </w:r>
      <w:r w:rsidR="00333E98" w:rsidRPr="00063CE2">
        <w:rPr>
          <w:noProof w:val="0"/>
          <w:color w:val="auto"/>
          <w:lang w:val="en-US"/>
        </w:rPr>
        <w:t>.</w:t>
      </w:r>
      <w:r w:rsidR="00F35896" w:rsidRPr="00063CE2">
        <w:rPr>
          <w:noProof w:val="0"/>
          <w:color w:val="auto"/>
          <w:lang w:val="en-US"/>
        </w:rPr>
        <w:t xml:space="preserve"> </w:t>
      </w:r>
      <w:r w:rsidR="00E54172" w:rsidRPr="00063CE2">
        <w:rPr>
          <w:noProof w:val="0"/>
          <w:color w:val="auto"/>
          <w:lang w:val="en-US"/>
        </w:rPr>
        <w:t xml:space="preserve">When freezing the slices, they are put on a </w:t>
      </w:r>
      <w:proofErr w:type="spellStart"/>
      <w:r w:rsidR="00E54172" w:rsidRPr="00063CE2">
        <w:rPr>
          <w:noProof w:val="0"/>
          <w:color w:val="auto"/>
          <w:lang w:val="en-US"/>
        </w:rPr>
        <w:t>prefrozen</w:t>
      </w:r>
      <w:proofErr w:type="spellEnd"/>
      <w:r w:rsidR="00E54172" w:rsidRPr="00063CE2">
        <w:rPr>
          <w:noProof w:val="0"/>
          <w:color w:val="auto"/>
          <w:lang w:val="en-US"/>
        </w:rPr>
        <w:t xml:space="preserve"> aluminum tray and covered with an interlocking alum</w:t>
      </w:r>
      <w:r w:rsidR="0087273E" w:rsidRPr="00063CE2">
        <w:rPr>
          <w:noProof w:val="0"/>
          <w:color w:val="auto"/>
          <w:lang w:val="en-US"/>
        </w:rPr>
        <w:t>i</w:t>
      </w:r>
      <w:r w:rsidR="00E54172" w:rsidRPr="00063CE2">
        <w:rPr>
          <w:noProof w:val="0"/>
          <w:color w:val="auto"/>
          <w:lang w:val="en-US"/>
        </w:rPr>
        <w:t>num plate to keep them well flat. Immediately after, they are put in liquid nitrogen for 3 minutes, before storing them at -80</w:t>
      </w:r>
      <w:r w:rsidR="00C67CD6" w:rsidRPr="00063CE2">
        <w:rPr>
          <w:noProof w:val="0"/>
          <w:color w:val="auto"/>
          <w:lang w:val="en-US"/>
        </w:rPr>
        <w:t xml:space="preserve"> </w:t>
      </w:r>
      <w:r w:rsidR="00E54172" w:rsidRPr="00063CE2">
        <w:rPr>
          <w:noProof w:val="0"/>
          <w:color w:val="auto"/>
          <w:lang w:val="en-US"/>
        </w:rPr>
        <w:t>°C.</w:t>
      </w:r>
      <w:r w:rsidR="00F35896" w:rsidRPr="00063CE2">
        <w:rPr>
          <w:noProof w:val="0"/>
          <w:color w:val="auto"/>
          <w:lang w:val="en-US"/>
        </w:rPr>
        <w:t xml:space="preserve"> </w:t>
      </w:r>
      <w:r w:rsidR="004E7E7F" w:rsidRPr="00063CE2">
        <w:rPr>
          <w:noProof w:val="0"/>
          <w:color w:val="auto"/>
          <w:lang w:val="en-US"/>
        </w:rPr>
        <w:t>The slices to be fixed are individually wrapped in gauze, and soaked into a 10% phosphate buffered formalin solution, which is substituted after one day. Subsequently, they are kept in formalin no more than 5 additional days; however, considering that the formalin solution penetrates at 1 mm/day, we would like to shorten</w:t>
      </w:r>
      <w:r w:rsidR="00A76A5C" w:rsidRPr="00063CE2">
        <w:rPr>
          <w:noProof w:val="0"/>
          <w:color w:val="auto"/>
          <w:lang w:val="en-US"/>
        </w:rPr>
        <w:t xml:space="preserve"> furtherly</w:t>
      </w:r>
      <w:r w:rsidR="004E7E7F" w:rsidRPr="00063CE2">
        <w:rPr>
          <w:noProof w:val="0"/>
          <w:color w:val="auto"/>
          <w:lang w:val="en-US"/>
        </w:rPr>
        <w:t xml:space="preserve"> the soaking time.</w:t>
      </w:r>
    </w:p>
    <w:p w14:paraId="3152E150" w14:textId="77777777" w:rsidR="003978E5" w:rsidRPr="00063CE2" w:rsidRDefault="003978E5">
      <w:pPr>
        <w:rPr>
          <w:noProof w:val="0"/>
          <w:color w:val="auto"/>
          <w:lang w:val="en-US"/>
        </w:rPr>
      </w:pPr>
    </w:p>
    <w:p w14:paraId="6E05B17B" w14:textId="77777777" w:rsidR="003978E5" w:rsidRPr="00063CE2" w:rsidRDefault="00AD579F" w:rsidP="00AD579F">
      <w:pPr>
        <w:rPr>
          <w:noProof w:val="0"/>
          <w:color w:val="auto"/>
          <w:lang w:val="en-US"/>
        </w:rPr>
      </w:pPr>
      <w:r w:rsidRPr="00063CE2">
        <w:rPr>
          <w:b/>
          <w:bCs/>
          <w:noProof w:val="0"/>
          <w:color w:val="auto"/>
          <w:lang w:val="en-US"/>
        </w:rPr>
        <w:t>Limitations of the method</w:t>
      </w:r>
    </w:p>
    <w:p w14:paraId="4DEDDEAE" w14:textId="53842E8F" w:rsidR="00AD579F" w:rsidRPr="00063CE2" w:rsidRDefault="00AD579F" w:rsidP="00AD579F">
      <w:pPr>
        <w:rPr>
          <w:noProof w:val="0"/>
          <w:color w:val="auto"/>
          <w:lang w:val="en-US"/>
        </w:rPr>
      </w:pPr>
      <w:r w:rsidRPr="00063CE2">
        <w:rPr>
          <w:noProof w:val="0"/>
          <w:color w:val="auto"/>
          <w:lang w:val="en-US"/>
        </w:rPr>
        <w:t>The research method described here only covers a limited geographical area, and the individuals involved in the donation program possess characteristics that do not entirely represent the general population. Although more than acceptable, a postmortem interval up to 24 hours may produce alterations in some protein structures, enzymes and RNA of brain tissue. The determination of AFS and pH may not be entirely adequate for determining tissue quality</w:t>
      </w:r>
      <w:r w:rsidR="00C377CA" w:rsidRPr="00063CE2">
        <w:rPr>
          <w:noProof w:val="0"/>
          <w:color w:val="auto"/>
          <w:lang w:val="en-US"/>
        </w:rPr>
        <w:fldChar w:fldCharType="begin" w:fldLock="1"/>
      </w:r>
      <w:r w:rsidR="00C1675A">
        <w:rPr>
          <w:noProof w:val="0"/>
          <w:color w:val="auto"/>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73&lt;/sup&gt;","plainTextFormattedCitation":"73","previouslyFormattedCitation":"&lt;sup&gt;73&lt;/sup&gt;"},"properties":{"noteIndex":0},"schema":"https://github.com/citation-style-language/schema/raw/master/csl-citation.json"}</w:instrText>
      </w:r>
      <w:r w:rsidR="00C377CA" w:rsidRPr="00063CE2">
        <w:rPr>
          <w:noProof w:val="0"/>
          <w:color w:val="auto"/>
          <w:lang w:val="en-US"/>
        </w:rPr>
        <w:fldChar w:fldCharType="separate"/>
      </w:r>
      <w:r w:rsidR="00C1675A" w:rsidRPr="00C1675A">
        <w:rPr>
          <w:color w:val="auto"/>
          <w:vertAlign w:val="superscript"/>
          <w:lang w:val="en-US"/>
        </w:rPr>
        <w:t>73</w:t>
      </w:r>
      <w:r w:rsidR="00C377CA" w:rsidRPr="00063CE2">
        <w:rPr>
          <w:noProof w:val="0"/>
          <w:color w:val="auto"/>
          <w:lang w:val="en-US"/>
        </w:rPr>
        <w:fldChar w:fldCharType="end"/>
      </w:r>
      <w:r w:rsidRPr="00063CE2">
        <w:rPr>
          <w:noProof w:val="0"/>
          <w:color w:val="auto"/>
          <w:lang w:val="en-US"/>
        </w:rPr>
        <w:t xml:space="preserve"> and we are developing other ways of authenticating </w:t>
      </w:r>
      <w:r w:rsidR="0020593C" w:rsidRPr="00063CE2">
        <w:rPr>
          <w:noProof w:val="0"/>
          <w:color w:val="auto"/>
          <w:lang w:val="en-US"/>
        </w:rPr>
        <w:t xml:space="preserve">tissue </w:t>
      </w:r>
      <w:r w:rsidRPr="00063CE2">
        <w:rPr>
          <w:noProof w:val="0"/>
          <w:color w:val="auto"/>
          <w:lang w:val="en-US"/>
        </w:rPr>
        <w:t>quality based on RNA integrity.</w:t>
      </w:r>
    </w:p>
    <w:p w14:paraId="68CADFD9" w14:textId="77777777" w:rsidR="003978E5" w:rsidRPr="00063CE2" w:rsidRDefault="003978E5" w:rsidP="00AD579F">
      <w:pPr>
        <w:rPr>
          <w:noProof w:val="0"/>
          <w:color w:val="auto"/>
          <w:lang w:val="en-US"/>
        </w:rPr>
      </w:pPr>
    </w:p>
    <w:p w14:paraId="4A4EBA92" w14:textId="1AB70A18" w:rsidR="00AD579F" w:rsidRPr="00063CE2" w:rsidRDefault="00AD579F">
      <w:pPr>
        <w:rPr>
          <w:noProof w:val="0"/>
          <w:color w:val="auto"/>
          <w:lang w:val="en-US"/>
        </w:rPr>
      </w:pPr>
      <w:r w:rsidRPr="00063CE2">
        <w:rPr>
          <w:noProof w:val="0"/>
          <w:color w:val="auto"/>
          <w:lang w:val="en-US"/>
        </w:rPr>
        <w:t xml:space="preserve">Concerning the microtome cutting procedure, although very useful for reconstructing anatomical </w:t>
      </w:r>
      <w:r w:rsidRPr="00063CE2">
        <w:rPr>
          <w:noProof w:val="0"/>
          <w:color w:val="auto"/>
          <w:lang w:val="en-US"/>
        </w:rPr>
        <w:lastRenderedPageBreak/>
        <w:t>relationships, it should be noted that the use of macrosections is not simple and presents some technical difficulties. Our method is challenging and time-consuming. The costs are quite high and funding is not always easy. The funding comes primarily from public (</w:t>
      </w:r>
      <w:r w:rsidR="007E63FF" w:rsidRPr="00063CE2">
        <w:rPr>
          <w:noProof w:val="0"/>
          <w:color w:val="auto"/>
          <w:lang w:val="en-US"/>
        </w:rPr>
        <w:t xml:space="preserve">ASP </w:t>
      </w:r>
      <w:r w:rsidRPr="00063CE2">
        <w:rPr>
          <w:noProof w:val="0"/>
          <w:color w:val="auto"/>
          <w:lang w:val="en-US"/>
        </w:rPr>
        <w:t>Golgi-</w:t>
      </w:r>
      <w:proofErr w:type="spellStart"/>
      <w:r w:rsidRPr="00063CE2">
        <w:rPr>
          <w:noProof w:val="0"/>
          <w:color w:val="auto"/>
          <w:lang w:val="en-US"/>
        </w:rPr>
        <w:t>Redaelli</w:t>
      </w:r>
      <w:proofErr w:type="spellEnd"/>
      <w:r w:rsidRPr="00063CE2">
        <w:rPr>
          <w:noProof w:val="0"/>
          <w:color w:val="auto"/>
          <w:lang w:val="en-US"/>
        </w:rPr>
        <w:t xml:space="preserve"> Geriatric Hospital) and private resources</w:t>
      </w:r>
      <w:r w:rsidR="0087273E" w:rsidRPr="00063CE2">
        <w:rPr>
          <w:noProof w:val="0"/>
          <w:color w:val="auto"/>
          <w:lang w:val="en-US"/>
        </w:rPr>
        <w:t xml:space="preserve"> (Golgi-Cenci Foundation)</w:t>
      </w:r>
      <w:r w:rsidRPr="00063CE2">
        <w:rPr>
          <w:noProof w:val="0"/>
          <w:color w:val="auto"/>
          <w:lang w:val="en-US"/>
        </w:rPr>
        <w:t>, private donations, non-profit organizations (e.g. “</w:t>
      </w:r>
      <w:proofErr w:type="spellStart"/>
      <w:r w:rsidRPr="00063CE2">
        <w:rPr>
          <w:noProof w:val="0"/>
          <w:color w:val="auto"/>
          <w:lang w:val="en-US"/>
        </w:rPr>
        <w:t>Federazione</w:t>
      </w:r>
      <w:proofErr w:type="spellEnd"/>
      <w:r w:rsidRPr="00063CE2">
        <w:rPr>
          <w:noProof w:val="0"/>
          <w:color w:val="auto"/>
          <w:lang w:val="en-US"/>
        </w:rPr>
        <w:t xml:space="preserve"> Alzheimer Italia”) and grants participation.</w:t>
      </w:r>
    </w:p>
    <w:p w14:paraId="7B0B0040" w14:textId="77777777" w:rsidR="003978E5" w:rsidRPr="00063CE2" w:rsidRDefault="003978E5">
      <w:pPr>
        <w:rPr>
          <w:noProof w:val="0"/>
          <w:color w:val="auto"/>
          <w:lang w:val="en-US"/>
        </w:rPr>
      </w:pPr>
    </w:p>
    <w:p w14:paraId="31DB5031" w14:textId="77777777" w:rsidR="003978E5" w:rsidRPr="00063CE2" w:rsidRDefault="00996289" w:rsidP="00E66E32">
      <w:pPr>
        <w:rPr>
          <w:noProof w:val="0"/>
          <w:color w:val="auto"/>
          <w:lang w:val="en-US"/>
        </w:rPr>
      </w:pPr>
      <w:r w:rsidRPr="00063CE2">
        <w:rPr>
          <w:rFonts w:eastAsia="Baskerville" w:cs="Baskerville"/>
          <w:b/>
          <w:noProof w:val="0"/>
          <w:color w:val="auto"/>
          <w:lang w:val="en-US"/>
        </w:rPr>
        <w:t>The significance of the ABB method with respect to existing/alternative methods</w:t>
      </w:r>
      <w:r w:rsidR="00D715C7" w:rsidRPr="00063CE2">
        <w:rPr>
          <w:noProof w:val="0"/>
          <w:color w:val="auto"/>
          <w:lang w:val="en-US"/>
        </w:rPr>
        <w:t xml:space="preserve"> </w:t>
      </w:r>
    </w:p>
    <w:p w14:paraId="2C323C99" w14:textId="419429A9" w:rsidR="00F70D1E" w:rsidRPr="000C3E96" w:rsidRDefault="00E43C1F" w:rsidP="00E66E32">
      <w:pPr>
        <w:rPr>
          <w:noProof w:val="0"/>
          <w:color w:val="000000" w:themeColor="text1"/>
          <w:lang w:val="en-US"/>
        </w:rPr>
      </w:pPr>
      <w:r w:rsidRPr="00063CE2">
        <w:rPr>
          <w:noProof w:val="0"/>
          <w:color w:val="auto"/>
          <w:lang w:val="en-US"/>
        </w:rPr>
        <w:t>At the beginning, our brain donation program targeted individuals participating in the InveCe.Ab longitudinal study. As a consequence, the brains donated are accompanied by detailed clinical, biological and social information collected over the years. The strength of ABB derives precisely from this distinctive origin. Indeed, study</w:t>
      </w:r>
      <w:r w:rsidR="005007E9" w:rsidRPr="00063CE2">
        <w:rPr>
          <w:noProof w:val="0"/>
          <w:color w:val="auto"/>
          <w:lang w:val="en-US"/>
        </w:rPr>
        <w:t>ing</w:t>
      </w:r>
      <w:r w:rsidRPr="00063CE2">
        <w:rPr>
          <w:noProof w:val="0"/>
          <w:color w:val="auto"/>
          <w:lang w:val="en-US"/>
        </w:rPr>
        <w:t xml:space="preserve"> a group of socially and genetically related people who share biological characteristics and environmental exposures enhances statistical analysis. </w:t>
      </w:r>
      <w:r w:rsidR="00512B68" w:rsidRPr="00063CE2">
        <w:rPr>
          <w:noProof w:val="0"/>
          <w:color w:val="auto"/>
          <w:lang w:val="en-US"/>
        </w:rPr>
        <w:t>Moreover, the study includes</w:t>
      </w:r>
      <w:r w:rsidR="000E0B43" w:rsidRPr="00063CE2">
        <w:rPr>
          <w:noProof w:val="0"/>
          <w:color w:val="auto"/>
          <w:lang w:val="en-US"/>
        </w:rPr>
        <w:t xml:space="preserve"> the following benefits</w:t>
      </w:r>
      <w:r w:rsidR="00996289" w:rsidRPr="00063CE2">
        <w:rPr>
          <w:noProof w:val="0"/>
          <w:color w:val="auto"/>
          <w:lang w:val="en-US"/>
        </w:rPr>
        <w:t>: 1)</w:t>
      </w:r>
      <w:r w:rsidR="005E396B" w:rsidRPr="00063CE2">
        <w:rPr>
          <w:noProof w:val="0"/>
          <w:color w:val="auto"/>
          <w:lang w:val="en-US"/>
        </w:rPr>
        <w:t xml:space="preserve"> Looking after and providing for the needs of the community (the act of “giving before asking”): people receive a free periodic check-up of which the general practitioner is informed, a telephone number of our secretary is provided for consultations, and severely disabled people are visited at home</w:t>
      </w:r>
      <w:r w:rsidR="00996289" w:rsidRPr="00063CE2">
        <w:rPr>
          <w:noProof w:val="0"/>
          <w:color w:val="auto"/>
          <w:lang w:val="en-US"/>
        </w:rPr>
        <w:t>; 2)</w:t>
      </w:r>
      <w:r w:rsidR="005E396B" w:rsidRPr="00063CE2">
        <w:rPr>
          <w:noProof w:val="0"/>
          <w:color w:val="auto"/>
          <w:lang w:val="en-US"/>
        </w:rPr>
        <w:t xml:space="preserve"> Engaging participants, people with public roles and general practitioners in educational activities through the organization of periodic seminars </w:t>
      </w:r>
      <w:r w:rsidR="000E0B43" w:rsidRPr="00063CE2">
        <w:rPr>
          <w:noProof w:val="0"/>
          <w:color w:val="auto"/>
          <w:lang w:val="en-US"/>
        </w:rPr>
        <w:t>(</w:t>
      </w:r>
      <w:r w:rsidR="005E396B" w:rsidRPr="00063CE2">
        <w:rPr>
          <w:noProof w:val="0"/>
          <w:color w:val="auto"/>
          <w:lang w:val="en-US"/>
        </w:rPr>
        <w:t>related to brain healthiness, brain donation and general health</w:t>
      </w:r>
      <w:r w:rsidR="000E0B43" w:rsidRPr="00063CE2">
        <w:rPr>
          <w:noProof w:val="0"/>
          <w:color w:val="auto"/>
          <w:lang w:val="en-US"/>
        </w:rPr>
        <w:t>),</w:t>
      </w:r>
      <w:r w:rsidR="005E396B" w:rsidRPr="00063CE2">
        <w:rPr>
          <w:noProof w:val="0"/>
          <w:color w:val="auto"/>
          <w:lang w:val="en-US"/>
        </w:rPr>
        <w:t xml:space="preserve"> and the planning of thematic courses (e.g. the use of information technology devices for elderly)</w:t>
      </w:r>
      <w:r w:rsidR="00996289" w:rsidRPr="00063CE2">
        <w:rPr>
          <w:noProof w:val="0"/>
          <w:color w:val="auto"/>
          <w:lang w:val="en-US"/>
        </w:rPr>
        <w:t xml:space="preserve">; 3) </w:t>
      </w:r>
      <w:r w:rsidR="005E396B" w:rsidRPr="00063CE2">
        <w:rPr>
          <w:noProof w:val="0"/>
          <w:color w:val="auto"/>
          <w:lang w:val="en-US"/>
        </w:rPr>
        <w:t>Meeting people and adopting a face-to-face approach</w:t>
      </w:r>
      <w:r w:rsidR="00996289" w:rsidRPr="00063CE2">
        <w:rPr>
          <w:noProof w:val="0"/>
          <w:color w:val="auto"/>
          <w:lang w:val="en-US"/>
        </w:rPr>
        <w:t xml:space="preserve">. </w:t>
      </w:r>
      <w:r w:rsidR="00F00395" w:rsidRPr="00063CE2">
        <w:rPr>
          <w:noProof w:val="0"/>
          <w:color w:val="auto"/>
          <w:lang w:val="en-US"/>
        </w:rPr>
        <w:t>All these elements constitute the strength of the ABB project</w:t>
      </w:r>
      <w:r w:rsidR="00512B68" w:rsidRPr="00063CE2">
        <w:rPr>
          <w:noProof w:val="0"/>
          <w:color w:val="auto"/>
          <w:lang w:val="en-US"/>
        </w:rPr>
        <w:t>.</w:t>
      </w:r>
      <w:r w:rsidR="00F00395" w:rsidRPr="00063CE2">
        <w:rPr>
          <w:noProof w:val="0"/>
          <w:color w:val="auto"/>
          <w:lang w:val="en-US"/>
        </w:rPr>
        <w:t xml:space="preserve"> </w:t>
      </w:r>
      <w:r w:rsidR="00512B68" w:rsidRPr="00063CE2">
        <w:rPr>
          <w:noProof w:val="0"/>
          <w:color w:val="auto"/>
          <w:lang w:val="en-US"/>
        </w:rPr>
        <w:t xml:space="preserve">Furthermore, the project improves the clinical abilities of involved medical personnel, as they gain experience in both antemortem assessments and postmortem neuropathological evaluations. </w:t>
      </w:r>
      <w:r w:rsidR="00111DA7" w:rsidRPr="00063CE2">
        <w:rPr>
          <w:noProof w:val="0"/>
          <w:color w:val="auto"/>
          <w:lang w:val="en-US"/>
        </w:rPr>
        <w:t>In this regard, we</w:t>
      </w:r>
      <w:r w:rsidR="005007E9" w:rsidRPr="00063CE2">
        <w:rPr>
          <w:noProof w:val="0"/>
          <w:color w:val="auto"/>
          <w:lang w:val="en-US"/>
        </w:rPr>
        <w:t xml:space="preserve"> would like</w:t>
      </w:r>
      <w:r w:rsidR="00111DA7" w:rsidRPr="00063CE2">
        <w:rPr>
          <w:noProof w:val="0"/>
          <w:color w:val="auto"/>
          <w:lang w:val="en-US"/>
        </w:rPr>
        <w:t xml:space="preserve"> </w:t>
      </w:r>
      <w:r w:rsidR="005007E9" w:rsidRPr="00063CE2">
        <w:rPr>
          <w:noProof w:val="0"/>
          <w:color w:val="auto"/>
          <w:lang w:val="en-US"/>
        </w:rPr>
        <w:t xml:space="preserve">to </w:t>
      </w:r>
      <w:r w:rsidR="00111DA7" w:rsidRPr="00063CE2">
        <w:rPr>
          <w:noProof w:val="0"/>
          <w:color w:val="auto"/>
          <w:lang w:val="en-US"/>
        </w:rPr>
        <w:t>mention the very p</w:t>
      </w:r>
      <w:r w:rsidR="002E12D3" w:rsidRPr="00063CE2">
        <w:rPr>
          <w:noProof w:val="0"/>
          <w:color w:val="auto"/>
          <w:lang w:val="en-US"/>
        </w:rPr>
        <w:t>e</w:t>
      </w:r>
      <w:r w:rsidR="00111DA7" w:rsidRPr="00063CE2">
        <w:rPr>
          <w:noProof w:val="0"/>
          <w:color w:val="auto"/>
          <w:lang w:val="en-US"/>
        </w:rPr>
        <w:t>cul</w:t>
      </w:r>
      <w:r w:rsidR="002E12D3" w:rsidRPr="00063CE2">
        <w:rPr>
          <w:noProof w:val="0"/>
          <w:color w:val="auto"/>
          <w:lang w:val="en-US"/>
        </w:rPr>
        <w:t>i</w:t>
      </w:r>
      <w:r w:rsidR="00111DA7" w:rsidRPr="00063CE2">
        <w:rPr>
          <w:noProof w:val="0"/>
          <w:color w:val="auto"/>
          <w:lang w:val="en-US"/>
        </w:rPr>
        <w:t>ar experience of “The minority aging research study”. This study involved a limited and selected number of African Americans residing in the Chicago area (784 out of 1,357 eligible subjects: response rate of 57%). The participants were visited annually at home and were asked to join the brain donation program. This study is based on a</w:t>
      </w:r>
      <w:r w:rsidR="00546C85" w:rsidRPr="00063CE2">
        <w:rPr>
          <w:noProof w:val="0"/>
          <w:color w:val="auto"/>
          <w:lang w:val="en-US"/>
        </w:rPr>
        <w:t>n</w:t>
      </w:r>
      <w:r w:rsidR="00111DA7" w:rsidRPr="00063CE2">
        <w:rPr>
          <w:noProof w:val="0"/>
          <w:color w:val="auto"/>
          <w:lang w:val="en-US"/>
        </w:rPr>
        <w:t xml:space="preserve"> </w:t>
      </w:r>
      <w:r w:rsidR="00D935A4" w:rsidRPr="00063CE2">
        <w:rPr>
          <w:noProof w:val="0"/>
          <w:color w:val="auto"/>
          <w:lang w:val="en-US"/>
        </w:rPr>
        <w:t>unusual</w:t>
      </w:r>
      <w:r w:rsidR="00111DA7" w:rsidRPr="00063CE2">
        <w:rPr>
          <w:noProof w:val="0"/>
          <w:color w:val="auto"/>
          <w:lang w:val="en-US"/>
        </w:rPr>
        <w:t xml:space="preserve"> approach with some similarities to ours obtaining high percentages of positive response to </w:t>
      </w:r>
      <w:r w:rsidR="005007E9" w:rsidRPr="00063CE2">
        <w:rPr>
          <w:noProof w:val="0"/>
          <w:color w:val="auto"/>
          <w:lang w:val="en-US"/>
        </w:rPr>
        <w:t xml:space="preserve">the </w:t>
      </w:r>
      <w:r w:rsidR="00111DA7" w:rsidRPr="00063CE2">
        <w:rPr>
          <w:noProof w:val="0"/>
          <w:color w:val="auto"/>
          <w:lang w:val="en-US"/>
        </w:rPr>
        <w:t>brain donation</w:t>
      </w:r>
      <w:r w:rsidR="005007E9" w:rsidRPr="00063CE2">
        <w:rPr>
          <w:noProof w:val="0"/>
          <w:color w:val="auto"/>
          <w:lang w:val="en-US"/>
        </w:rPr>
        <w:t xml:space="preserve"> program</w:t>
      </w:r>
      <w:r w:rsidR="00111DA7" w:rsidRPr="00063CE2">
        <w:rPr>
          <w:noProof w:val="0"/>
          <w:color w:val="auto"/>
          <w:lang w:val="en-US"/>
        </w:rPr>
        <w:t xml:space="preserve"> (352 donors out of 784 participants</w:t>
      </w:r>
      <w:r w:rsidR="006072F0" w:rsidRPr="00063CE2">
        <w:rPr>
          <w:noProof w:val="0"/>
          <w:color w:val="auto"/>
          <w:lang w:val="en-US"/>
        </w:rPr>
        <w:t xml:space="preserve"> were enrolled</w:t>
      </w:r>
      <w:r w:rsidR="00111DA7" w:rsidRPr="00063CE2">
        <w:rPr>
          <w:noProof w:val="0"/>
          <w:color w:val="auto"/>
          <w:lang w:val="en-US"/>
        </w:rPr>
        <w:t>: 44%), albeit the autopsy rate was not quite satisfactory (53%)</w:t>
      </w:r>
      <w:r w:rsidR="00111DA7" w:rsidRPr="00063CE2">
        <w:rPr>
          <w:noProof w:val="0"/>
          <w:color w:val="auto"/>
          <w:lang w:val="en-US"/>
        </w:rPr>
        <w:fldChar w:fldCharType="begin" w:fldLock="1"/>
      </w:r>
      <w:r w:rsidR="00C1675A">
        <w:rPr>
          <w:noProof w:val="0"/>
          <w:color w:val="auto"/>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74&lt;/sup&gt;","plainTextFormattedCitation":"74","previouslyFormattedCitation":"&lt;sup&gt;74&lt;/sup&gt;"},"properties":{"noteIndex":0},"schema":"https://github.com/citation-style-language/schema/raw/master/csl-citation.json"}</w:instrText>
      </w:r>
      <w:r w:rsidR="00111DA7" w:rsidRPr="00063CE2">
        <w:rPr>
          <w:noProof w:val="0"/>
          <w:color w:val="auto"/>
          <w:lang w:val="en-US"/>
        </w:rPr>
        <w:fldChar w:fldCharType="separate"/>
      </w:r>
      <w:r w:rsidR="00C1675A" w:rsidRPr="00C1675A">
        <w:rPr>
          <w:color w:val="auto"/>
          <w:vertAlign w:val="superscript"/>
          <w:lang w:val="en-US"/>
        </w:rPr>
        <w:t>74</w:t>
      </w:r>
      <w:r w:rsidR="00111DA7" w:rsidRPr="00063CE2">
        <w:rPr>
          <w:noProof w:val="0"/>
          <w:color w:val="auto"/>
          <w:lang w:val="en-US"/>
        </w:rPr>
        <w:fldChar w:fldCharType="end"/>
      </w:r>
      <w:r w:rsidR="00111DA7" w:rsidRPr="00063CE2">
        <w:rPr>
          <w:noProof w:val="0"/>
          <w:color w:val="auto"/>
          <w:lang w:val="en-US"/>
        </w:rPr>
        <w:t>. Just like in “The minority aging research study”,</w:t>
      </w:r>
      <w:r w:rsidR="006072F0" w:rsidRPr="00063CE2">
        <w:rPr>
          <w:noProof w:val="0"/>
          <w:color w:val="auto"/>
          <w:lang w:val="en-US"/>
        </w:rPr>
        <w:t xml:space="preserve"> </w:t>
      </w:r>
      <w:r w:rsidR="00111DA7" w:rsidRPr="001F16EC">
        <w:rPr>
          <w:noProof w:val="0"/>
          <w:color w:val="auto"/>
          <w:lang w:val="en-US"/>
        </w:rPr>
        <w:t>we offer educational activities and an empathic approach</w:t>
      </w:r>
      <w:r w:rsidR="00F4074B" w:rsidRPr="001F16EC">
        <w:rPr>
          <w:noProof w:val="0"/>
          <w:color w:val="auto"/>
          <w:lang w:val="en-US"/>
        </w:rPr>
        <w:t>, achieving excellent results</w:t>
      </w:r>
      <w:r w:rsidR="005007E9" w:rsidRPr="001F16EC">
        <w:rPr>
          <w:noProof w:val="0"/>
          <w:color w:val="auto"/>
          <w:lang w:val="en-US"/>
        </w:rPr>
        <w:t xml:space="preserve">. In particular, </w:t>
      </w:r>
      <w:r w:rsidR="002E12D3" w:rsidRPr="001F16EC">
        <w:rPr>
          <w:noProof w:val="0"/>
          <w:color w:val="auto"/>
          <w:lang w:val="en-US"/>
        </w:rPr>
        <w:t xml:space="preserve">our response rate is 93%, </w:t>
      </w:r>
      <w:r w:rsidR="005007E9" w:rsidRPr="001F16EC">
        <w:rPr>
          <w:noProof w:val="0"/>
          <w:color w:val="auto"/>
          <w:lang w:val="en-US"/>
        </w:rPr>
        <w:t xml:space="preserve">the enrollment percentage is </w:t>
      </w:r>
      <w:r w:rsidR="000C3E96" w:rsidRPr="001E1FEA">
        <w:rPr>
          <w:noProof w:val="0"/>
          <w:color w:val="FF0000"/>
          <w:lang w:val="en-US"/>
        </w:rPr>
        <w:t>28.7</w:t>
      </w:r>
      <w:r w:rsidR="005007E9" w:rsidRPr="001E1FEA">
        <w:rPr>
          <w:noProof w:val="0"/>
          <w:color w:val="FF0000"/>
          <w:lang w:val="en-US"/>
        </w:rPr>
        <w:t>%</w:t>
      </w:r>
      <w:r w:rsidR="005007E9" w:rsidRPr="000C3E96">
        <w:rPr>
          <w:noProof w:val="0"/>
          <w:color w:val="auto"/>
          <w:lang w:val="en-US"/>
        </w:rPr>
        <w:t>,</w:t>
      </w:r>
      <w:r w:rsidR="005007E9" w:rsidRPr="001F16EC">
        <w:rPr>
          <w:noProof w:val="0"/>
          <w:color w:val="auto"/>
          <w:lang w:val="en-US"/>
        </w:rPr>
        <w:t xml:space="preserve"> </w:t>
      </w:r>
      <w:r w:rsidR="006072F0" w:rsidRPr="000C3E96">
        <w:rPr>
          <w:noProof w:val="0"/>
          <w:color w:val="000000" w:themeColor="text1"/>
          <w:lang w:val="en-US"/>
        </w:rPr>
        <w:t>and the</w:t>
      </w:r>
      <w:r w:rsidR="00F4074B" w:rsidRPr="000C3E96">
        <w:rPr>
          <w:noProof w:val="0"/>
          <w:color w:val="000000" w:themeColor="text1"/>
          <w:lang w:val="en-US"/>
        </w:rPr>
        <w:t xml:space="preserve"> autopsy rate</w:t>
      </w:r>
      <w:r w:rsidR="006072F0" w:rsidRPr="000C3E96">
        <w:rPr>
          <w:noProof w:val="0"/>
          <w:color w:val="000000" w:themeColor="text1"/>
          <w:lang w:val="en-US"/>
        </w:rPr>
        <w:t xml:space="preserve"> at the moment is</w:t>
      </w:r>
      <w:r w:rsidR="00F4074B" w:rsidRPr="000C3E96">
        <w:rPr>
          <w:noProof w:val="0"/>
          <w:color w:val="000000" w:themeColor="text1"/>
          <w:lang w:val="en-US"/>
        </w:rPr>
        <w:t xml:space="preserve"> 67%. </w:t>
      </w:r>
      <w:r w:rsidR="006072F0" w:rsidRPr="000C3E96">
        <w:rPr>
          <w:noProof w:val="0"/>
          <w:color w:val="000000" w:themeColor="text1"/>
          <w:lang w:val="en-US"/>
        </w:rPr>
        <w:t>These rates show that projects directly engaging people have a more substantial percentage of donations</w:t>
      </w:r>
      <w:r w:rsidR="001859E1" w:rsidRPr="000C3E96">
        <w:rPr>
          <w:noProof w:val="0"/>
          <w:color w:val="000000" w:themeColor="text1"/>
          <w:lang w:val="en-US"/>
        </w:rPr>
        <w:t>.</w:t>
      </w:r>
      <w:r w:rsidR="006072F0" w:rsidRPr="000C3E96">
        <w:rPr>
          <w:noProof w:val="0"/>
          <w:color w:val="000000" w:themeColor="text1"/>
          <w:lang w:val="en-US"/>
        </w:rPr>
        <w:t xml:space="preserve"> </w:t>
      </w:r>
      <w:r w:rsidR="001859E1" w:rsidRPr="000C3E96">
        <w:rPr>
          <w:noProof w:val="0"/>
          <w:color w:val="000000" w:themeColor="text1"/>
          <w:lang w:val="en-US"/>
        </w:rPr>
        <w:t>O</w:t>
      </w:r>
      <w:r w:rsidR="006072F0" w:rsidRPr="000C3E96">
        <w:rPr>
          <w:noProof w:val="0"/>
          <w:color w:val="000000" w:themeColor="text1"/>
          <w:lang w:val="en-US"/>
        </w:rPr>
        <w:t>ther brain donation programs</w:t>
      </w:r>
      <w:r w:rsidR="002E12D3" w:rsidRPr="000C3E96">
        <w:rPr>
          <w:noProof w:val="0"/>
          <w:color w:val="000000" w:themeColor="text1"/>
          <w:lang w:val="en-US"/>
        </w:rPr>
        <w:t>,</w:t>
      </w:r>
      <w:r w:rsidR="006072F0" w:rsidRPr="000C3E96">
        <w:rPr>
          <w:noProof w:val="0"/>
          <w:color w:val="000000" w:themeColor="text1"/>
          <w:lang w:val="en-US"/>
        </w:rPr>
        <w:t xml:space="preserve"> w</w:t>
      </w:r>
      <w:r w:rsidR="001859E1" w:rsidRPr="000C3E96">
        <w:rPr>
          <w:noProof w:val="0"/>
          <w:color w:val="000000" w:themeColor="text1"/>
          <w:lang w:val="en-US"/>
        </w:rPr>
        <w:t xml:space="preserve">ith less attention into building a relationship with potential donors, generally have a </w:t>
      </w:r>
      <w:r w:rsidR="006072F0" w:rsidRPr="000C3E96">
        <w:rPr>
          <w:noProof w:val="0"/>
          <w:color w:val="000000" w:themeColor="text1"/>
          <w:lang w:val="en-US"/>
        </w:rPr>
        <w:t>low</w:t>
      </w:r>
      <w:r w:rsidR="001859E1" w:rsidRPr="000C3E96">
        <w:rPr>
          <w:noProof w:val="0"/>
          <w:color w:val="000000" w:themeColor="text1"/>
          <w:lang w:val="en-US"/>
        </w:rPr>
        <w:t xml:space="preserve"> enrollment p</w:t>
      </w:r>
      <w:r w:rsidR="002E12D3" w:rsidRPr="000C3E96">
        <w:rPr>
          <w:noProof w:val="0"/>
          <w:color w:val="000000" w:themeColor="text1"/>
          <w:lang w:val="en-US"/>
        </w:rPr>
        <w:t>er</w:t>
      </w:r>
      <w:r w:rsidR="001859E1" w:rsidRPr="000C3E96">
        <w:rPr>
          <w:noProof w:val="0"/>
          <w:color w:val="000000" w:themeColor="text1"/>
          <w:lang w:val="en-US"/>
        </w:rPr>
        <w:t>centage</w:t>
      </w:r>
      <w:r w:rsidR="006072F0" w:rsidRPr="000C3E96">
        <w:rPr>
          <w:noProof w:val="0"/>
          <w:color w:val="000000" w:themeColor="text1"/>
          <w:lang w:val="en-US"/>
        </w:rPr>
        <w:t>, being around 10-15% or less</w:t>
      </w:r>
      <w:r w:rsidR="00C377CA" w:rsidRPr="000C3E96">
        <w:rPr>
          <w:noProof w:val="0"/>
          <w:color w:val="000000" w:themeColor="text1"/>
          <w:highlight w:val="cyan"/>
          <w:lang w:val="en-US"/>
        </w:rPr>
        <w:fldChar w:fldCharType="begin" w:fldLock="1"/>
      </w:r>
      <w:r w:rsidR="00C1675A">
        <w:rPr>
          <w:noProof w:val="0"/>
          <w:color w:val="000000" w:themeColor="text1"/>
          <w:highlight w:val="cyan"/>
          <w:lang w:val="en-US"/>
        </w:rPr>
        <w:instrText>ADDIN CSL_CITATION {"citationItems":[{"id":"ITEM-1","itemData":{"ISSN":"1471-244X","PMID":"29058593","abstract":"BACKGROUND Human brain tissue is crucial to study the molecular and cellular basis of psychiatric disorders. However, the current availability of human brain tissue is inadequate. Therefore, the Netherlands Brain Bank initiated a program in which almost 4.000 participants of 15 large Dutch psychiatric research cohorts were asked to register as prospective brain donors. METHODS We approached patients with schizophrenia, bipolar disorder, major depressive disorder, obsessive-compulsive disorder, post-traumatic stress disorder, families with a child with autism or Attention Deficit Hyperactivity Disorder, healthy relatives and healthy unrelated controls, either face-to-face or by post. We investigated whether diagnosis, method of approach, age, and gender were related to the likelihood of brain-donor registration. RESULTS We found a striking difference in registration efficiency between the diagnosis groups. Patients with bipolar disorder and healthy relatives registered most often (25% respectively 17%), followed by unrelated controls (8%) and patients with major depressive disorder, post-traumatic stress disorder, and obsessive-compulsive disorder (9%, 6% resp. 5%). A face-to-face approach was 1.3 times more effective than a postal approach and the likelihood of registering as brain donor significantly increased with age. Gender did not make a difference. CONCLUSIONS Between 2013 and 2016, our prospective brain-donor program for psychiatry resulted in an almost eightfold increase (from 149 to 1149) in the number of registered psychiatric patients at the Netherlands Brain Bank. Based on our results we recommend, when starting a prospective brain donor program in psychiatric patients, to focus on face to face recruitment of people in their sixties or older.","author":[{"dropping-particle":"","family":"Lange","given":"Geertje M","non-dropping-particle":"de","parse-names":false,"suffix":""},{"dropping-particle":"","family":"Rademaker","given":"Marleen","non-dropping-particle":"","parse-names":false,"suffix":""},{"dropping-particle":"","family":"Boks","given":"Marco P","non-dropping-particle":"","parse-names":false,"suffix":""},{"dropping-particle":"","family":"Palmen","given":"Saskia J M C","non-dropping-particle":"","parse-names":false,"suffix":""}],"container-title":"BMC psychiatry","id":"ITEM-1","issue":"1","issued":{"date-parts":[["2017","12","20"]]},"page":"347","title":"Brain donation in psychiatry: results of a Dutch prospective donor program among psychiatric cohort participants.","type":"article-journal","volume":"17"},"uris":["http://www.mendeley.com/documents/?uuid=3a0517ea-e8e9-3a91-9fa8-159aace4e9fe"]},{"id":"ITEM-2","itemData":{"ISSN":"1389-9333","PMID":"18347928","abstract":"The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banking","id":"ITEM-2","issue":"3","issued":{"date-parts":[["2008","9","18"]]},"page":"229-45","title":"The Sun Health Research Institute Brain Donation Program: description and experience, 1987-2007.","type":"article-journal","volume":"9"},"uris":["http://www.mendeley.com/documents/?uuid=b4a000c0-1e0e-31dd-b30d-d2fe42721b3a"]}],"mendeley":{"formattedCitation":"&lt;sup&gt;73, 75&lt;/sup&gt;","plainTextFormattedCitation":"73, 75","previouslyFormattedCitation":"&lt;sup&gt;73, 75&lt;/sup&gt;"},"properties":{"noteIndex":0},"schema":"https://github.com/citation-style-language/schema/raw/master/csl-citation.json"}</w:instrText>
      </w:r>
      <w:r w:rsidR="00C377CA" w:rsidRPr="000C3E96">
        <w:rPr>
          <w:noProof w:val="0"/>
          <w:color w:val="000000" w:themeColor="text1"/>
          <w:highlight w:val="cyan"/>
          <w:lang w:val="en-US"/>
        </w:rPr>
        <w:fldChar w:fldCharType="separate"/>
      </w:r>
      <w:r w:rsidR="00C1675A" w:rsidRPr="00C1675A">
        <w:rPr>
          <w:color w:val="000000" w:themeColor="text1"/>
          <w:vertAlign w:val="superscript"/>
          <w:lang w:val="en-US"/>
        </w:rPr>
        <w:t>73, 75</w:t>
      </w:r>
      <w:r w:rsidR="00C377CA" w:rsidRPr="000C3E96">
        <w:rPr>
          <w:noProof w:val="0"/>
          <w:color w:val="000000" w:themeColor="text1"/>
          <w:highlight w:val="cyan"/>
          <w:lang w:val="en-US"/>
        </w:rPr>
        <w:fldChar w:fldCharType="end"/>
      </w:r>
      <w:r w:rsidR="006072F0" w:rsidRPr="000C3E96">
        <w:rPr>
          <w:noProof w:val="0"/>
          <w:color w:val="000000" w:themeColor="text1"/>
          <w:lang w:val="en-US"/>
        </w:rPr>
        <w:t>.</w:t>
      </w:r>
    </w:p>
    <w:p w14:paraId="6BE74AFD" w14:textId="77777777" w:rsidR="003978E5" w:rsidRPr="000C3E96" w:rsidRDefault="003978E5" w:rsidP="00E66E32">
      <w:pPr>
        <w:rPr>
          <w:strike/>
          <w:noProof w:val="0"/>
          <w:color w:val="000000" w:themeColor="text1"/>
          <w:lang w:val="en-US"/>
        </w:rPr>
      </w:pPr>
    </w:p>
    <w:p w14:paraId="28403814" w14:textId="66341E60" w:rsidR="00EB7982" w:rsidRPr="000C3E96" w:rsidRDefault="00DC1EB1" w:rsidP="000F28C2">
      <w:pPr>
        <w:pStyle w:val="Paragrafoelenco1"/>
        <w:ind w:left="0"/>
        <w:rPr>
          <w:noProof w:val="0"/>
          <w:color w:val="000000" w:themeColor="text1"/>
          <w:lang w:val="en-US"/>
        </w:rPr>
      </w:pPr>
      <w:r w:rsidRPr="000C3E96">
        <w:rPr>
          <w:noProof w:val="0"/>
          <w:color w:val="000000" w:themeColor="text1"/>
          <w:lang w:val="en-US"/>
        </w:rPr>
        <w:t>There are few previous cohort studies ending with a neuropathological analysis. Moreover, t</w:t>
      </w:r>
      <w:r w:rsidR="0009740A" w:rsidRPr="000C3E96">
        <w:rPr>
          <w:noProof w:val="0"/>
          <w:color w:val="000000" w:themeColor="text1"/>
          <w:lang w:val="en-US"/>
        </w:rPr>
        <w:t>he majority of brain banks and repositories are disease-centered and there is a scarcity of “control” brains from healthy donors compared to the number of “diseased” brains. Only a limited number of BBs are based on population studies involving both diseased and normal subjects in order to study aging trajectories</w:t>
      </w:r>
      <w:r w:rsidR="00B42D7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1987-2007.","type":"article-journal","volume":"9"},"uris":["http://www.mendeley.com/documents/?uuid=b4a000c0-1e0e-31dd-b30d-d2fe42721b3a"]},{"id":"ITEM-2","itemData":{"ISSN":"1875-5828","PMID":"22471868","abstract":"The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research","id":"ITEM-2","issue":"6","issued":{"date-parts":[["2012","7"]]},"page":"734-45","title":"The Minority Aging Research Study: ongoing efforts to obtain brain donation in African Americans without dementia.","type":"article-journal","volume":"9"},"uris":["http://www.mendeley.com/documents/?uuid=788ef51f-859e-3055-92ff-ce76c92ecf2c"]},{"id":"ITEM-3","itemData":{"ISSN":"18758908","PMID":"21654062","abstract":"Cortical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Disease","id":"ITEM-3","issue":"2","issued":{"date-parts":[["2011","9","9"]]},"page":"377-385","title":"APOE and AβPP Gene Variation in Cortical and Cerebrovascular Amyloid-β Pathology and Alzheimer's Disease: A Population-Based Analysis","type":"article-journal","volume":"26"},"uris":["http://www.mendeley.com/documents/?uuid=bd7714f4-ea1c-31b0-9070-be32ea7d18c8"]},{"id":"ITEM-4","itemData":{"ISSN":"1552-5279","PMID":"18632002","abstract":"Memories are the gifts from friends and family that stay with us forever, unless a person develops Alzheimer's disease. Leon J. Thal left many, many memories, along with his desire to create a world where people did not lose them to the ravages of dementing illnesses. Working from the bench to the clinic, he was an incomparable leader, scientist, and educator to whom many, including myself, owe much. The present description of a clinical, genetic, and pathologic study of the oldest old contains much of Leon's influence. With data from &gt;950 subjects, a brain repository, and our collection of DNA, the investigators of the 90+ Study are receptive to collaborations. Through our collective efforts, we will continue the scientific work that Leon so strongly supported.","author":[{"dropping-particle":"","family":"Kawas","given":"Claudia H","non-dropping-particle":"","parse-names":false,"suffix":""}],"container-title":"Alzheimer's &amp; dementia : the journal of the Alzheimer's Association","id":"ITEM-4","issue":"1 Suppl 1","issued":{"date-parts":[["2008"]]},"page":"S56-9","title":"The oldest old and the 90+ Study.","type":"article-journal","volume":"4"},"uris":["http://www.mendeley.com/documents/?uuid=caaf1ae6-dcfd-36b5-9a2c-b823b5a3b11e"]},{"id":"ITEM-5","itemData":{"ISSN":"1875-5828","PMID":"22471860","abstract":"UNLABELLED The Religious Orders Study is a longitudinal clinical-pathologic cohort study of aging and Alzheimer's disease (AD). In this manuscript, we summarize the study methods including the study design and describe the clinical evaluation, assessment of risk factors, collection of ante-mortem biological specimens, brain autopsy and collection of selected postmortem data. THE RESULTS (1) review the relation of neuropathologic indices to clinical diagnoses and cognition proximate to death; (2) examine the relation of risk factors to clinical outcomes; (3) examine the relation of risk factors to measures of neuropathology; and (4) summarize additional study findings. We then discuss and contextualize the study findings.","author":[{"dropping-particle":"","family":"Bennett","given":"David A","non-dropping-particle":"","parse-names":false,"suffix":""},{"dropping-particle":"","family":"Schneider","given":"Julie A","non-dropping-particle":"","parse-names":false,"suffix":""},{"dropping-particle":"","family":"Arvanitakis","given":"Zoe","non-dropping-particle":"","parse-names":false,"suffix":""},{"dropping-particle":"","family":"Wilson","given":"Robert S","non-dropping-particle":"","parse-names":false,"suffix":""}],"container-title":"Current Alzheimer research","id":"ITEM-5","issue":"6","issued":{"date-parts":[["2012","7"]]},"page":"628-45","title":"Overview and findings from the religious orders study.","type":"article-journal","volume":"9"},"uris":["http://www.mendeley.com/documents/?uuid=40e9dc1f-26f9-3028-9dc2-47e4a464faff"]},{"id":"ITEM-6","itemData":{"ISSN":"1875-8908","PMID":"19661626","abstract":"The Baltimore Longitudinal Study of Aging (BLSA) was established in 1958 and is one the oldest prospective studies of aging in the USA and the world. The BLSA is supported by the National Institute of Aging (NIA) and its mission is to learn what happens to people as they get old and how to sort out changes due to aging from those due to disease or other causes. In 1986, an autopsy program combined with comprehensive neurologic and cognitive evaluations was established in collaboration with the Johns Hopkins University Alzheimer's Disease Research Center (ADRC). Since then, 211 subjects have undergone autopsy. Here we review the key clinical neuropathological correlations from this autopsy series. The focus is on the morphological and biochemical changes that occur in normal aging, and the early neuropathological changes of neurodegenerative diseases, especially Alzheimer's disease (AD). We highlight the combined clinical, pathologic, morphometric, and biochemical evidence of asymptomatic AD, a state characterized by normal clinical evaluations in subjects with abundant AD pathology. We conclude that in some individuals, successful cognitive aging results from compensatory mechanisms that occur at the neuronal level (i.e., neuronal hypertrophy and synaptic plasticity) whereas a failure of compensation may culminate in disease.","author":[{"dropping-particle":"","family":"O'Brien","given":"Richard J","non-dropping-particle":"","parse-names":false,"suffix":""},{"dropping-particle":"","family":"Resnick","given":"Susan M","non-dropping-particle":"","parse-names":false,"suffix":""},{"dropping-particle":"","family":"Zonderman","given":"Alan B","non-dropping-particle":"","parse-names":false,"suffix":""},{"dropping-particle":"","family":"Ferrucci","given":"Luigi","non-dropping-particle":"","parse-names":false,"suffix":""},{"dropping-particle":"","family":"Crain","given":"Barbara J","non-dropping-particle":"","parse-names":false,"suffix":""},{"dropping-particle":"","family":"Pletnikova","given":"Olga","non-dropping-particle":"","parse-names":false,"suffix":""},{"dropping-particle":"","family":"Rudow","given":"Gay","non-dropping-particle":"","parse-names":false,"suffix":""},{"dropping-particle":"","family":"Iacono","given":"Diego","non-dropping-particle":"","parse-names":false,"suffix":""},{"dropping-particle":"","family":"Riudavets","given":"Miguel A","non-dropping-particle":"","parse-names":false,"suffix":""},{"dropping-particle":"","family":"Driscoll","given":"Ira","non-dropping-particle":"","parse-names":false,"suffix":""},{"dropping-particle":"","family":"Price","given":"Donald L","non-dropping-particle":"","parse-names":false,"suffix":""},{"dropping-particle":"","family":"Martin","given":"Lee J","non-dropping-particle":"","parse-names":false,"suffix":""},{"dropping-particle":"","family":"Troncoso","given":"Juan C","non-dropping-particle":"","parse-names":false,"suffix":""}],"container-title":"Journal of Alzheimer's disease : JAD","editor":[{"dropping-particle":"","family":"Montine","given":"Thomas","non-dropping-particle":"","parse-names":false,"suffix":""},{"dropping-particle":"","family":"Sonnen","given":"Joshua","non-dropping-particle":"","parse-names":false,"suffix":""}],"id":"ITEM-6","issue":"3","issued":{"date-parts":[["2009","10"]]},"page":"665-75","title":"Neuropathologic studies of the Baltimore Longitudinal Study of Aging (BLSA).","type":"article-journal","volume":"18"},"uris":["http://www.mendeley.com/documents/?uuid=78583d3a-3403-33b1-a16b-e298920bee5b"]},{"id":"ITEM-7","itemData":{"ISSN":"22131582","author":[{"dropping-particle":"","family":"Jonkman","given":"Laura E.","non-dropping-particle":"","parse-names":false,"suffix":""},{"dropping-particle":"","family":"Graaf","given":"Yvon Galis-de","non-dropping-particle":"","parse-names":false,"suffix":""},{"dropping-particle":"","family":"Bulk","given":"Marjolein","non-dropping-particle":"","parse-names":false,"suffix":""},{"dropping-particle":"","family":"Kaaij","given":"Eliane","non-dropping-particle":"","parse-names":false,"suffix":""},{"dropping-particle":"","family":"Pouwels","given":"Petra J.W.","non-dropping-particle":"","parse-names":false,"suffix":""},{"dropping-particle":"","family":"Barkhof","given":"Frederik","non-dropping-particle":"","parse-names":false,"suffix":""},{"dropping-particle":"","family":"Rozemuller","given":"Annemieke J.M.","non-dropping-particle":"","parse-names":false,"suffix":""},{"dropping-particle":"","family":"Weerd","given":"Louise","non-dropping-particle":"van der","parse-names":false,"suffix":""},{"dropping-particle":"","family":"Geurts","given":"Jeroen J.G.","non-dropping-particle":"","parse-names":false,"suffix":""},{"dropping-particle":"","family":"Berg","given":"Wilma D.J.","non-dropping-particle":"van de","parse-names":false,"suffix":""}],"container-title":"NeuroImage: Clinical","id":"ITEM-7","issued":{"date-parts":[["2019"]]},"page":"101698","title":"Normal Aging Brain Collection Amsterdam (NABCA): A comprehensive collection of postmortem high-field imaging, neuropathological and morphometric datasets of non-neurological controls","type":"article-journal","volume":"22"},"uris":["http://www.mendeley.com/documents/?uuid=a0808993-ed29-3434-b2d7-60a8b07da754"]}],"mendeley":{"formattedCitation":"&lt;sup&gt;73, 74, 76–80&lt;/sup&gt;","plainTextFormattedCitation":"73, 74, 76–80","previouslyFormattedCitation":"&lt;sup&gt;73, 74, 76–80&lt;/sup&gt;"},"properties":{"noteIndex":0},"schema":"https://github.com/citation-style-language/schema/raw/master/csl-citation.json"}</w:instrText>
      </w:r>
      <w:r w:rsidR="00B42D77" w:rsidRPr="000C3E96">
        <w:rPr>
          <w:noProof w:val="0"/>
          <w:color w:val="000000" w:themeColor="text1"/>
          <w:lang w:val="en-US"/>
        </w:rPr>
        <w:fldChar w:fldCharType="separate"/>
      </w:r>
      <w:r w:rsidR="00C1675A" w:rsidRPr="00C1675A">
        <w:rPr>
          <w:color w:val="000000" w:themeColor="text1"/>
          <w:vertAlign w:val="superscript"/>
          <w:lang w:val="en-US"/>
        </w:rPr>
        <w:t>73, 74, 76–80</w:t>
      </w:r>
      <w:r w:rsidR="00B42D77" w:rsidRPr="000C3E96">
        <w:rPr>
          <w:noProof w:val="0"/>
          <w:color w:val="000000" w:themeColor="text1"/>
          <w:lang w:val="en-US"/>
        </w:rPr>
        <w:fldChar w:fldCharType="end"/>
      </w:r>
      <w:r w:rsidR="0009740A" w:rsidRPr="000C3E96">
        <w:rPr>
          <w:noProof w:val="0"/>
          <w:color w:val="000000" w:themeColor="text1"/>
          <w:lang w:val="en-US"/>
        </w:rPr>
        <w:t>.</w:t>
      </w:r>
      <w:r w:rsidRPr="000C3E96">
        <w:rPr>
          <w:noProof w:val="0"/>
          <w:color w:val="000000" w:themeColor="text1"/>
          <w:lang w:val="en-US"/>
        </w:rPr>
        <w:t xml:space="preserve"> Some studies such as</w:t>
      </w:r>
      <w:r w:rsidR="0009740A" w:rsidRPr="000C3E96">
        <w:rPr>
          <w:noProof w:val="0"/>
          <w:color w:val="000000" w:themeColor="text1"/>
          <w:lang w:val="en-US"/>
        </w:rPr>
        <w:t xml:space="preserve"> </w:t>
      </w:r>
      <w:r w:rsidR="000F28C2" w:rsidRPr="000C3E96">
        <w:rPr>
          <w:noProof w:val="0"/>
          <w:color w:val="000000" w:themeColor="text1"/>
          <w:lang w:val="en-US"/>
        </w:rPr>
        <w:t>“</w:t>
      </w:r>
      <w:r w:rsidRPr="000C3E96">
        <w:rPr>
          <w:noProof w:val="0"/>
          <w:color w:val="000000" w:themeColor="text1"/>
          <w:lang w:val="en-US"/>
        </w:rPr>
        <w:t>T</w:t>
      </w:r>
      <w:r w:rsidR="000F28C2" w:rsidRPr="000C3E96">
        <w:rPr>
          <w:noProof w:val="0"/>
          <w:color w:val="000000" w:themeColor="text1"/>
          <w:lang w:val="en-US"/>
        </w:rPr>
        <w:t>he minority aging research study” in the USA</w:t>
      </w:r>
      <w:r w:rsidR="000F28C2"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{"citationItems":[{"id":"ITEM-1","itemData":{"ISSN":"1875-5828","PMID":"22471868","abstract":"The Minority Aging Research Study (MARS) is a longitudinal, epidemiologic cohort study of decline in cognitive function and risk of Alzheimer's disease (AD) in older African Americans, with brain donation after death added as an optional component for those willing to consider organ donation. In this manuscript, we first summarize the study design and methods of MARS. We then provide details of ongoing efforts to achieve neuropathologic data on over 100 African Americans participating in MARS and in three other clinical-pathologic cohort studies at Rush University Medical Center. The results examine strategies for recruiting and consenting African Americans without dementia; (2) efforts to maintain high rates of follow-up participation; (3) strategies for achieving high rates of agreement to brain donation; and (4) the methodology of obtaining rapid brain autopsy at death. The implications of these efforts are discussed.","author":[{"dropping-particle":"","family":"Barnes","given":"Lisa L","non-dropping-particle":"","parse-names":false,"suffix":""},{"dropping-particle":"","family":"Shah","given":"Raj C","non-dropping-particle":"","parse-names":false,"suffix":""},{"dropping-particle":"","family":"Aggarwal","given":"Neelum T","non-dropping-particle":"","parse-names":false,"suffix":""},{"dropping-particle":"","family":"Bennett","given":"David A","non-dropping-particle":"","parse-names":false,"suffix":""},{"dropping-particle":"","family":"Schneider","given":"Julie A","non-dropping-particle":"","parse-names":false,"suffix":""}],"container-title":"Current Alzheimer research","id":"ITEM-1","issue":"6","issued":{"date-parts":[["2012","7"]]},"page":"734-45","title":"The Minority Aging Research Study: ongoing efforts to obtain brain donation in African Americans without dementia.","type":"article-journal","volume":"9"},"uris":["http://www.mendeley.com/documents/?uuid=788ef51f-859e-3055-92ff-ce76c92ecf2c"]}],"mendeley":{"formattedCitation":"&lt;sup&gt;74&lt;/sup&gt;","plainTextFormattedCitation":"74","previouslyFormattedCitation":"&lt;sup&gt;74&lt;/sup&gt;"},"properties":{"noteIndex":0},"schema":"https://github.com/citation-style-language/schema/raw/master/csl-citation.json"}</w:instrText>
      </w:r>
      <w:r w:rsidR="000F28C2" w:rsidRPr="000C3E96">
        <w:rPr>
          <w:noProof w:val="0"/>
          <w:color w:val="000000" w:themeColor="text1"/>
          <w:lang w:val="en-US"/>
        </w:rPr>
        <w:fldChar w:fldCharType="separate"/>
      </w:r>
      <w:r w:rsidR="00C1675A" w:rsidRPr="00C1675A">
        <w:rPr>
          <w:color w:val="000000" w:themeColor="text1"/>
          <w:vertAlign w:val="superscript"/>
          <w:lang w:val="en-US"/>
        </w:rPr>
        <w:t>74</w:t>
      </w:r>
      <w:r w:rsidR="000F28C2" w:rsidRPr="000C3E96">
        <w:rPr>
          <w:noProof w:val="0"/>
          <w:color w:val="000000" w:themeColor="text1"/>
          <w:lang w:val="en-US"/>
        </w:rPr>
        <w:fldChar w:fldCharType="end"/>
      </w:r>
      <w:r w:rsidR="000F28C2" w:rsidRPr="000C3E96">
        <w:rPr>
          <w:noProof w:val="0"/>
          <w:color w:val="000000" w:themeColor="text1"/>
          <w:lang w:val="en-US"/>
        </w:rPr>
        <w:t xml:space="preserve"> and “The Vantaa 85+ study” in Finland</w:t>
      </w:r>
      <w:r w:rsidR="000F28C2" w:rsidRPr="000C3E96">
        <w:rPr>
          <w:noProof w:val="0"/>
          <w:color w:val="000000" w:themeColor="text1"/>
          <w:vertAlign w:val="superscript"/>
          <w:lang w:val="en-US"/>
        </w:rPr>
        <w:fldChar w:fldCharType="begin" w:fldLock="1"/>
      </w:r>
      <w:r w:rsidR="00C1675A">
        <w:rPr>
          <w:noProof w:val="0"/>
          <w:color w:val="000000" w:themeColor="text1"/>
          <w:vertAlign w:val="superscript"/>
          <w:lang w:val="en-US"/>
        </w:rPr>
        <w:instrText>ADDIN CSL_CITATION {"citationItems":[{"id":"ITEM-1","itemData":{"ISSN":"18758908","PMID":"21654062","abstract":"Cortical and cerebrovascular amyloid-β (Aβ) deposition is a hallmark of Alzheimer's disease (AD), but also occurs in elderly people not affected by dementia. The apolipoprotein E (APOE) ε4 is a major genetic modulator of Aβ deposition and AD risk. Variants of the amyloid-β protein precursor (AβPP) gene have been reported to contribute to AD and cerebral amyloid angiopathy (CAA). We analyzed the role of APOE and AβPP variants in cortical and cerebrovascular Aβ deposition, and neuropathologically verified AD (based on modified NIA-RI criteria) in a population-based autopsy sample of Finns aged ≥ 85 years (Vantaa85 + Study; n = 282). Our updated analysis of APOE showed strong associations of the ε4 allele with cortical (p = 4.91 × 10-17) and cerebrovascular (p = 9.87 × 10-11) Aβ deposition as well as with NIA-RI AD (p = 1.62 × 10-8). We also analyzed 60 single nucleotide polymorphisms (SNPs) at the AβPP locus. In single SNP or haplotype analyses there were no statistically significant AβPP locus associations with cortical or cerebrovascular Aβ deposition or with NIA-RI AD. We sequenced the promoter of the AβPP gene in 40 subjects with very high Aβ deposition, but none of these subjects had any of the previously reported or novel AD-associated mutations. These results suggest that cortical and cerebrovascular Aβ depositions are useful quantitative traits for genetic studies, as highlighted by the strong associations with the APOE ε4 variant. Promoter mutations or common allelic variation in the AβPP gene do not have a major contribution to cortical or cerebrovascular Aβ deposition, or very late-onset AD in this Finnish population based study.","author":[{"dropping-particle":"","family":"Peuralinna","given":"Terhi","non-dropping-particle":"","parse-names":false,"suffix":""},{"dropping-particle":"","family":"Tanskanen","given":"Maarit","non-dropping-particle":"","parse-names":false,"suffix":""},{"dropping-particle":"","family":"Mäkelä","given":"Mira","non-dropping-particle":"","parse-names":false,"suffix":""},{"dropping-particle":"","family":"Polvikoski","given":"Tuomo","non-dropping-particle":"","parse-names":false,"suffix":""},{"dropping-particle":"","family":"Paetau","given":"Anders","non-dropping-particle":"","parse-names":false,"suffix":""},{"dropping-particle":"","family":"Kalimo","given":"Hannu","non-dropping-particle":"","parse-names":false,"suffix":""},{"dropping-particle":"","family":"Sulkava","given":"Raimo","non-dropping-particle":"","parse-names":false,"suffix":""},{"dropping-particle":"","family":"Hardy","given":"John","non-dropping-particle":"","parse-names":false,"suffix":""},{"dropping-particle":"","family":"Lai","given":"Shiao-Lin","non-dropping-particle":"","parse-names":false,"suffix":""},{"dropping-particle":"","family":"Arepalli","given":"Sampath","non-dropping-particle":"","parse-names":false,"suffix":""},{"dropping-particle":"","family":"Hernandez","given":"Dena","non-dropping-particle":"","parse-names":false,"suffix":""},{"dropping-particle":"","family":"Traynor","given":"Bryan J.","non-dropping-particle":"","parse-names":false,"suffix":""},{"dropping-particle":"","family":"Singleton","given":"Andrew","non-dropping-particle":"","parse-names":false,"suffix":""},{"dropping-particle":"","family":"Tienari","given":"Pentti J.","non-dropping-particle":"","parse-names":false,"suffix":""},{"dropping-particle":"","family":"Myllykangas","given":"Liisa","non-dropping-particle":"","parse-names":false,"suffix":""}],"container-title":"Journal of Alzheimer's Disease","id":"ITEM-1","issue":"2","issued":{"date-parts":[["2011","9","9"]]},"page":"377-385","title":"APOE and AβPP Gene Variation in Cortical and Cerebrovascular Amyloid-β Pathology and Alzheimer's Disease: A Population-Based Analysis","type":"article-journal","volume":"26"},"uris":["http://www.mendeley.com/documents/?uuid=bd7714f4-ea1c-31b0-9070-be32ea7d18c8"]}],"mendeley":{"formattedCitation":"&lt;sup&gt;76&lt;/sup&gt;","plainTextFormattedCitation":"76","previouslyFormattedCitation":"&lt;sup&gt;76&lt;/sup&gt;"},"properties":{"noteIndex":0},"schema":"https://github.com/citation-style-language/schema/raw/master/csl-citation.json"}</w:instrText>
      </w:r>
      <w:r w:rsidR="000F28C2" w:rsidRPr="000C3E96">
        <w:rPr>
          <w:noProof w:val="0"/>
          <w:color w:val="000000" w:themeColor="text1"/>
          <w:vertAlign w:val="superscript"/>
          <w:lang w:val="en-US"/>
        </w:rPr>
        <w:fldChar w:fldCharType="separate"/>
      </w:r>
      <w:r w:rsidR="00C1675A" w:rsidRPr="00C1675A">
        <w:rPr>
          <w:color w:val="000000" w:themeColor="text1"/>
          <w:vertAlign w:val="superscript"/>
          <w:lang w:val="en-US"/>
        </w:rPr>
        <w:t>76</w:t>
      </w:r>
      <w:r w:rsidR="000F28C2" w:rsidRPr="000C3E96">
        <w:rPr>
          <w:noProof w:val="0"/>
          <w:color w:val="000000" w:themeColor="text1"/>
          <w:vertAlign w:val="superscript"/>
          <w:lang w:val="en-US"/>
        </w:rPr>
        <w:fldChar w:fldCharType="end"/>
      </w:r>
      <w:r w:rsidRPr="000C3E96">
        <w:rPr>
          <w:noProof w:val="0"/>
          <w:color w:val="000000" w:themeColor="text1"/>
          <w:lang w:val="en-US"/>
        </w:rPr>
        <w:t xml:space="preserve"> </w:t>
      </w:r>
      <w:r w:rsidR="000F28C2" w:rsidRPr="000C3E96">
        <w:rPr>
          <w:noProof w:val="0"/>
          <w:color w:val="000000" w:themeColor="text1"/>
          <w:lang w:val="en-US"/>
        </w:rPr>
        <w:t xml:space="preserve">are similar to ours but they tend to run out with the termination of the cohort. Instead, ABB's donation program is envisioned to continue for a long time in the future, enlisting potential donors and scheduling follow-ups even after the </w:t>
      </w:r>
      <w:r w:rsidR="000F28C2" w:rsidRPr="000C3E96">
        <w:rPr>
          <w:noProof w:val="0"/>
          <w:color w:val="000000" w:themeColor="text1"/>
          <w:lang w:val="en-US"/>
        </w:rPr>
        <w:lastRenderedPageBreak/>
        <w:t>end of the InveCe.Ab longitudinal study. This approach makes our</w:t>
      </w:r>
      <w:r w:rsidR="00EB7982" w:rsidRPr="000C3E96">
        <w:rPr>
          <w:noProof w:val="0"/>
          <w:color w:val="000000" w:themeColor="text1"/>
          <w:lang w:val="en-US"/>
        </w:rPr>
        <w:t xml:space="preserve"> recruitment </w:t>
      </w:r>
      <w:r w:rsidR="000F28C2" w:rsidRPr="000C3E96">
        <w:rPr>
          <w:noProof w:val="0"/>
          <w:color w:val="000000" w:themeColor="text1"/>
          <w:lang w:val="en-US"/>
        </w:rPr>
        <w:t>method similar to that of the "Sun Health Research Institute (SHRI) brain donation program" which is aimed at a retirement community</w:t>
      </w:r>
      <w:r w:rsidR="000F28C2"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{"citationItems":[{"id":"ITEM-1","itemData":{"ISSN":"1389-9333","PMID":"18347928","abstract":"The Brain Donation Program at Sun Health Research Institute has been in continual operation since 1987, with over 1000 brains banked. The population studied primarily resides in the retirement communities of northwest metropolitan Phoenix, Arizona. The Institute is affiliated with Sun Health, a nonprofit community-owned and operated health care provider. Subjects are enrolled prospectively to allow standardized clinical assessments during life. Funding comes primarily from competitive grants. The Program has made short postmortem brain retrieval a priority, with a 2.75-h median postmortem interval for the entire collection. This maximizes the utility of the resource for molecular studies; frozen tissue from approximately 82% of all cases is suitable for RNA studies. Studies performed in-house have shown that, even with very short postmortem intervals, increasing delays in brain retrieval adversely affect RNA integrity and that cerebrospinal fluid pH increases with postmortem interval but does not predict tissue viability.","author":[{"dropping-particle":"","family":"Beach","given":"Thomas G","non-dropping-particle":"","parse-names":false,"suffix":""},{"dropping-particle":"","family":"Sue","given":"Lucia I","non-dropping-particle":"","parse-names":false,"suffix":""},{"dropping-particle":"","family":"Walker","given":"Douglas G","non-dropping-particle":"","parse-names":false,"suffix":""},{"dropping-particle":"","family":"Roher","given":"Alex E","non-dropping-particle":"","parse-names":false,"suffix":""},{"dropping-particle":"","family":"Lue","given":"LihFen","non-dropping-particle":"","parse-names":false,"suffix":""},{"dropping-particle":"","family":"Vedders","given":"Linda","non-dropping-particle":"","parse-names":false,"suffix":""},{"dropping-particle":"","family":"Connor","given":"Donald J","non-dropping-particle":"","parse-names":false,"suffix":""},{"dropping-particle":"","family":"Sabbagh","given":"Marwan N","non-dropping-particle":"","parse-names":false,"suffix":""},{"dropping-particle":"","family":"Rogers","given":"Joseph","non-dropping-particle":"","parse-names":false,"suffix":""}],"container-title":"Cell and tissue banking","id":"ITEM-1","issue":"3","issued":{"date-parts":[["2008","9","18"]]},"page":"229-45","title":"The Sun Health Research Institute Brain Donation Program: description and experience, 1987-2007.","type":"article-journal","volume":"9"},"uris":["http://www.mendeley.com/documents/?uuid=b4a000c0-1e0e-31dd-b30d-d2fe42721b3a"]}],"mendeley":{"formattedCitation":"&lt;sup&gt;73&lt;/sup&gt;","plainTextFormattedCitation":"73","previouslyFormattedCitation":"&lt;sup&gt;73&lt;/sup&gt;"},"properties":{"noteIndex":0},"schema":"https://github.com/citation-style-language/schema/raw/master/csl-citation.json"}</w:instrText>
      </w:r>
      <w:r w:rsidR="000F28C2" w:rsidRPr="000C3E96">
        <w:rPr>
          <w:noProof w:val="0"/>
          <w:color w:val="000000" w:themeColor="text1"/>
          <w:lang w:val="en-US"/>
        </w:rPr>
        <w:fldChar w:fldCharType="separate"/>
      </w:r>
      <w:r w:rsidR="00C1675A" w:rsidRPr="00C1675A">
        <w:rPr>
          <w:color w:val="000000" w:themeColor="text1"/>
          <w:vertAlign w:val="superscript"/>
          <w:lang w:val="en-US"/>
        </w:rPr>
        <w:t>73</w:t>
      </w:r>
      <w:r w:rsidR="000F28C2" w:rsidRPr="000C3E96">
        <w:rPr>
          <w:noProof w:val="0"/>
          <w:color w:val="000000" w:themeColor="text1"/>
          <w:lang w:val="en-US"/>
        </w:rPr>
        <w:fldChar w:fldCharType="end"/>
      </w:r>
      <w:r w:rsidR="000F28C2" w:rsidRPr="000C3E96">
        <w:rPr>
          <w:noProof w:val="0"/>
          <w:color w:val="000000" w:themeColor="text1"/>
          <w:lang w:val="en-US"/>
        </w:rPr>
        <w:t>. The SHRI protocol for brain donation is very effic</w:t>
      </w:r>
      <w:r w:rsidR="003B2B7D" w:rsidRPr="000C3E96">
        <w:rPr>
          <w:noProof w:val="0"/>
          <w:color w:val="000000" w:themeColor="text1"/>
          <w:lang w:val="en-US"/>
        </w:rPr>
        <w:t>i</w:t>
      </w:r>
      <w:r w:rsidR="000F28C2" w:rsidRPr="000C3E96">
        <w:rPr>
          <w:noProof w:val="0"/>
          <w:color w:val="000000" w:themeColor="text1"/>
          <w:lang w:val="en-US"/>
        </w:rPr>
        <w:t xml:space="preserve">ent with the shortest mean </w:t>
      </w:r>
      <w:r w:rsidR="000F28C2" w:rsidRPr="000C3E96">
        <w:rPr>
          <w:iCs/>
          <w:noProof w:val="0"/>
          <w:color w:val="000000" w:themeColor="text1"/>
          <w:lang w:val="en-US"/>
        </w:rPr>
        <w:t>postmortem</w:t>
      </w:r>
      <w:r w:rsidR="000F28C2" w:rsidRPr="000C3E96">
        <w:rPr>
          <w:noProof w:val="0"/>
          <w:color w:val="000000" w:themeColor="text1"/>
          <w:lang w:val="en-US"/>
        </w:rPr>
        <w:t xml:space="preserve"> interval in the world (3.92 hours). </w:t>
      </w:r>
      <w:r w:rsidR="00EB7982" w:rsidRPr="000C3E96">
        <w:rPr>
          <w:noProof w:val="0"/>
          <w:color w:val="000000" w:themeColor="text1"/>
          <w:lang w:val="en-US"/>
        </w:rPr>
        <w:t xml:space="preserve">Similar to the biggest BBs in the world, the SHRI protocol simply cut the cerebrum, cerebellum and brainstem in the midline (sagittal plane), then one half is dissected fresh and frozen for biochemical studies, while the other is fixed in formalin for </w:t>
      </w:r>
      <w:r w:rsidR="008F0EF4" w:rsidRPr="000C3E96">
        <w:rPr>
          <w:noProof w:val="0"/>
          <w:color w:val="000000" w:themeColor="text1"/>
          <w:lang w:val="en-US"/>
        </w:rPr>
        <w:t xml:space="preserve">the </w:t>
      </w:r>
      <w:r w:rsidR="00EB7982" w:rsidRPr="000C3E96">
        <w:rPr>
          <w:noProof w:val="0"/>
          <w:color w:val="000000" w:themeColor="text1"/>
          <w:lang w:val="en-US"/>
        </w:rPr>
        <w:t xml:space="preserve">histopathological assessment. </w:t>
      </w:r>
      <w:r w:rsidR="00EB4C46" w:rsidRPr="000C3E96">
        <w:rPr>
          <w:noProof w:val="0"/>
          <w:color w:val="000000" w:themeColor="text1"/>
          <w:lang w:val="en-US"/>
        </w:rPr>
        <w:t xml:space="preserve">However, one of the </w:t>
      </w:r>
      <w:r w:rsidR="003B2B7D" w:rsidRPr="000C3E96">
        <w:rPr>
          <w:noProof w:val="0"/>
          <w:color w:val="000000" w:themeColor="text1"/>
          <w:lang w:val="en-US"/>
        </w:rPr>
        <w:t>strengths</w:t>
      </w:r>
      <w:r w:rsidR="00EB4C46" w:rsidRPr="000C3E96">
        <w:rPr>
          <w:noProof w:val="0"/>
          <w:color w:val="000000" w:themeColor="text1"/>
          <w:lang w:val="en-US"/>
        </w:rPr>
        <w:t xml:space="preserve"> of </w:t>
      </w:r>
      <w:r w:rsidR="00EB7982" w:rsidRPr="000C3E96">
        <w:rPr>
          <w:noProof w:val="0"/>
          <w:color w:val="000000" w:themeColor="text1"/>
          <w:lang w:val="en-US"/>
        </w:rPr>
        <w:t xml:space="preserve">the SHRI </w:t>
      </w:r>
      <w:r w:rsidR="00EB4C46" w:rsidRPr="000C3E96">
        <w:rPr>
          <w:noProof w:val="0"/>
          <w:color w:val="000000" w:themeColor="text1"/>
          <w:lang w:val="en-US"/>
        </w:rPr>
        <w:t xml:space="preserve">dissection </w:t>
      </w:r>
      <w:r w:rsidR="00EB7982" w:rsidRPr="000C3E96">
        <w:rPr>
          <w:noProof w:val="0"/>
          <w:color w:val="000000" w:themeColor="text1"/>
          <w:lang w:val="en-US"/>
        </w:rPr>
        <w:t xml:space="preserve">protocol </w:t>
      </w:r>
      <w:r w:rsidR="00EB4C46" w:rsidRPr="000C3E96">
        <w:rPr>
          <w:noProof w:val="0"/>
          <w:color w:val="000000" w:themeColor="text1"/>
          <w:lang w:val="en-US"/>
        </w:rPr>
        <w:t xml:space="preserve">is the fixation of individual slices instead of the whole hemisphere. Indeed, fixating a hemisphere as a whole is not optimal, because of the different fixation gradients </w:t>
      </w:r>
      <w:r w:rsidR="00EC0B79" w:rsidRPr="000C3E96">
        <w:rPr>
          <w:noProof w:val="0"/>
          <w:color w:val="000000" w:themeColor="text1"/>
          <w:lang w:val="en-US"/>
        </w:rPr>
        <w:t>between the surface and the core. Moreover, the cortical proteins may be affected by prolonged exposure to the formalin solution. Thus</w:t>
      </w:r>
      <w:r w:rsidR="003B2B7D" w:rsidRPr="000C3E96">
        <w:rPr>
          <w:noProof w:val="0"/>
          <w:color w:val="000000" w:themeColor="text1"/>
          <w:lang w:val="en-US"/>
        </w:rPr>
        <w:t>,</w:t>
      </w:r>
      <w:r w:rsidR="00EC0B79" w:rsidRPr="000C3E96">
        <w:rPr>
          <w:noProof w:val="0"/>
          <w:color w:val="000000" w:themeColor="text1"/>
          <w:lang w:val="en-US"/>
        </w:rPr>
        <w:t xml:space="preserve"> the reason why we decided to fix individual slices.</w:t>
      </w:r>
    </w:p>
    <w:p w14:paraId="48A657A9" w14:textId="77777777" w:rsidR="003978E5" w:rsidRPr="000C3E96" w:rsidRDefault="003978E5" w:rsidP="000F28C2">
      <w:pPr>
        <w:pStyle w:val="Paragrafoelenco1"/>
        <w:ind w:left="0"/>
        <w:rPr>
          <w:noProof w:val="0"/>
          <w:color w:val="000000" w:themeColor="text1"/>
          <w:lang w:val="en-US"/>
        </w:rPr>
      </w:pPr>
    </w:p>
    <w:p w14:paraId="57DDD873" w14:textId="747AAF6F" w:rsidR="000F28C2" w:rsidRPr="000C3E96" w:rsidRDefault="000F28C2" w:rsidP="000F28C2">
      <w:pPr>
        <w:pStyle w:val="Paragrafoelenco1"/>
        <w:ind w:left="0"/>
        <w:rPr>
          <w:noProof w:val="0"/>
          <w:color w:val="000000" w:themeColor="text1"/>
          <w:lang w:val="en-US"/>
        </w:rPr>
      </w:pPr>
      <w:r w:rsidRPr="000C3E96">
        <w:rPr>
          <w:noProof w:val="0"/>
          <w:color w:val="000000" w:themeColor="text1"/>
          <w:lang w:val="en-US"/>
        </w:rPr>
        <w:t xml:space="preserve">The decision as to which side is fixed or frozen, depends on the singular bank (always the same, randomly assigned or assigned depending on </w:t>
      </w:r>
      <w:r w:rsidR="00A83C9D" w:rsidRPr="000C3E96">
        <w:rPr>
          <w:noProof w:val="0"/>
          <w:color w:val="000000" w:themeColor="text1"/>
          <w:lang w:val="en-US"/>
        </w:rPr>
        <w:t>whether the day of dissection is odd or even</w:t>
      </w:r>
      <w:r w:rsidRPr="000C3E96">
        <w:rPr>
          <w:noProof w:val="0"/>
          <w:color w:val="000000" w:themeColor="text1"/>
          <w:lang w:val="en-US"/>
        </w:rPr>
        <w:t>)</w:t>
      </w:r>
      <w:r w:rsidRPr="000C3E96">
        <w:rPr>
          <w:noProof w:val="0"/>
          <w:color w:val="000000" w:themeColor="text1"/>
          <w:lang w:val="en-US"/>
        </w:rPr>
        <w:fldChar w:fldCharType="begin" w:fldLock="1"/>
      </w:r>
      <w:r w:rsidR="0046128C" w:rsidRPr="000C3E96">
        <w:rPr>
          <w:noProof w:val="0"/>
          <w:color w:val="000000" w:themeColor="text1"/>
          <w:lang w:val="en-US"/>
        </w:rPr>
        <w:instrText>ADDIN CSL_CITATION {"citationItems":[{"id":"ITEM-1","itemData":{"URL":"https://www.brainbank.nl/media/uploads/file/Information for tissue applicants_2019.pdf","accessed":{"date-parts":[["2019","5","9"]]},"author":[{"dropping-particle":"","family":"Netherlands Brain Bank","given":"","non-dropping-particle":"","parse-names":false,"suffix":""}],"id":"ITEM-1","issued":{"date-parts":[["0"]]},"title":"Information for tissue applicants","type":"webpage"},"uris":["http://www.mendeley.com/documents/?uuid=5937d819-b5ff-3629-b23d-8cd7526ea8c9"]},{"id":"ITEM-2","itemData":{"ISBN":"65:18631872","URL":"https://mrc.ukri.org/documents/pdf/process-used-by-the-banks-for-tissue-processing-and-storage/","accessed":{"date-parts":[["2019","5","9"]]},"author":[{"dropping-particle":"","family":"UK Brain Bank Network","given":"","non-dropping-particle":"","parse-names":false,"suffix":""}],"id":"ITEM-2","issued":{"date-parts":[["0"]]},"title":"Process used by the banks for tissue processing and storage. The UK Brain Bank Network protocol.","type":"webpage"},"uris":["http://www.mendeley.com/documents/?uuid=2b58123f-7f4a-382c-bb7a-bd974393cb6b"]},{"id":"ITEM-3","itemData":{"ISSN":"0001-6322","PMID":"17985145","abstract":"Carefully categorized postmortem human brains are crucial for research. The lack of generally accepted methods for processing human postmortem brains for research persists. Thus, brain banking is essential; however, it cannot be achieved at the cost of the teaching mission of the academic institution by routing brains away from residency programs, particularly when the autopsy rate is steadily decreasing. A consensus must be reached whereby a brain can be utilizable for diagnosis, research, and teaching. The best diagnostic categorization possible must be secured and the yield of samples for basic investigation maximized. This report focuses on integrated, novel methods currently applied at the New York Brain Bank, Columbia University, New York, which are designed to reach accurate neuropathological diagnosis, optimize the yield of samples, and process fresh-frozen samples suitable for a wide range of modern investigations. The brains donated for research are processed as soon as possible after death. The prosector must have a good command of the neuroanatomy, neuropathology, and the protocol. One half of each brain is immersed in formalin for performing the thorough neuropathologic evaluation, which is combined with the teaching task. The contralateral half is extensively dissected at the fresh state. The anatomical origin of each sample is recorded using the map of Brodmann for the cortical samples. The samples are frozen at -160 degrees C, barcode labeled, and ready for immediate disbursement once categorized diagnostically. A rigorous organization of freezer space, coupled to an electronic tracking system with its attached software, fosters efficient access for retrieval within minutes of any specific frozen samples in storage. This report describes how this achievement is feasible with emphasis on the actual processing of brains donated for research.","author":[{"dropping-particle":"","family":"Vonsattel","given":"Jean Paul G","non-dropping-particle":"","parse-names":false,"suffix":""},{"dropping-particle":"","family":"Amaya","given":"Maria Pilar","non-dropping-particle":"Del","parse-names":false,"suffix":""},{"dropping-particle":"","family":"Keller","given":"Christian E","non-dropping-particle":"","parse-names":false,"suffix":""}],"container-title":"Acta neuropathologica","id":"ITEM-3","issue":"5","issued":{"date-parts":[["2008","5","6"]]},"page":"509-32","title":"Twenty-first century brain banking. Processing brains for research: the Columbia University methods.","type":"article-journal","volume":"115"},"uris":["http://www.mendeley.com/documents/?uuid=6488b1d1-f5ac-3d1d-ba75-62ffe9991b0c"]},{"id":"ITEM-4","itemData":{"URL":"https://hbtrc.mclean.harvard.edu/pdf/about/HBTRC-Tour-2013.2.pdf","accessed":{"date-parts":[["2019","5","9"]]},"author":[{"dropping-particle":"","family":"Brain Bank","given":"Harvard","non-dropping-particle":"","parse-names":false,"suffix":""}],"id":"ITEM-4","issued":{"date-parts":[["0"]]},"title":"A Tour Of The Brain Bank","type":"webpage"},"uris":["http://www.mendeley.com/documents/?uuid=0c2f62e6-95ff-3dab-b167-61d8cb8f066c"]},{"id":"ITEM-5","itemData":{"ISSN":"1389-9333","PMID":"18543078","abstract":"Research into neuropsychiatric disorders, including alcohol-related problems, is limited in part by the lack of appropriate animal models. However, the development of new technologies in pathology and molecular biology means that many more questions can be addressed using appropriately stored human brain tissues. The New South Wales Tissue Resource Centre (TRC) in the University of Sydney (Australia) is a human brain bank that can provide tissues to the neuroscience research community studying alcohol-related brain disorders, schizophrenia, depression and bipolar disorders. Carefully standardised operational protocols and integrated information systems means that the TRC can provide high quality, accurately characterised, tissues for research. A recent initiative, the pre-mortem donor program called \"Using our Brains\", encourages individuals without neuropsychiatric illness to register as control donors, a critical group for all research. Community support for this program is strong with over 2,000 people registering their interest. Discussed herein are the protocols pertaining to this multifaceted facility and the benefits of investment, both scientific and financial, to neuroscience researchers and the community at large.","author":[{"dropping-particle":"","family":"Sheedy","given":"D","non-dropping-particle":"","parse-names":false,"suffix":""},{"dropping-particle":"","family":"Garrick","given":"T","non-dropping-particle":"","parse-names":false,"suffix":""},{"dropping-particle":"","family":"Dedova","given":"I","non-dropping-particle":"","parse-names":false,"suffix":""},{"dropping-particle":"","family":"Hunt","given":"C","non-dropping-particle":"","parse-names":false,"suffix":""},{"dropping-particle":"","family":"Miller","given":"R","non-dropping-particle":"","parse-names":false,"suffix":""},{"dropping-particle":"","family":"Sundqvist","given":"N","non-dropping-particle":"","parse-names":false,"suffix":""},{"dropping-particle":"","family":"Harper","given":"C","non-dropping-particle":"","parse-names":false,"suffix":""}],"container-title":"Cell and tissue banking","id":"ITEM-5","issue":"3","issued":{"date-parts":[["2008","9","10"]]},"page":"205-16","title":"An Australian Brain Bank: a critical investment with a high return!","type":"article-journal","volume":"9"},"uris":["http://www.mendeley.com/documents/?uuid=a850d12b-6b8d-37e2-8c81-5ce3da0d64a2"]}],"mendeley":{"formattedCitation":"&lt;sup&gt;31–35&lt;/sup&gt;","plainTextFormattedCitation":"31–35","previouslyFormattedCitation":"&lt;sup&gt;31–35&lt;/sup&gt;"},"properties":{"noteIndex":0},"schema":"https://github.com/citation-style-language/schema/raw/master/csl-citation.json"}</w:instrText>
      </w:r>
      <w:r w:rsidRPr="000C3E96">
        <w:rPr>
          <w:noProof w:val="0"/>
          <w:color w:val="000000" w:themeColor="text1"/>
          <w:lang w:val="en-US"/>
        </w:rPr>
        <w:fldChar w:fldCharType="separate"/>
      </w:r>
      <w:r w:rsidR="004F5243" w:rsidRPr="000C3E96">
        <w:rPr>
          <w:color w:val="000000" w:themeColor="text1"/>
          <w:vertAlign w:val="superscript"/>
          <w:lang w:val="en-US"/>
        </w:rPr>
        <w:t>31–35</w:t>
      </w:r>
      <w:r w:rsidRPr="000C3E96">
        <w:rPr>
          <w:noProof w:val="0"/>
          <w:color w:val="000000" w:themeColor="text1"/>
          <w:lang w:val="en-US"/>
        </w:rPr>
        <w:fldChar w:fldCharType="end"/>
      </w:r>
      <w:r w:rsidRPr="000C3E96">
        <w:rPr>
          <w:noProof w:val="0"/>
          <w:color w:val="000000" w:themeColor="text1"/>
          <w:lang w:val="en-US"/>
        </w:rPr>
        <w:t xml:space="preserve">. </w:t>
      </w:r>
      <w:r w:rsidR="003F1021" w:rsidRPr="000C3E96">
        <w:rPr>
          <w:noProof w:val="0"/>
          <w:color w:val="000000" w:themeColor="text1"/>
          <w:lang w:val="en-US"/>
        </w:rPr>
        <w:t xml:space="preserve">So, biochemical and histopathological analysis are conducted separately on each hemisphere. </w:t>
      </w:r>
      <w:r w:rsidRPr="000C3E96">
        <w:rPr>
          <w:noProof w:val="0"/>
          <w:color w:val="000000" w:themeColor="text1"/>
          <w:lang w:val="en-US"/>
        </w:rPr>
        <w:t>As many neurological diseases are asymmetrical, our BB offers a unique protocol for slicing fresh specimens: alternate sections from the brainstem and from each hemisphere</w:t>
      </w:r>
      <w:r w:rsidR="00D77518" w:rsidRPr="000C3E96">
        <w:rPr>
          <w:noProof w:val="0"/>
          <w:color w:val="000000" w:themeColor="text1"/>
          <w:lang w:val="en-US"/>
        </w:rPr>
        <w:t xml:space="preserve"> of cerebellum and cerebrum</w:t>
      </w:r>
      <w:r w:rsidRPr="000C3E96">
        <w:rPr>
          <w:noProof w:val="0"/>
          <w:color w:val="000000" w:themeColor="text1"/>
          <w:lang w:val="en-US"/>
        </w:rPr>
        <w:t xml:space="preserve"> are retained as fixed or frozen material</w:t>
      </w:r>
      <w:r w:rsidR="00974BE9" w:rsidRPr="000C3E96">
        <w:rPr>
          <w:noProof w:val="0"/>
          <w:color w:val="000000" w:themeColor="text1"/>
          <w:lang w:val="en-US"/>
        </w:rPr>
        <w:t>; a</w:t>
      </w:r>
      <w:r w:rsidR="00D77518" w:rsidRPr="000C3E96">
        <w:rPr>
          <w:rFonts w:ascii="AppleSystemUIFont" w:hAnsi="AppleSystemUIFont" w:cs="AppleSystemUIFont"/>
          <w:noProof w:val="0"/>
          <w:color w:val="000000" w:themeColor="text1"/>
          <w:lang w:val="en-US"/>
        </w:rPr>
        <w:t xml:space="preserve"> fixed slice on one hemisphere corresponds to a frozen one on the other hemisphere.</w:t>
      </w:r>
      <w:r w:rsidRPr="000C3E96">
        <w:rPr>
          <w:noProof w:val="0"/>
          <w:color w:val="000000" w:themeColor="text1"/>
          <w:lang w:val="en-US"/>
        </w:rPr>
        <w:t xml:space="preserve"> Our method gives the opportunity to obtain a complete histological characterization of all frozen material and to compare the results from</w:t>
      </w:r>
      <w:r w:rsidR="009E2E97" w:rsidRPr="000C3E96">
        <w:rPr>
          <w:noProof w:val="0"/>
          <w:color w:val="000000" w:themeColor="text1"/>
          <w:lang w:val="en-US"/>
        </w:rPr>
        <w:t xml:space="preserve"> all areas of</w:t>
      </w:r>
      <w:r w:rsidRPr="000C3E96">
        <w:rPr>
          <w:noProof w:val="0"/>
          <w:color w:val="000000" w:themeColor="text1"/>
          <w:lang w:val="en-US"/>
        </w:rPr>
        <w:t xml:space="preserve"> both sides. </w:t>
      </w:r>
      <w:r w:rsidR="009E2E97" w:rsidRPr="000C3E96">
        <w:rPr>
          <w:noProof w:val="0"/>
          <w:color w:val="000000" w:themeColor="text1"/>
          <w:lang w:val="en-US"/>
        </w:rPr>
        <w:t xml:space="preserve">As said in the introduction, the method described allows us to obtain as much information as possible from the brain tissue. </w:t>
      </w:r>
      <w:r w:rsidRPr="000C3E96">
        <w:rPr>
          <w:noProof w:val="0"/>
          <w:color w:val="000000" w:themeColor="text1"/>
          <w:lang w:val="en-US"/>
        </w:rPr>
        <w:t xml:space="preserve">Furthermore, ABB’s method yields a basic but complete neuropathological characterization, including almost all known brain proteinopathies and vascular pathology. Due to the controversial role of vascular injuries in determining cognitive impairment, we </w:t>
      </w:r>
      <w:r w:rsidR="009E2E97" w:rsidRPr="000C3E96">
        <w:rPr>
          <w:noProof w:val="0"/>
          <w:color w:val="000000" w:themeColor="text1"/>
          <w:lang w:val="en-US"/>
        </w:rPr>
        <w:t xml:space="preserve">decided to </w:t>
      </w:r>
      <w:r w:rsidRPr="000C3E96">
        <w:rPr>
          <w:noProof w:val="0"/>
          <w:color w:val="000000" w:themeColor="text1"/>
          <w:lang w:val="en-US"/>
        </w:rPr>
        <w:t>use a double scoring for the vascular burden</w:t>
      </w:r>
      <w:r w:rsidR="00B42D77" w:rsidRPr="000C3E96">
        <w:rPr>
          <w:noProof w:val="0"/>
          <w:color w:val="000000" w:themeColor="text1"/>
          <w:lang w:val="en-US"/>
        </w:rPr>
        <w:fldChar w:fldCharType="begin" w:fldLock="1"/>
      </w:r>
      <w:r w:rsidR="00B42D77" w:rsidRPr="000C3E96">
        <w:rPr>
          <w:noProof w:val="0"/>
          <w:color w:val="000000" w:themeColor="text1"/>
          <w:lang w:val="en-US"/>
        </w:rPr>
        <w:instrText>ADDIN CSL_CITATION {"citationItems":[{"id":"ITEM-1","itemData":{"ISSN":"1526-632X","PMID":"22377814","abstract":"OBJECTIVE Most pathologic studies indicate that significant vascular changes are found in the majority of elderly persons, either alone or in association with neurodegenerative processes such as Alzheimer disease (AD) or dementia with Lewy bodies (DLB). Cumulative burden of cerebrovascular lesions can explain cognitive decline described as vascular cognitive impairment, but because there is a lack of consensus in the best way to quantify vascular pathology, the relationship between cognitive decline and cerebrovascular disease remains uncertain. We developed a rating scheme for cerebrovascular lesions using postmortem brains from patients with dementia from 2 European tertiary care memory clinics. METHODS A total of 135 brains with a neuropathologic diagnosis of vascular dementia (VaD) (n = 26), AD + VaD (n = 39), DLB + VaD (n = 21), AD + DLB + VaD (n = 9), AD (n = 19), and DLB (n = 21) were investigated in this study. Cerebrovascular lesions were rated on large sections from the hippocampus, the temporal lobe, the frontal lobe, and basal ganglia. RESULTS In patients with dementia, vessel wall modifications such as arteriolosclerosis or amyloid angiopathy are the most common and presumably the earliest changes. Modifications in perivascular spaces and myelin loss are the next most common. Lacunar or regional infarcts may occur as a consequence of an independent process or in the final phase of small vessel diseases. CONCLUSION A staging system based on this conceptual model of cerebrovascular pathology could enable the neuropathologic quantification of the cerebrovascular burden in dementia. Further studies are needed to determine whether this system can be used in large-scale studies to understand clinical-cerebrovascular pathologic correlations.","author":[{"dropping-particle":"","family":"Deramecourt","given":"V","non-dropping-particle":"","parse-names":false,"suffix":""},{"dropping-particle":"","family":"Slade","given":"J Y","non-dropping-particle":"","parse-names":false,"suffix":""},{"dropping-particle":"","family":"Oakley","given":"A E","non-dropping-particle":"","parse-names":false,"suffix":""},{"dropping-particle":"","family":"Perry","given":"R H","non-dropping-particle":"","parse-names":false,"suffix":""},{"dropping-particle":"","family":"Ince","given":"P G","non-dropping-particle":"","parse-names":false,"suffix":""},{"dropping-particle":"","family":"Maurage","given":"C-A","non-dropping-particle":"","parse-names":false,"suffix":""},{"dropping-particle":"","family":"Kalaria","given":"R N","non-dropping-particle":"","parse-names":false,"suffix":""}],"container-title":"Neurology","id":"ITEM-1","issue":"14","issued":{"date-parts":[["2012","4","3"]]},"page":"1043-50","title":"Staging and natural history of cerebrovascular pathology in dementia.","type":"article-journal","volume":"78"},"uris":["http://www.mendeley.com/documents/?uuid=05c7cd70-39d3-3a60-8c39-a676f7bcb9e9"]},{"id":"ITEM-2","itemData":{"ISSN":"0006-8950","PMID":"27591113","abstract":"There are no generally accepted protocols for post-mortem assessment in cases of suspected vascular cognitive impairment. Neuropathologists from seven UK centres have collaborated in the development of a set of vascular cognitive impairment neuropathology guidelines (VCING), representing a validated consensus approach to the post-mortem assessment and scoring of cerebrovascular disease in relation to vascular cognitive impairment. The development had three stages: (i) agreement on a sampling protocol and scoring criteria, through a series of Delphi method surveys; (ii) determination of inter-rater reliability for each type of pathology in each region sampled (Gwet's AC2 coefficient); and (iii) empirical testing and validation of the criteria, by blinded post-mortem assessment of brain tissue from 113 individuals (55 to 100 years) without significant neurodegenerative disease who had had formal cognitive assessments within 12 months of death. Fourteen different vessel and parenchymal pathologies were assessed in 13 brain regions. Almost perfect agreement (AC2 &gt; 0.8) was found when the agreed criteria were used for assessment of leptomeningeal, cortical and capillary cerebral amyloid angiopathy, large infarcts, lacunar infarcts, microhaemorrhage, larger haemorrhage, fibrinoid necrosis, microaneurysms, perivascular space dilation, perivascular haemosiderin leakage, and myelin loss. There was more variability (but still reasonably good agreement) in assessment of the severity of arteriolosclerosis (0.45-0.91) and microinfarcts (0.52-0.84). Regression analyses were undertaken to identify the best predictors of cognitive impairment. Seven pathologies-leptomeningeal cerebral amyloid angiopathy, large infarcts, lacunar infarcts, microinfarcts, arteriolosclerosis, perivascular space dilation and myelin loss-predicted cognitive impairment. Multivariable logistic regression determined the best predictive models of cognitive impairment. The preferred model included moderate/severe occipital leptomeningeal cerebral amyloid angiopathy, moderate/severe arteriolosclerosis in occipital white matter, and at least one large infarct (area under the receiver operating characteristic curve 77%). The presence of 0, 1, 2 or 3 of these features resulted in predicted probabilities of vascular cognitive impairment of 16%, 43%, 73% or 95%, respectively. We have developed VCING criteria that are reproducible and clinically predictive. Assuming our model can be validated in an indep…","author":[{"dropping-particle":"","family":"Skrobot","given":"Olivia A.","non-dropping-particle":"","parse-names":false,"suffix":""},{"dropping-particle":"","family":"Attems","given":"Johannes","non-dropping-particle":"","parse-names":false,"suffix":""},{"dropping-particle":"","family":"Esiri","given":"Margaret","non-dropping-particle":"","parse-names":false,"suffix":""},{"dropping-particle":"","family":"Hortobágyi","given":"Tibor","non-dropping-particle":"","parse-names":false,"suffix":""},{"dropping-particle":"","family":"Ironside","given":"James W.","non-dropping-particle":"","parse-names":false,"suffix":""},{"dropping-particle":"","family":"Kalaria","given":"Rajesh N.","non-dropping-particle":"","parse-names":false,"suffix":""},{"dropping-particle":"","family":"King","given":"Andrew","non-dropping-particle":"","parse-names":false,"suffix":""},{"dropping-particle":"","family":"Lammie","given":"George A.","non-dropping-particle":"","parse-names":false,"suffix":""},{"dropping-particle":"","family":"Mann","given":"David","non-dropping-particle":"","parse-names":false,"suffix":""},{"dropping-particle":"","family":"Neal","given":"James","non-dropping-particle":"","parse-names":false,"suffix":""},{"dropping-particle":"","family":"Ben-Shlomo","given":"Yoav","non-dropping-particle":"","parse-names":false,"suffix":""},{"dropping-particle":"","family":"Kehoe","given":"Patrick G.","non-dropping-particle":"","parse-names":false,"suffix":""},{"dropping-particle":"","family":"Love","given":"Seth","non-dropping-particle":"","parse-names":false,"suffix":""}],"container-title":"Brain","id":"ITEM-2","issue":"11","issued":{"date-parts":[["2016","11","1"]]},"page":"2957-2969","title":"Vascular cognitive impairment neuropathology guidelines (VCING): the contribution of cerebrovascular pathology to cognitive impairment","type":"article-journal","volume":"139"},"uris":["http://www.mendeley.com/documents/?uuid=ed136fc5-e5c3-3966-a4b5-0d279574d1df"]}],"mendeley":{"formattedCitation":"&lt;sup&gt;30, 53&lt;/sup&gt;","plainTextFormattedCitation":"30, 53","previouslyFormattedCitation":"&lt;sup&gt;30, 53&lt;/sup&gt;"},"properties":{"noteIndex":0},"schema":"https://github.com/citation-style-language/schema/raw/master/csl-citation.json"}</w:instrText>
      </w:r>
      <w:r w:rsidR="00B42D77" w:rsidRPr="000C3E96">
        <w:rPr>
          <w:noProof w:val="0"/>
          <w:color w:val="000000" w:themeColor="text1"/>
          <w:lang w:val="en-US"/>
        </w:rPr>
        <w:fldChar w:fldCharType="separate"/>
      </w:r>
      <w:r w:rsidR="00B42D77" w:rsidRPr="000C3E96">
        <w:rPr>
          <w:color w:val="000000" w:themeColor="text1"/>
          <w:vertAlign w:val="superscript"/>
          <w:lang w:val="en-US"/>
        </w:rPr>
        <w:t>30, 53</w:t>
      </w:r>
      <w:r w:rsidR="00B42D77" w:rsidRPr="000C3E96">
        <w:rPr>
          <w:noProof w:val="0"/>
          <w:color w:val="000000" w:themeColor="text1"/>
          <w:lang w:val="en-US"/>
        </w:rPr>
        <w:fldChar w:fldCharType="end"/>
      </w:r>
      <w:r w:rsidRPr="000C3E96">
        <w:rPr>
          <w:noProof w:val="0"/>
          <w:color w:val="000000" w:themeColor="text1"/>
          <w:lang w:val="en-US"/>
        </w:rPr>
        <w:t>.</w:t>
      </w:r>
    </w:p>
    <w:p w14:paraId="21A92917" w14:textId="77777777" w:rsidR="003978E5" w:rsidRPr="000C3E96" w:rsidRDefault="003978E5" w:rsidP="000F28C2">
      <w:pPr>
        <w:pStyle w:val="Paragrafoelenco1"/>
        <w:ind w:left="0"/>
        <w:rPr>
          <w:noProof w:val="0"/>
          <w:color w:val="000000" w:themeColor="text1"/>
          <w:lang w:val="en-US"/>
        </w:rPr>
      </w:pPr>
    </w:p>
    <w:p w14:paraId="2A6091D6" w14:textId="739ED39A" w:rsidR="000843B8" w:rsidRPr="000C3E96" w:rsidRDefault="00D6273E" w:rsidP="00D77518">
      <w:pPr>
        <w:rPr>
          <w:noProof w:val="0"/>
          <w:color w:val="000000" w:themeColor="text1"/>
          <w:lang w:val="en-US"/>
        </w:rPr>
      </w:pPr>
      <w:r w:rsidRPr="000C3E96">
        <w:rPr>
          <w:rFonts w:eastAsia="Baskerville" w:cs="Baskerville"/>
          <w:noProof w:val="0"/>
          <w:color w:val="000000" w:themeColor="text1"/>
          <w:lang w:val="en-US"/>
        </w:rPr>
        <w:t>As explained in the protocol, we use a multidisciplinary approach. Although this is a time</w:t>
      </w:r>
      <w:r w:rsidR="0020593C" w:rsidRPr="000C3E96">
        <w:rPr>
          <w:rFonts w:eastAsia="Baskerville" w:cs="Baskerville"/>
          <w:noProof w:val="0"/>
          <w:color w:val="000000" w:themeColor="text1"/>
          <w:lang w:val="en-US"/>
        </w:rPr>
        <w:t>-</w:t>
      </w:r>
      <w:r w:rsidRPr="000C3E96">
        <w:rPr>
          <w:rFonts w:eastAsia="Baskerville" w:cs="Baskerville"/>
          <w:noProof w:val="0"/>
          <w:color w:val="000000" w:themeColor="text1"/>
          <w:lang w:val="en-US"/>
        </w:rPr>
        <w:t xml:space="preserve">consuming and labored method, we believe </w:t>
      </w:r>
      <w:r w:rsidR="00F22C52" w:rsidRPr="000C3E96">
        <w:rPr>
          <w:rFonts w:eastAsia="Baskerville" w:cs="Baskerville"/>
          <w:noProof w:val="0"/>
          <w:color w:val="000000" w:themeColor="text1"/>
          <w:lang w:val="en-US"/>
        </w:rPr>
        <w:t>it</w:t>
      </w:r>
      <w:r w:rsidRPr="000C3E96">
        <w:rPr>
          <w:rFonts w:eastAsia="Baskerville" w:cs="Baskerville"/>
          <w:noProof w:val="0"/>
          <w:color w:val="000000" w:themeColor="text1"/>
          <w:lang w:val="en-US"/>
        </w:rPr>
        <w:t xml:space="preserve"> provides </w:t>
      </w:r>
      <w:r w:rsidR="00F22C52" w:rsidRPr="000C3E96">
        <w:rPr>
          <w:rFonts w:eastAsia="Baskerville" w:cs="Baskerville"/>
          <w:noProof w:val="0"/>
          <w:color w:val="000000" w:themeColor="text1"/>
          <w:lang w:val="en-US"/>
        </w:rPr>
        <w:t xml:space="preserve">several </w:t>
      </w:r>
      <w:r w:rsidRPr="000C3E96">
        <w:rPr>
          <w:rFonts w:eastAsia="Baskerville" w:cs="Baskerville"/>
          <w:noProof w:val="0"/>
          <w:color w:val="000000" w:themeColor="text1"/>
          <w:lang w:val="en-US"/>
        </w:rPr>
        <w:t>advantages for research.</w:t>
      </w:r>
      <w:r w:rsidR="0008086F" w:rsidRPr="000C3E96">
        <w:rPr>
          <w:rFonts w:eastAsia="Baskerville" w:cs="Baskerville"/>
          <w:noProof w:val="0"/>
          <w:color w:val="000000" w:themeColor="text1"/>
          <w:lang w:val="en-US"/>
        </w:rPr>
        <w:t xml:space="preserve"> For instance, </w:t>
      </w:r>
      <w:r w:rsidR="00664D4F" w:rsidRPr="000C3E96">
        <w:rPr>
          <w:noProof w:val="0"/>
          <w:color w:val="000000" w:themeColor="text1"/>
          <w:lang w:val="en-US"/>
        </w:rPr>
        <w:t>in a p</w:t>
      </w:r>
      <w:r w:rsidR="00480E84" w:rsidRPr="000C3E96">
        <w:rPr>
          <w:noProof w:val="0"/>
          <w:color w:val="000000" w:themeColor="text1"/>
          <w:lang w:val="en-US"/>
        </w:rPr>
        <w:t>revious</w:t>
      </w:r>
      <w:r w:rsidR="00664D4F" w:rsidRPr="000C3E96">
        <w:rPr>
          <w:noProof w:val="0"/>
          <w:color w:val="000000" w:themeColor="text1"/>
          <w:lang w:val="en-US"/>
        </w:rPr>
        <w:t xml:space="preserve"> work</w:t>
      </w:r>
      <w:r w:rsidR="00480E84" w:rsidRPr="000C3E96">
        <w:rPr>
          <w:noProof w:val="0"/>
          <w:color w:val="000000" w:themeColor="text1"/>
          <w:lang w:val="en-US"/>
        </w:rPr>
        <w:t xml:space="preserve">, we demonstrated that high </w:t>
      </w:r>
      <w:proofErr w:type="spellStart"/>
      <w:r w:rsidR="00480E84" w:rsidRPr="000C3E96">
        <w:rPr>
          <w:noProof w:val="0"/>
          <w:color w:val="000000" w:themeColor="text1"/>
          <w:lang w:val="en-US"/>
        </w:rPr>
        <w:t>tHcy</w:t>
      </w:r>
      <w:proofErr w:type="spellEnd"/>
      <w:r w:rsidR="00480E84" w:rsidRPr="000C3E96">
        <w:rPr>
          <w:noProof w:val="0"/>
          <w:color w:val="000000" w:themeColor="text1"/>
          <w:lang w:val="en-US"/>
        </w:rPr>
        <w:t xml:space="preserve"> per se, or MTHFR C677T TT </w:t>
      </w:r>
      <w:r w:rsidR="00BA665C" w:rsidRPr="000C3E96">
        <w:rPr>
          <w:noProof w:val="0"/>
          <w:color w:val="000000" w:themeColor="text1"/>
          <w:lang w:val="en-US"/>
        </w:rPr>
        <w:t>associated</w:t>
      </w:r>
      <w:r w:rsidR="00480E84" w:rsidRPr="000C3E96">
        <w:rPr>
          <w:noProof w:val="0"/>
          <w:color w:val="000000" w:themeColor="text1"/>
          <w:lang w:val="en-US"/>
        </w:rPr>
        <w:t xml:space="preserve"> with the APOE-ε4 allele, </w:t>
      </w:r>
      <w:r w:rsidR="00BA665C" w:rsidRPr="000C3E96">
        <w:rPr>
          <w:noProof w:val="0"/>
          <w:color w:val="000000" w:themeColor="text1"/>
          <w:lang w:val="en-US"/>
        </w:rPr>
        <w:t>may be</w:t>
      </w:r>
      <w:r w:rsidR="00664D4F" w:rsidRPr="000C3E96">
        <w:rPr>
          <w:noProof w:val="0"/>
          <w:color w:val="000000" w:themeColor="text1"/>
          <w:lang w:val="en-US"/>
        </w:rPr>
        <w:t xml:space="preserve"> </w:t>
      </w:r>
      <w:r w:rsidR="00BA665C" w:rsidRPr="000C3E96">
        <w:rPr>
          <w:noProof w:val="0"/>
          <w:color w:val="000000" w:themeColor="text1"/>
          <w:lang w:val="en-US"/>
        </w:rPr>
        <w:t>related</w:t>
      </w:r>
      <w:r w:rsidR="00480E84" w:rsidRPr="000C3E96">
        <w:rPr>
          <w:noProof w:val="0"/>
          <w:color w:val="000000" w:themeColor="text1"/>
          <w:lang w:val="en-US"/>
        </w:rPr>
        <w:t xml:space="preserve"> </w:t>
      </w:r>
      <w:r w:rsidR="0020593C" w:rsidRPr="000C3E96">
        <w:rPr>
          <w:noProof w:val="0"/>
          <w:color w:val="000000" w:themeColor="text1"/>
          <w:lang w:val="en-US"/>
        </w:rPr>
        <w:t>to</w:t>
      </w:r>
      <w:r w:rsidR="00480E84" w:rsidRPr="000C3E96">
        <w:rPr>
          <w:noProof w:val="0"/>
          <w:color w:val="000000" w:themeColor="text1"/>
          <w:lang w:val="en-US"/>
        </w:rPr>
        <w:t xml:space="preserve"> executive dysfunctions rather than memory loss</w:t>
      </w:r>
      <w:r w:rsidR="00B42D7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{"citationItems":[{"id":"ITEM-1","itemData":{"DOI":"10.1016/j.exger.2016.01.005","ISSN":"1873-6815","PMID":"26774227","abstract":"High total homocysteine (tHcy) is associated with cognitive impairment in the elderly. The impact of high tHcy on different cognitive domains deserves further investigation, as does the role of the C677T polymorphism of the 5,10 methylenetetrahydrofolate reductase (MTHFR) gene. A cross-sectional analysis of 903 subjects from the population-based \"InveCe.Ab\" study was performed. The participants had no psychosis or active neurological disorders. They underwent a neuropsychological assessment. Principal component analysis allowed cognitive performance to be condensed into two components: executive functions and memory. Novel components were evaluated for association with tHcy, controlling for potential confounders. Regression models showed that high serum tHcy was associated with lower executive functions, but not with memory. MTHFR C677T TT was associated with higher tHcy but did not affect cognitive performance per se. However, when combined with the apolipoprotein E (APOE)-ε4 allele, it was a risk factor for lower executive performance, independently of tHcy levels. In summary, high tHcy per se, or MTHFR C677T TT in combination with the APOE-ε4 allele, might be associated primarily with executive dysfunctions rather than memory loss.","author":[{"dropping-particle":"","family":"Polito","given":"Letizia","non-dropping-particle":"","parse-names":false,"suffix":""},{"dropping-particle":"","family":"Poloni","given":"Tino Emanuele","non-dropping-particle":"","parse-names":false,"suffix":""},{"dropping-particle":"","family":"Vaccaro","given":"Roberta","non-dropping-particle":"","parse-names":false,"suffix":""},{"dropping-particle":"","family":"Abbondanza","given":"Simona","non-dropping-particle":"","parse-names":false,"suffix":""},{"dropping-particle":"","family":"Mangieri","given":"Michela","non-dropping-particle":"","parse-names":false,"suffix":""},{"dropping-particle":"","family":"Davin","given":"Annalisa","non-dropping-particle":"","parse-names":false,"suffix":""},{"dropping-particle":"","family":"Villani","given":"Simona","non-dropping-particle":"","parse-names":false,"suffix":""},{"dropping-particle":"","family":"Guaita","given":"Antonio","non-dropping-particle":"","parse-names":false,"suffix":""}],"container-title":"Experimental gerontology","id":"ITEM-1","issued":{"date-parts":[["2016"]]},"page":"9-16","title":"High homocysteine and epistasis between MTHFR and APOE: association with cognitive performance in the elderly.","type":"article-journal","volume":"76"},"uris":["http://www.mendeley.com/documents/?uuid=d82dcb30-8a29-37ae-9c86-cffd4996dbb6"]}],"mendeley":{"formattedCitation":"&lt;sup&gt;81&lt;/sup&gt;","plainTextFormattedCitation":"81","previouslyFormattedCitation":"&lt;sup&gt;81&lt;/sup&gt;"},"properties":{"noteIndex":0},"schema":"https://github.com/citation-style-language/schema/raw/master/csl-citation.json"}</w:instrText>
      </w:r>
      <w:r w:rsidR="00B42D77" w:rsidRPr="000C3E96">
        <w:rPr>
          <w:noProof w:val="0"/>
          <w:color w:val="000000" w:themeColor="text1"/>
          <w:lang w:val="en-US"/>
        </w:rPr>
        <w:fldChar w:fldCharType="separate"/>
      </w:r>
      <w:r w:rsidR="00C1675A" w:rsidRPr="00C1675A">
        <w:rPr>
          <w:color w:val="000000" w:themeColor="text1"/>
          <w:vertAlign w:val="superscript"/>
          <w:lang w:val="en-US"/>
        </w:rPr>
        <w:t>81</w:t>
      </w:r>
      <w:r w:rsidR="00B42D77" w:rsidRPr="000C3E96">
        <w:rPr>
          <w:noProof w:val="0"/>
          <w:color w:val="000000" w:themeColor="text1"/>
          <w:lang w:val="en-US"/>
        </w:rPr>
        <w:fldChar w:fldCharType="end"/>
      </w:r>
      <w:r w:rsidR="00480E84" w:rsidRPr="000C3E96">
        <w:rPr>
          <w:noProof w:val="0"/>
          <w:color w:val="000000" w:themeColor="text1"/>
          <w:lang w:val="en-US"/>
        </w:rPr>
        <w:t xml:space="preserve">. </w:t>
      </w:r>
      <w:r w:rsidR="00BA7785" w:rsidRPr="000C3E96">
        <w:rPr>
          <w:noProof w:val="0"/>
          <w:color w:val="000000" w:themeColor="text1"/>
          <w:lang w:val="en-US"/>
        </w:rPr>
        <w:t>Therefore, i</w:t>
      </w:r>
      <w:r w:rsidR="00480E84" w:rsidRPr="000C3E96">
        <w:rPr>
          <w:noProof w:val="0"/>
          <w:color w:val="000000" w:themeColor="text1"/>
          <w:lang w:val="en-US"/>
        </w:rPr>
        <w:t xml:space="preserve">t may be interesting to evaluate subjects with this particular genetic profile at a neuropathological level. This is an example of how such in-depth follow-up is useful in creating new research hypotheses verifiable </w:t>
      </w:r>
      <w:r w:rsidR="0020593C" w:rsidRPr="000C3E96">
        <w:rPr>
          <w:noProof w:val="0"/>
          <w:color w:val="000000" w:themeColor="text1"/>
          <w:lang w:val="en-US"/>
        </w:rPr>
        <w:t>through investigation of</w:t>
      </w:r>
      <w:r w:rsidR="00480E84" w:rsidRPr="000C3E96">
        <w:rPr>
          <w:noProof w:val="0"/>
          <w:color w:val="000000" w:themeColor="text1"/>
          <w:lang w:val="en-US"/>
        </w:rPr>
        <w:t xml:space="preserve"> biological material collected in our bank.</w:t>
      </w:r>
      <w:r w:rsidRPr="000C3E96">
        <w:rPr>
          <w:noProof w:val="0"/>
          <w:color w:val="000000" w:themeColor="text1"/>
          <w:lang w:val="en-US"/>
        </w:rPr>
        <w:t xml:space="preserve"> </w:t>
      </w:r>
      <w:r w:rsidR="008E4C4F" w:rsidRPr="000C3E96">
        <w:rPr>
          <w:noProof w:val="0"/>
          <w:color w:val="000000" w:themeColor="text1"/>
          <w:lang w:val="en-US"/>
        </w:rPr>
        <w:t xml:space="preserve">Another </w:t>
      </w:r>
      <w:r w:rsidR="003B2B7D" w:rsidRPr="000C3E96">
        <w:rPr>
          <w:noProof w:val="0"/>
          <w:color w:val="000000" w:themeColor="text1"/>
          <w:lang w:val="en-US"/>
        </w:rPr>
        <w:t>demonstration</w:t>
      </w:r>
      <w:r w:rsidR="008E4C4F" w:rsidRPr="000C3E96">
        <w:rPr>
          <w:noProof w:val="0"/>
          <w:color w:val="000000" w:themeColor="text1"/>
          <w:lang w:val="en-US"/>
        </w:rPr>
        <w:t xml:space="preserve"> of the </w:t>
      </w:r>
      <w:r w:rsidR="00E53926" w:rsidRPr="000C3E96">
        <w:rPr>
          <w:noProof w:val="0"/>
          <w:color w:val="000000" w:themeColor="text1"/>
          <w:lang w:val="en-US"/>
        </w:rPr>
        <w:t>advantage</w:t>
      </w:r>
      <w:r w:rsidR="008E4C4F" w:rsidRPr="000C3E96">
        <w:rPr>
          <w:noProof w:val="0"/>
          <w:color w:val="000000" w:themeColor="text1"/>
          <w:lang w:val="en-US"/>
        </w:rPr>
        <w:t xml:space="preserve"> of our approach is th</w:t>
      </w:r>
      <w:r w:rsidR="00F026D6" w:rsidRPr="000C3E96">
        <w:rPr>
          <w:noProof w:val="0"/>
          <w:color w:val="000000" w:themeColor="text1"/>
          <w:lang w:val="en-US"/>
        </w:rPr>
        <w:t>e</w:t>
      </w:r>
      <w:r w:rsidR="008E4C4F" w:rsidRPr="000C3E96">
        <w:rPr>
          <w:noProof w:val="0"/>
          <w:color w:val="000000" w:themeColor="text1"/>
          <w:lang w:val="en-US"/>
        </w:rPr>
        <w:t xml:space="preserve"> </w:t>
      </w:r>
      <w:r w:rsidR="009A28B1" w:rsidRPr="000C3E96">
        <w:rPr>
          <w:rFonts w:eastAsia="Baskerville" w:cs="Baskerville"/>
          <w:noProof w:val="0"/>
          <w:color w:val="000000" w:themeColor="text1"/>
          <w:lang w:val="en-US"/>
        </w:rPr>
        <w:t>inclu</w:t>
      </w:r>
      <w:r w:rsidR="008E4C4F" w:rsidRPr="000C3E96">
        <w:rPr>
          <w:rFonts w:eastAsia="Baskerville" w:cs="Baskerville"/>
          <w:noProof w:val="0"/>
          <w:color w:val="000000" w:themeColor="text1"/>
          <w:lang w:val="en-US"/>
        </w:rPr>
        <w:t>sion of</w:t>
      </w:r>
      <w:r w:rsidR="009A28B1" w:rsidRPr="000C3E96">
        <w:rPr>
          <w:rFonts w:eastAsia="Baskerville" w:cs="Baskerville"/>
          <w:noProof w:val="0"/>
          <w:color w:val="000000" w:themeColor="text1"/>
          <w:lang w:val="en-US"/>
        </w:rPr>
        <w:t xml:space="preserve"> </w:t>
      </w:r>
      <w:r w:rsidR="00B17144" w:rsidRPr="000C3E96">
        <w:rPr>
          <w:rFonts w:eastAsia="Baskerville" w:cs="Baskerville"/>
          <w:noProof w:val="0"/>
          <w:color w:val="000000" w:themeColor="text1"/>
          <w:lang w:val="en-US"/>
        </w:rPr>
        <w:t>Q</w:t>
      </w:r>
      <w:r w:rsidR="009A28B1" w:rsidRPr="000C3E96">
        <w:rPr>
          <w:rFonts w:eastAsia="Baskerville" w:cs="Baskerville"/>
          <w:noProof w:val="0"/>
          <w:color w:val="000000" w:themeColor="text1"/>
          <w:lang w:val="en-US"/>
        </w:rPr>
        <w:t xml:space="preserve">EEG among the assessments </w:t>
      </w:r>
      <w:r w:rsidR="00B17144" w:rsidRPr="000C3E96">
        <w:rPr>
          <w:rFonts w:eastAsia="Baskerville" w:cs="Baskerville"/>
          <w:noProof w:val="0"/>
          <w:color w:val="000000" w:themeColor="text1"/>
          <w:lang w:val="en-US"/>
        </w:rPr>
        <w:t>we routinely perform</w:t>
      </w:r>
      <w:r w:rsidR="00F026D6" w:rsidRPr="000C3E96">
        <w:rPr>
          <w:rFonts w:eastAsia="Baskerville" w:cs="Baskerville"/>
          <w:noProof w:val="0"/>
          <w:color w:val="000000" w:themeColor="text1"/>
          <w:lang w:val="en-US"/>
        </w:rPr>
        <w:t>,</w:t>
      </w:r>
      <w:r w:rsidR="00B17144" w:rsidRPr="000C3E96">
        <w:rPr>
          <w:rFonts w:eastAsia="Baskerville" w:cs="Baskerville"/>
          <w:noProof w:val="0"/>
          <w:color w:val="000000" w:themeColor="text1"/>
          <w:lang w:val="en-US"/>
        </w:rPr>
        <w:t xml:space="preserve"> </w:t>
      </w:r>
      <w:r w:rsidR="009A28B1" w:rsidRPr="000C3E96">
        <w:rPr>
          <w:rFonts w:eastAsia="Baskerville" w:cs="Baskerville"/>
          <w:noProof w:val="0"/>
          <w:color w:val="000000" w:themeColor="text1"/>
          <w:lang w:val="en-US"/>
        </w:rPr>
        <w:t xml:space="preserve">for </w:t>
      </w:r>
      <w:r w:rsidR="00F026D6" w:rsidRPr="000C3E96">
        <w:rPr>
          <w:rFonts w:eastAsia="Baskerville" w:cs="Baskerville"/>
          <w:noProof w:val="0"/>
          <w:color w:val="000000" w:themeColor="text1"/>
          <w:lang w:val="en-US"/>
        </w:rPr>
        <w:t xml:space="preserve">its </w:t>
      </w:r>
      <w:r w:rsidR="009A28B1" w:rsidRPr="000C3E96">
        <w:rPr>
          <w:rFonts w:eastAsia="Baskerville" w:cs="Baskerville"/>
          <w:noProof w:val="0"/>
          <w:color w:val="000000" w:themeColor="text1"/>
          <w:lang w:val="en-US"/>
        </w:rPr>
        <w:t xml:space="preserve">originality and </w:t>
      </w:r>
      <w:r w:rsidR="00D66905" w:rsidRPr="000C3E96">
        <w:rPr>
          <w:rFonts w:eastAsia="Baskerville" w:cs="Baskerville"/>
          <w:noProof w:val="0"/>
          <w:color w:val="000000" w:themeColor="text1"/>
          <w:lang w:val="en-US"/>
        </w:rPr>
        <w:t xml:space="preserve">the </w:t>
      </w:r>
      <w:r w:rsidR="009A28B1" w:rsidRPr="000C3E96">
        <w:rPr>
          <w:rFonts w:eastAsia="Baskerville" w:cs="Baskerville"/>
          <w:noProof w:val="0"/>
          <w:color w:val="000000" w:themeColor="text1"/>
          <w:lang w:val="en-US"/>
        </w:rPr>
        <w:t>relative ease of use.</w:t>
      </w:r>
      <w:r w:rsidR="00260252" w:rsidRPr="000C3E96">
        <w:rPr>
          <w:rFonts w:eastAsia="Baskerville" w:cs="Baskerville"/>
          <w:noProof w:val="0"/>
          <w:color w:val="000000" w:themeColor="text1"/>
          <w:lang w:val="en-US"/>
        </w:rPr>
        <w:t xml:space="preserve"> </w:t>
      </w:r>
      <w:r w:rsidR="009020A3" w:rsidRPr="000C3E96">
        <w:rPr>
          <w:rFonts w:eastAsia="Baskerville" w:cs="Baskerville"/>
          <w:noProof w:val="0"/>
          <w:color w:val="000000" w:themeColor="text1"/>
          <w:lang w:val="en-US"/>
        </w:rPr>
        <w:t>Indeed,</w:t>
      </w:r>
      <w:r w:rsidR="00E26474" w:rsidRPr="000C3E96">
        <w:rPr>
          <w:rFonts w:eastAsia="Baskerville" w:cs="Baskerville"/>
          <w:noProof w:val="0"/>
          <w:color w:val="000000" w:themeColor="text1"/>
          <w:lang w:val="en-US"/>
        </w:rPr>
        <w:t xml:space="preserve"> </w:t>
      </w:r>
      <w:r w:rsidR="00B6363B" w:rsidRPr="000C3E96">
        <w:rPr>
          <w:rFonts w:eastAsia="Baskerville" w:cs="Baskerville"/>
          <w:noProof w:val="0"/>
          <w:color w:val="000000" w:themeColor="text1"/>
          <w:lang w:val="en-US"/>
        </w:rPr>
        <w:t>EEG detects the synaptic activity of the cerebral cortex by recording the electrical potentials of dendrites belonging to cortical pyramidal neurons</w:t>
      </w:r>
      <w:r w:rsidR="007D5EA9"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{"citationItems":[{"id":"ITEM-1","itemData":{"author":[{"dropping-particle":"","family":"Amzica F","given":"Lopes Da Silva FH","non-dropping-particle":"","parse-names":false,"suffix":""}],"container-title":"Niedermeyer's Electroencephalography is now in its thoroughly updated sixth edition.","id":"ITEM-1","issued":{"date-parts":[["2009"]]},"page":"33-63","title":"Cellular substrates of brain rhythms.","type":"chapter"},"uris":["http://www.mendeley.com/documents/?uuid=a56d579c-9852-3a43-945b-cc242fc37da9"]}],"mendeley":{"formattedCitation":"&lt;sup&gt;82&lt;/sup&gt;","plainTextFormattedCitation":"82","previouslyFormattedCitation":"&lt;sup&gt;82&lt;/sup&gt;"},"properties":{"noteIndex":0},"schema":"https://github.com/citation-style-language/schema/raw/master/csl-citation.json"}</w:instrText>
      </w:r>
      <w:r w:rsidR="007D5EA9"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82</w:t>
      </w:r>
      <w:r w:rsidR="007D5EA9" w:rsidRPr="000C3E96">
        <w:rPr>
          <w:rFonts w:eastAsia="Baskerville" w:cs="Baskerville"/>
          <w:noProof w:val="0"/>
          <w:color w:val="000000" w:themeColor="text1"/>
          <w:lang w:val="en-US"/>
        </w:rPr>
        <w:fldChar w:fldCharType="end"/>
      </w:r>
      <w:r w:rsidR="00B6363B" w:rsidRPr="000C3E96">
        <w:rPr>
          <w:rFonts w:eastAsia="Baskerville" w:cs="Baskerville"/>
          <w:noProof w:val="0"/>
          <w:color w:val="000000" w:themeColor="text1"/>
          <w:lang w:val="en-US"/>
        </w:rPr>
        <w:t>.</w:t>
      </w:r>
      <w:r w:rsidR="007D5EA9" w:rsidRPr="000C3E96">
        <w:rPr>
          <w:rFonts w:eastAsia="Baskerville" w:cs="Baskerville"/>
          <w:noProof w:val="0"/>
          <w:color w:val="000000" w:themeColor="text1"/>
          <w:lang w:val="en-US"/>
        </w:rPr>
        <w:t xml:space="preserve"> </w:t>
      </w:r>
      <w:r w:rsidR="00E97FF6" w:rsidRPr="000C3E96">
        <w:rPr>
          <w:rFonts w:eastAsia="Baskerville" w:cs="Baskerville"/>
          <w:noProof w:val="0"/>
          <w:color w:val="000000" w:themeColor="text1"/>
          <w:lang w:val="en-US"/>
        </w:rPr>
        <w:t>QEEG can be considered a biomarker for estimation of cortical synaptic activity which is related to cognition</w:t>
      </w:r>
      <w:r w:rsidR="007D5EA9"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83&lt;/sup&gt;","plainTextFormattedCitation":"83","previouslyFormattedCitation":"&lt;sup&gt;83&lt;/sup&gt;"},"properties":{"noteIndex":0},"schema":"https://github.com/citation-style-language/schema/raw/master/csl-citation.json"}</w:instrText>
      </w:r>
      <w:r w:rsidR="007D5EA9"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83</w:t>
      </w:r>
      <w:r w:rsidR="007D5EA9" w:rsidRPr="000C3E96">
        <w:rPr>
          <w:rFonts w:eastAsia="Baskerville" w:cs="Baskerville"/>
          <w:noProof w:val="0"/>
          <w:color w:val="000000" w:themeColor="text1"/>
          <w:lang w:val="en-US"/>
        </w:rPr>
        <w:fldChar w:fldCharType="end"/>
      </w:r>
      <w:r w:rsidR="00E97FF6" w:rsidRPr="000C3E96">
        <w:rPr>
          <w:rFonts w:eastAsia="Baskerville" w:cs="Baskerville"/>
          <w:noProof w:val="0"/>
          <w:color w:val="000000" w:themeColor="text1"/>
          <w:lang w:val="en-US"/>
        </w:rPr>
        <w:t xml:space="preserve">. </w:t>
      </w:r>
      <w:r w:rsidR="00E97FF6" w:rsidRPr="000C3E96">
        <w:rPr>
          <w:noProof w:val="0"/>
          <w:color w:val="000000" w:themeColor="text1"/>
          <w:lang w:val="en-US"/>
        </w:rPr>
        <w:t>Particularly, a</w:t>
      </w:r>
      <w:r w:rsidR="00B6363B" w:rsidRPr="000C3E96">
        <w:rPr>
          <w:noProof w:val="0"/>
          <w:color w:val="000000" w:themeColor="text1"/>
          <w:lang w:val="en-US"/>
        </w:rPr>
        <w:t xml:space="preserve"> decrease in alpha rhythms </w:t>
      </w:r>
      <w:r w:rsidR="00E97FF6" w:rsidRPr="000C3E96">
        <w:rPr>
          <w:rFonts w:eastAsia="Baskerville" w:cs="Baskerville"/>
          <w:noProof w:val="0"/>
          <w:color w:val="000000" w:themeColor="text1"/>
          <w:lang w:val="en-US"/>
        </w:rPr>
        <w:t>in the posterior part of the brain</w:t>
      </w:r>
      <w:r w:rsidR="00E97FF6" w:rsidRPr="000C3E96">
        <w:rPr>
          <w:noProof w:val="0"/>
          <w:color w:val="000000" w:themeColor="text1"/>
          <w:lang w:val="en-US"/>
        </w:rPr>
        <w:t xml:space="preserve"> </w:t>
      </w:r>
      <w:r w:rsidR="00B6363B" w:rsidRPr="000C3E96">
        <w:rPr>
          <w:noProof w:val="0"/>
          <w:color w:val="000000" w:themeColor="text1"/>
          <w:lang w:val="en-US"/>
        </w:rPr>
        <w:t>with a</w:t>
      </w:r>
      <w:r w:rsidR="00292DA4" w:rsidRPr="000C3E96">
        <w:rPr>
          <w:noProof w:val="0"/>
          <w:color w:val="000000" w:themeColor="text1"/>
          <w:lang w:val="en-US"/>
        </w:rPr>
        <w:t xml:space="preserve"> general</w:t>
      </w:r>
      <w:r w:rsidR="00B6363B" w:rsidRPr="000C3E96">
        <w:rPr>
          <w:noProof w:val="0"/>
          <w:color w:val="000000" w:themeColor="text1"/>
          <w:lang w:val="en-US"/>
        </w:rPr>
        <w:t xml:space="preserve"> increase</w:t>
      </w:r>
      <w:r w:rsidR="00E97FF6" w:rsidRPr="000C3E96">
        <w:rPr>
          <w:noProof w:val="0"/>
          <w:color w:val="000000" w:themeColor="text1"/>
          <w:lang w:val="en-US"/>
        </w:rPr>
        <w:t xml:space="preserve"> </w:t>
      </w:r>
      <w:r w:rsidR="00B6363B" w:rsidRPr="000C3E96">
        <w:rPr>
          <w:noProof w:val="0"/>
          <w:color w:val="000000" w:themeColor="text1"/>
          <w:lang w:val="en-US"/>
        </w:rPr>
        <w:t>of lower frequencies (</w:t>
      </w:r>
      <w:r w:rsidR="00B6363B" w:rsidRPr="000C3E96">
        <w:rPr>
          <w:rFonts w:eastAsia="Baskerville" w:cs="Baskerville"/>
          <w:noProof w:val="0"/>
          <w:color w:val="000000" w:themeColor="text1"/>
          <w:lang w:val="en-US"/>
        </w:rPr>
        <w:t>theta and delta rhythms)</w:t>
      </w:r>
      <w:r w:rsidR="00B6363B" w:rsidRPr="000C3E96">
        <w:rPr>
          <w:noProof w:val="0"/>
          <w:color w:val="000000" w:themeColor="text1"/>
          <w:lang w:val="en-US"/>
        </w:rPr>
        <w:t xml:space="preserve"> has been related to cortical connection breakdown</w:t>
      </w:r>
      <w:r w:rsidR="00E97FF6" w:rsidRPr="000C3E96">
        <w:rPr>
          <w:noProof w:val="0"/>
          <w:color w:val="000000" w:themeColor="text1"/>
          <w:lang w:val="en-US"/>
        </w:rPr>
        <w:t>.</w:t>
      </w:r>
      <w:r w:rsidR="00E97FF6" w:rsidRPr="000C3E96">
        <w:rPr>
          <w:rFonts w:eastAsia="Baskerville" w:cs="Baskerville"/>
          <w:noProof w:val="0"/>
          <w:color w:val="000000" w:themeColor="text1"/>
          <w:lang w:val="en-US"/>
        </w:rPr>
        <w:t xml:space="preserve"> </w:t>
      </w:r>
      <w:r w:rsidR="00362DF6" w:rsidRPr="000C3E96">
        <w:rPr>
          <w:noProof w:val="0"/>
          <w:color w:val="000000" w:themeColor="text1"/>
          <w:lang w:val="en-US"/>
        </w:rPr>
        <w:t>I</w:t>
      </w:r>
      <w:r w:rsidR="00E97FF6" w:rsidRPr="000C3E96">
        <w:rPr>
          <w:noProof w:val="0"/>
          <w:color w:val="000000" w:themeColor="text1"/>
          <w:lang w:val="en-US"/>
        </w:rPr>
        <w:t xml:space="preserve">t should be considered that most of the diagnostic correlation studies have been </w:t>
      </w:r>
      <w:r w:rsidR="00D42780" w:rsidRPr="000C3E96">
        <w:rPr>
          <w:noProof w:val="0"/>
          <w:color w:val="000000" w:themeColor="text1"/>
          <w:lang w:val="en-US"/>
        </w:rPr>
        <w:t>based on a clinical diagnosis that is</w:t>
      </w:r>
      <w:r w:rsidR="000F487D" w:rsidRPr="000C3E96">
        <w:rPr>
          <w:noProof w:val="0"/>
          <w:color w:val="000000" w:themeColor="text1"/>
          <w:lang w:val="en-US"/>
        </w:rPr>
        <w:t xml:space="preserve"> </w:t>
      </w:r>
      <w:r w:rsidR="00D66905" w:rsidRPr="000C3E96">
        <w:rPr>
          <w:noProof w:val="0"/>
          <w:color w:val="000000" w:themeColor="text1"/>
          <w:lang w:val="en-US"/>
        </w:rPr>
        <w:t xml:space="preserve">only </w:t>
      </w:r>
      <w:r w:rsidR="000F487D" w:rsidRPr="000C3E96">
        <w:rPr>
          <w:noProof w:val="0"/>
          <w:color w:val="000000" w:themeColor="text1"/>
          <w:lang w:val="en-US"/>
        </w:rPr>
        <w:t>a</w:t>
      </w:r>
      <w:r w:rsidR="006C7135" w:rsidRPr="000C3E96">
        <w:rPr>
          <w:noProof w:val="0"/>
          <w:color w:val="000000" w:themeColor="text1"/>
          <w:lang w:val="en-US"/>
        </w:rPr>
        <w:t xml:space="preserve"> </w:t>
      </w:r>
      <w:r w:rsidR="00D42780" w:rsidRPr="000C3E96">
        <w:rPr>
          <w:noProof w:val="0"/>
          <w:color w:val="000000" w:themeColor="text1"/>
          <w:lang w:val="en-US"/>
        </w:rPr>
        <w:t>probable</w:t>
      </w:r>
      <w:r w:rsidR="006C7135" w:rsidRPr="000C3E96">
        <w:rPr>
          <w:noProof w:val="0"/>
          <w:color w:val="000000" w:themeColor="text1"/>
          <w:lang w:val="en-US"/>
        </w:rPr>
        <w:t xml:space="preserve"> </w:t>
      </w:r>
      <w:r w:rsidR="00D42780" w:rsidRPr="000C3E96">
        <w:rPr>
          <w:noProof w:val="0"/>
          <w:color w:val="000000" w:themeColor="text1"/>
          <w:lang w:val="en-US"/>
        </w:rPr>
        <w:t xml:space="preserve">and not </w:t>
      </w:r>
      <w:r w:rsidR="00D66905" w:rsidRPr="000C3E96">
        <w:rPr>
          <w:noProof w:val="0"/>
          <w:color w:val="000000" w:themeColor="text1"/>
          <w:lang w:val="en-US"/>
        </w:rPr>
        <w:t xml:space="preserve">a </w:t>
      </w:r>
      <w:r w:rsidR="00D42780" w:rsidRPr="000C3E96">
        <w:rPr>
          <w:noProof w:val="0"/>
          <w:color w:val="000000" w:themeColor="text1"/>
          <w:lang w:val="en-US"/>
        </w:rPr>
        <w:t>definite diagnosis</w:t>
      </w:r>
      <w:r w:rsidR="00A934DF"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{"citationItems":[{"id":"ITEM-1","itemData":{"ISSN":"01974580","PMID":"28646686","abstract":"We studied whether electroencephalography (EEG)-derived measures of brain oscillatory activity are related to clinical progression in nondemented, amyloid positive subjects. We included 205 nondemented amyloid positive subjects (63 subjective cognitive decline [SCD]; 142 mild cognitive impairment [MCI]) with a baseline resting-state EEG data and ≥1-year follow-up. Peak frequency and relative power of 4 frequency bands were calculated. Relationships between normalized EEG measures and time to clinical progression (conversion from SCD to MCI/dementia or from MCI to dementia) were analyzed using Cox proportional hazard models. One hundred eight (53%) subjects clinically progressed after 2.1 (IQR 1.3-3.0) years. In the total sample, none of the EEG spectral measures were significant predictors. Stratified for baseline diagnosis, we found that in SCD patients higher delta and theta power (HR [95% CI] = 1.7 [1.0-2.7] resp. 2.3 [1.2-4.4]), and lower alpha power and peak frequency (HR [95% CI] = 0.5 [0.3-1.0] resp. 0.6 [0.4-1.0]) were associated with clinical progression over time. In amyloid positive subjects with normal cognition, slowing of oscillatory brain activity is related to clinical progression.","author":[{"dropping-particle":"","family":"Gouw","given":"Alida A.","non-dropping-particle":"","parse-names":false,"suffix":""},{"dropping-particle":"","family":"Alsema","given":"Astrid M.","non-dropping-particle":"","parse-names":false,"suffix":""},{"dropping-particle":"","family":"Tijms","given":"Betty M.","non-dropping-particle":"","parse-names":false,"suffix":""},{"dropping-particle":"","family":"Borta","given":"Andreas","non-dropping-particle":"","parse-names":false,"suffix":""},{"dropping-particle":"","family":"Scheltens","given":"Philip","non-dropping-particle":"","parse-names":false,"suffix":""},{"dropping-particle":"","family":"Stam","given":"Cornelis J.","non-dropping-particle":"","parse-names":false,"suffix":""},{"dropping-particle":"","family":"Flier","given":"Wiesje M.","non-dropping-particle":"van der","parse-names":false,"suffix":""}],"container-title":"Neurobiology of Aging","id":"ITEM-1","issued":{"date-parts":[["2017","9"]]},"page":"133-142","title":"EEG spectral analysis as a putative early prognostic biomarker in nondemented, amyloid positive subjects","type":"article-journal","volume":"57"},"uris":["http://www.mendeley.com/documents/?uuid=f4df8fdf-07ab-375c-b35e-ee65175996fe"]},{"id":"ITEM-2","itemData":{"ISSN":"01974580","PMID":"28454845","abstract":"The aim of this retrospective exploratory study was that resting state eyes-closed electroencephalographic (rsEEG) rhythms might reflect brain arousal in patients with dementia due to Alzheimer's disease dementia (ADD), Parkinson's disease dementia (PDD), and dementia with Lewy body (DLB). Clinical and rsEEG data of 42 ADD, 42 PDD, 34 DLB, and 40 healthy elderly (Nold) subjects were available in an international archive. Demography, education, and Mini-Mental State Evaluation score were not different between the patient groups. Individual alpha frequency peak (IAF) determined the delta, theta, alpha 1, alpha 2, and alpha 3 frequency bands. Fixed beta 1, beta 2, and gamma bands were also considered. rsEEG cortical sources were estimated by means of the exact low-resolution brain electromagnetic source tomography and were then classified across individuals, on the basis of the receiver operating characteristic curves. Compared to Nold, IAF showed marked slowing in PDD and DLB and moderate slowing in ADD. Furthermore, all patient groups showed lower posterior alpha 2 source activities. This effect was dramatic in ADD, marked in DLB, and moderate in PDD. These groups also showed higher occipital delta source activities, but this effect was dramatic in PDD, marked in DLB, and moderate in ADD. The posterior delta and alpha sources allowed good classification accuracy (approximately 0.85-0.90) between the Nold subjects and patients, and between ADD and PDD patients. In quiet wakefulness, delta and alpha sources unveiled different spatial and frequency features of the cortical neural synchronization underpinning brain arousal in ADD, PDD, and DLB patients. Future prospective cross-validation studies should test these rsEEG markers for clinical applications and drug discovery.","author":[{"dropping-particle":"","family":"Babiloni","given":"Claudio","non-dropping-particle":"","parse-names":false,"suffix":""},{"dropping-particle":"","family":"Percio","given":"Claudio","non-dropping-particle":"Del","parse-names":false,"suffix":""},{"dropping-particle":"","family":"Lizio","given":"Roberta","non-dropping-particle":"","parse-names":false,"suffix":""},{"dropping-particle":"","family":"Noce","given":"Giuseppe","non-dropping-particle":"","parse-names":false,"suffix":""},{"dropping-particle":"","family":"Cordone","given":"Susanna","non-dropping-particle":"","parse-names":false,"suffix":""},{"dropping-particle":"","family":"Lopez","given":"Susanna","non-dropping-particle":"","parse-names":false,"suffix":""},{"dropping-particle":"","family":"Soricelli","given":"Andrea","non-dropping-particle":"","parse-names":false,"suffix":""},{"dropping-particle":"","family":"Ferri","given":"Raffaele","non-dropping-particle":"","parse-names":false,"suffix":""},{"dropping-particle":"","family":"Pascarelli","given":"Maria Teresa","non-dropping-particle":"","parse-names":false,"suffix":""},{"dropping-particle":"","family":"Nobili","given":"Flavio","non-dropping-particle":"","parse-names":false,"suffix":""},{"dropping-particle":"","family":"Arnaldi","given":"Dario","non-dropping-particle":"","parse-names":false,"suffix":""},{"dropping-particle":"","family":"Aarsland","given":"Dag","non-dropping-particle":"","parse-names":false,"suffix":""},{"dropping-particle":"","family":"Orzi","given":"Francesco","non-dropping-particle":"","parse-names":false,"suffix":""},{"dropping-particle":"","family":"Buttinelli","given":"Carla","non-dropping-particle":"","parse-names":false,"suffix":""},{"dropping-particle":"","family":"Giubilei","given":"Franco","non-dropping-particle":"","parse-names":false,"suffix":""},{"dropping-particle":"","family":"Onofrj","given":"Marco","non-dropping-particle":"","parse-names":false,"suffix":""},{"dropping-particle":"","family":"Stocchi","given":"Fabrizio","non-dropping-particle":"","parse-names":false,"suffix":""},{"dropping-particle":"","family":"Stirpe","given":"Paola","non-dropping-particle":"","parse-names":false,"suffix":""},{"dropping-particle":"","family":"Fuhr","given":"Peter","non-dropping-particle":"","parse-names":false,"suffix":""},{"dropping-particle":"","family":"Gschwandtner","given":"Ute","non-dropping-particle":"","parse-names":false,"suffix":""},{"dropping-particle":"","family":"Ransmayr","given":"Gerhard","non-dropping-particle":"","parse-names":false,"suffix":""},{"dropping-particle":"","family":"Caravias","given":"Georg","non-dropping-particle":"","parse-names":false,"suffix":""},{"dropping-particle":"","family":"Garn","given":"Heinrich","non-dropping-particle":"","parse-names":false,"suffix":""},{"dropping-particle":"","family":"Sorpresi","given":"Fabiola","non-dropping-particle":"","parse-names":false,"suffix":""},{"dropping-particle":"","family":"Pievani","given":"Michela","non-dropping-particle":"","parse-names":false,"suffix":""},{"dropping-particle":"","family":"Frisoni","given":"Giovanni B.","non-dropping-particle":"","parse-names":false,"suffix":""},{"dropping-particle":"","family":"D'Antonio","given":"Fabrizia","non-dropping-particle":"","parse-names":false,"suffix":""},{"dropping-particle":"","family":"Lena","given":"Carlo","non-dropping-particle":"De","parse-names":false,"suffix":""},{"dropping-particle":"","family":"Güntekin","given":"Bahar","non-dropping-particle":"","parse-names":false,"suffix":""},{"dropping-particle":"","family":"Hanoğlu","given":"Lutfu","non-dropping-particle":"","parse-names":false,"suffix":""},{"dropping-particle":"","family":"Başar","given":"Erol","non-dropping-particle":"","parse-names":false,"suffix":""},{"dropping-particle":"","family":"Yener","given":"Görsev","non-dropping-particle":"","parse-names":false,"suffix":""},{"dropping-particle":"","family":"Emek-Savaş","given":"Derya Durusu","non-dropping-particle":"","parse-names":false,"suffix":""},{"dropping-particle":"","family":"Triggiani","given":"Antonio Ivano","non-dropping-particle":"","parse-names":false,"suffix":""},{"dropping-particle":"","family":"Franciotti","given":"Raffaella","non-dropping-particle":"","parse-names":false,"suffix":""},{"dropping-particle":"","family":"Pandis","given":"Maria Francesca","non-dropping-particle":"De","parse-names":false,"suffix":""},{"dropping-particle":"","family":"Bonanni","given":"Laura","non-dropping-particle":"","parse-names":false,"suffix":""}],"container-title":"Neurobiology of Aging","id":"ITEM-2","issued":{"date-parts":[["2017","7"]]},"page":"143-158","title":"Abnormalities of cortical neural synchronization mechanisms in patients with dementia due to Alzheimer's and Lewy body diseases: an EEG study","type":"article-journal","volume":"55"},"uris":["http://www.mendeley.com/documents/?uuid=ffbf89a7-4a0c-3ca0-96a9-84459e448afd"]},{"id":"ITEM-3","itemData":{"ISSN":"01974580","PMID":"25129239","abstract":"Mild cognitive impairment (MCI) as a precursor of dementia with Lewy bodies (DLB) is the focus of recent research, trying to explore the early mechanisms and possible biomarkers of DLB. Quantitative electroencephalogram (QEEG) methods are able to differentiate early DLB from Alzheimer's disease (AD). The aim of the present study was to assess whether QEEG abnormalities, characterized by dominant frequency &lt;8 Hz and dominant frequency variability &gt;1.5 Hz, typical of early DLB, are already present at the stage of MCI and to evaluate whether EEG abnormalities can predict the development of DLB. Forty-seven MCI subjects were followed for 3 years. EEG recordings were obtained at admission and at the end of the study. At the end of follow-up, 20 subjects had developed probable DLB (MCI-DLB), 14 had probable AD (MCI-AD), 8 did not convert to dementia, 5 developed a non-AD/DLB dementia. One hundred percent of MCI-DLB showed EEG abnormalities at admission. Ninety three percent of MCI-AD maintained a normal EEG throughout the study. QEEG may represent a powerful tool to predict the progression from MCI to DLB with a sensitivity and specificity close to 100%.","author":[{"dropping-particle":"","family":"Bonanni","given":"Laura","non-dropping-particle":"","parse-names":false,"suffix":""},{"dropping-particle":"","family":"Perfetti","given":"Bernardo","non-dropping-particle":"","parse-names":false,"suffix":""},{"dropping-particle":"","family":"Bifolchetti","given":"Stefania","non-dropping-particle":"","parse-names":false,"suffix":""},{"dropping-particle":"","family":"Taylor","given":"John-Paul","non-dropping-particle":"","parse-names":false,"suffix":""},{"dropping-particle":"","family":"Franciotti","given":"Raffaella","non-dropping-particle":"","parse-names":false,"suffix":""},{"dropping-particle":"","family":"Parnetti","given":"Lucilla","non-dropping-particle":"","parse-names":false,"suffix":""},{"dropping-particle":"","family":"Thomas","given":"Astrid","non-dropping-particle":"","parse-names":false,"suffix":""},{"dropping-particle":"","family":"Onofrj","given":"Marco","non-dropping-particle":"","parse-names":false,"suffix":""}],"container-title":"Neurobiology of Aging","id":"ITEM-3","issue":"1","issued":{"date-parts":[["2015","1"]]},"page":"434-445","title":"Quantitative electroencephalogram utility in predicting conversion of mild cognitive impairment to dementia with Lewy bodies","type":"article-journal","volume":"36"},"uris":["http://www.mendeley.com/documents/?uuid=f8a1acd5-2f02-3eee-a8fc-76ccc8af4e41"]},{"id":"ITEM-4","itemData":{"ISSN":"1420-8008","PMID":"25895831","abstract":"BACKGROUND/AIM The aim of this study was to examine the discriminatory power of quantitative EEG (qEEG) applying the statistical pattern recognition (SPR) method to separate Alzheimer's disease (AD) patients from elderly individuals without dementia and from other dementia patients. METHODS The participants were recruited from 6 Nordic memory clinics: 372 unselected patients [mean age 71.7 years (SD 8.6), 54% women] and 146 healthy elderly individuals [mean age 66.5 years (SD 7.7), 60% women]. After a standardized and comprehensive assessment, clinical diagnoses were made according to internationally accepted criteria by at least 2 clinicians. EEGs were recorded in a standardized way and analyzed independently of the clinical diagnoses, using the SPR method. RESULTS In receiver operating characteristic curve analyses, the qEEGs separated AD patients from healthy elderly individuals with an area under the curve (AUC) of 0.90, representing a sensitivity of 84% and a specificity of 81%. The qEEGs further separated patients with Lewy body dementia or Parkinson's disease dementia from AD patients with an AUC of 0.9, a sensitivity of 85% and a specificity of 87%. CONCLUSION qEEG using the SPR method could be a useful tool in dementia diagnostic workup.","author":[{"dropping-particle":"","family":"Engedal","given":"Knut","non-dropping-particle":"","parse-names":false,"suffix":""},{"dropping-particle":"","family":"Snaedal","given":"Jon","non-dropping-particle":"","parse-names":false,"suffix":""},{"dropping-particle":"","family":"Hoegh","given":"Peter","non-dropping-particle":"","parse-names":false,"suffix":""},{"dropping-particle":"","family":"Jelic","given":"Vesna","non-dropping-particle":"","parse-names":false,"suffix":""},{"dropping-particle":"","family":"Bo Andersen","given":"Birgitte","non-dropping-particle":"","parse-names":false,"suffix":""},{"dropping-particle":"","family":"Naik","given":"Mala","non-dropping-particle":"","parse-names":false,"suffix":""},{"dropping-particle":"","family":"Wahlund","given":"Lars-Olof","non-dropping-particle":"","parse-names":false,"suffix":""},{"dropping-particle":"","family":"Oeksengaard","given":"Anne-Rita","non-dropping-particle":"","parse-names":false,"suffix":""}],"container-title":"Dementia and Geriatric Cognitive Disorders","id":"ITEM-4","issue":"1-2","issued":{"date-parts":[["2015","4","14"]]},"page":"1-12","title":"Quantitative EEG Applying the Statistical Recognition Pattern Method: A Useful Tool in Dementia Diagnostic Workup","type":"article-journal","volume":"40"},"uris":["http://www.mendeley.com/documents/?uuid=244c6337-c69d-3b10-b82d-c08b499f4d81"]}],"mendeley":{"formattedCitation":"&lt;sup&gt;84–87&lt;/sup&gt;","plainTextFormattedCitation":"84–87","previouslyFormattedCitation":"&lt;sup&gt;84–87&lt;/sup&gt;"},"properties":{"noteIndex":0},"schema":"https://github.com/citation-style-language/schema/raw/master/csl-citation.json"}</w:instrText>
      </w:r>
      <w:r w:rsidR="00A934DF" w:rsidRPr="000C3E96">
        <w:rPr>
          <w:noProof w:val="0"/>
          <w:color w:val="000000" w:themeColor="text1"/>
          <w:lang w:val="en-US"/>
        </w:rPr>
        <w:fldChar w:fldCharType="separate"/>
      </w:r>
      <w:r w:rsidR="00C1675A" w:rsidRPr="00C1675A">
        <w:rPr>
          <w:color w:val="000000" w:themeColor="text1"/>
          <w:vertAlign w:val="superscript"/>
          <w:lang w:val="en-US"/>
        </w:rPr>
        <w:t>84–87</w:t>
      </w:r>
      <w:r w:rsidR="00A934DF" w:rsidRPr="000C3E96">
        <w:rPr>
          <w:noProof w:val="0"/>
          <w:color w:val="000000" w:themeColor="text1"/>
          <w:lang w:val="en-US"/>
        </w:rPr>
        <w:fldChar w:fldCharType="end"/>
      </w:r>
      <w:r w:rsidR="00362DF6" w:rsidRPr="000C3E96">
        <w:rPr>
          <w:noProof w:val="0"/>
          <w:color w:val="000000" w:themeColor="text1"/>
          <w:lang w:val="en-US"/>
        </w:rPr>
        <w:t>.</w:t>
      </w:r>
      <w:r w:rsidR="00A934DF" w:rsidRPr="000C3E96">
        <w:rPr>
          <w:noProof w:val="0"/>
          <w:color w:val="000000" w:themeColor="text1"/>
          <w:vertAlign w:val="superscript"/>
          <w:lang w:val="en-US"/>
        </w:rPr>
        <w:t xml:space="preserve"> </w:t>
      </w:r>
      <w:r w:rsidR="00E6310A" w:rsidRPr="000C3E96">
        <w:rPr>
          <w:rFonts w:eastAsia="Baskerville" w:cs="Baskerville"/>
          <w:noProof w:val="0"/>
          <w:color w:val="000000" w:themeColor="text1"/>
          <w:lang w:val="en-US"/>
        </w:rPr>
        <w:t xml:space="preserve">Only very few targeted studies have </w:t>
      </w:r>
      <w:r w:rsidR="00D66905" w:rsidRPr="000C3E96">
        <w:rPr>
          <w:rFonts w:eastAsia="Baskerville" w:cs="Baskerville"/>
          <w:noProof w:val="0"/>
          <w:color w:val="000000" w:themeColor="text1"/>
          <w:lang w:val="en-US"/>
        </w:rPr>
        <w:t xml:space="preserve">compared </w:t>
      </w:r>
      <w:r w:rsidR="00CF7D85" w:rsidRPr="000C3E96">
        <w:rPr>
          <w:rFonts w:eastAsia="Baskerville" w:cs="Baskerville"/>
          <w:noProof w:val="0"/>
          <w:color w:val="000000" w:themeColor="text1"/>
          <w:lang w:val="en-US"/>
        </w:rPr>
        <w:t>Q</w:t>
      </w:r>
      <w:r w:rsidR="00E6310A" w:rsidRPr="000C3E96">
        <w:rPr>
          <w:rFonts w:eastAsia="Baskerville" w:cs="Baskerville"/>
          <w:noProof w:val="0"/>
          <w:color w:val="000000" w:themeColor="text1"/>
          <w:lang w:val="en-US"/>
        </w:rPr>
        <w:t>EEG data with the neuropathological picture to investigate</w:t>
      </w:r>
      <w:r w:rsidR="00D66905" w:rsidRPr="000C3E96">
        <w:rPr>
          <w:rFonts w:eastAsia="Baskerville" w:cs="Baskerville"/>
          <w:noProof w:val="0"/>
          <w:color w:val="000000" w:themeColor="text1"/>
          <w:lang w:val="en-US"/>
        </w:rPr>
        <w:t xml:space="preserve"> the correlation between</w:t>
      </w:r>
      <w:r w:rsidR="00E6310A" w:rsidRPr="000C3E96">
        <w:rPr>
          <w:rFonts w:eastAsia="Baskerville" w:cs="Baskerville"/>
          <w:noProof w:val="0"/>
          <w:color w:val="000000" w:themeColor="text1"/>
          <w:lang w:val="en-US"/>
        </w:rPr>
        <w:t xml:space="preserve"> QEEG</w:t>
      </w:r>
      <w:r w:rsidR="00D66905" w:rsidRPr="000C3E96">
        <w:rPr>
          <w:rFonts w:eastAsia="Baskerville" w:cs="Baskerville"/>
          <w:noProof w:val="0"/>
          <w:color w:val="000000" w:themeColor="text1"/>
          <w:lang w:val="en-US"/>
        </w:rPr>
        <w:t xml:space="preserve"> and</w:t>
      </w:r>
      <w:r w:rsidR="00E6310A" w:rsidRPr="000C3E96">
        <w:rPr>
          <w:rFonts w:eastAsia="Baskerville" w:cs="Baskerville"/>
          <w:noProof w:val="0"/>
          <w:color w:val="000000" w:themeColor="text1"/>
          <w:lang w:val="en-US"/>
        </w:rPr>
        <w:t xml:space="preserve"> LTS variants</w:t>
      </w:r>
      <w:r w:rsidR="000B58B5"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{"citationItems":[{"id":"ITEM-1","itemData":{"ISSN":"1550-0594","PMID":"29161906","abstract":"INTRODUCTION The key mechanisms that connect Parkinson's disease pathology with dementia are unclear. We tested the hypothesis that the quantitative spectral electroencephalographic measure, delta bandpower, correlates with Lewy type synucleinopathy on pathological examination in Parkinson's disease. As a corollary hypothesis, we analyzed whether there would be delta bandpower electroencephalographic differences between Parkinson's disease dementia cases with and without pathological criteria for Alzheimer's disease. METHODS We used pathological examination results from 44 Parkinson's disease subjects from our brain bank with various degrees of cognitive decline, who had undergone electroencephalography. Pathological grading for Lewy type synucleinopathy, plaques, tangles, and indications of vascular pathology in subcortical and cortical areas were correlated with the most associated electroencephalographic biomarker with Parkinson's disease dementia in our laboratory, delta bandpower. Group differences for all spectral electroencephalographic measures were also analyzed between cases with and without pathological criteria for Alzheimer's disease. RESULTS Findings revealed significant correlations between delta bandpower with Lewy type synucleinopathy, whereas indications of Alzheimer's disease or vascular pathology had nonsignificant correlation. The strongest association was with delta bandpower and Lewy type synucleinopathy in the anterior cingulate region. Mean delta bandpower was higher in the group for Parkinson's disease dementia with Alzheimer's disease pathology criteria than without. CONCLUSIONS Lewy type synucleinopathy severity appears to be more associated with increased delta bandpower than with Alzheimer's disease pathology or indications of vascular pathology over all cases. However, the presence of Alzheimer's pathology may associate with more cortex physiological disruption in a subset of cases.","author":[{"dropping-particle":"","family":"Caviness","given":"John N.","non-dropping-particle":"","parse-names":false,"suffix":""},{"dropping-particle":"","family":"Beach","given":"Thomas G.","non-dropping-particle":"","parse-names":false,"suffix":""},{"dropping-particle":"","family":"Hentz","given":"Joseph G.","non-dropping-particle":"","parse-names":false,"suffix":""},{"dropping-particle":"","family":"Shill","given":"Holly A.","non-dropping-particle":"","parse-names":false,"suffix":""},{"dropping-particle":"","family":"Driver-Dunckley","given":"Erika D.","non-dropping-particle":"","parse-names":false,"suffix":""},{"dropping-particle":"","family":"Adler","given":"Charles H.","non-dropping-particle":"","parse-names":false,"suffix":""}],"container-title":"Clinical EEG and Neuroscience","id":"ITEM-1","issue":"5","issued":{"date-parts":[["2018","9"]]},"page":"321-327","title":"Association Between Pathology and Electroencephalographic Activity in Parkinson’s Disease","type":"article-journal","volume":"49"},"uris":["http://www.mendeley.com/documents/?uuid=69bf271a-8f74-39a0-bfe0-4eb3d48636ca"]},{"id":"ITEM-2","itemData":{"ISSN":"13872877","PMID":"27636837","abstract":"We investigated the power of EEG as biomarker in differential diagnosis of Alzheimer's disease (AD) and frontotemporal lobar degeneration (FTLD). EEG was recorded from 106 patients with AD or FTLD, of which 37 had a definite diagnosis, and 40 controls. Dominant frequency peaks were extracted for all 19 channels, for each subject. The average frequency of the largest dominant frequency peaks (maxpeak) was significantly lower in AD than FTLD patients and controls. Based on ROC analysis, classification could be made with diagnostic accuracy of 78.9%. Our findings show that quantitative analysis of EEG maxpeak frequency is an easy and useful measure for differential dementia diagnosis.","author":[{"dropping-particle":"","family":"Goossens","given":"Joery","non-dropping-particle":"","parse-names":false,"suffix":""},{"dropping-particle":"","family":"Laton","given":"Jorne","non-dropping-particle":"","parse-names":false,"suffix":""},{"dropping-particle":"","family":"Schependom","given":"Jeroen","non-dropping-particle":"Van","parse-names":false,"suffix":""},{"dropping-particle":"","family":"Gielen","given":"Jeroen","non-dropping-particle":"","parse-names":false,"suffix":""},{"dropping-particle":"","family":"Struyfs","given":"Hanne","non-dropping-particle":"","parse-names":false,"suffix":""},{"dropping-particle":"","family":"Mossevelde","given":"Sara","non-dropping-particle":"Van","parse-names":false,"suffix":""},{"dropping-particle":"","family":"Bossche","given":"Tobi","non-dropping-particle":"Van den","parse-names":false,"suffix":""},{"dropping-particle":"","family":"Goeman","given":"Johan","non-dropping-particle":"","parse-names":false,"suffix":""},{"dropping-particle":"","family":"Deyn","given":"Peter Paul","non-dropping-particle":"De","parse-names":false,"suffix":""},{"dropping-particle":"","family":"Sieben","given":"Anne","non-dropping-particle":"","parse-names":false,"suffix":""},{"dropping-particle":"","family":"Martin","given":"Jean-Jacques","non-dropping-particle":"","parse-names":false,"suffix":""},{"dropping-particle":"","family":"Broeckhoven","given":"Christine","non-dropping-particle":"Van","parse-names":false,"suffix":""},{"dropping-particle":"","family":"Zee","given":"Julie","non-dropping-particle":"van der","parse-names":false,"suffix":""},{"dropping-particle":"","family":"Engelborghs","given":"Sebastiaan","non-dropping-particle":"","parse-names":false,"suffix":""},{"dropping-particle":"","family":"Nagels","given":"Guy","non-dropping-particle":"","parse-names":false,"suffix":""}],"container-title":"Journal of Alzheimer's Disease","id":"ITEM-2","issue":"1","issued":{"date-parts":[["2016","11","1"]]},"page":"53-58","title":"EEG Dominant Frequency Peak Differentiates Between Alzheimer’s Disease and Frontotemporal Lobar Degeneration","type":"article-journal","volume":"55"},"uris":["http://www.mendeley.com/documents/?uuid=3ee4a497-c755-3393-b0e2-afd9da0cd3df"]}],"mendeley":{"formattedCitation":"&lt;sup&gt;88, 89&lt;/sup&gt;","plainTextFormattedCitation":"88, 89","previouslyFormattedCitation":"&lt;sup&gt;88, 89&lt;/sup&gt;"},"properties":{"noteIndex":0},"schema":"https://github.com/citation-style-language/schema/raw/master/csl-citation.json"}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88, 89</w:t>
      </w:r>
      <w:r w:rsidR="000B58B5" w:rsidRPr="000C3E96">
        <w:rPr>
          <w:rFonts w:eastAsia="Baskerville" w:cs="Baskerville"/>
          <w:noProof w:val="0"/>
          <w:color w:val="000000" w:themeColor="text1"/>
          <w:lang w:val="en-US"/>
        </w:rPr>
        <w:fldChar w:fldCharType="end"/>
      </w:r>
      <w:r w:rsidR="002458FD" w:rsidRPr="000C3E96">
        <w:rPr>
          <w:rFonts w:eastAsia="Baskerville" w:cs="Baskerville"/>
          <w:noProof w:val="0"/>
          <w:color w:val="000000" w:themeColor="text1"/>
          <w:lang w:val="en-US"/>
        </w:rPr>
        <w:t>,</w:t>
      </w:r>
      <w:r w:rsidR="006C713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 xml:space="preserve">and </w:t>
      </w:r>
      <w:r w:rsidR="002458FD" w:rsidRPr="000C3E96">
        <w:rPr>
          <w:rFonts w:eastAsia="Baskerville" w:cs="Baskerville"/>
          <w:noProof w:val="0"/>
          <w:color w:val="000000" w:themeColor="text1"/>
          <w:lang w:val="en-US"/>
        </w:rPr>
        <w:t xml:space="preserve">the </w:t>
      </w:r>
      <w:r w:rsidR="00C47954" w:rsidRPr="000C3E96">
        <w:rPr>
          <w:rFonts w:eastAsia="Baskerville" w:cs="Baskerville"/>
          <w:noProof w:val="0"/>
          <w:color w:val="000000" w:themeColor="text1"/>
          <w:lang w:val="en-US"/>
        </w:rPr>
        <w:t>distin</w:t>
      </w:r>
      <w:r w:rsidR="00B17144" w:rsidRPr="000C3E96">
        <w:rPr>
          <w:rFonts w:eastAsia="Baskerville" w:cs="Baskerville"/>
          <w:noProof w:val="0"/>
          <w:color w:val="000000" w:themeColor="text1"/>
          <w:lang w:val="en-US"/>
        </w:rPr>
        <w:t>ction between</w:t>
      </w:r>
      <w:r w:rsidR="00D6690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 xml:space="preserve">FTLD </w:t>
      </w:r>
      <w:r w:rsidR="00B17144" w:rsidRPr="000C3E96">
        <w:rPr>
          <w:rFonts w:eastAsia="Baskerville" w:cs="Baskerville"/>
          <w:noProof w:val="0"/>
          <w:color w:val="000000" w:themeColor="text1"/>
          <w:lang w:val="en-US"/>
        </w:rPr>
        <w:t>and</w:t>
      </w:r>
      <w:r w:rsidR="00D66905" w:rsidRPr="000C3E96">
        <w:rPr>
          <w:rFonts w:eastAsia="Baskerville" w:cs="Baskerville"/>
          <w:noProof w:val="0"/>
          <w:color w:val="000000" w:themeColor="text1"/>
          <w:lang w:val="en-US"/>
        </w:rPr>
        <w:t xml:space="preserve"> </w:t>
      </w:r>
      <w:r w:rsidR="00C47954" w:rsidRPr="000C3E96">
        <w:rPr>
          <w:rFonts w:eastAsia="Baskerville" w:cs="Baskerville"/>
          <w:noProof w:val="0"/>
          <w:color w:val="000000" w:themeColor="text1"/>
          <w:lang w:val="en-US"/>
        </w:rPr>
        <w:t>AD</w:t>
      </w:r>
      <w:r w:rsidR="000B58B5" w:rsidRPr="000C3E96">
        <w:rPr>
          <w:rFonts w:eastAsia="Baskerville" w:cs="Baskerville"/>
          <w:noProof w:val="0"/>
          <w:color w:val="000000" w:themeColor="text1"/>
          <w:lang w:val="en-US"/>
        </w:rPr>
        <w:fldChar w:fldCharType="begin" w:fldLock="1"/>
      </w:r>
      <w:r w:rsidR="00C1675A">
        <w:rPr>
          <w:rFonts w:eastAsia="Baskerville" w:cs="Baskerville"/>
          <w:noProof w:val="0"/>
          <w:color w:val="000000" w:themeColor="text1"/>
          <w:lang w:val="en-US"/>
        </w:rPr>
        <w:instrText>ADDIN CSL_CITATION {"citationItems":[{"id":"ITEM-1","itemData":{"ISSN":"1567-424X","PMID":"24053043","abstract":"The human brain contains an intricate network of about 100 billion neurons. Aging of the brain is characterized by a combination of synaptic pruning, loss of cortico-cortical connections, and neuronal apoptosis that provoke an age-dependent decline of cognitive functions. Neural/synaptic redundancy and plastic remodeling of brain networking, also secondary to mental and physical training, promote maintenance of brain activity and cognitive status in healthy elderly subjects for everyday life. However, age is the main risk factor for neurodegenerative disorders such as Alzheimer's disease (AD) that impact on cognition. Growing evidence supports the idea that AD targets specific and functionally connected neuronal networks and that oscillatory electromagnetic brain activity might be a hallmark of the disease. In this line, digital electroencephalography (EEG) allows noninvasive analysis of cortical neuronal synchronization, as revealed by resting state brain rhythms. This review provides an overview of the studies on resting state eyes-closed EEG rhythms recorded in amnesic mild cognitive impairment (MCI) and AD subjects. Several studies support the idea that spectral markers of these EEG rhythms, such as power density, spectral coherence, and other quantitative features, differ among normal elderly, MCI, and AD subjects, at least at group level. Regarding the classification of these subjects at individual level, the most previous studies showed a moderate accuracy (70-80%) in the classification of EEG markers relative to normal and AD subjects. In conclusion, resting state EEG makers are promising for large-scale, low-cost, fully noninvasive screening of elderly subjects at risk of AD.","author":[{"dropping-particle":"","family":"Vecchio","given":"Fabrizio","non-dropping-particle":"","parse-names":false,"suffix":""},{"dropping-particle":"","family":"Babiloni","given":"Claudio","non-dropping-particle":"","parse-names":false,"suffix":""},{"dropping-particle":"","family":"Lizio","given":"Roberta","non-dropping-particle":"","parse-names":false,"suffix":""},{"dropping-particle":"","family":"Fallani","given":"Fabrizio De Vico","non-dropping-particle":"","parse-names":false,"suffix":""},{"dropping-particle":"","family":"Blinowska","given":"Katarzyna","non-dropping-particle":"","parse-names":false,"suffix":""},{"dropping-particle":"","family":"Verrienti","given":"Giulio","non-dropping-particle":"","parse-names":false,"suffix":""},{"dropping-particle":"","family":"Frisoni","given":"Giovanni","non-dropping-particle":"","parse-names":false,"suffix":""},{"dropping-particle":"","family":"Rossini","given":"Paolo M","non-dropping-particle":"","parse-names":false,"suffix":""}],"container-title":"Supplements to Clinical neurophysiology","id":"ITEM-1","issued":{"date-parts":[["2013"]]},"page":"223-36","title":"Resting state cortical EEG rhythms in Alzheimer's disease: toward EEG markers for clinical applications: a review.","type":"article-journal","volume":"62"},"uris":["http://www.mendeley.com/documents/?uuid=485ecc76-6a01-343a-b836-09f7302e496a"]}],"mendeley":{"formattedCitation":"&lt;sup&gt;83&lt;/sup&gt;","plainTextFormattedCitation":"83","previouslyFormattedCitation":"&lt;sup&gt;83&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C1675A" w:rsidRPr="00C1675A">
        <w:rPr>
          <w:rFonts w:eastAsia="Baskerville" w:cs="Baskerville"/>
          <w:color w:val="000000" w:themeColor="text1"/>
          <w:vertAlign w:val="superscript"/>
          <w:lang w:val="en-US"/>
        </w:rPr>
        <w:t>83</w:t>
      </w:r>
      <w:r w:rsidR="000B58B5" w:rsidRPr="000C3E96">
        <w:rPr>
          <w:rFonts w:eastAsia="Baskerville" w:cs="Baskerville"/>
          <w:noProof w:val="0"/>
          <w:color w:val="000000" w:themeColor="text1"/>
          <w:lang w:val="en-US"/>
        </w:rPr>
        <w:fldChar w:fldCharType="end"/>
      </w:r>
      <w:r w:rsidR="00617DC1" w:rsidRPr="000C3E96">
        <w:rPr>
          <w:rFonts w:eastAsia="Baskerville" w:cs="Baskerville"/>
          <w:noProof w:val="0"/>
          <w:color w:val="000000" w:themeColor="text1"/>
          <w:lang w:val="en-US"/>
        </w:rPr>
        <w:t>.</w:t>
      </w:r>
      <w:r w:rsidR="007D5EA9" w:rsidRPr="000C3E96">
        <w:rPr>
          <w:rFonts w:eastAsia="Baskerville" w:cs="Baskerville"/>
          <w:noProof w:val="0"/>
          <w:color w:val="000000" w:themeColor="text1"/>
          <w:lang w:val="en-US"/>
        </w:rPr>
        <w:t xml:space="preserve"> </w:t>
      </w:r>
      <w:r w:rsidR="00D76CFE" w:rsidRPr="000C3E96">
        <w:rPr>
          <w:rFonts w:eastAsia="Baskerville" w:cs="Baskerville"/>
          <w:noProof w:val="0"/>
          <w:color w:val="000000" w:themeColor="text1"/>
          <w:lang w:val="en-US"/>
        </w:rPr>
        <w:t>By e</w:t>
      </w:r>
      <w:r w:rsidR="00C0614E" w:rsidRPr="000C3E96">
        <w:rPr>
          <w:rFonts w:eastAsia="Baskerville" w:cs="Baskerville"/>
          <w:noProof w:val="0"/>
          <w:color w:val="000000" w:themeColor="text1"/>
          <w:lang w:val="en-US"/>
        </w:rPr>
        <w:t>nding o</w:t>
      </w:r>
      <w:r w:rsidR="00C47954" w:rsidRPr="000C3E96">
        <w:rPr>
          <w:rFonts w:eastAsia="Baskerville" w:cs="Baskerville"/>
          <w:noProof w:val="0"/>
          <w:color w:val="000000" w:themeColor="text1"/>
          <w:lang w:val="en-US"/>
        </w:rPr>
        <w:t xml:space="preserve">ur study with </w:t>
      </w:r>
      <w:r w:rsidR="00C47954" w:rsidRPr="000C3E96">
        <w:rPr>
          <w:rFonts w:eastAsia="Baskerville" w:cs="Baskerville"/>
          <w:noProof w:val="0"/>
          <w:color w:val="000000" w:themeColor="text1"/>
          <w:lang w:val="en-US"/>
        </w:rPr>
        <w:lastRenderedPageBreak/>
        <w:t>a</w:t>
      </w:r>
      <w:r w:rsidR="00D66905" w:rsidRPr="000C3E96">
        <w:rPr>
          <w:rFonts w:eastAsia="Baskerville" w:cs="Baskerville"/>
          <w:noProof w:val="0"/>
          <w:color w:val="000000" w:themeColor="text1"/>
          <w:lang w:val="en-US"/>
        </w:rPr>
        <w:t xml:space="preserve"> definition of the</w:t>
      </w:r>
      <w:r w:rsidR="00C47954" w:rsidRPr="000C3E96">
        <w:rPr>
          <w:rFonts w:eastAsia="Baskerville" w:cs="Baskerville"/>
          <w:noProof w:val="0"/>
          <w:color w:val="000000" w:themeColor="text1"/>
          <w:lang w:val="en-US"/>
        </w:rPr>
        <w:t xml:space="preserve"> neuropathological diagnosis</w:t>
      </w:r>
      <w:r w:rsidR="00D66905" w:rsidRPr="000C3E96">
        <w:rPr>
          <w:rFonts w:eastAsia="Baskerville" w:cs="Baskerville"/>
          <w:noProof w:val="0"/>
          <w:color w:val="000000" w:themeColor="text1"/>
          <w:lang w:val="en-US"/>
        </w:rPr>
        <w:t xml:space="preserve">, </w:t>
      </w:r>
      <w:r w:rsidR="00C0614E" w:rsidRPr="000C3E96">
        <w:rPr>
          <w:rFonts w:eastAsia="Baskerville" w:cs="Baskerville"/>
          <w:noProof w:val="0"/>
          <w:color w:val="000000" w:themeColor="text1"/>
          <w:lang w:val="en-US"/>
        </w:rPr>
        <w:t>it is then possible to correctly interpret t</w:t>
      </w:r>
      <w:r w:rsidR="00D66905" w:rsidRPr="000C3E96">
        <w:rPr>
          <w:rFonts w:eastAsia="Baskerville" w:cs="Baskerville"/>
          <w:noProof w:val="0"/>
          <w:color w:val="000000" w:themeColor="text1"/>
          <w:lang w:val="en-US"/>
        </w:rPr>
        <w:t xml:space="preserve">he </w:t>
      </w:r>
      <w:r w:rsidR="00C47954" w:rsidRPr="000C3E96">
        <w:rPr>
          <w:rFonts w:eastAsia="Baskerville" w:cs="Baskerville"/>
          <w:noProof w:val="0"/>
          <w:color w:val="000000" w:themeColor="text1"/>
          <w:lang w:val="en-US"/>
        </w:rPr>
        <w:t xml:space="preserve">observations made on the cerebral electrical activity. </w:t>
      </w:r>
      <w:r w:rsidR="00D76CFE" w:rsidRPr="000C3E96">
        <w:rPr>
          <w:noProof w:val="0"/>
          <w:color w:val="000000" w:themeColor="text1"/>
          <w:lang w:val="en-US"/>
        </w:rPr>
        <w:t>Moreover</w:t>
      </w:r>
      <w:r w:rsidR="00C47954" w:rsidRPr="000C3E96">
        <w:rPr>
          <w:noProof w:val="0"/>
          <w:color w:val="000000" w:themeColor="text1"/>
          <w:lang w:val="en-US"/>
        </w:rPr>
        <w:t xml:space="preserve">, </w:t>
      </w:r>
      <w:r w:rsidR="00D76CFE" w:rsidRPr="000C3E96">
        <w:rPr>
          <w:noProof w:val="0"/>
          <w:color w:val="000000" w:themeColor="text1"/>
          <w:lang w:val="en-US"/>
        </w:rPr>
        <w:t xml:space="preserve">performing serial </w:t>
      </w:r>
      <w:r w:rsidR="002458FD" w:rsidRPr="000C3E96">
        <w:rPr>
          <w:noProof w:val="0"/>
          <w:color w:val="000000" w:themeColor="text1"/>
          <w:lang w:val="en-US"/>
        </w:rPr>
        <w:t>Q</w:t>
      </w:r>
      <w:r w:rsidR="00C47954" w:rsidRPr="000C3E96">
        <w:rPr>
          <w:noProof w:val="0"/>
          <w:color w:val="000000" w:themeColor="text1"/>
          <w:lang w:val="en-US"/>
        </w:rPr>
        <w:t>EEG</w:t>
      </w:r>
      <w:r w:rsidR="00D76CFE" w:rsidRPr="000C3E96">
        <w:rPr>
          <w:noProof w:val="0"/>
          <w:color w:val="000000" w:themeColor="text1"/>
          <w:lang w:val="en-US"/>
        </w:rPr>
        <w:t xml:space="preserve"> in each subject we can track</w:t>
      </w:r>
      <w:r w:rsidR="00C47954" w:rsidRPr="000C3E96">
        <w:rPr>
          <w:noProof w:val="0"/>
          <w:color w:val="000000" w:themeColor="text1"/>
          <w:lang w:val="en-US"/>
        </w:rPr>
        <w:t xml:space="preserve"> intra-individual EEG waves trajectory and their correlations with </w:t>
      </w:r>
      <w:r w:rsidR="00B17144" w:rsidRPr="000C3E96">
        <w:rPr>
          <w:noProof w:val="0"/>
          <w:color w:val="000000" w:themeColor="text1"/>
          <w:lang w:val="en-US"/>
        </w:rPr>
        <w:t xml:space="preserve">the </w:t>
      </w:r>
      <w:r w:rsidR="00C47954" w:rsidRPr="000C3E96">
        <w:rPr>
          <w:noProof w:val="0"/>
          <w:color w:val="000000" w:themeColor="text1"/>
          <w:lang w:val="en-US"/>
        </w:rPr>
        <w:t xml:space="preserve">neuropathological picture. </w:t>
      </w:r>
      <w:r w:rsidR="00D66905" w:rsidRPr="000C3E96">
        <w:rPr>
          <w:noProof w:val="0"/>
          <w:color w:val="000000" w:themeColor="text1"/>
          <w:lang w:val="en-US"/>
        </w:rPr>
        <w:t>F</w:t>
      </w:r>
      <w:r w:rsidR="00C47954" w:rsidRPr="000C3E96">
        <w:rPr>
          <w:noProof w:val="0"/>
          <w:color w:val="000000" w:themeColor="text1"/>
          <w:lang w:val="en-US"/>
        </w:rPr>
        <w:t>ollow</w:t>
      </w:r>
      <w:r w:rsidR="00B17144" w:rsidRPr="000C3E96">
        <w:rPr>
          <w:noProof w:val="0"/>
          <w:color w:val="000000" w:themeColor="text1"/>
          <w:lang w:val="en-US"/>
        </w:rPr>
        <w:t>ing</w:t>
      </w:r>
      <w:r w:rsidR="00C47954" w:rsidRPr="000C3E96">
        <w:rPr>
          <w:noProof w:val="0"/>
          <w:color w:val="000000" w:themeColor="text1"/>
          <w:lang w:val="en-US"/>
        </w:rPr>
        <w:t xml:space="preserve"> individual modifications of cortical electrical activity over time </w:t>
      </w:r>
      <w:r w:rsidR="00D66905" w:rsidRPr="000C3E96">
        <w:rPr>
          <w:noProof w:val="0"/>
          <w:color w:val="000000" w:themeColor="text1"/>
          <w:lang w:val="en-US"/>
        </w:rPr>
        <w:t>can lead to</w:t>
      </w:r>
      <w:r w:rsidR="00C47954" w:rsidRPr="000C3E96">
        <w:rPr>
          <w:noProof w:val="0"/>
          <w:color w:val="000000" w:themeColor="text1"/>
          <w:lang w:val="en-US"/>
        </w:rPr>
        <w:t xml:space="preserve"> a better understanding of its meaning as a biomarker for incipient dementia.</w:t>
      </w:r>
    </w:p>
    <w:p w14:paraId="069213DA" w14:textId="77777777" w:rsidR="003978E5" w:rsidRPr="000C3E96" w:rsidRDefault="003978E5" w:rsidP="00D77518">
      <w:pPr>
        <w:rPr>
          <w:noProof w:val="0"/>
          <w:color w:val="000000" w:themeColor="text1"/>
          <w:lang w:val="en-US"/>
        </w:rPr>
      </w:pPr>
    </w:p>
    <w:p w14:paraId="167EC9A2" w14:textId="77777777" w:rsidR="003978E5" w:rsidRPr="000C3E96" w:rsidRDefault="00775945" w:rsidP="0090796B">
      <w:pPr>
        <w:rPr>
          <w:noProof w:val="0"/>
          <w:color w:val="000000" w:themeColor="text1"/>
          <w:lang w:val="en-US"/>
        </w:rPr>
      </w:pPr>
      <w:r w:rsidRPr="000C3E96">
        <w:rPr>
          <w:b/>
          <w:noProof w:val="0"/>
          <w:color w:val="000000" w:themeColor="text1"/>
          <w:lang w:val="en-US"/>
        </w:rPr>
        <w:t>Future applications</w:t>
      </w:r>
      <w:r w:rsidR="007018E9" w:rsidRPr="000C3E96">
        <w:rPr>
          <w:b/>
          <w:noProof w:val="0"/>
          <w:color w:val="000000" w:themeColor="text1"/>
          <w:lang w:val="en-US"/>
        </w:rPr>
        <w:t xml:space="preserve"> and direction</w:t>
      </w:r>
      <w:r w:rsidR="00FA30AF" w:rsidRPr="000C3E96">
        <w:rPr>
          <w:b/>
          <w:noProof w:val="0"/>
          <w:color w:val="000000" w:themeColor="text1"/>
          <w:lang w:val="en-US"/>
        </w:rPr>
        <w:t xml:space="preserve"> of the method</w:t>
      </w:r>
    </w:p>
    <w:p w14:paraId="461CFCF5" w14:textId="6FB24E04" w:rsidR="00150C9F" w:rsidRPr="000C3E96" w:rsidRDefault="00E514E2" w:rsidP="0090796B">
      <w:pPr>
        <w:rPr>
          <w:rFonts w:eastAsia="Baskerville" w:cs="Baskerville"/>
          <w:noProof w:val="0"/>
          <w:color w:val="000000" w:themeColor="text1"/>
          <w:lang w:val="en-US"/>
        </w:rPr>
      </w:pPr>
      <w:r w:rsidRPr="000C3E96">
        <w:rPr>
          <w:noProof w:val="0"/>
          <w:color w:val="000000" w:themeColor="text1"/>
          <w:lang w:val="en-US"/>
        </w:rPr>
        <w:t>Implementing the t</w:t>
      </w:r>
      <w:r w:rsidR="007018E9" w:rsidRPr="000C3E96">
        <w:rPr>
          <w:rFonts w:eastAsia="Baskerville" w:cs="Baskerville"/>
          <w:noProof w:val="0"/>
          <w:color w:val="000000" w:themeColor="text1"/>
          <w:lang w:val="en-US"/>
        </w:rPr>
        <w:t>issue distribution</w:t>
      </w:r>
      <w:r w:rsidRPr="000C3E96">
        <w:rPr>
          <w:rFonts w:eastAsia="Baskerville" w:cs="Baskerville"/>
          <w:noProof w:val="0"/>
          <w:color w:val="000000" w:themeColor="text1"/>
          <w:lang w:val="en-US"/>
        </w:rPr>
        <w:t xml:space="preserve"> is one of our main </w:t>
      </w:r>
      <w:r w:rsidR="003B2B7D" w:rsidRPr="000C3E96">
        <w:rPr>
          <w:rFonts w:eastAsia="Baskerville" w:cs="Baskerville"/>
          <w:noProof w:val="0"/>
          <w:color w:val="000000" w:themeColor="text1"/>
          <w:lang w:val="en-US"/>
        </w:rPr>
        <w:t>prospective</w:t>
      </w:r>
      <w:r w:rsidR="0020593C" w:rsidRPr="000C3E96">
        <w:rPr>
          <w:rFonts w:eastAsia="Baskerville" w:cs="Baskerville"/>
          <w:noProof w:val="0"/>
          <w:color w:val="000000" w:themeColor="text1"/>
          <w:lang w:val="en-US"/>
        </w:rPr>
        <w:t xml:space="preserve"> </w:t>
      </w:r>
      <w:r w:rsidR="00575B50" w:rsidRPr="000C3E96">
        <w:rPr>
          <w:rFonts w:eastAsia="Baskerville" w:cs="Baskerville"/>
          <w:noProof w:val="0"/>
          <w:color w:val="000000" w:themeColor="text1"/>
          <w:lang w:val="en-US"/>
        </w:rPr>
        <w:t>goals</w:t>
      </w:r>
      <w:r w:rsidRPr="000C3E96">
        <w:rPr>
          <w:rFonts w:eastAsia="Baskerville" w:cs="Baskerville"/>
          <w:noProof w:val="0"/>
          <w:color w:val="000000" w:themeColor="text1"/>
          <w:lang w:val="en-US"/>
        </w:rPr>
        <w:t>. In order to do this, we just established a scientific commission</w:t>
      </w:r>
      <w:r w:rsidR="008F0966" w:rsidRPr="000C3E96">
        <w:rPr>
          <w:rFonts w:eastAsia="Baskerville" w:cs="Baskerville"/>
          <w:noProof w:val="0"/>
          <w:color w:val="000000" w:themeColor="text1"/>
          <w:lang w:val="en-US"/>
        </w:rPr>
        <w:t xml:space="preserve"> including the director </w:t>
      </w:r>
      <w:r w:rsidR="00745281" w:rsidRPr="000C3E96">
        <w:rPr>
          <w:rFonts w:eastAsia="Baskerville" w:cs="Baskerville"/>
          <w:noProof w:val="0"/>
          <w:color w:val="000000" w:themeColor="text1"/>
          <w:lang w:val="en-US"/>
        </w:rPr>
        <w:t xml:space="preserve">of </w:t>
      </w:r>
      <w:r w:rsidR="008F0966" w:rsidRPr="000C3E96">
        <w:rPr>
          <w:rFonts w:eastAsia="Baskerville" w:cs="Baskerville"/>
          <w:noProof w:val="0"/>
          <w:color w:val="000000" w:themeColor="text1"/>
          <w:lang w:val="en-US"/>
        </w:rPr>
        <w:t xml:space="preserve">the GC Foundation (geriatrician), an academic of </w:t>
      </w:r>
      <w:r w:rsidR="005E099E" w:rsidRPr="000C3E96">
        <w:rPr>
          <w:rFonts w:eastAsia="Baskerville" w:cs="Baskerville"/>
          <w:noProof w:val="0"/>
          <w:color w:val="000000" w:themeColor="text1"/>
          <w:lang w:val="en-US"/>
        </w:rPr>
        <w:t>N</w:t>
      </w:r>
      <w:r w:rsidR="008F0966" w:rsidRPr="000C3E96">
        <w:rPr>
          <w:rFonts w:eastAsia="Baskerville" w:cs="Baskerville"/>
          <w:noProof w:val="0"/>
          <w:color w:val="000000" w:themeColor="text1"/>
          <w:lang w:val="en-US"/>
        </w:rPr>
        <w:t>eurology from the University of Pavia, a neurologist and a pathologist</w:t>
      </w:r>
      <w:r w:rsidR="004412AB" w:rsidRPr="000C3E96">
        <w:rPr>
          <w:rFonts w:eastAsia="Baskerville" w:cs="Baskerville"/>
          <w:noProof w:val="0"/>
          <w:color w:val="000000" w:themeColor="text1"/>
          <w:lang w:val="en-US"/>
        </w:rPr>
        <w:t xml:space="preserve"> both from the </w:t>
      </w:r>
      <w:r w:rsidR="0084715D" w:rsidRPr="000C3E96">
        <w:rPr>
          <w:rFonts w:eastAsia="Baskerville" w:cs="Baskerville"/>
          <w:noProof w:val="0"/>
          <w:color w:val="000000" w:themeColor="text1"/>
          <w:lang w:val="en-US"/>
        </w:rPr>
        <w:t>GC Foundation &amp; the Geriatric Hospital ASP Golgi-</w:t>
      </w:r>
      <w:proofErr w:type="spellStart"/>
      <w:r w:rsidR="0084715D" w:rsidRPr="000C3E96">
        <w:rPr>
          <w:rFonts w:eastAsia="Baskerville" w:cs="Baskerville"/>
          <w:noProof w:val="0"/>
          <w:color w:val="000000" w:themeColor="text1"/>
          <w:lang w:val="en-US"/>
        </w:rPr>
        <w:t>Redaelli</w:t>
      </w:r>
      <w:proofErr w:type="spellEnd"/>
      <w:r w:rsidR="008F0966"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When distributing brain tissue, histological slides, and other biological samples, it is important to remember that donors agreed to the donation for the sake of research. The distribution of material should therefore take place prudently, just as described in the BNE Code of Conduct</w:t>
      </w:r>
      <w:r w:rsidR="000B58B5" w:rsidRPr="000C3E96">
        <w:rPr>
          <w:rFonts w:eastAsia="Baskerville" w:cs="Baskerville"/>
          <w:noProof w:val="0"/>
          <w:color w:val="000000" w:themeColor="text1"/>
          <w:lang w:val="en-US"/>
        </w:rPr>
        <w:fldChar w:fldCharType="begin" w:fldLock="1"/>
      </w:r>
      <w:r w:rsidR="000B58B5" w:rsidRPr="000C3E96">
        <w:rPr>
          <w:rFonts w:eastAsia="Baskerville" w:cs="Baskerville"/>
          <w:noProof w:val="0"/>
          <w:color w:val="000000" w:themeColor="text1"/>
          <w:lang w:val="en-US"/>
        </w:rPr>
        <w:instrText>ADDIN CSL_CITATION {"citationItems":[{"id":"ITEM-1","itemData":{"ISBN":"9780444636393","ISSN":"22124152","abstract":"The BrainNet Europe consortium, which is a consortium of 19 European brain banks, took the initiative to draft a series of documents to provide an ethical framework for brain banks to follow. The framework includes an ethical code of conduct, a model for brain bank regulations, and a toolkit containing several documents. The sources for the information included came from the laws, regulations, and guidelines (declarations, conventions, recommendations, guidelines, and directives) that had been issued by international key organizations, such as the Council of Europe, European Commission, World Medical Association, and World Health Organization. The code of conduct addresses fundamental topics such as the rights of the persons donating their tissue, the obligations of the brain bank with regard to respect and observance of such rights, informed consent, confidentiality, protection of personal data, collections of human biologic material and their management, and transparency and accountability within the organization of a brain bank. The code of conduct was ratified by all European brain banks in 2009. This chapter describes the process of establishing the code of conduct within the BrainNet Europe consortium and elaborates on three key aspects of the code of conduct, namely informed consent, genetics, and financial aspects in brain banking.","author":[{"dropping-particle":"","family":"Klioueva","given":"Natasja M.","non-dropping-particle":"","parse-names":false,"suffix":""},{"dropping-particle":"","family":"Rademaker","given":"Marleen C.","non-dropping-particle":"","parse-names":false,"suffix":""},{"dropping-particle":"","family":"Huitinga","given":"Inge","non-dropping-particle":"","parse-names":false,"suffix":""}],"container-title":"Handbook of Clinical Neurology","edition":"1","id":"ITEM-1","issued":{"date-parts":[["2018"]]},"number-of-pages":"51-81","publisher":"Elsevier B.V.","title":"Design of a European code of conduct for brain banking","type":"book","volume":"150"},"uris":["http://www.mendeley.com/documents/?uuid=1cb29315-0c03-4c99-9d6a-90521388c916"]}],"mendeley":{"formattedCitation":"&lt;sup&gt;40&lt;/sup&gt;","plainTextFormattedCitation":"40","previouslyFormattedCitation":"&lt;sup&gt;40&lt;/sup&gt;"},"properties":{"noteIndex":0},"schema":"https://github.com/citation-style-language/schema/raw/master/csl-citation.json"}</w:instrText>
      </w:r>
      <w:r w:rsidR="000B58B5" w:rsidRPr="000C3E96">
        <w:rPr>
          <w:rFonts w:eastAsia="Baskerville" w:cs="Baskerville"/>
          <w:noProof w:val="0"/>
          <w:color w:val="000000" w:themeColor="text1"/>
          <w:lang w:val="en-US"/>
        </w:rPr>
        <w:fldChar w:fldCharType="separate"/>
      </w:r>
      <w:r w:rsidR="000B58B5" w:rsidRPr="000C3E96">
        <w:rPr>
          <w:rFonts w:eastAsia="Baskerville" w:cs="Baskerville"/>
          <w:color w:val="000000" w:themeColor="text1"/>
          <w:vertAlign w:val="superscript"/>
          <w:lang w:val="en-US"/>
        </w:rPr>
        <w:t>40</w:t>
      </w:r>
      <w:r w:rsidR="000B58B5" w:rsidRPr="000C3E96">
        <w:rPr>
          <w:rFonts w:eastAsia="Baskerville" w:cs="Baskerville"/>
          <w:noProof w:val="0"/>
          <w:color w:val="000000" w:themeColor="text1"/>
          <w:lang w:val="en-US"/>
        </w:rPr>
        <w:fldChar w:fldCharType="end"/>
      </w:r>
      <w:r w:rsidR="005D3ED0"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Any party submitting a request for material should indicate the type and quantity of the sample needed, provide a description of the research project and how the samples will be used, and whenever possible, supply evidence of previous publications</w:t>
      </w:r>
      <w:r w:rsidR="005D3ED0" w:rsidRPr="000C3E96">
        <w:rPr>
          <w:rFonts w:eastAsia="Baskerville" w:cs="Baskerville"/>
          <w:noProof w:val="0"/>
          <w:color w:val="000000" w:themeColor="text1"/>
          <w:lang w:val="en-US"/>
        </w:rPr>
        <w:t xml:space="preserve"> (</w:t>
      </w:r>
      <w:r w:rsidR="007A6636" w:rsidRPr="000C3E96">
        <w:rPr>
          <w:rFonts w:eastAsia="Baskerville" w:cs="Baskerville"/>
          <w:noProof w:val="0"/>
          <w:color w:val="000000" w:themeColor="text1"/>
          <w:lang w:val="en-US"/>
        </w:rPr>
        <w:t xml:space="preserve">for the </w:t>
      </w:r>
      <w:r w:rsidR="003C7C41" w:rsidRPr="000C3E96">
        <w:rPr>
          <w:rFonts w:eastAsia="Baskerville" w:cs="Baskerville"/>
          <w:noProof w:val="0"/>
          <w:color w:val="000000" w:themeColor="text1"/>
          <w:lang w:val="en-US"/>
        </w:rPr>
        <w:t>transfer agreement</w:t>
      </w:r>
      <w:r w:rsidR="007A6636" w:rsidRPr="000C3E96">
        <w:rPr>
          <w:rFonts w:eastAsia="Baskerville" w:cs="Baskerville"/>
          <w:noProof w:val="0"/>
          <w:color w:val="000000" w:themeColor="text1"/>
          <w:lang w:val="en-US"/>
        </w:rPr>
        <w:t xml:space="preserve">, see </w:t>
      </w:r>
      <w:r w:rsidR="00CB6477" w:rsidRPr="000C3E96">
        <w:rPr>
          <w:rFonts w:eastAsia="Baskerville" w:cs="Baskerville"/>
          <w:b/>
          <w:bCs/>
          <w:noProof w:val="0"/>
          <w:color w:val="000000" w:themeColor="text1"/>
          <w:lang w:val="en-US"/>
        </w:rPr>
        <w:t>Figure</w:t>
      </w:r>
      <w:r w:rsidR="00A45D9C" w:rsidRPr="000C3E96">
        <w:rPr>
          <w:rFonts w:eastAsia="Baskerville" w:cs="Baskerville"/>
          <w:b/>
          <w:bCs/>
          <w:noProof w:val="0"/>
          <w:color w:val="000000" w:themeColor="text1"/>
          <w:lang w:val="en-US"/>
        </w:rPr>
        <w:t xml:space="preserve"> </w:t>
      </w:r>
      <w:r w:rsidR="005D39B4" w:rsidRPr="000C3E96">
        <w:rPr>
          <w:rFonts w:eastAsia="Baskerville" w:cs="Baskerville"/>
          <w:b/>
          <w:bCs/>
          <w:noProof w:val="0"/>
          <w:color w:val="000000" w:themeColor="text1"/>
          <w:lang w:val="en-US"/>
        </w:rPr>
        <w:t>9</w:t>
      </w:r>
      <w:r w:rsidR="007A6636" w:rsidRPr="000C3E96">
        <w:rPr>
          <w:rFonts w:eastAsia="Baskerville" w:cs="Baskerville"/>
          <w:noProof w:val="0"/>
          <w:color w:val="000000" w:themeColor="text1"/>
          <w:lang w:val="en-US"/>
        </w:rPr>
        <w:t>)</w:t>
      </w:r>
      <w:r w:rsidR="007018E9" w:rsidRPr="000C3E96">
        <w:rPr>
          <w:rFonts w:eastAsia="Baskerville" w:cs="Baskerville"/>
          <w:noProof w:val="0"/>
          <w:color w:val="000000" w:themeColor="text1"/>
          <w:lang w:val="en-US"/>
        </w:rPr>
        <w:t xml:space="preserve">. The brain bank does not work for financial gain. </w:t>
      </w:r>
      <w:r w:rsidR="00F35896" w:rsidRPr="000C3E96">
        <w:rPr>
          <w:rFonts w:eastAsia="Baskerville" w:cs="Baskerville"/>
          <w:noProof w:val="0"/>
          <w:color w:val="000000" w:themeColor="text1"/>
          <w:lang w:val="en-US"/>
        </w:rPr>
        <w:t>So,</w:t>
      </w:r>
      <w:r w:rsidR="007018E9" w:rsidRPr="000C3E96">
        <w:rPr>
          <w:rFonts w:eastAsia="Baskerville" w:cs="Baskerville"/>
          <w:noProof w:val="0"/>
          <w:color w:val="000000" w:themeColor="text1"/>
          <w:lang w:val="en-US"/>
        </w:rPr>
        <w:t xml:space="preserve"> the </w:t>
      </w:r>
      <w:r w:rsidR="00575B50" w:rsidRPr="000C3E96">
        <w:rPr>
          <w:rFonts w:eastAsia="Baskerville" w:cs="Baskerville"/>
          <w:noProof w:val="0"/>
          <w:color w:val="000000" w:themeColor="text1"/>
          <w:lang w:val="en-US"/>
        </w:rPr>
        <w:t>fees paid by</w:t>
      </w:r>
      <w:r w:rsidR="007018E9" w:rsidRPr="000C3E96">
        <w:rPr>
          <w:rFonts w:eastAsia="Baskerville" w:cs="Baskerville"/>
          <w:noProof w:val="0"/>
          <w:color w:val="000000" w:themeColor="text1"/>
          <w:lang w:val="en-US"/>
        </w:rPr>
        <w:t xml:space="preserve"> researchers should only cover the expenses of the tissue procurement, processing, storage and distribution.</w:t>
      </w:r>
    </w:p>
    <w:p w14:paraId="44ACD676" w14:textId="77777777" w:rsidR="003978E5" w:rsidRPr="000C3E96" w:rsidRDefault="003978E5" w:rsidP="0090796B">
      <w:pPr>
        <w:rPr>
          <w:rFonts w:eastAsia="Baskerville" w:cs="Baskerville"/>
          <w:noProof w:val="0"/>
          <w:color w:val="000000" w:themeColor="text1"/>
          <w:lang w:val="en-US"/>
        </w:rPr>
      </w:pPr>
    </w:p>
    <w:p w14:paraId="241A58E8" w14:textId="14EF6AAB" w:rsidR="00594584" w:rsidRPr="000C3E96" w:rsidRDefault="00406BAE" w:rsidP="0090796B">
      <w:pPr>
        <w:rPr>
          <w:noProof w:val="0"/>
          <w:color w:val="000000" w:themeColor="text1"/>
          <w:lang w:val="en-US"/>
        </w:rPr>
      </w:pPr>
      <w:r w:rsidRPr="000C3E96">
        <w:rPr>
          <w:noProof w:val="0"/>
          <w:color w:val="000000" w:themeColor="text1"/>
          <w:lang w:val="en-US"/>
        </w:rPr>
        <w:t>Plans to start</w:t>
      </w:r>
      <w:r w:rsidR="00FA30AF" w:rsidRPr="000C3E96">
        <w:rPr>
          <w:noProof w:val="0"/>
          <w:color w:val="000000" w:themeColor="text1"/>
          <w:lang w:val="en-US"/>
        </w:rPr>
        <w:t xml:space="preserve"> analyz</w:t>
      </w:r>
      <w:r w:rsidRPr="000C3E96">
        <w:rPr>
          <w:noProof w:val="0"/>
          <w:color w:val="000000" w:themeColor="text1"/>
          <w:lang w:val="en-US"/>
        </w:rPr>
        <w:t>ing cases</w:t>
      </w:r>
      <w:r w:rsidR="00FA30AF" w:rsidRPr="000C3E96">
        <w:rPr>
          <w:noProof w:val="0"/>
          <w:color w:val="000000" w:themeColor="text1"/>
          <w:lang w:val="en-US"/>
        </w:rPr>
        <w:t xml:space="preserve"> </w:t>
      </w:r>
      <w:r w:rsidRPr="000C3E96">
        <w:rPr>
          <w:noProof w:val="0"/>
          <w:color w:val="000000" w:themeColor="text1"/>
          <w:lang w:val="en-US"/>
        </w:rPr>
        <w:t>with</w:t>
      </w:r>
      <w:r w:rsidR="00FA30AF" w:rsidRPr="000C3E96">
        <w:rPr>
          <w:noProof w:val="0"/>
          <w:color w:val="000000" w:themeColor="text1"/>
          <w:lang w:val="en-US"/>
        </w:rPr>
        <w:t xml:space="preserve"> exome sequencing</w:t>
      </w:r>
      <w:r w:rsidR="000F487D" w:rsidRPr="000C3E96">
        <w:rPr>
          <w:noProof w:val="0"/>
          <w:color w:val="000000" w:themeColor="text1"/>
          <w:lang w:val="en-US"/>
        </w:rPr>
        <w:t xml:space="preserve"> </w:t>
      </w:r>
      <w:r w:rsidR="00FA30AF" w:rsidRPr="000C3E96">
        <w:rPr>
          <w:noProof w:val="0"/>
          <w:color w:val="000000" w:themeColor="text1"/>
          <w:lang w:val="en-US"/>
        </w:rPr>
        <w:t xml:space="preserve">and </w:t>
      </w:r>
      <w:r w:rsidR="00F972B7" w:rsidRPr="000C3E96">
        <w:rPr>
          <w:noProof w:val="0"/>
          <w:color w:val="000000" w:themeColor="text1"/>
          <w:lang w:val="en-US"/>
        </w:rPr>
        <w:t>O</w:t>
      </w:r>
      <w:r w:rsidR="00FA30AF" w:rsidRPr="000C3E96">
        <w:rPr>
          <w:noProof w:val="0"/>
          <w:color w:val="000000" w:themeColor="text1"/>
          <w:lang w:val="en-US"/>
        </w:rPr>
        <w:t xml:space="preserve">mics </w:t>
      </w:r>
      <w:r w:rsidRPr="000C3E96">
        <w:rPr>
          <w:noProof w:val="0"/>
          <w:color w:val="000000" w:themeColor="text1"/>
          <w:lang w:val="en-US"/>
        </w:rPr>
        <w:t>techniques</w:t>
      </w:r>
      <w:r w:rsidR="00FA30AF" w:rsidRPr="000C3E96">
        <w:rPr>
          <w:noProof w:val="0"/>
          <w:color w:val="000000" w:themeColor="text1"/>
          <w:lang w:val="en-US"/>
        </w:rPr>
        <w:t>, such as proteomics and transcriptomics</w:t>
      </w:r>
      <w:r w:rsidRPr="000C3E96">
        <w:rPr>
          <w:noProof w:val="0"/>
          <w:color w:val="000000" w:themeColor="text1"/>
          <w:lang w:val="en-US"/>
        </w:rPr>
        <w:t>, are in motion</w:t>
      </w:r>
      <w:r w:rsidR="00FA30AF" w:rsidRPr="000C3E96">
        <w:rPr>
          <w:noProof w:val="0"/>
          <w:color w:val="000000" w:themeColor="text1"/>
          <w:lang w:val="en-US"/>
        </w:rPr>
        <w:t xml:space="preserve">. </w:t>
      </w:r>
      <w:r w:rsidR="0063169A" w:rsidRPr="000C3E96">
        <w:rPr>
          <w:rFonts w:eastAsia="Baskerville" w:cs="Baskerville"/>
          <w:noProof w:val="0"/>
          <w:color w:val="000000" w:themeColor="text1"/>
          <w:lang w:val="en-US"/>
        </w:rPr>
        <w:t>O</w:t>
      </w:r>
      <w:r w:rsidR="00DD72B6" w:rsidRPr="000C3E96">
        <w:rPr>
          <w:rFonts w:eastAsia="Baskerville" w:cs="Baskerville"/>
          <w:noProof w:val="0"/>
          <w:color w:val="000000" w:themeColor="text1"/>
          <w:lang w:val="en-US"/>
        </w:rPr>
        <w:t xml:space="preserve">ur </w:t>
      </w:r>
      <w:r w:rsidR="00FA30AF" w:rsidRPr="000C3E96">
        <w:rPr>
          <w:noProof w:val="0"/>
          <w:color w:val="000000" w:themeColor="text1"/>
          <w:lang w:val="en-US"/>
        </w:rPr>
        <w:t>alternate sampling methodology</w:t>
      </w:r>
      <w:r w:rsidR="00FA30AF" w:rsidRPr="000C3E96">
        <w:rPr>
          <w:rFonts w:eastAsia="Baskerville" w:cs="Baskerville"/>
          <w:noProof w:val="0"/>
          <w:color w:val="000000" w:themeColor="text1"/>
          <w:lang w:val="en-US"/>
        </w:rPr>
        <w:t xml:space="preserve"> </w:t>
      </w:r>
      <w:r w:rsidR="00DD72B6" w:rsidRPr="000C3E96">
        <w:rPr>
          <w:rFonts w:eastAsia="Baskerville" w:cs="Baskerville"/>
          <w:noProof w:val="0"/>
          <w:color w:val="000000" w:themeColor="text1"/>
          <w:lang w:val="en-US"/>
        </w:rPr>
        <w:t>will allow o</w:t>
      </w:r>
      <w:r w:rsidR="0063169A" w:rsidRPr="000C3E96">
        <w:rPr>
          <w:rFonts w:eastAsia="Baskerville" w:cs="Baskerville"/>
          <w:noProof w:val="0"/>
          <w:color w:val="000000" w:themeColor="text1"/>
          <w:lang w:val="en-US"/>
        </w:rPr>
        <w:t>mic</w:t>
      </w:r>
      <w:r w:rsidR="00575B50" w:rsidRPr="000C3E96">
        <w:rPr>
          <w:rFonts w:eastAsia="Baskerville" w:cs="Baskerville"/>
          <w:noProof w:val="0"/>
          <w:color w:val="000000" w:themeColor="text1"/>
          <w:lang w:val="en-US"/>
        </w:rPr>
        <w:t>s</w:t>
      </w:r>
      <w:r w:rsidR="00DD72B6" w:rsidRPr="000C3E96">
        <w:rPr>
          <w:rFonts w:eastAsia="Baskerville" w:cs="Baskerville"/>
          <w:noProof w:val="0"/>
          <w:color w:val="000000" w:themeColor="text1"/>
          <w:lang w:val="en-US"/>
        </w:rPr>
        <w:t xml:space="preserve"> </w:t>
      </w:r>
      <w:r w:rsidR="0063169A" w:rsidRPr="000C3E96">
        <w:rPr>
          <w:rFonts w:eastAsia="Baskerville" w:cs="Baskerville"/>
          <w:noProof w:val="0"/>
          <w:color w:val="000000" w:themeColor="text1"/>
          <w:lang w:val="en-US"/>
        </w:rPr>
        <w:t>s</w:t>
      </w:r>
      <w:r w:rsidR="00DD72B6" w:rsidRPr="000C3E96">
        <w:rPr>
          <w:rFonts w:eastAsia="Baskerville" w:cs="Baskerville"/>
          <w:noProof w:val="0"/>
          <w:color w:val="000000" w:themeColor="text1"/>
          <w:lang w:val="en-US"/>
        </w:rPr>
        <w:t>tudies</w:t>
      </w:r>
      <w:r w:rsidR="0063169A" w:rsidRPr="000C3E96">
        <w:rPr>
          <w:rFonts w:eastAsia="Baskerville" w:cs="Baskerville"/>
          <w:noProof w:val="0"/>
          <w:color w:val="000000" w:themeColor="text1"/>
          <w:lang w:val="en-US"/>
        </w:rPr>
        <w:t xml:space="preserve"> </w:t>
      </w:r>
      <w:r w:rsidR="009E5273" w:rsidRPr="000C3E96">
        <w:rPr>
          <w:rFonts w:eastAsia="Baskerville" w:cs="Baskerville"/>
          <w:noProof w:val="0"/>
          <w:color w:val="000000" w:themeColor="text1"/>
          <w:lang w:val="en-US"/>
        </w:rPr>
        <w:t xml:space="preserve">to be performed </w:t>
      </w:r>
      <w:r w:rsidR="0063169A" w:rsidRPr="000C3E96">
        <w:rPr>
          <w:rFonts w:eastAsia="Baskerville" w:cs="Baskerville"/>
          <w:noProof w:val="0"/>
          <w:color w:val="000000" w:themeColor="text1"/>
          <w:lang w:val="en-US"/>
        </w:rPr>
        <w:t xml:space="preserve">on </w:t>
      </w:r>
      <w:r w:rsidR="00DD72B6" w:rsidRPr="000C3E96">
        <w:rPr>
          <w:rFonts w:eastAsia="Baskerville" w:cs="Baskerville"/>
          <w:noProof w:val="0"/>
          <w:color w:val="000000" w:themeColor="text1"/>
          <w:lang w:val="en-US"/>
        </w:rPr>
        <w:t xml:space="preserve">histologically well-defined </w:t>
      </w:r>
      <w:r w:rsidR="0063169A" w:rsidRPr="000C3E96">
        <w:rPr>
          <w:rFonts w:eastAsia="Baskerville" w:cs="Baskerville"/>
          <w:noProof w:val="0"/>
          <w:color w:val="000000" w:themeColor="text1"/>
          <w:lang w:val="en-US"/>
        </w:rPr>
        <w:t>tissue</w:t>
      </w:r>
      <w:r w:rsidR="00575B50" w:rsidRPr="000C3E96">
        <w:rPr>
          <w:rFonts w:eastAsia="Baskerville" w:cs="Baskerville"/>
          <w:noProof w:val="0"/>
          <w:color w:val="000000" w:themeColor="text1"/>
          <w:lang w:val="en-US"/>
        </w:rPr>
        <w:t>s</w:t>
      </w:r>
      <w:r w:rsidR="0063169A" w:rsidRPr="000C3E96">
        <w:rPr>
          <w:rFonts w:eastAsia="Baskerville" w:cs="Baskerville"/>
          <w:noProof w:val="0"/>
          <w:color w:val="000000" w:themeColor="text1"/>
          <w:lang w:val="en-US"/>
        </w:rPr>
        <w:t xml:space="preserve"> </w:t>
      </w:r>
      <w:r w:rsidR="00DD72B6" w:rsidRPr="000C3E96">
        <w:rPr>
          <w:rFonts w:eastAsia="Baskerville" w:cs="Baskerville"/>
          <w:noProof w:val="0"/>
          <w:color w:val="000000" w:themeColor="text1"/>
          <w:lang w:val="en-US"/>
        </w:rPr>
        <w:t>from both hemispheres.</w:t>
      </w:r>
      <w:r w:rsidR="0063169A" w:rsidRPr="000C3E96">
        <w:rPr>
          <w:rFonts w:eastAsia="Baskerville" w:cs="Baskerville"/>
          <w:noProof w:val="0"/>
          <w:color w:val="000000" w:themeColor="text1"/>
          <w:lang w:val="en-US"/>
        </w:rPr>
        <w:t xml:space="preserve"> </w:t>
      </w:r>
      <w:r w:rsidR="00DD72B6" w:rsidRPr="000C3E96">
        <w:rPr>
          <w:noProof w:val="0"/>
          <w:color w:val="000000" w:themeColor="text1"/>
          <w:lang w:val="en-US"/>
        </w:rPr>
        <w:t xml:space="preserve">Through this </w:t>
      </w:r>
      <w:r w:rsidR="000843B8" w:rsidRPr="000C3E96">
        <w:rPr>
          <w:noProof w:val="0"/>
          <w:color w:val="000000" w:themeColor="text1"/>
          <w:lang w:val="en-US"/>
        </w:rPr>
        <w:t>a</w:t>
      </w:r>
      <w:r w:rsidR="00FA30AF" w:rsidRPr="000C3E96">
        <w:rPr>
          <w:noProof w:val="0"/>
          <w:color w:val="000000" w:themeColor="text1"/>
          <w:lang w:val="en-US"/>
        </w:rPr>
        <w:t>pproach, it will be possible to</w:t>
      </w:r>
      <w:r w:rsidR="000843B8" w:rsidRPr="000C3E96">
        <w:rPr>
          <w:noProof w:val="0"/>
          <w:color w:val="000000" w:themeColor="text1"/>
          <w:lang w:val="en-US"/>
        </w:rPr>
        <w:t xml:space="preserve"> compar</w:t>
      </w:r>
      <w:r w:rsidR="00FA30AF" w:rsidRPr="000C3E96">
        <w:rPr>
          <w:noProof w:val="0"/>
          <w:color w:val="000000" w:themeColor="text1"/>
          <w:lang w:val="en-US"/>
        </w:rPr>
        <w:t>e</w:t>
      </w:r>
      <w:r w:rsidR="000843B8" w:rsidRPr="000C3E96">
        <w:rPr>
          <w:noProof w:val="0"/>
          <w:color w:val="000000" w:themeColor="text1"/>
          <w:lang w:val="en-US"/>
        </w:rPr>
        <w:t xml:space="preserve"> </w:t>
      </w:r>
      <w:r w:rsidR="00FA30AF" w:rsidRPr="000C3E96">
        <w:rPr>
          <w:noProof w:val="0"/>
          <w:color w:val="000000" w:themeColor="text1"/>
          <w:lang w:val="en-US"/>
        </w:rPr>
        <w:t>the</w:t>
      </w:r>
      <w:r w:rsidR="000843B8" w:rsidRPr="000C3E96">
        <w:rPr>
          <w:noProof w:val="0"/>
          <w:color w:val="000000" w:themeColor="text1"/>
          <w:lang w:val="en-US"/>
        </w:rPr>
        <w:t xml:space="preserve"> </w:t>
      </w:r>
      <w:r w:rsidRPr="000C3E96">
        <w:rPr>
          <w:noProof w:val="0"/>
          <w:color w:val="000000" w:themeColor="text1"/>
          <w:lang w:val="en-US"/>
        </w:rPr>
        <w:t xml:space="preserve">pattern of </w:t>
      </w:r>
      <w:r w:rsidR="000843B8" w:rsidRPr="000C3E96">
        <w:rPr>
          <w:noProof w:val="0"/>
          <w:color w:val="000000" w:themeColor="text1"/>
          <w:lang w:val="en-US"/>
        </w:rPr>
        <w:t xml:space="preserve">gene activation </w:t>
      </w:r>
      <w:r w:rsidRPr="000C3E96">
        <w:rPr>
          <w:noProof w:val="0"/>
          <w:color w:val="000000" w:themeColor="text1"/>
          <w:lang w:val="en-US"/>
        </w:rPr>
        <w:t>in</w:t>
      </w:r>
      <w:r w:rsidR="000843B8" w:rsidRPr="000C3E96">
        <w:rPr>
          <w:noProof w:val="0"/>
          <w:color w:val="000000" w:themeColor="text1"/>
          <w:lang w:val="en-US"/>
        </w:rPr>
        <w:t xml:space="preserve"> different brain areas of the same hemisphere and </w:t>
      </w:r>
      <w:r w:rsidRPr="000C3E96">
        <w:rPr>
          <w:noProof w:val="0"/>
          <w:color w:val="000000" w:themeColor="text1"/>
          <w:lang w:val="en-US"/>
        </w:rPr>
        <w:t xml:space="preserve">in the </w:t>
      </w:r>
      <w:r w:rsidR="00575B50" w:rsidRPr="000C3E96">
        <w:rPr>
          <w:noProof w:val="0"/>
          <w:color w:val="000000" w:themeColor="text1"/>
          <w:lang w:val="en-US"/>
        </w:rPr>
        <w:t>correspond</w:t>
      </w:r>
      <w:r w:rsidR="0084330D" w:rsidRPr="000C3E96">
        <w:rPr>
          <w:noProof w:val="0"/>
          <w:color w:val="000000" w:themeColor="text1"/>
          <w:lang w:val="en-US"/>
        </w:rPr>
        <w:t xml:space="preserve">ing </w:t>
      </w:r>
      <w:r w:rsidR="000843B8" w:rsidRPr="000C3E96">
        <w:rPr>
          <w:noProof w:val="0"/>
          <w:color w:val="000000" w:themeColor="text1"/>
          <w:lang w:val="en-US"/>
        </w:rPr>
        <w:t xml:space="preserve">areas </w:t>
      </w:r>
      <w:r w:rsidRPr="000C3E96">
        <w:rPr>
          <w:noProof w:val="0"/>
          <w:color w:val="000000" w:themeColor="text1"/>
          <w:lang w:val="en-US"/>
        </w:rPr>
        <w:t>of</w:t>
      </w:r>
      <w:r w:rsidR="000843B8" w:rsidRPr="000C3E96">
        <w:rPr>
          <w:noProof w:val="0"/>
          <w:color w:val="000000" w:themeColor="text1"/>
          <w:lang w:val="en-US"/>
        </w:rPr>
        <w:t xml:space="preserve"> </w:t>
      </w:r>
      <w:r w:rsidR="00DD72B6" w:rsidRPr="000C3E96">
        <w:rPr>
          <w:noProof w:val="0"/>
          <w:color w:val="000000" w:themeColor="text1"/>
          <w:lang w:val="en-US"/>
        </w:rPr>
        <w:t xml:space="preserve">the other </w:t>
      </w:r>
      <w:r w:rsidR="000843B8" w:rsidRPr="000C3E96">
        <w:rPr>
          <w:noProof w:val="0"/>
          <w:color w:val="000000" w:themeColor="text1"/>
          <w:lang w:val="en-US"/>
        </w:rPr>
        <w:t>hemisphere</w:t>
      </w:r>
      <w:r w:rsidRPr="000C3E96">
        <w:rPr>
          <w:noProof w:val="0"/>
          <w:color w:val="000000" w:themeColor="text1"/>
          <w:lang w:val="en-US"/>
        </w:rPr>
        <w:t>,</w:t>
      </w:r>
      <w:r w:rsidR="000F487D" w:rsidRPr="000C3E96">
        <w:rPr>
          <w:noProof w:val="0"/>
          <w:color w:val="000000" w:themeColor="text1"/>
          <w:lang w:val="en-US"/>
        </w:rPr>
        <w:t xml:space="preserve"> and </w:t>
      </w:r>
      <w:r w:rsidRPr="000C3E96">
        <w:rPr>
          <w:noProof w:val="0"/>
          <w:color w:val="000000" w:themeColor="text1"/>
          <w:lang w:val="en-US"/>
        </w:rPr>
        <w:t xml:space="preserve">be able to correlate gene activation with </w:t>
      </w:r>
      <w:r w:rsidR="000F487D" w:rsidRPr="000C3E96">
        <w:rPr>
          <w:noProof w:val="0"/>
          <w:color w:val="000000" w:themeColor="text1"/>
          <w:lang w:val="en-US"/>
        </w:rPr>
        <w:t>histopatholo</w:t>
      </w:r>
      <w:r w:rsidR="0084330D" w:rsidRPr="000C3E96">
        <w:rPr>
          <w:noProof w:val="0"/>
          <w:color w:val="000000" w:themeColor="text1"/>
          <w:lang w:val="en-US"/>
        </w:rPr>
        <w:t>g</w:t>
      </w:r>
      <w:r w:rsidR="000F487D" w:rsidRPr="000C3E96">
        <w:rPr>
          <w:noProof w:val="0"/>
          <w:color w:val="000000" w:themeColor="text1"/>
          <w:lang w:val="en-US"/>
        </w:rPr>
        <w:t>y</w:t>
      </w:r>
      <w:r w:rsidR="000843B8" w:rsidRPr="000C3E96">
        <w:rPr>
          <w:noProof w:val="0"/>
          <w:color w:val="000000" w:themeColor="text1"/>
          <w:lang w:val="en-US"/>
        </w:rPr>
        <w:t xml:space="preserve">. </w:t>
      </w:r>
      <w:r w:rsidR="007D0DCE" w:rsidRPr="000C3E96">
        <w:rPr>
          <w:rFonts w:eastAsia="Baskerville" w:cs="Baskerville"/>
          <w:noProof w:val="0"/>
          <w:color w:val="000000" w:themeColor="text1"/>
          <w:lang w:val="en-US"/>
        </w:rPr>
        <w:t>In this field, deep learning applications would be of great interest including computerized analysis of histological slides and cutting-edge correlation of clinical, histological and omic</w:t>
      </w:r>
      <w:r w:rsidR="00575B50" w:rsidRPr="000C3E96">
        <w:rPr>
          <w:rFonts w:eastAsia="Baskerville" w:cs="Baskerville"/>
          <w:noProof w:val="0"/>
          <w:color w:val="000000" w:themeColor="text1"/>
          <w:lang w:val="en-US"/>
        </w:rPr>
        <w:t>s</w:t>
      </w:r>
      <w:r w:rsidR="007D0DCE" w:rsidRPr="000C3E96">
        <w:rPr>
          <w:rFonts w:eastAsia="Baskerville" w:cs="Baskerville"/>
          <w:noProof w:val="0"/>
          <w:color w:val="000000" w:themeColor="text1"/>
          <w:lang w:val="en-US"/>
        </w:rPr>
        <w:t xml:space="preserve"> data. Other correlations between many different variables can be identified as well as other possible technological applications. </w:t>
      </w:r>
      <w:r w:rsidR="000843B8" w:rsidRPr="000C3E96">
        <w:rPr>
          <w:noProof w:val="0"/>
          <w:color w:val="000000" w:themeColor="text1"/>
          <w:lang w:val="en-US"/>
        </w:rPr>
        <w:t>T</w:t>
      </w:r>
      <w:r w:rsidR="0090796B" w:rsidRPr="000C3E96">
        <w:rPr>
          <w:noProof w:val="0"/>
          <w:color w:val="000000" w:themeColor="text1"/>
          <w:lang w:val="en-US"/>
        </w:rPr>
        <w:t xml:space="preserve">he availability of </w:t>
      </w:r>
      <w:r w:rsidR="000843B8" w:rsidRPr="000C3E96">
        <w:rPr>
          <w:noProof w:val="0"/>
          <w:color w:val="000000" w:themeColor="text1"/>
          <w:lang w:val="en-US"/>
        </w:rPr>
        <w:t xml:space="preserve">frozen material from </w:t>
      </w:r>
      <w:r w:rsidR="0090796B" w:rsidRPr="000C3E96">
        <w:rPr>
          <w:noProof w:val="0"/>
          <w:color w:val="000000" w:themeColor="text1"/>
          <w:lang w:val="en-US"/>
        </w:rPr>
        <w:t xml:space="preserve">both hemispheres will allow </w:t>
      </w:r>
      <w:r w:rsidR="00A65F0A" w:rsidRPr="000C3E96">
        <w:rPr>
          <w:noProof w:val="0"/>
          <w:color w:val="000000" w:themeColor="text1"/>
          <w:lang w:val="en-US"/>
        </w:rPr>
        <w:t>an accurate topography of gene activation</w:t>
      </w:r>
      <w:r w:rsidR="000F487D" w:rsidRPr="000C3E96">
        <w:rPr>
          <w:noProof w:val="0"/>
          <w:color w:val="000000" w:themeColor="text1"/>
          <w:lang w:val="en-US"/>
        </w:rPr>
        <w:t xml:space="preserve"> and protein distribution</w:t>
      </w:r>
      <w:r w:rsidR="0090796B" w:rsidRPr="000C3E96">
        <w:rPr>
          <w:noProof w:val="0"/>
          <w:color w:val="000000" w:themeColor="text1"/>
          <w:lang w:val="en-US"/>
        </w:rPr>
        <w:t>.</w:t>
      </w:r>
      <w:r w:rsidR="00594584" w:rsidRPr="000C3E96">
        <w:rPr>
          <w:noProof w:val="0"/>
          <w:color w:val="000000" w:themeColor="text1"/>
          <w:lang w:val="en-US"/>
        </w:rPr>
        <w:t xml:space="preserve"> This will be</w:t>
      </w:r>
      <w:r w:rsidR="000F487D" w:rsidRPr="000C3E96">
        <w:rPr>
          <w:noProof w:val="0"/>
          <w:color w:val="000000" w:themeColor="text1"/>
          <w:lang w:val="en-US"/>
        </w:rPr>
        <w:t xml:space="preserve"> of</w:t>
      </w:r>
      <w:r w:rsidR="00594584" w:rsidRPr="000C3E96">
        <w:rPr>
          <w:noProof w:val="0"/>
          <w:color w:val="000000" w:themeColor="text1"/>
          <w:lang w:val="en-US"/>
        </w:rPr>
        <w:t xml:space="preserve"> particular </w:t>
      </w:r>
      <w:r w:rsidR="0084330D" w:rsidRPr="000C3E96">
        <w:rPr>
          <w:noProof w:val="0"/>
          <w:color w:val="000000" w:themeColor="text1"/>
          <w:lang w:val="en-US"/>
        </w:rPr>
        <w:t xml:space="preserve">interest </w:t>
      </w:r>
      <w:r w:rsidR="000F487D" w:rsidRPr="000C3E96">
        <w:rPr>
          <w:noProof w:val="0"/>
          <w:color w:val="000000" w:themeColor="text1"/>
          <w:lang w:val="en-US"/>
        </w:rPr>
        <w:t>even in healthy subjects</w:t>
      </w:r>
      <w:r w:rsidR="0084330D" w:rsidRPr="000C3E96">
        <w:rPr>
          <w:noProof w:val="0"/>
          <w:color w:val="000000" w:themeColor="text1"/>
          <w:lang w:val="en-US"/>
        </w:rPr>
        <w:t>, considering that</w:t>
      </w:r>
      <w:r w:rsidR="00594584" w:rsidRPr="000C3E96">
        <w:rPr>
          <w:noProof w:val="0"/>
          <w:color w:val="000000" w:themeColor="text1"/>
          <w:lang w:val="en-US"/>
        </w:rPr>
        <w:t xml:space="preserve"> </w:t>
      </w:r>
      <w:r w:rsidR="0084330D" w:rsidRPr="000C3E96">
        <w:rPr>
          <w:noProof w:val="0"/>
          <w:color w:val="000000" w:themeColor="text1"/>
          <w:lang w:val="en-US"/>
        </w:rPr>
        <w:t>both</w:t>
      </w:r>
      <w:r w:rsidR="00594584" w:rsidRPr="000C3E96">
        <w:rPr>
          <w:noProof w:val="0"/>
          <w:color w:val="000000" w:themeColor="text1"/>
          <w:lang w:val="en-US"/>
        </w:rPr>
        <w:t xml:space="preserve"> brain function</w:t>
      </w:r>
      <w:r w:rsidR="00896FFC" w:rsidRPr="000C3E96">
        <w:rPr>
          <w:noProof w:val="0"/>
          <w:color w:val="000000" w:themeColor="text1"/>
          <w:lang w:val="en-US"/>
        </w:rPr>
        <w:t>s</w:t>
      </w:r>
      <w:r w:rsidR="0084330D" w:rsidRPr="000C3E96">
        <w:rPr>
          <w:noProof w:val="0"/>
          <w:color w:val="000000" w:themeColor="text1"/>
          <w:lang w:val="en-US"/>
        </w:rPr>
        <w:t xml:space="preserve"> and some diseases</w:t>
      </w:r>
      <w:r w:rsidR="00594584" w:rsidRPr="000C3E96">
        <w:rPr>
          <w:noProof w:val="0"/>
          <w:color w:val="000000" w:themeColor="text1"/>
          <w:lang w:val="en-US"/>
        </w:rPr>
        <w:t xml:space="preserve"> are asymmetrical.</w:t>
      </w:r>
    </w:p>
    <w:p w14:paraId="5E9209D4" w14:textId="77777777" w:rsidR="003978E5" w:rsidRPr="000C3E96" w:rsidRDefault="003978E5" w:rsidP="0090796B">
      <w:pPr>
        <w:rPr>
          <w:noProof w:val="0"/>
          <w:color w:val="000000" w:themeColor="text1"/>
          <w:shd w:val="clear" w:color="auto" w:fill="C9DAF8"/>
          <w:lang w:val="en-US"/>
        </w:rPr>
      </w:pPr>
    </w:p>
    <w:p w14:paraId="4C61A1F0" w14:textId="17EFC3CA" w:rsidR="0090796B" w:rsidRPr="000C3E96" w:rsidRDefault="00594584" w:rsidP="0090796B">
      <w:pPr>
        <w:rPr>
          <w:noProof w:val="0"/>
          <w:color w:val="000000" w:themeColor="text1"/>
          <w:lang w:val="en-US"/>
        </w:rPr>
      </w:pPr>
      <w:r w:rsidRPr="000C3E96">
        <w:rPr>
          <w:rFonts w:eastAsia="Baskerville" w:cs="Baskerville"/>
          <w:noProof w:val="0"/>
          <w:color w:val="000000" w:themeColor="text1"/>
          <w:lang w:val="en-US"/>
        </w:rPr>
        <w:t>Moreover, we can obtain c</w:t>
      </w:r>
      <w:r w:rsidR="0063169A" w:rsidRPr="000C3E96">
        <w:rPr>
          <w:rFonts w:eastAsia="Baskerville" w:cs="Baskerville"/>
          <w:noProof w:val="0"/>
          <w:color w:val="000000" w:themeColor="text1"/>
          <w:lang w:val="en-US"/>
        </w:rPr>
        <w:t>ell cultures from</w:t>
      </w:r>
      <w:r w:rsidRPr="000C3E96">
        <w:rPr>
          <w:rFonts w:eastAsia="Baskerville" w:cs="Baskerville"/>
          <w:noProof w:val="0"/>
          <w:color w:val="000000" w:themeColor="text1"/>
          <w:lang w:val="en-US"/>
        </w:rPr>
        <w:t xml:space="preserve"> well-characterized</w:t>
      </w:r>
      <w:r w:rsidR="0063169A" w:rsidRPr="000C3E96">
        <w:rPr>
          <w:rFonts w:eastAsia="Baskerville" w:cs="Baskerville"/>
          <w:noProof w:val="0"/>
          <w:color w:val="000000" w:themeColor="text1"/>
          <w:lang w:val="en-US"/>
        </w:rPr>
        <w:t xml:space="preserve"> brain donors</w:t>
      </w:r>
      <w:r w:rsidRPr="000C3E96">
        <w:rPr>
          <w:rFonts w:eastAsia="Baskerville" w:cs="Baskerville"/>
          <w:noProof w:val="0"/>
          <w:color w:val="000000" w:themeColor="text1"/>
          <w:lang w:val="en-US"/>
        </w:rPr>
        <w:t>.</w:t>
      </w:r>
      <w:r w:rsidR="0063169A" w:rsidRPr="000C3E96">
        <w:rPr>
          <w:rFonts w:eastAsia="Baskerville" w:cs="Baskerville"/>
          <w:noProof w:val="0"/>
          <w:color w:val="000000" w:themeColor="text1"/>
          <w:lang w:val="en-US"/>
        </w:rPr>
        <w:t xml:space="preserve"> </w:t>
      </w:r>
      <w:r w:rsidR="00BD738D" w:rsidRPr="000C3E96">
        <w:rPr>
          <w:rFonts w:eastAsia="Baskerville" w:cs="Baskerville"/>
          <w:noProof w:val="0"/>
          <w:color w:val="000000" w:themeColor="text1"/>
          <w:lang w:val="en-US"/>
        </w:rPr>
        <w:t>Indeed, c</w:t>
      </w:r>
      <w:r w:rsidR="0090796B" w:rsidRPr="000C3E96">
        <w:rPr>
          <w:noProof w:val="0"/>
          <w:color w:val="000000" w:themeColor="text1"/>
          <w:highlight w:val="white"/>
          <w:lang w:val="en-US"/>
        </w:rPr>
        <w:t>ell cultures from</w:t>
      </w:r>
      <w:r w:rsidR="00575B50" w:rsidRPr="000C3E96">
        <w:rPr>
          <w:noProof w:val="0"/>
          <w:color w:val="000000" w:themeColor="text1"/>
          <w:highlight w:val="white"/>
          <w:lang w:val="en-US"/>
        </w:rPr>
        <w:t xml:space="preserve"> the</w:t>
      </w:r>
      <w:r w:rsidR="0090796B" w:rsidRPr="000C3E96">
        <w:rPr>
          <w:noProof w:val="0"/>
          <w:color w:val="000000" w:themeColor="text1"/>
          <w:highlight w:val="white"/>
          <w:lang w:val="en-US"/>
        </w:rPr>
        <w:t xml:space="preserve"> </w:t>
      </w:r>
      <w:r w:rsidR="00BD738D" w:rsidRPr="000C3E96">
        <w:rPr>
          <w:noProof w:val="0"/>
          <w:color w:val="000000" w:themeColor="text1"/>
          <w:highlight w:val="white"/>
          <w:lang w:val="en-US"/>
        </w:rPr>
        <w:t xml:space="preserve">leptomeninges of harvested </w:t>
      </w:r>
      <w:r w:rsidR="0090796B" w:rsidRPr="000C3E96">
        <w:rPr>
          <w:noProof w:val="0"/>
          <w:color w:val="000000" w:themeColor="text1"/>
          <w:highlight w:val="white"/>
          <w:lang w:val="en-US"/>
        </w:rPr>
        <w:t>brain</w:t>
      </w:r>
      <w:r w:rsidR="00BD738D" w:rsidRPr="000C3E96">
        <w:rPr>
          <w:noProof w:val="0"/>
          <w:color w:val="000000" w:themeColor="text1"/>
          <w:highlight w:val="white"/>
          <w:lang w:val="en-US"/>
        </w:rPr>
        <w:t>s</w:t>
      </w:r>
      <w:r w:rsidRPr="000C3E96">
        <w:rPr>
          <w:noProof w:val="0"/>
          <w:color w:val="000000" w:themeColor="text1"/>
          <w:highlight w:val="white"/>
          <w:lang w:val="en-US"/>
        </w:rPr>
        <w:t xml:space="preserve"> </w:t>
      </w:r>
      <w:r w:rsidR="00AC6FB7" w:rsidRPr="000C3E96">
        <w:rPr>
          <w:noProof w:val="0"/>
          <w:color w:val="000000" w:themeColor="text1"/>
          <w:highlight w:val="white"/>
          <w:lang w:val="en-US"/>
        </w:rPr>
        <w:t>supply</w:t>
      </w:r>
      <w:r w:rsidR="0090796B" w:rsidRPr="000C3E96">
        <w:rPr>
          <w:noProof w:val="0"/>
          <w:color w:val="000000" w:themeColor="text1"/>
          <w:highlight w:val="white"/>
          <w:lang w:val="en-US"/>
        </w:rPr>
        <w:t xml:space="preserve"> living </w:t>
      </w:r>
      <w:r w:rsidR="00BD738D" w:rsidRPr="000C3E96">
        <w:rPr>
          <w:noProof w:val="0"/>
          <w:color w:val="000000" w:themeColor="text1"/>
          <w:highlight w:val="white"/>
          <w:lang w:val="en-US"/>
        </w:rPr>
        <w:t>cells</w:t>
      </w:r>
      <w:r w:rsidR="0090796B" w:rsidRPr="000C3E96">
        <w:rPr>
          <w:noProof w:val="0"/>
          <w:color w:val="000000" w:themeColor="text1"/>
          <w:highlight w:val="white"/>
          <w:lang w:val="en-US"/>
        </w:rPr>
        <w:t xml:space="preserve"> that can be used for further investigation of disease or aging mechanisms</w:t>
      </w:r>
      <w:r w:rsidR="00BD738D" w:rsidRPr="000C3E96">
        <w:rPr>
          <w:noProof w:val="0"/>
          <w:color w:val="000000" w:themeColor="text1"/>
          <w:highlight w:val="white"/>
          <w:lang w:val="en-US"/>
        </w:rPr>
        <w:t>,</w:t>
      </w:r>
      <w:r w:rsidR="00AC6FB7" w:rsidRPr="000C3E96">
        <w:rPr>
          <w:noProof w:val="0"/>
          <w:color w:val="000000" w:themeColor="text1"/>
          <w:highlight w:val="white"/>
          <w:lang w:val="en-US"/>
        </w:rPr>
        <w:t xml:space="preserve"> by means of the</w:t>
      </w:r>
      <w:r w:rsidR="0090796B" w:rsidRPr="000C3E96">
        <w:rPr>
          <w:noProof w:val="0"/>
          <w:color w:val="000000" w:themeColor="text1"/>
          <w:highlight w:val="white"/>
          <w:lang w:val="en-US"/>
        </w:rPr>
        <w:t xml:space="preserve"> induced pluripotent stem cells (iPSCs) technology </w:t>
      </w:r>
      <w:r w:rsidR="00AC6FB7" w:rsidRPr="000C3E96">
        <w:rPr>
          <w:noProof w:val="0"/>
          <w:color w:val="000000" w:themeColor="text1"/>
          <w:highlight w:val="white"/>
          <w:lang w:val="en-US"/>
        </w:rPr>
        <w:t>which</w:t>
      </w:r>
      <w:r w:rsidR="0090796B" w:rsidRPr="000C3E96">
        <w:rPr>
          <w:noProof w:val="0"/>
          <w:color w:val="000000" w:themeColor="text1"/>
          <w:highlight w:val="white"/>
          <w:lang w:val="en-US"/>
        </w:rPr>
        <w:t xml:space="preserve"> </w:t>
      </w:r>
      <w:r w:rsidR="00AC6FB7" w:rsidRPr="000C3E96">
        <w:rPr>
          <w:noProof w:val="0"/>
          <w:color w:val="000000" w:themeColor="text1"/>
          <w:highlight w:val="white"/>
          <w:lang w:val="en-US"/>
        </w:rPr>
        <w:t xml:space="preserve">involves </w:t>
      </w:r>
      <w:r w:rsidR="0090796B" w:rsidRPr="000C3E96">
        <w:rPr>
          <w:noProof w:val="0"/>
          <w:color w:val="000000" w:themeColor="text1"/>
          <w:highlight w:val="white"/>
          <w:lang w:val="en-US"/>
        </w:rPr>
        <w:t xml:space="preserve">reprogramming </w:t>
      </w:r>
      <w:r w:rsidR="00BD738D" w:rsidRPr="000C3E96">
        <w:rPr>
          <w:noProof w:val="0"/>
          <w:color w:val="000000" w:themeColor="text1"/>
          <w:highlight w:val="white"/>
          <w:lang w:val="en-US"/>
        </w:rPr>
        <w:t xml:space="preserve">leptomeningeal </w:t>
      </w:r>
      <w:r w:rsidR="0090796B" w:rsidRPr="000C3E96">
        <w:rPr>
          <w:noProof w:val="0"/>
          <w:color w:val="000000" w:themeColor="text1"/>
          <w:highlight w:val="white"/>
          <w:lang w:val="en-US"/>
        </w:rPr>
        <w:t>fibroblasts</w:t>
      </w:r>
      <w:r w:rsidR="006E50CF" w:rsidRPr="000C3E96">
        <w:rPr>
          <w:noProof w:val="0"/>
          <w:color w:val="000000" w:themeColor="text1"/>
          <w:highlight w:val="white"/>
          <w:lang w:val="en-US"/>
        </w:rPr>
        <w:t xml:space="preserve"> </w:t>
      </w:r>
      <w:r w:rsidR="0090796B" w:rsidRPr="000C3E96">
        <w:rPr>
          <w:noProof w:val="0"/>
          <w:color w:val="000000" w:themeColor="text1"/>
          <w:highlight w:val="white"/>
          <w:lang w:val="en-US"/>
        </w:rPr>
        <w:t>and differentiating them into neural cells in adv</w:t>
      </w:r>
      <w:r w:rsidR="00922799" w:rsidRPr="000C3E96">
        <w:rPr>
          <w:noProof w:val="0"/>
          <w:color w:val="000000" w:themeColor="text1"/>
          <w:highlight w:val="white"/>
          <w:lang w:val="en-US"/>
        </w:rPr>
        <w:t>anced models</w:t>
      </w:r>
      <w:r w:rsidR="00984357"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{"citationItems":[{"id":"ITEM-1","itemData":{"ISSN":"1422-0067","PMID":"30544711","abstract":"In the last decade, the advances made into the reprogramming of somatic cells into induced pluripotent stem cells (iPSCs) led to great improvements towards their use as models of diseases. In particular, in the field of neurodegenerative diseases, iPSCs technology allowed to culture in vitro all types of patient-specific neural cells, facilitating not only the investigation of diseases’ etiopathology, but also the testing of new drugs and cell therapies, leading to the innovative concept of personalized medicine. Moreover, iPSCs can be differentiated and organized into 3D organoids, providing a tool which mimics the complexity of the brain’s architecture. Furthermore, recent developments in 3D bioprinting allowed the study of physiological cell-to-cell interactions, given by a combination of several biomaterials, scaffolds, and cells. This technology combines bio-plotter and biomaterials in which several types of cells, such as iPSCs or differentiated neurons, can be encapsulated in order to develop an innovative cellular model. IPSCs and 3D cell cultures technologies represent the first step towards the obtainment of a more reliable model, such as organoids, to facilitate neurodegenerative diseases’ investigation. The combination of iPSCs, 3D organoids and bioprinting will also allow the development of new therapeutic approaches. Indeed, on the one hand they will lead to the development of safer and patient-specific drugs testing but, also, they could be developed as cell-therapy for curing neurodegenerative diseases with a regenerative medicine approach.","author":[{"dropping-particle":"","family":"Bordoni","given":"Matteo","non-dropping-particle":"","parse-names":false,"suffix":""},{"dropping-particle":"","family":"Rey","given":"Federica","non-dropping-particle":"","parse-names":false,"suffix":""},{"dropping-particle":"","family":"Fantini","given":"Valentina","non-dropping-particle":"","parse-names":false,"suffix":""},{"dropping-particle":"","family":"Pansarasa","given":"Orietta","non-dropping-particle":"","parse-names":false,"suffix":""},{"dropping-particle":"","family":"Giulio","given":"Anna","non-dropping-particle":"Di","parse-names":false,"suffix":""},{"dropping-particle":"","family":"Carelli","given":"Stephana","non-dropping-particle":"","parse-names":false,"suffix":""},{"dropping-particle":"","family":"Cereda","given":"Cristina","non-dropping-particle":"","parse-names":false,"suffix":""}],"container-title":"International Journal of Molecular Sciences","id":"ITEM-1","issue":"12","issued":{"date-parts":[["2018","12","10"]]},"page":"3972","title":"From Neuronal Differentiation of iPSCs to 3D Neuro-Organoids: Modelling and Therapy of Neurodegenerative Diseases","type":"article-journal","volume":"19"},"uris":["http://www.mendeley.com/documents/?uuid=26703a72-6435-3473-a52e-35646a881b33"]}],"mendeley":{"formattedCitation":"&lt;sup&gt;90&lt;/sup&gt;","plainTextFormattedCitation":"90","previouslyFormattedCitation":"&lt;sup&gt;90&lt;/sup&gt;"},"properties":{"noteIndex":0},"schema":"https://github.com/citation-style-language/schema/raw/master/csl-citation.json"}</w:instrText>
      </w:r>
      <w:r w:rsidR="00984357" w:rsidRPr="000C3E96">
        <w:rPr>
          <w:noProof w:val="0"/>
          <w:color w:val="000000" w:themeColor="text1"/>
          <w:lang w:val="en-US"/>
        </w:rPr>
        <w:fldChar w:fldCharType="separate"/>
      </w:r>
      <w:r w:rsidR="00C1675A" w:rsidRPr="00C1675A">
        <w:rPr>
          <w:color w:val="000000" w:themeColor="text1"/>
          <w:vertAlign w:val="superscript"/>
          <w:lang w:val="en-US"/>
        </w:rPr>
        <w:t>90</w:t>
      </w:r>
      <w:r w:rsidR="00984357" w:rsidRPr="000C3E96">
        <w:rPr>
          <w:noProof w:val="0"/>
          <w:color w:val="000000" w:themeColor="text1"/>
          <w:lang w:val="en-US"/>
        </w:rPr>
        <w:fldChar w:fldCharType="end"/>
      </w:r>
      <w:r w:rsidR="00922799" w:rsidRPr="000C3E96">
        <w:rPr>
          <w:noProof w:val="0"/>
          <w:color w:val="000000" w:themeColor="text1"/>
          <w:highlight w:val="white"/>
          <w:lang w:val="en-US"/>
        </w:rPr>
        <w:t>.</w:t>
      </w:r>
    </w:p>
    <w:p w14:paraId="70B66F98" w14:textId="77777777" w:rsidR="003978E5" w:rsidRPr="000C3E96" w:rsidRDefault="003978E5" w:rsidP="0090796B">
      <w:pPr>
        <w:rPr>
          <w:noProof w:val="0"/>
          <w:color w:val="000000" w:themeColor="text1"/>
          <w:shd w:val="clear" w:color="auto" w:fill="C9DAF8"/>
          <w:lang w:val="en-US"/>
        </w:rPr>
      </w:pPr>
    </w:p>
    <w:p w14:paraId="11A10F8C" w14:textId="744E4377" w:rsidR="009C4B58" w:rsidRPr="000C3E96" w:rsidRDefault="00497AB2" w:rsidP="006E7127">
      <w:pPr>
        <w:rPr>
          <w:rFonts w:eastAsia="Baskerville" w:cs="Baskerville"/>
          <w:noProof w:val="0"/>
          <w:color w:val="000000" w:themeColor="text1"/>
          <w:lang w:val="en-US"/>
        </w:rPr>
      </w:pPr>
      <w:r w:rsidRPr="000C3E96">
        <w:rPr>
          <w:noProof w:val="0"/>
          <w:color w:val="000000" w:themeColor="text1"/>
          <w:lang w:val="en-US"/>
        </w:rPr>
        <w:t xml:space="preserve">As brains age, different </w:t>
      </w:r>
      <w:r w:rsidR="00066D87" w:rsidRPr="000C3E96">
        <w:rPr>
          <w:noProof w:val="0"/>
          <w:color w:val="000000" w:themeColor="text1"/>
          <w:lang w:val="en-US"/>
        </w:rPr>
        <w:t>profil</w:t>
      </w:r>
      <w:r w:rsidRPr="000C3E96">
        <w:rPr>
          <w:noProof w:val="0"/>
          <w:color w:val="000000" w:themeColor="text1"/>
          <w:lang w:val="en-US"/>
        </w:rPr>
        <w:t xml:space="preserve">es of change can occur at the molecular, cellular and tissue level. Every brain is unique. Each has its own way of responding to internal and external stressors; some resists while others succumb and display distinct pathologies. </w:t>
      </w:r>
      <w:r w:rsidR="0065741D" w:rsidRPr="000C3E96">
        <w:rPr>
          <w:noProof w:val="0"/>
          <w:color w:val="000000" w:themeColor="text1"/>
          <w:lang w:val="en-US"/>
        </w:rPr>
        <w:t xml:space="preserve">Discrepancies between the clinical presentation and the neuropathological picture often exist </w:t>
      </w:r>
      <w:r w:rsidR="000106C8" w:rsidRPr="000C3E96">
        <w:rPr>
          <w:noProof w:val="0"/>
          <w:color w:val="000000" w:themeColor="text1"/>
          <w:lang w:val="en-US"/>
        </w:rPr>
        <w:t>because the topography of the lesions, rather than their molecular nature, determines the clinical presentation. T</w:t>
      </w:r>
      <w:r w:rsidRPr="000C3E96">
        <w:rPr>
          <w:noProof w:val="0"/>
          <w:color w:val="000000" w:themeColor="text1"/>
          <w:lang w:val="en-US"/>
        </w:rPr>
        <w:t>he correct</w:t>
      </w:r>
      <w:r w:rsidR="00DE2B71" w:rsidRPr="000C3E96">
        <w:rPr>
          <w:noProof w:val="0"/>
          <w:color w:val="000000" w:themeColor="text1"/>
          <w:lang w:val="en-US"/>
        </w:rPr>
        <w:t xml:space="preserve"> </w:t>
      </w:r>
      <w:r w:rsidRPr="000C3E96">
        <w:rPr>
          <w:noProof w:val="0"/>
          <w:color w:val="000000" w:themeColor="text1"/>
          <w:lang w:val="en-US"/>
        </w:rPr>
        <w:t xml:space="preserve">and </w:t>
      </w:r>
      <w:r w:rsidR="00CF0863" w:rsidRPr="000C3E96">
        <w:rPr>
          <w:noProof w:val="0"/>
          <w:color w:val="000000" w:themeColor="text1"/>
          <w:lang w:val="en-US"/>
        </w:rPr>
        <w:t xml:space="preserve">definite </w:t>
      </w:r>
      <w:r w:rsidRPr="000C3E96">
        <w:rPr>
          <w:noProof w:val="0"/>
          <w:color w:val="000000" w:themeColor="text1"/>
          <w:lang w:val="en-US"/>
        </w:rPr>
        <w:lastRenderedPageBreak/>
        <w:t>diagnosis could only be achieved</w:t>
      </w:r>
      <w:r w:rsidR="00990FF9" w:rsidRPr="000C3E96">
        <w:rPr>
          <w:noProof w:val="0"/>
          <w:color w:val="000000" w:themeColor="text1"/>
          <w:lang w:val="en-US"/>
        </w:rPr>
        <w:t xml:space="preserve"> by</w:t>
      </w:r>
      <w:r w:rsidR="000106C8" w:rsidRPr="000C3E96">
        <w:rPr>
          <w:noProof w:val="0"/>
          <w:color w:val="000000" w:themeColor="text1"/>
          <w:lang w:val="en-US"/>
        </w:rPr>
        <w:t xml:space="preserve"> combining the clinical syndrome</w:t>
      </w:r>
      <w:r w:rsidRPr="000C3E96">
        <w:rPr>
          <w:noProof w:val="0"/>
          <w:color w:val="000000" w:themeColor="text1"/>
          <w:lang w:val="en-US"/>
        </w:rPr>
        <w:t xml:space="preserve"> with</w:t>
      </w:r>
      <w:r w:rsidR="000106C8" w:rsidRPr="000C3E96">
        <w:rPr>
          <w:noProof w:val="0"/>
          <w:color w:val="000000" w:themeColor="text1"/>
          <w:lang w:val="en-US"/>
        </w:rPr>
        <w:t xml:space="preserve"> the</w:t>
      </w:r>
      <w:r w:rsidRPr="000C3E96">
        <w:rPr>
          <w:noProof w:val="0"/>
          <w:color w:val="000000" w:themeColor="text1"/>
          <w:lang w:val="en-US"/>
        </w:rPr>
        <w:t xml:space="preserve"> neuropathological </w:t>
      </w:r>
      <w:r w:rsidR="00575B50" w:rsidRPr="000C3E96">
        <w:rPr>
          <w:noProof w:val="0"/>
          <w:color w:val="000000" w:themeColor="text1"/>
          <w:lang w:val="en-US"/>
        </w:rPr>
        <w:t>findings</w:t>
      </w:r>
      <w:r w:rsidR="000106C8" w:rsidRPr="000C3E96">
        <w:rPr>
          <w:noProof w:val="0"/>
          <w:color w:val="000000" w:themeColor="text1"/>
          <w:lang w:val="en-US"/>
        </w:rPr>
        <w:t xml:space="preserve"> which often add important etiological </w:t>
      </w:r>
      <w:r w:rsidR="00990FF9" w:rsidRPr="000C3E96">
        <w:rPr>
          <w:noProof w:val="0"/>
          <w:color w:val="000000" w:themeColor="text1"/>
          <w:lang w:val="en-US"/>
        </w:rPr>
        <w:t xml:space="preserve">clues </w:t>
      </w:r>
      <w:r w:rsidR="001A1AA6" w:rsidRPr="000C3E96">
        <w:rPr>
          <w:noProof w:val="0"/>
          <w:color w:val="000000" w:themeColor="text1"/>
          <w:lang w:val="en-US"/>
        </w:rPr>
        <w:t xml:space="preserve">necessary to </w:t>
      </w:r>
      <w:r w:rsidR="00CF0863" w:rsidRPr="000C3E96">
        <w:rPr>
          <w:noProof w:val="0"/>
          <w:color w:val="000000" w:themeColor="text1"/>
          <w:lang w:val="en-US"/>
        </w:rPr>
        <w:t xml:space="preserve">unravel </w:t>
      </w:r>
      <w:r w:rsidR="001A1AA6" w:rsidRPr="000C3E96">
        <w:rPr>
          <w:noProof w:val="0"/>
          <w:color w:val="000000" w:themeColor="text1"/>
          <w:lang w:val="en-US"/>
        </w:rPr>
        <w:t>the pathogenesis of the diseases</w:t>
      </w:r>
      <w:r w:rsidRPr="000C3E96">
        <w:rPr>
          <w:noProof w:val="0"/>
          <w:color w:val="000000" w:themeColor="text1"/>
          <w:lang w:val="en-US"/>
        </w:rPr>
        <w:t>.</w:t>
      </w:r>
      <w:r w:rsidR="00200700" w:rsidRPr="000C3E96">
        <w:rPr>
          <w:noProof w:val="0"/>
          <w:color w:val="000000" w:themeColor="text1"/>
          <w:lang w:val="en-US"/>
        </w:rPr>
        <w:t xml:space="preserve"> </w:t>
      </w:r>
      <w:r w:rsidR="007D0DCE" w:rsidRPr="000C3E96">
        <w:rPr>
          <w:noProof w:val="0"/>
          <w:color w:val="000000" w:themeColor="text1"/>
          <w:lang w:val="en-US"/>
        </w:rPr>
        <w:t>In Europe, there is an effort to create a standard approach to neuropathological diagnosis</w:t>
      </w:r>
      <w:r w:rsidR="00FC265E" w:rsidRPr="000C3E96">
        <w:rPr>
          <w:noProof w:val="0"/>
          <w:color w:val="000000" w:themeColor="text1"/>
          <w:lang w:val="en-US"/>
        </w:rPr>
        <w:t xml:space="preserve">. Our diagnostic protocol almost completely follows the recently published guidelines </w:t>
      </w:r>
      <w:r w:rsidR="00232CC9" w:rsidRPr="000C3E96">
        <w:rPr>
          <w:noProof w:val="0"/>
          <w:color w:val="000000" w:themeColor="text1"/>
          <w:lang w:val="en-US"/>
        </w:rPr>
        <w:t>on</w:t>
      </w:r>
      <w:r w:rsidR="00FC265E" w:rsidRPr="000C3E96">
        <w:rPr>
          <w:noProof w:val="0"/>
          <w:color w:val="000000" w:themeColor="text1"/>
          <w:lang w:val="en-US"/>
        </w:rPr>
        <w:t xml:space="preserve"> neuropathological diagnosis for brain banking</w:t>
      </w:r>
      <w:r w:rsidR="000B58B5" w:rsidRPr="000C3E96">
        <w:rPr>
          <w:noProof w:val="0"/>
          <w:color w:val="000000" w:themeColor="text1"/>
          <w:lang w:val="en-US"/>
        </w:rPr>
        <w:fldChar w:fldCharType="begin" w:fldLock="1"/>
      </w:r>
      <w:r w:rsidR="00C1675A">
        <w:rPr>
          <w:noProof w:val="0"/>
          <w:color w:val="000000" w:themeColor="text1"/>
          <w:lang w:val="en-US"/>
        </w:rPr>
        <w:instrText>ADDIN CSL_CITATION {"citationItems":[{"id":"ITEM-1","itemData":{"ISSN":"0072-9752","PMID":"29496136","abstract":"Research on human brain diseases is currently often conducted on cell cultures and animals. Several questions however can only be addressed by studying human postmortem brain tissue. However, brain tissue obtained postmortem almost always displays pathology that is often related to the aging phenomenon. Thus, in order to be certain that the answers obtained are reliable, a systematic and thorough assessment of the brain tissue to be studied should be carried out. We are currently aware of several protein alterations that are found in middle-aged and aged brains that are obtained from neurologically unimpaired subjects. The most common alteration is hyperphosphorylation of τ, observed in both neurons and glial cells, in certain brain regions, followed by β-amyloid aggregation in the neuropil and vessel walls. Less common protein alterations are those noted for α-synuclein and Tar DNA-binding protein 43. It is noteworthy that these alterations, when found in excess, are diagnostic for various neurodegenerative diseases, such as Alzheimer disease, Pick disease, progressive supranuclear palsy, corticobasal degeneration, Parkinson disease, Lewy body dementia, and frontotemporal lobar degeneration. Since 1990, the neuropathology community has been aware that these protein alterations tend to progress in an orderly neuroanatomically defined manner and have thus designed a method to define a stage or a phase of the protein alteration. The neuropathology community has defined an initiation site, or neuroanatomic area that they presume the alteration originates from, and defined a presumed pattern of progression from the initiation site to other brain areas. Thus a reliable and reproducible description of each case regarding these alterations can be achieved. In addition to the above alterations, the brain tissue is also prone to various vascular alterations that should be registered as seen or not seen even if the significance of these alterations is still unclear.","author":[{"dropping-particle":"","family":"Alafuzoff","given":"Irina","non-dropping-particle":"","parse-names":false,"suffix":""}],"container-title":"Handbook of clinical neurology","id":"ITEM-1","issued":{"date-parts":[["2018"]]},"page":"131-141","title":"Minimal neuropathologic diagnosis for brain banking in the normal middle-aged and aged brain and in neurodegenerative disorders.","type":"article-journal","volume":"150"},"uris":["http://www.mendeley.com/documents/?uuid=9849a5ef-c0d9-3b89-9ad2-a82f7a418377"]}],"mendeley":{"formattedCitation":"&lt;sup&gt;91&lt;/sup&gt;","plainTextFormattedCitation":"91","previouslyFormattedCitation":"&lt;sup&gt;91&lt;/sup&gt;"},"properties":{"noteIndex":0},"schema":"https://github.com/citation-style-language/schema/raw/master/csl-citation.json"}</w:instrText>
      </w:r>
      <w:r w:rsidR="000B58B5" w:rsidRPr="000C3E96">
        <w:rPr>
          <w:noProof w:val="0"/>
          <w:color w:val="000000" w:themeColor="text1"/>
          <w:lang w:val="en-US"/>
        </w:rPr>
        <w:fldChar w:fldCharType="separate"/>
      </w:r>
      <w:r w:rsidR="00C1675A" w:rsidRPr="00C1675A">
        <w:rPr>
          <w:color w:val="000000" w:themeColor="text1"/>
          <w:vertAlign w:val="superscript"/>
          <w:lang w:val="en-US"/>
        </w:rPr>
        <w:t>91</w:t>
      </w:r>
      <w:r w:rsidR="000B58B5" w:rsidRPr="000C3E96">
        <w:rPr>
          <w:noProof w:val="0"/>
          <w:color w:val="000000" w:themeColor="text1"/>
          <w:lang w:val="en-US"/>
        </w:rPr>
        <w:fldChar w:fldCharType="end"/>
      </w:r>
      <w:r w:rsidR="007D0DCE" w:rsidRPr="000C3E96">
        <w:rPr>
          <w:noProof w:val="0"/>
          <w:color w:val="000000" w:themeColor="text1"/>
          <w:lang w:val="en-US"/>
        </w:rPr>
        <w:t xml:space="preserve">. </w:t>
      </w:r>
      <w:r w:rsidR="009C4B58" w:rsidRPr="000C3E96">
        <w:rPr>
          <w:noProof w:val="0"/>
          <w:color w:val="000000" w:themeColor="text1"/>
          <w:lang w:val="en-US"/>
        </w:rPr>
        <w:t>This will allow us to</w:t>
      </w:r>
      <w:r w:rsidR="00AE0CAC" w:rsidRPr="000C3E96">
        <w:rPr>
          <w:noProof w:val="0"/>
          <w:color w:val="000000" w:themeColor="text1"/>
          <w:lang w:val="en-US"/>
        </w:rPr>
        <w:t xml:space="preserve"> collect and</w:t>
      </w:r>
      <w:r w:rsidR="009C4B58" w:rsidRPr="000C3E96">
        <w:rPr>
          <w:noProof w:val="0"/>
          <w:color w:val="000000" w:themeColor="text1"/>
          <w:lang w:val="en-US"/>
        </w:rPr>
        <w:t xml:space="preserve"> share well-documented brain tissue, </w:t>
      </w:r>
      <w:r w:rsidR="00575B50" w:rsidRPr="000C3E96">
        <w:rPr>
          <w:noProof w:val="0"/>
          <w:color w:val="000000" w:themeColor="text1"/>
          <w:lang w:val="en-US"/>
        </w:rPr>
        <w:t>with</w:t>
      </w:r>
      <w:r w:rsidR="009C4B58" w:rsidRPr="000C3E96">
        <w:rPr>
          <w:noProof w:val="0"/>
          <w:color w:val="000000" w:themeColor="text1"/>
          <w:lang w:val="en-US"/>
        </w:rPr>
        <w:t xml:space="preserve"> the prospective</w:t>
      </w:r>
      <w:r w:rsidR="00575B50" w:rsidRPr="000C3E96">
        <w:rPr>
          <w:noProof w:val="0"/>
          <w:color w:val="000000" w:themeColor="text1"/>
          <w:lang w:val="en-US"/>
        </w:rPr>
        <w:t xml:space="preserve"> goal</w:t>
      </w:r>
      <w:r w:rsidR="009C4B58" w:rsidRPr="000C3E96">
        <w:rPr>
          <w:noProof w:val="0"/>
          <w:color w:val="000000" w:themeColor="text1"/>
          <w:lang w:val="en-US"/>
        </w:rPr>
        <w:t xml:space="preserve"> of </w:t>
      </w:r>
      <w:r w:rsidR="009C4B58" w:rsidRPr="000C3E96">
        <w:rPr>
          <w:bCs/>
          <w:noProof w:val="0"/>
          <w:color w:val="000000" w:themeColor="text1"/>
          <w:lang w:val="en-US"/>
        </w:rPr>
        <w:t>establishing</w:t>
      </w:r>
      <w:r w:rsidR="00AE0CAC" w:rsidRPr="000C3E96">
        <w:rPr>
          <w:bCs/>
          <w:noProof w:val="0"/>
          <w:color w:val="000000" w:themeColor="text1"/>
          <w:lang w:val="en-US"/>
        </w:rPr>
        <w:t xml:space="preserve"> the first Italian Brain Bank</w:t>
      </w:r>
      <w:r w:rsidR="009C4B58" w:rsidRPr="000C3E96">
        <w:rPr>
          <w:bCs/>
          <w:noProof w:val="0"/>
          <w:color w:val="000000" w:themeColor="text1"/>
          <w:lang w:val="en-US"/>
        </w:rPr>
        <w:t>.</w:t>
      </w:r>
      <w:r w:rsidR="009C4B58" w:rsidRPr="000C3E96">
        <w:rPr>
          <w:noProof w:val="0"/>
          <w:color w:val="000000" w:themeColor="text1"/>
          <w:lang w:val="en-US"/>
        </w:rPr>
        <w:t xml:space="preserve"> </w:t>
      </w:r>
      <w:r w:rsidR="00575B50" w:rsidRPr="000C3E96">
        <w:rPr>
          <w:noProof w:val="0"/>
          <w:color w:val="000000" w:themeColor="text1"/>
          <w:lang w:val="en-US"/>
        </w:rPr>
        <w:t xml:space="preserve">Indeed, in </w:t>
      </w:r>
      <w:r w:rsidR="009C4B58" w:rsidRPr="000C3E96">
        <w:rPr>
          <w:rFonts w:eastAsia="Baskerville" w:cs="Baskerville"/>
          <w:noProof w:val="0"/>
          <w:color w:val="000000" w:themeColor="text1"/>
          <w:lang w:val="en-US"/>
        </w:rPr>
        <w:t xml:space="preserve">Italy there are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rain repositories but not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rain </w:t>
      </w:r>
      <w:r w:rsidR="00575B50" w:rsidRPr="000C3E96">
        <w:rPr>
          <w:rFonts w:eastAsia="Baskerville" w:cs="Baskerville"/>
          <w:noProof w:val="0"/>
          <w:color w:val="000000" w:themeColor="text1"/>
          <w:lang w:val="en-US"/>
        </w:rPr>
        <w:t>b</w:t>
      </w:r>
      <w:r w:rsidR="009C4B58" w:rsidRPr="000C3E96">
        <w:rPr>
          <w:rFonts w:eastAsia="Baskerville" w:cs="Baskerville"/>
          <w:noProof w:val="0"/>
          <w:color w:val="000000" w:themeColor="text1"/>
          <w:lang w:val="en-US"/>
        </w:rPr>
        <w:t xml:space="preserve">anks based on cohort studies. Our aim </w:t>
      </w:r>
      <w:r w:rsidR="00F54560" w:rsidRPr="000C3E96">
        <w:rPr>
          <w:rFonts w:eastAsia="Baskerville" w:cs="Baskerville"/>
          <w:noProof w:val="0"/>
          <w:color w:val="000000" w:themeColor="text1"/>
          <w:lang w:val="en-US"/>
        </w:rPr>
        <w:t xml:space="preserve">is </w:t>
      </w:r>
      <w:r w:rsidR="00575B50" w:rsidRPr="000C3E96">
        <w:rPr>
          <w:rFonts w:eastAsia="Baskerville" w:cs="Baskerville"/>
          <w:noProof w:val="0"/>
          <w:color w:val="000000" w:themeColor="text1"/>
          <w:lang w:val="en-US"/>
        </w:rPr>
        <w:t>to develop</w:t>
      </w:r>
      <w:r w:rsidR="009C4B58" w:rsidRPr="000C3E96">
        <w:rPr>
          <w:rFonts w:eastAsia="Baskerville" w:cs="Baskerville"/>
          <w:noProof w:val="0"/>
          <w:color w:val="000000" w:themeColor="text1"/>
          <w:lang w:val="en-US"/>
        </w:rPr>
        <w:t xml:space="preserve"> </w:t>
      </w:r>
      <w:r w:rsidR="00AE0CAC" w:rsidRPr="000C3E96">
        <w:rPr>
          <w:rFonts w:eastAsia="Baskerville" w:cs="Baskerville"/>
          <w:noProof w:val="0"/>
          <w:color w:val="000000" w:themeColor="text1"/>
          <w:lang w:val="en-US"/>
        </w:rPr>
        <w:t>a method for</w:t>
      </w:r>
      <w:r w:rsidR="009C4B58" w:rsidRPr="000C3E96">
        <w:rPr>
          <w:rFonts w:eastAsia="Baskerville" w:cs="Baskerville"/>
          <w:noProof w:val="0"/>
          <w:color w:val="000000" w:themeColor="text1"/>
          <w:lang w:val="en-US"/>
        </w:rPr>
        <w:t xml:space="preserve"> brain tissue harvesting</w:t>
      </w:r>
      <w:r w:rsidR="00DE1929" w:rsidRPr="000C3E96">
        <w:rPr>
          <w:rFonts w:eastAsia="Baskerville" w:cs="Baskerville"/>
          <w:noProof w:val="0"/>
          <w:color w:val="000000" w:themeColor="text1"/>
          <w:lang w:val="en-US"/>
        </w:rPr>
        <w:t xml:space="preserve"> that can be implemented</w:t>
      </w:r>
      <w:r w:rsidR="009C4B58" w:rsidRPr="000C3E96">
        <w:rPr>
          <w:rFonts w:eastAsia="Baskerville" w:cs="Baskerville"/>
          <w:noProof w:val="0"/>
          <w:color w:val="000000" w:themeColor="text1"/>
          <w:lang w:val="en-US"/>
        </w:rPr>
        <w:t xml:space="preserve"> </w:t>
      </w:r>
      <w:r w:rsidR="00AE0CAC" w:rsidRPr="000C3E96">
        <w:rPr>
          <w:rFonts w:eastAsia="Baskerville" w:cs="Baskerville"/>
          <w:noProof w:val="0"/>
          <w:color w:val="000000" w:themeColor="text1"/>
          <w:lang w:val="en-US"/>
        </w:rPr>
        <w:t>broadly across</w:t>
      </w:r>
      <w:r w:rsidR="009C4B58" w:rsidRPr="000C3E96">
        <w:rPr>
          <w:rFonts w:eastAsia="Baskerville" w:cs="Baskerville"/>
          <w:noProof w:val="0"/>
          <w:color w:val="000000" w:themeColor="text1"/>
          <w:lang w:val="en-US"/>
        </w:rPr>
        <w:t xml:space="preserve"> Italy, to establish a network that</w:t>
      </w:r>
      <w:r w:rsidR="00DE1929" w:rsidRPr="000C3E96">
        <w:rPr>
          <w:rFonts w:eastAsia="Baskerville" w:cs="Baskerville"/>
          <w:noProof w:val="0"/>
          <w:color w:val="000000" w:themeColor="text1"/>
          <w:lang w:val="en-US"/>
        </w:rPr>
        <w:t xml:space="preserve"> uses a common protocol and</w:t>
      </w:r>
      <w:r w:rsidR="009C4B58" w:rsidRPr="000C3E96">
        <w:rPr>
          <w:rFonts w:eastAsia="Baskerville" w:cs="Baskerville"/>
          <w:noProof w:val="0"/>
          <w:color w:val="000000" w:themeColor="text1"/>
          <w:lang w:val="en-US"/>
        </w:rPr>
        <w:t xml:space="preserve"> shares comparable material. In order to </w:t>
      </w:r>
      <w:r w:rsidR="00AE0CAC" w:rsidRPr="000C3E96">
        <w:rPr>
          <w:rFonts w:eastAsia="Baskerville" w:cs="Baskerville"/>
          <w:noProof w:val="0"/>
          <w:color w:val="000000" w:themeColor="text1"/>
          <w:lang w:val="en-US"/>
        </w:rPr>
        <w:t>do so</w:t>
      </w:r>
      <w:r w:rsidR="009C4B58" w:rsidRPr="000C3E96">
        <w:rPr>
          <w:rFonts w:eastAsia="Baskerville" w:cs="Baskerville"/>
          <w:noProof w:val="0"/>
          <w:color w:val="000000" w:themeColor="text1"/>
          <w:lang w:val="en-US"/>
        </w:rPr>
        <w:t>, the involvement of other research centers and the creation of a specific website are among the main objectives for the future.</w:t>
      </w:r>
    </w:p>
    <w:p w14:paraId="49D48F6F" w14:textId="77777777" w:rsidR="003978E5" w:rsidRPr="000C3E96" w:rsidRDefault="003978E5" w:rsidP="006E7127">
      <w:pPr>
        <w:rPr>
          <w:rFonts w:eastAsia="Baskerville" w:cs="Baskerville"/>
          <w:noProof w:val="0"/>
          <w:color w:val="000000" w:themeColor="text1"/>
          <w:lang w:val="en-US"/>
        </w:rPr>
      </w:pPr>
    </w:p>
    <w:p w14:paraId="620CF406" w14:textId="4D12369D" w:rsidR="00AE2BAF" w:rsidRPr="000C3E96" w:rsidRDefault="00360B17">
      <w:pPr>
        <w:rPr>
          <w:bCs/>
          <w:noProof w:val="0"/>
          <w:color w:val="000000" w:themeColor="text1"/>
          <w:lang w:val="en-US"/>
        </w:rPr>
      </w:pPr>
      <w:r w:rsidRPr="000C3E96">
        <w:rPr>
          <w:noProof w:val="0"/>
          <w:color w:val="000000" w:themeColor="text1"/>
          <w:lang w:val="en-US"/>
        </w:rPr>
        <w:t xml:space="preserve">Innovative technologies are constantly being used for the analysis of the </w:t>
      </w:r>
      <w:r w:rsidR="00200700" w:rsidRPr="000C3E96">
        <w:rPr>
          <w:noProof w:val="0"/>
          <w:color w:val="000000" w:themeColor="text1"/>
          <w:lang w:val="en-US"/>
        </w:rPr>
        <w:t>molecular nature of neurodegenerative diseases and</w:t>
      </w:r>
      <w:r w:rsidR="00A14C97" w:rsidRPr="000C3E96">
        <w:rPr>
          <w:noProof w:val="0"/>
          <w:color w:val="000000" w:themeColor="text1"/>
          <w:lang w:val="en-US"/>
        </w:rPr>
        <w:t xml:space="preserve"> for</w:t>
      </w:r>
      <w:r w:rsidR="00200700" w:rsidRPr="000C3E96">
        <w:rPr>
          <w:noProof w:val="0"/>
          <w:color w:val="000000" w:themeColor="text1"/>
          <w:lang w:val="en-US"/>
        </w:rPr>
        <w:t xml:space="preserve"> biomarker</w:t>
      </w:r>
      <w:r w:rsidRPr="000C3E96">
        <w:rPr>
          <w:noProof w:val="0"/>
          <w:color w:val="000000" w:themeColor="text1"/>
          <w:lang w:val="en-US"/>
        </w:rPr>
        <w:t xml:space="preserve"> identification</w:t>
      </w:r>
      <w:r w:rsidR="00260252" w:rsidRPr="000C3E96">
        <w:rPr>
          <w:noProof w:val="0"/>
          <w:color w:val="000000" w:themeColor="text1"/>
          <w:lang w:val="en-US"/>
        </w:rPr>
        <w:t>.</w:t>
      </w:r>
      <w:r w:rsidR="00650BD4" w:rsidRPr="000C3E96">
        <w:rPr>
          <w:noProof w:val="0"/>
          <w:color w:val="000000" w:themeColor="text1"/>
          <w:lang w:val="en-US"/>
        </w:rPr>
        <w:t xml:space="preserve"> </w:t>
      </w:r>
      <w:r w:rsidR="006E7127" w:rsidRPr="000C3E96">
        <w:rPr>
          <w:noProof w:val="0"/>
          <w:color w:val="000000" w:themeColor="text1"/>
          <w:lang w:val="en-US"/>
        </w:rPr>
        <w:t>In this context, there will be an increasing need for brains accompanied by information about cognitive and aging trajectories obtained through</w:t>
      </w:r>
      <w:r w:rsidR="006E7127" w:rsidRPr="000C3E96">
        <w:rPr>
          <w:bCs/>
          <w:noProof w:val="0"/>
          <w:color w:val="000000" w:themeColor="text1"/>
          <w:lang w:val="en-US"/>
        </w:rPr>
        <w:t xml:space="preserve"> longitudinal studies</w:t>
      </w:r>
      <w:r w:rsidR="00AE2BAF" w:rsidRPr="000C3E96">
        <w:rPr>
          <w:bCs/>
          <w:noProof w:val="0"/>
          <w:color w:val="000000" w:themeColor="text1"/>
          <w:lang w:val="en-US"/>
        </w:rPr>
        <w:t>,</w:t>
      </w:r>
      <w:r w:rsidR="006E7127" w:rsidRPr="000C3E96">
        <w:rPr>
          <w:bCs/>
          <w:noProof w:val="0"/>
          <w:color w:val="000000" w:themeColor="text1"/>
          <w:lang w:val="en-US"/>
        </w:rPr>
        <w:t xml:space="preserve"> </w:t>
      </w:r>
      <w:r w:rsidR="00AE2BAF" w:rsidRPr="000C3E96">
        <w:rPr>
          <w:bCs/>
          <w:noProof w:val="0"/>
          <w:color w:val="000000" w:themeColor="text1"/>
          <w:lang w:val="en-US"/>
        </w:rPr>
        <w:t>emphasizing the importance of a neuropathologically verified epidemiological approach</w:t>
      </w:r>
      <w:r w:rsidR="00CF2332" w:rsidRPr="000C3E96">
        <w:rPr>
          <w:bCs/>
          <w:noProof w:val="0"/>
          <w:color w:val="000000" w:themeColor="text1"/>
          <w:lang w:val="en-US"/>
        </w:rPr>
        <w:fldChar w:fldCharType="begin" w:fldLock="1"/>
      </w:r>
      <w:r w:rsidR="00C1675A">
        <w:rPr>
          <w:bCs/>
          <w:noProof w:val="0"/>
          <w:color w:val="000000" w:themeColor="text1"/>
          <w:lang w:val="en-US"/>
        </w:rPr>
        <w:instrText>ADDIN CSL_CITATION {"citationItems":[{"id":"ITEM-1","itemData":{"ISSN":"18758908","author":[{"dropping-particle":"","family":"Wharton","given":"Stephen B.","non-dropping-particle":"","parse-names":false,"suffix":""},{"dropping-particle":"","family":"Brayne","given":"Carol","non-dropping-particle":"","parse-names":false,"suffix":""},{"dropping-particle":"","family":"Savva","given":"George M.","non-dropping-particle":"","parse-names":false,"suffix":""},{"dropping-particle":"","family":"Matthews","given":"Fiona E.","non-dropping-particle":"","parse-names":false,"suffix":""},{"dropping-particle":"","family":"Forster","given":"Gill","non-dropping-particle":"","parse-names":false,"suffix":""},{"dropping-particle":"","family":"Simpson","given":"Julie","non-dropping-particle":"","parse-names":false,"suffix":""},{"dropping-particle":"","family":"Lace","given":"Gemma","non-dropping-particle":"","parse-names":false,"suffix":""},{"dropping-particle":"","family":"Ince","given":"Paul G.","non-dropping-particle":"","parse-names":false,"suffix":""}],"container-title":"Journal of Alzheimer's Disease","id":"ITEM-1","issue":"2","issued":{"date-parts":[["2011","7","1"]]},"page":"359-372","title":"Epidemiological Neuropathology: The MRC Cognitive Function and Aging Study Experience","type":"article-journal","volume":"25"},"uris":["http://www.mendeley.com/documents/?uuid=4617de82-900d-35c9-859d-f50e23143124"]}],"mendeley":{"formattedCitation":"&lt;sup&gt;92&lt;/sup&gt;","plainTextFormattedCitation":"92","previouslyFormattedCitation":"&lt;sup&gt;92&lt;/sup&gt;"},"properties":{"noteIndex":0},"schema":"https://github.com/citation-style-language/schema/raw/master/csl-citation.json"}</w:instrText>
      </w:r>
      <w:r w:rsidR="00CF2332" w:rsidRPr="000C3E96">
        <w:rPr>
          <w:bCs/>
          <w:noProof w:val="0"/>
          <w:color w:val="000000" w:themeColor="text1"/>
          <w:lang w:val="en-US"/>
        </w:rPr>
        <w:fldChar w:fldCharType="separate"/>
      </w:r>
      <w:r w:rsidR="00C1675A" w:rsidRPr="00C1675A">
        <w:rPr>
          <w:bCs/>
          <w:color w:val="000000" w:themeColor="text1"/>
          <w:vertAlign w:val="superscript"/>
          <w:lang w:val="en-US"/>
        </w:rPr>
        <w:t>92</w:t>
      </w:r>
      <w:r w:rsidR="00CF2332" w:rsidRPr="000C3E96">
        <w:rPr>
          <w:bCs/>
          <w:noProof w:val="0"/>
          <w:color w:val="000000" w:themeColor="text1"/>
          <w:lang w:val="en-US"/>
        </w:rPr>
        <w:fldChar w:fldCharType="end"/>
      </w:r>
      <w:r w:rsidR="00AE2BAF" w:rsidRPr="000C3E96">
        <w:rPr>
          <w:bCs/>
          <w:noProof w:val="0"/>
          <w:color w:val="000000" w:themeColor="text1"/>
          <w:lang w:val="en-US"/>
        </w:rPr>
        <w:t>.</w:t>
      </w:r>
    </w:p>
    <w:p w14:paraId="5A790B07" w14:textId="4D63E8E0" w:rsidR="00260252" w:rsidRPr="000C3E96" w:rsidRDefault="00AE2BAF">
      <w:pPr>
        <w:rPr>
          <w:noProof w:val="0"/>
          <w:color w:val="000000" w:themeColor="text1"/>
          <w:lang w:val="en-US"/>
        </w:rPr>
      </w:pPr>
      <w:r w:rsidRPr="000C3E96">
        <w:rPr>
          <w:noProof w:val="0"/>
          <w:color w:val="000000" w:themeColor="text1"/>
          <w:lang w:val="en-US"/>
        </w:rPr>
        <w:t xml:space="preserve"> </w:t>
      </w:r>
    </w:p>
    <w:p w14:paraId="70A8F7E3" w14:textId="65E837D2" w:rsidR="00260252" w:rsidRPr="000C3E96" w:rsidRDefault="00260252" w:rsidP="00F16CB6">
      <w:pPr>
        <w:pStyle w:val="NormaleWeb1"/>
        <w:spacing w:before="0" w:after="0"/>
        <w:outlineLvl w:val="0"/>
        <w:rPr>
          <w:noProof w:val="0"/>
          <w:color w:val="000000" w:themeColor="text1"/>
          <w:lang w:val="en-US"/>
        </w:rPr>
      </w:pPr>
      <w:r w:rsidRPr="000C3E96">
        <w:rPr>
          <w:b/>
          <w:bCs/>
          <w:noProof w:val="0"/>
          <w:color w:val="000000" w:themeColor="text1"/>
          <w:lang w:val="en-US"/>
        </w:rPr>
        <w:t>ACKNOWLEDGMENTS:</w:t>
      </w:r>
    </w:p>
    <w:p w14:paraId="7A43077A" w14:textId="2CBF6CC8" w:rsidR="005140B0" w:rsidRPr="00BF4BD1" w:rsidRDefault="005140B0">
      <w:pPr>
        <w:rPr>
          <w:noProof w:val="0"/>
          <w:color w:val="000000" w:themeColor="text1"/>
          <w:lang w:val="en-US"/>
        </w:rPr>
      </w:pPr>
      <w:r w:rsidRPr="00BF4BD1">
        <w:rPr>
          <w:noProof w:val="0"/>
          <w:color w:val="auto"/>
          <w:lang w:val="en-US"/>
        </w:rPr>
        <w:t>We</w:t>
      </w:r>
      <w:r w:rsidR="00047758" w:rsidRPr="00BF4BD1">
        <w:rPr>
          <w:noProof w:val="0"/>
          <w:color w:val="auto"/>
          <w:lang w:val="en-US"/>
        </w:rPr>
        <w:t xml:space="preserve"> wish to dedicate this work to </w:t>
      </w:r>
      <w:proofErr w:type="spellStart"/>
      <w:r w:rsidR="00FB3150" w:rsidRPr="00BF4BD1">
        <w:rPr>
          <w:noProof w:val="0"/>
          <w:color w:val="auto"/>
          <w:lang w:val="en-US"/>
        </w:rPr>
        <w:t>Dr.</w:t>
      </w:r>
      <w:r w:rsidR="003A5766" w:rsidRPr="00BF4BD1">
        <w:rPr>
          <w:noProof w:val="0"/>
          <w:color w:val="auto"/>
          <w:lang w:val="en-US"/>
        </w:rPr>
        <w:t>ssa</w:t>
      </w:r>
      <w:proofErr w:type="spellEnd"/>
      <w:r w:rsidR="00FB3150" w:rsidRPr="00BF4BD1">
        <w:rPr>
          <w:noProof w:val="0"/>
          <w:color w:val="auto"/>
          <w:lang w:val="en-US"/>
        </w:rPr>
        <w:t xml:space="preserve"> </w:t>
      </w:r>
      <w:r w:rsidR="00047758" w:rsidRPr="00BF4BD1">
        <w:rPr>
          <w:noProof w:val="0"/>
          <w:color w:val="auto"/>
          <w:lang w:val="en-US"/>
        </w:rPr>
        <w:t xml:space="preserve">Michela </w:t>
      </w:r>
      <w:proofErr w:type="spellStart"/>
      <w:r w:rsidR="00047758" w:rsidRPr="00BF4BD1">
        <w:rPr>
          <w:noProof w:val="0"/>
          <w:color w:val="auto"/>
          <w:lang w:val="en-US"/>
        </w:rPr>
        <w:t>Mang</w:t>
      </w:r>
      <w:r w:rsidR="00CF13F5" w:rsidRPr="00BF4BD1">
        <w:rPr>
          <w:noProof w:val="0"/>
          <w:color w:val="auto"/>
          <w:lang w:val="en-US"/>
        </w:rPr>
        <w:t>i</w:t>
      </w:r>
      <w:r w:rsidR="00047758" w:rsidRPr="00BF4BD1">
        <w:rPr>
          <w:noProof w:val="0"/>
          <w:color w:val="auto"/>
          <w:lang w:val="en-US"/>
        </w:rPr>
        <w:t>eri</w:t>
      </w:r>
      <w:proofErr w:type="spellEnd"/>
      <w:r w:rsidR="008F453A" w:rsidRPr="00BF4BD1">
        <w:rPr>
          <w:noProof w:val="0"/>
          <w:color w:val="auto"/>
          <w:lang w:val="en-US"/>
        </w:rPr>
        <w:t>.</w:t>
      </w:r>
      <w:r w:rsidR="00047758" w:rsidRPr="00BF4BD1">
        <w:rPr>
          <w:noProof w:val="0"/>
          <w:color w:val="auto"/>
          <w:lang w:val="en-US"/>
        </w:rPr>
        <w:t xml:space="preserve"> </w:t>
      </w:r>
      <w:r w:rsidR="008F453A" w:rsidRPr="00BF4BD1">
        <w:rPr>
          <w:noProof w:val="0"/>
          <w:color w:val="auto"/>
          <w:lang w:val="en-US"/>
        </w:rPr>
        <w:t xml:space="preserve">Before she died prematurely, she conceived </w:t>
      </w:r>
      <w:r w:rsidRPr="00BF4BD1">
        <w:rPr>
          <w:noProof w:val="0"/>
          <w:color w:val="auto"/>
          <w:lang w:val="en-US"/>
        </w:rPr>
        <w:t>and started</w:t>
      </w:r>
      <w:r w:rsidR="00182DE5" w:rsidRPr="00BF4BD1">
        <w:rPr>
          <w:noProof w:val="0"/>
          <w:color w:val="auto"/>
          <w:lang w:val="en-US"/>
        </w:rPr>
        <w:t xml:space="preserve"> the </w:t>
      </w:r>
      <w:proofErr w:type="spellStart"/>
      <w:r w:rsidR="00182DE5" w:rsidRPr="00BF4BD1">
        <w:rPr>
          <w:noProof w:val="0"/>
          <w:color w:val="auto"/>
          <w:lang w:val="en-US"/>
        </w:rPr>
        <w:t>Abbiategrasso</w:t>
      </w:r>
      <w:proofErr w:type="spellEnd"/>
      <w:r w:rsidR="00182DE5" w:rsidRPr="00BF4BD1">
        <w:rPr>
          <w:noProof w:val="0"/>
          <w:color w:val="auto"/>
          <w:lang w:val="en-US"/>
        </w:rPr>
        <w:t xml:space="preserve"> Brain Bank </w:t>
      </w:r>
      <w:r w:rsidRPr="00BF4BD1">
        <w:rPr>
          <w:noProof w:val="0"/>
          <w:color w:val="auto"/>
          <w:lang w:val="en-US"/>
        </w:rPr>
        <w:t>P</w:t>
      </w:r>
      <w:r w:rsidR="00182DE5" w:rsidRPr="00BF4BD1">
        <w:rPr>
          <w:noProof w:val="0"/>
          <w:color w:val="auto"/>
          <w:lang w:val="en-US"/>
        </w:rPr>
        <w:t>roject</w:t>
      </w:r>
      <w:r w:rsidRPr="00BF4BD1">
        <w:rPr>
          <w:noProof w:val="0"/>
          <w:color w:val="auto"/>
          <w:lang w:val="en-US"/>
        </w:rPr>
        <w:t>.</w:t>
      </w:r>
    </w:p>
    <w:p w14:paraId="08FACFAF" w14:textId="477190C0" w:rsidR="00A76A5C" w:rsidRPr="000C3E96" w:rsidRDefault="00A76A5C">
      <w:pPr>
        <w:rPr>
          <w:noProof w:val="0"/>
          <w:color w:val="000000" w:themeColor="text1"/>
          <w:lang w:val="en-US"/>
        </w:rPr>
      </w:pPr>
      <w:r w:rsidRPr="000C3E96">
        <w:rPr>
          <w:noProof w:val="0"/>
          <w:color w:val="000000" w:themeColor="text1"/>
          <w:lang w:val="en-US"/>
        </w:rPr>
        <w:t>We are grateful to our brain donors, who are generously contributing to research donating the noblest organ of their body; without them this research would</w:t>
      </w:r>
      <w:r w:rsidR="00DE1929" w:rsidRPr="000C3E96">
        <w:rPr>
          <w:noProof w:val="0"/>
          <w:color w:val="000000" w:themeColor="text1"/>
          <w:lang w:val="en-US"/>
        </w:rPr>
        <w:t xml:space="preserve"> no</w:t>
      </w:r>
      <w:r w:rsidRPr="000C3E96">
        <w:rPr>
          <w:noProof w:val="0"/>
          <w:color w:val="000000" w:themeColor="text1"/>
          <w:lang w:val="en-US"/>
        </w:rPr>
        <w:t>t be possible.</w:t>
      </w:r>
    </w:p>
    <w:p w14:paraId="10C1D877" w14:textId="77777777" w:rsidR="005140B0" w:rsidRPr="000C3E96" w:rsidRDefault="005140B0">
      <w:pPr>
        <w:rPr>
          <w:noProof w:val="0"/>
          <w:color w:val="000000" w:themeColor="text1"/>
          <w:lang w:val="en-US"/>
        </w:rPr>
      </w:pPr>
      <w:r w:rsidRPr="000C3E96">
        <w:rPr>
          <w:noProof w:val="0"/>
          <w:color w:val="000000" w:themeColor="text1"/>
          <w:lang w:val="en-US"/>
        </w:rPr>
        <w:t xml:space="preserve">We are grateful to </w:t>
      </w:r>
      <w:r w:rsidR="00260252" w:rsidRPr="000C3E96">
        <w:rPr>
          <w:noProof w:val="0"/>
          <w:color w:val="000000" w:themeColor="text1"/>
          <w:lang w:val="en-US"/>
        </w:rPr>
        <w:t>Valeria</w:t>
      </w:r>
      <w:r w:rsidRPr="000C3E96">
        <w:rPr>
          <w:noProof w:val="0"/>
          <w:color w:val="000000" w:themeColor="text1"/>
          <w:lang w:val="en-US"/>
        </w:rPr>
        <w:t xml:space="preserve"> </w:t>
      </w:r>
      <w:proofErr w:type="spellStart"/>
      <w:r w:rsidRPr="000C3E96">
        <w:rPr>
          <w:noProof w:val="0"/>
          <w:color w:val="000000" w:themeColor="text1"/>
          <w:lang w:val="en-US"/>
        </w:rPr>
        <w:t>Marzagalli</w:t>
      </w:r>
      <w:proofErr w:type="spellEnd"/>
      <w:r w:rsidRPr="000C3E96">
        <w:rPr>
          <w:noProof w:val="0"/>
          <w:color w:val="000000" w:themeColor="text1"/>
          <w:lang w:val="en-US"/>
        </w:rPr>
        <w:t xml:space="preserve"> for her precious work in the ABB project.</w:t>
      </w:r>
    </w:p>
    <w:p w14:paraId="5BD8CF92" w14:textId="75B7A445" w:rsidR="005140B0" w:rsidRPr="000C3E96" w:rsidRDefault="005140B0">
      <w:pPr>
        <w:rPr>
          <w:noProof w:val="0"/>
          <w:color w:val="000000" w:themeColor="text1"/>
          <w:lang w:val="en-US"/>
        </w:rPr>
      </w:pPr>
      <w:r w:rsidRPr="000C3E96">
        <w:rPr>
          <w:noProof w:val="0"/>
          <w:color w:val="000000" w:themeColor="text1"/>
          <w:lang w:val="en-US"/>
        </w:rPr>
        <w:t>The authors thank</w:t>
      </w:r>
      <w:r w:rsidR="00260252" w:rsidRPr="000C3E96">
        <w:rPr>
          <w:noProof w:val="0"/>
          <w:color w:val="000000" w:themeColor="text1"/>
          <w:lang w:val="en-US"/>
        </w:rPr>
        <w:t xml:space="preserve"> </w:t>
      </w:r>
      <w:r w:rsidRPr="000C3E96">
        <w:rPr>
          <w:noProof w:val="0"/>
          <w:color w:val="000000" w:themeColor="text1"/>
          <w:lang w:val="en-US"/>
        </w:rPr>
        <w:t xml:space="preserve">Prof. Johannes </w:t>
      </w:r>
      <w:proofErr w:type="spellStart"/>
      <w:r w:rsidR="00260252" w:rsidRPr="000C3E96">
        <w:rPr>
          <w:noProof w:val="0"/>
          <w:color w:val="000000" w:themeColor="text1"/>
          <w:lang w:val="en-US"/>
        </w:rPr>
        <w:t>Attems</w:t>
      </w:r>
      <w:proofErr w:type="spellEnd"/>
      <w:r w:rsidR="00260252" w:rsidRPr="000C3E96">
        <w:rPr>
          <w:noProof w:val="0"/>
          <w:color w:val="000000" w:themeColor="text1"/>
          <w:lang w:val="en-US"/>
        </w:rPr>
        <w:t xml:space="preserve">, </w:t>
      </w:r>
      <w:r w:rsidRPr="000C3E96">
        <w:rPr>
          <w:noProof w:val="0"/>
          <w:color w:val="000000" w:themeColor="text1"/>
          <w:lang w:val="en-US"/>
        </w:rPr>
        <w:t xml:space="preserve">Dr. Paolo </w:t>
      </w:r>
      <w:proofErr w:type="spellStart"/>
      <w:r w:rsidR="00260252" w:rsidRPr="000C3E96">
        <w:rPr>
          <w:noProof w:val="0"/>
          <w:color w:val="000000" w:themeColor="text1"/>
          <w:lang w:val="en-US"/>
        </w:rPr>
        <w:t>Fociani</w:t>
      </w:r>
      <w:proofErr w:type="spellEnd"/>
      <w:r w:rsidR="00260252" w:rsidRPr="000C3E96">
        <w:rPr>
          <w:noProof w:val="0"/>
          <w:color w:val="000000" w:themeColor="text1"/>
          <w:lang w:val="en-US"/>
        </w:rPr>
        <w:t xml:space="preserve"> </w:t>
      </w:r>
      <w:r w:rsidRPr="000C3E96">
        <w:rPr>
          <w:noProof w:val="0"/>
          <w:color w:val="000000" w:themeColor="text1"/>
          <w:lang w:val="en-US"/>
        </w:rPr>
        <w:t xml:space="preserve">and Dr. Giorgio </w:t>
      </w:r>
      <w:proofErr w:type="spellStart"/>
      <w:r w:rsidR="00260252" w:rsidRPr="000C3E96">
        <w:rPr>
          <w:noProof w:val="0"/>
          <w:color w:val="000000" w:themeColor="text1"/>
          <w:lang w:val="en-US"/>
        </w:rPr>
        <w:t>Giaccone</w:t>
      </w:r>
      <w:bookmarkStart w:id="6" w:name="_Hlk8741012"/>
      <w:proofErr w:type="spellEnd"/>
      <w:r w:rsidR="002707EC" w:rsidRPr="000C3E96">
        <w:rPr>
          <w:noProof w:val="0"/>
          <w:color w:val="000000" w:themeColor="text1"/>
          <w:lang w:val="en-US"/>
        </w:rPr>
        <w:t xml:space="preserve"> for their </w:t>
      </w:r>
      <w:r w:rsidR="004A0737" w:rsidRPr="000C3E96">
        <w:rPr>
          <w:noProof w:val="0"/>
          <w:color w:val="000000" w:themeColor="text1"/>
          <w:lang w:val="en-US"/>
        </w:rPr>
        <w:t>precious guidance and wise counsel</w:t>
      </w:r>
      <w:r w:rsidR="00FB3150" w:rsidRPr="000C3E96">
        <w:rPr>
          <w:noProof w:val="0"/>
          <w:color w:val="000000" w:themeColor="text1"/>
          <w:lang w:val="en-US"/>
        </w:rPr>
        <w:t>.</w:t>
      </w:r>
    </w:p>
    <w:p w14:paraId="2125F310" w14:textId="5927D435" w:rsidR="00DF0D6B" w:rsidRPr="000C3E96" w:rsidRDefault="00DF0D6B">
      <w:pPr>
        <w:rPr>
          <w:noProof w:val="0"/>
          <w:color w:val="000000" w:themeColor="text1"/>
          <w:lang w:val="en-US"/>
        </w:rPr>
      </w:pPr>
      <w:r w:rsidRPr="000C3E96">
        <w:rPr>
          <w:noProof w:val="0"/>
          <w:color w:val="000000" w:themeColor="text1"/>
          <w:lang w:val="en-US"/>
        </w:rPr>
        <w:t xml:space="preserve">We would like to thank </w:t>
      </w:r>
      <w:proofErr w:type="spellStart"/>
      <w:r w:rsidR="00446E7D" w:rsidRPr="00446E7D">
        <w:rPr>
          <w:noProof w:val="0"/>
          <w:color w:val="FF0000"/>
          <w:lang w:val="en-US"/>
        </w:rPr>
        <w:t>Dr.</w:t>
      </w:r>
      <w:r w:rsidR="00FD0772">
        <w:rPr>
          <w:noProof w:val="0"/>
          <w:color w:val="FF0000"/>
          <w:lang w:val="en-US"/>
        </w:rPr>
        <w:t>ssa</w:t>
      </w:r>
      <w:proofErr w:type="spellEnd"/>
      <w:r w:rsidR="00446E7D" w:rsidRPr="00446E7D">
        <w:rPr>
          <w:noProof w:val="0"/>
          <w:color w:val="FF0000"/>
          <w:lang w:val="en-US"/>
        </w:rPr>
        <w:t xml:space="preserve"> Alice </w:t>
      </w:r>
      <w:proofErr w:type="spellStart"/>
      <w:r w:rsidR="00446E7D" w:rsidRPr="00446E7D">
        <w:rPr>
          <w:noProof w:val="0"/>
          <w:color w:val="FF0000"/>
          <w:lang w:val="en-US"/>
        </w:rPr>
        <w:t>Cirrincione</w:t>
      </w:r>
      <w:proofErr w:type="spellEnd"/>
      <w:r w:rsidR="00446E7D" w:rsidRPr="00446E7D">
        <w:rPr>
          <w:noProof w:val="0"/>
          <w:color w:val="FF0000"/>
          <w:lang w:val="en-US"/>
        </w:rPr>
        <w:t xml:space="preserve"> </w:t>
      </w:r>
      <w:r w:rsidR="00446E7D">
        <w:rPr>
          <w:noProof w:val="0"/>
          <w:color w:val="000000" w:themeColor="text1"/>
          <w:lang w:val="en-US"/>
        </w:rPr>
        <w:t xml:space="preserve">and </w:t>
      </w:r>
      <w:r w:rsidR="00446E7D" w:rsidRPr="00446E7D">
        <w:rPr>
          <w:noProof w:val="0"/>
          <w:color w:val="FF0000"/>
          <w:lang w:val="en-US"/>
        </w:rPr>
        <w:t>Miss</w:t>
      </w:r>
      <w:r w:rsidRPr="000C3E96">
        <w:rPr>
          <w:noProof w:val="0"/>
          <w:color w:val="000000" w:themeColor="text1"/>
          <w:lang w:val="en-US"/>
        </w:rPr>
        <w:t xml:space="preserve"> Giulia </w:t>
      </w:r>
      <w:proofErr w:type="spellStart"/>
      <w:r w:rsidRPr="000C3E96">
        <w:rPr>
          <w:noProof w:val="0"/>
          <w:color w:val="000000" w:themeColor="text1"/>
          <w:lang w:val="en-US"/>
        </w:rPr>
        <w:t>Bortone</w:t>
      </w:r>
      <w:proofErr w:type="spellEnd"/>
      <w:r w:rsidRPr="000C3E96">
        <w:rPr>
          <w:noProof w:val="0"/>
          <w:color w:val="000000" w:themeColor="text1"/>
          <w:lang w:val="en-US"/>
        </w:rPr>
        <w:t xml:space="preserve"> for </w:t>
      </w:r>
      <w:r w:rsidR="00446E7D" w:rsidRPr="00446E7D">
        <w:rPr>
          <w:noProof w:val="0"/>
          <w:color w:val="FF0000"/>
          <w:lang w:val="en-US"/>
        </w:rPr>
        <w:t>their precious</w:t>
      </w:r>
      <w:r w:rsidRPr="00446E7D">
        <w:rPr>
          <w:noProof w:val="0"/>
          <w:color w:val="FF0000"/>
          <w:lang w:val="en-US"/>
        </w:rPr>
        <w:t xml:space="preserve"> </w:t>
      </w:r>
      <w:r w:rsidRPr="000C3E96">
        <w:rPr>
          <w:noProof w:val="0"/>
          <w:color w:val="000000" w:themeColor="text1"/>
          <w:lang w:val="en-US"/>
        </w:rPr>
        <w:t>help throughout the project.</w:t>
      </w:r>
    </w:p>
    <w:p w14:paraId="70FCC730" w14:textId="15623D08" w:rsidR="00DF0D6B" w:rsidRPr="000C3E96" w:rsidRDefault="00DF0D6B">
      <w:pPr>
        <w:rPr>
          <w:noProof w:val="0"/>
          <w:color w:val="000000" w:themeColor="text1"/>
          <w:lang w:val="en-US"/>
        </w:rPr>
      </w:pPr>
      <w:r w:rsidRPr="000C3E96">
        <w:rPr>
          <w:noProof w:val="0"/>
          <w:color w:val="000000" w:themeColor="text1"/>
          <w:lang w:val="en-US"/>
        </w:rPr>
        <w:t xml:space="preserve">Many thanks to Mrs. </w:t>
      </w:r>
      <w:proofErr w:type="spellStart"/>
      <w:r w:rsidRPr="000C3E96">
        <w:rPr>
          <w:noProof w:val="0"/>
          <w:color w:val="000000" w:themeColor="text1"/>
          <w:lang w:val="en-US"/>
        </w:rPr>
        <w:t>Tere</w:t>
      </w:r>
      <w:proofErr w:type="spellEnd"/>
      <w:r w:rsidRPr="000C3E96">
        <w:rPr>
          <w:noProof w:val="0"/>
          <w:color w:val="000000" w:themeColor="text1"/>
          <w:lang w:val="en-US"/>
        </w:rPr>
        <w:t xml:space="preserve"> </w:t>
      </w:r>
      <w:proofErr w:type="spellStart"/>
      <w:r w:rsidRPr="000C3E96">
        <w:rPr>
          <w:noProof w:val="0"/>
          <w:color w:val="000000" w:themeColor="text1"/>
          <w:lang w:val="en-US"/>
        </w:rPr>
        <w:t>Cassani</w:t>
      </w:r>
      <w:proofErr w:type="spellEnd"/>
      <w:r w:rsidRPr="000C3E96">
        <w:rPr>
          <w:noProof w:val="0"/>
          <w:color w:val="000000" w:themeColor="text1"/>
          <w:lang w:val="en-US"/>
        </w:rPr>
        <w:t xml:space="preserve"> for her support</w:t>
      </w:r>
      <w:r w:rsidR="00FD0772">
        <w:rPr>
          <w:noProof w:val="0"/>
          <w:color w:val="000000" w:themeColor="text1"/>
          <w:lang w:val="en-US"/>
        </w:rPr>
        <w:t xml:space="preserve"> </w:t>
      </w:r>
      <w:r w:rsidR="00FD0772" w:rsidRPr="00FD0772">
        <w:rPr>
          <w:noProof w:val="0"/>
          <w:color w:val="FF0000"/>
          <w:lang w:val="en-US"/>
        </w:rPr>
        <w:t xml:space="preserve">and to </w:t>
      </w:r>
      <w:r w:rsidR="00FD0772" w:rsidRPr="00FD0772">
        <w:rPr>
          <w:noProof w:val="0"/>
          <w:color w:val="FF0000"/>
          <w:lang w:val="en-US"/>
        </w:rPr>
        <w:t>“</w:t>
      </w:r>
      <w:proofErr w:type="spellStart"/>
      <w:r w:rsidR="00FD0772" w:rsidRPr="00FD0772">
        <w:rPr>
          <w:noProof w:val="0"/>
          <w:color w:val="FF0000"/>
          <w:lang w:val="en-US"/>
        </w:rPr>
        <w:t>Federazione</w:t>
      </w:r>
      <w:proofErr w:type="spellEnd"/>
      <w:r w:rsidR="00FD0772" w:rsidRPr="00FD0772">
        <w:rPr>
          <w:noProof w:val="0"/>
          <w:color w:val="FF0000"/>
          <w:lang w:val="en-US"/>
        </w:rPr>
        <w:t xml:space="preserve"> Alzheimer Italia” for its collaboration</w:t>
      </w:r>
      <w:r w:rsidRPr="00FD0772">
        <w:rPr>
          <w:noProof w:val="0"/>
          <w:color w:val="FF0000"/>
          <w:lang w:val="en-US"/>
        </w:rPr>
        <w:t>.</w:t>
      </w:r>
    </w:p>
    <w:p w14:paraId="1D3AB255" w14:textId="7C4F5002" w:rsidR="00260252" w:rsidRPr="00FD0772" w:rsidRDefault="002707EC">
      <w:pPr>
        <w:rPr>
          <w:noProof w:val="0"/>
          <w:color w:val="FF0000"/>
          <w:lang w:val="en-US"/>
        </w:rPr>
      </w:pPr>
      <w:r w:rsidRPr="00FD0772">
        <w:rPr>
          <w:noProof w:val="0"/>
          <w:color w:val="FF0000"/>
          <w:lang w:val="en-US"/>
        </w:rPr>
        <w:t>The authors</w:t>
      </w:r>
      <w:r w:rsidR="00FD0772" w:rsidRPr="00FD0772">
        <w:rPr>
          <w:noProof w:val="0"/>
          <w:color w:val="FF0000"/>
          <w:lang w:val="en-US"/>
        </w:rPr>
        <w:t xml:space="preserve"> are grateful to Dr. Matteo Moretti and Prof. Antonio Marco Maria </w:t>
      </w:r>
      <w:proofErr w:type="spellStart"/>
      <w:r w:rsidR="00FD0772" w:rsidRPr="00FD0772">
        <w:rPr>
          <w:noProof w:val="0"/>
          <w:color w:val="FF0000"/>
          <w:lang w:val="en-US"/>
        </w:rPr>
        <w:t>Osculati</w:t>
      </w:r>
      <w:proofErr w:type="spellEnd"/>
      <w:r w:rsidR="00FD0772" w:rsidRPr="00FD0772">
        <w:rPr>
          <w:noProof w:val="0"/>
          <w:color w:val="FF0000"/>
          <w:lang w:val="en-US"/>
        </w:rPr>
        <w:t>,</w:t>
      </w:r>
      <w:r w:rsidRPr="00FD0772">
        <w:rPr>
          <w:noProof w:val="0"/>
          <w:color w:val="FF0000"/>
          <w:lang w:val="en-US"/>
        </w:rPr>
        <w:t xml:space="preserve"> </w:t>
      </w:r>
      <w:r w:rsidR="00FD0772" w:rsidRPr="00FD0772">
        <w:rPr>
          <w:noProof w:val="0"/>
          <w:color w:val="FF0000"/>
          <w:lang w:val="en-US"/>
        </w:rPr>
        <w:t>Department of Public Health, Experimental and Forensic Medicine, University of Pavia</w:t>
      </w:r>
      <w:r w:rsidR="00FD0772" w:rsidRPr="00FD0772">
        <w:rPr>
          <w:noProof w:val="0"/>
          <w:color w:val="FF0000"/>
          <w:lang w:val="en-US"/>
        </w:rPr>
        <w:t>.</w:t>
      </w:r>
      <w:bookmarkEnd w:id="6"/>
    </w:p>
    <w:p w14:paraId="6FD82BE3" w14:textId="77777777" w:rsidR="00260252" w:rsidRPr="000C3E96" w:rsidRDefault="00260252">
      <w:pPr>
        <w:rPr>
          <w:b/>
          <w:bCs/>
          <w:noProof w:val="0"/>
          <w:color w:val="000000" w:themeColor="text1"/>
          <w:lang w:val="en-US"/>
        </w:rPr>
      </w:pPr>
    </w:p>
    <w:p w14:paraId="53188878" w14:textId="372C8CC3" w:rsidR="00260252" w:rsidRPr="000C3E96" w:rsidRDefault="00260252" w:rsidP="00F16CB6">
      <w:pPr>
        <w:pStyle w:val="NormaleWeb1"/>
        <w:spacing w:before="0" w:after="0"/>
        <w:outlineLvl w:val="0"/>
        <w:rPr>
          <w:noProof w:val="0"/>
          <w:color w:val="000000" w:themeColor="text1"/>
          <w:lang w:val="en-US"/>
        </w:rPr>
      </w:pPr>
      <w:r w:rsidRPr="000C3E96">
        <w:rPr>
          <w:b/>
          <w:noProof w:val="0"/>
          <w:color w:val="000000" w:themeColor="text1"/>
          <w:lang w:val="en-US"/>
        </w:rPr>
        <w:t>DISCLOSURES</w:t>
      </w:r>
      <w:r w:rsidR="00182DE5" w:rsidRPr="000C3E96">
        <w:rPr>
          <w:b/>
          <w:bCs/>
          <w:noProof w:val="0"/>
          <w:color w:val="000000" w:themeColor="text1"/>
          <w:lang w:val="en-US"/>
        </w:rPr>
        <w:t>:</w:t>
      </w:r>
      <w:r w:rsidRPr="000C3E96">
        <w:rPr>
          <w:b/>
          <w:bCs/>
          <w:noProof w:val="0"/>
          <w:color w:val="000000" w:themeColor="text1"/>
          <w:lang w:val="en-US"/>
        </w:rPr>
        <w:t xml:space="preserve"> </w:t>
      </w:r>
    </w:p>
    <w:p w14:paraId="6F3837BC" w14:textId="25DC3B6D" w:rsidR="00260252" w:rsidRPr="000C3E96" w:rsidRDefault="00182DE5" w:rsidP="00F16CB6">
      <w:pPr>
        <w:outlineLvl w:val="0"/>
        <w:rPr>
          <w:noProof w:val="0"/>
          <w:color w:val="000000" w:themeColor="text1"/>
          <w:lang w:val="en-US"/>
        </w:rPr>
      </w:pPr>
      <w:r w:rsidRPr="000C3E96">
        <w:rPr>
          <w:noProof w:val="0"/>
          <w:color w:val="000000" w:themeColor="text1"/>
          <w:lang w:val="en-US"/>
        </w:rPr>
        <w:t>The authors have nothing to disclose.</w:t>
      </w:r>
    </w:p>
    <w:p w14:paraId="5ABF26D3" w14:textId="77777777" w:rsidR="00260252" w:rsidRPr="000C3E96" w:rsidRDefault="00260252">
      <w:pPr>
        <w:rPr>
          <w:noProof w:val="0"/>
          <w:color w:val="000000" w:themeColor="text1"/>
          <w:lang w:val="en-US"/>
        </w:rPr>
      </w:pPr>
    </w:p>
    <w:p w14:paraId="72414C7C" w14:textId="7FFE125C" w:rsidR="00260252" w:rsidRPr="001F16EC" w:rsidRDefault="00260252" w:rsidP="00F16CB6">
      <w:pPr>
        <w:outlineLvl w:val="0"/>
        <w:rPr>
          <w:noProof w:val="0"/>
          <w:color w:val="auto"/>
          <w:lang w:val="en-US"/>
        </w:rPr>
      </w:pPr>
      <w:r w:rsidRPr="001F16EC">
        <w:rPr>
          <w:b/>
          <w:bCs/>
          <w:noProof w:val="0"/>
          <w:color w:val="auto"/>
          <w:lang w:val="en-US"/>
        </w:rPr>
        <w:t>REFERENCES:</w:t>
      </w:r>
    </w:p>
    <w:p w14:paraId="00C682E9" w14:textId="5CBFE96C" w:rsidR="00C1675A" w:rsidRPr="00900F5E" w:rsidRDefault="008D10EC" w:rsidP="00C1675A">
      <w:pPr>
        <w:autoSpaceDE w:val="0"/>
        <w:autoSpaceDN w:val="0"/>
        <w:adjustRightInd w:val="0"/>
        <w:ind w:left="640" w:hanging="640"/>
        <w:rPr>
          <w:rFonts w:cs="Times New Roman"/>
          <w:lang w:val="en-US"/>
        </w:rPr>
      </w:pPr>
      <w:r w:rsidRPr="001F16EC">
        <w:rPr>
          <w:b/>
          <w:noProof w:val="0"/>
          <w:color w:val="auto"/>
          <w:lang w:val="en-US"/>
        </w:rPr>
        <w:fldChar w:fldCharType="begin" w:fldLock="1"/>
      </w:r>
      <w:r w:rsidRPr="001F16EC">
        <w:rPr>
          <w:b/>
          <w:noProof w:val="0"/>
          <w:color w:val="auto"/>
          <w:lang w:val="en-US"/>
        </w:rPr>
        <w:instrText xml:space="preserve">ADDIN Mendeley Bibliography CSL_BIBLIOGRAPHY </w:instrText>
      </w:r>
      <w:r w:rsidRPr="001F16EC">
        <w:rPr>
          <w:b/>
          <w:noProof w:val="0"/>
          <w:color w:val="auto"/>
          <w:lang w:val="en-US"/>
        </w:rPr>
        <w:fldChar w:fldCharType="separate"/>
      </w:r>
      <w:r w:rsidR="00C1675A" w:rsidRPr="00900F5E">
        <w:rPr>
          <w:rFonts w:cs="Times New Roman"/>
          <w:lang w:val="en-US"/>
        </w:rPr>
        <w:t>1.</w:t>
      </w:r>
      <w:r w:rsidR="00C1675A" w:rsidRPr="00900F5E">
        <w:rPr>
          <w:rFonts w:cs="Times New Roman"/>
          <w:lang w:val="en-US"/>
        </w:rPr>
        <w:tab/>
        <w:t>The Global Dementia Observatory Reference Guide World Health Organization. at &lt;http://apps.who.int/bookorders&gt; (2018).</w:t>
      </w:r>
    </w:p>
    <w:p w14:paraId="5A98E4EF" w14:textId="77777777" w:rsidR="00C1675A" w:rsidRPr="00900F5E" w:rsidRDefault="00C1675A" w:rsidP="00C1675A">
      <w:pPr>
        <w:autoSpaceDE w:val="0"/>
        <w:autoSpaceDN w:val="0"/>
        <w:adjustRightInd w:val="0"/>
        <w:ind w:left="640" w:hanging="640"/>
        <w:rPr>
          <w:rFonts w:cs="Times New Roman"/>
          <w:lang w:val="en-US"/>
        </w:rPr>
      </w:pPr>
      <w:r w:rsidRPr="00C1675A">
        <w:rPr>
          <w:rFonts w:cs="Times New Roman"/>
        </w:rPr>
        <w:t>2.</w:t>
      </w:r>
      <w:r w:rsidRPr="00C1675A">
        <w:rPr>
          <w:rFonts w:cs="Times New Roman"/>
        </w:rPr>
        <w:tab/>
        <w:t xml:space="preserve">Kasper, B.S. </w:t>
      </w:r>
      <w:r w:rsidRPr="00C1675A">
        <w:rPr>
          <w:rFonts w:cs="Times New Roman"/>
          <w:i/>
          <w:iCs/>
        </w:rPr>
        <w:t>et al.</w:t>
      </w:r>
      <w:r w:rsidRPr="00C1675A">
        <w:rPr>
          <w:rFonts w:cs="Times New Roman"/>
        </w:rPr>
        <w:t xml:space="preserve"> </w:t>
      </w:r>
      <w:r w:rsidRPr="00900F5E">
        <w:rPr>
          <w:rFonts w:cs="Times New Roman"/>
          <w:lang w:val="en-US"/>
        </w:rPr>
        <w:t xml:space="preserve">Neuropathology of epilepsy and psychosis: the contributions of J.A.N. Corsellis. </w:t>
      </w:r>
      <w:r w:rsidRPr="00900F5E">
        <w:rPr>
          <w:rFonts w:cs="Times New Roman"/>
          <w:i/>
          <w:iCs/>
          <w:lang w:val="en-US"/>
        </w:rPr>
        <w:t>Brain : a journal of neurology</w:t>
      </w:r>
      <w:r w:rsidRPr="00900F5E">
        <w:rPr>
          <w:rFonts w:cs="Times New Roman"/>
          <w:lang w:val="en-US"/>
        </w:rPr>
        <w:t xml:space="preserve">. </w:t>
      </w:r>
      <w:r w:rsidRPr="00900F5E">
        <w:rPr>
          <w:rFonts w:cs="Times New Roman"/>
          <w:b/>
          <w:bCs/>
          <w:lang w:val="en-US"/>
        </w:rPr>
        <w:t>133</w:t>
      </w:r>
      <w:r w:rsidRPr="00900F5E">
        <w:rPr>
          <w:rFonts w:cs="Times New Roman"/>
          <w:lang w:val="en-US"/>
        </w:rPr>
        <w:t xml:space="preserve"> (Pt 12), 3795–805 (2010).</w:t>
      </w:r>
    </w:p>
    <w:p w14:paraId="369378D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w:t>
      </w:r>
      <w:r w:rsidRPr="00900F5E">
        <w:rPr>
          <w:rFonts w:cs="Times New Roman"/>
          <w:lang w:val="en-US"/>
        </w:rPr>
        <w:tab/>
        <w:t xml:space="preserve">Overy C, T.E.M. </w:t>
      </w:r>
      <w:r w:rsidRPr="00900F5E">
        <w:rPr>
          <w:rFonts w:cs="Times New Roman"/>
          <w:i/>
          <w:iCs/>
          <w:lang w:val="en-US"/>
        </w:rPr>
        <w:t>The development of brain banks in the UK c.1970–c.2010</w:t>
      </w:r>
      <w:r w:rsidRPr="00900F5E">
        <w:rPr>
          <w:rFonts w:cs="Times New Roman"/>
          <w:lang w:val="en-US"/>
        </w:rPr>
        <w:t>. at &lt;www.histmodbiomed.org&gt;. (2013).</w:t>
      </w:r>
    </w:p>
    <w:p w14:paraId="528EE6F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w:t>
      </w:r>
      <w:r w:rsidRPr="00900F5E">
        <w:rPr>
          <w:rFonts w:cs="Times New Roman"/>
          <w:lang w:val="en-US"/>
        </w:rPr>
        <w:tab/>
        <w:t xml:space="preserve">Tourtellotte, W.W., Itabashi, H.H., Rosario, I., Berman, K. The National Neurological </w:t>
      </w:r>
      <w:r w:rsidRPr="00900F5E">
        <w:rPr>
          <w:rFonts w:cs="Times New Roman"/>
          <w:lang w:val="en-US"/>
        </w:rPr>
        <w:lastRenderedPageBreak/>
        <w:t xml:space="preserve">Research Bank. A collection of cryopreserved human neurological specimens for neuroscientists. </w:t>
      </w:r>
      <w:r w:rsidRPr="00900F5E">
        <w:rPr>
          <w:rFonts w:cs="Times New Roman"/>
          <w:i/>
          <w:iCs/>
          <w:lang w:val="en-US"/>
        </w:rPr>
        <w:t>Annals of the New York Academy of Sciences</w:t>
      </w:r>
      <w:r w:rsidRPr="00900F5E">
        <w:rPr>
          <w:rFonts w:cs="Times New Roman"/>
          <w:lang w:val="en-US"/>
        </w:rPr>
        <w:t xml:space="preserve">. </w:t>
      </w:r>
      <w:r w:rsidRPr="00900F5E">
        <w:rPr>
          <w:rFonts w:cs="Times New Roman"/>
          <w:b/>
          <w:bCs/>
          <w:lang w:val="en-US"/>
        </w:rPr>
        <w:t>436</w:t>
      </w:r>
      <w:r w:rsidRPr="00900F5E">
        <w:rPr>
          <w:rFonts w:cs="Times New Roman"/>
          <w:lang w:val="en-US"/>
        </w:rPr>
        <w:t>, 513–6 (1984).</w:t>
      </w:r>
    </w:p>
    <w:p w14:paraId="4F400B1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w:t>
      </w:r>
      <w:r w:rsidRPr="00900F5E">
        <w:rPr>
          <w:rFonts w:cs="Times New Roman"/>
          <w:lang w:val="en-US"/>
        </w:rPr>
        <w:tab/>
        <w:t xml:space="preserve">Tourtellotte, W.W., Rosario, I.P., Conrad, A., Syndulko, K. Human neuro-specimen banking 1961-1992. The National Neurological Research Specimen Bank (a donor program of pre- and post-mortem tissues and cerebrospinal fluid/blood; and a collection of cryopreserved human neurological specimens for neuroscientists). </w:t>
      </w:r>
      <w:r w:rsidRPr="00900F5E">
        <w:rPr>
          <w:rFonts w:cs="Times New Roman"/>
          <w:i/>
          <w:iCs/>
          <w:lang w:val="en-US"/>
        </w:rPr>
        <w:t>Journal of neural transmission. Supplementum</w:t>
      </w:r>
      <w:r w:rsidRPr="00900F5E">
        <w:rPr>
          <w:rFonts w:cs="Times New Roman"/>
          <w:lang w:val="en-US"/>
        </w:rPr>
        <w:t xml:space="preserve">. </w:t>
      </w:r>
      <w:r w:rsidRPr="00900F5E">
        <w:rPr>
          <w:rFonts w:cs="Times New Roman"/>
          <w:b/>
          <w:bCs/>
          <w:lang w:val="en-US"/>
        </w:rPr>
        <w:t>39</w:t>
      </w:r>
      <w:r w:rsidRPr="00900F5E">
        <w:rPr>
          <w:rFonts w:cs="Times New Roman"/>
          <w:lang w:val="en-US"/>
        </w:rPr>
        <w:t>, 5–15 (1993).</w:t>
      </w:r>
    </w:p>
    <w:p w14:paraId="66F65E6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w:t>
      </w:r>
      <w:r w:rsidRPr="00900F5E">
        <w:rPr>
          <w:rFonts w:cs="Times New Roman"/>
          <w:lang w:val="en-US"/>
        </w:rPr>
        <w:tab/>
        <w:t xml:space="preserve">Carlos, A.F., Poloni, T.E., Medici, V., Chikhladze, M., Guaita, A., Ceroni, M. From brain collections to modern brain banks: A historical perspective. </w:t>
      </w:r>
      <w:r w:rsidRPr="00900F5E">
        <w:rPr>
          <w:rFonts w:cs="Times New Roman"/>
          <w:i/>
          <w:iCs/>
          <w:lang w:val="en-US"/>
        </w:rPr>
        <w:t>Alzheimer’s &amp; dementia (New York, N. Y.)</w:t>
      </w:r>
      <w:r w:rsidRPr="00900F5E">
        <w:rPr>
          <w:rFonts w:cs="Times New Roman"/>
          <w:lang w:val="en-US"/>
        </w:rPr>
        <w:t xml:space="preserve">. </w:t>
      </w:r>
      <w:r w:rsidRPr="00900F5E">
        <w:rPr>
          <w:rFonts w:cs="Times New Roman"/>
          <w:b/>
          <w:bCs/>
          <w:lang w:val="en-US"/>
        </w:rPr>
        <w:t>5</w:t>
      </w:r>
      <w:r w:rsidRPr="00900F5E">
        <w:rPr>
          <w:rFonts w:cs="Times New Roman"/>
          <w:lang w:val="en-US"/>
        </w:rPr>
        <w:t>, 52–60 (2019).</w:t>
      </w:r>
    </w:p>
    <w:p w14:paraId="148F6DB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w:t>
      </w:r>
      <w:r w:rsidRPr="00900F5E">
        <w:rPr>
          <w:rFonts w:cs="Times New Roman"/>
          <w:lang w:val="en-US"/>
        </w:rPr>
        <w:tab/>
        <w:t xml:space="preserve">Szymański, P., Markowicz, M., Janik, A., Ciesielski, M., Mikiciuk-Olasik, E. Neuroimaging diagnosis in neurodegenerative diseases. </w:t>
      </w:r>
      <w:r w:rsidRPr="00900F5E">
        <w:rPr>
          <w:rFonts w:cs="Times New Roman"/>
          <w:i/>
          <w:iCs/>
          <w:lang w:val="en-US"/>
        </w:rPr>
        <w:t>Nuclear medicine review. Central &amp; Eastern Europe</w:t>
      </w:r>
      <w:r w:rsidRPr="00900F5E">
        <w:rPr>
          <w:rFonts w:cs="Times New Roman"/>
          <w:lang w:val="en-US"/>
        </w:rPr>
        <w:t xml:space="preserve">. </w:t>
      </w:r>
      <w:r w:rsidRPr="00900F5E">
        <w:rPr>
          <w:rFonts w:cs="Times New Roman"/>
          <w:b/>
          <w:bCs/>
          <w:lang w:val="en-US"/>
        </w:rPr>
        <w:t>13</w:t>
      </w:r>
      <w:r w:rsidRPr="00900F5E">
        <w:rPr>
          <w:rFonts w:cs="Times New Roman"/>
          <w:lang w:val="en-US"/>
        </w:rPr>
        <w:t xml:space="preserve"> (1), 23–31 (2010).</w:t>
      </w:r>
    </w:p>
    <w:p w14:paraId="5D716524"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w:t>
      </w:r>
      <w:r w:rsidRPr="00900F5E">
        <w:rPr>
          <w:rFonts w:cs="Times New Roman"/>
          <w:lang w:val="en-US"/>
        </w:rPr>
        <w:tab/>
        <w:t xml:space="preserve">Nowak, D., Hofmann, W.-K., Koeffler, H.P. Genome-Wide Mapping Of Copy Number Variations using SNP Arrays. </w:t>
      </w:r>
      <w:r w:rsidRPr="00900F5E">
        <w:rPr>
          <w:rFonts w:cs="Times New Roman"/>
          <w:i/>
          <w:iCs/>
          <w:lang w:val="en-US"/>
        </w:rPr>
        <w:t>Transfusion Medicine and Hemotherapy</w:t>
      </w:r>
      <w:r w:rsidRPr="00900F5E">
        <w:rPr>
          <w:rFonts w:cs="Times New Roman"/>
          <w:lang w:val="en-US"/>
        </w:rPr>
        <w:t xml:space="preserve">. </w:t>
      </w:r>
      <w:r w:rsidRPr="00900F5E">
        <w:rPr>
          <w:rFonts w:cs="Times New Roman"/>
          <w:b/>
          <w:bCs/>
          <w:lang w:val="en-US"/>
        </w:rPr>
        <w:t>36</w:t>
      </w:r>
      <w:r w:rsidRPr="00900F5E">
        <w:rPr>
          <w:rFonts w:cs="Times New Roman"/>
          <w:lang w:val="en-US"/>
        </w:rPr>
        <w:t xml:space="preserve"> (4), 246–251 (2009).</w:t>
      </w:r>
    </w:p>
    <w:p w14:paraId="6241F77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9.</w:t>
      </w:r>
      <w:r w:rsidRPr="00900F5E">
        <w:rPr>
          <w:rFonts w:cs="Times New Roman"/>
          <w:lang w:val="en-US"/>
        </w:rPr>
        <w:tab/>
        <w:t xml:space="preserve">Bush, W.S., Moore, J.H. Chapter 11: Genome-wide association studies. </w:t>
      </w:r>
      <w:r w:rsidRPr="00900F5E">
        <w:rPr>
          <w:rFonts w:cs="Times New Roman"/>
          <w:i/>
          <w:iCs/>
          <w:lang w:val="en-US"/>
        </w:rPr>
        <w:t>PLoS computational biology</w:t>
      </w:r>
      <w:r w:rsidRPr="00900F5E">
        <w:rPr>
          <w:rFonts w:cs="Times New Roman"/>
          <w:lang w:val="en-US"/>
        </w:rPr>
        <w:t xml:space="preserve">. </w:t>
      </w:r>
      <w:r w:rsidRPr="00900F5E">
        <w:rPr>
          <w:rFonts w:cs="Times New Roman"/>
          <w:b/>
          <w:bCs/>
          <w:lang w:val="en-US"/>
        </w:rPr>
        <w:t>8</w:t>
      </w:r>
      <w:r w:rsidRPr="00900F5E">
        <w:rPr>
          <w:rFonts w:cs="Times New Roman"/>
          <w:lang w:val="en-US"/>
        </w:rPr>
        <w:t xml:space="preserve"> (12), e1002822 (2012).</w:t>
      </w:r>
    </w:p>
    <w:p w14:paraId="17C02EF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10.</w:t>
      </w:r>
      <w:r w:rsidRPr="00900F5E">
        <w:rPr>
          <w:rFonts w:cs="Times New Roman"/>
          <w:lang w:val="en-US"/>
        </w:rPr>
        <w:tab/>
        <w:t xml:space="preserve">Dirks, R.A.M., Stunnenberg, H.G., Marks, H. Genome-wide epigenomic profiling for biomarker discovery. </w:t>
      </w:r>
      <w:r w:rsidRPr="00900F5E">
        <w:rPr>
          <w:rFonts w:cs="Times New Roman"/>
          <w:i/>
          <w:iCs/>
          <w:lang w:val="en-US"/>
        </w:rPr>
        <w:t>Clinical epigenetics</w:t>
      </w:r>
      <w:r w:rsidRPr="00900F5E">
        <w:rPr>
          <w:rFonts w:cs="Times New Roman"/>
          <w:lang w:val="en-US"/>
        </w:rPr>
        <w:t xml:space="preserve">. </w:t>
      </w:r>
      <w:r w:rsidRPr="00900F5E">
        <w:rPr>
          <w:rFonts w:cs="Times New Roman"/>
          <w:b/>
          <w:bCs/>
          <w:lang w:val="en-US"/>
        </w:rPr>
        <w:t>8</w:t>
      </w:r>
      <w:r w:rsidRPr="00900F5E">
        <w:rPr>
          <w:rFonts w:cs="Times New Roman"/>
          <w:lang w:val="en-US"/>
        </w:rPr>
        <w:t xml:space="preserve"> (1), 122 (2016).</w:t>
      </w:r>
    </w:p>
    <w:p w14:paraId="42D7325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11.</w:t>
      </w:r>
      <w:r w:rsidRPr="00900F5E">
        <w:rPr>
          <w:rFonts w:cs="Times New Roman"/>
          <w:lang w:val="en-US"/>
        </w:rPr>
        <w:tab/>
        <w:t xml:space="preserve">Felsenfeld, G. A Brief History of Epigenetics. </w:t>
      </w:r>
      <w:r w:rsidRPr="00900F5E">
        <w:rPr>
          <w:rFonts w:cs="Times New Roman"/>
          <w:i/>
          <w:iCs/>
          <w:lang w:val="en-US"/>
        </w:rPr>
        <w:t>Cold Spring Harbor Perspectives in Biology</w:t>
      </w:r>
      <w:r w:rsidRPr="00900F5E">
        <w:rPr>
          <w:rFonts w:cs="Times New Roman"/>
          <w:lang w:val="en-US"/>
        </w:rPr>
        <w:t xml:space="preserve">. </w:t>
      </w:r>
      <w:r w:rsidRPr="00900F5E">
        <w:rPr>
          <w:rFonts w:cs="Times New Roman"/>
          <w:b/>
          <w:bCs/>
          <w:lang w:val="en-US"/>
        </w:rPr>
        <w:t>6</w:t>
      </w:r>
      <w:r w:rsidRPr="00900F5E">
        <w:rPr>
          <w:rFonts w:cs="Times New Roman"/>
          <w:lang w:val="en-US"/>
        </w:rPr>
        <w:t xml:space="preserve"> (1), a018200–a018200, doi: 10.1101/cshperspect.a018200 (2014).</w:t>
      </w:r>
    </w:p>
    <w:p w14:paraId="54B327A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12.</w:t>
      </w:r>
      <w:r w:rsidRPr="00900F5E">
        <w:rPr>
          <w:rFonts w:cs="Times New Roman"/>
          <w:lang w:val="en-US"/>
        </w:rPr>
        <w:tab/>
        <w:t xml:space="preserve">Cogswell, J.P. </w:t>
      </w:r>
      <w:r w:rsidRPr="00900F5E">
        <w:rPr>
          <w:rFonts w:cs="Times New Roman"/>
          <w:i/>
          <w:iCs/>
          <w:lang w:val="en-US"/>
        </w:rPr>
        <w:t>et al.</w:t>
      </w:r>
      <w:r w:rsidRPr="00900F5E">
        <w:rPr>
          <w:rFonts w:cs="Times New Roman"/>
          <w:lang w:val="en-US"/>
        </w:rPr>
        <w:t xml:space="preserve"> Identification of miRNA Changes in Alzheimer’s Disease Brain and CSF Yields Putative Biomarkers and Insights into Disease Pathways. </w:t>
      </w:r>
      <w:r w:rsidRPr="00900F5E">
        <w:rPr>
          <w:rFonts w:cs="Times New Roman"/>
          <w:i/>
          <w:iCs/>
          <w:lang w:val="en-US"/>
        </w:rPr>
        <w:t>Journal of Alzheimer’s Disease</w:t>
      </w:r>
      <w:r w:rsidRPr="00900F5E">
        <w:rPr>
          <w:rFonts w:cs="Times New Roman"/>
          <w:lang w:val="en-US"/>
        </w:rPr>
        <w:t xml:space="preserve">. </w:t>
      </w:r>
      <w:r w:rsidRPr="00900F5E">
        <w:rPr>
          <w:rFonts w:cs="Times New Roman"/>
          <w:b/>
          <w:bCs/>
          <w:lang w:val="en-US"/>
        </w:rPr>
        <w:t>14</w:t>
      </w:r>
      <w:r w:rsidRPr="00900F5E">
        <w:rPr>
          <w:rFonts w:cs="Times New Roman"/>
          <w:lang w:val="en-US"/>
        </w:rPr>
        <w:t xml:space="preserve"> (1), 27–41 (2008).</w:t>
      </w:r>
    </w:p>
    <w:p w14:paraId="7805B2D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13.</w:t>
      </w:r>
      <w:r w:rsidRPr="00900F5E">
        <w:rPr>
          <w:rFonts w:cs="Times New Roman"/>
          <w:lang w:val="en-US"/>
        </w:rPr>
        <w:tab/>
        <w:t xml:space="preserve">Lau, P. </w:t>
      </w:r>
      <w:r w:rsidRPr="00900F5E">
        <w:rPr>
          <w:rFonts w:cs="Times New Roman"/>
          <w:i/>
          <w:iCs/>
          <w:lang w:val="en-US"/>
        </w:rPr>
        <w:t>et al.</w:t>
      </w:r>
      <w:r w:rsidRPr="00900F5E">
        <w:rPr>
          <w:rFonts w:cs="Times New Roman"/>
          <w:lang w:val="en-US"/>
        </w:rPr>
        <w:t xml:space="preserve"> Alteration of the microRNA network during the progression of Alzheimer’s disease. </w:t>
      </w:r>
      <w:r w:rsidRPr="00900F5E">
        <w:rPr>
          <w:rFonts w:cs="Times New Roman"/>
          <w:i/>
          <w:iCs/>
          <w:lang w:val="en-US"/>
        </w:rPr>
        <w:t>EMBO molecular medicine</w:t>
      </w:r>
      <w:r w:rsidRPr="00900F5E">
        <w:rPr>
          <w:rFonts w:cs="Times New Roman"/>
          <w:lang w:val="en-US"/>
        </w:rPr>
        <w:t xml:space="preserve">. </w:t>
      </w:r>
      <w:r w:rsidRPr="00900F5E">
        <w:rPr>
          <w:rFonts w:cs="Times New Roman"/>
          <w:b/>
          <w:bCs/>
          <w:lang w:val="en-US"/>
        </w:rPr>
        <w:t>5</w:t>
      </w:r>
      <w:r w:rsidRPr="00900F5E">
        <w:rPr>
          <w:rFonts w:cs="Times New Roman"/>
          <w:lang w:val="en-US"/>
        </w:rPr>
        <w:t xml:space="preserve"> (10), 1613–34 (2013).</w:t>
      </w:r>
    </w:p>
    <w:p w14:paraId="0DAA0B1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14.</w:t>
      </w:r>
      <w:r w:rsidRPr="00900F5E">
        <w:rPr>
          <w:rFonts w:cs="Times New Roman"/>
          <w:lang w:val="en-US"/>
        </w:rPr>
        <w:tab/>
        <w:t xml:space="preserve">Lowe, R., Shirley, N., Bleackley, M., Dolan, S., Shafee, T. Transcriptomics technologies. </w:t>
      </w:r>
      <w:r w:rsidRPr="00900F5E">
        <w:rPr>
          <w:rFonts w:cs="Times New Roman"/>
          <w:i/>
          <w:iCs/>
          <w:lang w:val="en-US"/>
        </w:rPr>
        <w:t>PLoS computational biology</w:t>
      </w:r>
      <w:r w:rsidRPr="00900F5E">
        <w:rPr>
          <w:rFonts w:cs="Times New Roman"/>
          <w:lang w:val="en-US"/>
        </w:rPr>
        <w:t xml:space="preserve">. </w:t>
      </w:r>
      <w:r w:rsidRPr="00900F5E">
        <w:rPr>
          <w:rFonts w:cs="Times New Roman"/>
          <w:b/>
          <w:bCs/>
          <w:lang w:val="en-US"/>
        </w:rPr>
        <w:t>13</w:t>
      </w:r>
      <w:r w:rsidRPr="00900F5E">
        <w:rPr>
          <w:rFonts w:cs="Times New Roman"/>
          <w:lang w:val="en-US"/>
        </w:rPr>
        <w:t xml:space="preserve"> (5), e1005457 (2017).</w:t>
      </w:r>
    </w:p>
    <w:p w14:paraId="4F7935D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15.</w:t>
      </w:r>
      <w:r w:rsidRPr="00900F5E">
        <w:rPr>
          <w:rFonts w:cs="Times New Roman"/>
          <w:lang w:val="en-US"/>
        </w:rPr>
        <w:tab/>
        <w:t xml:space="preserve">Simpson, J.E. </w:t>
      </w:r>
      <w:r w:rsidRPr="00900F5E">
        <w:rPr>
          <w:rFonts w:cs="Times New Roman"/>
          <w:i/>
          <w:iCs/>
          <w:lang w:val="en-US"/>
        </w:rPr>
        <w:t>et al.</w:t>
      </w:r>
      <w:r w:rsidRPr="00900F5E">
        <w:rPr>
          <w:rFonts w:cs="Times New Roman"/>
          <w:lang w:val="en-US"/>
        </w:rPr>
        <w:t xml:space="preserve"> Microarray analysis of the astrocyte transcriptome in the aging brain: relationship to Alzheimer’s pathology and APOE genotype.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32</w:t>
      </w:r>
      <w:r w:rsidRPr="00900F5E">
        <w:rPr>
          <w:rFonts w:cs="Times New Roman"/>
          <w:lang w:val="en-US"/>
        </w:rPr>
        <w:t xml:space="preserve"> (10), 1795–807 (2011).</w:t>
      </w:r>
    </w:p>
    <w:p w14:paraId="781479C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16.</w:t>
      </w:r>
      <w:r w:rsidRPr="00900F5E">
        <w:rPr>
          <w:rFonts w:cs="Times New Roman"/>
          <w:lang w:val="en-US"/>
        </w:rPr>
        <w:tab/>
        <w:t xml:space="preserve">Shevchenko, G., Konzer, A., Musunuri, S., Bergquist, J. Neuroproteomics tools in clinical practice. </w:t>
      </w:r>
      <w:r w:rsidRPr="00900F5E">
        <w:rPr>
          <w:rFonts w:cs="Times New Roman"/>
          <w:i/>
          <w:iCs/>
          <w:lang w:val="en-US"/>
        </w:rPr>
        <w:t>Biochimica et biophysica acta</w:t>
      </w:r>
      <w:r w:rsidRPr="00900F5E">
        <w:rPr>
          <w:rFonts w:cs="Times New Roman"/>
          <w:lang w:val="en-US"/>
        </w:rPr>
        <w:t xml:space="preserve">. </w:t>
      </w:r>
      <w:r w:rsidRPr="00900F5E">
        <w:rPr>
          <w:rFonts w:cs="Times New Roman"/>
          <w:b/>
          <w:bCs/>
          <w:lang w:val="en-US"/>
        </w:rPr>
        <w:t>1854</w:t>
      </w:r>
      <w:r w:rsidRPr="00900F5E">
        <w:rPr>
          <w:rFonts w:cs="Times New Roman"/>
          <w:lang w:val="en-US"/>
        </w:rPr>
        <w:t xml:space="preserve"> (7), 705–17 (2015).</w:t>
      </w:r>
    </w:p>
    <w:p w14:paraId="449102B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17.</w:t>
      </w:r>
      <w:r w:rsidRPr="00900F5E">
        <w:rPr>
          <w:rFonts w:cs="Times New Roman"/>
          <w:lang w:val="en-US"/>
        </w:rPr>
        <w:tab/>
        <w:t xml:space="preserve">Patterson, S.D. Proteomics: evolution of the technology. </w:t>
      </w:r>
      <w:r w:rsidRPr="00900F5E">
        <w:rPr>
          <w:rFonts w:cs="Times New Roman"/>
          <w:i/>
          <w:iCs/>
          <w:lang w:val="en-US"/>
        </w:rPr>
        <w:t>BioTechniques</w:t>
      </w:r>
      <w:r w:rsidRPr="00900F5E">
        <w:rPr>
          <w:rFonts w:cs="Times New Roman"/>
          <w:lang w:val="en-US"/>
        </w:rPr>
        <w:t xml:space="preserve">. </w:t>
      </w:r>
      <w:r w:rsidRPr="00900F5E">
        <w:rPr>
          <w:rFonts w:cs="Times New Roman"/>
          <w:b/>
          <w:bCs/>
          <w:lang w:val="en-US"/>
        </w:rPr>
        <w:t>35</w:t>
      </w:r>
      <w:r w:rsidRPr="00900F5E">
        <w:rPr>
          <w:rFonts w:cs="Times New Roman"/>
          <w:lang w:val="en-US"/>
        </w:rPr>
        <w:t xml:space="preserve"> (3), 440–4 (2003).</w:t>
      </w:r>
    </w:p>
    <w:p w14:paraId="0A20FEB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18.</w:t>
      </w:r>
      <w:r w:rsidRPr="00900F5E">
        <w:rPr>
          <w:rFonts w:cs="Times New Roman"/>
          <w:lang w:val="en-US"/>
        </w:rPr>
        <w:tab/>
        <w:t xml:space="preserve">Paraizo Leite, R.E., Tenenholz Grinberg, L. Closing the gap between brain banks and proteomics to advance the study of neurodegenerative diseases. </w:t>
      </w:r>
      <w:r w:rsidRPr="00900F5E">
        <w:rPr>
          <w:rFonts w:cs="Times New Roman"/>
          <w:i/>
          <w:iCs/>
          <w:lang w:val="en-US"/>
        </w:rPr>
        <w:t>Proteomics. Clinical applications</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(9–10), 832–7 (2015).</w:t>
      </w:r>
    </w:p>
    <w:p w14:paraId="2ED8981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19.</w:t>
      </w:r>
      <w:r w:rsidRPr="00900F5E">
        <w:rPr>
          <w:rFonts w:cs="Times New Roman"/>
          <w:lang w:val="en-US"/>
        </w:rPr>
        <w:tab/>
        <w:t xml:space="preserve">Giacomelli, C., Daniele, S., Martini, C. Potential biomarkers and novel pharmacological targets in protein aggregation-related neurodegenerative diseases. </w:t>
      </w:r>
      <w:r w:rsidRPr="00900F5E">
        <w:rPr>
          <w:rFonts w:cs="Times New Roman"/>
          <w:i/>
          <w:iCs/>
          <w:lang w:val="en-US"/>
        </w:rPr>
        <w:t>Biochemical Pharmacology</w:t>
      </w:r>
      <w:r w:rsidRPr="00900F5E">
        <w:rPr>
          <w:rFonts w:cs="Times New Roman"/>
          <w:lang w:val="en-US"/>
        </w:rPr>
        <w:t xml:space="preserve">. </w:t>
      </w:r>
      <w:r w:rsidRPr="00900F5E">
        <w:rPr>
          <w:rFonts w:cs="Times New Roman"/>
          <w:b/>
          <w:bCs/>
          <w:lang w:val="en-US"/>
        </w:rPr>
        <w:t>131</w:t>
      </w:r>
      <w:r w:rsidRPr="00900F5E">
        <w:rPr>
          <w:rFonts w:cs="Times New Roman"/>
          <w:lang w:val="en-US"/>
        </w:rPr>
        <w:t>, 1–15 (2017).</w:t>
      </w:r>
    </w:p>
    <w:p w14:paraId="464F432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20.</w:t>
      </w:r>
      <w:r w:rsidRPr="00900F5E">
        <w:rPr>
          <w:rFonts w:cs="Times New Roman"/>
          <w:lang w:val="en-US"/>
        </w:rPr>
        <w:tab/>
        <w:t xml:space="preserve">Faghihi, M.A., Mottagui-Tabar, S., Wahlestedt, C. Genetics of neurological disorders. </w:t>
      </w:r>
      <w:r w:rsidRPr="00900F5E">
        <w:rPr>
          <w:rFonts w:cs="Times New Roman"/>
          <w:i/>
          <w:iCs/>
          <w:lang w:val="en-US"/>
        </w:rPr>
        <w:t>Expert review of molecular diagnostics</w:t>
      </w:r>
      <w:r w:rsidRPr="00900F5E">
        <w:rPr>
          <w:rFonts w:cs="Times New Roman"/>
          <w:lang w:val="en-US"/>
        </w:rPr>
        <w:t xml:space="preserve">. </w:t>
      </w:r>
      <w:r w:rsidRPr="00900F5E">
        <w:rPr>
          <w:rFonts w:cs="Times New Roman"/>
          <w:b/>
          <w:bCs/>
          <w:lang w:val="en-US"/>
        </w:rPr>
        <w:t>4</w:t>
      </w:r>
      <w:r w:rsidRPr="00900F5E">
        <w:rPr>
          <w:rFonts w:cs="Times New Roman"/>
          <w:lang w:val="en-US"/>
        </w:rPr>
        <w:t xml:space="preserve"> (3), 317–32 (2004).</w:t>
      </w:r>
    </w:p>
    <w:p w14:paraId="69D0341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21.</w:t>
      </w:r>
      <w:r w:rsidRPr="00900F5E">
        <w:rPr>
          <w:rFonts w:cs="Times New Roman"/>
          <w:lang w:val="en-US"/>
        </w:rPr>
        <w:tab/>
        <w:t xml:space="preserve">Toft, M. Advances in genetic diagnosis of neurological disorders. </w:t>
      </w:r>
      <w:r w:rsidRPr="00900F5E">
        <w:rPr>
          <w:rFonts w:cs="Times New Roman"/>
          <w:i/>
          <w:iCs/>
          <w:lang w:val="en-US"/>
        </w:rPr>
        <w:t>Acta Neurologica Scandinavica</w:t>
      </w:r>
      <w:r w:rsidRPr="00900F5E">
        <w:rPr>
          <w:rFonts w:cs="Times New Roman"/>
          <w:lang w:val="en-US"/>
        </w:rPr>
        <w:t xml:space="preserve">. </w:t>
      </w:r>
      <w:r w:rsidRPr="00900F5E">
        <w:rPr>
          <w:rFonts w:cs="Times New Roman"/>
          <w:b/>
          <w:bCs/>
          <w:lang w:val="en-US"/>
        </w:rPr>
        <w:t>129</w:t>
      </w:r>
      <w:r w:rsidRPr="00900F5E">
        <w:rPr>
          <w:rFonts w:cs="Times New Roman"/>
          <w:lang w:val="en-US"/>
        </w:rPr>
        <w:t>, 20–25 (2014).</w:t>
      </w:r>
    </w:p>
    <w:p w14:paraId="736B390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22.</w:t>
      </w:r>
      <w:r w:rsidRPr="00900F5E">
        <w:rPr>
          <w:rFonts w:cs="Times New Roman"/>
          <w:lang w:val="en-US"/>
        </w:rPr>
        <w:tab/>
        <w:t>Kumar, D., Weatherall, D.J. Genomics and clinical medicine. 651 (2008).</w:t>
      </w:r>
    </w:p>
    <w:p w14:paraId="7377F093"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23.</w:t>
      </w:r>
      <w:r w:rsidRPr="00900F5E">
        <w:rPr>
          <w:rFonts w:cs="Times New Roman"/>
          <w:lang w:val="en-US"/>
        </w:rPr>
        <w:tab/>
        <w:t xml:space="preserve">Han, G., Sun, J., Wang, J., Bai, Z., Song, F., Lei, H. Genomics in Neurological Disorders. </w:t>
      </w:r>
      <w:r w:rsidRPr="00900F5E">
        <w:rPr>
          <w:rFonts w:cs="Times New Roman"/>
          <w:i/>
          <w:iCs/>
          <w:lang w:val="en-US"/>
        </w:rPr>
        <w:t>Genomics, Proteomics &amp; Bioinformatics</w:t>
      </w:r>
      <w:r w:rsidRPr="00900F5E">
        <w:rPr>
          <w:rFonts w:cs="Times New Roman"/>
          <w:lang w:val="en-US"/>
        </w:rPr>
        <w:t xml:space="preserve">. </w:t>
      </w:r>
      <w:r w:rsidRPr="00900F5E">
        <w:rPr>
          <w:rFonts w:cs="Times New Roman"/>
          <w:b/>
          <w:bCs/>
          <w:lang w:val="en-US"/>
        </w:rPr>
        <w:t>12</w:t>
      </w:r>
      <w:r w:rsidRPr="00900F5E">
        <w:rPr>
          <w:rFonts w:cs="Times New Roman"/>
          <w:lang w:val="en-US"/>
        </w:rPr>
        <w:t xml:space="preserve"> (4), 156–163 (2014).</w:t>
      </w:r>
    </w:p>
    <w:p w14:paraId="5B551D3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24.</w:t>
      </w:r>
      <w:r w:rsidRPr="00900F5E">
        <w:rPr>
          <w:rFonts w:cs="Times New Roman"/>
          <w:lang w:val="en-US"/>
        </w:rPr>
        <w:tab/>
        <w:t xml:space="preserve">Gere, C. A Brief History of Brain Archiving. </w:t>
      </w:r>
      <w:r w:rsidRPr="00900F5E">
        <w:rPr>
          <w:rFonts w:cs="Times New Roman"/>
          <w:i/>
          <w:iCs/>
          <w:lang w:val="en-US"/>
        </w:rPr>
        <w:t>Journal of the History of the Neurosciences</w:t>
      </w:r>
      <w:r w:rsidRPr="00900F5E">
        <w:rPr>
          <w:rFonts w:cs="Times New Roman"/>
          <w:lang w:val="en-US"/>
        </w:rPr>
        <w:t xml:space="preserve">. </w:t>
      </w:r>
      <w:r w:rsidRPr="00900F5E">
        <w:rPr>
          <w:rFonts w:cs="Times New Roman"/>
          <w:b/>
          <w:bCs/>
          <w:lang w:val="en-US"/>
        </w:rPr>
        <w:t>12</w:t>
      </w:r>
      <w:r w:rsidRPr="00900F5E">
        <w:rPr>
          <w:rFonts w:cs="Times New Roman"/>
          <w:lang w:val="en-US"/>
        </w:rPr>
        <w:t xml:space="preserve"> (4), 396–410 (2003).</w:t>
      </w:r>
    </w:p>
    <w:p w14:paraId="6B4F3493"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25.</w:t>
      </w:r>
      <w:r w:rsidRPr="00900F5E">
        <w:rPr>
          <w:rFonts w:cs="Times New Roman"/>
          <w:lang w:val="en-US"/>
        </w:rPr>
        <w:tab/>
        <w:t xml:space="preserve">Fratiglioni, L., Paillard-Borg, S., Winblad, B. An active and socially integrated lifestyle in late life might protect against dementia. </w:t>
      </w:r>
      <w:r w:rsidRPr="00900F5E">
        <w:rPr>
          <w:rFonts w:cs="Times New Roman"/>
          <w:i/>
          <w:iCs/>
          <w:lang w:val="en-US"/>
        </w:rPr>
        <w:t>Lancet neurology</w:t>
      </w:r>
      <w:r w:rsidRPr="00900F5E">
        <w:rPr>
          <w:rFonts w:cs="Times New Roman"/>
          <w:lang w:val="en-US"/>
        </w:rPr>
        <w:t xml:space="preserve">. </w:t>
      </w:r>
      <w:r w:rsidRPr="00900F5E">
        <w:rPr>
          <w:rFonts w:cs="Times New Roman"/>
          <w:b/>
          <w:bCs/>
          <w:lang w:val="en-US"/>
        </w:rPr>
        <w:t>3</w:t>
      </w:r>
      <w:r w:rsidRPr="00900F5E">
        <w:rPr>
          <w:rFonts w:cs="Times New Roman"/>
          <w:lang w:val="en-US"/>
        </w:rPr>
        <w:t xml:space="preserve"> (6), 343–353 (2004).</w:t>
      </w:r>
    </w:p>
    <w:p w14:paraId="58A0EAE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26.</w:t>
      </w:r>
      <w:r w:rsidRPr="00900F5E">
        <w:rPr>
          <w:rFonts w:cs="Times New Roman"/>
          <w:lang w:val="en-US"/>
        </w:rPr>
        <w:tab/>
        <w:t xml:space="preserve">Spartano, N.L. </w:t>
      </w:r>
      <w:r w:rsidRPr="00900F5E">
        <w:rPr>
          <w:rFonts w:cs="Times New Roman"/>
          <w:i/>
          <w:iCs/>
          <w:lang w:val="en-US"/>
        </w:rPr>
        <w:t>et al.</w:t>
      </w:r>
      <w:r w:rsidRPr="00900F5E">
        <w:rPr>
          <w:rFonts w:cs="Times New Roman"/>
          <w:lang w:val="en-US"/>
        </w:rPr>
        <w:t xml:space="preserve"> Association of Accelerometer-Measured Light-Intensity Physical Activity With Brain Volume. </w:t>
      </w:r>
      <w:r w:rsidRPr="00900F5E">
        <w:rPr>
          <w:rFonts w:cs="Times New Roman"/>
          <w:i/>
          <w:iCs/>
          <w:lang w:val="en-US"/>
        </w:rPr>
        <w:t>JAMA Network Open</w:t>
      </w:r>
      <w:r w:rsidRPr="00900F5E">
        <w:rPr>
          <w:rFonts w:cs="Times New Roman"/>
          <w:lang w:val="en-US"/>
        </w:rPr>
        <w:t xml:space="preserve">. </w:t>
      </w:r>
      <w:r w:rsidRPr="00900F5E">
        <w:rPr>
          <w:rFonts w:cs="Times New Roman"/>
          <w:b/>
          <w:bCs/>
          <w:lang w:val="en-US"/>
        </w:rPr>
        <w:t>2</w:t>
      </w:r>
      <w:r w:rsidRPr="00900F5E">
        <w:rPr>
          <w:rFonts w:cs="Times New Roman"/>
          <w:lang w:val="en-US"/>
        </w:rPr>
        <w:t xml:space="preserve"> (4), e192745 (2019).</w:t>
      </w:r>
    </w:p>
    <w:p w14:paraId="30618C2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27.</w:t>
      </w:r>
      <w:r w:rsidRPr="00900F5E">
        <w:rPr>
          <w:rFonts w:cs="Times New Roman"/>
          <w:lang w:val="en-US"/>
        </w:rPr>
        <w:tab/>
        <w:t xml:space="preserve">Bell, J.E. </w:t>
      </w:r>
      <w:r w:rsidRPr="00900F5E">
        <w:rPr>
          <w:rFonts w:cs="Times New Roman"/>
          <w:i/>
          <w:iCs/>
          <w:lang w:val="en-US"/>
        </w:rPr>
        <w:t>et al.</w:t>
      </w:r>
      <w:r w:rsidRPr="00900F5E">
        <w:rPr>
          <w:rFonts w:cs="Times New Roman"/>
          <w:lang w:val="en-US"/>
        </w:rPr>
        <w:t xml:space="preserve"> Management of a twenty-first century brain bank: experience in the BrainNet Europe consortium.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115</w:t>
      </w:r>
      <w:r w:rsidRPr="00900F5E">
        <w:rPr>
          <w:rFonts w:cs="Times New Roman"/>
          <w:lang w:val="en-US"/>
        </w:rPr>
        <w:t xml:space="preserve"> (5), 497–507 (2008).</w:t>
      </w:r>
    </w:p>
    <w:p w14:paraId="294A3F8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28.</w:t>
      </w:r>
      <w:r w:rsidRPr="00900F5E">
        <w:rPr>
          <w:rFonts w:cs="Times New Roman"/>
          <w:lang w:val="en-US"/>
        </w:rPr>
        <w:tab/>
        <w:t xml:space="preserve">Ravid, R., Park, Y. mok Brain banking in the twenty-first century: creative solutions and ongoing challenges. </w:t>
      </w:r>
      <w:r w:rsidRPr="00900F5E">
        <w:rPr>
          <w:rFonts w:cs="Times New Roman"/>
          <w:i/>
          <w:iCs/>
          <w:lang w:val="en-US"/>
        </w:rPr>
        <w:t>Journal of Biorepository Science for Applied Medicine</w:t>
      </w:r>
      <w:r w:rsidRPr="00900F5E">
        <w:rPr>
          <w:rFonts w:cs="Times New Roman"/>
          <w:lang w:val="en-US"/>
        </w:rPr>
        <w:t xml:space="preserve">. </w:t>
      </w:r>
      <w:r w:rsidRPr="00900F5E">
        <w:rPr>
          <w:rFonts w:cs="Times New Roman"/>
          <w:b/>
          <w:bCs/>
          <w:lang w:val="en-US"/>
        </w:rPr>
        <w:t>2</w:t>
      </w:r>
      <w:r w:rsidRPr="00900F5E">
        <w:rPr>
          <w:rFonts w:cs="Times New Roman"/>
          <w:lang w:val="en-US"/>
        </w:rPr>
        <w:t>, 17 (2014).</w:t>
      </w:r>
    </w:p>
    <w:p w14:paraId="20751BC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29.</w:t>
      </w:r>
      <w:r w:rsidRPr="00900F5E">
        <w:rPr>
          <w:rFonts w:cs="Times New Roman"/>
          <w:lang w:val="en-US"/>
        </w:rPr>
        <w:tab/>
        <w:t xml:space="preserve">Iacono, D., Geraci-Erck, M., Peng, H., Bouffard, J.P. Symmetric Bihemispheric Postmortem Brain Cutting to Study Healthy and Pathological Brain Conditions in Humans. </w:t>
      </w:r>
      <w:r w:rsidRPr="00900F5E">
        <w:rPr>
          <w:rFonts w:cs="Times New Roman"/>
          <w:i/>
          <w:iCs/>
          <w:lang w:val="en-US"/>
        </w:rPr>
        <w:t>Journal of visualized experiments : JoVE</w:t>
      </w:r>
      <w:r w:rsidRPr="00900F5E">
        <w:rPr>
          <w:rFonts w:cs="Times New Roman"/>
          <w:lang w:val="en-US"/>
        </w:rPr>
        <w:t>. (118) (2016).</w:t>
      </w:r>
    </w:p>
    <w:p w14:paraId="47B872E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30.</w:t>
      </w:r>
      <w:r w:rsidRPr="00900F5E">
        <w:rPr>
          <w:rFonts w:cs="Times New Roman"/>
          <w:lang w:val="en-US"/>
        </w:rPr>
        <w:tab/>
        <w:t xml:space="preserve">Deramecourt, V. </w:t>
      </w:r>
      <w:r w:rsidRPr="00900F5E">
        <w:rPr>
          <w:rFonts w:cs="Times New Roman"/>
          <w:i/>
          <w:iCs/>
          <w:lang w:val="en-US"/>
        </w:rPr>
        <w:t>et al.</w:t>
      </w:r>
      <w:r w:rsidRPr="00900F5E">
        <w:rPr>
          <w:rFonts w:cs="Times New Roman"/>
          <w:lang w:val="en-US"/>
        </w:rPr>
        <w:t xml:space="preserve"> Staging and natural history of cerebrovascular pathology in dementia.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78</w:t>
      </w:r>
      <w:r w:rsidRPr="00900F5E">
        <w:rPr>
          <w:rFonts w:cs="Times New Roman"/>
          <w:lang w:val="en-US"/>
        </w:rPr>
        <w:t xml:space="preserve"> (14), 1043–50 (2012).</w:t>
      </w:r>
    </w:p>
    <w:p w14:paraId="0A1D8D5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31.</w:t>
      </w:r>
      <w:r w:rsidRPr="00900F5E">
        <w:rPr>
          <w:rFonts w:cs="Times New Roman"/>
          <w:lang w:val="en-US"/>
        </w:rPr>
        <w:tab/>
        <w:t>Netherlands Brain Bank Information for tissue applicants. at &lt;https://www.brainbank.nl/media/uploads/file/Information for tissue applicants_2019.pdf&gt;.</w:t>
      </w:r>
    </w:p>
    <w:p w14:paraId="2AC438F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32.</w:t>
      </w:r>
      <w:r w:rsidRPr="00900F5E">
        <w:rPr>
          <w:rFonts w:cs="Times New Roman"/>
          <w:lang w:val="en-US"/>
        </w:rPr>
        <w:tab/>
        <w:t>UK Brain Bank Network Process used by the banks for tissue processing and storage. The UK Brain Bank Network protocol. at &lt;https://mrc.ukri.org/documents/pdf/process-used-by-the-banks-for-tissue-processing-and-storage/&gt;.</w:t>
      </w:r>
    </w:p>
    <w:p w14:paraId="44CB41D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33.</w:t>
      </w:r>
      <w:r w:rsidRPr="00900F5E">
        <w:rPr>
          <w:rFonts w:cs="Times New Roman"/>
          <w:lang w:val="en-US"/>
        </w:rPr>
        <w:tab/>
        <w:t xml:space="preserve">Vonsattel, J.P.G., Del Amaya, M.P., Keller, C.E. Twenty-first century brain banking. Processing brains for research: the Columbia University methods.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115</w:t>
      </w:r>
      <w:r w:rsidRPr="00900F5E">
        <w:rPr>
          <w:rFonts w:cs="Times New Roman"/>
          <w:lang w:val="en-US"/>
        </w:rPr>
        <w:t xml:space="preserve"> (5), 509–32 (2008).</w:t>
      </w:r>
    </w:p>
    <w:p w14:paraId="44A8A4B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34.</w:t>
      </w:r>
      <w:r w:rsidRPr="00900F5E">
        <w:rPr>
          <w:rFonts w:cs="Times New Roman"/>
          <w:lang w:val="en-US"/>
        </w:rPr>
        <w:tab/>
        <w:t>Brain Bank, H. A Tour Of The Brain Bank. at &lt;https://hbtrc.mclean.harvard.edu/pdf/about/HBTRC-Tour-2013.2.pdf&gt;.</w:t>
      </w:r>
    </w:p>
    <w:p w14:paraId="14C4371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35.</w:t>
      </w:r>
      <w:r w:rsidRPr="00900F5E">
        <w:rPr>
          <w:rFonts w:cs="Times New Roman"/>
          <w:lang w:val="en-US"/>
        </w:rPr>
        <w:tab/>
        <w:t xml:space="preserve">Sheedy, D. </w:t>
      </w:r>
      <w:r w:rsidRPr="00900F5E">
        <w:rPr>
          <w:rFonts w:cs="Times New Roman"/>
          <w:i/>
          <w:iCs/>
          <w:lang w:val="en-US"/>
        </w:rPr>
        <w:t>et al.</w:t>
      </w:r>
      <w:r w:rsidRPr="00900F5E">
        <w:rPr>
          <w:rFonts w:cs="Times New Roman"/>
          <w:lang w:val="en-US"/>
        </w:rPr>
        <w:t xml:space="preserve"> An Australian Brain Bank: a critical investment with a high return! </w:t>
      </w:r>
      <w:r w:rsidRPr="00900F5E">
        <w:rPr>
          <w:rFonts w:cs="Times New Roman"/>
          <w:i/>
          <w:iCs/>
          <w:lang w:val="en-US"/>
        </w:rPr>
        <w:t>Cell and tissue banking</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(3), 205–16 (2008).</w:t>
      </w:r>
    </w:p>
    <w:p w14:paraId="4681ED5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36.</w:t>
      </w:r>
      <w:r w:rsidRPr="00900F5E">
        <w:rPr>
          <w:rFonts w:cs="Times New Roman"/>
          <w:lang w:val="en-US"/>
        </w:rPr>
        <w:tab/>
        <w:t xml:space="preserve">Guaita, A. </w:t>
      </w:r>
      <w:r w:rsidRPr="00900F5E">
        <w:rPr>
          <w:rFonts w:cs="Times New Roman"/>
          <w:i/>
          <w:iCs/>
          <w:lang w:val="en-US"/>
        </w:rPr>
        <w:t>et al.</w:t>
      </w:r>
      <w:r w:rsidRPr="00900F5E">
        <w:rPr>
          <w:rFonts w:cs="Times New Roman"/>
          <w:lang w:val="en-US"/>
        </w:rPr>
        <w:t xml:space="preserve"> Brain aging and dementia during the transition from late adulthood to old age: design and methodology of the “Invece.Ab” population-based study. </w:t>
      </w:r>
      <w:r w:rsidRPr="00900F5E">
        <w:rPr>
          <w:rFonts w:cs="Times New Roman"/>
          <w:i/>
          <w:iCs/>
          <w:lang w:val="en-US"/>
        </w:rPr>
        <w:t>BMC Geriatr</w:t>
      </w:r>
      <w:r w:rsidRPr="00900F5E">
        <w:rPr>
          <w:rFonts w:cs="Times New Roman"/>
          <w:lang w:val="en-US"/>
        </w:rPr>
        <w:t xml:space="preserve">. </w:t>
      </w:r>
      <w:r w:rsidRPr="00900F5E">
        <w:rPr>
          <w:rFonts w:cs="Times New Roman"/>
          <w:b/>
          <w:bCs/>
          <w:lang w:val="en-US"/>
        </w:rPr>
        <w:t>13</w:t>
      </w:r>
      <w:r w:rsidRPr="00900F5E">
        <w:rPr>
          <w:rFonts w:cs="Times New Roman"/>
          <w:lang w:val="en-US"/>
        </w:rPr>
        <w:t>, 98 (2013).</w:t>
      </w:r>
    </w:p>
    <w:p w14:paraId="017B95E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37.</w:t>
      </w:r>
      <w:r w:rsidRPr="00900F5E">
        <w:rPr>
          <w:rFonts w:cs="Times New Roman"/>
          <w:lang w:val="en-US"/>
        </w:rPr>
        <w:tab/>
        <w:t xml:space="preserve">Lobo, A. </w:t>
      </w:r>
      <w:r w:rsidRPr="00900F5E">
        <w:rPr>
          <w:rFonts w:cs="Times New Roman"/>
          <w:i/>
          <w:iCs/>
          <w:lang w:val="en-US"/>
        </w:rPr>
        <w:t>et al.</w:t>
      </w:r>
      <w:r w:rsidRPr="00900F5E">
        <w:rPr>
          <w:rFonts w:cs="Times New Roman"/>
          <w:lang w:val="en-US"/>
        </w:rPr>
        <w:t xml:space="preserve"> Prevalence of dementia and major subtypes in Europe: A collaborative study of population-based cohorts. Neurologic Diseases in the Elderly Research Group.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54</w:t>
      </w:r>
      <w:r w:rsidRPr="00900F5E">
        <w:rPr>
          <w:rFonts w:cs="Times New Roman"/>
          <w:lang w:val="en-US"/>
        </w:rPr>
        <w:t>, S4-9 (2000).</w:t>
      </w:r>
    </w:p>
    <w:p w14:paraId="7D326A3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38.</w:t>
      </w:r>
      <w:r w:rsidRPr="00900F5E">
        <w:rPr>
          <w:rFonts w:cs="Times New Roman"/>
          <w:lang w:val="en-US"/>
        </w:rPr>
        <w:tab/>
        <w:t xml:space="preserve">Hofman, A. </w:t>
      </w:r>
      <w:r w:rsidRPr="00900F5E">
        <w:rPr>
          <w:rFonts w:cs="Times New Roman"/>
          <w:i/>
          <w:iCs/>
          <w:lang w:val="en-US"/>
        </w:rPr>
        <w:t>et al.</w:t>
      </w:r>
      <w:r w:rsidRPr="00900F5E">
        <w:rPr>
          <w:rFonts w:cs="Times New Roman"/>
          <w:lang w:val="en-US"/>
        </w:rPr>
        <w:t xml:space="preserve"> The prevalence of dementia in Europe: a collaborative study of 1980-1990 findings. Eurodem Prevalence Research Group. </w:t>
      </w:r>
      <w:r w:rsidRPr="00900F5E">
        <w:rPr>
          <w:rFonts w:cs="Times New Roman"/>
          <w:i/>
          <w:iCs/>
          <w:lang w:val="en-US"/>
        </w:rPr>
        <w:t>Int J Epidemiol</w:t>
      </w:r>
      <w:r w:rsidRPr="00900F5E">
        <w:rPr>
          <w:rFonts w:cs="Times New Roman"/>
          <w:lang w:val="en-US"/>
        </w:rPr>
        <w:t xml:space="preserve">. </w:t>
      </w:r>
      <w:r w:rsidRPr="00900F5E">
        <w:rPr>
          <w:rFonts w:cs="Times New Roman"/>
          <w:b/>
          <w:bCs/>
          <w:lang w:val="en-US"/>
        </w:rPr>
        <w:t>20</w:t>
      </w:r>
      <w:r w:rsidRPr="00900F5E">
        <w:rPr>
          <w:rFonts w:cs="Times New Roman"/>
          <w:lang w:val="en-US"/>
        </w:rPr>
        <w:t xml:space="preserve"> (3), 736–48 (1991).</w:t>
      </w:r>
    </w:p>
    <w:p w14:paraId="12220C7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39.</w:t>
      </w:r>
      <w:r w:rsidRPr="00900F5E">
        <w:rPr>
          <w:rFonts w:cs="Times New Roman"/>
          <w:lang w:val="en-US"/>
        </w:rPr>
        <w:tab/>
        <w:t>BrainNet Europe - Code of Conduct. at &lt;https://www.brainnet-europe.org/indexe151.html?option=com_content&amp;view=article&amp;id=89&amp;Itemid=89&gt; (2008).</w:t>
      </w:r>
    </w:p>
    <w:p w14:paraId="3F44E48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40.</w:t>
      </w:r>
      <w:r w:rsidRPr="00900F5E">
        <w:rPr>
          <w:rFonts w:cs="Times New Roman"/>
          <w:lang w:val="en-US"/>
        </w:rPr>
        <w:tab/>
        <w:t xml:space="preserve">Klioueva, N.M., Rademaker, M.C., Huitinga, I. </w:t>
      </w:r>
      <w:r w:rsidRPr="00900F5E">
        <w:rPr>
          <w:rFonts w:cs="Times New Roman"/>
          <w:i/>
          <w:iCs/>
          <w:lang w:val="en-US"/>
        </w:rPr>
        <w:t>Design of a European code of conduct for brain banking</w:t>
      </w:r>
      <w:r w:rsidRPr="00900F5E">
        <w:rPr>
          <w:rFonts w:cs="Times New Roman"/>
          <w:lang w:val="en-US"/>
        </w:rPr>
        <w:t xml:space="preserve">. </w:t>
      </w:r>
      <w:r w:rsidRPr="00900F5E">
        <w:rPr>
          <w:rFonts w:cs="Times New Roman"/>
          <w:i/>
          <w:iCs/>
          <w:lang w:val="en-US"/>
        </w:rPr>
        <w:t>Handbook of Clinical Neurology</w:t>
      </w:r>
      <w:r w:rsidRPr="00900F5E">
        <w:rPr>
          <w:rFonts w:cs="Times New Roman"/>
          <w:lang w:val="en-US"/>
        </w:rPr>
        <w:t xml:space="preserve">. </w:t>
      </w:r>
      <w:r w:rsidRPr="00900F5E">
        <w:rPr>
          <w:rFonts w:cs="Times New Roman"/>
          <w:b/>
          <w:bCs/>
          <w:lang w:val="en-US"/>
        </w:rPr>
        <w:t>150</w:t>
      </w:r>
      <w:r w:rsidRPr="00900F5E">
        <w:rPr>
          <w:rFonts w:cs="Times New Roman"/>
          <w:lang w:val="en-US"/>
        </w:rPr>
        <w:t>. Elsevier B.V. (2018).</w:t>
      </w:r>
    </w:p>
    <w:p w14:paraId="510105A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41.</w:t>
      </w:r>
      <w:r w:rsidRPr="00900F5E">
        <w:rPr>
          <w:rFonts w:cs="Times New Roman"/>
          <w:lang w:val="en-US"/>
        </w:rPr>
        <w:tab/>
        <w:t xml:space="preserve">Lee, K., Saetern, O.C., Nguyen, A., Rodriguez, L., Schüle, B. Derivation of Leptomeninges Explant Cultures from Postmortem Human Brain Donors. </w:t>
      </w:r>
      <w:r w:rsidRPr="00900F5E">
        <w:rPr>
          <w:rFonts w:cs="Times New Roman"/>
          <w:i/>
          <w:iCs/>
          <w:lang w:val="en-US"/>
        </w:rPr>
        <w:t>Journal of visualized experiments : JoVE</w:t>
      </w:r>
      <w:r w:rsidRPr="00900F5E">
        <w:rPr>
          <w:rFonts w:cs="Times New Roman"/>
          <w:lang w:val="en-US"/>
        </w:rPr>
        <w:t>. (119) (2017).</w:t>
      </w:r>
    </w:p>
    <w:p w14:paraId="2F43EC3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42.</w:t>
      </w:r>
      <w:r w:rsidRPr="00900F5E">
        <w:rPr>
          <w:rFonts w:cs="Times New Roman"/>
          <w:lang w:val="en-US"/>
        </w:rPr>
        <w:tab/>
        <w:t xml:space="preserve">Esiri, M.M., Wilcock, G.K., Morris, J.H. Neuropathological assessment of the lesions of significance in vascular dementia. </w:t>
      </w:r>
      <w:r w:rsidRPr="00900F5E">
        <w:rPr>
          <w:rFonts w:cs="Times New Roman"/>
          <w:i/>
          <w:iCs/>
          <w:lang w:val="en-US"/>
        </w:rPr>
        <w:t>Journal of Neurology, Neurosurgery &amp; Psychiatry</w:t>
      </w:r>
      <w:r w:rsidRPr="00900F5E">
        <w:rPr>
          <w:rFonts w:cs="Times New Roman"/>
          <w:lang w:val="en-US"/>
        </w:rPr>
        <w:t xml:space="preserve">. </w:t>
      </w:r>
      <w:r w:rsidRPr="00900F5E">
        <w:rPr>
          <w:rFonts w:cs="Times New Roman"/>
          <w:b/>
          <w:bCs/>
          <w:lang w:val="en-US"/>
        </w:rPr>
        <w:t>63</w:t>
      </w:r>
      <w:r w:rsidRPr="00900F5E">
        <w:rPr>
          <w:rFonts w:cs="Times New Roman"/>
          <w:lang w:val="en-US"/>
        </w:rPr>
        <w:t xml:space="preserve"> (6), 749–753 (1997).</w:t>
      </w:r>
    </w:p>
    <w:p w14:paraId="5BC97AB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43.</w:t>
      </w:r>
      <w:r w:rsidRPr="00900F5E">
        <w:rPr>
          <w:rFonts w:cs="Times New Roman"/>
          <w:lang w:val="en-US"/>
        </w:rPr>
        <w:tab/>
        <w:t xml:space="preserve">Tomita, H. </w:t>
      </w:r>
      <w:r w:rsidRPr="00900F5E">
        <w:rPr>
          <w:rFonts w:cs="Times New Roman"/>
          <w:i/>
          <w:iCs/>
          <w:lang w:val="en-US"/>
        </w:rPr>
        <w:t>et al.</w:t>
      </w:r>
      <w:r w:rsidRPr="00900F5E">
        <w:rPr>
          <w:rFonts w:cs="Times New Roman"/>
          <w:lang w:val="en-US"/>
        </w:rPr>
        <w:t xml:space="preserve"> Effect of agonal and postmortem factors on gene expression profile: quality control in microarray analyses of postmortem human brain. </w:t>
      </w:r>
      <w:r w:rsidRPr="00900F5E">
        <w:rPr>
          <w:rFonts w:cs="Times New Roman"/>
          <w:i/>
          <w:iCs/>
          <w:lang w:val="en-US"/>
        </w:rPr>
        <w:t>Biological psychiatry</w:t>
      </w:r>
      <w:r w:rsidRPr="00900F5E">
        <w:rPr>
          <w:rFonts w:cs="Times New Roman"/>
          <w:lang w:val="en-US"/>
        </w:rPr>
        <w:t xml:space="preserve">. </w:t>
      </w:r>
      <w:r w:rsidRPr="00900F5E">
        <w:rPr>
          <w:rFonts w:cs="Times New Roman"/>
          <w:b/>
          <w:bCs/>
          <w:lang w:val="en-US"/>
        </w:rPr>
        <w:t>55</w:t>
      </w:r>
      <w:r w:rsidRPr="00900F5E">
        <w:rPr>
          <w:rFonts w:cs="Times New Roman"/>
          <w:lang w:val="en-US"/>
        </w:rPr>
        <w:t xml:space="preserve"> (4), 346–52 (2004).</w:t>
      </w:r>
    </w:p>
    <w:p w14:paraId="5B762AB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44.</w:t>
      </w:r>
      <w:r w:rsidRPr="00900F5E">
        <w:rPr>
          <w:rFonts w:cs="Times New Roman"/>
          <w:lang w:val="en-US"/>
        </w:rPr>
        <w:tab/>
        <w:t xml:space="preserve">Stan, A.D. </w:t>
      </w:r>
      <w:r w:rsidRPr="00900F5E">
        <w:rPr>
          <w:rFonts w:cs="Times New Roman"/>
          <w:i/>
          <w:iCs/>
          <w:lang w:val="en-US"/>
        </w:rPr>
        <w:t>et al.</w:t>
      </w:r>
      <w:r w:rsidRPr="00900F5E">
        <w:rPr>
          <w:rFonts w:cs="Times New Roman"/>
          <w:lang w:val="en-US"/>
        </w:rPr>
        <w:t xml:space="preserve"> Human postmortem tissue: what quality markers matter? </w:t>
      </w:r>
      <w:r w:rsidRPr="00900F5E">
        <w:rPr>
          <w:rFonts w:cs="Times New Roman"/>
          <w:i/>
          <w:iCs/>
          <w:lang w:val="en-US"/>
        </w:rPr>
        <w:t>Brain research</w:t>
      </w:r>
      <w:r w:rsidRPr="00900F5E">
        <w:rPr>
          <w:rFonts w:cs="Times New Roman"/>
          <w:lang w:val="en-US"/>
        </w:rPr>
        <w:t xml:space="preserve">. </w:t>
      </w:r>
      <w:r w:rsidRPr="00900F5E">
        <w:rPr>
          <w:rFonts w:cs="Times New Roman"/>
          <w:b/>
          <w:bCs/>
          <w:lang w:val="en-US"/>
        </w:rPr>
        <w:t>1123</w:t>
      </w:r>
      <w:r w:rsidRPr="00900F5E">
        <w:rPr>
          <w:rFonts w:cs="Times New Roman"/>
          <w:lang w:val="en-US"/>
        </w:rPr>
        <w:t xml:space="preserve"> (1), 1–11 (2006).</w:t>
      </w:r>
    </w:p>
    <w:p w14:paraId="5F5216C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45.</w:t>
      </w:r>
      <w:r w:rsidRPr="00900F5E">
        <w:rPr>
          <w:rFonts w:cs="Times New Roman"/>
          <w:lang w:val="en-US"/>
        </w:rPr>
        <w:tab/>
        <w:t xml:space="preserve">Montine, T.J. </w:t>
      </w:r>
      <w:r w:rsidRPr="00900F5E">
        <w:rPr>
          <w:rFonts w:cs="Times New Roman"/>
          <w:i/>
          <w:iCs/>
          <w:lang w:val="en-US"/>
        </w:rPr>
        <w:t>et al.</w:t>
      </w:r>
      <w:r w:rsidRPr="00900F5E">
        <w:rPr>
          <w:rFonts w:cs="Times New Roman"/>
          <w:lang w:val="en-US"/>
        </w:rPr>
        <w:t xml:space="preserve"> National Institute on Aging–Alzheimer’s Association guidelines for the neuropathologic assessment of Alzheimer’s disease: a practical approach.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123</w:t>
      </w:r>
      <w:r w:rsidRPr="00900F5E">
        <w:rPr>
          <w:rFonts w:cs="Times New Roman"/>
          <w:lang w:val="en-US"/>
        </w:rPr>
        <w:t xml:space="preserve"> (1), 1–11 (2012).</w:t>
      </w:r>
    </w:p>
    <w:p w14:paraId="6B3FED9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46.</w:t>
      </w:r>
      <w:r w:rsidRPr="00900F5E">
        <w:rPr>
          <w:rFonts w:cs="Times New Roman"/>
          <w:lang w:val="en-US"/>
        </w:rPr>
        <w:tab/>
        <w:t xml:space="preserve">Boxer, A.L., Yu, J.-T., Golbe, L.I., Litvan, I., Lang, A.E., Höglinger, G.U. Advances in progressive supranuclear palsy: new diagnostic criteria, biomarkers, and therapeutic approaches. </w:t>
      </w:r>
      <w:r w:rsidRPr="00900F5E">
        <w:rPr>
          <w:rFonts w:cs="Times New Roman"/>
          <w:i/>
          <w:iCs/>
          <w:lang w:val="en-US"/>
        </w:rPr>
        <w:t>The Lancet Neurology</w:t>
      </w:r>
      <w:r w:rsidRPr="00900F5E">
        <w:rPr>
          <w:rFonts w:cs="Times New Roman"/>
          <w:lang w:val="en-US"/>
        </w:rPr>
        <w:t xml:space="preserve">. </w:t>
      </w:r>
      <w:r w:rsidRPr="00900F5E">
        <w:rPr>
          <w:rFonts w:cs="Times New Roman"/>
          <w:b/>
          <w:bCs/>
          <w:lang w:val="en-US"/>
        </w:rPr>
        <w:t>16</w:t>
      </w:r>
      <w:r w:rsidRPr="00900F5E">
        <w:rPr>
          <w:rFonts w:cs="Times New Roman"/>
          <w:lang w:val="en-US"/>
        </w:rPr>
        <w:t xml:space="preserve"> (7), 552–563 (2017).</w:t>
      </w:r>
    </w:p>
    <w:p w14:paraId="0E8B716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47.</w:t>
      </w:r>
      <w:r w:rsidRPr="00900F5E">
        <w:rPr>
          <w:rFonts w:cs="Times New Roman"/>
          <w:lang w:val="en-US"/>
        </w:rPr>
        <w:tab/>
        <w:t xml:space="preserve">Dickson, D.W., Ahmed, Z., Algom, A.A., Tsuboi, Y., Josephs, K.A. Neuropathology of variants of progressive supranuclear palsy. </w:t>
      </w:r>
      <w:r w:rsidRPr="00900F5E">
        <w:rPr>
          <w:rFonts w:cs="Times New Roman"/>
          <w:i/>
          <w:iCs/>
          <w:lang w:val="en-US"/>
        </w:rPr>
        <w:t>Current opinion in neurology</w:t>
      </w:r>
      <w:r w:rsidRPr="00900F5E">
        <w:rPr>
          <w:rFonts w:cs="Times New Roman"/>
          <w:lang w:val="en-US"/>
        </w:rPr>
        <w:t xml:space="preserve">. </w:t>
      </w:r>
      <w:r w:rsidRPr="00900F5E">
        <w:rPr>
          <w:rFonts w:cs="Times New Roman"/>
          <w:b/>
          <w:bCs/>
          <w:lang w:val="en-US"/>
        </w:rPr>
        <w:t>23</w:t>
      </w:r>
      <w:r w:rsidRPr="00900F5E">
        <w:rPr>
          <w:rFonts w:cs="Times New Roman"/>
          <w:lang w:val="en-US"/>
        </w:rPr>
        <w:t xml:space="preserve"> (4), 394–400 (2010).</w:t>
      </w:r>
    </w:p>
    <w:p w14:paraId="168A86A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48.</w:t>
      </w:r>
      <w:r w:rsidRPr="00900F5E">
        <w:rPr>
          <w:rFonts w:cs="Times New Roman"/>
          <w:lang w:val="en-US"/>
        </w:rPr>
        <w:tab/>
        <w:t xml:space="preserve">Dickson, D. </w:t>
      </w:r>
      <w:r w:rsidRPr="00900F5E">
        <w:rPr>
          <w:rFonts w:cs="Times New Roman"/>
          <w:i/>
          <w:iCs/>
          <w:lang w:val="en-US"/>
        </w:rPr>
        <w:t>Neurodegeneration : the molecular pathology of dementia and movement disorders</w:t>
      </w:r>
      <w:r w:rsidRPr="00900F5E">
        <w:rPr>
          <w:rFonts w:cs="Times New Roman"/>
          <w:lang w:val="en-US"/>
        </w:rPr>
        <w:t>. Wiley-Blackwell. (2011).</w:t>
      </w:r>
    </w:p>
    <w:p w14:paraId="5B5CE01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49.</w:t>
      </w:r>
      <w:r w:rsidRPr="00900F5E">
        <w:rPr>
          <w:rFonts w:cs="Times New Roman"/>
          <w:lang w:val="en-US"/>
        </w:rPr>
        <w:tab/>
        <w:t xml:space="preserve">Crary, J.F. </w:t>
      </w:r>
      <w:r w:rsidRPr="00900F5E">
        <w:rPr>
          <w:rFonts w:cs="Times New Roman"/>
          <w:i/>
          <w:iCs/>
          <w:lang w:val="en-US"/>
        </w:rPr>
        <w:t>et al.</w:t>
      </w:r>
      <w:r w:rsidRPr="00900F5E">
        <w:rPr>
          <w:rFonts w:cs="Times New Roman"/>
          <w:lang w:val="en-US"/>
        </w:rPr>
        <w:t xml:space="preserve"> Primary age-related tauopathy (PART): a common pathology associated with human aging.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128</w:t>
      </w:r>
      <w:r w:rsidRPr="00900F5E">
        <w:rPr>
          <w:rFonts w:cs="Times New Roman"/>
          <w:lang w:val="en-US"/>
        </w:rPr>
        <w:t xml:space="preserve"> (6), 755–66 (2014).</w:t>
      </w:r>
    </w:p>
    <w:p w14:paraId="150E3611"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50.</w:t>
      </w:r>
      <w:r w:rsidRPr="00900F5E">
        <w:rPr>
          <w:rFonts w:cs="Times New Roman"/>
          <w:lang w:val="en-US"/>
        </w:rPr>
        <w:tab/>
        <w:t xml:space="preserve">Kovacs, G.G. </w:t>
      </w:r>
      <w:r w:rsidRPr="00900F5E">
        <w:rPr>
          <w:rFonts w:cs="Times New Roman"/>
          <w:i/>
          <w:iCs/>
          <w:lang w:val="en-US"/>
        </w:rPr>
        <w:t>et al.</w:t>
      </w:r>
      <w:r w:rsidRPr="00900F5E">
        <w:rPr>
          <w:rFonts w:cs="Times New Roman"/>
          <w:lang w:val="en-US"/>
        </w:rPr>
        <w:t xml:space="preserve"> Aging-related tau astrogliopathy (ARTAG): harmonized evaluation strategy.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131</w:t>
      </w:r>
      <w:r w:rsidRPr="00900F5E">
        <w:rPr>
          <w:rFonts w:cs="Times New Roman"/>
          <w:lang w:val="en-US"/>
        </w:rPr>
        <w:t xml:space="preserve"> (1), 87–102 (2016).</w:t>
      </w:r>
    </w:p>
    <w:p w14:paraId="5D3CDDE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51.</w:t>
      </w:r>
      <w:r w:rsidRPr="00900F5E">
        <w:rPr>
          <w:rFonts w:cs="Times New Roman"/>
          <w:lang w:val="en-US"/>
        </w:rPr>
        <w:tab/>
        <w:t xml:space="preserve">Alafuzoff, I. </w:t>
      </w:r>
      <w:r w:rsidRPr="00900F5E">
        <w:rPr>
          <w:rFonts w:cs="Times New Roman"/>
          <w:i/>
          <w:iCs/>
          <w:lang w:val="en-US"/>
        </w:rPr>
        <w:t>et al.</w:t>
      </w:r>
      <w:r w:rsidRPr="00900F5E">
        <w:rPr>
          <w:rFonts w:cs="Times New Roman"/>
          <w:lang w:val="en-US"/>
        </w:rPr>
        <w:t xml:space="preserve"> Neuropathological assessments of the pathology in frontotemporal lobar degeneration with TDP43-positive inclusions: an inter-laboratory study by the BrainNet Europe consortium. </w:t>
      </w:r>
      <w:r w:rsidRPr="00900F5E">
        <w:rPr>
          <w:rFonts w:cs="Times New Roman"/>
          <w:i/>
          <w:iCs/>
          <w:lang w:val="en-US"/>
        </w:rPr>
        <w:t>Journal of neural transmission (Vienna, Austria : 1996)</w:t>
      </w:r>
      <w:r w:rsidRPr="00900F5E">
        <w:rPr>
          <w:rFonts w:cs="Times New Roman"/>
          <w:lang w:val="en-US"/>
        </w:rPr>
        <w:t xml:space="preserve">. </w:t>
      </w:r>
      <w:r w:rsidRPr="00900F5E">
        <w:rPr>
          <w:rFonts w:cs="Times New Roman"/>
          <w:b/>
          <w:bCs/>
          <w:lang w:val="en-US"/>
        </w:rPr>
        <w:t>122</w:t>
      </w:r>
      <w:r w:rsidRPr="00900F5E">
        <w:rPr>
          <w:rFonts w:cs="Times New Roman"/>
          <w:lang w:val="en-US"/>
        </w:rPr>
        <w:t xml:space="preserve"> (7), 957–72 (2015).</w:t>
      </w:r>
    </w:p>
    <w:p w14:paraId="0318C0F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52.</w:t>
      </w:r>
      <w:r w:rsidRPr="00900F5E">
        <w:rPr>
          <w:rFonts w:cs="Times New Roman"/>
          <w:lang w:val="en-US"/>
        </w:rPr>
        <w:tab/>
        <w:t xml:space="preserve">Love, S. </w:t>
      </w:r>
      <w:r w:rsidRPr="00900F5E">
        <w:rPr>
          <w:rFonts w:cs="Times New Roman"/>
          <w:i/>
          <w:iCs/>
          <w:lang w:val="en-US"/>
        </w:rPr>
        <w:t>et al.</w:t>
      </w:r>
      <w:r w:rsidRPr="00900F5E">
        <w:rPr>
          <w:rFonts w:cs="Times New Roman"/>
          <w:lang w:val="en-US"/>
        </w:rPr>
        <w:t xml:space="preserve"> Development, appraisal, validation and implementation of a consensus protocol for the assessment of cerebral amyloid angiopathy in post-mortem brain tissue. </w:t>
      </w:r>
      <w:r w:rsidRPr="00900F5E">
        <w:rPr>
          <w:rFonts w:cs="Times New Roman"/>
          <w:i/>
          <w:iCs/>
          <w:lang w:val="en-US"/>
        </w:rPr>
        <w:t>American journal of neurodegenerative disease</w:t>
      </w:r>
      <w:r w:rsidRPr="00900F5E">
        <w:rPr>
          <w:rFonts w:cs="Times New Roman"/>
          <w:lang w:val="en-US"/>
        </w:rPr>
        <w:t xml:space="preserve">. </w:t>
      </w:r>
      <w:r w:rsidRPr="00900F5E">
        <w:rPr>
          <w:rFonts w:cs="Times New Roman"/>
          <w:b/>
          <w:bCs/>
          <w:lang w:val="en-US"/>
        </w:rPr>
        <w:t>3</w:t>
      </w:r>
      <w:r w:rsidRPr="00900F5E">
        <w:rPr>
          <w:rFonts w:cs="Times New Roman"/>
          <w:lang w:val="en-US"/>
        </w:rPr>
        <w:t xml:space="preserve"> (1), 19–32 (2014).</w:t>
      </w:r>
    </w:p>
    <w:p w14:paraId="67AF1DA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53.</w:t>
      </w:r>
      <w:r w:rsidRPr="00900F5E">
        <w:rPr>
          <w:rFonts w:cs="Times New Roman"/>
          <w:lang w:val="en-US"/>
        </w:rPr>
        <w:tab/>
        <w:t xml:space="preserve">Skrobot, O.A. </w:t>
      </w:r>
      <w:r w:rsidRPr="00900F5E">
        <w:rPr>
          <w:rFonts w:cs="Times New Roman"/>
          <w:i/>
          <w:iCs/>
          <w:lang w:val="en-US"/>
        </w:rPr>
        <w:t>et al.</w:t>
      </w:r>
      <w:r w:rsidRPr="00900F5E">
        <w:rPr>
          <w:rFonts w:cs="Times New Roman"/>
          <w:lang w:val="en-US"/>
        </w:rPr>
        <w:t xml:space="preserve"> Vascular cognitive impairment neuropathology guidelines (VCING): the contribution of cerebrovascular pathology to cognitive impairment. </w:t>
      </w:r>
      <w:r w:rsidRPr="00900F5E">
        <w:rPr>
          <w:rFonts w:cs="Times New Roman"/>
          <w:i/>
          <w:iCs/>
          <w:lang w:val="en-US"/>
        </w:rPr>
        <w:t>Brain</w:t>
      </w:r>
      <w:r w:rsidRPr="00900F5E">
        <w:rPr>
          <w:rFonts w:cs="Times New Roman"/>
          <w:lang w:val="en-US"/>
        </w:rPr>
        <w:t xml:space="preserve">. </w:t>
      </w:r>
      <w:r w:rsidRPr="00900F5E">
        <w:rPr>
          <w:rFonts w:cs="Times New Roman"/>
          <w:b/>
          <w:bCs/>
          <w:lang w:val="en-US"/>
        </w:rPr>
        <w:t>139</w:t>
      </w:r>
      <w:r w:rsidRPr="00900F5E">
        <w:rPr>
          <w:rFonts w:cs="Times New Roman"/>
          <w:lang w:val="en-US"/>
        </w:rPr>
        <w:t xml:space="preserve"> (11), 2957–2969 (2016).</w:t>
      </w:r>
    </w:p>
    <w:p w14:paraId="4411F87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54.</w:t>
      </w:r>
      <w:r w:rsidRPr="00900F5E">
        <w:rPr>
          <w:rFonts w:cs="Times New Roman"/>
          <w:lang w:val="en-US"/>
        </w:rPr>
        <w:tab/>
        <w:t xml:space="preserve">Thal, D.R., Rüb, U., Orantes, M., Braak, H. Phases of A beta-deposition in the human brain and its relevance for the development of AD.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58</w:t>
      </w:r>
      <w:r w:rsidRPr="00900F5E">
        <w:rPr>
          <w:rFonts w:cs="Times New Roman"/>
          <w:lang w:val="en-US"/>
        </w:rPr>
        <w:t xml:space="preserve"> (12), 1791–800 (2002).</w:t>
      </w:r>
    </w:p>
    <w:p w14:paraId="0076122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55.</w:t>
      </w:r>
      <w:r w:rsidRPr="00900F5E">
        <w:rPr>
          <w:rFonts w:cs="Times New Roman"/>
          <w:lang w:val="en-US"/>
        </w:rPr>
        <w:tab/>
        <w:t xml:space="preserve">Braak, H., Alafuzoff, I., Arzberger, T., Kretzschmar, H., Del Tredici, K. Staging of Alzheimer disease-associated neurofibrillary pathology using paraffin sections and immunocytochemistry.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112</w:t>
      </w:r>
      <w:r w:rsidRPr="00900F5E">
        <w:rPr>
          <w:rFonts w:cs="Times New Roman"/>
          <w:lang w:val="en-US"/>
        </w:rPr>
        <w:t xml:space="preserve"> (4), 389–404 (2006).</w:t>
      </w:r>
    </w:p>
    <w:p w14:paraId="4CA30DA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56.</w:t>
      </w:r>
      <w:r w:rsidRPr="00900F5E">
        <w:rPr>
          <w:rFonts w:cs="Times New Roman"/>
          <w:lang w:val="en-US"/>
        </w:rPr>
        <w:tab/>
        <w:t xml:space="preserve">Mirra, S.S. </w:t>
      </w:r>
      <w:r w:rsidRPr="00900F5E">
        <w:rPr>
          <w:rFonts w:cs="Times New Roman"/>
          <w:i/>
          <w:iCs/>
          <w:lang w:val="en-US"/>
        </w:rPr>
        <w:t>et al.</w:t>
      </w:r>
      <w:r w:rsidRPr="00900F5E">
        <w:rPr>
          <w:rFonts w:cs="Times New Roman"/>
          <w:lang w:val="en-US"/>
        </w:rPr>
        <w:t xml:space="preserve"> The Consortium to Establish a Registry for Alzheimer’s Disease (CERAD): Part II. Standardization of the neuropathologic assessment of Alzheimer’s disease. </w:t>
      </w:r>
      <w:r w:rsidRPr="00900F5E">
        <w:rPr>
          <w:rFonts w:cs="Times New Roman"/>
          <w:i/>
          <w:iCs/>
          <w:lang w:val="en-US"/>
        </w:rPr>
        <w:lastRenderedPageBreak/>
        <w:t>Neurology</w:t>
      </w:r>
      <w:r w:rsidRPr="00900F5E">
        <w:rPr>
          <w:rFonts w:cs="Times New Roman"/>
          <w:lang w:val="en-US"/>
        </w:rPr>
        <w:t xml:space="preserve">. </w:t>
      </w:r>
      <w:r w:rsidRPr="00900F5E">
        <w:rPr>
          <w:rFonts w:cs="Times New Roman"/>
          <w:b/>
          <w:bCs/>
          <w:lang w:val="en-US"/>
        </w:rPr>
        <w:t>41</w:t>
      </w:r>
      <w:r w:rsidRPr="00900F5E">
        <w:rPr>
          <w:rFonts w:cs="Times New Roman"/>
          <w:lang w:val="en-US"/>
        </w:rPr>
        <w:t xml:space="preserve"> (4), 479–479 (1991).</w:t>
      </w:r>
    </w:p>
    <w:p w14:paraId="264E9A74"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57.</w:t>
      </w:r>
      <w:r w:rsidRPr="00900F5E">
        <w:rPr>
          <w:rFonts w:cs="Times New Roman"/>
          <w:lang w:val="en-US"/>
        </w:rPr>
        <w:tab/>
        <w:t xml:space="preserve">Finger, E.C. Frontotemporal Dementias. </w:t>
      </w:r>
      <w:r w:rsidRPr="00900F5E">
        <w:rPr>
          <w:rFonts w:cs="Times New Roman"/>
          <w:i/>
          <w:iCs/>
          <w:lang w:val="en-US"/>
        </w:rPr>
        <w:t>CONTINUUM: Lifelong Learning in Neurology</w:t>
      </w:r>
      <w:r w:rsidRPr="00900F5E">
        <w:rPr>
          <w:rFonts w:cs="Times New Roman"/>
          <w:lang w:val="en-US"/>
        </w:rPr>
        <w:t xml:space="preserve">. </w:t>
      </w:r>
      <w:r w:rsidRPr="00900F5E">
        <w:rPr>
          <w:rFonts w:cs="Times New Roman"/>
          <w:b/>
          <w:bCs/>
          <w:lang w:val="en-US"/>
        </w:rPr>
        <w:t>22</w:t>
      </w:r>
      <w:r w:rsidRPr="00900F5E">
        <w:rPr>
          <w:rFonts w:cs="Times New Roman"/>
          <w:lang w:val="en-US"/>
        </w:rPr>
        <w:t xml:space="preserve"> (2, Dementia), 464–489 (2016).</w:t>
      </w:r>
    </w:p>
    <w:p w14:paraId="3088259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58.</w:t>
      </w:r>
      <w:r w:rsidRPr="00900F5E">
        <w:rPr>
          <w:rFonts w:cs="Times New Roman"/>
          <w:lang w:val="en-US"/>
        </w:rPr>
        <w:tab/>
        <w:t xml:space="preserve">Kovacs, G.G. </w:t>
      </w:r>
      <w:r w:rsidRPr="00900F5E">
        <w:rPr>
          <w:rFonts w:cs="Times New Roman"/>
          <w:i/>
          <w:iCs/>
          <w:lang w:val="en-US"/>
        </w:rPr>
        <w:t>Neuropathology of Neurodegenerative Diseases</w:t>
      </w:r>
      <w:r w:rsidRPr="00900F5E">
        <w:rPr>
          <w:rFonts w:cs="Times New Roman"/>
          <w:lang w:val="en-US"/>
        </w:rPr>
        <w:t>. Cambridge University Press. Cambridge. (2014).</w:t>
      </w:r>
    </w:p>
    <w:p w14:paraId="7216D65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59.</w:t>
      </w:r>
      <w:r w:rsidRPr="00900F5E">
        <w:rPr>
          <w:rFonts w:cs="Times New Roman"/>
          <w:lang w:val="en-US"/>
        </w:rPr>
        <w:tab/>
        <w:t xml:space="preserve">Kovacs, G.G. </w:t>
      </w:r>
      <w:r w:rsidRPr="00900F5E">
        <w:rPr>
          <w:rFonts w:cs="Times New Roman"/>
          <w:i/>
          <w:iCs/>
          <w:lang w:val="en-US"/>
        </w:rPr>
        <w:t>et al.</w:t>
      </w:r>
      <w:r w:rsidRPr="00900F5E">
        <w:rPr>
          <w:rFonts w:cs="Times New Roman"/>
          <w:lang w:val="en-US"/>
        </w:rPr>
        <w:t xml:space="preserve"> Neuropathology of the hippocampus in FTLD-Tau with Pick bodies: a study of the BrainNet Europe Consortium. </w:t>
      </w:r>
      <w:r w:rsidRPr="00900F5E">
        <w:rPr>
          <w:rFonts w:cs="Times New Roman"/>
          <w:i/>
          <w:iCs/>
          <w:lang w:val="en-US"/>
        </w:rPr>
        <w:t>Neuropathology and applied neurobiology</w:t>
      </w:r>
      <w:r w:rsidRPr="00900F5E">
        <w:rPr>
          <w:rFonts w:cs="Times New Roman"/>
          <w:lang w:val="en-US"/>
        </w:rPr>
        <w:t xml:space="preserve">. </w:t>
      </w:r>
      <w:r w:rsidRPr="00900F5E">
        <w:rPr>
          <w:rFonts w:cs="Times New Roman"/>
          <w:b/>
          <w:bCs/>
          <w:lang w:val="en-US"/>
        </w:rPr>
        <w:t>39</w:t>
      </w:r>
      <w:r w:rsidRPr="00900F5E">
        <w:rPr>
          <w:rFonts w:cs="Times New Roman"/>
          <w:lang w:val="en-US"/>
        </w:rPr>
        <w:t xml:space="preserve"> (2), 166–78 (2013).</w:t>
      </w:r>
    </w:p>
    <w:p w14:paraId="7129A231"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60.</w:t>
      </w:r>
      <w:r w:rsidRPr="00900F5E">
        <w:rPr>
          <w:rFonts w:cs="Times New Roman"/>
          <w:lang w:val="en-US"/>
        </w:rPr>
        <w:tab/>
        <w:t xml:space="preserve">McKeith, I.G. </w:t>
      </w:r>
      <w:r w:rsidRPr="00900F5E">
        <w:rPr>
          <w:rFonts w:cs="Times New Roman"/>
          <w:i/>
          <w:iCs/>
          <w:lang w:val="en-US"/>
        </w:rPr>
        <w:t>et al.</w:t>
      </w:r>
      <w:r w:rsidRPr="00900F5E">
        <w:rPr>
          <w:rFonts w:cs="Times New Roman"/>
          <w:lang w:val="en-US"/>
        </w:rPr>
        <w:t xml:space="preserve"> Diagnosis and management of dementia with Lewy bodies: third report of the DLB Consortium.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65</w:t>
      </w:r>
      <w:r w:rsidRPr="00900F5E">
        <w:rPr>
          <w:rFonts w:cs="Times New Roman"/>
          <w:lang w:val="en-US"/>
        </w:rPr>
        <w:t>, 1863–1872 (2005).</w:t>
      </w:r>
    </w:p>
    <w:p w14:paraId="654022D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61.</w:t>
      </w:r>
      <w:r w:rsidRPr="00900F5E">
        <w:rPr>
          <w:rFonts w:cs="Times New Roman"/>
          <w:lang w:val="en-US"/>
        </w:rPr>
        <w:tab/>
        <w:t xml:space="preserve">Beach, T.G. </w:t>
      </w:r>
      <w:r w:rsidRPr="00900F5E">
        <w:rPr>
          <w:rFonts w:cs="Times New Roman"/>
          <w:i/>
          <w:iCs/>
          <w:lang w:val="en-US"/>
        </w:rPr>
        <w:t>et al.</w:t>
      </w:r>
      <w:r w:rsidRPr="00900F5E">
        <w:rPr>
          <w:rFonts w:cs="Times New Roman"/>
          <w:lang w:val="en-US"/>
        </w:rPr>
        <w:t xml:space="preserve"> Unified staging system for Lewy body disorders: correlation with nigrostriatal degeneration, cognitive impairment and motor dysfunction.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117</w:t>
      </w:r>
      <w:r w:rsidRPr="00900F5E">
        <w:rPr>
          <w:rFonts w:cs="Times New Roman"/>
          <w:lang w:val="en-US"/>
        </w:rPr>
        <w:t xml:space="preserve"> (6), 613–34 (2009).</w:t>
      </w:r>
    </w:p>
    <w:p w14:paraId="68867C3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62.</w:t>
      </w:r>
      <w:r w:rsidRPr="00900F5E">
        <w:rPr>
          <w:rFonts w:cs="Times New Roman"/>
          <w:lang w:val="en-US"/>
        </w:rPr>
        <w:tab/>
        <w:t xml:space="preserve">McKeith, I.G. </w:t>
      </w:r>
      <w:r w:rsidRPr="00900F5E">
        <w:rPr>
          <w:rFonts w:cs="Times New Roman"/>
          <w:i/>
          <w:iCs/>
          <w:lang w:val="en-US"/>
        </w:rPr>
        <w:t>et al.</w:t>
      </w:r>
      <w:r w:rsidRPr="00900F5E">
        <w:rPr>
          <w:rFonts w:cs="Times New Roman"/>
          <w:lang w:val="en-US"/>
        </w:rPr>
        <w:t xml:space="preserve"> Diagnosis and management of dementia with Lewy bodies. </w:t>
      </w:r>
      <w:r w:rsidRPr="00900F5E">
        <w:rPr>
          <w:rFonts w:cs="Times New Roman"/>
          <w:i/>
          <w:iCs/>
          <w:lang w:val="en-US"/>
        </w:rPr>
        <w:t>Neurology</w:t>
      </w:r>
      <w:r w:rsidRPr="00900F5E">
        <w:rPr>
          <w:rFonts w:cs="Times New Roman"/>
          <w:lang w:val="en-US"/>
        </w:rPr>
        <w:t xml:space="preserve">. </w:t>
      </w:r>
      <w:r w:rsidRPr="00900F5E">
        <w:rPr>
          <w:rFonts w:cs="Times New Roman"/>
          <w:b/>
          <w:bCs/>
          <w:lang w:val="en-US"/>
        </w:rPr>
        <w:t>89</w:t>
      </w:r>
      <w:r w:rsidRPr="00900F5E">
        <w:rPr>
          <w:rFonts w:cs="Times New Roman"/>
          <w:lang w:val="en-US"/>
        </w:rPr>
        <w:t xml:space="preserve"> (1), 88–100 (2017).</w:t>
      </w:r>
    </w:p>
    <w:p w14:paraId="0A58DE9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63.</w:t>
      </w:r>
      <w:r w:rsidRPr="00900F5E">
        <w:rPr>
          <w:rFonts w:cs="Times New Roman"/>
          <w:lang w:val="en-US"/>
        </w:rPr>
        <w:tab/>
        <w:t xml:space="preserve">Trojanowski, J.Q., Revesz, T., Neuropathology Working Group on MSA Proposed neuropathological criteria for the post mortem diagnosis of multiple system atrophy. </w:t>
      </w:r>
      <w:r w:rsidRPr="00900F5E">
        <w:rPr>
          <w:rFonts w:cs="Times New Roman"/>
          <w:i/>
          <w:iCs/>
          <w:lang w:val="en-US"/>
        </w:rPr>
        <w:t>Neuropathology and applied neurobiology</w:t>
      </w:r>
      <w:r w:rsidRPr="00900F5E">
        <w:rPr>
          <w:rFonts w:cs="Times New Roman"/>
          <w:lang w:val="en-US"/>
        </w:rPr>
        <w:t xml:space="preserve">. </w:t>
      </w:r>
      <w:r w:rsidRPr="00900F5E">
        <w:rPr>
          <w:rFonts w:cs="Times New Roman"/>
          <w:b/>
          <w:bCs/>
          <w:lang w:val="en-US"/>
        </w:rPr>
        <w:t>33</w:t>
      </w:r>
      <w:r w:rsidRPr="00900F5E">
        <w:rPr>
          <w:rFonts w:cs="Times New Roman"/>
          <w:lang w:val="en-US"/>
        </w:rPr>
        <w:t xml:space="preserve"> (6), 615–20 (2007).</w:t>
      </w:r>
    </w:p>
    <w:p w14:paraId="0E611E8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64.</w:t>
      </w:r>
      <w:r w:rsidRPr="00900F5E">
        <w:rPr>
          <w:rFonts w:cs="Times New Roman"/>
          <w:lang w:val="en-US"/>
        </w:rPr>
        <w:tab/>
        <w:t xml:space="preserve">Mackenzie, I.R.A. </w:t>
      </w:r>
      <w:r w:rsidRPr="00900F5E">
        <w:rPr>
          <w:rFonts w:cs="Times New Roman"/>
          <w:i/>
          <w:iCs/>
          <w:lang w:val="en-US"/>
        </w:rPr>
        <w:t>et al.</w:t>
      </w:r>
      <w:r w:rsidRPr="00900F5E">
        <w:rPr>
          <w:rFonts w:cs="Times New Roman"/>
          <w:lang w:val="en-US"/>
        </w:rPr>
        <w:t xml:space="preserve"> A harmonized classification system for FTLD-TDP pathology.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122</w:t>
      </w:r>
      <w:r w:rsidRPr="00900F5E">
        <w:rPr>
          <w:rFonts w:cs="Times New Roman"/>
          <w:lang w:val="en-US"/>
        </w:rPr>
        <w:t xml:space="preserve"> (1), 111–3 (2011).</w:t>
      </w:r>
    </w:p>
    <w:p w14:paraId="3EDDE82E" w14:textId="77777777" w:rsidR="00C1675A" w:rsidRPr="001E1FEA" w:rsidRDefault="00C1675A" w:rsidP="00C1675A">
      <w:pPr>
        <w:autoSpaceDE w:val="0"/>
        <w:autoSpaceDN w:val="0"/>
        <w:adjustRightInd w:val="0"/>
        <w:ind w:left="640" w:hanging="640"/>
        <w:rPr>
          <w:rFonts w:cs="Times New Roman"/>
          <w:color w:val="FF0000"/>
          <w:lang w:val="en-US"/>
        </w:rPr>
      </w:pPr>
      <w:r w:rsidRPr="001E1FEA">
        <w:rPr>
          <w:rFonts w:cs="Times New Roman"/>
          <w:color w:val="FF0000"/>
          <w:lang w:val="en-US"/>
        </w:rPr>
        <w:t>65.</w:t>
      </w:r>
      <w:r w:rsidRPr="001E1FEA">
        <w:rPr>
          <w:rFonts w:cs="Times New Roman"/>
          <w:color w:val="FF0000"/>
          <w:lang w:val="en-US"/>
        </w:rPr>
        <w:tab/>
        <w:t xml:space="preserve">Nelson, P.T. </w:t>
      </w:r>
      <w:r w:rsidRPr="001E1FEA">
        <w:rPr>
          <w:rFonts w:cs="Times New Roman"/>
          <w:i/>
          <w:iCs/>
          <w:color w:val="FF0000"/>
          <w:lang w:val="en-US"/>
        </w:rPr>
        <w:t>et al.</w:t>
      </w:r>
      <w:r w:rsidRPr="001E1FEA">
        <w:rPr>
          <w:rFonts w:cs="Times New Roman"/>
          <w:color w:val="FF0000"/>
          <w:lang w:val="en-US"/>
        </w:rPr>
        <w:t xml:space="preserve"> Limbic-predominant age-related TDP-43 encephalopathy (LATE): consensus working group report. </w:t>
      </w:r>
      <w:r w:rsidRPr="001E1FEA">
        <w:rPr>
          <w:rFonts w:cs="Times New Roman"/>
          <w:i/>
          <w:iCs/>
          <w:color w:val="FF0000"/>
          <w:lang w:val="en-US"/>
        </w:rPr>
        <w:t>Brain</w:t>
      </w:r>
      <w:r w:rsidRPr="001E1FEA">
        <w:rPr>
          <w:rFonts w:cs="Times New Roman"/>
          <w:color w:val="FF0000"/>
          <w:lang w:val="en-US"/>
        </w:rPr>
        <w:t xml:space="preserve">. </w:t>
      </w:r>
      <w:r w:rsidRPr="001E1FEA">
        <w:rPr>
          <w:rFonts w:cs="Times New Roman"/>
          <w:b/>
          <w:bCs/>
          <w:color w:val="FF0000"/>
          <w:lang w:val="en-US"/>
        </w:rPr>
        <w:t>142</w:t>
      </w:r>
      <w:r w:rsidRPr="001E1FEA">
        <w:rPr>
          <w:rFonts w:cs="Times New Roman"/>
          <w:color w:val="FF0000"/>
          <w:lang w:val="en-US"/>
        </w:rPr>
        <w:t xml:space="preserve"> (6), 1503–1527 (2019).</w:t>
      </w:r>
    </w:p>
    <w:p w14:paraId="6221083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66.</w:t>
      </w:r>
      <w:r w:rsidRPr="00900F5E">
        <w:rPr>
          <w:rFonts w:cs="Times New Roman"/>
          <w:lang w:val="en-US"/>
        </w:rPr>
        <w:tab/>
        <w:t xml:space="preserve">Josephs, K.A. </w:t>
      </w:r>
      <w:r w:rsidRPr="00900F5E">
        <w:rPr>
          <w:rFonts w:cs="Times New Roman"/>
          <w:i/>
          <w:iCs/>
          <w:lang w:val="en-US"/>
        </w:rPr>
        <w:t>et al.</w:t>
      </w:r>
      <w:r w:rsidRPr="00900F5E">
        <w:rPr>
          <w:rFonts w:cs="Times New Roman"/>
          <w:lang w:val="en-US"/>
        </w:rPr>
        <w:t xml:space="preserve"> Staging TDP-43 pathology in Alzheimer’s disease. </w:t>
      </w:r>
      <w:r w:rsidRPr="00900F5E">
        <w:rPr>
          <w:rFonts w:cs="Times New Roman"/>
          <w:i/>
          <w:iCs/>
          <w:lang w:val="en-US"/>
        </w:rPr>
        <w:t>Acta neuropathologica</w:t>
      </w:r>
      <w:r w:rsidRPr="00900F5E">
        <w:rPr>
          <w:rFonts w:cs="Times New Roman"/>
          <w:lang w:val="en-US"/>
        </w:rPr>
        <w:t xml:space="preserve">. </w:t>
      </w:r>
      <w:r w:rsidRPr="00900F5E">
        <w:rPr>
          <w:rFonts w:cs="Times New Roman"/>
          <w:b/>
          <w:bCs/>
          <w:lang w:val="en-US"/>
        </w:rPr>
        <w:t>127</w:t>
      </w:r>
      <w:r w:rsidRPr="00900F5E">
        <w:rPr>
          <w:rFonts w:cs="Times New Roman"/>
          <w:lang w:val="en-US"/>
        </w:rPr>
        <w:t xml:space="preserve"> (3), 441–50 (2014).</w:t>
      </w:r>
    </w:p>
    <w:p w14:paraId="28445E0D"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67.</w:t>
      </w:r>
      <w:r w:rsidRPr="00900F5E">
        <w:rPr>
          <w:rFonts w:cs="Times New Roman"/>
          <w:lang w:val="en-US"/>
        </w:rPr>
        <w:tab/>
        <w:t xml:space="preserve">Rauramaa, T. </w:t>
      </w:r>
      <w:r w:rsidRPr="00900F5E">
        <w:rPr>
          <w:rFonts w:cs="Times New Roman"/>
          <w:i/>
          <w:iCs/>
          <w:lang w:val="en-US"/>
        </w:rPr>
        <w:t>et al.</w:t>
      </w:r>
      <w:r w:rsidRPr="00900F5E">
        <w:rPr>
          <w:rFonts w:cs="Times New Roman"/>
          <w:lang w:val="en-US"/>
        </w:rPr>
        <w:t xml:space="preserve"> Consensus recommendations on pathologic changes in the hippocampus: a postmortem multicenter inter-rater study. </w:t>
      </w:r>
      <w:r w:rsidRPr="00900F5E">
        <w:rPr>
          <w:rFonts w:cs="Times New Roman"/>
          <w:i/>
          <w:iCs/>
          <w:lang w:val="en-US"/>
        </w:rPr>
        <w:t>Journal of neuropathology and experimental neurology</w:t>
      </w:r>
      <w:r w:rsidRPr="00900F5E">
        <w:rPr>
          <w:rFonts w:cs="Times New Roman"/>
          <w:lang w:val="en-US"/>
        </w:rPr>
        <w:t xml:space="preserve">. </w:t>
      </w:r>
      <w:r w:rsidRPr="00900F5E">
        <w:rPr>
          <w:rFonts w:cs="Times New Roman"/>
          <w:b/>
          <w:bCs/>
          <w:lang w:val="en-US"/>
        </w:rPr>
        <w:t>72</w:t>
      </w:r>
      <w:r w:rsidRPr="00900F5E">
        <w:rPr>
          <w:rFonts w:cs="Times New Roman"/>
          <w:lang w:val="en-US"/>
        </w:rPr>
        <w:t xml:space="preserve"> (6), 452–61 (2013).</w:t>
      </w:r>
    </w:p>
    <w:p w14:paraId="61D8E42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68.</w:t>
      </w:r>
      <w:r w:rsidRPr="00900F5E">
        <w:rPr>
          <w:rFonts w:cs="Times New Roman"/>
          <w:lang w:val="en-US"/>
        </w:rPr>
        <w:tab/>
        <w:t xml:space="preserve">Iacono, D. </w:t>
      </w:r>
      <w:r w:rsidRPr="00900F5E">
        <w:rPr>
          <w:rFonts w:cs="Times New Roman"/>
          <w:i/>
          <w:iCs/>
          <w:lang w:val="en-US"/>
        </w:rPr>
        <w:t>et al.</w:t>
      </w:r>
      <w:r w:rsidRPr="00900F5E">
        <w:rPr>
          <w:rFonts w:cs="Times New Roman"/>
          <w:lang w:val="en-US"/>
        </w:rPr>
        <w:t xml:space="preserve"> Same Ages, Same Genes: Same Brains, Same Pathologies?: Dementia Timings, Co-Occurring Brain Pathologies, ApoE Genotypes in Identical and Fraternal Age-matched Twins at Autopsy. </w:t>
      </w:r>
      <w:r w:rsidRPr="00900F5E">
        <w:rPr>
          <w:rFonts w:cs="Times New Roman"/>
          <w:i/>
          <w:iCs/>
          <w:lang w:val="en-US"/>
        </w:rPr>
        <w:t>Alzheimer Disease &amp; Associated Disorders</w:t>
      </w:r>
      <w:r w:rsidRPr="00900F5E">
        <w:rPr>
          <w:rFonts w:cs="Times New Roman"/>
          <w:lang w:val="en-US"/>
        </w:rPr>
        <w:t xml:space="preserve">. </w:t>
      </w:r>
      <w:r w:rsidRPr="00900F5E">
        <w:rPr>
          <w:rFonts w:cs="Times New Roman"/>
          <w:b/>
          <w:bCs/>
          <w:lang w:val="en-US"/>
        </w:rPr>
        <w:t>30</w:t>
      </w:r>
      <w:r w:rsidRPr="00900F5E">
        <w:rPr>
          <w:rFonts w:cs="Times New Roman"/>
          <w:lang w:val="en-US"/>
        </w:rPr>
        <w:t xml:space="preserve"> (2), 178–182 (2016).</w:t>
      </w:r>
    </w:p>
    <w:p w14:paraId="58B668D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69.</w:t>
      </w:r>
      <w:r w:rsidRPr="00900F5E">
        <w:rPr>
          <w:rFonts w:cs="Times New Roman"/>
          <w:lang w:val="en-US"/>
        </w:rPr>
        <w:tab/>
        <w:t xml:space="preserve">Guaita, A. </w:t>
      </w:r>
      <w:r w:rsidRPr="00900F5E">
        <w:rPr>
          <w:rFonts w:cs="Times New Roman"/>
          <w:i/>
          <w:iCs/>
          <w:lang w:val="en-US"/>
        </w:rPr>
        <w:t>et al.</w:t>
      </w:r>
      <w:r w:rsidRPr="00900F5E">
        <w:rPr>
          <w:rFonts w:cs="Times New Roman"/>
          <w:lang w:val="en-US"/>
        </w:rPr>
        <w:t xml:space="preserve"> Influence of socio-demographic features and apolipoprotein E epsilon 4 expression on the prevalence of dementia and cognitive impairment in a population of 70–74-year olds: The InveCe.Ab study. </w:t>
      </w:r>
      <w:r w:rsidRPr="00900F5E">
        <w:rPr>
          <w:rFonts w:cs="Times New Roman"/>
          <w:i/>
          <w:iCs/>
          <w:lang w:val="en-US"/>
        </w:rPr>
        <w:t>Archives of Gerontology and Geriatrics</w:t>
      </w:r>
      <w:r w:rsidRPr="00900F5E">
        <w:rPr>
          <w:rFonts w:cs="Times New Roman"/>
          <w:lang w:val="en-US"/>
        </w:rPr>
        <w:t xml:space="preserve">. </w:t>
      </w:r>
      <w:r w:rsidRPr="00900F5E">
        <w:rPr>
          <w:rFonts w:cs="Times New Roman"/>
          <w:b/>
          <w:bCs/>
          <w:lang w:val="en-US"/>
        </w:rPr>
        <w:t>60</w:t>
      </w:r>
      <w:r w:rsidRPr="00900F5E">
        <w:rPr>
          <w:rFonts w:cs="Times New Roman"/>
          <w:lang w:val="en-US"/>
        </w:rPr>
        <w:t xml:space="preserve"> (2), 334–343 (2015).</w:t>
      </w:r>
    </w:p>
    <w:p w14:paraId="68DFE4ED"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70.</w:t>
      </w:r>
      <w:r w:rsidRPr="00900F5E">
        <w:rPr>
          <w:rFonts w:cs="Times New Roman"/>
          <w:lang w:val="en-US"/>
        </w:rPr>
        <w:tab/>
        <w:t xml:space="preserve">Stevens, M. Factors influencing decisions about donation of the brain for research purposes. </w:t>
      </w:r>
      <w:r w:rsidRPr="00900F5E">
        <w:rPr>
          <w:rFonts w:cs="Times New Roman"/>
          <w:i/>
          <w:iCs/>
          <w:lang w:val="en-US"/>
        </w:rPr>
        <w:t>Age and ageing</w:t>
      </w:r>
      <w:r w:rsidRPr="00900F5E">
        <w:rPr>
          <w:rFonts w:cs="Times New Roman"/>
          <w:lang w:val="en-US"/>
        </w:rPr>
        <w:t xml:space="preserve">. </w:t>
      </w:r>
      <w:r w:rsidRPr="00900F5E">
        <w:rPr>
          <w:rFonts w:cs="Times New Roman"/>
          <w:b/>
          <w:bCs/>
          <w:lang w:val="en-US"/>
        </w:rPr>
        <w:t>27</w:t>
      </w:r>
      <w:r w:rsidRPr="00900F5E">
        <w:rPr>
          <w:rFonts w:cs="Times New Roman"/>
          <w:lang w:val="en-US"/>
        </w:rPr>
        <w:t xml:space="preserve"> (5), 623–9 (1998).</w:t>
      </w:r>
    </w:p>
    <w:p w14:paraId="705E517B"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71.</w:t>
      </w:r>
      <w:r w:rsidRPr="00900F5E">
        <w:rPr>
          <w:rFonts w:cs="Times New Roman"/>
          <w:lang w:val="en-US"/>
        </w:rPr>
        <w:tab/>
        <w:t xml:space="preserve">Le Bouc, R. </w:t>
      </w:r>
      <w:r w:rsidRPr="00900F5E">
        <w:rPr>
          <w:rFonts w:cs="Times New Roman"/>
          <w:i/>
          <w:iCs/>
          <w:lang w:val="en-US"/>
        </w:rPr>
        <w:t>et al.</w:t>
      </w:r>
      <w:r w:rsidRPr="00900F5E">
        <w:rPr>
          <w:rFonts w:cs="Times New Roman"/>
          <w:lang w:val="en-US"/>
        </w:rPr>
        <w:t xml:space="preserve"> Limiting Factors of Brain Donation in Neurodegenerative Diseases: The Example of French Memory Clinics. </w:t>
      </w:r>
      <w:r w:rsidRPr="00900F5E">
        <w:rPr>
          <w:rFonts w:cs="Times New Roman"/>
          <w:i/>
          <w:iCs/>
          <w:lang w:val="en-US"/>
        </w:rPr>
        <w:t>Journal of Alzheimer’s disease : JAD</w:t>
      </w:r>
      <w:r w:rsidRPr="00900F5E">
        <w:rPr>
          <w:rFonts w:cs="Times New Roman"/>
          <w:lang w:val="en-US"/>
        </w:rPr>
        <w:t xml:space="preserve">. </w:t>
      </w:r>
      <w:r w:rsidRPr="00900F5E">
        <w:rPr>
          <w:rFonts w:cs="Times New Roman"/>
          <w:b/>
          <w:bCs/>
          <w:lang w:val="en-US"/>
        </w:rPr>
        <w:t>49</w:t>
      </w:r>
      <w:r w:rsidRPr="00900F5E">
        <w:rPr>
          <w:rFonts w:cs="Times New Roman"/>
          <w:lang w:val="en-US"/>
        </w:rPr>
        <w:t xml:space="preserve"> (4), 1075–83 (2016).</w:t>
      </w:r>
    </w:p>
    <w:p w14:paraId="6D68BF69"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72.</w:t>
      </w:r>
      <w:r w:rsidRPr="00900F5E">
        <w:rPr>
          <w:rFonts w:cs="Times New Roman"/>
          <w:lang w:val="en-US"/>
        </w:rPr>
        <w:tab/>
        <w:t xml:space="preserve">Samarasekera, N. </w:t>
      </w:r>
      <w:r w:rsidRPr="00900F5E">
        <w:rPr>
          <w:rFonts w:cs="Times New Roman"/>
          <w:i/>
          <w:iCs/>
          <w:lang w:val="en-US"/>
        </w:rPr>
        <w:t>et al.</w:t>
      </w:r>
      <w:r w:rsidRPr="00900F5E">
        <w:rPr>
          <w:rFonts w:cs="Times New Roman"/>
          <w:lang w:val="en-US"/>
        </w:rPr>
        <w:t xml:space="preserve"> Brain banking for neurological disorders. </w:t>
      </w:r>
      <w:r w:rsidRPr="00900F5E">
        <w:rPr>
          <w:rFonts w:cs="Times New Roman"/>
          <w:i/>
          <w:iCs/>
          <w:lang w:val="en-US"/>
        </w:rPr>
        <w:t>The Lancet. Neurology</w:t>
      </w:r>
      <w:r w:rsidRPr="00900F5E">
        <w:rPr>
          <w:rFonts w:cs="Times New Roman"/>
          <w:lang w:val="en-US"/>
        </w:rPr>
        <w:t xml:space="preserve">. </w:t>
      </w:r>
      <w:r w:rsidRPr="00900F5E">
        <w:rPr>
          <w:rFonts w:cs="Times New Roman"/>
          <w:b/>
          <w:bCs/>
          <w:lang w:val="en-US"/>
        </w:rPr>
        <w:t>12</w:t>
      </w:r>
      <w:r w:rsidRPr="00900F5E">
        <w:rPr>
          <w:rFonts w:cs="Times New Roman"/>
          <w:lang w:val="en-US"/>
        </w:rPr>
        <w:t xml:space="preserve"> (11), 1096–105 (2013).</w:t>
      </w:r>
    </w:p>
    <w:p w14:paraId="6684165A"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73.</w:t>
      </w:r>
      <w:r w:rsidRPr="00900F5E">
        <w:rPr>
          <w:rFonts w:cs="Times New Roman"/>
          <w:lang w:val="en-US"/>
        </w:rPr>
        <w:tab/>
        <w:t xml:space="preserve">Beach, T.G. </w:t>
      </w:r>
      <w:r w:rsidRPr="00900F5E">
        <w:rPr>
          <w:rFonts w:cs="Times New Roman"/>
          <w:i/>
          <w:iCs/>
          <w:lang w:val="en-US"/>
        </w:rPr>
        <w:t>et al.</w:t>
      </w:r>
      <w:r w:rsidRPr="00900F5E">
        <w:rPr>
          <w:rFonts w:cs="Times New Roman"/>
          <w:lang w:val="en-US"/>
        </w:rPr>
        <w:t xml:space="preserve"> The Sun Health Research Institute Brain Donation Program: description and experience, 1987-2007. </w:t>
      </w:r>
      <w:r w:rsidRPr="00900F5E">
        <w:rPr>
          <w:rFonts w:cs="Times New Roman"/>
          <w:i/>
          <w:iCs/>
          <w:lang w:val="en-US"/>
        </w:rPr>
        <w:t>Cell and tissue banking</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(3), 229–45 (2008).</w:t>
      </w:r>
    </w:p>
    <w:p w14:paraId="745A7A9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74.</w:t>
      </w:r>
      <w:r w:rsidRPr="00900F5E">
        <w:rPr>
          <w:rFonts w:cs="Times New Roman"/>
          <w:lang w:val="en-US"/>
        </w:rPr>
        <w:tab/>
        <w:t xml:space="preserve">Barnes, L.L., Shah, R.C., Aggarwal, N.T., Bennett, D.A., Schneider, J.A. The Minority Aging Research Study: ongoing efforts to obtain brain donation in African Americans without dementia. </w:t>
      </w:r>
      <w:r w:rsidRPr="00900F5E">
        <w:rPr>
          <w:rFonts w:cs="Times New Roman"/>
          <w:i/>
          <w:iCs/>
          <w:lang w:val="en-US"/>
        </w:rPr>
        <w:t>Current Alzheimer research</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(6), 734–45 (2012).</w:t>
      </w:r>
    </w:p>
    <w:p w14:paraId="4E1E1BB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75.</w:t>
      </w:r>
      <w:r w:rsidRPr="00900F5E">
        <w:rPr>
          <w:rFonts w:cs="Times New Roman"/>
          <w:lang w:val="en-US"/>
        </w:rPr>
        <w:tab/>
        <w:t xml:space="preserve">de Lange, G.M., Rademaker, M., Boks, M.P., Palmen, S.J.M.C. Brain donation in psychiatry: results of a Dutch prospective donor program among psychiatric cohort participants. </w:t>
      </w:r>
      <w:r w:rsidRPr="00900F5E">
        <w:rPr>
          <w:rFonts w:cs="Times New Roman"/>
          <w:i/>
          <w:iCs/>
          <w:lang w:val="en-US"/>
        </w:rPr>
        <w:t>BMC psychiatry</w:t>
      </w:r>
      <w:r w:rsidRPr="00900F5E">
        <w:rPr>
          <w:rFonts w:cs="Times New Roman"/>
          <w:lang w:val="en-US"/>
        </w:rPr>
        <w:t xml:space="preserve">. </w:t>
      </w:r>
      <w:r w:rsidRPr="00900F5E">
        <w:rPr>
          <w:rFonts w:cs="Times New Roman"/>
          <w:b/>
          <w:bCs/>
          <w:lang w:val="en-US"/>
        </w:rPr>
        <w:t>17</w:t>
      </w:r>
      <w:r w:rsidRPr="00900F5E">
        <w:rPr>
          <w:rFonts w:cs="Times New Roman"/>
          <w:lang w:val="en-US"/>
        </w:rPr>
        <w:t xml:space="preserve"> (1), 347 (2017).</w:t>
      </w:r>
    </w:p>
    <w:p w14:paraId="741B31E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76.</w:t>
      </w:r>
      <w:r w:rsidRPr="00900F5E">
        <w:rPr>
          <w:rFonts w:cs="Times New Roman"/>
          <w:lang w:val="en-US"/>
        </w:rPr>
        <w:tab/>
        <w:t xml:space="preserve">Peuralinna, T. </w:t>
      </w:r>
      <w:r w:rsidRPr="00900F5E">
        <w:rPr>
          <w:rFonts w:cs="Times New Roman"/>
          <w:i/>
          <w:iCs/>
          <w:lang w:val="en-US"/>
        </w:rPr>
        <w:t>et al.</w:t>
      </w:r>
      <w:r w:rsidRPr="00900F5E">
        <w:rPr>
          <w:rFonts w:cs="Times New Roman"/>
          <w:lang w:val="en-US"/>
        </w:rPr>
        <w:t xml:space="preserve"> APOE and A</w:t>
      </w:r>
      <w:r w:rsidRPr="00C1675A">
        <w:rPr>
          <w:rFonts w:cs="Times New Roman"/>
        </w:rPr>
        <w:t>β</w:t>
      </w:r>
      <w:r w:rsidRPr="00900F5E">
        <w:rPr>
          <w:rFonts w:cs="Times New Roman"/>
          <w:lang w:val="en-US"/>
        </w:rPr>
        <w:t>PP Gene Variation in Cortical and Cerebrovascular Amyloid-</w:t>
      </w:r>
      <w:r w:rsidRPr="00C1675A">
        <w:rPr>
          <w:rFonts w:cs="Times New Roman"/>
        </w:rPr>
        <w:t>β</w:t>
      </w:r>
      <w:r w:rsidRPr="00900F5E">
        <w:rPr>
          <w:rFonts w:cs="Times New Roman"/>
          <w:lang w:val="en-US"/>
        </w:rPr>
        <w:t xml:space="preserve"> Pathology and Alzheimer’s Disease: A Population-Based Analysis. </w:t>
      </w:r>
      <w:r w:rsidRPr="00900F5E">
        <w:rPr>
          <w:rFonts w:cs="Times New Roman"/>
          <w:i/>
          <w:iCs/>
          <w:lang w:val="en-US"/>
        </w:rPr>
        <w:t>Journal of Alzheimer’s Disease</w:t>
      </w:r>
      <w:r w:rsidRPr="00900F5E">
        <w:rPr>
          <w:rFonts w:cs="Times New Roman"/>
          <w:lang w:val="en-US"/>
        </w:rPr>
        <w:t xml:space="preserve">. </w:t>
      </w:r>
      <w:r w:rsidRPr="00900F5E">
        <w:rPr>
          <w:rFonts w:cs="Times New Roman"/>
          <w:b/>
          <w:bCs/>
          <w:lang w:val="en-US"/>
        </w:rPr>
        <w:t>26</w:t>
      </w:r>
      <w:r w:rsidRPr="00900F5E">
        <w:rPr>
          <w:rFonts w:cs="Times New Roman"/>
          <w:lang w:val="en-US"/>
        </w:rPr>
        <w:t xml:space="preserve"> (2), 377–385 (2011).</w:t>
      </w:r>
    </w:p>
    <w:p w14:paraId="52561148"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77.</w:t>
      </w:r>
      <w:r w:rsidRPr="00900F5E">
        <w:rPr>
          <w:rFonts w:cs="Times New Roman"/>
          <w:lang w:val="en-US"/>
        </w:rPr>
        <w:tab/>
        <w:t xml:space="preserve">Kawas, C.H. The oldest old and the 90+ Study. </w:t>
      </w:r>
      <w:r w:rsidRPr="00900F5E">
        <w:rPr>
          <w:rFonts w:cs="Times New Roman"/>
          <w:i/>
          <w:iCs/>
          <w:lang w:val="en-US"/>
        </w:rPr>
        <w:t>Alzheimer’s &amp; dementia : the journal of the Alzheimer’s Association</w:t>
      </w:r>
      <w:r w:rsidRPr="00900F5E">
        <w:rPr>
          <w:rFonts w:cs="Times New Roman"/>
          <w:lang w:val="en-US"/>
        </w:rPr>
        <w:t xml:space="preserve">. </w:t>
      </w:r>
      <w:r w:rsidRPr="00900F5E">
        <w:rPr>
          <w:rFonts w:cs="Times New Roman"/>
          <w:b/>
          <w:bCs/>
          <w:lang w:val="en-US"/>
        </w:rPr>
        <w:t>4</w:t>
      </w:r>
      <w:r w:rsidRPr="00900F5E">
        <w:rPr>
          <w:rFonts w:cs="Times New Roman"/>
          <w:lang w:val="en-US"/>
        </w:rPr>
        <w:t xml:space="preserve"> (1 Suppl 1), S56-9 (2008).</w:t>
      </w:r>
    </w:p>
    <w:p w14:paraId="4AE1D0F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78.</w:t>
      </w:r>
      <w:r w:rsidRPr="00900F5E">
        <w:rPr>
          <w:rFonts w:cs="Times New Roman"/>
          <w:lang w:val="en-US"/>
        </w:rPr>
        <w:tab/>
        <w:t xml:space="preserve">Bennett, D.A., Schneider, J.A., Arvanitakis, Z., Wilson, R.S. Overview and findings from the religious orders study. </w:t>
      </w:r>
      <w:r w:rsidRPr="00900F5E">
        <w:rPr>
          <w:rFonts w:cs="Times New Roman"/>
          <w:i/>
          <w:iCs/>
          <w:lang w:val="en-US"/>
        </w:rPr>
        <w:t>Current Alzheimer research</w:t>
      </w:r>
      <w:r w:rsidRPr="00900F5E">
        <w:rPr>
          <w:rFonts w:cs="Times New Roman"/>
          <w:lang w:val="en-US"/>
        </w:rPr>
        <w:t xml:space="preserve">. </w:t>
      </w:r>
      <w:r w:rsidRPr="00900F5E">
        <w:rPr>
          <w:rFonts w:cs="Times New Roman"/>
          <w:b/>
          <w:bCs/>
          <w:lang w:val="en-US"/>
        </w:rPr>
        <w:t>9</w:t>
      </w:r>
      <w:r w:rsidRPr="00900F5E">
        <w:rPr>
          <w:rFonts w:cs="Times New Roman"/>
          <w:lang w:val="en-US"/>
        </w:rPr>
        <w:t xml:space="preserve"> (6), 628–45, at &lt;http://www.ncbi.nlm.nih.gov/pubmed/22471860&gt; (2012).</w:t>
      </w:r>
    </w:p>
    <w:p w14:paraId="541B984F"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79.</w:t>
      </w:r>
      <w:r w:rsidRPr="00900F5E">
        <w:rPr>
          <w:rFonts w:cs="Times New Roman"/>
          <w:lang w:val="en-US"/>
        </w:rPr>
        <w:tab/>
        <w:t xml:space="preserve">O’Brien, R.J. </w:t>
      </w:r>
      <w:r w:rsidRPr="00900F5E">
        <w:rPr>
          <w:rFonts w:cs="Times New Roman"/>
          <w:i/>
          <w:iCs/>
          <w:lang w:val="en-US"/>
        </w:rPr>
        <w:t>et al.</w:t>
      </w:r>
      <w:r w:rsidRPr="00900F5E">
        <w:rPr>
          <w:rFonts w:cs="Times New Roman"/>
          <w:lang w:val="en-US"/>
        </w:rPr>
        <w:t xml:space="preserve"> Neuropathologic studies of the Baltimore Longitudinal Study of Aging (BLSA). </w:t>
      </w:r>
      <w:r w:rsidRPr="00900F5E">
        <w:rPr>
          <w:rFonts w:cs="Times New Roman"/>
          <w:i/>
          <w:iCs/>
          <w:lang w:val="en-US"/>
        </w:rPr>
        <w:t>Journal of Alzheimer’s disease : JAD</w:t>
      </w:r>
      <w:r w:rsidRPr="00900F5E">
        <w:rPr>
          <w:rFonts w:cs="Times New Roman"/>
          <w:lang w:val="en-US"/>
        </w:rPr>
        <w:t xml:space="preserve">. </w:t>
      </w:r>
      <w:r w:rsidRPr="00900F5E">
        <w:rPr>
          <w:rFonts w:cs="Times New Roman"/>
          <w:b/>
          <w:bCs/>
          <w:lang w:val="en-US"/>
        </w:rPr>
        <w:t>18</w:t>
      </w:r>
      <w:r w:rsidRPr="00900F5E">
        <w:rPr>
          <w:rFonts w:cs="Times New Roman"/>
          <w:lang w:val="en-US"/>
        </w:rPr>
        <w:t xml:space="preserve"> (3), 665–75 (2009).</w:t>
      </w:r>
    </w:p>
    <w:p w14:paraId="41AEE81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80.</w:t>
      </w:r>
      <w:r w:rsidRPr="00900F5E">
        <w:rPr>
          <w:rFonts w:cs="Times New Roman"/>
          <w:lang w:val="en-US"/>
        </w:rPr>
        <w:tab/>
        <w:t xml:space="preserve">Jonkman, L.E. </w:t>
      </w:r>
      <w:r w:rsidRPr="00900F5E">
        <w:rPr>
          <w:rFonts w:cs="Times New Roman"/>
          <w:i/>
          <w:iCs/>
          <w:lang w:val="en-US"/>
        </w:rPr>
        <w:t>et al.</w:t>
      </w:r>
      <w:r w:rsidRPr="00900F5E">
        <w:rPr>
          <w:rFonts w:cs="Times New Roman"/>
          <w:lang w:val="en-US"/>
        </w:rPr>
        <w:t xml:space="preserve"> Normal Aging Brain Collection Amsterdam (NABCA): A comprehensive collection of postmortem high-field imaging, neuropathological and morphometric datasets of non-neurological controls. </w:t>
      </w:r>
      <w:r w:rsidRPr="00900F5E">
        <w:rPr>
          <w:rFonts w:cs="Times New Roman"/>
          <w:i/>
          <w:iCs/>
          <w:lang w:val="en-US"/>
        </w:rPr>
        <w:t>NeuroImage: Clinical</w:t>
      </w:r>
      <w:r w:rsidRPr="00900F5E">
        <w:rPr>
          <w:rFonts w:cs="Times New Roman"/>
          <w:lang w:val="en-US"/>
        </w:rPr>
        <w:t xml:space="preserve">. </w:t>
      </w:r>
      <w:r w:rsidRPr="00900F5E">
        <w:rPr>
          <w:rFonts w:cs="Times New Roman"/>
          <w:b/>
          <w:bCs/>
          <w:lang w:val="en-US"/>
        </w:rPr>
        <w:t>22</w:t>
      </w:r>
      <w:r w:rsidRPr="00900F5E">
        <w:rPr>
          <w:rFonts w:cs="Times New Roman"/>
          <w:lang w:val="en-US"/>
        </w:rPr>
        <w:t>, 101698 (2019).</w:t>
      </w:r>
    </w:p>
    <w:p w14:paraId="6E0A8894"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81.</w:t>
      </w:r>
      <w:r w:rsidRPr="00900F5E">
        <w:rPr>
          <w:rFonts w:cs="Times New Roman"/>
          <w:lang w:val="en-US"/>
        </w:rPr>
        <w:tab/>
        <w:t xml:space="preserve">Polito, L. </w:t>
      </w:r>
      <w:r w:rsidRPr="00900F5E">
        <w:rPr>
          <w:rFonts w:cs="Times New Roman"/>
          <w:i/>
          <w:iCs/>
          <w:lang w:val="en-US"/>
        </w:rPr>
        <w:t>et al.</w:t>
      </w:r>
      <w:r w:rsidRPr="00900F5E">
        <w:rPr>
          <w:rFonts w:cs="Times New Roman"/>
          <w:lang w:val="en-US"/>
        </w:rPr>
        <w:t xml:space="preserve"> High homocysteine and epistasis between MTHFR and APOE: association with cognitive performance in the elderly. </w:t>
      </w:r>
      <w:r w:rsidRPr="00900F5E">
        <w:rPr>
          <w:rFonts w:cs="Times New Roman"/>
          <w:i/>
          <w:iCs/>
          <w:lang w:val="en-US"/>
        </w:rPr>
        <w:t>Experimental gerontology</w:t>
      </w:r>
      <w:r w:rsidRPr="00900F5E">
        <w:rPr>
          <w:rFonts w:cs="Times New Roman"/>
          <w:lang w:val="en-US"/>
        </w:rPr>
        <w:t xml:space="preserve">. </w:t>
      </w:r>
      <w:r w:rsidRPr="00900F5E">
        <w:rPr>
          <w:rFonts w:cs="Times New Roman"/>
          <w:b/>
          <w:bCs/>
          <w:lang w:val="en-US"/>
        </w:rPr>
        <w:t>76</w:t>
      </w:r>
      <w:r w:rsidRPr="00900F5E">
        <w:rPr>
          <w:rFonts w:cs="Times New Roman"/>
          <w:lang w:val="en-US"/>
        </w:rPr>
        <w:t>, 9–16, doi: 10.1016/j.exger.2016.01.005 (2016).</w:t>
      </w:r>
    </w:p>
    <w:p w14:paraId="252687E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82.</w:t>
      </w:r>
      <w:r w:rsidRPr="00900F5E">
        <w:rPr>
          <w:rFonts w:cs="Times New Roman"/>
          <w:lang w:val="en-US"/>
        </w:rPr>
        <w:tab/>
        <w:t xml:space="preserve">Amzica F, L.D.S.F. Cellular substrates of brain rhythms. </w:t>
      </w:r>
      <w:r w:rsidRPr="00900F5E">
        <w:rPr>
          <w:rFonts w:cs="Times New Roman"/>
          <w:i/>
          <w:iCs/>
          <w:lang w:val="en-US"/>
        </w:rPr>
        <w:t>Niedermeyer’s Electroencephalography is now in its thoroughly updated sixth edition.</w:t>
      </w:r>
      <w:r w:rsidRPr="00900F5E">
        <w:rPr>
          <w:rFonts w:cs="Times New Roman"/>
          <w:lang w:val="en-US"/>
        </w:rPr>
        <w:t xml:space="preserve"> 33–63 (2009).</w:t>
      </w:r>
    </w:p>
    <w:p w14:paraId="5237B527"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83.</w:t>
      </w:r>
      <w:r w:rsidRPr="00900F5E">
        <w:rPr>
          <w:rFonts w:cs="Times New Roman"/>
          <w:lang w:val="en-US"/>
        </w:rPr>
        <w:tab/>
        <w:t xml:space="preserve">Vecchio, F. </w:t>
      </w:r>
      <w:r w:rsidRPr="00900F5E">
        <w:rPr>
          <w:rFonts w:cs="Times New Roman"/>
          <w:i/>
          <w:iCs/>
          <w:lang w:val="en-US"/>
        </w:rPr>
        <w:t>et al.</w:t>
      </w:r>
      <w:r w:rsidRPr="00900F5E">
        <w:rPr>
          <w:rFonts w:cs="Times New Roman"/>
          <w:lang w:val="en-US"/>
        </w:rPr>
        <w:t xml:space="preserve"> Resting state cortical EEG rhythms in Alzheimer’s disease: toward EEG markers for clinical applications: a review. </w:t>
      </w:r>
      <w:r w:rsidRPr="00900F5E">
        <w:rPr>
          <w:rFonts w:cs="Times New Roman"/>
          <w:i/>
          <w:iCs/>
          <w:lang w:val="en-US"/>
        </w:rPr>
        <w:t>Supplements to Clinical neurophysiology</w:t>
      </w:r>
      <w:r w:rsidRPr="00900F5E">
        <w:rPr>
          <w:rFonts w:cs="Times New Roman"/>
          <w:lang w:val="en-US"/>
        </w:rPr>
        <w:t xml:space="preserve">. </w:t>
      </w:r>
      <w:r w:rsidRPr="00900F5E">
        <w:rPr>
          <w:rFonts w:cs="Times New Roman"/>
          <w:b/>
          <w:bCs/>
          <w:lang w:val="en-US"/>
        </w:rPr>
        <w:t>62</w:t>
      </w:r>
      <w:r w:rsidRPr="00900F5E">
        <w:rPr>
          <w:rFonts w:cs="Times New Roman"/>
          <w:lang w:val="en-US"/>
        </w:rPr>
        <w:t>, 223–36 (2013).</w:t>
      </w:r>
    </w:p>
    <w:p w14:paraId="3E2D8105"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84.</w:t>
      </w:r>
      <w:r w:rsidRPr="00900F5E">
        <w:rPr>
          <w:rFonts w:cs="Times New Roman"/>
          <w:lang w:val="en-US"/>
        </w:rPr>
        <w:tab/>
        <w:t xml:space="preserve">Gouw, A.A. </w:t>
      </w:r>
      <w:r w:rsidRPr="00900F5E">
        <w:rPr>
          <w:rFonts w:cs="Times New Roman"/>
          <w:i/>
          <w:iCs/>
          <w:lang w:val="en-US"/>
        </w:rPr>
        <w:t>et al.</w:t>
      </w:r>
      <w:r w:rsidRPr="00900F5E">
        <w:rPr>
          <w:rFonts w:cs="Times New Roman"/>
          <w:lang w:val="en-US"/>
        </w:rPr>
        <w:t xml:space="preserve"> EEG spectral analysis as a putative early prognostic biomarker in nondemented, amyloid positive subjects.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57</w:t>
      </w:r>
      <w:r w:rsidRPr="00900F5E">
        <w:rPr>
          <w:rFonts w:cs="Times New Roman"/>
          <w:lang w:val="en-US"/>
        </w:rPr>
        <w:t>, 133–142 (2017).</w:t>
      </w:r>
    </w:p>
    <w:p w14:paraId="72BB6D3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85.</w:t>
      </w:r>
      <w:r w:rsidRPr="00900F5E">
        <w:rPr>
          <w:rFonts w:cs="Times New Roman"/>
          <w:lang w:val="en-US"/>
        </w:rPr>
        <w:tab/>
        <w:t xml:space="preserve">Babiloni, C. </w:t>
      </w:r>
      <w:r w:rsidRPr="00900F5E">
        <w:rPr>
          <w:rFonts w:cs="Times New Roman"/>
          <w:i/>
          <w:iCs/>
          <w:lang w:val="en-US"/>
        </w:rPr>
        <w:t>et al.</w:t>
      </w:r>
      <w:r w:rsidRPr="00900F5E">
        <w:rPr>
          <w:rFonts w:cs="Times New Roman"/>
          <w:lang w:val="en-US"/>
        </w:rPr>
        <w:t xml:space="preserve"> Abnormalities of cortical neural synchronization mechanisms in patients with dementia due to Alzheimer’s and Lewy body diseases: an EEG study.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55</w:t>
      </w:r>
      <w:r w:rsidRPr="00900F5E">
        <w:rPr>
          <w:rFonts w:cs="Times New Roman"/>
          <w:lang w:val="en-US"/>
        </w:rPr>
        <w:t>, 143–158 (2017).</w:t>
      </w:r>
    </w:p>
    <w:p w14:paraId="1B59AD00"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86.</w:t>
      </w:r>
      <w:r w:rsidRPr="00900F5E">
        <w:rPr>
          <w:rFonts w:cs="Times New Roman"/>
          <w:lang w:val="en-US"/>
        </w:rPr>
        <w:tab/>
        <w:t xml:space="preserve">Bonanni, L. </w:t>
      </w:r>
      <w:r w:rsidRPr="00900F5E">
        <w:rPr>
          <w:rFonts w:cs="Times New Roman"/>
          <w:i/>
          <w:iCs/>
          <w:lang w:val="en-US"/>
        </w:rPr>
        <w:t>et al.</w:t>
      </w:r>
      <w:r w:rsidRPr="00900F5E">
        <w:rPr>
          <w:rFonts w:cs="Times New Roman"/>
          <w:lang w:val="en-US"/>
        </w:rPr>
        <w:t xml:space="preserve"> Quantitative electroencephalogram utility in predicting conversion of mild cognitive impairment to dementia with Lewy bodies. </w:t>
      </w:r>
      <w:r w:rsidRPr="00900F5E">
        <w:rPr>
          <w:rFonts w:cs="Times New Roman"/>
          <w:i/>
          <w:iCs/>
          <w:lang w:val="en-US"/>
        </w:rPr>
        <w:t>Neurobiology of Aging</w:t>
      </w:r>
      <w:r w:rsidRPr="00900F5E">
        <w:rPr>
          <w:rFonts w:cs="Times New Roman"/>
          <w:lang w:val="en-US"/>
        </w:rPr>
        <w:t xml:space="preserve">. </w:t>
      </w:r>
      <w:r w:rsidRPr="00900F5E">
        <w:rPr>
          <w:rFonts w:cs="Times New Roman"/>
          <w:b/>
          <w:bCs/>
          <w:lang w:val="en-US"/>
        </w:rPr>
        <w:t>36</w:t>
      </w:r>
      <w:r w:rsidRPr="00900F5E">
        <w:rPr>
          <w:rFonts w:cs="Times New Roman"/>
          <w:lang w:val="en-US"/>
        </w:rPr>
        <w:t xml:space="preserve"> (1), 434–445 (2015).</w:t>
      </w:r>
    </w:p>
    <w:p w14:paraId="5A4EA08E"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87.</w:t>
      </w:r>
      <w:r w:rsidRPr="00900F5E">
        <w:rPr>
          <w:rFonts w:cs="Times New Roman"/>
          <w:lang w:val="en-US"/>
        </w:rPr>
        <w:tab/>
        <w:t xml:space="preserve">Engedal, K. </w:t>
      </w:r>
      <w:r w:rsidRPr="00900F5E">
        <w:rPr>
          <w:rFonts w:cs="Times New Roman"/>
          <w:i/>
          <w:iCs/>
          <w:lang w:val="en-US"/>
        </w:rPr>
        <w:t>et al.</w:t>
      </w:r>
      <w:r w:rsidRPr="00900F5E">
        <w:rPr>
          <w:rFonts w:cs="Times New Roman"/>
          <w:lang w:val="en-US"/>
        </w:rPr>
        <w:t xml:space="preserve"> Quantitative EEG Applying the Statistical Recognition Pattern Method: A Useful Tool in Dementia Diagnostic Workup. </w:t>
      </w:r>
      <w:r w:rsidRPr="00900F5E">
        <w:rPr>
          <w:rFonts w:cs="Times New Roman"/>
          <w:i/>
          <w:iCs/>
          <w:lang w:val="en-US"/>
        </w:rPr>
        <w:t>Dementia and Geriatric Cognitive Disorders</w:t>
      </w:r>
      <w:r w:rsidRPr="00900F5E">
        <w:rPr>
          <w:rFonts w:cs="Times New Roman"/>
          <w:lang w:val="en-US"/>
        </w:rPr>
        <w:t xml:space="preserve">. </w:t>
      </w:r>
      <w:r w:rsidRPr="00900F5E">
        <w:rPr>
          <w:rFonts w:cs="Times New Roman"/>
          <w:b/>
          <w:bCs/>
          <w:lang w:val="en-US"/>
        </w:rPr>
        <w:t>40</w:t>
      </w:r>
      <w:r w:rsidRPr="00900F5E">
        <w:rPr>
          <w:rFonts w:cs="Times New Roman"/>
          <w:lang w:val="en-US"/>
        </w:rPr>
        <w:t xml:space="preserve"> (1–2), 1–12 (2015).</w:t>
      </w:r>
    </w:p>
    <w:p w14:paraId="15725356"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88.</w:t>
      </w:r>
      <w:r w:rsidRPr="00900F5E">
        <w:rPr>
          <w:rFonts w:cs="Times New Roman"/>
          <w:lang w:val="en-US"/>
        </w:rPr>
        <w:tab/>
        <w:t xml:space="preserve">Caviness, J.N., Beach, T.G., Hentz, J.G., Shill, H.A., Driver-Dunckley, E.D., Adler, C.H. Association Between Pathology and Electroencephalographic Activity in Parkinson’s Disease. </w:t>
      </w:r>
      <w:r w:rsidRPr="00900F5E">
        <w:rPr>
          <w:rFonts w:cs="Times New Roman"/>
          <w:i/>
          <w:iCs/>
          <w:lang w:val="en-US"/>
        </w:rPr>
        <w:t>Clinical EEG and Neuroscience</w:t>
      </w:r>
      <w:r w:rsidRPr="00900F5E">
        <w:rPr>
          <w:rFonts w:cs="Times New Roman"/>
          <w:lang w:val="en-US"/>
        </w:rPr>
        <w:t xml:space="preserve">. </w:t>
      </w:r>
      <w:r w:rsidRPr="00900F5E">
        <w:rPr>
          <w:rFonts w:cs="Times New Roman"/>
          <w:b/>
          <w:bCs/>
          <w:lang w:val="en-US"/>
        </w:rPr>
        <w:t>49</w:t>
      </w:r>
      <w:r w:rsidRPr="00900F5E">
        <w:rPr>
          <w:rFonts w:cs="Times New Roman"/>
          <w:lang w:val="en-US"/>
        </w:rPr>
        <w:t xml:space="preserve"> (5), 321–327 (2018).</w:t>
      </w:r>
    </w:p>
    <w:p w14:paraId="5DF3C55C"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89.</w:t>
      </w:r>
      <w:r w:rsidRPr="00900F5E">
        <w:rPr>
          <w:rFonts w:cs="Times New Roman"/>
          <w:lang w:val="en-US"/>
        </w:rPr>
        <w:tab/>
        <w:t xml:space="preserve">Goossens, J. </w:t>
      </w:r>
      <w:r w:rsidRPr="00900F5E">
        <w:rPr>
          <w:rFonts w:cs="Times New Roman"/>
          <w:i/>
          <w:iCs/>
          <w:lang w:val="en-US"/>
        </w:rPr>
        <w:t>et al.</w:t>
      </w:r>
      <w:r w:rsidRPr="00900F5E">
        <w:rPr>
          <w:rFonts w:cs="Times New Roman"/>
          <w:lang w:val="en-US"/>
        </w:rPr>
        <w:t xml:space="preserve"> EEG Dominant Frequency Peak Differentiates Between Alzheimer’s Disease and Frontotemporal Lobar Degeneration. </w:t>
      </w:r>
      <w:r w:rsidRPr="00900F5E">
        <w:rPr>
          <w:rFonts w:cs="Times New Roman"/>
          <w:i/>
          <w:iCs/>
          <w:lang w:val="en-US"/>
        </w:rPr>
        <w:t>Journal of Alzheimer’s Disease</w:t>
      </w:r>
      <w:r w:rsidRPr="00900F5E">
        <w:rPr>
          <w:rFonts w:cs="Times New Roman"/>
          <w:lang w:val="en-US"/>
        </w:rPr>
        <w:t xml:space="preserve">. </w:t>
      </w:r>
      <w:r w:rsidRPr="00900F5E">
        <w:rPr>
          <w:rFonts w:cs="Times New Roman"/>
          <w:b/>
          <w:bCs/>
          <w:lang w:val="en-US"/>
        </w:rPr>
        <w:t>55</w:t>
      </w:r>
      <w:r w:rsidRPr="00900F5E">
        <w:rPr>
          <w:rFonts w:cs="Times New Roman"/>
          <w:lang w:val="en-US"/>
        </w:rPr>
        <w:t xml:space="preserve"> (1), 53–58 (2016).</w:t>
      </w:r>
    </w:p>
    <w:p w14:paraId="6BE74052"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lastRenderedPageBreak/>
        <w:t>90.</w:t>
      </w:r>
      <w:r w:rsidRPr="00900F5E">
        <w:rPr>
          <w:rFonts w:cs="Times New Roman"/>
          <w:lang w:val="en-US"/>
        </w:rPr>
        <w:tab/>
        <w:t xml:space="preserve">Bordoni, M. </w:t>
      </w:r>
      <w:r w:rsidRPr="00900F5E">
        <w:rPr>
          <w:rFonts w:cs="Times New Roman"/>
          <w:i/>
          <w:iCs/>
          <w:lang w:val="en-US"/>
        </w:rPr>
        <w:t>et al.</w:t>
      </w:r>
      <w:r w:rsidRPr="00900F5E">
        <w:rPr>
          <w:rFonts w:cs="Times New Roman"/>
          <w:lang w:val="en-US"/>
        </w:rPr>
        <w:t xml:space="preserve"> From Neuronal Differentiation of iPSCs to 3D Neuro-Organoids: Modelling and Therapy of Neurodegenerative Diseases. </w:t>
      </w:r>
      <w:r w:rsidRPr="00900F5E">
        <w:rPr>
          <w:rFonts w:cs="Times New Roman"/>
          <w:i/>
          <w:iCs/>
          <w:lang w:val="en-US"/>
        </w:rPr>
        <w:t>International Journal of Molecular Sciences</w:t>
      </w:r>
      <w:r w:rsidRPr="00900F5E">
        <w:rPr>
          <w:rFonts w:cs="Times New Roman"/>
          <w:lang w:val="en-US"/>
        </w:rPr>
        <w:t xml:space="preserve">. </w:t>
      </w:r>
      <w:r w:rsidRPr="00900F5E">
        <w:rPr>
          <w:rFonts w:cs="Times New Roman"/>
          <w:b/>
          <w:bCs/>
          <w:lang w:val="en-US"/>
        </w:rPr>
        <w:t>19</w:t>
      </w:r>
      <w:r w:rsidRPr="00900F5E">
        <w:rPr>
          <w:rFonts w:cs="Times New Roman"/>
          <w:lang w:val="en-US"/>
        </w:rPr>
        <w:t xml:space="preserve"> (12), 3972 (2018).</w:t>
      </w:r>
    </w:p>
    <w:p w14:paraId="219B8B31" w14:textId="77777777" w:rsidR="00C1675A" w:rsidRPr="00900F5E" w:rsidRDefault="00C1675A" w:rsidP="00C1675A">
      <w:pPr>
        <w:autoSpaceDE w:val="0"/>
        <w:autoSpaceDN w:val="0"/>
        <w:adjustRightInd w:val="0"/>
        <w:ind w:left="640" w:hanging="640"/>
        <w:rPr>
          <w:rFonts w:cs="Times New Roman"/>
          <w:lang w:val="en-US"/>
        </w:rPr>
      </w:pPr>
      <w:r w:rsidRPr="00900F5E">
        <w:rPr>
          <w:rFonts w:cs="Times New Roman"/>
          <w:lang w:val="en-US"/>
        </w:rPr>
        <w:t>91.</w:t>
      </w:r>
      <w:r w:rsidRPr="00900F5E">
        <w:rPr>
          <w:rFonts w:cs="Times New Roman"/>
          <w:lang w:val="en-US"/>
        </w:rPr>
        <w:tab/>
        <w:t xml:space="preserve">Alafuzoff, I. Minimal neuropathologic diagnosis for brain banking in the normal middle-aged and aged brain and in neurodegenerative disorders. </w:t>
      </w:r>
      <w:r w:rsidRPr="00900F5E">
        <w:rPr>
          <w:rFonts w:cs="Times New Roman"/>
          <w:i/>
          <w:iCs/>
          <w:lang w:val="en-US"/>
        </w:rPr>
        <w:t>Handbook of clinical neurology</w:t>
      </w:r>
      <w:r w:rsidRPr="00900F5E">
        <w:rPr>
          <w:rFonts w:cs="Times New Roman"/>
          <w:lang w:val="en-US"/>
        </w:rPr>
        <w:t xml:space="preserve">. </w:t>
      </w:r>
      <w:r w:rsidRPr="00900F5E">
        <w:rPr>
          <w:rFonts w:cs="Times New Roman"/>
          <w:b/>
          <w:bCs/>
          <w:lang w:val="en-US"/>
        </w:rPr>
        <w:t>150</w:t>
      </w:r>
      <w:r w:rsidRPr="00900F5E">
        <w:rPr>
          <w:rFonts w:cs="Times New Roman"/>
          <w:lang w:val="en-US"/>
        </w:rPr>
        <w:t>, 131–141 (2018).</w:t>
      </w:r>
    </w:p>
    <w:p w14:paraId="6737A4F3" w14:textId="77777777" w:rsidR="00C1675A" w:rsidRPr="00C1675A" w:rsidRDefault="00C1675A" w:rsidP="00C1675A">
      <w:pPr>
        <w:autoSpaceDE w:val="0"/>
        <w:autoSpaceDN w:val="0"/>
        <w:adjustRightInd w:val="0"/>
        <w:ind w:left="640" w:hanging="640"/>
      </w:pPr>
      <w:r w:rsidRPr="00900F5E">
        <w:rPr>
          <w:rFonts w:cs="Times New Roman"/>
          <w:lang w:val="en-US"/>
        </w:rPr>
        <w:t>92.</w:t>
      </w:r>
      <w:r w:rsidRPr="00900F5E">
        <w:rPr>
          <w:rFonts w:cs="Times New Roman"/>
          <w:lang w:val="en-US"/>
        </w:rPr>
        <w:tab/>
        <w:t xml:space="preserve">Wharton, S.B. </w:t>
      </w:r>
      <w:r w:rsidRPr="00900F5E">
        <w:rPr>
          <w:rFonts w:cs="Times New Roman"/>
          <w:i/>
          <w:iCs/>
          <w:lang w:val="en-US"/>
        </w:rPr>
        <w:t>et al.</w:t>
      </w:r>
      <w:r w:rsidRPr="00900F5E">
        <w:rPr>
          <w:rFonts w:cs="Times New Roman"/>
          <w:lang w:val="en-US"/>
        </w:rPr>
        <w:t xml:space="preserve"> Epidemiological Neuropathology: The MRC Cognitive Function and Aging Study Experience. </w:t>
      </w:r>
      <w:r w:rsidRPr="00C1675A">
        <w:rPr>
          <w:rFonts w:cs="Times New Roman"/>
          <w:i/>
          <w:iCs/>
        </w:rPr>
        <w:t>Journal of Alzheimer’s Disease</w:t>
      </w:r>
      <w:r w:rsidRPr="00C1675A">
        <w:rPr>
          <w:rFonts w:cs="Times New Roman"/>
        </w:rPr>
        <w:t xml:space="preserve">. </w:t>
      </w:r>
      <w:r w:rsidRPr="00C1675A">
        <w:rPr>
          <w:rFonts w:cs="Times New Roman"/>
          <w:b/>
          <w:bCs/>
        </w:rPr>
        <w:t>25</w:t>
      </w:r>
      <w:r w:rsidRPr="00C1675A">
        <w:rPr>
          <w:rFonts w:cs="Times New Roman"/>
        </w:rPr>
        <w:t xml:space="preserve"> (2), 359–372 (2011).</w:t>
      </w:r>
    </w:p>
    <w:p w14:paraId="3D667A51" w14:textId="4EC5F0B6" w:rsidR="00260252" w:rsidRPr="001F16EC" w:rsidRDefault="008D10EC" w:rsidP="00C1675A">
      <w:pPr>
        <w:autoSpaceDE w:val="0"/>
        <w:autoSpaceDN w:val="0"/>
        <w:adjustRightInd w:val="0"/>
        <w:ind w:left="640" w:hanging="640"/>
        <w:rPr>
          <w:noProof w:val="0"/>
          <w:webHidden/>
          <w:color w:val="auto"/>
          <w:lang w:val="en-US"/>
        </w:rPr>
      </w:pPr>
      <w:r w:rsidRPr="001F16EC">
        <w:rPr>
          <w:b/>
          <w:noProof w:val="0"/>
          <w:color w:val="auto"/>
          <w:lang w:val="en-US"/>
        </w:rPr>
        <w:fldChar w:fldCharType="end"/>
      </w:r>
    </w:p>
    <w:sectPr w:rsidR="00260252" w:rsidRPr="001F16EC">
      <w:headerReference w:type="default" r:id="rId24"/>
      <w:footerReference w:type="first" r:id="rId25"/>
      <w:footnotePr>
        <w:pos w:val="beneathText"/>
      </w:footnotePr>
      <w:pgSz w:w="12240" w:h="15840"/>
      <w:pgMar w:top="1440" w:right="1440" w:bottom="1440" w:left="1440" w:header="720" w:footer="605" w:gutter="0"/>
      <w:lnNumType w:countBy="1" w:restart="continuous"/>
      <w:pgNumType w:start="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D7191" w14:textId="77777777" w:rsidR="00EA0CE3" w:rsidRDefault="00EA0CE3">
      <w:r>
        <w:separator/>
      </w:r>
    </w:p>
  </w:endnote>
  <w:endnote w:type="continuationSeparator" w:id="0">
    <w:p w14:paraId="4429D373" w14:textId="77777777" w:rsidR="00EA0CE3" w:rsidRDefault="00EA0CE3">
      <w:r>
        <w:continuationSeparator/>
      </w:r>
    </w:p>
  </w:endnote>
  <w:endnote w:type="continuationNotice" w:id="1">
    <w:p w14:paraId="4096D682" w14:textId="77777777" w:rsidR="00EA0CE3" w:rsidRDefault="00EA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nt425">
    <w:altName w:val="Calibri"/>
    <w:charset w:val="00"/>
    <w:family w:val="auto"/>
    <w:pitch w:val="variable"/>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Baskerville">
    <w:charset w:val="00"/>
    <w:family w:val="roman"/>
    <w:pitch w:val="variable"/>
    <w:sig w:usb0="80000067" w:usb1="02000000" w:usb2="00000000" w:usb3="00000000" w:csb0="0000019F" w:csb1="00000000"/>
  </w:font>
  <w:font w:name="Baskerville SemiBold">
    <w:charset w:val="00"/>
    <w:family w:val="auto"/>
    <w:pitch w:val="variable"/>
    <w:sig w:usb0="800000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Baskerville-SemiBold">
    <w:altName w:val="Arial"/>
    <w:panose1 w:val="00000000000000000000"/>
    <w:charset w:val="00"/>
    <w:family w:val="swiss"/>
    <w:notTrueType/>
    <w:pitch w:val="default"/>
    <w:sig w:usb0="00000083" w:usb1="00000000" w:usb2="00000000" w:usb3="00000000" w:csb0="00000009"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BBFC5" w14:textId="77777777" w:rsidR="00446E7D" w:rsidRDefault="00446E7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6E54D" w14:textId="77777777" w:rsidR="00EA0CE3" w:rsidRDefault="00EA0CE3">
      <w:r>
        <w:separator/>
      </w:r>
    </w:p>
  </w:footnote>
  <w:footnote w:type="continuationSeparator" w:id="0">
    <w:p w14:paraId="7E7C8931" w14:textId="77777777" w:rsidR="00EA0CE3" w:rsidRDefault="00EA0CE3">
      <w:r>
        <w:continuationSeparator/>
      </w:r>
    </w:p>
  </w:footnote>
  <w:footnote w:type="continuationNotice" w:id="1">
    <w:p w14:paraId="6F7BB4F3" w14:textId="77777777" w:rsidR="00EA0CE3" w:rsidRDefault="00EA0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C9D8" w14:textId="77777777" w:rsidR="00446E7D" w:rsidRDefault="00446E7D">
    <w:pPr>
      <w:pStyle w:val="Intestazione"/>
      <w:tabs>
        <w:tab w:val="clear" w:pos="9360"/>
        <w:tab w:val="left" w:pos="5724"/>
      </w:tabs>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1"/>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0" w15:restartNumberingAfterBreak="0">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5"/>
    <w:lvl w:ilvl="0">
      <w:start w:val="1"/>
      <w:numFmt w:val="bullet"/>
      <w:lvlText w:val=""/>
      <w:lvlJc w:val="left"/>
      <w:pPr>
        <w:tabs>
          <w:tab w:val="num" w:pos="0"/>
        </w:tabs>
        <w:ind w:left="900" w:hanging="360"/>
      </w:pPr>
      <w:rPr>
        <w:rFonts w:ascii="Symbol" w:hAnsi="Symbol" w:cs="Symbol"/>
        <w:w w:val="100"/>
        <w:sz w:val="24"/>
        <w:szCs w:val="24"/>
      </w:rPr>
    </w:lvl>
    <w:lvl w:ilvl="1">
      <w:start w:val="1"/>
      <w:numFmt w:val="bullet"/>
      <w:lvlText w:val="o"/>
      <w:lvlJc w:val="left"/>
      <w:pPr>
        <w:tabs>
          <w:tab w:val="num" w:pos="0"/>
        </w:tabs>
        <w:ind w:left="1620" w:hanging="360"/>
      </w:pPr>
      <w:rPr>
        <w:rFonts w:ascii="Courier New" w:hAnsi="Courier New" w:cs="Courier New"/>
        <w:w w:val="99"/>
      </w:rPr>
    </w:lvl>
    <w:lvl w:ilvl="2">
      <w:start w:val="1"/>
      <w:numFmt w:val="bullet"/>
      <w:lvlText w:val=""/>
      <w:lvlJc w:val="left"/>
      <w:pPr>
        <w:tabs>
          <w:tab w:val="num" w:pos="0"/>
        </w:tabs>
        <w:ind w:left="2520" w:hanging="360"/>
      </w:pPr>
      <w:rPr>
        <w:rFonts w:ascii="Symbol" w:hAnsi="Symbol"/>
      </w:rPr>
    </w:lvl>
    <w:lvl w:ilvl="3">
      <w:start w:val="1"/>
      <w:numFmt w:val="bullet"/>
      <w:lvlText w:val=""/>
      <w:lvlJc w:val="left"/>
      <w:pPr>
        <w:tabs>
          <w:tab w:val="num" w:pos="0"/>
        </w:tabs>
        <w:ind w:left="3420" w:hanging="360"/>
      </w:pPr>
      <w:rPr>
        <w:rFonts w:ascii="Symbol" w:hAnsi="Symbol"/>
      </w:rPr>
    </w:lvl>
    <w:lvl w:ilvl="4">
      <w:start w:val="1"/>
      <w:numFmt w:val="bullet"/>
      <w:lvlText w:val=""/>
      <w:lvlJc w:val="left"/>
      <w:pPr>
        <w:tabs>
          <w:tab w:val="num" w:pos="0"/>
        </w:tabs>
        <w:ind w:left="4320" w:hanging="360"/>
      </w:pPr>
      <w:rPr>
        <w:rFonts w:ascii="Symbol" w:hAnsi="Symbol"/>
      </w:rPr>
    </w:lvl>
    <w:lvl w:ilvl="5">
      <w:start w:val="1"/>
      <w:numFmt w:val="bullet"/>
      <w:lvlText w:val=""/>
      <w:lvlJc w:val="left"/>
      <w:pPr>
        <w:tabs>
          <w:tab w:val="num" w:pos="0"/>
        </w:tabs>
        <w:ind w:left="5220" w:hanging="360"/>
      </w:pPr>
      <w:rPr>
        <w:rFonts w:ascii="Symbol" w:hAnsi="Symbol"/>
      </w:rPr>
    </w:lvl>
    <w:lvl w:ilvl="6">
      <w:start w:val="1"/>
      <w:numFmt w:val="bullet"/>
      <w:lvlText w:val=""/>
      <w:lvlJc w:val="left"/>
      <w:pPr>
        <w:tabs>
          <w:tab w:val="num" w:pos="0"/>
        </w:tabs>
        <w:ind w:left="6120" w:hanging="360"/>
      </w:pPr>
      <w:rPr>
        <w:rFonts w:ascii="Symbol" w:hAnsi="Symbol"/>
      </w:rPr>
    </w:lvl>
    <w:lvl w:ilvl="7">
      <w:start w:val="1"/>
      <w:numFmt w:val="bullet"/>
      <w:lvlText w:val=""/>
      <w:lvlJc w:val="left"/>
      <w:pPr>
        <w:tabs>
          <w:tab w:val="num" w:pos="0"/>
        </w:tabs>
        <w:ind w:left="7020" w:hanging="360"/>
      </w:pPr>
      <w:rPr>
        <w:rFonts w:ascii="Symbol" w:hAnsi="Symbol"/>
      </w:rPr>
    </w:lvl>
    <w:lvl w:ilvl="8">
      <w:start w:val="1"/>
      <w:numFmt w:val="bullet"/>
      <w:lvlText w:val=""/>
      <w:lvlJc w:val="left"/>
      <w:pPr>
        <w:tabs>
          <w:tab w:val="num" w:pos="0"/>
        </w:tabs>
        <w:ind w:left="7920" w:hanging="360"/>
      </w:pPr>
      <w:rPr>
        <w:rFonts w:ascii="Symbol" w:hAnsi="Symbol"/>
      </w:rPr>
    </w:lvl>
  </w:abstractNum>
  <w:abstractNum w:abstractNumId="12" w15:restartNumberingAfterBreak="0">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7"/>
    <w:lvl w:ilvl="0">
      <w:start w:val="1"/>
      <w:numFmt w:val="decimal"/>
      <w:suff w:val="space"/>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Num18"/>
    <w:lvl w:ilvl="0">
      <w:start w:val="1"/>
      <w:numFmt w:val="decimal"/>
      <w:suff w:val="space"/>
      <w:lvlText w:val="%1."/>
      <w:lvlJc w:val="left"/>
      <w:pPr>
        <w:tabs>
          <w:tab w:val="num" w:pos="0"/>
        </w:tabs>
        <w:ind w:left="0" w:firstLine="0"/>
      </w:pPr>
      <w:rPr>
        <w:b/>
      </w:r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00000010"/>
    <w:multiLevelType w:val="multilevel"/>
    <w:tmpl w:val="00000010"/>
    <w:name w:val="WWNum2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6" w15:restartNumberingAfterBreak="0">
    <w:nsid w:val="00000011"/>
    <w:multiLevelType w:val="multilevel"/>
    <w:tmpl w:val="00000011"/>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CC15548"/>
    <w:multiLevelType w:val="hybridMultilevel"/>
    <w:tmpl w:val="F18E6BD8"/>
    <w:lvl w:ilvl="0" w:tplc="A8A449E0">
      <w:start w:val="1"/>
      <w:numFmt w:val="bullet"/>
      <w:lvlText w:val=""/>
      <w:lvlJc w:val="left"/>
      <w:pPr>
        <w:tabs>
          <w:tab w:val="num" w:pos="720"/>
        </w:tabs>
        <w:ind w:left="720" w:hanging="360"/>
      </w:pPr>
      <w:rPr>
        <w:rFonts w:ascii="Symbol" w:hAnsi="Symbol" w:hint="default"/>
        <w:sz w:val="20"/>
      </w:rPr>
    </w:lvl>
    <w:lvl w:ilvl="1" w:tplc="83EC7B96" w:tentative="1">
      <w:start w:val="1"/>
      <w:numFmt w:val="bullet"/>
      <w:lvlText w:val="o"/>
      <w:lvlJc w:val="left"/>
      <w:pPr>
        <w:tabs>
          <w:tab w:val="num" w:pos="1440"/>
        </w:tabs>
        <w:ind w:left="1440" w:hanging="360"/>
      </w:pPr>
      <w:rPr>
        <w:rFonts w:ascii="Courier New" w:hAnsi="Courier New" w:hint="default"/>
        <w:sz w:val="20"/>
      </w:rPr>
    </w:lvl>
    <w:lvl w:ilvl="2" w:tplc="9208E370" w:tentative="1">
      <w:start w:val="1"/>
      <w:numFmt w:val="bullet"/>
      <w:lvlText w:val=""/>
      <w:lvlJc w:val="left"/>
      <w:pPr>
        <w:tabs>
          <w:tab w:val="num" w:pos="2160"/>
        </w:tabs>
        <w:ind w:left="2160" w:hanging="360"/>
      </w:pPr>
      <w:rPr>
        <w:rFonts w:ascii="Wingdings" w:hAnsi="Wingdings" w:hint="default"/>
        <w:sz w:val="20"/>
      </w:rPr>
    </w:lvl>
    <w:lvl w:ilvl="3" w:tplc="C6F09716" w:tentative="1">
      <w:start w:val="1"/>
      <w:numFmt w:val="bullet"/>
      <w:lvlText w:val=""/>
      <w:lvlJc w:val="left"/>
      <w:pPr>
        <w:tabs>
          <w:tab w:val="num" w:pos="2880"/>
        </w:tabs>
        <w:ind w:left="2880" w:hanging="360"/>
      </w:pPr>
      <w:rPr>
        <w:rFonts w:ascii="Wingdings" w:hAnsi="Wingdings" w:hint="default"/>
        <w:sz w:val="20"/>
      </w:rPr>
    </w:lvl>
    <w:lvl w:ilvl="4" w:tplc="901A9914" w:tentative="1">
      <w:start w:val="1"/>
      <w:numFmt w:val="bullet"/>
      <w:lvlText w:val=""/>
      <w:lvlJc w:val="left"/>
      <w:pPr>
        <w:tabs>
          <w:tab w:val="num" w:pos="3600"/>
        </w:tabs>
        <w:ind w:left="3600" w:hanging="360"/>
      </w:pPr>
      <w:rPr>
        <w:rFonts w:ascii="Wingdings" w:hAnsi="Wingdings" w:hint="default"/>
        <w:sz w:val="20"/>
      </w:rPr>
    </w:lvl>
    <w:lvl w:ilvl="5" w:tplc="38D83B58" w:tentative="1">
      <w:start w:val="1"/>
      <w:numFmt w:val="bullet"/>
      <w:lvlText w:val=""/>
      <w:lvlJc w:val="left"/>
      <w:pPr>
        <w:tabs>
          <w:tab w:val="num" w:pos="4320"/>
        </w:tabs>
        <w:ind w:left="4320" w:hanging="360"/>
      </w:pPr>
      <w:rPr>
        <w:rFonts w:ascii="Wingdings" w:hAnsi="Wingdings" w:hint="default"/>
        <w:sz w:val="20"/>
      </w:rPr>
    </w:lvl>
    <w:lvl w:ilvl="6" w:tplc="2E840B82" w:tentative="1">
      <w:start w:val="1"/>
      <w:numFmt w:val="bullet"/>
      <w:lvlText w:val=""/>
      <w:lvlJc w:val="left"/>
      <w:pPr>
        <w:tabs>
          <w:tab w:val="num" w:pos="5040"/>
        </w:tabs>
        <w:ind w:left="5040" w:hanging="360"/>
      </w:pPr>
      <w:rPr>
        <w:rFonts w:ascii="Wingdings" w:hAnsi="Wingdings" w:hint="default"/>
        <w:sz w:val="20"/>
      </w:rPr>
    </w:lvl>
    <w:lvl w:ilvl="7" w:tplc="B802B2EE" w:tentative="1">
      <w:start w:val="1"/>
      <w:numFmt w:val="bullet"/>
      <w:lvlText w:val=""/>
      <w:lvlJc w:val="left"/>
      <w:pPr>
        <w:tabs>
          <w:tab w:val="num" w:pos="5760"/>
        </w:tabs>
        <w:ind w:left="5760" w:hanging="360"/>
      </w:pPr>
      <w:rPr>
        <w:rFonts w:ascii="Wingdings" w:hAnsi="Wingdings" w:hint="default"/>
        <w:sz w:val="20"/>
      </w:rPr>
    </w:lvl>
    <w:lvl w:ilvl="8" w:tplc="DF24E41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8"/>
    <w:rsid w:val="000005D6"/>
    <w:rsid w:val="00005288"/>
    <w:rsid w:val="000106C8"/>
    <w:rsid w:val="00015B23"/>
    <w:rsid w:val="00016181"/>
    <w:rsid w:val="00021F53"/>
    <w:rsid w:val="000232EB"/>
    <w:rsid w:val="0002609D"/>
    <w:rsid w:val="00030283"/>
    <w:rsid w:val="000368FB"/>
    <w:rsid w:val="00040B59"/>
    <w:rsid w:val="000461BC"/>
    <w:rsid w:val="00046AA8"/>
    <w:rsid w:val="00047758"/>
    <w:rsid w:val="0005134C"/>
    <w:rsid w:val="00057846"/>
    <w:rsid w:val="00061DD6"/>
    <w:rsid w:val="000624C2"/>
    <w:rsid w:val="00063CE2"/>
    <w:rsid w:val="00066D87"/>
    <w:rsid w:val="00067D68"/>
    <w:rsid w:val="00072C81"/>
    <w:rsid w:val="000777D2"/>
    <w:rsid w:val="00077D8E"/>
    <w:rsid w:val="0008086F"/>
    <w:rsid w:val="000832A9"/>
    <w:rsid w:val="000843B8"/>
    <w:rsid w:val="00085C7E"/>
    <w:rsid w:val="00085C87"/>
    <w:rsid w:val="00085D32"/>
    <w:rsid w:val="00086403"/>
    <w:rsid w:val="0009740A"/>
    <w:rsid w:val="000A36A5"/>
    <w:rsid w:val="000A5D28"/>
    <w:rsid w:val="000A6991"/>
    <w:rsid w:val="000B58B5"/>
    <w:rsid w:val="000B7D4A"/>
    <w:rsid w:val="000C22D2"/>
    <w:rsid w:val="000C3E62"/>
    <w:rsid w:val="000C3E96"/>
    <w:rsid w:val="000C6F3A"/>
    <w:rsid w:val="000D1EB3"/>
    <w:rsid w:val="000E0B43"/>
    <w:rsid w:val="000E2A21"/>
    <w:rsid w:val="000E39AA"/>
    <w:rsid w:val="000E490F"/>
    <w:rsid w:val="000F28C2"/>
    <w:rsid w:val="000F2FB6"/>
    <w:rsid w:val="000F487D"/>
    <w:rsid w:val="000F4C71"/>
    <w:rsid w:val="0010383A"/>
    <w:rsid w:val="001049F6"/>
    <w:rsid w:val="00105B45"/>
    <w:rsid w:val="0010716D"/>
    <w:rsid w:val="001106BF"/>
    <w:rsid w:val="00110A8C"/>
    <w:rsid w:val="00111DA7"/>
    <w:rsid w:val="00114E86"/>
    <w:rsid w:val="00114ECC"/>
    <w:rsid w:val="0012219B"/>
    <w:rsid w:val="00125A2F"/>
    <w:rsid w:val="00125ED6"/>
    <w:rsid w:val="00126AEA"/>
    <w:rsid w:val="00132119"/>
    <w:rsid w:val="00132827"/>
    <w:rsid w:val="00132EE6"/>
    <w:rsid w:val="00140008"/>
    <w:rsid w:val="00141108"/>
    <w:rsid w:val="00141C0D"/>
    <w:rsid w:val="00150C9F"/>
    <w:rsid w:val="001614C0"/>
    <w:rsid w:val="00164A0C"/>
    <w:rsid w:val="00165415"/>
    <w:rsid w:val="00171DE4"/>
    <w:rsid w:val="00177D83"/>
    <w:rsid w:val="00181189"/>
    <w:rsid w:val="00182528"/>
    <w:rsid w:val="00182DE5"/>
    <w:rsid w:val="00183464"/>
    <w:rsid w:val="001859E1"/>
    <w:rsid w:val="00193D30"/>
    <w:rsid w:val="00194FBD"/>
    <w:rsid w:val="00195086"/>
    <w:rsid w:val="001A0578"/>
    <w:rsid w:val="001A1AA6"/>
    <w:rsid w:val="001A4A7E"/>
    <w:rsid w:val="001A7FF6"/>
    <w:rsid w:val="001B3ABA"/>
    <w:rsid w:val="001B58F6"/>
    <w:rsid w:val="001B7C6A"/>
    <w:rsid w:val="001C584C"/>
    <w:rsid w:val="001C5981"/>
    <w:rsid w:val="001C6E71"/>
    <w:rsid w:val="001C7024"/>
    <w:rsid w:val="001D7F3A"/>
    <w:rsid w:val="001E1FEA"/>
    <w:rsid w:val="001E2B8E"/>
    <w:rsid w:val="001E3842"/>
    <w:rsid w:val="001E3B1D"/>
    <w:rsid w:val="001E7620"/>
    <w:rsid w:val="001F103F"/>
    <w:rsid w:val="001F16EC"/>
    <w:rsid w:val="001F784E"/>
    <w:rsid w:val="00200700"/>
    <w:rsid w:val="00201040"/>
    <w:rsid w:val="00202586"/>
    <w:rsid w:val="00204845"/>
    <w:rsid w:val="0020551F"/>
    <w:rsid w:val="0020593C"/>
    <w:rsid w:val="00207991"/>
    <w:rsid w:val="002125CC"/>
    <w:rsid w:val="0021315E"/>
    <w:rsid w:val="00213B9F"/>
    <w:rsid w:val="00216FE6"/>
    <w:rsid w:val="002239A9"/>
    <w:rsid w:val="00227C4D"/>
    <w:rsid w:val="0023022D"/>
    <w:rsid w:val="00232CC9"/>
    <w:rsid w:val="00233999"/>
    <w:rsid w:val="00236BD3"/>
    <w:rsid w:val="002417B0"/>
    <w:rsid w:val="002458FD"/>
    <w:rsid w:val="00246754"/>
    <w:rsid w:val="002500E8"/>
    <w:rsid w:val="00250A81"/>
    <w:rsid w:val="00251169"/>
    <w:rsid w:val="00256B8E"/>
    <w:rsid w:val="002573C4"/>
    <w:rsid w:val="00260252"/>
    <w:rsid w:val="0026391E"/>
    <w:rsid w:val="0026525D"/>
    <w:rsid w:val="0026547F"/>
    <w:rsid w:val="002707AB"/>
    <w:rsid w:val="002707EC"/>
    <w:rsid w:val="0028506D"/>
    <w:rsid w:val="00285532"/>
    <w:rsid w:val="00287EC4"/>
    <w:rsid w:val="00290190"/>
    <w:rsid w:val="00292B5E"/>
    <w:rsid w:val="00292DA4"/>
    <w:rsid w:val="00297CC9"/>
    <w:rsid w:val="002A14DD"/>
    <w:rsid w:val="002A60E0"/>
    <w:rsid w:val="002A61B1"/>
    <w:rsid w:val="002B0616"/>
    <w:rsid w:val="002B1574"/>
    <w:rsid w:val="002B4029"/>
    <w:rsid w:val="002B555B"/>
    <w:rsid w:val="002C351C"/>
    <w:rsid w:val="002C4B6E"/>
    <w:rsid w:val="002D41FB"/>
    <w:rsid w:val="002D4CAC"/>
    <w:rsid w:val="002D6113"/>
    <w:rsid w:val="002D74D3"/>
    <w:rsid w:val="002D74E5"/>
    <w:rsid w:val="002E12D3"/>
    <w:rsid w:val="002E23FC"/>
    <w:rsid w:val="002E2E6C"/>
    <w:rsid w:val="002E56B8"/>
    <w:rsid w:val="002E5940"/>
    <w:rsid w:val="002E629A"/>
    <w:rsid w:val="002E7EAF"/>
    <w:rsid w:val="002F70F5"/>
    <w:rsid w:val="00300E06"/>
    <w:rsid w:val="00304BF4"/>
    <w:rsid w:val="00312063"/>
    <w:rsid w:val="0032056D"/>
    <w:rsid w:val="003207B3"/>
    <w:rsid w:val="00324266"/>
    <w:rsid w:val="00326D20"/>
    <w:rsid w:val="0032772D"/>
    <w:rsid w:val="00327DD7"/>
    <w:rsid w:val="00327FE0"/>
    <w:rsid w:val="00331655"/>
    <w:rsid w:val="00332410"/>
    <w:rsid w:val="0033277F"/>
    <w:rsid w:val="00333E98"/>
    <w:rsid w:val="00334676"/>
    <w:rsid w:val="003354DA"/>
    <w:rsid w:val="003357C4"/>
    <w:rsid w:val="003374A4"/>
    <w:rsid w:val="003404C3"/>
    <w:rsid w:val="00340AA9"/>
    <w:rsid w:val="00344FDD"/>
    <w:rsid w:val="00352FA6"/>
    <w:rsid w:val="003535B2"/>
    <w:rsid w:val="00355E0A"/>
    <w:rsid w:val="0035780C"/>
    <w:rsid w:val="00360B17"/>
    <w:rsid w:val="00362DF6"/>
    <w:rsid w:val="00364275"/>
    <w:rsid w:val="003657B2"/>
    <w:rsid w:val="003661FC"/>
    <w:rsid w:val="00366D06"/>
    <w:rsid w:val="003671DB"/>
    <w:rsid w:val="0037270F"/>
    <w:rsid w:val="00373374"/>
    <w:rsid w:val="00373F7C"/>
    <w:rsid w:val="0037668C"/>
    <w:rsid w:val="00377056"/>
    <w:rsid w:val="0038086C"/>
    <w:rsid w:val="003813A7"/>
    <w:rsid w:val="0038162B"/>
    <w:rsid w:val="00382F2D"/>
    <w:rsid w:val="00383E63"/>
    <w:rsid w:val="003851DE"/>
    <w:rsid w:val="00395897"/>
    <w:rsid w:val="003978E5"/>
    <w:rsid w:val="003A5766"/>
    <w:rsid w:val="003A6212"/>
    <w:rsid w:val="003B0E9A"/>
    <w:rsid w:val="003B2B7D"/>
    <w:rsid w:val="003C0120"/>
    <w:rsid w:val="003C0362"/>
    <w:rsid w:val="003C4DE2"/>
    <w:rsid w:val="003C555E"/>
    <w:rsid w:val="003C752B"/>
    <w:rsid w:val="003C76CB"/>
    <w:rsid w:val="003C7C41"/>
    <w:rsid w:val="003D1E6D"/>
    <w:rsid w:val="003D2532"/>
    <w:rsid w:val="003D39BD"/>
    <w:rsid w:val="003D588B"/>
    <w:rsid w:val="003D699A"/>
    <w:rsid w:val="003E1EE0"/>
    <w:rsid w:val="003E21D3"/>
    <w:rsid w:val="003E40F0"/>
    <w:rsid w:val="003E47E9"/>
    <w:rsid w:val="003E4C61"/>
    <w:rsid w:val="003E6A10"/>
    <w:rsid w:val="003E7127"/>
    <w:rsid w:val="003F1021"/>
    <w:rsid w:val="003F5D7E"/>
    <w:rsid w:val="003F6609"/>
    <w:rsid w:val="003F75F0"/>
    <w:rsid w:val="00400B73"/>
    <w:rsid w:val="00406BAE"/>
    <w:rsid w:val="00406FBA"/>
    <w:rsid w:val="004169C9"/>
    <w:rsid w:val="0042308E"/>
    <w:rsid w:val="00423DAD"/>
    <w:rsid w:val="00423EA8"/>
    <w:rsid w:val="004319C1"/>
    <w:rsid w:val="00433B9B"/>
    <w:rsid w:val="00435398"/>
    <w:rsid w:val="004357A4"/>
    <w:rsid w:val="00436EBF"/>
    <w:rsid w:val="00437FC6"/>
    <w:rsid w:val="004412AB"/>
    <w:rsid w:val="0044405E"/>
    <w:rsid w:val="00446E7D"/>
    <w:rsid w:val="00451A6A"/>
    <w:rsid w:val="00454674"/>
    <w:rsid w:val="0045687E"/>
    <w:rsid w:val="0046128C"/>
    <w:rsid w:val="004630CB"/>
    <w:rsid w:val="00466126"/>
    <w:rsid w:val="004679DA"/>
    <w:rsid w:val="00470106"/>
    <w:rsid w:val="004729C1"/>
    <w:rsid w:val="0047511B"/>
    <w:rsid w:val="00477A3D"/>
    <w:rsid w:val="00480E84"/>
    <w:rsid w:val="0048119B"/>
    <w:rsid w:val="00482455"/>
    <w:rsid w:val="0048374B"/>
    <w:rsid w:val="00490426"/>
    <w:rsid w:val="00490518"/>
    <w:rsid w:val="004948E3"/>
    <w:rsid w:val="00494EDB"/>
    <w:rsid w:val="00497AB2"/>
    <w:rsid w:val="004A020D"/>
    <w:rsid w:val="004A0737"/>
    <w:rsid w:val="004A14CB"/>
    <w:rsid w:val="004A242F"/>
    <w:rsid w:val="004A2A2F"/>
    <w:rsid w:val="004A3ED3"/>
    <w:rsid w:val="004B2AE2"/>
    <w:rsid w:val="004B38DB"/>
    <w:rsid w:val="004C1C85"/>
    <w:rsid w:val="004D2323"/>
    <w:rsid w:val="004E1F1F"/>
    <w:rsid w:val="004E3C66"/>
    <w:rsid w:val="004E49D3"/>
    <w:rsid w:val="004E6444"/>
    <w:rsid w:val="004E7E7F"/>
    <w:rsid w:val="004F094F"/>
    <w:rsid w:val="004F18D3"/>
    <w:rsid w:val="004F1B8A"/>
    <w:rsid w:val="004F2627"/>
    <w:rsid w:val="004F40B7"/>
    <w:rsid w:val="004F4BB4"/>
    <w:rsid w:val="004F5243"/>
    <w:rsid w:val="004F57E0"/>
    <w:rsid w:val="00500785"/>
    <w:rsid w:val="005007E9"/>
    <w:rsid w:val="0050158C"/>
    <w:rsid w:val="00506CC6"/>
    <w:rsid w:val="00511002"/>
    <w:rsid w:val="00512B68"/>
    <w:rsid w:val="00513B95"/>
    <w:rsid w:val="005140B0"/>
    <w:rsid w:val="005165B1"/>
    <w:rsid w:val="00516809"/>
    <w:rsid w:val="00520964"/>
    <w:rsid w:val="00521FC4"/>
    <w:rsid w:val="0053233F"/>
    <w:rsid w:val="005323E5"/>
    <w:rsid w:val="00537D20"/>
    <w:rsid w:val="005416B9"/>
    <w:rsid w:val="00541B0C"/>
    <w:rsid w:val="005440C4"/>
    <w:rsid w:val="00546C85"/>
    <w:rsid w:val="00547145"/>
    <w:rsid w:val="0054757E"/>
    <w:rsid w:val="00547E78"/>
    <w:rsid w:val="005506ED"/>
    <w:rsid w:val="0055493D"/>
    <w:rsid w:val="00555F8F"/>
    <w:rsid w:val="00561020"/>
    <w:rsid w:val="00566D8B"/>
    <w:rsid w:val="00567797"/>
    <w:rsid w:val="00571483"/>
    <w:rsid w:val="00575B50"/>
    <w:rsid w:val="0057696E"/>
    <w:rsid w:val="005805BC"/>
    <w:rsid w:val="00580ECA"/>
    <w:rsid w:val="0058325D"/>
    <w:rsid w:val="0058330F"/>
    <w:rsid w:val="005863DD"/>
    <w:rsid w:val="0058723B"/>
    <w:rsid w:val="00587C99"/>
    <w:rsid w:val="00590FB9"/>
    <w:rsid w:val="00590FC1"/>
    <w:rsid w:val="00592D05"/>
    <w:rsid w:val="00594036"/>
    <w:rsid w:val="00594584"/>
    <w:rsid w:val="00596394"/>
    <w:rsid w:val="005A5B99"/>
    <w:rsid w:val="005B23CF"/>
    <w:rsid w:val="005B499B"/>
    <w:rsid w:val="005B7EF5"/>
    <w:rsid w:val="005C3304"/>
    <w:rsid w:val="005C4B63"/>
    <w:rsid w:val="005C6CAB"/>
    <w:rsid w:val="005D39B4"/>
    <w:rsid w:val="005D3ED0"/>
    <w:rsid w:val="005D6076"/>
    <w:rsid w:val="005D73F0"/>
    <w:rsid w:val="005D78F9"/>
    <w:rsid w:val="005E0125"/>
    <w:rsid w:val="005E07F9"/>
    <w:rsid w:val="005E0885"/>
    <w:rsid w:val="005E099E"/>
    <w:rsid w:val="005E27C1"/>
    <w:rsid w:val="005E396B"/>
    <w:rsid w:val="005E68E0"/>
    <w:rsid w:val="005E7596"/>
    <w:rsid w:val="005F1097"/>
    <w:rsid w:val="005F15FE"/>
    <w:rsid w:val="005F343E"/>
    <w:rsid w:val="005F4017"/>
    <w:rsid w:val="005F6FF2"/>
    <w:rsid w:val="005F793A"/>
    <w:rsid w:val="00600780"/>
    <w:rsid w:val="00600BAA"/>
    <w:rsid w:val="00605BC6"/>
    <w:rsid w:val="00606C73"/>
    <w:rsid w:val="006072F0"/>
    <w:rsid w:val="0061048D"/>
    <w:rsid w:val="00613451"/>
    <w:rsid w:val="006141DC"/>
    <w:rsid w:val="00614D15"/>
    <w:rsid w:val="0061527E"/>
    <w:rsid w:val="00615F67"/>
    <w:rsid w:val="00617DC1"/>
    <w:rsid w:val="006203B6"/>
    <w:rsid w:val="00620DFA"/>
    <w:rsid w:val="00622129"/>
    <w:rsid w:val="006237FD"/>
    <w:rsid w:val="00624477"/>
    <w:rsid w:val="006254CC"/>
    <w:rsid w:val="0063169A"/>
    <w:rsid w:val="00635008"/>
    <w:rsid w:val="006432CB"/>
    <w:rsid w:val="006473B7"/>
    <w:rsid w:val="00650BD4"/>
    <w:rsid w:val="00654699"/>
    <w:rsid w:val="0065741D"/>
    <w:rsid w:val="00664D4F"/>
    <w:rsid w:val="006712FC"/>
    <w:rsid w:val="006744E6"/>
    <w:rsid w:val="00681774"/>
    <w:rsid w:val="00682D24"/>
    <w:rsid w:val="006860E3"/>
    <w:rsid w:val="0069144B"/>
    <w:rsid w:val="00691680"/>
    <w:rsid w:val="0069295C"/>
    <w:rsid w:val="00694947"/>
    <w:rsid w:val="00694CF7"/>
    <w:rsid w:val="006963FD"/>
    <w:rsid w:val="006A5F0B"/>
    <w:rsid w:val="006A5F2B"/>
    <w:rsid w:val="006B05A5"/>
    <w:rsid w:val="006B1900"/>
    <w:rsid w:val="006B347D"/>
    <w:rsid w:val="006B3862"/>
    <w:rsid w:val="006B4B45"/>
    <w:rsid w:val="006B6B35"/>
    <w:rsid w:val="006C13A9"/>
    <w:rsid w:val="006C1655"/>
    <w:rsid w:val="006C3FD9"/>
    <w:rsid w:val="006C439F"/>
    <w:rsid w:val="006C5D47"/>
    <w:rsid w:val="006C7135"/>
    <w:rsid w:val="006C7648"/>
    <w:rsid w:val="006D54E9"/>
    <w:rsid w:val="006D6ECD"/>
    <w:rsid w:val="006E50CF"/>
    <w:rsid w:val="006E7127"/>
    <w:rsid w:val="006E7E95"/>
    <w:rsid w:val="006F190B"/>
    <w:rsid w:val="006F3AC9"/>
    <w:rsid w:val="006F53A1"/>
    <w:rsid w:val="006F6948"/>
    <w:rsid w:val="006F79B9"/>
    <w:rsid w:val="0070058D"/>
    <w:rsid w:val="007018E9"/>
    <w:rsid w:val="00702561"/>
    <w:rsid w:val="0070383E"/>
    <w:rsid w:val="007154F5"/>
    <w:rsid w:val="00716E62"/>
    <w:rsid w:val="00717FE2"/>
    <w:rsid w:val="0072317D"/>
    <w:rsid w:val="0072578A"/>
    <w:rsid w:val="00726F51"/>
    <w:rsid w:val="0073136F"/>
    <w:rsid w:val="00736648"/>
    <w:rsid w:val="00741510"/>
    <w:rsid w:val="0074258A"/>
    <w:rsid w:val="00745281"/>
    <w:rsid w:val="0074627A"/>
    <w:rsid w:val="00746302"/>
    <w:rsid w:val="00746A98"/>
    <w:rsid w:val="00751387"/>
    <w:rsid w:val="00770F31"/>
    <w:rsid w:val="007716E5"/>
    <w:rsid w:val="007718D2"/>
    <w:rsid w:val="00775945"/>
    <w:rsid w:val="00777623"/>
    <w:rsid w:val="00777725"/>
    <w:rsid w:val="0078008D"/>
    <w:rsid w:val="007819F7"/>
    <w:rsid w:val="00782E57"/>
    <w:rsid w:val="0078529B"/>
    <w:rsid w:val="00787ABD"/>
    <w:rsid w:val="00787CED"/>
    <w:rsid w:val="00793071"/>
    <w:rsid w:val="00795C23"/>
    <w:rsid w:val="007A2722"/>
    <w:rsid w:val="007A3402"/>
    <w:rsid w:val="007A57BD"/>
    <w:rsid w:val="007A6636"/>
    <w:rsid w:val="007B1E48"/>
    <w:rsid w:val="007B4DA3"/>
    <w:rsid w:val="007B7BB1"/>
    <w:rsid w:val="007C058F"/>
    <w:rsid w:val="007C1795"/>
    <w:rsid w:val="007C1E38"/>
    <w:rsid w:val="007C2BAF"/>
    <w:rsid w:val="007C35EA"/>
    <w:rsid w:val="007C7ADA"/>
    <w:rsid w:val="007D0DCE"/>
    <w:rsid w:val="007D10D3"/>
    <w:rsid w:val="007D20DD"/>
    <w:rsid w:val="007D5EA9"/>
    <w:rsid w:val="007D7CC7"/>
    <w:rsid w:val="007E166D"/>
    <w:rsid w:val="007E2D93"/>
    <w:rsid w:val="007E5BB3"/>
    <w:rsid w:val="007E63FF"/>
    <w:rsid w:val="007F1EF5"/>
    <w:rsid w:val="007F2371"/>
    <w:rsid w:val="007F3879"/>
    <w:rsid w:val="00801B79"/>
    <w:rsid w:val="00802948"/>
    <w:rsid w:val="00803A49"/>
    <w:rsid w:val="00806A3C"/>
    <w:rsid w:val="00806E93"/>
    <w:rsid w:val="008100FF"/>
    <w:rsid w:val="00813679"/>
    <w:rsid w:val="00815A91"/>
    <w:rsid w:val="00821FCE"/>
    <w:rsid w:val="008230F1"/>
    <w:rsid w:val="00823B4D"/>
    <w:rsid w:val="0082435D"/>
    <w:rsid w:val="008246AE"/>
    <w:rsid w:val="00835356"/>
    <w:rsid w:val="0083561F"/>
    <w:rsid w:val="0084330D"/>
    <w:rsid w:val="008437A8"/>
    <w:rsid w:val="0084715D"/>
    <w:rsid w:val="00850262"/>
    <w:rsid w:val="00852E63"/>
    <w:rsid w:val="00857503"/>
    <w:rsid w:val="00861A74"/>
    <w:rsid w:val="00862F67"/>
    <w:rsid w:val="008669B6"/>
    <w:rsid w:val="00866AC6"/>
    <w:rsid w:val="008713BE"/>
    <w:rsid w:val="0087273E"/>
    <w:rsid w:val="0087495B"/>
    <w:rsid w:val="00875095"/>
    <w:rsid w:val="00875C95"/>
    <w:rsid w:val="008767D5"/>
    <w:rsid w:val="00877A38"/>
    <w:rsid w:val="00880353"/>
    <w:rsid w:val="00881D4E"/>
    <w:rsid w:val="00892089"/>
    <w:rsid w:val="00893025"/>
    <w:rsid w:val="008934D6"/>
    <w:rsid w:val="00894AD1"/>
    <w:rsid w:val="0089508C"/>
    <w:rsid w:val="00896FFC"/>
    <w:rsid w:val="008A462A"/>
    <w:rsid w:val="008B260C"/>
    <w:rsid w:val="008B50FF"/>
    <w:rsid w:val="008B56E0"/>
    <w:rsid w:val="008C0AB6"/>
    <w:rsid w:val="008C3A33"/>
    <w:rsid w:val="008C4BAA"/>
    <w:rsid w:val="008C53A0"/>
    <w:rsid w:val="008D0817"/>
    <w:rsid w:val="008D10EC"/>
    <w:rsid w:val="008D2299"/>
    <w:rsid w:val="008D7735"/>
    <w:rsid w:val="008E2EA2"/>
    <w:rsid w:val="008E4C4F"/>
    <w:rsid w:val="008F0966"/>
    <w:rsid w:val="008F0EF4"/>
    <w:rsid w:val="008F10EC"/>
    <w:rsid w:val="008F441B"/>
    <w:rsid w:val="008F453A"/>
    <w:rsid w:val="008F67FA"/>
    <w:rsid w:val="008F7FF8"/>
    <w:rsid w:val="009003E9"/>
    <w:rsid w:val="00900F5E"/>
    <w:rsid w:val="009020A3"/>
    <w:rsid w:val="00902537"/>
    <w:rsid w:val="00907008"/>
    <w:rsid w:val="0090796B"/>
    <w:rsid w:val="00910B07"/>
    <w:rsid w:val="00910D51"/>
    <w:rsid w:val="00913215"/>
    <w:rsid w:val="00922799"/>
    <w:rsid w:val="00923568"/>
    <w:rsid w:val="0092363A"/>
    <w:rsid w:val="0092492D"/>
    <w:rsid w:val="00927894"/>
    <w:rsid w:val="009312D0"/>
    <w:rsid w:val="0093191F"/>
    <w:rsid w:val="00931E8F"/>
    <w:rsid w:val="00932DB9"/>
    <w:rsid w:val="009335E4"/>
    <w:rsid w:val="00934B8D"/>
    <w:rsid w:val="00934EC1"/>
    <w:rsid w:val="00941485"/>
    <w:rsid w:val="009420B1"/>
    <w:rsid w:val="009441C3"/>
    <w:rsid w:val="0094624A"/>
    <w:rsid w:val="00954F39"/>
    <w:rsid w:val="00955150"/>
    <w:rsid w:val="00955AFD"/>
    <w:rsid w:val="00956CCB"/>
    <w:rsid w:val="00965DE0"/>
    <w:rsid w:val="00974BE9"/>
    <w:rsid w:val="00975873"/>
    <w:rsid w:val="00975FE7"/>
    <w:rsid w:val="0097694D"/>
    <w:rsid w:val="00976E4F"/>
    <w:rsid w:val="00981F28"/>
    <w:rsid w:val="009837D4"/>
    <w:rsid w:val="00984357"/>
    <w:rsid w:val="00986CFC"/>
    <w:rsid w:val="00990FF9"/>
    <w:rsid w:val="00991913"/>
    <w:rsid w:val="009930B3"/>
    <w:rsid w:val="009932C9"/>
    <w:rsid w:val="00996289"/>
    <w:rsid w:val="00997AEF"/>
    <w:rsid w:val="00997CB9"/>
    <w:rsid w:val="009A2551"/>
    <w:rsid w:val="009A28B1"/>
    <w:rsid w:val="009A4511"/>
    <w:rsid w:val="009A5B29"/>
    <w:rsid w:val="009B6AC9"/>
    <w:rsid w:val="009C10FC"/>
    <w:rsid w:val="009C2CE4"/>
    <w:rsid w:val="009C4B58"/>
    <w:rsid w:val="009C7CB9"/>
    <w:rsid w:val="009D0025"/>
    <w:rsid w:val="009D41B6"/>
    <w:rsid w:val="009D4636"/>
    <w:rsid w:val="009D5E45"/>
    <w:rsid w:val="009D7C10"/>
    <w:rsid w:val="009E2E97"/>
    <w:rsid w:val="009E34CE"/>
    <w:rsid w:val="009E5273"/>
    <w:rsid w:val="009F58C0"/>
    <w:rsid w:val="009F7F73"/>
    <w:rsid w:val="00A007F0"/>
    <w:rsid w:val="00A00ABF"/>
    <w:rsid w:val="00A068D0"/>
    <w:rsid w:val="00A10298"/>
    <w:rsid w:val="00A10815"/>
    <w:rsid w:val="00A1237B"/>
    <w:rsid w:val="00A14C97"/>
    <w:rsid w:val="00A14F6F"/>
    <w:rsid w:val="00A17645"/>
    <w:rsid w:val="00A23A3A"/>
    <w:rsid w:val="00A24053"/>
    <w:rsid w:val="00A2682E"/>
    <w:rsid w:val="00A31E2B"/>
    <w:rsid w:val="00A35EA3"/>
    <w:rsid w:val="00A40025"/>
    <w:rsid w:val="00A42C96"/>
    <w:rsid w:val="00A44535"/>
    <w:rsid w:val="00A45853"/>
    <w:rsid w:val="00A45D9C"/>
    <w:rsid w:val="00A4759F"/>
    <w:rsid w:val="00A47908"/>
    <w:rsid w:val="00A50171"/>
    <w:rsid w:val="00A5056F"/>
    <w:rsid w:val="00A544E8"/>
    <w:rsid w:val="00A55162"/>
    <w:rsid w:val="00A55943"/>
    <w:rsid w:val="00A62E60"/>
    <w:rsid w:val="00A63CFA"/>
    <w:rsid w:val="00A65F0A"/>
    <w:rsid w:val="00A7188C"/>
    <w:rsid w:val="00A74AD6"/>
    <w:rsid w:val="00A74C34"/>
    <w:rsid w:val="00A74CEF"/>
    <w:rsid w:val="00A74CF2"/>
    <w:rsid w:val="00A76A5C"/>
    <w:rsid w:val="00A80075"/>
    <w:rsid w:val="00A83C9D"/>
    <w:rsid w:val="00A85036"/>
    <w:rsid w:val="00A85778"/>
    <w:rsid w:val="00A91AB8"/>
    <w:rsid w:val="00A934DF"/>
    <w:rsid w:val="00A94F4A"/>
    <w:rsid w:val="00AA06F2"/>
    <w:rsid w:val="00AA41CA"/>
    <w:rsid w:val="00AA45DE"/>
    <w:rsid w:val="00AA46B0"/>
    <w:rsid w:val="00AA5A2C"/>
    <w:rsid w:val="00AA716F"/>
    <w:rsid w:val="00AB1410"/>
    <w:rsid w:val="00AB3C4D"/>
    <w:rsid w:val="00AC1AD7"/>
    <w:rsid w:val="00AC51AE"/>
    <w:rsid w:val="00AC6FB7"/>
    <w:rsid w:val="00AD579F"/>
    <w:rsid w:val="00AE0CAC"/>
    <w:rsid w:val="00AE137F"/>
    <w:rsid w:val="00AE18C2"/>
    <w:rsid w:val="00AE2BAF"/>
    <w:rsid w:val="00AE2E76"/>
    <w:rsid w:val="00AE48CF"/>
    <w:rsid w:val="00AE4F10"/>
    <w:rsid w:val="00AE73E2"/>
    <w:rsid w:val="00AF5653"/>
    <w:rsid w:val="00B02098"/>
    <w:rsid w:val="00B040FC"/>
    <w:rsid w:val="00B144C1"/>
    <w:rsid w:val="00B14D99"/>
    <w:rsid w:val="00B16B20"/>
    <w:rsid w:val="00B17144"/>
    <w:rsid w:val="00B23B42"/>
    <w:rsid w:val="00B275AF"/>
    <w:rsid w:val="00B34A90"/>
    <w:rsid w:val="00B36053"/>
    <w:rsid w:val="00B36D50"/>
    <w:rsid w:val="00B3732B"/>
    <w:rsid w:val="00B4244A"/>
    <w:rsid w:val="00B42D77"/>
    <w:rsid w:val="00B46934"/>
    <w:rsid w:val="00B5011B"/>
    <w:rsid w:val="00B51214"/>
    <w:rsid w:val="00B629B9"/>
    <w:rsid w:val="00B6363B"/>
    <w:rsid w:val="00B6463D"/>
    <w:rsid w:val="00B659B6"/>
    <w:rsid w:val="00B65CD0"/>
    <w:rsid w:val="00B67C4E"/>
    <w:rsid w:val="00B73575"/>
    <w:rsid w:val="00B7437F"/>
    <w:rsid w:val="00B745B6"/>
    <w:rsid w:val="00B836D1"/>
    <w:rsid w:val="00B85A4A"/>
    <w:rsid w:val="00B85FEE"/>
    <w:rsid w:val="00B863C1"/>
    <w:rsid w:val="00B95210"/>
    <w:rsid w:val="00B957ED"/>
    <w:rsid w:val="00B96C96"/>
    <w:rsid w:val="00B977F5"/>
    <w:rsid w:val="00BA5131"/>
    <w:rsid w:val="00BA601C"/>
    <w:rsid w:val="00BA665C"/>
    <w:rsid w:val="00BA7785"/>
    <w:rsid w:val="00BB1ECA"/>
    <w:rsid w:val="00BB2136"/>
    <w:rsid w:val="00BB22DB"/>
    <w:rsid w:val="00BB39F1"/>
    <w:rsid w:val="00BB62D9"/>
    <w:rsid w:val="00BB6C28"/>
    <w:rsid w:val="00BD4A13"/>
    <w:rsid w:val="00BD738D"/>
    <w:rsid w:val="00BD75E0"/>
    <w:rsid w:val="00BE0E9D"/>
    <w:rsid w:val="00BE20E0"/>
    <w:rsid w:val="00BE5A50"/>
    <w:rsid w:val="00BF1511"/>
    <w:rsid w:val="00BF1A21"/>
    <w:rsid w:val="00BF292C"/>
    <w:rsid w:val="00BF4BD1"/>
    <w:rsid w:val="00BF6B4C"/>
    <w:rsid w:val="00C0076D"/>
    <w:rsid w:val="00C02D67"/>
    <w:rsid w:val="00C03CD4"/>
    <w:rsid w:val="00C0614E"/>
    <w:rsid w:val="00C0783D"/>
    <w:rsid w:val="00C07A7A"/>
    <w:rsid w:val="00C130CA"/>
    <w:rsid w:val="00C14956"/>
    <w:rsid w:val="00C1675A"/>
    <w:rsid w:val="00C23072"/>
    <w:rsid w:val="00C2579F"/>
    <w:rsid w:val="00C268F9"/>
    <w:rsid w:val="00C31043"/>
    <w:rsid w:val="00C3295B"/>
    <w:rsid w:val="00C32DA4"/>
    <w:rsid w:val="00C33023"/>
    <w:rsid w:val="00C33A9D"/>
    <w:rsid w:val="00C34E8B"/>
    <w:rsid w:val="00C377CA"/>
    <w:rsid w:val="00C43EED"/>
    <w:rsid w:val="00C44C82"/>
    <w:rsid w:val="00C46462"/>
    <w:rsid w:val="00C47954"/>
    <w:rsid w:val="00C504B5"/>
    <w:rsid w:val="00C5070D"/>
    <w:rsid w:val="00C50A9F"/>
    <w:rsid w:val="00C558DB"/>
    <w:rsid w:val="00C655A8"/>
    <w:rsid w:val="00C665B0"/>
    <w:rsid w:val="00C66D11"/>
    <w:rsid w:val="00C67CD6"/>
    <w:rsid w:val="00C71AC2"/>
    <w:rsid w:val="00C72834"/>
    <w:rsid w:val="00C750D3"/>
    <w:rsid w:val="00C76A52"/>
    <w:rsid w:val="00C818B7"/>
    <w:rsid w:val="00C90B31"/>
    <w:rsid w:val="00C930A7"/>
    <w:rsid w:val="00C93541"/>
    <w:rsid w:val="00CA108B"/>
    <w:rsid w:val="00CA3D05"/>
    <w:rsid w:val="00CA414C"/>
    <w:rsid w:val="00CB0CC2"/>
    <w:rsid w:val="00CB1918"/>
    <w:rsid w:val="00CB2430"/>
    <w:rsid w:val="00CB3F5B"/>
    <w:rsid w:val="00CB6477"/>
    <w:rsid w:val="00CC4E04"/>
    <w:rsid w:val="00CD463C"/>
    <w:rsid w:val="00CE326B"/>
    <w:rsid w:val="00CE4D5E"/>
    <w:rsid w:val="00CE6926"/>
    <w:rsid w:val="00CF0863"/>
    <w:rsid w:val="00CF13F5"/>
    <w:rsid w:val="00CF2332"/>
    <w:rsid w:val="00CF405C"/>
    <w:rsid w:val="00CF7D85"/>
    <w:rsid w:val="00D15A1D"/>
    <w:rsid w:val="00D16BFB"/>
    <w:rsid w:val="00D222C5"/>
    <w:rsid w:val="00D22EEE"/>
    <w:rsid w:val="00D22F2D"/>
    <w:rsid w:val="00D251A8"/>
    <w:rsid w:val="00D27847"/>
    <w:rsid w:val="00D330B0"/>
    <w:rsid w:val="00D33E0C"/>
    <w:rsid w:val="00D3465F"/>
    <w:rsid w:val="00D36575"/>
    <w:rsid w:val="00D3740C"/>
    <w:rsid w:val="00D37C37"/>
    <w:rsid w:val="00D402DB"/>
    <w:rsid w:val="00D40338"/>
    <w:rsid w:val="00D42597"/>
    <w:rsid w:val="00D42780"/>
    <w:rsid w:val="00D433CC"/>
    <w:rsid w:val="00D43E9D"/>
    <w:rsid w:val="00D5038E"/>
    <w:rsid w:val="00D5218E"/>
    <w:rsid w:val="00D535B4"/>
    <w:rsid w:val="00D53F59"/>
    <w:rsid w:val="00D54B8A"/>
    <w:rsid w:val="00D569FF"/>
    <w:rsid w:val="00D5747A"/>
    <w:rsid w:val="00D57588"/>
    <w:rsid w:val="00D6272F"/>
    <w:rsid w:val="00D6273E"/>
    <w:rsid w:val="00D63779"/>
    <w:rsid w:val="00D64017"/>
    <w:rsid w:val="00D66905"/>
    <w:rsid w:val="00D715C7"/>
    <w:rsid w:val="00D73436"/>
    <w:rsid w:val="00D76CFE"/>
    <w:rsid w:val="00D77518"/>
    <w:rsid w:val="00D80F6E"/>
    <w:rsid w:val="00D8324A"/>
    <w:rsid w:val="00D852E7"/>
    <w:rsid w:val="00D87E53"/>
    <w:rsid w:val="00D87FE1"/>
    <w:rsid w:val="00D935A4"/>
    <w:rsid w:val="00DA02B0"/>
    <w:rsid w:val="00DA1802"/>
    <w:rsid w:val="00DA3622"/>
    <w:rsid w:val="00DA532A"/>
    <w:rsid w:val="00DB3F14"/>
    <w:rsid w:val="00DB7C1B"/>
    <w:rsid w:val="00DC0644"/>
    <w:rsid w:val="00DC1D51"/>
    <w:rsid w:val="00DC1EB1"/>
    <w:rsid w:val="00DC2A2F"/>
    <w:rsid w:val="00DC4BF2"/>
    <w:rsid w:val="00DD0FE1"/>
    <w:rsid w:val="00DD1AE3"/>
    <w:rsid w:val="00DD5ABB"/>
    <w:rsid w:val="00DD70DA"/>
    <w:rsid w:val="00DD72B6"/>
    <w:rsid w:val="00DD7603"/>
    <w:rsid w:val="00DE1929"/>
    <w:rsid w:val="00DE2B2D"/>
    <w:rsid w:val="00DE2B71"/>
    <w:rsid w:val="00DE44F1"/>
    <w:rsid w:val="00DF0D6B"/>
    <w:rsid w:val="00DF3158"/>
    <w:rsid w:val="00DF59D4"/>
    <w:rsid w:val="00DF7815"/>
    <w:rsid w:val="00DF7D5D"/>
    <w:rsid w:val="00E001B1"/>
    <w:rsid w:val="00E01962"/>
    <w:rsid w:val="00E02B24"/>
    <w:rsid w:val="00E05E48"/>
    <w:rsid w:val="00E0766C"/>
    <w:rsid w:val="00E07976"/>
    <w:rsid w:val="00E11CDB"/>
    <w:rsid w:val="00E137DE"/>
    <w:rsid w:val="00E14BA0"/>
    <w:rsid w:val="00E17942"/>
    <w:rsid w:val="00E21434"/>
    <w:rsid w:val="00E22173"/>
    <w:rsid w:val="00E23CE0"/>
    <w:rsid w:val="00E23DC4"/>
    <w:rsid w:val="00E26474"/>
    <w:rsid w:val="00E345C4"/>
    <w:rsid w:val="00E35D8E"/>
    <w:rsid w:val="00E374BF"/>
    <w:rsid w:val="00E40B6D"/>
    <w:rsid w:val="00E43C1F"/>
    <w:rsid w:val="00E4522A"/>
    <w:rsid w:val="00E47818"/>
    <w:rsid w:val="00E514E2"/>
    <w:rsid w:val="00E51D9F"/>
    <w:rsid w:val="00E536A4"/>
    <w:rsid w:val="00E53926"/>
    <w:rsid w:val="00E54172"/>
    <w:rsid w:val="00E613C4"/>
    <w:rsid w:val="00E62C82"/>
    <w:rsid w:val="00E62EB3"/>
    <w:rsid w:val="00E6310A"/>
    <w:rsid w:val="00E6551D"/>
    <w:rsid w:val="00E66E32"/>
    <w:rsid w:val="00E66F40"/>
    <w:rsid w:val="00E716F4"/>
    <w:rsid w:val="00E71BC3"/>
    <w:rsid w:val="00E7391F"/>
    <w:rsid w:val="00E73FEF"/>
    <w:rsid w:val="00E74E71"/>
    <w:rsid w:val="00E75CD8"/>
    <w:rsid w:val="00E83B80"/>
    <w:rsid w:val="00E845D2"/>
    <w:rsid w:val="00E87B67"/>
    <w:rsid w:val="00E92487"/>
    <w:rsid w:val="00E94714"/>
    <w:rsid w:val="00E97FF6"/>
    <w:rsid w:val="00EA0BF5"/>
    <w:rsid w:val="00EA0CE3"/>
    <w:rsid w:val="00EA1F79"/>
    <w:rsid w:val="00EA47CA"/>
    <w:rsid w:val="00EA54E4"/>
    <w:rsid w:val="00EB00C2"/>
    <w:rsid w:val="00EB0788"/>
    <w:rsid w:val="00EB0A12"/>
    <w:rsid w:val="00EB1B40"/>
    <w:rsid w:val="00EB4C46"/>
    <w:rsid w:val="00EB63BA"/>
    <w:rsid w:val="00EB7493"/>
    <w:rsid w:val="00EB7982"/>
    <w:rsid w:val="00EB7F43"/>
    <w:rsid w:val="00EC0B79"/>
    <w:rsid w:val="00EC291D"/>
    <w:rsid w:val="00ED0D5E"/>
    <w:rsid w:val="00ED39FF"/>
    <w:rsid w:val="00ED4F47"/>
    <w:rsid w:val="00ED74AF"/>
    <w:rsid w:val="00EF523B"/>
    <w:rsid w:val="00EF62A9"/>
    <w:rsid w:val="00F00395"/>
    <w:rsid w:val="00F01FEA"/>
    <w:rsid w:val="00F026D6"/>
    <w:rsid w:val="00F04B97"/>
    <w:rsid w:val="00F07169"/>
    <w:rsid w:val="00F11D97"/>
    <w:rsid w:val="00F12231"/>
    <w:rsid w:val="00F12538"/>
    <w:rsid w:val="00F15207"/>
    <w:rsid w:val="00F163D2"/>
    <w:rsid w:val="00F16CB6"/>
    <w:rsid w:val="00F1708F"/>
    <w:rsid w:val="00F17EAD"/>
    <w:rsid w:val="00F22C52"/>
    <w:rsid w:val="00F22ECF"/>
    <w:rsid w:val="00F24577"/>
    <w:rsid w:val="00F24A5E"/>
    <w:rsid w:val="00F2544C"/>
    <w:rsid w:val="00F25AC8"/>
    <w:rsid w:val="00F27A8A"/>
    <w:rsid w:val="00F3144D"/>
    <w:rsid w:val="00F332DB"/>
    <w:rsid w:val="00F35896"/>
    <w:rsid w:val="00F4074B"/>
    <w:rsid w:val="00F42AFA"/>
    <w:rsid w:val="00F4582F"/>
    <w:rsid w:val="00F47A85"/>
    <w:rsid w:val="00F539AD"/>
    <w:rsid w:val="00F54560"/>
    <w:rsid w:val="00F60F52"/>
    <w:rsid w:val="00F61EAB"/>
    <w:rsid w:val="00F62C2F"/>
    <w:rsid w:val="00F65E1F"/>
    <w:rsid w:val="00F67191"/>
    <w:rsid w:val="00F67739"/>
    <w:rsid w:val="00F7085E"/>
    <w:rsid w:val="00F70D1E"/>
    <w:rsid w:val="00F736EB"/>
    <w:rsid w:val="00F73EE5"/>
    <w:rsid w:val="00F80438"/>
    <w:rsid w:val="00F80656"/>
    <w:rsid w:val="00F808C0"/>
    <w:rsid w:val="00F80ADD"/>
    <w:rsid w:val="00F82C6F"/>
    <w:rsid w:val="00F84C1A"/>
    <w:rsid w:val="00F869F2"/>
    <w:rsid w:val="00F92F18"/>
    <w:rsid w:val="00F94293"/>
    <w:rsid w:val="00F95830"/>
    <w:rsid w:val="00F972B7"/>
    <w:rsid w:val="00F97A0A"/>
    <w:rsid w:val="00F97AE9"/>
    <w:rsid w:val="00F97DCA"/>
    <w:rsid w:val="00FA30AF"/>
    <w:rsid w:val="00FA5185"/>
    <w:rsid w:val="00FA51D0"/>
    <w:rsid w:val="00FA5D0A"/>
    <w:rsid w:val="00FA7356"/>
    <w:rsid w:val="00FB3150"/>
    <w:rsid w:val="00FB4CB6"/>
    <w:rsid w:val="00FB72DC"/>
    <w:rsid w:val="00FC0D44"/>
    <w:rsid w:val="00FC265E"/>
    <w:rsid w:val="00FC4907"/>
    <w:rsid w:val="00FC4938"/>
    <w:rsid w:val="00FC5E77"/>
    <w:rsid w:val="00FC752B"/>
    <w:rsid w:val="00FD0772"/>
    <w:rsid w:val="00FD079E"/>
    <w:rsid w:val="00FD2ACD"/>
    <w:rsid w:val="00FD2E82"/>
    <w:rsid w:val="00FE6D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CDFD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jc w:val="both"/>
    </w:pPr>
    <w:rPr>
      <w:rFonts w:ascii="Calibri" w:hAnsi="Calibri" w:cs="Calibri"/>
      <w:noProof/>
      <w:color w:val="000000"/>
      <w:kern w:val="1"/>
      <w:sz w:val="24"/>
      <w:szCs w:val="24"/>
    </w:rPr>
  </w:style>
  <w:style w:type="paragraph" w:styleId="Titolo1">
    <w:name w:val="heading 1"/>
    <w:basedOn w:val="Normale"/>
    <w:qFormat/>
    <w:pPr>
      <w:keepNext/>
      <w:spacing w:before="240" w:after="60"/>
      <w:outlineLvl w:val="0"/>
    </w:pPr>
    <w:rPr>
      <w:rFonts w:cs="Times New Roman"/>
      <w:b/>
      <w:bCs/>
      <w:sz w:val="28"/>
      <w:szCs w:val="32"/>
    </w:rPr>
  </w:style>
  <w:style w:type="paragraph" w:styleId="Titolo2">
    <w:name w:val="heading 2"/>
    <w:basedOn w:val="Normale"/>
    <w:qFormat/>
    <w:pPr>
      <w:keepNext/>
      <w:outlineLvl w:val="1"/>
    </w:pPr>
    <w:rPr>
      <w:rFonts w:cs="Times New Roman"/>
      <w:b/>
      <w:bCs/>
      <w:iCs/>
      <w:szCs w:val="28"/>
    </w:rPr>
  </w:style>
  <w:style w:type="paragraph" w:styleId="Titolo3">
    <w:name w:val="heading 3"/>
    <w:basedOn w:val="Normale"/>
    <w:qFormat/>
    <w:pPr>
      <w:keepNext/>
      <w:keepLines/>
      <w:spacing w:before="200"/>
      <w:outlineLvl w:val="2"/>
    </w:pPr>
    <w:rPr>
      <w:rFonts w:ascii="Cambria" w:eastAsia="MS Gothic" w:hAnsi="Cambria" w:cs="font425"/>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semiHidden/>
    <w:rPr>
      <w:color w:val="0000FF"/>
      <w:u w:val="single"/>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Rimandocommento1">
    <w:name w:val="Rimando commento1"/>
    <w:rPr>
      <w:sz w:val="18"/>
      <w:szCs w:val="18"/>
    </w:rPr>
  </w:style>
  <w:style w:type="character" w:customStyle="1" w:styleId="TestocommentoCarattere">
    <w:name w:val="Testo commento Carattere"/>
    <w:link w:val="Testocommento"/>
    <w:uiPriority w:val="99"/>
    <w:rPr>
      <w:sz w:val="24"/>
      <w:szCs w:val="24"/>
      <w:lang w:val="en-US"/>
    </w:rPr>
  </w:style>
  <w:style w:type="character" w:customStyle="1" w:styleId="SoggettocommentoCarattere">
    <w:name w:val="Soggetto commento Carattere"/>
    <w:rPr>
      <w:b/>
      <w:bCs/>
      <w:sz w:val="24"/>
      <w:szCs w:val="24"/>
      <w:lang w:val="en-US"/>
    </w:rPr>
  </w:style>
  <w:style w:type="character" w:customStyle="1" w:styleId="TestofumettoCarattere">
    <w:name w:val="Testo fumetto Carattere"/>
    <w:rPr>
      <w:rFonts w:ascii="Lucida Grande" w:hAnsi="Lucida Grande"/>
      <w:sz w:val="18"/>
      <w:szCs w:val="18"/>
      <w:lang w:val="en-US"/>
    </w:rPr>
  </w:style>
  <w:style w:type="character" w:customStyle="1" w:styleId="Numeropagina1">
    <w:name w:val="Numero pagina1"/>
    <w:basedOn w:val="Carpredefinitoparagrafo1"/>
  </w:style>
  <w:style w:type="character" w:customStyle="1" w:styleId="Collegamentovisitato1">
    <w:name w:val="Collegamento visitato1"/>
    <w:rPr>
      <w:color w:val="800080"/>
      <w:u w:val="single"/>
    </w:rPr>
  </w:style>
  <w:style w:type="character" w:customStyle="1" w:styleId="apple-converted-space">
    <w:name w:val="apple-converted-space"/>
    <w:basedOn w:val="Carpredefinitoparagrafo1"/>
  </w:style>
  <w:style w:type="character" w:customStyle="1" w:styleId="Titolo1Carattere">
    <w:name w:val="Titolo 1 Carattere"/>
    <w:rPr>
      <w:rFonts w:ascii="Calibri" w:eastAsia="Times New Roman" w:hAnsi="Calibri" w:cs="Times New Roman"/>
      <w:b/>
      <w:bCs/>
      <w:kern w:val="1"/>
      <w:sz w:val="28"/>
      <w:szCs w:val="32"/>
    </w:rPr>
  </w:style>
  <w:style w:type="character" w:customStyle="1" w:styleId="Enfasiintensa1">
    <w:name w:val="Enfasi intensa1"/>
    <w:rPr>
      <w:b/>
      <w:bCs/>
      <w:i/>
      <w:iCs/>
      <w:color w:val="4F81BD"/>
    </w:rPr>
  </w:style>
  <w:style w:type="character" w:customStyle="1" w:styleId="Titolo2Carattere">
    <w:name w:val="Titolo 2 Carattere"/>
    <w:rPr>
      <w:rFonts w:ascii="Calibri" w:eastAsia="Times New Roman" w:hAnsi="Calibri" w:cs="Times New Roman"/>
      <w:b/>
      <w:bCs/>
      <w:iCs/>
      <w:sz w:val="24"/>
      <w:szCs w:val="28"/>
    </w:rPr>
  </w:style>
  <w:style w:type="character" w:customStyle="1" w:styleId="ExampletextChar">
    <w:name w:val="Example text Char"/>
    <w:rPr>
      <w:rFonts w:ascii="Calibri" w:hAnsi="Calibri" w:cs="Calibri"/>
      <w:color w:val="7F7F7F"/>
      <w:sz w:val="24"/>
      <w:szCs w:val="24"/>
    </w:rPr>
  </w:style>
  <w:style w:type="character" w:customStyle="1" w:styleId="Titolo3Carattere">
    <w:name w:val="Titolo 3 Carattere"/>
    <w:rPr>
      <w:rFonts w:ascii="Cambria" w:eastAsia="MS Gothic" w:hAnsi="Cambria" w:cs="font425"/>
      <w:b/>
      <w:bCs/>
      <w:color w:val="4F81BD"/>
      <w:sz w:val="24"/>
      <w:szCs w:val="24"/>
    </w:rPr>
  </w:style>
  <w:style w:type="character" w:customStyle="1" w:styleId="CorpodeltestoCarattere">
    <w:name w:val="Corpo del testo Carattere"/>
    <w:rPr>
      <w:rFonts w:ascii="Calibri" w:eastAsia="Calibri" w:hAnsi="Calibri" w:cs="Calibri"/>
      <w:sz w:val="24"/>
      <w:szCs w:val="24"/>
    </w:rPr>
  </w:style>
  <w:style w:type="character" w:customStyle="1" w:styleId="Enfasigrassetto1">
    <w:name w:val="Enfasi (grassetto)1"/>
    <w:rPr>
      <w:b/>
      <w:bCs/>
    </w:rPr>
  </w:style>
  <w:style w:type="character" w:styleId="Enfasicorsivo">
    <w:name w:val="Emphasis"/>
    <w:uiPriority w:val="20"/>
    <w:qFormat/>
    <w:rPr>
      <w:i/>
      <w:iCs/>
    </w:rPr>
  </w:style>
  <w:style w:type="character" w:customStyle="1" w:styleId="Numeroriga1">
    <w:name w:val="Numero riga1"/>
    <w:basedOn w:val="Carpredefinitoparagrafo1"/>
  </w:style>
  <w:style w:type="character" w:customStyle="1" w:styleId="Menzionenonrisolta1">
    <w:name w:val="Menzione non risolta1"/>
    <w:rPr>
      <w:color w:val="808080"/>
      <w:shd w:val="clear" w:color="auto" w:fill="E6E6E6"/>
    </w:rPr>
  </w:style>
  <w:style w:type="character" w:customStyle="1" w:styleId="PreformattatoHTMLCarattere">
    <w:name w:val="Preformattato HTML Carattere"/>
    <w:rPr>
      <w:rFonts w:ascii="Consolas" w:eastAsia="Calibri" w:hAnsi="Consolas" w:cs="Consolas"/>
      <w:lang w:val="it-IT"/>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Symbol" w:cs="Symbol"/>
      <w:w w:val="100"/>
      <w:sz w:val="24"/>
      <w:szCs w:val="24"/>
    </w:rPr>
  </w:style>
  <w:style w:type="character" w:customStyle="1" w:styleId="ListLabel40">
    <w:name w:val="ListLabel 40"/>
    <w:rPr>
      <w:rFonts w:eastAsia="Courier New" w:cs="Courier New"/>
      <w:w w:val="99"/>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b/>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b/>
      <w:i w:val="0"/>
    </w:rPr>
  </w:style>
  <w:style w:type="character" w:customStyle="1" w:styleId="ListLabel50">
    <w:name w:val="ListLabel 50"/>
    <w:rPr>
      <w:b/>
      <w:i w:val="0"/>
    </w:rPr>
  </w:style>
  <w:style w:type="character" w:customStyle="1" w:styleId="ListLabel51">
    <w:name w:val="ListLabel 51"/>
    <w:rPr>
      <w:b/>
      <w:i w:val="0"/>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alibri"/>
    </w:rPr>
  </w:style>
  <w:style w:type="character" w:customStyle="1" w:styleId="ListLabel59">
    <w:name w:val="ListLabel 59"/>
    <w:rPr>
      <w:rFonts w:eastAsia="Times New Roman" w:cs="Calibri"/>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rPr>
      <w:rFonts w:eastAsia="Trebuchet MS" w:cs="Trebuchet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Numeroriga">
    <w:name w:val="line number"/>
    <w:semiHidden/>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semiHidden/>
    <w:pPr>
      <w:jc w:val="left"/>
    </w:pPr>
    <w:rPr>
      <w:rFonts w:eastAsia="Calibri"/>
      <w:color w:val="00000A"/>
    </w:rPr>
  </w:style>
  <w:style w:type="paragraph" w:styleId="Elenco">
    <w:name w:val="List"/>
    <w:basedOn w:val="Corpotesto"/>
    <w:semiHidden/>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ice">
    <w:name w:val="Indice"/>
    <w:basedOn w:val="Normale"/>
    <w:pPr>
      <w:suppressLineNumbers/>
    </w:pPr>
    <w:rPr>
      <w:rFonts w:cs="Arial Unicode MS"/>
    </w:rPr>
  </w:style>
  <w:style w:type="paragraph" w:customStyle="1" w:styleId="NormaleWeb1">
    <w:name w:val="Normale (Web)1"/>
    <w:basedOn w:val="Normale"/>
    <w:pPr>
      <w:spacing w:before="280" w:after="280"/>
    </w:pPr>
  </w:style>
  <w:style w:type="paragraph" w:styleId="Intestazione">
    <w:name w:val="header"/>
    <w:basedOn w:val="Normale"/>
    <w:semiHidden/>
    <w:pPr>
      <w:tabs>
        <w:tab w:val="center" w:pos="4680"/>
        <w:tab w:val="right" w:pos="9360"/>
      </w:tabs>
    </w:pPr>
  </w:style>
  <w:style w:type="paragraph" w:styleId="Pidipagina">
    <w:name w:val="footer"/>
    <w:basedOn w:val="Normale"/>
    <w:semiHidden/>
    <w:pPr>
      <w:tabs>
        <w:tab w:val="center" w:pos="4680"/>
        <w:tab w:val="right" w:pos="9360"/>
      </w:tabs>
    </w:pPr>
  </w:style>
  <w:style w:type="paragraph" w:customStyle="1" w:styleId="Testocommento1">
    <w:name w:val="Testo commento1"/>
    <w:basedOn w:val="Normale"/>
  </w:style>
  <w:style w:type="paragraph" w:customStyle="1" w:styleId="Soggettocommento1">
    <w:name w:val="Soggetto commento1"/>
    <w:basedOn w:val="Testocommento1"/>
    <w:rPr>
      <w:b/>
      <w:bCs/>
      <w:sz w:val="20"/>
      <w:szCs w:val="20"/>
    </w:rPr>
  </w:style>
  <w:style w:type="paragraph" w:customStyle="1" w:styleId="Testofumetto1">
    <w:name w:val="Testo fumetto1"/>
    <w:basedOn w:val="Normale"/>
    <w:rPr>
      <w:rFonts w:ascii="Lucida Grande" w:hAnsi="Lucida Grande"/>
      <w:sz w:val="18"/>
      <w:szCs w:val="18"/>
    </w:rPr>
  </w:style>
  <w:style w:type="paragraph" w:customStyle="1" w:styleId="Exampletext">
    <w:name w:val="Example text"/>
    <w:basedOn w:val="Normale"/>
    <w:pPr>
      <w:spacing w:after="240"/>
    </w:pPr>
    <w:rPr>
      <w:color w:val="7F7F7F"/>
    </w:rPr>
  </w:style>
  <w:style w:type="paragraph" w:customStyle="1" w:styleId="Paragrafoelenco1">
    <w:name w:val="Paragrafo elenco1"/>
    <w:basedOn w:val="Normale"/>
    <w:pPr>
      <w:ind w:left="720"/>
      <w:contextualSpacing/>
    </w:pPr>
  </w:style>
  <w:style w:type="paragraph" w:customStyle="1" w:styleId="Revisione1">
    <w:name w:val="Revisione1"/>
    <w:pPr>
      <w:suppressAutoHyphens/>
    </w:pPr>
    <w:rPr>
      <w:rFonts w:ascii="Calibri" w:hAnsi="Calibri" w:cs="Calibri"/>
      <w:noProof/>
      <w:color w:val="000000"/>
      <w:kern w:val="1"/>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line="360" w:lineRule="auto"/>
      <w:ind w:firstLine="540"/>
    </w:pPr>
    <w:rPr>
      <w:rFonts w:ascii="Baskerville" w:eastAsia="Baskerville" w:hAnsi="Baskerville" w:cs="Baskerville"/>
      <w:noProof/>
      <w:color w:val="000000"/>
      <w:kern w:val="1"/>
      <w:sz w:val="24"/>
      <w:szCs w:val="24"/>
    </w:rPr>
  </w:style>
  <w:style w:type="paragraph" w:customStyle="1" w:styleId="TableStyle4">
    <w:name w:val="Table Style 4"/>
    <w:pPr>
      <w:pBdr>
        <w:top w:val="none" w:sz="0" w:space="0" w:color="000000"/>
        <w:left w:val="none" w:sz="0" w:space="0" w:color="000000"/>
        <w:bottom w:val="none" w:sz="0" w:space="0" w:color="000000"/>
        <w:right w:val="none" w:sz="0" w:space="0" w:color="000000"/>
      </w:pBdr>
      <w:suppressAutoHyphens/>
    </w:pPr>
    <w:rPr>
      <w:rFonts w:ascii="Baskerville SemiBold" w:eastAsia="Baskerville SemiBold" w:hAnsi="Baskerville SemiBold" w:cs="Baskerville SemiBold"/>
      <w:noProof/>
      <w:color w:val="434343"/>
      <w:kern w:val="1"/>
      <w:sz w:val="24"/>
    </w:rPr>
  </w:style>
  <w:style w:type="paragraph" w:customStyle="1" w:styleId="TableStyle3">
    <w:name w:val="Table Style 3"/>
    <w:pPr>
      <w:pBdr>
        <w:top w:val="none" w:sz="0" w:space="0" w:color="000000"/>
        <w:left w:val="none" w:sz="0" w:space="0" w:color="000000"/>
        <w:bottom w:val="none" w:sz="0" w:space="0" w:color="000000"/>
        <w:right w:val="none" w:sz="0" w:space="0" w:color="000000"/>
      </w:pBdr>
      <w:suppressAutoHyphens/>
    </w:pPr>
    <w:rPr>
      <w:rFonts w:ascii="Baskerville" w:eastAsia="Baskerville" w:hAnsi="Baskerville" w:cs="Baskerville"/>
      <w:noProof/>
      <w:color w:val="434343"/>
      <w:kern w:val="1"/>
      <w:sz w:val="24"/>
    </w:rPr>
  </w:style>
  <w:style w:type="paragraph" w:customStyle="1" w:styleId="TableTitle1">
    <w:name w:val="Table Title 1"/>
    <w:pPr>
      <w:pBdr>
        <w:top w:val="none" w:sz="0" w:space="0" w:color="000000"/>
        <w:left w:val="none" w:sz="0" w:space="0" w:color="000000"/>
        <w:bottom w:val="none" w:sz="0" w:space="0" w:color="000000"/>
        <w:right w:val="none" w:sz="0" w:space="0" w:color="000000"/>
      </w:pBdr>
      <w:suppressAutoHyphens/>
      <w:jc w:val="center"/>
    </w:pPr>
    <w:rPr>
      <w:rFonts w:ascii="Baskerville SemiBold" w:eastAsia="Baskerville SemiBold" w:hAnsi="Baskerville SemiBold" w:cs="Baskerville SemiBold"/>
      <w:noProof/>
      <w:color w:val="434343"/>
      <w:kern w:val="1"/>
      <w:sz w:val="24"/>
      <w:szCs w:val="24"/>
    </w:rPr>
  </w:style>
  <w:style w:type="paragraph" w:customStyle="1" w:styleId="PreformattatoHTML1">
    <w:name w:val="Preformattato HTML1"/>
    <w:basedOn w:val="Normale"/>
    <w:pPr>
      <w:widowControl/>
      <w:jc w:val="left"/>
    </w:pPr>
    <w:rPr>
      <w:rFonts w:ascii="Consolas" w:eastAsia="Calibri" w:hAnsi="Consolas" w:cs="Consolas"/>
      <w:color w:val="00000A"/>
      <w:sz w:val="20"/>
      <w:szCs w:val="20"/>
    </w:rPr>
  </w:style>
  <w:style w:type="paragraph" w:styleId="NormaleWeb">
    <w:name w:val="Normal (Web)"/>
    <w:basedOn w:val="Normale"/>
    <w:semiHidden/>
    <w:pPr>
      <w:widowControl/>
      <w:suppressAutoHyphens w:val="0"/>
      <w:spacing w:before="100" w:beforeAutospacing="1" w:after="142" w:line="288" w:lineRule="auto"/>
      <w:jc w:val="left"/>
    </w:pPr>
    <w:rPr>
      <w:rFonts w:ascii="Arial Unicode MS" w:eastAsia="Arial Unicode MS" w:hAnsi="Arial Unicode MS" w:cs="Arial Unicode MS"/>
      <w:kern w:val="0"/>
    </w:rPr>
  </w:style>
  <w:style w:type="paragraph" w:customStyle="1" w:styleId="western">
    <w:name w:val="western"/>
    <w:basedOn w:val="Normale"/>
    <w:pPr>
      <w:widowControl/>
      <w:suppressAutoHyphens w:val="0"/>
      <w:spacing w:before="100" w:beforeAutospacing="1" w:after="142" w:line="288" w:lineRule="auto"/>
      <w:jc w:val="left"/>
    </w:pPr>
    <w:rPr>
      <w:rFonts w:eastAsia="Arial Unicode MS"/>
      <w:kern w:val="0"/>
      <w:sz w:val="22"/>
      <w:szCs w:val="22"/>
    </w:rPr>
  </w:style>
  <w:style w:type="paragraph" w:customStyle="1" w:styleId="Paragrafoelenco2">
    <w:name w:val="Paragrafo elenco2"/>
    <w:basedOn w:val="Normale"/>
    <w:rsid w:val="00D27847"/>
    <w:pPr>
      <w:ind w:left="720"/>
      <w:contextualSpacing/>
    </w:pPr>
  </w:style>
  <w:style w:type="character" w:customStyle="1" w:styleId="NoneA">
    <w:name w:val="None A"/>
    <w:rsid w:val="00D27847"/>
    <w:rPr>
      <w:lang w:val="it-IT"/>
    </w:rPr>
  </w:style>
  <w:style w:type="character" w:styleId="Rimandocommento">
    <w:name w:val="annotation reference"/>
    <w:basedOn w:val="Carpredefinitoparagrafo"/>
    <w:uiPriority w:val="99"/>
    <w:semiHidden/>
    <w:unhideWhenUsed/>
    <w:rsid w:val="00AB3C4D"/>
    <w:rPr>
      <w:sz w:val="16"/>
      <w:szCs w:val="16"/>
    </w:rPr>
  </w:style>
  <w:style w:type="paragraph" w:styleId="Testocommento">
    <w:name w:val="annotation text"/>
    <w:basedOn w:val="Normale"/>
    <w:link w:val="TestocommentoCarattere"/>
    <w:uiPriority w:val="99"/>
    <w:semiHidden/>
    <w:unhideWhenUsed/>
    <w:rsid w:val="00AB3C4D"/>
    <w:pPr>
      <w:suppressAutoHyphens w:val="0"/>
    </w:pPr>
    <w:rPr>
      <w:rFonts w:ascii="Times New Roman" w:hAnsi="Times New Roman" w:cs="Times New Roman"/>
      <w:noProof w:val="0"/>
      <w:color w:val="auto"/>
      <w:kern w:val="0"/>
      <w:lang w:val="en-US"/>
    </w:rPr>
  </w:style>
  <w:style w:type="character" w:customStyle="1" w:styleId="TestocommentoCarattere1">
    <w:name w:val="Testo commento Carattere1"/>
    <w:basedOn w:val="Carpredefinitoparagrafo"/>
    <w:uiPriority w:val="99"/>
    <w:semiHidden/>
    <w:rsid w:val="00AB3C4D"/>
    <w:rPr>
      <w:rFonts w:ascii="Calibri" w:hAnsi="Calibri" w:cs="Calibri"/>
      <w:noProof/>
      <w:color w:val="000000"/>
      <w:kern w:val="1"/>
    </w:rPr>
  </w:style>
  <w:style w:type="paragraph" w:styleId="Testofumetto">
    <w:name w:val="Balloon Text"/>
    <w:basedOn w:val="Normale"/>
    <w:link w:val="TestofumettoCarattere1"/>
    <w:uiPriority w:val="99"/>
    <w:semiHidden/>
    <w:unhideWhenUsed/>
    <w:rsid w:val="00AB3C4D"/>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AB3C4D"/>
    <w:rPr>
      <w:rFonts w:ascii="Segoe UI" w:hAnsi="Segoe UI" w:cs="Segoe UI"/>
      <w:noProof/>
      <w:color w:val="000000"/>
      <w:kern w:val="1"/>
      <w:sz w:val="18"/>
      <w:szCs w:val="18"/>
    </w:rPr>
  </w:style>
  <w:style w:type="character" w:styleId="Collegamentovisitato">
    <w:name w:val="FollowedHyperlink"/>
    <w:basedOn w:val="Carpredefinitoparagrafo"/>
    <w:uiPriority w:val="99"/>
    <w:semiHidden/>
    <w:unhideWhenUsed/>
    <w:rsid w:val="003D699A"/>
    <w:rPr>
      <w:color w:val="954F72" w:themeColor="followedHyperlink"/>
      <w:u w:val="single"/>
    </w:rPr>
  </w:style>
  <w:style w:type="paragraph" w:styleId="Soggettocommento">
    <w:name w:val="annotation subject"/>
    <w:basedOn w:val="Testocommento"/>
    <w:next w:val="Testocommento"/>
    <w:link w:val="SoggettocommentoCarattere1"/>
    <w:uiPriority w:val="99"/>
    <w:semiHidden/>
    <w:unhideWhenUsed/>
    <w:rsid w:val="000461BC"/>
    <w:pPr>
      <w:suppressAutoHyphens/>
    </w:pPr>
    <w:rPr>
      <w:rFonts w:ascii="Calibri" w:hAnsi="Calibri" w:cs="Calibri"/>
      <w:b/>
      <w:bCs/>
      <w:noProof/>
      <w:color w:val="000000"/>
      <w:kern w:val="1"/>
      <w:sz w:val="20"/>
      <w:szCs w:val="20"/>
      <w:lang w:val="it-IT"/>
    </w:rPr>
  </w:style>
  <w:style w:type="character" w:customStyle="1" w:styleId="SoggettocommentoCarattere1">
    <w:name w:val="Soggetto commento Carattere1"/>
    <w:basedOn w:val="TestocommentoCarattere"/>
    <w:link w:val="Soggettocommento"/>
    <w:uiPriority w:val="99"/>
    <w:semiHidden/>
    <w:rsid w:val="000461BC"/>
    <w:rPr>
      <w:rFonts w:ascii="Calibri" w:hAnsi="Calibri" w:cs="Calibri"/>
      <w:b/>
      <w:bCs/>
      <w:noProof/>
      <w:color w:val="000000"/>
      <w:kern w:val="1"/>
      <w:sz w:val="24"/>
      <w:szCs w:val="24"/>
      <w:lang w:val="en-US"/>
    </w:rPr>
  </w:style>
  <w:style w:type="character" w:customStyle="1" w:styleId="Menzionenonrisolta2">
    <w:name w:val="Menzione non risolta2"/>
    <w:basedOn w:val="Carpredefinitoparagrafo"/>
    <w:uiPriority w:val="99"/>
    <w:semiHidden/>
    <w:unhideWhenUsed/>
    <w:rsid w:val="00A42C96"/>
    <w:rPr>
      <w:color w:val="605E5C"/>
      <w:shd w:val="clear" w:color="auto" w:fill="E1DFDD"/>
    </w:rPr>
  </w:style>
  <w:style w:type="paragraph" w:styleId="Revisione">
    <w:name w:val="Revision"/>
    <w:hidden/>
    <w:uiPriority w:val="71"/>
    <w:rsid w:val="00F16CB6"/>
    <w:rPr>
      <w:rFonts w:ascii="Calibri" w:hAnsi="Calibri" w:cs="Calibri"/>
      <w:noProof/>
      <w:color w:val="000000"/>
      <w:kern w:val="1"/>
      <w:sz w:val="24"/>
      <w:szCs w:val="24"/>
    </w:rPr>
  </w:style>
  <w:style w:type="character" w:customStyle="1" w:styleId="Menzionenonrisolta3">
    <w:name w:val="Menzione non risolta3"/>
    <w:basedOn w:val="Carpredefinitoparagrafo"/>
    <w:uiPriority w:val="99"/>
    <w:semiHidden/>
    <w:unhideWhenUsed/>
    <w:rsid w:val="002D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90637">
      <w:bodyDiv w:val="1"/>
      <w:marLeft w:val="0"/>
      <w:marRight w:val="0"/>
      <w:marTop w:val="0"/>
      <w:marBottom w:val="0"/>
      <w:divBdr>
        <w:top w:val="none" w:sz="0" w:space="0" w:color="auto"/>
        <w:left w:val="none" w:sz="0" w:space="0" w:color="auto"/>
        <w:bottom w:val="none" w:sz="0" w:space="0" w:color="auto"/>
        <w:right w:val="none" w:sz="0" w:space="0" w:color="auto"/>
      </w:divBdr>
    </w:div>
    <w:div w:id="1283076932">
      <w:bodyDiv w:val="1"/>
      <w:marLeft w:val="0"/>
      <w:marRight w:val="0"/>
      <w:marTop w:val="0"/>
      <w:marBottom w:val="0"/>
      <w:divBdr>
        <w:top w:val="none" w:sz="0" w:space="0" w:color="auto"/>
        <w:left w:val="none" w:sz="0" w:space="0" w:color="auto"/>
        <w:bottom w:val="none" w:sz="0" w:space="0" w:color="auto"/>
        <w:right w:val="none" w:sz="0" w:space="0" w:color="auto"/>
      </w:divBdr>
    </w:div>
    <w:div w:id="1361006526">
      <w:bodyDiv w:val="1"/>
      <w:marLeft w:val="0"/>
      <w:marRight w:val="0"/>
      <w:marTop w:val="0"/>
      <w:marBottom w:val="0"/>
      <w:divBdr>
        <w:top w:val="none" w:sz="0" w:space="0" w:color="auto"/>
        <w:left w:val="none" w:sz="0" w:space="0" w:color="auto"/>
        <w:bottom w:val="none" w:sz="0" w:space="0" w:color="auto"/>
        <w:right w:val="none" w:sz="0" w:space="0" w:color="auto"/>
      </w:divBdr>
    </w:div>
    <w:div w:id="1415128807">
      <w:bodyDiv w:val="1"/>
      <w:marLeft w:val="0"/>
      <w:marRight w:val="0"/>
      <w:marTop w:val="0"/>
      <w:marBottom w:val="0"/>
      <w:divBdr>
        <w:top w:val="none" w:sz="0" w:space="0" w:color="auto"/>
        <w:left w:val="none" w:sz="0" w:space="0" w:color="auto"/>
        <w:bottom w:val="none" w:sz="0" w:space="0" w:color="auto"/>
        <w:right w:val="none" w:sz="0" w:space="0" w:color="auto"/>
      </w:divBdr>
    </w:div>
    <w:div w:id="15912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edici@golgicenci.it" TargetMode="External"/><Relationship Id="rId13" Type="http://schemas.openxmlformats.org/officeDocument/2006/relationships/hyperlink" Target="mailto:r.vaccaro@golgicenci.it" TargetMode="External"/><Relationship Id="rId18" Type="http://schemas.openxmlformats.org/officeDocument/2006/relationships/hyperlink" Target="mailto:e.fogato@golgiredaelli.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guaita@golgicenci.it" TargetMode="External"/><Relationship Id="rId7" Type="http://schemas.openxmlformats.org/officeDocument/2006/relationships/endnotes" Target="endnotes.xml"/><Relationship Id="rId12" Type="http://schemas.openxmlformats.org/officeDocument/2006/relationships/hyperlink" Target="mailto:pla.cassini@gmail.com" TargetMode="External"/><Relationship Id="rId17" Type="http://schemas.openxmlformats.org/officeDocument/2006/relationships/hyperlink" Target="mailto:valentina.fantini02@universitadipavia.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tteo.bordoni@mondino.it" TargetMode="External"/><Relationship Id="rId20" Type="http://schemas.openxmlformats.org/officeDocument/2006/relationships/hyperlink" Target="mailto:mauro.ceroni@unipv.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retti@golgicenci.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abbondanza@golgicenci.it" TargetMode="External"/><Relationship Id="rId23" Type="http://schemas.openxmlformats.org/officeDocument/2006/relationships/hyperlink" Target="mailto:e.poloni@golgicenci.it" TargetMode="External"/><Relationship Id="rId10" Type="http://schemas.openxmlformats.org/officeDocument/2006/relationships/hyperlink" Target="mailto:a.davin@golgicenci.it" TargetMode="External"/><Relationship Id="rId19" Type="http://schemas.openxmlformats.org/officeDocument/2006/relationships/hyperlink" Target="mailto:cristina.cereda@mondino.it" TargetMode="External"/><Relationship Id="rId4" Type="http://schemas.openxmlformats.org/officeDocument/2006/relationships/settings" Target="settings.xml"/><Relationship Id="rId9" Type="http://schemas.openxmlformats.org/officeDocument/2006/relationships/hyperlink" Target="mailto:arennfaye.carlos01@universitadipavia.it%20" TargetMode="External"/><Relationship Id="rId14" Type="http://schemas.openxmlformats.org/officeDocument/2006/relationships/hyperlink" Target="mailto:d.zaccaria@golgicenci.it" TargetMode="External"/><Relationship Id="rId22" Type="http://schemas.openxmlformats.org/officeDocument/2006/relationships/hyperlink" Target="mailto:tepoloni@gmail.co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37442E-D603-4E1E-B9F2-080ECF0C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67585</Words>
  <Characters>385236</Characters>
  <Application>Microsoft Office Word</Application>
  <DocSecurity>0</DocSecurity>
  <Lines>3210</Lines>
  <Paragraphs>903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451918</CharactersWithSpaces>
  <SharedDoc>false</SharedDoc>
  <HLinks>
    <vt:vector size="108" baseType="variant">
      <vt:variant>
        <vt:i4>6684785</vt:i4>
      </vt:variant>
      <vt:variant>
        <vt:i4>51</vt:i4>
      </vt:variant>
      <vt:variant>
        <vt:i4>0</vt:i4>
      </vt:variant>
      <vt:variant>
        <vt:i4>5</vt:i4>
      </vt:variant>
      <vt:variant>
        <vt:lpwstr>http://www.jove.com/files/JoVE.ens</vt:lpwstr>
      </vt:variant>
      <vt:variant>
        <vt:lpwstr/>
      </vt:variant>
      <vt:variant>
        <vt:i4>3932255</vt:i4>
      </vt:variant>
      <vt:variant>
        <vt:i4>48</vt:i4>
      </vt:variant>
      <vt:variant>
        <vt:i4>0</vt:i4>
      </vt:variant>
      <vt:variant>
        <vt:i4>5</vt:i4>
      </vt:variant>
      <vt:variant>
        <vt:lpwstr>http://www.jove.com/files/templates/JoVE_Materials.xls</vt:lpwstr>
      </vt:variant>
      <vt:variant>
        <vt:lpwstr/>
      </vt:variant>
      <vt:variant>
        <vt:i4>8126507</vt:i4>
      </vt:variant>
      <vt:variant>
        <vt:i4>45</vt:i4>
      </vt:variant>
      <vt:variant>
        <vt:i4>0</vt:i4>
      </vt:variant>
      <vt:variant>
        <vt:i4>5</vt:i4>
      </vt:variant>
      <vt:variant>
        <vt:lpwstr>http://www.jove.com/video/55733</vt:lpwstr>
      </vt:variant>
      <vt:variant>
        <vt:lpwstr/>
      </vt:variant>
      <vt:variant>
        <vt:i4>7536687</vt:i4>
      </vt:variant>
      <vt:variant>
        <vt:i4>42</vt:i4>
      </vt:variant>
      <vt:variant>
        <vt:i4>0</vt:i4>
      </vt:variant>
      <vt:variant>
        <vt:i4>5</vt:i4>
      </vt:variant>
      <vt:variant>
        <vt:lpwstr>http://www.jove.com/video/58316</vt:lpwstr>
      </vt:variant>
      <vt:variant>
        <vt:lpwstr/>
      </vt:variant>
      <vt:variant>
        <vt:i4>4849728</vt:i4>
      </vt:variant>
      <vt:variant>
        <vt:i4>39</vt:i4>
      </vt:variant>
      <vt:variant>
        <vt:i4>0</vt:i4>
      </vt:variant>
      <vt:variant>
        <vt:i4>5</vt:i4>
      </vt:variant>
      <vt:variant>
        <vt:lpwstr>http://www.jove.com/author/editorial-policies</vt:lpwstr>
      </vt:variant>
      <vt:variant>
        <vt:lpwstr/>
      </vt:variant>
      <vt:variant>
        <vt:i4>7667821</vt:i4>
      </vt:variant>
      <vt:variant>
        <vt:i4>36</vt:i4>
      </vt:variant>
      <vt:variant>
        <vt:i4>0</vt:i4>
      </vt:variant>
      <vt:variant>
        <vt:i4>5</vt:i4>
      </vt:variant>
      <vt:variant>
        <vt:lpwstr/>
      </vt:variant>
      <vt:variant>
        <vt:lpwstr>References</vt:lpwstr>
      </vt:variant>
      <vt:variant>
        <vt:i4>7667834</vt:i4>
      </vt:variant>
      <vt:variant>
        <vt:i4>33</vt:i4>
      </vt:variant>
      <vt:variant>
        <vt:i4>0</vt:i4>
      </vt:variant>
      <vt:variant>
        <vt:i4>5</vt:i4>
      </vt:variant>
      <vt:variant>
        <vt:lpwstr/>
      </vt:variant>
      <vt:variant>
        <vt:lpwstr>Disclosures</vt:lpwstr>
      </vt:variant>
      <vt:variant>
        <vt:i4>6881390</vt:i4>
      </vt:variant>
      <vt:variant>
        <vt:i4>30</vt:i4>
      </vt:variant>
      <vt:variant>
        <vt:i4>0</vt:i4>
      </vt:variant>
      <vt:variant>
        <vt:i4>5</vt:i4>
      </vt:variant>
      <vt:variant>
        <vt:lpwstr/>
      </vt:variant>
      <vt:variant>
        <vt:lpwstr>Acknowledgments</vt:lpwstr>
      </vt:variant>
      <vt:variant>
        <vt:i4>8257662</vt:i4>
      </vt:variant>
      <vt:variant>
        <vt:i4>27</vt:i4>
      </vt:variant>
      <vt:variant>
        <vt:i4>0</vt:i4>
      </vt:variant>
      <vt:variant>
        <vt:i4>5</vt:i4>
      </vt:variant>
      <vt:variant>
        <vt:lpwstr/>
      </vt:variant>
      <vt:variant>
        <vt:lpwstr>Discussion</vt:lpwstr>
      </vt:variant>
      <vt:variant>
        <vt:i4>7274568</vt:i4>
      </vt:variant>
      <vt:variant>
        <vt:i4>24</vt:i4>
      </vt:variant>
      <vt:variant>
        <vt:i4>0</vt:i4>
      </vt:variant>
      <vt:variant>
        <vt:i4>5</vt:i4>
      </vt:variant>
      <vt:variant>
        <vt:lpwstr/>
      </vt:variant>
      <vt:variant>
        <vt:lpwstr>Figure_Legends</vt:lpwstr>
      </vt:variant>
      <vt:variant>
        <vt:i4>7929935</vt:i4>
      </vt:variant>
      <vt:variant>
        <vt:i4>21</vt:i4>
      </vt:variant>
      <vt:variant>
        <vt:i4>0</vt:i4>
      </vt:variant>
      <vt:variant>
        <vt:i4>5</vt:i4>
      </vt:variant>
      <vt:variant>
        <vt:lpwstr/>
      </vt:variant>
      <vt:variant>
        <vt:lpwstr>Representative_Results</vt:lpwstr>
      </vt:variant>
      <vt:variant>
        <vt:i4>589855</vt:i4>
      </vt:variant>
      <vt:variant>
        <vt:i4>18</vt:i4>
      </vt:variant>
      <vt:variant>
        <vt:i4>0</vt:i4>
      </vt:variant>
      <vt:variant>
        <vt:i4>5</vt:i4>
      </vt:variant>
      <vt:variant>
        <vt:lpwstr/>
      </vt:variant>
      <vt:variant>
        <vt:lpwstr>Protocol</vt:lpwstr>
      </vt:variant>
      <vt:variant>
        <vt:i4>720938</vt:i4>
      </vt:variant>
      <vt:variant>
        <vt:i4>15</vt:i4>
      </vt:variant>
      <vt:variant>
        <vt:i4>0</vt:i4>
      </vt:variant>
      <vt:variant>
        <vt:i4>5</vt:i4>
      </vt:variant>
      <vt:variant>
        <vt:lpwstr/>
      </vt:variant>
      <vt:variant>
        <vt:lpwstr>Long_Abstract</vt:lpwstr>
      </vt:variant>
      <vt:variant>
        <vt:i4>4587627</vt:i4>
      </vt:variant>
      <vt:variant>
        <vt:i4>12</vt:i4>
      </vt:variant>
      <vt:variant>
        <vt:i4>0</vt:i4>
      </vt:variant>
      <vt:variant>
        <vt:i4>5</vt:i4>
      </vt:variant>
      <vt:variant>
        <vt:lpwstr/>
      </vt:variant>
      <vt:variant>
        <vt:lpwstr>Short_Abstract</vt:lpwstr>
      </vt:variant>
      <vt:variant>
        <vt:i4>1245209</vt:i4>
      </vt:variant>
      <vt:variant>
        <vt:i4>9</vt:i4>
      </vt:variant>
      <vt:variant>
        <vt:i4>0</vt:i4>
      </vt:variant>
      <vt:variant>
        <vt:i4>5</vt:i4>
      </vt:variant>
      <vt:variant>
        <vt:lpwstr/>
      </vt:variant>
      <vt:variant>
        <vt:lpwstr>Keywords</vt:lpwstr>
      </vt:variant>
      <vt:variant>
        <vt:i4>3145799</vt:i4>
      </vt:variant>
      <vt:variant>
        <vt:i4>6</vt:i4>
      </vt:variant>
      <vt:variant>
        <vt:i4>0</vt:i4>
      </vt:variant>
      <vt:variant>
        <vt:i4>5</vt:i4>
      </vt:variant>
      <vt:variant>
        <vt:lpwstr>mailto:e.poloni@golgicenci.it</vt:lpwstr>
      </vt:variant>
      <vt:variant>
        <vt:lpwstr/>
      </vt:variant>
      <vt:variant>
        <vt:i4>6357071</vt:i4>
      </vt:variant>
      <vt:variant>
        <vt:i4>3</vt:i4>
      </vt:variant>
      <vt:variant>
        <vt:i4>0</vt:i4>
      </vt:variant>
      <vt:variant>
        <vt:i4>5</vt:i4>
      </vt:variant>
      <vt:variant>
        <vt:lpwstr>mailto:tepoloni@gmail.com</vt:lpwstr>
      </vt:variant>
      <vt:variant>
        <vt:lpwstr/>
      </vt:variant>
      <vt:variant>
        <vt:i4>3866699</vt:i4>
      </vt:variant>
      <vt:variant>
        <vt:i4>0</vt:i4>
      </vt:variant>
      <vt:variant>
        <vt:i4>0</vt:i4>
      </vt:variant>
      <vt:variant>
        <vt:i4>5</vt:i4>
      </vt:variant>
      <vt:variant>
        <vt:lpwstr>mailto:v.medici@golgicenci.it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2019-05-20T09:43:00Z</cp:lastPrinted>
  <dcterms:created xsi:type="dcterms:W3CDTF">2020-03-18T15:57:00Z</dcterms:created>
  <dcterms:modified xsi:type="dcterms:W3CDTF">2020-05-25T15:40:00Z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http://www.zotero.org/styles/annual-review-of-genomics-and-human-genetics</vt:lpwstr>
  </property>
  <property fmtid="{D5CDD505-2E9C-101B-9397-08002B2CF9AE}" pid="15" name="Mendeley Recent Style Name 3_1">
    <vt:lpwstr>Annual Review of Genomics and Human Genetics</vt:lpwstr>
  </property>
  <property fmtid="{D5CDD505-2E9C-101B-9397-08002B2CF9AE}" pid="16" name="Mendeley Recent Style Id 4_1">
    <vt:lpwstr>http://www.zotero.org/styles/bmc-neurology</vt:lpwstr>
  </property>
  <property fmtid="{D5CDD505-2E9C-101B-9397-08002B2CF9AE}" pid="17" name="Mendeley Recent Style Name 4_1">
    <vt:lpwstr>BMC Neurology</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http://www.zotero.org/styles/dementia-and-geriatric-cognitive-disorders</vt:lpwstr>
  </property>
  <property fmtid="{D5CDD505-2E9C-101B-9397-08002B2CF9AE}" pid="21" name="Mendeley Recent Style Name 6_1">
    <vt:lpwstr>Dementia and Geriatric Cognitive Disorders</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http://www.zotero.org/styles/springer-basic-brackets</vt:lpwstr>
  </property>
  <property fmtid="{D5CDD505-2E9C-101B-9397-08002B2CF9AE}" pid="27" name="Mendeley Recent Style Name 9_1">
    <vt:lpwstr>Springer - Basic (numeric, brackets)</vt:lpwstr>
  </property>
  <property fmtid="{D5CDD505-2E9C-101B-9397-08002B2CF9AE}" pid="28" name="Mendeley Document_1">
    <vt:lpwstr>True</vt:lpwstr>
  </property>
  <property fmtid="{D5CDD505-2E9C-101B-9397-08002B2CF9AE}" pid="29" name="Mendeley Unique User Id_1">
    <vt:lpwstr>626d928f-7171-3abe-9119-4b0b43283799</vt:lpwstr>
  </property>
  <property fmtid="{D5CDD505-2E9C-101B-9397-08002B2CF9AE}" pid="30" name="Mendeley Citation Style_1">
    <vt:lpwstr>http://www.zotero.org/styles/journal-of-visualized-experiments</vt:lpwstr>
  </property>
</Properties>
</file>